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1EBD8882" w:rsidR="00E57C9A" w:rsidRDefault="00254E4D" w:rsidP="00917210">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5279710E" wp14:editId="1D7271BD">
                <wp:simplePos x="0" y="0"/>
                <wp:positionH relativeFrom="margin">
                  <wp:align>left</wp:align>
                </wp:positionH>
                <wp:positionV relativeFrom="paragraph">
                  <wp:posOffset>648335</wp:posOffset>
                </wp:positionV>
                <wp:extent cx="5795645" cy="8181975"/>
                <wp:effectExtent l="0" t="0" r="1460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8181975"/>
                        </a:xfrm>
                        <a:prstGeom prst="rect">
                          <a:avLst/>
                        </a:prstGeom>
                        <a:solidFill>
                          <a:srgbClr val="E5F8FF"/>
                        </a:solidFill>
                        <a:ln w="9525">
                          <a:solidFill>
                            <a:sysClr val="window" lastClr="FFFFFF"/>
                          </a:solidFill>
                          <a:miter lim="800000"/>
                          <a:headEnd/>
                          <a:tailEnd/>
                        </a:ln>
                      </wps:spPr>
                      <wps:txbx>
                        <w:txbxContent>
                          <w:p w14:paraId="3067867E" w14:textId="7818B994" w:rsidR="00552A03" w:rsidRDefault="00552A03" w:rsidP="00234B3C">
                            <w:pPr>
                              <w:pStyle w:val="Heading2"/>
                              <w:keepNext/>
                              <w:spacing w:before="120"/>
                            </w:pPr>
                            <w:r>
                              <w:t>Review outcome</w:t>
                            </w:r>
                            <w:r w:rsidR="0069611E">
                              <w:t>s</w:t>
                            </w:r>
                          </w:p>
                          <w:p w14:paraId="01BCEA37" w14:textId="0D81A123" w:rsidR="00610027" w:rsidRDefault="004705F6" w:rsidP="003467E1">
                            <w:pPr>
                              <w:pStyle w:val="CGC2025Bullet1"/>
                            </w:pPr>
                            <w:r>
                              <w:t>T</w:t>
                            </w:r>
                            <w:r w:rsidR="00610027">
                              <w:t xml:space="preserve">he following changes </w:t>
                            </w:r>
                            <w:r w:rsidR="008B1415">
                              <w:t xml:space="preserve">were made </w:t>
                            </w:r>
                            <w:r w:rsidR="00610027">
                              <w:t>to the assessment</w:t>
                            </w:r>
                            <w:r w:rsidR="00947F13">
                              <w:t>.</w:t>
                            </w:r>
                          </w:p>
                          <w:p w14:paraId="2888CE95" w14:textId="09C41D73" w:rsidR="0056418E" w:rsidRDefault="00D05BBC" w:rsidP="0078132A">
                            <w:pPr>
                              <w:pStyle w:val="CGC2025Bullet2"/>
                            </w:pPr>
                            <w:r>
                              <w:t xml:space="preserve">A new, temporary component </w:t>
                            </w:r>
                            <w:r w:rsidR="002D206C">
                              <w:t xml:space="preserve">will be </w:t>
                            </w:r>
                            <w:r w:rsidR="006F3FA7">
                              <w:t xml:space="preserve">introduced </w:t>
                            </w:r>
                            <w:r w:rsidR="009B2706">
                              <w:t>to assess expenses associated with the National Partnership on COVID</w:t>
                            </w:r>
                            <w:r w:rsidR="009B2706">
                              <w:noBreakHyphen/>
                              <w:t>19 Response</w:t>
                            </w:r>
                            <w:r w:rsidR="0037349F">
                              <w:t>. T</w:t>
                            </w:r>
                            <w:r w:rsidR="00124CCC">
                              <w:t xml:space="preserve">he </w:t>
                            </w:r>
                            <w:r w:rsidR="0078132A" w:rsidRPr="0078132A">
                              <w:t xml:space="preserve">usual drivers in the health assessment </w:t>
                            </w:r>
                            <w:r w:rsidR="00C276FA">
                              <w:t xml:space="preserve">do </w:t>
                            </w:r>
                            <w:r w:rsidR="00070D39">
                              <w:t xml:space="preserve">not </w:t>
                            </w:r>
                            <w:r w:rsidR="00FA6774">
                              <w:t xml:space="preserve">adequately reflect </w:t>
                            </w:r>
                            <w:r w:rsidR="0078132A" w:rsidRPr="0078132A">
                              <w:t>state expense needs for COVID</w:t>
                            </w:r>
                            <w:r w:rsidR="00361B3E">
                              <w:noBreakHyphen/>
                            </w:r>
                            <w:r w:rsidR="0078132A" w:rsidRPr="0078132A">
                              <w:t>19</w:t>
                            </w:r>
                            <w:r w:rsidR="000D2042">
                              <w:t>–</w:t>
                            </w:r>
                            <w:r w:rsidR="0078132A" w:rsidRPr="0078132A">
                              <w:t>related hospital and public health services</w:t>
                            </w:r>
                            <w:r w:rsidR="00361B3E">
                              <w:t>.</w:t>
                            </w:r>
                          </w:p>
                          <w:p w14:paraId="3BDCE497" w14:textId="476ED9D5" w:rsidR="008D615B" w:rsidRPr="008D615B" w:rsidRDefault="00C14502" w:rsidP="003E4EF0">
                            <w:pPr>
                              <w:pStyle w:val="CGC2025Bullet2"/>
                            </w:pPr>
                            <w:r>
                              <w:t xml:space="preserve">A direct measure of </w:t>
                            </w:r>
                            <w:r w:rsidR="0084015E" w:rsidRPr="008D615B">
                              <w:t xml:space="preserve">activity </w:t>
                            </w:r>
                            <w:r w:rsidR="0084015E">
                              <w:t xml:space="preserve">for </w:t>
                            </w:r>
                            <w:r w:rsidR="0084015E" w:rsidRPr="008D615B">
                              <w:t xml:space="preserve">ambulatory </w:t>
                            </w:r>
                            <w:r w:rsidR="000C349E" w:rsidRPr="008D615B">
                              <w:t>community mental health services</w:t>
                            </w:r>
                            <w:r w:rsidR="00A44D7A">
                              <w:t xml:space="preserve"> </w:t>
                            </w:r>
                            <w:r w:rsidR="00E37DFE">
                              <w:t xml:space="preserve">within the </w:t>
                            </w:r>
                            <w:r w:rsidR="008E6953">
                              <w:t>community and public health component</w:t>
                            </w:r>
                            <w:r w:rsidR="006870C5">
                              <w:t xml:space="preserve"> </w:t>
                            </w:r>
                            <w:r w:rsidR="00F47936">
                              <w:t xml:space="preserve">will be </w:t>
                            </w:r>
                            <w:r w:rsidR="00A44D7A">
                              <w:t>introduced</w:t>
                            </w:r>
                            <w:r w:rsidR="009C79F2">
                              <w:t xml:space="preserve">. This </w:t>
                            </w:r>
                            <w:r w:rsidR="00F47936">
                              <w:t xml:space="preserve">will </w:t>
                            </w:r>
                            <w:r w:rsidR="0058306D">
                              <w:t>provide a more a</w:t>
                            </w:r>
                            <w:r w:rsidR="006C49A5">
                              <w:t xml:space="preserve">ccurate estimate of service use by </w:t>
                            </w:r>
                            <w:r w:rsidR="009A1AE5">
                              <w:t>socio</w:t>
                            </w:r>
                            <w:r w:rsidR="009A1AE5">
                              <w:noBreakHyphen/>
                              <w:t>demographic</w:t>
                            </w:r>
                            <w:r w:rsidR="006C49A5">
                              <w:t xml:space="preserve"> groups than </w:t>
                            </w:r>
                            <w:r w:rsidR="00B21E4A">
                              <w:t>the previous</w:t>
                            </w:r>
                            <w:r w:rsidR="00113C22">
                              <w:t xml:space="preserve"> </w:t>
                            </w:r>
                            <w:r w:rsidR="006C49A5">
                              <w:t>hospital</w:t>
                            </w:r>
                            <w:r w:rsidR="006C49A5">
                              <w:noBreakHyphen/>
                              <w:t>based proxy indicator</w:t>
                            </w:r>
                            <w:r w:rsidR="009A1AE5">
                              <w:t>.</w:t>
                            </w:r>
                            <w:r w:rsidR="003E4EF0" w:rsidRPr="003E4EF0">
                              <w:t xml:space="preserve"> </w:t>
                            </w:r>
                            <w:r w:rsidR="003E4EF0">
                              <w:t>T</w:t>
                            </w:r>
                            <w:r w:rsidR="003E4EF0" w:rsidRPr="003E4EF0">
                              <w:t xml:space="preserve">he general regional </w:t>
                            </w:r>
                            <w:r w:rsidR="0095714D">
                              <w:t xml:space="preserve">cost </w:t>
                            </w:r>
                            <w:r w:rsidR="003E4EF0" w:rsidRPr="003E4EF0">
                              <w:t xml:space="preserve">gradient </w:t>
                            </w:r>
                            <w:r w:rsidR="003E4EF0">
                              <w:t>will be used</w:t>
                            </w:r>
                            <w:r w:rsidR="003E4EF0" w:rsidRPr="003E4EF0">
                              <w:t xml:space="preserve"> to take account of increased service delivery costs as remoteness increases</w:t>
                            </w:r>
                            <w:r w:rsidR="00B82948">
                              <w:t>.</w:t>
                            </w:r>
                          </w:p>
                          <w:p w14:paraId="3AF64107" w14:textId="70172550" w:rsidR="008D615B" w:rsidRDefault="0029783C" w:rsidP="003467E1">
                            <w:pPr>
                              <w:pStyle w:val="CGC2025Bullet2"/>
                            </w:pPr>
                            <w:r>
                              <w:t>T</w:t>
                            </w:r>
                            <w:r w:rsidR="00DF148D">
                              <w:t xml:space="preserve">he proxy indicator of activity for the </w:t>
                            </w:r>
                            <w:r w:rsidR="009E0DF4">
                              <w:t>rem</w:t>
                            </w:r>
                            <w:r w:rsidR="00991E71">
                              <w:t xml:space="preserve">ainder of </w:t>
                            </w:r>
                            <w:r w:rsidR="00C26732" w:rsidRPr="008D615B">
                              <w:t>community and public health</w:t>
                            </w:r>
                            <w:r w:rsidR="00D20A21">
                              <w:t xml:space="preserve"> </w:t>
                            </w:r>
                            <w:r w:rsidR="00F47936">
                              <w:t xml:space="preserve">will be </w:t>
                            </w:r>
                            <w:r>
                              <w:t xml:space="preserve">broadened </w:t>
                            </w:r>
                            <w:r w:rsidR="00D20A21">
                              <w:t xml:space="preserve">to </w:t>
                            </w:r>
                            <w:r w:rsidR="00C9065E">
                              <w:t xml:space="preserve">include </w:t>
                            </w:r>
                            <w:r w:rsidR="005A0DA5">
                              <w:t xml:space="preserve">a subset of </w:t>
                            </w:r>
                            <w:r w:rsidR="00C9065E">
                              <w:t>non</w:t>
                            </w:r>
                            <w:r w:rsidR="00C9065E">
                              <w:noBreakHyphen/>
                              <w:t xml:space="preserve">admitted patient </w:t>
                            </w:r>
                            <w:r w:rsidR="00625707">
                              <w:t xml:space="preserve">activity, in addition to </w:t>
                            </w:r>
                            <w:r w:rsidR="00FD344B">
                              <w:t xml:space="preserve">triage category </w:t>
                            </w:r>
                            <w:r w:rsidR="00686017">
                              <w:t xml:space="preserve">4 and 5 </w:t>
                            </w:r>
                            <w:r w:rsidR="00983455">
                              <w:t>emergen</w:t>
                            </w:r>
                            <w:r w:rsidR="002C4E99">
                              <w:t>cy department</w:t>
                            </w:r>
                            <w:r w:rsidR="0084750D">
                              <w:t>s</w:t>
                            </w:r>
                            <w:r w:rsidR="002C4E99">
                              <w:t xml:space="preserve"> activity.</w:t>
                            </w:r>
                            <w:r w:rsidR="007A776D">
                              <w:t xml:space="preserve"> </w:t>
                            </w:r>
                            <w:r w:rsidR="004E267E">
                              <w:t>As m</w:t>
                            </w:r>
                            <w:r w:rsidR="007A776D">
                              <w:t>any non</w:t>
                            </w:r>
                            <w:r w:rsidR="007A776D">
                              <w:noBreakHyphen/>
                              <w:t xml:space="preserve">admitted patient services </w:t>
                            </w:r>
                            <w:r w:rsidR="005A4EF3">
                              <w:t>are similar to community health services</w:t>
                            </w:r>
                            <w:r w:rsidR="004E267E">
                              <w:t xml:space="preserve">, this </w:t>
                            </w:r>
                            <w:r w:rsidR="002872C7">
                              <w:t xml:space="preserve">will provide </w:t>
                            </w:r>
                            <w:r w:rsidR="00D84502">
                              <w:t xml:space="preserve">a better estimate of </w:t>
                            </w:r>
                            <w:r w:rsidR="001E4C10" w:rsidRPr="008D615B">
                              <w:t>community and public health</w:t>
                            </w:r>
                            <w:r w:rsidR="001E4C10">
                              <w:t xml:space="preserve"> </w:t>
                            </w:r>
                            <w:r w:rsidR="00D84502">
                              <w:t xml:space="preserve">activity than </w:t>
                            </w:r>
                            <w:r w:rsidR="00415514">
                              <w:t>emergency department</w:t>
                            </w:r>
                            <w:r w:rsidR="004A0A98">
                              <w:t>s</w:t>
                            </w:r>
                            <w:r w:rsidR="00415514">
                              <w:t xml:space="preserve"> triage category 4 and</w:t>
                            </w:r>
                            <w:r w:rsidR="006C79A3">
                              <w:t xml:space="preserve"> </w:t>
                            </w:r>
                            <w:r w:rsidR="00415514">
                              <w:t>5</w:t>
                            </w:r>
                            <w:r w:rsidR="006C79A3">
                              <w:t xml:space="preserve"> </w:t>
                            </w:r>
                            <w:r w:rsidR="004A0A98">
                              <w:t xml:space="preserve">services </w:t>
                            </w:r>
                            <w:r w:rsidR="00415514">
                              <w:t>alone.</w:t>
                            </w:r>
                          </w:p>
                          <w:p w14:paraId="0292317D" w14:textId="2202C630" w:rsidR="009744F2" w:rsidRDefault="004A669E" w:rsidP="003467E1">
                            <w:pPr>
                              <w:pStyle w:val="CGC2025Bullet2"/>
                            </w:pPr>
                            <w:r>
                              <w:t xml:space="preserve">Substitutability levels for </w:t>
                            </w:r>
                            <w:r w:rsidR="00F83468">
                              <w:t>the non</w:t>
                            </w:r>
                            <w:r w:rsidR="00F83468">
                              <w:noBreakHyphen/>
                              <w:t xml:space="preserve">state sector </w:t>
                            </w:r>
                            <w:r w:rsidR="00620875">
                              <w:t>adjustments</w:t>
                            </w:r>
                            <w:r>
                              <w:t xml:space="preserve"> </w:t>
                            </w:r>
                            <w:r w:rsidR="00282CE0">
                              <w:t xml:space="preserve">for </w:t>
                            </w:r>
                            <w:r w:rsidR="00CE2B59">
                              <w:t xml:space="preserve">admitted patients, emergency departments, </w:t>
                            </w:r>
                            <w:r w:rsidR="00181080">
                              <w:t>non</w:t>
                            </w:r>
                            <w:r w:rsidR="00181080">
                              <w:noBreakHyphen/>
                              <w:t>admitted patients and community and public health</w:t>
                            </w:r>
                            <w:r w:rsidR="004F437A">
                              <w:t xml:space="preserve"> </w:t>
                            </w:r>
                            <w:r w:rsidR="00495A1F">
                              <w:t xml:space="preserve">will be </w:t>
                            </w:r>
                            <w:r w:rsidR="004F437A">
                              <w:t>updated to reflect new</w:t>
                            </w:r>
                            <w:r w:rsidR="001A03D1">
                              <w:t xml:space="preserve"> data and minor modifications to the methods</w:t>
                            </w:r>
                            <w:r w:rsidR="005524E1">
                              <w:t>.</w:t>
                            </w:r>
                            <w:r w:rsidR="00452C14">
                              <w:t xml:space="preserve"> </w:t>
                            </w:r>
                          </w:p>
                          <w:p w14:paraId="0B41E554" w14:textId="0330ACB2" w:rsidR="006F222C" w:rsidRDefault="00A71997" w:rsidP="003467E1">
                            <w:pPr>
                              <w:pStyle w:val="CGC2025Bullet2"/>
                            </w:pPr>
                            <w:r>
                              <w:t xml:space="preserve">For </w:t>
                            </w:r>
                            <w:r w:rsidR="001F421F">
                              <w:t>the</w:t>
                            </w:r>
                            <w:r w:rsidR="00853ED1">
                              <w:t xml:space="preserve"> </w:t>
                            </w:r>
                            <w:r w:rsidR="00E1126C">
                              <w:t>non</w:t>
                            </w:r>
                            <w:r w:rsidR="00E1126C">
                              <w:noBreakHyphen/>
                              <w:t xml:space="preserve">state sector </w:t>
                            </w:r>
                            <w:r w:rsidR="00036E9E">
                              <w:t xml:space="preserve">adjustment </w:t>
                            </w:r>
                            <w:r w:rsidR="00C31C0C">
                              <w:t xml:space="preserve">associated with </w:t>
                            </w:r>
                            <w:r w:rsidR="00A86F4C">
                              <w:t>Commonwealth</w:t>
                            </w:r>
                            <w:r w:rsidR="006632D0">
                              <w:noBreakHyphen/>
                            </w:r>
                            <w:r w:rsidR="00A86F4C">
                              <w:t>funded First Nation</w:t>
                            </w:r>
                            <w:r w:rsidR="009363E4">
                              <w:t>s community health organisations</w:t>
                            </w:r>
                            <w:r w:rsidR="001F421F">
                              <w:t>, a</w:t>
                            </w:r>
                            <w:r w:rsidR="000C7EB9">
                              <w:t xml:space="preserve">ctual expenses </w:t>
                            </w:r>
                            <w:r w:rsidR="00F15DC9">
                              <w:t xml:space="preserve">will be used to </w:t>
                            </w:r>
                            <w:r w:rsidR="006975BB">
                              <w:t xml:space="preserve">measure </w:t>
                            </w:r>
                            <w:r w:rsidR="003638DB">
                              <w:t xml:space="preserve">non-state sector </w:t>
                            </w:r>
                            <w:r w:rsidR="006975BB">
                              <w:t>assessed expense</w:t>
                            </w:r>
                            <w:r w:rsidR="001B1818">
                              <w:t>s</w:t>
                            </w:r>
                            <w:r w:rsidR="00FF45DC">
                              <w:t xml:space="preserve">. This </w:t>
                            </w:r>
                            <w:r w:rsidR="00FB2237">
                              <w:t>result</w:t>
                            </w:r>
                            <w:r w:rsidR="00FF45DC">
                              <w:t>s</w:t>
                            </w:r>
                            <w:r w:rsidR="00FB2237">
                              <w:t xml:space="preserve"> in no adjustment </w:t>
                            </w:r>
                            <w:r w:rsidR="00D43897">
                              <w:t xml:space="preserve">to </w:t>
                            </w:r>
                            <w:r w:rsidR="003638DB">
                              <w:t>socio</w:t>
                            </w:r>
                            <w:r w:rsidR="003638DB">
                              <w:noBreakHyphen/>
                              <w:t xml:space="preserve">demographic </w:t>
                            </w:r>
                            <w:r w:rsidR="00D43897">
                              <w:t xml:space="preserve">assessed expenses from this element of the non-state sector </w:t>
                            </w:r>
                            <w:r w:rsidR="008331C0">
                              <w:t>adjustments.</w:t>
                            </w:r>
                          </w:p>
                          <w:p w14:paraId="2CF40A69" w14:textId="6A1EFA7B" w:rsidR="00AE6FCD" w:rsidRDefault="0010616F" w:rsidP="003467E1">
                            <w:pPr>
                              <w:pStyle w:val="CGC2025Bullet2"/>
                            </w:pPr>
                            <w:r>
                              <w:t>A low d</w:t>
                            </w:r>
                            <w:r w:rsidR="00AE6FCD" w:rsidRPr="0010616F">
                              <w:t>iscount</w:t>
                            </w:r>
                            <w:r>
                              <w:t xml:space="preserve"> of 12.5% </w:t>
                            </w:r>
                            <w:r w:rsidR="00BB7194">
                              <w:t xml:space="preserve">will be applied to </w:t>
                            </w:r>
                            <w:r w:rsidR="00F47336">
                              <w:t>the non</w:t>
                            </w:r>
                            <w:r w:rsidR="00F47336">
                              <w:noBreakHyphen/>
                              <w:t xml:space="preserve">state sector adjustments </w:t>
                            </w:r>
                            <w:r w:rsidR="001A18FB">
                              <w:t>for the admitted patient, emergency department, non</w:t>
                            </w:r>
                            <w:r w:rsidR="001A18FB">
                              <w:noBreakHyphen/>
                              <w:t>admitted patient and community and public health components</w:t>
                            </w:r>
                            <w:r w:rsidR="00A475D0">
                              <w:t>.</w:t>
                            </w:r>
                            <w:r w:rsidR="00765707">
                              <w:t xml:space="preserve"> The discount </w:t>
                            </w:r>
                            <w:r w:rsidR="00D85CB7">
                              <w:t>reflect</w:t>
                            </w:r>
                            <w:r w:rsidR="001A5C8E">
                              <w:t>s</w:t>
                            </w:r>
                            <w:r w:rsidR="00D85CB7">
                              <w:t xml:space="preserve"> </w:t>
                            </w:r>
                            <w:r w:rsidR="00B85E89">
                              <w:t>issues</w:t>
                            </w:r>
                            <w:r w:rsidR="00765707">
                              <w:t xml:space="preserve"> with the quality of the data and the robustness of the method</w:t>
                            </w:r>
                            <w:r w:rsidR="003562C9">
                              <w:t>s</w:t>
                            </w:r>
                            <w:r w:rsidR="00765707">
                              <w:t xml:space="preserve"> for non-state sector adjustments.</w:t>
                            </w:r>
                          </w:p>
                          <w:p w14:paraId="4A540A4D" w14:textId="2D256BE5" w:rsidR="00680F9F" w:rsidRPr="0010616F" w:rsidRDefault="00680F9F" w:rsidP="00304058">
                            <w:pPr>
                              <w:pStyle w:val="CGC2025Bullet2"/>
                            </w:pPr>
                            <w:r>
                              <w:t xml:space="preserve">Updated data will be used to re-estimate </w:t>
                            </w:r>
                            <w:r w:rsidR="00304058" w:rsidRPr="00304058">
                              <w:t xml:space="preserve">the split between hospital and non-hospital patient transport expenses </w:t>
                            </w:r>
                            <w:r w:rsidR="004E7F5F">
                              <w:t xml:space="preserve">and </w:t>
                            </w:r>
                            <w:r>
                              <w:t xml:space="preserve">the </w:t>
                            </w:r>
                            <w:r w:rsidR="001C1FC6" w:rsidRPr="001C1FC6">
                              <w:t>net value of cross</w:t>
                            </w:r>
                            <w:r w:rsidR="00B61272">
                              <w:t>-</w:t>
                            </w:r>
                            <w:r w:rsidR="001C1FC6" w:rsidRPr="001C1FC6">
                              <w:t xml:space="preserve">border </w:t>
                            </w:r>
                            <w:r w:rsidR="00F45740">
                              <w:t>community health</w:t>
                            </w:r>
                            <w:r w:rsidR="00A352F6">
                              <w:t xml:space="preserve"> </w:t>
                            </w:r>
                            <w:r w:rsidR="001C1FC6" w:rsidRPr="001C1FC6">
                              <w:t>services provided by the ACT to New South Wales residents</w:t>
                            </w:r>
                            <w:r w:rsidR="0010777F">
                              <w:t>.</w:t>
                            </w:r>
                          </w:p>
                          <w:p w14:paraId="034F351E" w14:textId="7264B658" w:rsidR="000A31C3" w:rsidRDefault="000A31C3" w:rsidP="003467E1">
                            <w:pPr>
                              <w:pStyle w:val="CGC2025Bullet1"/>
                            </w:pPr>
                            <w:r>
                              <w:t>The Commission</w:t>
                            </w:r>
                            <w:r w:rsidR="00DC60DE">
                              <w:t xml:space="preserve"> </w:t>
                            </w:r>
                            <w:r w:rsidR="00290713">
                              <w:t xml:space="preserve">considered but did </w:t>
                            </w:r>
                            <w:r>
                              <w:t>not change the following</w:t>
                            </w:r>
                            <w:r w:rsidR="00833FA8">
                              <w:t>.</w:t>
                            </w:r>
                          </w:p>
                          <w:p w14:paraId="605BC31D" w14:textId="37178613" w:rsidR="004911EE" w:rsidRPr="003A6592" w:rsidRDefault="002F311E">
                            <w:pPr>
                              <w:pStyle w:val="CGC2025Bullet2"/>
                            </w:pPr>
                            <w:r>
                              <w:t xml:space="preserve">The </w:t>
                            </w:r>
                            <w:r w:rsidR="009A63BA">
                              <w:t>socio</w:t>
                            </w:r>
                            <w:r w:rsidR="009A63BA">
                              <w:noBreakHyphen/>
                              <w:t>demographic composition assessment of state expenses on hospital</w:t>
                            </w:r>
                            <w:r w:rsidR="00062E45">
                              <w:t>s</w:t>
                            </w:r>
                            <w:r w:rsidR="009A63BA">
                              <w:t xml:space="preserve"> and non</w:t>
                            </w:r>
                            <w:r w:rsidR="009A63BA">
                              <w:noBreakHyphen/>
                              <w:t xml:space="preserve">hospital patient transport services </w:t>
                            </w:r>
                            <w:r w:rsidR="00146A97">
                              <w:t xml:space="preserve">will </w:t>
                            </w:r>
                            <w:r w:rsidR="001F43F8">
                              <w:t>not change</w:t>
                            </w:r>
                            <w:r w:rsidR="00A02CE8">
                              <w:t>,</w:t>
                            </w:r>
                            <w:r w:rsidR="00620958">
                              <w:t xml:space="preserve"> </w:t>
                            </w:r>
                            <w:r w:rsidR="00A02CE8">
                              <w:t>with</w:t>
                            </w:r>
                            <w:r w:rsidR="00620958">
                              <w:t xml:space="preserve"> no </w:t>
                            </w:r>
                            <w:r>
                              <w:t xml:space="preserve">ongoing </w:t>
                            </w:r>
                            <w:r w:rsidR="00083FC6">
                              <w:t xml:space="preserve">implications </w:t>
                            </w:r>
                            <w:r>
                              <w:t>from the COVID</w:t>
                            </w:r>
                            <w:r>
                              <w:noBreakHyphen/>
                              <w:t>19 pandemic</w:t>
                            </w:r>
                            <w:r w:rsidR="00620958">
                              <w:t xml:space="preserve"> identified</w:t>
                            </w:r>
                            <w:r w:rsidR="00A778D9">
                              <w:t xml:space="preserve"> for these assessments</w:t>
                            </w:r>
                            <w:r w:rsidR="004C78C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9710E" id="_x0000_t202" coordsize="21600,21600" o:spt="202" path="m,l,21600r21600,l21600,xe">
                <v:stroke joinstyle="miter"/>
                <v:path gradientshapeok="t" o:connecttype="rect"/>
              </v:shapetype>
              <v:shape id="Text Box 217" o:spid="_x0000_s1026" type="#_x0000_t202" style="position:absolute;margin-left:0;margin-top:51.05pt;width:456.35pt;height:644.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" fillcolor="#e5f8ff" strokecolor="window">
                <v:textbox>
                  <w:txbxContent>
                    <w:p w14:paraId="3067867E" w14:textId="7818B994" w:rsidR="00552A03" w:rsidRDefault="00552A03" w:rsidP="00234B3C">
                      <w:pPr>
                        <w:pStyle w:val="Heading2"/>
                        <w:keepNext/>
                        <w:spacing w:before="120"/>
                      </w:pPr>
                      <w:r>
                        <w:t>Review outcome</w:t>
                      </w:r>
                      <w:r w:rsidR="0069611E">
                        <w:t>s</w:t>
                      </w:r>
                    </w:p>
                    <w:p w14:paraId="01BCEA37" w14:textId="0D81A123" w:rsidR="00610027" w:rsidRDefault="004705F6" w:rsidP="003467E1">
                      <w:pPr>
                        <w:pStyle w:val="CGC2025Bullet1"/>
                      </w:pPr>
                      <w:r>
                        <w:t>T</w:t>
                      </w:r>
                      <w:r w:rsidR="00610027">
                        <w:t xml:space="preserve">he following changes </w:t>
                      </w:r>
                      <w:r w:rsidR="008B1415">
                        <w:t xml:space="preserve">were made </w:t>
                      </w:r>
                      <w:r w:rsidR="00610027">
                        <w:t>to the assessment</w:t>
                      </w:r>
                      <w:r w:rsidR="00947F13">
                        <w:t>.</w:t>
                      </w:r>
                    </w:p>
                    <w:p w14:paraId="2888CE95" w14:textId="09C41D73" w:rsidR="0056418E" w:rsidRDefault="00D05BBC" w:rsidP="0078132A">
                      <w:pPr>
                        <w:pStyle w:val="CGC2025Bullet2"/>
                      </w:pPr>
                      <w:r>
                        <w:t xml:space="preserve">A new, temporary component </w:t>
                      </w:r>
                      <w:r w:rsidR="002D206C">
                        <w:t xml:space="preserve">will be </w:t>
                      </w:r>
                      <w:r w:rsidR="006F3FA7">
                        <w:t xml:space="preserve">introduced </w:t>
                      </w:r>
                      <w:r w:rsidR="009B2706">
                        <w:t>to assess expenses associated with the National Partnership on COVID</w:t>
                      </w:r>
                      <w:r w:rsidR="009B2706">
                        <w:noBreakHyphen/>
                        <w:t>19 Response</w:t>
                      </w:r>
                      <w:r w:rsidR="0037349F">
                        <w:t>. T</w:t>
                      </w:r>
                      <w:r w:rsidR="00124CCC">
                        <w:t xml:space="preserve">he </w:t>
                      </w:r>
                      <w:r w:rsidR="0078132A" w:rsidRPr="0078132A">
                        <w:t xml:space="preserve">usual drivers in the health assessment </w:t>
                      </w:r>
                      <w:r w:rsidR="00C276FA">
                        <w:t xml:space="preserve">do </w:t>
                      </w:r>
                      <w:r w:rsidR="00070D39">
                        <w:t xml:space="preserve">not </w:t>
                      </w:r>
                      <w:r w:rsidR="00FA6774">
                        <w:t xml:space="preserve">adequately reflect </w:t>
                      </w:r>
                      <w:r w:rsidR="0078132A" w:rsidRPr="0078132A">
                        <w:t>state expense needs for COVID</w:t>
                      </w:r>
                      <w:r w:rsidR="00361B3E">
                        <w:noBreakHyphen/>
                      </w:r>
                      <w:r w:rsidR="0078132A" w:rsidRPr="0078132A">
                        <w:t>19</w:t>
                      </w:r>
                      <w:r w:rsidR="000D2042">
                        <w:t>–</w:t>
                      </w:r>
                      <w:r w:rsidR="0078132A" w:rsidRPr="0078132A">
                        <w:t>related hospital and public health services</w:t>
                      </w:r>
                      <w:r w:rsidR="00361B3E">
                        <w:t>.</w:t>
                      </w:r>
                    </w:p>
                    <w:p w14:paraId="3BDCE497" w14:textId="476ED9D5" w:rsidR="008D615B" w:rsidRPr="008D615B" w:rsidRDefault="00C14502" w:rsidP="003E4EF0">
                      <w:pPr>
                        <w:pStyle w:val="CGC2025Bullet2"/>
                      </w:pPr>
                      <w:r>
                        <w:t xml:space="preserve">A direct measure of </w:t>
                      </w:r>
                      <w:r w:rsidR="0084015E" w:rsidRPr="008D615B">
                        <w:t xml:space="preserve">activity </w:t>
                      </w:r>
                      <w:r w:rsidR="0084015E">
                        <w:t xml:space="preserve">for </w:t>
                      </w:r>
                      <w:r w:rsidR="0084015E" w:rsidRPr="008D615B">
                        <w:t xml:space="preserve">ambulatory </w:t>
                      </w:r>
                      <w:r w:rsidR="000C349E" w:rsidRPr="008D615B">
                        <w:t>community mental health services</w:t>
                      </w:r>
                      <w:r w:rsidR="00A44D7A">
                        <w:t xml:space="preserve"> </w:t>
                      </w:r>
                      <w:r w:rsidR="00E37DFE">
                        <w:t xml:space="preserve">within the </w:t>
                      </w:r>
                      <w:r w:rsidR="008E6953">
                        <w:t>community and public health component</w:t>
                      </w:r>
                      <w:r w:rsidR="006870C5">
                        <w:t xml:space="preserve"> </w:t>
                      </w:r>
                      <w:r w:rsidR="00F47936">
                        <w:t xml:space="preserve">will be </w:t>
                      </w:r>
                      <w:r w:rsidR="00A44D7A">
                        <w:t>introduced</w:t>
                      </w:r>
                      <w:r w:rsidR="009C79F2">
                        <w:t xml:space="preserve">. This </w:t>
                      </w:r>
                      <w:r w:rsidR="00F47936">
                        <w:t xml:space="preserve">will </w:t>
                      </w:r>
                      <w:r w:rsidR="0058306D">
                        <w:t>provide a more a</w:t>
                      </w:r>
                      <w:r w:rsidR="006C49A5">
                        <w:t xml:space="preserve">ccurate estimate of service use by </w:t>
                      </w:r>
                      <w:r w:rsidR="009A1AE5">
                        <w:t>socio</w:t>
                      </w:r>
                      <w:r w:rsidR="009A1AE5">
                        <w:noBreakHyphen/>
                        <w:t>demographic</w:t>
                      </w:r>
                      <w:r w:rsidR="006C49A5">
                        <w:t xml:space="preserve"> groups than </w:t>
                      </w:r>
                      <w:r w:rsidR="00B21E4A">
                        <w:t>the previous</w:t>
                      </w:r>
                      <w:r w:rsidR="00113C22">
                        <w:t xml:space="preserve"> </w:t>
                      </w:r>
                      <w:r w:rsidR="006C49A5">
                        <w:t>hospital</w:t>
                      </w:r>
                      <w:r w:rsidR="006C49A5">
                        <w:noBreakHyphen/>
                        <w:t>based proxy indicator</w:t>
                      </w:r>
                      <w:r w:rsidR="009A1AE5">
                        <w:t>.</w:t>
                      </w:r>
                      <w:r w:rsidR="003E4EF0" w:rsidRPr="003E4EF0">
                        <w:t xml:space="preserve"> </w:t>
                      </w:r>
                      <w:r w:rsidR="003E4EF0">
                        <w:t>T</w:t>
                      </w:r>
                      <w:r w:rsidR="003E4EF0" w:rsidRPr="003E4EF0">
                        <w:t xml:space="preserve">he general regional </w:t>
                      </w:r>
                      <w:r w:rsidR="0095714D">
                        <w:t xml:space="preserve">cost </w:t>
                      </w:r>
                      <w:r w:rsidR="003E4EF0" w:rsidRPr="003E4EF0">
                        <w:t xml:space="preserve">gradient </w:t>
                      </w:r>
                      <w:r w:rsidR="003E4EF0">
                        <w:t>will be used</w:t>
                      </w:r>
                      <w:r w:rsidR="003E4EF0" w:rsidRPr="003E4EF0">
                        <w:t xml:space="preserve"> to take account of increased service delivery costs as remoteness increases</w:t>
                      </w:r>
                      <w:r w:rsidR="00B82948">
                        <w:t>.</w:t>
                      </w:r>
                    </w:p>
                    <w:p w14:paraId="3AF64107" w14:textId="70172550" w:rsidR="008D615B" w:rsidRDefault="0029783C" w:rsidP="003467E1">
                      <w:pPr>
                        <w:pStyle w:val="CGC2025Bullet2"/>
                      </w:pPr>
                      <w:r>
                        <w:t>T</w:t>
                      </w:r>
                      <w:r w:rsidR="00DF148D">
                        <w:t xml:space="preserve">he proxy indicator of activity for the </w:t>
                      </w:r>
                      <w:r w:rsidR="009E0DF4">
                        <w:t>rem</w:t>
                      </w:r>
                      <w:r w:rsidR="00991E71">
                        <w:t xml:space="preserve">ainder of </w:t>
                      </w:r>
                      <w:r w:rsidR="00C26732" w:rsidRPr="008D615B">
                        <w:t>community and public health</w:t>
                      </w:r>
                      <w:r w:rsidR="00D20A21">
                        <w:t xml:space="preserve"> </w:t>
                      </w:r>
                      <w:r w:rsidR="00F47936">
                        <w:t xml:space="preserve">will be </w:t>
                      </w:r>
                      <w:r>
                        <w:t xml:space="preserve">broadened </w:t>
                      </w:r>
                      <w:r w:rsidR="00D20A21">
                        <w:t xml:space="preserve">to </w:t>
                      </w:r>
                      <w:r w:rsidR="00C9065E">
                        <w:t xml:space="preserve">include </w:t>
                      </w:r>
                      <w:r w:rsidR="005A0DA5">
                        <w:t xml:space="preserve">a subset of </w:t>
                      </w:r>
                      <w:r w:rsidR="00C9065E">
                        <w:t>non</w:t>
                      </w:r>
                      <w:r w:rsidR="00C9065E">
                        <w:noBreakHyphen/>
                        <w:t xml:space="preserve">admitted patient </w:t>
                      </w:r>
                      <w:r w:rsidR="00625707">
                        <w:t xml:space="preserve">activity, in addition to </w:t>
                      </w:r>
                      <w:r w:rsidR="00FD344B">
                        <w:t xml:space="preserve">triage category </w:t>
                      </w:r>
                      <w:r w:rsidR="00686017">
                        <w:t xml:space="preserve">4 and 5 </w:t>
                      </w:r>
                      <w:r w:rsidR="00983455">
                        <w:t>emergen</w:t>
                      </w:r>
                      <w:r w:rsidR="002C4E99">
                        <w:t>cy department</w:t>
                      </w:r>
                      <w:r w:rsidR="0084750D">
                        <w:t>s</w:t>
                      </w:r>
                      <w:r w:rsidR="002C4E99">
                        <w:t xml:space="preserve"> activity.</w:t>
                      </w:r>
                      <w:r w:rsidR="007A776D">
                        <w:t xml:space="preserve"> </w:t>
                      </w:r>
                      <w:r w:rsidR="004E267E">
                        <w:t>As m</w:t>
                      </w:r>
                      <w:r w:rsidR="007A776D">
                        <w:t>any non</w:t>
                      </w:r>
                      <w:r w:rsidR="007A776D">
                        <w:noBreakHyphen/>
                        <w:t xml:space="preserve">admitted patient services </w:t>
                      </w:r>
                      <w:r w:rsidR="005A4EF3">
                        <w:t>are similar to community health services</w:t>
                      </w:r>
                      <w:r w:rsidR="004E267E">
                        <w:t xml:space="preserve">, this </w:t>
                      </w:r>
                      <w:r w:rsidR="002872C7">
                        <w:t xml:space="preserve">will provide </w:t>
                      </w:r>
                      <w:r w:rsidR="00D84502">
                        <w:t xml:space="preserve">a better estimate of </w:t>
                      </w:r>
                      <w:r w:rsidR="001E4C10" w:rsidRPr="008D615B">
                        <w:t>community and public health</w:t>
                      </w:r>
                      <w:r w:rsidR="001E4C10">
                        <w:t xml:space="preserve"> </w:t>
                      </w:r>
                      <w:r w:rsidR="00D84502">
                        <w:t xml:space="preserve">activity than </w:t>
                      </w:r>
                      <w:r w:rsidR="00415514">
                        <w:t>emergency department</w:t>
                      </w:r>
                      <w:r w:rsidR="004A0A98">
                        <w:t>s</w:t>
                      </w:r>
                      <w:r w:rsidR="00415514">
                        <w:t xml:space="preserve"> triage category 4 and</w:t>
                      </w:r>
                      <w:r w:rsidR="006C79A3">
                        <w:t xml:space="preserve"> </w:t>
                      </w:r>
                      <w:r w:rsidR="00415514">
                        <w:t>5</w:t>
                      </w:r>
                      <w:r w:rsidR="006C79A3">
                        <w:t xml:space="preserve"> </w:t>
                      </w:r>
                      <w:r w:rsidR="004A0A98">
                        <w:t xml:space="preserve">services </w:t>
                      </w:r>
                      <w:r w:rsidR="00415514">
                        <w:t>alone.</w:t>
                      </w:r>
                    </w:p>
                    <w:p w14:paraId="0292317D" w14:textId="2202C630" w:rsidR="009744F2" w:rsidRDefault="004A669E" w:rsidP="003467E1">
                      <w:pPr>
                        <w:pStyle w:val="CGC2025Bullet2"/>
                      </w:pPr>
                      <w:r>
                        <w:t xml:space="preserve">Substitutability levels for </w:t>
                      </w:r>
                      <w:r w:rsidR="00F83468">
                        <w:t>the non</w:t>
                      </w:r>
                      <w:r w:rsidR="00F83468">
                        <w:noBreakHyphen/>
                        <w:t xml:space="preserve">state sector </w:t>
                      </w:r>
                      <w:r w:rsidR="00620875">
                        <w:t>adjustments</w:t>
                      </w:r>
                      <w:r>
                        <w:t xml:space="preserve"> </w:t>
                      </w:r>
                      <w:r w:rsidR="00282CE0">
                        <w:t xml:space="preserve">for </w:t>
                      </w:r>
                      <w:r w:rsidR="00CE2B59">
                        <w:t xml:space="preserve">admitted patients, emergency departments, </w:t>
                      </w:r>
                      <w:r w:rsidR="00181080">
                        <w:t>non</w:t>
                      </w:r>
                      <w:r w:rsidR="00181080">
                        <w:noBreakHyphen/>
                        <w:t>admitted patients and community and public health</w:t>
                      </w:r>
                      <w:r w:rsidR="004F437A">
                        <w:t xml:space="preserve"> </w:t>
                      </w:r>
                      <w:r w:rsidR="00495A1F">
                        <w:t xml:space="preserve">will be </w:t>
                      </w:r>
                      <w:r w:rsidR="004F437A">
                        <w:t>updated to reflect new</w:t>
                      </w:r>
                      <w:r w:rsidR="001A03D1">
                        <w:t xml:space="preserve"> data and minor modifications to the methods</w:t>
                      </w:r>
                      <w:r w:rsidR="005524E1">
                        <w:t>.</w:t>
                      </w:r>
                      <w:r w:rsidR="00452C14">
                        <w:t xml:space="preserve"> </w:t>
                      </w:r>
                    </w:p>
                    <w:p w14:paraId="0B41E554" w14:textId="0330ACB2" w:rsidR="006F222C" w:rsidRDefault="00A71997" w:rsidP="003467E1">
                      <w:pPr>
                        <w:pStyle w:val="CGC2025Bullet2"/>
                      </w:pPr>
                      <w:r>
                        <w:t xml:space="preserve">For </w:t>
                      </w:r>
                      <w:r w:rsidR="001F421F">
                        <w:t>the</w:t>
                      </w:r>
                      <w:r w:rsidR="00853ED1">
                        <w:t xml:space="preserve"> </w:t>
                      </w:r>
                      <w:r w:rsidR="00E1126C">
                        <w:t>non</w:t>
                      </w:r>
                      <w:r w:rsidR="00E1126C">
                        <w:noBreakHyphen/>
                        <w:t xml:space="preserve">state sector </w:t>
                      </w:r>
                      <w:r w:rsidR="00036E9E">
                        <w:t xml:space="preserve">adjustment </w:t>
                      </w:r>
                      <w:r w:rsidR="00C31C0C">
                        <w:t xml:space="preserve">associated with </w:t>
                      </w:r>
                      <w:r w:rsidR="00A86F4C">
                        <w:t>Commonwealth</w:t>
                      </w:r>
                      <w:r w:rsidR="006632D0">
                        <w:noBreakHyphen/>
                      </w:r>
                      <w:r w:rsidR="00A86F4C">
                        <w:t>funded First Nation</w:t>
                      </w:r>
                      <w:r w:rsidR="009363E4">
                        <w:t>s community health organisations</w:t>
                      </w:r>
                      <w:r w:rsidR="001F421F">
                        <w:t>, a</w:t>
                      </w:r>
                      <w:r w:rsidR="000C7EB9">
                        <w:t xml:space="preserve">ctual expenses </w:t>
                      </w:r>
                      <w:r w:rsidR="00F15DC9">
                        <w:t xml:space="preserve">will be used to </w:t>
                      </w:r>
                      <w:r w:rsidR="006975BB">
                        <w:t xml:space="preserve">measure </w:t>
                      </w:r>
                      <w:r w:rsidR="003638DB">
                        <w:t xml:space="preserve">non-state sector </w:t>
                      </w:r>
                      <w:r w:rsidR="006975BB">
                        <w:t>assessed expense</w:t>
                      </w:r>
                      <w:r w:rsidR="001B1818">
                        <w:t>s</w:t>
                      </w:r>
                      <w:r w:rsidR="00FF45DC">
                        <w:t xml:space="preserve">. This </w:t>
                      </w:r>
                      <w:r w:rsidR="00FB2237">
                        <w:t>result</w:t>
                      </w:r>
                      <w:r w:rsidR="00FF45DC">
                        <w:t>s</w:t>
                      </w:r>
                      <w:r w:rsidR="00FB2237">
                        <w:t xml:space="preserve"> in no adjustment </w:t>
                      </w:r>
                      <w:r w:rsidR="00D43897">
                        <w:t xml:space="preserve">to </w:t>
                      </w:r>
                      <w:r w:rsidR="003638DB">
                        <w:t>socio</w:t>
                      </w:r>
                      <w:r w:rsidR="003638DB">
                        <w:noBreakHyphen/>
                        <w:t xml:space="preserve">demographic </w:t>
                      </w:r>
                      <w:r w:rsidR="00D43897">
                        <w:t xml:space="preserve">assessed expenses from this element of the non-state sector </w:t>
                      </w:r>
                      <w:r w:rsidR="008331C0">
                        <w:t>adjustments.</w:t>
                      </w:r>
                    </w:p>
                    <w:p w14:paraId="2CF40A69" w14:textId="6A1EFA7B" w:rsidR="00AE6FCD" w:rsidRDefault="0010616F" w:rsidP="003467E1">
                      <w:pPr>
                        <w:pStyle w:val="CGC2025Bullet2"/>
                      </w:pPr>
                      <w:r>
                        <w:t>A low d</w:t>
                      </w:r>
                      <w:r w:rsidR="00AE6FCD" w:rsidRPr="0010616F">
                        <w:t>iscount</w:t>
                      </w:r>
                      <w:r>
                        <w:t xml:space="preserve"> of 12.5% </w:t>
                      </w:r>
                      <w:r w:rsidR="00BB7194">
                        <w:t xml:space="preserve">will be applied to </w:t>
                      </w:r>
                      <w:r w:rsidR="00F47336">
                        <w:t>the non</w:t>
                      </w:r>
                      <w:r w:rsidR="00F47336">
                        <w:noBreakHyphen/>
                        <w:t xml:space="preserve">state sector adjustments </w:t>
                      </w:r>
                      <w:r w:rsidR="001A18FB">
                        <w:t>for the admitted patient, emergency department, non</w:t>
                      </w:r>
                      <w:r w:rsidR="001A18FB">
                        <w:noBreakHyphen/>
                        <w:t>admitted patient and community and public health components</w:t>
                      </w:r>
                      <w:r w:rsidR="00A475D0">
                        <w:t>.</w:t>
                      </w:r>
                      <w:r w:rsidR="00765707">
                        <w:t xml:space="preserve"> The discount </w:t>
                      </w:r>
                      <w:r w:rsidR="00D85CB7">
                        <w:t>reflect</w:t>
                      </w:r>
                      <w:r w:rsidR="001A5C8E">
                        <w:t>s</w:t>
                      </w:r>
                      <w:r w:rsidR="00D85CB7">
                        <w:t xml:space="preserve"> </w:t>
                      </w:r>
                      <w:r w:rsidR="00B85E89">
                        <w:t>issues</w:t>
                      </w:r>
                      <w:r w:rsidR="00765707">
                        <w:t xml:space="preserve"> with the quality of the data and the robustness of the method</w:t>
                      </w:r>
                      <w:r w:rsidR="003562C9">
                        <w:t>s</w:t>
                      </w:r>
                      <w:r w:rsidR="00765707">
                        <w:t xml:space="preserve"> for non-state sector adjustments.</w:t>
                      </w:r>
                    </w:p>
                    <w:p w14:paraId="4A540A4D" w14:textId="2D256BE5" w:rsidR="00680F9F" w:rsidRPr="0010616F" w:rsidRDefault="00680F9F" w:rsidP="00304058">
                      <w:pPr>
                        <w:pStyle w:val="CGC2025Bullet2"/>
                      </w:pPr>
                      <w:r>
                        <w:t xml:space="preserve">Updated data will be used to re-estimate </w:t>
                      </w:r>
                      <w:r w:rsidR="00304058" w:rsidRPr="00304058">
                        <w:t xml:space="preserve">the split between hospital and non-hospital patient transport expenses </w:t>
                      </w:r>
                      <w:r w:rsidR="004E7F5F">
                        <w:t xml:space="preserve">and </w:t>
                      </w:r>
                      <w:r>
                        <w:t xml:space="preserve">the </w:t>
                      </w:r>
                      <w:r w:rsidR="001C1FC6" w:rsidRPr="001C1FC6">
                        <w:t>net value of cross</w:t>
                      </w:r>
                      <w:r w:rsidR="00B61272">
                        <w:t>-</w:t>
                      </w:r>
                      <w:r w:rsidR="001C1FC6" w:rsidRPr="001C1FC6">
                        <w:t xml:space="preserve">border </w:t>
                      </w:r>
                      <w:r w:rsidR="00F45740">
                        <w:t>community health</w:t>
                      </w:r>
                      <w:r w:rsidR="00A352F6">
                        <w:t xml:space="preserve"> </w:t>
                      </w:r>
                      <w:r w:rsidR="001C1FC6" w:rsidRPr="001C1FC6">
                        <w:t>services provided by the ACT to New South Wales residents</w:t>
                      </w:r>
                      <w:r w:rsidR="0010777F">
                        <w:t>.</w:t>
                      </w:r>
                    </w:p>
                    <w:p w14:paraId="034F351E" w14:textId="7264B658" w:rsidR="000A31C3" w:rsidRDefault="000A31C3" w:rsidP="003467E1">
                      <w:pPr>
                        <w:pStyle w:val="CGC2025Bullet1"/>
                      </w:pPr>
                      <w:r>
                        <w:t>The Commission</w:t>
                      </w:r>
                      <w:r w:rsidR="00DC60DE">
                        <w:t xml:space="preserve"> </w:t>
                      </w:r>
                      <w:r w:rsidR="00290713">
                        <w:t xml:space="preserve">considered but did </w:t>
                      </w:r>
                      <w:r>
                        <w:t>not change the following</w:t>
                      </w:r>
                      <w:r w:rsidR="00833FA8">
                        <w:t>.</w:t>
                      </w:r>
                    </w:p>
                    <w:p w14:paraId="605BC31D" w14:textId="37178613" w:rsidR="004911EE" w:rsidRPr="003A6592" w:rsidRDefault="002F311E">
                      <w:pPr>
                        <w:pStyle w:val="CGC2025Bullet2"/>
                      </w:pPr>
                      <w:r>
                        <w:t xml:space="preserve">The </w:t>
                      </w:r>
                      <w:r w:rsidR="009A63BA">
                        <w:t>socio</w:t>
                      </w:r>
                      <w:r w:rsidR="009A63BA">
                        <w:noBreakHyphen/>
                        <w:t>demographic composition assessment of state expenses on hospital</w:t>
                      </w:r>
                      <w:r w:rsidR="00062E45">
                        <w:t>s</w:t>
                      </w:r>
                      <w:r w:rsidR="009A63BA">
                        <w:t xml:space="preserve"> and non</w:t>
                      </w:r>
                      <w:r w:rsidR="009A63BA">
                        <w:noBreakHyphen/>
                        <w:t xml:space="preserve">hospital patient transport services </w:t>
                      </w:r>
                      <w:r w:rsidR="00146A97">
                        <w:t xml:space="preserve">will </w:t>
                      </w:r>
                      <w:r w:rsidR="001F43F8">
                        <w:t>not change</w:t>
                      </w:r>
                      <w:r w:rsidR="00A02CE8">
                        <w:t>,</w:t>
                      </w:r>
                      <w:r w:rsidR="00620958">
                        <w:t xml:space="preserve"> </w:t>
                      </w:r>
                      <w:r w:rsidR="00A02CE8">
                        <w:t>with</w:t>
                      </w:r>
                      <w:r w:rsidR="00620958">
                        <w:t xml:space="preserve"> no </w:t>
                      </w:r>
                      <w:r>
                        <w:t xml:space="preserve">ongoing </w:t>
                      </w:r>
                      <w:r w:rsidR="00083FC6">
                        <w:t xml:space="preserve">implications </w:t>
                      </w:r>
                      <w:r>
                        <w:t>from the COVID</w:t>
                      </w:r>
                      <w:r>
                        <w:noBreakHyphen/>
                        <w:t>19 pandemic</w:t>
                      </w:r>
                      <w:r w:rsidR="00620958">
                        <w:t xml:space="preserve"> identified</w:t>
                      </w:r>
                      <w:r w:rsidR="00A778D9">
                        <w:t xml:space="preserve"> for these assessments</w:t>
                      </w:r>
                      <w:r w:rsidR="004C78CF">
                        <w:t>.</w:t>
                      </w:r>
                    </w:p>
                  </w:txbxContent>
                </v:textbox>
                <w10:wrap type="square" anchorx="margin"/>
              </v:shape>
            </w:pict>
          </mc:Fallback>
        </mc:AlternateContent>
      </w:r>
      <w:r w:rsidR="00276493">
        <w:t>H</w:t>
      </w:r>
      <w:r w:rsidR="00E34381">
        <w:t>ealth</w:t>
      </w:r>
    </w:p>
    <w:p w14:paraId="7DFA70A6" w14:textId="4ADD16B9" w:rsidR="00757847" w:rsidRDefault="00757847" w:rsidP="003046C7">
      <w:pPr>
        <w:pStyle w:val="CGCTablerow"/>
      </w:pPr>
      <w:bookmarkStart w:id="3" w:name="_Toc133236159"/>
      <w:bookmarkStart w:id="4" w:name="_Toc133236185"/>
      <w:bookmarkEnd w:id="0"/>
      <w:bookmarkEnd w:id="1"/>
      <w:bookmarkEnd w:id="2"/>
      <w:r>
        <w:rPr>
          <w:noProof/>
        </w:rPr>
        <w:lastRenderedPageBreak/>
        <mc:AlternateContent>
          <mc:Choice Requires="wps">
            <w:drawing>
              <wp:anchor distT="45720" distB="45720" distL="114300" distR="114300" simplePos="0" relativeHeight="251658241" behindDoc="0" locked="0" layoutInCell="1" allowOverlap="1" wp14:anchorId="5AE311C8" wp14:editId="55552B93">
                <wp:simplePos x="0" y="0"/>
                <wp:positionH relativeFrom="margin">
                  <wp:posOffset>-47625</wp:posOffset>
                </wp:positionH>
                <wp:positionV relativeFrom="paragraph">
                  <wp:posOffset>342900</wp:posOffset>
                </wp:positionV>
                <wp:extent cx="5805170" cy="7848600"/>
                <wp:effectExtent l="0" t="0" r="24130" b="19050"/>
                <wp:wrapSquare wrapText="bothSides"/>
                <wp:docPr id="1723143272" name="Text Box 1723143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7848600"/>
                        </a:xfrm>
                        <a:prstGeom prst="rect">
                          <a:avLst/>
                        </a:prstGeom>
                        <a:solidFill>
                          <a:srgbClr val="E5F8FF"/>
                        </a:solidFill>
                        <a:ln w="9525">
                          <a:solidFill>
                            <a:sysClr val="window" lastClr="FFFFFF"/>
                          </a:solidFill>
                          <a:miter lim="800000"/>
                          <a:headEnd/>
                          <a:tailEnd/>
                        </a:ln>
                      </wps:spPr>
                      <wps:txbx>
                        <w:txbxContent>
                          <w:p w14:paraId="6158B8C5" w14:textId="77777777" w:rsidR="00A13491" w:rsidRPr="00F8733F" w:rsidRDefault="00A13491" w:rsidP="00F8733F">
                            <w:pPr>
                              <w:pStyle w:val="FootnoteText"/>
                              <w:rPr>
                                <w:rStyle w:val="eop"/>
                              </w:rPr>
                            </w:pPr>
                          </w:p>
                          <w:p w14:paraId="00EAB044" w14:textId="77777777" w:rsidR="004658A2" w:rsidRPr="006C5C1E" w:rsidRDefault="004658A2" w:rsidP="004658A2">
                            <w:pPr>
                              <w:pStyle w:val="CGC2025Bullet2"/>
                            </w:pPr>
                            <w:r w:rsidRPr="006C5C1E">
                              <w:t xml:space="preserve">Public health expenses </w:t>
                            </w:r>
                            <w:r>
                              <w:t xml:space="preserve">will </w:t>
                            </w:r>
                            <w:r w:rsidRPr="006C5C1E">
                              <w:t xml:space="preserve">continue to be assessed together with community health services (other than specialised community mental health) using a </w:t>
                            </w:r>
                            <w:r>
                              <w:t xml:space="preserve">hospital-based </w:t>
                            </w:r>
                            <w:r w:rsidRPr="006C5C1E">
                              <w:t xml:space="preserve">proxy indicator of activity. </w:t>
                            </w:r>
                          </w:p>
                          <w:p w14:paraId="6A7923B9" w14:textId="0CF9C0DA" w:rsidR="00FB5C0E" w:rsidRDefault="00A13491" w:rsidP="00FB5C0E">
                            <w:pPr>
                              <w:pStyle w:val="CGC2025Bullet2"/>
                            </w:pPr>
                            <w:r w:rsidRPr="00A13491">
                              <w:t xml:space="preserve">The low discount of 12.5% </w:t>
                            </w:r>
                            <w:r w:rsidR="00D75EFA">
                              <w:t>will be</w:t>
                            </w:r>
                            <w:r w:rsidRPr="00A13491">
                              <w:t xml:space="preserve"> retained for the socio</w:t>
                            </w:r>
                            <w:r w:rsidR="000C7781">
                              <w:t>-</w:t>
                            </w:r>
                            <w:r w:rsidRPr="00A13491">
                              <w:t xml:space="preserve">demographic composition assessment of state expenses on community and public health, other than expenses on ambulatory community mental health services. The discount recognises that activity is measured by a proxy </w:t>
                            </w:r>
                            <w:r w:rsidR="00FB5C0E" w:rsidRPr="00FB5C0E">
                              <w:t>indicator of activity.</w:t>
                            </w:r>
                          </w:p>
                          <w:p w14:paraId="07479ED4" w14:textId="66EFE08B" w:rsidR="00462B3D" w:rsidRPr="00C94C80" w:rsidRDefault="00462B3D" w:rsidP="00A13491">
                            <w:pPr>
                              <w:pStyle w:val="CGC2025Bullet2"/>
                            </w:pPr>
                            <w:r w:rsidRPr="00C94C80">
                              <w:t xml:space="preserve">The </w:t>
                            </w:r>
                            <w:r w:rsidR="00AF32A1" w:rsidRPr="00C94C80">
                              <w:t xml:space="preserve">separate </w:t>
                            </w:r>
                            <w:r w:rsidRPr="00C94C80">
                              <w:t>assessment of expenses on non</w:t>
                            </w:r>
                            <w:r w:rsidRPr="00C94C80">
                              <w:noBreakHyphen/>
                              <w:t>hospital patient transport services</w:t>
                            </w:r>
                            <w:r w:rsidR="00C94C80" w:rsidRPr="00C94C80">
                              <w:t xml:space="preserve"> </w:t>
                            </w:r>
                            <w:r w:rsidR="007E036C" w:rsidRPr="00C94C80">
                              <w:t xml:space="preserve">will </w:t>
                            </w:r>
                            <w:r w:rsidR="00AF32A1" w:rsidRPr="00C94C80">
                              <w:t>continue</w:t>
                            </w:r>
                            <w:r w:rsidRPr="00C94C80">
                              <w:t>. However, if the costs associated with these services are incorporated by the Independent Health and Aged Care Pricing Authority in the national weighted activity units before the next review, expenses on non</w:t>
                            </w:r>
                            <w:r w:rsidRPr="00C94C80">
                              <w:noBreakHyphen/>
                              <w:t>hospital patient transport services will be assessed in the admitted patient services component.</w:t>
                            </w:r>
                          </w:p>
                          <w:p w14:paraId="616DD779" w14:textId="4DFE32EF" w:rsidR="004C0FCF" w:rsidRDefault="004C0FCF" w:rsidP="00D34548">
                            <w:pPr>
                              <w:pStyle w:val="CGC2025Bullet2"/>
                            </w:pPr>
                            <w:r>
                              <w:t>The proxy indicators of activity for non</w:t>
                            </w:r>
                            <w:r>
                              <w:noBreakHyphen/>
                              <w:t>state services</w:t>
                            </w:r>
                            <w:r w:rsidR="002B3087">
                              <w:t xml:space="preserve"> </w:t>
                            </w:r>
                            <w:r w:rsidR="00356C9F">
                              <w:t xml:space="preserve">will be </w:t>
                            </w:r>
                            <w:r w:rsidR="002549ED">
                              <w:t>retained</w:t>
                            </w:r>
                            <w:r w:rsidR="006411BA">
                              <w:t>.</w:t>
                            </w:r>
                            <w:r>
                              <w:t xml:space="preserve"> </w:t>
                            </w:r>
                          </w:p>
                          <w:p w14:paraId="73320F91" w14:textId="73F85E76" w:rsidR="00276292" w:rsidRDefault="00A307B8" w:rsidP="00A307B8">
                            <w:pPr>
                              <w:pStyle w:val="CGC2025Bullet2"/>
                            </w:pPr>
                            <w:r w:rsidRPr="002A6272">
                              <w:t>The existing age groups for the socio</w:t>
                            </w:r>
                            <w:r w:rsidR="000B04FC" w:rsidRPr="002A6272">
                              <w:noBreakHyphen/>
                            </w:r>
                            <w:r w:rsidRPr="002A6272">
                              <w:t>demographic assessment of health expenses</w:t>
                            </w:r>
                            <w:r w:rsidR="00615BC4">
                              <w:t xml:space="preserve"> will be retained</w:t>
                            </w:r>
                            <w:r w:rsidR="00F426B1" w:rsidRPr="002A6272">
                              <w:t>.</w:t>
                            </w:r>
                            <w:r w:rsidRPr="002A6272">
                              <w:t xml:space="preserve"> </w:t>
                            </w:r>
                            <w:r w:rsidR="00C0144B">
                              <w:t>S</w:t>
                            </w:r>
                            <w:r>
                              <w:t xml:space="preserve">plitting the oldest age group was tested </w:t>
                            </w:r>
                            <w:r w:rsidR="00E3734F">
                              <w:t xml:space="preserve">but it </w:t>
                            </w:r>
                            <w:r w:rsidR="00273902">
                              <w:t xml:space="preserve">did not have a material impact </w:t>
                            </w:r>
                            <w:r w:rsidR="00F426B1">
                              <w:t>on GST distribution</w:t>
                            </w:r>
                            <w:r w:rsidR="00273902">
                              <w:t>.</w:t>
                            </w:r>
                            <w:r>
                              <w:t xml:space="preserve"> The other age groups could not be modified </w:t>
                            </w:r>
                            <w:r w:rsidR="00467E8A">
                              <w:t xml:space="preserve">due to limitations with </w:t>
                            </w:r>
                            <w:r>
                              <w:t>the data.</w:t>
                            </w:r>
                          </w:p>
                          <w:p w14:paraId="1479B690" w14:textId="7E838E72" w:rsidR="00846EC3" w:rsidRDefault="000F30F8" w:rsidP="00594B9D">
                            <w:pPr>
                              <w:pStyle w:val="CGC2025Bullet2"/>
                            </w:pPr>
                            <w:r>
                              <w:t>T</w:t>
                            </w:r>
                            <w:r w:rsidR="00594B9D" w:rsidRPr="00594B9D">
                              <w:t xml:space="preserve">he full payment under the National Health Reform Agreement </w:t>
                            </w:r>
                            <w:r w:rsidR="00594B9D">
                              <w:t xml:space="preserve">will </w:t>
                            </w:r>
                            <w:r w:rsidR="009D1B83">
                              <w:t xml:space="preserve">continue to </w:t>
                            </w:r>
                            <w:r w:rsidR="00594B9D">
                              <w:t xml:space="preserve">be treated </w:t>
                            </w:r>
                            <w:r w:rsidR="00594B9D" w:rsidRPr="00594B9D">
                              <w:t>as impact</w:t>
                            </w:r>
                            <w:r w:rsidR="006411AC">
                              <w:t>,</w:t>
                            </w:r>
                            <w:r>
                              <w:t xml:space="preserve"> </w:t>
                            </w:r>
                            <w:r w:rsidR="006411AC">
                              <w:t>i</w:t>
                            </w:r>
                            <w:r w:rsidRPr="00594B9D">
                              <w:t>n line with the Commission’s framework for the treatment of Commonwealth payments</w:t>
                            </w:r>
                            <w:r w:rsidR="00594B9D" w:rsidRPr="00594B9D">
                              <w:t>.</w:t>
                            </w:r>
                          </w:p>
                          <w:p w14:paraId="5132DF3C" w14:textId="1A4CC82F" w:rsidR="00D5145A" w:rsidRDefault="008A05AC" w:rsidP="00E87B6D">
                            <w:pPr>
                              <w:pStyle w:val="CGC2025Bullet2"/>
                            </w:pPr>
                            <w:r>
                              <w:t>No</w:t>
                            </w:r>
                            <w:r w:rsidR="00E87B6D" w:rsidRPr="00E87B6D">
                              <w:t xml:space="preserve"> adjustment</w:t>
                            </w:r>
                            <w:r>
                              <w:t>s</w:t>
                            </w:r>
                            <w:r w:rsidR="00E87B6D" w:rsidRPr="00E87B6D">
                              <w:t xml:space="preserve"> </w:t>
                            </w:r>
                            <w:r w:rsidR="001240B6">
                              <w:t xml:space="preserve">will be made </w:t>
                            </w:r>
                            <w:r w:rsidR="00E87B6D" w:rsidRPr="00E87B6D">
                              <w:t>to the state share</w:t>
                            </w:r>
                            <w:r w:rsidR="001240B6">
                              <w:t>s</w:t>
                            </w:r>
                            <w:r w:rsidR="00E87B6D" w:rsidRPr="00E87B6D">
                              <w:t xml:space="preserve"> of National Health Reform funding</w:t>
                            </w:r>
                            <w:r w:rsidR="004C0F6D">
                              <w:t xml:space="preserve"> </w:t>
                            </w:r>
                            <w:r w:rsidR="001240B6">
                              <w:t>to recognise cross-border service use</w:t>
                            </w:r>
                            <w:r w:rsidR="00E87B6D" w:rsidRPr="00E87B6D">
                              <w:t>. Bilateral agreements are in place to compensate states for the services provided to residents of other states</w:t>
                            </w:r>
                            <w:r w:rsidR="002E54E3">
                              <w:t>.</w:t>
                            </w:r>
                          </w:p>
                          <w:p w14:paraId="6888BBAE" w14:textId="3A2E34D7" w:rsidR="00CA1B78" w:rsidRDefault="00A825C0" w:rsidP="00CA1B78">
                            <w:pPr>
                              <w:pStyle w:val="CGC2025Bullet2"/>
                            </w:pPr>
                            <w:r>
                              <w:t xml:space="preserve">Component </w:t>
                            </w:r>
                            <w:r w:rsidR="003B2A25">
                              <w:t>expenses for the third assessment year will continue to be estimated based on</w:t>
                            </w:r>
                            <w:r w:rsidR="000317CD">
                              <w:t xml:space="preserve"> </w:t>
                            </w:r>
                            <w:r w:rsidR="00CA1B78" w:rsidRPr="00CA1B78">
                              <w:t>the growth in category level expenses.</w:t>
                            </w:r>
                          </w:p>
                          <w:p w14:paraId="1727DB3D" w14:textId="3953DDB9" w:rsidR="00A4423D" w:rsidRDefault="00757847" w:rsidP="00757847">
                            <w:pPr>
                              <w:pStyle w:val="CGC2025Bullet1"/>
                            </w:pPr>
                            <w:r w:rsidRPr="008C2E55">
                              <w:t>As part of the Commission’s forward work program, it will work with the states</w:t>
                            </w:r>
                            <w:r>
                              <w:t xml:space="preserve"> to</w:t>
                            </w:r>
                            <w:r w:rsidR="00A4423D">
                              <w:t>:</w:t>
                            </w:r>
                          </w:p>
                          <w:p w14:paraId="39F8C2B7" w14:textId="0FD67C6F" w:rsidR="00013AC9" w:rsidRDefault="00013AC9" w:rsidP="00013AC9">
                            <w:pPr>
                              <w:pStyle w:val="CGC2025Bullet2"/>
                            </w:pPr>
                            <w:r>
                              <w:t>review the health assessment framework in preparation for the next methodology review</w:t>
                            </w:r>
                          </w:p>
                          <w:p w14:paraId="7A24F9C4" w14:textId="7097DCAE" w:rsidR="00757847" w:rsidRDefault="00757847" w:rsidP="00A4423D">
                            <w:pPr>
                              <w:pStyle w:val="CGC2025Bullet2"/>
                            </w:pPr>
                            <w:r>
                              <w:t xml:space="preserve">explore the evidence </w:t>
                            </w:r>
                            <w:r w:rsidR="004345D6">
                              <w:t>on the</w:t>
                            </w:r>
                            <w:r>
                              <w:t xml:space="preserve"> relationship between the provision of health services by the private sector and the Commonwealth government, and the amount </w:t>
                            </w:r>
                            <w:r w:rsidR="00122BF4">
                              <w:t>of</w:t>
                            </w:r>
                            <w:r>
                              <w:t xml:space="preserve"> state </w:t>
                            </w:r>
                            <w:r w:rsidR="00122BF4">
                              <w:t xml:space="preserve">spending </w:t>
                            </w:r>
                            <w:r>
                              <w:t>on health services</w:t>
                            </w:r>
                          </w:p>
                          <w:p w14:paraId="513E788A" w14:textId="3FA88E66" w:rsidR="00A4423D" w:rsidRDefault="00076995" w:rsidP="00076995">
                            <w:pPr>
                              <w:pStyle w:val="CGC2025Bullet2"/>
                            </w:pPr>
                            <w:r>
                              <w:t>explore in detail the evidence on health service needs of people in similar socio-demographic groups across states</w:t>
                            </w:r>
                          </w:p>
                          <w:p w14:paraId="506DCAC2" w14:textId="32706A58" w:rsidR="00B13E64" w:rsidRDefault="00B13E64" w:rsidP="00B13E64">
                            <w:pPr>
                              <w:pStyle w:val="CGC2025Bullet2"/>
                            </w:pPr>
                            <w:r w:rsidRPr="00B13E64">
                              <w:t xml:space="preserve">consider the basis for cultural and linguistic diversity as a driver of </w:t>
                            </w:r>
                            <w:r w:rsidR="004678F2">
                              <w:t xml:space="preserve">state expenses, including </w:t>
                            </w:r>
                            <w:r>
                              <w:t>health</w:t>
                            </w:r>
                            <w:r w:rsidRPr="00B13E64">
                              <w:t xml:space="preserve"> expenses, </w:t>
                            </w:r>
                            <w:r w:rsidR="00D5315E">
                              <w:t xml:space="preserve">and </w:t>
                            </w:r>
                            <w:r w:rsidRPr="00B13E64">
                              <w:t>appropriate definitions and data</w:t>
                            </w:r>
                            <w:r w:rsidR="00D5315E">
                              <w:t xml:space="preserve"> for any measure</w:t>
                            </w:r>
                            <w:r w:rsidRPr="00B13E6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311C8" id="Text Box 1723143272" o:spid="_x0000_s1027" type="#_x0000_t202" style="position:absolute;margin-left:-3.75pt;margin-top:27pt;width:457.1pt;height:61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" fillcolor="#e5f8ff" strokecolor="window">
                <v:textbox>
                  <w:txbxContent>
                    <w:p w14:paraId="6158B8C5" w14:textId="77777777" w:rsidR="00A13491" w:rsidRPr="00F8733F" w:rsidRDefault="00A13491" w:rsidP="00F8733F">
                      <w:pPr>
                        <w:pStyle w:val="FootnoteText"/>
                        <w:rPr>
                          <w:rStyle w:val="eop"/>
                        </w:rPr>
                      </w:pPr>
                    </w:p>
                    <w:p w14:paraId="00EAB044" w14:textId="77777777" w:rsidR="004658A2" w:rsidRPr="006C5C1E" w:rsidRDefault="004658A2" w:rsidP="004658A2">
                      <w:pPr>
                        <w:pStyle w:val="CGC2025Bullet2"/>
                      </w:pPr>
                      <w:r w:rsidRPr="006C5C1E">
                        <w:t xml:space="preserve">Public health expenses </w:t>
                      </w:r>
                      <w:r>
                        <w:t xml:space="preserve">will </w:t>
                      </w:r>
                      <w:r w:rsidRPr="006C5C1E">
                        <w:t xml:space="preserve">continue to be assessed together with community health services (other than specialised community mental health) using a </w:t>
                      </w:r>
                      <w:r>
                        <w:t xml:space="preserve">hospital-based </w:t>
                      </w:r>
                      <w:r w:rsidRPr="006C5C1E">
                        <w:t xml:space="preserve">proxy indicator of activity. </w:t>
                      </w:r>
                    </w:p>
                    <w:p w14:paraId="6A7923B9" w14:textId="0CF9C0DA" w:rsidR="00FB5C0E" w:rsidRDefault="00A13491" w:rsidP="00FB5C0E">
                      <w:pPr>
                        <w:pStyle w:val="CGC2025Bullet2"/>
                      </w:pPr>
                      <w:r w:rsidRPr="00A13491">
                        <w:t xml:space="preserve">The low discount of 12.5% </w:t>
                      </w:r>
                      <w:r w:rsidR="00D75EFA">
                        <w:t>will be</w:t>
                      </w:r>
                      <w:r w:rsidRPr="00A13491">
                        <w:t xml:space="preserve"> retained for the socio</w:t>
                      </w:r>
                      <w:r w:rsidR="000C7781">
                        <w:t>-</w:t>
                      </w:r>
                      <w:r w:rsidRPr="00A13491">
                        <w:t xml:space="preserve">demographic composition assessment of state expenses on community and public health, other than expenses on ambulatory community mental health services. The discount recognises that activity is measured by a proxy </w:t>
                      </w:r>
                      <w:r w:rsidR="00FB5C0E" w:rsidRPr="00FB5C0E">
                        <w:t>indicator of activity.</w:t>
                      </w:r>
                    </w:p>
                    <w:p w14:paraId="07479ED4" w14:textId="66EFE08B" w:rsidR="00462B3D" w:rsidRPr="00C94C80" w:rsidRDefault="00462B3D" w:rsidP="00A13491">
                      <w:pPr>
                        <w:pStyle w:val="CGC2025Bullet2"/>
                      </w:pPr>
                      <w:r w:rsidRPr="00C94C80">
                        <w:t xml:space="preserve">The </w:t>
                      </w:r>
                      <w:r w:rsidR="00AF32A1" w:rsidRPr="00C94C80">
                        <w:t xml:space="preserve">separate </w:t>
                      </w:r>
                      <w:r w:rsidRPr="00C94C80">
                        <w:t>assessment of expenses on non</w:t>
                      </w:r>
                      <w:r w:rsidRPr="00C94C80">
                        <w:noBreakHyphen/>
                        <w:t>hospital patient transport services</w:t>
                      </w:r>
                      <w:r w:rsidR="00C94C80" w:rsidRPr="00C94C80">
                        <w:t xml:space="preserve"> </w:t>
                      </w:r>
                      <w:r w:rsidR="007E036C" w:rsidRPr="00C94C80">
                        <w:t xml:space="preserve">will </w:t>
                      </w:r>
                      <w:r w:rsidR="00AF32A1" w:rsidRPr="00C94C80">
                        <w:t>continue</w:t>
                      </w:r>
                      <w:r w:rsidRPr="00C94C80">
                        <w:t>. However, if the costs associated with these services are incorporated by the Independent Health and Aged Care Pricing Authority in the national weighted activity units before the next review, expenses on non</w:t>
                      </w:r>
                      <w:r w:rsidRPr="00C94C80">
                        <w:noBreakHyphen/>
                        <w:t>hospital patient transport services will be assessed in the admitted patient services component.</w:t>
                      </w:r>
                    </w:p>
                    <w:p w14:paraId="616DD779" w14:textId="4DFE32EF" w:rsidR="004C0FCF" w:rsidRDefault="004C0FCF" w:rsidP="00D34548">
                      <w:pPr>
                        <w:pStyle w:val="CGC2025Bullet2"/>
                      </w:pPr>
                      <w:r>
                        <w:t>The proxy indicators of activity for non</w:t>
                      </w:r>
                      <w:r>
                        <w:noBreakHyphen/>
                        <w:t>state services</w:t>
                      </w:r>
                      <w:r w:rsidR="002B3087">
                        <w:t xml:space="preserve"> </w:t>
                      </w:r>
                      <w:r w:rsidR="00356C9F">
                        <w:t xml:space="preserve">will be </w:t>
                      </w:r>
                      <w:r w:rsidR="002549ED">
                        <w:t>retained</w:t>
                      </w:r>
                      <w:r w:rsidR="006411BA">
                        <w:t>.</w:t>
                      </w:r>
                      <w:r>
                        <w:t xml:space="preserve"> </w:t>
                      </w:r>
                    </w:p>
                    <w:p w14:paraId="73320F91" w14:textId="73F85E76" w:rsidR="00276292" w:rsidRDefault="00A307B8" w:rsidP="00A307B8">
                      <w:pPr>
                        <w:pStyle w:val="CGC2025Bullet2"/>
                      </w:pPr>
                      <w:r w:rsidRPr="002A6272">
                        <w:t>The existing age groups for the socio</w:t>
                      </w:r>
                      <w:r w:rsidR="000B04FC" w:rsidRPr="002A6272">
                        <w:noBreakHyphen/>
                      </w:r>
                      <w:r w:rsidRPr="002A6272">
                        <w:t>demographic assessment of health expenses</w:t>
                      </w:r>
                      <w:r w:rsidR="00615BC4">
                        <w:t xml:space="preserve"> will be retained</w:t>
                      </w:r>
                      <w:r w:rsidR="00F426B1" w:rsidRPr="002A6272">
                        <w:t>.</w:t>
                      </w:r>
                      <w:r w:rsidRPr="002A6272">
                        <w:t xml:space="preserve"> </w:t>
                      </w:r>
                      <w:r w:rsidR="00C0144B">
                        <w:t>S</w:t>
                      </w:r>
                      <w:r>
                        <w:t xml:space="preserve">plitting the oldest age group was tested </w:t>
                      </w:r>
                      <w:r w:rsidR="00E3734F">
                        <w:t xml:space="preserve">but it </w:t>
                      </w:r>
                      <w:r w:rsidR="00273902">
                        <w:t xml:space="preserve">did not have a material impact </w:t>
                      </w:r>
                      <w:r w:rsidR="00F426B1">
                        <w:t>on GST distribution</w:t>
                      </w:r>
                      <w:r w:rsidR="00273902">
                        <w:t>.</w:t>
                      </w:r>
                      <w:r>
                        <w:t xml:space="preserve"> The other age groups could not be modified </w:t>
                      </w:r>
                      <w:r w:rsidR="00467E8A">
                        <w:t xml:space="preserve">due to limitations with </w:t>
                      </w:r>
                      <w:r>
                        <w:t>the data.</w:t>
                      </w:r>
                    </w:p>
                    <w:p w14:paraId="1479B690" w14:textId="7E838E72" w:rsidR="00846EC3" w:rsidRDefault="000F30F8" w:rsidP="00594B9D">
                      <w:pPr>
                        <w:pStyle w:val="CGC2025Bullet2"/>
                      </w:pPr>
                      <w:r>
                        <w:t>T</w:t>
                      </w:r>
                      <w:r w:rsidR="00594B9D" w:rsidRPr="00594B9D">
                        <w:t xml:space="preserve">he full payment under the National Health Reform Agreement </w:t>
                      </w:r>
                      <w:r w:rsidR="00594B9D">
                        <w:t xml:space="preserve">will </w:t>
                      </w:r>
                      <w:r w:rsidR="009D1B83">
                        <w:t xml:space="preserve">continue to </w:t>
                      </w:r>
                      <w:r w:rsidR="00594B9D">
                        <w:t xml:space="preserve">be treated </w:t>
                      </w:r>
                      <w:r w:rsidR="00594B9D" w:rsidRPr="00594B9D">
                        <w:t>as impact</w:t>
                      </w:r>
                      <w:r w:rsidR="006411AC">
                        <w:t>,</w:t>
                      </w:r>
                      <w:r>
                        <w:t xml:space="preserve"> </w:t>
                      </w:r>
                      <w:r w:rsidR="006411AC">
                        <w:t>i</w:t>
                      </w:r>
                      <w:r w:rsidRPr="00594B9D">
                        <w:t>n line with the Commission’s framework for the treatment of Commonwealth payments</w:t>
                      </w:r>
                      <w:r w:rsidR="00594B9D" w:rsidRPr="00594B9D">
                        <w:t>.</w:t>
                      </w:r>
                    </w:p>
                    <w:p w14:paraId="5132DF3C" w14:textId="1A4CC82F" w:rsidR="00D5145A" w:rsidRDefault="008A05AC" w:rsidP="00E87B6D">
                      <w:pPr>
                        <w:pStyle w:val="CGC2025Bullet2"/>
                      </w:pPr>
                      <w:r>
                        <w:t>No</w:t>
                      </w:r>
                      <w:r w:rsidR="00E87B6D" w:rsidRPr="00E87B6D">
                        <w:t xml:space="preserve"> adjustment</w:t>
                      </w:r>
                      <w:r>
                        <w:t>s</w:t>
                      </w:r>
                      <w:r w:rsidR="00E87B6D" w:rsidRPr="00E87B6D">
                        <w:t xml:space="preserve"> </w:t>
                      </w:r>
                      <w:r w:rsidR="001240B6">
                        <w:t xml:space="preserve">will be made </w:t>
                      </w:r>
                      <w:r w:rsidR="00E87B6D" w:rsidRPr="00E87B6D">
                        <w:t>to the state share</w:t>
                      </w:r>
                      <w:r w:rsidR="001240B6">
                        <w:t>s</w:t>
                      </w:r>
                      <w:r w:rsidR="00E87B6D" w:rsidRPr="00E87B6D">
                        <w:t xml:space="preserve"> of National Health Reform funding</w:t>
                      </w:r>
                      <w:r w:rsidR="004C0F6D">
                        <w:t xml:space="preserve"> </w:t>
                      </w:r>
                      <w:r w:rsidR="001240B6">
                        <w:t>to recognise cross-border service use</w:t>
                      </w:r>
                      <w:r w:rsidR="00E87B6D" w:rsidRPr="00E87B6D">
                        <w:t>. Bilateral agreements are in place to compensate states for the services provided to residents of other states</w:t>
                      </w:r>
                      <w:r w:rsidR="002E54E3">
                        <w:t>.</w:t>
                      </w:r>
                    </w:p>
                    <w:p w14:paraId="6888BBAE" w14:textId="3A2E34D7" w:rsidR="00CA1B78" w:rsidRDefault="00A825C0" w:rsidP="00CA1B78">
                      <w:pPr>
                        <w:pStyle w:val="CGC2025Bullet2"/>
                      </w:pPr>
                      <w:r>
                        <w:t xml:space="preserve">Component </w:t>
                      </w:r>
                      <w:r w:rsidR="003B2A25">
                        <w:t>expenses for the third assessment year will continue to be estimated based on</w:t>
                      </w:r>
                      <w:r w:rsidR="000317CD">
                        <w:t xml:space="preserve"> </w:t>
                      </w:r>
                      <w:r w:rsidR="00CA1B78" w:rsidRPr="00CA1B78">
                        <w:t>the growth in category level expenses.</w:t>
                      </w:r>
                    </w:p>
                    <w:p w14:paraId="1727DB3D" w14:textId="3953DDB9" w:rsidR="00A4423D" w:rsidRDefault="00757847" w:rsidP="00757847">
                      <w:pPr>
                        <w:pStyle w:val="CGC2025Bullet1"/>
                      </w:pPr>
                      <w:r w:rsidRPr="008C2E55">
                        <w:t>As part of the Commission’s forward work program, it will work with the states</w:t>
                      </w:r>
                      <w:r>
                        <w:t xml:space="preserve"> to</w:t>
                      </w:r>
                      <w:r w:rsidR="00A4423D">
                        <w:t>:</w:t>
                      </w:r>
                    </w:p>
                    <w:p w14:paraId="39F8C2B7" w14:textId="0FD67C6F" w:rsidR="00013AC9" w:rsidRDefault="00013AC9" w:rsidP="00013AC9">
                      <w:pPr>
                        <w:pStyle w:val="CGC2025Bullet2"/>
                      </w:pPr>
                      <w:r>
                        <w:t>review the health assessment framework in preparation for the next methodology review</w:t>
                      </w:r>
                    </w:p>
                    <w:p w14:paraId="7A24F9C4" w14:textId="7097DCAE" w:rsidR="00757847" w:rsidRDefault="00757847" w:rsidP="00A4423D">
                      <w:pPr>
                        <w:pStyle w:val="CGC2025Bullet2"/>
                      </w:pPr>
                      <w:r>
                        <w:t xml:space="preserve">explore the evidence </w:t>
                      </w:r>
                      <w:r w:rsidR="004345D6">
                        <w:t>on the</w:t>
                      </w:r>
                      <w:r>
                        <w:t xml:space="preserve"> relationship between the provision of health services by the private sector and the Commonwealth government, and the amount </w:t>
                      </w:r>
                      <w:r w:rsidR="00122BF4">
                        <w:t>of</w:t>
                      </w:r>
                      <w:r>
                        <w:t xml:space="preserve"> state </w:t>
                      </w:r>
                      <w:r w:rsidR="00122BF4">
                        <w:t xml:space="preserve">spending </w:t>
                      </w:r>
                      <w:r>
                        <w:t>on health services</w:t>
                      </w:r>
                    </w:p>
                    <w:p w14:paraId="513E788A" w14:textId="3FA88E66" w:rsidR="00A4423D" w:rsidRDefault="00076995" w:rsidP="00076995">
                      <w:pPr>
                        <w:pStyle w:val="CGC2025Bullet2"/>
                      </w:pPr>
                      <w:r>
                        <w:t>explore in detail the evidence on health service needs of people in similar socio-demographic groups across states</w:t>
                      </w:r>
                    </w:p>
                    <w:p w14:paraId="506DCAC2" w14:textId="32706A58" w:rsidR="00B13E64" w:rsidRDefault="00B13E64" w:rsidP="00B13E64">
                      <w:pPr>
                        <w:pStyle w:val="CGC2025Bullet2"/>
                      </w:pPr>
                      <w:r w:rsidRPr="00B13E64">
                        <w:t xml:space="preserve">consider the basis for cultural and linguistic diversity as a driver of </w:t>
                      </w:r>
                      <w:r w:rsidR="004678F2">
                        <w:t xml:space="preserve">state expenses, including </w:t>
                      </w:r>
                      <w:r>
                        <w:t>health</w:t>
                      </w:r>
                      <w:r w:rsidRPr="00B13E64">
                        <w:t xml:space="preserve"> expenses, </w:t>
                      </w:r>
                      <w:r w:rsidR="00D5315E">
                        <w:t xml:space="preserve">and </w:t>
                      </w:r>
                      <w:r w:rsidRPr="00B13E64">
                        <w:t>appropriate definitions and data</w:t>
                      </w:r>
                      <w:r w:rsidR="00D5315E">
                        <w:t xml:space="preserve"> for any measure</w:t>
                      </w:r>
                      <w:r w:rsidRPr="00B13E64">
                        <w:t>.</w:t>
                      </w:r>
                    </w:p>
                  </w:txbxContent>
                </v:textbox>
                <w10:wrap type="square" anchorx="margin"/>
              </v:shape>
            </w:pict>
          </mc:Fallback>
        </mc:AlternateContent>
      </w:r>
    </w:p>
    <w:p w14:paraId="1A5F2E10" w14:textId="3A1620F0" w:rsidR="006E5D74" w:rsidRPr="00AD1713" w:rsidRDefault="00F5352E" w:rsidP="0059271D">
      <w:pPr>
        <w:pStyle w:val="Heading2"/>
        <w:keepNext/>
      </w:pPr>
      <w:r>
        <w:lastRenderedPageBreak/>
        <w:t>Introduction</w:t>
      </w:r>
    </w:p>
    <w:p w14:paraId="5269CD4E" w14:textId="4520089D" w:rsidR="00C46292" w:rsidRPr="00DF17B5" w:rsidRDefault="00B83ACA">
      <w:pPr>
        <w:pStyle w:val="CGC2025ParaNumbers"/>
        <w:tabs>
          <w:tab w:val="clear" w:pos="567"/>
        </w:tabs>
      </w:pPr>
      <w:bookmarkStart w:id="5" w:name="_Toc143786730"/>
      <w:r w:rsidRPr="002E6EED">
        <w:t xml:space="preserve">On </w:t>
      </w:r>
      <w:r w:rsidR="007B71E3" w:rsidRPr="002E6EED">
        <w:t>6</w:t>
      </w:r>
      <w:r w:rsidRPr="002E6EED">
        <w:t xml:space="preserve"> Ju</w:t>
      </w:r>
      <w:r w:rsidR="00CF225A" w:rsidRPr="002E6EED">
        <w:t>ly</w:t>
      </w:r>
      <w:r w:rsidR="007B71E3" w:rsidRPr="002E6EED">
        <w:t xml:space="preserve"> 2</w:t>
      </w:r>
      <w:r w:rsidRPr="002E6EED">
        <w:t xml:space="preserve">024, the Commission published </w:t>
      </w:r>
      <w:r w:rsidR="00B4527E" w:rsidRPr="002E6EED">
        <w:t xml:space="preserve">the </w:t>
      </w:r>
      <w:hyperlink r:id="rId8" w:history="1">
        <w:r w:rsidR="00CE4825" w:rsidRPr="00DF17B5">
          <w:rPr>
            <w:rStyle w:val="Hyperlink"/>
          </w:rPr>
          <w:t>Draft Report</w:t>
        </w:r>
      </w:hyperlink>
      <w:r w:rsidR="00CE4825" w:rsidRPr="00DF17B5">
        <w:t xml:space="preserve"> for</w:t>
      </w:r>
      <w:r w:rsidRPr="00DF17B5">
        <w:t xml:space="preserve"> the 2025</w:t>
      </w:r>
      <w:r w:rsidR="007A0B87">
        <w:t> </w:t>
      </w:r>
      <w:r w:rsidRPr="00DF17B5">
        <w:t>Methodology Review.</w:t>
      </w:r>
    </w:p>
    <w:p w14:paraId="0A8502C7" w14:textId="4529D446" w:rsidR="00B05EE4" w:rsidRPr="00DF17B5" w:rsidRDefault="002358F4">
      <w:pPr>
        <w:pStyle w:val="CGC2025ParaNumbers"/>
        <w:tabs>
          <w:tab w:val="clear" w:pos="567"/>
        </w:tabs>
      </w:pPr>
      <w:r w:rsidRPr="00DF17B5">
        <w:t xml:space="preserve">The Draft Report </w:t>
      </w:r>
      <w:r w:rsidR="00530FA3" w:rsidRPr="00DF17B5">
        <w:t>include</w:t>
      </w:r>
      <w:r w:rsidR="00B05EE4" w:rsidRPr="00DF17B5">
        <w:t>d</w:t>
      </w:r>
      <w:r w:rsidR="00530FA3" w:rsidRPr="00DF17B5">
        <w:t xml:space="preserve"> a detailed analysis and response to issues raised by states </w:t>
      </w:r>
      <w:r w:rsidR="00B93967" w:rsidRPr="00DF17B5">
        <w:t xml:space="preserve">and territories (states) </w:t>
      </w:r>
      <w:r w:rsidR="00530FA3" w:rsidRPr="00DF17B5">
        <w:t xml:space="preserve">in their </w:t>
      </w:r>
      <w:hyperlink r:id="rId9" w:history="1">
        <w:r w:rsidR="00530FA3" w:rsidRPr="00DF17B5">
          <w:rPr>
            <w:rStyle w:val="Hyperlink"/>
          </w:rPr>
          <w:t>submissions</w:t>
        </w:r>
      </w:hyperlink>
      <w:r w:rsidR="00530FA3" w:rsidRPr="00DF17B5">
        <w:t xml:space="preserve"> on the Commission’s </w:t>
      </w:r>
      <w:hyperlink r:id="rId10" w:history="1">
        <w:r w:rsidR="00530FA3" w:rsidRPr="00DF17B5">
          <w:rPr>
            <w:rStyle w:val="Hyperlink"/>
          </w:rPr>
          <w:t>consultation paper</w:t>
        </w:r>
      </w:hyperlink>
      <w:r w:rsidR="00B05EE4" w:rsidRPr="00DF17B5">
        <w:t>.</w:t>
      </w:r>
    </w:p>
    <w:p w14:paraId="3185A936" w14:textId="289796F6" w:rsidR="00E970BA" w:rsidRPr="00DF17B5" w:rsidRDefault="00E970BA" w:rsidP="00E970BA">
      <w:pPr>
        <w:pStyle w:val="CGC2025ParaNumbers"/>
      </w:pPr>
      <w:r w:rsidRPr="00DF17B5">
        <w:t xml:space="preserve">State submissions on the Draft Report can be viewed </w:t>
      </w:r>
      <w:hyperlink r:id="rId11" w:history="1">
        <w:r w:rsidRPr="00DF17B5">
          <w:rPr>
            <w:rStyle w:val="Hyperlink"/>
          </w:rPr>
          <w:t>here</w:t>
        </w:r>
      </w:hyperlink>
      <w:r w:rsidRPr="00DF17B5">
        <w:t>.</w:t>
      </w:r>
    </w:p>
    <w:p w14:paraId="52CABCE6" w14:textId="6ED38546" w:rsidR="00CD7065" w:rsidRDefault="00542091">
      <w:pPr>
        <w:pStyle w:val="CGC2025ParaNumbers"/>
      </w:pPr>
      <w:r>
        <w:t xml:space="preserve">This chapter </w:t>
      </w:r>
      <w:r w:rsidR="00F83FF2">
        <w:t>includes</w:t>
      </w:r>
      <w:r w:rsidR="00B83ACA">
        <w:t>:</w:t>
      </w:r>
    </w:p>
    <w:p w14:paraId="75891BAD" w14:textId="4E97BB41" w:rsidR="00CD7065" w:rsidRDefault="00BF083B" w:rsidP="00CD7065">
      <w:pPr>
        <w:pStyle w:val="CGC2025Bullet1"/>
      </w:pPr>
      <w:r>
        <w:t xml:space="preserve">an overview </w:t>
      </w:r>
      <w:r w:rsidR="00761320">
        <w:t xml:space="preserve">of </w:t>
      </w:r>
      <w:r w:rsidR="00C879EF">
        <w:t xml:space="preserve">the </w:t>
      </w:r>
      <w:r w:rsidR="00AE4834">
        <w:t xml:space="preserve">issues considered </w:t>
      </w:r>
      <w:r w:rsidR="00F85D75">
        <w:t>throughout</w:t>
      </w:r>
      <w:r w:rsidR="00393077">
        <w:t xml:space="preserve"> the review</w:t>
      </w:r>
    </w:p>
    <w:p w14:paraId="53E2B6A6" w14:textId="2DF7901F" w:rsidR="00CD7065" w:rsidRDefault="00542091" w:rsidP="00CD7065">
      <w:pPr>
        <w:pStyle w:val="CGC2025Bullet1"/>
      </w:pPr>
      <w:r>
        <w:t xml:space="preserve">the Commission’s </w:t>
      </w:r>
      <w:r w:rsidR="00C1107C">
        <w:t>response and decision</w:t>
      </w:r>
      <w:r>
        <w:t xml:space="preserve"> on each issue</w:t>
      </w:r>
    </w:p>
    <w:p w14:paraId="0C819F81" w14:textId="40DF6B4C" w:rsidR="00915D3A" w:rsidRPr="005250AF" w:rsidRDefault="00C1107C">
      <w:pPr>
        <w:pStyle w:val="CGC2025Bullet1"/>
        <w:keepNext/>
      </w:pPr>
      <w:bookmarkStart w:id="6" w:name="_Toc143786736"/>
      <w:bookmarkEnd w:id="3"/>
      <w:bookmarkEnd w:id="4"/>
      <w:bookmarkEnd w:id="5"/>
      <w:r>
        <w:t xml:space="preserve">GST impacts </w:t>
      </w:r>
      <w:r w:rsidR="00B60EC1">
        <w:t xml:space="preserve">of </w:t>
      </w:r>
      <w:r>
        <w:t>method changes.</w:t>
      </w:r>
    </w:p>
    <w:p w14:paraId="106E8C3E" w14:textId="0F6A1C60" w:rsidR="00C1107C" w:rsidRPr="005250AF" w:rsidRDefault="00A231F3" w:rsidP="00E07F80">
      <w:pPr>
        <w:pStyle w:val="CGC2025ParaNumbers"/>
      </w:pPr>
      <w:r>
        <w:t>A</w:t>
      </w:r>
      <w:r w:rsidR="00E07F80" w:rsidRPr="00E07F80">
        <w:t xml:space="preserve"> description of the assessment method, incorporating the changes made in the 2025 Review, </w:t>
      </w:r>
      <w:r w:rsidR="00F6271C">
        <w:t xml:space="preserve">can be found </w:t>
      </w:r>
      <w:r w:rsidR="00E07F80" w:rsidRPr="00E07F80">
        <w:t xml:space="preserve">in </w:t>
      </w:r>
      <w:r w:rsidR="00E07F80" w:rsidRPr="00686F2B">
        <w:t xml:space="preserve">the </w:t>
      </w:r>
      <w:r w:rsidR="00AB05C6">
        <w:t>health</w:t>
      </w:r>
      <w:r w:rsidR="00E07F80" w:rsidRPr="00686F2B">
        <w:t xml:space="preserve"> chapter</w:t>
      </w:r>
      <w:r w:rsidR="00E07F80" w:rsidRPr="00E07F80">
        <w:t xml:space="preserve"> </w:t>
      </w:r>
      <w:r w:rsidR="008E4DB3">
        <w:t>of</w:t>
      </w:r>
      <w:r w:rsidR="000E00E9" w:rsidRPr="00E07F80">
        <w:t xml:space="preserve"> </w:t>
      </w:r>
      <w:r w:rsidR="00801B2D">
        <w:t xml:space="preserve">the </w:t>
      </w:r>
      <w:r w:rsidR="00801B2D">
        <w:rPr>
          <w:i/>
          <w:iCs/>
        </w:rPr>
        <w:t xml:space="preserve">Commission’s </w:t>
      </w:r>
      <w:r w:rsidR="00C60C44">
        <w:rPr>
          <w:i/>
          <w:iCs/>
        </w:rPr>
        <w:t>A</w:t>
      </w:r>
      <w:r w:rsidR="00801B2D">
        <w:rPr>
          <w:i/>
          <w:iCs/>
        </w:rPr>
        <w:t xml:space="preserve">ssessment </w:t>
      </w:r>
      <w:r w:rsidR="00C60C44">
        <w:rPr>
          <w:i/>
          <w:iCs/>
        </w:rPr>
        <w:t>M</w:t>
      </w:r>
      <w:r w:rsidR="00801B2D">
        <w:rPr>
          <w:i/>
          <w:iCs/>
        </w:rPr>
        <w:t>ethodology</w:t>
      </w:r>
      <w:r w:rsidR="00801B2D">
        <w:t>.</w:t>
      </w:r>
    </w:p>
    <w:p w14:paraId="61C97C18" w14:textId="3C62A662" w:rsidR="00D92AB4" w:rsidRDefault="00A132B8" w:rsidP="00A60468">
      <w:pPr>
        <w:pStyle w:val="Heading2"/>
        <w:keepNext/>
      </w:pPr>
      <w:r>
        <w:t>Issues considered</w:t>
      </w:r>
    </w:p>
    <w:p w14:paraId="25F0D255" w14:textId="7B7D39BA" w:rsidR="00CE1F52" w:rsidRDefault="00853957" w:rsidP="004472A2">
      <w:pPr>
        <w:pStyle w:val="Heading3"/>
        <w:keepNext/>
      </w:pPr>
      <w:r>
        <w:t>Suitability of the hospital and patient transport assessments</w:t>
      </w:r>
      <w:r w:rsidR="005230C0">
        <w:t xml:space="preserve"> post</w:t>
      </w:r>
      <w:r w:rsidR="005230C0">
        <w:noBreakHyphen/>
        <w:t>pandemic</w:t>
      </w:r>
    </w:p>
    <w:p w14:paraId="04346855" w14:textId="1D1DF082" w:rsidR="005230C0" w:rsidRDefault="005230C0" w:rsidP="005230C0">
      <w:pPr>
        <w:pStyle w:val="CGC2025ParaNumbers"/>
      </w:pPr>
      <w:r>
        <w:t>The Commission sought state views on whether the hospital</w:t>
      </w:r>
      <w:r w:rsidR="002D3A76">
        <w:t xml:space="preserve"> (admitted patients, emergency departments and non</w:t>
      </w:r>
      <w:r w:rsidR="002D3A76">
        <w:noBreakHyphen/>
        <w:t xml:space="preserve">admitted patients) </w:t>
      </w:r>
      <w:r w:rsidR="001A1F96">
        <w:t>assessments and the non</w:t>
      </w:r>
      <w:r w:rsidR="006326C7">
        <w:noBreakHyphen/>
        <w:t>hospital patient transport assessments remained fit</w:t>
      </w:r>
      <w:r w:rsidR="0066757F">
        <w:t xml:space="preserve"> </w:t>
      </w:r>
      <w:r w:rsidR="00A176D2">
        <w:t>for</w:t>
      </w:r>
      <w:r w:rsidR="0066757F">
        <w:t xml:space="preserve"> </w:t>
      </w:r>
      <w:r w:rsidR="00A176D2">
        <w:t xml:space="preserve">purpose </w:t>
      </w:r>
      <w:r w:rsidR="00706668">
        <w:t>following the COVID</w:t>
      </w:r>
      <w:r w:rsidR="00706668">
        <w:noBreakHyphen/>
        <w:t>19 pandemic.</w:t>
      </w:r>
      <w:r w:rsidR="003134C5">
        <w:t xml:space="preserve"> </w:t>
      </w:r>
      <w:r w:rsidR="00AC5D4F">
        <w:t>The</w:t>
      </w:r>
      <w:r w:rsidR="00932096" w:rsidRPr="00932096">
        <w:t xml:space="preserve"> Commission proposed no </w:t>
      </w:r>
      <w:r w:rsidR="00F74163">
        <w:t xml:space="preserve">ongoing </w:t>
      </w:r>
      <w:r w:rsidR="00932096" w:rsidRPr="00932096">
        <w:t>changes</w:t>
      </w:r>
      <w:r w:rsidR="00F74163">
        <w:t xml:space="preserve"> to the health assess</w:t>
      </w:r>
      <w:r w:rsidR="00570E47">
        <w:t xml:space="preserve">ment </w:t>
      </w:r>
      <w:r w:rsidR="001B25E0">
        <w:t xml:space="preserve">in </w:t>
      </w:r>
      <w:r w:rsidR="001815E5">
        <w:t>response to the pandemic.</w:t>
      </w:r>
    </w:p>
    <w:p w14:paraId="318E5EA8" w14:textId="5CD39165" w:rsidR="00706668" w:rsidRDefault="00706668" w:rsidP="00706668">
      <w:pPr>
        <w:pStyle w:val="Heading4"/>
      </w:pPr>
      <w:r>
        <w:t>State views</w:t>
      </w:r>
    </w:p>
    <w:p w14:paraId="66384807" w14:textId="094B9E4A" w:rsidR="00F70197" w:rsidRDefault="004472A2" w:rsidP="004472A2">
      <w:pPr>
        <w:pStyle w:val="CGC2025ParaNumbers"/>
      </w:pPr>
      <w:r>
        <w:t>States said that there were no ongoing implications for the health assessment from the COVID-19 pandemic.</w:t>
      </w:r>
    </w:p>
    <w:p w14:paraId="186330CB" w14:textId="52140CB4" w:rsidR="004472A2" w:rsidRDefault="004472A2" w:rsidP="004472A2">
      <w:pPr>
        <w:pStyle w:val="CGC2025ParaNumbers"/>
      </w:pPr>
      <w:r>
        <w:t>Queensland, Western Australia and the ACT said that the impacts of the pandemic were only temporary. The Northern Territory said that the impacts of COVID-19 were significant, but do not warrant a long-term departure from existing methods.</w:t>
      </w:r>
    </w:p>
    <w:p w14:paraId="5E705CFE" w14:textId="733FCD57" w:rsidR="00706668" w:rsidRDefault="004472A2" w:rsidP="00F70197">
      <w:pPr>
        <w:pStyle w:val="CGC2025ParaNumbers"/>
      </w:pPr>
      <w:r>
        <w:t>New South Wales said that without a clear alternative data source being both available and reliable, National Weighted Activity Unit data remain the appropriate data source for the assessment. Tasmania said that the assessments use data based on national weighted activity units from different health service settings and</w:t>
      </w:r>
      <w:r w:rsidR="00F70197">
        <w:t xml:space="preserve"> </w:t>
      </w:r>
      <w:r>
        <w:t>continue to be reliable measures of the use and cost of services by socio</w:t>
      </w:r>
      <w:r w:rsidR="0044175C">
        <w:noBreakHyphen/>
      </w:r>
      <w:r>
        <w:t>demographic group.</w:t>
      </w:r>
    </w:p>
    <w:p w14:paraId="3E57E804" w14:textId="220ABF97" w:rsidR="00F70197" w:rsidRDefault="00F70197" w:rsidP="0052497E">
      <w:pPr>
        <w:pStyle w:val="Heading4"/>
      </w:pPr>
      <w:r>
        <w:lastRenderedPageBreak/>
        <w:t xml:space="preserve">Commission </w:t>
      </w:r>
      <w:r w:rsidR="002C41AC">
        <w:t>decision</w:t>
      </w:r>
    </w:p>
    <w:p w14:paraId="60DF9DC8" w14:textId="713C142F" w:rsidR="002C41AC" w:rsidRDefault="00C00273" w:rsidP="00C00273">
      <w:pPr>
        <w:pStyle w:val="CGC2025ParaNumbers"/>
      </w:pPr>
      <w:r>
        <w:t>The Commission</w:t>
      </w:r>
      <w:r w:rsidR="00AB3EFC">
        <w:t xml:space="preserve"> </w:t>
      </w:r>
      <w:r w:rsidR="00B85C12">
        <w:t>will make</w:t>
      </w:r>
      <w:r w:rsidR="00AB3EFC">
        <w:t xml:space="preserve"> no ongoing </w:t>
      </w:r>
      <w:r w:rsidR="00B85C12">
        <w:t xml:space="preserve">changes to the </w:t>
      </w:r>
      <w:r w:rsidR="007677EE">
        <w:t>h</w:t>
      </w:r>
      <w:r w:rsidR="00542A49">
        <w:t xml:space="preserve">ospital and patient transport </w:t>
      </w:r>
      <w:r w:rsidR="00B85C12">
        <w:t>assessment</w:t>
      </w:r>
      <w:r w:rsidR="00542A49">
        <w:t>s</w:t>
      </w:r>
      <w:r w:rsidR="00AB3EFC">
        <w:t xml:space="preserve"> </w:t>
      </w:r>
      <w:r w:rsidR="00A72EE5">
        <w:t>in response to</w:t>
      </w:r>
      <w:r w:rsidR="00AB3EFC">
        <w:t xml:space="preserve"> the COVID</w:t>
      </w:r>
      <w:r w:rsidR="00AB3EFC">
        <w:noBreakHyphen/>
        <w:t>19 pandemic.</w:t>
      </w:r>
    </w:p>
    <w:p w14:paraId="785B214D" w14:textId="6CDFBE52" w:rsidR="00777E56" w:rsidRDefault="006D27DF" w:rsidP="00D24CDF">
      <w:pPr>
        <w:pStyle w:val="Heading3"/>
      </w:pPr>
      <w:r>
        <w:t>Improving the responsiveness of the community and public health assessment</w:t>
      </w:r>
    </w:p>
    <w:p w14:paraId="07ED31EE" w14:textId="49BACEAE" w:rsidR="00426C49" w:rsidRDefault="00D42F86" w:rsidP="00D24CDF">
      <w:pPr>
        <w:pStyle w:val="CGC2025ParaNumbers"/>
      </w:pPr>
      <w:r>
        <w:t xml:space="preserve">The Commission </w:t>
      </w:r>
      <w:r w:rsidR="00942ED4">
        <w:t xml:space="preserve">sought state views on whether the proposed changes to the community and public health assessment </w:t>
      </w:r>
      <w:r w:rsidR="001C7D81">
        <w:t>(discuss</w:t>
      </w:r>
      <w:r w:rsidR="00C45636">
        <w:t xml:space="preserve">ion </w:t>
      </w:r>
      <w:r w:rsidR="00722E59">
        <w:t xml:space="preserve">of the changes </w:t>
      </w:r>
      <w:r w:rsidR="00C45636">
        <w:t>starts at</w:t>
      </w:r>
      <w:r w:rsidR="00E42FA8">
        <w:t xml:space="preserve"> </w:t>
      </w:r>
      <w:r w:rsidR="00E42FA8" w:rsidRPr="008F16EB">
        <w:t>paragraph </w:t>
      </w:r>
      <w:r w:rsidR="008F16EB" w:rsidRPr="008F16EB">
        <w:fldChar w:fldCharType="begin"/>
      </w:r>
      <w:r w:rsidR="008F16EB" w:rsidRPr="008F16EB">
        <w:instrText xml:space="preserve"> REF _Ref189911277 \r \h </w:instrText>
      </w:r>
      <w:r w:rsidR="008F16EB">
        <w:instrText xml:space="preserve"> \* MERGEFORMAT </w:instrText>
      </w:r>
      <w:r w:rsidR="008F16EB" w:rsidRPr="008F16EB">
        <w:fldChar w:fldCharType="separate"/>
      </w:r>
      <w:r w:rsidR="008F16EB" w:rsidRPr="008F16EB">
        <w:t>43</w:t>
      </w:r>
      <w:r w:rsidR="008F16EB" w:rsidRPr="008F16EB">
        <w:fldChar w:fldCharType="end"/>
      </w:r>
      <w:r w:rsidR="001C7D81">
        <w:t xml:space="preserve">) </w:t>
      </w:r>
      <w:r w:rsidR="00942ED4">
        <w:t>would make it more respons</w:t>
      </w:r>
      <w:r w:rsidR="00001B02">
        <w:t xml:space="preserve">ive to </w:t>
      </w:r>
      <w:r w:rsidR="00667CAC">
        <w:t xml:space="preserve">significant </w:t>
      </w:r>
      <w:r w:rsidR="00001B02">
        <w:t xml:space="preserve">developments </w:t>
      </w:r>
      <w:r w:rsidR="00667CAC">
        <w:t xml:space="preserve">(such as a pandemic) </w:t>
      </w:r>
      <w:r w:rsidR="00001B02">
        <w:t>affecting that part of the health system.</w:t>
      </w:r>
    </w:p>
    <w:p w14:paraId="652BC50B" w14:textId="79A07E01" w:rsidR="00D52C9D" w:rsidRDefault="00D52C9D" w:rsidP="0091599E">
      <w:pPr>
        <w:pStyle w:val="CGC2025ParaNumbers"/>
      </w:pPr>
      <w:r>
        <w:t xml:space="preserve">The Commission assesses GST relativities over 3 assessment years. In expense assessments, </w:t>
      </w:r>
      <w:bookmarkStart w:id="7" w:name="_Hlk188432194"/>
      <w:r>
        <w:t>for the third assessment year, the Commission usually aggregates state data to the category level and increases component level expenses for the second assessment year by the growth in category level expenses.</w:t>
      </w:r>
      <w:bookmarkEnd w:id="7"/>
      <w:r>
        <w:t xml:space="preserve"> This is done to limit the size of data revisions in the subsequent update due to changes made to state data by the ABS. </w:t>
      </w:r>
      <w:r w:rsidR="0091599E" w:rsidRPr="0091599E">
        <w:t>The Commission considered alternative approaches to estimating component expenses in the third assessment year to improve responsiveness.</w:t>
      </w:r>
    </w:p>
    <w:p w14:paraId="2BEDFF3F" w14:textId="1C8EC7B9" w:rsidR="00D24CDF" w:rsidRPr="00D24CDF" w:rsidRDefault="00D728FC" w:rsidP="00D24CDF">
      <w:pPr>
        <w:pStyle w:val="CGC2025ParaNumbers"/>
      </w:pPr>
      <w:r>
        <w:t>In the Draft Report</w:t>
      </w:r>
      <w:r w:rsidR="006F075D">
        <w:t xml:space="preserve"> the Commission proposed no changes </w:t>
      </w:r>
      <w:r w:rsidR="00D5129E">
        <w:t xml:space="preserve">to make the community and public health assessment more responsive, other than the change to the assessment of ambulatory </w:t>
      </w:r>
      <w:r w:rsidR="007402E2">
        <w:t>specialised community mental health services</w:t>
      </w:r>
      <w:r w:rsidR="00BB51D5">
        <w:t>.</w:t>
      </w:r>
    </w:p>
    <w:p w14:paraId="7CC897F9" w14:textId="14F2942E" w:rsidR="00D24CDF" w:rsidRPr="00D24CDF" w:rsidRDefault="00D24CDF" w:rsidP="00D24CDF">
      <w:pPr>
        <w:pStyle w:val="Heading4"/>
      </w:pPr>
      <w:r>
        <w:t>State views</w:t>
      </w:r>
    </w:p>
    <w:p w14:paraId="1BA2C6FA" w14:textId="4CAE6ACF" w:rsidR="00D53DB7" w:rsidRDefault="001F6989" w:rsidP="001F6989">
      <w:pPr>
        <w:pStyle w:val="CGC2025ParaNumbers"/>
      </w:pPr>
      <w:r>
        <w:t>States were generally supportive of efforts to improve the responsiveness of the health assessment, although some states said they have significant concerns with the specific proposal put forward by the Commission</w:t>
      </w:r>
      <w:r w:rsidR="00865846" w:rsidRPr="00865846">
        <w:t xml:space="preserve"> </w:t>
      </w:r>
      <w:r w:rsidR="00865846">
        <w:t>to use a direct measure of activity for ambulatory specialised community mental health services</w:t>
      </w:r>
      <w:r>
        <w:t>.</w:t>
      </w:r>
    </w:p>
    <w:p w14:paraId="1DD0D6D2" w14:textId="5A446CF3" w:rsidR="008E2678" w:rsidRDefault="008E2678" w:rsidP="008E2678">
      <w:pPr>
        <w:pStyle w:val="CGC2025ParaNumbers"/>
      </w:pPr>
      <w:r>
        <w:t>Western Australia said it did not see any benefit in making an assessment more responsive to poor measures of need.</w:t>
      </w:r>
    </w:p>
    <w:p w14:paraId="6FCDF8F9" w14:textId="16515865" w:rsidR="008E2678" w:rsidRDefault="008E2678" w:rsidP="008E2678">
      <w:pPr>
        <w:pStyle w:val="CGC2025ParaNumbers"/>
      </w:pPr>
      <w:r>
        <w:t>South Australia said any indicator that is based on proxy data w</w:t>
      </w:r>
      <w:r w:rsidR="00B240AE">
        <w:t>ould</w:t>
      </w:r>
      <w:r>
        <w:t xml:space="preserve"> not completely capture what is </w:t>
      </w:r>
      <w:proofErr w:type="gramStart"/>
      <w:r>
        <w:t>actually occurring</w:t>
      </w:r>
      <w:proofErr w:type="gramEnd"/>
      <w:r>
        <w:t>.</w:t>
      </w:r>
    </w:p>
    <w:p w14:paraId="4BD55B9F" w14:textId="786AE1C2" w:rsidR="008E2678" w:rsidRPr="005230C0" w:rsidRDefault="008E2678" w:rsidP="008E2678">
      <w:pPr>
        <w:pStyle w:val="CGC2025ParaNumbers"/>
      </w:pPr>
      <w:r>
        <w:t xml:space="preserve">Tasmania said it agreed that during the COVID-19 pandemic there was a significant public health response by the Australian and state governments. It said the </w:t>
      </w:r>
      <w:r w:rsidR="004525AA">
        <w:t xml:space="preserve">2020 Review </w:t>
      </w:r>
      <w:r>
        <w:t>community and public health assessment did not capture the COVID-19 shock because it uses a proxy indicator.</w:t>
      </w:r>
    </w:p>
    <w:p w14:paraId="7A8F3BAE" w14:textId="5E130B3B" w:rsidR="00777E56" w:rsidRDefault="001F6989" w:rsidP="001F6989">
      <w:pPr>
        <w:pStyle w:val="CGC2025ParaNumbers"/>
      </w:pPr>
      <w:r>
        <w:t>The Northern Territory said the assessment should be built assuming medium to long-term stability in the health system rather than to maximise resilience to exceptional shocks.</w:t>
      </w:r>
    </w:p>
    <w:p w14:paraId="5909055E" w14:textId="5C9B9246" w:rsidR="00F66538" w:rsidRDefault="00F66538" w:rsidP="00F66538">
      <w:pPr>
        <w:pStyle w:val="Heading4"/>
      </w:pPr>
      <w:r>
        <w:lastRenderedPageBreak/>
        <w:t>Commission response</w:t>
      </w:r>
    </w:p>
    <w:p w14:paraId="53195E5E" w14:textId="587612F7" w:rsidR="00FB16C8" w:rsidRDefault="002C3A72" w:rsidP="00340110">
      <w:pPr>
        <w:pStyle w:val="CGC2025ParaNumbers"/>
      </w:pPr>
      <w:r>
        <w:t>I</w:t>
      </w:r>
      <w:r w:rsidR="00B71F3B">
        <w:t xml:space="preserve">f there are significant differences in spending growth between components, </w:t>
      </w:r>
      <w:r>
        <w:t>it may be better</w:t>
      </w:r>
      <w:r w:rsidR="00B71F3B">
        <w:t xml:space="preserve"> to allow the assessments to try to capture this effect</w:t>
      </w:r>
      <w:r w:rsidR="00340110">
        <w:t>.</w:t>
      </w:r>
      <w:r w:rsidR="002A7390">
        <w:t xml:space="preserve"> </w:t>
      </w:r>
      <w:r w:rsidR="00E07BE8">
        <w:t>This has been done for the past 4 updates in the services to industry assessment in response to the large increase in state spending on COVID-19 business support.</w:t>
      </w:r>
    </w:p>
    <w:p w14:paraId="0A5AD7A0" w14:textId="6334AF59" w:rsidR="00F66538" w:rsidRDefault="00845EDA" w:rsidP="00FB16C8">
      <w:pPr>
        <w:pStyle w:val="CGC2025ParaNumbers"/>
      </w:pPr>
      <w:r>
        <w:t>The Commission could switch to using state-provided year 3 data when a relevant shock occur</w:t>
      </w:r>
      <w:r w:rsidR="00462C61">
        <w:t>s</w:t>
      </w:r>
      <w:r>
        <w:t>.</w:t>
      </w:r>
      <w:r w:rsidR="00FB16C8">
        <w:t xml:space="preserve"> </w:t>
      </w:r>
      <w:r w:rsidR="00F5346E">
        <w:t>However, e</w:t>
      </w:r>
      <w:r w:rsidR="00B55AA4">
        <w:t>vents that may lead to significant variation in the growth of component</w:t>
      </w:r>
      <w:r w:rsidR="00F4130E">
        <w:t xml:space="preserve"> expenses</w:t>
      </w:r>
      <w:r w:rsidR="00B55AA4">
        <w:t xml:space="preserve"> in the health assessment are likely to be rare.</w:t>
      </w:r>
    </w:p>
    <w:p w14:paraId="3FBEEE51" w14:textId="43F2F47F" w:rsidR="009E03A6" w:rsidRDefault="009E03A6" w:rsidP="009E03A6">
      <w:pPr>
        <w:pStyle w:val="Heading4"/>
      </w:pPr>
      <w:r>
        <w:t>Commission decision</w:t>
      </w:r>
    </w:p>
    <w:p w14:paraId="64B8F463" w14:textId="6EA28C93" w:rsidR="009E03A6" w:rsidRDefault="00845EDA" w:rsidP="00C73FFF">
      <w:pPr>
        <w:pStyle w:val="CGC2025ParaNumbers"/>
      </w:pPr>
      <w:r>
        <w:t>T</w:t>
      </w:r>
      <w:r w:rsidR="00C73FFF">
        <w:t xml:space="preserve">he Commission </w:t>
      </w:r>
      <w:r>
        <w:t>will</w:t>
      </w:r>
      <w:r w:rsidR="00C73FFF">
        <w:t xml:space="preserve"> maintain the </w:t>
      </w:r>
      <w:r w:rsidR="00401626">
        <w:t xml:space="preserve">2020 Review </w:t>
      </w:r>
      <w:r w:rsidR="00C73FFF">
        <w:t>approach, which minimises data revisions between updates.</w:t>
      </w:r>
    </w:p>
    <w:p w14:paraId="692F6726" w14:textId="23765824" w:rsidR="005162E3" w:rsidRDefault="005162E3" w:rsidP="00744D65">
      <w:pPr>
        <w:pStyle w:val="Heading3"/>
        <w:keepNext/>
      </w:pPr>
      <w:r>
        <w:t>Assessment of state spending on COVID</w:t>
      </w:r>
      <w:r>
        <w:noBreakHyphen/>
        <w:t>19</w:t>
      </w:r>
      <w:r w:rsidR="002857EC">
        <w:t>–</w:t>
      </w:r>
      <w:r>
        <w:t>related health services</w:t>
      </w:r>
    </w:p>
    <w:p w14:paraId="5A9518BC" w14:textId="77777777" w:rsidR="005162E3" w:rsidRDefault="005162E3" w:rsidP="005162E3">
      <w:pPr>
        <w:pStyle w:val="CGC2025ParaNumbers"/>
      </w:pPr>
      <w:r>
        <w:t>The Commission considered state views on whether expenses related to COVID</w:t>
      </w:r>
      <w:r>
        <w:noBreakHyphen/>
        <w:t>19 health services should be assessed differently.</w:t>
      </w:r>
    </w:p>
    <w:p w14:paraId="04564B23" w14:textId="4BA76E5B" w:rsidR="005D6858" w:rsidRPr="00BE1EEE" w:rsidRDefault="003950D6" w:rsidP="005D6858">
      <w:pPr>
        <w:pStyle w:val="CGC2025ParaNumbers"/>
      </w:pPr>
      <w:r>
        <w:t>T</w:t>
      </w:r>
      <w:r w:rsidR="0016665D">
        <w:t xml:space="preserve">he Commission proposed </w:t>
      </w:r>
      <w:r w:rsidR="005D6858" w:rsidRPr="005D6858">
        <w:t>treat</w:t>
      </w:r>
      <w:r w:rsidR="0016665D">
        <w:t>ing</w:t>
      </w:r>
      <w:r w:rsidR="005D6858" w:rsidRPr="005D6858">
        <w:t xml:space="preserve"> the Commonwealth payments for public hospital and public health services under the National Partnership on COVID-19 Response as impact and assess</w:t>
      </w:r>
      <w:r w:rsidR="00D16D0C">
        <w:t>ing</w:t>
      </w:r>
      <w:r w:rsidR="005D6858" w:rsidRPr="005D6858">
        <w:t xml:space="preserve"> state spending associated with the national partnership on an actual per capita basis.</w:t>
      </w:r>
    </w:p>
    <w:p w14:paraId="24E2CEC6" w14:textId="77777777" w:rsidR="005162E3" w:rsidRDefault="005162E3" w:rsidP="005162E3">
      <w:pPr>
        <w:pStyle w:val="Heading4"/>
      </w:pPr>
      <w:r>
        <w:t>State views</w:t>
      </w:r>
    </w:p>
    <w:p w14:paraId="618130C5" w14:textId="177A7872" w:rsidR="004002C0" w:rsidRDefault="004002C0" w:rsidP="005162E3">
      <w:pPr>
        <w:pStyle w:val="CGC2025ParaNumbers"/>
      </w:pPr>
      <w:r>
        <w:t xml:space="preserve">Most states referred to their </w:t>
      </w:r>
      <w:r w:rsidR="00495DA4">
        <w:t xml:space="preserve">previous comments on this issue </w:t>
      </w:r>
      <w:r w:rsidR="00C6672E">
        <w:t>during</w:t>
      </w:r>
      <w:r w:rsidR="00495DA4">
        <w:t xml:space="preserve"> consultations on the 2021</w:t>
      </w:r>
      <w:r w:rsidR="00077057">
        <w:t>, 2022 and 2023 </w:t>
      </w:r>
      <w:r w:rsidR="003E25F0">
        <w:t>u</w:t>
      </w:r>
      <w:r w:rsidR="00077057">
        <w:t>pdates of GST revenue sharing relativiti</w:t>
      </w:r>
      <w:r w:rsidR="00C6672E">
        <w:t>es.</w:t>
      </w:r>
    </w:p>
    <w:p w14:paraId="2C2339AE" w14:textId="46512517" w:rsidR="005162E3" w:rsidRDefault="00827BD7" w:rsidP="005162E3">
      <w:pPr>
        <w:pStyle w:val="CGC2025ParaNumbers"/>
      </w:pPr>
      <w:r>
        <w:t>New South Wales, Victoria and the ACT</w:t>
      </w:r>
      <w:r w:rsidR="005162E3">
        <w:t xml:space="preserve"> said that state spending associated with COVID-19 should be assessed on an actual per capita basis.</w:t>
      </w:r>
    </w:p>
    <w:p w14:paraId="5E688114" w14:textId="506B6130" w:rsidR="005162E3" w:rsidRDefault="005162E3" w:rsidP="005162E3">
      <w:pPr>
        <w:pStyle w:val="CGC2025ParaNumbers"/>
      </w:pPr>
      <w:r>
        <w:t>New South Wales said that state responses to COVID-19 were jointly agreed and aligned to the National Partnership on COVID-19 Response. During the acute stage of the pandemic in 2019–20 and 2020–21, prior to widespread vaccination, all states pursued a zero</w:t>
      </w:r>
      <w:r w:rsidR="007C20C1">
        <w:t>–</w:t>
      </w:r>
      <w:r>
        <w:t>COVID-19 policy.</w:t>
      </w:r>
      <w:r w:rsidR="004E2E2B">
        <w:t xml:space="preserve"> </w:t>
      </w:r>
      <w:r w:rsidR="003F4566">
        <w:t>New South Wales said d</w:t>
      </w:r>
      <w:r>
        <w:t>ifferences in responses between states therefore reflected differences in circumstances rather than policy.</w:t>
      </w:r>
    </w:p>
    <w:p w14:paraId="6A2CD74C" w14:textId="0674F024" w:rsidR="005162E3" w:rsidRDefault="005162E3" w:rsidP="002E6C0B">
      <w:pPr>
        <w:pStyle w:val="CGC2025ParaNumbers"/>
      </w:pPr>
      <w:r>
        <w:t>Victoria said that in responding to COVID-19, state expenses were driven by uncontrollable and random impacts of the virus, following nationally agreed frameworks. It said expenses did not follow the Commission’s drivers for health expenditure in the 2020 Review, being more concentrated in major cities and younger, non-Indigenous residents.</w:t>
      </w:r>
    </w:p>
    <w:p w14:paraId="554C6230" w14:textId="7799B79D" w:rsidR="005162E3" w:rsidRDefault="00824AB7" w:rsidP="00F71999">
      <w:pPr>
        <w:pStyle w:val="CGC2025ParaNumbers"/>
      </w:pPr>
      <w:r>
        <w:t>New South Wales said that COVID-19</w:t>
      </w:r>
      <w:r w:rsidR="007C20C1">
        <w:t>–</w:t>
      </w:r>
      <w:r>
        <w:t>related costs should include quarantine expenses incurred by New South Wales on behalf of other states that have not been reimbursed. Victoria said that</w:t>
      </w:r>
      <w:r w:rsidR="00F71999">
        <w:t xml:space="preserve"> a </w:t>
      </w:r>
      <w:r w:rsidR="00F71999" w:rsidRPr="00F71999">
        <w:t xml:space="preserve">resolution to this issue through the 2025 Review is </w:t>
      </w:r>
      <w:r w:rsidR="00F71999" w:rsidRPr="00F71999">
        <w:lastRenderedPageBreak/>
        <w:t>necessary, as the review will set relativities for 2025</w:t>
      </w:r>
      <w:r w:rsidR="00AD623D">
        <w:t>–</w:t>
      </w:r>
      <w:r w:rsidR="00F71999" w:rsidRPr="00F71999">
        <w:t>26 which include 2021</w:t>
      </w:r>
      <w:r w:rsidR="00697D0C" w:rsidRPr="00DA41B2">
        <w:rPr>
          <w:rFonts w:cs="Times New Roman"/>
          <w:lang w:bidi="he-IL"/>
        </w:rPr>
        <w:t>–</w:t>
      </w:r>
      <w:r w:rsidR="00F71999" w:rsidRPr="00F71999">
        <w:t>22 data, the most significant year for Victoria’s COVID-19 spending</w:t>
      </w:r>
      <w:r w:rsidDel="00F71999">
        <w:t>.</w:t>
      </w:r>
    </w:p>
    <w:p w14:paraId="73850221" w14:textId="45F544B2" w:rsidR="00145DEC" w:rsidRDefault="00796A36" w:rsidP="00145DEC">
      <w:pPr>
        <w:pStyle w:val="CGC2025ParaNumbers"/>
      </w:pPr>
      <w:r>
        <w:t>Victoria and t</w:t>
      </w:r>
      <w:r w:rsidR="00145DEC">
        <w:t>he ACT said that the COVID-19 pandemic revealed the need for flexibility in assessment methods in response to major shocks in the health assessment. The ACT supported the Commission investigating alternative data sources to identify drivers of the use and cost of services, including due to a public health threat.</w:t>
      </w:r>
    </w:p>
    <w:p w14:paraId="2140B198" w14:textId="256F2447" w:rsidR="00E94F7C" w:rsidRPr="00FA1E81" w:rsidRDefault="00AF60D7" w:rsidP="00DC0B87">
      <w:pPr>
        <w:pStyle w:val="CGC2025ParaNumbers"/>
      </w:pPr>
      <w:r w:rsidRPr="00FA1E81">
        <w:t xml:space="preserve">Some states said </w:t>
      </w:r>
      <w:r w:rsidR="00A22A1C" w:rsidRPr="00FA1E81">
        <w:t>an actual per capita assessment of COVID</w:t>
      </w:r>
      <w:r w:rsidR="00E95847">
        <w:t>-</w:t>
      </w:r>
      <w:r w:rsidR="00A22A1C" w:rsidRPr="00FA1E81">
        <w:t>19</w:t>
      </w:r>
      <w:r w:rsidR="00647941">
        <w:t>–</w:t>
      </w:r>
      <w:r w:rsidR="007D76B1" w:rsidRPr="00FA1E81">
        <w:t>related expense</w:t>
      </w:r>
      <w:r w:rsidR="00F30693" w:rsidRPr="00FA1E81">
        <w:t>s</w:t>
      </w:r>
      <w:r w:rsidR="007D76B1" w:rsidRPr="00FA1E81">
        <w:t xml:space="preserve"> </w:t>
      </w:r>
      <w:proofErr w:type="gramStart"/>
      <w:r w:rsidR="007D76B1" w:rsidRPr="00FA1E81">
        <w:t>was</w:t>
      </w:r>
      <w:proofErr w:type="gramEnd"/>
      <w:r w:rsidR="007D76B1" w:rsidRPr="00FA1E81">
        <w:t xml:space="preserve"> not appropriate because state spending was policy</w:t>
      </w:r>
      <w:r w:rsidR="00F61271" w:rsidRPr="00FA1E81">
        <w:t xml:space="preserve"> influenced.</w:t>
      </w:r>
      <w:r w:rsidR="0023643A" w:rsidRPr="00FA1E81">
        <w:t xml:space="preserve"> </w:t>
      </w:r>
      <w:r w:rsidR="00FC3031" w:rsidRPr="00FA1E81">
        <w:t>Queensland and Western Australia said the expenses should be assessed equal per capita</w:t>
      </w:r>
      <w:r w:rsidR="001C4A0D" w:rsidRPr="00FA1E81">
        <w:t>. South Australia said that if</w:t>
      </w:r>
      <w:r w:rsidR="0023643A" w:rsidRPr="00FA1E81">
        <w:t xml:space="preserve"> a separate assessment of COVID-1</w:t>
      </w:r>
      <w:r w:rsidR="001C4A0D" w:rsidRPr="00FA1E81">
        <w:t>9</w:t>
      </w:r>
      <w:r w:rsidR="0023643A" w:rsidRPr="00FA1E81">
        <w:t xml:space="preserve"> based on an actual per capita approach</w:t>
      </w:r>
      <w:r w:rsidR="00DC0B87" w:rsidRPr="00FA1E81">
        <w:t xml:space="preserve"> was adopted</w:t>
      </w:r>
      <w:r w:rsidR="0023643A" w:rsidRPr="00FA1E81">
        <w:t>, the maximum discount must be applied to reflect policy neutrality and data quality concerns.</w:t>
      </w:r>
    </w:p>
    <w:p w14:paraId="1BA193AA" w14:textId="67CE7AB1" w:rsidR="00F61271" w:rsidRPr="00FA1E81" w:rsidRDefault="27A0842E" w:rsidP="00C36F2F">
      <w:pPr>
        <w:pStyle w:val="CGC2025ParaNumbers"/>
      </w:pPr>
      <w:r>
        <w:t>Queensland</w:t>
      </w:r>
      <w:r w:rsidR="121EA527">
        <w:t xml:space="preserve"> said that</w:t>
      </w:r>
      <w:r>
        <w:t xml:space="preserve"> an equal per capita assessment for COVID-19</w:t>
      </w:r>
      <w:r w:rsidR="00647941">
        <w:t>–</w:t>
      </w:r>
      <w:r>
        <w:t xml:space="preserve">related expenses is appropriate given the lack of evidence </w:t>
      </w:r>
      <w:r w:rsidR="064F5132">
        <w:t xml:space="preserve">on </w:t>
      </w:r>
      <w:r>
        <w:t>differences in state</w:t>
      </w:r>
      <w:r w:rsidR="16EDC135">
        <w:t xml:space="preserve"> </w:t>
      </w:r>
      <w:r>
        <w:t xml:space="preserve">need. </w:t>
      </w:r>
      <w:r w:rsidR="00EC3DA4">
        <w:t xml:space="preserve">Queensland said </w:t>
      </w:r>
      <w:r w:rsidR="00035169">
        <w:t>a</w:t>
      </w:r>
      <w:r>
        <w:t xml:space="preserve"> range of factors indicate that the substantial differences in </w:t>
      </w:r>
      <w:r w:rsidR="671D5AEF">
        <w:t>spending</w:t>
      </w:r>
      <w:r>
        <w:t xml:space="preserve"> across jurisdictions reflect different health-related policy positions by individual jurisdictions.</w:t>
      </w:r>
      <w:r w:rsidR="671D5AEF">
        <w:t xml:space="preserve"> </w:t>
      </w:r>
      <w:r w:rsidR="00501016">
        <w:t>Queensland said t</w:t>
      </w:r>
      <w:r w:rsidR="27C64060">
        <w:t xml:space="preserve">o ignore the potential impacts of policy decisions made by individual jurisdictions, in particular New South Wales and Victoria, in the context of </w:t>
      </w:r>
      <w:r w:rsidR="27C64060" w:rsidRPr="006746BD">
        <w:t>COVID</w:t>
      </w:r>
      <w:r w:rsidR="00A10363">
        <w:t>-</w:t>
      </w:r>
      <w:r w:rsidR="27C64060" w:rsidRPr="006746BD">
        <w:t>19</w:t>
      </w:r>
      <w:r w:rsidR="27C64060">
        <w:t xml:space="preserve"> responses would clearly violate the </w:t>
      </w:r>
      <w:r w:rsidR="5DD25F03">
        <w:t>horizontal fiscal equalisation</w:t>
      </w:r>
      <w:r w:rsidR="27C64060">
        <w:t xml:space="preserve"> principle of policy neutrality.</w:t>
      </w:r>
    </w:p>
    <w:p w14:paraId="768A81BC" w14:textId="0D1CD705" w:rsidR="004B2683" w:rsidRPr="00FA1E81" w:rsidRDefault="00C92BE2" w:rsidP="00221B6C">
      <w:pPr>
        <w:pStyle w:val="CGC2025ParaNumbers"/>
      </w:pPr>
      <w:r w:rsidRPr="00FA1E81">
        <w:t xml:space="preserve">Western Australia said that different </w:t>
      </w:r>
      <w:r w:rsidR="004F08D9" w:rsidRPr="00FA1E81">
        <w:t>s</w:t>
      </w:r>
      <w:r w:rsidRPr="00FA1E81">
        <w:t>tate policies contributed to most of the differential impact of COVID-19</w:t>
      </w:r>
      <w:r w:rsidR="00EA3557" w:rsidRPr="00FA1E81">
        <w:t>.</w:t>
      </w:r>
      <w:r w:rsidR="00775965">
        <w:t xml:space="preserve"> </w:t>
      </w:r>
      <w:r w:rsidR="001A438B" w:rsidRPr="00FA1E81">
        <w:t>Western Australia said</w:t>
      </w:r>
      <w:r w:rsidR="00044890" w:rsidRPr="00FA1E81">
        <w:t xml:space="preserve"> the </w:t>
      </w:r>
      <w:r w:rsidRPr="00FA1E81">
        <w:t xml:space="preserve">evidence showed that the National Partnership on COVID-19 Response funding bore no relationship to the number of COVID-19 cases in each </w:t>
      </w:r>
      <w:r w:rsidR="00044890" w:rsidRPr="00FA1E81">
        <w:t>s</w:t>
      </w:r>
      <w:r w:rsidRPr="00FA1E81">
        <w:t xml:space="preserve">tate, and </w:t>
      </w:r>
      <w:r w:rsidR="0098625E" w:rsidRPr="00FA1E81">
        <w:t>s</w:t>
      </w:r>
      <w:r w:rsidRPr="00FA1E81">
        <w:t xml:space="preserve">tate baselines on preparedness and equipment were different. </w:t>
      </w:r>
      <w:r w:rsidR="00AA56E3">
        <w:t>Western Australia said v</w:t>
      </w:r>
      <w:r w:rsidR="002C5695">
        <w:t xml:space="preserve">arious </w:t>
      </w:r>
      <w:r w:rsidRPr="00FA1E81">
        <w:t>international and national studies</w:t>
      </w:r>
      <w:r w:rsidR="002C5695">
        <w:t xml:space="preserve"> and pub</w:t>
      </w:r>
      <w:r w:rsidR="00AA56E3">
        <w:t>lic commenta</w:t>
      </w:r>
      <w:r w:rsidR="002B0A99">
        <w:t>tors</w:t>
      </w:r>
      <w:r w:rsidR="00AA56E3">
        <w:t xml:space="preserve"> </w:t>
      </w:r>
      <w:r w:rsidRPr="00FA1E81">
        <w:t xml:space="preserve">supported </w:t>
      </w:r>
      <w:r w:rsidR="002B0A99">
        <w:t>its</w:t>
      </w:r>
      <w:r w:rsidRPr="00FA1E81">
        <w:t xml:space="preserve"> position that policy differences between </w:t>
      </w:r>
      <w:r w:rsidR="00221B6C" w:rsidRPr="00FA1E81">
        <w:t>s</w:t>
      </w:r>
      <w:r w:rsidRPr="00FA1E81">
        <w:t>tates were significant and led to different outcomes</w:t>
      </w:r>
      <w:r w:rsidR="00221B6C" w:rsidRPr="00FA1E81">
        <w:t>.</w:t>
      </w:r>
    </w:p>
    <w:p w14:paraId="721F43AD" w14:textId="12BE1993" w:rsidR="00221B6C" w:rsidRPr="00FA1E81" w:rsidRDefault="00D45DE4" w:rsidP="003E7B39">
      <w:pPr>
        <w:pStyle w:val="CGC2025ParaNumbers"/>
      </w:pPr>
      <w:r w:rsidRPr="00FA1E81">
        <w:t xml:space="preserve">Western Australia </w:t>
      </w:r>
      <w:r w:rsidR="00FF0DE9" w:rsidRPr="00FA1E81">
        <w:t xml:space="preserve">said that the Commission had stated in the 2023 Update that it </w:t>
      </w:r>
      <w:r w:rsidRPr="00FA1E81">
        <w:t xml:space="preserve">could not identify any drivers of COVID-19 </w:t>
      </w:r>
      <w:r w:rsidR="00FF0DE9" w:rsidRPr="00FA1E81">
        <w:t>s</w:t>
      </w:r>
      <w:r w:rsidRPr="00FA1E81">
        <w:t>tate spending.</w:t>
      </w:r>
      <w:r w:rsidR="00FF0DE9" w:rsidRPr="00FA1E81">
        <w:t xml:space="preserve"> </w:t>
      </w:r>
      <w:r w:rsidR="001E7136" w:rsidRPr="00FA1E81">
        <w:t>It said t</w:t>
      </w:r>
      <w:r w:rsidRPr="00FA1E81">
        <w:t>he C</w:t>
      </w:r>
      <w:r w:rsidR="001E7136" w:rsidRPr="00FA1E81">
        <w:t>ommission’s</w:t>
      </w:r>
      <w:r w:rsidRPr="00FA1E81">
        <w:t xml:space="preserve"> </w:t>
      </w:r>
      <w:r w:rsidR="001E7136" w:rsidRPr="00FA1E81">
        <w:t>g</w:t>
      </w:r>
      <w:r w:rsidRPr="00FA1E81">
        <w:t xml:space="preserve">ambling </w:t>
      </w:r>
      <w:r w:rsidR="001E7136" w:rsidRPr="00FA1E81">
        <w:t>t</w:t>
      </w:r>
      <w:r w:rsidRPr="00FA1E81">
        <w:t xml:space="preserve">ax assessment also struggles with a lack of identifiable drivers and </w:t>
      </w:r>
      <w:r w:rsidR="00105B38">
        <w:t>significant</w:t>
      </w:r>
      <w:r w:rsidR="00105B38" w:rsidRPr="00FA1E81">
        <w:t xml:space="preserve"> </w:t>
      </w:r>
      <w:r w:rsidRPr="00FA1E81">
        <w:t xml:space="preserve">policy differences. </w:t>
      </w:r>
      <w:r w:rsidR="00E34AAF">
        <w:t xml:space="preserve">It suggested COVID-19 spending should therefore be </w:t>
      </w:r>
      <w:r w:rsidR="00105B38">
        <w:t>assessed</w:t>
      </w:r>
      <w:r w:rsidR="00105B38" w:rsidRPr="00FA1E81">
        <w:t xml:space="preserve"> </w:t>
      </w:r>
      <w:r w:rsidR="003E7B39" w:rsidRPr="00FA1E81">
        <w:t>equal per capita</w:t>
      </w:r>
      <w:r w:rsidR="00E34AAF">
        <w:t xml:space="preserve"> like gambling revenue. </w:t>
      </w:r>
    </w:p>
    <w:p w14:paraId="37872205" w14:textId="59F43285" w:rsidR="0068556F" w:rsidRPr="00FA1E81" w:rsidRDefault="01DC526E" w:rsidP="00A778C6">
      <w:pPr>
        <w:pStyle w:val="CGC2025ParaNumbers"/>
      </w:pPr>
      <w:r>
        <w:t>South Australia said that it disagrees with the view that responses to COVID-19 were driven by state circumstances alone. Both state circumstances and policy choices drove COVID-19 impacts.</w:t>
      </w:r>
      <w:r w:rsidR="69A33411">
        <w:t xml:space="preserve"> South Australia said that in previous consultation processes it (and </w:t>
      </w:r>
      <w:proofErr w:type="gramStart"/>
      <w:r w:rsidR="69A33411">
        <w:t>a number of</w:t>
      </w:r>
      <w:proofErr w:type="gramEnd"/>
      <w:r w:rsidR="69A33411">
        <w:t xml:space="preserve"> other </w:t>
      </w:r>
      <w:r w:rsidR="56533987">
        <w:t>states</w:t>
      </w:r>
      <w:r w:rsidR="69A33411">
        <w:t>) provided examples and independent opinions that supported the view that the policy decisions made by states did have a significant impact on COVID-19 case numbers and associated expenditure.</w:t>
      </w:r>
      <w:r w:rsidR="726A8805">
        <w:t xml:space="preserve"> </w:t>
      </w:r>
      <w:r w:rsidR="00291E19">
        <w:t>South Australia said that a</w:t>
      </w:r>
      <w:r w:rsidR="19BE2D6E">
        <w:t xml:space="preserve">s the effects of COVID-19 were impacted by policy decisions, any alternative assessment approach </w:t>
      </w:r>
      <w:r w:rsidR="00762239">
        <w:t xml:space="preserve">would </w:t>
      </w:r>
      <w:r w:rsidR="19BE2D6E">
        <w:t xml:space="preserve">need to be based on reliable policy neutral </w:t>
      </w:r>
      <w:r w:rsidR="007C1DA2">
        <w:t>data but</w:t>
      </w:r>
      <w:r w:rsidR="007466CF">
        <w:t xml:space="preserve"> </w:t>
      </w:r>
      <w:r w:rsidR="00DC14E6">
        <w:lastRenderedPageBreak/>
        <w:t>that n</w:t>
      </w:r>
      <w:r w:rsidR="19BE2D6E">
        <w:t xml:space="preserve">o alternative policy neutral </w:t>
      </w:r>
      <w:r w:rsidR="00CE4B44">
        <w:t xml:space="preserve">assessment </w:t>
      </w:r>
      <w:r w:rsidR="19BE2D6E">
        <w:t>approach ha</w:t>
      </w:r>
      <w:r w:rsidR="00CE4B44">
        <w:t>d</w:t>
      </w:r>
      <w:r w:rsidR="19BE2D6E">
        <w:t xml:space="preserve"> been identified.</w:t>
      </w:r>
      <w:r w:rsidR="726A8805">
        <w:t xml:space="preserve"> </w:t>
      </w:r>
      <w:r w:rsidR="00452F97">
        <w:t>South</w:t>
      </w:r>
      <w:r w:rsidR="006C79A3">
        <w:t> </w:t>
      </w:r>
      <w:r w:rsidR="00452F97">
        <w:t>Australia said that a</w:t>
      </w:r>
      <w:r w:rsidR="6D4DADAC">
        <w:t>doption of an actual per capita assessment approach for health expenditure would only be appropriate if policy choices were consistent</w:t>
      </w:r>
      <w:r w:rsidR="007C1DA2">
        <w:t xml:space="preserve"> and t</w:t>
      </w:r>
      <w:r w:rsidR="6D4DADAC">
        <w:t>his was not the case during the pandemic years.</w:t>
      </w:r>
    </w:p>
    <w:p w14:paraId="7E75FAD7" w14:textId="38900120" w:rsidR="000305F9" w:rsidRDefault="00A71798" w:rsidP="00A71798">
      <w:pPr>
        <w:pStyle w:val="Heading4"/>
      </w:pPr>
      <w:r>
        <w:t>Commission response</w:t>
      </w:r>
    </w:p>
    <w:p w14:paraId="2F72D1ED" w14:textId="0A6BC438" w:rsidR="001E0E6D" w:rsidRPr="0038400B" w:rsidRDefault="00575EE9" w:rsidP="00575EE9">
      <w:pPr>
        <w:pStyle w:val="CGC2025ParaNumbers"/>
      </w:pPr>
      <w:r w:rsidRPr="00575EE9">
        <w:t xml:space="preserve">There are diverse views among the states as to whether state </w:t>
      </w:r>
      <w:r w:rsidR="00FD1BB6">
        <w:t xml:space="preserve">health </w:t>
      </w:r>
      <w:r w:rsidRPr="00575EE9">
        <w:t xml:space="preserve">spending on COVID-19 largely reflected state policy or state circumstances. The Commission recognises that it is not possible to point to definitive evidence one way or the other, or to separately identify what spending was influenced by policy choices. It ultimately comes down to a matter of judgement, </w:t>
      </w:r>
      <w:proofErr w:type="gramStart"/>
      <w:r w:rsidRPr="00575EE9">
        <w:t>taking into account</w:t>
      </w:r>
      <w:proofErr w:type="gramEnd"/>
      <w:r w:rsidRPr="00575EE9">
        <w:t xml:space="preserve"> the circumstances and uncertainties associated with the pandemic</w:t>
      </w:r>
      <w:r w:rsidR="001E0E6D" w:rsidRPr="0038400B">
        <w:t>.</w:t>
      </w:r>
    </w:p>
    <w:p w14:paraId="34903037" w14:textId="7745C4B8" w:rsidR="00BD243C" w:rsidRDefault="00BD243C" w:rsidP="00B064CE">
      <w:pPr>
        <w:pStyle w:val="CGC2025ParaNumbers"/>
      </w:pPr>
      <w:r>
        <w:t>The terms of reference for the 2021, 2022, 2023 and 2024 updates did not provide for a change in assessment method in response to COVID-19. Consequently, Commonwealth payments associated with the National Partnership on COVID-19 Response were treated as no impact since the COVID-19 spending was not specifically assessed. The 2020 Review health assessment was applied to state</w:t>
      </w:r>
      <w:r w:rsidR="00DB630B">
        <w:noBreakHyphen/>
      </w:r>
      <w:r>
        <w:t>funded spending under the National Partnership on COVID-19 Response.</w:t>
      </w:r>
    </w:p>
    <w:p w14:paraId="5DBED335" w14:textId="06B67CD7" w:rsidR="00BD243C" w:rsidRDefault="00BD243C" w:rsidP="00B064CE">
      <w:pPr>
        <w:pStyle w:val="CGC2025ParaNumbers"/>
      </w:pPr>
      <w:r>
        <w:t xml:space="preserve">With the flexibility to change the health assessment in response to COVID-19 following the 2025 Review, the Commission </w:t>
      </w:r>
      <w:r w:rsidR="002901CA">
        <w:t>wa</w:t>
      </w:r>
      <w:r w:rsidR="00D17DCA">
        <w:t>s</w:t>
      </w:r>
      <w:r>
        <w:t xml:space="preserve"> able to use an alternative assessment for assessing state spending related to COVID-19.</w:t>
      </w:r>
    </w:p>
    <w:p w14:paraId="1D32A2B8" w14:textId="6B4E677C" w:rsidR="00BD243C" w:rsidRDefault="00BD243C" w:rsidP="00B064CE">
      <w:pPr>
        <w:pStyle w:val="CGC2025ParaNumbers"/>
      </w:pPr>
      <w:r>
        <w:t>The Commission has stated previously how it would assess COVID-19 related</w:t>
      </w:r>
      <w:r w:rsidR="00B064CE">
        <w:t xml:space="preserve"> </w:t>
      </w:r>
      <w:r>
        <w:t>spending if permitted under the terms of reference for an update. For example, in the 2023 Update New Issues discussion paper, it stated:</w:t>
      </w:r>
    </w:p>
    <w:p w14:paraId="3A99251E" w14:textId="77777777" w:rsidR="00BD243C" w:rsidRDefault="00BD243C" w:rsidP="0087490B">
      <w:pPr>
        <w:pStyle w:val="CGC2025ParaNumbers"/>
        <w:numPr>
          <w:ilvl w:val="0"/>
          <w:numId w:val="0"/>
        </w:numPr>
        <w:ind w:left="567"/>
      </w:pPr>
      <w:r>
        <w:t>‘If terms of reference allow for a change in method to respond to COVID-19:</w:t>
      </w:r>
    </w:p>
    <w:p w14:paraId="2DB3F043" w14:textId="63FE2080" w:rsidR="00BD243C" w:rsidRDefault="00BD243C" w:rsidP="00535EF2">
      <w:pPr>
        <w:pStyle w:val="CGC2025Bullet1"/>
      </w:pPr>
      <w:r>
        <w:t>treat the Commonwealth payments under the National Partnership on COVID</w:t>
      </w:r>
      <w:r w:rsidR="006C79A3">
        <w:noBreakHyphen/>
      </w:r>
      <w:r>
        <w:t>19</w:t>
      </w:r>
      <w:r w:rsidR="006C79A3">
        <w:t> </w:t>
      </w:r>
      <w:r>
        <w:t>Response as impact; and</w:t>
      </w:r>
    </w:p>
    <w:p w14:paraId="7427D301" w14:textId="38C5EFC0" w:rsidR="00BD243C" w:rsidRDefault="00BD243C" w:rsidP="00DD0511">
      <w:pPr>
        <w:pStyle w:val="CGC2025Bullet1"/>
      </w:pPr>
      <w:r>
        <w:t>assess state spending associated with the national partnerships on an actual per</w:t>
      </w:r>
      <w:r w:rsidR="006C79A3">
        <w:t> </w:t>
      </w:r>
      <w:r>
        <w:t>capita basis.’</w:t>
      </w:r>
    </w:p>
    <w:p w14:paraId="36D6BA03" w14:textId="39E4FDA1" w:rsidR="00BD243C" w:rsidRDefault="00BD243C" w:rsidP="00BD243C">
      <w:pPr>
        <w:pStyle w:val="CGC2025ParaNumbers"/>
      </w:pPr>
      <w:r>
        <w:t>The basis of this position was that:</w:t>
      </w:r>
    </w:p>
    <w:p w14:paraId="733A964A" w14:textId="43433176" w:rsidR="00BD243C" w:rsidRDefault="00BD243C" w:rsidP="0011042D">
      <w:pPr>
        <w:pStyle w:val="CGC2025Bullet1"/>
      </w:pPr>
      <w:r>
        <w:t>the differences in spending between states on COVID-19 cannot be fully explained by the Commission’s health assessment of state spending needs on health services more broadly</w:t>
      </w:r>
    </w:p>
    <w:p w14:paraId="190EBEB9" w14:textId="4AF0A83D" w:rsidR="007D77EB" w:rsidRDefault="00BD243C" w:rsidP="005A3536">
      <w:pPr>
        <w:pStyle w:val="CGC2025Bullet1"/>
      </w:pPr>
      <w:r>
        <w:t>the Commission considered state responses to the COVID-19 pandemic largely reflected circumstances outside of state control rather than policy choices.</w:t>
      </w:r>
    </w:p>
    <w:p w14:paraId="53B74568" w14:textId="7B2C6AF4" w:rsidR="0008282B" w:rsidRPr="0008282B" w:rsidRDefault="0008282B" w:rsidP="0008282B">
      <w:pPr>
        <w:pStyle w:val="CGC2025ParaNumbers"/>
      </w:pPr>
      <w:r w:rsidRPr="0008282B">
        <w:t xml:space="preserve">States incurred health costs related to the pandemic that were not within the scope of the national partnership. </w:t>
      </w:r>
      <w:r w:rsidR="00901E5A">
        <w:t>However, t</w:t>
      </w:r>
      <w:r w:rsidRPr="0008282B">
        <w:t>he Commission will limit the actual per capita assessment only to the expenses covered by the national partnership because it provide</w:t>
      </w:r>
      <w:r w:rsidR="00E133BA">
        <w:t>s</w:t>
      </w:r>
      <w:r w:rsidRPr="0008282B">
        <w:t xml:space="preserve"> assurance that spending was broadly consistent between states.</w:t>
      </w:r>
    </w:p>
    <w:p w14:paraId="38EE9B4C" w14:textId="738403B4" w:rsidR="0008282B" w:rsidRPr="0008282B" w:rsidRDefault="0008282B" w:rsidP="0008282B">
      <w:pPr>
        <w:pStyle w:val="CGC2025ParaNumbers"/>
      </w:pPr>
      <w:r w:rsidRPr="0008282B">
        <w:t xml:space="preserve">The National Partnership on COVID-19 Response ceased in 2022–23. The separate assessment of state spending under the national partnership will continue until the </w:t>
      </w:r>
      <w:r w:rsidRPr="0008282B">
        <w:lastRenderedPageBreak/>
        <w:t>2027</w:t>
      </w:r>
      <w:r w:rsidR="00120E77">
        <w:t> </w:t>
      </w:r>
      <w:r w:rsidRPr="0008282B">
        <w:t xml:space="preserve">Update when 2022–23 drops out of the Commission’s </w:t>
      </w:r>
      <w:r w:rsidR="000B46BA">
        <w:t>3</w:t>
      </w:r>
      <w:r w:rsidR="004C78E2">
        <w:t>-</w:t>
      </w:r>
      <w:r w:rsidRPr="0008282B">
        <w:t xml:space="preserve">year </w:t>
      </w:r>
      <w:r w:rsidR="006B3DBF">
        <w:t xml:space="preserve">assessment </w:t>
      </w:r>
      <w:r w:rsidRPr="0008282B">
        <w:t>period.</w:t>
      </w:r>
    </w:p>
    <w:p w14:paraId="5D88759C" w14:textId="58C59134" w:rsidR="00A71798" w:rsidRDefault="00792553" w:rsidP="005965DA">
      <w:pPr>
        <w:pStyle w:val="Heading4"/>
      </w:pPr>
      <w:r>
        <w:t>Commission decision</w:t>
      </w:r>
    </w:p>
    <w:p w14:paraId="36476360" w14:textId="1ECE490C" w:rsidR="00427CAB" w:rsidRDefault="006349C3" w:rsidP="00256DB0">
      <w:pPr>
        <w:pStyle w:val="CGC2025ParaNumbers"/>
      </w:pPr>
      <w:r>
        <w:t xml:space="preserve">The Commission </w:t>
      </w:r>
      <w:r w:rsidR="00AE26C9">
        <w:t>will</w:t>
      </w:r>
      <w:r>
        <w:t xml:space="preserve"> </w:t>
      </w:r>
      <w:bookmarkStart w:id="8" w:name="_Hlk177627679"/>
      <w:r>
        <w:t>treat the Commonwealth payments for public hospital and public health services under the National Partnership on COVID-19 Response as impact and assess state spending associated with the national partnership on an actual per capita basis.</w:t>
      </w:r>
      <w:bookmarkEnd w:id="8"/>
    </w:p>
    <w:p w14:paraId="55B04EDF" w14:textId="5773544D" w:rsidR="00123545" w:rsidRPr="00123545" w:rsidRDefault="0008514E" w:rsidP="00A60468">
      <w:pPr>
        <w:pStyle w:val="Heading3"/>
        <w:keepNext/>
      </w:pPr>
      <w:r w:rsidRPr="0008514E">
        <w:t>Direct measure of specialised community mental health activity</w:t>
      </w:r>
    </w:p>
    <w:p w14:paraId="585BEB75" w14:textId="2C0BBC45" w:rsidR="008675B1" w:rsidRDefault="00D70B14" w:rsidP="00322925">
      <w:pPr>
        <w:pStyle w:val="CGC2025ParaNumbers"/>
      </w:pPr>
      <w:bookmarkStart w:id="9" w:name="_Ref177627081"/>
      <w:bookmarkStart w:id="10" w:name="_Ref189911277"/>
      <w:r>
        <w:t xml:space="preserve">The </w:t>
      </w:r>
      <w:r w:rsidR="00066251">
        <w:t xml:space="preserve">Commission </w:t>
      </w:r>
      <w:r w:rsidR="006B0EC6">
        <w:t xml:space="preserve">originally </w:t>
      </w:r>
      <w:r w:rsidR="00066251">
        <w:t xml:space="preserve">proposed </w:t>
      </w:r>
      <w:r w:rsidR="009521B3">
        <w:t xml:space="preserve">that </w:t>
      </w:r>
      <w:r w:rsidR="00322925" w:rsidRPr="00322925">
        <w:t xml:space="preserve">activity in </w:t>
      </w:r>
      <w:r w:rsidR="006D5955">
        <w:t>ambulatory</w:t>
      </w:r>
      <w:r w:rsidR="00322925" w:rsidRPr="00322925">
        <w:t xml:space="preserve"> specialised community mental health programs </w:t>
      </w:r>
      <w:r w:rsidR="001E09CC">
        <w:t xml:space="preserve">be used </w:t>
      </w:r>
      <w:r w:rsidR="00322925" w:rsidRPr="00322925">
        <w:t>to assess state spending needs for all community mental health services</w:t>
      </w:r>
      <w:r w:rsidR="00AF297D">
        <w:t>.</w:t>
      </w:r>
      <w:bookmarkEnd w:id="9"/>
      <w:r w:rsidR="00601E47">
        <w:t xml:space="preserve"> Th</w:t>
      </w:r>
      <w:r w:rsidR="00BB1FAA">
        <w:t>e 2020 Review method used proxy data to estimate activi</w:t>
      </w:r>
      <w:r w:rsidR="00596236">
        <w:t>ty</w:t>
      </w:r>
      <w:r w:rsidR="00B75A8F">
        <w:t>, namely,</w:t>
      </w:r>
      <w:r w:rsidR="007840FF">
        <w:t xml:space="preserve"> lower priority </w:t>
      </w:r>
      <w:r w:rsidR="00B75A8F">
        <w:t xml:space="preserve">hospital </w:t>
      </w:r>
      <w:r w:rsidR="007840FF">
        <w:t xml:space="preserve">emergency </w:t>
      </w:r>
      <w:r w:rsidR="00596236">
        <w:t>department services</w:t>
      </w:r>
      <w:r w:rsidR="00B75A8F">
        <w:t>.</w:t>
      </w:r>
      <w:bookmarkEnd w:id="10"/>
      <w:r w:rsidR="00601E47">
        <w:t xml:space="preserve"> </w:t>
      </w:r>
    </w:p>
    <w:p w14:paraId="3D899796" w14:textId="670C38C3" w:rsidR="00A13A50" w:rsidRPr="008675B1" w:rsidRDefault="00996D4C" w:rsidP="00C1339B">
      <w:pPr>
        <w:pStyle w:val="CGC2025ParaNumbers"/>
      </w:pPr>
      <w:r>
        <w:t>T</w:t>
      </w:r>
      <w:r w:rsidR="00A13A50">
        <w:t xml:space="preserve">he Commission modified its </w:t>
      </w:r>
      <w:r w:rsidR="0010709B">
        <w:t xml:space="preserve">original </w:t>
      </w:r>
      <w:r w:rsidR="00A13A50">
        <w:t>propo</w:t>
      </w:r>
      <w:r w:rsidR="0010709B">
        <w:t xml:space="preserve">sal to </w:t>
      </w:r>
      <w:r w:rsidR="00A70502">
        <w:t xml:space="preserve">only </w:t>
      </w:r>
      <w:r w:rsidR="00507B50">
        <w:t>us</w:t>
      </w:r>
      <w:r w:rsidR="302F4D65">
        <w:t>e</w:t>
      </w:r>
      <w:r w:rsidR="00507B50">
        <w:t xml:space="preserve"> activity in ambulatory specialised community mental health programs to assess state spending </w:t>
      </w:r>
      <w:r w:rsidR="00A70502">
        <w:t>on</w:t>
      </w:r>
      <w:r w:rsidR="00036F87">
        <w:t xml:space="preserve"> community</w:t>
      </w:r>
      <w:r w:rsidR="00507B50">
        <w:t xml:space="preserve"> mental health services</w:t>
      </w:r>
      <w:r w:rsidR="00036F87">
        <w:t xml:space="preserve"> in an ambulatory setting.</w:t>
      </w:r>
    </w:p>
    <w:p w14:paraId="0BB2E39D" w14:textId="62C3196A" w:rsidR="008675B1" w:rsidRPr="008675B1" w:rsidRDefault="008675B1" w:rsidP="008675B1">
      <w:pPr>
        <w:pStyle w:val="Heading4"/>
      </w:pPr>
      <w:r>
        <w:t>State views</w:t>
      </w:r>
    </w:p>
    <w:p w14:paraId="44A73BC4" w14:textId="6F9F5644" w:rsidR="00993285" w:rsidRDefault="00993285" w:rsidP="008048EE">
      <w:pPr>
        <w:pStyle w:val="CGC2025ParaNumbers"/>
      </w:pPr>
      <w:r>
        <w:t xml:space="preserve">States had diverse </w:t>
      </w:r>
      <w:r w:rsidR="00C46B9D">
        <w:t>views on the propos</w:t>
      </w:r>
      <w:r w:rsidR="00636F37">
        <w:t>ed direct measure</w:t>
      </w:r>
      <w:r w:rsidR="0018633D">
        <w:t xml:space="preserve"> of specialised community mental health activity</w:t>
      </w:r>
      <w:r w:rsidR="00CA014C">
        <w:t>.</w:t>
      </w:r>
    </w:p>
    <w:p w14:paraId="212EC84E" w14:textId="07B0AF59" w:rsidR="00C33E62" w:rsidRDefault="008173CA" w:rsidP="00AB0EBB">
      <w:pPr>
        <w:pStyle w:val="CGC2025ParaNumbers"/>
      </w:pPr>
      <w:r w:rsidRPr="008173CA">
        <w:t>New South Wales, Victoria and the ACT</w:t>
      </w:r>
      <w:r>
        <w:t xml:space="preserve"> </w:t>
      </w:r>
      <w:r w:rsidR="008048EE">
        <w:t xml:space="preserve">supported the use of </w:t>
      </w:r>
      <w:r w:rsidR="00934B9B">
        <w:t xml:space="preserve">the </w:t>
      </w:r>
      <w:r w:rsidR="008048EE">
        <w:t xml:space="preserve">direct measure </w:t>
      </w:r>
      <w:r w:rsidR="00EF3A8D">
        <w:t>of activity</w:t>
      </w:r>
      <w:r w:rsidR="00801561">
        <w:t>.</w:t>
      </w:r>
      <w:r w:rsidR="00CA632D">
        <w:t xml:space="preserve"> Other states </w:t>
      </w:r>
      <w:r w:rsidR="00B56D4C">
        <w:t xml:space="preserve">raised </w:t>
      </w:r>
      <w:r w:rsidR="00D53392">
        <w:t>a range of issues</w:t>
      </w:r>
      <w:r w:rsidR="00871F13">
        <w:t xml:space="preserve"> wit</w:t>
      </w:r>
      <w:r w:rsidR="00F93527">
        <w:t>h</w:t>
      </w:r>
      <w:r w:rsidR="00871F13">
        <w:t xml:space="preserve"> the </w:t>
      </w:r>
      <w:r w:rsidR="00F93527">
        <w:t>activity data</w:t>
      </w:r>
      <w:r w:rsidR="001C40C1">
        <w:t xml:space="preserve">. </w:t>
      </w:r>
      <w:r w:rsidR="00EF7A06">
        <w:t>Specifically</w:t>
      </w:r>
      <w:r w:rsidR="00AB0EBB">
        <w:t>:</w:t>
      </w:r>
    </w:p>
    <w:p w14:paraId="5D5D9170" w14:textId="70E69B54" w:rsidR="00BB43CD" w:rsidRPr="00E57B01" w:rsidRDefault="00BB43CD" w:rsidP="00C42EFC">
      <w:pPr>
        <w:pStyle w:val="CGC2025Bullet1"/>
      </w:pPr>
      <w:r w:rsidRPr="00E57B01">
        <w:t xml:space="preserve">the activity </w:t>
      </w:r>
      <w:r w:rsidR="008F6C55" w:rsidRPr="00E57B01">
        <w:t xml:space="preserve">and expense </w:t>
      </w:r>
      <w:r w:rsidRPr="00E57B01">
        <w:t>data w</w:t>
      </w:r>
      <w:r w:rsidR="0095177F">
        <w:t>ere</w:t>
      </w:r>
      <w:r w:rsidRPr="00E57B01">
        <w:t xml:space="preserve"> not reported consistently by states and therefore w</w:t>
      </w:r>
      <w:r w:rsidR="00B16E3D">
        <w:t>ere</w:t>
      </w:r>
      <w:r w:rsidRPr="00E57B01">
        <w:t xml:space="preserve"> not suitable for assessing GST needs</w:t>
      </w:r>
    </w:p>
    <w:p w14:paraId="5784034F" w14:textId="4900238F" w:rsidR="005060E3" w:rsidRDefault="005060E3" w:rsidP="00C42EFC">
      <w:pPr>
        <w:pStyle w:val="CGC2025Bullet1"/>
      </w:pPr>
      <w:r>
        <w:t>activity in ambulatory specialised community mental health services was not representative of activity in other forms of community mental health services, particularly in outer regional and remote areas</w:t>
      </w:r>
    </w:p>
    <w:p w14:paraId="06EE8C9E" w14:textId="13CB0C30" w:rsidR="005060E3" w:rsidRPr="00F120D9" w:rsidRDefault="005060E3" w:rsidP="00C42EFC">
      <w:pPr>
        <w:pStyle w:val="CGC2025Bullet1"/>
      </w:pPr>
      <w:r>
        <w:t xml:space="preserve">the activity data should not be used because of </w:t>
      </w:r>
      <w:r w:rsidR="00CE229F">
        <w:t>the</w:t>
      </w:r>
      <w:r>
        <w:t xml:space="preserve"> lack of cost weights</w:t>
      </w:r>
      <w:r w:rsidR="00E4107F">
        <w:t>.</w:t>
      </w:r>
    </w:p>
    <w:p w14:paraId="7AB89579" w14:textId="420059F2" w:rsidR="00046E66" w:rsidRPr="0038400B" w:rsidRDefault="00B83086" w:rsidP="00046E66">
      <w:pPr>
        <w:pStyle w:val="CGC2025ParaNumbers"/>
      </w:pPr>
      <w:r w:rsidRPr="0038400B">
        <w:t xml:space="preserve">New South Wales said </w:t>
      </w:r>
      <w:r w:rsidR="00D66C86" w:rsidRPr="0038400B">
        <w:t xml:space="preserve">the remoteness gradient should be derived from </w:t>
      </w:r>
      <w:r w:rsidR="003948B7" w:rsidRPr="0038400B">
        <w:t xml:space="preserve">the remoteness weights </w:t>
      </w:r>
      <w:r w:rsidR="00B55C1F" w:rsidRPr="0038400B">
        <w:t xml:space="preserve">for </w:t>
      </w:r>
      <w:r w:rsidR="00D66C86" w:rsidRPr="0038400B">
        <w:t>emergency</w:t>
      </w:r>
      <w:r w:rsidR="0040651A" w:rsidRPr="0038400B">
        <w:t xml:space="preserve"> department and non</w:t>
      </w:r>
      <w:r w:rsidR="0040651A" w:rsidRPr="0038400B">
        <w:noBreakHyphen/>
        <w:t xml:space="preserve">admitted patient </w:t>
      </w:r>
      <w:r w:rsidR="00B55C1F" w:rsidRPr="0038400B">
        <w:t>services</w:t>
      </w:r>
      <w:r w:rsidR="00DC1606" w:rsidRPr="0038400B">
        <w:t xml:space="preserve"> rather than the general regional </w:t>
      </w:r>
      <w:r w:rsidR="00FD0AFE">
        <w:t xml:space="preserve">cost </w:t>
      </w:r>
      <w:r w:rsidR="00DC1606" w:rsidRPr="0038400B">
        <w:t>gradient</w:t>
      </w:r>
      <w:r w:rsidR="00B36391" w:rsidRPr="0038400B">
        <w:t xml:space="preserve">. </w:t>
      </w:r>
      <w:r w:rsidR="00FC5D58" w:rsidRPr="0038400B">
        <w:t xml:space="preserve">Victoria said the </w:t>
      </w:r>
      <w:r w:rsidR="008C7D14" w:rsidRPr="0038400B">
        <w:t xml:space="preserve">general </w:t>
      </w:r>
      <w:r w:rsidR="00FC5D58" w:rsidRPr="0038400B">
        <w:t xml:space="preserve">regional </w:t>
      </w:r>
      <w:r w:rsidR="008C7D14" w:rsidRPr="0038400B">
        <w:t xml:space="preserve">cost </w:t>
      </w:r>
      <w:r w:rsidR="00FC5D58" w:rsidRPr="0038400B">
        <w:t>gradient should not be applied</w:t>
      </w:r>
      <w:r w:rsidR="00014A44" w:rsidRPr="0038400B">
        <w:t xml:space="preserve"> or at least discounted by 50%</w:t>
      </w:r>
      <w:r w:rsidR="00767BDC" w:rsidRPr="0038400B">
        <w:t xml:space="preserve"> because there is no evidence that costs increase with remoteness</w:t>
      </w:r>
      <w:r w:rsidR="00014A44" w:rsidRPr="0038400B">
        <w:t>.</w:t>
      </w:r>
      <w:r w:rsidR="00252B7C" w:rsidRPr="0038400B">
        <w:t xml:space="preserve"> Western Australia said the </w:t>
      </w:r>
      <w:r w:rsidR="008C7D14" w:rsidRPr="0038400B">
        <w:t>general regional cost gradient should not be discounted</w:t>
      </w:r>
      <w:r w:rsidR="00080887" w:rsidRPr="0038400B">
        <w:t xml:space="preserve"> because a portion of the gradient is derived from health services.</w:t>
      </w:r>
    </w:p>
    <w:p w14:paraId="18D9706B" w14:textId="4347E8BA" w:rsidR="00590DA8" w:rsidRDefault="00FE6127" w:rsidP="00556B07">
      <w:pPr>
        <w:pStyle w:val="Heading4"/>
      </w:pPr>
      <w:r>
        <w:t>Commission response</w:t>
      </w:r>
    </w:p>
    <w:p w14:paraId="021F9150" w14:textId="3CB75AEB" w:rsidR="000A1842" w:rsidRDefault="000A1842" w:rsidP="007566C2">
      <w:pPr>
        <w:pStyle w:val="CGC2025ParaNumbers"/>
      </w:pPr>
      <w:r>
        <w:t xml:space="preserve">The Commission </w:t>
      </w:r>
      <w:r w:rsidR="00B335CA">
        <w:t xml:space="preserve">concluded </w:t>
      </w:r>
      <w:r w:rsidR="001D4DFC">
        <w:t xml:space="preserve">that </w:t>
      </w:r>
      <w:r>
        <w:t xml:space="preserve">the data on specialised community mental health ambulatory services </w:t>
      </w:r>
      <w:r w:rsidR="00F2231A">
        <w:t>w</w:t>
      </w:r>
      <w:r w:rsidR="00563927">
        <w:t>ere</w:t>
      </w:r>
      <w:r w:rsidR="00F2231A">
        <w:t xml:space="preserve"> not</w:t>
      </w:r>
      <w:r w:rsidR="008C6337">
        <w:t xml:space="preserve"> </w:t>
      </w:r>
      <w:r>
        <w:t xml:space="preserve">representative of activity </w:t>
      </w:r>
      <w:r w:rsidR="005559CF">
        <w:t>for</w:t>
      </w:r>
      <w:r>
        <w:t xml:space="preserve"> all community mental health services.</w:t>
      </w:r>
      <w:r w:rsidR="005B2A64">
        <w:t xml:space="preserve"> </w:t>
      </w:r>
      <w:r>
        <w:t xml:space="preserve">Although in aggregate ambulatory services represent a sizeable share of total state spending on specialised community mental health services (66%), they </w:t>
      </w:r>
      <w:r>
        <w:lastRenderedPageBreak/>
        <w:t>account for a larger share of services in major cities and inner regional areas and a much lower share of services in outer regional and remote areas. Therefore, using this as an indicator of activity for all spending on specialised community mental health</w:t>
      </w:r>
      <w:r w:rsidR="007566C2">
        <w:t xml:space="preserve"> </w:t>
      </w:r>
      <w:r>
        <w:t>services would overestimate spending in major cities and inner regional areas and</w:t>
      </w:r>
      <w:r w:rsidR="007566C2">
        <w:t xml:space="preserve"> </w:t>
      </w:r>
      <w:r>
        <w:t>underestimate spending in other areas.</w:t>
      </w:r>
    </w:p>
    <w:p w14:paraId="03D36513" w14:textId="585F2E82" w:rsidR="00FE6127" w:rsidRDefault="007427C3">
      <w:pPr>
        <w:pStyle w:val="CGC2025ParaNumbers"/>
      </w:pPr>
      <w:r>
        <w:t xml:space="preserve">The Commission </w:t>
      </w:r>
      <w:r w:rsidR="007566C2">
        <w:t xml:space="preserve">therefore </w:t>
      </w:r>
      <w:r w:rsidR="00AC6527">
        <w:t xml:space="preserve">modified </w:t>
      </w:r>
      <w:r w:rsidR="0020776D">
        <w:t xml:space="preserve">its original proposal </w:t>
      </w:r>
      <w:r w:rsidR="000915B1">
        <w:t xml:space="preserve">and </w:t>
      </w:r>
      <w:r w:rsidR="000915B1" w:rsidRPr="000915B1">
        <w:t>narrow</w:t>
      </w:r>
      <w:r w:rsidR="000915B1">
        <w:t>ed</w:t>
      </w:r>
      <w:r w:rsidR="000915B1" w:rsidRPr="000915B1">
        <w:t xml:space="preserve"> the use of the activity data to assess spending only on ambulatory specialised community mental health services</w:t>
      </w:r>
      <w:r w:rsidR="00FC7A64">
        <w:t>.</w:t>
      </w:r>
    </w:p>
    <w:p w14:paraId="0F70B0A2" w14:textId="3723E47D" w:rsidR="00FC7A64" w:rsidRPr="0038400B" w:rsidRDefault="00FC7A64" w:rsidP="000915B1">
      <w:pPr>
        <w:pStyle w:val="CGC2025ParaNumbers"/>
      </w:pPr>
      <w:r w:rsidRPr="0038400B">
        <w:t xml:space="preserve">The Commission </w:t>
      </w:r>
      <w:r w:rsidR="006F0E39">
        <w:t xml:space="preserve">concluded that, notwithstanding </w:t>
      </w:r>
      <w:r w:rsidR="003D141D">
        <w:t>concerns</w:t>
      </w:r>
      <w:r w:rsidR="006F0E39">
        <w:t xml:space="preserve"> raised by states </w:t>
      </w:r>
      <w:r w:rsidR="003D141D">
        <w:t>about the activity data</w:t>
      </w:r>
      <w:r w:rsidR="001B3064">
        <w:t xml:space="preserve"> on spending </w:t>
      </w:r>
      <w:r w:rsidR="00B75749">
        <w:t>for ambulatory specialised community mental health services</w:t>
      </w:r>
      <w:r w:rsidR="003D141D">
        <w:t>,</w:t>
      </w:r>
      <w:r w:rsidR="008C69DB" w:rsidRPr="0038400B">
        <w:t xml:space="preserve"> </w:t>
      </w:r>
      <w:r w:rsidR="003D141D">
        <w:t>the</w:t>
      </w:r>
      <w:r w:rsidR="00750227">
        <w:t>se</w:t>
      </w:r>
      <w:r w:rsidR="007A2DAD">
        <w:t xml:space="preserve"> </w:t>
      </w:r>
      <w:r w:rsidR="003D141D">
        <w:t xml:space="preserve">data </w:t>
      </w:r>
      <w:r w:rsidR="008C69DB" w:rsidRPr="0038400B">
        <w:t xml:space="preserve">would likely </w:t>
      </w:r>
      <w:r w:rsidR="00A46632" w:rsidRPr="0038400B">
        <w:t xml:space="preserve">produce a better estimate of state GST needs than </w:t>
      </w:r>
      <w:r w:rsidR="00C9664D" w:rsidRPr="0038400B">
        <w:t>an activity indicator based on hospital activity.</w:t>
      </w:r>
    </w:p>
    <w:p w14:paraId="79DDEE22" w14:textId="2F4CB2DF" w:rsidR="00264357" w:rsidRPr="0038400B" w:rsidRDefault="00B61648" w:rsidP="000915B1">
      <w:pPr>
        <w:pStyle w:val="CGC2025ParaNumbers"/>
      </w:pPr>
      <w:r w:rsidRPr="0038400B">
        <w:t xml:space="preserve">The </w:t>
      </w:r>
      <w:r w:rsidR="001515F0" w:rsidRPr="0038400B">
        <w:t xml:space="preserve">Commission applied the </w:t>
      </w:r>
      <w:r w:rsidRPr="0038400B">
        <w:t>general regional</w:t>
      </w:r>
      <w:r w:rsidR="007C1EC9">
        <w:t xml:space="preserve"> cost</w:t>
      </w:r>
      <w:r w:rsidRPr="0038400B">
        <w:t xml:space="preserve"> gradient </w:t>
      </w:r>
      <w:r w:rsidR="001515F0" w:rsidRPr="0038400B">
        <w:t xml:space="preserve">to the activity data </w:t>
      </w:r>
      <w:r w:rsidR="004C2475" w:rsidRPr="0038400B">
        <w:t>to take account of increased service delivery costs as remoteness increases.</w:t>
      </w:r>
      <w:r w:rsidR="00027676" w:rsidRPr="0038400B">
        <w:t xml:space="preserve"> </w:t>
      </w:r>
      <w:r w:rsidR="00703894" w:rsidRPr="0038400B">
        <w:t xml:space="preserve">The general </w:t>
      </w:r>
      <w:r w:rsidR="007C1EC9">
        <w:t xml:space="preserve">regional cost </w:t>
      </w:r>
      <w:r w:rsidR="00703894" w:rsidRPr="0038400B">
        <w:t xml:space="preserve">gradient was considered </w:t>
      </w:r>
      <w:r w:rsidR="006432FD" w:rsidRPr="0038400B">
        <w:t>a better indicator of how costs change</w:t>
      </w:r>
      <w:r w:rsidR="00C66D84" w:rsidRPr="0038400B">
        <w:t xml:space="preserve"> with remoteness than a hospital</w:t>
      </w:r>
      <w:r w:rsidR="00C66D84" w:rsidRPr="0038400B">
        <w:noBreakHyphen/>
        <w:t xml:space="preserve">based regional cost gradient. </w:t>
      </w:r>
      <w:r w:rsidR="00027676" w:rsidRPr="0038400B">
        <w:t xml:space="preserve">A discount of 25% </w:t>
      </w:r>
      <w:r w:rsidR="000C472C" w:rsidRPr="0038400B">
        <w:t xml:space="preserve">to the gradient </w:t>
      </w:r>
      <w:r w:rsidR="00027676" w:rsidRPr="0038400B">
        <w:t xml:space="preserve">is </w:t>
      </w:r>
      <w:r w:rsidR="006940A8">
        <w:t>applied</w:t>
      </w:r>
      <w:r w:rsidR="006940A8" w:rsidRPr="0038400B">
        <w:t xml:space="preserve"> </w:t>
      </w:r>
      <w:r w:rsidR="00027676" w:rsidRPr="0038400B">
        <w:t xml:space="preserve">in all assessments where the general </w:t>
      </w:r>
      <w:r w:rsidR="0031581C">
        <w:t xml:space="preserve">regional cost </w:t>
      </w:r>
      <w:r w:rsidR="00027676" w:rsidRPr="0038400B">
        <w:t xml:space="preserve">gradient is used, in recognition that the cost components used </w:t>
      </w:r>
      <w:r w:rsidR="00BC7563">
        <w:t>to calculate</w:t>
      </w:r>
      <w:r w:rsidR="00BC7563" w:rsidRPr="0038400B">
        <w:t xml:space="preserve"> </w:t>
      </w:r>
      <w:r w:rsidR="00027676" w:rsidRPr="0038400B">
        <w:t xml:space="preserve">the general </w:t>
      </w:r>
      <w:r w:rsidR="0031581C">
        <w:t xml:space="preserve">regional cost </w:t>
      </w:r>
      <w:r w:rsidR="00027676" w:rsidRPr="0038400B">
        <w:t>gradient are only a proxy for actual service costs.</w:t>
      </w:r>
    </w:p>
    <w:p w14:paraId="37786D74" w14:textId="2F3977E2" w:rsidR="00D2011C" w:rsidRPr="004C3EFE" w:rsidRDefault="00D2011C" w:rsidP="00556B07">
      <w:pPr>
        <w:pStyle w:val="Heading4"/>
      </w:pPr>
      <w:r w:rsidRPr="004C3EFE">
        <w:t xml:space="preserve">Commission </w:t>
      </w:r>
      <w:r w:rsidR="00705AE3" w:rsidRPr="004C3EFE">
        <w:t>decision</w:t>
      </w:r>
    </w:p>
    <w:p w14:paraId="19F85820" w14:textId="08123D8C" w:rsidR="00D60495" w:rsidRDefault="004F310E" w:rsidP="002043A7">
      <w:pPr>
        <w:pStyle w:val="CGC2025ParaNumbers"/>
        <w:tabs>
          <w:tab w:val="clear" w:pos="567"/>
        </w:tabs>
      </w:pPr>
      <w:bookmarkStart w:id="11" w:name="_Hlk177479913"/>
      <w:r w:rsidRPr="004C3EFE">
        <w:t>The</w:t>
      </w:r>
      <w:r>
        <w:t xml:space="preserve"> </w:t>
      </w:r>
      <w:r w:rsidR="002043A7">
        <w:t xml:space="preserve">Commission </w:t>
      </w:r>
      <w:r w:rsidR="00261B76">
        <w:t>will</w:t>
      </w:r>
      <w:r w:rsidR="002043A7">
        <w:t xml:space="preserve"> introduce a direct measure of community mental health activity for ambulatory services only</w:t>
      </w:r>
      <w:r w:rsidR="00596307">
        <w:t>.</w:t>
      </w:r>
      <w:r w:rsidR="008A3F89">
        <w:t xml:space="preserve"> </w:t>
      </w:r>
      <w:r w:rsidR="00596307">
        <w:t xml:space="preserve">The </w:t>
      </w:r>
      <w:r w:rsidR="005A169B">
        <w:t>ambulatory community mental health</w:t>
      </w:r>
      <w:r w:rsidR="002043A7">
        <w:t xml:space="preserve"> </w:t>
      </w:r>
      <w:r w:rsidR="005A169B">
        <w:t xml:space="preserve">assessment will be a </w:t>
      </w:r>
      <w:r w:rsidR="002043A7">
        <w:t>sub-component of the community and public health assessment.</w:t>
      </w:r>
      <w:bookmarkEnd w:id="6"/>
    </w:p>
    <w:bookmarkEnd w:id="11"/>
    <w:p w14:paraId="394F80B8" w14:textId="67E9EC60" w:rsidR="00A80F35" w:rsidRDefault="00127D27" w:rsidP="00261B76">
      <w:pPr>
        <w:pStyle w:val="Heading3"/>
        <w:keepNext/>
      </w:pPr>
      <w:r>
        <w:t xml:space="preserve">Expanded proxy measure of </w:t>
      </w:r>
      <w:r w:rsidR="00791E98">
        <w:t xml:space="preserve">activity for the </w:t>
      </w:r>
      <w:r>
        <w:t>residual</w:t>
      </w:r>
      <w:r w:rsidR="00791E98">
        <w:t xml:space="preserve"> community and </w:t>
      </w:r>
      <w:r w:rsidR="00555283">
        <w:t>public health services</w:t>
      </w:r>
    </w:p>
    <w:p w14:paraId="2AE37A93" w14:textId="3ECFDDA1" w:rsidR="00A80F35" w:rsidRDefault="006164F4" w:rsidP="006164F4">
      <w:pPr>
        <w:pStyle w:val="CGC2025ParaNumbers"/>
      </w:pPr>
      <w:r>
        <w:t xml:space="preserve">The Commission </w:t>
      </w:r>
      <w:r w:rsidR="005F5483">
        <w:t xml:space="preserve">originally </w:t>
      </w:r>
      <w:r>
        <w:t>proposed the u</w:t>
      </w:r>
      <w:r w:rsidRPr="006164F4">
        <w:t xml:space="preserve">se </w:t>
      </w:r>
      <w:r>
        <w:t xml:space="preserve">of </w:t>
      </w:r>
      <w:r w:rsidRPr="006164F4">
        <w:t xml:space="preserve">a broader proxy indicator </w:t>
      </w:r>
      <w:r w:rsidR="004D74BB">
        <w:t xml:space="preserve">of activity </w:t>
      </w:r>
      <w:r w:rsidRPr="006164F4">
        <w:t>based on a combination of emergency department and non</w:t>
      </w:r>
      <w:r w:rsidR="004D74BB">
        <w:noBreakHyphen/>
      </w:r>
      <w:r w:rsidRPr="006164F4">
        <w:t xml:space="preserve">admitted patient services to assess </w:t>
      </w:r>
      <w:r w:rsidR="004D74BB">
        <w:t>expenses</w:t>
      </w:r>
      <w:r w:rsidRPr="006164F4">
        <w:t xml:space="preserve"> </w:t>
      </w:r>
      <w:r w:rsidR="004D74BB">
        <w:t>o</w:t>
      </w:r>
      <w:r w:rsidR="00167CDF">
        <w:t>n</w:t>
      </w:r>
      <w:r w:rsidRPr="006164F4">
        <w:t xml:space="preserve"> community and public health </w:t>
      </w:r>
      <w:r w:rsidR="00167CDF">
        <w:t xml:space="preserve">other than </w:t>
      </w:r>
      <w:r w:rsidR="00545949">
        <w:t>ambulatory specialised community mental health</w:t>
      </w:r>
      <w:r w:rsidRPr="006164F4">
        <w:t>.</w:t>
      </w:r>
    </w:p>
    <w:p w14:paraId="6FD06DE6" w14:textId="76DDA422" w:rsidR="004D527C" w:rsidRDefault="008330E2" w:rsidP="006164F4">
      <w:pPr>
        <w:pStyle w:val="CGC2025ParaNumbers"/>
      </w:pPr>
      <w:r>
        <w:t>T</w:t>
      </w:r>
      <w:r w:rsidR="002B52ED">
        <w:t>he Commission</w:t>
      </w:r>
      <w:r w:rsidR="004D527C">
        <w:t xml:space="preserve"> modified the </w:t>
      </w:r>
      <w:r w:rsidR="002B52ED">
        <w:t xml:space="preserve">original </w:t>
      </w:r>
      <w:r w:rsidR="004D527C">
        <w:t>proposal to include only a subset of non</w:t>
      </w:r>
      <w:r w:rsidR="004D527C">
        <w:noBreakHyphen/>
        <w:t>admitted patient services in the proxy indicator.</w:t>
      </w:r>
    </w:p>
    <w:p w14:paraId="17E4B452" w14:textId="37BC2D0B" w:rsidR="003720FC" w:rsidRDefault="003720FC" w:rsidP="003720FC">
      <w:pPr>
        <w:pStyle w:val="Heading4"/>
      </w:pPr>
      <w:r>
        <w:t>State views</w:t>
      </w:r>
    </w:p>
    <w:p w14:paraId="2E7862EB" w14:textId="2C6320E8" w:rsidR="003720FC" w:rsidRDefault="004B0BDC" w:rsidP="006164F4">
      <w:pPr>
        <w:pStyle w:val="CGC2025ParaNumbers"/>
      </w:pPr>
      <w:r>
        <w:t xml:space="preserve">Some states </w:t>
      </w:r>
      <w:r w:rsidR="00D11284">
        <w:t xml:space="preserve">welcomed efforts to improve the assessment of community and public health and </w:t>
      </w:r>
      <w:r w:rsidR="00606FCA">
        <w:t xml:space="preserve">provided qualified support </w:t>
      </w:r>
      <w:r w:rsidR="00D11284">
        <w:t xml:space="preserve">for broadening the proxy, although they acknowledged there </w:t>
      </w:r>
      <w:r w:rsidR="00FA7CE8">
        <w:t>was limited evidence to support the proposal.</w:t>
      </w:r>
    </w:p>
    <w:p w14:paraId="212BDFB5" w14:textId="03957BAD" w:rsidR="00A2657D" w:rsidRDefault="00E17C70" w:rsidP="00E17C70">
      <w:pPr>
        <w:pStyle w:val="CGC2025ParaNumbers"/>
      </w:pPr>
      <w:r w:rsidRPr="00E17C70">
        <w:lastRenderedPageBreak/>
        <w:t>Some states said that emergency department services are more representative of community health services than non</w:t>
      </w:r>
      <w:r w:rsidR="00D70BD3">
        <w:noBreakHyphen/>
      </w:r>
      <w:r w:rsidRPr="00E17C70">
        <w:t>admitted patient services</w:t>
      </w:r>
      <w:r w:rsidR="00D70BD3">
        <w:t>, particularly</w:t>
      </w:r>
      <w:r w:rsidR="00D70BD3" w:rsidRPr="00D70BD3">
        <w:t xml:space="preserve"> </w:t>
      </w:r>
      <w:r w:rsidR="00D70BD3" w:rsidRPr="00E17C70">
        <w:t>in remote and very remote areas</w:t>
      </w:r>
      <w:r w:rsidR="003605F7">
        <w:t>.</w:t>
      </w:r>
    </w:p>
    <w:p w14:paraId="5BE03BEC" w14:textId="7AFAD7C0" w:rsidR="00254C61" w:rsidRPr="0038400B" w:rsidRDefault="00254C61" w:rsidP="00254C61">
      <w:pPr>
        <w:pStyle w:val="CGC2025ParaNumbers"/>
      </w:pPr>
      <w:r w:rsidRPr="0038400B">
        <w:t>Victoria said that</w:t>
      </w:r>
      <w:r w:rsidR="00EB4E3F">
        <w:t>,</w:t>
      </w:r>
      <w:r w:rsidRPr="0038400B">
        <w:t xml:space="preserve"> given the lack of relationship of the hospital-based proxies to public and community health, the </w:t>
      </w:r>
      <w:r w:rsidR="005B79E5" w:rsidRPr="0038400B">
        <w:t>Commission</w:t>
      </w:r>
      <w:r w:rsidRPr="0038400B">
        <w:t xml:space="preserve"> should assess these components as </w:t>
      </w:r>
      <w:r w:rsidR="005B79E5" w:rsidRPr="0038400B">
        <w:t>equal per capita.</w:t>
      </w:r>
    </w:p>
    <w:p w14:paraId="182FBF5A" w14:textId="4408123E" w:rsidR="00B96586" w:rsidRPr="0038400B" w:rsidRDefault="00B96586" w:rsidP="00254C61">
      <w:pPr>
        <w:pStyle w:val="CGC2025ParaNumbers"/>
      </w:pPr>
      <w:r w:rsidRPr="0038400B">
        <w:t>South Australia said the weighting of non</w:t>
      </w:r>
      <w:r w:rsidRPr="0038400B">
        <w:noBreakHyphen/>
        <w:t xml:space="preserve">admitted patient services in the </w:t>
      </w:r>
      <w:r w:rsidR="005A78EA" w:rsidRPr="0038400B">
        <w:t>proxy indicator should be reduced due to problems with the data.</w:t>
      </w:r>
    </w:p>
    <w:p w14:paraId="77A7F017" w14:textId="3F7A1A5A" w:rsidR="00205AF3" w:rsidRPr="0038400B" w:rsidRDefault="00EC1D42" w:rsidP="00B463BE">
      <w:pPr>
        <w:pStyle w:val="CGC2025ParaNumbers"/>
      </w:pPr>
      <w:r w:rsidRPr="0038400B">
        <w:t xml:space="preserve">Tasmania said the Commission’s analysis of </w:t>
      </w:r>
      <w:r w:rsidR="00F945A2" w:rsidRPr="0038400B">
        <w:t xml:space="preserve">similarities between </w:t>
      </w:r>
      <w:r w:rsidR="00552F7D" w:rsidRPr="0038400B">
        <w:t xml:space="preserve">community and public </w:t>
      </w:r>
      <w:r w:rsidR="004071CF" w:rsidRPr="0038400B">
        <w:t xml:space="preserve">health </w:t>
      </w:r>
      <w:r w:rsidR="001D4DE3" w:rsidRPr="0038400B">
        <w:t xml:space="preserve">services </w:t>
      </w:r>
      <w:r w:rsidR="00552F7D" w:rsidRPr="0038400B">
        <w:t>and non</w:t>
      </w:r>
      <w:r w:rsidR="00552F7D" w:rsidRPr="0038400B">
        <w:noBreakHyphen/>
        <w:t xml:space="preserve">admitted patient services </w:t>
      </w:r>
      <w:r w:rsidR="001D4DE3" w:rsidRPr="0038400B">
        <w:t xml:space="preserve">did not take account of large variations in </w:t>
      </w:r>
      <w:r w:rsidR="009B6675" w:rsidRPr="0038400B">
        <w:t>access times within</w:t>
      </w:r>
      <w:r w:rsidR="00905D27" w:rsidRPr="0038400B">
        <w:t xml:space="preserve"> community and public health programs. </w:t>
      </w:r>
      <w:r w:rsidR="00187F7D" w:rsidRPr="00187F7D">
        <w:t>Tasmania said that activity of COVID</w:t>
      </w:r>
      <w:r w:rsidR="00187F7D">
        <w:noBreakHyphen/>
      </w:r>
      <w:r w:rsidR="00187F7D" w:rsidRPr="00187F7D">
        <w:t>19 clinics should not be included in the proxy indicator for community and public health because the Commission had proposed a separate assessment of COVID</w:t>
      </w:r>
      <w:r w:rsidR="0041502B">
        <w:t>-</w:t>
      </w:r>
      <w:r w:rsidR="00187F7D" w:rsidRPr="00187F7D">
        <w:t>19 expenses.</w:t>
      </w:r>
    </w:p>
    <w:p w14:paraId="143952D5" w14:textId="08A034FB" w:rsidR="00B877BC" w:rsidRDefault="00B877BC" w:rsidP="00B877BC">
      <w:pPr>
        <w:pStyle w:val="Heading4"/>
      </w:pPr>
      <w:r>
        <w:t>Commission response</w:t>
      </w:r>
    </w:p>
    <w:p w14:paraId="1047BFA5" w14:textId="429CF11A" w:rsidR="00EB096D" w:rsidRDefault="00EB096D" w:rsidP="00EB096D">
      <w:pPr>
        <w:pStyle w:val="CGC2025ParaNumbers"/>
      </w:pPr>
      <w:r>
        <w:t>The diversity of community and public health programs and limited existing information on the socio-demographic usage of the programs ma</w:t>
      </w:r>
      <w:r w:rsidR="001B65F7">
        <w:t>k</w:t>
      </w:r>
      <w:r>
        <w:t xml:space="preserve">e it difficult to determine whether a hospital-based indicator of activity would be a reasonable proxy for community and public health activity (outside of ambulatory community mental health care). However, the only options available to the Commission </w:t>
      </w:r>
      <w:r w:rsidR="002573AD">
        <w:t xml:space="preserve">are </w:t>
      </w:r>
      <w:r>
        <w:t>hospital-based activity measures</w:t>
      </w:r>
      <w:r w:rsidR="00696270">
        <w:t xml:space="preserve"> </w:t>
      </w:r>
      <w:r w:rsidR="00A700C5">
        <w:t>or</w:t>
      </w:r>
      <w:r w:rsidR="00E20B01">
        <w:t xml:space="preserve"> </w:t>
      </w:r>
      <w:r w:rsidR="00A700C5">
        <w:t xml:space="preserve">an equal per capita </w:t>
      </w:r>
      <w:r w:rsidR="00065596">
        <w:t>assessment.</w:t>
      </w:r>
      <w:r w:rsidR="00D41E10">
        <w:rPr>
          <w:rStyle w:val="FootnoteReference"/>
        </w:rPr>
        <w:footnoteReference w:id="2"/>
      </w:r>
    </w:p>
    <w:p w14:paraId="78A9F2B0" w14:textId="2B71108A" w:rsidR="008A3B57" w:rsidRDefault="0033674B" w:rsidP="005F4017">
      <w:pPr>
        <w:pStyle w:val="CGC2025ParaNumbers"/>
      </w:pPr>
      <w:r>
        <w:t xml:space="preserve">In the 2015 and 2020 </w:t>
      </w:r>
      <w:r w:rsidR="00F00C83">
        <w:t>r</w:t>
      </w:r>
      <w:r>
        <w:t>eviews</w:t>
      </w:r>
      <w:r w:rsidR="00151AEA">
        <w:t xml:space="preserve">, </w:t>
      </w:r>
      <w:r w:rsidR="008D0A31">
        <w:t xml:space="preserve">the Commission </w:t>
      </w:r>
      <w:r w:rsidR="00151AEA">
        <w:t xml:space="preserve">decided to use </w:t>
      </w:r>
      <w:bookmarkStart w:id="12" w:name="_Hlk178070742"/>
      <w:r w:rsidR="005F4017" w:rsidRPr="005F4017">
        <w:t>emergency department triage category 4 and 5 services</w:t>
      </w:r>
      <w:bookmarkEnd w:id="12"/>
      <w:r w:rsidR="005F4017">
        <w:t xml:space="preserve"> as the </w:t>
      </w:r>
      <w:r w:rsidR="008D0A31">
        <w:t xml:space="preserve">proxy indicator of activity for community and public health services </w:t>
      </w:r>
      <w:r w:rsidR="004A11BB">
        <w:t xml:space="preserve">based on the similarity of </w:t>
      </w:r>
      <w:r w:rsidR="005B1DE8">
        <w:t>the services in the 2</w:t>
      </w:r>
      <w:r w:rsidR="008151C2">
        <w:t> </w:t>
      </w:r>
      <w:r w:rsidR="005B1DE8">
        <w:t xml:space="preserve">health settings. </w:t>
      </w:r>
      <w:r w:rsidR="00C72BBD">
        <w:t>At the time</w:t>
      </w:r>
      <w:r w:rsidR="0089577C">
        <w:t xml:space="preserve"> of these reviews</w:t>
      </w:r>
      <w:r w:rsidR="00C72BBD">
        <w:t>, non</w:t>
      </w:r>
      <w:r w:rsidR="00C72BBD">
        <w:noBreakHyphen/>
        <w:t>admitted patient services were not considered</w:t>
      </w:r>
      <w:r w:rsidR="00752F7C">
        <w:t xml:space="preserve"> for the proxy indicator because the </w:t>
      </w:r>
      <w:bookmarkStart w:id="13" w:name="_Hlk178069234"/>
      <w:r w:rsidR="00752F7C">
        <w:t>national weighted activity unit data for non</w:t>
      </w:r>
      <w:r w:rsidR="00752F7C">
        <w:noBreakHyphen/>
        <w:t>admitted patient services</w:t>
      </w:r>
      <w:r w:rsidR="00982F5A">
        <w:t xml:space="preserve"> </w:t>
      </w:r>
      <w:bookmarkEnd w:id="13"/>
      <w:r w:rsidR="00982F5A">
        <w:t>were not sufficiently reliable.</w:t>
      </w:r>
    </w:p>
    <w:p w14:paraId="6B134464" w14:textId="34D45771" w:rsidR="00E66B29" w:rsidRDefault="00A0185E" w:rsidP="00643FA1">
      <w:pPr>
        <w:pStyle w:val="CGC2025ParaNumbers"/>
      </w:pPr>
      <w:r>
        <w:t>Non</w:t>
      </w:r>
      <w:r>
        <w:noBreakHyphen/>
        <w:t xml:space="preserve">admitted patient </w:t>
      </w:r>
      <w:r w:rsidRPr="00643FA1">
        <w:t xml:space="preserve">national weighted activity unit </w:t>
      </w:r>
      <w:r w:rsidR="00832D83">
        <w:t xml:space="preserve">data </w:t>
      </w:r>
      <w:r w:rsidR="00DA1F24">
        <w:t xml:space="preserve">are now </w:t>
      </w:r>
      <w:proofErr w:type="gramStart"/>
      <w:r w:rsidR="00DA1F24">
        <w:t>reliable</w:t>
      </w:r>
      <w:proofErr w:type="gramEnd"/>
      <w:r w:rsidR="00DA1F24">
        <w:t xml:space="preserve"> and t</w:t>
      </w:r>
      <w:r w:rsidR="00643FA1">
        <w:t xml:space="preserve">he Commission has been using </w:t>
      </w:r>
      <w:r w:rsidR="00DA1F24">
        <w:t>th</w:t>
      </w:r>
      <w:r w:rsidR="00C4649C">
        <w:t>e</w:t>
      </w:r>
      <w:r w:rsidR="00DA1F24">
        <w:t>s</w:t>
      </w:r>
      <w:r w:rsidR="00C4649C">
        <w:t>e</w:t>
      </w:r>
      <w:r w:rsidR="00DA1F24">
        <w:t xml:space="preserve"> </w:t>
      </w:r>
      <w:r w:rsidR="00643FA1" w:rsidRPr="00643FA1">
        <w:t xml:space="preserve">data </w:t>
      </w:r>
      <w:r w:rsidR="00C37EC7">
        <w:t>to assess expenses on</w:t>
      </w:r>
      <w:r w:rsidR="00643FA1" w:rsidRPr="00643FA1">
        <w:t xml:space="preserve"> non</w:t>
      </w:r>
      <w:r w:rsidR="00643FA1">
        <w:noBreakHyphen/>
      </w:r>
      <w:r w:rsidR="00643FA1" w:rsidRPr="00643FA1">
        <w:t xml:space="preserve">admitted patient services </w:t>
      </w:r>
      <w:r w:rsidR="00C37EC7">
        <w:t xml:space="preserve">since the 2021 Update. </w:t>
      </w:r>
      <w:r w:rsidR="00B847BD">
        <w:t>F</w:t>
      </w:r>
      <w:r w:rsidR="00A1569E">
        <w:t xml:space="preserve">or the 2025 Review, analysis was </w:t>
      </w:r>
      <w:r w:rsidR="00A35822">
        <w:t>undertaken to determine whether including non</w:t>
      </w:r>
      <w:r w:rsidR="00A35822">
        <w:noBreakHyphen/>
        <w:t>admitted patient services</w:t>
      </w:r>
      <w:r w:rsidR="00565898">
        <w:t xml:space="preserve"> would improve</w:t>
      </w:r>
      <w:r w:rsidR="00E66B29">
        <w:t xml:space="preserve"> the proxy</w:t>
      </w:r>
      <w:r w:rsidR="00C24819">
        <w:t xml:space="preserve"> for </w:t>
      </w:r>
      <w:r w:rsidR="00C8458C">
        <w:t>public health activity (outside of ambulatory</w:t>
      </w:r>
      <w:r w:rsidR="00F86B7B">
        <w:t xml:space="preserve"> community mental health care)</w:t>
      </w:r>
      <w:r w:rsidR="00E66B29">
        <w:t>.</w:t>
      </w:r>
    </w:p>
    <w:p w14:paraId="60CAF2FB" w14:textId="07B5F8B7" w:rsidR="00B2417B" w:rsidRDefault="00895B31" w:rsidP="00643FA1">
      <w:pPr>
        <w:pStyle w:val="CGC2025ParaNumbers"/>
      </w:pPr>
      <w:r>
        <w:t>The merits of broadening the proxy indicator to include all, or a subset of, non</w:t>
      </w:r>
      <w:r>
        <w:noBreakHyphen/>
        <w:t xml:space="preserve">admitted patient services </w:t>
      </w:r>
      <w:r w:rsidR="001A49D3">
        <w:t>were</w:t>
      </w:r>
      <w:r>
        <w:t xml:space="preserve"> assessed </w:t>
      </w:r>
      <w:proofErr w:type="gramStart"/>
      <w:r>
        <w:t>on the basis of</w:t>
      </w:r>
      <w:proofErr w:type="gramEnd"/>
      <w:r>
        <w:t xml:space="preserve"> similarity of service types and level of access to non-admitted patient services compared with </w:t>
      </w:r>
      <w:r w:rsidR="00F97BA2">
        <w:t xml:space="preserve">community and public health services. This </w:t>
      </w:r>
      <w:r w:rsidR="00F050B3">
        <w:t>was</w:t>
      </w:r>
      <w:r w:rsidR="00F97BA2">
        <w:t xml:space="preserve"> on the assumption that if service </w:t>
      </w:r>
      <w:r w:rsidR="00F97BA2">
        <w:lastRenderedPageBreak/>
        <w:t>types and access levels are similar then socio-demographic usage patterns would be similar.</w:t>
      </w:r>
      <w:r w:rsidR="00B2417B" w:rsidRPr="00B2417B">
        <w:t xml:space="preserve"> </w:t>
      </w:r>
    </w:p>
    <w:p w14:paraId="39E0FC9D" w14:textId="61EBB110" w:rsidR="001D79CD" w:rsidRDefault="007E4734" w:rsidP="00AF32F9">
      <w:pPr>
        <w:pStyle w:val="CGC2025ParaNumbers"/>
      </w:pPr>
      <w:r>
        <w:t>On the information available, there appear</w:t>
      </w:r>
      <w:r w:rsidR="002573AD">
        <w:t>s</w:t>
      </w:r>
      <w:r>
        <w:t xml:space="preserve"> to be a </w:t>
      </w:r>
      <w:r w:rsidR="00EA5474">
        <w:t>reasonabl</w:t>
      </w:r>
      <w:r w:rsidR="007662FE">
        <w:t>y</w:t>
      </w:r>
      <w:r w:rsidR="00EA5474">
        <w:t xml:space="preserve"> </w:t>
      </w:r>
      <w:r>
        <w:t>close relationship between community health services and non-admitted patient services provided by allied health professionals and clinical nurse specialists.</w:t>
      </w:r>
      <w:r w:rsidR="00EA5474">
        <w:t xml:space="preserve"> </w:t>
      </w:r>
      <w:r w:rsidR="00F360C2">
        <w:t>In terms of a</w:t>
      </w:r>
      <w:r w:rsidR="007662FE">
        <w:t>ccess times</w:t>
      </w:r>
      <w:r w:rsidR="00BB14EE">
        <w:t xml:space="preserve">, </w:t>
      </w:r>
      <w:r w:rsidR="007662FE">
        <w:t xml:space="preserve">community health services </w:t>
      </w:r>
      <w:r w:rsidR="00BB14EE">
        <w:t>were found to</w:t>
      </w:r>
      <w:r w:rsidR="007662FE">
        <w:t xml:space="preserve"> be generally more in line with wait times for non-admitted patient services than emergency department services</w:t>
      </w:r>
      <w:r w:rsidR="00AF32F9">
        <w:t>.</w:t>
      </w:r>
    </w:p>
    <w:p w14:paraId="46697DF9" w14:textId="28B012B8" w:rsidR="006A3A87" w:rsidRDefault="00CA34C6" w:rsidP="00CE6A77">
      <w:pPr>
        <w:pStyle w:val="CGC2025ParaNumbers"/>
      </w:pPr>
      <w:r>
        <w:t>G</w:t>
      </w:r>
      <w:r w:rsidRPr="00CA34C6">
        <w:t xml:space="preserve">iven </w:t>
      </w:r>
      <w:r w:rsidR="00AA2539" w:rsidRPr="00CA34C6">
        <w:t xml:space="preserve">expenses related </w:t>
      </w:r>
      <w:r w:rsidR="00AA2539">
        <w:t xml:space="preserve">to the </w:t>
      </w:r>
      <w:r w:rsidR="00C25464">
        <w:t>National Partners</w:t>
      </w:r>
      <w:r w:rsidR="009077DB">
        <w:t xml:space="preserve">hip on </w:t>
      </w:r>
      <w:r w:rsidRPr="00CA34C6">
        <w:t>COVID</w:t>
      </w:r>
      <w:r>
        <w:noBreakHyphen/>
      </w:r>
      <w:r w:rsidRPr="00CA34C6">
        <w:t xml:space="preserve">19 </w:t>
      </w:r>
      <w:r w:rsidR="004504E5">
        <w:t xml:space="preserve">Response </w:t>
      </w:r>
      <w:r w:rsidRPr="00CA34C6">
        <w:t>will be removed from the community and public health component</w:t>
      </w:r>
      <w:r w:rsidR="00F84891">
        <w:t xml:space="preserve"> until </w:t>
      </w:r>
      <w:r w:rsidR="00CE6A77">
        <w:t xml:space="preserve">the </w:t>
      </w:r>
      <w:r w:rsidR="008E41A0">
        <w:t>2027</w:t>
      </w:r>
      <w:r w:rsidR="00CE6A77">
        <w:t> Update</w:t>
      </w:r>
      <w:r w:rsidRPr="00CA34C6">
        <w:t>, the proxy indicator of activity would be improved by removing the COVID-19 non</w:t>
      </w:r>
      <w:r w:rsidR="007E1D84">
        <w:noBreakHyphen/>
      </w:r>
      <w:r w:rsidRPr="00CA34C6">
        <w:t>admitted patient services.</w:t>
      </w:r>
    </w:p>
    <w:p w14:paraId="1ADE24F3" w14:textId="1C795020" w:rsidR="003D2137" w:rsidRDefault="003228CF" w:rsidP="00CE77D7">
      <w:pPr>
        <w:pStyle w:val="CGC2025ParaNumbers"/>
      </w:pPr>
      <w:proofErr w:type="gramStart"/>
      <w:r>
        <w:t>In regard to</w:t>
      </w:r>
      <w:proofErr w:type="gramEnd"/>
      <w:r>
        <w:t xml:space="preserve"> the option of an equal per capita assessment, the Commission reviewed available information on the use and targeting </w:t>
      </w:r>
      <w:r w:rsidR="00612C2C">
        <w:t>of community and public health services by socio</w:t>
      </w:r>
      <w:r w:rsidR="00612C2C">
        <w:noBreakHyphen/>
        <w:t>demographic group</w:t>
      </w:r>
      <w:r w:rsidR="00893CD2">
        <w:t xml:space="preserve">. </w:t>
      </w:r>
      <w:r w:rsidR="00A73291">
        <w:t xml:space="preserve">It concluded that </w:t>
      </w:r>
      <w:r w:rsidR="00272013">
        <w:t>socio</w:t>
      </w:r>
      <w:r w:rsidR="00272013">
        <w:noBreakHyphen/>
      </w:r>
      <w:r w:rsidR="00EE4B2C">
        <w:t>demographic</w:t>
      </w:r>
      <w:r w:rsidR="00272013">
        <w:t xml:space="preserve"> use </w:t>
      </w:r>
      <w:r w:rsidR="00CE77D7">
        <w:t xml:space="preserve">rates for </w:t>
      </w:r>
      <w:r w:rsidR="00CE77D7" w:rsidRPr="00CE77D7">
        <w:t>emergency department triage category 4 and 5 services</w:t>
      </w:r>
      <w:r w:rsidR="00CE77D7">
        <w:t xml:space="preserve"> and </w:t>
      </w:r>
      <w:r w:rsidR="00CE77D7" w:rsidRPr="00CE77D7">
        <w:t>non</w:t>
      </w:r>
      <w:r w:rsidR="00CE77D7">
        <w:noBreakHyphen/>
      </w:r>
      <w:r w:rsidR="00CE77D7" w:rsidRPr="00CE77D7">
        <w:t>admitted patient allied health services</w:t>
      </w:r>
      <w:r w:rsidR="00995DC2">
        <w:t xml:space="preserve"> are likely to </w:t>
      </w:r>
      <w:r w:rsidR="00887387">
        <w:t>produce a better estimate of assessed expenses for community and public</w:t>
      </w:r>
      <w:r w:rsidR="006836A0">
        <w:t xml:space="preserve"> </w:t>
      </w:r>
      <w:r w:rsidR="00887387">
        <w:t xml:space="preserve">health than </w:t>
      </w:r>
      <w:r w:rsidR="006836A0">
        <w:t>assessing the expenses using state population.</w:t>
      </w:r>
    </w:p>
    <w:p w14:paraId="282597F5" w14:textId="1717EF86" w:rsidR="00261DEC" w:rsidRPr="00B877BC" w:rsidRDefault="00261DEC" w:rsidP="000441CF">
      <w:pPr>
        <w:pStyle w:val="Heading4"/>
      </w:pPr>
      <w:r>
        <w:t>Commission decision</w:t>
      </w:r>
    </w:p>
    <w:p w14:paraId="07ADF9FD" w14:textId="2042BA53" w:rsidR="00D2325F" w:rsidRPr="00D2325F" w:rsidRDefault="00F050B3" w:rsidP="00D2325F">
      <w:pPr>
        <w:pStyle w:val="CGC2025ParaNumbers"/>
      </w:pPr>
      <w:r>
        <w:t xml:space="preserve">The Commission </w:t>
      </w:r>
      <w:r w:rsidR="00261B76">
        <w:t>will</w:t>
      </w:r>
      <w:r>
        <w:t xml:space="preserve"> broaden the proxy indicator of community and public health activity (outside of ambulatory community mental health) to include a combination of </w:t>
      </w:r>
      <w:bookmarkStart w:id="14" w:name="_Hlk178071149"/>
      <w:r>
        <w:t xml:space="preserve">emergency department triage category 4 and 5 </w:t>
      </w:r>
      <w:bookmarkEnd w:id="14"/>
      <w:r>
        <w:t xml:space="preserve">plus a subset of </w:t>
      </w:r>
      <w:bookmarkStart w:id="15" w:name="_Hlk178070768"/>
      <w:r>
        <w:t>non</w:t>
      </w:r>
      <w:r>
        <w:noBreakHyphen/>
        <w:t>admitted patient allied health services</w:t>
      </w:r>
      <w:bookmarkEnd w:id="15"/>
      <w:r>
        <w:t xml:space="preserve"> </w:t>
      </w:r>
      <w:proofErr w:type="gramStart"/>
      <w:r>
        <w:t>similar to</w:t>
      </w:r>
      <w:proofErr w:type="gramEnd"/>
      <w:r>
        <w:t xml:space="preserve"> community health services</w:t>
      </w:r>
      <w:r w:rsidR="004417DA">
        <w:t xml:space="preserve"> (Attachment </w:t>
      </w:r>
      <w:r w:rsidR="001A2100">
        <w:t xml:space="preserve">A, </w:t>
      </w:r>
      <w:r w:rsidR="004417DA">
        <w:t>Table A</w:t>
      </w:r>
      <w:r w:rsidR="0096167A">
        <w:t>-</w:t>
      </w:r>
      <w:r w:rsidR="004417DA">
        <w:t>1)</w:t>
      </w:r>
      <w:r>
        <w:t xml:space="preserve">. </w:t>
      </w:r>
      <w:r w:rsidR="00D2325F">
        <w:t>Activity in t</w:t>
      </w:r>
      <w:r w:rsidR="00D2325F" w:rsidRPr="00D2325F">
        <w:t>he COVID</w:t>
      </w:r>
      <w:r w:rsidR="00180C84">
        <w:noBreakHyphen/>
      </w:r>
      <w:r w:rsidR="00D2325F" w:rsidRPr="00D2325F">
        <w:t xml:space="preserve">19 clinics </w:t>
      </w:r>
      <w:r w:rsidR="00D2325F">
        <w:t xml:space="preserve">will be excluded </w:t>
      </w:r>
      <w:r w:rsidR="00D2325F" w:rsidRPr="00D2325F">
        <w:t>from the list of non</w:t>
      </w:r>
      <w:r w:rsidR="00BF1963">
        <w:noBreakHyphen/>
      </w:r>
      <w:r w:rsidR="00D2325F" w:rsidRPr="00D2325F">
        <w:t>admitted patient allied health services in the proxy indicator of community and public health</w:t>
      </w:r>
      <w:r w:rsidR="00D907B2">
        <w:t xml:space="preserve"> while</w:t>
      </w:r>
      <w:r w:rsidR="00776135">
        <w:t xml:space="preserve"> there is</w:t>
      </w:r>
      <w:r w:rsidR="00D907B2">
        <w:t xml:space="preserve"> a separate assessment</w:t>
      </w:r>
      <w:r w:rsidR="00D2325F" w:rsidRPr="00D2325F">
        <w:t xml:space="preserve"> of COVID</w:t>
      </w:r>
      <w:r w:rsidR="00AA34A6">
        <w:noBreakHyphen/>
      </w:r>
      <w:r w:rsidR="00D2325F" w:rsidRPr="00D2325F">
        <w:t>19 expenses</w:t>
      </w:r>
      <w:r w:rsidR="00E90D32">
        <w:t>.</w:t>
      </w:r>
    </w:p>
    <w:p w14:paraId="0D21A62C" w14:textId="2371839F" w:rsidR="00233F57" w:rsidRDefault="00A007B5" w:rsidP="00A007B5">
      <w:pPr>
        <w:pStyle w:val="Heading3"/>
      </w:pPr>
      <w:r>
        <w:t>Separate assessment of public health</w:t>
      </w:r>
    </w:p>
    <w:p w14:paraId="4E927D2B" w14:textId="106E4EA0" w:rsidR="00233F57" w:rsidRDefault="0065521B" w:rsidP="00630089">
      <w:pPr>
        <w:pStyle w:val="CGC2025ParaNumbers"/>
      </w:pPr>
      <w:r>
        <w:t>The Commission considered state views</w:t>
      </w:r>
      <w:r w:rsidR="00630089">
        <w:t xml:space="preserve"> </w:t>
      </w:r>
      <w:r w:rsidR="008F2164">
        <w:t>on public health expenses</w:t>
      </w:r>
      <w:r w:rsidR="00EE3939">
        <w:t xml:space="preserve"> being assessed separately to </w:t>
      </w:r>
      <w:r w:rsidR="004F16EB">
        <w:t>community health expenses</w:t>
      </w:r>
      <w:r w:rsidR="008F2164">
        <w:t xml:space="preserve">. </w:t>
      </w:r>
      <w:r w:rsidR="00F904B1">
        <w:t>In the 2020 Review method</w:t>
      </w:r>
      <w:r w:rsidR="00E505F8">
        <w:t xml:space="preserve">, </w:t>
      </w:r>
      <w:r w:rsidR="00325712">
        <w:t xml:space="preserve">expenses on </w:t>
      </w:r>
      <w:r w:rsidR="004F16EB">
        <w:t xml:space="preserve">community and </w:t>
      </w:r>
      <w:r w:rsidR="00325712">
        <w:t xml:space="preserve">public health </w:t>
      </w:r>
      <w:r w:rsidR="00006444">
        <w:t xml:space="preserve">were </w:t>
      </w:r>
      <w:r w:rsidR="00325712">
        <w:t>assessed using a proxy indicator</w:t>
      </w:r>
      <w:r w:rsidR="00DC2C39">
        <w:t xml:space="preserve"> (</w:t>
      </w:r>
      <w:r w:rsidR="0030188F">
        <w:t xml:space="preserve">national weighted activity units for </w:t>
      </w:r>
      <w:r w:rsidR="00DC2C39" w:rsidRPr="00DC2C39">
        <w:t xml:space="preserve">emergency department triage category 4 and 5 </w:t>
      </w:r>
      <w:r w:rsidR="0030188F">
        <w:t>services).</w:t>
      </w:r>
    </w:p>
    <w:p w14:paraId="0A7FD620" w14:textId="32349738" w:rsidR="00030E27" w:rsidRDefault="008330E2" w:rsidP="00A007B5">
      <w:pPr>
        <w:pStyle w:val="CGC2025ParaNumbers"/>
      </w:pPr>
      <w:r>
        <w:t>T</w:t>
      </w:r>
      <w:r w:rsidR="00030E27">
        <w:t xml:space="preserve">he Commission proposed </w:t>
      </w:r>
      <w:r w:rsidR="00DF1CB0">
        <w:t>to continue assessing</w:t>
      </w:r>
      <w:r w:rsidR="00030E27">
        <w:t xml:space="preserve"> public health expenses</w:t>
      </w:r>
      <w:r w:rsidR="00DF1CB0">
        <w:t xml:space="preserve"> with </w:t>
      </w:r>
      <w:r w:rsidR="00400490">
        <w:t xml:space="preserve">community health </w:t>
      </w:r>
      <w:r w:rsidR="00026D2C">
        <w:t xml:space="preserve">expenses, but </w:t>
      </w:r>
      <w:r w:rsidR="00BE51C1">
        <w:t>to broaden the proxy indicator of activity to include a sub</w:t>
      </w:r>
      <w:r w:rsidR="00416DAA">
        <w:t xml:space="preserve">set of </w:t>
      </w:r>
      <w:r w:rsidR="00D50B86">
        <w:t>non</w:t>
      </w:r>
      <w:r w:rsidR="00D50B86">
        <w:noBreakHyphen/>
        <w:t>admitted patient services</w:t>
      </w:r>
      <w:r w:rsidR="00030E27">
        <w:t>.</w:t>
      </w:r>
    </w:p>
    <w:p w14:paraId="1C7353FC" w14:textId="2A171DC6" w:rsidR="00A007B5" w:rsidRDefault="00AF0A86" w:rsidP="00AF0A86">
      <w:pPr>
        <w:pStyle w:val="Heading4"/>
      </w:pPr>
      <w:r>
        <w:t>State views</w:t>
      </w:r>
    </w:p>
    <w:p w14:paraId="06E40485" w14:textId="28327DF7" w:rsidR="00AF0A86" w:rsidRDefault="00706C23" w:rsidP="00706C23">
      <w:pPr>
        <w:pStyle w:val="CGC2025ParaNumbers"/>
      </w:pPr>
      <w:r>
        <w:t>New South Wales, Victoria and Tasmania said that public health expenses should be assessed separately to community health expenses. New South Wales and Victoria said that public health expenses should be assessed equal per capita.</w:t>
      </w:r>
    </w:p>
    <w:p w14:paraId="0D1D9D79" w14:textId="18129E19" w:rsidR="00267735" w:rsidRPr="00846A58" w:rsidRDefault="00267735" w:rsidP="00706C23">
      <w:pPr>
        <w:pStyle w:val="CGC2025ParaNumbers"/>
      </w:pPr>
      <w:r w:rsidRPr="00846A58">
        <w:lastRenderedPageBreak/>
        <w:t>New South Wales said public health services are relatively standardised, with only minor variations for targeted groups. It said there is little evidence that different groups require materially different expenditure or involve varying degrees of complexity.</w:t>
      </w:r>
      <w:r w:rsidR="00E502A5" w:rsidRPr="00846A58">
        <w:t xml:space="preserve"> </w:t>
      </w:r>
      <w:r w:rsidR="005158AB" w:rsidRPr="00846A58">
        <w:t xml:space="preserve">If the Commission </w:t>
      </w:r>
      <w:r w:rsidR="00832550">
        <w:t>decided not</w:t>
      </w:r>
      <w:r w:rsidR="005158AB" w:rsidRPr="00846A58">
        <w:t xml:space="preserve"> to assess public health expenses on an equal per capita basis it </w:t>
      </w:r>
      <w:r w:rsidR="00584518" w:rsidRPr="00846A58">
        <w:t>should reduce the influence of socio</w:t>
      </w:r>
      <w:r w:rsidR="00590172" w:rsidRPr="00846A58">
        <w:t>-</w:t>
      </w:r>
      <w:r w:rsidR="00584518" w:rsidRPr="00846A58">
        <w:t>economic status and age</w:t>
      </w:r>
      <w:r w:rsidR="00762B6A" w:rsidRPr="00846A58">
        <w:t xml:space="preserve">, while retaining </w:t>
      </w:r>
      <w:r w:rsidR="00221CEC" w:rsidRPr="00846A58">
        <w:t xml:space="preserve">an unchanged </w:t>
      </w:r>
      <w:r w:rsidR="00762B6A" w:rsidRPr="00846A58">
        <w:t>First Nation</w:t>
      </w:r>
      <w:r w:rsidR="00221CEC" w:rsidRPr="00846A58">
        <w:t>s</w:t>
      </w:r>
      <w:r w:rsidR="00762B6A" w:rsidRPr="00846A58">
        <w:t xml:space="preserve"> driver</w:t>
      </w:r>
      <w:r w:rsidR="00221CEC" w:rsidRPr="00846A58">
        <w:t>.</w:t>
      </w:r>
    </w:p>
    <w:p w14:paraId="03AFAD4D" w14:textId="5B728A1A" w:rsidR="00EC1242" w:rsidRDefault="00EC1242" w:rsidP="00706C23">
      <w:pPr>
        <w:pStyle w:val="CGC2025ParaNumbers"/>
      </w:pPr>
      <w:r>
        <w:t>Victoria said that public health programs may be targeted to specific groups, however, predominantly are whole-of-state activities. It said public health services are not the same as hospital services.</w:t>
      </w:r>
    </w:p>
    <w:p w14:paraId="0BC408F4" w14:textId="1BB079C9" w:rsidR="00AF0A86" w:rsidRDefault="00AF0A86" w:rsidP="00AF0A86">
      <w:pPr>
        <w:pStyle w:val="Heading4"/>
      </w:pPr>
      <w:r>
        <w:t>Commission response</w:t>
      </w:r>
    </w:p>
    <w:p w14:paraId="6DAC173D" w14:textId="486AED45" w:rsidR="00E61DDE" w:rsidRDefault="000E2261" w:rsidP="00A96B5D">
      <w:pPr>
        <w:pStyle w:val="CGC2025ParaNumbers"/>
      </w:pPr>
      <w:r>
        <w:t>The key issue the Commission considered was whether an equal per capita assessment of public health, as proposed by New South Wale</w:t>
      </w:r>
      <w:r w:rsidR="007B3CCC">
        <w:t>s a</w:t>
      </w:r>
      <w:r w:rsidR="00FF4FAA">
        <w:t>nd Victoria</w:t>
      </w:r>
      <w:r w:rsidR="005B34AC">
        <w:t xml:space="preserve">, or a proxy measure based on hospital activity, is a better measure of drivers </w:t>
      </w:r>
      <w:r w:rsidR="00694272">
        <w:t>of differences between states in spending on public health.</w:t>
      </w:r>
    </w:p>
    <w:p w14:paraId="034AC968" w14:textId="446BBC77" w:rsidR="003E134E" w:rsidRDefault="003E134E" w:rsidP="00A96B5D">
      <w:pPr>
        <w:pStyle w:val="CGC2025ParaNumbers"/>
      </w:pPr>
      <w:r>
        <w:t>The Commission</w:t>
      </w:r>
      <w:r w:rsidR="00CD2785">
        <w:t>’s analysis showed</w:t>
      </w:r>
      <w:r>
        <w:t xml:space="preserve"> that state-delivered public health programs </w:t>
      </w:r>
      <w:r w:rsidR="00804EB4">
        <w:t xml:space="preserve">do </w:t>
      </w:r>
      <w:r>
        <w:t>not</w:t>
      </w:r>
      <w:r w:rsidR="00804EB4">
        <w:t xml:space="preserve"> have</w:t>
      </w:r>
      <w:r>
        <w:t xml:space="preserve"> a consistent pattern of socio-demographic use or targeting across different programs. This makes it </w:t>
      </w:r>
      <w:r w:rsidR="00265FAA">
        <w:t xml:space="preserve">difficult </w:t>
      </w:r>
      <w:r>
        <w:t xml:space="preserve">to </w:t>
      </w:r>
      <w:r w:rsidR="00265FAA">
        <w:t xml:space="preserve">determine </w:t>
      </w:r>
      <w:r>
        <w:t>whether a hospital</w:t>
      </w:r>
      <w:r w:rsidR="00FD1FD9">
        <w:noBreakHyphen/>
      </w:r>
      <w:r>
        <w:t>based measure of activity, which would reflect higher use of services by First Nations people, people living in remote and low socio-economic status areas</w:t>
      </w:r>
      <w:r w:rsidR="00CF6C39">
        <w:t>,</w:t>
      </w:r>
      <w:r>
        <w:t xml:space="preserve"> and older people, is a better proxy for activity in public health programs than state populations.</w:t>
      </w:r>
    </w:p>
    <w:p w14:paraId="25F15FF4" w14:textId="2E352EE8" w:rsidR="00AF0A86" w:rsidRDefault="003E134E" w:rsidP="00A96B5D">
      <w:pPr>
        <w:pStyle w:val="CGC2025ParaNumbers"/>
      </w:pPr>
      <w:r>
        <w:t xml:space="preserve">A range of factors determine the targets for, and use of, public health programs and services. Some programs are not necessarily targeted at </w:t>
      </w:r>
      <w:proofErr w:type="gramStart"/>
      <w:r>
        <w:t>particular socio</w:t>
      </w:r>
      <w:r w:rsidR="007172B0">
        <w:noBreakHyphen/>
      </w:r>
      <w:r>
        <w:t>demographic</w:t>
      </w:r>
      <w:proofErr w:type="gramEnd"/>
      <w:r>
        <w:t xml:space="preserve"> population groups. The priorities for some programs change over time as health priorities change. In some cases, the socio-demographic groups making the most use of public health services do not necessarily align with the target groups for the programs</w:t>
      </w:r>
      <w:r w:rsidR="00A96B5D">
        <w:t>.</w:t>
      </w:r>
    </w:p>
    <w:p w14:paraId="2DD487EF" w14:textId="07CC455A" w:rsidR="00F04F1F" w:rsidRDefault="00F04F1F" w:rsidP="00A96B5D">
      <w:pPr>
        <w:pStyle w:val="CGC2025ParaNumbers"/>
      </w:pPr>
      <w:r>
        <w:t xml:space="preserve">On balance, </w:t>
      </w:r>
      <w:r w:rsidR="003966EC">
        <w:t xml:space="preserve">the Commission concluded that </w:t>
      </w:r>
      <w:r>
        <w:t>using the same proxy indicator as for community health (outside of ambulatory community mental health) is simpler and produces a reasonable estimate of state spending needs, given the information available on use or targeting of public health programs</w:t>
      </w:r>
      <w:r w:rsidR="00BC55BF">
        <w:t>.</w:t>
      </w:r>
    </w:p>
    <w:p w14:paraId="2CDAA2DF" w14:textId="37969AA8" w:rsidR="00AF0A86" w:rsidRDefault="00AF0A86" w:rsidP="00AF0A86">
      <w:pPr>
        <w:pStyle w:val="Heading4"/>
      </w:pPr>
      <w:r>
        <w:t>Commission decision</w:t>
      </w:r>
    </w:p>
    <w:p w14:paraId="569722E9" w14:textId="3DE0DEC6" w:rsidR="00AF0A86" w:rsidRDefault="00E15748" w:rsidP="00F54A63">
      <w:pPr>
        <w:pStyle w:val="CGC2025ParaNumbers"/>
      </w:pPr>
      <w:r>
        <w:t xml:space="preserve">The Commission </w:t>
      </w:r>
      <w:r w:rsidR="00B200AB">
        <w:t>will</w:t>
      </w:r>
      <w:r>
        <w:t xml:space="preserve"> use a hospital-based proxy (see previous section for details) for public health activity rather than an equal per capita assessment.</w:t>
      </w:r>
    </w:p>
    <w:p w14:paraId="61A36508" w14:textId="72009CB6" w:rsidR="00F54A63" w:rsidRDefault="00F54A63" w:rsidP="004A4765">
      <w:pPr>
        <w:pStyle w:val="Heading3"/>
        <w:keepNext/>
      </w:pPr>
      <w:r w:rsidRPr="00F54A63">
        <w:t>12.5% discount for the community and public health assessment</w:t>
      </w:r>
    </w:p>
    <w:p w14:paraId="4CF7580B" w14:textId="1FFF9ECD" w:rsidR="00F54A63" w:rsidRDefault="00AD6315" w:rsidP="00BF3C9D">
      <w:pPr>
        <w:pStyle w:val="CGC2025ParaNumbers"/>
      </w:pPr>
      <w:r>
        <w:t xml:space="preserve">The Commission </w:t>
      </w:r>
      <w:r w:rsidR="007853CD">
        <w:t>proposed that the 12.5% discount for the community and</w:t>
      </w:r>
      <w:r w:rsidR="007C7B8C">
        <w:t xml:space="preserve"> public health </w:t>
      </w:r>
      <w:r w:rsidR="009B388A">
        <w:t xml:space="preserve">assessment be retained for the </w:t>
      </w:r>
      <w:r w:rsidR="00BF3C9D">
        <w:t>share of the assessment that relies on proxy activity data (covering around 80% of total community and public health expenses).</w:t>
      </w:r>
    </w:p>
    <w:p w14:paraId="300ED5CB" w14:textId="4F2C3324" w:rsidR="00F520DB" w:rsidRDefault="00F520DB" w:rsidP="00F520DB">
      <w:pPr>
        <w:pStyle w:val="Heading4"/>
      </w:pPr>
      <w:r>
        <w:lastRenderedPageBreak/>
        <w:t>State views</w:t>
      </w:r>
    </w:p>
    <w:p w14:paraId="26620125" w14:textId="0B7802F3" w:rsidR="00EE660D" w:rsidRDefault="00EE660D" w:rsidP="00EE660D">
      <w:pPr>
        <w:pStyle w:val="CGC2025ParaNumbers"/>
      </w:pPr>
      <w:r>
        <w:t xml:space="preserve">Most states supported the continuation of a 12.5% discount for the community and public health assessment. New South Wales said the reduction in this discount from 25% </w:t>
      </w:r>
      <w:r w:rsidR="00114C6F">
        <w:t xml:space="preserve">in the </w:t>
      </w:r>
      <w:r w:rsidR="00D77AAD">
        <w:t xml:space="preserve">2020 Review </w:t>
      </w:r>
      <w:r>
        <w:t>was not clearly evidenced at the time and it would not be appropriate to reduce the discount further.</w:t>
      </w:r>
    </w:p>
    <w:p w14:paraId="00BE1EC2" w14:textId="21D74B02" w:rsidR="00F520DB" w:rsidRDefault="00EE660D" w:rsidP="00EE660D">
      <w:pPr>
        <w:pStyle w:val="CGC2025ParaNumbers"/>
      </w:pPr>
      <w:r>
        <w:t>Western Australia said the Commission should not discount the portion of the assessment that uses Australian Institute of Health and Welfare community mental health activity data, as the lack of cost weights means the assessment would already be understated.</w:t>
      </w:r>
    </w:p>
    <w:p w14:paraId="5BE34F79" w14:textId="053C1B46" w:rsidR="00277DCC" w:rsidRDefault="00277DCC" w:rsidP="00EE660D">
      <w:pPr>
        <w:pStyle w:val="CGC2025ParaNumbers"/>
      </w:pPr>
      <w:r>
        <w:t>South Australia said the discount should also cover the assessment of ambulatory community mental health</w:t>
      </w:r>
      <w:r w:rsidR="00552B88">
        <w:t xml:space="preserve"> expenses</w:t>
      </w:r>
      <w:r w:rsidR="00075F9B">
        <w:t>.</w:t>
      </w:r>
    </w:p>
    <w:p w14:paraId="254BA1BC" w14:textId="0ACE2C4A" w:rsidR="009F6A14" w:rsidRDefault="00307F62" w:rsidP="00EE660D">
      <w:pPr>
        <w:pStyle w:val="CGC2025ParaNumbers"/>
      </w:pPr>
      <w:r>
        <w:t>The Northern Territory did not support the discount as moving the assessment closer to equal per capita was not appropriate.</w:t>
      </w:r>
    </w:p>
    <w:p w14:paraId="54685EB9" w14:textId="72D7F08F" w:rsidR="00782D85" w:rsidRDefault="00782D85" w:rsidP="00D14539">
      <w:pPr>
        <w:pStyle w:val="Heading4"/>
      </w:pPr>
      <w:r>
        <w:t>Commission response</w:t>
      </w:r>
    </w:p>
    <w:p w14:paraId="375B53A9" w14:textId="323E323B" w:rsidR="002A1518" w:rsidRDefault="00706836" w:rsidP="00706836">
      <w:pPr>
        <w:pStyle w:val="CGC2025ParaNumbers"/>
      </w:pPr>
      <w:r w:rsidRPr="00706836">
        <w:t xml:space="preserve">The Commission </w:t>
      </w:r>
      <w:r>
        <w:t>considered</w:t>
      </w:r>
      <w:r w:rsidRPr="00706836">
        <w:t xml:space="preserve"> that reliance on a proxy measure of activity for a significant share of community and public health expenses justifies a continuation of</w:t>
      </w:r>
      <w:r w:rsidR="00E90E28">
        <w:t xml:space="preserve"> a discount.</w:t>
      </w:r>
    </w:p>
    <w:p w14:paraId="6EC07FF4" w14:textId="20CE16EE" w:rsidR="002A1518" w:rsidRPr="002A1518" w:rsidRDefault="002A1518" w:rsidP="002A1518">
      <w:pPr>
        <w:pStyle w:val="Heading4"/>
      </w:pPr>
      <w:r>
        <w:t>Commission decision</w:t>
      </w:r>
    </w:p>
    <w:p w14:paraId="012A968A" w14:textId="1AC800FE" w:rsidR="00782D85" w:rsidRDefault="00B832F7" w:rsidP="00B832F7">
      <w:pPr>
        <w:pStyle w:val="CGC2025ParaNumbers"/>
      </w:pPr>
      <w:r>
        <w:t xml:space="preserve">The </w:t>
      </w:r>
      <w:r w:rsidR="00D640A7">
        <w:t xml:space="preserve">Commission </w:t>
      </w:r>
      <w:r w:rsidR="00B200AB">
        <w:t>will</w:t>
      </w:r>
      <w:r w:rsidR="00E90E28">
        <w:t xml:space="preserve"> retain a</w:t>
      </w:r>
      <w:r>
        <w:t xml:space="preserve"> 12.5% discount. It </w:t>
      </w:r>
      <w:r w:rsidR="00C34608">
        <w:t>will be</w:t>
      </w:r>
      <w:r>
        <w:t xml:space="preserve"> applied only to the share of the assessment that relies on proxy data (covering around 80% of total community and public health expenses). The expenses assessed using the direct measure of activity (ambulatory community mental health) </w:t>
      </w:r>
      <w:r w:rsidR="00296C4D">
        <w:t>will not be</w:t>
      </w:r>
      <w:r>
        <w:t xml:space="preserve"> discounted.</w:t>
      </w:r>
    </w:p>
    <w:p w14:paraId="3FC44BD6" w14:textId="41241676" w:rsidR="007B3CE5" w:rsidRDefault="007B3CE5" w:rsidP="00066137">
      <w:pPr>
        <w:pStyle w:val="Heading3"/>
        <w:keepNext/>
      </w:pPr>
      <w:r>
        <w:t>Non</w:t>
      </w:r>
      <w:r w:rsidR="00B02046">
        <w:t>-state sector adjustment – conceptual framework</w:t>
      </w:r>
    </w:p>
    <w:p w14:paraId="75BC0DA8" w14:textId="7833CBE1" w:rsidR="006175A2" w:rsidRDefault="00683055" w:rsidP="00A37983">
      <w:pPr>
        <w:pStyle w:val="CGC2025ParaNumbers"/>
      </w:pPr>
      <w:r>
        <w:t>T</w:t>
      </w:r>
      <w:r w:rsidR="00D7079A">
        <w:t xml:space="preserve">he Commission </w:t>
      </w:r>
      <w:r w:rsidR="00DF214A">
        <w:t>proposed that</w:t>
      </w:r>
      <w:r w:rsidR="00D7079A">
        <w:t xml:space="preserve"> the </w:t>
      </w:r>
      <w:r w:rsidR="00DF214A">
        <w:t xml:space="preserve">conceptual basis for </w:t>
      </w:r>
      <w:r w:rsidR="00D7079A">
        <w:t>the non-state sector adjustment</w:t>
      </w:r>
      <w:r w:rsidR="00DF214A">
        <w:t>s</w:t>
      </w:r>
      <w:r w:rsidR="00D7079A">
        <w:t xml:space="preserve"> remain</w:t>
      </w:r>
      <w:r w:rsidR="00DF214A">
        <w:t>ed</w:t>
      </w:r>
      <w:r w:rsidR="00D7079A">
        <w:t xml:space="preserve"> appropriate.</w:t>
      </w:r>
    </w:p>
    <w:p w14:paraId="66C75825" w14:textId="371D2A29" w:rsidR="00FF0918" w:rsidRDefault="00FF0918" w:rsidP="00FF0918">
      <w:pPr>
        <w:pStyle w:val="Heading4"/>
      </w:pPr>
      <w:r>
        <w:t>State views</w:t>
      </w:r>
    </w:p>
    <w:p w14:paraId="643B7A08" w14:textId="29694287" w:rsidR="00FF0918" w:rsidRDefault="00DA444D" w:rsidP="00DA444D">
      <w:pPr>
        <w:pStyle w:val="CGC2025ParaNumbers"/>
      </w:pPr>
      <w:r>
        <w:t xml:space="preserve">New South Wales said that there is an absence of robust and reliable data supporting the conceptual case for a non-state sector adjustment for health services. </w:t>
      </w:r>
      <w:r w:rsidR="00274768">
        <w:t>It said the adjustment should be removed or heavily discounted.</w:t>
      </w:r>
    </w:p>
    <w:p w14:paraId="2BDA0EE8" w14:textId="6C1FEF1C" w:rsidR="009F3BC9" w:rsidRPr="00977ED3" w:rsidRDefault="00E56B20" w:rsidP="00F019CA">
      <w:pPr>
        <w:pStyle w:val="CGC2025ParaNumbers"/>
      </w:pPr>
      <w:r w:rsidRPr="00846A58">
        <w:t>Victo</w:t>
      </w:r>
      <w:r w:rsidR="008D357C" w:rsidRPr="00846A58">
        <w:t>ria support</w:t>
      </w:r>
      <w:r w:rsidR="00077CFF">
        <w:t xml:space="preserve">ed </w:t>
      </w:r>
      <w:r w:rsidR="008D357C" w:rsidRPr="00846A58">
        <w:t>ret</w:t>
      </w:r>
      <w:r w:rsidR="00252273" w:rsidRPr="00846A58">
        <w:t xml:space="preserve">aining </w:t>
      </w:r>
      <w:r w:rsidR="008D357C" w:rsidRPr="00846A58">
        <w:t>the current general approach</w:t>
      </w:r>
      <w:r w:rsidR="00E66695" w:rsidRPr="00846A58">
        <w:t xml:space="preserve"> and </w:t>
      </w:r>
      <w:r w:rsidR="00077CFF">
        <w:t xml:space="preserve">giving </w:t>
      </w:r>
      <w:r w:rsidR="00DD0091" w:rsidRPr="00846A58">
        <w:t>further consideration of the non</w:t>
      </w:r>
      <w:r w:rsidR="00DD0091" w:rsidRPr="00846A58">
        <w:noBreakHyphen/>
        <w:t>state sector adjustment as part of the forward work program.</w:t>
      </w:r>
      <w:r w:rsidR="00871A8F" w:rsidRPr="00846A58">
        <w:t xml:space="preserve"> Victoria </w:t>
      </w:r>
      <w:r w:rsidR="00B915BF" w:rsidRPr="00846A58">
        <w:t>said</w:t>
      </w:r>
      <w:r w:rsidR="00871A8F" w:rsidRPr="00846A58">
        <w:t xml:space="preserve"> this is a complex topic that has not been afforded sufficient time and resources for an overhaul as part of </w:t>
      </w:r>
      <w:r w:rsidR="00B915BF" w:rsidRPr="00846A58">
        <w:t>the 2025 R</w:t>
      </w:r>
      <w:r w:rsidR="00871A8F" w:rsidRPr="00846A58">
        <w:t>eview.</w:t>
      </w:r>
      <w:r w:rsidR="002C0C7D" w:rsidRPr="00846A58">
        <w:t xml:space="preserve"> It </w:t>
      </w:r>
      <w:r w:rsidR="00871A8F" w:rsidRPr="00846A58">
        <w:t>consider</w:t>
      </w:r>
      <w:r w:rsidR="00980C3C">
        <w:t>ed</w:t>
      </w:r>
      <w:r w:rsidR="00871A8F" w:rsidRPr="00846A58">
        <w:t xml:space="preserve"> the debate around the interpretation of the </w:t>
      </w:r>
      <w:r w:rsidR="002C0C7D" w:rsidRPr="00846A58">
        <w:t>non</w:t>
      </w:r>
      <w:r w:rsidR="002C0C7D" w:rsidRPr="00846A58">
        <w:noBreakHyphen/>
        <w:t>state sector adjustment</w:t>
      </w:r>
      <w:r w:rsidR="00871A8F" w:rsidRPr="00846A58">
        <w:t xml:space="preserve"> </w:t>
      </w:r>
      <w:r w:rsidR="0024041C">
        <w:t xml:space="preserve">to be </w:t>
      </w:r>
      <w:r w:rsidR="00871A8F" w:rsidRPr="00846A58">
        <w:t xml:space="preserve">evidence that the </w:t>
      </w:r>
      <w:r w:rsidR="002C0C7D" w:rsidRPr="00846A58">
        <w:t>Commission</w:t>
      </w:r>
      <w:r w:rsidR="00871A8F" w:rsidRPr="00846A58">
        <w:t xml:space="preserve"> could improve its communication </w:t>
      </w:r>
      <w:r w:rsidR="00C40811" w:rsidRPr="00846A58">
        <w:t xml:space="preserve">of the conceptual basis and </w:t>
      </w:r>
      <w:r w:rsidR="00C40811" w:rsidRPr="00977ED3">
        <w:t>operation of the non</w:t>
      </w:r>
      <w:r w:rsidR="00C40811" w:rsidRPr="00977ED3">
        <w:noBreakHyphen/>
        <w:t>state sector adjustment.</w:t>
      </w:r>
      <w:r w:rsidR="00B65124" w:rsidRPr="00977ED3">
        <w:t xml:space="preserve"> </w:t>
      </w:r>
      <w:r w:rsidR="00D14117" w:rsidRPr="00977ED3">
        <w:t>Victoria d</w:t>
      </w:r>
      <w:r w:rsidR="00B81A0B" w:rsidRPr="00977ED3">
        <w:t>id</w:t>
      </w:r>
      <w:r w:rsidR="00D14117" w:rsidRPr="00977ED3">
        <w:t xml:space="preserve"> not support discounting the non-state sector assessments, given they </w:t>
      </w:r>
      <w:r w:rsidR="00263A6B" w:rsidRPr="00977ED3">
        <w:t>consider</w:t>
      </w:r>
      <w:r w:rsidR="00106E4E" w:rsidRPr="00977ED3">
        <w:t xml:space="preserve">ed </w:t>
      </w:r>
      <w:r w:rsidR="00055059" w:rsidRPr="00977ED3">
        <w:t>them to be</w:t>
      </w:r>
      <w:r w:rsidR="00D14117" w:rsidRPr="00977ED3">
        <w:t xml:space="preserve"> largely </w:t>
      </w:r>
      <w:r w:rsidR="00D14117" w:rsidRPr="00977ED3">
        <w:lastRenderedPageBreak/>
        <w:t>unchanged or improved from the 2020 Review methods when they were not discounted</w:t>
      </w:r>
      <w:r w:rsidR="00F019CA" w:rsidRPr="00977ED3">
        <w:t>.</w:t>
      </w:r>
    </w:p>
    <w:p w14:paraId="1E6CFA75" w14:textId="4249FF4D" w:rsidR="00274768" w:rsidRPr="00977ED3" w:rsidRDefault="00680BC9" w:rsidP="00CF67D9">
      <w:pPr>
        <w:pStyle w:val="CGC2025ParaNumbers"/>
      </w:pPr>
      <w:r w:rsidRPr="00977ED3">
        <w:t>Queensland support</w:t>
      </w:r>
      <w:r w:rsidR="0024041C" w:rsidRPr="00977ED3">
        <w:t>ed</w:t>
      </w:r>
      <w:r w:rsidR="005E057D" w:rsidRPr="00977ED3">
        <w:t xml:space="preserve"> </w:t>
      </w:r>
      <w:r w:rsidRPr="00977ED3">
        <w:t xml:space="preserve">reviewing the non-state-sector adjustment in detail before the next methodology review. Queensland </w:t>
      </w:r>
      <w:r w:rsidR="005E057D" w:rsidRPr="00977ED3">
        <w:t>said</w:t>
      </w:r>
      <w:r w:rsidRPr="00977ED3">
        <w:t xml:space="preserve"> significant problems exist with the non-state-sector adjustment, from data issues to its conceptual foundations, but concede</w:t>
      </w:r>
      <w:r w:rsidR="0024041C" w:rsidRPr="00977ED3">
        <w:t>d</w:t>
      </w:r>
      <w:r w:rsidRPr="00977ED3">
        <w:t xml:space="preserve"> that the significance of the adjustment warrants a considered reappraisal, which </w:t>
      </w:r>
      <w:r w:rsidR="00D52EA4" w:rsidRPr="00977ED3">
        <w:t xml:space="preserve">was </w:t>
      </w:r>
      <w:r w:rsidRPr="00977ED3">
        <w:t>not feasible before the finalisation of the 2025</w:t>
      </w:r>
      <w:r w:rsidR="007431C0" w:rsidRPr="00977ED3">
        <w:t> </w:t>
      </w:r>
      <w:r w:rsidR="00047780" w:rsidRPr="00977ED3">
        <w:t>R</w:t>
      </w:r>
      <w:r w:rsidRPr="00977ED3">
        <w:t>eview</w:t>
      </w:r>
      <w:r w:rsidR="00D52EA4" w:rsidRPr="00977ED3">
        <w:t>.</w:t>
      </w:r>
      <w:r w:rsidR="00F019C2" w:rsidRPr="00977ED3">
        <w:t xml:space="preserve"> Queensland </w:t>
      </w:r>
      <w:r w:rsidR="00F76BC1" w:rsidRPr="00977ED3">
        <w:t>support</w:t>
      </w:r>
      <w:r w:rsidR="00871AF6">
        <w:t>ed</w:t>
      </w:r>
      <w:r w:rsidR="00F76BC1" w:rsidRPr="00977ED3">
        <w:t xml:space="preserve"> discounting of the non</w:t>
      </w:r>
      <w:r w:rsidR="00F76BC1" w:rsidRPr="00977ED3">
        <w:noBreakHyphen/>
        <w:t>state sector adjustments</w:t>
      </w:r>
      <w:r w:rsidR="00765DAF" w:rsidRPr="00977ED3">
        <w:t xml:space="preserve"> and recommend</w:t>
      </w:r>
      <w:r w:rsidR="005F0FD1">
        <w:t>ed</w:t>
      </w:r>
      <w:r w:rsidR="00765DAF" w:rsidRPr="00977ED3">
        <w:t xml:space="preserve"> </w:t>
      </w:r>
      <w:r w:rsidR="00BA6EE5" w:rsidRPr="00977ED3">
        <w:t xml:space="preserve">a higher </w:t>
      </w:r>
      <w:r w:rsidR="00765DAF" w:rsidRPr="00977ED3">
        <w:t xml:space="preserve">discount for </w:t>
      </w:r>
      <w:r w:rsidR="00BF3212" w:rsidRPr="00977ED3">
        <w:t>the admitted patient adjustment.</w:t>
      </w:r>
    </w:p>
    <w:p w14:paraId="7B1C6374" w14:textId="6E3AD661" w:rsidR="003E239F" w:rsidRPr="00977ED3" w:rsidRDefault="00BA3BB3" w:rsidP="00821851">
      <w:pPr>
        <w:pStyle w:val="CGC2025ParaNumbers"/>
      </w:pPr>
      <w:r w:rsidRPr="00977ED3">
        <w:t>Western Australia said the Commission’s approach to recognis</w:t>
      </w:r>
      <w:r w:rsidR="00847EEE" w:rsidRPr="00977ED3">
        <w:t>ing</w:t>
      </w:r>
      <w:r w:rsidRPr="00977ED3">
        <w:t xml:space="preserve"> the influence of non-state sector health services provision on state health spending needs was fundamentally wrong</w:t>
      </w:r>
      <w:r w:rsidR="00F666BD" w:rsidRPr="00977ED3">
        <w:t xml:space="preserve"> and presented</w:t>
      </w:r>
      <w:r w:rsidR="00AB14CC" w:rsidRPr="00977ED3">
        <w:t xml:space="preserve"> an alternative conceptual framework</w:t>
      </w:r>
      <w:r w:rsidR="00346C15" w:rsidRPr="00977ED3">
        <w:t xml:space="preserve">. </w:t>
      </w:r>
      <w:r w:rsidR="00AB14CC" w:rsidRPr="00977ED3">
        <w:t xml:space="preserve">It </w:t>
      </w:r>
      <w:r w:rsidR="00F666BD" w:rsidRPr="00977ED3">
        <w:t>said that states respond to the existing level of non-state services. The Commission should therefore be trying to estimate the proportion of non-state services that are substitutable rather than the proportion of state expenses that are substitutable.</w:t>
      </w:r>
      <w:r w:rsidR="007C12E5" w:rsidRPr="00977ED3">
        <w:t xml:space="preserve"> Western Australia d</w:t>
      </w:r>
      <w:r w:rsidR="00CB19CF" w:rsidRPr="00977ED3">
        <w:t>id</w:t>
      </w:r>
      <w:r w:rsidR="007C12E5" w:rsidRPr="00977ED3">
        <w:t xml:space="preserve"> not support </w:t>
      </w:r>
      <w:r w:rsidR="0066127E" w:rsidRPr="00977ED3">
        <w:t>discounts to the non</w:t>
      </w:r>
      <w:r w:rsidR="0066127E" w:rsidRPr="00977ED3">
        <w:noBreakHyphen/>
        <w:t xml:space="preserve">state sector adjustments </w:t>
      </w:r>
      <w:r w:rsidR="00C27612" w:rsidRPr="00977ED3">
        <w:t>on the basis that</w:t>
      </w:r>
      <w:r w:rsidR="0066127E" w:rsidRPr="00977ED3">
        <w:t xml:space="preserve"> it is not clear that the data</w:t>
      </w:r>
      <w:r w:rsidR="0077711D" w:rsidRPr="00977ED3">
        <w:t xml:space="preserve"> for these assessments are less reliable than for other assessments.</w:t>
      </w:r>
    </w:p>
    <w:p w14:paraId="230F9224" w14:textId="126C315C" w:rsidR="00C97053" w:rsidRDefault="00C97053" w:rsidP="00C97053">
      <w:pPr>
        <w:pStyle w:val="Heading4"/>
      </w:pPr>
      <w:r>
        <w:t>Commission response</w:t>
      </w:r>
    </w:p>
    <w:p w14:paraId="472DBB8C" w14:textId="0898203A" w:rsidR="00C97053" w:rsidRDefault="000F3BBF" w:rsidP="003D6611">
      <w:pPr>
        <w:pStyle w:val="CGC2025ParaNumbers"/>
      </w:pPr>
      <w:r>
        <w:t>The non</w:t>
      </w:r>
      <w:r>
        <w:noBreakHyphen/>
        <w:t xml:space="preserve">state sector adjustment was introduced in the 2015 Review </w:t>
      </w:r>
      <w:r w:rsidR="003D6611">
        <w:t xml:space="preserve">on the assumption that states with below-average non-state service provision faced </w:t>
      </w:r>
      <w:r w:rsidR="00904255">
        <w:t xml:space="preserve">higher </w:t>
      </w:r>
      <w:r w:rsidR="003D6611">
        <w:t>costs.</w:t>
      </w:r>
    </w:p>
    <w:p w14:paraId="3987B7B2" w14:textId="5681400B" w:rsidR="00B7386D" w:rsidRDefault="00B64D61" w:rsidP="00B64D61">
      <w:pPr>
        <w:pStyle w:val="CGC2025ParaNumbers"/>
      </w:pPr>
      <w:r>
        <w:t>A key challenge in determining the appropriate size of the non-state sector adjustment is that it is not possible to quantify how many health services need to be provided. Not all health procedures that are performed need to be performed by the state sector. As such, the provision of a service by the non-state sector does not necessarily mean that fewer state services are needed.</w:t>
      </w:r>
    </w:p>
    <w:p w14:paraId="2462A938" w14:textId="77963811" w:rsidR="00BB3BCA" w:rsidRDefault="00F265DF" w:rsidP="005E2C53">
      <w:pPr>
        <w:pStyle w:val="CGC2025ParaNumbers"/>
      </w:pPr>
      <w:r>
        <w:t xml:space="preserve">Western Australia presented a conceptually valid alternative method for determining the extent to which the non-state sector reduces the need for state health spending. </w:t>
      </w:r>
      <w:r w:rsidR="001C10B9">
        <w:t xml:space="preserve">The method proposed by Western Australia is a more direct approach than the Commission’s. As a result, it is highly reliant on accurate activity and public cost data being available. </w:t>
      </w:r>
      <w:r w:rsidR="005E2C53">
        <w:t>The availability of the data needed to implement Western Australia’s approach varies across the components in the health assessment, with good data on admitted patient services and poor data on community health services.</w:t>
      </w:r>
    </w:p>
    <w:p w14:paraId="223E0B1E" w14:textId="025B9A96" w:rsidR="00DA566C" w:rsidRDefault="00757A53" w:rsidP="00B231F3">
      <w:pPr>
        <w:pStyle w:val="CGC2025ParaNumbers"/>
      </w:pPr>
      <w:r>
        <w:t>The Commission considers that the current approach underpinning the non-state</w:t>
      </w:r>
      <w:r w:rsidR="00E95978">
        <w:t xml:space="preserve"> </w:t>
      </w:r>
      <w:r>
        <w:t>sector adjustment</w:t>
      </w:r>
      <w:r w:rsidR="0076115B">
        <w:t>s</w:t>
      </w:r>
      <w:r w:rsidR="00E95978">
        <w:t xml:space="preserve"> is</w:t>
      </w:r>
      <w:r>
        <w:t xml:space="preserve"> pragmatic</w:t>
      </w:r>
      <w:r w:rsidR="00086486">
        <w:t xml:space="preserve"> and</w:t>
      </w:r>
      <w:r>
        <w:t xml:space="preserve"> remains appropriate</w:t>
      </w:r>
      <w:r w:rsidR="00086486">
        <w:t>.</w:t>
      </w:r>
      <w:r w:rsidR="00B231F3">
        <w:t xml:space="preserve"> </w:t>
      </w:r>
      <w:r w:rsidR="0065200F">
        <w:t>G</w:t>
      </w:r>
      <w:r w:rsidR="00873A6D">
        <w:t xml:space="preserve">iven the </w:t>
      </w:r>
      <w:r w:rsidR="00454DB9">
        <w:t>issues</w:t>
      </w:r>
      <w:r w:rsidR="00873A6D">
        <w:t xml:space="preserve"> raised by states with the evidence </w:t>
      </w:r>
      <w:r w:rsidR="0076296B">
        <w:t>on</w:t>
      </w:r>
      <w:r w:rsidR="00873A6D">
        <w:t xml:space="preserve"> </w:t>
      </w:r>
      <w:r w:rsidR="00D34DCF">
        <w:t xml:space="preserve">the extent of the </w:t>
      </w:r>
      <w:r w:rsidR="00873A6D">
        <w:t>relationship between state and non</w:t>
      </w:r>
      <w:r w:rsidR="00873A6D">
        <w:noBreakHyphen/>
        <w:t>state health service provision, problems with the data</w:t>
      </w:r>
      <w:r w:rsidR="00B42271">
        <w:t xml:space="preserve"> and the robustness of the method</w:t>
      </w:r>
      <w:r w:rsidR="00351162">
        <w:t>,</w:t>
      </w:r>
      <w:r w:rsidR="00873A6D">
        <w:t xml:space="preserve"> and the significance of the </w:t>
      </w:r>
      <w:r w:rsidR="00F968F6">
        <w:t>impact</w:t>
      </w:r>
      <w:r w:rsidR="00873A6D">
        <w:t xml:space="preserve"> on GST distribution</w:t>
      </w:r>
      <w:r w:rsidR="0065200F">
        <w:t xml:space="preserve">, </w:t>
      </w:r>
      <w:r w:rsidR="00475AB0">
        <w:t xml:space="preserve">discounts will be </w:t>
      </w:r>
      <w:r w:rsidR="00AD4695">
        <w:lastRenderedPageBreak/>
        <w:t xml:space="preserve">introduced (see below for details) and </w:t>
      </w:r>
      <w:r w:rsidR="00693F44">
        <w:t xml:space="preserve">further work will be </w:t>
      </w:r>
      <w:r w:rsidR="0064132C">
        <w:t>undertaken</w:t>
      </w:r>
      <w:r w:rsidR="00693F44">
        <w:t xml:space="preserve"> </w:t>
      </w:r>
      <w:r w:rsidR="00396038">
        <w:t>on this issue as part of the forward work program</w:t>
      </w:r>
      <w:r w:rsidR="00AD4695">
        <w:t>.</w:t>
      </w:r>
    </w:p>
    <w:p w14:paraId="7C0F0398" w14:textId="3B953788" w:rsidR="005E2C53" w:rsidRDefault="004C7281" w:rsidP="004C7281">
      <w:pPr>
        <w:pStyle w:val="Heading4"/>
      </w:pPr>
      <w:r>
        <w:t>Commission decision</w:t>
      </w:r>
    </w:p>
    <w:p w14:paraId="5D5DBB33" w14:textId="6955D7FC" w:rsidR="004C7281" w:rsidRDefault="007838C9" w:rsidP="00C27BB2">
      <w:pPr>
        <w:pStyle w:val="CGC2025ParaNumbers"/>
      </w:pPr>
      <w:r>
        <w:t xml:space="preserve">The Commission </w:t>
      </w:r>
      <w:r w:rsidR="00344BED">
        <w:t xml:space="preserve">will retain the </w:t>
      </w:r>
      <w:r w:rsidR="000F485F">
        <w:t xml:space="preserve">2020 Review </w:t>
      </w:r>
      <w:r>
        <w:t>approach underpinning the non-state sector adjustment</w:t>
      </w:r>
      <w:r w:rsidR="00BE2D4F">
        <w:t>s</w:t>
      </w:r>
      <w:r w:rsidR="00805A6E">
        <w:t xml:space="preserve">, </w:t>
      </w:r>
      <w:r w:rsidR="006E0163">
        <w:t xml:space="preserve">with the introduction of a </w:t>
      </w:r>
      <w:r w:rsidR="00D96536">
        <w:t>discount</w:t>
      </w:r>
      <w:r w:rsidR="00D374A8">
        <w:t xml:space="preserve"> of 12.5%</w:t>
      </w:r>
      <w:r w:rsidR="00352922">
        <w:t xml:space="preserve"> </w:t>
      </w:r>
      <w:r w:rsidR="009B3593">
        <w:t>for the adjustment in each component (</w:t>
      </w:r>
      <w:r w:rsidR="00DA2952">
        <w:t xml:space="preserve">see </w:t>
      </w:r>
      <w:r w:rsidR="00A636DA">
        <w:t>discussion below)</w:t>
      </w:r>
      <w:r w:rsidR="00C80BE2">
        <w:t>.</w:t>
      </w:r>
    </w:p>
    <w:p w14:paraId="7514ADA4" w14:textId="01D0004E" w:rsidR="00DC3C14" w:rsidRDefault="00DC3C14" w:rsidP="007838C9">
      <w:pPr>
        <w:pStyle w:val="CGC2025ParaNumbers"/>
      </w:pPr>
      <w:r>
        <w:t xml:space="preserve">The Commission </w:t>
      </w:r>
      <w:r w:rsidR="00BD379F">
        <w:t>will</w:t>
      </w:r>
      <w:r>
        <w:t xml:space="preserve"> </w:t>
      </w:r>
      <w:r w:rsidR="007B74C8">
        <w:t>further consider this issue as part of its forward work program</w:t>
      </w:r>
      <w:r w:rsidR="00440434">
        <w:t>.</w:t>
      </w:r>
      <w:r w:rsidR="002F440A">
        <w:t xml:space="preserve"> </w:t>
      </w:r>
    </w:p>
    <w:p w14:paraId="067FCAA2" w14:textId="77777777" w:rsidR="001B22BB" w:rsidRDefault="001B22BB" w:rsidP="001B22BB">
      <w:pPr>
        <w:pStyle w:val="Heading3"/>
        <w:keepNext/>
      </w:pPr>
      <w:r>
        <w:t>Non-state sector adjustment – admitted patients</w:t>
      </w:r>
    </w:p>
    <w:p w14:paraId="6F8D6ADC" w14:textId="77777777" w:rsidR="001B22BB" w:rsidRDefault="001B22BB" w:rsidP="001B22BB">
      <w:pPr>
        <w:pStyle w:val="CGC2025ParaNumbers"/>
      </w:pPr>
      <w:r>
        <w:t>The Commission considered a proposal by Queensland to change the indicator of non</w:t>
      </w:r>
      <w:r>
        <w:noBreakHyphen/>
        <w:t>state sector activity to private patient bed days to better account for case complexity. Queensland said hospital separations provide no indication of the different costs of treating patients for different types of ailments. Queensland said that bed days provide more information on the relative costs of service provision and therefore provide a better indicator of non-state sector activity than separations.</w:t>
      </w:r>
    </w:p>
    <w:p w14:paraId="1F497B1A" w14:textId="77777777" w:rsidR="001B22BB" w:rsidRDefault="001B22BB" w:rsidP="001B22BB">
      <w:pPr>
        <w:pStyle w:val="CGC2025ParaNumbers"/>
      </w:pPr>
      <w:r>
        <w:t>Due to difficulties obtaining bed days data for the 3 smallest states, the Commission proposed to use benefits paid by private health insurance funds as the proxy indicator of private admitted patient activity.</w:t>
      </w:r>
    </w:p>
    <w:p w14:paraId="61044D9D" w14:textId="77777777" w:rsidR="001B22BB" w:rsidRDefault="001B22BB" w:rsidP="001B22BB">
      <w:pPr>
        <w:pStyle w:val="CGC2025ParaNumbers"/>
      </w:pPr>
      <w:r>
        <w:t>The Commission also considered state concerns with other aspects of the admitted patient non</w:t>
      </w:r>
      <w:r>
        <w:noBreakHyphen/>
        <w:t>state sector adjustment. The Commission proposed a lower bound for the non</w:t>
      </w:r>
      <w:r>
        <w:noBreakHyphen/>
        <w:t xml:space="preserve">state sector substitutability level based on </w:t>
      </w:r>
      <w:r w:rsidRPr="00014A8C">
        <w:t>private patients that are treated in public hospitals</w:t>
      </w:r>
      <w:r>
        <w:t>.</w:t>
      </w:r>
    </w:p>
    <w:p w14:paraId="7D227093" w14:textId="77777777" w:rsidR="001B22BB" w:rsidRDefault="001B22BB" w:rsidP="001B22BB">
      <w:pPr>
        <w:pStyle w:val="Heading4"/>
      </w:pPr>
      <w:r>
        <w:t>State views</w:t>
      </w:r>
    </w:p>
    <w:p w14:paraId="2D45B0DD" w14:textId="53883721" w:rsidR="001B22BB" w:rsidRPr="00A75ADA" w:rsidRDefault="001B22BB" w:rsidP="001B22BB">
      <w:pPr>
        <w:pStyle w:val="CGC2025ParaNumbers"/>
      </w:pPr>
      <w:r>
        <w:t xml:space="preserve">New South Wales, Victoria, Queensland, Tasmania and the ACT </w:t>
      </w:r>
      <w:r w:rsidRPr="00A75ADA">
        <w:t>support</w:t>
      </w:r>
      <w:r>
        <w:t>ed</w:t>
      </w:r>
      <w:r w:rsidRPr="00A75ADA">
        <w:t xml:space="preserve"> the propos</w:t>
      </w:r>
      <w:r>
        <w:t>ed use of benefits paid by private health funds as a proxy of private admitted patient activity because it better captured the complexity of hospital procedures</w:t>
      </w:r>
      <w:r w:rsidRPr="00A75ADA">
        <w:t>. Western Australia and South Australia oppose</w:t>
      </w:r>
      <w:r w:rsidR="009D525C">
        <w:t>d</w:t>
      </w:r>
      <w:r w:rsidRPr="00A75ADA">
        <w:t xml:space="preserve"> the proposal.</w:t>
      </w:r>
    </w:p>
    <w:p w14:paraId="659ED2B1" w14:textId="77777777" w:rsidR="001B22BB" w:rsidRPr="00A75ADA" w:rsidRDefault="001B22BB" w:rsidP="001B22BB">
      <w:pPr>
        <w:pStyle w:val="CGC2025ParaNumbers"/>
      </w:pPr>
      <w:r w:rsidRPr="00A75ADA">
        <w:t xml:space="preserve">Western Australia said benefits paid by private health insurers vary among states due to factors other than cost driven by complexity. Western Australia </w:t>
      </w:r>
      <w:r>
        <w:t xml:space="preserve">said it </w:t>
      </w:r>
      <w:r w:rsidRPr="00A75ADA">
        <w:t xml:space="preserve">has high private health insurance benefits, but low private bed days per separation. </w:t>
      </w:r>
      <w:r>
        <w:t>It</w:t>
      </w:r>
      <w:r w:rsidRPr="00A75ADA">
        <w:t xml:space="preserve"> said it appears that Western Australian private hospitals charge more than the national average for treatments of the same complexity, reflecting the market dynamics of a </w:t>
      </w:r>
      <w:proofErr w:type="gramStart"/>
      <w:r w:rsidRPr="00A75ADA">
        <w:t>fairly concentrated</w:t>
      </w:r>
      <w:proofErr w:type="gramEnd"/>
      <w:r w:rsidRPr="00A75ADA">
        <w:t xml:space="preserve"> group of private hospital operators, the majority insurance provider being not-for-profit, and possibly higher costs faced by private hospitals.</w:t>
      </w:r>
    </w:p>
    <w:p w14:paraId="1905CA49" w14:textId="2E339AAD" w:rsidR="001B22BB" w:rsidRPr="00A75ADA" w:rsidRDefault="001B22BB" w:rsidP="001B22BB">
      <w:pPr>
        <w:pStyle w:val="CGC2025ParaNumbers"/>
      </w:pPr>
      <w:r w:rsidRPr="00A75ADA">
        <w:t xml:space="preserve">South Australia said that, given the significance of this component, any method changes should be based on high quality, consistent data that </w:t>
      </w:r>
      <w:r>
        <w:t>are</w:t>
      </w:r>
      <w:r w:rsidRPr="00A75ADA">
        <w:t xml:space="preserve"> not policy influenced. It </w:t>
      </w:r>
      <w:r>
        <w:t>was</w:t>
      </w:r>
      <w:r w:rsidRPr="00A75ADA">
        <w:t xml:space="preserve"> not convinced that the proposed private patient expense data meet this requirement.</w:t>
      </w:r>
    </w:p>
    <w:p w14:paraId="0E2E2146" w14:textId="77777777" w:rsidR="001B22BB" w:rsidRDefault="001B22BB" w:rsidP="001B22BB">
      <w:pPr>
        <w:pStyle w:val="CGC2025ParaNumbers"/>
      </w:pPr>
      <w:r>
        <w:lastRenderedPageBreak/>
        <w:t>New South Wales said that non-state sector activity is likely to be policy influenced and separate sources of data should not be used to measure actual and assessed non-state sector activity.</w:t>
      </w:r>
      <w:r>
        <w:rPr>
          <w:rStyle w:val="FootnoteReference"/>
        </w:rPr>
        <w:footnoteReference w:id="3"/>
      </w:r>
    </w:p>
    <w:p w14:paraId="1ABF2A3D" w14:textId="77777777" w:rsidR="001B22BB" w:rsidRDefault="001B22BB" w:rsidP="001B22BB">
      <w:pPr>
        <w:pStyle w:val="CGC2025ParaNumbers"/>
      </w:pPr>
      <w:r>
        <w:t>Victoria said that judgement should not be used to adjust the substitutability level. If an adjustment is warranted on conceptual grounds, then the standard discounting approach should be applied. Victoria said a discount of 12.5% should be applied, but if not, the calculated substitutability rate of 17.5% should be used. Queensland did not support the use of the calculated rate. Western Australia also supported a discount rather than a judgement</w:t>
      </w:r>
      <w:r>
        <w:noBreakHyphen/>
        <w:t>based reduction in the substitutability level.</w:t>
      </w:r>
    </w:p>
    <w:p w14:paraId="32C4154B" w14:textId="77777777" w:rsidR="001B22BB" w:rsidRDefault="001B22BB" w:rsidP="001B22BB">
      <w:pPr>
        <w:pStyle w:val="CGC2025ParaNumbers"/>
      </w:pPr>
      <w:r>
        <w:t>Western Australia said the Commission should include both people with private health insurance and those who self-insure in the group of people that could use non-state health services, when estimating the substitutability level.</w:t>
      </w:r>
    </w:p>
    <w:p w14:paraId="27719B64" w14:textId="77777777" w:rsidR="001B22BB" w:rsidRDefault="001B22BB" w:rsidP="001B22BB">
      <w:pPr>
        <w:pStyle w:val="Heading4"/>
      </w:pPr>
      <w:r>
        <w:t>Commission response</w:t>
      </w:r>
    </w:p>
    <w:p w14:paraId="4C630732" w14:textId="26269B91" w:rsidR="001B22BB" w:rsidRDefault="001B22BB" w:rsidP="001B22BB">
      <w:pPr>
        <w:pStyle w:val="CGC2025ParaNumbers"/>
      </w:pPr>
      <w:r>
        <w:t>T</w:t>
      </w:r>
      <w:r w:rsidRPr="00D75A73">
        <w:t>he Commission proposed using private patient benefits paid</w:t>
      </w:r>
      <w:r>
        <w:t xml:space="preserve"> rather than bed days</w:t>
      </w:r>
      <w:r w:rsidRPr="00D75A73">
        <w:t xml:space="preserve"> as the indicator of non-state sector activity for the calculation of the admitted patient non</w:t>
      </w:r>
      <w:r>
        <w:noBreakHyphen/>
      </w:r>
      <w:r w:rsidRPr="00D75A73">
        <w:t>state sector adjustment.</w:t>
      </w:r>
      <w:r>
        <w:t xml:space="preserve"> Benefits paid can potentially provide more information than separations or bed days on the relative costs of service provision, and therefore provide a better indicator of non-state sector activity.</w:t>
      </w:r>
    </w:p>
    <w:p w14:paraId="0E17E807" w14:textId="77777777" w:rsidR="001B22BB" w:rsidRPr="00B274EB" w:rsidRDefault="001B22BB" w:rsidP="001B22BB">
      <w:pPr>
        <w:pStyle w:val="CGC2025ParaNumbers"/>
      </w:pPr>
      <w:r>
        <w:t xml:space="preserve">Benefits paid would only be a reliable indicator of activity if states had comparable average benefits paid for equivalent hospital services. </w:t>
      </w:r>
      <w:r w:rsidRPr="00B274EB">
        <w:t>However, states varied in their share of separations that had above or below the national average</w:t>
      </w:r>
      <w:r>
        <w:t xml:space="preserve"> benefits paid</w:t>
      </w:r>
      <w:r w:rsidRPr="00B274EB">
        <w:t>. Victoria and South Australia had a large share of separations below the national average and Western Australia a large share above the national average. The Commission concluded that benefits paid could not be considered an unbiased measure o</w:t>
      </w:r>
      <w:r>
        <w:t>f</w:t>
      </w:r>
      <w:r w:rsidRPr="00B274EB">
        <w:t xml:space="preserve"> non</w:t>
      </w:r>
      <w:r w:rsidRPr="00B274EB">
        <w:noBreakHyphen/>
        <w:t xml:space="preserve">state </w:t>
      </w:r>
      <w:r>
        <w:t xml:space="preserve">sector </w:t>
      </w:r>
      <w:r w:rsidRPr="00B274EB">
        <w:t>activity.</w:t>
      </w:r>
    </w:p>
    <w:p w14:paraId="462D065F" w14:textId="77777777" w:rsidR="001B22BB" w:rsidRPr="00B274EB" w:rsidRDefault="001B22BB" w:rsidP="001B22BB">
      <w:pPr>
        <w:pStyle w:val="CGC2025ParaNumbers"/>
      </w:pPr>
      <w:r w:rsidRPr="00B274EB">
        <w:t>The Commission updated the 2020 Review method estimate of the non</w:t>
      </w:r>
      <w:r w:rsidRPr="00B274EB">
        <w:noBreakHyphen/>
        <w:t xml:space="preserve">state sector substitutability level with the latest available data and incorporated </w:t>
      </w:r>
      <w:bookmarkStart w:id="16" w:name="_Hlk188440716"/>
      <w:r w:rsidRPr="00B274EB">
        <w:t>activity associated with self</w:t>
      </w:r>
      <w:r w:rsidRPr="00B274EB">
        <w:noBreakHyphen/>
        <w:t>funded patients</w:t>
      </w:r>
      <w:bookmarkEnd w:id="16"/>
      <w:r w:rsidRPr="00B274EB">
        <w:t>. This method is considered the upper bound of substitutability.</w:t>
      </w:r>
    </w:p>
    <w:p w14:paraId="485A3C55" w14:textId="77777777" w:rsidR="001B22BB" w:rsidRPr="00BA7AB6" w:rsidRDefault="001B22BB" w:rsidP="001B22BB">
      <w:pPr>
        <w:pStyle w:val="CGC2025ParaNumbers"/>
      </w:pPr>
      <w:r>
        <w:t xml:space="preserve">The Commission calculated </w:t>
      </w:r>
      <w:r w:rsidRPr="00BA7AB6">
        <w:t>a second method to estimate the substitutability level, where the concept of substitutability was limited to just private patients treated in public hospitals. This second method is considered the lower bound of substitutability.</w:t>
      </w:r>
    </w:p>
    <w:p w14:paraId="48C97034" w14:textId="77777777" w:rsidR="001B22BB" w:rsidRPr="00BA7AB6" w:rsidRDefault="001B22BB" w:rsidP="001B22BB">
      <w:pPr>
        <w:pStyle w:val="CGC2025ParaNumbers"/>
      </w:pPr>
      <w:r w:rsidRPr="00A36605">
        <w:t>The Commission accept</w:t>
      </w:r>
      <w:r>
        <w:t>ed</w:t>
      </w:r>
      <w:r w:rsidRPr="00A36605">
        <w:t xml:space="preserve"> that round</w:t>
      </w:r>
      <w:r>
        <w:t>ing</w:t>
      </w:r>
      <w:r w:rsidRPr="00A36605">
        <w:t xml:space="preserve"> substitutability levels to the nearest 5% </w:t>
      </w:r>
      <w:r>
        <w:t xml:space="preserve">as proposed in the Draft Report </w:t>
      </w:r>
      <w:r w:rsidRPr="00A36605">
        <w:t>add</w:t>
      </w:r>
      <w:r>
        <w:t>ed</w:t>
      </w:r>
      <w:r w:rsidRPr="00A36605">
        <w:t xml:space="preserve"> an unnecessary step to the calculation.</w:t>
      </w:r>
    </w:p>
    <w:p w14:paraId="72E2673C" w14:textId="77777777" w:rsidR="001B22BB" w:rsidRDefault="001B22BB" w:rsidP="001B22BB">
      <w:pPr>
        <w:pStyle w:val="Heading4"/>
      </w:pPr>
      <w:r>
        <w:lastRenderedPageBreak/>
        <w:t>Commission decision</w:t>
      </w:r>
    </w:p>
    <w:p w14:paraId="729F5BA9" w14:textId="77777777" w:rsidR="001B22BB" w:rsidRPr="00CC397F" w:rsidRDefault="001B22BB" w:rsidP="001B22BB">
      <w:pPr>
        <w:pStyle w:val="CGC2025ParaNumbers"/>
      </w:pPr>
      <w:r w:rsidRPr="00CC397F">
        <w:t xml:space="preserve">The Commission will use </w:t>
      </w:r>
      <w:r w:rsidRPr="0079096E">
        <w:t>private patient separations for private health insurance</w:t>
      </w:r>
      <w:r>
        <w:noBreakHyphen/>
      </w:r>
      <w:r w:rsidRPr="0079096E">
        <w:t>funded admitted patients in private and public hospitals</w:t>
      </w:r>
      <w:r>
        <w:t xml:space="preserve"> as the proxy indicator of non</w:t>
      </w:r>
      <w:r>
        <w:noBreakHyphen/>
        <w:t>state sector activity in the admitted patient component.</w:t>
      </w:r>
    </w:p>
    <w:p w14:paraId="346EF613" w14:textId="6CB1BE5E" w:rsidR="00A16777" w:rsidRDefault="00A16777" w:rsidP="00BC13C0">
      <w:pPr>
        <w:pStyle w:val="CGC2025ParaNumbers"/>
      </w:pPr>
      <w:r>
        <w:t xml:space="preserve">The Commission will </w:t>
      </w:r>
      <w:r w:rsidR="00BC13C0">
        <w:t xml:space="preserve">include </w:t>
      </w:r>
      <w:r w:rsidR="00BC13C0" w:rsidRPr="00BC13C0">
        <w:t>activity associated with self</w:t>
      </w:r>
      <w:r w:rsidR="00BC13C0">
        <w:noBreakHyphen/>
      </w:r>
      <w:r w:rsidR="00BC13C0" w:rsidRPr="00BC13C0">
        <w:t>funded patients</w:t>
      </w:r>
      <w:r w:rsidR="00BC13C0">
        <w:t xml:space="preserve">, in addition to </w:t>
      </w:r>
      <w:r w:rsidR="002267AC">
        <w:t xml:space="preserve">activity </w:t>
      </w:r>
      <w:r w:rsidR="00BE7367">
        <w:t xml:space="preserve">associated with </w:t>
      </w:r>
      <w:r w:rsidR="00CF5938">
        <w:t>private health insurance</w:t>
      </w:r>
      <w:r w:rsidR="006D130F">
        <w:noBreakHyphen/>
        <w:t xml:space="preserve">funded </w:t>
      </w:r>
      <w:r w:rsidR="00084678">
        <w:t>patients</w:t>
      </w:r>
      <w:r w:rsidR="002A666F">
        <w:t>, to estimate</w:t>
      </w:r>
      <w:r w:rsidR="00BD78D3">
        <w:t xml:space="preserve"> the substitutability level</w:t>
      </w:r>
      <w:r w:rsidR="00772B04">
        <w:t>.</w:t>
      </w:r>
    </w:p>
    <w:p w14:paraId="668C4DC4" w14:textId="5175EF6C" w:rsidR="001B22BB" w:rsidRDefault="001B22BB" w:rsidP="001B22BB">
      <w:pPr>
        <w:pStyle w:val="CGC2025ParaNumbers"/>
      </w:pPr>
      <w:r>
        <w:t>The Commission will use a substitutability level of 17%, which is the midpoint of the 2 methods used to estimate substitutability.</w:t>
      </w:r>
    </w:p>
    <w:p w14:paraId="2F903D48" w14:textId="77777777" w:rsidR="001B22BB" w:rsidRPr="00995F04" w:rsidRDefault="001B22BB" w:rsidP="001B22BB">
      <w:pPr>
        <w:pStyle w:val="CGC2025ParaNumbers"/>
      </w:pPr>
      <w:r>
        <w:t>A discount of 12.5% will be applied due to uncertainty with the reliability of the data and the robustness of the method for the admitted patient non-state sector adjustment.</w:t>
      </w:r>
    </w:p>
    <w:p w14:paraId="46873F4A" w14:textId="5A99254F" w:rsidR="00773141" w:rsidRDefault="00773141" w:rsidP="001C6D90">
      <w:pPr>
        <w:pStyle w:val="Heading3"/>
        <w:keepNext/>
      </w:pPr>
      <w:r>
        <w:t>Non-state sector adjustment</w:t>
      </w:r>
      <w:r w:rsidR="009C0E6B">
        <w:t xml:space="preserve"> – </w:t>
      </w:r>
      <w:r w:rsidR="004A64EB">
        <w:t>emergency departments</w:t>
      </w:r>
    </w:p>
    <w:p w14:paraId="0DBF6E14" w14:textId="7915A0EF" w:rsidR="00995F04" w:rsidRDefault="00134BDC" w:rsidP="00995F04">
      <w:pPr>
        <w:pStyle w:val="CGC2025ParaNumbers"/>
      </w:pPr>
      <w:bookmarkStart w:id="17" w:name="_Hlk174527132"/>
      <w:r>
        <w:t xml:space="preserve">The </w:t>
      </w:r>
      <w:r w:rsidR="00385184">
        <w:t xml:space="preserve">Commission </w:t>
      </w:r>
      <w:r w:rsidR="00C523D3">
        <w:t xml:space="preserve">sought state views on </w:t>
      </w:r>
      <w:r w:rsidR="00760CD3">
        <w:t xml:space="preserve">using </w:t>
      </w:r>
      <w:r w:rsidR="0068538C">
        <w:t xml:space="preserve">the </w:t>
      </w:r>
      <w:r w:rsidR="00BF277B" w:rsidRPr="00AA36CC">
        <w:t>Australian Institute of Health and Welfare</w:t>
      </w:r>
      <w:r w:rsidR="00422B5C">
        <w:t>-</w:t>
      </w:r>
      <w:r w:rsidR="002655FF">
        <w:t xml:space="preserve">based </w:t>
      </w:r>
      <w:r w:rsidR="00BF277B" w:rsidRPr="00AA36CC">
        <w:t>method</w:t>
      </w:r>
      <w:r w:rsidR="00612A32">
        <w:t xml:space="preserve"> </w:t>
      </w:r>
      <w:bookmarkStart w:id="18" w:name="_Hlk174528801"/>
      <w:r w:rsidR="00612A32">
        <w:t xml:space="preserve">to </w:t>
      </w:r>
      <w:r w:rsidR="00760CD3">
        <w:t xml:space="preserve">update the </w:t>
      </w:r>
      <w:r w:rsidR="00125C74">
        <w:t>estimat</w:t>
      </w:r>
      <w:r w:rsidR="00760CD3">
        <w:t>es</w:t>
      </w:r>
      <w:r w:rsidR="000A11BB">
        <w:t xml:space="preserve"> of</w:t>
      </w:r>
      <w:r w:rsidR="00125C74">
        <w:t xml:space="preserve"> the non</w:t>
      </w:r>
      <w:r w:rsidR="00125C74">
        <w:noBreakHyphen/>
        <w:t xml:space="preserve">state </w:t>
      </w:r>
      <w:r w:rsidR="00FD1D26">
        <w:t xml:space="preserve">sector </w:t>
      </w:r>
      <w:r w:rsidR="00125C74">
        <w:t>substitutability level for emergency department</w:t>
      </w:r>
      <w:r w:rsidR="00607E8B">
        <w:t>s</w:t>
      </w:r>
      <w:r w:rsidR="00505172">
        <w:t xml:space="preserve">. </w:t>
      </w:r>
      <w:r w:rsidR="00754410">
        <w:t>This was because</w:t>
      </w:r>
      <w:bookmarkEnd w:id="18"/>
      <w:r w:rsidR="0079646C">
        <w:t xml:space="preserve"> </w:t>
      </w:r>
      <w:r w:rsidR="00123882">
        <w:t xml:space="preserve">updated </w:t>
      </w:r>
      <w:r w:rsidR="00A86410">
        <w:t>estimates w</w:t>
      </w:r>
      <w:r w:rsidR="002473A7">
        <w:t xml:space="preserve">ere only </w:t>
      </w:r>
      <w:r w:rsidR="00E673F1">
        <w:t xml:space="preserve">available for the </w:t>
      </w:r>
      <w:bookmarkStart w:id="19" w:name="_Hlk189737132"/>
      <w:r w:rsidR="00E673F1">
        <w:t>Australian Institute of Health and Welfare</w:t>
      </w:r>
      <w:bookmarkEnd w:id="19"/>
      <w:r w:rsidR="00D460AA">
        <w:noBreakHyphen/>
      </w:r>
      <w:r w:rsidR="00F57AFC">
        <w:t xml:space="preserve">based </w:t>
      </w:r>
      <w:r w:rsidR="00E673F1">
        <w:t xml:space="preserve">method and not </w:t>
      </w:r>
      <w:r w:rsidR="006E07AB">
        <w:t xml:space="preserve">the Commission’s </w:t>
      </w:r>
      <w:r w:rsidR="00730CD8">
        <w:t xml:space="preserve">preferred </w:t>
      </w:r>
      <w:r w:rsidR="001C6D90">
        <w:t>approach used in the 2020 Review</w:t>
      </w:r>
      <w:r w:rsidR="009955A3">
        <w:t xml:space="preserve">, </w:t>
      </w:r>
      <w:r w:rsidR="008373FD">
        <w:t>which</w:t>
      </w:r>
      <w:r w:rsidR="00E90B7A">
        <w:t xml:space="preserve"> was based on </w:t>
      </w:r>
      <w:r w:rsidR="00327B11" w:rsidRPr="00327B11">
        <w:t>Australasian College for Emergency Medicine</w:t>
      </w:r>
      <w:r w:rsidR="00E90B7A">
        <w:t xml:space="preserve"> data</w:t>
      </w:r>
      <w:r w:rsidR="001C6D90">
        <w:t>.</w:t>
      </w:r>
      <w:r w:rsidR="005C1B26">
        <w:rPr>
          <w:rStyle w:val="FootnoteReference"/>
        </w:rPr>
        <w:footnoteReference w:id="4"/>
      </w:r>
    </w:p>
    <w:p w14:paraId="07D68D6C" w14:textId="5A8B9957" w:rsidR="00444DBA" w:rsidRDefault="00C101E3" w:rsidP="000C05C9">
      <w:pPr>
        <w:pStyle w:val="CGC2025ParaNumbers"/>
      </w:pPr>
      <w:r>
        <w:t xml:space="preserve">The Commission also considered state </w:t>
      </w:r>
      <w:r w:rsidR="000C05C9">
        <w:t xml:space="preserve">views on alternative approaches </w:t>
      </w:r>
      <w:r w:rsidR="000C05C9" w:rsidRPr="000C05C9">
        <w:t>to estimating the non</w:t>
      </w:r>
      <w:r w:rsidR="007D44CA">
        <w:t>-</w:t>
      </w:r>
      <w:r w:rsidR="000C05C9" w:rsidRPr="000C05C9">
        <w:t>state sector substitutability level for emergency departments</w:t>
      </w:r>
      <w:r w:rsidR="000C05C9">
        <w:t>.</w:t>
      </w:r>
    </w:p>
    <w:p w14:paraId="794A4A79" w14:textId="2D76A93B" w:rsidR="00995F04" w:rsidRDefault="00995F04" w:rsidP="00995F04">
      <w:pPr>
        <w:pStyle w:val="Heading4"/>
      </w:pPr>
      <w:r>
        <w:t>State views</w:t>
      </w:r>
    </w:p>
    <w:p w14:paraId="098B2284" w14:textId="4484EBF7" w:rsidR="00995F04" w:rsidRDefault="005A1CE5" w:rsidP="005A1CE5">
      <w:pPr>
        <w:pStyle w:val="CGC2025ParaNumbers"/>
      </w:pPr>
      <w:r>
        <w:t>Most states broadly supported the Commission’s proposed approach for updating the emergency department non-state sector substitutability level.</w:t>
      </w:r>
    </w:p>
    <w:p w14:paraId="716DFA6C" w14:textId="1B908E57" w:rsidR="009C68C5" w:rsidRDefault="000029DE" w:rsidP="000029DE">
      <w:pPr>
        <w:pStyle w:val="CGC2025ParaNumbers"/>
      </w:pPr>
      <w:r>
        <w:t xml:space="preserve">New South Wales said </w:t>
      </w:r>
      <w:r w:rsidR="00AB2231">
        <w:t xml:space="preserve">the provision by the non-state sector of specialist services (such as pathology and imaging services) should be </w:t>
      </w:r>
      <w:proofErr w:type="gramStart"/>
      <w:r w:rsidR="00AB2231">
        <w:t>taken into account</w:t>
      </w:r>
      <w:proofErr w:type="gramEnd"/>
      <w:r w:rsidR="00AB2231">
        <w:t xml:space="preserve"> in estimating the non-state sector substitutability level for the emergency department services assessment.</w:t>
      </w:r>
    </w:p>
    <w:p w14:paraId="149C4081" w14:textId="242E640A" w:rsidR="000029DE" w:rsidRDefault="00D070FC" w:rsidP="000029DE">
      <w:pPr>
        <w:pStyle w:val="CGC2025ParaNumbers"/>
      </w:pPr>
      <w:r>
        <w:t xml:space="preserve">Victoria said the Commission should </w:t>
      </w:r>
      <w:r w:rsidR="00104C4F">
        <w:t>have</w:t>
      </w:r>
      <w:r w:rsidR="00FE7D4D">
        <w:t xml:space="preserve"> contracted an expert to review the approach.</w:t>
      </w:r>
    </w:p>
    <w:p w14:paraId="4F9EA83F" w14:textId="0653045F" w:rsidR="00FE7D4D" w:rsidRDefault="00F1738D" w:rsidP="00F1738D">
      <w:pPr>
        <w:pStyle w:val="CGC2025ParaNumbers"/>
      </w:pPr>
      <w:r>
        <w:t>Western Australia said that separate substitutability levels should be used for each remoteness region.</w:t>
      </w:r>
    </w:p>
    <w:p w14:paraId="0531B0D2" w14:textId="6B97A6CF" w:rsidR="00745D12" w:rsidRPr="002C0BA3" w:rsidRDefault="002570A4" w:rsidP="00F1738D">
      <w:pPr>
        <w:pStyle w:val="CGC2025ParaNumbers"/>
      </w:pPr>
      <w:r w:rsidRPr="002C0BA3">
        <w:lastRenderedPageBreak/>
        <w:t xml:space="preserve">New South Wales and Victoria said the Commission should </w:t>
      </w:r>
      <w:r w:rsidR="003C5836" w:rsidRPr="002C0BA3">
        <w:t xml:space="preserve">use the </w:t>
      </w:r>
      <w:bookmarkStart w:id="20" w:name="_Hlk174530086"/>
      <w:r w:rsidR="003C5836" w:rsidRPr="002C0BA3">
        <w:t xml:space="preserve">exact number </w:t>
      </w:r>
      <w:r w:rsidR="00FB0A04" w:rsidRPr="002C0BA3">
        <w:t>produced by the formula for</w:t>
      </w:r>
      <w:r w:rsidR="00B953D5" w:rsidRPr="002C0BA3">
        <w:t xml:space="preserve"> the non-state </w:t>
      </w:r>
      <w:r w:rsidR="003C5836" w:rsidRPr="002C0BA3">
        <w:t>sector</w:t>
      </w:r>
      <w:r w:rsidR="00B953D5" w:rsidRPr="002C0BA3">
        <w:t xml:space="preserve"> </w:t>
      </w:r>
      <w:r w:rsidR="003C5836" w:rsidRPr="002C0BA3">
        <w:t>substitutability</w:t>
      </w:r>
      <w:r w:rsidR="00B953D5" w:rsidRPr="002C0BA3">
        <w:t xml:space="preserve"> level</w:t>
      </w:r>
      <w:bookmarkEnd w:id="20"/>
      <w:r w:rsidR="00B953D5" w:rsidRPr="002C0BA3">
        <w:t xml:space="preserve"> </w:t>
      </w:r>
      <w:r w:rsidR="00FB0A04" w:rsidRPr="002C0BA3">
        <w:t xml:space="preserve">rather than round </w:t>
      </w:r>
      <w:r w:rsidR="00B953D5" w:rsidRPr="002C0BA3">
        <w:t xml:space="preserve">to the </w:t>
      </w:r>
      <w:r w:rsidR="003C5836" w:rsidRPr="002C0BA3">
        <w:t>nearest 5%.</w:t>
      </w:r>
    </w:p>
    <w:p w14:paraId="5E8BF739" w14:textId="708C87D5" w:rsidR="00995F04" w:rsidRDefault="00995F04" w:rsidP="00995F04">
      <w:pPr>
        <w:pStyle w:val="Heading4"/>
      </w:pPr>
      <w:r>
        <w:t>Commission response</w:t>
      </w:r>
    </w:p>
    <w:p w14:paraId="1A942DDF" w14:textId="132A983A" w:rsidR="00CA2D88" w:rsidRDefault="006022DD" w:rsidP="00CA2D88">
      <w:pPr>
        <w:pStyle w:val="CGC2025ParaNumbers"/>
      </w:pPr>
      <w:r>
        <w:t xml:space="preserve">The </w:t>
      </w:r>
      <w:r w:rsidR="004C7B8B">
        <w:t>Commission considered that the</w:t>
      </w:r>
      <w:r>
        <w:t xml:space="preserve"> Australian Institute of Health and Welfare data could be used as a proxy to update the </w:t>
      </w:r>
      <w:r w:rsidR="00E862D8">
        <w:t>non-state sector subs</w:t>
      </w:r>
      <w:r w:rsidR="00112D6C">
        <w:t>titut</w:t>
      </w:r>
      <w:r w:rsidR="008270B4">
        <w:t xml:space="preserve">ability </w:t>
      </w:r>
      <w:r w:rsidR="00425BE4">
        <w:t xml:space="preserve">level </w:t>
      </w:r>
      <w:r w:rsidR="006E2373">
        <w:t>for emergency departments.</w:t>
      </w:r>
      <w:r w:rsidR="008270B4">
        <w:t xml:space="preserve"> </w:t>
      </w:r>
      <w:r w:rsidR="002063B4">
        <w:t xml:space="preserve">It </w:t>
      </w:r>
      <w:r w:rsidR="00D9470E">
        <w:t>considered it</w:t>
      </w:r>
      <w:r w:rsidR="002063B4">
        <w:t xml:space="preserve"> better to update </w:t>
      </w:r>
      <w:r w:rsidR="004D5AC8">
        <w:t xml:space="preserve">the estimate of substitutability using </w:t>
      </w:r>
      <w:r w:rsidR="00BA650A">
        <w:t xml:space="preserve">more recent </w:t>
      </w:r>
      <w:r w:rsidR="004E15C3">
        <w:t>data</w:t>
      </w:r>
      <w:r w:rsidR="002C62DA">
        <w:t>.</w:t>
      </w:r>
    </w:p>
    <w:p w14:paraId="33D0AE70" w14:textId="7A3BE7D9" w:rsidR="00872449" w:rsidRDefault="00872449" w:rsidP="00872449">
      <w:pPr>
        <w:pStyle w:val="CGC2025ParaNumbers"/>
      </w:pPr>
      <w:r>
        <w:t>Separate substitutability levels for each remoteness area</w:t>
      </w:r>
      <w:r w:rsidR="0086027B">
        <w:t>, as proposed by Western</w:t>
      </w:r>
      <w:r w:rsidR="00B72DE3">
        <w:t> </w:t>
      </w:r>
      <w:r w:rsidR="0086027B">
        <w:t>Australia</w:t>
      </w:r>
      <w:r w:rsidR="00CE27CD">
        <w:t>,</w:t>
      </w:r>
      <w:r>
        <w:t xml:space="preserve"> would add further complexity to an already complex adjustment. It would also require actual non-state sector service provision disaggregated by remoteness area. The proposal </w:t>
      </w:r>
      <w:r w:rsidR="009F3E43">
        <w:t xml:space="preserve">will be </w:t>
      </w:r>
      <w:r>
        <w:t>consider</w:t>
      </w:r>
      <w:r w:rsidR="001C1E69">
        <w:t>ed</w:t>
      </w:r>
      <w:r>
        <w:t xml:space="preserve"> </w:t>
      </w:r>
      <w:r w:rsidR="00FB2957">
        <w:t xml:space="preserve">as part of the health assessment element of the Commission’s </w:t>
      </w:r>
      <w:r w:rsidR="00A508B3">
        <w:t>f</w:t>
      </w:r>
      <w:r w:rsidR="00FB2957">
        <w:t xml:space="preserve">orward </w:t>
      </w:r>
      <w:r w:rsidR="00A508B3">
        <w:t>w</w:t>
      </w:r>
      <w:r w:rsidR="00FB2957">
        <w:t xml:space="preserve">ork </w:t>
      </w:r>
      <w:r w:rsidR="00A508B3">
        <w:t>p</w:t>
      </w:r>
      <w:r w:rsidR="00FB2957">
        <w:t>rogram.</w:t>
      </w:r>
    </w:p>
    <w:p w14:paraId="7CA80040" w14:textId="2F2EBF98" w:rsidR="00995F04" w:rsidRDefault="00872449" w:rsidP="00872449">
      <w:pPr>
        <w:pStyle w:val="CGC2025ParaNumbers"/>
      </w:pPr>
      <w:r>
        <w:t xml:space="preserve">The approaches used in the past 2 reviews focus on the proportion of emergency department presentations that are potentially treatable by GPs. Broadening the analysis to include non-state sector specialist services in addition to GP services </w:t>
      </w:r>
      <w:r w:rsidR="00CD58CB">
        <w:t>will</w:t>
      </w:r>
      <w:r>
        <w:t xml:space="preserve"> also form part of the more detailed consideration of the non-state sector </w:t>
      </w:r>
      <w:r w:rsidR="006363C4">
        <w:t>i</w:t>
      </w:r>
      <w:r w:rsidR="00CD58CB">
        <w:t xml:space="preserve">n the Commission’s </w:t>
      </w:r>
      <w:r w:rsidR="00A508B3">
        <w:t>f</w:t>
      </w:r>
      <w:r w:rsidR="00CD58CB">
        <w:t xml:space="preserve">orward </w:t>
      </w:r>
      <w:r w:rsidR="00A508B3">
        <w:t>w</w:t>
      </w:r>
      <w:r w:rsidR="00CD58CB">
        <w:t xml:space="preserve">ork </w:t>
      </w:r>
      <w:r w:rsidR="00A508B3">
        <w:t>p</w:t>
      </w:r>
      <w:r w:rsidR="00CD58CB">
        <w:t>rogram</w:t>
      </w:r>
      <w:r w:rsidR="00E4104C">
        <w:t>.</w:t>
      </w:r>
    </w:p>
    <w:p w14:paraId="42A7B062" w14:textId="01CE57AC" w:rsidR="008805E6" w:rsidRDefault="008805E6" w:rsidP="00872449">
      <w:pPr>
        <w:pStyle w:val="CGC2025ParaNumbers"/>
      </w:pPr>
      <w:r>
        <w:t>The Commission explored the possibility of engaging an external expert to review the</w:t>
      </w:r>
      <w:r w:rsidR="00AE363C">
        <w:t xml:space="preserve"> non-state sector adjustment for emergency departments</w:t>
      </w:r>
      <w:r>
        <w:t xml:space="preserve">, but this </w:t>
      </w:r>
      <w:r w:rsidR="00D03BC1">
        <w:t>was not</w:t>
      </w:r>
      <w:r>
        <w:t xml:space="preserve"> feasible within the </w:t>
      </w:r>
      <w:r w:rsidR="00D03BC1">
        <w:t>timeframe for</w:t>
      </w:r>
      <w:r>
        <w:t xml:space="preserve"> the 2025 Review.</w:t>
      </w:r>
    </w:p>
    <w:p w14:paraId="4001972C" w14:textId="452E5A5E" w:rsidR="00A36605" w:rsidRPr="00A36605" w:rsidRDefault="00A36605" w:rsidP="00A36605">
      <w:pPr>
        <w:pStyle w:val="CGC2025ParaNumbers"/>
      </w:pPr>
      <w:r w:rsidRPr="00A36605">
        <w:t>The Commission accept</w:t>
      </w:r>
      <w:r w:rsidR="003A1B94">
        <w:t>ed</w:t>
      </w:r>
      <w:r w:rsidRPr="00A36605">
        <w:t xml:space="preserve"> that round</w:t>
      </w:r>
      <w:r w:rsidR="00E87585">
        <w:t>ing</w:t>
      </w:r>
      <w:r w:rsidRPr="00A36605">
        <w:t xml:space="preserve"> </w:t>
      </w:r>
      <w:r w:rsidR="0034421C">
        <w:t xml:space="preserve">of </w:t>
      </w:r>
      <w:r w:rsidRPr="00A36605">
        <w:t>substitutability levels to the nearest 5%</w:t>
      </w:r>
      <w:r w:rsidR="00B72DE3">
        <w:t> </w:t>
      </w:r>
      <w:r w:rsidR="0034421C">
        <w:t xml:space="preserve">as proposed in the Draft Report </w:t>
      </w:r>
      <w:r w:rsidRPr="00A36605">
        <w:t>add</w:t>
      </w:r>
      <w:r w:rsidR="0034421C">
        <w:t>ed</w:t>
      </w:r>
      <w:r w:rsidRPr="00A36605">
        <w:t xml:space="preserve"> an unnecessary step to the calculation.</w:t>
      </w:r>
    </w:p>
    <w:p w14:paraId="3593A43B" w14:textId="0368CD69" w:rsidR="00995F04" w:rsidRDefault="00995F04" w:rsidP="00995F04">
      <w:pPr>
        <w:pStyle w:val="Heading4"/>
      </w:pPr>
      <w:r>
        <w:t>Commission decision</w:t>
      </w:r>
    </w:p>
    <w:p w14:paraId="57171439" w14:textId="641EA888" w:rsidR="00995F04" w:rsidRDefault="005D0305" w:rsidP="005D0305">
      <w:pPr>
        <w:pStyle w:val="CGC2025ParaNumbers"/>
      </w:pPr>
      <w:r w:rsidRPr="00AA36CC">
        <w:t xml:space="preserve">For the emergency departments component, the Commission will </w:t>
      </w:r>
      <w:r w:rsidR="007D2A2E">
        <w:t>retain</w:t>
      </w:r>
      <w:r w:rsidRPr="00AA36CC">
        <w:t xml:space="preserve"> the</w:t>
      </w:r>
      <w:r w:rsidR="006B2E3F">
        <w:t xml:space="preserve"> 2020</w:t>
      </w:r>
      <w:r w:rsidR="005844C4">
        <w:t> </w:t>
      </w:r>
      <w:r w:rsidR="006B2E3F">
        <w:t xml:space="preserve">Review </w:t>
      </w:r>
      <w:r w:rsidR="003E6917">
        <w:t xml:space="preserve">method to determine the </w:t>
      </w:r>
      <w:r w:rsidR="00DE09AF">
        <w:t xml:space="preserve">non-state sector </w:t>
      </w:r>
      <w:r w:rsidR="005455F6">
        <w:t xml:space="preserve">substitutability level </w:t>
      </w:r>
      <w:r w:rsidR="00674FE9">
        <w:t xml:space="preserve">but </w:t>
      </w:r>
      <w:r w:rsidR="005455F6">
        <w:t>will</w:t>
      </w:r>
      <w:r w:rsidR="0015100C">
        <w:t xml:space="preserve"> use data from the </w:t>
      </w:r>
      <w:r w:rsidRPr="00AA36CC">
        <w:t xml:space="preserve">Australian Institute of Health and Welfare </w:t>
      </w:r>
      <w:r w:rsidR="003A0E26">
        <w:t xml:space="preserve">to update the </w:t>
      </w:r>
      <w:r w:rsidR="0015100C">
        <w:t>calculations</w:t>
      </w:r>
      <w:r w:rsidR="001C2E05">
        <w:t>.</w:t>
      </w:r>
      <w:r w:rsidRPr="00AA36CC">
        <w:t xml:space="preserve"> This method produces an estimate of 13%</w:t>
      </w:r>
      <w:r w:rsidR="00C33506" w:rsidRPr="00AA36CC">
        <w:t>.</w:t>
      </w:r>
    </w:p>
    <w:p w14:paraId="16CE1451" w14:textId="6E56229A" w:rsidR="006C3D36" w:rsidRPr="00AA36CC" w:rsidRDefault="006C3D36" w:rsidP="007D6DCE">
      <w:pPr>
        <w:pStyle w:val="CGC2025ParaNumbers"/>
      </w:pPr>
      <w:r>
        <w:t>A low discount of 12.5</w:t>
      </w:r>
      <w:r w:rsidR="00965B4F">
        <w:t xml:space="preserve">% will be applied due to </w:t>
      </w:r>
      <w:r w:rsidR="00B72EB1">
        <w:t>uncertainty with the reliability of the data and the robustness of the method</w:t>
      </w:r>
      <w:r w:rsidR="007D6DCE" w:rsidRPr="007D6DCE">
        <w:t xml:space="preserve"> for </w:t>
      </w:r>
      <w:r w:rsidR="00B274EB">
        <w:t xml:space="preserve">the </w:t>
      </w:r>
      <w:r w:rsidR="00675042">
        <w:t>emergency department</w:t>
      </w:r>
      <w:r w:rsidR="004D225A">
        <w:t xml:space="preserve"> </w:t>
      </w:r>
      <w:r w:rsidR="007D6DCE" w:rsidRPr="007D6DCE">
        <w:t>non-state sector adjustment</w:t>
      </w:r>
      <w:r w:rsidR="004D225A">
        <w:t>.</w:t>
      </w:r>
    </w:p>
    <w:bookmarkEnd w:id="17"/>
    <w:p w14:paraId="7EE21AAA" w14:textId="59CEC7FE" w:rsidR="000243CB" w:rsidRDefault="000243CB" w:rsidP="00463213">
      <w:pPr>
        <w:pStyle w:val="Heading3"/>
        <w:keepNext/>
        <w:spacing w:before="160" w:after="120"/>
      </w:pPr>
      <w:r>
        <w:t>Non-state sector adjustment – non-admitted patients</w:t>
      </w:r>
    </w:p>
    <w:p w14:paraId="1EC01278" w14:textId="4C5EBDCD" w:rsidR="00BA467B" w:rsidRDefault="00DC70F1" w:rsidP="00BA467B">
      <w:pPr>
        <w:pStyle w:val="CGC2025ParaNumbers"/>
      </w:pPr>
      <w:r>
        <w:t xml:space="preserve">The 2020 Review </w:t>
      </w:r>
      <w:r w:rsidR="008D7864">
        <w:t>used</w:t>
      </w:r>
      <w:r w:rsidR="008E095B">
        <w:t xml:space="preserve"> 2</w:t>
      </w:r>
      <w:r w:rsidR="00BA467B">
        <w:t xml:space="preserve"> methods to estimate the non</w:t>
      </w:r>
      <w:r w:rsidR="00BA467B">
        <w:noBreakHyphen/>
        <w:t>state sector substitutability level for the non</w:t>
      </w:r>
      <w:r w:rsidR="00BA467B">
        <w:noBreakHyphen/>
        <w:t xml:space="preserve">admitted patient component. </w:t>
      </w:r>
    </w:p>
    <w:p w14:paraId="49914415" w14:textId="00D46211" w:rsidR="00BA467B" w:rsidRDefault="00BA467B" w:rsidP="00BA467B">
      <w:pPr>
        <w:pStyle w:val="CGC2025Bullet1"/>
      </w:pPr>
      <w:r>
        <w:t>The first method looks at the likelihood of patients using non</w:t>
      </w:r>
      <w:r>
        <w:noBreakHyphen/>
        <w:t xml:space="preserve">state services rather than state services based on how comparable services are in the </w:t>
      </w:r>
      <w:r w:rsidR="006A26B3">
        <w:t>2</w:t>
      </w:r>
      <w:r>
        <w:t xml:space="preserve"> sectors and whether the non</w:t>
      </w:r>
      <w:r>
        <w:noBreakHyphen/>
        <w:t>admitted patient service is connected to a prior admitted patient service.</w:t>
      </w:r>
      <w:r w:rsidR="004B4074">
        <w:t xml:space="preserve"> In the 2020 Review</w:t>
      </w:r>
      <w:r w:rsidR="00E01443">
        <w:t xml:space="preserve">, survey </w:t>
      </w:r>
      <w:r w:rsidR="008E1D53">
        <w:t>data w</w:t>
      </w:r>
      <w:r w:rsidR="006A26B3">
        <w:t>ere</w:t>
      </w:r>
      <w:r w:rsidR="00C234A8">
        <w:t xml:space="preserve"> used </w:t>
      </w:r>
      <w:r w:rsidR="008B05AC">
        <w:t>in the calculation.</w:t>
      </w:r>
    </w:p>
    <w:p w14:paraId="64EDC633" w14:textId="5638CD33" w:rsidR="00BA467B" w:rsidRDefault="00BA467B" w:rsidP="00BA467B">
      <w:pPr>
        <w:pStyle w:val="CGC2025Bullet1"/>
      </w:pPr>
      <w:r>
        <w:lastRenderedPageBreak/>
        <w:t>The second method looks at the likelihood of patients using non</w:t>
      </w:r>
      <w:r>
        <w:noBreakHyphen/>
        <w:t>state services rather than state services based on the affordability of non</w:t>
      </w:r>
      <w:r>
        <w:noBreakHyphen/>
        <w:t>state services.</w:t>
      </w:r>
    </w:p>
    <w:p w14:paraId="6A09ACAB" w14:textId="77777777" w:rsidR="008860CC" w:rsidRDefault="008860CC" w:rsidP="008860CC">
      <w:pPr>
        <w:pStyle w:val="Heading4"/>
      </w:pPr>
      <w:r>
        <w:t>State views</w:t>
      </w:r>
    </w:p>
    <w:p w14:paraId="2A1CA7D4" w14:textId="550AFCF1" w:rsidR="001A341E" w:rsidRDefault="001A341E" w:rsidP="001A341E">
      <w:pPr>
        <w:pStyle w:val="CGC2025ParaNumbers"/>
      </w:pPr>
      <w:r>
        <w:t xml:space="preserve">In relation to the first method </w:t>
      </w:r>
      <w:r w:rsidR="00842ECC">
        <w:t xml:space="preserve">for estimating substitutability </w:t>
      </w:r>
      <w:r>
        <w:t>used in the 2020</w:t>
      </w:r>
      <w:r w:rsidR="00842ECC">
        <w:t> </w:t>
      </w:r>
      <w:r>
        <w:t>Review</w:t>
      </w:r>
      <w:r w:rsidR="00842ECC">
        <w:t xml:space="preserve">, </w:t>
      </w:r>
      <w:r>
        <w:t>Western Australia and South Australia said that the assumption</w:t>
      </w:r>
      <w:r w:rsidR="007F3499">
        <w:t xml:space="preserve"> </w:t>
      </w:r>
      <w:r>
        <w:t>that half of non</w:t>
      </w:r>
      <w:r>
        <w:noBreakHyphen/>
        <w:t>admitted patient services are linked to a previous hospital attendance is overstated, while the ACT said the assumption should be reviewed.</w:t>
      </w:r>
    </w:p>
    <w:p w14:paraId="4477E96F" w14:textId="4276B4C5" w:rsidR="00537BC9" w:rsidRDefault="002375B3" w:rsidP="008860CC">
      <w:pPr>
        <w:pStyle w:val="CGC2025ParaNumbers"/>
      </w:pPr>
      <w:r>
        <w:t>Victoria said a discount of 12.5%</w:t>
      </w:r>
      <w:r w:rsidR="00AD4F31">
        <w:t xml:space="preserve"> should be applied </w:t>
      </w:r>
      <w:r w:rsidR="00C60C08">
        <w:t xml:space="preserve">due to </w:t>
      </w:r>
      <w:r w:rsidR="00B55911">
        <w:t xml:space="preserve">inconsistencies in the </w:t>
      </w:r>
      <w:proofErr w:type="gramStart"/>
      <w:r w:rsidR="00B55911">
        <w:t>assumptions</w:t>
      </w:r>
      <w:proofErr w:type="gramEnd"/>
      <w:r w:rsidR="00B55911">
        <w:t xml:space="preserve"> states used in </w:t>
      </w:r>
      <w:r w:rsidR="00234202">
        <w:t xml:space="preserve">producing data on </w:t>
      </w:r>
      <w:r w:rsidR="00234202" w:rsidRPr="006D5D58">
        <w:t>related non-admitted and admitted patient episodes</w:t>
      </w:r>
      <w:r w:rsidR="00234202">
        <w:t>.</w:t>
      </w:r>
    </w:p>
    <w:p w14:paraId="7EB15E6A" w14:textId="561048B0" w:rsidR="00F00FF0" w:rsidRDefault="00F00FF0" w:rsidP="001267D2">
      <w:pPr>
        <w:pStyle w:val="CGC2025ParaNumbers"/>
      </w:pPr>
      <w:r>
        <w:t xml:space="preserve">Western Australia </w:t>
      </w:r>
      <w:r w:rsidR="001821E3">
        <w:t xml:space="preserve">said the </w:t>
      </w:r>
      <w:r w:rsidR="00161CE1">
        <w:t xml:space="preserve">second method used by the Commission for estimating </w:t>
      </w:r>
      <w:r w:rsidR="008A3067">
        <w:t xml:space="preserve">the substitutability level should be dropped </w:t>
      </w:r>
      <w:r w:rsidR="00EE2D90">
        <w:t>as it is a poor method and</w:t>
      </w:r>
      <w:r w:rsidR="008A3067">
        <w:t xml:space="preserve"> the first method</w:t>
      </w:r>
      <w:r w:rsidR="00EE2D90">
        <w:t xml:space="preserve"> already </w:t>
      </w:r>
      <w:r w:rsidR="00A501F8">
        <w:t>reflects affordability of non</w:t>
      </w:r>
      <w:r w:rsidR="00A501F8">
        <w:noBreakHyphen/>
        <w:t>state services.</w:t>
      </w:r>
      <w:r w:rsidR="00814920">
        <w:t xml:space="preserve"> </w:t>
      </w:r>
      <w:r w:rsidR="00587F6E">
        <w:t xml:space="preserve">If it is retained it should not be given the same weight as the first method. </w:t>
      </w:r>
    </w:p>
    <w:p w14:paraId="47A1C065" w14:textId="172D1AD5" w:rsidR="002C35C3" w:rsidRPr="00585550" w:rsidRDefault="00585550" w:rsidP="001267D2">
      <w:pPr>
        <w:pStyle w:val="CGC2025ParaNumbers"/>
      </w:pPr>
      <w:r w:rsidRPr="002C0BA3">
        <w:t>New South Wales and Victoria said the Commission should use the exact number produced by the formula for the non-state sector substitutability level rather than round to the nearest 5%.</w:t>
      </w:r>
    </w:p>
    <w:p w14:paraId="6AFD0A46" w14:textId="77777777" w:rsidR="008860CC" w:rsidRDefault="008860CC" w:rsidP="008860CC">
      <w:pPr>
        <w:pStyle w:val="Heading4"/>
      </w:pPr>
      <w:r>
        <w:t>Commission response</w:t>
      </w:r>
    </w:p>
    <w:p w14:paraId="3D462428" w14:textId="63DF53C5" w:rsidR="00F77958" w:rsidRPr="00EB4EEE" w:rsidRDefault="008854EC" w:rsidP="00E05DC2">
      <w:pPr>
        <w:pStyle w:val="CGC2025ParaNumbers"/>
      </w:pPr>
      <w:r w:rsidRPr="00EB4EEE">
        <w:t>To address states</w:t>
      </w:r>
      <w:r w:rsidR="00D8757C" w:rsidRPr="00EB4EEE">
        <w:t>’</w:t>
      </w:r>
      <w:r w:rsidRPr="00EB4EEE">
        <w:t xml:space="preserve"> concerns </w:t>
      </w:r>
      <w:r w:rsidR="006237A2" w:rsidRPr="00EB4EEE">
        <w:t>with the first method</w:t>
      </w:r>
      <w:r w:rsidR="00983D79">
        <w:t xml:space="preserve"> for calculating the </w:t>
      </w:r>
      <w:r w:rsidR="004206EF">
        <w:t>substitutability level</w:t>
      </w:r>
      <w:r w:rsidR="006237A2" w:rsidRPr="00EB4EEE">
        <w:t xml:space="preserve">, </w:t>
      </w:r>
      <w:r w:rsidR="00910259" w:rsidRPr="00EB4EEE">
        <w:t xml:space="preserve">the Commission </w:t>
      </w:r>
      <w:r w:rsidR="00E05DC2" w:rsidRPr="00EB4EEE">
        <w:t>asked states for</w:t>
      </w:r>
      <w:r w:rsidR="00910259" w:rsidRPr="00EB4EEE">
        <w:t xml:space="preserve"> data on the share of related non-admitted and admitted patient episodes.</w:t>
      </w:r>
      <w:r w:rsidR="00E05DC2" w:rsidRPr="00EB4EEE">
        <w:t xml:space="preserve"> </w:t>
      </w:r>
      <w:r w:rsidR="00ED09DC" w:rsidRPr="00EB4EEE">
        <w:t>The data provided by 6 states w</w:t>
      </w:r>
      <w:r w:rsidR="00261549">
        <w:t>ere</w:t>
      </w:r>
      <w:r w:rsidR="00ED09DC" w:rsidRPr="00EB4EEE">
        <w:t xml:space="preserve"> used to update the </w:t>
      </w:r>
      <w:r w:rsidR="00092289" w:rsidRPr="00EB4EEE">
        <w:t>estimate of the substitutability level.</w:t>
      </w:r>
    </w:p>
    <w:p w14:paraId="7D266133" w14:textId="56CBB08A" w:rsidR="007A6C0A" w:rsidRPr="005B5435" w:rsidRDefault="00C46049" w:rsidP="00214098">
      <w:pPr>
        <w:pStyle w:val="CGC2025ParaNumbers"/>
      </w:pPr>
      <w:r w:rsidRPr="005B5435">
        <w:t>As regards Western Australia’s</w:t>
      </w:r>
      <w:r w:rsidR="00A24023" w:rsidRPr="005B5435">
        <w:t xml:space="preserve"> comments, </w:t>
      </w:r>
      <w:r w:rsidR="00047E1D" w:rsidRPr="005B5435">
        <w:t>the Commission</w:t>
      </w:r>
      <w:r w:rsidR="00A24023" w:rsidRPr="005B5435">
        <w:t xml:space="preserve"> recognises </w:t>
      </w:r>
      <w:r w:rsidR="008B3BCD" w:rsidRPr="005B5435">
        <w:t xml:space="preserve">that </w:t>
      </w:r>
      <w:r w:rsidR="00047E1D" w:rsidRPr="005B5435">
        <w:t>us</w:t>
      </w:r>
      <w:r w:rsidR="008B3BCD" w:rsidRPr="005B5435">
        <w:t>ing</w:t>
      </w:r>
      <w:r w:rsidR="00047E1D" w:rsidRPr="005B5435">
        <w:t xml:space="preserve"> </w:t>
      </w:r>
      <w:r w:rsidR="00C26426" w:rsidRPr="005B5435">
        <w:t xml:space="preserve">the proportion of non-state services that are bulk billed </w:t>
      </w:r>
      <w:r w:rsidR="008B3BCD" w:rsidRPr="005B5435">
        <w:t xml:space="preserve">will not </w:t>
      </w:r>
      <w:r w:rsidR="00CD1226" w:rsidRPr="005B5435">
        <w:t xml:space="preserve">provide an </w:t>
      </w:r>
      <w:r w:rsidR="00047E1D" w:rsidRPr="005B5435">
        <w:t>exact value of state services that are substitutable</w:t>
      </w:r>
      <w:r w:rsidR="00CD1226" w:rsidRPr="005B5435">
        <w:t>.</w:t>
      </w:r>
      <w:r w:rsidR="00047E1D" w:rsidRPr="005B5435">
        <w:t xml:space="preserve"> However, </w:t>
      </w:r>
      <w:r w:rsidR="009859ED" w:rsidRPr="005B5435">
        <w:t xml:space="preserve">the objective </w:t>
      </w:r>
      <w:r w:rsidR="00DD52E5" w:rsidRPr="005B5435">
        <w:t xml:space="preserve">is </w:t>
      </w:r>
      <w:r w:rsidR="00047E1D" w:rsidRPr="005B5435">
        <w:t xml:space="preserve">to </w:t>
      </w:r>
      <w:r w:rsidR="0002711C" w:rsidRPr="005B5435">
        <w:t>obtain</w:t>
      </w:r>
      <w:r w:rsidR="00047E1D" w:rsidRPr="005B5435">
        <w:t xml:space="preserve"> a</w:t>
      </w:r>
      <w:r w:rsidR="00C26426" w:rsidRPr="005B5435">
        <w:t xml:space="preserve"> </w:t>
      </w:r>
      <w:r w:rsidR="00047E1D" w:rsidRPr="005B5435">
        <w:t xml:space="preserve">broad indication of the amount of non-state sector health provision </w:t>
      </w:r>
      <w:r w:rsidR="00A40A11" w:rsidRPr="005B5435">
        <w:t>rather than</w:t>
      </w:r>
      <w:r w:rsidR="00047E1D" w:rsidRPr="005B5435">
        <w:t xml:space="preserve"> a precise measure of the volume of substitutable services. The rate of bulk billing for these services provides an indication of the extent to which patients may use these services rather than state services if cost is a factor</w:t>
      </w:r>
      <w:r w:rsidR="00D81118" w:rsidRPr="005B5435">
        <w:t>.</w:t>
      </w:r>
      <w:r w:rsidR="00214098" w:rsidRPr="005B5435">
        <w:t xml:space="preserve"> The higher the bulk billing rate, the more affordable are non-state services, and hence the higher the substitutability between state and non-state services.</w:t>
      </w:r>
    </w:p>
    <w:p w14:paraId="4C722A19" w14:textId="520096FD" w:rsidR="008F771D" w:rsidRDefault="008F771D" w:rsidP="008F771D">
      <w:pPr>
        <w:pStyle w:val="CGC2025ParaNumbers"/>
      </w:pPr>
      <w:bookmarkStart w:id="21" w:name="_Hlk177631106"/>
      <w:r w:rsidRPr="008F771D">
        <w:t>The Commission accept</w:t>
      </w:r>
      <w:r w:rsidR="004E3A24">
        <w:t>s</w:t>
      </w:r>
      <w:r w:rsidRPr="008F771D">
        <w:t xml:space="preserve"> that round</w:t>
      </w:r>
      <w:r w:rsidR="00E87585">
        <w:t>ing</w:t>
      </w:r>
      <w:r w:rsidRPr="008F771D">
        <w:t xml:space="preserve"> substitutability levels to the nearest 5% adds a</w:t>
      </w:r>
      <w:r w:rsidR="00BB08DA">
        <w:t xml:space="preserve">n </w:t>
      </w:r>
      <w:r w:rsidRPr="008F771D">
        <w:t>unnecessary step to the calculation.</w:t>
      </w:r>
    </w:p>
    <w:bookmarkEnd w:id="21"/>
    <w:p w14:paraId="341CB4B0" w14:textId="77777777" w:rsidR="008860CC" w:rsidRDefault="008860CC" w:rsidP="008860CC">
      <w:pPr>
        <w:pStyle w:val="Heading4"/>
      </w:pPr>
      <w:r>
        <w:t>Commission decision</w:t>
      </w:r>
    </w:p>
    <w:p w14:paraId="4C4C9E27" w14:textId="08BD7152" w:rsidR="008860CC" w:rsidRDefault="00A330C7" w:rsidP="004E5344">
      <w:pPr>
        <w:pStyle w:val="CGC2025ParaNumbers"/>
      </w:pPr>
      <w:r>
        <w:t xml:space="preserve">The Commission will use a substitutability level </w:t>
      </w:r>
      <w:r w:rsidR="007122F5">
        <w:t xml:space="preserve">for non-admitted patients </w:t>
      </w:r>
      <w:r>
        <w:t xml:space="preserve">of 28%, which is the midpoint of the </w:t>
      </w:r>
      <w:r w:rsidR="009C43B2">
        <w:t>2</w:t>
      </w:r>
      <w:r>
        <w:t xml:space="preserve"> methods used to estimate substitutability.</w:t>
      </w:r>
    </w:p>
    <w:p w14:paraId="72298CE3" w14:textId="154AE98F" w:rsidR="008F771D" w:rsidRPr="00995F04" w:rsidRDefault="00DD14B7" w:rsidP="00DD14B7">
      <w:pPr>
        <w:pStyle w:val="CGC2025ParaNumbers"/>
      </w:pPr>
      <w:r>
        <w:lastRenderedPageBreak/>
        <w:t xml:space="preserve">A low discount of 12.5% will be </w:t>
      </w:r>
      <w:r w:rsidR="005E1F37">
        <w:t>introduced reflecting</w:t>
      </w:r>
      <w:r w:rsidR="00E646C3">
        <w:t xml:space="preserve"> uncertainty with the reliability of the data and the robustness of the method </w:t>
      </w:r>
      <w:r w:rsidRPr="007D6DCE">
        <w:t>for</w:t>
      </w:r>
      <w:r>
        <w:t xml:space="preserve"> the</w:t>
      </w:r>
      <w:r w:rsidRPr="007D6DCE">
        <w:t xml:space="preserve"> </w:t>
      </w:r>
      <w:r>
        <w:t>non</w:t>
      </w:r>
      <w:r>
        <w:noBreakHyphen/>
        <w:t xml:space="preserve">admitted patient </w:t>
      </w:r>
      <w:r w:rsidRPr="007D6DCE">
        <w:t>non</w:t>
      </w:r>
      <w:r w:rsidR="000D7362">
        <w:noBreakHyphen/>
      </w:r>
      <w:r w:rsidRPr="007D6DCE">
        <w:t>state sector adjustment</w:t>
      </w:r>
      <w:r>
        <w:t>.</w:t>
      </w:r>
    </w:p>
    <w:p w14:paraId="31468310" w14:textId="6747E883" w:rsidR="000243CB" w:rsidRDefault="00900358" w:rsidP="00D67195">
      <w:pPr>
        <w:pStyle w:val="Heading3"/>
        <w:keepNext/>
      </w:pPr>
      <w:r>
        <w:t>Non-state sector adjustment – community and public health</w:t>
      </w:r>
    </w:p>
    <w:p w14:paraId="29790292" w14:textId="24C666A1" w:rsidR="00890C93" w:rsidRDefault="00890C93" w:rsidP="00890C93">
      <w:pPr>
        <w:pStyle w:val="CGC2025ParaNumbers"/>
      </w:pPr>
      <w:r>
        <w:t xml:space="preserve">The </w:t>
      </w:r>
      <w:r w:rsidR="00E7416B">
        <w:t xml:space="preserve">2020 Review </w:t>
      </w:r>
      <w:r w:rsidR="00814D5C">
        <w:t xml:space="preserve">method for the </w:t>
      </w:r>
      <w:r>
        <w:t>non-state sector adjustment for community and public health consists of 2 elements. One element assesses differences between states in the provision of services funded by the Commonwealth’s Medicare Benefits Scheme. The second element assesses differences between states in the provision of services funded by the Commonwealth’s Indigenous Australians’ Health Program and delivered by Aboriginal Community Controlled Health Services.</w:t>
      </w:r>
    </w:p>
    <w:p w14:paraId="151BCE14" w14:textId="5E88BBB0" w:rsidR="008860CC" w:rsidRDefault="0069147F" w:rsidP="001E0304">
      <w:pPr>
        <w:pStyle w:val="CGC2025ParaNumbers"/>
      </w:pPr>
      <w:r>
        <w:t>T</w:t>
      </w:r>
      <w:r w:rsidR="00E25DC6">
        <w:t xml:space="preserve">he Commission proposed </w:t>
      </w:r>
      <w:r w:rsidR="0092726F">
        <w:t xml:space="preserve">a change to the </w:t>
      </w:r>
      <w:r w:rsidR="004604E5">
        <w:t xml:space="preserve">non-state sector adjustment </w:t>
      </w:r>
      <w:r w:rsidR="00680719">
        <w:t xml:space="preserve">for </w:t>
      </w:r>
      <w:r w:rsidR="00680719" w:rsidRPr="00010EC6">
        <w:t xml:space="preserve">grants to First Nations community health organisations </w:t>
      </w:r>
      <w:r w:rsidR="00F851CA">
        <w:t xml:space="preserve">and </w:t>
      </w:r>
      <w:r w:rsidR="006D4C4F">
        <w:t>the introduction of a discount</w:t>
      </w:r>
      <w:r w:rsidR="006B12C1">
        <w:t xml:space="preserve"> for </w:t>
      </w:r>
      <w:r w:rsidR="000A433E">
        <w:t xml:space="preserve">the other element </w:t>
      </w:r>
      <w:r w:rsidR="00833544">
        <w:t xml:space="preserve">of the </w:t>
      </w:r>
      <w:r w:rsidR="00510AD2">
        <w:t>non</w:t>
      </w:r>
      <w:r w:rsidR="00510AD2">
        <w:noBreakHyphen/>
        <w:t>state sector adjustment</w:t>
      </w:r>
      <w:r w:rsidR="00107630">
        <w:t>.</w:t>
      </w:r>
      <w:r w:rsidR="00F92B33">
        <w:t xml:space="preserve"> </w:t>
      </w:r>
    </w:p>
    <w:p w14:paraId="66BD85F8" w14:textId="77777777" w:rsidR="008860CC" w:rsidRDefault="008860CC" w:rsidP="008860CC">
      <w:pPr>
        <w:pStyle w:val="Heading4"/>
      </w:pPr>
      <w:r>
        <w:t>State views</w:t>
      </w:r>
    </w:p>
    <w:p w14:paraId="123EA063" w14:textId="572E9F5E" w:rsidR="00A163CA" w:rsidRDefault="00A163CA" w:rsidP="00A163CA">
      <w:pPr>
        <w:pStyle w:val="CGC2025ParaNumbers"/>
      </w:pPr>
      <w:r>
        <w:t>New South Wales and Victoria question</w:t>
      </w:r>
      <w:r w:rsidR="00BF72DF">
        <w:t>ed</w:t>
      </w:r>
      <w:r>
        <w:t xml:space="preserve"> the Commission’s decision to round down the calculated substitutability rate to 60</w:t>
      </w:r>
      <w:r w:rsidR="00C36C4B">
        <w:t xml:space="preserve">% </w:t>
      </w:r>
      <w:r w:rsidR="0052341F">
        <w:t xml:space="preserve">(the Commission’s calculation was </w:t>
      </w:r>
      <w:r w:rsidR="00086D02">
        <w:t>61.9%)</w:t>
      </w:r>
      <w:r w:rsidR="00285853">
        <w:t xml:space="preserve"> for the first element of the </w:t>
      </w:r>
      <w:r w:rsidR="00167BA6">
        <w:t>non</w:t>
      </w:r>
      <w:r w:rsidR="00167BA6">
        <w:noBreakHyphen/>
        <w:t>state sector adjust</w:t>
      </w:r>
      <w:r w:rsidR="009C491B">
        <w:t>ment</w:t>
      </w:r>
      <w:r>
        <w:t>.</w:t>
      </w:r>
    </w:p>
    <w:p w14:paraId="0FC9577C" w14:textId="5F408B14" w:rsidR="008860CC" w:rsidRDefault="00A94636" w:rsidP="00A94636">
      <w:pPr>
        <w:pStyle w:val="CGC2025ParaNumbers"/>
      </w:pPr>
      <w:r>
        <w:t>The Northern Territory said that the health services provided by Commonwealth</w:t>
      </w:r>
      <w:r w:rsidR="00F928CD">
        <w:noBreakHyphen/>
      </w:r>
      <w:r>
        <w:t xml:space="preserve">funded First Nations community health organisations should not be </w:t>
      </w:r>
      <w:proofErr w:type="gramStart"/>
      <w:r>
        <w:t>taken into account</w:t>
      </w:r>
      <w:proofErr w:type="gramEnd"/>
      <w:r>
        <w:t xml:space="preserve"> in the non-state sector adjustment for community and public health</w:t>
      </w:r>
      <w:r w:rsidR="00516511">
        <w:t xml:space="preserve"> (the second element)</w:t>
      </w:r>
      <w:r>
        <w:t>.</w:t>
      </w:r>
    </w:p>
    <w:p w14:paraId="36A09E17" w14:textId="6A05E932" w:rsidR="00C1225A" w:rsidRDefault="00C1225A" w:rsidP="00C1225A">
      <w:pPr>
        <w:pStyle w:val="CGC2025ParaNumbers"/>
      </w:pPr>
      <w:r>
        <w:t>The Northern Territory said that the assessment of non-state health services is overly simplistic</w:t>
      </w:r>
      <w:r w:rsidR="00711859">
        <w:t>.</w:t>
      </w:r>
      <w:r w:rsidR="009F671F">
        <w:t xml:space="preserve"> </w:t>
      </w:r>
      <w:r w:rsidR="00711859">
        <w:t>T</w:t>
      </w:r>
      <w:r w:rsidR="009F671F">
        <w:t>he predominant purpose of Commonwealth spending in the Northern Territory is to offset the much lower non-government sector spending compared with other states. It said the Northern Territory receives around 30% less Medicare Benefits Scheme funds than the national average.</w:t>
      </w:r>
    </w:p>
    <w:p w14:paraId="067280E1" w14:textId="1BD4A920" w:rsidR="00CA657B" w:rsidRDefault="00F0122F" w:rsidP="0070265E">
      <w:pPr>
        <w:pStyle w:val="CGC2025ParaNumbers"/>
      </w:pPr>
      <w:r>
        <w:t xml:space="preserve">The </w:t>
      </w:r>
      <w:r w:rsidR="00600CA9">
        <w:t xml:space="preserve">Northern Territory said that </w:t>
      </w:r>
      <w:r w:rsidR="0050187F">
        <w:t>if</w:t>
      </w:r>
      <w:r w:rsidR="00B777C2">
        <w:t xml:space="preserve"> the </w:t>
      </w:r>
      <w:r w:rsidR="00B35DA1">
        <w:t>adjustment is maintained</w:t>
      </w:r>
      <w:r w:rsidR="00E13061">
        <w:t xml:space="preserve">, </w:t>
      </w:r>
      <w:r w:rsidR="00787D8C">
        <w:t>assessed non</w:t>
      </w:r>
      <w:r w:rsidR="00787D8C">
        <w:noBreakHyphen/>
      </w:r>
      <w:r w:rsidR="009179A6">
        <w:t xml:space="preserve">state sector services should </w:t>
      </w:r>
      <w:r w:rsidR="008A0D37">
        <w:t xml:space="preserve">be estimated </w:t>
      </w:r>
      <w:r w:rsidR="00F8310B">
        <w:t xml:space="preserve">with </w:t>
      </w:r>
      <w:r w:rsidR="008D01F7">
        <w:t>socio</w:t>
      </w:r>
      <w:r w:rsidR="009D7D4D">
        <w:noBreakHyphen/>
        <w:t>e</w:t>
      </w:r>
      <w:r w:rsidR="008D01F7">
        <w:t>conomic status as a driver in remote and very remote areas.</w:t>
      </w:r>
    </w:p>
    <w:p w14:paraId="57D0D50C" w14:textId="12710B5E" w:rsidR="00112620" w:rsidRPr="005B5435" w:rsidRDefault="00112620" w:rsidP="0070265E">
      <w:pPr>
        <w:pStyle w:val="CGC2025ParaNumbers"/>
      </w:pPr>
      <w:r w:rsidRPr="005B5435">
        <w:t>New South Wales</w:t>
      </w:r>
      <w:r w:rsidR="00FD23DA" w:rsidRPr="005B5435">
        <w:t xml:space="preserve"> </w:t>
      </w:r>
      <w:r w:rsidRPr="005B5435">
        <w:t xml:space="preserve">did not support </w:t>
      </w:r>
      <w:r w:rsidR="00FD23DA" w:rsidRPr="005B5435">
        <w:t xml:space="preserve">a change to the </w:t>
      </w:r>
      <w:r w:rsidR="005E0B2F" w:rsidRPr="005B5435">
        <w:t>non-state sector adjustment for grants to First Nations community health organisations</w:t>
      </w:r>
      <w:r w:rsidR="001E2340" w:rsidRPr="005B5435">
        <w:t xml:space="preserve">. </w:t>
      </w:r>
      <w:r w:rsidR="002A388D" w:rsidRPr="005B5435">
        <w:t>Given the non</w:t>
      </w:r>
      <w:r w:rsidR="002A388D" w:rsidRPr="005B5435">
        <w:noBreakHyphen/>
        <w:t>state sector</w:t>
      </w:r>
      <w:r w:rsidR="00BD4C84" w:rsidRPr="005B5435">
        <w:t xml:space="preserve"> adjustment</w:t>
      </w:r>
      <w:r w:rsidR="008131C7" w:rsidRPr="005B5435">
        <w:t>s</w:t>
      </w:r>
      <w:r w:rsidR="00BD4C84" w:rsidRPr="005B5435">
        <w:t xml:space="preserve"> will be considered as part of the forward work program, </w:t>
      </w:r>
      <w:r w:rsidR="008131C7" w:rsidRPr="005B5435">
        <w:t xml:space="preserve">it said </w:t>
      </w:r>
      <w:r w:rsidR="00BD4C84" w:rsidRPr="005B5435">
        <w:t>s</w:t>
      </w:r>
      <w:r w:rsidR="001E2340" w:rsidRPr="005B5435">
        <w:t>ignificant changes</w:t>
      </w:r>
      <w:r w:rsidR="00BD4C84" w:rsidRPr="005B5435">
        <w:t xml:space="preserve"> </w:t>
      </w:r>
      <w:r w:rsidR="00A170E3" w:rsidRPr="005B5435">
        <w:t xml:space="preserve">should </w:t>
      </w:r>
      <w:r w:rsidR="00E03A8F" w:rsidRPr="005B5435">
        <w:t>not be made ahead of that process</w:t>
      </w:r>
      <w:r w:rsidR="004035F3" w:rsidRPr="005B5435">
        <w:t>.</w:t>
      </w:r>
    </w:p>
    <w:p w14:paraId="3A2DE21A" w14:textId="77777777" w:rsidR="008860CC" w:rsidRDefault="008860CC" w:rsidP="008860CC">
      <w:pPr>
        <w:pStyle w:val="Heading4"/>
      </w:pPr>
      <w:r>
        <w:t>Commission response</w:t>
      </w:r>
    </w:p>
    <w:p w14:paraId="1662EB0E" w14:textId="1E84ED11" w:rsidR="00670C69" w:rsidRDefault="00670C69" w:rsidP="008201FF">
      <w:pPr>
        <w:pStyle w:val="CGC2025ParaNumbers"/>
      </w:pPr>
      <w:r>
        <w:t>The Commission accept</w:t>
      </w:r>
      <w:r w:rsidR="565FE929">
        <w:t>s</w:t>
      </w:r>
      <w:r>
        <w:t xml:space="preserve"> that </w:t>
      </w:r>
      <w:r w:rsidR="00C73397">
        <w:t xml:space="preserve">the proposed </w:t>
      </w:r>
      <w:r>
        <w:t xml:space="preserve">rounding </w:t>
      </w:r>
      <w:r w:rsidR="00C73397">
        <w:t xml:space="preserve">of </w:t>
      </w:r>
      <w:r>
        <w:t>the substitutability level</w:t>
      </w:r>
      <w:r w:rsidR="003C28C6">
        <w:t xml:space="preserve"> in the</w:t>
      </w:r>
      <w:r w:rsidR="002366E8">
        <w:t xml:space="preserve"> </w:t>
      </w:r>
      <w:r w:rsidR="007B400A">
        <w:t xml:space="preserve">first </w:t>
      </w:r>
      <w:r w:rsidR="00BE3D76">
        <w:t>element</w:t>
      </w:r>
      <w:r>
        <w:t xml:space="preserve"> adds an unnecessary step to the calculation.</w:t>
      </w:r>
    </w:p>
    <w:p w14:paraId="482AB4E2" w14:textId="77777777" w:rsidR="00AF7AB9" w:rsidRDefault="00AF7AB9" w:rsidP="00AF7AB9">
      <w:pPr>
        <w:pStyle w:val="CGC2025ParaNumbers"/>
      </w:pPr>
      <w:r>
        <w:lastRenderedPageBreak/>
        <w:t>Commonwealth-funded health services alleviate pressure on state services in the same way as privately funded services.</w:t>
      </w:r>
    </w:p>
    <w:p w14:paraId="1D3DF7EE" w14:textId="19C13D90" w:rsidR="007634D8" w:rsidRDefault="005715FC" w:rsidP="008860CC">
      <w:pPr>
        <w:pStyle w:val="CGC2025ParaNumbers"/>
      </w:pPr>
      <w:r>
        <w:t xml:space="preserve">To the extent that the Northern Territory receives less Medicare Benefits Scheme funds than the national average, this will be </w:t>
      </w:r>
      <w:proofErr w:type="gramStart"/>
      <w:r>
        <w:t>taken into account</w:t>
      </w:r>
      <w:proofErr w:type="gramEnd"/>
      <w:r>
        <w:t xml:space="preserve"> in the first element of the non-state sector adjustment.</w:t>
      </w:r>
    </w:p>
    <w:p w14:paraId="674A9822" w14:textId="4DA9D89B" w:rsidR="00127251" w:rsidRDefault="00010EC6" w:rsidP="00DB436E">
      <w:pPr>
        <w:pStyle w:val="CGC2025ParaNumbers"/>
      </w:pPr>
      <w:r w:rsidRPr="00010EC6">
        <w:t xml:space="preserve">The Commonwealth allocates grants to First Nations community health organisations </w:t>
      </w:r>
      <w:r w:rsidR="00FD6D6C">
        <w:t xml:space="preserve">taking into </w:t>
      </w:r>
      <w:r w:rsidRPr="00010EC6">
        <w:t>conside</w:t>
      </w:r>
      <w:r w:rsidR="00FD6D6C">
        <w:t>ration</w:t>
      </w:r>
      <w:r w:rsidRPr="00010EC6">
        <w:t xml:space="preserve"> the socio-economic status and remoteness of the region. Given the Commission does not have reliable data on socio-economic use rates in remote and very remote areas, it is likely that the actual distribution of First Nations Commonwealth grants produces a better estimate of assessed non</w:t>
      </w:r>
      <w:r w:rsidR="00762DE7">
        <w:noBreakHyphen/>
      </w:r>
      <w:r w:rsidRPr="00010EC6">
        <w:t>state expenses than the method used by the Commission.</w:t>
      </w:r>
    </w:p>
    <w:p w14:paraId="1496432A" w14:textId="77777777" w:rsidR="008860CC" w:rsidRDefault="008860CC" w:rsidP="008860CC">
      <w:pPr>
        <w:pStyle w:val="Heading4"/>
      </w:pPr>
      <w:r>
        <w:t>Commission decision</w:t>
      </w:r>
    </w:p>
    <w:p w14:paraId="4D0D0311" w14:textId="691C4780" w:rsidR="001C7118" w:rsidRDefault="001C7118" w:rsidP="001C7118">
      <w:pPr>
        <w:pStyle w:val="CGC2025ParaNumbers"/>
      </w:pPr>
      <w:r>
        <w:t>The Commission will use a substitutability level of 62% for the first element of the non-state sector adjustment for the community and public health component.</w:t>
      </w:r>
    </w:p>
    <w:p w14:paraId="669EB7C9" w14:textId="1082A3D3" w:rsidR="009F6DF7" w:rsidRDefault="009F6DF7" w:rsidP="009F6DF7">
      <w:pPr>
        <w:pStyle w:val="CGC2025ParaNumbers"/>
      </w:pPr>
      <w:r>
        <w:t xml:space="preserve">A low discount of 12.5% will be applied </w:t>
      </w:r>
      <w:r w:rsidR="007F104E">
        <w:t xml:space="preserve">due to uncertainty with the reliability of the data and the robustness of the method </w:t>
      </w:r>
      <w:r w:rsidRPr="007D6DCE">
        <w:t>for</w:t>
      </w:r>
      <w:r>
        <w:t xml:space="preserve"> the</w:t>
      </w:r>
      <w:r w:rsidRPr="007D6DCE">
        <w:t xml:space="preserve"> </w:t>
      </w:r>
      <w:r>
        <w:t xml:space="preserve">community and public health </w:t>
      </w:r>
      <w:r w:rsidRPr="007D6DCE">
        <w:t>non</w:t>
      </w:r>
      <w:r w:rsidR="00B57E41">
        <w:noBreakHyphen/>
      </w:r>
      <w:r w:rsidRPr="007D6DCE">
        <w:t>state sector adjustment</w:t>
      </w:r>
      <w:r>
        <w:t>.</w:t>
      </w:r>
    </w:p>
    <w:p w14:paraId="381B7779" w14:textId="699448A4" w:rsidR="004E7A4D" w:rsidRDefault="00ED7D74" w:rsidP="004E7A4D">
      <w:pPr>
        <w:pStyle w:val="CGC2025ParaNumbers"/>
      </w:pPr>
      <w:r>
        <w:t>T</w:t>
      </w:r>
      <w:r w:rsidR="00232EC6" w:rsidRPr="00232EC6">
        <w:t xml:space="preserve">he Commission </w:t>
      </w:r>
      <w:r>
        <w:t>will use</w:t>
      </w:r>
      <w:r w:rsidR="00232EC6" w:rsidRPr="00232EC6">
        <w:t xml:space="preserve"> the actual distribution of </w:t>
      </w:r>
      <w:r w:rsidR="00F224A6">
        <w:t xml:space="preserve">First Nations </w:t>
      </w:r>
      <w:r>
        <w:t xml:space="preserve">Commonwealth </w:t>
      </w:r>
      <w:r w:rsidR="00232EC6" w:rsidRPr="00232EC6">
        <w:t xml:space="preserve">grants </w:t>
      </w:r>
      <w:r w:rsidR="004A07C3">
        <w:t xml:space="preserve">as the </w:t>
      </w:r>
      <w:r w:rsidR="00232EC6" w:rsidRPr="00232EC6">
        <w:t>estimate of non</w:t>
      </w:r>
      <w:r w:rsidR="005822C1">
        <w:noBreakHyphen/>
      </w:r>
      <w:r w:rsidR="00232EC6" w:rsidRPr="00232EC6">
        <w:t xml:space="preserve">state sector </w:t>
      </w:r>
      <w:r w:rsidR="00FF5E34">
        <w:t xml:space="preserve">assessed </w:t>
      </w:r>
      <w:r w:rsidR="00232EC6" w:rsidRPr="00232EC6">
        <w:t>expense</w:t>
      </w:r>
      <w:r w:rsidR="00BA67BB">
        <w:t>s.</w:t>
      </w:r>
      <w:r w:rsidR="00232EC6" w:rsidRPr="00232EC6">
        <w:t xml:space="preserve"> This means the non</w:t>
      </w:r>
      <w:r w:rsidR="00450935">
        <w:noBreakHyphen/>
      </w:r>
      <w:r w:rsidR="00232EC6" w:rsidRPr="00232EC6">
        <w:t xml:space="preserve">state sector adjustment for Commonwealth grants to </w:t>
      </w:r>
      <w:r w:rsidR="007022EE">
        <w:t xml:space="preserve">First Nations </w:t>
      </w:r>
      <w:r w:rsidR="00232EC6" w:rsidRPr="00232EC6">
        <w:t>community</w:t>
      </w:r>
      <w:r w:rsidR="00450935">
        <w:noBreakHyphen/>
      </w:r>
      <w:r w:rsidR="00232EC6" w:rsidRPr="00232EC6">
        <w:t>controlled health organisations will be zero</w:t>
      </w:r>
      <w:r w:rsidR="004055B0">
        <w:t>.</w:t>
      </w:r>
    </w:p>
    <w:p w14:paraId="12C5CCA3" w14:textId="30F0ED7E" w:rsidR="00900358" w:rsidRDefault="00687E97" w:rsidP="00F57994">
      <w:pPr>
        <w:pStyle w:val="Heading3"/>
        <w:keepNext/>
      </w:pPr>
      <w:r>
        <w:t xml:space="preserve">Greater reliance </w:t>
      </w:r>
      <w:r w:rsidR="00EB0C10">
        <w:t>on actual state health activity</w:t>
      </w:r>
    </w:p>
    <w:p w14:paraId="04A434C2" w14:textId="7EE86A60" w:rsidR="007C7EB5" w:rsidRPr="007C7EB5" w:rsidRDefault="0097624F" w:rsidP="0097624F">
      <w:pPr>
        <w:pStyle w:val="CGC2025ParaNumbers"/>
      </w:pPr>
      <w:r>
        <w:t>The Commission considered state</w:t>
      </w:r>
      <w:r w:rsidR="00474263">
        <w:t xml:space="preserve"> </w:t>
      </w:r>
      <w:r w:rsidR="00091504">
        <w:t xml:space="preserve">proposals to make greater use of </w:t>
      </w:r>
      <w:r w:rsidR="00D216F2">
        <w:t xml:space="preserve">actual </w:t>
      </w:r>
      <w:r w:rsidR="005B3BD2">
        <w:t xml:space="preserve">state </w:t>
      </w:r>
      <w:r w:rsidR="00D216F2">
        <w:t xml:space="preserve">health </w:t>
      </w:r>
      <w:r w:rsidR="005B3BD2">
        <w:t>activity</w:t>
      </w:r>
      <w:r w:rsidR="00430906">
        <w:t xml:space="preserve"> to estimate assessed</w:t>
      </w:r>
      <w:r w:rsidR="003779D0">
        <w:t xml:space="preserve"> expenses.</w:t>
      </w:r>
      <w:r w:rsidR="0093687A">
        <w:t xml:space="preserve"> I</w:t>
      </w:r>
      <w:r w:rsidR="007D1156">
        <w:t>t</w:t>
      </w:r>
      <w:r w:rsidR="0093687A">
        <w:t xml:space="preserve"> </w:t>
      </w:r>
      <w:r w:rsidR="003E2D26">
        <w:t>proposed e</w:t>
      </w:r>
      <w:r w:rsidR="0093687A" w:rsidRPr="0093687A">
        <w:t xml:space="preserve">xploring this issue </w:t>
      </w:r>
      <w:r w:rsidR="003E2D26">
        <w:t>as</w:t>
      </w:r>
      <w:r w:rsidR="0093687A" w:rsidRPr="0093687A">
        <w:t xml:space="preserve"> part of the Commission’s </w:t>
      </w:r>
      <w:r w:rsidR="001D6500">
        <w:t xml:space="preserve">forward </w:t>
      </w:r>
      <w:r w:rsidR="0093687A" w:rsidRPr="0093687A">
        <w:t>work program.</w:t>
      </w:r>
    </w:p>
    <w:p w14:paraId="5F6823E0" w14:textId="741E81D4" w:rsidR="00A8642C" w:rsidRDefault="0047723E" w:rsidP="00333DE5">
      <w:pPr>
        <w:pStyle w:val="Heading4"/>
      </w:pPr>
      <w:r>
        <w:t>State views</w:t>
      </w:r>
    </w:p>
    <w:p w14:paraId="331C9E9D" w14:textId="44BE9BB4" w:rsidR="00D016EE" w:rsidRDefault="00D016EE" w:rsidP="00D016EE">
      <w:pPr>
        <w:pStyle w:val="CGC2025ParaNumbers"/>
      </w:pPr>
      <w:r>
        <w:t>The Northern Territory said that the health assessment should rely less on socio</w:t>
      </w:r>
      <w:r w:rsidR="001F3A23">
        <w:noBreakHyphen/>
      </w:r>
      <w:r>
        <w:t>demographic cohort-averaged national weighted activity units and more on actual state national weighted activity unit shares.</w:t>
      </w:r>
    </w:p>
    <w:p w14:paraId="2DFD8BF9" w14:textId="56B90A0D" w:rsidR="00687E97" w:rsidRDefault="00D016EE" w:rsidP="001F3A23">
      <w:pPr>
        <w:pStyle w:val="CGC2025ParaNumbers"/>
      </w:pPr>
      <w:r>
        <w:t>The Northern Territory said that the primary reason for differences between the state and the national average national weighted activity units by cohort is uncaptured variation in the underlying health of the population within each cohort.</w:t>
      </w:r>
    </w:p>
    <w:p w14:paraId="6CA69827" w14:textId="5253605F" w:rsidR="00687E97" w:rsidRDefault="00905F5A" w:rsidP="00E571AD">
      <w:pPr>
        <w:pStyle w:val="CGC2025ParaNumbers"/>
      </w:pPr>
      <w:r>
        <w:t>The Northern Territory said the design of national weighted activity units already alleviates policy neutrality concerns through national price averaging and accounting for the complexity of activity.</w:t>
      </w:r>
      <w:r w:rsidR="00E571AD" w:rsidRPr="00E571AD">
        <w:t xml:space="preserve"> </w:t>
      </w:r>
      <w:r w:rsidR="00E571AD">
        <w:t>Therefore</w:t>
      </w:r>
      <w:r w:rsidR="005D3E28">
        <w:t>,</w:t>
      </w:r>
      <w:r w:rsidR="00E571AD">
        <w:t xml:space="preserve"> assessed needs should be apportioned in line with actual national weighted activity unit shares</w:t>
      </w:r>
      <w:r w:rsidR="00DF0263">
        <w:t>.</w:t>
      </w:r>
    </w:p>
    <w:p w14:paraId="7C128ECB" w14:textId="7F5EE2BB" w:rsidR="00121A8C" w:rsidRDefault="00121A8C" w:rsidP="00121A8C">
      <w:pPr>
        <w:pStyle w:val="CGC2025ParaNumbers"/>
      </w:pPr>
      <w:r>
        <w:lastRenderedPageBreak/>
        <w:t>Queensland said that the current averaging process masks meaningful variations among states and that actual national weighted activity units are a more genuine reflection of underlying health needs</w:t>
      </w:r>
      <w:r w:rsidR="00F66A54">
        <w:t>.</w:t>
      </w:r>
    </w:p>
    <w:p w14:paraId="4C4F3070" w14:textId="48FC800F" w:rsidR="00B053B4" w:rsidRDefault="00B053B4" w:rsidP="00CC1D7D">
      <w:pPr>
        <w:pStyle w:val="CGC2025ParaNumbers"/>
      </w:pPr>
      <w:r>
        <w:t xml:space="preserve">Queensland said that </w:t>
      </w:r>
      <w:r w:rsidR="009F76C7">
        <w:t>national weighted activity unit</w:t>
      </w:r>
      <w:r>
        <w:t xml:space="preserve"> funding caps (targets), as negotiated through the N</w:t>
      </w:r>
      <w:r w:rsidR="008A6EC3">
        <w:t xml:space="preserve">ational </w:t>
      </w:r>
      <w:r>
        <w:t>H</w:t>
      </w:r>
      <w:r w:rsidR="008A6EC3">
        <w:t xml:space="preserve">ealth </w:t>
      </w:r>
      <w:r>
        <w:t>R</w:t>
      </w:r>
      <w:r w:rsidR="008A6EC3">
        <w:t xml:space="preserve">eform </w:t>
      </w:r>
      <w:r>
        <w:t>A</w:t>
      </w:r>
      <w:r w:rsidR="008A6EC3">
        <w:t>greement</w:t>
      </w:r>
      <w:r>
        <w:t xml:space="preserve"> and calculated by the Commonwealth Contribution Model, are policy-neutral measures of assessed need. These activity targets consider the underlying health need of a state’s population</w:t>
      </w:r>
      <w:r w:rsidR="000C72CA">
        <w:t xml:space="preserve">. </w:t>
      </w:r>
      <w:r w:rsidR="00CC1D7D">
        <w:t xml:space="preserve">The actual </w:t>
      </w:r>
      <w:r w:rsidR="00544053">
        <w:t>national weighted activity units</w:t>
      </w:r>
      <w:r w:rsidR="00CC1D7D">
        <w:t xml:space="preserve"> up to and including the national cap should be considered policy</w:t>
      </w:r>
      <w:r w:rsidR="0052212F">
        <w:t xml:space="preserve"> </w:t>
      </w:r>
      <w:r w:rsidR="00CC1D7D">
        <w:t xml:space="preserve">neutral and used as the volume indicator in the calculation of assessed need. The </w:t>
      </w:r>
      <w:r w:rsidR="00AC2853">
        <w:t xml:space="preserve">national weighted activity units </w:t>
      </w:r>
      <w:r w:rsidR="00CC1D7D">
        <w:t xml:space="preserve">over and above the national caps should be assessed using </w:t>
      </w:r>
      <w:r w:rsidR="00AC2853">
        <w:t xml:space="preserve">national weighted activity units </w:t>
      </w:r>
      <w:r w:rsidR="00CC1D7D">
        <w:t>averaging.</w:t>
      </w:r>
    </w:p>
    <w:p w14:paraId="70E96B30" w14:textId="7CCB1F7E" w:rsidR="00687E97" w:rsidRDefault="00554EF1" w:rsidP="00554EF1">
      <w:pPr>
        <w:pStyle w:val="Heading4"/>
      </w:pPr>
      <w:r>
        <w:t>Commission response</w:t>
      </w:r>
    </w:p>
    <w:p w14:paraId="413297AC" w14:textId="4A245C27" w:rsidR="00554EF1" w:rsidRDefault="00555C8A" w:rsidP="00555C8A">
      <w:pPr>
        <w:pStyle w:val="CGC2025ParaNumbers"/>
      </w:pPr>
      <w:r>
        <w:t>The health assessment uses national weighted activity units, disaggregated by socio</w:t>
      </w:r>
      <w:r w:rsidR="00144A47">
        <w:noBreakHyphen/>
      </w:r>
      <w:r>
        <w:t>demographic groups, at a national level to estimate a policy neutral average level of state health spending. Underpinning this approach is an assumption that people in similar circumstances are likely to use health services at a similar rate.</w:t>
      </w:r>
    </w:p>
    <w:p w14:paraId="5E360003" w14:textId="0F1CAE2B" w:rsidR="00C80AB2" w:rsidRDefault="00916EBB" w:rsidP="00916EBB">
      <w:pPr>
        <w:pStyle w:val="CGC2025ParaNumbers"/>
      </w:pPr>
      <w:r>
        <w:t xml:space="preserve">The Commission </w:t>
      </w:r>
      <w:r w:rsidR="00B20466">
        <w:t xml:space="preserve">accepts it is possible </w:t>
      </w:r>
      <w:r>
        <w:t xml:space="preserve">that using national averaging for expense assessments could miss state-specific differences in service needs. This is more likely to be the case for smaller states because they have less influence on the national average. Further work </w:t>
      </w:r>
      <w:r w:rsidR="00516262">
        <w:t xml:space="preserve">is needed </w:t>
      </w:r>
      <w:r>
        <w:t>to understand the extent of these</w:t>
      </w:r>
      <w:r w:rsidDel="00516262">
        <w:t xml:space="preserve"> </w:t>
      </w:r>
      <w:r>
        <w:t>issues.</w:t>
      </w:r>
    </w:p>
    <w:p w14:paraId="2E7BC07E" w14:textId="1F6659E6" w:rsidR="006A5259" w:rsidRDefault="006A5259" w:rsidP="006A5259">
      <w:pPr>
        <w:pStyle w:val="CGC2025ParaNumbers"/>
      </w:pPr>
      <w:r>
        <w:t>One problem with the solution proposed by Queensland and the Northern Territory is that actual state national weighted activity units can be influenced by state policy decisions.</w:t>
      </w:r>
      <w:r w:rsidR="0002382E">
        <w:t xml:space="preserve"> This is why the Commission adopts methods that do not rely on actual expenses or activity when assessing state spending needs.</w:t>
      </w:r>
    </w:p>
    <w:p w14:paraId="1AB0EC6B" w14:textId="3E4983C1" w:rsidR="006A5259" w:rsidRDefault="006A5259" w:rsidP="007963F2">
      <w:pPr>
        <w:pStyle w:val="CGC2025ParaNumbers"/>
      </w:pPr>
      <w:r>
        <w:t>The National Weighted Activity Unit was developed by the Independent Health and Aged Care Pricing Authority to allow different hospital activities to be expressed as a common unit of activity and to set the pricing of public hospital services. The national weighted activity unit accounts for differences in the complexity of patients’ conditions or procedures and individual patient characteristics that lead to increased costs.</w:t>
      </w:r>
      <w:r w:rsidR="001D4F63">
        <w:rPr>
          <w:rStyle w:val="FootnoteReference"/>
        </w:rPr>
        <w:footnoteReference w:id="5"/>
      </w:r>
    </w:p>
    <w:p w14:paraId="54FB466B" w14:textId="22BD0B29" w:rsidR="001A4A85" w:rsidRDefault="006A5259" w:rsidP="00842414">
      <w:pPr>
        <w:pStyle w:val="CGC2025ParaNumbers"/>
      </w:pPr>
      <w:r>
        <w:t xml:space="preserve">Differences between states’ hospital activity, as measured by actual national weighted activity units, can occur due to differences in the complexity of procedures performed, differences in the share of higher cost patients treated, and/or differences in the number of procedures performed. The actual number of procedures performed can potentially be influenced by policy choices, for example the resourcing decisions of states. As such, actual state national weighted activity units are not a policy neutral measure of </w:t>
      </w:r>
      <w:r w:rsidR="00F64272">
        <w:t xml:space="preserve">assessed </w:t>
      </w:r>
      <w:r>
        <w:t>GST needs.</w:t>
      </w:r>
    </w:p>
    <w:p w14:paraId="64D8F44F" w14:textId="022C9B88" w:rsidR="009D31EC" w:rsidRDefault="009D31EC" w:rsidP="00842414">
      <w:pPr>
        <w:pStyle w:val="CGC2025ParaNumbers"/>
      </w:pPr>
      <w:r>
        <w:lastRenderedPageBreak/>
        <w:t>The issues raised by Queensland and the Northern Territory are fundamental to the reliability of the health assessment. If people in similar circumstances are likely to use health services at significantly different rates, there is a conceptual case for looking at alternative methods for assessing state health expense needs.</w:t>
      </w:r>
    </w:p>
    <w:p w14:paraId="46A8ADCD" w14:textId="35A3043B" w:rsidR="00BE7A48" w:rsidRDefault="00BE7A48" w:rsidP="00BE7A48">
      <w:pPr>
        <w:pStyle w:val="Heading4"/>
      </w:pPr>
      <w:r>
        <w:t>Commission decision</w:t>
      </w:r>
    </w:p>
    <w:p w14:paraId="19DADD77" w14:textId="4297AF27" w:rsidR="00BE7A48" w:rsidRDefault="000F67F6" w:rsidP="00C73CFA">
      <w:pPr>
        <w:pStyle w:val="CGC2025ParaNumbers"/>
      </w:pPr>
      <w:r>
        <w:t>The Commission will continue to use socio-demographic cohort-averaged national weighted activity units in the health assessment</w:t>
      </w:r>
      <w:r w:rsidR="0087434B">
        <w:t>.</w:t>
      </w:r>
    </w:p>
    <w:p w14:paraId="4AD7CCCC" w14:textId="05CD1F9E" w:rsidR="009D341C" w:rsidRDefault="009D341C" w:rsidP="00747F27">
      <w:pPr>
        <w:pStyle w:val="CGC2025ParaNumbers"/>
      </w:pPr>
      <w:r>
        <w:t xml:space="preserve">The Commission will </w:t>
      </w:r>
      <w:r w:rsidRPr="00747F27">
        <w:t>explore</w:t>
      </w:r>
      <w:r w:rsidRPr="0093687A">
        <w:t xml:space="preserve"> th</w:t>
      </w:r>
      <w:r w:rsidR="00303545">
        <w:t>e</w:t>
      </w:r>
      <w:r w:rsidRPr="0093687A">
        <w:t xml:space="preserve"> issue </w:t>
      </w:r>
      <w:r w:rsidR="00303545">
        <w:t xml:space="preserve">of greater reliance </w:t>
      </w:r>
      <w:r w:rsidR="00112386">
        <w:t xml:space="preserve">on actual state health activity </w:t>
      </w:r>
      <w:r>
        <w:t>as</w:t>
      </w:r>
      <w:r w:rsidRPr="0093687A">
        <w:t xml:space="preserve"> part of </w:t>
      </w:r>
      <w:r>
        <w:t>its</w:t>
      </w:r>
      <w:r w:rsidRPr="0093687A">
        <w:t xml:space="preserve"> </w:t>
      </w:r>
      <w:r>
        <w:t xml:space="preserve">forward </w:t>
      </w:r>
      <w:r w:rsidRPr="0093687A">
        <w:t>work program</w:t>
      </w:r>
      <w:r>
        <w:t>.</w:t>
      </w:r>
    </w:p>
    <w:p w14:paraId="2695BD85" w14:textId="68F9E808" w:rsidR="00AE1B29" w:rsidRDefault="00022909" w:rsidP="00D91508">
      <w:pPr>
        <w:pStyle w:val="Heading3"/>
        <w:keepNext/>
      </w:pPr>
      <w:r w:rsidRPr="00022909">
        <w:t>Culturally and linguistically diverse (CALD) populations</w:t>
      </w:r>
    </w:p>
    <w:p w14:paraId="2D810BD2" w14:textId="1DC7A300" w:rsidR="00AE1B29" w:rsidRDefault="00022909" w:rsidP="00022909">
      <w:pPr>
        <w:pStyle w:val="CGC2025ParaNumbers"/>
      </w:pPr>
      <w:r>
        <w:t xml:space="preserve">The Commission considered state views </w:t>
      </w:r>
      <w:r w:rsidR="00733DC2">
        <w:t xml:space="preserve">on </w:t>
      </w:r>
      <w:r w:rsidR="00B17780">
        <w:t>expanding the socio</w:t>
      </w:r>
      <w:r w:rsidR="00B17780">
        <w:noBreakHyphen/>
        <w:t xml:space="preserve">demographic drivers </w:t>
      </w:r>
      <w:r w:rsidR="00E81B49">
        <w:t xml:space="preserve">of health expenses to </w:t>
      </w:r>
      <w:r w:rsidR="00733DC2">
        <w:t>inc</w:t>
      </w:r>
      <w:r w:rsidR="00D616D0">
        <w:t>lud</w:t>
      </w:r>
      <w:r w:rsidR="002C2C99">
        <w:t>e</w:t>
      </w:r>
      <w:r w:rsidR="00D616D0">
        <w:t xml:space="preserve"> culturally and linguistically diverse populations</w:t>
      </w:r>
      <w:r w:rsidR="00F65458">
        <w:t xml:space="preserve"> and/or the additio</w:t>
      </w:r>
      <w:r w:rsidR="00971C90">
        <w:t>n of cost weights for service provision to culturally and linguistically diverse populations.</w:t>
      </w:r>
      <w:r w:rsidR="007878D9">
        <w:t xml:space="preserve"> </w:t>
      </w:r>
      <w:r w:rsidR="007A3451">
        <w:t>The Commission</w:t>
      </w:r>
      <w:r w:rsidR="007878D9">
        <w:t xml:space="preserve"> proposed e</w:t>
      </w:r>
      <w:r w:rsidR="007878D9" w:rsidRPr="0093687A">
        <w:t xml:space="preserve">xploring this issue </w:t>
      </w:r>
      <w:r w:rsidR="007878D9">
        <w:t>as</w:t>
      </w:r>
      <w:r w:rsidR="007878D9" w:rsidRPr="0093687A">
        <w:t xml:space="preserve"> part of the Commission’s </w:t>
      </w:r>
      <w:r w:rsidR="00BE67B0">
        <w:t xml:space="preserve">forward </w:t>
      </w:r>
      <w:r w:rsidR="007878D9" w:rsidRPr="0093687A">
        <w:t>work program.</w:t>
      </w:r>
    </w:p>
    <w:p w14:paraId="4E311E2D" w14:textId="555E57A1" w:rsidR="00971C90" w:rsidRDefault="00971C90" w:rsidP="00761FD2">
      <w:pPr>
        <w:pStyle w:val="Heading4"/>
      </w:pPr>
      <w:r>
        <w:t>State views</w:t>
      </w:r>
    </w:p>
    <w:p w14:paraId="6C5AEB29" w14:textId="42DF9DF6" w:rsidR="00971C90" w:rsidRDefault="007442FB" w:rsidP="007442FB">
      <w:pPr>
        <w:pStyle w:val="CGC2025ParaNumbers"/>
      </w:pPr>
      <w:r>
        <w:t>Victoria said that culturally and linguistically diverse populations use health services more than other population groups and therefore the Commission should work with states to establish a method for taking account of this in the health system.</w:t>
      </w:r>
    </w:p>
    <w:p w14:paraId="6B3C1A89" w14:textId="763E8871" w:rsidR="007442FB" w:rsidRDefault="000C3006" w:rsidP="000C3006">
      <w:pPr>
        <w:pStyle w:val="CGC2025ParaNumbers"/>
      </w:pPr>
      <w:r>
        <w:t>Victoria acknowledged the difficulty in quantifying the impact of diverse residents on state services due to the challenges in identifying and defining culturally and linguistically diverse populations. For assessing health expense needs, Victoria suggested focusing on refugees and people seeking asylum, temporary residents and people with low English proficiency.</w:t>
      </w:r>
    </w:p>
    <w:p w14:paraId="3DC34A78" w14:textId="206DCE62" w:rsidR="00AE1B29" w:rsidRDefault="00AE7EA8" w:rsidP="00AE7EA8">
      <w:pPr>
        <w:pStyle w:val="Heading4"/>
      </w:pPr>
      <w:r>
        <w:t>Commission response</w:t>
      </w:r>
    </w:p>
    <w:p w14:paraId="509D75D4" w14:textId="5028C26A" w:rsidR="00D5394C" w:rsidRDefault="00D5394C" w:rsidP="00D5394C">
      <w:pPr>
        <w:pStyle w:val="CGC2025ParaNumbers"/>
      </w:pPr>
      <w:r>
        <w:t>The analysis presented by Victoria justifies retesting the materiality of cultural and linguistic diversity as a driver of need. A more comprehensive analysis can be undertaken of the impact of a culturally and linguistically diverse population driver on the health assessment, using country of birth as the indicator of culturally and linguistically diverse status.</w:t>
      </w:r>
    </w:p>
    <w:p w14:paraId="6AEE8E9B" w14:textId="793A80C5" w:rsidR="00AE1B29" w:rsidRDefault="00D5394C" w:rsidP="00D5394C">
      <w:pPr>
        <w:pStyle w:val="CGC2025ParaNumbers"/>
      </w:pPr>
      <w:r>
        <w:t xml:space="preserve">However, it is a </w:t>
      </w:r>
      <w:r w:rsidR="00C96797">
        <w:t>complex</w:t>
      </w:r>
      <w:r>
        <w:t xml:space="preserve"> issue that would require consultation with states, including on the choice of countries of birth to include in the </w:t>
      </w:r>
      <w:r w:rsidR="00A237EA">
        <w:t xml:space="preserve">analysis. </w:t>
      </w:r>
    </w:p>
    <w:p w14:paraId="5CA34FA6" w14:textId="414BEB58" w:rsidR="0015469B" w:rsidRDefault="0015469B" w:rsidP="0015469B">
      <w:pPr>
        <w:pStyle w:val="Heading4"/>
      </w:pPr>
      <w:r>
        <w:t>Commission decision</w:t>
      </w:r>
    </w:p>
    <w:p w14:paraId="74122166" w14:textId="0A3FD0A0" w:rsidR="0015469B" w:rsidRDefault="0015469B" w:rsidP="009267C5">
      <w:pPr>
        <w:pStyle w:val="CGC2025ParaNumbers"/>
      </w:pPr>
      <w:r>
        <w:t xml:space="preserve">The Commission considers </w:t>
      </w:r>
      <w:r w:rsidR="00996B32">
        <w:t xml:space="preserve">that, while </w:t>
      </w:r>
      <w:r>
        <w:t>there is a conceptual case that people from different cultures have different use rates of state health services</w:t>
      </w:r>
      <w:r w:rsidR="00996B32">
        <w:t>, a</w:t>
      </w:r>
      <w:r>
        <w:t xml:space="preserve"> substantial amount of work is required to </w:t>
      </w:r>
      <w:r w:rsidR="00ED4DAB">
        <w:t xml:space="preserve">determine how </w:t>
      </w:r>
      <w:r>
        <w:t xml:space="preserve">this driver </w:t>
      </w:r>
      <w:r w:rsidR="00ED4DAB">
        <w:t>could be reliabl</w:t>
      </w:r>
      <w:r w:rsidR="0023345B">
        <w:t>y</w:t>
      </w:r>
      <w:r w:rsidR="00ED4DAB">
        <w:t xml:space="preserve"> </w:t>
      </w:r>
      <w:r w:rsidR="00ED4DAB">
        <w:lastRenderedPageBreak/>
        <w:t xml:space="preserve">incorporated </w:t>
      </w:r>
      <w:r>
        <w:t>into the health assessment. The Commission will consider how cultural and linguistic diversity affects state service costs</w:t>
      </w:r>
      <w:r w:rsidR="00114C22">
        <w:t>, including health costs,</w:t>
      </w:r>
      <w:r>
        <w:t xml:space="preserve"> as a part of its forward work program.</w:t>
      </w:r>
    </w:p>
    <w:p w14:paraId="543BE495" w14:textId="788675F0" w:rsidR="0015469B" w:rsidRDefault="00E446D4" w:rsidP="007878D9">
      <w:pPr>
        <w:pStyle w:val="Heading3"/>
        <w:keepNext/>
      </w:pPr>
      <w:r>
        <w:t>A</w:t>
      </w:r>
      <w:r w:rsidR="00BC711A">
        <w:t>ge group</w:t>
      </w:r>
      <w:r w:rsidR="006222C4">
        <w:t>ing for socio-demographic assessment</w:t>
      </w:r>
    </w:p>
    <w:p w14:paraId="58C8EE9C" w14:textId="7EA53FFE" w:rsidR="006222C4" w:rsidRDefault="007B11B1" w:rsidP="007B11B1">
      <w:pPr>
        <w:pStyle w:val="CGC2025ParaNumbers"/>
      </w:pPr>
      <w:r>
        <w:t>The Commission considered state views</w:t>
      </w:r>
      <w:r w:rsidR="00750901">
        <w:t xml:space="preserve"> on changing the age groupings in the </w:t>
      </w:r>
      <w:r w:rsidR="00235BBE">
        <w:t>socio</w:t>
      </w:r>
      <w:r w:rsidR="002B7F01">
        <w:noBreakHyphen/>
      </w:r>
      <w:r w:rsidR="00235BBE">
        <w:t>demographic assessment of expenses.</w:t>
      </w:r>
      <w:r w:rsidR="00A75773">
        <w:t xml:space="preserve"> </w:t>
      </w:r>
      <w:r w:rsidR="007A3451">
        <w:t>T</w:t>
      </w:r>
      <w:r w:rsidR="00A75773">
        <w:t>he Commission proposed no changes</w:t>
      </w:r>
      <w:r w:rsidR="006D3CB4">
        <w:t>.</w:t>
      </w:r>
    </w:p>
    <w:p w14:paraId="4937087F" w14:textId="372535D9" w:rsidR="00235BBE" w:rsidRDefault="00235BBE" w:rsidP="00BE1E43">
      <w:pPr>
        <w:pStyle w:val="Heading4"/>
      </w:pPr>
      <w:r>
        <w:t>State views</w:t>
      </w:r>
    </w:p>
    <w:p w14:paraId="10AD3FE0" w14:textId="36A62815" w:rsidR="00E446D4" w:rsidRDefault="003F6091" w:rsidP="003F6091">
      <w:pPr>
        <w:pStyle w:val="CGC2025ParaNumbers"/>
      </w:pPr>
      <w:r>
        <w:t>New South Wales said the Commission should consider whether to modify the existing 3 oldest age groups in the health assessment to better capture the effect of age on state health expenses. Given the ageing of the Australian population, New</w:t>
      </w:r>
      <w:r w:rsidR="00571101">
        <w:t> </w:t>
      </w:r>
      <w:r>
        <w:t>South</w:t>
      </w:r>
      <w:r w:rsidR="00571101">
        <w:t> </w:t>
      </w:r>
      <w:r>
        <w:t>Wales suggested groups should be 45–69, 70–79 and 80+ rather than the existing 45–64, 65–74 and 75+.</w:t>
      </w:r>
    </w:p>
    <w:p w14:paraId="4D028AD6" w14:textId="3CD62FE5" w:rsidR="000F2110" w:rsidRDefault="000F2110" w:rsidP="000F2110">
      <w:pPr>
        <w:pStyle w:val="Heading4"/>
      </w:pPr>
      <w:r>
        <w:t>Commission response</w:t>
      </w:r>
    </w:p>
    <w:p w14:paraId="6ECFE8D6" w14:textId="1B1D2979" w:rsidR="000F2110" w:rsidRDefault="008F5463" w:rsidP="00AE1F28">
      <w:pPr>
        <w:pStyle w:val="CGC2025ParaNumbers"/>
      </w:pPr>
      <w:bookmarkStart w:id="22" w:name="_Hlk177558131"/>
      <w:r>
        <w:t>The impact of splitting the oldest age group was tested using admitted patient activity data. The highest age group was disaggregated into 75–84 and 85+. The other age groups could not be modified as the data currently available do not have a further breakdown. Splitting the highest age group did not have a material impact as the small number of people aged over 85 offset their higher costs.</w:t>
      </w:r>
      <w:r w:rsidR="00AE1F28">
        <w:t xml:space="preserve"> </w:t>
      </w:r>
      <w:r>
        <w:t>Applying the same analysis to all hospital components did not make a material difference.</w:t>
      </w:r>
    </w:p>
    <w:p w14:paraId="5BEEEC3E" w14:textId="7BC7A86C" w:rsidR="00AE1F28" w:rsidRDefault="00AE1F28" w:rsidP="004E1B3F">
      <w:pPr>
        <w:pStyle w:val="Heading4"/>
      </w:pPr>
      <w:r>
        <w:t>Commission decision</w:t>
      </w:r>
    </w:p>
    <w:p w14:paraId="65DA98B8" w14:textId="655A4D5F" w:rsidR="00AE1F28" w:rsidRDefault="004E1B3F" w:rsidP="002E28DA">
      <w:pPr>
        <w:pStyle w:val="CGC2025ParaNumbers"/>
      </w:pPr>
      <w:r>
        <w:t xml:space="preserve">The Commission </w:t>
      </w:r>
      <w:r w:rsidR="007B7ACD">
        <w:t>will</w:t>
      </w:r>
      <w:r>
        <w:t xml:space="preserve"> </w:t>
      </w:r>
      <w:r w:rsidR="002E28DA">
        <w:t>retain</w:t>
      </w:r>
      <w:r>
        <w:t xml:space="preserve"> the existing age groups for the</w:t>
      </w:r>
      <w:r w:rsidR="00A864F0">
        <w:t xml:space="preserve"> socio</w:t>
      </w:r>
      <w:r w:rsidR="00A864F0">
        <w:noBreakHyphen/>
        <w:t xml:space="preserve">demographic assessment of </w:t>
      </w:r>
      <w:r w:rsidR="00C75C28">
        <w:t>health expenses.</w:t>
      </w:r>
    </w:p>
    <w:bookmarkEnd w:id="22"/>
    <w:p w14:paraId="73FF8510" w14:textId="6C565E5F" w:rsidR="00C95479" w:rsidRDefault="00C95479" w:rsidP="004A568B">
      <w:pPr>
        <w:pStyle w:val="Heading3"/>
        <w:keepNext/>
      </w:pPr>
      <w:r>
        <w:t>Clustered design of Victoria’s health system</w:t>
      </w:r>
    </w:p>
    <w:p w14:paraId="3E68BE74" w14:textId="4994DA1A" w:rsidR="003D3546" w:rsidRDefault="003D3546" w:rsidP="003D3546">
      <w:pPr>
        <w:pStyle w:val="CGC2025ParaNumbers"/>
      </w:pPr>
      <w:r>
        <w:t xml:space="preserve">The Commission considered state views on the use of remoteness </w:t>
      </w:r>
      <w:r w:rsidR="001B771D">
        <w:t>weights</w:t>
      </w:r>
      <w:r>
        <w:t xml:space="preserve"> for </w:t>
      </w:r>
      <w:r w:rsidR="001B69BE">
        <w:t>remote patients treated in major cities.</w:t>
      </w:r>
    </w:p>
    <w:p w14:paraId="7A2B0367" w14:textId="01769CC4" w:rsidR="00B316D4" w:rsidRPr="00B316D4" w:rsidRDefault="00B316D4" w:rsidP="00B316D4">
      <w:pPr>
        <w:pStyle w:val="Heading4"/>
      </w:pPr>
      <w:r>
        <w:t>State views</w:t>
      </w:r>
    </w:p>
    <w:p w14:paraId="19E31E79" w14:textId="0EC004A2" w:rsidR="00C95479" w:rsidRDefault="00B316D4" w:rsidP="00B316D4">
      <w:pPr>
        <w:pStyle w:val="CGC2025ParaNumbers"/>
      </w:pPr>
      <w:r>
        <w:t>Victoria said that it is not appropriate to apply remoteness weights to national weighted activity units when residents travel from more remote areas for treatment in hospitals located in less remote areas.</w:t>
      </w:r>
    </w:p>
    <w:p w14:paraId="290D8F12" w14:textId="217A86C3" w:rsidR="00C95479" w:rsidRDefault="001B771D" w:rsidP="001B771D">
      <w:pPr>
        <w:pStyle w:val="Heading4"/>
      </w:pPr>
      <w:r>
        <w:t>Commission response</w:t>
      </w:r>
    </w:p>
    <w:p w14:paraId="6C2C13B2" w14:textId="11F85456" w:rsidR="001B771D" w:rsidRDefault="00770C31" w:rsidP="00770C31">
      <w:pPr>
        <w:pStyle w:val="CGC2025ParaNumbers"/>
      </w:pPr>
      <w:r>
        <w:t>The Independent Health and Aged Care Pricing Authority applies cost weights for patients travelling from regional and remote areas to major cities for treatment because states incur additional costs in providing services to these people. It is appropriate that the Commission recognise these costs in its assessments.</w:t>
      </w:r>
    </w:p>
    <w:p w14:paraId="21A6B592" w14:textId="4AA6E9D4" w:rsidR="002A3DD0" w:rsidRDefault="002A3DD0" w:rsidP="002A3DD0">
      <w:pPr>
        <w:pStyle w:val="Heading4"/>
      </w:pPr>
      <w:r>
        <w:lastRenderedPageBreak/>
        <w:t>Commission decision</w:t>
      </w:r>
    </w:p>
    <w:p w14:paraId="2615F922" w14:textId="1C8D5E7C" w:rsidR="002A3DD0" w:rsidRDefault="002A3DD0" w:rsidP="002A3DD0">
      <w:pPr>
        <w:pStyle w:val="CGC2025ParaNumbers"/>
      </w:pPr>
      <w:r>
        <w:t xml:space="preserve">The Commission </w:t>
      </w:r>
      <w:r w:rsidR="007B7ACD">
        <w:t>will</w:t>
      </w:r>
      <w:r w:rsidR="004D186A">
        <w:t xml:space="preserve"> continue to use</w:t>
      </w:r>
      <w:r w:rsidR="00270B6E">
        <w:t xml:space="preserve"> cost weights for patients trave</w:t>
      </w:r>
      <w:r w:rsidR="00B94946">
        <w:t>l</w:t>
      </w:r>
      <w:r w:rsidR="00270B6E">
        <w:t>ling from remote areas for treatment</w:t>
      </w:r>
      <w:r w:rsidR="00B00709">
        <w:t>.</w:t>
      </w:r>
    </w:p>
    <w:p w14:paraId="22014481" w14:textId="234A5D98" w:rsidR="005C3D1A" w:rsidRDefault="00EC2024" w:rsidP="00E910C1">
      <w:pPr>
        <w:pStyle w:val="Heading3"/>
        <w:keepNext/>
      </w:pPr>
      <w:r>
        <w:t>Treatment</w:t>
      </w:r>
      <w:r w:rsidR="00C92424">
        <w:t xml:space="preserve"> of the National Health Reform Agreement</w:t>
      </w:r>
    </w:p>
    <w:p w14:paraId="5F00308B" w14:textId="0D802BD0" w:rsidR="00B0476A" w:rsidRPr="00B0476A" w:rsidRDefault="00010C34" w:rsidP="00B0476A">
      <w:pPr>
        <w:pStyle w:val="CGC2025ParaNumbers"/>
      </w:pPr>
      <w:r>
        <w:t>The Commission considered state views on</w:t>
      </w:r>
      <w:r w:rsidR="00EE051D">
        <w:t xml:space="preserve"> </w:t>
      </w:r>
      <w:r w:rsidR="00A03BE9">
        <w:t>the treatment</w:t>
      </w:r>
      <w:r w:rsidR="00EE051D">
        <w:t xml:space="preserve"> of Commonwealth payments under the National </w:t>
      </w:r>
      <w:r w:rsidR="00B86767">
        <w:t>Health Reform Agreement.</w:t>
      </w:r>
      <w:r w:rsidR="008505AD">
        <w:t xml:space="preserve"> </w:t>
      </w:r>
      <w:r w:rsidR="007A3451">
        <w:t>T</w:t>
      </w:r>
      <w:r w:rsidR="008505AD">
        <w:t>he Commission proposed no changes.</w:t>
      </w:r>
    </w:p>
    <w:p w14:paraId="10714127" w14:textId="0BB4E9F3" w:rsidR="00B0476A" w:rsidRDefault="00B0476A" w:rsidP="00B0476A">
      <w:pPr>
        <w:pStyle w:val="Heading4"/>
      </w:pPr>
      <w:r>
        <w:t>State views</w:t>
      </w:r>
    </w:p>
    <w:p w14:paraId="64F3A7A6" w14:textId="4AD9342E" w:rsidR="00B0476A" w:rsidRDefault="00C4290D" w:rsidP="00C4290D">
      <w:pPr>
        <w:pStyle w:val="CGC2025ParaNumbers"/>
      </w:pPr>
      <w:r>
        <w:t>Queensland said that a portion of the Commonwealth payment</w:t>
      </w:r>
      <w:r w:rsidR="008619E9">
        <w:t>s under the National Health Reform Agreement</w:t>
      </w:r>
      <w:r>
        <w:t xml:space="preserve"> </w:t>
      </w:r>
      <w:r w:rsidR="008619E9">
        <w:t>are</w:t>
      </w:r>
      <w:r>
        <w:t xml:space="preserve"> used to fund hospital services that states are providing because of shortfalls in the provision of Commonwealth-funded primary and aged care services.</w:t>
      </w:r>
    </w:p>
    <w:p w14:paraId="28AF43C2" w14:textId="4DFE661F" w:rsidR="000136FA" w:rsidRPr="008505AD" w:rsidRDefault="000136FA" w:rsidP="009E702B">
      <w:pPr>
        <w:pStyle w:val="CGC2025ParaNumbers"/>
      </w:pPr>
      <w:r w:rsidRPr="008505AD">
        <w:t xml:space="preserve">Queensland said the services in </w:t>
      </w:r>
      <w:r w:rsidR="0077509A" w:rsidRPr="008505AD">
        <w:t xml:space="preserve">question are state services, but demand for them is being </w:t>
      </w:r>
      <w:r w:rsidR="008111E9" w:rsidRPr="008505AD">
        <w:t xml:space="preserve">increased because of failings in </w:t>
      </w:r>
      <w:r w:rsidR="00BE1FBC" w:rsidRPr="008505AD">
        <w:t>Commonwealth</w:t>
      </w:r>
      <w:r w:rsidR="00BE1FBC" w:rsidRPr="008505AD">
        <w:noBreakHyphen/>
        <w:t>supported sectors.</w:t>
      </w:r>
    </w:p>
    <w:p w14:paraId="51618310" w14:textId="3BEA7A68" w:rsidR="007F0DAC" w:rsidRPr="008505AD" w:rsidRDefault="006B166C" w:rsidP="0097175C">
      <w:pPr>
        <w:pStyle w:val="CGC2025ParaNumbers"/>
      </w:pPr>
      <w:r w:rsidRPr="008505AD">
        <w:t xml:space="preserve">Queensland said </w:t>
      </w:r>
      <w:r w:rsidR="00EE71C1" w:rsidRPr="008505AD">
        <w:t>t</w:t>
      </w:r>
      <w:r w:rsidRPr="008505AD">
        <w:t xml:space="preserve">he Commission does not assess differential need to provide state services because of failings of Commonwealth-supported sectors. As such, the proportion of the </w:t>
      </w:r>
      <w:r w:rsidR="00EE71C1" w:rsidRPr="008505AD">
        <w:t xml:space="preserve">National Health Reform Agreement </w:t>
      </w:r>
      <w:r w:rsidRPr="008505AD">
        <w:t>payment</w:t>
      </w:r>
      <w:r w:rsidR="00EE71C1" w:rsidRPr="008505AD">
        <w:t>s</w:t>
      </w:r>
      <w:r w:rsidRPr="008505AD">
        <w:t xml:space="preserve"> which go towards managing services that exist because of failings of Commonwealth-supported sectors should also not be assessed.</w:t>
      </w:r>
      <w:r w:rsidR="001D7552">
        <w:t xml:space="preserve"> T</w:t>
      </w:r>
      <w:r w:rsidR="0046704A" w:rsidRPr="008505AD">
        <w:t xml:space="preserve">he Commission </w:t>
      </w:r>
      <w:r w:rsidR="000F15FD" w:rsidRPr="008505AD">
        <w:t>should treat the Commonwealth payment</w:t>
      </w:r>
      <w:r w:rsidR="00456EA8" w:rsidRPr="008505AD">
        <w:t xml:space="preserve"> as 12.5% no impact</w:t>
      </w:r>
      <w:r w:rsidR="001D7552">
        <w:t>,</w:t>
      </w:r>
      <w:r w:rsidR="00456EA8" w:rsidRPr="008505AD">
        <w:t xml:space="preserve"> 87.5% impact.</w:t>
      </w:r>
    </w:p>
    <w:p w14:paraId="28CB4143" w14:textId="59C0B682" w:rsidR="00681D10" w:rsidRDefault="00681D10" w:rsidP="00681D10">
      <w:pPr>
        <w:pStyle w:val="Heading4"/>
      </w:pPr>
      <w:r>
        <w:t>Commission response</w:t>
      </w:r>
    </w:p>
    <w:p w14:paraId="187F3DB5" w14:textId="546AF19D" w:rsidR="00CC285D" w:rsidRPr="008505AD" w:rsidRDefault="00EB7CF8" w:rsidP="0058531F">
      <w:pPr>
        <w:pStyle w:val="CGC2025ParaNumbers"/>
        <w:tabs>
          <w:tab w:val="clear" w:pos="567"/>
        </w:tabs>
      </w:pPr>
      <w:r>
        <w:t xml:space="preserve">The terms of reference for the annual update of GST relativities require the Commission to </w:t>
      </w:r>
      <w:r w:rsidR="003657B1">
        <w:t xml:space="preserve">treat </w:t>
      </w:r>
      <w:r>
        <w:t>Commonwealth payments to states under the National Health Reform Agreement</w:t>
      </w:r>
      <w:r w:rsidR="00FE3297">
        <w:t xml:space="preserve"> as impact</w:t>
      </w:r>
      <w:r w:rsidR="007907C5">
        <w:t>.</w:t>
      </w:r>
      <w:r w:rsidR="00753F73">
        <w:t xml:space="preserve"> </w:t>
      </w:r>
      <w:r w:rsidR="00311768">
        <w:t xml:space="preserve">The Commission does not have the discretion </w:t>
      </w:r>
      <w:r w:rsidR="000869DD">
        <w:t xml:space="preserve">to </w:t>
      </w:r>
      <w:r w:rsidR="009538F9">
        <w:t>treat</w:t>
      </w:r>
      <w:r w:rsidR="00941E1F">
        <w:t xml:space="preserve"> a portion of the payment as no impact</w:t>
      </w:r>
      <w:r w:rsidR="00066B20">
        <w:t>.</w:t>
      </w:r>
    </w:p>
    <w:p w14:paraId="021C5667" w14:textId="147FB2D9" w:rsidR="007F4434" w:rsidRDefault="007F4434" w:rsidP="007F4434">
      <w:pPr>
        <w:pStyle w:val="Heading4"/>
      </w:pPr>
      <w:r>
        <w:t>Commission decision</w:t>
      </w:r>
    </w:p>
    <w:p w14:paraId="5CBF4B2A" w14:textId="7EDD38B6" w:rsidR="007F4434" w:rsidRPr="008505AD" w:rsidRDefault="0056683E" w:rsidP="00120AD9">
      <w:pPr>
        <w:pStyle w:val="CGC2025ParaNumbers"/>
      </w:pPr>
      <w:bookmarkStart w:id="23" w:name="_Hlk177559103"/>
      <w:r w:rsidRPr="008505AD">
        <w:t xml:space="preserve">In line with the </w:t>
      </w:r>
      <w:r w:rsidR="00861062">
        <w:t>terms of reference</w:t>
      </w:r>
      <w:r w:rsidR="0033630C" w:rsidRPr="008505AD">
        <w:t>, t</w:t>
      </w:r>
      <w:r w:rsidR="00317C38" w:rsidRPr="008505AD">
        <w:t>he Commission</w:t>
      </w:r>
      <w:r w:rsidR="00501C7C" w:rsidRPr="008505AD">
        <w:t xml:space="preserve"> </w:t>
      </w:r>
      <w:r w:rsidR="00C242B5" w:rsidRPr="008505AD">
        <w:t>will</w:t>
      </w:r>
      <w:r w:rsidR="00501C7C" w:rsidRPr="008505AD">
        <w:t xml:space="preserve"> treat the </w:t>
      </w:r>
      <w:r w:rsidR="00A75D8C" w:rsidRPr="008505AD">
        <w:t xml:space="preserve">full </w:t>
      </w:r>
      <w:r w:rsidR="00501C7C" w:rsidRPr="008505AD">
        <w:t xml:space="preserve">Commonwealth payment under the National Health Reform Agreement as </w:t>
      </w:r>
      <w:r w:rsidR="00A75D8C" w:rsidRPr="008505AD">
        <w:t>impact.</w:t>
      </w:r>
      <w:bookmarkEnd w:id="23"/>
    </w:p>
    <w:p w14:paraId="1AA3A97A" w14:textId="7B785E1B" w:rsidR="00291595" w:rsidRDefault="00291595" w:rsidP="00A47055">
      <w:pPr>
        <w:pStyle w:val="Heading3"/>
        <w:keepNext/>
      </w:pPr>
      <w:r>
        <w:t>Non-hospital patient transport</w:t>
      </w:r>
    </w:p>
    <w:p w14:paraId="6AE29855" w14:textId="1DEA44BB" w:rsidR="00291595" w:rsidRPr="00AF00ED" w:rsidRDefault="001C5F04" w:rsidP="001C5F04">
      <w:pPr>
        <w:pStyle w:val="CGC2025ParaNumbers"/>
      </w:pPr>
      <w:r w:rsidRPr="00AF00ED">
        <w:t xml:space="preserve">The Commission considered state views on </w:t>
      </w:r>
      <w:r w:rsidR="00ED0992" w:rsidRPr="00AF00ED">
        <w:t>the non</w:t>
      </w:r>
      <w:r w:rsidR="00ED0992" w:rsidRPr="00AF00ED">
        <w:noBreakHyphen/>
        <w:t>h</w:t>
      </w:r>
      <w:r w:rsidR="00A31A32" w:rsidRPr="00AF00ED">
        <w:t>o</w:t>
      </w:r>
      <w:r w:rsidR="00ED0992" w:rsidRPr="00AF00ED">
        <w:t>spital patient transport assessment</w:t>
      </w:r>
      <w:r w:rsidR="00A31A32" w:rsidRPr="00AF00ED">
        <w:t>.</w:t>
      </w:r>
      <w:r w:rsidR="000443AA" w:rsidRPr="00AF00ED">
        <w:t xml:space="preserve"> </w:t>
      </w:r>
      <w:r w:rsidR="00CA24A9" w:rsidRPr="00AF00ED">
        <w:t>T</w:t>
      </w:r>
      <w:r w:rsidR="000443AA" w:rsidRPr="00AF00ED">
        <w:t>he Commission proposed no changes</w:t>
      </w:r>
      <w:r w:rsidR="008E69A2" w:rsidRPr="00AF00ED">
        <w:t xml:space="preserve"> at this </w:t>
      </w:r>
      <w:r w:rsidR="0068329F" w:rsidRPr="00AF00ED">
        <w:t>stage but</w:t>
      </w:r>
      <w:r w:rsidR="003770BF" w:rsidRPr="00AF00ED">
        <w:t xml:space="preserve"> </w:t>
      </w:r>
      <w:r w:rsidR="00FC11F9" w:rsidRPr="00AF00ED">
        <w:t>proposed</w:t>
      </w:r>
      <w:r w:rsidR="003770BF" w:rsidRPr="00AF00ED">
        <w:t xml:space="preserve"> </w:t>
      </w:r>
      <w:r w:rsidR="008E69A2" w:rsidRPr="00AF00ED">
        <w:t xml:space="preserve">that the method be </w:t>
      </w:r>
      <w:r w:rsidR="00E70C56" w:rsidRPr="00AF00ED">
        <w:t xml:space="preserve">changed between reviews </w:t>
      </w:r>
      <w:r w:rsidR="003947A9" w:rsidRPr="00AF00ED">
        <w:t>to assess non</w:t>
      </w:r>
      <w:r w:rsidR="003947A9" w:rsidRPr="00AF00ED">
        <w:noBreakHyphen/>
        <w:t xml:space="preserve">hospital patient transport </w:t>
      </w:r>
      <w:r w:rsidR="00AF00ED" w:rsidRPr="00AF00ED">
        <w:t>costs in the admitted patient assessment if</w:t>
      </w:r>
      <w:r w:rsidR="00E70C56" w:rsidRPr="00AF00ED">
        <w:t xml:space="preserve"> data changes</w:t>
      </w:r>
      <w:r w:rsidR="00AF00ED" w:rsidRPr="00AF00ED">
        <w:t xml:space="preserve"> allowed</w:t>
      </w:r>
      <w:r w:rsidR="000443AA" w:rsidRPr="00AF00ED">
        <w:t>.</w:t>
      </w:r>
    </w:p>
    <w:p w14:paraId="0ED5C5B2" w14:textId="2DFDFD6D" w:rsidR="002C3C03" w:rsidRDefault="002C3C03" w:rsidP="002C3C03">
      <w:pPr>
        <w:pStyle w:val="Heading4"/>
      </w:pPr>
      <w:r>
        <w:lastRenderedPageBreak/>
        <w:t>State views</w:t>
      </w:r>
    </w:p>
    <w:p w14:paraId="28A7C33F" w14:textId="256797DB" w:rsidR="002C3C03" w:rsidRDefault="007B3C1D" w:rsidP="0060087C">
      <w:pPr>
        <w:pStyle w:val="CGC2025ParaNumbers"/>
      </w:pPr>
      <w:r>
        <w:t xml:space="preserve">Victoria said the assessment of non-hospital patient transport costs is flawed because it assesses Western Australia and the Northern Territory to need more than double their actual spending. </w:t>
      </w:r>
      <w:r w:rsidR="0060087C">
        <w:t>Victoria said that expenses on non-hospital patient transport should be assessed in the admitted patient assessment.</w:t>
      </w:r>
    </w:p>
    <w:p w14:paraId="0F52B909" w14:textId="42814EE2" w:rsidR="00EC493C" w:rsidRDefault="00BB21C3" w:rsidP="00BB21C3">
      <w:pPr>
        <w:pStyle w:val="CGC2025ParaNumbers"/>
      </w:pPr>
      <w:r w:rsidRPr="008505AD">
        <w:t>Victoria said the 2025 Review should allow for method changes to remove the non</w:t>
      </w:r>
      <w:r w:rsidRPr="008505AD">
        <w:noBreakHyphen/>
        <w:t>hospital patient transport category if it is clear ahead of the next review that the national weighted activity unit data incorporate the costs associated with aeromedical services and the Patient Assistance Transport Scheme.</w:t>
      </w:r>
    </w:p>
    <w:p w14:paraId="71AD26DB" w14:textId="6249E959" w:rsidR="00CE77A6" w:rsidRPr="00977ED3" w:rsidRDefault="001E14CA" w:rsidP="00027285">
      <w:pPr>
        <w:pStyle w:val="CGC2025ParaNumbers"/>
      </w:pPr>
      <w:r w:rsidRPr="00977ED3">
        <w:t xml:space="preserve">Some states supported the proposal but said the Commission should consult with states before making </w:t>
      </w:r>
      <w:r w:rsidR="00A752B0" w:rsidRPr="00977ED3">
        <w:t xml:space="preserve">a change between reviews. </w:t>
      </w:r>
      <w:r w:rsidR="00DC2C01" w:rsidRPr="00977ED3">
        <w:t xml:space="preserve">Queensland </w:t>
      </w:r>
      <w:r w:rsidR="00FA6235" w:rsidRPr="00977ED3">
        <w:t xml:space="preserve">said any changes should wait until the next review. Tasmania said </w:t>
      </w:r>
      <w:r w:rsidR="00B53CA0" w:rsidRPr="00977ED3">
        <w:t xml:space="preserve">it does not provide data on aeromedical services or the Patient Assistance Transport Scheme activity to </w:t>
      </w:r>
      <w:r w:rsidR="008304E0" w:rsidRPr="00977ED3">
        <w:t xml:space="preserve">the </w:t>
      </w:r>
      <w:r w:rsidR="00B53CA0" w:rsidRPr="00977ED3">
        <w:t>I</w:t>
      </w:r>
      <w:r w:rsidR="008304E0" w:rsidRPr="00977ED3">
        <w:t xml:space="preserve">ndependent </w:t>
      </w:r>
      <w:r w:rsidR="00B53CA0" w:rsidRPr="00977ED3">
        <w:t>H</w:t>
      </w:r>
      <w:r w:rsidR="008304E0" w:rsidRPr="00977ED3">
        <w:t xml:space="preserve">ealth and </w:t>
      </w:r>
      <w:r w:rsidR="00B53CA0" w:rsidRPr="00977ED3">
        <w:t>A</w:t>
      </w:r>
      <w:r w:rsidR="008304E0" w:rsidRPr="00977ED3">
        <w:t xml:space="preserve">ged </w:t>
      </w:r>
      <w:r w:rsidR="00B53CA0" w:rsidRPr="00977ED3">
        <w:t>C</w:t>
      </w:r>
      <w:r w:rsidR="008304E0" w:rsidRPr="00977ED3">
        <w:t xml:space="preserve">are </w:t>
      </w:r>
      <w:r w:rsidR="00B53CA0" w:rsidRPr="00977ED3">
        <w:t>P</w:t>
      </w:r>
      <w:r w:rsidR="008304E0" w:rsidRPr="00977ED3">
        <w:t xml:space="preserve">ricing </w:t>
      </w:r>
      <w:r w:rsidR="00B53CA0" w:rsidRPr="00977ED3">
        <w:t>A</w:t>
      </w:r>
      <w:r w:rsidR="008304E0" w:rsidRPr="00977ED3">
        <w:t>uthority</w:t>
      </w:r>
      <w:r w:rsidR="00027285" w:rsidRPr="00977ED3">
        <w:t xml:space="preserve"> and </w:t>
      </w:r>
      <w:r w:rsidR="00B53CA0" w:rsidRPr="00977ED3">
        <w:t>there would be considerable work required to be able to report these data in future</w:t>
      </w:r>
      <w:r w:rsidR="00027285" w:rsidRPr="00977ED3">
        <w:t>.</w:t>
      </w:r>
    </w:p>
    <w:p w14:paraId="76F47142" w14:textId="6D0ABB79" w:rsidR="009566C5" w:rsidRDefault="009566C5" w:rsidP="008526B8">
      <w:pPr>
        <w:pStyle w:val="Heading4"/>
      </w:pPr>
      <w:r>
        <w:t>Commission response</w:t>
      </w:r>
    </w:p>
    <w:p w14:paraId="712AC00B" w14:textId="003EB200" w:rsidR="00465093" w:rsidRDefault="00465093" w:rsidP="00F15941">
      <w:pPr>
        <w:pStyle w:val="CGC2025ParaNumbers"/>
      </w:pPr>
      <w:r>
        <w:t>Large differences between actual and assessed expenses are not necessarily an indication that the assessment is mis-specified. Actual expenses are affected by state policy choices, the efficiency of service provision and the accuracy of expense reporting. However, large differences can justify a review of the assessment.</w:t>
      </w:r>
    </w:p>
    <w:p w14:paraId="0FAD2EF8" w14:textId="10E0B8E6" w:rsidR="00465093" w:rsidRDefault="00465093" w:rsidP="00F15941">
      <w:pPr>
        <w:pStyle w:val="CGC2025ParaNumbers"/>
      </w:pPr>
      <w:r>
        <w:t>Aeromedical services and the Patient Assistance Transport Scheme are provided disproportionately to people in remote and very remote regions. This is the main reason why the Commission has assessed expenses associated with these services</w:t>
      </w:r>
      <w:r w:rsidR="00F15941">
        <w:t xml:space="preserve"> </w:t>
      </w:r>
      <w:r>
        <w:t>separately to other hospital expenses.</w:t>
      </w:r>
    </w:p>
    <w:p w14:paraId="432DD101" w14:textId="341EA95F" w:rsidR="0060087C" w:rsidRDefault="00465093" w:rsidP="00A71DB1">
      <w:pPr>
        <w:pStyle w:val="CGC2025ParaNumbers"/>
      </w:pPr>
      <w:r>
        <w:t>If the activity associated with aeromedical services and the Patient Assistance Transport Scheme were included in national weighted activity units, this would add weight to Victoria’s argument that the expenses be included in the admitted patient assessment</w:t>
      </w:r>
      <w:r w:rsidR="00A71DB1">
        <w:t>.</w:t>
      </w:r>
    </w:p>
    <w:p w14:paraId="5F9B9A48" w14:textId="6908C7AA" w:rsidR="00A32B47" w:rsidRDefault="00A32B47" w:rsidP="00A32B47">
      <w:pPr>
        <w:pStyle w:val="CGC2025ParaNumbers"/>
      </w:pPr>
      <w:r>
        <w:t xml:space="preserve">The activity associated with </w:t>
      </w:r>
      <w:r w:rsidR="00D7068D">
        <w:t>some types of</w:t>
      </w:r>
      <w:r>
        <w:t xml:space="preserve"> patient transport are included in the national weighted activity units, and the remoteness costs weights produced by the Independent Health and Aged Care Pricing Authority include the cost of </w:t>
      </w:r>
      <w:r w:rsidR="006D1E59">
        <w:t xml:space="preserve">some types of </w:t>
      </w:r>
      <w:r>
        <w:t>patient transport.</w:t>
      </w:r>
      <w:r w:rsidR="00CB46CD">
        <w:rPr>
          <w:rStyle w:val="FootnoteReference"/>
        </w:rPr>
        <w:footnoteReference w:id="6"/>
      </w:r>
      <w:r>
        <w:t xml:space="preserve"> However, states submit patient transport costs inconsistently and </w:t>
      </w:r>
      <w:r w:rsidR="009C3D52">
        <w:t xml:space="preserve">the costs associated with </w:t>
      </w:r>
      <w:r w:rsidR="004A570E">
        <w:t>a</w:t>
      </w:r>
      <w:r w:rsidR="009C3D52">
        <w:t>eromedical services and the Patient Assistance Transport Scheme</w:t>
      </w:r>
      <w:r>
        <w:t xml:space="preserve"> may not be fully reflected in state data submissions.</w:t>
      </w:r>
    </w:p>
    <w:p w14:paraId="1393135D" w14:textId="372C98C4" w:rsidR="00CA6956" w:rsidRDefault="00CA6956" w:rsidP="00CA6956">
      <w:pPr>
        <w:pStyle w:val="Heading4"/>
      </w:pPr>
      <w:r>
        <w:lastRenderedPageBreak/>
        <w:t>Commission decision</w:t>
      </w:r>
    </w:p>
    <w:p w14:paraId="6050B01F" w14:textId="7F25EB02" w:rsidR="00CA6956" w:rsidRDefault="00244A73" w:rsidP="00F02538">
      <w:pPr>
        <w:pStyle w:val="CGC2025ParaNumbers"/>
        <w:spacing w:before="80"/>
      </w:pPr>
      <w:r>
        <w:t xml:space="preserve">Given the uncertainty about the extent that activity associated with patient transport are included in the national weighted activity units, the </w:t>
      </w:r>
      <w:r w:rsidR="003A37B1">
        <w:t>Commission</w:t>
      </w:r>
      <w:r>
        <w:t xml:space="preserve"> decided that costs associated with aeromedical services and the Patient Assistance Transport Scheme will be kept separate and </w:t>
      </w:r>
      <w:r w:rsidR="00DE162E">
        <w:t xml:space="preserve">continue to be </w:t>
      </w:r>
      <w:r>
        <w:t xml:space="preserve">assessed using the </w:t>
      </w:r>
      <w:r w:rsidR="00DE162E">
        <w:t>2020</w:t>
      </w:r>
      <w:r w:rsidR="00881775">
        <w:t> </w:t>
      </w:r>
      <w:r>
        <w:t>Review</w:t>
      </w:r>
      <w:r w:rsidR="00DE162E">
        <w:t xml:space="preserve"> method</w:t>
      </w:r>
      <w:r>
        <w:t>.</w:t>
      </w:r>
    </w:p>
    <w:p w14:paraId="275950EC" w14:textId="62ACA318" w:rsidR="00BB21C3" w:rsidRPr="00977ED3" w:rsidRDefault="00881775" w:rsidP="008526B8">
      <w:pPr>
        <w:pStyle w:val="CGC2025ParaNumbers"/>
      </w:pPr>
      <w:r w:rsidRPr="00977ED3">
        <w:t>However, t</w:t>
      </w:r>
      <w:r w:rsidR="00741692" w:rsidRPr="00977ED3">
        <w:t xml:space="preserve">he 2025 Review health </w:t>
      </w:r>
      <w:r w:rsidR="00EF5123" w:rsidRPr="00977ED3">
        <w:t xml:space="preserve">assessment </w:t>
      </w:r>
      <w:r w:rsidR="00741692" w:rsidRPr="00977ED3">
        <w:t xml:space="preserve">method will allow for the assessment of expenses associated with aeromedical services and the Patient Assistance Transport Scheme as part of the admitted patient component. This is contingent on verification that all states are providing the data that the Independent Health and Aged Care Pricing Authority needs to incorporate the aeromedical services and the Patient Assistance Transport Scheme activity into the national weighted activity units. It is also contingent on the data being available for all 3 years of the assessment period when any such method change is implemented in a future update. </w:t>
      </w:r>
      <w:r w:rsidR="004041A7" w:rsidRPr="00977ED3">
        <w:t>T</w:t>
      </w:r>
      <w:r w:rsidR="006F1440" w:rsidRPr="00977ED3">
        <w:t xml:space="preserve">he Commission will consult with states </w:t>
      </w:r>
      <w:r w:rsidR="008C4AB3" w:rsidRPr="00977ED3">
        <w:t xml:space="preserve">as part of </w:t>
      </w:r>
      <w:r w:rsidR="000E39DA" w:rsidRPr="00977ED3">
        <w:t xml:space="preserve">an </w:t>
      </w:r>
      <w:r w:rsidR="00FF60DA" w:rsidRPr="00977ED3">
        <w:t xml:space="preserve">annual </w:t>
      </w:r>
      <w:r w:rsidR="00416422" w:rsidRPr="00977ED3">
        <w:t>update New</w:t>
      </w:r>
      <w:r w:rsidR="00CE3F2F">
        <w:t> </w:t>
      </w:r>
      <w:r w:rsidR="00416422" w:rsidRPr="00977ED3">
        <w:t xml:space="preserve">Issues process </w:t>
      </w:r>
      <w:r w:rsidR="006F1440" w:rsidRPr="00977ED3">
        <w:t xml:space="preserve">before implementing </w:t>
      </w:r>
      <w:r w:rsidR="004041A7" w:rsidRPr="00977ED3">
        <w:t>any</w:t>
      </w:r>
      <w:r w:rsidR="001F2AF7" w:rsidRPr="00977ED3">
        <w:t xml:space="preserve"> </w:t>
      </w:r>
      <w:r w:rsidR="006F1440" w:rsidRPr="00977ED3">
        <w:t>change.</w:t>
      </w:r>
    </w:p>
    <w:p w14:paraId="089B6A93" w14:textId="6A7E66E0" w:rsidR="009559C4" w:rsidRPr="00A14C1C" w:rsidRDefault="00C5349F" w:rsidP="00DE7BFE">
      <w:pPr>
        <w:pStyle w:val="CGC2025ParaNumbers"/>
      </w:pPr>
      <w:r>
        <w:t>Separately, s</w:t>
      </w:r>
      <w:r w:rsidR="00F84E20">
        <w:t xml:space="preserve">ome data used in the health assessment are only updated </w:t>
      </w:r>
      <w:r w:rsidR="00085283">
        <w:t>in a review</w:t>
      </w:r>
      <w:r w:rsidR="00F84E20">
        <w:t xml:space="preserve"> on the assumption that the nature of service provision is stable over time. This includes</w:t>
      </w:r>
      <w:r w:rsidR="000A6B16">
        <w:t xml:space="preserve"> </w:t>
      </w:r>
      <w:r w:rsidR="00F84E20">
        <w:t>data used to estimate the split between hospital and non-hospital (aero</w:t>
      </w:r>
      <w:r w:rsidR="000271DC">
        <w:noBreakHyphen/>
      </w:r>
      <w:r w:rsidR="00F84E20">
        <w:t>medical transport and Patient Assistance Travel Schemes) patient transport expenses.</w:t>
      </w:r>
      <w:r w:rsidR="00113D98">
        <w:t xml:space="preserve"> </w:t>
      </w:r>
      <w:r w:rsidR="009559C4" w:rsidRPr="009559C4">
        <w:t>Using updated data</w:t>
      </w:r>
      <w:r w:rsidR="00DA5711">
        <w:t xml:space="preserve"> </w:t>
      </w:r>
      <w:r w:rsidR="009559C4" w:rsidRPr="009559C4">
        <w:t xml:space="preserve">reduces expenses for non-hospital patient transport compared with the </w:t>
      </w:r>
      <w:r w:rsidR="00DD6D37">
        <w:t>2020 Review method</w:t>
      </w:r>
      <w:r w:rsidR="009559C4" w:rsidRPr="009559C4">
        <w:t>.</w:t>
      </w:r>
    </w:p>
    <w:p w14:paraId="6B0BAC78" w14:textId="55B46CCC" w:rsidR="004634B8" w:rsidRDefault="00AF2D10" w:rsidP="00F02538">
      <w:pPr>
        <w:pStyle w:val="Heading3"/>
        <w:keepNext/>
        <w:spacing w:before="200" w:after="80"/>
      </w:pPr>
      <w:r w:rsidRPr="00AF2D10">
        <w:t>Adjustments for state bilateral cross-border arrangements</w:t>
      </w:r>
    </w:p>
    <w:p w14:paraId="0A5BAC60" w14:textId="6768FF2B" w:rsidR="00AF2D10" w:rsidRDefault="00342B28" w:rsidP="00F02538">
      <w:pPr>
        <w:pStyle w:val="CGC2025ParaNumbers"/>
        <w:spacing w:before="0"/>
      </w:pPr>
      <w:r>
        <w:t xml:space="preserve">The Commission considered state views on whether </w:t>
      </w:r>
      <w:r w:rsidR="00BE6522">
        <w:t>the existing cross</w:t>
      </w:r>
      <w:r w:rsidR="000F7661">
        <w:t>-</w:t>
      </w:r>
      <w:r w:rsidR="00BE6522">
        <w:t xml:space="preserve">border adjustment in the health assessment </w:t>
      </w:r>
      <w:r w:rsidR="00AE02C5">
        <w:t>fully captures state-to-state cross</w:t>
      </w:r>
      <w:r w:rsidR="000F7661">
        <w:t>-</w:t>
      </w:r>
      <w:r w:rsidR="00AE02C5">
        <w:t>border payments.</w:t>
      </w:r>
      <w:r>
        <w:t xml:space="preserve"> </w:t>
      </w:r>
      <w:r w:rsidR="00CA24A9">
        <w:t>T</w:t>
      </w:r>
      <w:r w:rsidR="00807BE3">
        <w:t>he Commission proposed no changes.</w:t>
      </w:r>
    </w:p>
    <w:p w14:paraId="13D9866A" w14:textId="6D56A3F4" w:rsidR="00AF2D10" w:rsidRDefault="00AF2D10" w:rsidP="00F02538">
      <w:pPr>
        <w:pStyle w:val="Heading4"/>
        <w:spacing w:before="200"/>
      </w:pPr>
      <w:r>
        <w:t>State views</w:t>
      </w:r>
    </w:p>
    <w:p w14:paraId="719B9E09" w14:textId="4211F727" w:rsidR="007B1166" w:rsidRDefault="007B1166" w:rsidP="00F02538">
      <w:pPr>
        <w:pStyle w:val="CGC2025ParaNumbers"/>
        <w:spacing w:before="80"/>
      </w:pPr>
      <w:r>
        <w:t>Victoria said it supports the Commission’s current adjustment for cross-border health flows for Commonwealth payments under the National Health Reform Agreement. However, Victoria questioned the extent to which this fully captures state-to-state cross</w:t>
      </w:r>
      <w:r w:rsidR="00512593">
        <w:t>-</w:t>
      </w:r>
      <w:r>
        <w:t>border payments.</w:t>
      </w:r>
    </w:p>
    <w:p w14:paraId="772D0F5A" w14:textId="2E12E4DC" w:rsidR="004634B8" w:rsidRDefault="007B1166" w:rsidP="00702DBE">
      <w:pPr>
        <w:pStyle w:val="CGC2025ParaNumbers"/>
      </w:pPr>
      <w:r>
        <w:t>Victoria requested the Commission examine how the state-to-state funding flows for health services impact its assessments and confirm for states they align with the relevant clause of the National Health Reform Agreement</w:t>
      </w:r>
      <w:r w:rsidR="00702DBE">
        <w:t>.</w:t>
      </w:r>
    </w:p>
    <w:p w14:paraId="43F6377C" w14:textId="6BFA6AA1" w:rsidR="00A16CEB" w:rsidRDefault="00A16CEB" w:rsidP="000A4EE9">
      <w:pPr>
        <w:pStyle w:val="Heading4"/>
        <w:spacing w:before="200"/>
      </w:pPr>
      <w:r>
        <w:t>Commission response</w:t>
      </w:r>
    </w:p>
    <w:p w14:paraId="2B7C651D" w14:textId="2AE9B4FB" w:rsidR="00EA097B" w:rsidRDefault="00EA097B" w:rsidP="00F02538">
      <w:pPr>
        <w:pStyle w:val="CGC2025ParaNumbers"/>
        <w:spacing w:before="80"/>
      </w:pPr>
      <w:r>
        <w:t>The Commission uses cross-border expense data provided by the National Health Funding Body to make cross-border adjustments to the National Health Reform Commonwealth payments. The adjustments ensure that the payment states are recorded as receiving only include</w:t>
      </w:r>
      <w:r w:rsidR="7DC4E5D4">
        <w:t>s</w:t>
      </w:r>
      <w:r>
        <w:t xml:space="preserve"> services provided to their own residents. States </w:t>
      </w:r>
      <w:r>
        <w:lastRenderedPageBreak/>
        <w:t>that are net providers of health services to residents of other states have their National Health Reform payments reduced, so they are not penalised for their spending on services provided to residents of other states.</w:t>
      </w:r>
    </w:p>
    <w:p w14:paraId="02546325" w14:textId="50F749B3" w:rsidR="00702DBE" w:rsidRDefault="00EA097B" w:rsidP="00EA097B">
      <w:pPr>
        <w:pStyle w:val="CGC2025ParaNumbers"/>
      </w:pPr>
      <w:bookmarkStart w:id="24" w:name="_Hlk177557330"/>
      <w:r>
        <w:t>The Commission does not make any adjustment to the state share of National Health Reform funding. Bilateral agreements are in place to compensate states for the services provided to residents of other states</w:t>
      </w:r>
      <w:bookmarkEnd w:id="24"/>
      <w:r>
        <w:t>. There is no need for the Commission to do anything about the state share of National Health Reform funding.</w:t>
      </w:r>
    </w:p>
    <w:p w14:paraId="181842F6" w14:textId="7ED27F20" w:rsidR="00BD76F3" w:rsidRDefault="00BD76F3" w:rsidP="00BD76F3">
      <w:pPr>
        <w:pStyle w:val="Heading4"/>
      </w:pPr>
      <w:r>
        <w:t>Commission decision</w:t>
      </w:r>
    </w:p>
    <w:p w14:paraId="10534185" w14:textId="5BE42B89" w:rsidR="00BD76F3" w:rsidRDefault="0082640E" w:rsidP="001234A3">
      <w:pPr>
        <w:pStyle w:val="CGC2025ParaNumbers"/>
        <w:spacing w:before="80"/>
      </w:pPr>
      <w:r w:rsidRPr="0082640E">
        <w:t>The Commission will make no changes to the assessment in relation to state</w:t>
      </w:r>
      <w:r>
        <w:noBreakHyphen/>
      </w:r>
      <w:r w:rsidRPr="0082640E">
        <w:t>to</w:t>
      </w:r>
      <w:r>
        <w:noBreakHyphen/>
      </w:r>
      <w:r w:rsidRPr="0082640E">
        <w:t>state funding flows</w:t>
      </w:r>
      <w:r w:rsidR="00137051">
        <w:t>.</w:t>
      </w:r>
    </w:p>
    <w:p w14:paraId="01CC609B" w14:textId="22E7E0D7" w:rsidR="008F2E7C" w:rsidRPr="007F4434" w:rsidRDefault="008F2E7C" w:rsidP="005C5FFD">
      <w:pPr>
        <w:pStyle w:val="CGC2025ParaNumbers"/>
      </w:pPr>
      <w:r>
        <w:t xml:space="preserve">Separately, </w:t>
      </w:r>
      <w:r w:rsidR="0097785A">
        <w:t>a</w:t>
      </w:r>
      <w:r w:rsidR="0097785A" w:rsidRPr="0097785A">
        <w:t xml:space="preserve"> cross</w:t>
      </w:r>
      <w:r w:rsidR="00EB29B3">
        <w:t>-</w:t>
      </w:r>
      <w:r w:rsidR="0097785A" w:rsidRPr="0097785A">
        <w:t>border adjustment is applied to community and public health services between the ACT and New South Wales.</w:t>
      </w:r>
      <w:r w:rsidR="00C03B28">
        <w:t xml:space="preserve"> </w:t>
      </w:r>
      <w:r w:rsidR="00AC7E66" w:rsidRPr="00AC7E66">
        <w:t>The net value of cross</w:t>
      </w:r>
      <w:r w:rsidR="000728F4">
        <w:t>-</w:t>
      </w:r>
      <w:r w:rsidR="00AC7E66" w:rsidRPr="00AC7E66">
        <w:t xml:space="preserve">border services provided by the ACT to New South Wales residents is </w:t>
      </w:r>
      <w:r w:rsidR="00AC7E66">
        <w:t>re</w:t>
      </w:r>
      <w:r w:rsidR="00AC7E66">
        <w:noBreakHyphen/>
      </w:r>
      <w:r w:rsidR="00AC7E66" w:rsidRPr="00AC7E66">
        <w:t xml:space="preserve">estimated </w:t>
      </w:r>
      <w:r w:rsidR="00085283">
        <w:t>at each review.</w:t>
      </w:r>
      <w:r w:rsidR="00DA2553">
        <w:t xml:space="preserve"> </w:t>
      </w:r>
      <w:r w:rsidR="005C5FFD" w:rsidRPr="005C5FFD">
        <w:t>This amount is added to the ACT’s assessed expenses and removed from New South Wales’.</w:t>
      </w:r>
    </w:p>
    <w:p w14:paraId="30ADFD27" w14:textId="7ABE42C7" w:rsidR="00D675EE" w:rsidRDefault="00054EFE" w:rsidP="001234A3">
      <w:pPr>
        <w:pStyle w:val="Heading2"/>
        <w:spacing w:before="200" w:after="80"/>
      </w:pPr>
      <w:r>
        <w:t>GST</w:t>
      </w:r>
      <w:r w:rsidR="0087295E">
        <w:t xml:space="preserve"> impacts of method changes</w:t>
      </w:r>
    </w:p>
    <w:p w14:paraId="030B7888" w14:textId="77777777" w:rsidR="00F622F2" w:rsidRDefault="00BD1981" w:rsidP="001234A3">
      <w:pPr>
        <w:pStyle w:val="CGC2025ParaNumbers"/>
        <w:spacing w:before="0"/>
      </w:pPr>
      <w:r>
        <w:t>The impact on the GST distribution from the method changes is shown in Table 1</w:t>
      </w:r>
      <w:r w:rsidR="00C1152D">
        <w:t>.</w:t>
      </w:r>
      <w:r w:rsidR="00F622F2" w:rsidRPr="00F622F2">
        <w:t xml:space="preserve"> </w:t>
      </w:r>
    </w:p>
    <w:p w14:paraId="0ED70DA7" w14:textId="7F8878CC" w:rsidR="00DE7327" w:rsidRDefault="00DE7327" w:rsidP="001234A3">
      <w:pPr>
        <w:pStyle w:val="CGC2025Caption"/>
        <w:keepNext/>
        <w:spacing w:before="160"/>
        <w:ind w:left="1440" w:hanging="1440"/>
      </w:pPr>
      <w:r w:rsidRPr="00000E7E">
        <w:t>Table 1</w:t>
      </w:r>
      <w:r w:rsidRPr="00000E7E">
        <w:tab/>
        <w:t xml:space="preserve">Impact on GST distribution of method changes, health, </w:t>
      </w:r>
      <w:r w:rsidR="00C01DC4" w:rsidRPr="00000E7E">
        <w:t>2024</w:t>
      </w:r>
      <w:r w:rsidR="00222687" w:rsidRPr="00000E7E">
        <w:noBreakHyphen/>
        <w:t>25 to </w:t>
      </w:r>
      <w:r w:rsidRPr="00000E7E">
        <w:t>2025</w:t>
      </w:r>
      <w:r w:rsidR="00222687" w:rsidRPr="00000E7E">
        <w:noBreakHyphen/>
      </w:r>
      <w:r w:rsidRPr="00000E7E">
        <w:t>26</w:t>
      </w:r>
    </w:p>
    <w:tbl>
      <w:tblPr>
        <w:tblW w:w="8940" w:type="dxa"/>
        <w:tblLook w:val="04A0" w:firstRow="1" w:lastRow="0" w:firstColumn="1" w:lastColumn="0" w:noHBand="0" w:noVBand="1"/>
      </w:tblPr>
      <w:tblGrid>
        <w:gridCol w:w="3374"/>
        <w:gridCol w:w="620"/>
        <w:gridCol w:w="605"/>
        <w:gridCol w:w="606"/>
        <w:gridCol w:w="606"/>
        <w:gridCol w:w="606"/>
        <w:gridCol w:w="606"/>
        <w:gridCol w:w="606"/>
        <w:gridCol w:w="606"/>
        <w:gridCol w:w="705"/>
      </w:tblGrid>
      <w:tr w:rsidR="00262AE7" w:rsidRPr="00262AE7" w14:paraId="5F8134F5" w14:textId="77777777" w:rsidTr="00FF16EF">
        <w:trPr>
          <w:trHeight w:val="552"/>
        </w:trPr>
        <w:tc>
          <w:tcPr>
            <w:tcW w:w="3160" w:type="dxa"/>
            <w:tcBorders>
              <w:top w:val="nil"/>
              <w:left w:val="nil"/>
              <w:bottom w:val="nil"/>
              <w:right w:val="nil"/>
            </w:tcBorders>
            <w:shd w:val="clear" w:color="000000" w:fill="006991"/>
            <w:vAlign w:val="center"/>
            <w:hideMark/>
          </w:tcPr>
          <w:p w14:paraId="68150FD0" w14:textId="77777777" w:rsidR="00262AE7" w:rsidRPr="00262AE7" w:rsidRDefault="00262AE7" w:rsidP="00262AE7">
            <w:pPr>
              <w:tabs>
                <w:tab w:val="clear" w:pos="567"/>
              </w:tabs>
              <w:spacing w:before="0" w:line="240" w:lineRule="auto"/>
              <w:rPr>
                <w:rFonts w:ascii="Open Sans Semibold" w:eastAsia="Times New Roman" w:hAnsi="Open Sans Semibold" w:cs="Open Sans Semibold"/>
                <w:color w:val="FFFFFF"/>
                <w:sz w:val="16"/>
                <w:szCs w:val="16"/>
                <w:lang w:eastAsia="en-AU"/>
              </w:rPr>
            </w:pPr>
            <w:r w:rsidRPr="00262AE7">
              <w:rPr>
                <w:rFonts w:ascii="Open Sans Semibold" w:eastAsia="Times New Roman" w:hAnsi="Open Sans Semibold" w:cs="Open Sans Semibold"/>
                <w:color w:val="FFFFFF"/>
                <w:sz w:val="16"/>
                <w:szCs w:val="16"/>
                <w:lang w:eastAsia="en-AU"/>
              </w:rPr>
              <w:t> </w:t>
            </w:r>
          </w:p>
        </w:tc>
        <w:tc>
          <w:tcPr>
            <w:tcW w:w="567" w:type="dxa"/>
            <w:tcBorders>
              <w:top w:val="nil"/>
              <w:left w:val="nil"/>
              <w:bottom w:val="nil"/>
              <w:right w:val="nil"/>
            </w:tcBorders>
            <w:shd w:val="clear" w:color="000000" w:fill="006991"/>
            <w:vAlign w:val="center"/>
            <w:hideMark/>
          </w:tcPr>
          <w:p w14:paraId="0B0C9148"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2AE7">
              <w:rPr>
                <w:rFonts w:ascii="Open Sans Semibold" w:eastAsia="Times New Roman" w:hAnsi="Open Sans Semibold" w:cs="Open Sans Semibold"/>
                <w:color w:val="FFFFFF"/>
                <w:sz w:val="16"/>
                <w:szCs w:val="16"/>
                <w:lang w:eastAsia="en-AU"/>
              </w:rPr>
              <w:t>NSW</w:t>
            </w:r>
          </w:p>
        </w:tc>
        <w:tc>
          <w:tcPr>
            <w:tcW w:w="567" w:type="dxa"/>
            <w:tcBorders>
              <w:top w:val="nil"/>
              <w:left w:val="nil"/>
              <w:bottom w:val="nil"/>
              <w:right w:val="nil"/>
            </w:tcBorders>
            <w:shd w:val="clear" w:color="000000" w:fill="006991"/>
            <w:vAlign w:val="center"/>
            <w:hideMark/>
          </w:tcPr>
          <w:p w14:paraId="7C2E2E26"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2AE7">
              <w:rPr>
                <w:rFonts w:ascii="Open Sans Semibold" w:eastAsia="Times New Roman" w:hAnsi="Open Sans Semibold" w:cs="Open Sans Semibold"/>
                <w:color w:val="FFFFFF"/>
                <w:sz w:val="16"/>
                <w:szCs w:val="16"/>
                <w:lang w:eastAsia="en-AU"/>
              </w:rPr>
              <w:t>Vic</w:t>
            </w:r>
          </w:p>
        </w:tc>
        <w:tc>
          <w:tcPr>
            <w:tcW w:w="567" w:type="dxa"/>
            <w:tcBorders>
              <w:top w:val="nil"/>
              <w:left w:val="nil"/>
              <w:bottom w:val="nil"/>
              <w:right w:val="nil"/>
            </w:tcBorders>
            <w:shd w:val="clear" w:color="000000" w:fill="006991"/>
            <w:vAlign w:val="center"/>
            <w:hideMark/>
          </w:tcPr>
          <w:p w14:paraId="12AD7473"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2AE7">
              <w:rPr>
                <w:rFonts w:ascii="Open Sans Semibold" w:eastAsia="Times New Roman" w:hAnsi="Open Sans Semibold" w:cs="Open Sans Semibold"/>
                <w:color w:val="FFFFFF"/>
                <w:sz w:val="16"/>
                <w:szCs w:val="16"/>
                <w:lang w:eastAsia="en-AU"/>
              </w:rPr>
              <w:t>Qld</w:t>
            </w:r>
          </w:p>
        </w:tc>
        <w:tc>
          <w:tcPr>
            <w:tcW w:w="567" w:type="dxa"/>
            <w:tcBorders>
              <w:top w:val="nil"/>
              <w:left w:val="nil"/>
              <w:bottom w:val="nil"/>
              <w:right w:val="nil"/>
            </w:tcBorders>
            <w:shd w:val="clear" w:color="000000" w:fill="006991"/>
            <w:vAlign w:val="center"/>
            <w:hideMark/>
          </w:tcPr>
          <w:p w14:paraId="23591102"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2AE7">
              <w:rPr>
                <w:rFonts w:ascii="Open Sans Semibold" w:eastAsia="Times New Roman" w:hAnsi="Open Sans Semibold" w:cs="Open Sans Semibold"/>
                <w:color w:val="FFFFFF"/>
                <w:sz w:val="16"/>
                <w:szCs w:val="16"/>
                <w:lang w:eastAsia="en-AU"/>
              </w:rPr>
              <w:t>WA</w:t>
            </w:r>
          </w:p>
        </w:tc>
        <w:tc>
          <w:tcPr>
            <w:tcW w:w="567" w:type="dxa"/>
            <w:tcBorders>
              <w:top w:val="nil"/>
              <w:left w:val="nil"/>
              <w:bottom w:val="nil"/>
              <w:right w:val="nil"/>
            </w:tcBorders>
            <w:shd w:val="clear" w:color="000000" w:fill="006991"/>
            <w:vAlign w:val="center"/>
            <w:hideMark/>
          </w:tcPr>
          <w:p w14:paraId="2AEE3A2B"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2AE7">
              <w:rPr>
                <w:rFonts w:ascii="Open Sans Semibold" w:eastAsia="Times New Roman" w:hAnsi="Open Sans Semibold" w:cs="Open Sans Semibold"/>
                <w:color w:val="FFFFFF"/>
                <w:sz w:val="16"/>
                <w:szCs w:val="16"/>
                <w:lang w:eastAsia="en-AU"/>
              </w:rPr>
              <w:t>SA</w:t>
            </w:r>
          </w:p>
        </w:tc>
        <w:tc>
          <w:tcPr>
            <w:tcW w:w="567" w:type="dxa"/>
            <w:tcBorders>
              <w:top w:val="nil"/>
              <w:left w:val="nil"/>
              <w:bottom w:val="nil"/>
              <w:right w:val="nil"/>
            </w:tcBorders>
            <w:shd w:val="clear" w:color="000000" w:fill="006991"/>
            <w:vAlign w:val="center"/>
            <w:hideMark/>
          </w:tcPr>
          <w:p w14:paraId="103A3F31"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2AE7">
              <w:rPr>
                <w:rFonts w:ascii="Open Sans Semibold" w:eastAsia="Times New Roman" w:hAnsi="Open Sans Semibold" w:cs="Open Sans Semibold"/>
                <w:color w:val="FFFFFF"/>
                <w:sz w:val="16"/>
                <w:szCs w:val="16"/>
                <w:lang w:eastAsia="en-AU"/>
              </w:rPr>
              <w:t>Tas</w:t>
            </w:r>
          </w:p>
        </w:tc>
        <w:tc>
          <w:tcPr>
            <w:tcW w:w="567" w:type="dxa"/>
            <w:tcBorders>
              <w:top w:val="nil"/>
              <w:left w:val="nil"/>
              <w:bottom w:val="nil"/>
              <w:right w:val="nil"/>
            </w:tcBorders>
            <w:shd w:val="clear" w:color="000000" w:fill="006991"/>
            <w:vAlign w:val="center"/>
            <w:hideMark/>
          </w:tcPr>
          <w:p w14:paraId="2596FDCA"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2AE7">
              <w:rPr>
                <w:rFonts w:ascii="Open Sans Semibold" w:eastAsia="Times New Roman" w:hAnsi="Open Sans Semibold" w:cs="Open Sans Semibold"/>
                <w:color w:val="FFFFFF"/>
                <w:sz w:val="16"/>
                <w:szCs w:val="16"/>
                <w:lang w:eastAsia="en-AU"/>
              </w:rPr>
              <w:t>ACT</w:t>
            </w:r>
          </w:p>
        </w:tc>
        <w:tc>
          <w:tcPr>
            <w:tcW w:w="567" w:type="dxa"/>
            <w:tcBorders>
              <w:top w:val="nil"/>
              <w:left w:val="nil"/>
              <w:bottom w:val="nil"/>
              <w:right w:val="nil"/>
            </w:tcBorders>
            <w:shd w:val="clear" w:color="000000" w:fill="006991"/>
            <w:vAlign w:val="center"/>
            <w:hideMark/>
          </w:tcPr>
          <w:p w14:paraId="2C92F0B2"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2AE7">
              <w:rPr>
                <w:rFonts w:ascii="Open Sans Semibold" w:eastAsia="Times New Roman" w:hAnsi="Open Sans Semibold" w:cs="Open Sans Semibold"/>
                <w:color w:val="FFFFFF"/>
                <w:sz w:val="16"/>
                <w:szCs w:val="16"/>
                <w:lang w:eastAsia="en-AU"/>
              </w:rPr>
              <w:t>NT</w:t>
            </w:r>
          </w:p>
        </w:tc>
        <w:tc>
          <w:tcPr>
            <w:tcW w:w="660" w:type="dxa"/>
            <w:tcBorders>
              <w:top w:val="nil"/>
              <w:left w:val="nil"/>
              <w:bottom w:val="nil"/>
              <w:right w:val="nil"/>
            </w:tcBorders>
            <w:shd w:val="clear" w:color="000000" w:fill="006991"/>
            <w:vAlign w:val="center"/>
            <w:hideMark/>
          </w:tcPr>
          <w:p w14:paraId="1C28ACFD"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2AE7">
              <w:rPr>
                <w:rFonts w:ascii="Open Sans Semibold" w:eastAsia="Times New Roman" w:hAnsi="Open Sans Semibold" w:cs="Open Sans Semibold"/>
                <w:color w:val="FFFFFF"/>
                <w:sz w:val="16"/>
                <w:szCs w:val="16"/>
                <w:lang w:eastAsia="en-AU"/>
              </w:rPr>
              <w:t>Total effect</w:t>
            </w:r>
          </w:p>
        </w:tc>
      </w:tr>
      <w:tr w:rsidR="00262AE7" w:rsidRPr="00262AE7" w14:paraId="0F710162" w14:textId="77777777" w:rsidTr="00FF16EF">
        <w:trPr>
          <w:trHeight w:val="259"/>
        </w:trPr>
        <w:tc>
          <w:tcPr>
            <w:tcW w:w="3160" w:type="dxa"/>
            <w:tcBorders>
              <w:top w:val="single" w:sz="4" w:space="0" w:color="ADD6EA"/>
              <w:left w:val="nil"/>
              <w:bottom w:val="nil"/>
              <w:right w:val="nil"/>
            </w:tcBorders>
            <w:shd w:val="clear" w:color="000000" w:fill="B6D5E4"/>
            <w:vAlign w:val="center"/>
            <w:hideMark/>
          </w:tcPr>
          <w:p w14:paraId="7AD98D0B" w14:textId="77777777" w:rsidR="00262AE7" w:rsidRPr="00262AE7" w:rsidRDefault="00262AE7" w:rsidP="00262AE7">
            <w:pPr>
              <w:tabs>
                <w:tab w:val="clear" w:pos="567"/>
              </w:tabs>
              <w:spacing w:before="0" w:line="240" w:lineRule="auto"/>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 </w:t>
            </w:r>
          </w:p>
        </w:tc>
        <w:tc>
          <w:tcPr>
            <w:tcW w:w="567" w:type="dxa"/>
            <w:tcBorders>
              <w:top w:val="single" w:sz="4" w:space="0" w:color="ADD6EA"/>
              <w:left w:val="nil"/>
              <w:bottom w:val="nil"/>
              <w:right w:val="nil"/>
            </w:tcBorders>
            <w:shd w:val="clear" w:color="000000" w:fill="B6D5E4"/>
            <w:vAlign w:val="center"/>
            <w:hideMark/>
          </w:tcPr>
          <w:p w14:paraId="0704CA5F"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$m</w:t>
            </w:r>
          </w:p>
        </w:tc>
        <w:tc>
          <w:tcPr>
            <w:tcW w:w="567" w:type="dxa"/>
            <w:tcBorders>
              <w:top w:val="single" w:sz="4" w:space="0" w:color="ADD6EA"/>
              <w:left w:val="nil"/>
              <w:bottom w:val="nil"/>
              <w:right w:val="nil"/>
            </w:tcBorders>
            <w:shd w:val="clear" w:color="000000" w:fill="B6D5E4"/>
            <w:vAlign w:val="center"/>
            <w:hideMark/>
          </w:tcPr>
          <w:p w14:paraId="5DD45D3A"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$m</w:t>
            </w:r>
          </w:p>
        </w:tc>
        <w:tc>
          <w:tcPr>
            <w:tcW w:w="567" w:type="dxa"/>
            <w:tcBorders>
              <w:top w:val="single" w:sz="4" w:space="0" w:color="ADD6EA"/>
              <w:left w:val="nil"/>
              <w:bottom w:val="nil"/>
              <w:right w:val="nil"/>
            </w:tcBorders>
            <w:shd w:val="clear" w:color="000000" w:fill="B6D5E4"/>
            <w:vAlign w:val="center"/>
            <w:hideMark/>
          </w:tcPr>
          <w:p w14:paraId="3709552F"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$m</w:t>
            </w:r>
          </w:p>
        </w:tc>
        <w:tc>
          <w:tcPr>
            <w:tcW w:w="567" w:type="dxa"/>
            <w:tcBorders>
              <w:top w:val="single" w:sz="4" w:space="0" w:color="ADD6EA"/>
              <w:left w:val="nil"/>
              <w:bottom w:val="nil"/>
              <w:right w:val="nil"/>
            </w:tcBorders>
            <w:shd w:val="clear" w:color="000000" w:fill="B6D5E4"/>
            <w:vAlign w:val="center"/>
            <w:hideMark/>
          </w:tcPr>
          <w:p w14:paraId="7C15C11D"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$m</w:t>
            </w:r>
          </w:p>
        </w:tc>
        <w:tc>
          <w:tcPr>
            <w:tcW w:w="567" w:type="dxa"/>
            <w:tcBorders>
              <w:top w:val="single" w:sz="4" w:space="0" w:color="ADD6EA"/>
              <w:left w:val="nil"/>
              <w:bottom w:val="nil"/>
              <w:right w:val="nil"/>
            </w:tcBorders>
            <w:shd w:val="clear" w:color="000000" w:fill="B6D5E4"/>
            <w:vAlign w:val="center"/>
            <w:hideMark/>
          </w:tcPr>
          <w:p w14:paraId="699E7BF4"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$m</w:t>
            </w:r>
          </w:p>
        </w:tc>
        <w:tc>
          <w:tcPr>
            <w:tcW w:w="567" w:type="dxa"/>
            <w:tcBorders>
              <w:top w:val="single" w:sz="4" w:space="0" w:color="ADD6EA"/>
              <w:left w:val="nil"/>
              <w:bottom w:val="nil"/>
              <w:right w:val="nil"/>
            </w:tcBorders>
            <w:shd w:val="clear" w:color="000000" w:fill="B6D5E4"/>
            <w:vAlign w:val="center"/>
            <w:hideMark/>
          </w:tcPr>
          <w:p w14:paraId="00063AC1"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$m</w:t>
            </w:r>
          </w:p>
        </w:tc>
        <w:tc>
          <w:tcPr>
            <w:tcW w:w="567" w:type="dxa"/>
            <w:tcBorders>
              <w:top w:val="single" w:sz="4" w:space="0" w:color="ADD6EA"/>
              <w:left w:val="nil"/>
              <w:bottom w:val="nil"/>
              <w:right w:val="nil"/>
            </w:tcBorders>
            <w:shd w:val="clear" w:color="000000" w:fill="B6D5E4"/>
            <w:vAlign w:val="center"/>
            <w:hideMark/>
          </w:tcPr>
          <w:p w14:paraId="0A089BF0"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$m</w:t>
            </w:r>
          </w:p>
        </w:tc>
        <w:tc>
          <w:tcPr>
            <w:tcW w:w="567" w:type="dxa"/>
            <w:tcBorders>
              <w:top w:val="single" w:sz="4" w:space="0" w:color="ADD6EA"/>
              <w:left w:val="nil"/>
              <w:bottom w:val="nil"/>
              <w:right w:val="nil"/>
            </w:tcBorders>
            <w:shd w:val="clear" w:color="000000" w:fill="B6D5E4"/>
            <w:vAlign w:val="center"/>
            <w:hideMark/>
          </w:tcPr>
          <w:p w14:paraId="075304E8"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16EFFAB0"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$m</w:t>
            </w:r>
          </w:p>
        </w:tc>
      </w:tr>
      <w:tr w:rsidR="00262AE7" w:rsidRPr="00262AE7" w14:paraId="258205B1" w14:textId="77777777" w:rsidTr="00FF16EF">
        <w:trPr>
          <w:trHeight w:val="319"/>
        </w:trPr>
        <w:tc>
          <w:tcPr>
            <w:tcW w:w="3160" w:type="dxa"/>
            <w:tcBorders>
              <w:top w:val="single" w:sz="4" w:space="0" w:color="ADD6EA"/>
              <w:left w:val="nil"/>
              <w:bottom w:val="nil"/>
              <w:right w:val="nil"/>
            </w:tcBorders>
            <w:shd w:val="clear" w:color="000000" w:fill="FFFFFF"/>
            <w:vAlign w:val="center"/>
            <w:hideMark/>
          </w:tcPr>
          <w:p w14:paraId="7D4ECCE8" w14:textId="77777777" w:rsidR="00262AE7" w:rsidRPr="00262AE7" w:rsidRDefault="00262AE7" w:rsidP="00262AE7">
            <w:pPr>
              <w:tabs>
                <w:tab w:val="clear" w:pos="567"/>
              </w:tabs>
              <w:spacing w:before="0" w:line="240" w:lineRule="auto"/>
              <w:rPr>
                <w:rFonts w:eastAsia="Times New Roman" w:cs="Open Sans Light"/>
                <w:color w:val="000000"/>
                <w:sz w:val="16"/>
                <w:szCs w:val="16"/>
                <w:lang w:eastAsia="en-AU"/>
              </w:rPr>
            </w:pPr>
            <w:r w:rsidRPr="00262AE7">
              <w:rPr>
                <w:rFonts w:eastAsia="Times New Roman" w:cs="Open Sans Light"/>
                <w:color w:val="000000"/>
                <w:sz w:val="16"/>
                <w:szCs w:val="16"/>
                <w:lang w:eastAsia="en-AU"/>
              </w:rPr>
              <w:t>COVID-19 assessment</w:t>
            </w:r>
          </w:p>
        </w:tc>
        <w:tc>
          <w:tcPr>
            <w:tcW w:w="567" w:type="dxa"/>
            <w:tcBorders>
              <w:top w:val="single" w:sz="4" w:space="0" w:color="ADD6EA"/>
              <w:left w:val="nil"/>
              <w:bottom w:val="nil"/>
              <w:right w:val="nil"/>
            </w:tcBorders>
            <w:shd w:val="clear" w:color="000000" w:fill="FFFFFF"/>
            <w:vAlign w:val="center"/>
            <w:hideMark/>
          </w:tcPr>
          <w:p w14:paraId="5317D2CA"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209</w:t>
            </w:r>
          </w:p>
        </w:tc>
        <w:tc>
          <w:tcPr>
            <w:tcW w:w="567" w:type="dxa"/>
            <w:tcBorders>
              <w:top w:val="single" w:sz="4" w:space="0" w:color="ADD6EA"/>
              <w:left w:val="nil"/>
              <w:bottom w:val="nil"/>
              <w:right w:val="nil"/>
            </w:tcBorders>
            <w:shd w:val="clear" w:color="000000" w:fill="FFFFFF"/>
            <w:vAlign w:val="center"/>
            <w:hideMark/>
          </w:tcPr>
          <w:p w14:paraId="53FE7669"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293</w:t>
            </w:r>
          </w:p>
        </w:tc>
        <w:tc>
          <w:tcPr>
            <w:tcW w:w="567" w:type="dxa"/>
            <w:tcBorders>
              <w:top w:val="single" w:sz="4" w:space="0" w:color="ADD6EA"/>
              <w:left w:val="nil"/>
              <w:bottom w:val="nil"/>
              <w:right w:val="nil"/>
            </w:tcBorders>
            <w:shd w:val="clear" w:color="000000" w:fill="FFFFFF"/>
            <w:vAlign w:val="center"/>
            <w:hideMark/>
          </w:tcPr>
          <w:p w14:paraId="64116A9E"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-324</w:t>
            </w:r>
          </w:p>
        </w:tc>
        <w:tc>
          <w:tcPr>
            <w:tcW w:w="567" w:type="dxa"/>
            <w:tcBorders>
              <w:top w:val="single" w:sz="4" w:space="0" w:color="ADD6EA"/>
              <w:left w:val="nil"/>
              <w:bottom w:val="nil"/>
              <w:right w:val="nil"/>
            </w:tcBorders>
            <w:shd w:val="clear" w:color="000000" w:fill="FFFFFF"/>
            <w:vAlign w:val="center"/>
            <w:hideMark/>
          </w:tcPr>
          <w:p w14:paraId="0B340C63"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-45</w:t>
            </w:r>
          </w:p>
        </w:tc>
        <w:tc>
          <w:tcPr>
            <w:tcW w:w="567" w:type="dxa"/>
            <w:tcBorders>
              <w:top w:val="single" w:sz="4" w:space="0" w:color="ADD6EA"/>
              <w:left w:val="nil"/>
              <w:bottom w:val="nil"/>
              <w:right w:val="nil"/>
            </w:tcBorders>
            <w:shd w:val="clear" w:color="000000" w:fill="FFFFFF"/>
            <w:vAlign w:val="center"/>
            <w:hideMark/>
          </w:tcPr>
          <w:p w14:paraId="66CBF566"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-78</w:t>
            </w:r>
          </w:p>
        </w:tc>
        <w:tc>
          <w:tcPr>
            <w:tcW w:w="567" w:type="dxa"/>
            <w:tcBorders>
              <w:top w:val="single" w:sz="4" w:space="0" w:color="ADD6EA"/>
              <w:left w:val="nil"/>
              <w:bottom w:val="nil"/>
              <w:right w:val="nil"/>
            </w:tcBorders>
            <w:shd w:val="clear" w:color="000000" w:fill="FFFFFF"/>
            <w:vAlign w:val="center"/>
            <w:hideMark/>
          </w:tcPr>
          <w:p w14:paraId="3992362D"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-23</w:t>
            </w:r>
          </w:p>
        </w:tc>
        <w:tc>
          <w:tcPr>
            <w:tcW w:w="567" w:type="dxa"/>
            <w:tcBorders>
              <w:top w:val="single" w:sz="4" w:space="0" w:color="ADD6EA"/>
              <w:left w:val="nil"/>
              <w:bottom w:val="nil"/>
              <w:right w:val="nil"/>
            </w:tcBorders>
            <w:shd w:val="clear" w:color="000000" w:fill="FFFFFF"/>
            <w:vAlign w:val="center"/>
            <w:hideMark/>
          </w:tcPr>
          <w:p w14:paraId="39353A4F"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w:t>
            </w:r>
          </w:p>
        </w:tc>
        <w:tc>
          <w:tcPr>
            <w:tcW w:w="567" w:type="dxa"/>
            <w:tcBorders>
              <w:top w:val="single" w:sz="4" w:space="0" w:color="ADD6EA"/>
              <w:left w:val="nil"/>
              <w:bottom w:val="nil"/>
              <w:right w:val="nil"/>
            </w:tcBorders>
            <w:shd w:val="clear" w:color="000000" w:fill="FFFFFF"/>
            <w:vAlign w:val="center"/>
            <w:hideMark/>
          </w:tcPr>
          <w:p w14:paraId="4A0AB9FF"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-28</w:t>
            </w:r>
          </w:p>
        </w:tc>
        <w:tc>
          <w:tcPr>
            <w:tcW w:w="660" w:type="dxa"/>
            <w:tcBorders>
              <w:top w:val="single" w:sz="4" w:space="0" w:color="ADD6EA"/>
              <w:left w:val="nil"/>
              <w:bottom w:val="nil"/>
              <w:right w:val="nil"/>
            </w:tcBorders>
            <w:shd w:val="clear" w:color="000000" w:fill="FFFFFF"/>
            <w:vAlign w:val="center"/>
            <w:hideMark/>
          </w:tcPr>
          <w:p w14:paraId="188E488D"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502</w:t>
            </w:r>
          </w:p>
        </w:tc>
      </w:tr>
      <w:tr w:rsidR="00262AE7" w:rsidRPr="00262AE7" w14:paraId="7F8C904A" w14:textId="77777777" w:rsidTr="00FF16EF">
        <w:trPr>
          <w:trHeight w:val="319"/>
        </w:trPr>
        <w:tc>
          <w:tcPr>
            <w:tcW w:w="3160" w:type="dxa"/>
            <w:tcBorders>
              <w:top w:val="single" w:sz="4" w:space="0" w:color="ADD6EA"/>
              <w:left w:val="nil"/>
              <w:bottom w:val="nil"/>
              <w:right w:val="nil"/>
            </w:tcBorders>
            <w:shd w:val="clear" w:color="000000" w:fill="FFFFFF"/>
            <w:vAlign w:val="center"/>
            <w:hideMark/>
          </w:tcPr>
          <w:p w14:paraId="0821212F" w14:textId="77777777" w:rsidR="00262AE7" w:rsidRPr="00262AE7" w:rsidRDefault="00262AE7" w:rsidP="00262AE7">
            <w:pPr>
              <w:tabs>
                <w:tab w:val="clear" w:pos="567"/>
              </w:tabs>
              <w:spacing w:before="0" w:line="240" w:lineRule="auto"/>
              <w:rPr>
                <w:rFonts w:eastAsia="Times New Roman" w:cs="Open Sans Light"/>
                <w:color w:val="000000"/>
                <w:sz w:val="16"/>
                <w:szCs w:val="16"/>
                <w:lang w:eastAsia="en-AU"/>
              </w:rPr>
            </w:pPr>
            <w:r w:rsidRPr="00262AE7">
              <w:rPr>
                <w:rFonts w:eastAsia="Times New Roman" w:cs="Open Sans Light"/>
                <w:color w:val="000000"/>
                <w:sz w:val="16"/>
                <w:szCs w:val="16"/>
                <w:lang w:eastAsia="en-AU"/>
              </w:rPr>
              <w:t>Community health use indicator</w:t>
            </w:r>
          </w:p>
        </w:tc>
        <w:tc>
          <w:tcPr>
            <w:tcW w:w="567" w:type="dxa"/>
            <w:tcBorders>
              <w:top w:val="single" w:sz="4" w:space="0" w:color="ADD6EA"/>
              <w:left w:val="nil"/>
              <w:bottom w:val="nil"/>
              <w:right w:val="nil"/>
            </w:tcBorders>
            <w:shd w:val="clear" w:color="000000" w:fill="FFFFFF"/>
            <w:vAlign w:val="center"/>
            <w:hideMark/>
          </w:tcPr>
          <w:p w14:paraId="7A02BF4B"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42</w:t>
            </w:r>
          </w:p>
        </w:tc>
        <w:tc>
          <w:tcPr>
            <w:tcW w:w="567" w:type="dxa"/>
            <w:tcBorders>
              <w:top w:val="single" w:sz="4" w:space="0" w:color="ADD6EA"/>
              <w:left w:val="nil"/>
              <w:bottom w:val="nil"/>
              <w:right w:val="nil"/>
            </w:tcBorders>
            <w:shd w:val="clear" w:color="000000" w:fill="FFFFFF"/>
            <w:vAlign w:val="center"/>
            <w:hideMark/>
          </w:tcPr>
          <w:p w14:paraId="56719B6D"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49</w:t>
            </w:r>
          </w:p>
        </w:tc>
        <w:tc>
          <w:tcPr>
            <w:tcW w:w="567" w:type="dxa"/>
            <w:tcBorders>
              <w:top w:val="single" w:sz="4" w:space="0" w:color="ADD6EA"/>
              <w:left w:val="nil"/>
              <w:bottom w:val="nil"/>
              <w:right w:val="nil"/>
            </w:tcBorders>
            <w:shd w:val="clear" w:color="000000" w:fill="FFFFFF"/>
            <w:vAlign w:val="center"/>
            <w:hideMark/>
          </w:tcPr>
          <w:p w14:paraId="5F64961D"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-22</w:t>
            </w:r>
          </w:p>
        </w:tc>
        <w:tc>
          <w:tcPr>
            <w:tcW w:w="567" w:type="dxa"/>
            <w:tcBorders>
              <w:top w:val="single" w:sz="4" w:space="0" w:color="ADD6EA"/>
              <w:left w:val="nil"/>
              <w:bottom w:val="nil"/>
              <w:right w:val="nil"/>
            </w:tcBorders>
            <w:shd w:val="clear" w:color="000000" w:fill="FFFFFF"/>
            <w:vAlign w:val="center"/>
            <w:hideMark/>
          </w:tcPr>
          <w:p w14:paraId="30DFB77E"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-26</w:t>
            </w:r>
          </w:p>
        </w:tc>
        <w:tc>
          <w:tcPr>
            <w:tcW w:w="567" w:type="dxa"/>
            <w:tcBorders>
              <w:top w:val="single" w:sz="4" w:space="0" w:color="ADD6EA"/>
              <w:left w:val="nil"/>
              <w:bottom w:val="nil"/>
              <w:right w:val="nil"/>
            </w:tcBorders>
            <w:shd w:val="clear" w:color="000000" w:fill="FFFFFF"/>
            <w:vAlign w:val="center"/>
            <w:hideMark/>
          </w:tcPr>
          <w:p w14:paraId="118F3844"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w:t>
            </w:r>
          </w:p>
        </w:tc>
        <w:tc>
          <w:tcPr>
            <w:tcW w:w="567" w:type="dxa"/>
            <w:tcBorders>
              <w:top w:val="single" w:sz="4" w:space="0" w:color="ADD6EA"/>
              <w:left w:val="nil"/>
              <w:bottom w:val="nil"/>
              <w:right w:val="nil"/>
            </w:tcBorders>
            <w:shd w:val="clear" w:color="000000" w:fill="FFFFFF"/>
            <w:vAlign w:val="center"/>
            <w:hideMark/>
          </w:tcPr>
          <w:p w14:paraId="3E6E33DD"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-11</w:t>
            </w:r>
          </w:p>
        </w:tc>
        <w:tc>
          <w:tcPr>
            <w:tcW w:w="567" w:type="dxa"/>
            <w:tcBorders>
              <w:top w:val="single" w:sz="4" w:space="0" w:color="ADD6EA"/>
              <w:left w:val="nil"/>
              <w:bottom w:val="nil"/>
              <w:right w:val="nil"/>
            </w:tcBorders>
            <w:shd w:val="clear" w:color="000000" w:fill="FFFFFF"/>
            <w:vAlign w:val="center"/>
            <w:hideMark/>
          </w:tcPr>
          <w:p w14:paraId="24C870BD"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6</w:t>
            </w:r>
          </w:p>
        </w:tc>
        <w:tc>
          <w:tcPr>
            <w:tcW w:w="567" w:type="dxa"/>
            <w:tcBorders>
              <w:top w:val="single" w:sz="4" w:space="0" w:color="ADD6EA"/>
              <w:left w:val="nil"/>
              <w:bottom w:val="nil"/>
              <w:right w:val="nil"/>
            </w:tcBorders>
            <w:shd w:val="clear" w:color="000000" w:fill="FFFFFF"/>
            <w:vAlign w:val="center"/>
            <w:hideMark/>
          </w:tcPr>
          <w:p w14:paraId="3899D921"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-34</w:t>
            </w:r>
          </w:p>
        </w:tc>
        <w:tc>
          <w:tcPr>
            <w:tcW w:w="660" w:type="dxa"/>
            <w:tcBorders>
              <w:top w:val="single" w:sz="4" w:space="0" w:color="ADD6EA"/>
              <w:left w:val="nil"/>
              <w:bottom w:val="nil"/>
              <w:right w:val="nil"/>
            </w:tcBorders>
            <w:shd w:val="clear" w:color="000000" w:fill="FFFFFF"/>
            <w:vAlign w:val="center"/>
            <w:hideMark/>
          </w:tcPr>
          <w:p w14:paraId="012B91FF"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97</w:t>
            </w:r>
          </w:p>
        </w:tc>
      </w:tr>
      <w:tr w:rsidR="00262AE7" w:rsidRPr="00262AE7" w14:paraId="680E276F" w14:textId="77777777" w:rsidTr="00FF16EF">
        <w:trPr>
          <w:trHeight w:val="552"/>
        </w:trPr>
        <w:tc>
          <w:tcPr>
            <w:tcW w:w="3160" w:type="dxa"/>
            <w:tcBorders>
              <w:top w:val="single" w:sz="4" w:space="0" w:color="ADD6EA"/>
              <w:left w:val="nil"/>
              <w:bottom w:val="nil"/>
              <w:right w:val="nil"/>
            </w:tcBorders>
            <w:shd w:val="clear" w:color="000000" w:fill="FFFFFF"/>
            <w:vAlign w:val="center"/>
            <w:hideMark/>
          </w:tcPr>
          <w:p w14:paraId="4E8870FA" w14:textId="77777777" w:rsidR="00262AE7" w:rsidRPr="00262AE7" w:rsidRDefault="00262AE7" w:rsidP="00262AE7">
            <w:pPr>
              <w:tabs>
                <w:tab w:val="clear" w:pos="567"/>
              </w:tabs>
              <w:spacing w:before="0" w:line="240" w:lineRule="auto"/>
              <w:rPr>
                <w:rFonts w:eastAsia="Times New Roman" w:cs="Open Sans Light"/>
                <w:color w:val="000000"/>
                <w:sz w:val="16"/>
                <w:szCs w:val="16"/>
                <w:lang w:eastAsia="en-AU"/>
              </w:rPr>
            </w:pPr>
            <w:r w:rsidRPr="00262AE7">
              <w:rPr>
                <w:rFonts w:eastAsia="Times New Roman" w:cs="Open Sans Light"/>
                <w:color w:val="000000"/>
                <w:sz w:val="16"/>
                <w:szCs w:val="16"/>
                <w:lang w:eastAsia="en-AU"/>
              </w:rPr>
              <w:t>New ambulatory community mental health assessment</w:t>
            </w:r>
          </w:p>
        </w:tc>
        <w:tc>
          <w:tcPr>
            <w:tcW w:w="567" w:type="dxa"/>
            <w:tcBorders>
              <w:top w:val="single" w:sz="4" w:space="0" w:color="ADD6EA"/>
              <w:left w:val="nil"/>
              <w:bottom w:val="nil"/>
              <w:right w:val="nil"/>
            </w:tcBorders>
            <w:shd w:val="clear" w:color="000000" w:fill="FFFFFF"/>
            <w:vAlign w:val="center"/>
            <w:hideMark/>
          </w:tcPr>
          <w:p w14:paraId="63630334"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93</w:t>
            </w:r>
          </w:p>
        </w:tc>
        <w:tc>
          <w:tcPr>
            <w:tcW w:w="567" w:type="dxa"/>
            <w:tcBorders>
              <w:top w:val="single" w:sz="4" w:space="0" w:color="ADD6EA"/>
              <w:left w:val="nil"/>
              <w:bottom w:val="nil"/>
              <w:right w:val="nil"/>
            </w:tcBorders>
            <w:shd w:val="clear" w:color="000000" w:fill="FFFFFF"/>
            <w:vAlign w:val="center"/>
            <w:hideMark/>
          </w:tcPr>
          <w:p w14:paraId="687EE0AB"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65</w:t>
            </w:r>
          </w:p>
        </w:tc>
        <w:tc>
          <w:tcPr>
            <w:tcW w:w="567" w:type="dxa"/>
            <w:tcBorders>
              <w:top w:val="single" w:sz="4" w:space="0" w:color="ADD6EA"/>
              <w:left w:val="nil"/>
              <w:bottom w:val="nil"/>
              <w:right w:val="nil"/>
            </w:tcBorders>
            <w:shd w:val="clear" w:color="000000" w:fill="FFFFFF"/>
            <w:vAlign w:val="center"/>
            <w:hideMark/>
          </w:tcPr>
          <w:p w14:paraId="667DE6D9"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-39</w:t>
            </w:r>
          </w:p>
        </w:tc>
        <w:tc>
          <w:tcPr>
            <w:tcW w:w="567" w:type="dxa"/>
            <w:tcBorders>
              <w:top w:val="single" w:sz="4" w:space="0" w:color="ADD6EA"/>
              <w:left w:val="nil"/>
              <w:bottom w:val="nil"/>
              <w:right w:val="nil"/>
            </w:tcBorders>
            <w:shd w:val="clear" w:color="000000" w:fill="FFFFFF"/>
            <w:vAlign w:val="center"/>
            <w:hideMark/>
          </w:tcPr>
          <w:p w14:paraId="070DEDCC"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-33</w:t>
            </w:r>
          </w:p>
        </w:tc>
        <w:tc>
          <w:tcPr>
            <w:tcW w:w="567" w:type="dxa"/>
            <w:tcBorders>
              <w:top w:val="single" w:sz="4" w:space="0" w:color="ADD6EA"/>
              <w:left w:val="nil"/>
              <w:bottom w:val="nil"/>
              <w:right w:val="nil"/>
            </w:tcBorders>
            <w:shd w:val="clear" w:color="000000" w:fill="FFFFFF"/>
            <w:vAlign w:val="center"/>
            <w:hideMark/>
          </w:tcPr>
          <w:p w14:paraId="3C687238"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-14</w:t>
            </w:r>
          </w:p>
        </w:tc>
        <w:tc>
          <w:tcPr>
            <w:tcW w:w="567" w:type="dxa"/>
            <w:tcBorders>
              <w:top w:val="single" w:sz="4" w:space="0" w:color="ADD6EA"/>
              <w:left w:val="nil"/>
              <w:bottom w:val="nil"/>
              <w:right w:val="nil"/>
            </w:tcBorders>
            <w:shd w:val="clear" w:color="000000" w:fill="FFFFFF"/>
            <w:vAlign w:val="center"/>
            <w:hideMark/>
          </w:tcPr>
          <w:p w14:paraId="0DF29049"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-35</w:t>
            </w:r>
          </w:p>
        </w:tc>
        <w:tc>
          <w:tcPr>
            <w:tcW w:w="567" w:type="dxa"/>
            <w:tcBorders>
              <w:top w:val="single" w:sz="4" w:space="0" w:color="ADD6EA"/>
              <w:left w:val="nil"/>
              <w:bottom w:val="nil"/>
              <w:right w:val="nil"/>
            </w:tcBorders>
            <w:shd w:val="clear" w:color="000000" w:fill="FFFFFF"/>
            <w:vAlign w:val="center"/>
            <w:hideMark/>
          </w:tcPr>
          <w:p w14:paraId="2D95EE01"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14</w:t>
            </w:r>
          </w:p>
        </w:tc>
        <w:tc>
          <w:tcPr>
            <w:tcW w:w="567" w:type="dxa"/>
            <w:tcBorders>
              <w:top w:val="single" w:sz="4" w:space="0" w:color="ADD6EA"/>
              <w:left w:val="nil"/>
              <w:bottom w:val="nil"/>
              <w:right w:val="nil"/>
            </w:tcBorders>
            <w:shd w:val="clear" w:color="000000" w:fill="FFFFFF"/>
            <w:vAlign w:val="center"/>
            <w:hideMark/>
          </w:tcPr>
          <w:p w14:paraId="6BD859A7"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-52</w:t>
            </w:r>
          </w:p>
        </w:tc>
        <w:tc>
          <w:tcPr>
            <w:tcW w:w="660" w:type="dxa"/>
            <w:tcBorders>
              <w:top w:val="single" w:sz="4" w:space="0" w:color="ADD6EA"/>
              <w:left w:val="nil"/>
              <w:bottom w:val="nil"/>
              <w:right w:val="nil"/>
            </w:tcBorders>
            <w:shd w:val="clear" w:color="000000" w:fill="FFFFFF"/>
            <w:vAlign w:val="center"/>
            <w:hideMark/>
          </w:tcPr>
          <w:p w14:paraId="65F44BD5"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172</w:t>
            </w:r>
          </w:p>
        </w:tc>
      </w:tr>
      <w:tr w:rsidR="00262AE7" w:rsidRPr="00262AE7" w14:paraId="69977033" w14:textId="77777777" w:rsidTr="00FF16EF">
        <w:trPr>
          <w:trHeight w:val="319"/>
        </w:trPr>
        <w:tc>
          <w:tcPr>
            <w:tcW w:w="3160" w:type="dxa"/>
            <w:tcBorders>
              <w:top w:val="single" w:sz="4" w:space="0" w:color="ADD6EA"/>
              <w:left w:val="nil"/>
              <w:bottom w:val="nil"/>
              <w:right w:val="nil"/>
            </w:tcBorders>
            <w:shd w:val="clear" w:color="000000" w:fill="FFFFFF"/>
            <w:vAlign w:val="center"/>
            <w:hideMark/>
          </w:tcPr>
          <w:p w14:paraId="020BAD3D" w14:textId="77777777" w:rsidR="00262AE7" w:rsidRPr="00262AE7" w:rsidRDefault="00262AE7" w:rsidP="00262AE7">
            <w:pPr>
              <w:tabs>
                <w:tab w:val="clear" w:pos="567"/>
              </w:tabs>
              <w:spacing w:before="0" w:line="240" w:lineRule="auto"/>
              <w:rPr>
                <w:rFonts w:eastAsia="Times New Roman" w:cs="Open Sans Light"/>
                <w:color w:val="000000"/>
                <w:sz w:val="16"/>
                <w:szCs w:val="16"/>
                <w:lang w:eastAsia="en-AU"/>
              </w:rPr>
            </w:pPr>
            <w:r w:rsidRPr="00262AE7">
              <w:rPr>
                <w:rFonts w:eastAsia="Times New Roman" w:cs="Open Sans Light"/>
                <w:color w:val="000000"/>
                <w:sz w:val="16"/>
                <w:szCs w:val="16"/>
                <w:lang w:eastAsia="en-AU"/>
              </w:rPr>
              <w:t>Changes to non-state sector adjustment</w:t>
            </w:r>
          </w:p>
        </w:tc>
        <w:tc>
          <w:tcPr>
            <w:tcW w:w="567" w:type="dxa"/>
            <w:tcBorders>
              <w:top w:val="single" w:sz="4" w:space="0" w:color="ADD6EA"/>
              <w:left w:val="nil"/>
              <w:bottom w:val="nil"/>
              <w:right w:val="nil"/>
            </w:tcBorders>
            <w:shd w:val="clear" w:color="000000" w:fill="FFFFFF"/>
            <w:vAlign w:val="center"/>
            <w:hideMark/>
          </w:tcPr>
          <w:p w14:paraId="15019D75"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-36</w:t>
            </w:r>
          </w:p>
        </w:tc>
        <w:tc>
          <w:tcPr>
            <w:tcW w:w="567" w:type="dxa"/>
            <w:tcBorders>
              <w:top w:val="single" w:sz="4" w:space="0" w:color="ADD6EA"/>
              <w:left w:val="nil"/>
              <w:bottom w:val="nil"/>
              <w:right w:val="nil"/>
            </w:tcBorders>
            <w:shd w:val="clear" w:color="000000" w:fill="FFFFFF"/>
            <w:vAlign w:val="center"/>
            <w:hideMark/>
          </w:tcPr>
          <w:p w14:paraId="7A024FFE"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53</w:t>
            </w:r>
          </w:p>
        </w:tc>
        <w:tc>
          <w:tcPr>
            <w:tcW w:w="567" w:type="dxa"/>
            <w:tcBorders>
              <w:top w:val="single" w:sz="4" w:space="0" w:color="ADD6EA"/>
              <w:left w:val="nil"/>
              <w:bottom w:val="nil"/>
              <w:right w:val="nil"/>
            </w:tcBorders>
            <w:shd w:val="clear" w:color="000000" w:fill="FFFFFF"/>
            <w:vAlign w:val="center"/>
            <w:hideMark/>
          </w:tcPr>
          <w:p w14:paraId="45C3C6D9"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-85</w:t>
            </w:r>
          </w:p>
        </w:tc>
        <w:tc>
          <w:tcPr>
            <w:tcW w:w="567" w:type="dxa"/>
            <w:tcBorders>
              <w:top w:val="single" w:sz="4" w:space="0" w:color="ADD6EA"/>
              <w:left w:val="nil"/>
              <w:bottom w:val="nil"/>
              <w:right w:val="nil"/>
            </w:tcBorders>
            <w:shd w:val="clear" w:color="000000" w:fill="FFFFFF"/>
            <w:vAlign w:val="center"/>
            <w:hideMark/>
          </w:tcPr>
          <w:p w14:paraId="02B04B2D"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w:t>
            </w:r>
          </w:p>
        </w:tc>
        <w:tc>
          <w:tcPr>
            <w:tcW w:w="567" w:type="dxa"/>
            <w:tcBorders>
              <w:top w:val="single" w:sz="4" w:space="0" w:color="ADD6EA"/>
              <w:left w:val="nil"/>
              <w:bottom w:val="nil"/>
              <w:right w:val="nil"/>
            </w:tcBorders>
            <w:shd w:val="clear" w:color="000000" w:fill="FFFFFF"/>
            <w:vAlign w:val="center"/>
            <w:hideMark/>
          </w:tcPr>
          <w:p w14:paraId="4040B6BE"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11</w:t>
            </w:r>
          </w:p>
        </w:tc>
        <w:tc>
          <w:tcPr>
            <w:tcW w:w="567" w:type="dxa"/>
            <w:tcBorders>
              <w:top w:val="single" w:sz="4" w:space="0" w:color="ADD6EA"/>
              <w:left w:val="nil"/>
              <w:bottom w:val="nil"/>
              <w:right w:val="nil"/>
            </w:tcBorders>
            <w:shd w:val="clear" w:color="000000" w:fill="FFFFFF"/>
            <w:vAlign w:val="center"/>
            <w:hideMark/>
          </w:tcPr>
          <w:p w14:paraId="0DAF761D"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-16</w:t>
            </w:r>
          </w:p>
        </w:tc>
        <w:tc>
          <w:tcPr>
            <w:tcW w:w="567" w:type="dxa"/>
            <w:tcBorders>
              <w:top w:val="single" w:sz="4" w:space="0" w:color="ADD6EA"/>
              <w:left w:val="nil"/>
              <w:bottom w:val="nil"/>
              <w:right w:val="nil"/>
            </w:tcBorders>
            <w:shd w:val="clear" w:color="000000" w:fill="FFFFFF"/>
            <w:vAlign w:val="center"/>
            <w:hideMark/>
          </w:tcPr>
          <w:p w14:paraId="1F52EDE9"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12</w:t>
            </w:r>
          </w:p>
        </w:tc>
        <w:tc>
          <w:tcPr>
            <w:tcW w:w="567" w:type="dxa"/>
            <w:tcBorders>
              <w:top w:val="single" w:sz="4" w:space="0" w:color="ADD6EA"/>
              <w:left w:val="nil"/>
              <w:bottom w:val="nil"/>
              <w:right w:val="nil"/>
            </w:tcBorders>
            <w:shd w:val="clear" w:color="000000" w:fill="FFFFFF"/>
            <w:vAlign w:val="center"/>
            <w:hideMark/>
          </w:tcPr>
          <w:p w14:paraId="4B7DC009"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63</w:t>
            </w:r>
          </w:p>
        </w:tc>
        <w:tc>
          <w:tcPr>
            <w:tcW w:w="660" w:type="dxa"/>
            <w:tcBorders>
              <w:top w:val="single" w:sz="4" w:space="0" w:color="ADD6EA"/>
              <w:left w:val="nil"/>
              <w:bottom w:val="nil"/>
              <w:right w:val="nil"/>
            </w:tcBorders>
            <w:shd w:val="clear" w:color="000000" w:fill="FFFFFF"/>
            <w:vAlign w:val="center"/>
            <w:hideMark/>
          </w:tcPr>
          <w:p w14:paraId="323D028C"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139</w:t>
            </w:r>
          </w:p>
        </w:tc>
      </w:tr>
      <w:tr w:rsidR="00262AE7" w:rsidRPr="00262AE7" w14:paraId="1FFC4FB1" w14:textId="77777777" w:rsidTr="00FF16EF">
        <w:trPr>
          <w:trHeight w:val="318"/>
        </w:trPr>
        <w:tc>
          <w:tcPr>
            <w:tcW w:w="3160" w:type="dxa"/>
            <w:tcBorders>
              <w:top w:val="single" w:sz="4" w:space="0" w:color="ADD6EA"/>
              <w:left w:val="nil"/>
              <w:bottom w:val="nil"/>
              <w:right w:val="nil"/>
            </w:tcBorders>
            <w:shd w:val="clear" w:color="000000" w:fill="FFFFFF"/>
            <w:vAlign w:val="center"/>
            <w:hideMark/>
          </w:tcPr>
          <w:p w14:paraId="71B84F55" w14:textId="77777777" w:rsidR="00262AE7" w:rsidRPr="00262AE7" w:rsidRDefault="00262AE7" w:rsidP="00644F9C">
            <w:pPr>
              <w:tabs>
                <w:tab w:val="clear" w:pos="567"/>
              </w:tabs>
              <w:spacing w:before="0" w:line="240" w:lineRule="auto"/>
              <w:ind w:right="-206"/>
              <w:rPr>
                <w:rFonts w:eastAsia="Times New Roman" w:cs="Open Sans Light"/>
                <w:color w:val="000000"/>
                <w:sz w:val="16"/>
                <w:szCs w:val="16"/>
                <w:lang w:eastAsia="en-AU"/>
              </w:rPr>
            </w:pPr>
            <w:r w:rsidRPr="00262AE7">
              <w:rPr>
                <w:rFonts w:eastAsia="Times New Roman" w:cs="Open Sans Light"/>
                <w:color w:val="000000"/>
                <w:sz w:val="16"/>
                <w:szCs w:val="16"/>
                <w:lang w:eastAsia="en-AU"/>
              </w:rPr>
              <w:t>Discounting of non-state sector adjustment</w:t>
            </w:r>
          </w:p>
        </w:tc>
        <w:tc>
          <w:tcPr>
            <w:tcW w:w="567" w:type="dxa"/>
            <w:tcBorders>
              <w:top w:val="single" w:sz="4" w:space="0" w:color="ADD6EA"/>
              <w:left w:val="nil"/>
              <w:bottom w:val="nil"/>
              <w:right w:val="nil"/>
            </w:tcBorders>
            <w:shd w:val="clear" w:color="000000" w:fill="FFFFFF"/>
            <w:vAlign w:val="center"/>
            <w:hideMark/>
          </w:tcPr>
          <w:p w14:paraId="46C864EB"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40</w:t>
            </w:r>
          </w:p>
        </w:tc>
        <w:tc>
          <w:tcPr>
            <w:tcW w:w="567" w:type="dxa"/>
            <w:tcBorders>
              <w:top w:val="single" w:sz="4" w:space="0" w:color="ADD6EA"/>
              <w:left w:val="nil"/>
              <w:bottom w:val="nil"/>
              <w:right w:val="nil"/>
            </w:tcBorders>
            <w:shd w:val="clear" w:color="000000" w:fill="FFFFFF"/>
            <w:vAlign w:val="center"/>
            <w:hideMark/>
          </w:tcPr>
          <w:p w14:paraId="10D45AB9"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-22</w:t>
            </w:r>
          </w:p>
        </w:tc>
        <w:tc>
          <w:tcPr>
            <w:tcW w:w="567" w:type="dxa"/>
            <w:tcBorders>
              <w:top w:val="single" w:sz="4" w:space="0" w:color="ADD6EA"/>
              <w:left w:val="nil"/>
              <w:bottom w:val="nil"/>
              <w:right w:val="nil"/>
            </w:tcBorders>
            <w:shd w:val="clear" w:color="000000" w:fill="FFFFFF"/>
            <w:vAlign w:val="center"/>
            <w:hideMark/>
          </w:tcPr>
          <w:p w14:paraId="3DA92C65"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48</w:t>
            </w:r>
          </w:p>
        </w:tc>
        <w:tc>
          <w:tcPr>
            <w:tcW w:w="567" w:type="dxa"/>
            <w:tcBorders>
              <w:top w:val="single" w:sz="4" w:space="0" w:color="ADD6EA"/>
              <w:left w:val="nil"/>
              <w:bottom w:val="nil"/>
              <w:right w:val="nil"/>
            </w:tcBorders>
            <w:shd w:val="clear" w:color="000000" w:fill="FFFFFF"/>
            <w:vAlign w:val="center"/>
            <w:hideMark/>
          </w:tcPr>
          <w:p w14:paraId="1E18F995"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-40</w:t>
            </w:r>
          </w:p>
        </w:tc>
        <w:tc>
          <w:tcPr>
            <w:tcW w:w="567" w:type="dxa"/>
            <w:tcBorders>
              <w:top w:val="single" w:sz="4" w:space="0" w:color="ADD6EA"/>
              <w:left w:val="nil"/>
              <w:bottom w:val="nil"/>
              <w:right w:val="nil"/>
            </w:tcBorders>
            <w:shd w:val="clear" w:color="000000" w:fill="FFFFFF"/>
            <w:vAlign w:val="center"/>
            <w:hideMark/>
          </w:tcPr>
          <w:p w14:paraId="3F2B8945"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-8</w:t>
            </w:r>
          </w:p>
        </w:tc>
        <w:tc>
          <w:tcPr>
            <w:tcW w:w="567" w:type="dxa"/>
            <w:tcBorders>
              <w:top w:val="single" w:sz="4" w:space="0" w:color="ADD6EA"/>
              <w:left w:val="nil"/>
              <w:bottom w:val="nil"/>
              <w:right w:val="nil"/>
            </w:tcBorders>
            <w:shd w:val="clear" w:color="000000" w:fill="FFFFFF"/>
            <w:vAlign w:val="center"/>
            <w:hideMark/>
          </w:tcPr>
          <w:p w14:paraId="043DE221"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w:t>
            </w:r>
          </w:p>
        </w:tc>
        <w:tc>
          <w:tcPr>
            <w:tcW w:w="567" w:type="dxa"/>
            <w:tcBorders>
              <w:top w:val="single" w:sz="4" w:space="0" w:color="ADD6EA"/>
              <w:left w:val="nil"/>
              <w:bottom w:val="nil"/>
              <w:right w:val="nil"/>
            </w:tcBorders>
            <w:shd w:val="clear" w:color="000000" w:fill="FFFFFF"/>
            <w:vAlign w:val="center"/>
            <w:hideMark/>
          </w:tcPr>
          <w:p w14:paraId="5518B918"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-20</w:t>
            </w:r>
          </w:p>
        </w:tc>
        <w:tc>
          <w:tcPr>
            <w:tcW w:w="567" w:type="dxa"/>
            <w:tcBorders>
              <w:top w:val="single" w:sz="4" w:space="0" w:color="ADD6EA"/>
              <w:left w:val="nil"/>
              <w:bottom w:val="nil"/>
              <w:right w:val="nil"/>
            </w:tcBorders>
            <w:shd w:val="clear" w:color="000000" w:fill="FFFFFF"/>
            <w:vAlign w:val="center"/>
            <w:hideMark/>
          </w:tcPr>
          <w:p w14:paraId="3081B4E5"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w:t>
            </w:r>
          </w:p>
        </w:tc>
        <w:tc>
          <w:tcPr>
            <w:tcW w:w="660" w:type="dxa"/>
            <w:tcBorders>
              <w:top w:val="single" w:sz="4" w:space="0" w:color="ADD6EA"/>
              <w:left w:val="nil"/>
              <w:bottom w:val="nil"/>
              <w:right w:val="nil"/>
            </w:tcBorders>
            <w:shd w:val="clear" w:color="000000" w:fill="FFFFFF"/>
            <w:vAlign w:val="center"/>
            <w:hideMark/>
          </w:tcPr>
          <w:p w14:paraId="7B059399"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90</w:t>
            </w:r>
          </w:p>
        </w:tc>
      </w:tr>
      <w:tr w:rsidR="00262AE7" w:rsidRPr="00262AE7" w14:paraId="1A0C2ED6" w14:textId="77777777" w:rsidTr="00FF16EF">
        <w:trPr>
          <w:trHeight w:val="319"/>
        </w:trPr>
        <w:tc>
          <w:tcPr>
            <w:tcW w:w="3160" w:type="dxa"/>
            <w:tcBorders>
              <w:top w:val="single" w:sz="4" w:space="0" w:color="ADD6EA"/>
              <w:left w:val="nil"/>
              <w:bottom w:val="nil"/>
              <w:right w:val="nil"/>
            </w:tcBorders>
            <w:shd w:val="clear" w:color="000000" w:fill="FFFFFF"/>
            <w:vAlign w:val="center"/>
            <w:hideMark/>
          </w:tcPr>
          <w:p w14:paraId="2D89FD90" w14:textId="34A96B6D" w:rsidR="00262AE7" w:rsidRPr="00262AE7" w:rsidRDefault="00262AE7" w:rsidP="00262AE7">
            <w:pPr>
              <w:tabs>
                <w:tab w:val="clear" w:pos="567"/>
              </w:tabs>
              <w:spacing w:before="0" w:line="240" w:lineRule="auto"/>
              <w:rPr>
                <w:rFonts w:eastAsia="Times New Roman" w:cs="Open Sans Light"/>
                <w:color w:val="000000"/>
                <w:sz w:val="16"/>
                <w:szCs w:val="16"/>
                <w:lang w:eastAsia="en-AU"/>
              </w:rPr>
            </w:pPr>
            <w:r w:rsidRPr="00262AE7">
              <w:rPr>
                <w:rFonts w:eastAsia="Times New Roman" w:cs="Open Sans Light"/>
                <w:color w:val="000000"/>
                <w:sz w:val="16"/>
                <w:szCs w:val="16"/>
                <w:lang w:eastAsia="en-AU"/>
              </w:rPr>
              <w:t>Cross</w:t>
            </w:r>
            <w:r w:rsidR="00EB29B3">
              <w:rPr>
                <w:rFonts w:eastAsia="Times New Roman" w:cs="Open Sans Light"/>
                <w:color w:val="000000"/>
                <w:sz w:val="16"/>
                <w:szCs w:val="16"/>
                <w:lang w:eastAsia="en-AU"/>
              </w:rPr>
              <w:t>-</w:t>
            </w:r>
            <w:r w:rsidRPr="00262AE7">
              <w:rPr>
                <w:rFonts w:eastAsia="Times New Roman" w:cs="Open Sans Light"/>
                <w:color w:val="000000"/>
                <w:sz w:val="16"/>
                <w:szCs w:val="16"/>
                <w:lang w:eastAsia="en-AU"/>
              </w:rPr>
              <w:t>border</w:t>
            </w:r>
          </w:p>
        </w:tc>
        <w:tc>
          <w:tcPr>
            <w:tcW w:w="567" w:type="dxa"/>
            <w:tcBorders>
              <w:top w:val="single" w:sz="4" w:space="0" w:color="ADD6EA"/>
              <w:left w:val="nil"/>
              <w:bottom w:val="nil"/>
              <w:right w:val="nil"/>
            </w:tcBorders>
            <w:shd w:val="clear" w:color="000000" w:fill="FFFFFF"/>
            <w:vAlign w:val="center"/>
            <w:hideMark/>
          </w:tcPr>
          <w:p w14:paraId="21D142FF"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-10</w:t>
            </w:r>
          </w:p>
        </w:tc>
        <w:tc>
          <w:tcPr>
            <w:tcW w:w="567" w:type="dxa"/>
            <w:tcBorders>
              <w:top w:val="single" w:sz="4" w:space="0" w:color="ADD6EA"/>
              <w:left w:val="nil"/>
              <w:bottom w:val="nil"/>
              <w:right w:val="nil"/>
            </w:tcBorders>
            <w:shd w:val="clear" w:color="000000" w:fill="FFFFFF"/>
            <w:vAlign w:val="center"/>
            <w:hideMark/>
          </w:tcPr>
          <w:p w14:paraId="740407A0"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0</w:t>
            </w:r>
          </w:p>
        </w:tc>
        <w:tc>
          <w:tcPr>
            <w:tcW w:w="567" w:type="dxa"/>
            <w:tcBorders>
              <w:top w:val="single" w:sz="4" w:space="0" w:color="ADD6EA"/>
              <w:left w:val="nil"/>
              <w:bottom w:val="nil"/>
              <w:right w:val="nil"/>
            </w:tcBorders>
            <w:shd w:val="clear" w:color="000000" w:fill="FFFFFF"/>
            <w:vAlign w:val="center"/>
            <w:hideMark/>
          </w:tcPr>
          <w:p w14:paraId="59A580E8"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0</w:t>
            </w:r>
          </w:p>
        </w:tc>
        <w:tc>
          <w:tcPr>
            <w:tcW w:w="567" w:type="dxa"/>
            <w:tcBorders>
              <w:top w:val="single" w:sz="4" w:space="0" w:color="ADD6EA"/>
              <w:left w:val="nil"/>
              <w:bottom w:val="nil"/>
              <w:right w:val="nil"/>
            </w:tcBorders>
            <w:shd w:val="clear" w:color="000000" w:fill="FFFFFF"/>
            <w:vAlign w:val="center"/>
            <w:hideMark/>
          </w:tcPr>
          <w:p w14:paraId="3D4F20D1"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0</w:t>
            </w:r>
          </w:p>
        </w:tc>
        <w:tc>
          <w:tcPr>
            <w:tcW w:w="567" w:type="dxa"/>
            <w:tcBorders>
              <w:top w:val="single" w:sz="4" w:space="0" w:color="ADD6EA"/>
              <w:left w:val="nil"/>
              <w:bottom w:val="nil"/>
              <w:right w:val="nil"/>
            </w:tcBorders>
            <w:shd w:val="clear" w:color="000000" w:fill="FFFFFF"/>
            <w:vAlign w:val="center"/>
            <w:hideMark/>
          </w:tcPr>
          <w:p w14:paraId="1FAAD848"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0</w:t>
            </w:r>
          </w:p>
        </w:tc>
        <w:tc>
          <w:tcPr>
            <w:tcW w:w="567" w:type="dxa"/>
            <w:tcBorders>
              <w:top w:val="single" w:sz="4" w:space="0" w:color="ADD6EA"/>
              <w:left w:val="nil"/>
              <w:bottom w:val="nil"/>
              <w:right w:val="nil"/>
            </w:tcBorders>
            <w:shd w:val="clear" w:color="000000" w:fill="FFFFFF"/>
            <w:vAlign w:val="center"/>
            <w:hideMark/>
          </w:tcPr>
          <w:p w14:paraId="7837FA46"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0</w:t>
            </w:r>
          </w:p>
        </w:tc>
        <w:tc>
          <w:tcPr>
            <w:tcW w:w="567" w:type="dxa"/>
            <w:tcBorders>
              <w:top w:val="single" w:sz="4" w:space="0" w:color="ADD6EA"/>
              <w:left w:val="nil"/>
              <w:bottom w:val="nil"/>
              <w:right w:val="nil"/>
            </w:tcBorders>
            <w:shd w:val="clear" w:color="000000" w:fill="FFFFFF"/>
            <w:vAlign w:val="center"/>
            <w:hideMark/>
          </w:tcPr>
          <w:p w14:paraId="16895182"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10</w:t>
            </w:r>
          </w:p>
        </w:tc>
        <w:tc>
          <w:tcPr>
            <w:tcW w:w="567" w:type="dxa"/>
            <w:tcBorders>
              <w:top w:val="single" w:sz="4" w:space="0" w:color="ADD6EA"/>
              <w:left w:val="nil"/>
              <w:bottom w:val="nil"/>
              <w:right w:val="nil"/>
            </w:tcBorders>
            <w:shd w:val="clear" w:color="000000" w:fill="FFFFFF"/>
            <w:vAlign w:val="center"/>
            <w:hideMark/>
          </w:tcPr>
          <w:p w14:paraId="2D08A84B"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402D0456"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10</w:t>
            </w:r>
          </w:p>
        </w:tc>
      </w:tr>
      <w:tr w:rsidR="00262AE7" w:rsidRPr="00262AE7" w14:paraId="02D5333B" w14:textId="77777777" w:rsidTr="00FF16EF">
        <w:trPr>
          <w:trHeight w:val="319"/>
        </w:trPr>
        <w:tc>
          <w:tcPr>
            <w:tcW w:w="3160" w:type="dxa"/>
            <w:tcBorders>
              <w:top w:val="single" w:sz="4" w:space="0" w:color="ADD6EA"/>
              <w:left w:val="nil"/>
              <w:bottom w:val="nil"/>
              <w:right w:val="nil"/>
            </w:tcBorders>
            <w:shd w:val="clear" w:color="000000" w:fill="FFFFFF"/>
            <w:vAlign w:val="center"/>
            <w:hideMark/>
          </w:tcPr>
          <w:p w14:paraId="606D882E" w14:textId="77777777" w:rsidR="00262AE7" w:rsidRPr="00262AE7" w:rsidRDefault="00262AE7" w:rsidP="00262AE7">
            <w:pPr>
              <w:tabs>
                <w:tab w:val="clear" w:pos="567"/>
              </w:tabs>
              <w:spacing w:before="0" w:line="240" w:lineRule="auto"/>
              <w:rPr>
                <w:rFonts w:eastAsia="Times New Roman" w:cs="Open Sans Light"/>
                <w:color w:val="000000"/>
                <w:sz w:val="16"/>
                <w:szCs w:val="16"/>
                <w:lang w:eastAsia="en-AU"/>
              </w:rPr>
            </w:pPr>
            <w:r w:rsidRPr="00262AE7">
              <w:rPr>
                <w:rFonts w:eastAsia="Times New Roman" w:cs="Open Sans Light"/>
                <w:color w:val="000000"/>
                <w:sz w:val="16"/>
                <w:szCs w:val="16"/>
                <w:lang w:eastAsia="en-AU"/>
              </w:rPr>
              <w:t>Non-hospital patient transport</w:t>
            </w:r>
          </w:p>
        </w:tc>
        <w:tc>
          <w:tcPr>
            <w:tcW w:w="567" w:type="dxa"/>
            <w:tcBorders>
              <w:top w:val="single" w:sz="4" w:space="0" w:color="ADD6EA"/>
              <w:left w:val="nil"/>
              <w:bottom w:val="nil"/>
              <w:right w:val="nil"/>
            </w:tcBorders>
            <w:shd w:val="clear" w:color="000000" w:fill="FFFFFF"/>
            <w:vAlign w:val="center"/>
            <w:hideMark/>
          </w:tcPr>
          <w:p w14:paraId="650E2EA4"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-58</w:t>
            </w:r>
          </w:p>
        </w:tc>
        <w:tc>
          <w:tcPr>
            <w:tcW w:w="567" w:type="dxa"/>
            <w:tcBorders>
              <w:top w:val="single" w:sz="4" w:space="0" w:color="ADD6EA"/>
              <w:left w:val="nil"/>
              <w:bottom w:val="nil"/>
              <w:right w:val="nil"/>
            </w:tcBorders>
            <w:shd w:val="clear" w:color="000000" w:fill="FFFFFF"/>
            <w:vAlign w:val="center"/>
            <w:hideMark/>
          </w:tcPr>
          <w:p w14:paraId="6C2032ED"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31</w:t>
            </w:r>
          </w:p>
        </w:tc>
        <w:tc>
          <w:tcPr>
            <w:tcW w:w="567" w:type="dxa"/>
            <w:tcBorders>
              <w:top w:val="single" w:sz="4" w:space="0" w:color="ADD6EA"/>
              <w:left w:val="nil"/>
              <w:bottom w:val="nil"/>
              <w:right w:val="nil"/>
            </w:tcBorders>
            <w:shd w:val="clear" w:color="000000" w:fill="FFFFFF"/>
            <w:vAlign w:val="center"/>
            <w:hideMark/>
          </w:tcPr>
          <w:p w14:paraId="2A4E96C6"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25</w:t>
            </w:r>
          </w:p>
        </w:tc>
        <w:tc>
          <w:tcPr>
            <w:tcW w:w="567" w:type="dxa"/>
            <w:tcBorders>
              <w:top w:val="single" w:sz="4" w:space="0" w:color="ADD6EA"/>
              <w:left w:val="nil"/>
              <w:bottom w:val="nil"/>
              <w:right w:val="nil"/>
            </w:tcBorders>
            <w:shd w:val="clear" w:color="000000" w:fill="FFFFFF"/>
            <w:vAlign w:val="center"/>
            <w:hideMark/>
          </w:tcPr>
          <w:p w14:paraId="23FAFA54"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-14</w:t>
            </w:r>
          </w:p>
        </w:tc>
        <w:tc>
          <w:tcPr>
            <w:tcW w:w="567" w:type="dxa"/>
            <w:tcBorders>
              <w:top w:val="single" w:sz="4" w:space="0" w:color="ADD6EA"/>
              <w:left w:val="nil"/>
              <w:bottom w:val="nil"/>
              <w:right w:val="nil"/>
            </w:tcBorders>
            <w:shd w:val="clear" w:color="000000" w:fill="FFFFFF"/>
            <w:vAlign w:val="center"/>
            <w:hideMark/>
          </w:tcPr>
          <w:p w14:paraId="6E623E88"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-12</w:t>
            </w:r>
          </w:p>
        </w:tc>
        <w:tc>
          <w:tcPr>
            <w:tcW w:w="567" w:type="dxa"/>
            <w:tcBorders>
              <w:top w:val="single" w:sz="4" w:space="0" w:color="ADD6EA"/>
              <w:left w:val="nil"/>
              <w:bottom w:val="nil"/>
              <w:right w:val="nil"/>
            </w:tcBorders>
            <w:shd w:val="clear" w:color="000000" w:fill="FFFFFF"/>
            <w:vAlign w:val="center"/>
            <w:hideMark/>
          </w:tcPr>
          <w:p w14:paraId="4A05D553"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16</w:t>
            </w:r>
          </w:p>
        </w:tc>
        <w:tc>
          <w:tcPr>
            <w:tcW w:w="567" w:type="dxa"/>
            <w:tcBorders>
              <w:top w:val="single" w:sz="4" w:space="0" w:color="ADD6EA"/>
              <w:left w:val="nil"/>
              <w:bottom w:val="nil"/>
              <w:right w:val="nil"/>
            </w:tcBorders>
            <w:shd w:val="clear" w:color="000000" w:fill="FFFFFF"/>
            <w:vAlign w:val="center"/>
            <w:hideMark/>
          </w:tcPr>
          <w:p w14:paraId="5CD5BCF9"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w:t>
            </w:r>
          </w:p>
        </w:tc>
        <w:tc>
          <w:tcPr>
            <w:tcW w:w="567" w:type="dxa"/>
            <w:tcBorders>
              <w:top w:val="single" w:sz="4" w:space="0" w:color="ADD6EA"/>
              <w:left w:val="nil"/>
              <w:bottom w:val="nil"/>
              <w:right w:val="nil"/>
            </w:tcBorders>
            <w:shd w:val="clear" w:color="000000" w:fill="FFFFFF"/>
            <w:vAlign w:val="center"/>
            <w:hideMark/>
          </w:tcPr>
          <w:p w14:paraId="0EBF84E9"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10</w:t>
            </w:r>
          </w:p>
        </w:tc>
        <w:tc>
          <w:tcPr>
            <w:tcW w:w="660" w:type="dxa"/>
            <w:tcBorders>
              <w:top w:val="single" w:sz="4" w:space="0" w:color="ADD6EA"/>
              <w:left w:val="nil"/>
              <w:bottom w:val="nil"/>
              <w:right w:val="nil"/>
            </w:tcBorders>
            <w:shd w:val="clear" w:color="000000" w:fill="FFFFFF"/>
            <w:vAlign w:val="center"/>
            <w:hideMark/>
          </w:tcPr>
          <w:p w14:paraId="645A9A10"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84</w:t>
            </w:r>
          </w:p>
        </w:tc>
      </w:tr>
      <w:tr w:rsidR="00262AE7" w:rsidRPr="00262AE7" w14:paraId="7F53E208" w14:textId="77777777" w:rsidTr="00FF16EF">
        <w:trPr>
          <w:trHeight w:val="319"/>
        </w:trPr>
        <w:tc>
          <w:tcPr>
            <w:tcW w:w="3160" w:type="dxa"/>
            <w:tcBorders>
              <w:top w:val="single" w:sz="4" w:space="0" w:color="ADD6EA"/>
              <w:left w:val="nil"/>
              <w:bottom w:val="nil"/>
              <w:right w:val="nil"/>
            </w:tcBorders>
            <w:shd w:val="clear" w:color="000000" w:fill="D6E7F0"/>
            <w:vAlign w:val="center"/>
            <w:hideMark/>
          </w:tcPr>
          <w:p w14:paraId="481B02A0" w14:textId="77777777" w:rsidR="00262AE7" w:rsidRPr="00262AE7" w:rsidRDefault="00262AE7" w:rsidP="00262AE7">
            <w:pPr>
              <w:tabs>
                <w:tab w:val="clear" w:pos="567"/>
              </w:tabs>
              <w:spacing w:before="0" w:line="240" w:lineRule="auto"/>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Total</w:t>
            </w:r>
          </w:p>
        </w:tc>
        <w:tc>
          <w:tcPr>
            <w:tcW w:w="567" w:type="dxa"/>
            <w:tcBorders>
              <w:top w:val="single" w:sz="4" w:space="0" w:color="ADD6EA"/>
              <w:left w:val="nil"/>
              <w:bottom w:val="nil"/>
              <w:right w:val="nil"/>
            </w:tcBorders>
            <w:shd w:val="clear" w:color="000000" w:fill="D6E7F0"/>
            <w:vAlign w:val="center"/>
            <w:hideMark/>
          </w:tcPr>
          <w:p w14:paraId="4F4083B3"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280</w:t>
            </w:r>
          </w:p>
        </w:tc>
        <w:tc>
          <w:tcPr>
            <w:tcW w:w="567" w:type="dxa"/>
            <w:tcBorders>
              <w:top w:val="single" w:sz="4" w:space="0" w:color="ADD6EA"/>
              <w:left w:val="nil"/>
              <w:bottom w:val="nil"/>
              <w:right w:val="nil"/>
            </w:tcBorders>
            <w:shd w:val="clear" w:color="000000" w:fill="D6E7F0"/>
            <w:vAlign w:val="center"/>
            <w:hideMark/>
          </w:tcPr>
          <w:p w14:paraId="7909571F"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469</w:t>
            </w:r>
          </w:p>
        </w:tc>
        <w:tc>
          <w:tcPr>
            <w:tcW w:w="567" w:type="dxa"/>
            <w:tcBorders>
              <w:top w:val="single" w:sz="4" w:space="0" w:color="ADD6EA"/>
              <w:left w:val="nil"/>
              <w:bottom w:val="nil"/>
              <w:right w:val="nil"/>
            </w:tcBorders>
            <w:shd w:val="clear" w:color="000000" w:fill="D6E7F0"/>
            <w:vAlign w:val="center"/>
            <w:hideMark/>
          </w:tcPr>
          <w:p w14:paraId="76602C15"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-398</w:t>
            </w:r>
          </w:p>
        </w:tc>
        <w:tc>
          <w:tcPr>
            <w:tcW w:w="567" w:type="dxa"/>
            <w:tcBorders>
              <w:top w:val="single" w:sz="4" w:space="0" w:color="ADD6EA"/>
              <w:left w:val="nil"/>
              <w:bottom w:val="nil"/>
              <w:right w:val="nil"/>
            </w:tcBorders>
            <w:shd w:val="clear" w:color="000000" w:fill="D6E7F0"/>
            <w:vAlign w:val="center"/>
            <w:hideMark/>
          </w:tcPr>
          <w:p w14:paraId="62880A27"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-159</w:t>
            </w:r>
          </w:p>
        </w:tc>
        <w:tc>
          <w:tcPr>
            <w:tcW w:w="567" w:type="dxa"/>
            <w:tcBorders>
              <w:top w:val="single" w:sz="4" w:space="0" w:color="ADD6EA"/>
              <w:left w:val="nil"/>
              <w:bottom w:val="nil"/>
              <w:right w:val="nil"/>
            </w:tcBorders>
            <w:shd w:val="clear" w:color="000000" w:fill="D6E7F0"/>
            <w:vAlign w:val="center"/>
            <w:hideMark/>
          </w:tcPr>
          <w:p w14:paraId="17FA62FF"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-104</w:t>
            </w:r>
          </w:p>
        </w:tc>
        <w:tc>
          <w:tcPr>
            <w:tcW w:w="567" w:type="dxa"/>
            <w:tcBorders>
              <w:top w:val="single" w:sz="4" w:space="0" w:color="ADD6EA"/>
              <w:left w:val="nil"/>
              <w:bottom w:val="nil"/>
              <w:right w:val="nil"/>
            </w:tcBorders>
            <w:shd w:val="clear" w:color="000000" w:fill="D6E7F0"/>
            <w:vAlign w:val="center"/>
            <w:hideMark/>
          </w:tcPr>
          <w:p w14:paraId="7BB48888"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-68</w:t>
            </w:r>
          </w:p>
        </w:tc>
        <w:tc>
          <w:tcPr>
            <w:tcW w:w="567" w:type="dxa"/>
            <w:tcBorders>
              <w:top w:val="single" w:sz="4" w:space="0" w:color="ADD6EA"/>
              <w:left w:val="nil"/>
              <w:bottom w:val="nil"/>
              <w:right w:val="nil"/>
            </w:tcBorders>
            <w:shd w:val="clear" w:color="000000" w:fill="D6E7F0"/>
            <w:vAlign w:val="center"/>
            <w:hideMark/>
          </w:tcPr>
          <w:p w14:paraId="57E6B693"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19</w:t>
            </w:r>
          </w:p>
        </w:tc>
        <w:tc>
          <w:tcPr>
            <w:tcW w:w="567" w:type="dxa"/>
            <w:tcBorders>
              <w:top w:val="single" w:sz="4" w:space="0" w:color="ADD6EA"/>
              <w:left w:val="nil"/>
              <w:bottom w:val="nil"/>
              <w:right w:val="nil"/>
            </w:tcBorders>
            <w:shd w:val="clear" w:color="000000" w:fill="D6E7F0"/>
            <w:vAlign w:val="center"/>
            <w:hideMark/>
          </w:tcPr>
          <w:p w14:paraId="48F71844"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-39</w:t>
            </w:r>
          </w:p>
        </w:tc>
        <w:tc>
          <w:tcPr>
            <w:tcW w:w="660" w:type="dxa"/>
            <w:tcBorders>
              <w:top w:val="single" w:sz="4" w:space="0" w:color="ADD6EA"/>
              <w:left w:val="nil"/>
              <w:bottom w:val="nil"/>
              <w:right w:val="nil"/>
            </w:tcBorders>
            <w:shd w:val="clear" w:color="000000" w:fill="D6E7F0"/>
            <w:vAlign w:val="center"/>
            <w:hideMark/>
          </w:tcPr>
          <w:p w14:paraId="4A6AD400"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768</w:t>
            </w:r>
          </w:p>
        </w:tc>
      </w:tr>
      <w:tr w:rsidR="00262AE7" w:rsidRPr="00262AE7" w14:paraId="15A23819" w14:textId="77777777" w:rsidTr="00FF16EF">
        <w:trPr>
          <w:trHeight w:val="259"/>
        </w:trPr>
        <w:tc>
          <w:tcPr>
            <w:tcW w:w="3160" w:type="dxa"/>
            <w:tcBorders>
              <w:top w:val="single" w:sz="4" w:space="0" w:color="ADD6EA"/>
              <w:left w:val="nil"/>
              <w:bottom w:val="nil"/>
              <w:right w:val="nil"/>
            </w:tcBorders>
            <w:shd w:val="clear" w:color="000000" w:fill="B6D5E4"/>
            <w:vAlign w:val="center"/>
            <w:hideMark/>
          </w:tcPr>
          <w:p w14:paraId="50134B89" w14:textId="77777777" w:rsidR="00262AE7" w:rsidRPr="00262AE7" w:rsidRDefault="00262AE7" w:rsidP="00262AE7">
            <w:pPr>
              <w:tabs>
                <w:tab w:val="clear" w:pos="567"/>
              </w:tabs>
              <w:spacing w:before="0" w:line="240" w:lineRule="auto"/>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 </w:t>
            </w:r>
          </w:p>
        </w:tc>
        <w:tc>
          <w:tcPr>
            <w:tcW w:w="567" w:type="dxa"/>
            <w:tcBorders>
              <w:top w:val="single" w:sz="4" w:space="0" w:color="ADD6EA"/>
              <w:left w:val="nil"/>
              <w:bottom w:val="nil"/>
              <w:right w:val="nil"/>
            </w:tcBorders>
            <w:shd w:val="clear" w:color="000000" w:fill="B6D5E4"/>
            <w:vAlign w:val="center"/>
            <w:hideMark/>
          </w:tcPr>
          <w:p w14:paraId="0F459FB6"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$pc</w:t>
            </w:r>
          </w:p>
        </w:tc>
        <w:tc>
          <w:tcPr>
            <w:tcW w:w="567" w:type="dxa"/>
            <w:tcBorders>
              <w:top w:val="single" w:sz="4" w:space="0" w:color="ADD6EA"/>
              <w:left w:val="nil"/>
              <w:bottom w:val="nil"/>
              <w:right w:val="nil"/>
            </w:tcBorders>
            <w:shd w:val="clear" w:color="000000" w:fill="B6D5E4"/>
            <w:vAlign w:val="center"/>
            <w:hideMark/>
          </w:tcPr>
          <w:p w14:paraId="7D0CD3E4"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$pc</w:t>
            </w:r>
          </w:p>
        </w:tc>
        <w:tc>
          <w:tcPr>
            <w:tcW w:w="567" w:type="dxa"/>
            <w:tcBorders>
              <w:top w:val="single" w:sz="4" w:space="0" w:color="ADD6EA"/>
              <w:left w:val="nil"/>
              <w:bottom w:val="nil"/>
              <w:right w:val="nil"/>
            </w:tcBorders>
            <w:shd w:val="clear" w:color="000000" w:fill="B6D5E4"/>
            <w:vAlign w:val="center"/>
            <w:hideMark/>
          </w:tcPr>
          <w:p w14:paraId="7029DCAB"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$pc</w:t>
            </w:r>
          </w:p>
        </w:tc>
        <w:tc>
          <w:tcPr>
            <w:tcW w:w="567" w:type="dxa"/>
            <w:tcBorders>
              <w:top w:val="single" w:sz="4" w:space="0" w:color="ADD6EA"/>
              <w:left w:val="nil"/>
              <w:bottom w:val="nil"/>
              <w:right w:val="nil"/>
            </w:tcBorders>
            <w:shd w:val="clear" w:color="000000" w:fill="B6D5E4"/>
            <w:vAlign w:val="center"/>
            <w:hideMark/>
          </w:tcPr>
          <w:p w14:paraId="11037C4B"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$pc</w:t>
            </w:r>
          </w:p>
        </w:tc>
        <w:tc>
          <w:tcPr>
            <w:tcW w:w="567" w:type="dxa"/>
            <w:tcBorders>
              <w:top w:val="single" w:sz="4" w:space="0" w:color="ADD6EA"/>
              <w:left w:val="nil"/>
              <w:bottom w:val="nil"/>
              <w:right w:val="nil"/>
            </w:tcBorders>
            <w:shd w:val="clear" w:color="000000" w:fill="B6D5E4"/>
            <w:vAlign w:val="center"/>
            <w:hideMark/>
          </w:tcPr>
          <w:p w14:paraId="4DC3F993"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$pc</w:t>
            </w:r>
          </w:p>
        </w:tc>
        <w:tc>
          <w:tcPr>
            <w:tcW w:w="567" w:type="dxa"/>
            <w:tcBorders>
              <w:top w:val="single" w:sz="4" w:space="0" w:color="ADD6EA"/>
              <w:left w:val="nil"/>
              <w:bottom w:val="nil"/>
              <w:right w:val="nil"/>
            </w:tcBorders>
            <w:shd w:val="clear" w:color="000000" w:fill="B6D5E4"/>
            <w:vAlign w:val="center"/>
            <w:hideMark/>
          </w:tcPr>
          <w:p w14:paraId="724A5C4F"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$pc</w:t>
            </w:r>
          </w:p>
        </w:tc>
        <w:tc>
          <w:tcPr>
            <w:tcW w:w="567" w:type="dxa"/>
            <w:tcBorders>
              <w:top w:val="single" w:sz="4" w:space="0" w:color="ADD6EA"/>
              <w:left w:val="nil"/>
              <w:bottom w:val="nil"/>
              <w:right w:val="nil"/>
            </w:tcBorders>
            <w:shd w:val="clear" w:color="000000" w:fill="B6D5E4"/>
            <w:vAlign w:val="center"/>
            <w:hideMark/>
          </w:tcPr>
          <w:p w14:paraId="29C42FB9"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$pc</w:t>
            </w:r>
          </w:p>
        </w:tc>
        <w:tc>
          <w:tcPr>
            <w:tcW w:w="567" w:type="dxa"/>
            <w:tcBorders>
              <w:top w:val="single" w:sz="4" w:space="0" w:color="ADD6EA"/>
              <w:left w:val="nil"/>
              <w:bottom w:val="nil"/>
              <w:right w:val="nil"/>
            </w:tcBorders>
            <w:shd w:val="clear" w:color="000000" w:fill="B6D5E4"/>
            <w:vAlign w:val="center"/>
            <w:hideMark/>
          </w:tcPr>
          <w:p w14:paraId="66678AC5"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2D439B1B"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$pc</w:t>
            </w:r>
          </w:p>
        </w:tc>
      </w:tr>
      <w:tr w:rsidR="00262AE7" w:rsidRPr="00262AE7" w14:paraId="7C67554E" w14:textId="77777777" w:rsidTr="00FF16EF">
        <w:trPr>
          <w:trHeight w:val="319"/>
        </w:trPr>
        <w:tc>
          <w:tcPr>
            <w:tcW w:w="3160" w:type="dxa"/>
            <w:tcBorders>
              <w:top w:val="single" w:sz="4" w:space="0" w:color="ADD6EA"/>
              <w:left w:val="nil"/>
              <w:bottom w:val="nil"/>
              <w:right w:val="nil"/>
            </w:tcBorders>
            <w:shd w:val="clear" w:color="000000" w:fill="FFFFFF"/>
            <w:vAlign w:val="center"/>
            <w:hideMark/>
          </w:tcPr>
          <w:p w14:paraId="0B4ED008" w14:textId="77777777" w:rsidR="00262AE7" w:rsidRPr="00262AE7" w:rsidRDefault="00262AE7" w:rsidP="00262AE7">
            <w:pPr>
              <w:tabs>
                <w:tab w:val="clear" w:pos="567"/>
              </w:tabs>
              <w:spacing w:before="0" w:line="240" w:lineRule="auto"/>
              <w:rPr>
                <w:rFonts w:eastAsia="Times New Roman" w:cs="Open Sans Light"/>
                <w:color w:val="000000"/>
                <w:sz w:val="16"/>
                <w:szCs w:val="16"/>
                <w:lang w:eastAsia="en-AU"/>
              </w:rPr>
            </w:pPr>
            <w:r w:rsidRPr="00262AE7">
              <w:rPr>
                <w:rFonts w:eastAsia="Times New Roman" w:cs="Open Sans Light"/>
                <w:color w:val="000000"/>
                <w:sz w:val="16"/>
                <w:szCs w:val="16"/>
                <w:lang w:eastAsia="en-AU"/>
              </w:rPr>
              <w:t>COVID-19 assessment</w:t>
            </w:r>
          </w:p>
        </w:tc>
        <w:tc>
          <w:tcPr>
            <w:tcW w:w="567" w:type="dxa"/>
            <w:tcBorders>
              <w:top w:val="single" w:sz="4" w:space="0" w:color="ADD6EA"/>
              <w:left w:val="nil"/>
              <w:bottom w:val="nil"/>
              <w:right w:val="nil"/>
            </w:tcBorders>
            <w:shd w:val="clear" w:color="000000" w:fill="FFFFFF"/>
            <w:vAlign w:val="center"/>
            <w:hideMark/>
          </w:tcPr>
          <w:p w14:paraId="698F782E"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24</w:t>
            </w:r>
          </w:p>
        </w:tc>
        <w:tc>
          <w:tcPr>
            <w:tcW w:w="567" w:type="dxa"/>
            <w:tcBorders>
              <w:top w:val="single" w:sz="4" w:space="0" w:color="ADD6EA"/>
              <w:left w:val="nil"/>
              <w:bottom w:val="nil"/>
              <w:right w:val="nil"/>
            </w:tcBorders>
            <w:shd w:val="clear" w:color="000000" w:fill="FFFFFF"/>
            <w:vAlign w:val="center"/>
            <w:hideMark/>
          </w:tcPr>
          <w:p w14:paraId="40025C2B"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41</w:t>
            </w:r>
          </w:p>
        </w:tc>
        <w:tc>
          <w:tcPr>
            <w:tcW w:w="567" w:type="dxa"/>
            <w:tcBorders>
              <w:top w:val="single" w:sz="4" w:space="0" w:color="ADD6EA"/>
              <w:left w:val="nil"/>
              <w:bottom w:val="nil"/>
              <w:right w:val="nil"/>
            </w:tcBorders>
            <w:shd w:val="clear" w:color="000000" w:fill="FFFFFF"/>
            <w:vAlign w:val="center"/>
            <w:hideMark/>
          </w:tcPr>
          <w:p w14:paraId="3596C732"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-57</w:t>
            </w:r>
          </w:p>
        </w:tc>
        <w:tc>
          <w:tcPr>
            <w:tcW w:w="567" w:type="dxa"/>
            <w:tcBorders>
              <w:top w:val="single" w:sz="4" w:space="0" w:color="ADD6EA"/>
              <w:left w:val="nil"/>
              <w:bottom w:val="nil"/>
              <w:right w:val="nil"/>
            </w:tcBorders>
            <w:shd w:val="clear" w:color="000000" w:fill="FFFFFF"/>
            <w:vAlign w:val="center"/>
            <w:hideMark/>
          </w:tcPr>
          <w:p w14:paraId="7464A061"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-15</w:t>
            </w:r>
          </w:p>
        </w:tc>
        <w:tc>
          <w:tcPr>
            <w:tcW w:w="567" w:type="dxa"/>
            <w:tcBorders>
              <w:top w:val="single" w:sz="4" w:space="0" w:color="ADD6EA"/>
              <w:left w:val="nil"/>
              <w:bottom w:val="nil"/>
              <w:right w:val="nil"/>
            </w:tcBorders>
            <w:shd w:val="clear" w:color="000000" w:fill="FFFFFF"/>
            <w:vAlign w:val="center"/>
            <w:hideMark/>
          </w:tcPr>
          <w:p w14:paraId="53699390"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-41</w:t>
            </w:r>
          </w:p>
        </w:tc>
        <w:tc>
          <w:tcPr>
            <w:tcW w:w="567" w:type="dxa"/>
            <w:tcBorders>
              <w:top w:val="single" w:sz="4" w:space="0" w:color="ADD6EA"/>
              <w:left w:val="nil"/>
              <w:bottom w:val="nil"/>
              <w:right w:val="nil"/>
            </w:tcBorders>
            <w:shd w:val="clear" w:color="000000" w:fill="FFFFFF"/>
            <w:vAlign w:val="center"/>
            <w:hideMark/>
          </w:tcPr>
          <w:p w14:paraId="144ECB90"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-40</w:t>
            </w:r>
          </w:p>
        </w:tc>
        <w:tc>
          <w:tcPr>
            <w:tcW w:w="567" w:type="dxa"/>
            <w:tcBorders>
              <w:top w:val="single" w:sz="4" w:space="0" w:color="ADD6EA"/>
              <w:left w:val="nil"/>
              <w:bottom w:val="nil"/>
              <w:right w:val="nil"/>
            </w:tcBorders>
            <w:shd w:val="clear" w:color="000000" w:fill="FFFFFF"/>
            <w:vAlign w:val="center"/>
            <w:hideMark/>
          </w:tcPr>
          <w:p w14:paraId="2DE41B65"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-7</w:t>
            </w:r>
          </w:p>
        </w:tc>
        <w:tc>
          <w:tcPr>
            <w:tcW w:w="567" w:type="dxa"/>
            <w:tcBorders>
              <w:top w:val="single" w:sz="4" w:space="0" w:color="ADD6EA"/>
              <w:left w:val="nil"/>
              <w:bottom w:val="nil"/>
              <w:right w:val="nil"/>
            </w:tcBorders>
            <w:shd w:val="clear" w:color="000000" w:fill="FFFFFF"/>
            <w:vAlign w:val="center"/>
            <w:hideMark/>
          </w:tcPr>
          <w:p w14:paraId="22FBC17E"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-109</w:t>
            </w:r>
          </w:p>
        </w:tc>
        <w:tc>
          <w:tcPr>
            <w:tcW w:w="660" w:type="dxa"/>
            <w:tcBorders>
              <w:top w:val="single" w:sz="4" w:space="0" w:color="ADD6EA"/>
              <w:left w:val="nil"/>
              <w:bottom w:val="nil"/>
              <w:right w:val="nil"/>
            </w:tcBorders>
            <w:shd w:val="clear" w:color="000000" w:fill="FFFFFF"/>
            <w:vAlign w:val="center"/>
            <w:hideMark/>
          </w:tcPr>
          <w:p w14:paraId="2F3AC369"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18</w:t>
            </w:r>
          </w:p>
        </w:tc>
      </w:tr>
      <w:tr w:rsidR="00262AE7" w:rsidRPr="00262AE7" w14:paraId="1C441A51" w14:textId="77777777" w:rsidTr="00FF16EF">
        <w:trPr>
          <w:trHeight w:val="319"/>
        </w:trPr>
        <w:tc>
          <w:tcPr>
            <w:tcW w:w="3160" w:type="dxa"/>
            <w:tcBorders>
              <w:top w:val="single" w:sz="4" w:space="0" w:color="ADD6EA"/>
              <w:left w:val="nil"/>
              <w:bottom w:val="nil"/>
              <w:right w:val="nil"/>
            </w:tcBorders>
            <w:shd w:val="clear" w:color="000000" w:fill="FFFFFF"/>
            <w:vAlign w:val="center"/>
            <w:hideMark/>
          </w:tcPr>
          <w:p w14:paraId="23407A16" w14:textId="77777777" w:rsidR="00262AE7" w:rsidRPr="00262AE7" w:rsidRDefault="00262AE7" w:rsidP="00262AE7">
            <w:pPr>
              <w:tabs>
                <w:tab w:val="clear" w:pos="567"/>
              </w:tabs>
              <w:spacing w:before="0" w:line="240" w:lineRule="auto"/>
              <w:rPr>
                <w:rFonts w:eastAsia="Times New Roman" w:cs="Open Sans Light"/>
                <w:color w:val="000000"/>
                <w:sz w:val="16"/>
                <w:szCs w:val="16"/>
                <w:lang w:eastAsia="en-AU"/>
              </w:rPr>
            </w:pPr>
            <w:r w:rsidRPr="00262AE7">
              <w:rPr>
                <w:rFonts w:eastAsia="Times New Roman" w:cs="Open Sans Light"/>
                <w:color w:val="000000"/>
                <w:sz w:val="16"/>
                <w:szCs w:val="16"/>
                <w:lang w:eastAsia="en-AU"/>
              </w:rPr>
              <w:t>Community health use indicator</w:t>
            </w:r>
          </w:p>
        </w:tc>
        <w:tc>
          <w:tcPr>
            <w:tcW w:w="567" w:type="dxa"/>
            <w:tcBorders>
              <w:top w:val="single" w:sz="4" w:space="0" w:color="ADD6EA"/>
              <w:left w:val="nil"/>
              <w:bottom w:val="nil"/>
              <w:right w:val="nil"/>
            </w:tcBorders>
            <w:shd w:val="clear" w:color="000000" w:fill="FFFFFF"/>
            <w:vAlign w:val="center"/>
            <w:hideMark/>
          </w:tcPr>
          <w:p w14:paraId="7B98756E"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5</w:t>
            </w:r>
          </w:p>
        </w:tc>
        <w:tc>
          <w:tcPr>
            <w:tcW w:w="567" w:type="dxa"/>
            <w:tcBorders>
              <w:top w:val="single" w:sz="4" w:space="0" w:color="ADD6EA"/>
              <w:left w:val="nil"/>
              <w:bottom w:val="nil"/>
              <w:right w:val="nil"/>
            </w:tcBorders>
            <w:shd w:val="clear" w:color="000000" w:fill="FFFFFF"/>
            <w:vAlign w:val="center"/>
            <w:hideMark/>
          </w:tcPr>
          <w:p w14:paraId="22DDFC31"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7</w:t>
            </w:r>
          </w:p>
        </w:tc>
        <w:tc>
          <w:tcPr>
            <w:tcW w:w="567" w:type="dxa"/>
            <w:tcBorders>
              <w:top w:val="single" w:sz="4" w:space="0" w:color="ADD6EA"/>
              <w:left w:val="nil"/>
              <w:bottom w:val="nil"/>
              <w:right w:val="nil"/>
            </w:tcBorders>
            <w:shd w:val="clear" w:color="000000" w:fill="FFFFFF"/>
            <w:vAlign w:val="center"/>
            <w:hideMark/>
          </w:tcPr>
          <w:p w14:paraId="3920A7C3"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w:t>
            </w:r>
          </w:p>
        </w:tc>
        <w:tc>
          <w:tcPr>
            <w:tcW w:w="567" w:type="dxa"/>
            <w:tcBorders>
              <w:top w:val="single" w:sz="4" w:space="0" w:color="ADD6EA"/>
              <w:left w:val="nil"/>
              <w:bottom w:val="nil"/>
              <w:right w:val="nil"/>
            </w:tcBorders>
            <w:shd w:val="clear" w:color="000000" w:fill="FFFFFF"/>
            <w:vAlign w:val="center"/>
            <w:hideMark/>
          </w:tcPr>
          <w:p w14:paraId="34D0B404"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-9</w:t>
            </w:r>
          </w:p>
        </w:tc>
        <w:tc>
          <w:tcPr>
            <w:tcW w:w="567" w:type="dxa"/>
            <w:tcBorders>
              <w:top w:val="single" w:sz="4" w:space="0" w:color="ADD6EA"/>
              <w:left w:val="nil"/>
              <w:bottom w:val="nil"/>
              <w:right w:val="nil"/>
            </w:tcBorders>
            <w:shd w:val="clear" w:color="000000" w:fill="FFFFFF"/>
            <w:vAlign w:val="center"/>
            <w:hideMark/>
          </w:tcPr>
          <w:p w14:paraId="4596BE91"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w:t>
            </w:r>
          </w:p>
        </w:tc>
        <w:tc>
          <w:tcPr>
            <w:tcW w:w="567" w:type="dxa"/>
            <w:tcBorders>
              <w:top w:val="single" w:sz="4" w:space="0" w:color="ADD6EA"/>
              <w:left w:val="nil"/>
              <w:bottom w:val="nil"/>
              <w:right w:val="nil"/>
            </w:tcBorders>
            <w:shd w:val="clear" w:color="000000" w:fill="FFFFFF"/>
            <w:vAlign w:val="center"/>
            <w:hideMark/>
          </w:tcPr>
          <w:p w14:paraId="43199498"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-19</w:t>
            </w:r>
          </w:p>
        </w:tc>
        <w:tc>
          <w:tcPr>
            <w:tcW w:w="567" w:type="dxa"/>
            <w:tcBorders>
              <w:top w:val="single" w:sz="4" w:space="0" w:color="ADD6EA"/>
              <w:left w:val="nil"/>
              <w:bottom w:val="nil"/>
              <w:right w:val="nil"/>
            </w:tcBorders>
            <w:shd w:val="clear" w:color="000000" w:fill="FFFFFF"/>
            <w:vAlign w:val="center"/>
            <w:hideMark/>
          </w:tcPr>
          <w:p w14:paraId="476675D7"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12</w:t>
            </w:r>
          </w:p>
        </w:tc>
        <w:tc>
          <w:tcPr>
            <w:tcW w:w="567" w:type="dxa"/>
            <w:tcBorders>
              <w:top w:val="single" w:sz="4" w:space="0" w:color="ADD6EA"/>
              <w:left w:val="nil"/>
              <w:bottom w:val="nil"/>
              <w:right w:val="nil"/>
            </w:tcBorders>
            <w:shd w:val="clear" w:color="000000" w:fill="FFFFFF"/>
            <w:vAlign w:val="center"/>
            <w:hideMark/>
          </w:tcPr>
          <w:p w14:paraId="40C3A527"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-130</w:t>
            </w:r>
          </w:p>
        </w:tc>
        <w:tc>
          <w:tcPr>
            <w:tcW w:w="660" w:type="dxa"/>
            <w:tcBorders>
              <w:top w:val="single" w:sz="4" w:space="0" w:color="ADD6EA"/>
              <w:left w:val="nil"/>
              <w:bottom w:val="nil"/>
              <w:right w:val="nil"/>
            </w:tcBorders>
            <w:shd w:val="clear" w:color="000000" w:fill="FFFFFF"/>
            <w:vAlign w:val="center"/>
            <w:hideMark/>
          </w:tcPr>
          <w:p w14:paraId="2CA3A029"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3</w:t>
            </w:r>
          </w:p>
        </w:tc>
      </w:tr>
      <w:tr w:rsidR="00262AE7" w:rsidRPr="00262AE7" w14:paraId="0707F5FA" w14:textId="77777777" w:rsidTr="00FF16EF">
        <w:trPr>
          <w:trHeight w:val="552"/>
        </w:trPr>
        <w:tc>
          <w:tcPr>
            <w:tcW w:w="3160" w:type="dxa"/>
            <w:tcBorders>
              <w:top w:val="single" w:sz="4" w:space="0" w:color="ADD6EA"/>
              <w:left w:val="nil"/>
              <w:bottom w:val="nil"/>
              <w:right w:val="nil"/>
            </w:tcBorders>
            <w:shd w:val="clear" w:color="000000" w:fill="FFFFFF"/>
            <w:vAlign w:val="center"/>
            <w:hideMark/>
          </w:tcPr>
          <w:p w14:paraId="7BB24B98" w14:textId="77777777" w:rsidR="00262AE7" w:rsidRPr="00262AE7" w:rsidRDefault="00262AE7" w:rsidP="00262AE7">
            <w:pPr>
              <w:tabs>
                <w:tab w:val="clear" w:pos="567"/>
              </w:tabs>
              <w:spacing w:before="0" w:line="240" w:lineRule="auto"/>
              <w:rPr>
                <w:rFonts w:eastAsia="Times New Roman" w:cs="Open Sans Light"/>
                <w:color w:val="000000"/>
                <w:sz w:val="16"/>
                <w:szCs w:val="16"/>
                <w:lang w:eastAsia="en-AU"/>
              </w:rPr>
            </w:pPr>
            <w:r w:rsidRPr="00262AE7">
              <w:rPr>
                <w:rFonts w:eastAsia="Times New Roman" w:cs="Open Sans Light"/>
                <w:color w:val="000000"/>
                <w:sz w:val="16"/>
                <w:szCs w:val="16"/>
                <w:lang w:eastAsia="en-AU"/>
              </w:rPr>
              <w:t>New ambulatory community mental health assessment</w:t>
            </w:r>
          </w:p>
        </w:tc>
        <w:tc>
          <w:tcPr>
            <w:tcW w:w="567" w:type="dxa"/>
            <w:tcBorders>
              <w:top w:val="single" w:sz="4" w:space="0" w:color="ADD6EA"/>
              <w:left w:val="nil"/>
              <w:bottom w:val="nil"/>
              <w:right w:val="nil"/>
            </w:tcBorders>
            <w:shd w:val="clear" w:color="000000" w:fill="FFFFFF"/>
            <w:vAlign w:val="center"/>
            <w:hideMark/>
          </w:tcPr>
          <w:p w14:paraId="020B12F0"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11</w:t>
            </w:r>
          </w:p>
        </w:tc>
        <w:tc>
          <w:tcPr>
            <w:tcW w:w="567" w:type="dxa"/>
            <w:tcBorders>
              <w:top w:val="single" w:sz="4" w:space="0" w:color="ADD6EA"/>
              <w:left w:val="nil"/>
              <w:bottom w:val="nil"/>
              <w:right w:val="nil"/>
            </w:tcBorders>
            <w:shd w:val="clear" w:color="000000" w:fill="FFFFFF"/>
            <w:vAlign w:val="center"/>
            <w:hideMark/>
          </w:tcPr>
          <w:p w14:paraId="7DE23975"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9</w:t>
            </w:r>
          </w:p>
        </w:tc>
        <w:tc>
          <w:tcPr>
            <w:tcW w:w="567" w:type="dxa"/>
            <w:tcBorders>
              <w:top w:val="single" w:sz="4" w:space="0" w:color="ADD6EA"/>
              <w:left w:val="nil"/>
              <w:bottom w:val="nil"/>
              <w:right w:val="nil"/>
            </w:tcBorders>
            <w:shd w:val="clear" w:color="000000" w:fill="FFFFFF"/>
            <w:vAlign w:val="center"/>
            <w:hideMark/>
          </w:tcPr>
          <w:p w14:paraId="6AC32727"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-7</w:t>
            </w:r>
          </w:p>
        </w:tc>
        <w:tc>
          <w:tcPr>
            <w:tcW w:w="567" w:type="dxa"/>
            <w:tcBorders>
              <w:top w:val="single" w:sz="4" w:space="0" w:color="ADD6EA"/>
              <w:left w:val="nil"/>
              <w:bottom w:val="nil"/>
              <w:right w:val="nil"/>
            </w:tcBorders>
            <w:shd w:val="clear" w:color="000000" w:fill="FFFFFF"/>
            <w:vAlign w:val="center"/>
            <w:hideMark/>
          </w:tcPr>
          <w:p w14:paraId="5BC1F86E"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-11</w:t>
            </w:r>
          </w:p>
        </w:tc>
        <w:tc>
          <w:tcPr>
            <w:tcW w:w="567" w:type="dxa"/>
            <w:tcBorders>
              <w:top w:val="single" w:sz="4" w:space="0" w:color="ADD6EA"/>
              <w:left w:val="nil"/>
              <w:bottom w:val="nil"/>
              <w:right w:val="nil"/>
            </w:tcBorders>
            <w:shd w:val="clear" w:color="000000" w:fill="FFFFFF"/>
            <w:vAlign w:val="center"/>
            <w:hideMark/>
          </w:tcPr>
          <w:p w14:paraId="3B647811"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-7</w:t>
            </w:r>
          </w:p>
        </w:tc>
        <w:tc>
          <w:tcPr>
            <w:tcW w:w="567" w:type="dxa"/>
            <w:tcBorders>
              <w:top w:val="single" w:sz="4" w:space="0" w:color="ADD6EA"/>
              <w:left w:val="nil"/>
              <w:bottom w:val="nil"/>
              <w:right w:val="nil"/>
            </w:tcBorders>
            <w:shd w:val="clear" w:color="000000" w:fill="FFFFFF"/>
            <w:vAlign w:val="center"/>
            <w:hideMark/>
          </w:tcPr>
          <w:p w14:paraId="185EF16E"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-61</w:t>
            </w:r>
          </w:p>
        </w:tc>
        <w:tc>
          <w:tcPr>
            <w:tcW w:w="567" w:type="dxa"/>
            <w:tcBorders>
              <w:top w:val="single" w:sz="4" w:space="0" w:color="ADD6EA"/>
              <w:left w:val="nil"/>
              <w:bottom w:val="nil"/>
              <w:right w:val="nil"/>
            </w:tcBorders>
            <w:shd w:val="clear" w:color="000000" w:fill="FFFFFF"/>
            <w:vAlign w:val="center"/>
            <w:hideMark/>
          </w:tcPr>
          <w:p w14:paraId="0D60C6DB"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30</w:t>
            </w:r>
          </w:p>
        </w:tc>
        <w:tc>
          <w:tcPr>
            <w:tcW w:w="567" w:type="dxa"/>
            <w:tcBorders>
              <w:top w:val="single" w:sz="4" w:space="0" w:color="ADD6EA"/>
              <w:left w:val="nil"/>
              <w:bottom w:val="nil"/>
              <w:right w:val="nil"/>
            </w:tcBorders>
            <w:shd w:val="clear" w:color="000000" w:fill="FFFFFF"/>
            <w:vAlign w:val="center"/>
            <w:hideMark/>
          </w:tcPr>
          <w:p w14:paraId="54B97462"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-200</w:t>
            </w:r>
          </w:p>
        </w:tc>
        <w:tc>
          <w:tcPr>
            <w:tcW w:w="660" w:type="dxa"/>
            <w:tcBorders>
              <w:top w:val="single" w:sz="4" w:space="0" w:color="ADD6EA"/>
              <w:left w:val="nil"/>
              <w:bottom w:val="nil"/>
              <w:right w:val="nil"/>
            </w:tcBorders>
            <w:shd w:val="clear" w:color="000000" w:fill="FFFFFF"/>
            <w:vAlign w:val="center"/>
            <w:hideMark/>
          </w:tcPr>
          <w:p w14:paraId="69B2AF9C"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6</w:t>
            </w:r>
          </w:p>
        </w:tc>
      </w:tr>
      <w:tr w:rsidR="00262AE7" w:rsidRPr="00262AE7" w14:paraId="1578979D" w14:textId="77777777" w:rsidTr="00FF16EF">
        <w:trPr>
          <w:trHeight w:val="319"/>
        </w:trPr>
        <w:tc>
          <w:tcPr>
            <w:tcW w:w="3160" w:type="dxa"/>
            <w:tcBorders>
              <w:top w:val="single" w:sz="4" w:space="0" w:color="ADD6EA"/>
              <w:left w:val="nil"/>
              <w:bottom w:val="nil"/>
              <w:right w:val="nil"/>
            </w:tcBorders>
            <w:shd w:val="clear" w:color="000000" w:fill="FFFFFF"/>
            <w:vAlign w:val="center"/>
            <w:hideMark/>
          </w:tcPr>
          <w:p w14:paraId="5774266D" w14:textId="77777777" w:rsidR="00262AE7" w:rsidRPr="00262AE7" w:rsidRDefault="00262AE7" w:rsidP="00262AE7">
            <w:pPr>
              <w:tabs>
                <w:tab w:val="clear" w:pos="567"/>
              </w:tabs>
              <w:spacing w:before="0" w:line="240" w:lineRule="auto"/>
              <w:rPr>
                <w:rFonts w:eastAsia="Times New Roman" w:cs="Open Sans Light"/>
                <w:color w:val="000000"/>
                <w:sz w:val="16"/>
                <w:szCs w:val="16"/>
                <w:lang w:eastAsia="en-AU"/>
              </w:rPr>
            </w:pPr>
            <w:r w:rsidRPr="00262AE7">
              <w:rPr>
                <w:rFonts w:eastAsia="Times New Roman" w:cs="Open Sans Light"/>
                <w:color w:val="000000"/>
                <w:sz w:val="16"/>
                <w:szCs w:val="16"/>
                <w:lang w:eastAsia="en-AU"/>
              </w:rPr>
              <w:t>Changes to non-state sector adjustment</w:t>
            </w:r>
          </w:p>
        </w:tc>
        <w:tc>
          <w:tcPr>
            <w:tcW w:w="567" w:type="dxa"/>
            <w:tcBorders>
              <w:top w:val="single" w:sz="4" w:space="0" w:color="ADD6EA"/>
              <w:left w:val="nil"/>
              <w:bottom w:val="nil"/>
              <w:right w:val="nil"/>
            </w:tcBorders>
            <w:shd w:val="clear" w:color="000000" w:fill="FFFFFF"/>
            <w:vAlign w:val="center"/>
            <w:hideMark/>
          </w:tcPr>
          <w:p w14:paraId="1DF2FCB1"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w:t>
            </w:r>
          </w:p>
        </w:tc>
        <w:tc>
          <w:tcPr>
            <w:tcW w:w="567" w:type="dxa"/>
            <w:tcBorders>
              <w:top w:val="single" w:sz="4" w:space="0" w:color="ADD6EA"/>
              <w:left w:val="nil"/>
              <w:bottom w:val="nil"/>
              <w:right w:val="nil"/>
            </w:tcBorders>
            <w:shd w:val="clear" w:color="000000" w:fill="FFFFFF"/>
            <w:vAlign w:val="center"/>
            <w:hideMark/>
          </w:tcPr>
          <w:p w14:paraId="0DD4C4A8"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7</w:t>
            </w:r>
          </w:p>
        </w:tc>
        <w:tc>
          <w:tcPr>
            <w:tcW w:w="567" w:type="dxa"/>
            <w:tcBorders>
              <w:top w:val="single" w:sz="4" w:space="0" w:color="ADD6EA"/>
              <w:left w:val="nil"/>
              <w:bottom w:val="nil"/>
              <w:right w:val="nil"/>
            </w:tcBorders>
            <w:shd w:val="clear" w:color="000000" w:fill="FFFFFF"/>
            <w:vAlign w:val="center"/>
            <w:hideMark/>
          </w:tcPr>
          <w:p w14:paraId="368916E8"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-15</w:t>
            </w:r>
          </w:p>
        </w:tc>
        <w:tc>
          <w:tcPr>
            <w:tcW w:w="567" w:type="dxa"/>
            <w:tcBorders>
              <w:top w:val="single" w:sz="4" w:space="0" w:color="ADD6EA"/>
              <w:left w:val="nil"/>
              <w:bottom w:val="nil"/>
              <w:right w:val="nil"/>
            </w:tcBorders>
            <w:shd w:val="clear" w:color="000000" w:fill="FFFFFF"/>
            <w:vAlign w:val="center"/>
            <w:hideMark/>
          </w:tcPr>
          <w:p w14:paraId="44408CC3"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0</w:t>
            </w:r>
          </w:p>
        </w:tc>
        <w:tc>
          <w:tcPr>
            <w:tcW w:w="567" w:type="dxa"/>
            <w:tcBorders>
              <w:top w:val="single" w:sz="4" w:space="0" w:color="ADD6EA"/>
              <w:left w:val="nil"/>
              <w:bottom w:val="nil"/>
              <w:right w:val="nil"/>
            </w:tcBorders>
            <w:shd w:val="clear" w:color="000000" w:fill="FFFFFF"/>
            <w:vAlign w:val="center"/>
            <w:hideMark/>
          </w:tcPr>
          <w:p w14:paraId="7B64DD71"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6</w:t>
            </w:r>
          </w:p>
        </w:tc>
        <w:tc>
          <w:tcPr>
            <w:tcW w:w="567" w:type="dxa"/>
            <w:tcBorders>
              <w:top w:val="single" w:sz="4" w:space="0" w:color="ADD6EA"/>
              <w:left w:val="nil"/>
              <w:bottom w:val="nil"/>
              <w:right w:val="nil"/>
            </w:tcBorders>
            <w:shd w:val="clear" w:color="000000" w:fill="FFFFFF"/>
            <w:vAlign w:val="center"/>
            <w:hideMark/>
          </w:tcPr>
          <w:p w14:paraId="679038A0"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-28</w:t>
            </w:r>
          </w:p>
        </w:tc>
        <w:tc>
          <w:tcPr>
            <w:tcW w:w="567" w:type="dxa"/>
            <w:tcBorders>
              <w:top w:val="single" w:sz="4" w:space="0" w:color="ADD6EA"/>
              <w:left w:val="nil"/>
              <w:bottom w:val="nil"/>
              <w:right w:val="nil"/>
            </w:tcBorders>
            <w:shd w:val="clear" w:color="000000" w:fill="FFFFFF"/>
            <w:vAlign w:val="center"/>
            <w:hideMark/>
          </w:tcPr>
          <w:p w14:paraId="22D946A4"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24</w:t>
            </w:r>
          </w:p>
        </w:tc>
        <w:tc>
          <w:tcPr>
            <w:tcW w:w="567" w:type="dxa"/>
            <w:tcBorders>
              <w:top w:val="single" w:sz="4" w:space="0" w:color="ADD6EA"/>
              <w:left w:val="nil"/>
              <w:bottom w:val="nil"/>
              <w:right w:val="nil"/>
            </w:tcBorders>
            <w:shd w:val="clear" w:color="000000" w:fill="FFFFFF"/>
            <w:vAlign w:val="center"/>
            <w:hideMark/>
          </w:tcPr>
          <w:p w14:paraId="0477C65E"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244</w:t>
            </w:r>
          </w:p>
        </w:tc>
        <w:tc>
          <w:tcPr>
            <w:tcW w:w="660" w:type="dxa"/>
            <w:tcBorders>
              <w:top w:val="single" w:sz="4" w:space="0" w:color="ADD6EA"/>
              <w:left w:val="nil"/>
              <w:bottom w:val="nil"/>
              <w:right w:val="nil"/>
            </w:tcBorders>
            <w:shd w:val="clear" w:color="000000" w:fill="FFFFFF"/>
            <w:vAlign w:val="center"/>
            <w:hideMark/>
          </w:tcPr>
          <w:p w14:paraId="0201ADE3"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5</w:t>
            </w:r>
          </w:p>
        </w:tc>
      </w:tr>
      <w:tr w:rsidR="00262AE7" w:rsidRPr="00262AE7" w14:paraId="1ACA5460" w14:textId="77777777" w:rsidTr="00FF16EF">
        <w:trPr>
          <w:trHeight w:val="318"/>
        </w:trPr>
        <w:tc>
          <w:tcPr>
            <w:tcW w:w="3160" w:type="dxa"/>
            <w:tcBorders>
              <w:top w:val="single" w:sz="4" w:space="0" w:color="ADD6EA"/>
              <w:left w:val="nil"/>
              <w:bottom w:val="nil"/>
              <w:right w:val="nil"/>
            </w:tcBorders>
            <w:shd w:val="clear" w:color="000000" w:fill="FFFFFF"/>
            <w:vAlign w:val="center"/>
            <w:hideMark/>
          </w:tcPr>
          <w:p w14:paraId="4E5D13B7" w14:textId="77777777" w:rsidR="00262AE7" w:rsidRPr="00262AE7" w:rsidRDefault="00262AE7" w:rsidP="00644F9C">
            <w:pPr>
              <w:tabs>
                <w:tab w:val="clear" w:pos="567"/>
              </w:tabs>
              <w:spacing w:before="0" w:line="240" w:lineRule="auto"/>
              <w:ind w:right="-347"/>
              <w:rPr>
                <w:rFonts w:eastAsia="Times New Roman" w:cs="Open Sans Light"/>
                <w:color w:val="000000"/>
                <w:sz w:val="16"/>
                <w:szCs w:val="16"/>
                <w:lang w:eastAsia="en-AU"/>
              </w:rPr>
            </w:pPr>
            <w:r w:rsidRPr="00262AE7">
              <w:rPr>
                <w:rFonts w:eastAsia="Times New Roman" w:cs="Open Sans Light"/>
                <w:color w:val="000000"/>
                <w:sz w:val="16"/>
                <w:szCs w:val="16"/>
                <w:lang w:eastAsia="en-AU"/>
              </w:rPr>
              <w:t>Discounting of non-state sector adjustment</w:t>
            </w:r>
          </w:p>
        </w:tc>
        <w:tc>
          <w:tcPr>
            <w:tcW w:w="567" w:type="dxa"/>
            <w:tcBorders>
              <w:top w:val="single" w:sz="4" w:space="0" w:color="ADD6EA"/>
              <w:left w:val="nil"/>
              <w:bottom w:val="nil"/>
              <w:right w:val="nil"/>
            </w:tcBorders>
            <w:shd w:val="clear" w:color="000000" w:fill="FFFFFF"/>
            <w:vAlign w:val="center"/>
            <w:hideMark/>
          </w:tcPr>
          <w:p w14:paraId="63CA2E5E"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5</w:t>
            </w:r>
          </w:p>
        </w:tc>
        <w:tc>
          <w:tcPr>
            <w:tcW w:w="567" w:type="dxa"/>
            <w:tcBorders>
              <w:top w:val="single" w:sz="4" w:space="0" w:color="ADD6EA"/>
              <w:left w:val="nil"/>
              <w:bottom w:val="nil"/>
              <w:right w:val="nil"/>
            </w:tcBorders>
            <w:shd w:val="clear" w:color="000000" w:fill="FFFFFF"/>
            <w:vAlign w:val="center"/>
            <w:hideMark/>
          </w:tcPr>
          <w:p w14:paraId="5E61B2A6"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-3</w:t>
            </w:r>
          </w:p>
        </w:tc>
        <w:tc>
          <w:tcPr>
            <w:tcW w:w="567" w:type="dxa"/>
            <w:tcBorders>
              <w:top w:val="single" w:sz="4" w:space="0" w:color="ADD6EA"/>
              <w:left w:val="nil"/>
              <w:bottom w:val="nil"/>
              <w:right w:val="nil"/>
            </w:tcBorders>
            <w:shd w:val="clear" w:color="000000" w:fill="FFFFFF"/>
            <w:vAlign w:val="center"/>
            <w:hideMark/>
          </w:tcPr>
          <w:p w14:paraId="650F76B9"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8</w:t>
            </w:r>
          </w:p>
        </w:tc>
        <w:tc>
          <w:tcPr>
            <w:tcW w:w="567" w:type="dxa"/>
            <w:tcBorders>
              <w:top w:val="single" w:sz="4" w:space="0" w:color="ADD6EA"/>
              <w:left w:val="nil"/>
              <w:bottom w:val="nil"/>
              <w:right w:val="nil"/>
            </w:tcBorders>
            <w:shd w:val="clear" w:color="000000" w:fill="FFFFFF"/>
            <w:vAlign w:val="center"/>
            <w:hideMark/>
          </w:tcPr>
          <w:p w14:paraId="1D4A910B"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-13</w:t>
            </w:r>
          </w:p>
        </w:tc>
        <w:tc>
          <w:tcPr>
            <w:tcW w:w="567" w:type="dxa"/>
            <w:tcBorders>
              <w:top w:val="single" w:sz="4" w:space="0" w:color="ADD6EA"/>
              <w:left w:val="nil"/>
              <w:bottom w:val="nil"/>
              <w:right w:val="nil"/>
            </w:tcBorders>
            <w:shd w:val="clear" w:color="000000" w:fill="FFFFFF"/>
            <w:vAlign w:val="center"/>
            <w:hideMark/>
          </w:tcPr>
          <w:p w14:paraId="50AB13CF"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w:t>
            </w:r>
          </w:p>
        </w:tc>
        <w:tc>
          <w:tcPr>
            <w:tcW w:w="567" w:type="dxa"/>
            <w:tcBorders>
              <w:top w:val="single" w:sz="4" w:space="0" w:color="ADD6EA"/>
              <w:left w:val="nil"/>
              <w:bottom w:val="nil"/>
              <w:right w:val="nil"/>
            </w:tcBorders>
            <w:shd w:val="clear" w:color="000000" w:fill="FFFFFF"/>
            <w:vAlign w:val="center"/>
            <w:hideMark/>
          </w:tcPr>
          <w:p w14:paraId="4E23CA9C"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w:t>
            </w:r>
          </w:p>
        </w:tc>
        <w:tc>
          <w:tcPr>
            <w:tcW w:w="567" w:type="dxa"/>
            <w:tcBorders>
              <w:top w:val="single" w:sz="4" w:space="0" w:color="ADD6EA"/>
              <w:left w:val="nil"/>
              <w:bottom w:val="nil"/>
              <w:right w:val="nil"/>
            </w:tcBorders>
            <w:shd w:val="clear" w:color="000000" w:fill="FFFFFF"/>
            <w:vAlign w:val="center"/>
            <w:hideMark/>
          </w:tcPr>
          <w:p w14:paraId="4E20976A"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-42</w:t>
            </w:r>
          </w:p>
        </w:tc>
        <w:tc>
          <w:tcPr>
            <w:tcW w:w="567" w:type="dxa"/>
            <w:tcBorders>
              <w:top w:val="single" w:sz="4" w:space="0" w:color="ADD6EA"/>
              <w:left w:val="nil"/>
              <w:bottom w:val="nil"/>
              <w:right w:val="nil"/>
            </w:tcBorders>
            <w:shd w:val="clear" w:color="000000" w:fill="FFFFFF"/>
            <w:vAlign w:val="center"/>
            <w:hideMark/>
          </w:tcPr>
          <w:p w14:paraId="535DA80E"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w:t>
            </w:r>
          </w:p>
        </w:tc>
        <w:tc>
          <w:tcPr>
            <w:tcW w:w="660" w:type="dxa"/>
            <w:tcBorders>
              <w:top w:val="single" w:sz="4" w:space="0" w:color="ADD6EA"/>
              <w:left w:val="nil"/>
              <w:bottom w:val="nil"/>
              <w:right w:val="nil"/>
            </w:tcBorders>
            <w:shd w:val="clear" w:color="000000" w:fill="FFFFFF"/>
            <w:vAlign w:val="center"/>
            <w:hideMark/>
          </w:tcPr>
          <w:p w14:paraId="4B05062A"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3</w:t>
            </w:r>
          </w:p>
        </w:tc>
      </w:tr>
      <w:tr w:rsidR="00262AE7" w:rsidRPr="00262AE7" w14:paraId="29171790" w14:textId="77777777" w:rsidTr="00FF16EF">
        <w:trPr>
          <w:trHeight w:val="315"/>
        </w:trPr>
        <w:tc>
          <w:tcPr>
            <w:tcW w:w="3160" w:type="dxa"/>
            <w:tcBorders>
              <w:top w:val="single" w:sz="4" w:space="0" w:color="ADD6EA"/>
              <w:left w:val="nil"/>
              <w:bottom w:val="nil"/>
              <w:right w:val="nil"/>
            </w:tcBorders>
            <w:shd w:val="clear" w:color="000000" w:fill="FFFFFF"/>
            <w:vAlign w:val="center"/>
            <w:hideMark/>
          </w:tcPr>
          <w:p w14:paraId="5F13958E" w14:textId="628B0DD6" w:rsidR="00262AE7" w:rsidRPr="00262AE7" w:rsidRDefault="00262AE7" w:rsidP="00262AE7">
            <w:pPr>
              <w:tabs>
                <w:tab w:val="clear" w:pos="567"/>
              </w:tabs>
              <w:spacing w:before="0" w:line="240" w:lineRule="auto"/>
              <w:rPr>
                <w:rFonts w:eastAsia="Times New Roman" w:cs="Open Sans Light"/>
                <w:color w:val="000000"/>
                <w:sz w:val="16"/>
                <w:szCs w:val="16"/>
                <w:lang w:eastAsia="en-AU"/>
              </w:rPr>
            </w:pPr>
            <w:r w:rsidRPr="00262AE7">
              <w:rPr>
                <w:rFonts w:eastAsia="Times New Roman" w:cs="Open Sans Light"/>
                <w:color w:val="000000"/>
                <w:sz w:val="16"/>
                <w:szCs w:val="16"/>
                <w:lang w:eastAsia="en-AU"/>
              </w:rPr>
              <w:t>Cross</w:t>
            </w:r>
            <w:r w:rsidR="00444313">
              <w:rPr>
                <w:rFonts w:eastAsia="Times New Roman" w:cs="Open Sans Light"/>
                <w:color w:val="000000"/>
                <w:sz w:val="16"/>
                <w:szCs w:val="16"/>
                <w:lang w:eastAsia="en-AU"/>
              </w:rPr>
              <w:t>-</w:t>
            </w:r>
            <w:r w:rsidRPr="00262AE7">
              <w:rPr>
                <w:rFonts w:eastAsia="Times New Roman" w:cs="Open Sans Light"/>
                <w:color w:val="000000"/>
                <w:sz w:val="16"/>
                <w:szCs w:val="16"/>
                <w:lang w:eastAsia="en-AU"/>
              </w:rPr>
              <w:t>border</w:t>
            </w:r>
          </w:p>
        </w:tc>
        <w:tc>
          <w:tcPr>
            <w:tcW w:w="567" w:type="dxa"/>
            <w:tcBorders>
              <w:top w:val="single" w:sz="4" w:space="0" w:color="ADD6EA"/>
              <w:left w:val="nil"/>
              <w:bottom w:val="nil"/>
              <w:right w:val="nil"/>
            </w:tcBorders>
            <w:shd w:val="clear" w:color="000000" w:fill="FFFFFF"/>
            <w:vAlign w:val="center"/>
            <w:hideMark/>
          </w:tcPr>
          <w:p w14:paraId="0D5D48A6"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-1</w:t>
            </w:r>
          </w:p>
        </w:tc>
        <w:tc>
          <w:tcPr>
            <w:tcW w:w="567" w:type="dxa"/>
            <w:tcBorders>
              <w:top w:val="single" w:sz="4" w:space="0" w:color="ADD6EA"/>
              <w:left w:val="nil"/>
              <w:bottom w:val="nil"/>
              <w:right w:val="nil"/>
            </w:tcBorders>
            <w:shd w:val="clear" w:color="000000" w:fill="FFFFFF"/>
            <w:vAlign w:val="center"/>
            <w:hideMark/>
          </w:tcPr>
          <w:p w14:paraId="4EB8B689"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0</w:t>
            </w:r>
          </w:p>
        </w:tc>
        <w:tc>
          <w:tcPr>
            <w:tcW w:w="567" w:type="dxa"/>
            <w:tcBorders>
              <w:top w:val="single" w:sz="4" w:space="0" w:color="ADD6EA"/>
              <w:left w:val="nil"/>
              <w:bottom w:val="nil"/>
              <w:right w:val="nil"/>
            </w:tcBorders>
            <w:shd w:val="clear" w:color="000000" w:fill="FFFFFF"/>
            <w:vAlign w:val="center"/>
            <w:hideMark/>
          </w:tcPr>
          <w:p w14:paraId="1F3F8262"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0</w:t>
            </w:r>
          </w:p>
        </w:tc>
        <w:tc>
          <w:tcPr>
            <w:tcW w:w="567" w:type="dxa"/>
            <w:tcBorders>
              <w:top w:val="single" w:sz="4" w:space="0" w:color="ADD6EA"/>
              <w:left w:val="nil"/>
              <w:bottom w:val="nil"/>
              <w:right w:val="nil"/>
            </w:tcBorders>
            <w:shd w:val="clear" w:color="000000" w:fill="FFFFFF"/>
            <w:vAlign w:val="center"/>
            <w:hideMark/>
          </w:tcPr>
          <w:p w14:paraId="6279B08F"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0</w:t>
            </w:r>
          </w:p>
        </w:tc>
        <w:tc>
          <w:tcPr>
            <w:tcW w:w="567" w:type="dxa"/>
            <w:tcBorders>
              <w:top w:val="single" w:sz="4" w:space="0" w:color="ADD6EA"/>
              <w:left w:val="nil"/>
              <w:bottom w:val="nil"/>
              <w:right w:val="nil"/>
            </w:tcBorders>
            <w:shd w:val="clear" w:color="000000" w:fill="FFFFFF"/>
            <w:vAlign w:val="center"/>
            <w:hideMark/>
          </w:tcPr>
          <w:p w14:paraId="7177384F"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0</w:t>
            </w:r>
          </w:p>
        </w:tc>
        <w:tc>
          <w:tcPr>
            <w:tcW w:w="567" w:type="dxa"/>
            <w:tcBorders>
              <w:top w:val="single" w:sz="4" w:space="0" w:color="ADD6EA"/>
              <w:left w:val="nil"/>
              <w:bottom w:val="nil"/>
              <w:right w:val="nil"/>
            </w:tcBorders>
            <w:shd w:val="clear" w:color="000000" w:fill="FFFFFF"/>
            <w:vAlign w:val="center"/>
            <w:hideMark/>
          </w:tcPr>
          <w:p w14:paraId="05B83127"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0</w:t>
            </w:r>
          </w:p>
        </w:tc>
        <w:tc>
          <w:tcPr>
            <w:tcW w:w="567" w:type="dxa"/>
            <w:tcBorders>
              <w:top w:val="single" w:sz="4" w:space="0" w:color="ADD6EA"/>
              <w:left w:val="nil"/>
              <w:bottom w:val="nil"/>
              <w:right w:val="nil"/>
            </w:tcBorders>
            <w:shd w:val="clear" w:color="000000" w:fill="FFFFFF"/>
            <w:vAlign w:val="center"/>
            <w:hideMark/>
          </w:tcPr>
          <w:p w14:paraId="064261CA"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21</w:t>
            </w:r>
          </w:p>
        </w:tc>
        <w:tc>
          <w:tcPr>
            <w:tcW w:w="567" w:type="dxa"/>
            <w:tcBorders>
              <w:top w:val="single" w:sz="4" w:space="0" w:color="ADD6EA"/>
              <w:left w:val="nil"/>
              <w:bottom w:val="nil"/>
              <w:right w:val="nil"/>
            </w:tcBorders>
            <w:shd w:val="clear" w:color="000000" w:fill="FFFFFF"/>
            <w:vAlign w:val="center"/>
            <w:hideMark/>
          </w:tcPr>
          <w:p w14:paraId="3BAE33D6"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000000" w:fill="FFFFFF"/>
            <w:vAlign w:val="center"/>
            <w:hideMark/>
          </w:tcPr>
          <w:p w14:paraId="25076E16"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0</w:t>
            </w:r>
          </w:p>
        </w:tc>
      </w:tr>
      <w:tr w:rsidR="00262AE7" w:rsidRPr="00262AE7" w14:paraId="3FE9FD0D" w14:textId="77777777" w:rsidTr="00FF16EF">
        <w:trPr>
          <w:trHeight w:val="259"/>
        </w:trPr>
        <w:tc>
          <w:tcPr>
            <w:tcW w:w="3160" w:type="dxa"/>
            <w:tcBorders>
              <w:top w:val="single" w:sz="4" w:space="0" w:color="ADD6EA"/>
              <w:left w:val="nil"/>
              <w:bottom w:val="nil"/>
              <w:right w:val="nil"/>
            </w:tcBorders>
            <w:shd w:val="clear" w:color="000000" w:fill="FFFFFF"/>
            <w:vAlign w:val="center"/>
            <w:hideMark/>
          </w:tcPr>
          <w:p w14:paraId="75EFB36B" w14:textId="77777777" w:rsidR="00262AE7" w:rsidRPr="00262AE7" w:rsidRDefault="00262AE7" w:rsidP="00262AE7">
            <w:pPr>
              <w:tabs>
                <w:tab w:val="clear" w:pos="567"/>
              </w:tabs>
              <w:spacing w:before="0" w:line="240" w:lineRule="auto"/>
              <w:rPr>
                <w:rFonts w:eastAsia="Times New Roman" w:cs="Open Sans Light"/>
                <w:color w:val="000000"/>
                <w:sz w:val="16"/>
                <w:szCs w:val="16"/>
                <w:lang w:eastAsia="en-AU"/>
              </w:rPr>
            </w:pPr>
            <w:r w:rsidRPr="00262AE7">
              <w:rPr>
                <w:rFonts w:eastAsia="Times New Roman" w:cs="Open Sans Light"/>
                <w:color w:val="000000"/>
                <w:sz w:val="16"/>
                <w:szCs w:val="16"/>
                <w:lang w:eastAsia="en-AU"/>
              </w:rPr>
              <w:t>Non-hospital patient transport</w:t>
            </w:r>
          </w:p>
        </w:tc>
        <w:tc>
          <w:tcPr>
            <w:tcW w:w="567" w:type="dxa"/>
            <w:tcBorders>
              <w:top w:val="single" w:sz="4" w:space="0" w:color="ADD6EA"/>
              <w:left w:val="nil"/>
              <w:bottom w:val="nil"/>
              <w:right w:val="nil"/>
            </w:tcBorders>
            <w:shd w:val="clear" w:color="000000" w:fill="FFFFFF"/>
            <w:vAlign w:val="center"/>
            <w:hideMark/>
          </w:tcPr>
          <w:p w14:paraId="07C31459"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-7</w:t>
            </w:r>
          </w:p>
        </w:tc>
        <w:tc>
          <w:tcPr>
            <w:tcW w:w="567" w:type="dxa"/>
            <w:tcBorders>
              <w:top w:val="single" w:sz="4" w:space="0" w:color="ADD6EA"/>
              <w:left w:val="nil"/>
              <w:bottom w:val="nil"/>
              <w:right w:val="nil"/>
            </w:tcBorders>
            <w:shd w:val="clear" w:color="000000" w:fill="FFFFFF"/>
            <w:vAlign w:val="center"/>
            <w:hideMark/>
          </w:tcPr>
          <w:p w14:paraId="61F05333"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w:t>
            </w:r>
          </w:p>
        </w:tc>
        <w:tc>
          <w:tcPr>
            <w:tcW w:w="567" w:type="dxa"/>
            <w:tcBorders>
              <w:top w:val="single" w:sz="4" w:space="0" w:color="ADD6EA"/>
              <w:left w:val="nil"/>
              <w:bottom w:val="nil"/>
              <w:right w:val="nil"/>
            </w:tcBorders>
            <w:shd w:val="clear" w:color="000000" w:fill="FFFFFF"/>
            <w:vAlign w:val="center"/>
            <w:hideMark/>
          </w:tcPr>
          <w:p w14:paraId="5BB4C68F"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w:t>
            </w:r>
          </w:p>
        </w:tc>
        <w:tc>
          <w:tcPr>
            <w:tcW w:w="567" w:type="dxa"/>
            <w:tcBorders>
              <w:top w:val="single" w:sz="4" w:space="0" w:color="ADD6EA"/>
              <w:left w:val="nil"/>
              <w:bottom w:val="nil"/>
              <w:right w:val="nil"/>
            </w:tcBorders>
            <w:shd w:val="clear" w:color="000000" w:fill="FFFFFF"/>
            <w:vAlign w:val="center"/>
            <w:hideMark/>
          </w:tcPr>
          <w:p w14:paraId="41323F87"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-4</w:t>
            </w:r>
          </w:p>
        </w:tc>
        <w:tc>
          <w:tcPr>
            <w:tcW w:w="567" w:type="dxa"/>
            <w:tcBorders>
              <w:top w:val="single" w:sz="4" w:space="0" w:color="ADD6EA"/>
              <w:left w:val="nil"/>
              <w:bottom w:val="nil"/>
              <w:right w:val="nil"/>
            </w:tcBorders>
            <w:shd w:val="clear" w:color="000000" w:fill="FFFFFF"/>
            <w:vAlign w:val="center"/>
            <w:hideMark/>
          </w:tcPr>
          <w:p w14:paraId="3FBC073E"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-6</w:t>
            </w:r>
          </w:p>
        </w:tc>
        <w:tc>
          <w:tcPr>
            <w:tcW w:w="567" w:type="dxa"/>
            <w:tcBorders>
              <w:top w:val="single" w:sz="4" w:space="0" w:color="ADD6EA"/>
              <w:left w:val="nil"/>
              <w:bottom w:val="nil"/>
              <w:right w:val="nil"/>
            </w:tcBorders>
            <w:shd w:val="clear" w:color="000000" w:fill="FFFFFF"/>
            <w:vAlign w:val="center"/>
            <w:hideMark/>
          </w:tcPr>
          <w:p w14:paraId="2B6EB043"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29</w:t>
            </w:r>
          </w:p>
        </w:tc>
        <w:tc>
          <w:tcPr>
            <w:tcW w:w="567" w:type="dxa"/>
            <w:tcBorders>
              <w:top w:val="single" w:sz="4" w:space="0" w:color="ADD6EA"/>
              <w:left w:val="nil"/>
              <w:bottom w:val="nil"/>
              <w:right w:val="nil"/>
            </w:tcBorders>
            <w:shd w:val="clear" w:color="000000" w:fill="FFFFFF"/>
            <w:vAlign w:val="center"/>
            <w:hideMark/>
          </w:tcPr>
          <w:p w14:paraId="506CD2E8"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2</w:t>
            </w:r>
          </w:p>
        </w:tc>
        <w:tc>
          <w:tcPr>
            <w:tcW w:w="567" w:type="dxa"/>
            <w:tcBorders>
              <w:top w:val="single" w:sz="4" w:space="0" w:color="ADD6EA"/>
              <w:left w:val="nil"/>
              <w:bottom w:val="nil"/>
              <w:right w:val="nil"/>
            </w:tcBorders>
            <w:shd w:val="clear" w:color="000000" w:fill="FFFFFF"/>
            <w:vAlign w:val="center"/>
            <w:hideMark/>
          </w:tcPr>
          <w:p w14:paraId="79E3DC94"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38</w:t>
            </w:r>
          </w:p>
        </w:tc>
        <w:tc>
          <w:tcPr>
            <w:tcW w:w="660" w:type="dxa"/>
            <w:tcBorders>
              <w:top w:val="single" w:sz="4" w:space="0" w:color="ADD6EA"/>
              <w:left w:val="nil"/>
              <w:bottom w:val="nil"/>
              <w:right w:val="nil"/>
            </w:tcBorders>
            <w:shd w:val="clear" w:color="000000" w:fill="FFFFFF"/>
            <w:vAlign w:val="center"/>
            <w:hideMark/>
          </w:tcPr>
          <w:p w14:paraId="359212DA" w14:textId="77777777" w:rsidR="00262AE7" w:rsidRPr="00262AE7" w:rsidRDefault="00262AE7" w:rsidP="00262AE7">
            <w:pPr>
              <w:tabs>
                <w:tab w:val="clear" w:pos="567"/>
              </w:tabs>
              <w:spacing w:before="0" w:line="240" w:lineRule="auto"/>
              <w:jc w:val="right"/>
              <w:rPr>
                <w:rFonts w:eastAsia="Times New Roman" w:cs="Open Sans Light"/>
                <w:color w:val="000000"/>
                <w:sz w:val="16"/>
                <w:szCs w:val="16"/>
                <w:lang w:eastAsia="en-AU"/>
              </w:rPr>
            </w:pPr>
            <w:r w:rsidRPr="00262AE7">
              <w:rPr>
                <w:rFonts w:eastAsia="Times New Roman" w:cs="Open Sans Light"/>
                <w:color w:val="000000"/>
                <w:sz w:val="16"/>
                <w:szCs w:val="16"/>
                <w:lang w:eastAsia="en-AU"/>
              </w:rPr>
              <w:t>3</w:t>
            </w:r>
          </w:p>
        </w:tc>
      </w:tr>
      <w:tr w:rsidR="00262AE7" w:rsidRPr="00262AE7" w14:paraId="259A3698" w14:textId="77777777" w:rsidTr="00FF16EF">
        <w:trPr>
          <w:trHeight w:val="319"/>
        </w:trPr>
        <w:tc>
          <w:tcPr>
            <w:tcW w:w="3160" w:type="dxa"/>
            <w:tcBorders>
              <w:top w:val="single" w:sz="4" w:space="0" w:color="ADD6EA"/>
              <w:left w:val="nil"/>
              <w:bottom w:val="single" w:sz="4" w:space="0" w:color="ADD6EA"/>
              <w:right w:val="nil"/>
            </w:tcBorders>
            <w:shd w:val="clear" w:color="000000" w:fill="D6E7F0"/>
            <w:vAlign w:val="center"/>
            <w:hideMark/>
          </w:tcPr>
          <w:p w14:paraId="0E9DBCFC" w14:textId="77777777" w:rsidR="00262AE7" w:rsidRPr="00262AE7" w:rsidRDefault="00262AE7" w:rsidP="00262AE7">
            <w:pPr>
              <w:tabs>
                <w:tab w:val="clear" w:pos="567"/>
              </w:tabs>
              <w:spacing w:before="0" w:line="240" w:lineRule="auto"/>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Total</w:t>
            </w:r>
          </w:p>
        </w:tc>
        <w:tc>
          <w:tcPr>
            <w:tcW w:w="567" w:type="dxa"/>
            <w:tcBorders>
              <w:top w:val="single" w:sz="4" w:space="0" w:color="ADD6EA"/>
              <w:left w:val="nil"/>
              <w:bottom w:val="single" w:sz="4" w:space="0" w:color="ADD6EA"/>
              <w:right w:val="nil"/>
            </w:tcBorders>
            <w:shd w:val="clear" w:color="000000" w:fill="D6E7F0"/>
            <w:vAlign w:val="center"/>
            <w:hideMark/>
          </w:tcPr>
          <w:p w14:paraId="5467BA2E"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32</w:t>
            </w:r>
          </w:p>
        </w:tc>
        <w:tc>
          <w:tcPr>
            <w:tcW w:w="567" w:type="dxa"/>
            <w:tcBorders>
              <w:top w:val="single" w:sz="4" w:space="0" w:color="ADD6EA"/>
              <w:left w:val="nil"/>
              <w:bottom w:val="single" w:sz="4" w:space="0" w:color="ADD6EA"/>
              <w:right w:val="nil"/>
            </w:tcBorders>
            <w:shd w:val="clear" w:color="000000" w:fill="D6E7F0"/>
            <w:vAlign w:val="center"/>
            <w:hideMark/>
          </w:tcPr>
          <w:p w14:paraId="2A5E5E1D"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65</w:t>
            </w:r>
          </w:p>
        </w:tc>
        <w:tc>
          <w:tcPr>
            <w:tcW w:w="567" w:type="dxa"/>
            <w:tcBorders>
              <w:top w:val="single" w:sz="4" w:space="0" w:color="ADD6EA"/>
              <w:left w:val="nil"/>
              <w:bottom w:val="single" w:sz="4" w:space="0" w:color="ADD6EA"/>
              <w:right w:val="nil"/>
            </w:tcBorders>
            <w:shd w:val="clear" w:color="000000" w:fill="D6E7F0"/>
            <w:vAlign w:val="center"/>
            <w:hideMark/>
          </w:tcPr>
          <w:p w14:paraId="014D4B7E"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-69</w:t>
            </w:r>
          </w:p>
        </w:tc>
        <w:tc>
          <w:tcPr>
            <w:tcW w:w="567" w:type="dxa"/>
            <w:tcBorders>
              <w:top w:val="single" w:sz="4" w:space="0" w:color="ADD6EA"/>
              <w:left w:val="nil"/>
              <w:bottom w:val="single" w:sz="4" w:space="0" w:color="ADD6EA"/>
              <w:right w:val="nil"/>
            </w:tcBorders>
            <w:shd w:val="clear" w:color="000000" w:fill="D6E7F0"/>
            <w:vAlign w:val="center"/>
            <w:hideMark/>
          </w:tcPr>
          <w:p w14:paraId="0D55C2CB"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-52</w:t>
            </w:r>
          </w:p>
        </w:tc>
        <w:tc>
          <w:tcPr>
            <w:tcW w:w="567" w:type="dxa"/>
            <w:tcBorders>
              <w:top w:val="single" w:sz="4" w:space="0" w:color="ADD6EA"/>
              <w:left w:val="nil"/>
              <w:bottom w:val="single" w:sz="4" w:space="0" w:color="ADD6EA"/>
              <w:right w:val="nil"/>
            </w:tcBorders>
            <w:shd w:val="clear" w:color="000000" w:fill="D6E7F0"/>
            <w:vAlign w:val="center"/>
            <w:hideMark/>
          </w:tcPr>
          <w:p w14:paraId="2E1EAB0F"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-55</w:t>
            </w:r>
          </w:p>
        </w:tc>
        <w:tc>
          <w:tcPr>
            <w:tcW w:w="567" w:type="dxa"/>
            <w:tcBorders>
              <w:top w:val="single" w:sz="4" w:space="0" w:color="ADD6EA"/>
              <w:left w:val="nil"/>
              <w:bottom w:val="single" w:sz="4" w:space="0" w:color="ADD6EA"/>
              <w:right w:val="nil"/>
            </w:tcBorders>
            <w:shd w:val="clear" w:color="000000" w:fill="D6E7F0"/>
            <w:vAlign w:val="center"/>
            <w:hideMark/>
          </w:tcPr>
          <w:p w14:paraId="69951E19"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-117</w:t>
            </w:r>
          </w:p>
        </w:tc>
        <w:tc>
          <w:tcPr>
            <w:tcW w:w="567" w:type="dxa"/>
            <w:tcBorders>
              <w:top w:val="single" w:sz="4" w:space="0" w:color="ADD6EA"/>
              <w:left w:val="nil"/>
              <w:bottom w:val="single" w:sz="4" w:space="0" w:color="ADD6EA"/>
              <w:right w:val="nil"/>
            </w:tcBorders>
            <w:shd w:val="clear" w:color="000000" w:fill="D6E7F0"/>
            <w:vAlign w:val="center"/>
            <w:hideMark/>
          </w:tcPr>
          <w:p w14:paraId="18B09DC2"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39</w:t>
            </w:r>
          </w:p>
        </w:tc>
        <w:tc>
          <w:tcPr>
            <w:tcW w:w="567" w:type="dxa"/>
            <w:tcBorders>
              <w:top w:val="single" w:sz="4" w:space="0" w:color="ADD6EA"/>
              <w:left w:val="nil"/>
              <w:bottom w:val="single" w:sz="4" w:space="0" w:color="ADD6EA"/>
              <w:right w:val="nil"/>
            </w:tcBorders>
            <w:shd w:val="clear" w:color="000000" w:fill="D6E7F0"/>
            <w:vAlign w:val="center"/>
            <w:hideMark/>
          </w:tcPr>
          <w:p w14:paraId="4AA0D03A"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-153</w:t>
            </w:r>
          </w:p>
        </w:tc>
        <w:tc>
          <w:tcPr>
            <w:tcW w:w="660" w:type="dxa"/>
            <w:tcBorders>
              <w:top w:val="single" w:sz="4" w:space="0" w:color="ADD6EA"/>
              <w:left w:val="nil"/>
              <w:bottom w:val="single" w:sz="4" w:space="0" w:color="ADD6EA"/>
              <w:right w:val="nil"/>
            </w:tcBorders>
            <w:shd w:val="clear" w:color="000000" w:fill="D6E7F0"/>
            <w:vAlign w:val="center"/>
            <w:hideMark/>
          </w:tcPr>
          <w:p w14:paraId="1661161E" w14:textId="77777777" w:rsidR="00262AE7" w:rsidRPr="00262AE7" w:rsidRDefault="00262AE7" w:rsidP="00262AE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262AE7">
              <w:rPr>
                <w:rFonts w:ascii="Open Sans Semibold" w:eastAsia="Times New Roman" w:hAnsi="Open Sans Semibold" w:cs="Open Sans Semibold"/>
                <w:color w:val="000000"/>
                <w:sz w:val="16"/>
                <w:szCs w:val="16"/>
                <w:lang w:eastAsia="en-AU"/>
              </w:rPr>
              <w:t>28</w:t>
            </w:r>
          </w:p>
        </w:tc>
      </w:tr>
    </w:tbl>
    <w:p w14:paraId="33031207" w14:textId="620843AF" w:rsidR="001D5DBE" w:rsidRPr="00444313" w:rsidRDefault="00DE7327" w:rsidP="00D52AFF">
      <w:pPr>
        <w:pStyle w:val="CGC2025TableNote"/>
        <w:ind w:left="0" w:firstLine="0"/>
      </w:pPr>
      <w:r>
        <w:t xml:space="preserve">Note: </w:t>
      </w:r>
      <w:r w:rsidRPr="006F5C00">
        <w:t>Changes to the wage costs assessment are not included. The</w:t>
      </w:r>
      <w:r>
        <w:t>se</w:t>
      </w:r>
      <w:r w:rsidRPr="006F5C00">
        <w:t xml:space="preserve"> are shown in the wage costs chapt</w:t>
      </w:r>
      <w:r>
        <w:t xml:space="preserve">er of </w:t>
      </w:r>
      <w:r w:rsidR="001D5DBE" w:rsidRPr="001D5DBE">
        <w:rPr>
          <w:i/>
          <w:iCs/>
        </w:rPr>
        <w:t>Review Outcomes</w:t>
      </w:r>
      <w:r w:rsidR="00444313">
        <w:t>.</w:t>
      </w:r>
    </w:p>
    <w:p w14:paraId="073ABCF3" w14:textId="59A15109" w:rsidR="00C83A89" w:rsidRDefault="00C83A89" w:rsidP="00C83A89">
      <w:pPr>
        <w:pStyle w:val="Heading3"/>
      </w:pPr>
      <w:r>
        <w:lastRenderedPageBreak/>
        <w:t>COVID-19 assessment</w:t>
      </w:r>
    </w:p>
    <w:p w14:paraId="4BAF2D5A" w14:textId="18A48D99" w:rsidR="00F077AC" w:rsidRDefault="00F077AC" w:rsidP="00C42AB0">
      <w:pPr>
        <w:pStyle w:val="CGC2025ParaNumbers"/>
      </w:pPr>
      <w:r>
        <w:t xml:space="preserve">The largest source of change </w:t>
      </w:r>
      <w:r w:rsidRPr="003878D6">
        <w:t>is</w:t>
      </w:r>
      <w:r>
        <w:t xml:space="preserve"> the separate assessment of COVID-19 health expenses. </w:t>
      </w:r>
      <w:r w:rsidR="002A6F71">
        <w:t>The disaggregated effects of the method change for assessing COVID</w:t>
      </w:r>
      <w:r w:rsidR="002A6F71">
        <w:noBreakHyphen/>
        <w:t>19 expenses and the change in treatment of the Commonwealth payment under the National Partnership on COVID-19 Response is shown in Table 2.</w:t>
      </w:r>
    </w:p>
    <w:p w14:paraId="724536F1" w14:textId="1B36F661" w:rsidR="00EB115B" w:rsidRDefault="00EB115B" w:rsidP="00A736B7">
      <w:pPr>
        <w:pStyle w:val="CGC2025Caption"/>
        <w:keepNext/>
        <w:ind w:left="1440" w:hanging="1440"/>
      </w:pPr>
      <w:r w:rsidRPr="004B4614">
        <w:t>Table 2</w:t>
      </w:r>
      <w:r w:rsidRPr="004B4614">
        <w:tab/>
        <w:t xml:space="preserve">Impact on GST distribution of the COVID-19 assessment, health, </w:t>
      </w:r>
      <w:r w:rsidR="007B6197" w:rsidRPr="004B4614">
        <w:t>2024</w:t>
      </w:r>
      <w:r w:rsidR="007F72F1" w:rsidRPr="004B4614">
        <w:noBreakHyphen/>
      </w:r>
      <w:r w:rsidR="00D80FA6" w:rsidRPr="004B4614">
        <w:t>25</w:t>
      </w:r>
      <w:r w:rsidR="004A6B1F" w:rsidRPr="004B4614">
        <w:t> </w:t>
      </w:r>
      <w:r w:rsidR="00D80FA6" w:rsidRPr="004B4614">
        <w:t>to</w:t>
      </w:r>
      <w:r w:rsidR="004A6B1F" w:rsidRPr="004B4614">
        <w:t> </w:t>
      </w:r>
      <w:r w:rsidRPr="004B4614">
        <w:t>2025-26</w:t>
      </w:r>
    </w:p>
    <w:tbl>
      <w:tblPr>
        <w:tblW w:w="8940" w:type="dxa"/>
        <w:tblLook w:val="04A0" w:firstRow="1" w:lastRow="0" w:firstColumn="1" w:lastColumn="0" w:noHBand="0" w:noVBand="1"/>
      </w:tblPr>
      <w:tblGrid>
        <w:gridCol w:w="3160"/>
        <w:gridCol w:w="640"/>
        <w:gridCol w:w="640"/>
        <w:gridCol w:w="640"/>
        <w:gridCol w:w="640"/>
        <w:gridCol w:w="640"/>
        <w:gridCol w:w="640"/>
        <w:gridCol w:w="640"/>
        <w:gridCol w:w="640"/>
        <w:gridCol w:w="660"/>
      </w:tblGrid>
      <w:tr w:rsidR="006F35A0" w:rsidRPr="006F35A0" w14:paraId="2575F226" w14:textId="77777777" w:rsidTr="006F35A0">
        <w:trPr>
          <w:trHeight w:val="552"/>
        </w:trPr>
        <w:tc>
          <w:tcPr>
            <w:tcW w:w="3160" w:type="dxa"/>
            <w:tcBorders>
              <w:top w:val="nil"/>
              <w:left w:val="nil"/>
              <w:bottom w:val="nil"/>
              <w:right w:val="nil"/>
            </w:tcBorders>
            <w:shd w:val="clear" w:color="000000" w:fill="006991"/>
            <w:vAlign w:val="center"/>
            <w:hideMark/>
          </w:tcPr>
          <w:p w14:paraId="1E76FF90" w14:textId="77777777" w:rsidR="006F35A0" w:rsidRPr="006F35A0" w:rsidRDefault="006F35A0" w:rsidP="006F35A0">
            <w:pPr>
              <w:tabs>
                <w:tab w:val="clear" w:pos="567"/>
              </w:tabs>
              <w:spacing w:before="0" w:line="240" w:lineRule="auto"/>
              <w:rPr>
                <w:rFonts w:ascii="Open Sans Semibold" w:eastAsia="Times New Roman" w:hAnsi="Open Sans Semibold" w:cs="Open Sans Semibold"/>
                <w:color w:val="FFFFFF"/>
                <w:sz w:val="16"/>
                <w:szCs w:val="16"/>
                <w:lang w:eastAsia="en-AU"/>
              </w:rPr>
            </w:pPr>
            <w:r w:rsidRPr="006F35A0">
              <w:rPr>
                <w:rFonts w:ascii="Open Sans Semibold" w:eastAsia="Times New Roman" w:hAnsi="Open Sans Semibold" w:cs="Open Sans Semibold"/>
                <w:color w:val="FFFFFF"/>
                <w:sz w:val="16"/>
                <w:szCs w:val="16"/>
                <w:lang w:eastAsia="en-AU"/>
              </w:rPr>
              <w:t> </w:t>
            </w:r>
          </w:p>
        </w:tc>
        <w:tc>
          <w:tcPr>
            <w:tcW w:w="640" w:type="dxa"/>
            <w:tcBorders>
              <w:top w:val="nil"/>
              <w:left w:val="nil"/>
              <w:bottom w:val="nil"/>
              <w:right w:val="nil"/>
            </w:tcBorders>
            <w:shd w:val="clear" w:color="000000" w:fill="006991"/>
            <w:vAlign w:val="center"/>
            <w:hideMark/>
          </w:tcPr>
          <w:p w14:paraId="563704CA"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F35A0">
              <w:rPr>
                <w:rFonts w:ascii="Open Sans Semibold" w:eastAsia="Times New Roman" w:hAnsi="Open Sans Semibold" w:cs="Open Sans Semibold"/>
                <w:color w:val="FFFFFF"/>
                <w:sz w:val="16"/>
                <w:szCs w:val="16"/>
                <w:lang w:eastAsia="en-AU"/>
              </w:rPr>
              <w:t>NSW</w:t>
            </w:r>
          </w:p>
        </w:tc>
        <w:tc>
          <w:tcPr>
            <w:tcW w:w="640" w:type="dxa"/>
            <w:tcBorders>
              <w:top w:val="nil"/>
              <w:left w:val="nil"/>
              <w:bottom w:val="nil"/>
              <w:right w:val="nil"/>
            </w:tcBorders>
            <w:shd w:val="clear" w:color="000000" w:fill="006991"/>
            <w:vAlign w:val="center"/>
            <w:hideMark/>
          </w:tcPr>
          <w:p w14:paraId="17BF8C2E"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F35A0">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2A718F8A"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F35A0">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619C57E7"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F35A0">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45E530A7"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F35A0">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04885A8D"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F35A0">
              <w:rPr>
                <w:rFonts w:ascii="Open Sans Semibold" w:eastAsia="Times New Roman" w:hAnsi="Open Sans Semibold" w:cs="Open Sans Semibold"/>
                <w:color w:val="FFFFFF"/>
                <w:sz w:val="16"/>
                <w:szCs w:val="16"/>
                <w:lang w:eastAsia="en-AU"/>
              </w:rPr>
              <w:t>Tas</w:t>
            </w:r>
          </w:p>
        </w:tc>
        <w:tc>
          <w:tcPr>
            <w:tcW w:w="640" w:type="dxa"/>
            <w:tcBorders>
              <w:top w:val="nil"/>
              <w:left w:val="nil"/>
              <w:bottom w:val="nil"/>
              <w:right w:val="nil"/>
            </w:tcBorders>
            <w:shd w:val="clear" w:color="000000" w:fill="006991"/>
            <w:vAlign w:val="center"/>
            <w:hideMark/>
          </w:tcPr>
          <w:p w14:paraId="7E068B91"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F35A0">
              <w:rPr>
                <w:rFonts w:ascii="Open Sans Semibold" w:eastAsia="Times New Roman" w:hAnsi="Open Sans Semibold" w:cs="Open Sans Semibold"/>
                <w:color w:val="FFFFFF"/>
                <w:sz w:val="16"/>
                <w:szCs w:val="16"/>
                <w:lang w:eastAsia="en-AU"/>
              </w:rPr>
              <w:t>ACT</w:t>
            </w:r>
          </w:p>
        </w:tc>
        <w:tc>
          <w:tcPr>
            <w:tcW w:w="640" w:type="dxa"/>
            <w:tcBorders>
              <w:top w:val="nil"/>
              <w:left w:val="nil"/>
              <w:bottom w:val="nil"/>
              <w:right w:val="nil"/>
            </w:tcBorders>
            <w:shd w:val="clear" w:color="000000" w:fill="006991"/>
            <w:vAlign w:val="center"/>
            <w:hideMark/>
          </w:tcPr>
          <w:p w14:paraId="5C252A4B"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F35A0">
              <w:rPr>
                <w:rFonts w:ascii="Open Sans Semibold" w:eastAsia="Times New Roman" w:hAnsi="Open Sans Semibold" w:cs="Open Sans Semibold"/>
                <w:color w:val="FFFFFF"/>
                <w:sz w:val="16"/>
                <w:szCs w:val="16"/>
                <w:lang w:eastAsia="en-AU"/>
              </w:rPr>
              <w:t>NT</w:t>
            </w:r>
          </w:p>
        </w:tc>
        <w:tc>
          <w:tcPr>
            <w:tcW w:w="660" w:type="dxa"/>
            <w:tcBorders>
              <w:top w:val="nil"/>
              <w:left w:val="nil"/>
              <w:bottom w:val="nil"/>
              <w:right w:val="nil"/>
            </w:tcBorders>
            <w:shd w:val="clear" w:color="000000" w:fill="006991"/>
            <w:vAlign w:val="center"/>
            <w:hideMark/>
          </w:tcPr>
          <w:p w14:paraId="18D45963"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F35A0">
              <w:rPr>
                <w:rFonts w:ascii="Open Sans Semibold" w:eastAsia="Times New Roman" w:hAnsi="Open Sans Semibold" w:cs="Open Sans Semibold"/>
                <w:color w:val="FFFFFF"/>
                <w:sz w:val="16"/>
                <w:szCs w:val="16"/>
                <w:lang w:eastAsia="en-AU"/>
              </w:rPr>
              <w:t>Total effect</w:t>
            </w:r>
          </w:p>
        </w:tc>
      </w:tr>
      <w:tr w:rsidR="006F35A0" w:rsidRPr="006F35A0" w14:paraId="635476FE" w14:textId="77777777" w:rsidTr="006F35A0">
        <w:trPr>
          <w:trHeight w:val="259"/>
        </w:trPr>
        <w:tc>
          <w:tcPr>
            <w:tcW w:w="3160" w:type="dxa"/>
            <w:tcBorders>
              <w:top w:val="single" w:sz="4" w:space="0" w:color="ADD6EA"/>
              <w:left w:val="nil"/>
              <w:bottom w:val="nil"/>
              <w:right w:val="nil"/>
            </w:tcBorders>
            <w:shd w:val="clear" w:color="000000" w:fill="B6D5E4"/>
            <w:vAlign w:val="center"/>
            <w:hideMark/>
          </w:tcPr>
          <w:p w14:paraId="38D764B6" w14:textId="77777777" w:rsidR="006F35A0" w:rsidRPr="006F35A0" w:rsidRDefault="006F35A0" w:rsidP="006F35A0">
            <w:pPr>
              <w:tabs>
                <w:tab w:val="clear" w:pos="567"/>
              </w:tabs>
              <w:spacing w:before="0" w:line="240" w:lineRule="auto"/>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3A3F69D7"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DCC4123"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0FEBA200"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DB29C03"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2817F9E8"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3ADAF274"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7C941651"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58291AE2"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vAlign w:val="center"/>
            <w:hideMark/>
          </w:tcPr>
          <w:p w14:paraId="3BF93AE0"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$m</w:t>
            </w:r>
          </w:p>
        </w:tc>
      </w:tr>
      <w:tr w:rsidR="006F35A0" w:rsidRPr="006F35A0" w14:paraId="4F084B86" w14:textId="77777777" w:rsidTr="006F35A0">
        <w:trPr>
          <w:trHeight w:val="319"/>
        </w:trPr>
        <w:tc>
          <w:tcPr>
            <w:tcW w:w="3160" w:type="dxa"/>
            <w:tcBorders>
              <w:top w:val="single" w:sz="4" w:space="0" w:color="ADD6EA"/>
              <w:left w:val="nil"/>
              <w:bottom w:val="nil"/>
              <w:right w:val="nil"/>
            </w:tcBorders>
            <w:shd w:val="clear" w:color="000000" w:fill="FFFFFF"/>
            <w:vAlign w:val="center"/>
            <w:hideMark/>
          </w:tcPr>
          <w:p w14:paraId="3A65E363" w14:textId="77777777" w:rsidR="006F35A0" w:rsidRPr="006F35A0" w:rsidRDefault="006F35A0" w:rsidP="006F35A0">
            <w:pPr>
              <w:tabs>
                <w:tab w:val="clear" w:pos="567"/>
              </w:tabs>
              <w:spacing w:before="0" w:line="240" w:lineRule="auto"/>
              <w:rPr>
                <w:rFonts w:eastAsia="Times New Roman" w:cs="Open Sans Light"/>
                <w:color w:val="000000"/>
                <w:sz w:val="16"/>
                <w:szCs w:val="16"/>
                <w:lang w:eastAsia="en-AU"/>
              </w:rPr>
            </w:pPr>
            <w:r w:rsidRPr="006F35A0">
              <w:rPr>
                <w:rFonts w:eastAsia="Times New Roman" w:cs="Open Sans Light"/>
                <w:color w:val="000000"/>
                <w:sz w:val="16"/>
                <w:szCs w:val="16"/>
                <w:lang w:eastAsia="en-AU"/>
              </w:rPr>
              <w:t>Commonwealth payment for COVID-19</w:t>
            </w:r>
          </w:p>
        </w:tc>
        <w:tc>
          <w:tcPr>
            <w:tcW w:w="640" w:type="dxa"/>
            <w:tcBorders>
              <w:top w:val="single" w:sz="4" w:space="0" w:color="ADD6EA"/>
              <w:left w:val="nil"/>
              <w:bottom w:val="nil"/>
              <w:right w:val="nil"/>
            </w:tcBorders>
            <w:shd w:val="clear" w:color="000000" w:fill="FFFFFF"/>
            <w:vAlign w:val="center"/>
            <w:hideMark/>
          </w:tcPr>
          <w:p w14:paraId="71D12321"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-154</w:t>
            </w:r>
          </w:p>
        </w:tc>
        <w:tc>
          <w:tcPr>
            <w:tcW w:w="640" w:type="dxa"/>
            <w:tcBorders>
              <w:top w:val="single" w:sz="4" w:space="0" w:color="ADD6EA"/>
              <w:left w:val="nil"/>
              <w:bottom w:val="nil"/>
              <w:right w:val="nil"/>
            </w:tcBorders>
            <w:shd w:val="clear" w:color="000000" w:fill="FFFFFF"/>
            <w:vAlign w:val="center"/>
            <w:hideMark/>
          </w:tcPr>
          <w:p w14:paraId="7F3DA4D7"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-206</w:t>
            </w:r>
          </w:p>
        </w:tc>
        <w:tc>
          <w:tcPr>
            <w:tcW w:w="640" w:type="dxa"/>
            <w:tcBorders>
              <w:top w:val="single" w:sz="4" w:space="0" w:color="ADD6EA"/>
              <w:left w:val="nil"/>
              <w:bottom w:val="nil"/>
              <w:right w:val="nil"/>
            </w:tcBorders>
            <w:shd w:val="clear" w:color="000000" w:fill="FFFFFF"/>
            <w:vAlign w:val="center"/>
            <w:hideMark/>
          </w:tcPr>
          <w:p w14:paraId="7AE9D60C"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287</w:t>
            </w:r>
          </w:p>
        </w:tc>
        <w:tc>
          <w:tcPr>
            <w:tcW w:w="640" w:type="dxa"/>
            <w:tcBorders>
              <w:top w:val="single" w:sz="4" w:space="0" w:color="ADD6EA"/>
              <w:left w:val="nil"/>
              <w:bottom w:val="nil"/>
              <w:right w:val="nil"/>
            </w:tcBorders>
            <w:shd w:val="clear" w:color="000000" w:fill="FFFFFF"/>
            <w:vAlign w:val="center"/>
            <w:hideMark/>
          </w:tcPr>
          <w:p w14:paraId="77C573A1"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15</w:t>
            </w:r>
          </w:p>
        </w:tc>
        <w:tc>
          <w:tcPr>
            <w:tcW w:w="640" w:type="dxa"/>
            <w:tcBorders>
              <w:top w:val="single" w:sz="4" w:space="0" w:color="ADD6EA"/>
              <w:left w:val="nil"/>
              <w:bottom w:val="nil"/>
              <w:right w:val="nil"/>
            </w:tcBorders>
            <w:shd w:val="clear" w:color="000000" w:fill="FFFFFF"/>
            <w:vAlign w:val="center"/>
            <w:hideMark/>
          </w:tcPr>
          <w:p w14:paraId="6CF1EFA1"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67</w:t>
            </w:r>
          </w:p>
        </w:tc>
        <w:tc>
          <w:tcPr>
            <w:tcW w:w="640" w:type="dxa"/>
            <w:tcBorders>
              <w:top w:val="single" w:sz="4" w:space="0" w:color="ADD6EA"/>
              <w:left w:val="nil"/>
              <w:bottom w:val="nil"/>
              <w:right w:val="nil"/>
            </w:tcBorders>
            <w:shd w:val="clear" w:color="000000" w:fill="FFFFFF"/>
            <w:vAlign w:val="center"/>
            <w:hideMark/>
          </w:tcPr>
          <w:p w14:paraId="1882F557"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730ADC33"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02AE8951"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-10</w:t>
            </w:r>
          </w:p>
        </w:tc>
        <w:tc>
          <w:tcPr>
            <w:tcW w:w="660" w:type="dxa"/>
            <w:tcBorders>
              <w:top w:val="single" w:sz="4" w:space="0" w:color="ADD6EA"/>
              <w:left w:val="nil"/>
              <w:bottom w:val="nil"/>
              <w:right w:val="nil"/>
            </w:tcBorders>
            <w:shd w:val="clear" w:color="000000" w:fill="FFFFFF"/>
            <w:vAlign w:val="center"/>
            <w:hideMark/>
          </w:tcPr>
          <w:p w14:paraId="7CD69468"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377</w:t>
            </w:r>
          </w:p>
        </w:tc>
      </w:tr>
      <w:tr w:rsidR="006F35A0" w:rsidRPr="006F35A0" w14:paraId="6FC7BD18" w14:textId="77777777" w:rsidTr="006F35A0">
        <w:trPr>
          <w:trHeight w:val="540"/>
        </w:trPr>
        <w:tc>
          <w:tcPr>
            <w:tcW w:w="3160" w:type="dxa"/>
            <w:tcBorders>
              <w:top w:val="single" w:sz="4" w:space="0" w:color="ADD6EA"/>
              <w:left w:val="nil"/>
              <w:bottom w:val="nil"/>
              <w:right w:val="nil"/>
            </w:tcBorders>
            <w:shd w:val="clear" w:color="000000" w:fill="FFFFFF"/>
            <w:vAlign w:val="center"/>
            <w:hideMark/>
          </w:tcPr>
          <w:p w14:paraId="0C463A43" w14:textId="77777777" w:rsidR="006F35A0" w:rsidRPr="006F35A0" w:rsidRDefault="006F35A0" w:rsidP="006F35A0">
            <w:pPr>
              <w:tabs>
                <w:tab w:val="clear" w:pos="567"/>
              </w:tabs>
              <w:spacing w:before="0" w:line="240" w:lineRule="auto"/>
              <w:rPr>
                <w:rFonts w:eastAsia="Times New Roman" w:cs="Open Sans Light"/>
                <w:color w:val="000000"/>
                <w:sz w:val="16"/>
                <w:szCs w:val="16"/>
                <w:lang w:eastAsia="en-AU"/>
              </w:rPr>
            </w:pPr>
            <w:r w:rsidRPr="006F35A0">
              <w:rPr>
                <w:rFonts w:eastAsia="Times New Roman" w:cs="Open Sans Light"/>
                <w:color w:val="000000"/>
                <w:sz w:val="16"/>
                <w:szCs w:val="16"/>
                <w:lang w:eastAsia="en-AU"/>
              </w:rPr>
              <w:t>State spending of commonwealth payment</w:t>
            </w:r>
          </w:p>
        </w:tc>
        <w:tc>
          <w:tcPr>
            <w:tcW w:w="640" w:type="dxa"/>
            <w:tcBorders>
              <w:top w:val="single" w:sz="4" w:space="0" w:color="ADD6EA"/>
              <w:left w:val="nil"/>
              <w:bottom w:val="nil"/>
              <w:right w:val="nil"/>
            </w:tcBorders>
            <w:shd w:val="clear" w:color="000000" w:fill="FFFFFF"/>
            <w:vAlign w:val="center"/>
            <w:hideMark/>
          </w:tcPr>
          <w:p w14:paraId="7D35C300"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154</w:t>
            </w:r>
          </w:p>
        </w:tc>
        <w:tc>
          <w:tcPr>
            <w:tcW w:w="640" w:type="dxa"/>
            <w:tcBorders>
              <w:top w:val="single" w:sz="4" w:space="0" w:color="ADD6EA"/>
              <w:left w:val="nil"/>
              <w:bottom w:val="nil"/>
              <w:right w:val="nil"/>
            </w:tcBorders>
            <w:shd w:val="clear" w:color="000000" w:fill="FFFFFF"/>
            <w:vAlign w:val="center"/>
            <w:hideMark/>
          </w:tcPr>
          <w:p w14:paraId="1286CCB7"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206</w:t>
            </w:r>
          </w:p>
        </w:tc>
        <w:tc>
          <w:tcPr>
            <w:tcW w:w="640" w:type="dxa"/>
            <w:tcBorders>
              <w:top w:val="single" w:sz="4" w:space="0" w:color="ADD6EA"/>
              <w:left w:val="nil"/>
              <w:bottom w:val="nil"/>
              <w:right w:val="nil"/>
            </w:tcBorders>
            <w:shd w:val="clear" w:color="000000" w:fill="FFFFFF"/>
            <w:vAlign w:val="center"/>
            <w:hideMark/>
          </w:tcPr>
          <w:p w14:paraId="586849BE"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-287</w:t>
            </w:r>
          </w:p>
        </w:tc>
        <w:tc>
          <w:tcPr>
            <w:tcW w:w="640" w:type="dxa"/>
            <w:tcBorders>
              <w:top w:val="single" w:sz="4" w:space="0" w:color="ADD6EA"/>
              <w:left w:val="nil"/>
              <w:bottom w:val="nil"/>
              <w:right w:val="nil"/>
            </w:tcBorders>
            <w:shd w:val="clear" w:color="000000" w:fill="FFFFFF"/>
            <w:vAlign w:val="center"/>
            <w:hideMark/>
          </w:tcPr>
          <w:p w14:paraId="33E1DFE1"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-15</w:t>
            </w:r>
          </w:p>
        </w:tc>
        <w:tc>
          <w:tcPr>
            <w:tcW w:w="640" w:type="dxa"/>
            <w:tcBorders>
              <w:top w:val="single" w:sz="4" w:space="0" w:color="ADD6EA"/>
              <w:left w:val="nil"/>
              <w:bottom w:val="nil"/>
              <w:right w:val="nil"/>
            </w:tcBorders>
            <w:shd w:val="clear" w:color="000000" w:fill="FFFFFF"/>
            <w:vAlign w:val="center"/>
            <w:hideMark/>
          </w:tcPr>
          <w:p w14:paraId="7B569D1E"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-67</w:t>
            </w:r>
          </w:p>
        </w:tc>
        <w:tc>
          <w:tcPr>
            <w:tcW w:w="640" w:type="dxa"/>
            <w:tcBorders>
              <w:top w:val="single" w:sz="4" w:space="0" w:color="ADD6EA"/>
              <w:left w:val="nil"/>
              <w:bottom w:val="nil"/>
              <w:right w:val="nil"/>
            </w:tcBorders>
            <w:shd w:val="clear" w:color="000000" w:fill="FFFFFF"/>
            <w:vAlign w:val="center"/>
            <w:hideMark/>
          </w:tcPr>
          <w:p w14:paraId="44D674B2"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7247A09C"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40E9799B"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10</w:t>
            </w:r>
          </w:p>
        </w:tc>
        <w:tc>
          <w:tcPr>
            <w:tcW w:w="660" w:type="dxa"/>
            <w:tcBorders>
              <w:top w:val="single" w:sz="4" w:space="0" w:color="ADD6EA"/>
              <w:left w:val="nil"/>
              <w:bottom w:val="nil"/>
              <w:right w:val="nil"/>
            </w:tcBorders>
            <w:shd w:val="clear" w:color="000000" w:fill="FFFFFF"/>
            <w:vAlign w:val="center"/>
            <w:hideMark/>
          </w:tcPr>
          <w:p w14:paraId="57EB0FBD"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377</w:t>
            </w:r>
          </w:p>
        </w:tc>
      </w:tr>
      <w:tr w:rsidR="006F35A0" w:rsidRPr="006F35A0" w14:paraId="4134CF8A" w14:textId="77777777" w:rsidTr="006F35A0">
        <w:trPr>
          <w:trHeight w:val="319"/>
        </w:trPr>
        <w:tc>
          <w:tcPr>
            <w:tcW w:w="3160" w:type="dxa"/>
            <w:tcBorders>
              <w:top w:val="single" w:sz="4" w:space="0" w:color="ADD6EA"/>
              <w:left w:val="nil"/>
              <w:bottom w:val="nil"/>
              <w:right w:val="nil"/>
            </w:tcBorders>
            <w:shd w:val="clear" w:color="000000" w:fill="FFFFFF"/>
            <w:vAlign w:val="center"/>
            <w:hideMark/>
          </w:tcPr>
          <w:p w14:paraId="5CAE3016" w14:textId="77777777" w:rsidR="006F35A0" w:rsidRPr="006F35A0" w:rsidRDefault="006F35A0" w:rsidP="006F35A0">
            <w:pPr>
              <w:tabs>
                <w:tab w:val="clear" w:pos="567"/>
              </w:tabs>
              <w:spacing w:before="0" w:line="240" w:lineRule="auto"/>
              <w:rPr>
                <w:rFonts w:eastAsia="Times New Roman" w:cs="Open Sans Light"/>
                <w:color w:val="000000"/>
                <w:sz w:val="16"/>
                <w:szCs w:val="16"/>
                <w:lang w:eastAsia="en-AU"/>
              </w:rPr>
            </w:pPr>
            <w:r w:rsidRPr="006F35A0">
              <w:rPr>
                <w:rFonts w:eastAsia="Times New Roman" w:cs="Open Sans Light"/>
                <w:color w:val="000000"/>
                <w:sz w:val="16"/>
                <w:szCs w:val="16"/>
                <w:lang w:eastAsia="en-AU"/>
              </w:rPr>
              <w:t>State own source COVID-19 spending</w:t>
            </w:r>
          </w:p>
        </w:tc>
        <w:tc>
          <w:tcPr>
            <w:tcW w:w="640" w:type="dxa"/>
            <w:tcBorders>
              <w:top w:val="single" w:sz="4" w:space="0" w:color="ADD6EA"/>
              <w:left w:val="nil"/>
              <w:bottom w:val="nil"/>
              <w:right w:val="nil"/>
            </w:tcBorders>
            <w:shd w:val="clear" w:color="000000" w:fill="FFFFFF"/>
            <w:vAlign w:val="center"/>
            <w:hideMark/>
          </w:tcPr>
          <w:p w14:paraId="2177AB43"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154</w:t>
            </w:r>
          </w:p>
        </w:tc>
        <w:tc>
          <w:tcPr>
            <w:tcW w:w="640" w:type="dxa"/>
            <w:tcBorders>
              <w:top w:val="single" w:sz="4" w:space="0" w:color="ADD6EA"/>
              <w:left w:val="nil"/>
              <w:bottom w:val="nil"/>
              <w:right w:val="nil"/>
            </w:tcBorders>
            <w:shd w:val="clear" w:color="000000" w:fill="FFFFFF"/>
            <w:vAlign w:val="center"/>
            <w:hideMark/>
          </w:tcPr>
          <w:p w14:paraId="06F1F911"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206</w:t>
            </w:r>
          </w:p>
        </w:tc>
        <w:tc>
          <w:tcPr>
            <w:tcW w:w="640" w:type="dxa"/>
            <w:tcBorders>
              <w:top w:val="single" w:sz="4" w:space="0" w:color="ADD6EA"/>
              <w:left w:val="nil"/>
              <w:bottom w:val="nil"/>
              <w:right w:val="nil"/>
            </w:tcBorders>
            <w:shd w:val="clear" w:color="000000" w:fill="FFFFFF"/>
            <w:vAlign w:val="center"/>
            <w:hideMark/>
          </w:tcPr>
          <w:p w14:paraId="0BECBED8"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-287</w:t>
            </w:r>
          </w:p>
        </w:tc>
        <w:tc>
          <w:tcPr>
            <w:tcW w:w="640" w:type="dxa"/>
            <w:tcBorders>
              <w:top w:val="single" w:sz="4" w:space="0" w:color="ADD6EA"/>
              <w:left w:val="nil"/>
              <w:bottom w:val="nil"/>
              <w:right w:val="nil"/>
            </w:tcBorders>
            <w:shd w:val="clear" w:color="000000" w:fill="FFFFFF"/>
            <w:vAlign w:val="center"/>
            <w:hideMark/>
          </w:tcPr>
          <w:p w14:paraId="14622AC1"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-15</w:t>
            </w:r>
          </w:p>
        </w:tc>
        <w:tc>
          <w:tcPr>
            <w:tcW w:w="640" w:type="dxa"/>
            <w:tcBorders>
              <w:top w:val="single" w:sz="4" w:space="0" w:color="ADD6EA"/>
              <w:left w:val="nil"/>
              <w:bottom w:val="nil"/>
              <w:right w:val="nil"/>
            </w:tcBorders>
            <w:shd w:val="clear" w:color="000000" w:fill="FFFFFF"/>
            <w:vAlign w:val="center"/>
            <w:hideMark/>
          </w:tcPr>
          <w:p w14:paraId="150EF021"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-67</w:t>
            </w:r>
          </w:p>
        </w:tc>
        <w:tc>
          <w:tcPr>
            <w:tcW w:w="640" w:type="dxa"/>
            <w:tcBorders>
              <w:top w:val="single" w:sz="4" w:space="0" w:color="ADD6EA"/>
              <w:left w:val="nil"/>
              <w:bottom w:val="nil"/>
              <w:right w:val="nil"/>
            </w:tcBorders>
            <w:shd w:val="clear" w:color="000000" w:fill="FFFFFF"/>
            <w:vAlign w:val="center"/>
            <w:hideMark/>
          </w:tcPr>
          <w:p w14:paraId="791ED66F"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2F156639"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62FF62F6"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10</w:t>
            </w:r>
          </w:p>
        </w:tc>
        <w:tc>
          <w:tcPr>
            <w:tcW w:w="660" w:type="dxa"/>
            <w:tcBorders>
              <w:top w:val="single" w:sz="4" w:space="0" w:color="ADD6EA"/>
              <w:left w:val="nil"/>
              <w:bottom w:val="nil"/>
              <w:right w:val="nil"/>
            </w:tcBorders>
            <w:shd w:val="clear" w:color="000000" w:fill="FFFFFF"/>
            <w:vAlign w:val="center"/>
            <w:hideMark/>
          </w:tcPr>
          <w:p w14:paraId="7A84516E"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377</w:t>
            </w:r>
          </w:p>
        </w:tc>
      </w:tr>
      <w:tr w:rsidR="006F35A0" w:rsidRPr="006F35A0" w14:paraId="45A97DD4" w14:textId="77777777" w:rsidTr="006F35A0">
        <w:trPr>
          <w:trHeight w:val="552"/>
        </w:trPr>
        <w:tc>
          <w:tcPr>
            <w:tcW w:w="3160" w:type="dxa"/>
            <w:tcBorders>
              <w:top w:val="single" w:sz="4" w:space="0" w:color="ADD6EA"/>
              <w:left w:val="nil"/>
              <w:bottom w:val="nil"/>
              <w:right w:val="nil"/>
            </w:tcBorders>
            <w:shd w:val="clear" w:color="000000" w:fill="FFFFFF"/>
            <w:vAlign w:val="center"/>
            <w:hideMark/>
          </w:tcPr>
          <w:p w14:paraId="220AAE3C" w14:textId="079DCD3C" w:rsidR="006F35A0" w:rsidRPr="006F35A0" w:rsidRDefault="006F35A0" w:rsidP="006F35A0">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Moving expenses to the COVID-19 component</w:t>
            </w:r>
          </w:p>
        </w:tc>
        <w:tc>
          <w:tcPr>
            <w:tcW w:w="640" w:type="dxa"/>
            <w:tcBorders>
              <w:top w:val="single" w:sz="4" w:space="0" w:color="ADD6EA"/>
              <w:left w:val="nil"/>
              <w:bottom w:val="nil"/>
              <w:right w:val="nil"/>
            </w:tcBorders>
            <w:shd w:val="clear" w:color="000000" w:fill="FFFFFF"/>
            <w:vAlign w:val="center"/>
            <w:hideMark/>
          </w:tcPr>
          <w:p w14:paraId="0ECB0A1E"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55</w:t>
            </w:r>
          </w:p>
        </w:tc>
        <w:tc>
          <w:tcPr>
            <w:tcW w:w="640" w:type="dxa"/>
            <w:tcBorders>
              <w:top w:val="single" w:sz="4" w:space="0" w:color="ADD6EA"/>
              <w:left w:val="nil"/>
              <w:bottom w:val="nil"/>
              <w:right w:val="nil"/>
            </w:tcBorders>
            <w:shd w:val="clear" w:color="000000" w:fill="FFFFFF"/>
            <w:vAlign w:val="center"/>
            <w:hideMark/>
          </w:tcPr>
          <w:p w14:paraId="1E4FDDF8"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87</w:t>
            </w:r>
          </w:p>
        </w:tc>
        <w:tc>
          <w:tcPr>
            <w:tcW w:w="640" w:type="dxa"/>
            <w:tcBorders>
              <w:top w:val="single" w:sz="4" w:space="0" w:color="ADD6EA"/>
              <w:left w:val="nil"/>
              <w:bottom w:val="nil"/>
              <w:right w:val="nil"/>
            </w:tcBorders>
            <w:shd w:val="clear" w:color="000000" w:fill="FFFFFF"/>
            <w:vAlign w:val="center"/>
            <w:hideMark/>
          </w:tcPr>
          <w:p w14:paraId="790327FD"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-37</w:t>
            </w:r>
          </w:p>
        </w:tc>
        <w:tc>
          <w:tcPr>
            <w:tcW w:w="640" w:type="dxa"/>
            <w:tcBorders>
              <w:top w:val="single" w:sz="4" w:space="0" w:color="ADD6EA"/>
              <w:left w:val="nil"/>
              <w:bottom w:val="nil"/>
              <w:right w:val="nil"/>
            </w:tcBorders>
            <w:shd w:val="clear" w:color="000000" w:fill="FFFFFF"/>
            <w:vAlign w:val="center"/>
            <w:hideMark/>
          </w:tcPr>
          <w:p w14:paraId="09221E42"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-30</w:t>
            </w:r>
          </w:p>
        </w:tc>
        <w:tc>
          <w:tcPr>
            <w:tcW w:w="640" w:type="dxa"/>
            <w:tcBorders>
              <w:top w:val="single" w:sz="4" w:space="0" w:color="ADD6EA"/>
              <w:left w:val="nil"/>
              <w:bottom w:val="nil"/>
              <w:right w:val="nil"/>
            </w:tcBorders>
            <w:shd w:val="clear" w:color="000000" w:fill="FFFFFF"/>
            <w:vAlign w:val="center"/>
            <w:hideMark/>
          </w:tcPr>
          <w:p w14:paraId="7CEF7B80"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-11</w:t>
            </w:r>
          </w:p>
        </w:tc>
        <w:tc>
          <w:tcPr>
            <w:tcW w:w="640" w:type="dxa"/>
            <w:tcBorders>
              <w:top w:val="single" w:sz="4" w:space="0" w:color="ADD6EA"/>
              <w:left w:val="nil"/>
              <w:bottom w:val="nil"/>
              <w:right w:val="nil"/>
            </w:tcBorders>
            <w:shd w:val="clear" w:color="000000" w:fill="FFFFFF"/>
            <w:vAlign w:val="center"/>
            <w:hideMark/>
          </w:tcPr>
          <w:p w14:paraId="0A61E02E"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-30</w:t>
            </w:r>
          </w:p>
        </w:tc>
        <w:tc>
          <w:tcPr>
            <w:tcW w:w="640" w:type="dxa"/>
            <w:tcBorders>
              <w:top w:val="single" w:sz="4" w:space="0" w:color="ADD6EA"/>
              <w:left w:val="nil"/>
              <w:bottom w:val="nil"/>
              <w:right w:val="nil"/>
            </w:tcBorders>
            <w:shd w:val="clear" w:color="000000" w:fill="FFFFFF"/>
            <w:vAlign w:val="center"/>
            <w:hideMark/>
          </w:tcPr>
          <w:p w14:paraId="67E1EFCB"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3</w:t>
            </w:r>
          </w:p>
        </w:tc>
        <w:tc>
          <w:tcPr>
            <w:tcW w:w="640" w:type="dxa"/>
            <w:tcBorders>
              <w:top w:val="single" w:sz="4" w:space="0" w:color="ADD6EA"/>
              <w:left w:val="nil"/>
              <w:bottom w:val="nil"/>
              <w:right w:val="nil"/>
            </w:tcBorders>
            <w:shd w:val="clear" w:color="000000" w:fill="FFFFFF"/>
            <w:vAlign w:val="center"/>
            <w:hideMark/>
          </w:tcPr>
          <w:p w14:paraId="61B92998"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-38</w:t>
            </w:r>
          </w:p>
        </w:tc>
        <w:tc>
          <w:tcPr>
            <w:tcW w:w="660" w:type="dxa"/>
            <w:tcBorders>
              <w:top w:val="single" w:sz="4" w:space="0" w:color="ADD6EA"/>
              <w:left w:val="nil"/>
              <w:bottom w:val="nil"/>
              <w:right w:val="nil"/>
            </w:tcBorders>
            <w:shd w:val="clear" w:color="000000" w:fill="FFFFFF"/>
            <w:vAlign w:val="center"/>
            <w:hideMark/>
          </w:tcPr>
          <w:p w14:paraId="177D86CF"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145</w:t>
            </w:r>
          </w:p>
        </w:tc>
      </w:tr>
      <w:tr w:rsidR="006F35A0" w:rsidRPr="006F35A0" w14:paraId="76E5188A" w14:textId="77777777" w:rsidTr="006F35A0">
        <w:trPr>
          <w:trHeight w:val="319"/>
        </w:trPr>
        <w:tc>
          <w:tcPr>
            <w:tcW w:w="3160" w:type="dxa"/>
            <w:tcBorders>
              <w:top w:val="single" w:sz="4" w:space="0" w:color="ADD6EA"/>
              <w:left w:val="nil"/>
              <w:bottom w:val="nil"/>
              <w:right w:val="nil"/>
            </w:tcBorders>
            <w:shd w:val="clear" w:color="000000" w:fill="D6E7F0"/>
            <w:vAlign w:val="center"/>
            <w:hideMark/>
          </w:tcPr>
          <w:p w14:paraId="124D0490" w14:textId="77777777" w:rsidR="006F35A0" w:rsidRPr="006F35A0" w:rsidRDefault="006F35A0" w:rsidP="006F35A0">
            <w:pPr>
              <w:tabs>
                <w:tab w:val="clear" w:pos="567"/>
              </w:tabs>
              <w:spacing w:before="0" w:line="240" w:lineRule="auto"/>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Net effect of treatment of COVID-19</w:t>
            </w:r>
          </w:p>
        </w:tc>
        <w:tc>
          <w:tcPr>
            <w:tcW w:w="640" w:type="dxa"/>
            <w:tcBorders>
              <w:top w:val="single" w:sz="4" w:space="0" w:color="ADD6EA"/>
              <w:left w:val="nil"/>
              <w:bottom w:val="nil"/>
              <w:right w:val="nil"/>
            </w:tcBorders>
            <w:shd w:val="clear" w:color="000000" w:fill="D6E7F0"/>
            <w:vAlign w:val="center"/>
            <w:hideMark/>
          </w:tcPr>
          <w:p w14:paraId="2FB4B3EC"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209</w:t>
            </w:r>
          </w:p>
        </w:tc>
        <w:tc>
          <w:tcPr>
            <w:tcW w:w="640" w:type="dxa"/>
            <w:tcBorders>
              <w:top w:val="single" w:sz="4" w:space="0" w:color="ADD6EA"/>
              <w:left w:val="nil"/>
              <w:bottom w:val="nil"/>
              <w:right w:val="nil"/>
            </w:tcBorders>
            <w:shd w:val="clear" w:color="000000" w:fill="D6E7F0"/>
            <w:vAlign w:val="center"/>
            <w:hideMark/>
          </w:tcPr>
          <w:p w14:paraId="426733A2"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293</w:t>
            </w:r>
          </w:p>
        </w:tc>
        <w:tc>
          <w:tcPr>
            <w:tcW w:w="640" w:type="dxa"/>
            <w:tcBorders>
              <w:top w:val="single" w:sz="4" w:space="0" w:color="ADD6EA"/>
              <w:left w:val="nil"/>
              <w:bottom w:val="nil"/>
              <w:right w:val="nil"/>
            </w:tcBorders>
            <w:shd w:val="clear" w:color="000000" w:fill="D6E7F0"/>
            <w:vAlign w:val="center"/>
            <w:hideMark/>
          </w:tcPr>
          <w:p w14:paraId="0C34B1F6"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-324</w:t>
            </w:r>
          </w:p>
        </w:tc>
        <w:tc>
          <w:tcPr>
            <w:tcW w:w="640" w:type="dxa"/>
            <w:tcBorders>
              <w:top w:val="single" w:sz="4" w:space="0" w:color="ADD6EA"/>
              <w:left w:val="nil"/>
              <w:bottom w:val="nil"/>
              <w:right w:val="nil"/>
            </w:tcBorders>
            <w:shd w:val="clear" w:color="000000" w:fill="D6E7F0"/>
            <w:vAlign w:val="center"/>
            <w:hideMark/>
          </w:tcPr>
          <w:p w14:paraId="5C9BD141"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-45</w:t>
            </w:r>
          </w:p>
        </w:tc>
        <w:tc>
          <w:tcPr>
            <w:tcW w:w="640" w:type="dxa"/>
            <w:tcBorders>
              <w:top w:val="single" w:sz="4" w:space="0" w:color="ADD6EA"/>
              <w:left w:val="nil"/>
              <w:bottom w:val="nil"/>
              <w:right w:val="nil"/>
            </w:tcBorders>
            <w:shd w:val="clear" w:color="000000" w:fill="D6E7F0"/>
            <w:vAlign w:val="center"/>
            <w:hideMark/>
          </w:tcPr>
          <w:p w14:paraId="60B78EDE"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-78</w:t>
            </w:r>
          </w:p>
        </w:tc>
        <w:tc>
          <w:tcPr>
            <w:tcW w:w="640" w:type="dxa"/>
            <w:tcBorders>
              <w:top w:val="single" w:sz="4" w:space="0" w:color="ADD6EA"/>
              <w:left w:val="nil"/>
              <w:bottom w:val="nil"/>
              <w:right w:val="nil"/>
            </w:tcBorders>
            <w:shd w:val="clear" w:color="000000" w:fill="D6E7F0"/>
            <w:vAlign w:val="center"/>
            <w:hideMark/>
          </w:tcPr>
          <w:p w14:paraId="7CF0B5D5"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-23</w:t>
            </w:r>
          </w:p>
        </w:tc>
        <w:tc>
          <w:tcPr>
            <w:tcW w:w="640" w:type="dxa"/>
            <w:tcBorders>
              <w:top w:val="single" w:sz="4" w:space="0" w:color="ADD6EA"/>
              <w:left w:val="nil"/>
              <w:bottom w:val="nil"/>
              <w:right w:val="nil"/>
            </w:tcBorders>
            <w:shd w:val="clear" w:color="000000" w:fill="D6E7F0"/>
            <w:vAlign w:val="center"/>
            <w:hideMark/>
          </w:tcPr>
          <w:p w14:paraId="397CAEC1"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-4</w:t>
            </w:r>
          </w:p>
        </w:tc>
        <w:tc>
          <w:tcPr>
            <w:tcW w:w="640" w:type="dxa"/>
            <w:tcBorders>
              <w:top w:val="single" w:sz="4" w:space="0" w:color="ADD6EA"/>
              <w:left w:val="nil"/>
              <w:bottom w:val="nil"/>
              <w:right w:val="nil"/>
            </w:tcBorders>
            <w:shd w:val="clear" w:color="000000" w:fill="D6E7F0"/>
            <w:vAlign w:val="center"/>
            <w:hideMark/>
          </w:tcPr>
          <w:p w14:paraId="7F48FE0C"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-28</w:t>
            </w:r>
          </w:p>
        </w:tc>
        <w:tc>
          <w:tcPr>
            <w:tcW w:w="660" w:type="dxa"/>
            <w:tcBorders>
              <w:top w:val="single" w:sz="4" w:space="0" w:color="ADD6EA"/>
              <w:left w:val="nil"/>
              <w:bottom w:val="nil"/>
              <w:right w:val="nil"/>
            </w:tcBorders>
            <w:shd w:val="clear" w:color="000000" w:fill="D6E7F0"/>
            <w:vAlign w:val="center"/>
            <w:hideMark/>
          </w:tcPr>
          <w:p w14:paraId="2E470DB1"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502</w:t>
            </w:r>
          </w:p>
        </w:tc>
      </w:tr>
      <w:tr w:rsidR="006F35A0" w:rsidRPr="006F35A0" w14:paraId="0CCAB020" w14:textId="77777777" w:rsidTr="006F35A0">
        <w:trPr>
          <w:trHeight w:val="259"/>
        </w:trPr>
        <w:tc>
          <w:tcPr>
            <w:tcW w:w="3160" w:type="dxa"/>
            <w:tcBorders>
              <w:top w:val="single" w:sz="4" w:space="0" w:color="ADD6EA"/>
              <w:left w:val="nil"/>
              <w:bottom w:val="nil"/>
              <w:right w:val="nil"/>
            </w:tcBorders>
            <w:shd w:val="clear" w:color="000000" w:fill="B6D5E4"/>
            <w:vAlign w:val="center"/>
            <w:hideMark/>
          </w:tcPr>
          <w:p w14:paraId="4DEB4CC9" w14:textId="77777777" w:rsidR="006F35A0" w:rsidRPr="006F35A0" w:rsidRDefault="006F35A0" w:rsidP="006F35A0">
            <w:pPr>
              <w:tabs>
                <w:tab w:val="clear" w:pos="567"/>
              </w:tabs>
              <w:spacing w:before="0" w:line="240" w:lineRule="auto"/>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 </w:t>
            </w:r>
          </w:p>
        </w:tc>
        <w:tc>
          <w:tcPr>
            <w:tcW w:w="640" w:type="dxa"/>
            <w:tcBorders>
              <w:top w:val="single" w:sz="4" w:space="0" w:color="ADD6EA"/>
              <w:left w:val="nil"/>
              <w:bottom w:val="nil"/>
              <w:right w:val="nil"/>
            </w:tcBorders>
            <w:shd w:val="clear" w:color="000000" w:fill="B6D5E4"/>
            <w:vAlign w:val="center"/>
            <w:hideMark/>
          </w:tcPr>
          <w:p w14:paraId="56ED8F2A"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29A176B"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1C8169EC"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2BC93490"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60F24A22"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4A12E1AD"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51689631"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3456C8AB"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$pc</w:t>
            </w:r>
          </w:p>
        </w:tc>
        <w:tc>
          <w:tcPr>
            <w:tcW w:w="660" w:type="dxa"/>
            <w:tcBorders>
              <w:top w:val="single" w:sz="4" w:space="0" w:color="ADD6EA"/>
              <w:left w:val="nil"/>
              <w:bottom w:val="nil"/>
              <w:right w:val="nil"/>
            </w:tcBorders>
            <w:shd w:val="clear" w:color="000000" w:fill="B6D5E4"/>
            <w:vAlign w:val="center"/>
            <w:hideMark/>
          </w:tcPr>
          <w:p w14:paraId="005D0D0F"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$pc</w:t>
            </w:r>
          </w:p>
        </w:tc>
      </w:tr>
      <w:tr w:rsidR="006F35A0" w:rsidRPr="006F35A0" w14:paraId="045B0913" w14:textId="77777777" w:rsidTr="006F35A0">
        <w:trPr>
          <w:trHeight w:val="319"/>
        </w:trPr>
        <w:tc>
          <w:tcPr>
            <w:tcW w:w="3160" w:type="dxa"/>
            <w:tcBorders>
              <w:top w:val="single" w:sz="4" w:space="0" w:color="ADD6EA"/>
              <w:left w:val="nil"/>
              <w:bottom w:val="nil"/>
              <w:right w:val="nil"/>
            </w:tcBorders>
            <w:shd w:val="clear" w:color="000000" w:fill="FFFFFF"/>
            <w:vAlign w:val="center"/>
            <w:hideMark/>
          </w:tcPr>
          <w:p w14:paraId="56D36D87" w14:textId="77777777" w:rsidR="006F35A0" w:rsidRPr="006F35A0" w:rsidRDefault="006F35A0" w:rsidP="006F35A0">
            <w:pPr>
              <w:tabs>
                <w:tab w:val="clear" w:pos="567"/>
              </w:tabs>
              <w:spacing w:before="0" w:line="240" w:lineRule="auto"/>
              <w:rPr>
                <w:rFonts w:eastAsia="Times New Roman" w:cs="Open Sans Light"/>
                <w:color w:val="000000"/>
                <w:sz w:val="16"/>
                <w:szCs w:val="16"/>
                <w:lang w:eastAsia="en-AU"/>
              </w:rPr>
            </w:pPr>
            <w:r w:rsidRPr="006F35A0">
              <w:rPr>
                <w:rFonts w:eastAsia="Times New Roman" w:cs="Open Sans Light"/>
                <w:color w:val="000000"/>
                <w:sz w:val="16"/>
                <w:szCs w:val="16"/>
                <w:lang w:eastAsia="en-AU"/>
              </w:rPr>
              <w:t>Commonwealth payment for COVID-19</w:t>
            </w:r>
          </w:p>
        </w:tc>
        <w:tc>
          <w:tcPr>
            <w:tcW w:w="640" w:type="dxa"/>
            <w:tcBorders>
              <w:top w:val="single" w:sz="4" w:space="0" w:color="ADD6EA"/>
              <w:left w:val="nil"/>
              <w:bottom w:val="nil"/>
              <w:right w:val="nil"/>
            </w:tcBorders>
            <w:shd w:val="clear" w:color="000000" w:fill="FFFFFF"/>
            <w:vAlign w:val="center"/>
            <w:hideMark/>
          </w:tcPr>
          <w:p w14:paraId="081DBB37"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-18</w:t>
            </w:r>
          </w:p>
        </w:tc>
        <w:tc>
          <w:tcPr>
            <w:tcW w:w="640" w:type="dxa"/>
            <w:tcBorders>
              <w:top w:val="single" w:sz="4" w:space="0" w:color="ADD6EA"/>
              <w:left w:val="nil"/>
              <w:bottom w:val="nil"/>
              <w:right w:val="nil"/>
            </w:tcBorders>
            <w:shd w:val="clear" w:color="000000" w:fill="FFFFFF"/>
            <w:vAlign w:val="center"/>
            <w:hideMark/>
          </w:tcPr>
          <w:p w14:paraId="77A3D5BD"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-29</w:t>
            </w:r>
          </w:p>
        </w:tc>
        <w:tc>
          <w:tcPr>
            <w:tcW w:w="640" w:type="dxa"/>
            <w:tcBorders>
              <w:top w:val="single" w:sz="4" w:space="0" w:color="ADD6EA"/>
              <w:left w:val="nil"/>
              <w:bottom w:val="nil"/>
              <w:right w:val="nil"/>
            </w:tcBorders>
            <w:shd w:val="clear" w:color="000000" w:fill="FFFFFF"/>
            <w:vAlign w:val="center"/>
            <w:hideMark/>
          </w:tcPr>
          <w:p w14:paraId="634BACAB"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50</w:t>
            </w:r>
          </w:p>
        </w:tc>
        <w:tc>
          <w:tcPr>
            <w:tcW w:w="640" w:type="dxa"/>
            <w:tcBorders>
              <w:top w:val="single" w:sz="4" w:space="0" w:color="ADD6EA"/>
              <w:left w:val="nil"/>
              <w:bottom w:val="nil"/>
              <w:right w:val="nil"/>
            </w:tcBorders>
            <w:shd w:val="clear" w:color="000000" w:fill="FFFFFF"/>
            <w:vAlign w:val="center"/>
            <w:hideMark/>
          </w:tcPr>
          <w:p w14:paraId="692C0372"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588D18C2"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35</w:t>
            </w:r>
          </w:p>
        </w:tc>
        <w:tc>
          <w:tcPr>
            <w:tcW w:w="640" w:type="dxa"/>
            <w:tcBorders>
              <w:top w:val="single" w:sz="4" w:space="0" w:color="ADD6EA"/>
              <w:left w:val="nil"/>
              <w:bottom w:val="nil"/>
              <w:right w:val="nil"/>
            </w:tcBorders>
            <w:shd w:val="clear" w:color="000000" w:fill="FFFFFF"/>
            <w:vAlign w:val="center"/>
            <w:hideMark/>
          </w:tcPr>
          <w:p w14:paraId="37FBBD58"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-12</w:t>
            </w:r>
          </w:p>
        </w:tc>
        <w:tc>
          <w:tcPr>
            <w:tcW w:w="640" w:type="dxa"/>
            <w:tcBorders>
              <w:top w:val="single" w:sz="4" w:space="0" w:color="ADD6EA"/>
              <w:left w:val="nil"/>
              <w:bottom w:val="nil"/>
              <w:right w:val="nil"/>
            </w:tcBorders>
            <w:shd w:val="clear" w:color="000000" w:fill="FFFFFF"/>
            <w:vAlign w:val="center"/>
            <w:hideMark/>
          </w:tcPr>
          <w:p w14:paraId="4F9B9DE7"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15</w:t>
            </w:r>
          </w:p>
        </w:tc>
        <w:tc>
          <w:tcPr>
            <w:tcW w:w="640" w:type="dxa"/>
            <w:tcBorders>
              <w:top w:val="single" w:sz="4" w:space="0" w:color="ADD6EA"/>
              <w:left w:val="nil"/>
              <w:bottom w:val="nil"/>
              <w:right w:val="nil"/>
            </w:tcBorders>
            <w:shd w:val="clear" w:color="000000" w:fill="FFFFFF"/>
            <w:vAlign w:val="center"/>
            <w:hideMark/>
          </w:tcPr>
          <w:p w14:paraId="200584F5"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-39</w:t>
            </w:r>
          </w:p>
        </w:tc>
        <w:tc>
          <w:tcPr>
            <w:tcW w:w="660" w:type="dxa"/>
            <w:tcBorders>
              <w:top w:val="single" w:sz="4" w:space="0" w:color="ADD6EA"/>
              <w:left w:val="nil"/>
              <w:bottom w:val="nil"/>
              <w:right w:val="nil"/>
            </w:tcBorders>
            <w:shd w:val="clear" w:color="000000" w:fill="FFFFFF"/>
            <w:vAlign w:val="center"/>
            <w:hideMark/>
          </w:tcPr>
          <w:p w14:paraId="0ECA5CE9"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14</w:t>
            </w:r>
          </w:p>
        </w:tc>
      </w:tr>
      <w:tr w:rsidR="006F35A0" w:rsidRPr="006F35A0" w14:paraId="0131B465" w14:textId="77777777" w:rsidTr="006F35A0">
        <w:trPr>
          <w:trHeight w:val="540"/>
        </w:trPr>
        <w:tc>
          <w:tcPr>
            <w:tcW w:w="3160" w:type="dxa"/>
            <w:tcBorders>
              <w:top w:val="single" w:sz="4" w:space="0" w:color="ADD6EA"/>
              <w:left w:val="nil"/>
              <w:bottom w:val="nil"/>
              <w:right w:val="nil"/>
            </w:tcBorders>
            <w:shd w:val="clear" w:color="000000" w:fill="FFFFFF"/>
            <w:vAlign w:val="center"/>
            <w:hideMark/>
          </w:tcPr>
          <w:p w14:paraId="3377DABF" w14:textId="77777777" w:rsidR="006F35A0" w:rsidRPr="006F35A0" w:rsidRDefault="006F35A0" w:rsidP="006F35A0">
            <w:pPr>
              <w:tabs>
                <w:tab w:val="clear" w:pos="567"/>
              </w:tabs>
              <w:spacing w:before="0" w:line="240" w:lineRule="auto"/>
              <w:rPr>
                <w:rFonts w:eastAsia="Times New Roman" w:cs="Open Sans Light"/>
                <w:color w:val="000000"/>
                <w:sz w:val="16"/>
                <w:szCs w:val="16"/>
                <w:lang w:eastAsia="en-AU"/>
              </w:rPr>
            </w:pPr>
            <w:r w:rsidRPr="006F35A0">
              <w:rPr>
                <w:rFonts w:eastAsia="Times New Roman" w:cs="Open Sans Light"/>
                <w:color w:val="000000"/>
                <w:sz w:val="16"/>
                <w:szCs w:val="16"/>
                <w:lang w:eastAsia="en-AU"/>
              </w:rPr>
              <w:t>State spending of commonwealth payment</w:t>
            </w:r>
          </w:p>
        </w:tc>
        <w:tc>
          <w:tcPr>
            <w:tcW w:w="640" w:type="dxa"/>
            <w:tcBorders>
              <w:top w:val="single" w:sz="4" w:space="0" w:color="ADD6EA"/>
              <w:left w:val="nil"/>
              <w:bottom w:val="nil"/>
              <w:right w:val="nil"/>
            </w:tcBorders>
            <w:shd w:val="clear" w:color="000000" w:fill="FFFFFF"/>
            <w:vAlign w:val="center"/>
            <w:hideMark/>
          </w:tcPr>
          <w:p w14:paraId="180F97BF"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18</w:t>
            </w:r>
          </w:p>
        </w:tc>
        <w:tc>
          <w:tcPr>
            <w:tcW w:w="640" w:type="dxa"/>
            <w:tcBorders>
              <w:top w:val="single" w:sz="4" w:space="0" w:color="ADD6EA"/>
              <w:left w:val="nil"/>
              <w:bottom w:val="nil"/>
              <w:right w:val="nil"/>
            </w:tcBorders>
            <w:shd w:val="clear" w:color="000000" w:fill="FFFFFF"/>
            <w:vAlign w:val="center"/>
            <w:hideMark/>
          </w:tcPr>
          <w:p w14:paraId="293D435E"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29</w:t>
            </w:r>
          </w:p>
        </w:tc>
        <w:tc>
          <w:tcPr>
            <w:tcW w:w="640" w:type="dxa"/>
            <w:tcBorders>
              <w:top w:val="single" w:sz="4" w:space="0" w:color="ADD6EA"/>
              <w:left w:val="nil"/>
              <w:bottom w:val="nil"/>
              <w:right w:val="nil"/>
            </w:tcBorders>
            <w:shd w:val="clear" w:color="000000" w:fill="FFFFFF"/>
            <w:vAlign w:val="center"/>
            <w:hideMark/>
          </w:tcPr>
          <w:p w14:paraId="2E4E43D8"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-50</w:t>
            </w:r>
          </w:p>
        </w:tc>
        <w:tc>
          <w:tcPr>
            <w:tcW w:w="640" w:type="dxa"/>
            <w:tcBorders>
              <w:top w:val="single" w:sz="4" w:space="0" w:color="ADD6EA"/>
              <w:left w:val="nil"/>
              <w:bottom w:val="nil"/>
              <w:right w:val="nil"/>
            </w:tcBorders>
            <w:shd w:val="clear" w:color="000000" w:fill="FFFFFF"/>
            <w:vAlign w:val="center"/>
            <w:hideMark/>
          </w:tcPr>
          <w:p w14:paraId="0B8D6F04"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4BE8B31C"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-35</w:t>
            </w:r>
          </w:p>
        </w:tc>
        <w:tc>
          <w:tcPr>
            <w:tcW w:w="640" w:type="dxa"/>
            <w:tcBorders>
              <w:top w:val="single" w:sz="4" w:space="0" w:color="ADD6EA"/>
              <w:left w:val="nil"/>
              <w:bottom w:val="nil"/>
              <w:right w:val="nil"/>
            </w:tcBorders>
            <w:shd w:val="clear" w:color="000000" w:fill="FFFFFF"/>
            <w:vAlign w:val="center"/>
            <w:hideMark/>
          </w:tcPr>
          <w:p w14:paraId="392C1E07"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12</w:t>
            </w:r>
          </w:p>
        </w:tc>
        <w:tc>
          <w:tcPr>
            <w:tcW w:w="640" w:type="dxa"/>
            <w:tcBorders>
              <w:top w:val="single" w:sz="4" w:space="0" w:color="ADD6EA"/>
              <w:left w:val="nil"/>
              <w:bottom w:val="nil"/>
              <w:right w:val="nil"/>
            </w:tcBorders>
            <w:shd w:val="clear" w:color="000000" w:fill="FFFFFF"/>
            <w:vAlign w:val="center"/>
            <w:hideMark/>
          </w:tcPr>
          <w:p w14:paraId="6C88B8C0"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-15</w:t>
            </w:r>
          </w:p>
        </w:tc>
        <w:tc>
          <w:tcPr>
            <w:tcW w:w="640" w:type="dxa"/>
            <w:tcBorders>
              <w:top w:val="single" w:sz="4" w:space="0" w:color="ADD6EA"/>
              <w:left w:val="nil"/>
              <w:bottom w:val="nil"/>
              <w:right w:val="nil"/>
            </w:tcBorders>
            <w:shd w:val="clear" w:color="000000" w:fill="FFFFFF"/>
            <w:vAlign w:val="center"/>
            <w:hideMark/>
          </w:tcPr>
          <w:p w14:paraId="54247F28"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39</w:t>
            </w:r>
          </w:p>
        </w:tc>
        <w:tc>
          <w:tcPr>
            <w:tcW w:w="660" w:type="dxa"/>
            <w:tcBorders>
              <w:top w:val="single" w:sz="4" w:space="0" w:color="ADD6EA"/>
              <w:left w:val="nil"/>
              <w:bottom w:val="nil"/>
              <w:right w:val="nil"/>
            </w:tcBorders>
            <w:shd w:val="clear" w:color="000000" w:fill="FFFFFF"/>
            <w:vAlign w:val="center"/>
            <w:hideMark/>
          </w:tcPr>
          <w:p w14:paraId="172F0078"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14</w:t>
            </w:r>
          </w:p>
        </w:tc>
      </w:tr>
      <w:tr w:rsidR="006F35A0" w:rsidRPr="006F35A0" w14:paraId="31132848" w14:textId="77777777" w:rsidTr="006F35A0">
        <w:trPr>
          <w:trHeight w:val="319"/>
        </w:trPr>
        <w:tc>
          <w:tcPr>
            <w:tcW w:w="3160" w:type="dxa"/>
            <w:tcBorders>
              <w:top w:val="single" w:sz="4" w:space="0" w:color="ADD6EA"/>
              <w:left w:val="nil"/>
              <w:bottom w:val="nil"/>
              <w:right w:val="nil"/>
            </w:tcBorders>
            <w:shd w:val="clear" w:color="000000" w:fill="FFFFFF"/>
            <w:vAlign w:val="center"/>
            <w:hideMark/>
          </w:tcPr>
          <w:p w14:paraId="6AE22E07" w14:textId="77777777" w:rsidR="006F35A0" w:rsidRPr="006F35A0" w:rsidRDefault="006F35A0" w:rsidP="006F35A0">
            <w:pPr>
              <w:tabs>
                <w:tab w:val="clear" w:pos="567"/>
              </w:tabs>
              <w:spacing w:before="0" w:line="240" w:lineRule="auto"/>
              <w:rPr>
                <w:rFonts w:eastAsia="Times New Roman" w:cs="Open Sans Light"/>
                <w:color w:val="000000"/>
                <w:sz w:val="16"/>
                <w:szCs w:val="16"/>
                <w:lang w:eastAsia="en-AU"/>
              </w:rPr>
            </w:pPr>
            <w:r w:rsidRPr="006F35A0">
              <w:rPr>
                <w:rFonts w:eastAsia="Times New Roman" w:cs="Open Sans Light"/>
                <w:color w:val="000000"/>
                <w:sz w:val="16"/>
                <w:szCs w:val="16"/>
                <w:lang w:eastAsia="en-AU"/>
              </w:rPr>
              <w:t>State own source COVID-19 spending</w:t>
            </w:r>
          </w:p>
        </w:tc>
        <w:tc>
          <w:tcPr>
            <w:tcW w:w="640" w:type="dxa"/>
            <w:tcBorders>
              <w:top w:val="single" w:sz="4" w:space="0" w:color="ADD6EA"/>
              <w:left w:val="nil"/>
              <w:bottom w:val="nil"/>
              <w:right w:val="nil"/>
            </w:tcBorders>
            <w:shd w:val="clear" w:color="000000" w:fill="FFFFFF"/>
            <w:vAlign w:val="center"/>
            <w:hideMark/>
          </w:tcPr>
          <w:p w14:paraId="020CAA40"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18</w:t>
            </w:r>
          </w:p>
        </w:tc>
        <w:tc>
          <w:tcPr>
            <w:tcW w:w="640" w:type="dxa"/>
            <w:tcBorders>
              <w:top w:val="single" w:sz="4" w:space="0" w:color="ADD6EA"/>
              <w:left w:val="nil"/>
              <w:bottom w:val="nil"/>
              <w:right w:val="nil"/>
            </w:tcBorders>
            <w:shd w:val="clear" w:color="000000" w:fill="FFFFFF"/>
            <w:vAlign w:val="center"/>
            <w:hideMark/>
          </w:tcPr>
          <w:p w14:paraId="3AEC00E3"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29</w:t>
            </w:r>
          </w:p>
        </w:tc>
        <w:tc>
          <w:tcPr>
            <w:tcW w:w="640" w:type="dxa"/>
            <w:tcBorders>
              <w:top w:val="single" w:sz="4" w:space="0" w:color="ADD6EA"/>
              <w:left w:val="nil"/>
              <w:bottom w:val="nil"/>
              <w:right w:val="nil"/>
            </w:tcBorders>
            <w:shd w:val="clear" w:color="000000" w:fill="FFFFFF"/>
            <w:vAlign w:val="center"/>
            <w:hideMark/>
          </w:tcPr>
          <w:p w14:paraId="0AEAE1AE"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-50</w:t>
            </w:r>
          </w:p>
        </w:tc>
        <w:tc>
          <w:tcPr>
            <w:tcW w:w="640" w:type="dxa"/>
            <w:tcBorders>
              <w:top w:val="single" w:sz="4" w:space="0" w:color="ADD6EA"/>
              <w:left w:val="nil"/>
              <w:bottom w:val="nil"/>
              <w:right w:val="nil"/>
            </w:tcBorders>
            <w:shd w:val="clear" w:color="000000" w:fill="FFFFFF"/>
            <w:vAlign w:val="center"/>
            <w:hideMark/>
          </w:tcPr>
          <w:p w14:paraId="6FE09930"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-5</w:t>
            </w:r>
          </w:p>
        </w:tc>
        <w:tc>
          <w:tcPr>
            <w:tcW w:w="640" w:type="dxa"/>
            <w:tcBorders>
              <w:top w:val="single" w:sz="4" w:space="0" w:color="ADD6EA"/>
              <w:left w:val="nil"/>
              <w:bottom w:val="nil"/>
              <w:right w:val="nil"/>
            </w:tcBorders>
            <w:shd w:val="clear" w:color="000000" w:fill="FFFFFF"/>
            <w:vAlign w:val="center"/>
            <w:hideMark/>
          </w:tcPr>
          <w:p w14:paraId="1661C37F"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-35</w:t>
            </w:r>
          </w:p>
        </w:tc>
        <w:tc>
          <w:tcPr>
            <w:tcW w:w="640" w:type="dxa"/>
            <w:tcBorders>
              <w:top w:val="single" w:sz="4" w:space="0" w:color="ADD6EA"/>
              <w:left w:val="nil"/>
              <w:bottom w:val="nil"/>
              <w:right w:val="nil"/>
            </w:tcBorders>
            <w:shd w:val="clear" w:color="000000" w:fill="FFFFFF"/>
            <w:vAlign w:val="center"/>
            <w:hideMark/>
          </w:tcPr>
          <w:p w14:paraId="3F9598C2"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12</w:t>
            </w:r>
          </w:p>
        </w:tc>
        <w:tc>
          <w:tcPr>
            <w:tcW w:w="640" w:type="dxa"/>
            <w:tcBorders>
              <w:top w:val="single" w:sz="4" w:space="0" w:color="ADD6EA"/>
              <w:left w:val="nil"/>
              <w:bottom w:val="nil"/>
              <w:right w:val="nil"/>
            </w:tcBorders>
            <w:shd w:val="clear" w:color="000000" w:fill="FFFFFF"/>
            <w:vAlign w:val="center"/>
            <w:hideMark/>
          </w:tcPr>
          <w:p w14:paraId="6912181A"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-15</w:t>
            </w:r>
          </w:p>
        </w:tc>
        <w:tc>
          <w:tcPr>
            <w:tcW w:w="640" w:type="dxa"/>
            <w:tcBorders>
              <w:top w:val="single" w:sz="4" w:space="0" w:color="ADD6EA"/>
              <w:left w:val="nil"/>
              <w:bottom w:val="nil"/>
              <w:right w:val="nil"/>
            </w:tcBorders>
            <w:shd w:val="clear" w:color="000000" w:fill="FFFFFF"/>
            <w:vAlign w:val="center"/>
            <w:hideMark/>
          </w:tcPr>
          <w:p w14:paraId="76337E2D"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39</w:t>
            </w:r>
          </w:p>
        </w:tc>
        <w:tc>
          <w:tcPr>
            <w:tcW w:w="660" w:type="dxa"/>
            <w:tcBorders>
              <w:top w:val="single" w:sz="4" w:space="0" w:color="ADD6EA"/>
              <w:left w:val="nil"/>
              <w:bottom w:val="nil"/>
              <w:right w:val="nil"/>
            </w:tcBorders>
            <w:shd w:val="clear" w:color="000000" w:fill="FFFFFF"/>
            <w:vAlign w:val="center"/>
            <w:hideMark/>
          </w:tcPr>
          <w:p w14:paraId="307C714B"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14</w:t>
            </w:r>
          </w:p>
        </w:tc>
      </w:tr>
      <w:tr w:rsidR="006F35A0" w:rsidRPr="006F35A0" w14:paraId="0D3B9C1D" w14:textId="77777777" w:rsidTr="006F35A0">
        <w:trPr>
          <w:trHeight w:val="552"/>
        </w:trPr>
        <w:tc>
          <w:tcPr>
            <w:tcW w:w="3160" w:type="dxa"/>
            <w:tcBorders>
              <w:top w:val="single" w:sz="4" w:space="0" w:color="ADD6EA"/>
              <w:left w:val="nil"/>
              <w:bottom w:val="nil"/>
              <w:right w:val="nil"/>
            </w:tcBorders>
            <w:shd w:val="clear" w:color="000000" w:fill="FFFFFF"/>
            <w:vAlign w:val="center"/>
            <w:hideMark/>
          </w:tcPr>
          <w:p w14:paraId="46FD2A6C" w14:textId="41575A54" w:rsidR="006F35A0" w:rsidRPr="006F35A0" w:rsidRDefault="006F35A0" w:rsidP="006F35A0">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Moving expenses to the COVID-19 component</w:t>
            </w:r>
          </w:p>
        </w:tc>
        <w:tc>
          <w:tcPr>
            <w:tcW w:w="640" w:type="dxa"/>
            <w:tcBorders>
              <w:top w:val="single" w:sz="4" w:space="0" w:color="ADD6EA"/>
              <w:left w:val="nil"/>
              <w:bottom w:val="nil"/>
              <w:right w:val="nil"/>
            </w:tcBorders>
            <w:shd w:val="clear" w:color="000000" w:fill="FFFFFF"/>
            <w:vAlign w:val="center"/>
            <w:hideMark/>
          </w:tcPr>
          <w:p w14:paraId="79514A05"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3E91AB63"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12</w:t>
            </w:r>
          </w:p>
        </w:tc>
        <w:tc>
          <w:tcPr>
            <w:tcW w:w="640" w:type="dxa"/>
            <w:tcBorders>
              <w:top w:val="single" w:sz="4" w:space="0" w:color="ADD6EA"/>
              <w:left w:val="nil"/>
              <w:bottom w:val="nil"/>
              <w:right w:val="nil"/>
            </w:tcBorders>
            <w:shd w:val="clear" w:color="000000" w:fill="FFFFFF"/>
            <w:vAlign w:val="center"/>
            <w:hideMark/>
          </w:tcPr>
          <w:p w14:paraId="7568BB52"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4DE72822"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-10</w:t>
            </w:r>
          </w:p>
        </w:tc>
        <w:tc>
          <w:tcPr>
            <w:tcW w:w="640" w:type="dxa"/>
            <w:tcBorders>
              <w:top w:val="single" w:sz="4" w:space="0" w:color="ADD6EA"/>
              <w:left w:val="nil"/>
              <w:bottom w:val="nil"/>
              <w:right w:val="nil"/>
            </w:tcBorders>
            <w:shd w:val="clear" w:color="000000" w:fill="FFFFFF"/>
            <w:vAlign w:val="center"/>
            <w:hideMark/>
          </w:tcPr>
          <w:p w14:paraId="37FB7732"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-6</w:t>
            </w:r>
          </w:p>
        </w:tc>
        <w:tc>
          <w:tcPr>
            <w:tcW w:w="640" w:type="dxa"/>
            <w:tcBorders>
              <w:top w:val="single" w:sz="4" w:space="0" w:color="ADD6EA"/>
              <w:left w:val="nil"/>
              <w:bottom w:val="nil"/>
              <w:right w:val="nil"/>
            </w:tcBorders>
            <w:shd w:val="clear" w:color="000000" w:fill="FFFFFF"/>
            <w:vAlign w:val="center"/>
            <w:hideMark/>
          </w:tcPr>
          <w:p w14:paraId="451880A5"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-52</w:t>
            </w:r>
          </w:p>
        </w:tc>
        <w:tc>
          <w:tcPr>
            <w:tcW w:w="640" w:type="dxa"/>
            <w:tcBorders>
              <w:top w:val="single" w:sz="4" w:space="0" w:color="ADD6EA"/>
              <w:left w:val="nil"/>
              <w:bottom w:val="nil"/>
              <w:right w:val="nil"/>
            </w:tcBorders>
            <w:shd w:val="clear" w:color="000000" w:fill="FFFFFF"/>
            <w:vAlign w:val="center"/>
            <w:hideMark/>
          </w:tcPr>
          <w:p w14:paraId="580C1EB8"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7</w:t>
            </w:r>
          </w:p>
        </w:tc>
        <w:tc>
          <w:tcPr>
            <w:tcW w:w="640" w:type="dxa"/>
            <w:tcBorders>
              <w:top w:val="single" w:sz="4" w:space="0" w:color="ADD6EA"/>
              <w:left w:val="nil"/>
              <w:bottom w:val="nil"/>
              <w:right w:val="nil"/>
            </w:tcBorders>
            <w:shd w:val="clear" w:color="000000" w:fill="FFFFFF"/>
            <w:vAlign w:val="center"/>
            <w:hideMark/>
          </w:tcPr>
          <w:p w14:paraId="64035E72"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-148</w:t>
            </w:r>
          </w:p>
        </w:tc>
        <w:tc>
          <w:tcPr>
            <w:tcW w:w="660" w:type="dxa"/>
            <w:tcBorders>
              <w:top w:val="single" w:sz="4" w:space="0" w:color="ADD6EA"/>
              <w:left w:val="nil"/>
              <w:bottom w:val="nil"/>
              <w:right w:val="nil"/>
            </w:tcBorders>
            <w:shd w:val="clear" w:color="000000" w:fill="FFFFFF"/>
            <w:vAlign w:val="center"/>
            <w:hideMark/>
          </w:tcPr>
          <w:p w14:paraId="704B20F0" w14:textId="77777777" w:rsidR="006F35A0" w:rsidRPr="006F35A0" w:rsidRDefault="006F35A0" w:rsidP="006F35A0">
            <w:pPr>
              <w:tabs>
                <w:tab w:val="clear" w:pos="567"/>
              </w:tabs>
              <w:spacing w:before="0" w:line="240" w:lineRule="auto"/>
              <w:jc w:val="right"/>
              <w:rPr>
                <w:rFonts w:eastAsia="Times New Roman" w:cs="Open Sans Light"/>
                <w:color w:val="000000"/>
                <w:sz w:val="16"/>
                <w:szCs w:val="16"/>
                <w:lang w:eastAsia="en-AU"/>
              </w:rPr>
            </w:pPr>
            <w:r w:rsidRPr="006F35A0">
              <w:rPr>
                <w:rFonts w:eastAsia="Times New Roman" w:cs="Open Sans Light"/>
                <w:color w:val="000000"/>
                <w:sz w:val="16"/>
                <w:szCs w:val="16"/>
                <w:lang w:eastAsia="en-AU"/>
              </w:rPr>
              <w:t>5</w:t>
            </w:r>
          </w:p>
        </w:tc>
      </w:tr>
      <w:tr w:rsidR="006F35A0" w:rsidRPr="006F35A0" w14:paraId="605355CD" w14:textId="77777777" w:rsidTr="006F35A0">
        <w:trPr>
          <w:trHeight w:val="319"/>
        </w:trPr>
        <w:tc>
          <w:tcPr>
            <w:tcW w:w="3160" w:type="dxa"/>
            <w:tcBorders>
              <w:top w:val="single" w:sz="4" w:space="0" w:color="ADD6EA"/>
              <w:left w:val="nil"/>
              <w:bottom w:val="nil"/>
              <w:right w:val="nil"/>
            </w:tcBorders>
            <w:shd w:val="clear" w:color="000000" w:fill="D6E7F0"/>
            <w:vAlign w:val="center"/>
            <w:hideMark/>
          </w:tcPr>
          <w:p w14:paraId="42E0C101" w14:textId="77777777" w:rsidR="006F35A0" w:rsidRPr="006F35A0" w:rsidRDefault="006F35A0" w:rsidP="006F35A0">
            <w:pPr>
              <w:tabs>
                <w:tab w:val="clear" w:pos="567"/>
              </w:tabs>
              <w:spacing w:before="0" w:line="240" w:lineRule="auto"/>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Net effect of treatment of COVID-19</w:t>
            </w:r>
          </w:p>
        </w:tc>
        <w:tc>
          <w:tcPr>
            <w:tcW w:w="640" w:type="dxa"/>
            <w:tcBorders>
              <w:top w:val="single" w:sz="4" w:space="0" w:color="ADD6EA"/>
              <w:left w:val="nil"/>
              <w:bottom w:val="nil"/>
              <w:right w:val="nil"/>
            </w:tcBorders>
            <w:shd w:val="clear" w:color="000000" w:fill="D6E7F0"/>
            <w:vAlign w:val="center"/>
            <w:hideMark/>
          </w:tcPr>
          <w:p w14:paraId="43590D3E"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24</w:t>
            </w:r>
          </w:p>
        </w:tc>
        <w:tc>
          <w:tcPr>
            <w:tcW w:w="640" w:type="dxa"/>
            <w:tcBorders>
              <w:top w:val="single" w:sz="4" w:space="0" w:color="ADD6EA"/>
              <w:left w:val="nil"/>
              <w:bottom w:val="nil"/>
              <w:right w:val="nil"/>
            </w:tcBorders>
            <w:shd w:val="clear" w:color="000000" w:fill="D6E7F0"/>
            <w:vAlign w:val="center"/>
            <w:hideMark/>
          </w:tcPr>
          <w:p w14:paraId="4A5DE11C"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41</w:t>
            </w:r>
          </w:p>
        </w:tc>
        <w:tc>
          <w:tcPr>
            <w:tcW w:w="640" w:type="dxa"/>
            <w:tcBorders>
              <w:top w:val="single" w:sz="4" w:space="0" w:color="ADD6EA"/>
              <w:left w:val="nil"/>
              <w:bottom w:val="nil"/>
              <w:right w:val="nil"/>
            </w:tcBorders>
            <w:shd w:val="clear" w:color="000000" w:fill="D6E7F0"/>
            <w:vAlign w:val="center"/>
            <w:hideMark/>
          </w:tcPr>
          <w:p w14:paraId="0E91C3FE"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-57</w:t>
            </w:r>
          </w:p>
        </w:tc>
        <w:tc>
          <w:tcPr>
            <w:tcW w:w="640" w:type="dxa"/>
            <w:tcBorders>
              <w:top w:val="single" w:sz="4" w:space="0" w:color="ADD6EA"/>
              <w:left w:val="nil"/>
              <w:bottom w:val="nil"/>
              <w:right w:val="nil"/>
            </w:tcBorders>
            <w:shd w:val="clear" w:color="000000" w:fill="D6E7F0"/>
            <w:vAlign w:val="center"/>
            <w:hideMark/>
          </w:tcPr>
          <w:p w14:paraId="0918B26E"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-15</w:t>
            </w:r>
          </w:p>
        </w:tc>
        <w:tc>
          <w:tcPr>
            <w:tcW w:w="640" w:type="dxa"/>
            <w:tcBorders>
              <w:top w:val="single" w:sz="4" w:space="0" w:color="ADD6EA"/>
              <w:left w:val="nil"/>
              <w:bottom w:val="nil"/>
              <w:right w:val="nil"/>
            </w:tcBorders>
            <w:shd w:val="clear" w:color="000000" w:fill="D6E7F0"/>
            <w:vAlign w:val="center"/>
            <w:hideMark/>
          </w:tcPr>
          <w:p w14:paraId="1381E08F"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-41</w:t>
            </w:r>
          </w:p>
        </w:tc>
        <w:tc>
          <w:tcPr>
            <w:tcW w:w="640" w:type="dxa"/>
            <w:tcBorders>
              <w:top w:val="single" w:sz="4" w:space="0" w:color="ADD6EA"/>
              <w:left w:val="nil"/>
              <w:bottom w:val="nil"/>
              <w:right w:val="nil"/>
            </w:tcBorders>
            <w:shd w:val="clear" w:color="000000" w:fill="D6E7F0"/>
            <w:vAlign w:val="center"/>
            <w:hideMark/>
          </w:tcPr>
          <w:p w14:paraId="78908312"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-40</w:t>
            </w:r>
          </w:p>
        </w:tc>
        <w:tc>
          <w:tcPr>
            <w:tcW w:w="640" w:type="dxa"/>
            <w:tcBorders>
              <w:top w:val="single" w:sz="4" w:space="0" w:color="ADD6EA"/>
              <w:left w:val="nil"/>
              <w:bottom w:val="nil"/>
              <w:right w:val="nil"/>
            </w:tcBorders>
            <w:shd w:val="clear" w:color="000000" w:fill="D6E7F0"/>
            <w:vAlign w:val="center"/>
            <w:hideMark/>
          </w:tcPr>
          <w:p w14:paraId="5B01416C"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-7</w:t>
            </w:r>
          </w:p>
        </w:tc>
        <w:tc>
          <w:tcPr>
            <w:tcW w:w="640" w:type="dxa"/>
            <w:tcBorders>
              <w:top w:val="single" w:sz="4" w:space="0" w:color="ADD6EA"/>
              <w:left w:val="nil"/>
              <w:bottom w:val="nil"/>
              <w:right w:val="nil"/>
            </w:tcBorders>
            <w:shd w:val="clear" w:color="000000" w:fill="D6E7F0"/>
            <w:vAlign w:val="center"/>
            <w:hideMark/>
          </w:tcPr>
          <w:p w14:paraId="5A37BE0D"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-109</w:t>
            </w:r>
          </w:p>
        </w:tc>
        <w:tc>
          <w:tcPr>
            <w:tcW w:w="660" w:type="dxa"/>
            <w:tcBorders>
              <w:top w:val="single" w:sz="4" w:space="0" w:color="ADD6EA"/>
              <w:left w:val="nil"/>
              <w:bottom w:val="nil"/>
              <w:right w:val="nil"/>
            </w:tcBorders>
            <w:shd w:val="clear" w:color="000000" w:fill="D6E7F0"/>
            <w:vAlign w:val="center"/>
            <w:hideMark/>
          </w:tcPr>
          <w:p w14:paraId="2782CF31" w14:textId="77777777" w:rsidR="006F35A0" w:rsidRPr="006F35A0" w:rsidRDefault="006F35A0" w:rsidP="006F35A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F35A0">
              <w:rPr>
                <w:rFonts w:ascii="Open Sans Semibold" w:eastAsia="Times New Roman" w:hAnsi="Open Sans Semibold" w:cs="Open Sans Semibold"/>
                <w:color w:val="000000"/>
                <w:sz w:val="16"/>
                <w:szCs w:val="16"/>
                <w:lang w:eastAsia="en-AU"/>
              </w:rPr>
              <w:t>18</w:t>
            </w:r>
          </w:p>
        </w:tc>
      </w:tr>
    </w:tbl>
    <w:p w14:paraId="1B051C5C" w14:textId="702653DD" w:rsidR="00731AC1" w:rsidRDefault="00731AC1" w:rsidP="00731AC1">
      <w:pPr>
        <w:pStyle w:val="CGC2025ParaNumbers"/>
      </w:pPr>
      <w:r>
        <w:t>The impact of this method change is limited largely to the distribution of GST in 2025</w:t>
      </w:r>
      <w:r w:rsidR="004814D7">
        <w:t>–</w:t>
      </w:r>
      <w:r>
        <w:t xml:space="preserve">26. This is because </w:t>
      </w:r>
      <w:r w:rsidRPr="007720FE">
        <w:t>COVID-19 health expenses</w:t>
      </w:r>
      <w:r>
        <w:t xml:space="preserve"> decline significantly after 2021</w:t>
      </w:r>
      <w:r w:rsidR="004814D7">
        <w:t>–</w:t>
      </w:r>
      <w:r w:rsidR="004814D7">
        <w:rPr>
          <w:rFonts w:ascii="Times New Roman" w:hAnsi="Times New Roman" w:cs="Times New Roman" w:hint="eastAsia"/>
          <w:rtl/>
        </w:rPr>
        <w:t>‍</w:t>
      </w:r>
      <w:r>
        <w:t>22 and this year drops out of the assessment period for the distribution of GST</w:t>
      </w:r>
      <w:r w:rsidR="00CE3F2F">
        <w:t> </w:t>
      </w:r>
      <w:r>
        <w:t>in 2026</w:t>
      </w:r>
      <w:r w:rsidR="004814D7">
        <w:t>–</w:t>
      </w:r>
      <w:r>
        <w:t xml:space="preserve">27. </w:t>
      </w:r>
    </w:p>
    <w:p w14:paraId="2E1DA54D" w14:textId="77777777" w:rsidR="00731AC1" w:rsidRDefault="00731AC1" w:rsidP="00731AC1">
      <w:pPr>
        <w:pStyle w:val="CGC2025ParaNumbers"/>
      </w:pPr>
      <w:r>
        <w:t xml:space="preserve">The change in distributions is the net effect of: </w:t>
      </w:r>
    </w:p>
    <w:p w14:paraId="425B576F" w14:textId="77777777" w:rsidR="00731AC1" w:rsidRDefault="00731AC1" w:rsidP="00731AC1">
      <w:pPr>
        <w:pStyle w:val="CGC2025Bullet1"/>
      </w:pPr>
      <w:r>
        <w:t xml:space="preserve">assessing revenue from the Commonwealth payment under the National Partnership on COVID-19 Response on an actual per capita basis compared with the no impact treatment of the payment in the 2024 Update </w:t>
      </w:r>
    </w:p>
    <w:p w14:paraId="45361CB5" w14:textId="77777777" w:rsidR="00731AC1" w:rsidRDefault="00731AC1" w:rsidP="00731AC1">
      <w:pPr>
        <w:pStyle w:val="CGC2025Bullet1"/>
      </w:pPr>
      <w:r>
        <w:t>assessing state spending of the Commonwealth payment on an actual per capita basis compared with the exclusion of this spending from the assessment in the 2024 Update</w:t>
      </w:r>
    </w:p>
    <w:p w14:paraId="47F82E5C" w14:textId="77777777" w:rsidR="00731AC1" w:rsidRDefault="00731AC1" w:rsidP="00731AC1">
      <w:pPr>
        <w:pStyle w:val="CGC2025Bullet1"/>
      </w:pPr>
      <w:r>
        <w:t>assessing state spending from own-source revenue on COVID-19 on an actual per capita basis compared with assessing it using the 2020 Review health assessment method in the 2024 Update</w:t>
      </w:r>
    </w:p>
    <w:p w14:paraId="17175AC3" w14:textId="77777777" w:rsidR="00731AC1" w:rsidRDefault="00731AC1" w:rsidP="00731AC1">
      <w:pPr>
        <w:pStyle w:val="CGC2025Bullet1"/>
      </w:pPr>
      <w:r>
        <w:t>the effect of moving relevant expenses from other components of the health assessment to the COVID-19 component.</w:t>
      </w:r>
    </w:p>
    <w:p w14:paraId="398D5F4B" w14:textId="77777777" w:rsidR="00731AC1" w:rsidRPr="00463ED1" w:rsidRDefault="00731AC1" w:rsidP="00731AC1">
      <w:pPr>
        <w:pStyle w:val="CGC2025ParaNumbers"/>
      </w:pPr>
      <w:r w:rsidRPr="00463ED1">
        <w:t xml:space="preserve">Over 2021–22 and 2022–23, New South Wales, Victoria, Tasmania and the Northern Territory spent more than their per capita share on COVID-19 related health services. </w:t>
      </w:r>
      <w:r w:rsidRPr="00463ED1">
        <w:lastRenderedPageBreak/>
        <w:t xml:space="preserve">Under an actual per capita assessment method, these states have higher-than-average assessed expenses for COVID-19 health services. For New South Wales and Victoria, this results in an increase in </w:t>
      </w:r>
      <w:r>
        <w:t xml:space="preserve">assessed </w:t>
      </w:r>
      <w:r w:rsidRPr="00463ED1">
        <w:t xml:space="preserve">GST </w:t>
      </w:r>
      <w:r>
        <w:t>needs</w:t>
      </w:r>
      <w:r w:rsidRPr="00463ED1">
        <w:t xml:space="preserve"> because under the 2020 Review method they were assessed to need less than their population share of health expenses. However, for Tasmania and the Northern Territory, their assessed needs were larger under the 2020 Review method than an actual per capita </w:t>
      </w:r>
      <w:r>
        <w:t xml:space="preserve">assessment </w:t>
      </w:r>
      <w:r w:rsidRPr="00463ED1">
        <w:t>method and so they receive less GST.</w:t>
      </w:r>
    </w:p>
    <w:p w14:paraId="63B902D9" w14:textId="16A34ED8" w:rsidR="00F077AC" w:rsidRDefault="002A581D" w:rsidP="00C42AB0">
      <w:pPr>
        <w:pStyle w:val="Heading3"/>
        <w:keepNext/>
      </w:pPr>
      <w:r>
        <w:t xml:space="preserve">Other </w:t>
      </w:r>
      <w:r w:rsidR="000A6B58">
        <w:t>method changes</w:t>
      </w:r>
    </w:p>
    <w:p w14:paraId="56CC1DAD" w14:textId="7219822A" w:rsidR="00463ED1" w:rsidRDefault="00F622F2" w:rsidP="00EF1AC7">
      <w:pPr>
        <w:pStyle w:val="CGC2025ParaNumbers"/>
      </w:pPr>
      <w:r>
        <w:t>T</w:t>
      </w:r>
      <w:r w:rsidR="00900DCC">
        <w:t xml:space="preserve">wo </w:t>
      </w:r>
      <w:r>
        <w:t xml:space="preserve">changes </w:t>
      </w:r>
      <w:r w:rsidR="00D90D94">
        <w:t xml:space="preserve">are being made </w:t>
      </w:r>
      <w:r>
        <w:t xml:space="preserve">to </w:t>
      </w:r>
      <w:r w:rsidR="00327557">
        <w:t>t</w:t>
      </w:r>
      <w:r w:rsidR="00D94DAF">
        <w:t xml:space="preserve">he assessment of </w:t>
      </w:r>
      <w:r>
        <w:t xml:space="preserve">community </w:t>
      </w:r>
      <w:r w:rsidRPr="003D1BEF">
        <w:t>and</w:t>
      </w:r>
      <w:r>
        <w:t xml:space="preserve"> public health</w:t>
      </w:r>
      <w:r w:rsidR="00B5535E">
        <w:t xml:space="preserve"> expenses</w:t>
      </w:r>
      <w:r w:rsidR="00EA462B">
        <w:t xml:space="preserve">. </w:t>
      </w:r>
      <w:r w:rsidR="005F1CF4">
        <w:t>First, t</w:t>
      </w:r>
      <w:r w:rsidR="00BA790F">
        <w:t xml:space="preserve">he </w:t>
      </w:r>
      <w:r w:rsidR="0061556B">
        <w:t xml:space="preserve">proxy indicator of activity </w:t>
      </w:r>
      <w:r w:rsidR="003B7B9F">
        <w:t>wil</w:t>
      </w:r>
      <w:r w:rsidR="00B74931">
        <w:t>l be</w:t>
      </w:r>
      <w:r w:rsidR="00521364">
        <w:t xml:space="preserve"> broadened to include</w:t>
      </w:r>
      <w:r w:rsidR="00CC207A">
        <w:t xml:space="preserve"> </w:t>
      </w:r>
      <w:r w:rsidR="00E153BF">
        <w:t xml:space="preserve">a subset of </w:t>
      </w:r>
      <w:r w:rsidR="000860BF">
        <w:t>non</w:t>
      </w:r>
      <w:r w:rsidR="000860BF">
        <w:noBreakHyphen/>
        <w:t>admitted patient service</w:t>
      </w:r>
      <w:r w:rsidR="001A7CA5">
        <w:t>s</w:t>
      </w:r>
      <w:r w:rsidR="00247749">
        <w:t xml:space="preserve">, in addition to </w:t>
      </w:r>
      <w:bookmarkStart w:id="25" w:name="_Hlk184048604"/>
      <w:r w:rsidR="00692A71">
        <w:t>emergency department</w:t>
      </w:r>
      <w:r w:rsidR="00184A74">
        <w:t xml:space="preserve"> triage category 4 </w:t>
      </w:r>
      <w:r w:rsidR="00510FE2">
        <w:t>a</w:t>
      </w:r>
      <w:r w:rsidR="00184A74">
        <w:t>nd 5</w:t>
      </w:r>
      <w:r>
        <w:t xml:space="preserve"> </w:t>
      </w:r>
      <w:r w:rsidR="00510FE2">
        <w:t>services</w:t>
      </w:r>
      <w:bookmarkEnd w:id="25"/>
      <w:r w:rsidR="00510FE2">
        <w:t xml:space="preserve">. </w:t>
      </w:r>
      <w:bookmarkStart w:id="26" w:name="_Hlk183007728"/>
      <w:r w:rsidR="00510FE2">
        <w:t xml:space="preserve">The effect </w:t>
      </w:r>
      <w:r w:rsidR="00F93571">
        <w:t>on GST distribution from</w:t>
      </w:r>
      <w:r w:rsidR="00510FE2">
        <w:t xml:space="preserve"> this </w:t>
      </w:r>
      <w:r w:rsidR="00F93571">
        <w:t xml:space="preserve">change </w:t>
      </w:r>
      <w:r w:rsidR="00510FE2">
        <w:t xml:space="preserve">is shown in </w:t>
      </w:r>
      <w:r w:rsidR="00427944">
        <w:t>T</w:t>
      </w:r>
      <w:r w:rsidR="00DD2B49">
        <w:t>able</w:t>
      </w:r>
      <w:r w:rsidR="00427944">
        <w:t xml:space="preserve"> 1</w:t>
      </w:r>
      <w:r w:rsidR="00DD2B49">
        <w:t xml:space="preserve"> against the</w:t>
      </w:r>
      <w:bookmarkEnd w:id="26"/>
      <w:r w:rsidR="00DD2B49">
        <w:t xml:space="preserve"> </w:t>
      </w:r>
      <w:r w:rsidRPr="00101C69">
        <w:rPr>
          <w:i/>
          <w:iCs/>
        </w:rPr>
        <w:t>community health use indicator</w:t>
      </w:r>
      <w:r w:rsidR="00DD2B49">
        <w:t xml:space="preserve"> label.</w:t>
      </w:r>
      <w:r>
        <w:t xml:space="preserve"> </w:t>
      </w:r>
      <w:r w:rsidR="005F1CF4">
        <w:t xml:space="preserve">Second, </w:t>
      </w:r>
      <w:r w:rsidR="00497445">
        <w:t xml:space="preserve">ambulatory community </w:t>
      </w:r>
      <w:r w:rsidR="00E721A6">
        <w:t>mental health services will be separately assessed using a direct measure of service use</w:t>
      </w:r>
      <w:r w:rsidR="00AD4968">
        <w:t xml:space="preserve"> rather than </w:t>
      </w:r>
      <w:r w:rsidR="00EF1AC7">
        <w:t xml:space="preserve">a proxy indicator </w:t>
      </w:r>
      <w:r w:rsidR="006D71B2">
        <w:t xml:space="preserve">based on </w:t>
      </w:r>
      <w:r w:rsidR="00EF1AC7" w:rsidRPr="00EF1AC7">
        <w:t>emergency department triage category 4 and 5 services</w:t>
      </w:r>
      <w:r w:rsidR="00E721A6">
        <w:t xml:space="preserve">. </w:t>
      </w:r>
      <w:r w:rsidR="00E721A6" w:rsidRPr="00E721A6">
        <w:t xml:space="preserve">The effect on GST distribution from this change is shown in </w:t>
      </w:r>
      <w:r w:rsidR="00427944">
        <w:t>T</w:t>
      </w:r>
      <w:r w:rsidR="00E721A6" w:rsidRPr="00E721A6">
        <w:t>able</w:t>
      </w:r>
      <w:r w:rsidR="00427944">
        <w:t xml:space="preserve"> 1</w:t>
      </w:r>
      <w:r w:rsidR="00E721A6" w:rsidRPr="00E721A6">
        <w:t xml:space="preserve"> against the </w:t>
      </w:r>
      <w:r w:rsidRPr="00101C69">
        <w:rPr>
          <w:i/>
          <w:iCs/>
        </w:rPr>
        <w:t>new ambulatory community mental health assessment</w:t>
      </w:r>
      <w:r w:rsidR="00F10D9A">
        <w:t xml:space="preserve"> label</w:t>
      </w:r>
      <w:r w:rsidR="00E2040A">
        <w:t xml:space="preserve">. </w:t>
      </w:r>
    </w:p>
    <w:p w14:paraId="6F752F2A" w14:textId="57A36D2F" w:rsidR="006D71B2" w:rsidRPr="007E3BBE" w:rsidRDefault="00E02A46" w:rsidP="00587A31">
      <w:pPr>
        <w:pStyle w:val="CGC2025ParaNumbers"/>
      </w:pPr>
      <w:r w:rsidRPr="007E3BBE">
        <w:t xml:space="preserve">These changes </w:t>
      </w:r>
      <w:r w:rsidR="001817B6" w:rsidRPr="007E3BBE">
        <w:t xml:space="preserve">provide a better estimate of </w:t>
      </w:r>
      <w:r w:rsidR="00587A31" w:rsidRPr="007E3BBE">
        <w:t xml:space="preserve">ambulatory community mental health activity and the balance of </w:t>
      </w:r>
      <w:r w:rsidR="001817B6" w:rsidRPr="007E3BBE">
        <w:t>community and public health activity than emergency departments triage category 4 and 5 services</w:t>
      </w:r>
      <w:r w:rsidR="00DB7AEF" w:rsidRPr="007E3BBE">
        <w:t>. The changes</w:t>
      </w:r>
      <w:r w:rsidR="00E027F4" w:rsidRPr="007E3BBE">
        <w:t xml:space="preserve"> </w:t>
      </w:r>
      <w:r w:rsidR="009B51B2">
        <w:t xml:space="preserve">to the community and public health assessment </w:t>
      </w:r>
      <w:r w:rsidR="6410E691" w:rsidRPr="007E3BBE">
        <w:t>a</w:t>
      </w:r>
      <w:r w:rsidR="004D038B" w:rsidRPr="007E3BBE">
        <w:t>ffect the</w:t>
      </w:r>
      <w:r w:rsidR="004F1BB3" w:rsidRPr="007E3BBE">
        <w:t xml:space="preserve"> Commission’s</w:t>
      </w:r>
      <w:r w:rsidR="004D038B" w:rsidRPr="007E3BBE">
        <w:t xml:space="preserve"> estimate</w:t>
      </w:r>
      <w:r w:rsidR="00F760B6" w:rsidRPr="007E3BBE">
        <w:t xml:space="preserve"> of the</w:t>
      </w:r>
      <w:r w:rsidR="004D038B" w:rsidRPr="007E3BBE">
        <w:t xml:space="preserve"> amount</w:t>
      </w:r>
      <w:r w:rsidR="004C442F" w:rsidRPr="007E3BBE">
        <w:t xml:space="preserve"> states spend on these services for </w:t>
      </w:r>
      <w:r w:rsidR="00F5791B" w:rsidRPr="007E3BBE">
        <w:t>each socio</w:t>
      </w:r>
      <w:r w:rsidR="00F230D5" w:rsidRPr="007E3BBE">
        <w:t>-</w:t>
      </w:r>
      <w:r w:rsidR="00F5791B" w:rsidRPr="007E3BBE">
        <w:t xml:space="preserve">demographic group. </w:t>
      </w:r>
      <w:r w:rsidR="00CA5E7A" w:rsidRPr="007E3BBE">
        <w:t xml:space="preserve">Compared </w:t>
      </w:r>
      <w:r w:rsidR="006C7AF2">
        <w:t>with</w:t>
      </w:r>
      <w:r w:rsidR="00CA5E7A" w:rsidRPr="007E3BBE">
        <w:t xml:space="preserve"> the proxy measure of activity used in the 2020 Review method, </w:t>
      </w:r>
      <w:r w:rsidR="00351F7F" w:rsidRPr="007E3BBE">
        <w:t xml:space="preserve">per capita spending at the national level on </w:t>
      </w:r>
      <w:bookmarkStart w:id="27" w:name="_Hlk184049878"/>
      <w:r w:rsidR="00351F7F" w:rsidRPr="007E3BBE">
        <w:t xml:space="preserve">ambulatory community mental health services and the balance of community and public health services </w:t>
      </w:r>
      <w:bookmarkEnd w:id="27"/>
      <w:r w:rsidR="00351F7F" w:rsidRPr="007E3BBE">
        <w:t xml:space="preserve">will </w:t>
      </w:r>
      <w:r w:rsidR="003F364C" w:rsidRPr="007E3BBE">
        <w:t xml:space="preserve">now </w:t>
      </w:r>
      <w:r w:rsidR="00351F7F" w:rsidRPr="007E3BBE">
        <w:t xml:space="preserve">be </w:t>
      </w:r>
      <w:r w:rsidR="003F364C" w:rsidRPr="007E3BBE">
        <w:t>estimated</w:t>
      </w:r>
      <w:r w:rsidR="00351F7F" w:rsidRPr="007E3BBE">
        <w:t xml:space="preserve"> to be relatively higher for people living in less remote areas or in higher socio-economic status cohorts, as well as for non</w:t>
      </w:r>
      <w:r w:rsidR="00351F7F" w:rsidRPr="007E3BBE">
        <w:noBreakHyphen/>
        <w:t>Indigenous people and younger people.</w:t>
      </w:r>
      <w:r w:rsidR="009002E4" w:rsidRPr="007E3BBE">
        <w:t xml:space="preserve"> States with relatively larger shares of these socio-demographic groups in </w:t>
      </w:r>
      <w:r w:rsidR="00BF10D2" w:rsidRPr="007E3BBE">
        <w:t xml:space="preserve">their population (New South Wales, Victoria and the ACT) </w:t>
      </w:r>
      <w:r w:rsidR="001275C5" w:rsidRPr="007E3BBE">
        <w:t xml:space="preserve">will </w:t>
      </w:r>
      <w:r w:rsidR="00BE4056">
        <w:t>see</w:t>
      </w:r>
      <w:r w:rsidR="00BE4056" w:rsidRPr="007E3BBE">
        <w:t xml:space="preserve"> </w:t>
      </w:r>
      <w:r w:rsidR="001275C5" w:rsidRPr="007E3BBE">
        <w:t xml:space="preserve">an increase in </w:t>
      </w:r>
      <w:r w:rsidR="00BE4056">
        <w:t xml:space="preserve">their assessed </w:t>
      </w:r>
      <w:r w:rsidR="001275C5" w:rsidRPr="007E3BBE">
        <w:t xml:space="preserve">GST </w:t>
      </w:r>
      <w:r w:rsidR="00BE4056">
        <w:t>needs</w:t>
      </w:r>
      <w:r w:rsidR="001275C5" w:rsidRPr="007E3BBE">
        <w:t>.</w:t>
      </w:r>
    </w:p>
    <w:p w14:paraId="6EF72E77" w14:textId="33A07B84" w:rsidR="00D32138" w:rsidRPr="000F0778" w:rsidRDefault="009543FF" w:rsidP="00D91B86">
      <w:pPr>
        <w:pStyle w:val="CGC2025ParaNumbers"/>
      </w:pPr>
      <w:r w:rsidRPr="00BF22AD">
        <w:t>Queensland</w:t>
      </w:r>
      <w:r w:rsidR="004D7C24" w:rsidRPr="00BF22AD">
        <w:t>, Western Australia</w:t>
      </w:r>
      <w:r w:rsidR="00E878A3" w:rsidRPr="00BF22AD">
        <w:t>, South Australia</w:t>
      </w:r>
      <w:r w:rsidR="00557ED0" w:rsidRPr="00BF22AD">
        <w:t xml:space="preserve">, </w:t>
      </w:r>
      <w:r w:rsidR="00F6347E" w:rsidRPr="00BF22AD">
        <w:t xml:space="preserve">Tasmania and the Northern Territory are assessed </w:t>
      </w:r>
      <w:r w:rsidR="005A55D5" w:rsidRPr="00BF22AD">
        <w:t>to need more than their per capita</w:t>
      </w:r>
      <w:r w:rsidR="00CC6ADB" w:rsidRPr="00BF22AD">
        <w:t xml:space="preserve"> share of the GST distribution </w:t>
      </w:r>
      <w:r w:rsidR="00D91B86" w:rsidRPr="00BF22AD">
        <w:t>from the ambulatory community mental health services and the balance of community and public health services. However</w:t>
      </w:r>
      <w:r w:rsidR="002162C1" w:rsidRPr="00BF22AD">
        <w:t xml:space="preserve">, </w:t>
      </w:r>
      <w:r w:rsidR="00F224A7" w:rsidRPr="00BF22AD">
        <w:t>under the 2020 Review method</w:t>
      </w:r>
      <w:r w:rsidR="005268A8" w:rsidRPr="00BF22AD">
        <w:t xml:space="preserve"> their assessed expense needs were even higher</w:t>
      </w:r>
      <w:r w:rsidR="00804791" w:rsidRPr="00BF22AD">
        <w:t xml:space="preserve">. </w:t>
      </w:r>
      <w:r w:rsidR="00CD3306" w:rsidRPr="00BF22AD">
        <w:t>Therefore,</w:t>
      </w:r>
      <w:r w:rsidR="00804791" w:rsidRPr="00BF22AD">
        <w:t xml:space="preserve"> the change in method will see a</w:t>
      </w:r>
      <w:r w:rsidR="00804791" w:rsidRPr="000F0778">
        <w:t xml:space="preserve"> </w:t>
      </w:r>
      <w:r w:rsidR="006C5A68" w:rsidRPr="000F0778">
        <w:t>reduction</w:t>
      </w:r>
      <w:r w:rsidR="00804791" w:rsidRPr="000F0778">
        <w:t xml:space="preserve"> in </w:t>
      </w:r>
      <w:r w:rsidR="00B1529A">
        <w:t xml:space="preserve">assessed </w:t>
      </w:r>
      <w:r w:rsidR="00804791" w:rsidRPr="000F0778">
        <w:t>GST</w:t>
      </w:r>
      <w:r w:rsidR="00F55961" w:rsidRPr="000F0778">
        <w:t xml:space="preserve"> </w:t>
      </w:r>
      <w:r w:rsidR="00B1529A">
        <w:t xml:space="preserve">needs </w:t>
      </w:r>
      <w:r w:rsidR="00F55961" w:rsidRPr="000F0778">
        <w:t>for these states</w:t>
      </w:r>
      <w:r w:rsidR="009945D5" w:rsidRPr="000F0778">
        <w:t>.</w:t>
      </w:r>
    </w:p>
    <w:p w14:paraId="1E49308D" w14:textId="73DCF13C" w:rsidR="00DF4EEB" w:rsidRDefault="005175CB" w:rsidP="00F17126">
      <w:pPr>
        <w:pStyle w:val="CGC2025ParaNumbers"/>
      </w:pPr>
      <w:r>
        <w:t>The effect on GST distribution from 2</w:t>
      </w:r>
      <w:r w:rsidR="00373E99">
        <w:t xml:space="preserve"> changes to the non</w:t>
      </w:r>
      <w:r w:rsidR="00373E99">
        <w:noBreakHyphen/>
        <w:t xml:space="preserve">state </w:t>
      </w:r>
      <w:r w:rsidR="004C6BC1">
        <w:t xml:space="preserve">sector adjustment </w:t>
      </w:r>
      <w:r>
        <w:t xml:space="preserve">are </w:t>
      </w:r>
      <w:r w:rsidR="002665DD">
        <w:t xml:space="preserve">grouped together in </w:t>
      </w:r>
      <w:r w:rsidR="00427944">
        <w:t>T</w:t>
      </w:r>
      <w:r w:rsidR="002665DD">
        <w:t>able</w:t>
      </w:r>
      <w:r w:rsidR="00275ED1">
        <w:t xml:space="preserve"> 1</w:t>
      </w:r>
      <w:r w:rsidR="002665DD">
        <w:t xml:space="preserve"> against the </w:t>
      </w:r>
      <w:r w:rsidR="002665DD" w:rsidRPr="00E147F5">
        <w:rPr>
          <w:i/>
          <w:iCs/>
        </w:rPr>
        <w:t>changes to non</w:t>
      </w:r>
      <w:r w:rsidR="002665DD" w:rsidRPr="00E147F5">
        <w:rPr>
          <w:i/>
          <w:iCs/>
        </w:rPr>
        <w:noBreakHyphen/>
        <w:t>state sector</w:t>
      </w:r>
      <w:r w:rsidR="00101C69" w:rsidRPr="00E147F5">
        <w:rPr>
          <w:i/>
          <w:iCs/>
        </w:rPr>
        <w:t xml:space="preserve"> adjustment </w:t>
      </w:r>
      <w:r w:rsidR="00101C69" w:rsidRPr="00D3694E">
        <w:t>label</w:t>
      </w:r>
      <w:r w:rsidR="00101C69">
        <w:t xml:space="preserve">. </w:t>
      </w:r>
    </w:p>
    <w:p w14:paraId="48787825" w14:textId="527A0305" w:rsidR="00495A68" w:rsidRDefault="00F622F2" w:rsidP="00F17126">
      <w:pPr>
        <w:pStyle w:val="CGC2025ParaNumbers"/>
      </w:pPr>
      <w:r>
        <w:lastRenderedPageBreak/>
        <w:t xml:space="preserve">The </w:t>
      </w:r>
      <w:r w:rsidR="00DF4EEB">
        <w:t xml:space="preserve">first </w:t>
      </w:r>
      <w:r w:rsidRPr="00F67019">
        <w:t>change</w:t>
      </w:r>
      <w:r>
        <w:t xml:space="preserve"> </w:t>
      </w:r>
      <w:r w:rsidR="006E7CC1">
        <w:t xml:space="preserve">to </w:t>
      </w:r>
      <w:r w:rsidR="00604B5B">
        <w:t xml:space="preserve">the </w:t>
      </w:r>
      <w:r w:rsidR="006E7CC1">
        <w:t>non</w:t>
      </w:r>
      <w:r w:rsidR="006E7CC1">
        <w:noBreakHyphen/>
        <w:t xml:space="preserve">state sector adjustments </w:t>
      </w:r>
      <w:r w:rsidR="00495A68">
        <w:t>relates to</w:t>
      </w:r>
      <w:r>
        <w:t xml:space="preserve"> Commonwealth grants to First Nations community</w:t>
      </w:r>
      <w:r w:rsidR="009D56FF">
        <w:noBreakHyphen/>
      </w:r>
      <w:r>
        <w:t>controlled health services</w:t>
      </w:r>
      <w:r w:rsidR="00495A68">
        <w:t>.</w:t>
      </w:r>
      <w:r w:rsidR="003474CE">
        <w:t xml:space="preserve"> Setting this adjustment </w:t>
      </w:r>
      <w:r w:rsidR="00E260BC">
        <w:t xml:space="preserve">to zero increases </w:t>
      </w:r>
      <w:r w:rsidR="00B1529A">
        <w:t xml:space="preserve">the assessed </w:t>
      </w:r>
      <w:r w:rsidR="00E260BC">
        <w:t xml:space="preserve">GST </w:t>
      </w:r>
      <w:r w:rsidR="00B1529A">
        <w:t>needs</w:t>
      </w:r>
      <w:r w:rsidR="0034364F">
        <w:t xml:space="preserve"> </w:t>
      </w:r>
      <w:r w:rsidR="00B1529A">
        <w:t>of</w:t>
      </w:r>
      <w:r w:rsidR="00E260BC">
        <w:t xml:space="preserve"> </w:t>
      </w:r>
      <w:r w:rsidR="006E49D8">
        <w:t xml:space="preserve">states that </w:t>
      </w:r>
      <w:r w:rsidR="00B44BB4">
        <w:t>received grants that exceeded what they were assessed to need under the 2020 Review method</w:t>
      </w:r>
      <w:r w:rsidR="007F4A8C">
        <w:t xml:space="preserve"> (Victoria, South Australia</w:t>
      </w:r>
      <w:r w:rsidR="009856BD">
        <w:t>,</w:t>
      </w:r>
      <w:r w:rsidR="00A40700">
        <w:t xml:space="preserve"> the ACT and the Northern Territory</w:t>
      </w:r>
      <w:r w:rsidR="00893F30">
        <w:t>)</w:t>
      </w:r>
      <w:r w:rsidR="00B44BB4">
        <w:t xml:space="preserve">. </w:t>
      </w:r>
    </w:p>
    <w:p w14:paraId="60774E91" w14:textId="77777777" w:rsidR="001361B4" w:rsidRDefault="00893F30" w:rsidP="00F17126">
      <w:pPr>
        <w:pStyle w:val="CGC2025ParaNumbers"/>
      </w:pPr>
      <w:r>
        <w:t xml:space="preserve">The second change </w:t>
      </w:r>
      <w:r w:rsidR="000E5BD7">
        <w:t>is to</w:t>
      </w:r>
      <w:r w:rsidR="00F622F2">
        <w:t xml:space="preserve"> not round non-state sector substitutability levels to the closest 5%</w:t>
      </w:r>
      <w:r w:rsidR="00C86B12">
        <w:t xml:space="preserve">. </w:t>
      </w:r>
    </w:p>
    <w:p w14:paraId="21350E48" w14:textId="1695EF1A" w:rsidR="002F25F9" w:rsidRPr="00F2390F" w:rsidRDefault="00456EA1" w:rsidP="00F17126">
      <w:pPr>
        <w:pStyle w:val="CGC2025ParaNumbers"/>
      </w:pPr>
      <w:r w:rsidRPr="00F2390F">
        <w:t xml:space="preserve">The </w:t>
      </w:r>
      <w:r w:rsidR="00317B87" w:rsidRPr="00F2390F">
        <w:t xml:space="preserve">substitutability levels for </w:t>
      </w:r>
      <w:r w:rsidR="00051FD3" w:rsidRPr="00F2390F">
        <w:t xml:space="preserve">admitted patient and community and public health </w:t>
      </w:r>
      <w:r w:rsidR="00CA15AB" w:rsidRPr="00F2390F">
        <w:t>services ha</w:t>
      </w:r>
      <w:r w:rsidR="00661CC3" w:rsidRPr="00F2390F">
        <w:t>ve</w:t>
      </w:r>
      <w:r w:rsidR="00CA15AB" w:rsidRPr="00F2390F">
        <w:t xml:space="preserve"> been estimated at 17% and 62% respectively</w:t>
      </w:r>
      <w:r w:rsidR="00111D29" w:rsidRPr="00F2390F">
        <w:t xml:space="preserve">. Rounding would have brought these estimates to 15% and 60% respectively, unchanged from the 2020 Review method. </w:t>
      </w:r>
      <w:r w:rsidR="002F25F9" w:rsidRPr="00F2390F">
        <w:t>A higher substitut</w:t>
      </w:r>
      <w:r w:rsidR="00661CC3" w:rsidRPr="00F2390F">
        <w:t xml:space="preserve">ability level means </w:t>
      </w:r>
      <w:r w:rsidR="00FE0948" w:rsidRPr="00F2390F">
        <w:t xml:space="preserve">an estimated larger </w:t>
      </w:r>
      <w:r w:rsidR="006B7AB5" w:rsidRPr="00F2390F">
        <w:t xml:space="preserve">contribution from the non-state sector, and therefore </w:t>
      </w:r>
      <w:r w:rsidR="00A86427" w:rsidRPr="00F2390F">
        <w:t xml:space="preserve">a </w:t>
      </w:r>
      <w:r w:rsidR="0041669A" w:rsidRPr="00F2390F">
        <w:t xml:space="preserve">lower estimate of </w:t>
      </w:r>
      <w:r w:rsidR="00B31E41" w:rsidRPr="00F2390F">
        <w:t xml:space="preserve">state </w:t>
      </w:r>
      <w:r w:rsidR="005F13D3" w:rsidRPr="00F2390F">
        <w:t>expense needs</w:t>
      </w:r>
      <w:r w:rsidR="003F1BEC" w:rsidRPr="00F2390F">
        <w:t xml:space="preserve">. </w:t>
      </w:r>
      <w:r w:rsidR="00B87F72" w:rsidRPr="00F2390F">
        <w:t>The non-state sector adjustment is calculated as the difference b</w:t>
      </w:r>
      <w:r w:rsidR="00332B2F" w:rsidRPr="00F2390F">
        <w:t xml:space="preserve">etween assessed and actual </w:t>
      </w:r>
      <w:r w:rsidR="00887380" w:rsidRPr="00F2390F">
        <w:t xml:space="preserve">non-state expenses. </w:t>
      </w:r>
      <w:r w:rsidR="00520B8C" w:rsidRPr="00F2390F">
        <w:t>Therefore,</w:t>
      </w:r>
      <w:r w:rsidR="0028598F" w:rsidRPr="00F2390F">
        <w:t xml:space="preserve"> s</w:t>
      </w:r>
      <w:r w:rsidR="003F1BEC" w:rsidRPr="00F2390F">
        <w:t xml:space="preserve">tates that </w:t>
      </w:r>
      <w:r w:rsidR="00452B8E" w:rsidRPr="00F2390F">
        <w:t xml:space="preserve">have assessed </w:t>
      </w:r>
      <w:r w:rsidR="007F15E2" w:rsidRPr="00F2390F">
        <w:t xml:space="preserve">non-state expenses greater than actual expenses will </w:t>
      </w:r>
      <w:r w:rsidR="008D002C" w:rsidRPr="00F2390F">
        <w:t>receive an increase in GST distribution</w:t>
      </w:r>
      <w:r w:rsidR="007214C0" w:rsidRPr="00F2390F">
        <w:t xml:space="preserve">. For </w:t>
      </w:r>
      <w:r w:rsidR="00C14246" w:rsidRPr="00F2390F">
        <w:t>admitted patients</w:t>
      </w:r>
      <w:r w:rsidR="00217ECE">
        <w:t>,</w:t>
      </w:r>
      <w:r w:rsidR="00C14246" w:rsidRPr="00F2390F">
        <w:t xml:space="preserve"> th</w:t>
      </w:r>
      <w:r w:rsidR="0097477A" w:rsidRPr="00F2390F">
        <w:t>ese</w:t>
      </w:r>
      <w:r w:rsidR="00C14246" w:rsidRPr="00F2390F">
        <w:t xml:space="preserve"> </w:t>
      </w:r>
      <w:r w:rsidR="00541CAA" w:rsidRPr="00F2390F">
        <w:t>are</w:t>
      </w:r>
      <w:r w:rsidR="00C14246" w:rsidRPr="00F2390F">
        <w:t xml:space="preserve"> Victoria, Western Australia</w:t>
      </w:r>
      <w:r w:rsidR="006B4ECA" w:rsidRPr="00F2390F">
        <w:t xml:space="preserve"> and the ACT. For community and public </w:t>
      </w:r>
      <w:r w:rsidR="00217ECE" w:rsidRPr="00F2390F">
        <w:t>health,</w:t>
      </w:r>
      <w:r w:rsidR="006B4ECA" w:rsidRPr="00F2390F">
        <w:t xml:space="preserve"> it is</w:t>
      </w:r>
      <w:r w:rsidR="00537ABB" w:rsidRPr="00F2390F">
        <w:t xml:space="preserve"> Western Australia</w:t>
      </w:r>
      <w:r w:rsidR="000830EA" w:rsidRPr="00F2390F">
        <w:t xml:space="preserve">, South Australia, Tasmania and the ACT. </w:t>
      </w:r>
    </w:p>
    <w:p w14:paraId="551ED438" w14:textId="4811933E" w:rsidR="00F622F2" w:rsidRPr="00F2390F" w:rsidRDefault="00190F04" w:rsidP="00190F04">
      <w:pPr>
        <w:pStyle w:val="CGC2025ParaNumbers"/>
      </w:pPr>
      <w:r w:rsidRPr="00F2390F">
        <w:t xml:space="preserve">The substitutability levels for emergency department and </w:t>
      </w:r>
      <w:r w:rsidR="00454E32" w:rsidRPr="00F2390F">
        <w:t>non</w:t>
      </w:r>
      <w:r w:rsidR="00454E32" w:rsidRPr="00F2390F">
        <w:noBreakHyphen/>
        <w:t>admitted patient</w:t>
      </w:r>
      <w:r w:rsidRPr="00F2390F">
        <w:t xml:space="preserve"> services have been estimated at 1</w:t>
      </w:r>
      <w:r w:rsidR="00454E32" w:rsidRPr="00F2390F">
        <w:t>3</w:t>
      </w:r>
      <w:r w:rsidRPr="00F2390F">
        <w:t xml:space="preserve">% and </w:t>
      </w:r>
      <w:r w:rsidR="00454E32" w:rsidRPr="00F2390F">
        <w:t>28</w:t>
      </w:r>
      <w:r w:rsidRPr="00F2390F">
        <w:t xml:space="preserve">% respectively. Rounding would have brought these estimates to 15% and </w:t>
      </w:r>
      <w:r w:rsidR="00454E32" w:rsidRPr="00F2390F">
        <w:t>3</w:t>
      </w:r>
      <w:r w:rsidRPr="00F2390F">
        <w:t>0% respectively, unchanged from the 2020</w:t>
      </w:r>
      <w:r w:rsidR="002B0FF4" w:rsidRPr="00F2390F">
        <w:t> </w:t>
      </w:r>
      <w:r w:rsidRPr="00F2390F">
        <w:t xml:space="preserve">Review method. A </w:t>
      </w:r>
      <w:r w:rsidR="00454E32" w:rsidRPr="00F2390F">
        <w:t>lower</w:t>
      </w:r>
      <w:r w:rsidRPr="00F2390F">
        <w:t xml:space="preserve"> substitutability level means a </w:t>
      </w:r>
      <w:r w:rsidR="0057720C" w:rsidRPr="00F2390F">
        <w:t>small</w:t>
      </w:r>
      <w:r w:rsidR="005600DD" w:rsidRPr="00F2390F">
        <w:t>er</w:t>
      </w:r>
      <w:r w:rsidRPr="00F2390F">
        <w:t xml:space="preserve"> </w:t>
      </w:r>
      <w:r w:rsidR="006B7AB5" w:rsidRPr="00F2390F">
        <w:t xml:space="preserve">estimated contribution from the </w:t>
      </w:r>
      <w:r w:rsidR="00C82160" w:rsidRPr="00F2390F">
        <w:t>n</w:t>
      </w:r>
      <w:r w:rsidR="006B7AB5" w:rsidRPr="00F2390F">
        <w:t xml:space="preserve">on-state sector and therefore </w:t>
      </w:r>
      <w:r w:rsidR="00C82160" w:rsidRPr="00F2390F">
        <w:t xml:space="preserve">a </w:t>
      </w:r>
      <w:r w:rsidR="00402E7A" w:rsidRPr="00F2390F">
        <w:t xml:space="preserve">larger estimate </w:t>
      </w:r>
      <w:r w:rsidR="00102B6E" w:rsidRPr="00F2390F">
        <w:t xml:space="preserve">of </w:t>
      </w:r>
      <w:r w:rsidR="00F7709B" w:rsidRPr="00F2390F">
        <w:t>state expense needs</w:t>
      </w:r>
      <w:r w:rsidRPr="00F2390F">
        <w:t>.</w:t>
      </w:r>
      <w:r w:rsidR="00BA76D5" w:rsidRPr="00F2390F">
        <w:t xml:space="preserve"> This increases </w:t>
      </w:r>
      <w:r w:rsidR="00333351">
        <w:t xml:space="preserve">assessed </w:t>
      </w:r>
      <w:r w:rsidR="00BA76D5" w:rsidRPr="00F2390F">
        <w:t xml:space="preserve">GST </w:t>
      </w:r>
      <w:r w:rsidR="00333351">
        <w:t>needs</w:t>
      </w:r>
      <w:r w:rsidR="002F4C81">
        <w:t xml:space="preserve"> </w:t>
      </w:r>
      <w:r w:rsidR="00333351">
        <w:t>for</w:t>
      </w:r>
      <w:r w:rsidR="00BA76D5" w:rsidRPr="00F2390F">
        <w:t xml:space="preserve"> states that </w:t>
      </w:r>
      <w:r w:rsidR="00604CEA" w:rsidRPr="00F2390F">
        <w:t xml:space="preserve">had actual expenses </w:t>
      </w:r>
      <w:r w:rsidR="00D84D9B" w:rsidRPr="00F2390F">
        <w:t>exceeding assessed expenses</w:t>
      </w:r>
      <w:r w:rsidR="00B70ACD" w:rsidRPr="00F2390F">
        <w:t xml:space="preserve">. For </w:t>
      </w:r>
      <w:r w:rsidR="00813F26" w:rsidRPr="00F2390F">
        <w:t xml:space="preserve">both </w:t>
      </w:r>
      <w:r w:rsidR="00B70ACD" w:rsidRPr="00F2390F">
        <w:t>emergency department</w:t>
      </w:r>
      <w:r w:rsidR="00813F26" w:rsidRPr="00F2390F">
        <w:t xml:space="preserve"> and non</w:t>
      </w:r>
      <w:r w:rsidR="00813F26" w:rsidRPr="00F2390F">
        <w:noBreakHyphen/>
        <w:t xml:space="preserve">admitted patient </w:t>
      </w:r>
      <w:r w:rsidR="0001421A" w:rsidRPr="00F2390F">
        <w:t xml:space="preserve">adjustments </w:t>
      </w:r>
      <w:r w:rsidR="00B70ACD" w:rsidRPr="00F2390F">
        <w:t>th</w:t>
      </w:r>
      <w:r w:rsidR="00620587" w:rsidRPr="00F2390F">
        <w:t>ese</w:t>
      </w:r>
      <w:r w:rsidR="00B70ACD" w:rsidRPr="00F2390F">
        <w:t xml:space="preserve"> </w:t>
      </w:r>
      <w:r w:rsidR="00505CFD" w:rsidRPr="00F2390F">
        <w:t>are</w:t>
      </w:r>
      <w:r w:rsidR="00B70ACD" w:rsidRPr="00F2390F">
        <w:t xml:space="preserve"> </w:t>
      </w:r>
      <w:r w:rsidR="00791226" w:rsidRPr="00F2390F">
        <w:t xml:space="preserve">New South Wales, </w:t>
      </w:r>
      <w:r w:rsidR="00B70ACD" w:rsidRPr="00F2390F">
        <w:t>Victoria</w:t>
      </w:r>
      <w:r w:rsidR="00D9476A" w:rsidRPr="00F2390F">
        <w:t xml:space="preserve"> and</w:t>
      </w:r>
      <w:r w:rsidR="00791226" w:rsidRPr="00F2390F">
        <w:t xml:space="preserve"> Queensland</w:t>
      </w:r>
      <w:r w:rsidR="00D9476A" w:rsidRPr="00F2390F">
        <w:t xml:space="preserve">. </w:t>
      </w:r>
    </w:p>
    <w:p w14:paraId="1AC0403D" w14:textId="7D7B969F" w:rsidR="00F622F2" w:rsidRDefault="00F622F2" w:rsidP="00F622F2">
      <w:pPr>
        <w:pStyle w:val="CGC2025ParaNumbers"/>
      </w:pPr>
      <w:r>
        <w:t>Applying a 12.5% discount to the non-state sector adjustments reduces the influence of these adjustments on the distribution of GST</w:t>
      </w:r>
      <w:r w:rsidR="005C34E9">
        <w:t xml:space="preserve"> (</w:t>
      </w:r>
      <w:r w:rsidR="005C34E9" w:rsidRPr="007951C3">
        <w:rPr>
          <w:i/>
          <w:iCs/>
        </w:rPr>
        <w:t>discounting of non</w:t>
      </w:r>
      <w:r w:rsidR="005C34E9" w:rsidRPr="007951C3">
        <w:rPr>
          <w:i/>
          <w:iCs/>
        </w:rPr>
        <w:noBreakHyphen/>
        <w:t xml:space="preserve">state sector </w:t>
      </w:r>
      <w:r w:rsidR="007951C3" w:rsidRPr="007951C3">
        <w:rPr>
          <w:i/>
          <w:iCs/>
        </w:rPr>
        <w:t>adjustments</w:t>
      </w:r>
      <w:r w:rsidR="007951C3">
        <w:t>)</w:t>
      </w:r>
      <w:r>
        <w:t>.</w:t>
      </w:r>
    </w:p>
    <w:p w14:paraId="30A24D27" w14:textId="11027AAF" w:rsidR="00EA5ED6" w:rsidRDefault="00EA5ED6" w:rsidP="00EA5ED6">
      <w:pPr>
        <w:pStyle w:val="CGC2025ParaNumbers"/>
      </w:pPr>
      <w:r>
        <w:t xml:space="preserve">Using updated data on New South Wales residents’ use of ACT services increases </w:t>
      </w:r>
      <w:r w:rsidR="00F03616">
        <w:t xml:space="preserve">the assessed </w:t>
      </w:r>
      <w:r>
        <w:t xml:space="preserve">GST </w:t>
      </w:r>
      <w:r w:rsidR="00F03616">
        <w:t>needs of the</w:t>
      </w:r>
      <w:r>
        <w:t xml:space="preserve"> ACT and reduces it for New South Wales</w:t>
      </w:r>
      <w:r w:rsidR="005B72D3">
        <w:t xml:space="preserve"> (</w:t>
      </w:r>
      <w:r w:rsidR="005B72D3" w:rsidRPr="005B72D3">
        <w:rPr>
          <w:i/>
          <w:iCs/>
        </w:rPr>
        <w:t>cross</w:t>
      </w:r>
      <w:r w:rsidR="00A17592">
        <w:rPr>
          <w:i/>
          <w:iCs/>
        </w:rPr>
        <w:t>-</w:t>
      </w:r>
      <w:r w:rsidR="005B72D3" w:rsidRPr="005B72D3">
        <w:rPr>
          <w:i/>
          <w:iCs/>
        </w:rPr>
        <w:t>border</w:t>
      </w:r>
      <w:r w:rsidR="005B72D3">
        <w:t>)</w:t>
      </w:r>
      <w:r>
        <w:t>.</w:t>
      </w:r>
    </w:p>
    <w:p w14:paraId="5A9EAD9E" w14:textId="77777777" w:rsidR="00382D2B" w:rsidRDefault="003675CB" w:rsidP="00382D2B">
      <w:pPr>
        <w:pStyle w:val="CGC2025ParaNumbers"/>
      </w:pPr>
      <w:bookmarkStart w:id="28" w:name="_Hlk183096153"/>
      <w:r>
        <w:t>Using updated data on the split between state spending on hospital and non</w:t>
      </w:r>
      <w:r>
        <w:noBreakHyphen/>
        <w:t xml:space="preserve">hospital patient transport reduces expenses for non-hospital patient transport compared with the </w:t>
      </w:r>
      <w:r w:rsidR="00AB53BE">
        <w:t>2020 Review method</w:t>
      </w:r>
      <w:r>
        <w:t>.</w:t>
      </w:r>
      <w:bookmarkEnd w:id="28"/>
      <w:r>
        <w:t xml:space="preserve"> This reduces GST distribution to states that are assessed to need to spend more than their per capita share on non-hospital patient transport</w:t>
      </w:r>
      <w:r w:rsidR="008F03D8">
        <w:t xml:space="preserve"> (</w:t>
      </w:r>
      <w:r w:rsidR="008F03D8" w:rsidRPr="008F03D8">
        <w:rPr>
          <w:i/>
          <w:iCs/>
        </w:rPr>
        <w:t>non</w:t>
      </w:r>
      <w:r w:rsidR="008F03D8" w:rsidRPr="008F03D8">
        <w:rPr>
          <w:i/>
          <w:iCs/>
        </w:rPr>
        <w:noBreakHyphen/>
        <w:t>hospital patient transport</w:t>
      </w:r>
      <w:r w:rsidR="008F03D8">
        <w:t>)</w:t>
      </w:r>
      <w:r>
        <w:t>.</w:t>
      </w:r>
      <w:r w:rsidR="00382D2B" w:rsidRPr="00382D2B">
        <w:t xml:space="preserve"> </w:t>
      </w:r>
    </w:p>
    <w:p w14:paraId="2D8A9CB6" w14:textId="77777777" w:rsidR="00150B4A" w:rsidRDefault="00150B4A" w:rsidP="000527B5">
      <w:pPr>
        <w:pStyle w:val="CGC2025ParaNumbers"/>
        <w:numPr>
          <w:ilvl w:val="0"/>
          <w:numId w:val="0"/>
        </w:numPr>
        <w:ind w:left="567"/>
      </w:pPr>
    </w:p>
    <w:p w14:paraId="345C719B" w14:textId="0000FBE6" w:rsidR="00124670" w:rsidRDefault="00124670" w:rsidP="000527B5">
      <w:pPr>
        <w:pStyle w:val="CGC2025ParaNumbers"/>
        <w:numPr>
          <w:ilvl w:val="0"/>
          <w:numId w:val="0"/>
        </w:numPr>
        <w:ind w:left="567"/>
        <w:sectPr w:rsidR="00124670" w:rsidSect="007A0B87">
          <w:headerReference w:type="even" r:id="rId12"/>
          <w:footerReference w:type="even" r:id="rId13"/>
          <w:footerReference w:type="default" r:id="rId14"/>
          <w:headerReference w:type="first" r:id="rId15"/>
          <w:footerReference w:type="first" r:id="rId16"/>
          <w:pgSz w:w="11906" w:h="16838" w:code="9"/>
          <w:pgMar w:top="1440" w:right="1440" w:bottom="1440" w:left="1440" w:header="720" w:footer="170" w:gutter="0"/>
          <w:cols w:space="720"/>
          <w:docGrid w:linePitch="272"/>
        </w:sectPr>
      </w:pPr>
    </w:p>
    <w:p w14:paraId="2CD1E9BA" w14:textId="62805885" w:rsidR="00DC2ABF" w:rsidRDefault="009C2E38" w:rsidP="008C6876">
      <w:pPr>
        <w:pStyle w:val="Heading2"/>
      </w:pPr>
      <w:r>
        <w:lastRenderedPageBreak/>
        <w:t>Attachment A</w:t>
      </w:r>
    </w:p>
    <w:p w14:paraId="0A4DF453" w14:textId="5337EF10" w:rsidR="00A1605F" w:rsidRDefault="00D82102" w:rsidP="009E4E7C">
      <w:pPr>
        <w:pStyle w:val="CGC2025Caption"/>
      </w:pPr>
      <w:r w:rsidRPr="006350E7">
        <w:t>Table</w:t>
      </w:r>
      <w:r>
        <w:t xml:space="preserve"> </w:t>
      </w:r>
      <w:r w:rsidR="009D1FC0">
        <w:t>A</w:t>
      </w:r>
      <w:r w:rsidR="0002698B">
        <w:t>-</w:t>
      </w:r>
      <w:r w:rsidR="009D1FC0">
        <w:t>1</w:t>
      </w:r>
      <w:r>
        <w:t xml:space="preserve"> </w:t>
      </w:r>
      <w:r w:rsidR="006350E7">
        <w:tab/>
      </w:r>
      <w:r w:rsidR="00535FCD">
        <w:t xml:space="preserve">Non-admitted </w:t>
      </w:r>
      <w:r w:rsidR="00FD4F46">
        <w:t xml:space="preserve">patient services </w:t>
      </w:r>
      <w:proofErr w:type="gramStart"/>
      <w:r w:rsidR="00FD4F46">
        <w:t>similar to</w:t>
      </w:r>
      <w:proofErr w:type="gramEnd"/>
      <w:r w:rsidR="00FD4F46">
        <w:t xml:space="preserve"> community health services</w:t>
      </w:r>
    </w:p>
    <w:tbl>
      <w:tblPr>
        <w:tblW w:w="8840" w:type="dxa"/>
        <w:tblLook w:val="04A0" w:firstRow="1" w:lastRow="0" w:firstColumn="1" w:lastColumn="0" w:noHBand="0" w:noVBand="1"/>
      </w:tblPr>
      <w:tblGrid>
        <w:gridCol w:w="960"/>
        <w:gridCol w:w="3880"/>
        <w:gridCol w:w="4000"/>
      </w:tblGrid>
      <w:tr w:rsidR="00DF2EC4" w:rsidRPr="004A0A2A" w14:paraId="0A0622DA" w14:textId="77777777">
        <w:trPr>
          <w:trHeight w:val="375"/>
          <w:tblHeader/>
        </w:trPr>
        <w:tc>
          <w:tcPr>
            <w:tcW w:w="960" w:type="dxa"/>
            <w:tcBorders>
              <w:top w:val="nil"/>
              <w:left w:val="nil"/>
              <w:bottom w:val="nil"/>
              <w:right w:val="nil"/>
            </w:tcBorders>
            <w:shd w:val="clear" w:color="000000" w:fill="006991"/>
            <w:noWrap/>
            <w:vAlign w:val="center"/>
            <w:hideMark/>
          </w:tcPr>
          <w:p w14:paraId="63FD2596" w14:textId="77777777" w:rsidR="00DF2EC4" w:rsidRPr="004A0A2A" w:rsidRDefault="00DF2EC4">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4A0A2A">
              <w:rPr>
                <w:rFonts w:ascii="Open Sans Semibold" w:eastAsia="Times New Roman" w:hAnsi="Open Sans Semibold" w:cs="Open Sans Semibold"/>
                <w:color w:val="FFFFFF"/>
                <w:sz w:val="16"/>
                <w:szCs w:val="16"/>
                <w:lang w:eastAsia="en-AU"/>
              </w:rPr>
              <w:t>Tier 2</w:t>
            </w:r>
          </w:p>
        </w:tc>
        <w:tc>
          <w:tcPr>
            <w:tcW w:w="3880" w:type="dxa"/>
            <w:tcBorders>
              <w:top w:val="nil"/>
              <w:left w:val="nil"/>
              <w:bottom w:val="nil"/>
              <w:right w:val="nil"/>
            </w:tcBorders>
            <w:shd w:val="clear" w:color="000000" w:fill="006991"/>
            <w:noWrap/>
            <w:vAlign w:val="center"/>
            <w:hideMark/>
          </w:tcPr>
          <w:p w14:paraId="0197C5DC" w14:textId="77777777" w:rsidR="00DF2EC4" w:rsidRPr="004A0A2A" w:rsidRDefault="00DF2EC4">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4A0A2A">
              <w:rPr>
                <w:rFonts w:ascii="Open Sans Semibold" w:eastAsia="Times New Roman" w:hAnsi="Open Sans Semibold" w:cs="Open Sans Semibold"/>
                <w:color w:val="FFFFFF"/>
                <w:sz w:val="16"/>
                <w:szCs w:val="16"/>
                <w:lang w:eastAsia="en-AU"/>
              </w:rPr>
              <w:t>Non-admitted patient service</w:t>
            </w:r>
          </w:p>
        </w:tc>
        <w:tc>
          <w:tcPr>
            <w:tcW w:w="4000" w:type="dxa"/>
            <w:tcBorders>
              <w:top w:val="nil"/>
              <w:left w:val="nil"/>
              <w:bottom w:val="nil"/>
              <w:right w:val="nil"/>
            </w:tcBorders>
            <w:shd w:val="clear" w:color="000000" w:fill="006991"/>
            <w:noWrap/>
            <w:vAlign w:val="center"/>
            <w:hideMark/>
          </w:tcPr>
          <w:p w14:paraId="368E3EA5" w14:textId="77777777" w:rsidR="00DF2EC4" w:rsidRPr="004A0A2A" w:rsidRDefault="00DF2EC4">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4A0A2A">
              <w:rPr>
                <w:rFonts w:ascii="Open Sans Semibold" w:eastAsia="Times New Roman" w:hAnsi="Open Sans Semibold" w:cs="Open Sans Semibold"/>
                <w:color w:val="FFFFFF"/>
                <w:sz w:val="16"/>
                <w:szCs w:val="16"/>
                <w:lang w:eastAsia="en-AU"/>
              </w:rPr>
              <w:t>Community and public health service</w:t>
            </w:r>
          </w:p>
        </w:tc>
      </w:tr>
      <w:tr w:rsidR="00DF2EC4" w:rsidRPr="004A0A2A" w14:paraId="3B508DCD" w14:textId="77777777">
        <w:trPr>
          <w:trHeight w:val="300"/>
        </w:trPr>
        <w:tc>
          <w:tcPr>
            <w:tcW w:w="960" w:type="dxa"/>
            <w:tcBorders>
              <w:top w:val="nil"/>
              <w:left w:val="nil"/>
              <w:bottom w:val="single" w:sz="4" w:space="0" w:color="ADD6EA"/>
              <w:right w:val="nil"/>
            </w:tcBorders>
            <w:shd w:val="clear" w:color="000000" w:fill="FFFFFF"/>
            <w:hideMark/>
          </w:tcPr>
          <w:p w14:paraId="2873BB25"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40.09</w:t>
            </w:r>
          </w:p>
        </w:tc>
        <w:tc>
          <w:tcPr>
            <w:tcW w:w="3880" w:type="dxa"/>
            <w:tcBorders>
              <w:top w:val="nil"/>
              <w:left w:val="nil"/>
              <w:bottom w:val="single" w:sz="4" w:space="0" w:color="ADD6EA"/>
              <w:right w:val="nil"/>
            </w:tcBorders>
            <w:shd w:val="clear" w:color="000000" w:fill="FFFFFF"/>
            <w:hideMark/>
          </w:tcPr>
          <w:p w14:paraId="7ADF4BE3"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Physiotherapy</w:t>
            </w:r>
          </w:p>
        </w:tc>
        <w:tc>
          <w:tcPr>
            <w:tcW w:w="4000" w:type="dxa"/>
            <w:tcBorders>
              <w:top w:val="nil"/>
              <w:left w:val="nil"/>
              <w:bottom w:val="single" w:sz="4" w:space="0" w:color="ADD6EA"/>
              <w:right w:val="nil"/>
            </w:tcBorders>
            <w:shd w:val="clear" w:color="000000" w:fill="FFFFFF"/>
            <w:hideMark/>
          </w:tcPr>
          <w:p w14:paraId="636F2E50"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Allied health services</w:t>
            </w:r>
          </w:p>
        </w:tc>
      </w:tr>
      <w:tr w:rsidR="00DF2EC4" w:rsidRPr="004A0A2A" w14:paraId="7DB260B6" w14:textId="77777777">
        <w:trPr>
          <w:trHeight w:val="300"/>
        </w:trPr>
        <w:tc>
          <w:tcPr>
            <w:tcW w:w="960" w:type="dxa"/>
            <w:tcBorders>
              <w:top w:val="nil"/>
              <w:left w:val="nil"/>
              <w:bottom w:val="single" w:sz="4" w:space="0" w:color="ADD6EA"/>
              <w:right w:val="nil"/>
            </w:tcBorders>
            <w:shd w:val="clear" w:color="000000" w:fill="FFFFFF"/>
            <w:hideMark/>
          </w:tcPr>
          <w:p w14:paraId="1C5CCA0A"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40.10</w:t>
            </w:r>
          </w:p>
        </w:tc>
        <w:tc>
          <w:tcPr>
            <w:tcW w:w="3880" w:type="dxa"/>
            <w:tcBorders>
              <w:top w:val="nil"/>
              <w:left w:val="nil"/>
              <w:bottom w:val="single" w:sz="4" w:space="0" w:color="ADD6EA"/>
              <w:right w:val="nil"/>
            </w:tcBorders>
            <w:shd w:val="clear" w:color="000000" w:fill="FFFFFF"/>
            <w:hideMark/>
          </w:tcPr>
          <w:p w14:paraId="2EBFAFEF"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Sexual health</w:t>
            </w:r>
          </w:p>
        </w:tc>
        <w:tc>
          <w:tcPr>
            <w:tcW w:w="4000" w:type="dxa"/>
            <w:tcBorders>
              <w:top w:val="nil"/>
              <w:left w:val="nil"/>
              <w:bottom w:val="single" w:sz="4" w:space="0" w:color="ADD6EA"/>
              <w:right w:val="nil"/>
            </w:tcBorders>
            <w:shd w:val="clear" w:color="000000" w:fill="FFFFFF"/>
            <w:hideMark/>
          </w:tcPr>
          <w:p w14:paraId="0ACD368C"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Sexual health services</w:t>
            </w:r>
          </w:p>
        </w:tc>
      </w:tr>
      <w:tr w:rsidR="00DF2EC4" w:rsidRPr="004A0A2A" w14:paraId="28CCE335" w14:textId="77777777">
        <w:trPr>
          <w:trHeight w:val="300"/>
        </w:trPr>
        <w:tc>
          <w:tcPr>
            <w:tcW w:w="960" w:type="dxa"/>
            <w:tcBorders>
              <w:top w:val="nil"/>
              <w:left w:val="nil"/>
              <w:bottom w:val="single" w:sz="4" w:space="0" w:color="ADD6EA"/>
              <w:right w:val="nil"/>
            </w:tcBorders>
            <w:shd w:val="clear" w:color="000000" w:fill="FFFFFF"/>
            <w:hideMark/>
          </w:tcPr>
          <w:p w14:paraId="3F352DBD"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40.13</w:t>
            </w:r>
          </w:p>
        </w:tc>
        <w:tc>
          <w:tcPr>
            <w:tcW w:w="3880" w:type="dxa"/>
            <w:tcBorders>
              <w:top w:val="nil"/>
              <w:left w:val="nil"/>
              <w:bottom w:val="single" w:sz="4" w:space="0" w:color="ADD6EA"/>
              <w:right w:val="nil"/>
            </w:tcBorders>
            <w:shd w:val="clear" w:color="000000" w:fill="FFFFFF"/>
            <w:hideMark/>
          </w:tcPr>
          <w:p w14:paraId="76287CCE"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Wound management</w:t>
            </w:r>
          </w:p>
        </w:tc>
        <w:tc>
          <w:tcPr>
            <w:tcW w:w="4000" w:type="dxa"/>
            <w:tcBorders>
              <w:top w:val="nil"/>
              <w:left w:val="nil"/>
              <w:bottom w:val="single" w:sz="4" w:space="0" w:color="ADD6EA"/>
              <w:right w:val="nil"/>
            </w:tcBorders>
            <w:shd w:val="clear" w:color="000000" w:fill="FFFFFF"/>
            <w:hideMark/>
          </w:tcPr>
          <w:p w14:paraId="0A48E02D"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Community/home nursing services</w:t>
            </w:r>
          </w:p>
        </w:tc>
      </w:tr>
      <w:tr w:rsidR="00DF2EC4" w:rsidRPr="004A0A2A" w14:paraId="459AAE91" w14:textId="77777777">
        <w:trPr>
          <w:trHeight w:val="300"/>
        </w:trPr>
        <w:tc>
          <w:tcPr>
            <w:tcW w:w="960" w:type="dxa"/>
            <w:tcBorders>
              <w:top w:val="nil"/>
              <w:left w:val="nil"/>
              <w:bottom w:val="single" w:sz="4" w:space="0" w:color="ADD6EA"/>
              <w:right w:val="nil"/>
            </w:tcBorders>
            <w:shd w:val="clear" w:color="000000" w:fill="FFFFFF"/>
            <w:hideMark/>
          </w:tcPr>
          <w:p w14:paraId="57353F52"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40.23</w:t>
            </w:r>
          </w:p>
        </w:tc>
        <w:tc>
          <w:tcPr>
            <w:tcW w:w="3880" w:type="dxa"/>
            <w:tcBorders>
              <w:top w:val="nil"/>
              <w:left w:val="nil"/>
              <w:bottom w:val="single" w:sz="4" w:space="0" w:color="ADD6EA"/>
              <w:right w:val="nil"/>
            </w:tcBorders>
            <w:shd w:val="clear" w:color="000000" w:fill="FFFFFF"/>
            <w:hideMark/>
          </w:tcPr>
          <w:p w14:paraId="30CB092D"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Nutrition/dietetics</w:t>
            </w:r>
          </w:p>
        </w:tc>
        <w:tc>
          <w:tcPr>
            <w:tcW w:w="4000" w:type="dxa"/>
            <w:tcBorders>
              <w:top w:val="nil"/>
              <w:left w:val="nil"/>
              <w:bottom w:val="single" w:sz="4" w:space="0" w:color="ADD6EA"/>
              <w:right w:val="nil"/>
            </w:tcBorders>
            <w:shd w:val="clear" w:color="000000" w:fill="FFFFFF"/>
            <w:hideMark/>
          </w:tcPr>
          <w:p w14:paraId="782BDBC3"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Allied health services</w:t>
            </w:r>
          </w:p>
        </w:tc>
      </w:tr>
      <w:tr w:rsidR="00DF2EC4" w:rsidRPr="004A0A2A" w14:paraId="7EBC536B" w14:textId="77777777">
        <w:trPr>
          <w:trHeight w:val="300"/>
        </w:trPr>
        <w:tc>
          <w:tcPr>
            <w:tcW w:w="960" w:type="dxa"/>
            <w:tcBorders>
              <w:top w:val="nil"/>
              <w:left w:val="nil"/>
              <w:bottom w:val="single" w:sz="4" w:space="0" w:color="ADD6EA"/>
              <w:right w:val="nil"/>
            </w:tcBorders>
            <w:shd w:val="clear" w:color="000000" w:fill="FFFFFF"/>
            <w:hideMark/>
          </w:tcPr>
          <w:p w14:paraId="5A27CBB6"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40.24</w:t>
            </w:r>
          </w:p>
        </w:tc>
        <w:tc>
          <w:tcPr>
            <w:tcW w:w="3880" w:type="dxa"/>
            <w:tcBorders>
              <w:top w:val="nil"/>
              <w:left w:val="nil"/>
              <w:bottom w:val="single" w:sz="4" w:space="0" w:color="ADD6EA"/>
              <w:right w:val="nil"/>
            </w:tcBorders>
            <w:shd w:val="clear" w:color="000000" w:fill="FFFFFF"/>
            <w:hideMark/>
          </w:tcPr>
          <w:p w14:paraId="43BEF98E"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Orthotics</w:t>
            </w:r>
          </w:p>
        </w:tc>
        <w:tc>
          <w:tcPr>
            <w:tcW w:w="4000" w:type="dxa"/>
            <w:tcBorders>
              <w:top w:val="nil"/>
              <w:left w:val="nil"/>
              <w:bottom w:val="single" w:sz="4" w:space="0" w:color="ADD6EA"/>
              <w:right w:val="nil"/>
            </w:tcBorders>
            <w:shd w:val="clear" w:color="000000" w:fill="FFFFFF"/>
            <w:hideMark/>
          </w:tcPr>
          <w:p w14:paraId="1078A0C5"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Allied health services</w:t>
            </w:r>
          </w:p>
        </w:tc>
      </w:tr>
      <w:tr w:rsidR="00DF2EC4" w:rsidRPr="004A0A2A" w14:paraId="0BF3BEE6" w14:textId="77777777">
        <w:trPr>
          <w:trHeight w:val="300"/>
        </w:trPr>
        <w:tc>
          <w:tcPr>
            <w:tcW w:w="960" w:type="dxa"/>
            <w:tcBorders>
              <w:top w:val="nil"/>
              <w:left w:val="nil"/>
              <w:bottom w:val="single" w:sz="4" w:space="0" w:color="ADD6EA"/>
              <w:right w:val="nil"/>
            </w:tcBorders>
            <w:shd w:val="clear" w:color="000000" w:fill="FFFFFF"/>
            <w:hideMark/>
          </w:tcPr>
          <w:p w14:paraId="19D9365F"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40.25</w:t>
            </w:r>
          </w:p>
        </w:tc>
        <w:tc>
          <w:tcPr>
            <w:tcW w:w="3880" w:type="dxa"/>
            <w:tcBorders>
              <w:top w:val="nil"/>
              <w:left w:val="nil"/>
              <w:bottom w:val="single" w:sz="4" w:space="0" w:color="ADD6EA"/>
              <w:right w:val="nil"/>
            </w:tcBorders>
            <w:shd w:val="clear" w:color="000000" w:fill="FFFFFF"/>
            <w:hideMark/>
          </w:tcPr>
          <w:p w14:paraId="3D078FC9"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Podiatry</w:t>
            </w:r>
          </w:p>
        </w:tc>
        <w:tc>
          <w:tcPr>
            <w:tcW w:w="4000" w:type="dxa"/>
            <w:tcBorders>
              <w:top w:val="nil"/>
              <w:left w:val="nil"/>
              <w:bottom w:val="single" w:sz="4" w:space="0" w:color="ADD6EA"/>
              <w:right w:val="nil"/>
            </w:tcBorders>
            <w:shd w:val="clear" w:color="000000" w:fill="FFFFFF"/>
            <w:hideMark/>
          </w:tcPr>
          <w:p w14:paraId="6623F17A"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Allied health services</w:t>
            </w:r>
          </w:p>
        </w:tc>
      </w:tr>
      <w:tr w:rsidR="00DF2EC4" w:rsidRPr="004A0A2A" w14:paraId="2F5079A9" w14:textId="77777777">
        <w:trPr>
          <w:trHeight w:val="300"/>
        </w:trPr>
        <w:tc>
          <w:tcPr>
            <w:tcW w:w="960" w:type="dxa"/>
            <w:tcBorders>
              <w:top w:val="nil"/>
              <w:left w:val="nil"/>
              <w:bottom w:val="single" w:sz="4" w:space="0" w:color="ADD6EA"/>
              <w:right w:val="nil"/>
            </w:tcBorders>
            <w:shd w:val="clear" w:color="000000" w:fill="FFFFFF"/>
            <w:hideMark/>
          </w:tcPr>
          <w:p w14:paraId="20EF2E69"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40.28</w:t>
            </w:r>
          </w:p>
        </w:tc>
        <w:tc>
          <w:tcPr>
            <w:tcW w:w="3880" w:type="dxa"/>
            <w:tcBorders>
              <w:top w:val="nil"/>
              <w:left w:val="nil"/>
              <w:bottom w:val="single" w:sz="4" w:space="0" w:color="ADD6EA"/>
              <w:right w:val="nil"/>
            </w:tcBorders>
            <w:shd w:val="clear" w:color="000000" w:fill="FFFFFF"/>
            <w:hideMark/>
          </w:tcPr>
          <w:p w14:paraId="12D4361C"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Midwifery and maternity</w:t>
            </w:r>
          </w:p>
        </w:tc>
        <w:tc>
          <w:tcPr>
            <w:tcW w:w="4000" w:type="dxa"/>
            <w:tcBorders>
              <w:top w:val="nil"/>
              <w:left w:val="nil"/>
              <w:bottom w:val="single" w:sz="4" w:space="0" w:color="ADD6EA"/>
              <w:right w:val="nil"/>
            </w:tcBorders>
            <w:shd w:val="clear" w:color="000000" w:fill="FFFFFF"/>
            <w:hideMark/>
          </w:tcPr>
          <w:p w14:paraId="722C79FB"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Family and child health services</w:t>
            </w:r>
          </w:p>
        </w:tc>
      </w:tr>
      <w:tr w:rsidR="00DF2EC4" w:rsidRPr="004A0A2A" w14:paraId="69D85707" w14:textId="77777777">
        <w:trPr>
          <w:trHeight w:val="300"/>
        </w:trPr>
        <w:tc>
          <w:tcPr>
            <w:tcW w:w="960" w:type="dxa"/>
            <w:tcBorders>
              <w:top w:val="nil"/>
              <w:left w:val="nil"/>
              <w:bottom w:val="single" w:sz="4" w:space="0" w:color="ADD6EA"/>
              <w:right w:val="nil"/>
            </w:tcBorders>
            <w:shd w:val="clear" w:color="000000" w:fill="FFFFFF"/>
            <w:hideMark/>
          </w:tcPr>
          <w:p w14:paraId="3D581C64"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40.29</w:t>
            </w:r>
          </w:p>
        </w:tc>
        <w:tc>
          <w:tcPr>
            <w:tcW w:w="3880" w:type="dxa"/>
            <w:tcBorders>
              <w:top w:val="nil"/>
              <w:left w:val="nil"/>
              <w:bottom w:val="single" w:sz="4" w:space="0" w:color="ADD6EA"/>
              <w:right w:val="nil"/>
            </w:tcBorders>
            <w:shd w:val="clear" w:color="000000" w:fill="FFFFFF"/>
            <w:hideMark/>
          </w:tcPr>
          <w:p w14:paraId="7845F38E"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Psychology</w:t>
            </w:r>
          </w:p>
        </w:tc>
        <w:tc>
          <w:tcPr>
            <w:tcW w:w="4000" w:type="dxa"/>
            <w:tcBorders>
              <w:top w:val="nil"/>
              <w:left w:val="nil"/>
              <w:bottom w:val="single" w:sz="4" w:space="0" w:color="ADD6EA"/>
              <w:right w:val="nil"/>
            </w:tcBorders>
            <w:shd w:val="clear" w:color="000000" w:fill="FFFFFF"/>
            <w:hideMark/>
          </w:tcPr>
          <w:p w14:paraId="2E9D7683"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 mental health services</w:t>
            </w:r>
          </w:p>
        </w:tc>
      </w:tr>
      <w:tr w:rsidR="00DF2EC4" w:rsidRPr="004A0A2A" w14:paraId="7695A7B1" w14:textId="77777777">
        <w:trPr>
          <w:trHeight w:val="300"/>
        </w:trPr>
        <w:tc>
          <w:tcPr>
            <w:tcW w:w="960" w:type="dxa"/>
            <w:tcBorders>
              <w:top w:val="nil"/>
              <w:left w:val="nil"/>
              <w:bottom w:val="single" w:sz="4" w:space="0" w:color="ADD6EA"/>
              <w:right w:val="nil"/>
            </w:tcBorders>
            <w:shd w:val="clear" w:color="000000" w:fill="FFFFFF"/>
            <w:hideMark/>
          </w:tcPr>
          <w:p w14:paraId="2B8FA6C6"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40.30</w:t>
            </w:r>
          </w:p>
        </w:tc>
        <w:tc>
          <w:tcPr>
            <w:tcW w:w="3880" w:type="dxa"/>
            <w:tcBorders>
              <w:top w:val="nil"/>
              <w:left w:val="nil"/>
              <w:bottom w:val="single" w:sz="4" w:space="0" w:color="ADD6EA"/>
              <w:right w:val="nil"/>
            </w:tcBorders>
            <w:shd w:val="clear" w:color="000000" w:fill="FFFFFF"/>
            <w:hideMark/>
          </w:tcPr>
          <w:p w14:paraId="40FDBDBD"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Alcohol and other drugs</w:t>
            </w:r>
          </w:p>
        </w:tc>
        <w:tc>
          <w:tcPr>
            <w:tcW w:w="4000" w:type="dxa"/>
            <w:tcBorders>
              <w:top w:val="nil"/>
              <w:left w:val="nil"/>
              <w:bottom w:val="single" w:sz="4" w:space="0" w:color="ADD6EA"/>
              <w:right w:val="nil"/>
            </w:tcBorders>
            <w:shd w:val="clear" w:color="000000" w:fill="FFFFFF"/>
            <w:hideMark/>
          </w:tcPr>
          <w:p w14:paraId="6164E442"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Alcohol and other drug services</w:t>
            </w:r>
          </w:p>
        </w:tc>
      </w:tr>
      <w:tr w:rsidR="00DF2EC4" w:rsidRPr="004A0A2A" w14:paraId="44BDECDB" w14:textId="77777777">
        <w:trPr>
          <w:trHeight w:val="300"/>
        </w:trPr>
        <w:tc>
          <w:tcPr>
            <w:tcW w:w="960" w:type="dxa"/>
            <w:tcBorders>
              <w:top w:val="nil"/>
              <w:left w:val="nil"/>
              <w:bottom w:val="single" w:sz="4" w:space="0" w:color="ADD6EA"/>
              <w:right w:val="nil"/>
            </w:tcBorders>
            <w:shd w:val="clear" w:color="000000" w:fill="FFFFFF"/>
            <w:hideMark/>
          </w:tcPr>
          <w:p w14:paraId="664F2AD5"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40.31</w:t>
            </w:r>
          </w:p>
        </w:tc>
        <w:tc>
          <w:tcPr>
            <w:tcW w:w="3880" w:type="dxa"/>
            <w:tcBorders>
              <w:top w:val="nil"/>
              <w:left w:val="nil"/>
              <w:bottom w:val="single" w:sz="4" w:space="0" w:color="ADD6EA"/>
              <w:right w:val="nil"/>
            </w:tcBorders>
            <w:shd w:val="clear" w:color="000000" w:fill="FFFFFF"/>
            <w:hideMark/>
          </w:tcPr>
          <w:p w14:paraId="062B1F33"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Burns</w:t>
            </w:r>
          </w:p>
        </w:tc>
        <w:tc>
          <w:tcPr>
            <w:tcW w:w="4000" w:type="dxa"/>
            <w:tcBorders>
              <w:top w:val="nil"/>
              <w:left w:val="nil"/>
              <w:bottom w:val="single" w:sz="4" w:space="0" w:color="ADD6EA"/>
              <w:right w:val="nil"/>
            </w:tcBorders>
            <w:shd w:val="clear" w:color="000000" w:fill="FFFFFF"/>
            <w:hideMark/>
          </w:tcPr>
          <w:p w14:paraId="3F5897A2"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Community/home nursing services</w:t>
            </w:r>
          </w:p>
        </w:tc>
      </w:tr>
      <w:tr w:rsidR="00DF2EC4" w:rsidRPr="004A0A2A" w14:paraId="75EC6E23" w14:textId="77777777">
        <w:trPr>
          <w:trHeight w:val="300"/>
        </w:trPr>
        <w:tc>
          <w:tcPr>
            <w:tcW w:w="960" w:type="dxa"/>
            <w:tcBorders>
              <w:top w:val="nil"/>
              <w:left w:val="nil"/>
              <w:bottom w:val="single" w:sz="4" w:space="0" w:color="ADD6EA"/>
              <w:right w:val="nil"/>
            </w:tcBorders>
            <w:shd w:val="clear" w:color="000000" w:fill="FFFFFF"/>
            <w:hideMark/>
          </w:tcPr>
          <w:p w14:paraId="45346094"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40.32</w:t>
            </w:r>
          </w:p>
        </w:tc>
        <w:tc>
          <w:tcPr>
            <w:tcW w:w="3880" w:type="dxa"/>
            <w:tcBorders>
              <w:top w:val="nil"/>
              <w:left w:val="nil"/>
              <w:bottom w:val="single" w:sz="4" w:space="0" w:color="ADD6EA"/>
              <w:right w:val="nil"/>
            </w:tcBorders>
            <w:shd w:val="clear" w:color="000000" w:fill="FFFFFF"/>
            <w:hideMark/>
          </w:tcPr>
          <w:p w14:paraId="0569F180"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Continence</w:t>
            </w:r>
          </w:p>
        </w:tc>
        <w:tc>
          <w:tcPr>
            <w:tcW w:w="4000" w:type="dxa"/>
            <w:tcBorders>
              <w:top w:val="nil"/>
              <w:left w:val="nil"/>
              <w:bottom w:val="single" w:sz="4" w:space="0" w:color="ADD6EA"/>
              <w:right w:val="nil"/>
            </w:tcBorders>
            <w:shd w:val="clear" w:color="000000" w:fill="FFFFFF"/>
            <w:hideMark/>
          </w:tcPr>
          <w:p w14:paraId="4C6265E9"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Continence services</w:t>
            </w:r>
          </w:p>
        </w:tc>
      </w:tr>
      <w:tr w:rsidR="00DF2EC4" w:rsidRPr="004A0A2A" w14:paraId="0D92AAC6" w14:textId="77777777">
        <w:trPr>
          <w:trHeight w:val="300"/>
        </w:trPr>
        <w:tc>
          <w:tcPr>
            <w:tcW w:w="960" w:type="dxa"/>
            <w:tcBorders>
              <w:top w:val="nil"/>
              <w:left w:val="nil"/>
              <w:bottom w:val="single" w:sz="4" w:space="0" w:color="ADD6EA"/>
              <w:right w:val="nil"/>
            </w:tcBorders>
            <w:shd w:val="clear" w:color="000000" w:fill="FFFFFF"/>
            <w:hideMark/>
          </w:tcPr>
          <w:p w14:paraId="0A4A3465"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40.35</w:t>
            </w:r>
          </w:p>
        </w:tc>
        <w:tc>
          <w:tcPr>
            <w:tcW w:w="3880" w:type="dxa"/>
            <w:tcBorders>
              <w:top w:val="nil"/>
              <w:left w:val="nil"/>
              <w:bottom w:val="single" w:sz="4" w:space="0" w:color="ADD6EA"/>
              <w:right w:val="nil"/>
            </w:tcBorders>
            <w:shd w:val="clear" w:color="000000" w:fill="FFFFFF"/>
            <w:hideMark/>
          </w:tcPr>
          <w:p w14:paraId="5BC8CDF2"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Palliative care</w:t>
            </w:r>
          </w:p>
        </w:tc>
        <w:tc>
          <w:tcPr>
            <w:tcW w:w="4000" w:type="dxa"/>
            <w:tcBorders>
              <w:top w:val="nil"/>
              <w:left w:val="nil"/>
              <w:bottom w:val="single" w:sz="4" w:space="0" w:color="ADD6EA"/>
              <w:right w:val="nil"/>
            </w:tcBorders>
            <w:shd w:val="clear" w:color="000000" w:fill="FFFFFF"/>
            <w:hideMark/>
          </w:tcPr>
          <w:p w14:paraId="4191B327"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Community/home nursing services</w:t>
            </w:r>
          </w:p>
        </w:tc>
      </w:tr>
      <w:tr w:rsidR="00DF2EC4" w:rsidRPr="004A0A2A" w14:paraId="236D4F39" w14:textId="77777777">
        <w:trPr>
          <w:trHeight w:val="300"/>
        </w:trPr>
        <w:tc>
          <w:tcPr>
            <w:tcW w:w="960" w:type="dxa"/>
            <w:tcBorders>
              <w:top w:val="nil"/>
              <w:left w:val="nil"/>
              <w:bottom w:val="single" w:sz="4" w:space="0" w:color="ADD6EA"/>
              <w:right w:val="nil"/>
            </w:tcBorders>
            <w:shd w:val="clear" w:color="000000" w:fill="FFFFFF"/>
            <w:hideMark/>
          </w:tcPr>
          <w:p w14:paraId="4EAE2BF8"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40.36</w:t>
            </w:r>
          </w:p>
        </w:tc>
        <w:tc>
          <w:tcPr>
            <w:tcW w:w="3880" w:type="dxa"/>
            <w:tcBorders>
              <w:top w:val="nil"/>
              <w:left w:val="nil"/>
              <w:bottom w:val="single" w:sz="4" w:space="0" w:color="ADD6EA"/>
              <w:right w:val="nil"/>
            </w:tcBorders>
            <w:shd w:val="clear" w:color="000000" w:fill="FFFFFF"/>
            <w:hideMark/>
          </w:tcPr>
          <w:p w14:paraId="0AD9B239"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Geriatric evaluation and management</w:t>
            </w:r>
          </w:p>
        </w:tc>
        <w:tc>
          <w:tcPr>
            <w:tcW w:w="4000" w:type="dxa"/>
            <w:tcBorders>
              <w:top w:val="nil"/>
              <w:left w:val="nil"/>
              <w:bottom w:val="single" w:sz="4" w:space="0" w:color="ADD6EA"/>
              <w:right w:val="nil"/>
            </w:tcBorders>
            <w:shd w:val="clear" w:color="000000" w:fill="FFFFFF"/>
            <w:hideMark/>
          </w:tcPr>
          <w:p w14:paraId="5C96E21D"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Community/home nursing services</w:t>
            </w:r>
          </w:p>
        </w:tc>
      </w:tr>
      <w:tr w:rsidR="00DF2EC4" w:rsidRPr="004A0A2A" w14:paraId="3E2A4118" w14:textId="77777777">
        <w:trPr>
          <w:trHeight w:val="300"/>
        </w:trPr>
        <w:tc>
          <w:tcPr>
            <w:tcW w:w="960" w:type="dxa"/>
            <w:tcBorders>
              <w:top w:val="nil"/>
              <w:left w:val="nil"/>
              <w:bottom w:val="single" w:sz="4" w:space="0" w:color="ADD6EA"/>
              <w:right w:val="nil"/>
            </w:tcBorders>
            <w:shd w:val="clear" w:color="000000" w:fill="FFFFFF"/>
            <w:hideMark/>
          </w:tcPr>
          <w:p w14:paraId="33850BA2"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40.37</w:t>
            </w:r>
          </w:p>
        </w:tc>
        <w:tc>
          <w:tcPr>
            <w:tcW w:w="3880" w:type="dxa"/>
            <w:tcBorders>
              <w:top w:val="nil"/>
              <w:left w:val="nil"/>
              <w:bottom w:val="single" w:sz="4" w:space="0" w:color="ADD6EA"/>
              <w:right w:val="nil"/>
            </w:tcBorders>
            <w:shd w:val="clear" w:color="000000" w:fill="FFFFFF"/>
            <w:hideMark/>
          </w:tcPr>
          <w:p w14:paraId="121C1C19"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Psychogeriatric</w:t>
            </w:r>
          </w:p>
        </w:tc>
        <w:tc>
          <w:tcPr>
            <w:tcW w:w="4000" w:type="dxa"/>
            <w:tcBorders>
              <w:top w:val="nil"/>
              <w:left w:val="nil"/>
              <w:bottom w:val="single" w:sz="4" w:space="0" w:color="ADD6EA"/>
              <w:right w:val="nil"/>
            </w:tcBorders>
            <w:shd w:val="clear" w:color="000000" w:fill="FFFFFF"/>
            <w:hideMark/>
          </w:tcPr>
          <w:p w14:paraId="5B6EA12E"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Community/home nursing services</w:t>
            </w:r>
          </w:p>
        </w:tc>
      </w:tr>
      <w:tr w:rsidR="00DF2EC4" w:rsidRPr="004A0A2A" w14:paraId="3965C8FD" w14:textId="77777777">
        <w:trPr>
          <w:trHeight w:val="300"/>
        </w:trPr>
        <w:tc>
          <w:tcPr>
            <w:tcW w:w="960" w:type="dxa"/>
            <w:tcBorders>
              <w:top w:val="nil"/>
              <w:left w:val="nil"/>
              <w:bottom w:val="single" w:sz="4" w:space="0" w:color="ADD6EA"/>
              <w:right w:val="nil"/>
            </w:tcBorders>
            <w:shd w:val="clear" w:color="000000" w:fill="FFFFFF"/>
            <w:hideMark/>
          </w:tcPr>
          <w:p w14:paraId="76101852"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40.38</w:t>
            </w:r>
          </w:p>
        </w:tc>
        <w:tc>
          <w:tcPr>
            <w:tcW w:w="3880" w:type="dxa"/>
            <w:tcBorders>
              <w:top w:val="nil"/>
              <w:left w:val="nil"/>
              <w:bottom w:val="single" w:sz="4" w:space="0" w:color="ADD6EA"/>
              <w:right w:val="nil"/>
            </w:tcBorders>
            <w:shd w:val="clear" w:color="000000" w:fill="FFFFFF"/>
            <w:hideMark/>
          </w:tcPr>
          <w:p w14:paraId="6282037D"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Infectious diseases</w:t>
            </w:r>
          </w:p>
        </w:tc>
        <w:tc>
          <w:tcPr>
            <w:tcW w:w="4000" w:type="dxa"/>
            <w:tcBorders>
              <w:top w:val="nil"/>
              <w:left w:val="nil"/>
              <w:bottom w:val="single" w:sz="4" w:space="0" w:color="ADD6EA"/>
              <w:right w:val="nil"/>
            </w:tcBorders>
            <w:shd w:val="clear" w:color="000000" w:fill="FFFFFF"/>
            <w:hideMark/>
          </w:tcPr>
          <w:p w14:paraId="30CCBC6F"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Communicable disease control</w:t>
            </w:r>
          </w:p>
        </w:tc>
      </w:tr>
      <w:tr w:rsidR="00DF2EC4" w:rsidRPr="004A0A2A" w14:paraId="431EE01F" w14:textId="77777777">
        <w:trPr>
          <w:trHeight w:val="300"/>
        </w:trPr>
        <w:tc>
          <w:tcPr>
            <w:tcW w:w="960" w:type="dxa"/>
            <w:tcBorders>
              <w:top w:val="nil"/>
              <w:left w:val="nil"/>
              <w:bottom w:val="single" w:sz="4" w:space="0" w:color="ADD6EA"/>
              <w:right w:val="nil"/>
            </w:tcBorders>
            <w:shd w:val="clear" w:color="000000" w:fill="FFFFFF"/>
            <w:hideMark/>
          </w:tcPr>
          <w:p w14:paraId="10DC6383"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40.51</w:t>
            </w:r>
          </w:p>
        </w:tc>
        <w:tc>
          <w:tcPr>
            <w:tcW w:w="3880" w:type="dxa"/>
            <w:tcBorders>
              <w:top w:val="nil"/>
              <w:left w:val="nil"/>
              <w:bottom w:val="single" w:sz="4" w:space="0" w:color="ADD6EA"/>
              <w:right w:val="nil"/>
            </w:tcBorders>
            <w:shd w:val="clear" w:color="000000" w:fill="FFFFFF"/>
            <w:hideMark/>
          </w:tcPr>
          <w:p w14:paraId="71E244A5"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Breast</w:t>
            </w:r>
          </w:p>
        </w:tc>
        <w:tc>
          <w:tcPr>
            <w:tcW w:w="4000" w:type="dxa"/>
            <w:tcBorders>
              <w:top w:val="nil"/>
              <w:left w:val="nil"/>
              <w:bottom w:val="single" w:sz="4" w:space="0" w:color="ADD6EA"/>
              <w:right w:val="nil"/>
            </w:tcBorders>
            <w:shd w:val="clear" w:color="000000" w:fill="FFFFFF"/>
            <w:hideMark/>
          </w:tcPr>
          <w:p w14:paraId="107066A7"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Cancer screening (bundled with main service)</w:t>
            </w:r>
          </w:p>
        </w:tc>
      </w:tr>
      <w:tr w:rsidR="00DF2EC4" w:rsidRPr="004A0A2A" w14:paraId="2729CDFC" w14:textId="77777777">
        <w:trPr>
          <w:trHeight w:val="300"/>
        </w:trPr>
        <w:tc>
          <w:tcPr>
            <w:tcW w:w="960" w:type="dxa"/>
            <w:tcBorders>
              <w:top w:val="nil"/>
              <w:left w:val="nil"/>
              <w:bottom w:val="single" w:sz="4" w:space="0" w:color="ADD6EA"/>
              <w:right w:val="nil"/>
            </w:tcBorders>
            <w:shd w:val="clear" w:color="000000" w:fill="FFFFFF"/>
            <w:hideMark/>
          </w:tcPr>
          <w:p w14:paraId="1288DBBB"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40.55</w:t>
            </w:r>
          </w:p>
        </w:tc>
        <w:tc>
          <w:tcPr>
            <w:tcW w:w="3880" w:type="dxa"/>
            <w:tcBorders>
              <w:top w:val="nil"/>
              <w:left w:val="nil"/>
              <w:bottom w:val="single" w:sz="4" w:space="0" w:color="ADD6EA"/>
              <w:right w:val="nil"/>
            </w:tcBorders>
            <w:shd w:val="clear" w:color="000000" w:fill="FFFFFF"/>
            <w:hideMark/>
          </w:tcPr>
          <w:p w14:paraId="27625FF0"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Paediatrics</w:t>
            </w:r>
          </w:p>
        </w:tc>
        <w:tc>
          <w:tcPr>
            <w:tcW w:w="4000" w:type="dxa"/>
            <w:tcBorders>
              <w:top w:val="nil"/>
              <w:left w:val="nil"/>
              <w:bottom w:val="single" w:sz="4" w:space="0" w:color="ADD6EA"/>
              <w:right w:val="nil"/>
            </w:tcBorders>
            <w:shd w:val="clear" w:color="000000" w:fill="FFFFFF"/>
            <w:hideMark/>
          </w:tcPr>
          <w:p w14:paraId="04074D36"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Family and child health services</w:t>
            </w:r>
          </w:p>
        </w:tc>
      </w:tr>
      <w:tr w:rsidR="00DF2EC4" w:rsidRPr="004A0A2A" w14:paraId="21421B00" w14:textId="77777777">
        <w:trPr>
          <w:trHeight w:val="300"/>
        </w:trPr>
        <w:tc>
          <w:tcPr>
            <w:tcW w:w="960" w:type="dxa"/>
            <w:tcBorders>
              <w:top w:val="nil"/>
              <w:left w:val="nil"/>
              <w:bottom w:val="single" w:sz="4" w:space="0" w:color="ADD6EA"/>
              <w:right w:val="nil"/>
            </w:tcBorders>
            <w:shd w:val="clear" w:color="000000" w:fill="FFFFFF"/>
            <w:hideMark/>
          </w:tcPr>
          <w:p w14:paraId="09D00D53"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40.56</w:t>
            </w:r>
          </w:p>
        </w:tc>
        <w:tc>
          <w:tcPr>
            <w:tcW w:w="3880" w:type="dxa"/>
            <w:tcBorders>
              <w:top w:val="nil"/>
              <w:left w:val="nil"/>
              <w:bottom w:val="single" w:sz="4" w:space="0" w:color="ADD6EA"/>
              <w:right w:val="nil"/>
            </w:tcBorders>
            <w:shd w:val="clear" w:color="000000" w:fill="FFFFFF"/>
            <w:hideMark/>
          </w:tcPr>
          <w:p w14:paraId="0D9BD54A"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Falls prevention</w:t>
            </w:r>
          </w:p>
        </w:tc>
        <w:tc>
          <w:tcPr>
            <w:tcW w:w="4000" w:type="dxa"/>
            <w:tcBorders>
              <w:top w:val="nil"/>
              <w:left w:val="nil"/>
              <w:bottom w:val="single" w:sz="4" w:space="0" w:color="ADD6EA"/>
              <w:right w:val="nil"/>
            </w:tcBorders>
            <w:shd w:val="clear" w:color="000000" w:fill="FFFFFF"/>
            <w:hideMark/>
          </w:tcPr>
          <w:p w14:paraId="2E522AD6"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Community/home nursing services</w:t>
            </w:r>
          </w:p>
        </w:tc>
      </w:tr>
      <w:tr w:rsidR="00DF2EC4" w:rsidRPr="004A0A2A" w14:paraId="7101E277" w14:textId="77777777">
        <w:trPr>
          <w:trHeight w:val="300"/>
        </w:trPr>
        <w:tc>
          <w:tcPr>
            <w:tcW w:w="960" w:type="dxa"/>
            <w:tcBorders>
              <w:top w:val="nil"/>
              <w:left w:val="nil"/>
              <w:bottom w:val="single" w:sz="4" w:space="0" w:color="ADD6EA"/>
              <w:right w:val="nil"/>
            </w:tcBorders>
            <w:shd w:val="clear" w:color="000000" w:fill="FFFFFF"/>
            <w:hideMark/>
          </w:tcPr>
          <w:p w14:paraId="00129EE1"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40.57</w:t>
            </w:r>
          </w:p>
        </w:tc>
        <w:tc>
          <w:tcPr>
            <w:tcW w:w="3880" w:type="dxa"/>
            <w:tcBorders>
              <w:top w:val="nil"/>
              <w:left w:val="nil"/>
              <w:bottom w:val="single" w:sz="4" w:space="0" w:color="ADD6EA"/>
              <w:right w:val="nil"/>
            </w:tcBorders>
            <w:shd w:val="clear" w:color="000000" w:fill="FFFFFF"/>
            <w:hideMark/>
          </w:tcPr>
          <w:p w14:paraId="6565C2FA"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Cognition and memory</w:t>
            </w:r>
          </w:p>
        </w:tc>
        <w:tc>
          <w:tcPr>
            <w:tcW w:w="4000" w:type="dxa"/>
            <w:tcBorders>
              <w:top w:val="nil"/>
              <w:left w:val="nil"/>
              <w:bottom w:val="single" w:sz="4" w:space="0" w:color="ADD6EA"/>
              <w:right w:val="nil"/>
            </w:tcBorders>
            <w:shd w:val="clear" w:color="000000" w:fill="FFFFFF"/>
            <w:hideMark/>
          </w:tcPr>
          <w:p w14:paraId="0BF5D53B"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Community/home nursing services</w:t>
            </w:r>
          </w:p>
        </w:tc>
      </w:tr>
      <w:tr w:rsidR="00DF2EC4" w:rsidRPr="004A0A2A" w14:paraId="2F49864D" w14:textId="77777777">
        <w:trPr>
          <w:trHeight w:val="300"/>
        </w:trPr>
        <w:tc>
          <w:tcPr>
            <w:tcW w:w="960" w:type="dxa"/>
            <w:tcBorders>
              <w:top w:val="nil"/>
              <w:left w:val="nil"/>
              <w:bottom w:val="single" w:sz="4" w:space="0" w:color="ADD6EA"/>
              <w:right w:val="nil"/>
            </w:tcBorders>
            <w:shd w:val="clear" w:color="000000" w:fill="FFFFFF"/>
            <w:hideMark/>
          </w:tcPr>
          <w:p w14:paraId="7059EB9C"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40.58</w:t>
            </w:r>
          </w:p>
        </w:tc>
        <w:tc>
          <w:tcPr>
            <w:tcW w:w="3880" w:type="dxa"/>
            <w:tcBorders>
              <w:top w:val="nil"/>
              <w:left w:val="nil"/>
              <w:bottom w:val="single" w:sz="4" w:space="0" w:color="ADD6EA"/>
              <w:right w:val="nil"/>
            </w:tcBorders>
            <w:shd w:val="clear" w:color="000000" w:fill="FFFFFF"/>
            <w:hideMark/>
          </w:tcPr>
          <w:p w14:paraId="44B0AD97"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Hospital avoidance programs</w:t>
            </w:r>
          </w:p>
        </w:tc>
        <w:tc>
          <w:tcPr>
            <w:tcW w:w="4000" w:type="dxa"/>
            <w:tcBorders>
              <w:top w:val="nil"/>
              <w:left w:val="nil"/>
              <w:bottom w:val="single" w:sz="4" w:space="0" w:color="ADD6EA"/>
              <w:right w:val="nil"/>
            </w:tcBorders>
            <w:shd w:val="clear" w:color="000000" w:fill="FFFFFF"/>
            <w:hideMark/>
          </w:tcPr>
          <w:p w14:paraId="490065AD"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Chronic disease management</w:t>
            </w:r>
          </w:p>
        </w:tc>
      </w:tr>
      <w:tr w:rsidR="00DF2EC4" w:rsidRPr="004A0A2A" w14:paraId="24FAE26B" w14:textId="77777777">
        <w:trPr>
          <w:trHeight w:val="300"/>
        </w:trPr>
        <w:tc>
          <w:tcPr>
            <w:tcW w:w="960" w:type="dxa"/>
            <w:tcBorders>
              <w:top w:val="nil"/>
              <w:left w:val="nil"/>
              <w:bottom w:val="single" w:sz="4" w:space="0" w:color="ADD6EA"/>
              <w:right w:val="nil"/>
            </w:tcBorders>
            <w:shd w:val="clear" w:color="000000" w:fill="FFFFFF"/>
            <w:hideMark/>
          </w:tcPr>
          <w:p w14:paraId="32B1F364"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40.60</w:t>
            </w:r>
          </w:p>
        </w:tc>
        <w:tc>
          <w:tcPr>
            <w:tcW w:w="3880" w:type="dxa"/>
            <w:tcBorders>
              <w:top w:val="nil"/>
              <w:left w:val="nil"/>
              <w:bottom w:val="single" w:sz="4" w:space="0" w:color="ADD6EA"/>
              <w:right w:val="nil"/>
            </w:tcBorders>
            <w:shd w:val="clear" w:color="000000" w:fill="FFFFFF"/>
            <w:hideMark/>
          </w:tcPr>
          <w:p w14:paraId="6FD31EBD"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Pulmonary rehabilitation</w:t>
            </w:r>
          </w:p>
        </w:tc>
        <w:tc>
          <w:tcPr>
            <w:tcW w:w="4000" w:type="dxa"/>
            <w:tcBorders>
              <w:top w:val="nil"/>
              <w:left w:val="nil"/>
              <w:bottom w:val="single" w:sz="4" w:space="0" w:color="ADD6EA"/>
              <w:right w:val="nil"/>
            </w:tcBorders>
            <w:shd w:val="clear" w:color="000000" w:fill="FFFFFF"/>
            <w:hideMark/>
          </w:tcPr>
          <w:p w14:paraId="114F2995"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Chronic disease management</w:t>
            </w:r>
          </w:p>
        </w:tc>
      </w:tr>
      <w:tr w:rsidR="00DF2EC4" w:rsidRPr="004A0A2A" w14:paraId="29CF6C0F" w14:textId="77777777">
        <w:trPr>
          <w:trHeight w:val="300"/>
        </w:trPr>
        <w:tc>
          <w:tcPr>
            <w:tcW w:w="960" w:type="dxa"/>
            <w:tcBorders>
              <w:top w:val="nil"/>
              <w:left w:val="nil"/>
              <w:bottom w:val="single" w:sz="4" w:space="0" w:color="ADD6EA"/>
              <w:right w:val="nil"/>
            </w:tcBorders>
            <w:shd w:val="clear" w:color="000000" w:fill="FFFFFF"/>
            <w:hideMark/>
          </w:tcPr>
          <w:p w14:paraId="47CCD992"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40.63</w:t>
            </w:r>
          </w:p>
        </w:tc>
        <w:tc>
          <w:tcPr>
            <w:tcW w:w="3880" w:type="dxa"/>
            <w:tcBorders>
              <w:top w:val="nil"/>
              <w:left w:val="nil"/>
              <w:bottom w:val="single" w:sz="4" w:space="0" w:color="ADD6EA"/>
              <w:right w:val="nil"/>
            </w:tcBorders>
            <w:shd w:val="clear" w:color="000000" w:fill="FFFFFF"/>
            <w:hideMark/>
          </w:tcPr>
          <w:p w14:paraId="18C38072"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COVID-19 response</w:t>
            </w:r>
          </w:p>
        </w:tc>
        <w:tc>
          <w:tcPr>
            <w:tcW w:w="4000" w:type="dxa"/>
            <w:tcBorders>
              <w:top w:val="nil"/>
              <w:left w:val="nil"/>
              <w:bottom w:val="single" w:sz="4" w:space="0" w:color="ADD6EA"/>
              <w:right w:val="nil"/>
            </w:tcBorders>
            <w:shd w:val="clear" w:color="000000" w:fill="FFFFFF"/>
            <w:hideMark/>
          </w:tcPr>
          <w:p w14:paraId="1F23570E"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Communicable disease control</w:t>
            </w:r>
          </w:p>
        </w:tc>
      </w:tr>
      <w:tr w:rsidR="00DF2EC4" w:rsidRPr="004A0A2A" w14:paraId="7D054566" w14:textId="77777777">
        <w:trPr>
          <w:trHeight w:val="300"/>
        </w:trPr>
        <w:tc>
          <w:tcPr>
            <w:tcW w:w="960" w:type="dxa"/>
            <w:tcBorders>
              <w:top w:val="nil"/>
              <w:left w:val="nil"/>
              <w:bottom w:val="single" w:sz="4" w:space="0" w:color="ADD6EA"/>
              <w:right w:val="nil"/>
            </w:tcBorders>
            <w:shd w:val="clear" w:color="000000" w:fill="FFFFFF"/>
            <w:hideMark/>
          </w:tcPr>
          <w:p w14:paraId="1571493A"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40.64</w:t>
            </w:r>
          </w:p>
        </w:tc>
        <w:tc>
          <w:tcPr>
            <w:tcW w:w="3880" w:type="dxa"/>
            <w:tcBorders>
              <w:top w:val="nil"/>
              <w:left w:val="nil"/>
              <w:bottom w:val="single" w:sz="4" w:space="0" w:color="ADD6EA"/>
              <w:right w:val="nil"/>
            </w:tcBorders>
            <w:shd w:val="clear" w:color="000000" w:fill="FFFFFF"/>
            <w:hideMark/>
          </w:tcPr>
          <w:p w14:paraId="3612FE61"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Chronic pain management</w:t>
            </w:r>
          </w:p>
        </w:tc>
        <w:tc>
          <w:tcPr>
            <w:tcW w:w="4000" w:type="dxa"/>
            <w:tcBorders>
              <w:top w:val="nil"/>
              <w:left w:val="nil"/>
              <w:bottom w:val="single" w:sz="4" w:space="0" w:color="ADD6EA"/>
              <w:right w:val="nil"/>
            </w:tcBorders>
            <w:shd w:val="clear" w:color="000000" w:fill="FFFFFF"/>
            <w:hideMark/>
          </w:tcPr>
          <w:p w14:paraId="11B58D95" w14:textId="77777777" w:rsidR="00DF2EC4" w:rsidRPr="001B0BC2" w:rsidRDefault="00DF2EC4">
            <w:pPr>
              <w:keepNext/>
              <w:keepLines/>
              <w:tabs>
                <w:tab w:val="clear" w:pos="567"/>
              </w:tabs>
              <w:spacing w:before="0" w:line="240" w:lineRule="auto"/>
              <w:rPr>
                <w:rFonts w:eastAsia="Times New Roman" w:cs="Open Sans Light"/>
                <w:color w:val="000000"/>
                <w:sz w:val="16"/>
                <w:szCs w:val="16"/>
                <w:lang w:eastAsia="en-AU"/>
              </w:rPr>
            </w:pPr>
            <w:r w:rsidRPr="001B0BC2">
              <w:rPr>
                <w:rFonts w:eastAsia="Times New Roman" w:cs="Open Sans Light"/>
                <w:color w:val="000000"/>
                <w:sz w:val="16"/>
                <w:szCs w:val="16"/>
                <w:lang w:eastAsia="en-AU"/>
              </w:rPr>
              <w:t>Chronic disease management</w:t>
            </w:r>
          </w:p>
        </w:tc>
      </w:tr>
    </w:tbl>
    <w:p w14:paraId="3B6DDF21" w14:textId="57E2062A" w:rsidR="00CF603D" w:rsidRDefault="00CF603D" w:rsidP="00DF2EC4">
      <w:pPr>
        <w:pStyle w:val="CGC2025TableNote"/>
        <w:ind w:left="709" w:hanging="596"/>
      </w:pPr>
      <w:r>
        <w:t>Note:</w:t>
      </w:r>
      <w:r>
        <w:tab/>
      </w:r>
      <w:r>
        <w:tab/>
      </w:r>
      <w:r>
        <w:tab/>
      </w:r>
      <w:r w:rsidRPr="00CF603D">
        <w:t>Activity in COVID</w:t>
      </w:r>
      <w:r w:rsidR="00A62992">
        <w:t>-</w:t>
      </w:r>
      <w:r w:rsidRPr="00CF603D">
        <w:t xml:space="preserve">19 clinics will not be included in the </w:t>
      </w:r>
      <w:r w:rsidR="00B65B7D">
        <w:t xml:space="preserve">community and public health </w:t>
      </w:r>
      <w:r w:rsidRPr="00CF603D">
        <w:t>proxy for the assessment of GST relativities for 2025</w:t>
      </w:r>
      <w:r w:rsidR="009857CA">
        <w:t>–</w:t>
      </w:r>
      <w:r w:rsidRPr="00CF603D">
        <w:t>26 and 2026</w:t>
      </w:r>
      <w:r w:rsidR="009857CA">
        <w:t>–</w:t>
      </w:r>
      <w:r w:rsidRPr="00CF603D">
        <w:t xml:space="preserve">27 </w:t>
      </w:r>
      <w:r w:rsidR="00BF3AC6">
        <w:t>when</w:t>
      </w:r>
      <w:r w:rsidR="007A3E1F">
        <w:t xml:space="preserve"> e</w:t>
      </w:r>
      <w:r w:rsidRPr="00CF603D">
        <w:t xml:space="preserve">xpenses under the National Partnership </w:t>
      </w:r>
      <w:r w:rsidR="004D16AB">
        <w:t>would be</w:t>
      </w:r>
      <w:r w:rsidRPr="00CF603D">
        <w:t xml:space="preserve"> assessed separately.</w:t>
      </w:r>
    </w:p>
    <w:p w14:paraId="4E4443B4" w14:textId="558FC450" w:rsidR="00DF2EC4" w:rsidRDefault="00DF2EC4" w:rsidP="00DF2EC4">
      <w:pPr>
        <w:pStyle w:val="CGC2025TableNote"/>
        <w:ind w:left="709" w:hanging="596"/>
      </w:pPr>
      <w:r>
        <w:t>Source:</w:t>
      </w:r>
      <w:r>
        <w:tab/>
        <w:t xml:space="preserve">Commission decision based on </w:t>
      </w:r>
      <w:hyperlink r:id="rId17" w:history="1">
        <w:r w:rsidRPr="00C02BB7">
          <w:rPr>
            <w:rStyle w:val="Hyperlink"/>
          </w:rPr>
          <w:t>Tier 2 non-admitted services classification 2021-22</w:t>
        </w:r>
      </w:hyperlink>
      <w:r>
        <w:t>.</w:t>
      </w:r>
    </w:p>
    <w:p w14:paraId="3CCD77FF" w14:textId="77777777" w:rsidR="00DC2ABF" w:rsidRPr="00E46C61" w:rsidRDefault="00DC2ABF" w:rsidP="00374824">
      <w:pPr>
        <w:pStyle w:val="CGCTablerow"/>
      </w:pPr>
    </w:p>
    <w:sectPr w:rsidR="00DC2ABF" w:rsidRPr="00E46C61" w:rsidSect="00741B46">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D387D" w14:textId="77777777" w:rsidR="007962F7" w:rsidRDefault="007962F7">
      <w:r>
        <w:separator/>
      </w:r>
    </w:p>
    <w:p w14:paraId="447CB50E" w14:textId="77777777" w:rsidR="007962F7" w:rsidRDefault="007962F7"/>
  </w:endnote>
  <w:endnote w:type="continuationSeparator" w:id="0">
    <w:p w14:paraId="0788F122" w14:textId="77777777" w:rsidR="007962F7" w:rsidRDefault="007962F7">
      <w:r>
        <w:continuationSeparator/>
      </w:r>
    </w:p>
    <w:p w14:paraId="2B975E39" w14:textId="77777777" w:rsidR="007962F7" w:rsidRDefault="007962F7"/>
  </w:endnote>
  <w:endnote w:type="continuationNotice" w:id="1">
    <w:p w14:paraId="3A379775" w14:textId="77777777" w:rsidR="007962F7" w:rsidRDefault="007962F7">
      <w:pPr>
        <w:spacing w:before="0" w:line="240" w:lineRule="auto"/>
      </w:pPr>
    </w:p>
    <w:p w14:paraId="01BA2658" w14:textId="77777777" w:rsidR="007962F7" w:rsidRDefault="00796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7E037ED6" w:rsidR="000A2862" w:rsidRDefault="007573D6">
    <w:pPr>
      <w:pStyle w:val="Footer"/>
    </w:pPr>
    <w:r>
      <w:rPr>
        <w:noProof/>
      </w:rPr>
      <mc:AlternateContent>
        <mc:Choice Requires="wps">
          <w:drawing>
            <wp:anchor distT="0" distB="0" distL="0" distR="0" simplePos="0" relativeHeight="251658243" behindDoc="0" locked="0" layoutInCell="1" allowOverlap="1" wp14:anchorId="6725CD87" wp14:editId="03F23F3F">
              <wp:simplePos x="635" y="635"/>
              <wp:positionH relativeFrom="page">
                <wp:align>center</wp:align>
              </wp:positionH>
              <wp:positionV relativeFrom="page">
                <wp:align>bottom</wp:align>
              </wp:positionV>
              <wp:extent cx="443865" cy="443865"/>
              <wp:effectExtent l="0" t="0" r="635" b="0"/>
              <wp:wrapNone/>
              <wp:docPr id="234467641" name="Text Box 2344676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5CD87" id="_x0000_t202" coordsize="21600,21600" o:spt="202" path="m,l,21600r21600,l21600,xe">
              <v:stroke joinstyle="miter"/>
              <v:path gradientshapeok="t" o:connecttype="rect"/>
            </v:shapetype>
            <v:shape id="Text Box 234467641" o:spid="_x0000_s1029"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4A5F724" w14:textId="1E0708FB"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DAF5" w14:textId="5CCC0FD2" w:rsidR="007573D6" w:rsidRDefault="007573D6" w:rsidP="005E348B">
    <w:pPr>
      <w:pStyle w:val="Footer"/>
      <w:jc w:val="left"/>
    </w:pPr>
  </w:p>
  <w:sdt>
    <w:sdtPr>
      <w:id w:val="639854132"/>
      <w:docPartObj>
        <w:docPartGallery w:val="Page Numbers (Bottom of Page)"/>
        <w:docPartUnique/>
      </w:docPartObj>
    </w:sdtPr>
    <w:sdtEndPr>
      <w:rPr>
        <w:noProof/>
      </w:rPr>
    </w:sdtEndPr>
    <w:sdtContent>
      <w:sdt>
        <w:sdtPr>
          <w:id w:val="616408231"/>
          <w:docPartObj>
            <w:docPartGallery w:val="Page Numbers (Bottom of Page)"/>
            <w:docPartUnique/>
          </w:docPartObj>
        </w:sdtPr>
        <w:sdtEndPr>
          <w:rPr>
            <w:rFonts w:ascii="Open Sans" w:hAnsi="Open Sans" w:cs="Open Sans"/>
            <w:color w:val="auto"/>
            <w:sz w:val="14"/>
            <w:szCs w:val="14"/>
          </w:rPr>
        </w:sdtEndPr>
        <w:sdtContent>
          <w:p w14:paraId="2DE7AEB2" w14:textId="2545EF4C"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BC3D37">
              <w:rPr>
                <w:rFonts w:ascii="Open Sans" w:hAnsi="Open Sans" w:cs="Open Sans"/>
                <w:b w:val="0"/>
                <w:bCs/>
                <w:color w:val="auto"/>
                <w:sz w:val="14"/>
                <w:szCs w:val="14"/>
              </w:rPr>
              <w:t xml:space="preserve">– Review </w:t>
            </w:r>
            <w:r w:rsidR="00093486">
              <w:rPr>
                <w:rFonts w:ascii="Open Sans" w:hAnsi="Open Sans" w:cs="Open Sans"/>
                <w:b w:val="0"/>
                <w:bCs/>
                <w:color w:val="auto"/>
                <w:sz w:val="14"/>
                <w:szCs w:val="14"/>
              </w:rPr>
              <w:t>O</w:t>
            </w:r>
            <w:r w:rsidR="00BC3D37">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6DC45BD5" w:rsidR="000A2862" w:rsidRDefault="007573D6">
    <w:pPr>
      <w:pStyle w:val="Footer"/>
    </w:pPr>
    <w:r>
      <w:rPr>
        <w:noProof/>
      </w:rPr>
      <mc:AlternateContent>
        <mc:Choice Requires="wps">
          <w:drawing>
            <wp:anchor distT="0" distB="0" distL="0" distR="0" simplePos="0" relativeHeight="251658245" behindDoc="0" locked="0" layoutInCell="1" allowOverlap="1" wp14:anchorId="2103F869" wp14:editId="5F8EE922">
              <wp:simplePos x="635" y="635"/>
              <wp:positionH relativeFrom="page">
                <wp:align>center</wp:align>
              </wp:positionH>
              <wp:positionV relativeFrom="page">
                <wp:align>bottom</wp:align>
              </wp:positionV>
              <wp:extent cx="443865" cy="443865"/>
              <wp:effectExtent l="0" t="0" r="635" b="0"/>
              <wp:wrapNone/>
              <wp:docPr id="667190957" name="Text Box 6671909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3F869" id="_x0000_t202" coordsize="21600,21600" o:spt="202" path="m,l,21600r21600,l21600,xe">
              <v:stroke joinstyle="miter"/>
              <v:path gradientshapeok="t" o:connecttype="rect"/>
            </v:shapetype>
            <v:shape id="Text Box 667190957" o:spid="_x0000_s1031"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ECB8E82" w14:textId="622714F3"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17D9" w14:textId="77777777" w:rsidR="007962F7" w:rsidRPr="001C1AC5" w:rsidRDefault="007962F7">
      <w:pPr>
        <w:rPr>
          <w:color w:val="ADD6EA"/>
        </w:rPr>
      </w:pPr>
      <w:r w:rsidRPr="001C1AC5">
        <w:rPr>
          <w:color w:val="ADD6EA"/>
        </w:rPr>
        <w:separator/>
      </w:r>
    </w:p>
  </w:footnote>
  <w:footnote w:type="continuationSeparator" w:id="0">
    <w:p w14:paraId="1C69CA0E" w14:textId="77777777" w:rsidR="007962F7" w:rsidRDefault="007962F7">
      <w:r>
        <w:continuationSeparator/>
      </w:r>
    </w:p>
    <w:p w14:paraId="21793E73" w14:textId="77777777" w:rsidR="007962F7" w:rsidRDefault="007962F7"/>
  </w:footnote>
  <w:footnote w:type="continuationNotice" w:id="1">
    <w:p w14:paraId="751A1CC1" w14:textId="77777777" w:rsidR="007962F7" w:rsidRDefault="007962F7">
      <w:pPr>
        <w:spacing w:before="0" w:line="240" w:lineRule="auto"/>
      </w:pPr>
    </w:p>
    <w:p w14:paraId="05CE0F67" w14:textId="77777777" w:rsidR="007962F7" w:rsidRDefault="007962F7"/>
  </w:footnote>
  <w:footnote w:id="2">
    <w:p w14:paraId="7CC9DE00" w14:textId="77777777" w:rsidR="00D41E10" w:rsidRDefault="00D41E10" w:rsidP="00D41E10">
      <w:pPr>
        <w:pStyle w:val="FootnoteText"/>
      </w:pPr>
      <w:r>
        <w:rPr>
          <w:rStyle w:val="FootnoteReference"/>
        </w:rPr>
        <w:footnoteRef/>
      </w:r>
      <w:r>
        <w:t xml:space="preserve"> </w:t>
      </w:r>
      <w:r w:rsidRPr="0049446D">
        <w:tab/>
        <w:t>The socio-demographic use rates for the emergency department triage category 4 and 5 services (the proxy indicator in the 2020 Review method) are broadly similar to the subset of non-admitted patient services most similar to community health services. However, compared with selected non-admitted patient services, usage of emergency department triage category 4 and 5 services increases more with remoteness, is higher among low socio-economic status First Nations people, and is higher for the youngest age group.</w:t>
      </w:r>
    </w:p>
  </w:footnote>
  <w:footnote w:id="3">
    <w:p w14:paraId="04FF9129" w14:textId="20AB8D8C" w:rsidR="001B22BB" w:rsidRDefault="001B22BB" w:rsidP="001B22BB">
      <w:pPr>
        <w:pStyle w:val="FootnoteText"/>
      </w:pPr>
      <w:r>
        <w:rPr>
          <w:rStyle w:val="FootnoteReference"/>
        </w:rPr>
        <w:footnoteRef/>
      </w:r>
      <w:r>
        <w:t xml:space="preserve"> </w:t>
      </w:r>
      <w:r>
        <w:tab/>
        <w:t>T</w:t>
      </w:r>
      <w:r w:rsidRPr="00730285">
        <w:t xml:space="preserve">he data to calculate assessed expenses use </w:t>
      </w:r>
      <w:r w:rsidR="004D6D94" w:rsidRPr="004D6D94">
        <w:t>Australian Institute of Health and Welfare</w:t>
      </w:r>
      <w:r w:rsidRPr="00730285">
        <w:t xml:space="preserve"> data, while the data on actual activity use Australian Prudential Regulation Authority data (as the </w:t>
      </w:r>
      <w:r w:rsidR="004D6D94" w:rsidRPr="004D6D94">
        <w:t>Australian Institute of Health and Welfare</w:t>
      </w:r>
      <w:r w:rsidRPr="00730285">
        <w:t xml:space="preserve"> does not disaggregate data for Tasmania, the ACT and the Northern Territory)</w:t>
      </w:r>
      <w:r>
        <w:t xml:space="preserve">. </w:t>
      </w:r>
      <w:r w:rsidRPr="0082274B">
        <w:t xml:space="preserve">To preserve commercial confidentiality for the private hospitals in the Australian Capital Territory and the Northern Territory, the </w:t>
      </w:r>
      <w:r w:rsidR="004D6D94" w:rsidRPr="004D6D94">
        <w:t>Australian Institute of Health and Welfare</w:t>
      </w:r>
      <w:r>
        <w:t xml:space="preserve"> </w:t>
      </w:r>
      <w:r w:rsidRPr="0082274B">
        <w:t xml:space="preserve">data for private hospitals in the Australian Capital Territory and the Northern Territory </w:t>
      </w:r>
      <w:r>
        <w:t>will be</w:t>
      </w:r>
      <w:r w:rsidRPr="0082274B">
        <w:t xml:space="preserve"> suppressed.</w:t>
      </w:r>
    </w:p>
  </w:footnote>
  <w:footnote w:id="4">
    <w:p w14:paraId="632D7D95" w14:textId="2019FEB9" w:rsidR="005C1B26" w:rsidRDefault="005C1B26" w:rsidP="005C1B26">
      <w:pPr>
        <w:pStyle w:val="FootnoteText"/>
      </w:pPr>
      <w:r>
        <w:rPr>
          <w:rStyle w:val="FootnoteReference"/>
        </w:rPr>
        <w:footnoteRef/>
      </w:r>
      <w:r>
        <w:t xml:space="preserve"> The Australasian College for Emergency Medicine</w:t>
      </w:r>
      <w:r w:rsidR="00E7720A">
        <w:t>-based</w:t>
      </w:r>
      <w:r>
        <w:t xml:space="preserve"> and Australian Institute of Health and Welfare</w:t>
      </w:r>
      <w:r w:rsidR="001B17F8">
        <w:t>-</w:t>
      </w:r>
      <w:r w:rsidR="00A500B8">
        <w:t xml:space="preserve">based </w:t>
      </w:r>
      <w:r>
        <w:t xml:space="preserve">methods calculate the proportion of emergency department presentations that are potentially treatable by GPs. The </w:t>
      </w:r>
      <w:r w:rsidR="00EA49A7">
        <w:t xml:space="preserve">method </w:t>
      </w:r>
      <w:r w:rsidR="00CC3ABD">
        <w:t>using</w:t>
      </w:r>
      <w:r w:rsidR="00EA49A7">
        <w:t xml:space="preserve"> </w:t>
      </w:r>
      <w:r>
        <w:t>Australasian College for Emergency Medicine</w:t>
      </w:r>
      <w:r w:rsidR="00EA49A7">
        <w:t xml:space="preserve"> data</w:t>
      </w:r>
      <w:r>
        <w:t xml:space="preserve"> is based on self-referred, non-ambulance presentations with a medical consultation time less than one hour. The </w:t>
      </w:r>
      <w:r w:rsidR="00CC3ABD">
        <w:t xml:space="preserve">method using </w:t>
      </w:r>
      <w:r>
        <w:t>Australian Institute of Health and Welfare</w:t>
      </w:r>
      <w:r w:rsidR="00CC3ABD">
        <w:t xml:space="preserve"> data</w:t>
      </w:r>
      <w:r>
        <w:t xml:space="preserve"> is based on self-referred, non-ambulance, police or community service emergency department presentations classified as triage 4 and 5 (less urgent).</w:t>
      </w:r>
    </w:p>
  </w:footnote>
  <w:footnote w:id="5">
    <w:p w14:paraId="255047F9" w14:textId="7C8D2DA2" w:rsidR="001D4F63" w:rsidRDefault="001D4F63" w:rsidP="00093FC7">
      <w:pPr>
        <w:pStyle w:val="FootnoteText"/>
      </w:pPr>
      <w:r>
        <w:rPr>
          <w:rStyle w:val="FootnoteReference"/>
        </w:rPr>
        <w:footnoteRef/>
      </w:r>
      <w:r>
        <w:t xml:space="preserve"> </w:t>
      </w:r>
      <w:r w:rsidR="001163A1">
        <w:tab/>
      </w:r>
      <w:r w:rsidR="00093FC7">
        <w:t>Australian Institute of Health and Welfare</w:t>
      </w:r>
      <w:r w:rsidR="005D30CE">
        <w:t xml:space="preserve"> (AIHW</w:t>
      </w:r>
      <w:r w:rsidR="002C7285">
        <w:t>)</w:t>
      </w:r>
      <w:r w:rsidR="00093FC7">
        <w:t xml:space="preserve">, </w:t>
      </w:r>
      <w:hyperlink r:id="rId1" w:history="1">
        <w:r w:rsidR="005A2CB9">
          <w:rPr>
            <w:rStyle w:val="Hyperlink"/>
          </w:rPr>
          <w:t>Glossary - Australian Institute of Health and Welfare</w:t>
        </w:r>
      </w:hyperlink>
      <w:r w:rsidR="00093FC7">
        <w:t xml:space="preserve">, </w:t>
      </w:r>
      <w:r w:rsidR="002C7285" w:rsidRPr="002C7285">
        <w:t>AIHW</w:t>
      </w:r>
      <w:r w:rsidR="002C7285" w:rsidRPr="002C7285" w:rsidDel="002C7285">
        <w:t xml:space="preserve"> </w:t>
      </w:r>
      <w:r w:rsidR="002C7285">
        <w:t>website</w:t>
      </w:r>
      <w:r w:rsidR="00093FC7">
        <w:t>, 2024, accessed 14 June 2024.</w:t>
      </w:r>
    </w:p>
  </w:footnote>
  <w:footnote w:id="6">
    <w:p w14:paraId="4072C9C3" w14:textId="20E1CB6C" w:rsidR="00CB46CD" w:rsidRDefault="00CB46CD">
      <w:pPr>
        <w:pStyle w:val="FootnoteText"/>
      </w:pPr>
      <w:r>
        <w:rPr>
          <w:rStyle w:val="FootnoteReference"/>
        </w:rPr>
        <w:footnoteRef/>
      </w:r>
      <w:r>
        <w:t xml:space="preserve"> </w:t>
      </w:r>
      <w:r w:rsidR="00341213">
        <w:tab/>
      </w:r>
      <w:r w:rsidR="00BF7565">
        <w:t xml:space="preserve">Independent Health and Aged Care Pricing Authority, </w:t>
      </w:r>
      <w:hyperlink r:id="rId2" w:history="1">
        <w:r w:rsidR="00BF7565" w:rsidRPr="004160A5">
          <w:rPr>
            <w:rStyle w:val="Hyperlink"/>
          </w:rPr>
          <w:t>Consultation Paper on the Pricing Framework for Australian Public Hospital Services 2022-23</w:t>
        </w:r>
      </w:hyperlink>
      <w:r w:rsidR="00BF7565">
        <w:t>, Independent Health and Aged Care Pricing Authority, 2021, accessed 14 June 2024, p</w:t>
      </w:r>
      <w:r w:rsidR="00B02F6B">
        <w:t xml:space="preserve"> </w:t>
      </w:r>
      <w:r w:rsidR="00BF7565">
        <w:t>20</w:t>
      </w:r>
      <w:r w:rsidR="00B02F6B">
        <w:t>;</w:t>
      </w:r>
      <w:r w:rsidR="00BF7565">
        <w:t xml:space="preserve"> Independent Health and Aged Care Pricing Authority, </w:t>
      </w:r>
      <w:hyperlink r:id="rId3" w:history="1">
        <w:r w:rsidR="00BF7565" w:rsidRPr="00376B72">
          <w:rPr>
            <w:rStyle w:val="Hyperlink"/>
          </w:rPr>
          <w:t>Australian Hospital Patient Costing Standards Version 4.1</w:t>
        </w:r>
      </w:hyperlink>
      <w:r w:rsidR="00BF7565">
        <w:t xml:space="preserve"> - Part 1 - Standards, Independent Health and Aged Care Pricing Authority, 2021, accessed 14 June 2024, p</w:t>
      </w:r>
      <w:r w:rsidR="00B02F6B">
        <w:t xml:space="preserve"> </w:t>
      </w:r>
      <w:r w:rsidR="00BF7565">
        <w:t>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39A895F2" w:rsidR="000A2862" w:rsidRDefault="007573D6">
    <w:pPr>
      <w:pStyle w:val="Header"/>
    </w:pPr>
    <w:r>
      <w:rPr>
        <w:noProof/>
      </w:rPr>
      <mc:AlternateContent>
        <mc:Choice Requires="wps">
          <w:drawing>
            <wp:anchor distT="0" distB="0" distL="0" distR="0" simplePos="0" relativeHeight="251658241" behindDoc="0" locked="0" layoutInCell="1" allowOverlap="1" wp14:anchorId="138D2655" wp14:editId="42EE18F2">
              <wp:simplePos x="635" y="635"/>
              <wp:positionH relativeFrom="page">
                <wp:align>center</wp:align>
              </wp:positionH>
              <wp:positionV relativeFrom="page">
                <wp:align>top</wp:align>
              </wp:positionV>
              <wp:extent cx="443865" cy="443865"/>
              <wp:effectExtent l="0" t="0" r="635" b="12700"/>
              <wp:wrapNone/>
              <wp:docPr id="332031358" name="Text Box 33203135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D2655" id="_x0000_t202" coordsize="21600,21600" o:spt="202" path="m,l,21600r21600,l21600,xe">
              <v:stroke joinstyle="miter"/>
              <v:path gradientshapeok="t" o:connecttype="rect"/>
            </v:shapetype>
            <v:shape id="Text Box 332031358" o:spid="_x0000_s1028"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4C17B3" w14:textId="3F361D39"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22964639" w:rsidR="000A2862" w:rsidRDefault="007573D6">
    <w:pPr>
      <w:pStyle w:val="Header"/>
    </w:pPr>
    <w:r>
      <w:rPr>
        <w:noProof/>
      </w:rPr>
      <mc:AlternateContent>
        <mc:Choice Requires="wps">
          <w:drawing>
            <wp:anchor distT="0" distB="0" distL="0" distR="0" simplePos="0" relativeHeight="251658244" behindDoc="0" locked="0" layoutInCell="1" allowOverlap="1" wp14:anchorId="7A10B4A5" wp14:editId="46E96387">
              <wp:simplePos x="635" y="635"/>
              <wp:positionH relativeFrom="page">
                <wp:align>center</wp:align>
              </wp:positionH>
              <wp:positionV relativeFrom="page">
                <wp:align>top</wp:align>
              </wp:positionV>
              <wp:extent cx="443865" cy="443865"/>
              <wp:effectExtent l="0" t="0" r="635" b="12700"/>
              <wp:wrapNone/>
              <wp:docPr id="1826268363" name="Text Box 182626836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10B4A5" id="_x0000_t202" coordsize="21600,21600" o:spt="202" path="m,l,21600r21600,l21600,xe">
              <v:stroke joinstyle="miter"/>
              <v:path gradientshapeok="t" o:connecttype="rect"/>
            </v:shapetype>
            <v:shape id="Text Box 1826268363" o:spid="_x0000_s1030"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2749760" w14:textId="5DE02486" w:rsidR="007573D6" w:rsidRPr="007573D6" w:rsidRDefault="007573D6" w:rsidP="007573D6">
                    <w:pPr>
                      <w:rPr>
                        <w:rFonts w:ascii="Calibri" w:eastAsia="Calibri" w:hAnsi="Calibri" w:cs="Calibri"/>
                        <w:noProof/>
                        <w:color w:val="FF0000"/>
                        <w:sz w:val="24"/>
                        <w:szCs w:val="24"/>
                      </w:rPr>
                    </w:pPr>
                    <w:r w:rsidRPr="007573D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865" w:hanging="360"/>
      </w:pPr>
      <w:rPr>
        <w:rFonts w:ascii="Symbol" w:hAnsi="Symbol" w:hint="default"/>
        <w:b/>
        <w:color w:val="636466"/>
      </w:rPr>
    </w:lvl>
    <w:lvl w:ilvl="1" w:tplc="0C090003" w:tentative="1">
      <w:start w:val="1"/>
      <w:numFmt w:val="bullet"/>
      <w:lvlText w:val="o"/>
      <w:lvlJc w:val="left"/>
      <w:pPr>
        <w:ind w:left="1094"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4"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BF4C41"/>
    <w:multiLevelType w:val="hybridMultilevel"/>
    <w:tmpl w:val="06AEC398"/>
    <w:lvl w:ilvl="0" w:tplc="4A1C6924">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7"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284B0243"/>
    <w:multiLevelType w:val="hybridMultilevel"/>
    <w:tmpl w:val="ABDC9036"/>
    <w:lvl w:ilvl="0" w:tplc="2C5075E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0"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1"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2"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8"/>
  </w:num>
  <w:num w:numId="2" w16cid:durableId="1003897054">
    <w:abstractNumId w:val="22"/>
  </w:num>
  <w:num w:numId="3" w16cid:durableId="1334529044">
    <w:abstractNumId w:val="5"/>
  </w:num>
  <w:num w:numId="4" w16cid:durableId="1514761234">
    <w:abstractNumId w:val="3"/>
  </w:num>
  <w:num w:numId="5" w16cid:durableId="920797300">
    <w:abstractNumId w:val="0"/>
  </w:num>
  <w:num w:numId="6" w16cid:durableId="1807814447">
    <w:abstractNumId w:val="20"/>
  </w:num>
  <w:num w:numId="7" w16cid:durableId="801770153">
    <w:abstractNumId w:val="11"/>
  </w:num>
  <w:num w:numId="8" w16cid:durableId="1737627722">
    <w:abstractNumId w:val="21"/>
  </w:num>
  <w:num w:numId="9" w16cid:durableId="176697617">
    <w:abstractNumId w:val="2"/>
  </w:num>
  <w:num w:numId="10" w16cid:durableId="1408111535">
    <w:abstractNumId w:val="12"/>
  </w:num>
  <w:num w:numId="11" w16cid:durableId="2080126907">
    <w:abstractNumId w:val="14"/>
  </w:num>
  <w:num w:numId="12" w16cid:durableId="58332428">
    <w:abstractNumId w:val="10"/>
  </w:num>
  <w:num w:numId="13" w16cid:durableId="522092457">
    <w:abstractNumId w:val="19"/>
  </w:num>
  <w:num w:numId="14" w16cid:durableId="1594438827">
    <w:abstractNumId w:val="15"/>
  </w:num>
  <w:num w:numId="15" w16cid:durableId="1200583849">
    <w:abstractNumId w:val="18"/>
  </w:num>
  <w:num w:numId="16" w16cid:durableId="52854286">
    <w:abstractNumId w:val="7"/>
  </w:num>
  <w:num w:numId="17" w16cid:durableId="128670527">
    <w:abstractNumId w:val="13"/>
  </w:num>
  <w:num w:numId="18" w16cid:durableId="1538620616">
    <w:abstractNumId w:val="1"/>
  </w:num>
  <w:num w:numId="19" w16cid:durableId="2141340525">
    <w:abstractNumId w:val="16"/>
  </w:num>
  <w:num w:numId="20" w16cid:durableId="1727296794">
    <w:abstractNumId w:val="4"/>
  </w:num>
  <w:num w:numId="21" w16cid:durableId="870339183">
    <w:abstractNumId w:val="17"/>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0419492">
    <w:abstractNumId w:val="9"/>
  </w:num>
  <w:num w:numId="24" w16cid:durableId="2139956162">
    <w:abstractNumId w:val="2"/>
  </w:num>
  <w:num w:numId="25" w16cid:durableId="71554306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2C7"/>
    <w:rsid w:val="0000083E"/>
    <w:rsid w:val="00000A65"/>
    <w:rsid w:val="00000AB2"/>
    <w:rsid w:val="00000AC7"/>
    <w:rsid w:val="00000C9F"/>
    <w:rsid w:val="00000E7E"/>
    <w:rsid w:val="00001078"/>
    <w:rsid w:val="000014F2"/>
    <w:rsid w:val="0000161A"/>
    <w:rsid w:val="0000164D"/>
    <w:rsid w:val="00001882"/>
    <w:rsid w:val="0000194A"/>
    <w:rsid w:val="000019C0"/>
    <w:rsid w:val="00001A1A"/>
    <w:rsid w:val="00001B02"/>
    <w:rsid w:val="00001C0A"/>
    <w:rsid w:val="00001D6F"/>
    <w:rsid w:val="00001DA2"/>
    <w:rsid w:val="00001E8B"/>
    <w:rsid w:val="0000210E"/>
    <w:rsid w:val="00002144"/>
    <w:rsid w:val="00002214"/>
    <w:rsid w:val="00002356"/>
    <w:rsid w:val="0000249B"/>
    <w:rsid w:val="000025E6"/>
    <w:rsid w:val="00002685"/>
    <w:rsid w:val="000027A8"/>
    <w:rsid w:val="00002923"/>
    <w:rsid w:val="000029DE"/>
    <w:rsid w:val="00002B84"/>
    <w:rsid w:val="00002DEF"/>
    <w:rsid w:val="00002F86"/>
    <w:rsid w:val="00003200"/>
    <w:rsid w:val="000032B9"/>
    <w:rsid w:val="000036D8"/>
    <w:rsid w:val="0000383D"/>
    <w:rsid w:val="0000386F"/>
    <w:rsid w:val="00003C78"/>
    <w:rsid w:val="000042F1"/>
    <w:rsid w:val="000043F9"/>
    <w:rsid w:val="00004598"/>
    <w:rsid w:val="000046FB"/>
    <w:rsid w:val="00004719"/>
    <w:rsid w:val="0000485A"/>
    <w:rsid w:val="00004A6B"/>
    <w:rsid w:val="00004C67"/>
    <w:rsid w:val="000053F8"/>
    <w:rsid w:val="00005759"/>
    <w:rsid w:val="00005831"/>
    <w:rsid w:val="000058C3"/>
    <w:rsid w:val="00005AC1"/>
    <w:rsid w:val="00005EEE"/>
    <w:rsid w:val="0000618C"/>
    <w:rsid w:val="00006444"/>
    <w:rsid w:val="0000648D"/>
    <w:rsid w:val="00006934"/>
    <w:rsid w:val="00006C9A"/>
    <w:rsid w:val="00006E30"/>
    <w:rsid w:val="00006F3D"/>
    <w:rsid w:val="000070B8"/>
    <w:rsid w:val="0000716C"/>
    <w:rsid w:val="00007535"/>
    <w:rsid w:val="00007766"/>
    <w:rsid w:val="000077EA"/>
    <w:rsid w:val="00007899"/>
    <w:rsid w:val="00007AB8"/>
    <w:rsid w:val="00007B6C"/>
    <w:rsid w:val="00007F29"/>
    <w:rsid w:val="00007FD5"/>
    <w:rsid w:val="00010022"/>
    <w:rsid w:val="00010386"/>
    <w:rsid w:val="000105A1"/>
    <w:rsid w:val="00010679"/>
    <w:rsid w:val="00010711"/>
    <w:rsid w:val="00010794"/>
    <w:rsid w:val="00010B75"/>
    <w:rsid w:val="00010BAB"/>
    <w:rsid w:val="00010C34"/>
    <w:rsid w:val="00010CEC"/>
    <w:rsid w:val="00010EC6"/>
    <w:rsid w:val="00010EFA"/>
    <w:rsid w:val="00010F5B"/>
    <w:rsid w:val="00011786"/>
    <w:rsid w:val="000119DB"/>
    <w:rsid w:val="00011BB3"/>
    <w:rsid w:val="00011C73"/>
    <w:rsid w:val="00011D1A"/>
    <w:rsid w:val="00011DA8"/>
    <w:rsid w:val="00011DDD"/>
    <w:rsid w:val="00011F76"/>
    <w:rsid w:val="00011F7D"/>
    <w:rsid w:val="000120A6"/>
    <w:rsid w:val="0001218F"/>
    <w:rsid w:val="000129B2"/>
    <w:rsid w:val="00012AC0"/>
    <w:rsid w:val="00012B67"/>
    <w:rsid w:val="00012C74"/>
    <w:rsid w:val="0001315B"/>
    <w:rsid w:val="00013623"/>
    <w:rsid w:val="000136EC"/>
    <w:rsid w:val="000136FA"/>
    <w:rsid w:val="00013AC9"/>
    <w:rsid w:val="00013B63"/>
    <w:rsid w:val="0001400B"/>
    <w:rsid w:val="000141E3"/>
    <w:rsid w:val="0001421A"/>
    <w:rsid w:val="00014486"/>
    <w:rsid w:val="00014775"/>
    <w:rsid w:val="00014864"/>
    <w:rsid w:val="0001486D"/>
    <w:rsid w:val="000148C5"/>
    <w:rsid w:val="0001491F"/>
    <w:rsid w:val="00014A44"/>
    <w:rsid w:val="00014A8C"/>
    <w:rsid w:val="00014A8F"/>
    <w:rsid w:val="00014AB0"/>
    <w:rsid w:val="00014AD0"/>
    <w:rsid w:val="00014CB0"/>
    <w:rsid w:val="000150BF"/>
    <w:rsid w:val="00015283"/>
    <w:rsid w:val="00015430"/>
    <w:rsid w:val="00015500"/>
    <w:rsid w:val="000155A8"/>
    <w:rsid w:val="000156B2"/>
    <w:rsid w:val="00015818"/>
    <w:rsid w:val="00015A97"/>
    <w:rsid w:val="00015C57"/>
    <w:rsid w:val="00015D0B"/>
    <w:rsid w:val="000162E7"/>
    <w:rsid w:val="0001698B"/>
    <w:rsid w:val="00016C62"/>
    <w:rsid w:val="00016F64"/>
    <w:rsid w:val="00016FE0"/>
    <w:rsid w:val="00016FE9"/>
    <w:rsid w:val="00017640"/>
    <w:rsid w:val="000176D7"/>
    <w:rsid w:val="0001770B"/>
    <w:rsid w:val="000178EF"/>
    <w:rsid w:val="00017E5B"/>
    <w:rsid w:val="00017EB6"/>
    <w:rsid w:val="0002041C"/>
    <w:rsid w:val="000204C9"/>
    <w:rsid w:val="00020799"/>
    <w:rsid w:val="00020C8C"/>
    <w:rsid w:val="00020D21"/>
    <w:rsid w:val="00020DD9"/>
    <w:rsid w:val="00020EA3"/>
    <w:rsid w:val="00021332"/>
    <w:rsid w:val="00021727"/>
    <w:rsid w:val="000217BC"/>
    <w:rsid w:val="00021827"/>
    <w:rsid w:val="00021A8D"/>
    <w:rsid w:val="00021C7A"/>
    <w:rsid w:val="00021E88"/>
    <w:rsid w:val="0002262F"/>
    <w:rsid w:val="00022756"/>
    <w:rsid w:val="00022855"/>
    <w:rsid w:val="00022909"/>
    <w:rsid w:val="00022C1B"/>
    <w:rsid w:val="00022CE0"/>
    <w:rsid w:val="00022EA9"/>
    <w:rsid w:val="00022EE9"/>
    <w:rsid w:val="00023068"/>
    <w:rsid w:val="00023137"/>
    <w:rsid w:val="0002349D"/>
    <w:rsid w:val="0002382E"/>
    <w:rsid w:val="00023B03"/>
    <w:rsid w:val="00023BDB"/>
    <w:rsid w:val="00023E4D"/>
    <w:rsid w:val="00024069"/>
    <w:rsid w:val="000243CB"/>
    <w:rsid w:val="000246BA"/>
    <w:rsid w:val="000246C1"/>
    <w:rsid w:val="000246EB"/>
    <w:rsid w:val="000246FB"/>
    <w:rsid w:val="00024745"/>
    <w:rsid w:val="0002475C"/>
    <w:rsid w:val="00024A4B"/>
    <w:rsid w:val="00024AF7"/>
    <w:rsid w:val="00024CD0"/>
    <w:rsid w:val="00024D5F"/>
    <w:rsid w:val="000251CC"/>
    <w:rsid w:val="00025242"/>
    <w:rsid w:val="00025B1C"/>
    <w:rsid w:val="00025B1F"/>
    <w:rsid w:val="00025C78"/>
    <w:rsid w:val="00025CB3"/>
    <w:rsid w:val="00025D52"/>
    <w:rsid w:val="00025E94"/>
    <w:rsid w:val="00025F36"/>
    <w:rsid w:val="000261B7"/>
    <w:rsid w:val="0002629C"/>
    <w:rsid w:val="000265A4"/>
    <w:rsid w:val="00026830"/>
    <w:rsid w:val="00026896"/>
    <w:rsid w:val="000268E0"/>
    <w:rsid w:val="0002698B"/>
    <w:rsid w:val="00026A1A"/>
    <w:rsid w:val="00026A5B"/>
    <w:rsid w:val="00026AD6"/>
    <w:rsid w:val="00026D2C"/>
    <w:rsid w:val="00026DBB"/>
    <w:rsid w:val="00026E16"/>
    <w:rsid w:val="00026E43"/>
    <w:rsid w:val="00026E62"/>
    <w:rsid w:val="00026E7B"/>
    <w:rsid w:val="0002711C"/>
    <w:rsid w:val="000271DC"/>
    <w:rsid w:val="0002723A"/>
    <w:rsid w:val="00027285"/>
    <w:rsid w:val="000273C6"/>
    <w:rsid w:val="000274F7"/>
    <w:rsid w:val="00027557"/>
    <w:rsid w:val="00027676"/>
    <w:rsid w:val="00027921"/>
    <w:rsid w:val="000279D7"/>
    <w:rsid w:val="00027ABE"/>
    <w:rsid w:val="00027D6A"/>
    <w:rsid w:val="00030097"/>
    <w:rsid w:val="000301A6"/>
    <w:rsid w:val="00030205"/>
    <w:rsid w:val="00030340"/>
    <w:rsid w:val="000303F0"/>
    <w:rsid w:val="00030516"/>
    <w:rsid w:val="00030595"/>
    <w:rsid w:val="000305F9"/>
    <w:rsid w:val="00030629"/>
    <w:rsid w:val="000306E7"/>
    <w:rsid w:val="00030D0B"/>
    <w:rsid w:val="00030E27"/>
    <w:rsid w:val="00030E66"/>
    <w:rsid w:val="00031648"/>
    <w:rsid w:val="0003166A"/>
    <w:rsid w:val="0003175A"/>
    <w:rsid w:val="000317CD"/>
    <w:rsid w:val="00031AFE"/>
    <w:rsid w:val="00031B76"/>
    <w:rsid w:val="00031CF4"/>
    <w:rsid w:val="00031CFD"/>
    <w:rsid w:val="00031E8F"/>
    <w:rsid w:val="00032318"/>
    <w:rsid w:val="00032544"/>
    <w:rsid w:val="00032686"/>
    <w:rsid w:val="000326F5"/>
    <w:rsid w:val="000327F7"/>
    <w:rsid w:val="00032856"/>
    <w:rsid w:val="000328A8"/>
    <w:rsid w:val="00032F41"/>
    <w:rsid w:val="00033179"/>
    <w:rsid w:val="00033347"/>
    <w:rsid w:val="0003356A"/>
    <w:rsid w:val="000335BE"/>
    <w:rsid w:val="00033621"/>
    <w:rsid w:val="00033854"/>
    <w:rsid w:val="000338C9"/>
    <w:rsid w:val="00033A71"/>
    <w:rsid w:val="00033C0D"/>
    <w:rsid w:val="0003409C"/>
    <w:rsid w:val="000341BE"/>
    <w:rsid w:val="000342F9"/>
    <w:rsid w:val="00034622"/>
    <w:rsid w:val="00034652"/>
    <w:rsid w:val="000347A1"/>
    <w:rsid w:val="00034916"/>
    <w:rsid w:val="00034997"/>
    <w:rsid w:val="00034DBB"/>
    <w:rsid w:val="00034F08"/>
    <w:rsid w:val="00035169"/>
    <w:rsid w:val="00035363"/>
    <w:rsid w:val="000355D9"/>
    <w:rsid w:val="000357F9"/>
    <w:rsid w:val="00035B9D"/>
    <w:rsid w:val="000360CB"/>
    <w:rsid w:val="000363C5"/>
    <w:rsid w:val="000364E9"/>
    <w:rsid w:val="0003676D"/>
    <w:rsid w:val="00036C51"/>
    <w:rsid w:val="00036E9E"/>
    <w:rsid w:val="00036F1C"/>
    <w:rsid w:val="00036F87"/>
    <w:rsid w:val="000370C8"/>
    <w:rsid w:val="000372BA"/>
    <w:rsid w:val="000375E1"/>
    <w:rsid w:val="00037666"/>
    <w:rsid w:val="00037845"/>
    <w:rsid w:val="00037B3E"/>
    <w:rsid w:val="00037CF0"/>
    <w:rsid w:val="00037E6E"/>
    <w:rsid w:val="00037EA9"/>
    <w:rsid w:val="00040135"/>
    <w:rsid w:val="00040571"/>
    <w:rsid w:val="000405CD"/>
    <w:rsid w:val="00040601"/>
    <w:rsid w:val="000406C5"/>
    <w:rsid w:val="000409A3"/>
    <w:rsid w:val="00040C62"/>
    <w:rsid w:val="00040CCA"/>
    <w:rsid w:val="00040CE3"/>
    <w:rsid w:val="00040D48"/>
    <w:rsid w:val="000410C8"/>
    <w:rsid w:val="00041107"/>
    <w:rsid w:val="00041209"/>
    <w:rsid w:val="0004123E"/>
    <w:rsid w:val="00041299"/>
    <w:rsid w:val="000412DC"/>
    <w:rsid w:val="000413BE"/>
    <w:rsid w:val="0004162B"/>
    <w:rsid w:val="000416E2"/>
    <w:rsid w:val="00041748"/>
    <w:rsid w:val="00041E1B"/>
    <w:rsid w:val="00041E84"/>
    <w:rsid w:val="000420D5"/>
    <w:rsid w:val="000424EA"/>
    <w:rsid w:val="0004258C"/>
    <w:rsid w:val="0004275D"/>
    <w:rsid w:val="00042815"/>
    <w:rsid w:val="000429CC"/>
    <w:rsid w:val="00042AFB"/>
    <w:rsid w:val="0004341A"/>
    <w:rsid w:val="00043488"/>
    <w:rsid w:val="00043A6D"/>
    <w:rsid w:val="00043B5D"/>
    <w:rsid w:val="00043CF6"/>
    <w:rsid w:val="00043CFE"/>
    <w:rsid w:val="0004400C"/>
    <w:rsid w:val="000441CF"/>
    <w:rsid w:val="000442AA"/>
    <w:rsid w:val="000443AA"/>
    <w:rsid w:val="00044479"/>
    <w:rsid w:val="00044480"/>
    <w:rsid w:val="0004456B"/>
    <w:rsid w:val="000447CD"/>
    <w:rsid w:val="00044890"/>
    <w:rsid w:val="00044D43"/>
    <w:rsid w:val="000451DA"/>
    <w:rsid w:val="00045356"/>
    <w:rsid w:val="00045513"/>
    <w:rsid w:val="0004569D"/>
    <w:rsid w:val="00045B26"/>
    <w:rsid w:val="00045C11"/>
    <w:rsid w:val="00045F82"/>
    <w:rsid w:val="00046380"/>
    <w:rsid w:val="00046397"/>
    <w:rsid w:val="000463EA"/>
    <w:rsid w:val="000464DE"/>
    <w:rsid w:val="000465BD"/>
    <w:rsid w:val="0004679A"/>
    <w:rsid w:val="000467B3"/>
    <w:rsid w:val="00046859"/>
    <w:rsid w:val="00046A33"/>
    <w:rsid w:val="00046B06"/>
    <w:rsid w:val="00046E66"/>
    <w:rsid w:val="000470A2"/>
    <w:rsid w:val="0004750F"/>
    <w:rsid w:val="00047690"/>
    <w:rsid w:val="00047780"/>
    <w:rsid w:val="00047856"/>
    <w:rsid w:val="00047951"/>
    <w:rsid w:val="00047AB0"/>
    <w:rsid w:val="00047C03"/>
    <w:rsid w:val="00047CE6"/>
    <w:rsid w:val="00047D27"/>
    <w:rsid w:val="00047DF1"/>
    <w:rsid w:val="00047E1D"/>
    <w:rsid w:val="00047E5A"/>
    <w:rsid w:val="0005015D"/>
    <w:rsid w:val="0005017B"/>
    <w:rsid w:val="0005047F"/>
    <w:rsid w:val="00050843"/>
    <w:rsid w:val="000508D3"/>
    <w:rsid w:val="00050A4D"/>
    <w:rsid w:val="00051114"/>
    <w:rsid w:val="000516D5"/>
    <w:rsid w:val="000517D7"/>
    <w:rsid w:val="00051B92"/>
    <w:rsid w:val="00051F3C"/>
    <w:rsid w:val="00051FD3"/>
    <w:rsid w:val="000525F5"/>
    <w:rsid w:val="00052705"/>
    <w:rsid w:val="000527B5"/>
    <w:rsid w:val="00052850"/>
    <w:rsid w:val="00052855"/>
    <w:rsid w:val="00052DA0"/>
    <w:rsid w:val="00052E4D"/>
    <w:rsid w:val="00053230"/>
    <w:rsid w:val="00053480"/>
    <w:rsid w:val="00053512"/>
    <w:rsid w:val="00053581"/>
    <w:rsid w:val="0005377C"/>
    <w:rsid w:val="000537E3"/>
    <w:rsid w:val="0005381C"/>
    <w:rsid w:val="000538E9"/>
    <w:rsid w:val="0005391C"/>
    <w:rsid w:val="00053C36"/>
    <w:rsid w:val="00053F80"/>
    <w:rsid w:val="000540CC"/>
    <w:rsid w:val="0005410D"/>
    <w:rsid w:val="00054309"/>
    <w:rsid w:val="00054311"/>
    <w:rsid w:val="000543D7"/>
    <w:rsid w:val="0005450F"/>
    <w:rsid w:val="0005451C"/>
    <w:rsid w:val="00054EFE"/>
    <w:rsid w:val="00055059"/>
    <w:rsid w:val="000554BF"/>
    <w:rsid w:val="000555DB"/>
    <w:rsid w:val="000556E3"/>
    <w:rsid w:val="000557B1"/>
    <w:rsid w:val="00055999"/>
    <w:rsid w:val="000559E5"/>
    <w:rsid w:val="00055A2D"/>
    <w:rsid w:val="00056370"/>
    <w:rsid w:val="00056371"/>
    <w:rsid w:val="00056373"/>
    <w:rsid w:val="000563D1"/>
    <w:rsid w:val="0005691C"/>
    <w:rsid w:val="000569C8"/>
    <w:rsid w:val="000569CD"/>
    <w:rsid w:val="00056E89"/>
    <w:rsid w:val="00057729"/>
    <w:rsid w:val="00057762"/>
    <w:rsid w:val="0005788D"/>
    <w:rsid w:val="00057A7A"/>
    <w:rsid w:val="00057A9B"/>
    <w:rsid w:val="00057AED"/>
    <w:rsid w:val="00057D13"/>
    <w:rsid w:val="000604C7"/>
    <w:rsid w:val="0006050F"/>
    <w:rsid w:val="000607C2"/>
    <w:rsid w:val="00060A59"/>
    <w:rsid w:val="00060CA5"/>
    <w:rsid w:val="00060E6B"/>
    <w:rsid w:val="0006104A"/>
    <w:rsid w:val="0006107B"/>
    <w:rsid w:val="00061111"/>
    <w:rsid w:val="000611F9"/>
    <w:rsid w:val="00061233"/>
    <w:rsid w:val="00061535"/>
    <w:rsid w:val="0006177C"/>
    <w:rsid w:val="000618DA"/>
    <w:rsid w:val="00061933"/>
    <w:rsid w:val="00061993"/>
    <w:rsid w:val="000619B2"/>
    <w:rsid w:val="00061B8C"/>
    <w:rsid w:val="000620E9"/>
    <w:rsid w:val="00062330"/>
    <w:rsid w:val="000624BB"/>
    <w:rsid w:val="00062C57"/>
    <w:rsid w:val="00062D47"/>
    <w:rsid w:val="00062E3E"/>
    <w:rsid w:val="00062E45"/>
    <w:rsid w:val="00062EB3"/>
    <w:rsid w:val="00062EE9"/>
    <w:rsid w:val="00062F94"/>
    <w:rsid w:val="00063136"/>
    <w:rsid w:val="000633E8"/>
    <w:rsid w:val="00063437"/>
    <w:rsid w:val="0006366E"/>
    <w:rsid w:val="000636CE"/>
    <w:rsid w:val="00063DD8"/>
    <w:rsid w:val="000641EB"/>
    <w:rsid w:val="00064557"/>
    <w:rsid w:val="00064615"/>
    <w:rsid w:val="000648E8"/>
    <w:rsid w:val="00064CE5"/>
    <w:rsid w:val="000650F6"/>
    <w:rsid w:val="0006519E"/>
    <w:rsid w:val="000651D2"/>
    <w:rsid w:val="000653F5"/>
    <w:rsid w:val="0006551B"/>
    <w:rsid w:val="00065596"/>
    <w:rsid w:val="000656EC"/>
    <w:rsid w:val="000657A7"/>
    <w:rsid w:val="00065A29"/>
    <w:rsid w:val="00065BF3"/>
    <w:rsid w:val="00065F69"/>
    <w:rsid w:val="00066137"/>
    <w:rsid w:val="000661A5"/>
    <w:rsid w:val="00066251"/>
    <w:rsid w:val="000665AB"/>
    <w:rsid w:val="00066B20"/>
    <w:rsid w:val="00066C63"/>
    <w:rsid w:val="00066CE6"/>
    <w:rsid w:val="00066D82"/>
    <w:rsid w:val="00066E63"/>
    <w:rsid w:val="00066F8C"/>
    <w:rsid w:val="00066FC9"/>
    <w:rsid w:val="000679BC"/>
    <w:rsid w:val="000702C3"/>
    <w:rsid w:val="00070AF7"/>
    <w:rsid w:val="00070B45"/>
    <w:rsid w:val="00070CEF"/>
    <w:rsid w:val="00070D39"/>
    <w:rsid w:val="00070EA5"/>
    <w:rsid w:val="00070F41"/>
    <w:rsid w:val="0007102B"/>
    <w:rsid w:val="0007176E"/>
    <w:rsid w:val="0007185D"/>
    <w:rsid w:val="00071EF7"/>
    <w:rsid w:val="00071F1E"/>
    <w:rsid w:val="00072373"/>
    <w:rsid w:val="0007256A"/>
    <w:rsid w:val="00072741"/>
    <w:rsid w:val="000728F4"/>
    <w:rsid w:val="00072CBE"/>
    <w:rsid w:val="0007310A"/>
    <w:rsid w:val="000731C5"/>
    <w:rsid w:val="00073253"/>
    <w:rsid w:val="0007335C"/>
    <w:rsid w:val="000733D6"/>
    <w:rsid w:val="00073475"/>
    <w:rsid w:val="0007360C"/>
    <w:rsid w:val="000738EB"/>
    <w:rsid w:val="00073944"/>
    <w:rsid w:val="00073BF5"/>
    <w:rsid w:val="00073D9D"/>
    <w:rsid w:val="00073DDF"/>
    <w:rsid w:val="00073E21"/>
    <w:rsid w:val="00073E7F"/>
    <w:rsid w:val="00073E85"/>
    <w:rsid w:val="00073E92"/>
    <w:rsid w:val="00073FCC"/>
    <w:rsid w:val="000741B7"/>
    <w:rsid w:val="00074282"/>
    <w:rsid w:val="000747D2"/>
    <w:rsid w:val="00074AE3"/>
    <w:rsid w:val="00074CD8"/>
    <w:rsid w:val="00075051"/>
    <w:rsid w:val="00075492"/>
    <w:rsid w:val="00075593"/>
    <w:rsid w:val="0007582F"/>
    <w:rsid w:val="000759DF"/>
    <w:rsid w:val="00075F4C"/>
    <w:rsid w:val="00075F9B"/>
    <w:rsid w:val="00076046"/>
    <w:rsid w:val="0007619A"/>
    <w:rsid w:val="0007628F"/>
    <w:rsid w:val="00076434"/>
    <w:rsid w:val="00076990"/>
    <w:rsid w:val="00076995"/>
    <w:rsid w:val="00076BDD"/>
    <w:rsid w:val="00076CDC"/>
    <w:rsid w:val="00076CE4"/>
    <w:rsid w:val="00076DA3"/>
    <w:rsid w:val="00076DA5"/>
    <w:rsid w:val="00077057"/>
    <w:rsid w:val="000770FD"/>
    <w:rsid w:val="000772B1"/>
    <w:rsid w:val="000773FA"/>
    <w:rsid w:val="000779DC"/>
    <w:rsid w:val="00077AAF"/>
    <w:rsid w:val="00077ADE"/>
    <w:rsid w:val="00077BDF"/>
    <w:rsid w:val="00077CC5"/>
    <w:rsid w:val="00077CFF"/>
    <w:rsid w:val="00077D9A"/>
    <w:rsid w:val="00077DFE"/>
    <w:rsid w:val="00080439"/>
    <w:rsid w:val="00080573"/>
    <w:rsid w:val="00080784"/>
    <w:rsid w:val="00080887"/>
    <w:rsid w:val="00080895"/>
    <w:rsid w:val="00080B30"/>
    <w:rsid w:val="000812ED"/>
    <w:rsid w:val="000814EE"/>
    <w:rsid w:val="00081636"/>
    <w:rsid w:val="00081696"/>
    <w:rsid w:val="000816E0"/>
    <w:rsid w:val="000816E9"/>
    <w:rsid w:val="00081873"/>
    <w:rsid w:val="00081905"/>
    <w:rsid w:val="000819A8"/>
    <w:rsid w:val="00081C3F"/>
    <w:rsid w:val="00081C40"/>
    <w:rsid w:val="00081E45"/>
    <w:rsid w:val="00081F57"/>
    <w:rsid w:val="00081FAD"/>
    <w:rsid w:val="0008208B"/>
    <w:rsid w:val="00082090"/>
    <w:rsid w:val="00082441"/>
    <w:rsid w:val="0008261B"/>
    <w:rsid w:val="0008282B"/>
    <w:rsid w:val="00082971"/>
    <w:rsid w:val="00082DEF"/>
    <w:rsid w:val="00083022"/>
    <w:rsid w:val="000830EA"/>
    <w:rsid w:val="00083837"/>
    <w:rsid w:val="00083842"/>
    <w:rsid w:val="00083858"/>
    <w:rsid w:val="00083B06"/>
    <w:rsid w:val="00083FC6"/>
    <w:rsid w:val="00083FD5"/>
    <w:rsid w:val="000840C3"/>
    <w:rsid w:val="00084494"/>
    <w:rsid w:val="0008456B"/>
    <w:rsid w:val="00084678"/>
    <w:rsid w:val="000847BF"/>
    <w:rsid w:val="00084CD7"/>
    <w:rsid w:val="00084E18"/>
    <w:rsid w:val="00084EE0"/>
    <w:rsid w:val="00084FDF"/>
    <w:rsid w:val="0008514E"/>
    <w:rsid w:val="00085283"/>
    <w:rsid w:val="000853D1"/>
    <w:rsid w:val="00085574"/>
    <w:rsid w:val="000855F4"/>
    <w:rsid w:val="00085698"/>
    <w:rsid w:val="000856D8"/>
    <w:rsid w:val="00085729"/>
    <w:rsid w:val="00085835"/>
    <w:rsid w:val="00085D0E"/>
    <w:rsid w:val="00085D9E"/>
    <w:rsid w:val="00085EA1"/>
    <w:rsid w:val="00085FA3"/>
    <w:rsid w:val="00085FC5"/>
    <w:rsid w:val="00086045"/>
    <w:rsid w:val="000860BF"/>
    <w:rsid w:val="000861D9"/>
    <w:rsid w:val="000861E8"/>
    <w:rsid w:val="00086486"/>
    <w:rsid w:val="0008651E"/>
    <w:rsid w:val="000865CE"/>
    <w:rsid w:val="0008677E"/>
    <w:rsid w:val="000867DC"/>
    <w:rsid w:val="0008694B"/>
    <w:rsid w:val="000869DD"/>
    <w:rsid w:val="000869E1"/>
    <w:rsid w:val="000869F6"/>
    <w:rsid w:val="00086A5C"/>
    <w:rsid w:val="00086B04"/>
    <w:rsid w:val="00086C42"/>
    <w:rsid w:val="00086D02"/>
    <w:rsid w:val="00086E62"/>
    <w:rsid w:val="00086E69"/>
    <w:rsid w:val="00086EBC"/>
    <w:rsid w:val="00086F44"/>
    <w:rsid w:val="0008779D"/>
    <w:rsid w:val="00087F7D"/>
    <w:rsid w:val="00087FC4"/>
    <w:rsid w:val="00090362"/>
    <w:rsid w:val="00090C39"/>
    <w:rsid w:val="00090CCF"/>
    <w:rsid w:val="00090DBA"/>
    <w:rsid w:val="00090DCE"/>
    <w:rsid w:val="000910DA"/>
    <w:rsid w:val="00091177"/>
    <w:rsid w:val="00091504"/>
    <w:rsid w:val="000915B1"/>
    <w:rsid w:val="00091962"/>
    <w:rsid w:val="00091A41"/>
    <w:rsid w:val="00091AD2"/>
    <w:rsid w:val="00091C4F"/>
    <w:rsid w:val="00091D6E"/>
    <w:rsid w:val="00091E0B"/>
    <w:rsid w:val="00092289"/>
    <w:rsid w:val="000928AF"/>
    <w:rsid w:val="00092E87"/>
    <w:rsid w:val="00093134"/>
    <w:rsid w:val="00093188"/>
    <w:rsid w:val="0009342F"/>
    <w:rsid w:val="00093486"/>
    <w:rsid w:val="00093603"/>
    <w:rsid w:val="00093796"/>
    <w:rsid w:val="00093910"/>
    <w:rsid w:val="0009391F"/>
    <w:rsid w:val="000939CA"/>
    <w:rsid w:val="00093FC7"/>
    <w:rsid w:val="00094010"/>
    <w:rsid w:val="000943A8"/>
    <w:rsid w:val="00094531"/>
    <w:rsid w:val="00094676"/>
    <w:rsid w:val="00094E06"/>
    <w:rsid w:val="00094E63"/>
    <w:rsid w:val="000950A8"/>
    <w:rsid w:val="000950F4"/>
    <w:rsid w:val="0009567D"/>
    <w:rsid w:val="0009569E"/>
    <w:rsid w:val="0009598A"/>
    <w:rsid w:val="00095F38"/>
    <w:rsid w:val="00095F53"/>
    <w:rsid w:val="00095FB4"/>
    <w:rsid w:val="00096073"/>
    <w:rsid w:val="0009622F"/>
    <w:rsid w:val="0009650F"/>
    <w:rsid w:val="00096616"/>
    <w:rsid w:val="00096896"/>
    <w:rsid w:val="00096A17"/>
    <w:rsid w:val="00096C06"/>
    <w:rsid w:val="00096C31"/>
    <w:rsid w:val="00096E12"/>
    <w:rsid w:val="00096E4E"/>
    <w:rsid w:val="00096F78"/>
    <w:rsid w:val="000970BA"/>
    <w:rsid w:val="00097192"/>
    <w:rsid w:val="0009735B"/>
    <w:rsid w:val="000973A8"/>
    <w:rsid w:val="00097626"/>
    <w:rsid w:val="00097790"/>
    <w:rsid w:val="0009788B"/>
    <w:rsid w:val="00097B39"/>
    <w:rsid w:val="00097B3D"/>
    <w:rsid w:val="00097C01"/>
    <w:rsid w:val="00097CF0"/>
    <w:rsid w:val="00097D78"/>
    <w:rsid w:val="00097F09"/>
    <w:rsid w:val="00097F96"/>
    <w:rsid w:val="000A00A7"/>
    <w:rsid w:val="000A011D"/>
    <w:rsid w:val="000A0205"/>
    <w:rsid w:val="000A04FD"/>
    <w:rsid w:val="000A05E4"/>
    <w:rsid w:val="000A07C9"/>
    <w:rsid w:val="000A09ED"/>
    <w:rsid w:val="000A0B2B"/>
    <w:rsid w:val="000A0C33"/>
    <w:rsid w:val="000A0D9F"/>
    <w:rsid w:val="000A0E6B"/>
    <w:rsid w:val="000A1106"/>
    <w:rsid w:val="000A11BB"/>
    <w:rsid w:val="000A178F"/>
    <w:rsid w:val="000A17C5"/>
    <w:rsid w:val="000A17F1"/>
    <w:rsid w:val="000A1842"/>
    <w:rsid w:val="000A1955"/>
    <w:rsid w:val="000A1B09"/>
    <w:rsid w:val="000A1DED"/>
    <w:rsid w:val="000A1F63"/>
    <w:rsid w:val="000A238A"/>
    <w:rsid w:val="000A2395"/>
    <w:rsid w:val="000A2862"/>
    <w:rsid w:val="000A2BCD"/>
    <w:rsid w:val="000A2E24"/>
    <w:rsid w:val="000A2F66"/>
    <w:rsid w:val="000A3130"/>
    <w:rsid w:val="000A31C3"/>
    <w:rsid w:val="000A336C"/>
    <w:rsid w:val="000A33EB"/>
    <w:rsid w:val="000A346F"/>
    <w:rsid w:val="000A3762"/>
    <w:rsid w:val="000A3898"/>
    <w:rsid w:val="000A38A3"/>
    <w:rsid w:val="000A3B30"/>
    <w:rsid w:val="000A3BA7"/>
    <w:rsid w:val="000A3C2F"/>
    <w:rsid w:val="000A41AF"/>
    <w:rsid w:val="000A433E"/>
    <w:rsid w:val="000A487A"/>
    <w:rsid w:val="000A4A86"/>
    <w:rsid w:val="000A4A96"/>
    <w:rsid w:val="000A4EE9"/>
    <w:rsid w:val="000A52A1"/>
    <w:rsid w:val="000A5824"/>
    <w:rsid w:val="000A5BD4"/>
    <w:rsid w:val="000A5C2B"/>
    <w:rsid w:val="000A5DB9"/>
    <w:rsid w:val="000A602F"/>
    <w:rsid w:val="000A613E"/>
    <w:rsid w:val="000A633D"/>
    <w:rsid w:val="000A6389"/>
    <w:rsid w:val="000A6392"/>
    <w:rsid w:val="000A646A"/>
    <w:rsid w:val="000A6710"/>
    <w:rsid w:val="000A67A1"/>
    <w:rsid w:val="000A6922"/>
    <w:rsid w:val="000A6B16"/>
    <w:rsid w:val="000A6B58"/>
    <w:rsid w:val="000A6D3E"/>
    <w:rsid w:val="000A6F23"/>
    <w:rsid w:val="000A713D"/>
    <w:rsid w:val="000A720D"/>
    <w:rsid w:val="000A74C3"/>
    <w:rsid w:val="000A756F"/>
    <w:rsid w:val="000A766A"/>
    <w:rsid w:val="000A76DA"/>
    <w:rsid w:val="000A772F"/>
    <w:rsid w:val="000A7AA9"/>
    <w:rsid w:val="000A7C5E"/>
    <w:rsid w:val="000A7E55"/>
    <w:rsid w:val="000A7E96"/>
    <w:rsid w:val="000B0145"/>
    <w:rsid w:val="000B0451"/>
    <w:rsid w:val="000B04FC"/>
    <w:rsid w:val="000B0875"/>
    <w:rsid w:val="000B08F0"/>
    <w:rsid w:val="000B0A33"/>
    <w:rsid w:val="000B0B86"/>
    <w:rsid w:val="000B0D24"/>
    <w:rsid w:val="000B0DE2"/>
    <w:rsid w:val="000B0E95"/>
    <w:rsid w:val="000B1440"/>
    <w:rsid w:val="000B1513"/>
    <w:rsid w:val="000B16CB"/>
    <w:rsid w:val="000B1905"/>
    <w:rsid w:val="000B2042"/>
    <w:rsid w:val="000B2490"/>
    <w:rsid w:val="000B24CB"/>
    <w:rsid w:val="000B286B"/>
    <w:rsid w:val="000B2942"/>
    <w:rsid w:val="000B2944"/>
    <w:rsid w:val="000B2AF2"/>
    <w:rsid w:val="000B2B20"/>
    <w:rsid w:val="000B2BC9"/>
    <w:rsid w:val="000B2CFB"/>
    <w:rsid w:val="000B2DCD"/>
    <w:rsid w:val="000B2E2A"/>
    <w:rsid w:val="000B2F0F"/>
    <w:rsid w:val="000B2F24"/>
    <w:rsid w:val="000B3097"/>
    <w:rsid w:val="000B32C2"/>
    <w:rsid w:val="000B3557"/>
    <w:rsid w:val="000B3607"/>
    <w:rsid w:val="000B3623"/>
    <w:rsid w:val="000B3728"/>
    <w:rsid w:val="000B3781"/>
    <w:rsid w:val="000B3BB2"/>
    <w:rsid w:val="000B3C7D"/>
    <w:rsid w:val="000B3D71"/>
    <w:rsid w:val="000B3D99"/>
    <w:rsid w:val="000B3DC4"/>
    <w:rsid w:val="000B3F0A"/>
    <w:rsid w:val="000B3F3E"/>
    <w:rsid w:val="000B4179"/>
    <w:rsid w:val="000B442C"/>
    <w:rsid w:val="000B449E"/>
    <w:rsid w:val="000B46B0"/>
    <w:rsid w:val="000B46BA"/>
    <w:rsid w:val="000B4935"/>
    <w:rsid w:val="000B4A6E"/>
    <w:rsid w:val="000B4FDE"/>
    <w:rsid w:val="000B5042"/>
    <w:rsid w:val="000B50ED"/>
    <w:rsid w:val="000B5227"/>
    <w:rsid w:val="000B53C0"/>
    <w:rsid w:val="000B53FD"/>
    <w:rsid w:val="000B56FE"/>
    <w:rsid w:val="000B5744"/>
    <w:rsid w:val="000B5B36"/>
    <w:rsid w:val="000B5BC6"/>
    <w:rsid w:val="000B5C2F"/>
    <w:rsid w:val="000B5D51"/>
    <w:rsid w:val="000B5D82"/>
    <w:rsid w:val="000B60F3"/>
    <w:rsid w:val="000B61DE"/>
    <w:rsid w:val="000B62CD"/>
    <w:rsid w:val="000B649C"/>
    <w:rsid w:val="000B64E3"/>
    <w:rsid w:val="000B66AC"/>
    <w:rsid w:val="000B689B"/>
    <w:rsid w:val="000B6D3A"/>
    <w:rsid w:val="000B70FE"/>
    <w:rsid w:val="000B73C6"/>
    <w:rsid w:val="000B7685"/>
    <w:rsid w:val="000B773F"/>
    <w:rsid w:val="000B7838"/>
    <w:rsid w:val="000B7CB8"/>
    <w:rsid w:val="000B7DC3"/>
    <w:rsid w:val="000B7F93"/>
    <w:rsid w:val="000C0148"/>
    <w:rsid w:val="000C03B8"/>
    <w:rsid w:val="000C05C9"/>
    <w:rsid w:val="000C05EA"/>
    <w:rsid w:val="000C06A4"/>
    <w:rsid w:val="000C099D"/>
    <w:rsid w:val="000C0BBD"/>
    <w:rsid w:val="000C0F3A"/>
    <w:rsid w:val="000C0FAC"/>
    <w:rsid w:val="000C1231"/>
    <w:rsid w:val="000C1575"/>
    <w:rsid w:val="000C1BEE"/>
    <w:rsid w:val="000C1C61"/>
    <w:rsid w:val="000C1D26"/>
    <w:rsid w:val="000C1F18"/>
    <w:rsid w:val="000C2595"/>
    <w:rsid w:val="000C269A"/>
    <w:rsid w:val="000C26DF"/>
    <w:rsid w:val="000C28EF"/>
    <w:rsid w:val="000C2987"/>
    <w:rsid w:val="000C2BD0"/>
    <w:rsid w:val="000C2EA9"/>
    <w:rsid w:val="000C2FF3"/>
    <w:rsid w:val="000C3006"/>
    <w:rsid w:val="000C32BB"/>
    <w:rsid w:val="000C32CA"/>
    <w:rsid w:val="000C349E"/>
    <w:rsid w:val="000C354C"/>
    <w:rsid w:val="000C3927"/>
    <w:rsid w:val="000C3AC6"/>
    <w:rsid w:val="000C3B22"/>
    <w:rsid w:val="000C4063"/>
    <w:rsid w:val="000C472C"/>
    <w:rsid w:val="000C4BB7"/>
    <w:rsid w:val="000C4DBE"/>
    <w:rsid w:val="000C4DFC"/>
    <w:rsid w:val="000C50B3"/>
    <w:rsid w:val="000C53E9"/>
    <w:rsid w:val="000C5486"/>
    <w:rsid w:val="000C588B"/>
    <w:rsid w:val="000C5FAF"/>
    <w:rsid w:val="000C604F"/>
    <w:rsid w:val="000C65AA"/>
    <w:rsid w:val="000C6676"/>
    <w:rsid w:val="000C6936"/>
    <w:rsid w:val="000C6BC8"/>
    <w:rsid w:val="000C6E9F"/>
    <w:rsid w:val="000C72CA"/>
    <w:rsid w:val="000C76F8"/>
    <w:rsid w:val="000C776D"/>
    <w:rsid w:val="000C7781"/>
    <w:rsid w:val="000C782D"/>
    <w:rsid w:val="000C7AE7"/>
    <w:rsid w:val="000C7E7F"/>
    <w:rsid w:val="000C7EB9"/>
    <w:rsid w:val="000C7F62"/>
    <w:rsid w:val="000D01AA"/>
    <w:rsid w:val="000D02F1"/>
    <w:rsid w:val="000D03E4"/>
    <w:rsid w:val="000D079B"/>
    <w:rsid w:val="000D0881"/>
    <w:rsid w:val="000D0A89"/>
    <w:rsid w:val="000D0ACF"/>
    <w:rsid w:val="000D0B77"/>
    <w:rsid w:val="000D0BB6"/>
    <w:rsid w:val="000D0BDE"/>
    <w:rsid w:val="000D0C8D"/>
    <w:rsid w:val="000D1354"/>
    <w:rsid w:val="000D149C"/>
    <w:rsid w:val="000D15A0"/>
    <w:rsid w:val="000D1603"/>
    <w:rsid w:val="000D1DEA"/>
    <w:rsid w:val="000D1EA8"/>
    <w:rsid w:val="000D2042"/>
    <w:rsid w:val="000D2088"/>
    <w:rsid w:val="000D20D7"/>
    <w:rsid w:val="000D2208"/>
    <w:rsid w:val="000D224A"/>
    <w:rsid w:val="000D2311"/>
    <w:rsid w:val="000D27F5"/>
    <w:rsid w:val="000D2879"/>
    <w:rsid w:val="000D29DA"/>
    <w:rsid w:val="000D2A5E"/>
    <w:rsid w:val="000D2BBC"/>
    <w:rsid w:val="000D2D5C"/>
    <w:rsid w:val="000D2D68"/>
    <w:rsid w:val="000D2E44"/>
    <w:rsid w:val="000D2F76"/>
    <w:rsid w:val="000D314B"/>
    <w:rsid w:val="000D3378"/>
    <w:rsid w:val="000D341A"/>
    <w:rsid w:val="000D3531"/>
    <w:rsid w:val="000D355C"/>
    <w:rsid w:val="000D366D"/>
    <w:rsid w:val="000D375A"/>
    <w:rsid w:val="000D37C2"/>
    <w:rsid w:val="000D3BC1"/>
    <w:rsid w:val="000D3CC1"/>
    <w:rsid w:val="000D3ECB"/>
    <w:rsid w:val="000D3F0B"/>
    <w:rsid w:val="000D4063"/>
    <w:rsid w:val="000D4100"/>
    <w:rsid w:val="000D4101"/>
    <w:rsid w:val="000D41CA"/>
    <w:rsid w:val="000D42BA"/>
    <w:rsid w:val="000D4342"/>
    <w:rsid w:val="000D43B8"/>
    <w:rsid w:val="000D4457"/>
    <w:rsid w:val="000D48FF"/>
    <w:rsid w:val="000D4D62"/>
    <w:rsid w:val="000D4F3C"/>
    <w:rsid w:val="000D533D"/>
    <w:rsid w:val="000D535B"/>
    <w:rsid w:val="000D5667"/>
    <w:rsid w:val="000D571F"/>
    <w:rsid w:val="000D57A8"/>
    <w:rsid w:val="000D59C0"/>
    <w:rsid w:val="000D5C58"/>
    <w:rsid w:val="000D5D0E"/>
    <w:rsid w:val="000D5D5F"/>
    <w:rsid w:val="000D5EE1"/>
    <w:rsid w:val="000D5EE9"/>
    <w:rsid w:val="000D5FC0"/>
    <w:rsid w:val="000D625D"/>
    <w:rsid w:val="000D652B"/>
    <w:rsid w:val="000D65F5"/>
    <w:rsid w:val="000D6C93"/>
    <w:rsid w:val="000D70AE"/>
    <w:rsid w:val="000D70D7"/>
    <w:rsid w:val="000D7362"/>
    <w:rsid w:val="000D763B"/>
    <w:rsid w:val="000D772C"/>
    <w:rsid w:val="000D784B"/>
    <w:rsid w:val="000D7A56"/>
    <w:rsid w:val="000D7A97"/>
    <w:rsid w:val="000D7C54"/>
    <w:rsid w:val="000D7E36"/>
    <w:rsid w:val="000D7F69"/>
    <w:rsid w:val="000E00E9"/>
    <w:rsid w:val="000E0199"/>
    <w:rsid w:val="000E0210"/>
    <w:rsid w:val="000E0347"/>
    <w:rsid w:val="000E06F4"/>
    <w:rsid w:val="000E0A30"/>
    <w:rsid w:val="000E0AB9"/>
    <w:rsid w:val="000E0F3B"/>
    <w:rsid w:val="000E1007"/>
    <w:rsid w:val="000E14D3"/>
    <w:rsid w:val="000E1757"/>
    <w:rsid w:val="000E1767"/>
    <w:rsid w:val="000E17A7"/>
    <w:rsid w:val="000E1940"/>
    <w:rsid w:val="000E1979"/>
    <w:rsid w:val="000E1A53"/>
    <w:rsid w:val="000E1A71"/>
    <w:rsid w:val="000E1B78"/>
    <w:rsid w:val="000E1D84"/>
    <w:rsid w:val="000E20EE"/>
    <w:rsid w:val="000E2261"/>
    <w:rsid w:val="000E22CF"/>
    <w:rsid w:val="000E2319"/>
    <w:rsid w:val="000E26C1"/>
    <w:rsid w:val="000E2757"/>
    <w:rsid w:val="000E2CF8"/>
    <w:rsid w:val="000E2E16"/>
    <w:rsid w:val="000E3109"/>
    <w:rsid w:val="000E311B"/>
    <w:rsid w:val="000E3335"/>
    <w:rsid w:val="000E349A"/>
    <w:rsid w:val="000E357D"/>
    <w:rsid w:val="000E3592"/>
    <w:rsid w:val="000E35A0"/>
    <w:rsid w:val="000E3868"/>
    <w:rsid w:val="000E38BA"/>
    <w:rsid w:val="000E39DA"/>
    <w:rsid w:val="000E3BB7"/>
    <w:rsid w:val="000E3BE1"/>
    <w:rsid w:val="000E3D68"/>
    <w:rsid w:val="000E3E15"/>
    <w:rsid w:val="000E41D5"/>
    <w:rsid w:val="000E423E"/>
    <w:rsid w:val="000E43CA"/>
    <w:rsid w:val="000E4532"/>
    <w:rsid w:val="000E47B0"/>
    <w:rsid w:val="000E49A7"/>
    <w:rsid w:val="000E4E18"/>
    <w:rsid w:val="000E4EBC"/>
    <w:rsid w:val="000E4FF4"/>
    <w:rsid w:val="000E5031"/>
    <w:rsid w:val="000E5114"/>
    <w:rsid w:val="000E5249"/>
    <w:rsid w:val="000E5404"/>
    <w:rsid w:val="000E54D9"/>
    <w:rsid w:val="000E5972"/>
    <w:rsid w:val="000E5BD7"/>
    <w:rsid w:val="000E5C21"/>
    <w:rsid w:val="000E5C63"/>
    <w:rsid w:val="000E6391"/>
    <w:rsid w:val="000E63B0"/>
    <w:rsid w:val="000E6774"/>
    <w:rsid w:val="000E6885"/>
    <w:rsid w:val="000E6AA5"/>
    <w:rsid w:val="000E6F3A"/>
    <w:rsid w:val="000E7041"/>
    <w:rsid w:val="000E798E"/>
    <w:rsid w:val="000E7BAB"/>
    <w:rsid w:val="000E7F56"/>
    <w:rsid w:val="000F0008"/>
    <w:rsid w:val="000F0293"/>
    <w:rsid w:val="000F0313"/>
    <w:rsid w:val="000F03DA"/>
    <w:rsid w:val="000F0431"/>
    <w:rsid w:val="000F0460"/>
    <w:rsid w:val="000F04F6"/>
    <w:rsid w:val="000F0674"/>
    <w:rsid w:val="000F0778"/>
    <w:rsid w:val="000F0879"/>
    <w:rsid w:val="000F097D"/>
    <w:rsid w:val="000F0A68"/>
    <w:rsid w:val="000F0AC1"/>
    <w:rsid w:val="000F0B55"/>
    <w:rsid w:val="000F15FD"/>
    <w:rsid w:val="000F1981"/>
    <w:rsid w:val="000F19C5"/>
    <w:rsid w:val="000F1BB1"/>
    <w:rsid w:val="000F1CDA"/>
    <w:rsid w:val="000F1EE5"/>
    <w:rsid w:val="000F2110"/>
    <w:rsid w:val="000F232B"/>
    <w:rsid w:val="000F264C"/>
    <w:rsid w:val="000F26EA"/>
    <w:rsid w:val="000F28B5"/>
    <w:rsid w:val="000F2940"/>
    <w:rsid w:val="000F29FF"/>
    <w:rsid w:val="000F2B8C"/>
    <w:rsid w:val="000F2F0E"/>
    <w:rsid w:val="000F2F8D"/>
    <w:rsid w:val="000F30F8"/>
    <w:rsid w:val="000F3314"/>
    <w:rsid w:val="000F34F1"/>
    <w:rsid w:val="000F3632"/>
    <w:rsid w:val="000F38A4"/>
    <w:rsid w:val="000F3BBF"/>
    <w:rsid w:val="000F3CBF"/>
    <w:rsid w:val="000F414B"/>
    <w:rsid w:val="000F44AD"/>
    <w:rsid w:val="000F485F"/>
    <w:rsid w:val="000F48FB"/>
    <w:rsid w:val="000F4B28"/>
    <w:rsid w:val="000F4F75"/>
    <w:rsid w:val="000F58BC"/>
    <w:rsid w:val="000F594C"/>
    <w:rsid w:val="000F5E36"/>
    <w:rsid w:val="000F5F7F"/>
    <w:rsid w:val="000F649F"/>
    <w:rsid w:val="000F65E1"/>
    <w:rsid w:val="000F6700"/>
    <w:rsid w:val="000F67F6"/>
    <w:rsid w:val="000F68E9"/>
    <w:rsid w:val="000F6B55"/>
    <w:rsid w:val="000F6BEE"/>
    <w:rsid w:val="000F6CFE"/>
    <w:rsid w:val="000F6F17"/>
    <w:rsid w:val="000F7206"/>
    <w:rsid w:val="000F7423"/>
    <w:rsid w:val="000F7563"/>
    <w:rsid w:val="000F7631"/>
    <w:rsid w:val="000F7661"/>
    <w:rsid w:val="000F7694"/>
    <w:rsid w:val="000F7787"/>
    <w:rsid w:val="000F77C1"/>
    <w:rsid w:val="000F7DF5"/>
    <w:rsid w:val="000F7F5B"/>
    <w:rsid w:val="001001EA"/>
    <w:rsid w:val="001002D2"/>
    <w:rsid w:val="00100358"/>
    <w:rsid w:val="00100409"/>
    <w:rsid w:val="00100582"/>
    <w:rsid w:val="00100583"/>
    <w:rsid w:val="001005D7"/>
    <w:rsid w:val="0010076D"/>
    <w:rsid w:val="001007F7"/>
    <w:rsid w:val="00100A63"/>
    <w:rsid w:val="00100E6F"/>
    <w:rsid w:val="001013EE"/>
    <w:rsid w:val="0010167C"/>
    <w:rsid w:val="0010173F"/>
    <w:rsid w:val="001017B7"/>
    <w:rsid w:val="001017E3"/>
    <w:rsid w:val="00101AD3"/>
    <w:rsid w:val="00101C69"/>
    <w:rsid w:val="00101C90"/>
    <w:rsid w:val="00101D3B"/>
    <w:rsid w:val="00101F87"/>
    <w:rsid w:val="00101FC3"/>
    <w:rsid w:val="00102135"/>
    <w:rsid w:val="001021D7"/>
    <w:rsid w:val="00102779"/>
    <w:rsid w:val="00102826"/>
    <w:rsid w:val="001028A8"/>
    <w:rsid w:val="00102AF4"/>
    <w:rsid w:val="00102AFD"/>
    <w:rsid w:val="00102B29"/>
    <w:rsid w:val="00102B6E"/>
    <w:rsid w:val="00102BE0"/>
    <w:rsid w:val="00102DCD"/>
    <w:rsid w:val="00102EFC"/>
    <w:rsid w:val="00102F44"/>
    <w:rsid w:val="00102F76"/>
    <w:rsid w:val="00102FEB"/>
    <w:rsid w:val="0010320F"/>
    <w:rsid w:val="00103339"/>
    <w:rsid w:val="001033A9"/>
    <w:rsid w:val="00103440"/>
    <w:rsid w:val="001034E3"/>
    <w:rsid w:val="0010398C"/>
    <w:rsid w:val="001039C2"/>
    <w:rsid w:val="00103B00"/>
    <w:rsid w:val="00103B5D"/>
    <w:rsid w:val="00103C7F"/>
    <w:rsid w:val="00103CBC"/>
    <w:rsid w:val="00103DFF"/>
    <w:rsid w:val="00103F1C"/>
    <w:rsid w:val="001040AD"/>
    <w:rsid w:val="0010422B"/>
    <w:rsid w:val="00104378"/>
    <w:rsid w:val="0010495F"/>
    <w:rsid w:val="00104960"/>
    <w:rsid w:val="00104C4F"/>
    <w:rsid w:val="00104CB4"/>
    <w:rsid w:val="00104D90"/>
    <w:rsid w:val="00104E39"/>
    <w:rsid w:val="00104EDD"/>
    <w:rsid w:val="0010528D"/>
    <w:rsid w:val="001053D9"/>
    <w:rsid w:val="0010567A"/>
    <w:rsid w:val="00105950"/>
    <w:rsid w:val="00105A17"/>
    <w:rsid w:val="00105AF2"/>
    <w:rsid w:val="00105B38"/>
    <w:rsid w:val="00105C56"/>
    <w:rsid w:val="001060B0"/>
    <w:rsid w:val="0010616F"/>
    <w:rsid w:val="001064A4"/>
    <w:rsid w:val="00106607"/>
    <w:rsid w:val="00106826"/>
    <w:rsid w:val="00106CB2"/>
    <w:rsid w:val="00106CEE"/>
    <w:rsid w:val="00106E4E"/>
    <w:rsid w:val="0010709B"/>
    <w:rsid w:val="00107293"/>
    <w:rsid w:val="0010739F"/>
    <w:rsid w:val="00107490"/>
    <w:rsid w:val="001074D9"/>
    <w:rsid w:val="00107630"/>
    <w:rsid w:val="0010777F"/>
    <w:rsid w:val="001077D9"/>
    <w:rsid w:val="00107B24"/>
    <w:rsid w:val="00107B32"/>
    <w:rsid w:val="00107B43"/>
    <w:rsid w:val="00107B9E"/>
    <w:rsid w:val="00107C9D"/>
    <w:rsid w:val="00107E52"/>
    <w:rsid w:val="001103B6"/>
    <w:rsid w:val="00110417"/>
    <w:rsid w:val="0011042D"/>
    <w:rsid w:val="0011066E"/>
    <w:rsid w:val="001107B6"/>
    <w:rsid w:val="001107F1"/>
    <w:rsid w:val="00110996"/>
    <w:rsid w:val="00110C5E"/>
    <w:rsid w:val="00110DC5"/>
    <w:rsid w:val="00110E3F"/>
    <w:rsid w:val="00110E61"/>
    <w:rsid w:val="00111488"/>
    <w:rsid w:val="0011178C"/>
    <w:rsid w:val="00111ABA"/>
    <w:rsid w:val="00111AE7"/>
    <w:rsid w:val="00111D29"/>
    <w:rsid w:val="00111EC2"/>
    <w:rsid w:val="001120B0"/>
    <w:rsid w:val="001121D0"/>
    <w:rsid w:val="00112386"/>
    <w:rsid w:val="0011243C"/>
    <w:rsid w:val="001124BD"/>
    <w:rsid w:val="001124E9"/>
    <w:rsid w:val="001125AB"/>
    <w:rsid w:val="001125E7"/>
    <w:rsid w:val="00112620"/>
    <w:rsid w:val="00112718"/>
    <w:rsid w:val="00112988"/>
    <w:rsid w:val="00112A42"/>
    <w:rsid w:val="00112A57"/>
    <w:rsid w:val="00112CD6"/>
    <w:rsid w:val="00112CF0"/>
    <w:rsid w:val="00112D6C"/>
    <w:rsid w:val="00112E1E"/>
    <w:rsid w:val="00113040"/>
    <w:rsid w:val="00113305"/>
    <w:rsid w:val="00113339"/>
    <w:rsid w:val="0011350A"/>
    <w:rsid w:val="001136C6"/>
    <w:rsid w:val="0011375E"/>
    <w:rsid w:val="00113C22"/>
    <w:rsid w:val="00113D98"/>
    <w:rsid w:val="0011408D"/>
    <w:rsid w:val="0011428D"/>
    <w:rsid w:val="0011430B"/>
    <w:rsid w:val="001146E5"/>
    <w:rsid w:val="001149D9"/>
    <w:rsid w:val="00114C22"/>
    <w:rsid w:val="00114C6F"/>
    <w:rsid w:val="00114D7F"/>
    <w:rsid w:val="00114D9B"/>
    <w:rsid w:val="00114DA1"/>
    <w:rsid w:val="00114EA0"/>
    <w:rsid w:val="00114F65"/>
    <w:rsid w:val="00114FA2"/>
    <w:rsid w:val="00115132"/>
    <w:rsid w:val="0011519F"/>
    <w:rsid w:val="00115672"/>
    <w:rsid w:val="001157AB"/>
    <w:rsid w:val="0011585E"/>
    <w:rsid w:val="00115862"/>
    <w:rsid w:val="001158C7"/>
    <w:rsid w:val="00115ADE"/>
    <w:rsid w:val="00115BDB"/>
    <w:rsid w:val="00115C9E"/>
    <w:rsid w:val="00115CE8"/>
    <w:rsid w:val="00115E44"/>
    <w:rsid w:val="00116062"/>
    <w:rsid w:val="0011636F"/>
    <w:rsid w:val="001163A1"/>
    <w:rsid w:val="00116702"/>
    <w:rsid w:val="0011699D"/>
    <w:rsid w:val="001169AC"/>
    <w:rsid w:val="00116D3E"/>
    <w:rsid w:val="00116EE4"/>
    <w:rsid w:val="0011713A"/>
    <w:rsid w:val="0011729F"/>
    <w:rsid w:val="001172BD"/>
    <w:rsid w:val="001178E4"/>
    <w:rsid w:val="00117AA2"/>
    <w:rsid w:val="00117AF2"/>
    <w:rsid w:val="00117CFD"/>
    <w:rsid w:val="0012020C"/>
    <w:rsid w:val="0012038D"/>
    <w:rsid w:val="001206AA"/>
    <w:rsid w:val="001207FC"/>
    <w:rsid w:val="00120AD9"/>
    <w:rsid w:val="00120B1E"/>
    <w:rsid w:val="00120E77"/>
    <w:rsid w:val="001211AB"/>
    <w:rsid w:val="001214BE"/>
    <w:rsid w:val="00121508"/>
    <w:rsid w:val="001218B8"/>
    <w:rsid w:val="001218C9"/>
    <w:rsid w:val="00121A72"/>
    <w:rsid w:val="00121A8C"/>
    <w:rsid w:val="00121AE8"/>
    <w:rsid w:val="00121B7F"/>
    <w:rsid w:val="00121DED"/>
    <w:rsid w:val="00121F79"/>
    <w:rsid w:val="001220B7"/>
    <w:rsid w:val="00122457"/>
    <w:rsid w:val="001226B8"/>
    <w:rsid w:val="00122774"/>
    <w:rsid w:val="0012285A"/>
    <w:rsid w:val="00122BF4"/>
    <w:rsid w:val="00122D2B"/>
    <w:rsid w:val="00122DEC"/>
    <w:rsid w:val="00122E51"/>
    <w:rsid w:val="00123325"/>
    <w:rsid w:val="001234A3"/>
    <w:rsid w:val="00123545"/>
    <w:rsid w:val="00123882"/>
    <w:rsid w:val="00123BC6"/>
    <w:rsid w:val="00123DA3"/>
    <w:rsid w:val="001240B6"/>
    <w:rsid w:val="001240D7"/>
    <w:rsid w:val="00124404"/>
    <w:rsid w:val="00124670"/>
    <w:rsid w:val="00124730"/>
    <w:rsid w:val="001247A0"/>
    <w:rsid w:val="00124826"/>
    <w:rsid w:val="0012499F"/>
    <w:rsid w:val="00124B73"/>
    <w:rsid w:val="00124CCC"/>
    <w:rsid w:val="00124ED1"/>
    <w:rsid w:val="0012542D"/>
    <w:rsid w:val="0012561A"/>
    <w:rsid w:val="00125655"/>
    <w:rsid w:val="00125806"/>
    <w:rsid w:val="00125829"/>
    <w:rsid w:val="001258EF"/>
    <w:rsid w:val="00125AB5"/>
    <w:rsid w:val="00125B33"/>
    <w:rsid w:val="00125C74"/>
    <w:rsid w:val="001260B6"/>
    <w:rsid w:val="001260E3"/>
    <w:rsid w:val="00126106"/>
    <w:rsid w:val="00126201"/>
    <w:rsid w:val="00126239"/>
    <w:rsid w:val="0012627B"/>
    <w:rsid w:val="00126653"/>
    <w:rsid w:val="001266EE"/>
    <w:rsid w:val="001267D2"/>
    <w:rsid w:val="0012692E"/>
    <w:rsid w:val="0012699E"/>
    <w:rsid w:val="001269A8"/>
    <w:rsid w:val="001269D8"/>
    <w:rsid w:val="00126AD1"/>
    <w:rsid w:val="00126D70"/>
    <w:rsid w:val="00126DFA"/>
    <w:rsid w:val="00126FB4"/>
    <w:rsid w:val="00127078"/>
    <w:rsid w:val="00127251"/>
    <w:rsid w:val="001272E6"/>
    <w:rsid w:val="001275C5"/>
    <w:rsid w:val="00127687"/>
    <w:rsid w:val="00127780"/>
    <w:rsid w:val="001277C7"/>
    <w:rsid w:val="00127C8B"/>
    <w:rsid w:val="00127D27"/>
    <w:rsid w:val="00127E95"/>
    <w:rsid w:val="00130289"/>
    <w:rsid w:val="00130303"/>
    <w:rsid w:val="001307A8"/>
    <w:rsid w:val="00130D24"/>
    <w:rsid w:val="00130DCA"/>
    <w:rsid w:val="001312AF"/>
    <w:rsid w:val="001312CB"/>
    <w:rsid w:val="00131727"/>
    <w:rsid w:val="00131913"/>
    <w:rsid w:val="001319CF"/>
    <w:rsid w:val="00131A29"/>
    <w:rsid w:val="00131BAD"/>
    <w:rsid w:val="00131D5F"/>
    <w:rsid w:val="001322D2"/>
    <w:rsid w:val="00132379"/>
    <w:rsid w:val="00132503"/>
    <w:rsid w:val="00132E0B"/>
    <w:rsid w:val="00132E6C"/>
    <w:rsid w:val="00132FFF"/>
    <w:rsid w:val="00133232"/>
    <w:rsid w:val="001333F9"/>
    <w:rsid w:val="00133515"/>
    <w:rsid w:val="0013355A"/>
    <w:rsid w:val="001336E1"/>
    <w:rsid w:val="00133C48"/>
    <w:rsid w:val="00133C81"/>
    <w:rsid w:val="00133DFA"/>
    <w:rsid w:val="00133F08"/>
    <w:rsid w:val="00134146"/>
    <w:rsid w:val="00134222"/>
    <w:rsid w:val="001346A2"/>
    <w:rsid w:val="0013474C"/>
    <w:rsid w:val="001347D3"/>
    <w:rsid w:val="00134847"/>
    <w:rsid w:val="0013497E"/>
    <w:rsid w:val="00134BDC"/>
    <w:rsid w:val="00134F3B"/>
    <w:rsid w:val="00134FA3"/>
    <w:rsid w:val="00135080"/>
    <w:rsid w:val="0013515E"/>
    <w:rsid w:val="001351C6"/>
    <w:rsid w:val="00135226"/>
    <w:rsid w:val="001356C7"/>
    <w:rsid w:val="001356F4"/>
    <w:rsid w:val="00135F2C"/>
    <w:rsid w:val="0013601E"/>
    <w:rsid w:val="0013618D"/>
    <w:rsid w:val="001361B4"/>
    <w:rsid w:val="001361D9"/>
    <w:rsid w:val="0013623B"/>
    <w:rsid w:val="00136265"/>
    <w:rsid w:val="001363A1"/>
    <w:rsid w:val="00136497"/>
    <w:rsid w:val="001369BF"/>
    <w:rsid w:val="00136F29"/>
    <w:rsid w:val="00136F6F"/>
    <w:rsid w:val="00136FA6"/>
    <w:rsid w:val="00137051"/>
    <w:rsid w:val="001374F5"/>
    <w:rsid w:val="00137D90"/>
    <w:rsid w:val="00140023"/>
    <w:rsid w:val="00140147"/>
    <w:rsid w:val="00140509"/>
    <w:rsid w:val="00140884"/>
    <w:rsid w:val="00140B56"/>
    <w:rsid w:val="00140BFC"/>
    <w:rsid w:val="00140D09"/>
    <w:rsid w:val="00141096"/>
    <w:rsid w:val="001412A8"/>
    <w:rsid w:val="001414E0"/>
    <w:rsid w:val="0014186F"/>
    <w:rsid w:val="00141B83"/>
    <w:rsid w:val="00141BD1"/>
    <w:rsid w:val="00141C77"/>
    <w:rsid w:val="001423B0"/>
    <w:rsid w:val="001423D7"/>
    <w:rsid w:val="00142B21"/>
    <w:rsid w:val="00142B86"/>
    <w:rsid w:val="00142F67"/>
    <w:rsid w:val="00143228"/>
    <w:rsid w:val="0014334F"/>
    <w:rsid w:val="00143869"/>
    <w:rsid w:val="001438E0"/>
    <w:rsid w:val="00143A06"/>
    <w:rsid w:val="00143B25"/>
    <w:rsid w:val="00143D52"/>
    <w:rsid w:val="00143F85"/>
    <w:rsid w:val="00144162"/>
    <w:rsid w:val="001441DA"/>
    <w:rsid w:val="001442D6"/>
    <w:rsid w:val="00144504"/>
    <w:rsid w:val="00144A22"/>
    <w:rsid w:val="00144A47"/>
    <w:rsid w:val="00144A92"/>
    <w:rsid w:val="00144C8A"/>
    <w:rsid w:val="00144DBD"/>
    <w:rsid w:val="001455A6"/>
    <w:rsid w:val="001455CC"/>
    <w:rsid w:val="00145604"/>
    <w:rsid w:val="00145DEC"/>
    <w:rsid w:val="00146028"/>
    <w:rsid w:val="0014616B"/>
    <w:rsid w:val="00146256"/>
    <w:rsid w:val="00146385"/>
    <w:rsid w:val="001465D6"/>
    <w:rsid w:val="00146A13"/>
    <w:rsid w:val="00146A97"/>
    <w:rsid w:val="00146B99"/>
    <w:rsid w:val="00147115"/>
    <w:rsid w:val="001471DD"/>
    <w:rsid w:val="0014740D"/>
    <w:rsid w:val="00147461"/>
    <w:rsid w:val="001474B9"/>
    <w:rsid w:val="001477CE"/>
    <w:rsid w:val="0014784F"/>
    <w:rsid w:val="001478AD"/>
    <w:rsid w:val="00147BCC"/>
    <w:rsid w:val="00147D64"/>
    <w:rsid w:val="00147F4D"/>
    <w:rsid w:val="00147F6F"/>
    <w:rsid w:val="0015040C"/>
    <w:rsid w:val="001504CE"/>
    <w:rsid w:val="001505FD"/>
    <w:rsid w:val="00150B4A"/>
    <w:rsid w:val="00150B89"/>
    <w:rsid w:val="00150C35"/>
    <w:rsid w:val="00150DA1"/>
    <w:rsid w:val="00150E42"/>
    <w:rsid w:val="00150ECB"/>
    <w:rsid w:val="00150ECE"/>
    <w:rsid w:val="0015100C"/>
    <w:rsid w:val="001512CC"/>
    <w:rsid w:val="00151316"/>
    <w:rsid w:val="001515F0"/>
    <w:rsid w:val="0015167D"/>
    <w:rsid w:val="001517E0"/>
    <w:rsid w:val="001519C7"/>
    <w:rsid w:val="00151AEA"/>
    <w:rsid w:val="00151AEB"/>
    <w:rsid w:val="00151DFB"/>
    <w:rsid w:val="00152123"/>
    <w:rsid w:val="00152162"/>
    <w:rsid w:val="00152218"/>
    <w:rsid w:val="0015233A"/>
    <w:rsid w:val="00152401"/>
    <w:rsid w:val="00152436"/>
    <w:rsid w:val="00152611"/>
    <w:rsid w:val="001527A2"/>
    <w:rsid w:val="00152807"/>
    <w:rsid w:val="00152BE0"/>
    <w:rsid w:val="00152C3D"/>
    <w:rsid w:val="00152DCF"/>
    <w:rsid w:val="00152E51"/>
    <w:rsid w:val="00152ED6"/>
    <w:rsid w:val="00152FED"/>
    <w:rsid w:val="001532FF"/>
    <w:rsid w:val="0015352D"/>
    <w:rsid w:val="00153AA7"/>
    <w:rsid w:val="00153CA7"/>
    <w:rsid w:val="00153D48"/>
    <w:rsid w:val="00153E6E"/>
    <w:rsid w:val="00154661"/>
    <w:rsid w:val="0015469B"/>
    <w:rsid w:val="0015484C"/>
    <w:rsid w:val="0015496F"/>
    <w:rsid w:val="00154A35"/>
    <w:rsid w:val="00154A9A"/>
    <w:rsid w:val="00154B18"/>
    <w:rsid w:val="001550A3"/>
    <w:rsid w:val="0015510B"/>
    <w:rsid w:val="0015533F"/>
    <w:rsid w:val="00155469"/>
    <w:rsid w:val="00155662"/>
    <w:rsid w:val="00155746"/>
    <w:rsid w:val="00155868"/>
    <w:rsid w:val="001558A1"/>
    <w:rsid w:val="001559D6"/>
    <w:rsid w:val="00155A2C"/>
    <w:rsid w:val="00155EAF"/>
    <w:rsid w:val="00155F29"/>
    <w:rsid w:val="00156419"/>
    <w:rsid w:val="001567D8"/>
    <w:rsid w:val="0015686A"/>
    <w:rsid w:val="00156C19"/>
    <w:rsid w:val="00156C80"/>
    <w:rsid w:val="0015742B"/>
    <w:rsid w:val="0015746A"/>
    <w:rsid w:val="001574A7"/>
    <w:rsid w:val="0015776C"/>
    <w:rsid w:val="001579DC"/>
    <w:rsid w:val="00157AD5"/>
    <w:rsid w:val="00157BA5"/>
    <w:rsid w:val="00157CEB"/>
    <w:rsid w:val="00157F02"/>
    <w:rsid w:val="00160015"/>
    <w:rsid w:val="00160229"/>
    <w:rsid w:val="00160346"/>
    <w:rsid w:val="001604D5"/>
    <w:rsid w:val="001605EB"/>
    <w:rsid w:val="00160701"/>
    <w:rsid w:val="00160808"/>
    <w:rsid w:val="00160877"/>
    <w:rsid w:val="00160EA4"/>
    <w:rsid w:val="0016106E"/>
    <w:rsid w:val="0016108C"/>
    <w:rsid w:val="001610AC"/>
    <w:rsid w:val="00161391"/>
    <w:rsid w:val="00161616"/>
    <w:rsid w:val="00161CE1"/>
    <w:rsid w:val="00161DCE"/>
    <w:rsid w:val="001620CB"/>
    <w:rsid w:val="001625EC"/>
    <w:rsid w:val="00162780"/>
    <w:rsid w:val="00162999"/>
    <w:rsid w:val="00162C12"/>
    <w:rsid w:val="00162F75"/>
    <w:rsid w:val="001636FE"/>
    <w:rsid w:val="00163917"/>
    <w:rsid w:val="00163983"/>
    <w:rsid w:val="00163DF4"/>
    <w:rsid w:val="00163E32"/>
    <w:rsid w:val="00163E35"/>
    <w:rsid w:val="00164202"/>
    <w:rsid w:val="001647E5"/>
    <w:rsid w:val="00164A46"/>
    <w:rsid w:val="00164B0D"/>
    <w:rsid w:val="00164B4B"/>
    <w:rsid w:val="00164D37"/>
    <w:rsid w:val="00164ECE"/>
    <w:rsid w:val="00164F2C"/>
    <w:rsid w:val="001652C2"/>
    <w:rsid w:val="0016534B"/>
    <w:rsid w:val="001654B0"/>
    <w:rsid w:val="001657CF"/>
    <w:rsid w:val="00165907"/>
    <w:rsid w:val="00165C59"/>
    <w:rsid w:val="00165CF9"/>
    <w:rsid w:val="00165DC0"/>
    <w:rsid w:val="00165F12"/>
    <w:rsid w:val="00165FF0"/>
    <w:rsid w:val="00166098"/>
    <w:rsid w:val="001660AA"/>
    <w:rsid w:val="00166322"/>
    <w:rsid w:val="00166588"/>
    <w:rsid w:val="0016665D"/>
    <w:rsid w:val="0016688E"/>
    <w:rsid w:val="0016689D"/>
    <w:rsid w:val="001668F8"/>
    <w:rsid w:val="00166BE5"/>
    <w:rsid w:val="00166E24"/>
    <w:rsid w:val="00166F83"/>
    <w:rsid w:val="00167169"/>
    <w:rsid w:val="0016723A"/>
    <w:rsid w:val="001672D1"/>
    <w:rsid w:val="00167335"/>
    <w:rsid w:val="001674FA"/>
    <w:rsid w:val="00167642"/>
    <w:rsid w:val="00167806"/>
    <w:rsid w:val="0016782C"/>
    <w:rsid w:val="00167950"/>
    <w:rsid w:val="00167AA3"/>
    <w:rsid w:val="00167B84"/>
    <w:rsid w:val="00167BA6"/>
    <w:rsid w:val="00167C2E"/>
    <w:rsid w:val="00167CDF"/>
    <w:rsid w:val="00170029"/>
    <w:rsid w:val="00170100"/>
    <w:rsid w:val="001702C0"/>
    <w:rsid w:val="0017034B"/>
    <w:rsid w:val="001704CF"/>
    <w:rsid w:val="00170822"/>
    <w:rsid w:val="00170CD0"/>
    <w:rsid w:val="00170DC9"/>
    <w:rsid w:val="00171164"/>
    <w:rsid w:val="00171335"/>
    <w:rsid w:val="00171405"/>
    <w:rsid w:val="0017181D"/>
    <w:rsid w:val="0017193A"/>
    <w:rsid w:val="00171A05"/>
    <w:rsid w:val="00171B3C"/>
    <w:rsid w:val="00171BE3"/>
    <w:rsid w:val="00171D48"/>
    <w:rsid w:val="00172042"/>
    <w:rsid w:val="0017220F"/>
    <w:rsid w:val="00172216"/>
    <w:rsid w:val="00172529"/>
    <w:rsid w:val="001725BB"/>
    <w:rsid w:val="0017282A"/>
    <w:rsid w:val="00172D9B"/>
    <w:rsid w:val="00172E17"/>
    <w:rsid w:val="00172E28"/>
    <w:rsid w:val="00172EC4"/>
    <w:rsid w:val="00172F3A"/>
    <w:rsid w:val="00172F7E"/>
    <w:rsid w:val="001730A3"/>
    <w:rsid w:val="001730D5"/>
    <w:rsid w:val="001730FD"/>
    <w:rsid w:val="0017311D"/>
    <w:rsid w:val="001735B1"/>
    <w:rsid w:val="001735DE"/>
    <w:rsid w:val="00173798"/>
    <w:rsid w:val="00173BE6"/>
    <w:rsid w:val="00173DA5"/>
    <w:rsid w:val="00173E72"/>
    <w:rsid w:val="00173E9E"/>
    <w:rsid w:val="001744C6"/>
    <w:rsid w:val="00174712"/>
    <w:rsid w:val="00174762"/>
    <w:rsid w:val="00175209"/>
    <w:rsid w:val="0017572D"/>
    <w:rsid w:val="00175AA2"/>
    <w:rsid w:val="00175ACB"/>
    <w:rsid w:val="00175C98"/>
    <w:rsid w:val="00175F9B"/>
    <w:rsid w:val="001760FF"/>
    <w:rsid w:val="001762C5"/>
    <w:rsid w:val="0017645D"/>
    <w:rsid w:val="00176703"/>
    <w:rsid w:val="00176738"/>
    <w:rsid w:val="00176A26"/>
    <w:rsid w:val="00176A44"/>
    <w:rsid w:val="00176E42"/>
    <w:rsid w:val="00176E9A"/>
    <w:rsid w:val="00176F37"/>
    <w:rsid w:val="001775AD"/>
    <w:rsid w:val="0017771D"/>
    <w:rsid w:val="001777D5"/>
    <w:rsid w:val="001777E9"/>
    <w:rsid w:val="001778D0"/>
    <w:rsid w:val="00177B6B"/>
    <w:rsid w:val="00177D12"/>
    <w:rsid w:val="00177EE5"/>
    <w:rsid w:val="00177FA2"/>
    <w:rsid w:val="00180001"/>
    <w:rsid w:val="001800DE"/>
    <w:rsid w:val="001803A5"/>
    <w:rsid w:val="001807C0"/>
    <w:rsid w:val="00180935"/>
    <w:rsid w:val="00180A23"/>
    <w:rsid w:val="00180B76"/>
    <w:rsid w:val="00180BE8"/>
    <w:rsid w:val="00180C84"/>
    <w:rsid w:val="00180FF9"/>
    <w:rsid w:val="00181080"/>
    <w:rsid w:val="001811DE"/>
    <w:rsid w:val="001815E5"/>
    <w:rsid w:val="001817B6"/>
    <w:rsid w:val="001818CC"/>
    <w:rsid w:val="00181B43"/>
    <w:rsid w:val="0018217F"/>
    <w:rsid w:val="001821E3"/>
    <w:rsid w:val="00182270"/>
    <w:rsid w:val="00182487"/>
    <w:rsid w:val="001826CB"/>
    <w:rsid w:val="001827AC"/>
    <w:rsid w:val="00182899"/>
    <w:rsid w:val="00182916"/>
    <w:rsid w:val="00182B3A"/>
    <w:rsid w:val="00182CBE"/>
    <w:rsid w:val="00183092"/>
    <w:rsid w:val="001831E8"/>
    <w:rsid w:val="001832B0"/>
    <w:rsid w:val="0018349C"/>
    <w:rsid w:val="00183562"/>
    <w:rsid w:val="00183649"/>
    <w:rsid w:val="00183970"/>
    <w:rsid w:val="00183C19"/>
    <w:rsid w:val="001843C4"/>
    <w:rsid w:val="00184519"/>
    <w:rsid w:val="001845F7"/>
    <w:rsid w:val="00184986"/>
    <w:rsid w:val="00184A74"/>
    <w:rsid w:val="00184A83"/>
    <w:rsid w:val="00184DA4"/>
    <w:rsid w:val="00184F1F"/>
    <w:rsid w:val="00185037"/>
    <w:rsid w:val="0018537D"/>
    <w:rsid w:val="001853A5"/>
    <w:rsid w:val="00185A8A"/>
    <w:rsid w:val="00185DB7"/>
    <w:rsid w:val="001862DA"/>
    <w:rsid w:val="00186329"/>
    <w:rsid w:val="0018633D"/>
    <w:rsid w:val="001866C7"/>
    <w:rsid w:val="001866D1"/>
    <w:rsid w:val="001868A3"/>
    <w:rsid w:val="00186A8A"/>
    <w:rsid w:val="00186C77"/>
    <w:rsid w:val="00186EB8"/>
    <w:rsid w:val="00187145"/>
    <w:rsid w:val="001874F4"/>
    <w:rsid w:val="00187613"/>
    <w:rsid w:val="001879DC"/>
    <w:rsid w:val="00187DA4"/>
    <w:rsid w:val="00187ED3"/>
    <w:rsid w:val="00187F7D"/>
    <w:rsid w:val="00190404"/>
    <w:rsid w:val="001904D5"/>
    <w:rsid w:val="00190628"/>
    <w:rsid w:val="00190F04"/>
    <w:rsid w:val="00190FEA"/>
    <w:rsid w:val="00191006"/>
    <w:rsid w:val="0019104D"/>
    <w:rsid w:val="00191778"/>
    <w:rsid w:val="00191A77"/>
    <w:rsid w:val="00191B9F"/>
    <w:rsid w:val="00191DB3"/>
    <w:rsid w:val="00191FD5"/>
    <w:rsid w:val="00191FDB"/>
    <w:rsid w:val="00192214"/>
    <w:rsid w:val="001923ED"/>
    <w:rsid w:val="00192887"/>
    <w:rsid w:val="001928D9"/>
    <w:rsid w:val="00192A97"/>
    <w:rsid w:val="00192B90"/>
    <w:rsid w:val="00192BFE"/>
    <w:rsid w:val="00192CEE"/>
    <w:rsid w:val="00192D0D"/>
    <w:rsid w:val="00193260"/>
    <w:rsid w:val="00193266"/>
    <w:rsid w:val="0019339B"/>
    <w:rsid w:val="0019374B"/>
    <w:rsid w:val="00193A90"/>
    <w:rsid w:val="00193B10"/>
    <w:rsid w:val="00193EE3"/>
    <w:rsid w:val="00194098"/>
    <w:rsid w:val="0019483E"/>
    <w:rsid w:val="00194995"/>
    <w:rsid w:val="00194FCC"/>
    <w:rsid w:val="00195414"/>
    <w:rsid w:val="00195476"/>
    <w:rsid w:val="00195CD2"/>
    <w:rsid w:val="00195EC4"/>
    <w:rsid w:val="00196167"/>
    <w:rsid w:val="0019620C"/>
    <w:rsid w:val="00196526"/>
    <w:rsid w:val="00196594"/>
    <w:rsid w:val="00196963"/>
    <w:rsid w:val="00196A7D"/>
    <w:rsid w:val="00196AE2"/>
    <w:rsid w:val="00196B93"/>
    <w:rsid w:val="00196BA3"/>
    <w:rsid w:val="00196CD8"/>
    <w:rsid w:val="00196E86"/>
    <w:rsid w:val="00196F0A"/>
    <w:rsid w:val="00197004"/>
    <w:rsid w:val="001970F9"/>
    <w:rsid w:val="00197350"/>
    <w:rsid w:val="00197BC3"/>
    <w:rsid w:val="00197D85"/>
    <w:rsid w:val="00197DCD"/>
    <w:rsid w:val="00197DEA"/>
    <w:rsid w:val="001A00A1"/>
    <w:rsid w:val="001A033E"/>
    <w:rsid w:val="001A03D1"/>
    <w:rsid w:val="001A06A6"/>
    <w:rsid w:val="001A0968"/>
    <w:rsid w:val="001A0F0C"/>
    <w:rsid w:val="001A12FC"/>
    <w:rsid w:val="001A1368"/>
    <w:rsid w:val="001A1395"/>
    <w:rsid w:val="001A1720"/>
    <w:rsid w:val="001A18FB"/>
    <w:rsid w:val="001A192B"/>
    <w:rsid w:val="001A1F96"/>
    <w:rsid w:val="001A2100"/>
    <w:rsid w:val="001A2109"/>
    <w:rsid w:val="001A23AE"/>
    <w:rsid w:val="001A2466"/>
    <w:rsid w:val="001A267A"/>
    <w:rsid w:val="001A26F5"/>
    <w:rsid w:val="001A27E6"/>
    <w:rsid w:val="001A2DDC"/>
    <w:rsid w:val="001A2F36"/>
    <w:rsid w:val="001A2F8A"/>
    <w:rsid w:val="001A3229"/>
    <w:rsid w:val="001A341E"/>
    <w:rsid w:val="001A36B9"/>
    <w:rsid w:val="001A372B"/>
    <w:rsid w:val="001A3771"/>
    <w:rsid w:val="001A3860"/>
    <w:rsid w:val="001A3991"/>
    <w:rsid w:val="001A3BF9"/>
    <w:rsid w:val="001A3CBB"/>
    <w:rsid w:val="001A3DAA"/>
    <w:rsid w:val="001A406F"/>
    <w:rsid w:val="001A4336"/>
    <w:rsid w:val="001A438B"/>
    <w:rsid w:val="001A4780"/>
    <w:rsid w:val="001A49C2"/>
    <w:rsid w:val="001A49D3"/>
    <w:rsid w:val="001A4A85"/>
    <w:rsid w:val="001A4CB3"/>
    <w:rsid w:val="001A4CCB"/>
    <w:rsid w:val="001A4EB6"/>
    <w:rsid w:val="001A5419"/>
    <w:rsid w:val="001A551D"/>
    <w:rsid w:val="001A5705"/>
    <w:rsid w:val="001A585E"/>
    <w:rsid w:val="001A592C"/>
    <w:rsid w:val="001A5C8E"/>
    <w:rsid w:val="001A5D64"/>
    <w:rsid w:val="001A5E2B"/>
    <w:rsid w:val="001A620B"/>
    <w:rsid w:val="001A63F2"/>
    <w:rsid w:val="001A6496"/>
    <w:rsid w:val="001A6575"/>
    <w:rsid w:val="001A6A59"/>
    <w:rsid w:val="001A6E6B"/>
    <w:rsid w:val="001A6F1C"/>
    <w:rsid w:val="001A7031"/>
    <w:rsid w:val="001A7344"/>
    <w:rsid w:val="001A7346"/>
    <w:rsid w:val="001A7386"/>
    <w:rsid w:val="001A751B"/>
    <w:rsid w:val="001A7591"/>
    <w:rsid w:val="001A76BC"/>
    <w:rsid w:val="001A77B6"/>
    <w:rsid w:val="001A7971"/>
    <w:rsid w:val="001A7B28"/>
    <w:rsid w:val="001A7BFE"/>
    <w:rsid w:val="001A7CA5"/>
    <w:rsid w:val="001A7E01"/>
    <w:rsid w:val="001A7E31"/>
    <w:rsid w:val="001A7FFD"/>
    <w:rsid w:val="001B0110"/>
    <w:rsid w:val="001B03A6"/>
    <w:rsid w:val="001B0511"/>
    <w:rsid w:val="001B0791"/>
    <w:rsid w:val="001B090D"/>
    <w:rsid w:val="001B09E3"/>
    <w:rsid w:val="001B0AC4"/>
    <w:rsid w:val="001B0C0A"/>
    <w:rsid w:val="001B0F33"/>
    <w:rsid w:val="001B105E"/>
    <w:rsid w:val="001B10FE"/>
    <w:rsid w:val="001B11A3"/>
    <w:rsid w:val="001B1324"/>
    <w:rsid w:val="001B1729"/>
    <w:rsid w:val="001B17F8"/>
    <w:rsid w:val="001B1818"/>
    <w:rsid w:val="001B1938"/>
    <w:rsid w:val="001B1FAD"/>
    <w:rsid w:val="001B21F8"/>
    <w:rsid w:val="001B22BB"/>
    <w:rsid w:val="001B25E0"/>
    <w:rsid w:val="001B28AB"/>
    <w:rsid w:val="001B29EC"/>
    <w:rsid w:val="001B29FA"/>
    <w:rsid w:val="001B2C1F"/>
    <w:rsid w:val="001B2D4B"/>
    <w:rsid w:val="001B2E19"/>
    <w:rsid w:val="001B3048"/>
    <w:rsid w:val="001B3064"/>
    <w:rsid w:val="001B3957"/>
    <w:rsid w:val="001B3961"/>
    <w:rsid w:val="001B3B1B"/>
    <w:rsid w:val="001B3B45"/>
    <w:rsid w:val="001B3DBE"/>
    <w:rsid w:val="001B3E83"/>
    <w:rsid w:val="001B40CB"/>
    <w:rsid w:val="001B40E7"/>
    <w:rsid w:val="001B42E4"/>
    <w:rsid w:val="001B436F"/>
    <w:rsid w:val="001B4BCE"/>
    <w:rsid w:val="001B4E90"/>
    <w:rsid w:val="001B4E94"/>
    <w:rsid w:val="001B514C"/>
    <w:rsid w:val="001B5291"/>
    <w:rsid w:val="001B563F"/>
    <w:rsid w:val="001B571B"/>
    <w:rsid w:val="001B582D"/>
    <w:rsid w:val="001B588E"/>
    <w:rsid w:val="001B5890"/>
    <w:rsid w:val="001B59A9"/>
    <w:rsid w:val="001B5C8D"/>
    <w:rsid w:val="001B5D3A"/>
    <w:rsid w:val="001B5D41"/>
    <w:rsid w:val="001B5EB0"/>
    <w:rsid w:val="001B62A4"/>
    <w:rsid w:val="001B631D"/>
    <w:rsid w:val="001B63EB"/>
    <w:rsid w:val="001B6421"/>
    <w:rsid w:val="001B643B"/>
    <w:rsid w:val="001B65F7"/>
    <w:rsid w:val="001B691A"/>
    <w:rsid w:val="001B696E"/>
    <w:rsid w:val="001B69BE"/>
    <w:rsid w:val="001B6A56"/>
    <w:rsid w:val="001B6BBC"/>
    <w:rsid w:val="001B6C5C"/>
    <w:rsid w:val="001B7191"/>
    <w:rsid w:val="001B71B2"/>
    <w:rsid w:val="001B71B9"/>
    <w:rsid w:val="001B7243"/>
    <w:rsid w:val="001B76A8"/>
    <w:rsid w:val="001B771D"/>
    <w:rsid w:val="001B780D"/>
    <w:rsid w:val="001B782D"/>
    <w:rsid w:val="001B7DC0"/>
    <w:rsid w:val="001C00F2"/>
    <w:rsid w:val="001C0545"/>
    <w:rsid w:val="001C05BE"/>
    <w:rsid w:val="001C0738"/>
    <w:rsid w:val="001C0746"/>
    <w:rsid w:val="001C0903"/>
    <w:rsid w:val="001C0963"/>
    <w:rsid w:val="001C097F"/>
    <w:rsid w:val="001C09D9"/>
    <w:rsid w:val="001C0E9B"/>
    <w:rsid w:val="001C10B9"/>
    <w:rsid w:val="001C10DA"/>
    <w:rsid w:val="001C1121"/>
    <w:rsid w:val="001C116E"/>
    <w:rsid w:val="001C11AB"/>
    <w:rsid w:val="001C14EA"/>
    <w:rsid w:val="001C15C5"/>
    <w:rsid w:val="001C15CB"/>
    <w:rsid w:val="001C1957"/>
    <w:rsid w:val="001C19F4"/>
    <w:rsid w:val="001C1A14"/>
    <w:rsid w:val="001C1AC5"/>
    <w:rsid w:val="001C1C69"/>
    <w:rsid w:val="001C1DE7"/>
    <w:rsid w:val="001C1E69"/>
    <w:rsid w:val="001C1FC6"/>
    <w:rsid w:val="001C202D"/>
    <w:rsid w:val="001C21A2"/>
    <w:rsid w:val="001C22BD"/>
    <w:rsid w:val="001C22F8"/>
    <w:rsid w:val="001C23C3"/>
    <w:rsid w:val="001C24B2"/>
    <w:rsid w:val="001C24B7"/>
    <w:rsid w:val="001C24F4"/>
    <w:rsid w:val="001C27F9"/>
    <w:rsid w:val="001C299F"/>
    <w:rsid w:val="001C2A03"/>
    <w:rsid w:val="001C2BC6"/>
    <w:rsid w:val="001C2E05"/>
    <w:rsid w:val="001C30D2"/>
    <w:rsid w:val="001C397B"/>
    <w:rsid w:val="001C39E8"/>
    <w:rsid w:val="001C3A22"/>
    <w:rsid w:val="001C3BC6"/>
    <w:rsid w:val="001C3C62"/>
    <w:rsid w:val="001C3CAF"/>
    <w:rsid w:val="001C3CD8"/>
    <w:rsid w:val="001C3D31"/>
    <w:rsid w:val="001C3F63"/>
    <w:rsid w:val="001C40C1"/>
    <w:rsid w:val="001C43EA"/>
    <w:rsid w:val="001C44E0"/>
    <w:rsid w:val="001C4553"/>
    <w:rsid w:val="001C4619"/>
    <w:rsid w:val="001C4623"/>
    <w:rsid w:val="001C4632"/>
    <w:rsid w:val="001C469B"/>
    <w:rsid w:val="001C4A0B"/>
    <w:rsid w:val="001C4A0D"/>
    <w:rsid w:val="001C4AE2"/>
    <w:rsid w:val="001C4B75"/>
    <w:rsid w:val="001C4BC0"/>
    <w:rsid w:val="001C4C45"/>
    <w:rsid w:val="001C4C8C"/>
    <w:rsid w:val="001C4DA4"/>
    <w:rsid w:val="001C4EAF"/>
    <w:rsid w:val="001C504B"/>
    <w:rsid w:val="001C51E0"/>
    <w:rsid w:val="001C532B"/>
    <w:rsid w:val="001C54F5"/>
    <w:rsid w:val="001C559E"/>
    <w:rsid w:val="001C55F6"/>
    <w:rsid w:val="001C56D3"/>
    <w:rsid w:val="001C57FB"/>
    <w:rsid w:val="001C58F6"/>
    <w:rsid w:val="001C5D2D"/>
    <w:rsid w:val="001C5D8B"/>
    <w:rsid w:val="001C5F04"/>
    <w:rsid w:val="001C6086"/>
    <w:rsid w:val="001C6252"/>
    <w:rsid w:val="001C62B4"/>
    <w:rsid w:val="001C6311"/>
    <w:rsid w:val="001C644C"/>
    <w:rsid w:val="001C6504"/>
    <w:rsid w:val="001C6726"/>
    <w:rsid w:val="001C6758"/>
    <w:rsid w:val="001C681D"/>
    <w:rsid w:val="001C69B9"/>
    <w:rsid w:val="001C6A71"/>
    <w:rsid w:val="001C6BFC"/>
    <w:rsid w:val="001C6D90"/>
    <w:rsid w:val="001C6ED0"/>
    <w:rsid w:val="001C7118"/>
    <w:rsid w:val="001C71AA"/>
    <w:rsid w:val="001C73F8"/>
    <w:rsid w:val="001C75AB"/>
    <w:rsid w:val="001C75B2"/>
    <w:rsid w:val="001C767B"/>
    <w:rsid w:val="001C776C"/>
    <w:rsid w:val="001C77E1"/>
    <w:rsid w:val="001C79DA"/>
    <w:rsid w:val="001C7ABB"/>
    <w:rsid w:val="001C7C85"/>
    <w:rsid w:val="001C7C88"/>
    <w:rsid w:val="001C7D81"/>
    <w:rsid w:val="001C7F9B"/>
    <w:rsid w:val="001C7FDF"/>
    <w:rsid w:val="001D093D"/>
    <w:rsid w:val="001D0EA8"/>
    <w:rsid w:val="001D0ED1"/>
    <w:rsid w:val="001D112B"/>
    <w:rsid w:val="001D11B3"/>
    <w:rsid w:val="001D14C7"/>
    <w:rsid w:val="001D1738"/>
    <w:rsid w:val="001D1854"/>
    <w:rsid w:val="001D19A8"/>
    <w:rsid w:val="001D1A73"/>
    <w:rsid w:val="001D240E"/>
    <w:rsid w:val="001D2551"/>
    <w:rsid w:val="001D26ED"/>
    <w:rsid w:val="001D28B3"/>
    <w:rsid w:val="001D2B7D"/>
    <w:rsid w:val="001D2D33"/>
    <w:rsid w:val="001D33AD"/>
    <w:rsid w:val="001D347B"/>
    <w:rsid w:val="001D39F2"/>
    <w:rsid w:val="001D3D79"/>
    <w:rsid w:val="001D3E4C"/>
    <w:rsid w:val="001D3E57"/>
    <w:rsid w:val="001D427C"/>
    <w:rsid w:val="001D4A60"/>
    <w:rsid w:val="001D4C96"/>
    <w:rsid w:val="001D4DE3"/>
    <w:rsid w:val="001D4DFC"/>
    <w:rsid w:val="001D4E4E"/>
    <w:rsid w:val="001D4F63"/>
    <w:rsid w:val="001D5257"/>
    <w:rsid w:val="001D5280"/>
    <w:rsid w:val="001D5350"/>
    <w:rsid w:val="001D535B"/>
    <w:rsid w:val="001D53F7"/>
    <w:rsid w:val="001D56F0"/>
    <w:rsid w:val="001D579C"/>
    <w:rsid w:val="001D5963"/>
    <w:rsid w:val="001D5CAD"/>
    <w:rsid w:val="001D5D71"/>
    <w:rsid w:val="001D5DBE"/>
    <w:rsid w:val="001D62F5"/>
    <w:rsid w:val="001D638B"/>
    <w:rsid w:val="001D6488"/>
    <w:rsid w:val="001D6500"/>
    <w:rsid w:val="001D654F"/>
    <w:rsid w:val="001D6672"/>
    <w:rsid w:val="001D66A1"/>
    <w:rsid w:val="001D686B"/>
    <w:rsid w:val="001D687E"/>
    <w:rsid w:val="001D6986"/>
    <w:rsid w:val="001D6CCE"/>
    <w:rsid w:val="001D6DFA"/>
    <w:rsid w:val="001D7159"/>
    <w:rsid w:val="001D73A0"/>
    <w:rsid w:val="001D7552"/>
    <w:rsid w:val="001D7743"/>
    <w:rsid w:val="001D7764"/>
    <w:rsid w:val="001D7786"/>
    <w:rsid w:val="001D7798"/>
    <w:rsid w:val="001D79CD"/>
    <w:rsid w:val="001D79EF"/>
    <w:rsid w:val="001E0008"/>
    <w:rsid w:val="001E004B"/>
    <w:rsid w:val="001E0225"/>
    <w:rsid w:val="001E02AA"/>
    <w:rsid w:val="001E0304"/>
    <w:rsid w:val="001E0741"/>
    <w:rsid w:val="001E0916"/>
    <w:rsid w:val="001E09CC"/>
    <w:rsid w:val="001E0E6D"/>
    <w:rsid w:val="001E0F95"/>
    <w:rsid w:val="001E1116"/>
    <w:rsid w:val="001E14CA"/>
    <w:rsid w:val="001E17C8"/>
    <w:rsid w:val="001E1901"/>
    <w:rsid w:val="001E19D3"/>
    <w:rsid w:val="001E1F97"/>
    <w:rsid w:val="001E2058"/>
    <w:rsid w:val="001E2340"/>
    <w:rsid w:val="001E23D1"/>
    <w:rsid w:val="001E2428"/>
    <w:rsid w:val="001E252F"/>
    <w:rsid w:val="001E26BD"/>
    <w:rsid w:val="001E2908"/>
    <w:rsid w:val="001E2A8E"/>
    <w:rsid w:val="001E2E3E"/>
    <w:rsid w:val="001E351B"/>
    <w:rsid w:val="001E35AA"/>
    <w:rsid w:val="001E38A8"/>
    <w:rsid w:val="001E3948"/>
    <w:rsid w:val="001E3982"/>
    <w:rsid w:val="001E3B28"/>
    <w:rsid w:val="001E40A5"/>
    <w:rsid w:val="001E41D2"/>
    <w:rsid w:val="001E4286"/>
    <w:rsid w:val="001E4481"/>
    <w:rsid w:val="001E47E7"/>
    <w:rsid w:val="001E4C10"/>
    <w:rsid w:val="001E526C"/>
    <w:rsid w:val="001E53CD"/>
    <w:rsid w:val="001E540D"/>
    <w:rsid w:val="001E542C"/>
    <w:rsid w:val="001E54F5"/>
    <w:rsid w:val="001E557C"/>
    <w:rsid w:val="001E580B"/>
    <w:rsid w:val="001E5BBB"/>
    <w:rsid w:val="001E5F64"/>
    <w:rsid w:val="001E6180"/>
    <w:rsid w:val="001E63AE"/>
    <w:rsid w:val="001E674B"/>
    <w:rsid w:val="001E68FC"/>
    <w:rsid w:val="001E69D8"/>
    <w:rsid w:val="001E6A3C"/>
    <w:rsid w:val="001E6C2D"/>
    <w:rsid w:val="001E6D8E"/>
    <w:rsid w:val="001E7136"/>
    <w:rsid w:val="001E714A"/>
    <w:rsid w:val="001E72B6"/>
    <w:rsid w:val="001E7396"/>
    <w:rsid w:val="001E7569"/>
    <w:rsid w:val="001E7CB9"/>
    <w:rsid w:val="001E7F25"/>
    <w:rsid w:val="001F0033"/>
    <w:rsid w:val="001F0766"/>
    <w:rsid w:val="001F0B80"/>
    <w:rsid w:val="001F0C39"/>
    <w:rsid w:val="001F0EE5"/>
    <w:rsid w:val="001F111D"/>
    <w:rsid w:val="001F14E4"/>
    <w:rsid w:val="001F16FB"/>
    <w:rsid w:val="001F1761"/>
    <w:rsid w:val="001F1844"/>
    <w:rsid w:val="001F1963"/>
    <w:rsid w:val="001F1A09"/>
    <w:rsid w:val="001F1BC4"/>
    <w:rsid w:val="001F1E34"/>
    <w:rsid w:val="001F2178"/>
    <w:rsid w:val="001F22CC"/>
    <w:rsid w:val="001F25E0"/>
    <w:rsid w:val="001F27FF"/>
    <w:rsid w:val="001F2A64"/>
    <w:rsid w:val="001F2A81"/>
    <w:rsid w:val="001F2AF7"/>
    <w:rsid w:val="001F2DF7"/>
    <w:rsid w:val="001F303A"/>
    <w:rsid w:val="001F3278"/>
    <w:rsid w:val="001F3952"/>
    <w:rsid w:val="001F3A23"/>
    <w:rsid w:val="001F3C5F"/>
    <w:rsid w:val="001F3CD4"/>
    <w:rsid w:val="001F3F7F"/>
    <w:rsid w:val="001F421F"/>
    <w:rsid w:val="001F43F8"/>
    <w:rsid w:val="001F4407"/>
    <w:rsid w:val="001F458A"/>
    <w:rsid w:val="001F4B1F"/>
    <w:rsid w:val="001F4BA0"/>
    <w:rsid w:val="001F4D5A"/>
    <w:rsid w:val="001F4F5A"/>
    <w:rsid w:val="001F4F74"/>
    <w:rsid w:val="001F50ED"/>
    <w:rsid w:val="001F55B0"/>
    <w:rsid w:val="001F5D8D"/>
    <w:rsid w:val="001F61FE"/>
    <w:rsid w:val="001F646F"/>
    <w:rsid w:val="001F64DB"/>
    <w:rsid w:val="001F65A1"/>
    <w:rsid w:val="001F666E"/>
    <w:rsid w:val="001F66DE"/>
    <w:rsid w:val="001F66F5"/>
    <w:rsid w:val="001F68BC"/>
    <w:rsid w:val="001F6989"/>
    <w:rsid w:val="001F6C87"/>
    <w:rsid w:val="001F6EC5"/>
    <w:rsid w:val="001F705D"/>
    <w:rsid w:val="001F71ED"/>
    <w:rsid w:val="001F7246"/>
    <w:rsid w:val="001F7461"/>
    <w:rsid w:val="001F7492"/>
    <w:rsid w:val="001F7971"/>
    <w:rsid w:val="001F7ACA"/>
    <w:rsid w:val="001F7D00"/>
    <w:rsid w:val="00200041"/>
    <w:rsid w:val="00200366"/>
    <w:rsid w:val="0020066A"/>
    <w:rsid w:val="00200807"/>
    <w:rsid w:val="0020096C"/>
    <w:rsid w:val="00200A6B"/>
    <w:rsid w:val="00200BDE"/>
    <w:rsid w:val="00200C4F"/>
    <w:rsid w:val="00200CAC"/>
    <w:rsid w:val="00200D92"/>
    <w:rsid w:val="002011FB"/>
    <w:rsid w:val="002014E7"/>
    <w:rsid w:val="00202046"/>
    <w:rsid w:val="0020209B"/>
    <w:rsid w:val="002024A8"/>
    <w:rsid w:val="002024BC"/>
    <w:rsid w:val="00202576"/>
    <w:rsid w:val="00202699"/>
    <w:rsid w:val="0020291A"/>
    <w:rsid w:val="00202966"/>
    <w:rsid w:val="00202A9E"/>
    <w:rsid w:val="00202AA8"/>
    <w:rsid w:val="00202D81"/>
    <w:rsid w:val="00202DC0"/>
    <w:rsid w:val="00202E80"/>
    <w:rsid w:val="00202EB6"/>
    <w:rsid w:val="00203003"/>
    <w:rsid w:val="00203091"/>
    <w:rsid w:val="00203A21"/>
    <w:rsid w:val="00203B02"/>
    <w:rsid w:val="00203BF5"/>
    <w:rsid w:val="00203F82"/>
    <w:rsid w:val="00204026"/>
    <w:rsid w:val="002043A7"/>
    <w:rsid w:val="0020468E"/>
    <w:rsid w:val="0020474F"/>
    <w:rsid w:val="002048BC"/>
    <w:rsid w:val="00204D9D"/>
    <w:rsid w:val="002051AC"/>
    <w:rsid w:val="002051EE"/>
    <w:rsid w:val="0020531C"/>
    <w:rsid w:val="00205483"/>
    <w:rsid w:val="00205507"/>
    <w:rsid w:val="0020562D"/>
    <w:rsid w:val="00205642"/>
    <w:rsid w:val="00205644"/>
    <w:rsid w:val="00205A9F"/>
    <w:rsid w:val="00205AF3"/>
    <w:rsid w:val="00205B0E"/>
    <w:rsid w:val="00205B1F"/>
    <w:rsid w:val="00205B44"/>
    <w:rsid w:val="00205B7F"/>
    <w:rsid w:val="00205C4D"/>
    <w:rsid w:val="00205FEA"/>
    <w:rsid w:val="0020600A"/>
    <w:rsid w:val="002061B1"/>
    <w:rsid w:val="002061CA"/>
    <w:rsid w:val="00206245"/>
    <w:rsid w:val="002063B4"/>
    <w:rsid w:val="00206694"/>
    <w:rsid w:val="0020689C"/>
    <w:rsid w:val="00206929"/>
    <w:rsid w:val="002069BC"/>
    <w:rsid w:val="00206E13"/>
    <w:rsid w:val="00206F7F"/>
    <w:rsid w:val="00207053"/>
    <w:rsid w:val="0020718C"/>
    <w:rsid w:val="00207205"/>
    <w:rsid w:val="00207223"/>
    <w:rsid w:val="002072E9"/>
    <w:rsid w:val="00207408"/>
    <w:rsid w:val="00207526"/>
    <w:rsid w:val="0020759D"/>
    <w:rsid w:val="0020762E"/>
    <w:rsid w:val="0020765F"/>
    <w:rsid w:val="0020776D"/>
    <w:rsid w:val="00207777"/>
    <w:rsid w:val="00207EAB"/>
    <w:rsid w:val="0021000D"/>
    <w:rsid w:val="0021033E"/>
    <w:rsid w:val="00210679"/>
    <w:rsid w:val="0021079F"/>
    <w:rsid w:val="00210901"/>
    <w:rsid w:val="00210954"/>
    <w:rsid w:val="00210D6E"/>
    <w:rsid w:val="00210D9C"/>
    <w:rsid w:val="00210DCC"/>
    <w:rsid w:val="00210DCD"/>
    <w:rsid w:val="00210F1A"/>
    <w:rsid w:val="002110B8"/>
    <w:rsid w:val="002111AB"/>
    <w:rsid w:val="00211404"/>
    <w:rsid w:val="00211533"/>
    <w:rsid w:val="00211557"/>
    <w:rsid w:val="0021198D"/>
    <w:rsid w:val="002119BF"/>
    <w:rsid w:val="00211C52"/>
    <w:rsid w:val="00211D3D"/>
    <w:rsid w:val="00211D99"/>
    <w:rsid w:val="0021224F"/>
    <w:rsid w:val="0021225B"/>
    <w:rsid w:val="002124F3"/>
    <w:rsid w:val="002126B2"/>
    <w:rsid w:val="00212944"/>
    <w:rsid w:val="00212948"/>
    <w:rsid w:val="00212BEE"/>
    <w:rsid w:val="00212BFF"/>
    <w:rsid w:val="00212D12"/>
    <w:rsid w:val="00212FA8"/>
    <w:rsid w:val="00213428"/>
    <w:rsid w:val="002134A1"/>
    <w:rsid w:val="00213A9B"/>
    <w:rsid w:val="00213E70"/>
    <w:rsid w:val="00213E74"/>
    <w:rsid w:val="00214036"/>
    <w:rsid w:val="0021403C"/>
    <w:rsid w:val="00214098"/>
    <w:rsid w:val="002145B9"/>
    <w:rsid w:val="00214BD4"/>
    <w:rsid w:val="00214D7D"/>
    <w:rsid w:val="00214FFF"/>
    <w:rsid w:val="0021501A"/>
    <w:rsid w:val="00215101"/>
    <w:rsid w:val="002151CB"/>
    <w:rsid w:val="00215468"/>
    <w:rsid w:val="00215AAF"/>
    <w:rsid w:val="002160BB"/>
    <w:rsid w:val="00216238"/>
    <w:rsid w:val="002162C1"/>
    <w:rsid w:val="00216378"/>
    <w:rsid w:val="002163C8"/>
    <w:rsid w:val="00216579"/>
    <w:rsid w:val="002165D3"/>
    <w:rsid w:val="00216771"/>
    <w:rsid w:val="002167BA"/>
    <w:rsid w:val="0021687C"/>
    <w:rsid w:val="0021697C"/>
    <w:rsid w:val="002169B5"/>
    <w:rsid w:val="00216AAA"/>
    <w:rsid w:val="00216F29"/>
    <w:rsid w:val="00216F69"/>
    <w:rsid w:val="00217423"/>
    <w:rsid w:val="00217839"/>
    <w:rsid w:val="002178E8"/>
    <w:rsid w:val="00217931"/>
    <w:rsid w:val="00217BBD"/>
    <w:rsid w:val="00217BCC"/>
    <w:rsid w:val="00217ECE"/>
    <w:rsid w:val="002201D2"/>
    <w:rsid w:val="0022067E"/>
    <w:rsid w:val="00220740"/>
    <w:rsid w:val="002208DA"/>
    <w:rsid w:val="00220BC7"/>
    <w:rsid w:val="00221077"/>
    <w:rsid w:val="00221197"/>
    <w:rsid w:val="00221852"/>
    <w:rsid w:val="0022195B"/>
    <w:rsid w:val="00221B1E"/>
    <w:rsid w:val="00221B3B"/>
    <w:rsid w:val="00221B6C"/>
    <w:rsid w:val="00221CEC"/>
    <w:rsid w:val="00221E6F"/>
    <w:rsid w:val="00221F2A"/>
    <w:rsid w:val="00222177"/>
    <w:rsid w:val="002221AB"/>
    <w:rsid w:val="002221D4"/>
    <w:rsid w:val="0022224C"/>
    <w:rsid w:val="002222E2"/>
    <w:rsid w:val="00222392"/>
    <w:rsid w:val="002223C1"/>
    <w:rsid w:val="0022245F"/>
    <w:rsid w:val="002224B2"/>
    <w:rsid w:val="002224C1"/>
    <w:rsid w:val="00222687"/>
    <w:rsid w:val="00222A7A"/>
    <w:rsid w:val="00222D4A"/>
    <w:rsid w:val="00223006"/>
    <w:rsid w:val="002230B2"/>
    <w:rsid w:val="00223633"/>
    <w:rsid w:val="0022389B"/>
    <w:rsid w:val="00223AAA"/>
    <w:rsid w:val="00223F94"/>
    <w:rsid w:val="00223FBD"/>
    <w:rsid w:val="00224086"/>
    <w:rsid w:val="002240C5"/>
    <w:rsid w:val="00224345"/>
    <w:rsid w:val="002244A6"/>
    <w:rsid w:val="0022463E"/>
    <w:rsid w:val="00224CA6"/>
    <w:rsid w:val="0022529F"/>
    <w:rsid w:val="002256E4"/>
    <w:rsid w:val="0022583B"/>
    <w:rsid w:val="00225A3B"/>
    <w:rsid w:val="00225A8C"/>
    <w:rsid w:val="00225BD8"/>
    <w:rsid w:val="00225CFE"/>
    <w:rsid w:val="00225DFD"/>
    <w:rsid w:val="00225E1E"/>
    <w:rsid w:val="00226081"/>
    <w:rsid w:val="0022636A"/>
    <w:rsid w:val="002263A4"/>
    <w:rsid w:val="002264E2"/>
    <w:rsid w:val="0022662B"/>
    <w:rsid w:val="00226710"/>
    <w:rsid w:val="002267AC"/>
    <w:rsid w:val="00226AF7"/>
    <w:rsid w:val="00226B99"/>
    <w:rsid w:val="00226CF3"/>
    <w:rsid w:val="002276A5"/>
    <w:rsid w:val="0022777E"/>
    <w:rsid w:val="002277B0"/>
    <w:rsid w:val="00227B0B"/>
    <w:rsid w:val="00227B4A"/>
    <w:rsid w:val="00227CDE"/>
    <w:rsid w:val="00227FDC"/>
    <w:rsid w:val="00230055"/>
    <w:rsid w:val="002305CB"/>
    <w:rsid w:val="00230697"/>
    <w:rsid w:val="00230817"/>
    <w:rsid w:val="0023081D"/>
    <w:rsid w:val="00230A87"/>
    <w:rsid w:val="00230A9B"/>
    <w:rsid w:val="00230DCC"/>
    <w:rsid w:val="00230F31"/>
    <w:rsid w:val="00230FA0"/>
    <w:rsid w:val="00230FE7"/>
    <w:rsid w:val="00231417"/>
    <w:rsid w:val="00231611"/>
    <w:rsid w:val="0023167C"/>
    <w:rsid w:val="002317CA"/>
    <w:rsid w:val="00231960"/>
    <w:rsid w:val="00231DC0"/>
    <w:rsid w:val="00231E84"/>
    <w:rsid w:val="00231F26"/>
    <w:rsid w:val="0023214F"/>
    <w:rsid w:val="002324E3"/>
    <w:rsid w:val="002326C4"/>
    <w:rsid w:val="00232917"/>
    <w:rsid w:val="002329DD"/>
    <w:rsid w:val="002329E5"/>
    <w:rsid w:val="00232EC6"/>
    <w:rsid w:val="00232FEC"/>
    <w:rsid w:val="0023329C"/>
    <w:rsid w:val="00233355"/>
    <w:rsid w:val="0023345B"/>
    <w:rsid w:val="002334D0"/>
    <w:rsid w:val="00233586"/>
    <w:rsid w:val="002336F0"/>
    <w:rsid w:val="002337B5"/>
    <w:rsid w:val="00233808"/>
    <w:rsid w:val="00233868"/>
    <w:rsid w:val="00233BC0"/>
    <w:rsid w:val="00233D92"/>
    <w:rsid w:val="00233F57"/>
    <w:rsid w:val="00233FBB"/>
    <w:rsid w:val="00233FF1"/>
    <w:rsid w:val="00234202"/>
    <w:rsid w:val="0023448D"/>
    <w:rsid w:val="002346D1"/>
    <w:rsid w:val="00234B3C"/>
    <w:rsid w:val="00234B4F"/>
    <w:rsid w:val="00234F16"/>
    <w:rsid w:val="00234FCD"/>
    <w:rsid w:val="002350F8"/>
    <w:rsid w:val="0023511A"/>
    <w:rsid w:val="00235412"/>
    <w:rsid w:val="00235463"/>
    <w:rsid w:val="002358F4"/>
    <w:rsid w:val="00235AAD"/>
    <w:rsid w:val="00235BBE"/>
    <w:rsid w:val="00235C55"/>
    <w:rsid w:val="00235F4B"/>
    <w:rsid w:val="0023607B"/>
    <w:rsid w:val="0023607C"/>
    <w:rsid w:val="00236244"/>
    <w:rsid w:val="00236379"/>
    <w:rsid w:val="0023643A"/>
    <w:rsid w:val="00236656"/>
    <w:rsid w:val="0023669A"/>
    <w:rsid w:val="002366E8"/>
    <w:rsid w:val="00236ACD"/>
    <w:rsid w:val="00236DC0"/>
    <w:rsid w:val="00236F4C"/>
    <w:rsid w:val="00236F74"/>
    <w:rsid w:val="002373A2"/>
    <w:rsid w:val="002375B3"/>
    <w:rsid w:val="00237A0A"/>
    <w:rsid w:val="00237B2B"/>
    <w:rsid w:val="00237EAC"/>
    <w:rsid w:val="00237EE6"/>
    <w:rsid w:val="002402F3"/>
    <w:rsid w:val="0024041C"/>
    <w:rsid w:val="00240451"/>
    <w:rsid w:val="00240461"/>
    <w:rsid w:val="002406B8"/>
    <w:rsid w:val="0024073F"/>
    <w:rsid w:val="002407CC"/>
    <w:rsid w:val="002409E3"/>
    <w:rsid w:val="00240D3E"/>
    <w:rsid w:val="00240D42"/>
    <w:rsid w:val="00240FB0"/>
    <w:rsid w:val="002410A3"/>
    <w:rsid w:val="002410C2"/>
    <w:rsid w:val="0024113D"/>
    <w:rsid w:val="002411C6"/>
    <w:rsid w:val="00241394"/>
    <w:rsid w:val="00241502"/>
    <w:rsid w:val="0024158C"/>
    <w:rsid w:val="002415CE"/>
    <w:rsid w:val="00241937"/>
    <w:rsid w:val="00241DDA"/>
    <w:rsid w:val="00241E20"/>
    <w:rsid w:val="00242180"/>
    <w:rsid w:val="002422AE"/>
    <w:rsid w:val="0024232E"/>
    <w:rsid w:val="00242517"/>
    <w:rsid w:val="0024260B"/>
    <w:rsid w:val="002427DD"/>
    <w:rsid w:val="00242C7E"/>
    <w:rsid w:val="00243005"/>
    <w:rsid w:val="00243007"/>
    <w:rsid w:val="00243446"/>
    <w:rsid w:val="00243853"/>
    <w:rsid w:val="00243919"/>
    <w:rsid w:val="0024398C"/>
    <w:rsid w:val="002439A2"/>
    <w:rsid w:val="002439B0"/>
    <w:rsid w:val="00243A09"/>
    <w:rsid w:val="00243BD2"/>
    <w:rsid w:val="00243C0C"/>
    <w:rsid w:val="00243D63"/>
    <w:rsid w:val="00243FE0"/>
    <w:rsid w:val="0024401F"/>
    <w:rsid w:val="00244685"/>
    <w:rsid w:val="002447E9"/>
    <w:rsid w:val="002447FC"/>
    <w:rsid w:val="00244A56"/>
    <w:rsid w:val="00244A73"/>
    <w:rsid w:val="00244B18"/>
    <w:rsid w:val="00244EE7"/>
    <w:rsid w:val="002451E5"/>
    <w:rsid w:val="002453BE"/>
    <w:rsid w:val="002455C3"/>
    <w:rsid w:val="0024569B"/>
    <w:rsid w:val="00245A3F"/>
    <w:rsid w:val="00245D07"/>
    <w:rsid w:val="00245FE1"/>
    <w:rsid w:val="00246289"/>
    <w:rsid w:val="00246686"/>
    <w:rsid w:val="00246873"/>
    <w:rsid w:val="00246967"/>
    <w:rsid w:val="002469DC"/>
    <w:rsid w:val="00246A15"/>
    <w:rsid w:val="00246A2D"/>
    <w:rsid w:val="00247177"/>
    <w:rsid w:val="0024736E"/>
    <w:rsid w:val="002473A7"/>
    <w:rsid w:val="00247597"/>
    <w:rsid w:val="00247749"/>
    <w:rsid w:val="002478F2"/>
    <w:rsid w:val="0024799C"/>
    <w:rsid w:val="00247B4D"/>
    <w:rsid w:val="00250386"/>
    <w:rsid w:val="00250A38"/>
    <w:rsid w:val="00250B2C"/>
    <w:rsid w:val="00250BFD"/>
    <w:rsid w:val="00250C60"/>
    <w:rsid w:val="0025106D"/>
    <w:rsid w:val="002513AE"/>
    <w:rsid w:val="002516FE"/>
    <w:rsid w:val="002517F2"/>
    <w:rsid w:val="00251BE8"/>
    <w:rsid w:val="00251CAD"/>
    <w:rsid w:val="00251CFF"/>
    <w:rsid w:val="00251FB0"/>
    <w:rsid w:val="002521E1"/>
    <w:rsid w:val="00252273"/>
    <w:rsid w:val="002527A2"/>
    <w:rsid w:val="00252851"/>
    <w:rsid w:val="00252886"/>
    <w:rsid w:val="00252B7C"/>
    <w:rsid w:val="00252C84"/>
    <w:rsid w:val="0025309F"/>
    <w:rsid w:val="002530F3"/>
    <w:rsid w:val="00253590"/>
    <w:rsid w:val="002535CE"/>
    <w:rsid w:val="00253724"/>
    <w:rsid w:val="0025382E"/>
    <w:rsid w:val="002538AA"/>
    <w:rsid w:val="00253989"/>
    <w:rsid w:val="002539A7"/>
    <w:rsid w:val="00253A17"/>
    <w:rsid w:val="00254114"/>
    <w:rsid w:val="00254247"/>
    <w:rsid w:val="002542B2"/>
    <w:rsid w:val="0025447C"/>
    <w:rsid w:val="00254681"/>
    <w:rsid w:val="002549ED"/>
    <w:rsid w:val="00254B08"/>
    <w:rsid w:val="00254B81"/>
    <w:rsid w:val="00254C61"/>
    <w:rsid w:val="00254C96"/>
    <w:rsid w:val="00254D86"/>
    <w:rsid w:val="00254E4D"/>
    <w:rsid w:val="00255028"/>
    <w:rsid w:val="00255129"/>
    <w:rsid w:val="00255399"/>
    <w:rsid w:val="002553EE"/>
    <w:rsid w:val="002555C6"/>
    <w:rsid w:val="002559B3"/>
    <w:rsid w:val="00255A05"/>
    <w:rsid w:val="00255A84"/>
    <w:rsid w:val="00255B5A"/>
    <w:rsid w:val="00255B81"/>
    <w:rsid w:val="00255F7F"/>
    <w:rsid w:val="0025637F"/>
    <w:rsid w:val="00256777"/>
    <w:rsid w:val="00256795"/>
    <w:rsid w:val="0025684E"/>
    <w:rsid w:val="00256961"/>
    <w:rsid w:val="0025698E"/>
    <w:rsid w:val="00256DB0"/>
    <w:rsid w:val="00256F09"/>
    <w:rsid w:val="002570A4"/>
    <w:rsid w:val="002573AD"/>
    <w:rsid w:val="002573FE"/>
    <w:rsid w:val="00257403"/>
    <w:rsid w:val="002574AF"/>
    <w:rsid w:val="00257AAA"/>
    <w:rsid w:val="00257C41"/>
    <w:rsid w:val="00260101"/>
    <w:rsid w:val="00260448"/>
    <w:rsid w:val="00260985"/>
    <w:rsid w:val="00260BA6"/>
    <w:rsid w:val="00260C35"/>
    <w:rsid w:val="00260D98"/>
    <w:rsid w:val="0026114B"/>
    <w:rsid w:val="0026115B"/>
    <w:rsid w:val="002611F3"/>
    <w:rsid w:val="0026123A"/>
    <w:rsid w:val="00261391"/>
    <w:rsid w:val="00261549"/>
    <w:rsid w:val="0026169D"/>
    <w:rsid w:val="002616DC"/>
    <w:rsid w:val="00261972"/>
    <w:rsid w:val="00261B76"/>
    <w:rsid w:val="00261CF1"/>
    <w:rsid w:val="00261DA5"/>
    <w:rsid w:val="00261DEC"/>
    <w:rsid w:val="00261E5E"/>
    <w:rsid w:val="0026216E"/>
    <w:rsid w:val="0026229E"/>
    <w:rsid w:val="00262869"/>
    <w:rsid w:val="002628F6"/>
    <w:rsid w:val="00262AE7"/>
    <w:rsid w:val="00262AFA"/>
    <w:rsid w:val="00262DCF"/>
    <w:rsid w:val="002634EA"/>
    <w:rsid w:val="00263647"/>
    <w:rsid w:val="002637CF"/>
    <w:rsid w:val="00263A6B"/>
    <w:rsid w:val="00263AF8"/>
    <w:rsid w:val="00263CD1"/>
    <w:rsid w:val="00263FF1"/>
    <w:rsid w:val="00264357"/>
    <w:rsid w:val="002645C7"/>
    <w:rsid w:val="002646FE"/>
    <w:rsid w:val="002648EE"/>
    <w:rsid w:val="00264910"/>
    <w:rsid w:val="00264B3D"/>
    <w:rsid w:val="00264C1F"/>
    <w:rsid w:val="00264FD6"/>
    <w:rsid w:val="00265060"/>
    <w:rsid w:val="002655FF"/>
    <w:rsid w:val="002656C7"/>
    <w:rsid w:val="00265AC3"/>
    <w:rsid w:val="00265B89"/>
    <w:rsid w:val="00265BFC"/>
    <w:rsid w:val="00265D3C"/>
    <w:rsid w:val="00265EE6"/>
    <w:rsid w:val="00265FAA"/>
    <w:rsid w:val="002662A2"/>
    <w:rsid w:val="002662C2"/>
    <w:rsid w:val="002665DD"/>
    <w:rsid w:val="0026680B"/>
    <w:rsid w:val="00266B3E"/>
    <w:rsid w:val="00266D29"/>
    <w:rsid w:val="00266E9A"/>
    <w:rsid w:val="00266F7A"/>
    <w:rsid w:val="002671A2"/>
    <w:rsid w:val="0026722A"/>
    <w:rsid w:val="00267496"/>
    <w:rsid w:val="00267647"/>
    <w:rsid w:val="00267735"/>
    <w:rsid w:val="00267A28"/>
    <w:rsid w:val="00267A7C"/>
    <w:rsid w:val="00267B57"/>
    <w:rsid w:val="00267F66"/>
    <w:rsid w:val="00270169"/>
    <w:rsid w:val="002702D2"/>
    <w:rsid w:val="00270370"/>
    <w:rsid w:val="002703D2"/>
    <w:rsid w:val="002708A2"/>
    <w:rsid w:val="0027090B"/>
    <w:rsid w:val="00270A67"/>
    <w:rsid w:val="00270B6E"/>
    <w:rsid w:val="00270BAE"/>
    <w:rsid w:val="00270E19"/>
    <w:rsid w:val="00271266"/>
    <w:rsid w:val="0027138C"/>
    <w:rsid w:val="0027170E"/>
    <w:rsid w:val="00271B4D"/>
    <w:rsid w:val="00272013"/>
    <w:rsid w:val="00272164"/>
    <w:rsid w:val="00272168"/>
    <w:rsid w:val="00272499"/>
    <w:rsid w:val="00272623"/>
    <w:rsid w:val="002726AB"/>
    <w:rsid w:val="00272866"/>
    <w:rsid w:val="00272960"/>
    <w:rsid w:val="00272A65"/>
    <w:rsid w:val="00272B0D"/>
    <w:rsid w:val="00272BEC"/>
    <w:rsid w:val="00272DBE"/>
    <w:rsid w:val="0027304A"/>
    <w:rsid w:val="0027304D"/>
    <w:rsid w:val="00273102"/>
    <w:rsid w:val="0027349A"/>
    <w:rsid w:val="00273902"/>
    <w:rsid w:val="00273CB2"/>
    <w:rsid w:val="00273E33"/>
    <w:rsid w:val="002742C3"/>
    <w:rsid w:val="002742FE"/>
    <w:rsid w:val="00274547"/>
    <w:rsid w:val="00274768"/>
    <w:rsid w:val="002749F3"/>
    <w:rsid w:val="00274C4D"/>
    <w:rsid w:val="00274EFA"/>
    <w:rsid w:val="00275025"/>
    <w:rsid w:val="0027529C"/>
    <w:rsid w:val="002757B7"/>
    <w:rsid w:val="0027596A"/>
    <w:rsid w:val="002759C0"/>
    <w:rsid w:val="00275B68"/>
    <w:rsid w:val="00275C43"/>
    <w:rsid w:val="00275D7A"/>
    <w:rsid w:val="00275D92"/>
    <w:rsid w:val="00275ED1"/>
    <w:rsid w:val="00275F9E"/>
    <w:rsid w:val="002761BD"/>
    <w:rsid w:val="00276292"/>
    <w:rsid w:val="00276339"/>
    <w:rsid w:val="00276493"/>
    <w:rsid w:val="0027652E"/>
    <w:rsid w:val="00276630"/>
    <w:rsid w:val="0027683A"/>
    <w:rsid w:val="00276884"/>
    <w:rsid w:val="00276CB0"/>
    <w:rsid w:val="00277230"/>
    <w:rsid w:val="002772AF"/>
    <w:rsid w:val="002775EF"/>
    <w:rsid w:val="00277636"/>
    <w:rsid w:val="0027776D"/>
    <w:rsid w:val="0027780B"/>
    <w:rsid w:val="002779F5"/>
    <w:rsid w:val="00277A86"/>
    <w:rsid w:val="00277DCC"/>
    <w:rsid w:val="00280071"/>
    <w:rsid w:val="0028074D"/>
    <w:rsid w:val="00280AD2"/>
    <w:rsid w:val="00280B6C"/>
    <w:rsid w:val="00280CBA"/>
    <w:rsid w:val="00280D5B"/>
    <w:rsid w:val="00280EA4"/>
    <w:rsid w:val="00281007"/>
    <w:rsid w:val="0028106B"/>
    <w:rsid w:val="002811B7"/>
    <w:rsid w:val="00281364"/>
    <w:rsid w:val="00281819"/>
    <w:rsid w:val="00281A01"/>
    <w:rsid w:val="00281DA0"/>
    <w:rsid w:val="002822C7"/>
    <w:rsid w:val="002822FD"/>
    <w:rsid w:val="00282372"/>
    <w:rsid w:val="002827F9"/>
    <w:rsid w:val="00282824"/>
    <w:rsid w:val="00282836"/>
    <w:rsid w:val="00282BAE"/>
    <w:rsid w:val="00282CE0"/>
    <w:rsid w:val="00282D05"/>
    <w:rsid w:val="00282DAC"/>
    <w:rsid w:val="00282EE5"/>
    <w:rsid w:val="00283165"/>
    <w:rsid w:val="00283333"/>
    <w:rsid w:val="002834C9"/>
    <w:rsid w:val="002835A6"/>
    <w:rsid w:val="002837C2"/>
    <w:rsid w:val="002838D0"/>
    <w:rsid w:val="0028399A"/>
    <w:rsid w:val="002839FB"/>
    <w:rsid w:val="00283BB4"/>
    <w:rsid w:val="00283D4E"/>
    <w:rsid w:val="00283F37"/>
    <w:rsid w:val="00284036"/>
    <w:rsid w:val="0028407D"/>
    <w:rsid w:val="00284162"/>
    <w:rsid w:val="00284458"/>
    <w:rsid w:val="002844AC"/>
    <w:rsid w:val="002845EA"/>
    <w:rsid w:val="002848C8"/>
    <w:rsid w:val="00284B22"/>
    <w:rsid w:val="00284C97"/>
    <w:rsid w:val="0028523A"/>
    <w:rsid w:val="00285309"/>
    <w:rsid w:val="0028551B"/>
    <w:rsid w:val="002857EC"/>
    <w:rsid w:val="00285853"/>
    <w:rsid w:val="0028598F"/>
    <w:rsid w:val="00285A8C"/>
    <w:rsid w:val="00285B2D"/>
    <w:rsid w:val="00285DF6"/>
    <w:rsid w:val="00286154"/>
    <w:rsid w:val="0028669A"/>
    <w:rsid w:val="0028670B"/>
    <w:rsid w:val="002867CE"/>
    <w:rsid w:val="00286894"/>
    <w:rsid w:val="002868A0"/>
    <w:rsid w:val="00286ADB"/>
    <w:rsid w:val="00286B1C"/>
    <w:rsid w:val="00286B56"/>
    <w:rsid w:val="00286DCB"/>
    <w:rsid w:val="00286EBE"/>
    <w:rsid w:val="00286FB0"/>
    <w:rsid w:val="0028709C"/>
    <w:rsid w:val="0028718B"/>
    <w:rsid w:val="00287297"/>
    <w:rsid w:val="002872C7"/>
    <w:rsid w:val="002874B3"/>
    <w:rsid w:val="002874D2"/>
    <w:rsid w:val="00287699"/>
    <w:rsid w:val="0028783E"/>
    <w:rsid w:val="00287B58"/>
    <w:rsid w:val="0029008E"/>
    <w:rsid w:val="002901CA"/>
    <w:rsid w:val="0029026D"/>
    <w:rsid w:val="00290588"/>
    <w:rsid w:val="00290713"/>
    <w:rsid w:val="002907BC"/>
    <w:rsid w:val="00290BA8"/>
    <w:rsid w:val="00290F8B"/>
    <w:rsid w:val="00291595"/>
    <w:rsid w:val="002915B9"/>
    <w:rsid w:val="002919DB"/>
    <w:rsid w:val="00291E19"/>
    <w:rsid w:val="00291F31"/>
    <w:rsid w:val="002920A4"/>
    <w:rsid w:val="002920C7"/>
    <w:rsid w:val="0029216D"/>
    <w:rsid w:val="00292228"/>
    <w:rsid w:val="00292777"/>
    <w:rsid w:val="002929D8"/>
    <w:rsid w:val="00292B9F"/>
    <w:rsid w:val="00293109"/>
    <w:rsid w:val="0029316E"/>
    <w:rsid w:val="00293920"/>
    <w:rsid w:val="00293986"/>
    <w:rsid w:val="002939C0"/>
    <w:rsid w:val="00293A47"/>
    <w:rsid w:val="00293C63"/>
    <w:rsid w:val="00293F23"/>
    <w:rsid w:val="00293F3D"/>
    <w:rsid w:val="002942D2"/>
    <w:rsid w:val="002946B4"/>
    <w:rsid w:val="002948F5"/>
    <w:rsid w:val="00294A58"/>
    <w:rsid w:val="00294B49"/>
    <w:rsid w:val="00294BCD"/>
    <w:rsid w:val="00294CD6"/>
    <w:rsid w:val="00294D2F"/>
    <w:rsid w:val="00294EE4"/>
    <w:rsid w:val="00294F65"/>
    <w:rsid w:val="0029524A"/>
    <w:rsid w:val="00295274"/>
    <w:rsid w:val="00295601"/>
    <w:rsid w:val="002958DE"/>
    <w:rsid w:val="00295A95"/>
    <w:rsid w:val="00295B4E"/>
    <w:rsid w:val="00295B70"/>
    <w:rsid w:val="00295D11"/>
    <w:rsid w:val="00295EEF"/>
    <w:rsid w:val="00295EF1"/>
    <w:rsid w:val="002961F3"/>
    <w:rsid w:val="002963DD"/>
    <w:rsid w:val="0029648D"/>
    <w:rsid w:val="00296B8A"/>
    <w:rsid w:val="00296C4D"/>
    <w:rsid w:val="00296F47"/>
    <w:rsid w:val="00297289"/>
    <w:rsid w:val="0029744F"/>
    <w:rsid w:val="00297514"/>
    <w:rsid w:val="0029783C"/>
    <w:rsid w:val="0029799C"/>
    <w:rsid w:val="00297D33"/>
    <w:rsid w:val="00297ECD"/>
    <w:rsid w:val="002A04E2"/>
    <w:rsid w:val="002A06E7"/>
    <w:rsid w:val="002A0996"/>
    <w:rsid w:val="002A0E02"/>
    <w:rsid w:val="002A0E79"/>
    <w:rsid w:val="002A0E94"/>
    <w:rsid w:val="002A1263"/>
    <w:rsid w:val="002A1518"/>
    <w:rsid w:val="002A18FE"/>
    <w:rsid w:val="002A1984"/>
    <w:rsid w:val="002A19F7"/>
    <w:rsid w:val="002A1CCF"/>
    <w:rsid w:val="002A1ED6"/>
    <w:rsid w:val="002A1FB9"/>
    <w:rsid w:val="002A2364"/>
    <w:rsid w:val="002A283D"/>
    <w:rsid w:val="002A2A08"/>
    <w:rsid w:val="002A2B05"/>
    <w:rsid w:val="002A2B37"/>
    <w:rsid w:val="002A2BC4"/>
    <w:rsid w:val="002A2C61"/>
    <w:rsid w:val="002A2CD1"/>
    <w:rsid w:val="002A2D62"/>
    <w:rsid w:val="002A2D93"/>
    <w:rsid w:val="002A2FCB"/>
    <w:rsid w:val="002A31FA"/>
    <w:rsid w:val="002A32BE"/>
    <w:rsid w:val="002A339E"/>
    <w:rsid w:val="002A33FC"/>
    <w:rsid w:val="002A3418"/>
    <w:rsid w:val="002A35A5"/>
    <w:rsid w:val="002A388D"/>
    <w:rsid w:val="002A3997"/>
    <w:rsid w:val="002A3A2F"/>
    <w:rsid w:val="002A3AB1"/>
    <w:rsid w:val="002A3CF0"/>
    <w:rsid w:val="002A3D39"/>
    <w:rsid w:val="002A3DD0"/>
    <w:rsid w:val="002A3FF6"/>
    <w:rsid w:val="002A4113"/>
    <w:rsid w:val="002A4261"/>
    <w:rsid w:val="002A4266"/>
    <w:rsid w:val="002A449A"/>
    <w:rsid w:val="002A44A0"/>
    <w:rsid w:val="002A45B1"/>
    <w:rsid w:val="002A46C8"/>
    <w:rsid w:val="002A47DF"/>
    <w:rsid w:val="002A48EB"/>
    <w:rsid w:val="002A496E"/>
    <w:rsid w:val="002A4E42"/>
    <w:rsid w:val="002A5379"/>
    <w:rsid w:val="002A556F"/>
    <w:rsid w:val="002A581D"/>
    <w:rsid w:val="002A598E"/>
    <w:rsid w:val="002A5D61"/>
    <w:rsid w:val="002A5E4E"/>
    <w:rsid w:val="002A61A5"/>
    <w:rsid w:val="002A61B1"/>
    <w:rsid w:val="002A6272"/>
    <w:rsid w:val="002A648D"/>
    <w:rsid w:val="002A662F"/>
    <w:rsid w:val="002A666F"/>
    <w:rsid w:val="002A667B"/>
    <w:rsid w:val="002A6700"/>
    <w:rsid w:val="002A68E0"/>
    <w:rsid w:val="002A6AB3"/>
    <w:rsid w:val="002A6F71"/>
    <w:rsid w:val="002A6F83"/>
    <w:rsid w:val="002A7199"/>
    <w:rsid w:val="002A7323"/>
    <w:rsid w:val="002A7390"/>
    <w:rsid w:val="002A7552"/>
    <w:rsid w:val="002A7726"/>
    <w:rsid w:val="002A77C3"/>
    <w:rsid w:val="002A79D9"/>
    <w:rsid w:val="002A7BAF"/>
    <w:rsid w:val="002A7BBD"/>
    <w:rsid w:val="002A7D28"/>
    <w:rsid w:val="002B03B3"/>
    <w:rsid w:val="002B05A8"/>
    <w:rsid w:val="002B0A99"/>
    <w:rsid w:val="002B0D6E"/>
    <w:rsid w:val="002B0F57"/>
    <w:rsid w:val="002B0FE9"/>
    <w:rsid w:val="002B0FF4"/>
    <w:rsid w:val="002B1025"/>
    <w:rsid w:val="002B10B0"/>
    <w:rsid w:val="002B1225"/>
    <w:rsid w:val="002B1437"/>
    <w:rsid w:val="002B14BB"/>
    <w:rsid w:val="002B14DB"/>
    <w:rsid w:val="002B169C"/>
    <w:rsid w:val="002B1838"/>
    <w:rsid w:val="002B1B0D"/>
    <w:rsid w:val="002B1F89"/>
    <w:rsid w:val="002B201B"/>
    <w:rsid w:val="002B21BB"/>
    <w:rsid w:val="002B22F5"/>
    <w:rsid w:val="002B25B9"/>
    <w:rsid w:val="002B274C"/>
    <w:rsid w:val="002B2868"/>
    <w:rsid w:val="002B2B0B"/>
    <w:rsid w:val="002B2B7A"/>
    <w:rsid w:val="002B2BC6"/>
    <w:rsid w:val="002B2E9F"/>
    <w:rsid w:val="002B2F77"/>
    <w:rsid w:val="002B3087"/>
    <w:rsid w:val="002B340A"/>
    <w:rsid w:val="002B3529"/>
    <w:rsid w:val="002B3596"/>
    <w:rsid w:val="002B37D3"/>
    <w:rsid w:val="002B3887"/>
    <w:rsid w:val="002B3A4E"/>
    <w:rsid w:val="002B3CB3"/>
    <w:rsid w:val="002B41F3"/>
    <w:rsid w:val="002B43B3"/>
    <w:rsid w:val="002B48DE"/>
    <w:rsid w:val="002B4CEA"/>
    <w:rsid w:val="002B4DBA"/>
    <w:rsid w:val="002B4FAD"/>
    <w:rsid w:val="002B5175"/>
    <w:rsid w:val="002B52ED"/>
    <w:rsid w:val="002B538D"/>
    <w:rsid w:val="002B5A0C"/>
    <w:rsid w:val="002B5B61"/>
    <w:rsid w:val="002B5CA1"/>
    <w:rsid w:val="002B6031"/>
    <w:rsid w:val="002B63DB"/>
    <w:rsid w:val="002B6612"/>
    <w:rsid w:val="002B6699"/>
    <w:rsid w:val="002B6716"/>
    <w:rsid w:val="002B6D2E"/>
    <w:rsid w:val="002B6EFD"/>
    <w:rsid w:val="002B6F33"/>
    <w:rsid w:val="002B70DA"/>
    <w:rsid w:val="002B73D2"/>
    <w:rsid w:val="002B762F"/>
    <w:rsid w:val="002B79F0"/>
    <w:rsid w:val="002B7B8A"/>
    <w:rsid w:val="002B7C96"/>
    <w:rsid w:val="002B7F01"/>
    <w:rsid w:val="002B7F3E"/>
    <w:rsid w:val="002C00F5"/>
    <w:rsid w:val="002C0166"/>
    <w:rsid w:val="002C059A"/>
    <w:rsid w:val="002C05D9"/>
    <w:rsid w:val="002C06B5"/>
    <w:rsid w:val="002C0BA3"/>
    <w:rsid w:val="002C0C7A"/>
    <w:rsid w:val="002C0C7D"/>
    <w:rsid w:val="002C0CCC"/>
    <w:rsid w:val="002C0CD7"/>
    <w:rsid w:val="002C0D7B"/>
    <w:rsid w:val="002C0D99"/>
    <w:rsid w:val="002C0DA7"/>
    <w:rsid w:val="002C0E68"/>
    <w:rsid w:val="002C1028"/>
    <w:rsid w:val="002C1071"/>
    <w:rsid w:val="002C11BC"/>
    <w:rsid w:val="002C11D6"/>
    <w:rsid w:val="002C134D"/>
    <w:rsid w:val="002C143E"/>
    <w:rsid w:val="002C1443"/>
    <w:rsid w:val="002C17B6"/>
    <w:rsid w:val="002C1CBF"/>
    <w:rsid w:val="002C1D9C"/>
    <w:rsid w:val="002C1E0C"/>
    <w:rsid w:val="002C1EFA"/>
    <w:rsid w:val="002C1F0C"/>
    <w:rsid w:val="002C1F3B"/>
    <w:rsid w:val="002C22C5"/>
    <w:rsid w:val="002C2806"/>
    <w:rsid w:val="002C28AD"/>
    <w:rsid w:val="002C2BD3"/>
    <w:rsid w:val="002C2BEB"/>
    <w:rsid w:val="002C2C99"/>
    <w:rsid w:val="002C2DF8"/>
    <w:rsid w:val="002C3039"/>
    <w:rsid w:val="002C30A4"/>
    <w:rsid w:val="002C34B2"/>
    <w:rsid w:val="002C34D5"/>
    <w:rsid w:val="002C35C3"/>
    <w:rsid w:val="002C366F"/>
    <w:rsid w:val="002C3894"/>
    <w:rsid w:val="002C3A72"/>
    <w:rsid w:val="002C3C03"/>
    <w:rsid w:val="002C3D9B"/>
    <w:rsid w:val="002C3E6A"/>
    <w:rsid w:val="002C3E8B"/>
    <w:rsid w:val="002C40EF"/>
    <w:rsid w:val="002C41AC"/>
    <w:rsid w:val="002C4323"/>
    <w:rsid w:val="002C488D"/>
    <w:rsid w:val="002C4A81"/>
    <w:rsid w:val="002C4B78"/>
    <w:rsid w:val="002C4B93"/>
    <w:rsid w:val="002C4CA9"/>
    <w:rsid w:val="002C4CB2"/>
    <w:rsid w:val="002C4CBB"/>
    <w:rsid w:val="002C4E99"/>
    <w:rsid w:val="002C5453"/>
    <w:rsid w:val="002C5695"/>
    <w:rsid w:val="002C57BD"/>
    <w:rsid w:val="002C5A5C"/>
    <w:rsid w:val="002C5BFE"/>
    <w:rsid w:val="002C5C7F"/>
    <w:rsid w:val="002C5D19"/>
    <w:rsid w:val="002C62DA"/>
    <w:rsid w:val="002C64F8"/>
    <w:rsid w:val="002C6586"/>
    <w:rsid w:val="002C6686"/>
    <w:rsid w:val="002C670A"/>
    <w:rsid w:val="002C68E5"/>
    <w:rsid w:val="002C6C8F"/>
    <w:rsid w:val="002C7016"/>
    <w:rsid w:val="002C70A3"/>
    <w:rsid w:val="002C70D9"/>
    <w:rsid w:val="002C7285"/>
    <w:rsid w:val="002C72B4"/>
    <w:rsid w:val="002C7301"/>
    <w:rsid w:val="002C730E"/>
    <w:rsid w:val="002C7523"/>
    <w:rsid w:val="002C75E6"/>
    <w:rsid w:val="002C7853"/>
    <w:rsid w:val="002C7BC2"/>
    <w:rsid w:val="002C7BD0"/>
    <w:rsid w:val="002C7C0A"/>
    <w:rsid w:val="002C7C9C"/>
    <w:rsid w:val="002C7DC2"/>
    <w:rsid w:val="002C7E9E"/>
    <w:rsid w:val="002C7F28"/>
    <w:rsid w:val="002C7FF4"/>
    <w:rsid w:val="002D0026"/>
    <w:rsid w:val="002D006A"/>
    <w:rsid w:val="002D0220"/>
    <w:rsid w:val="002D04C5"/>
    <w:rsid w:val="002D0548"/>
    <w:rsid w:val="002D059D"/>
    <w:rsid w:val="002D0632"/>
    <w:rsid w:val="002D06FF"/>
    <w:rsid w:val="002D0727"/>
    <w:rsid w:val="002D0747"/>
    <w:rsid w:val="002D100C"/>
    <w:rsid w:val="002D1B36"/>
    <w:rsid w:val="002D1B96"/>
    <w:rsid w:val="002D206C"/>
    <w:rsid w:val="002D2270"/>
    <w:rsid w:val="002D2664"/>
    <w:rsid w:val="002D2C51"/>
    <w:rsid w:val="002D2E4C"/>
    <w:rsid w:val="002D2EC4"/>
    <w:rsid w:val="002D2FB6"/>
    <w:rsid w:val="002D30EB"/>
    <w:rsid w:val="002D319A"/>
    <w:rsid w:val="002D329C"/>
    <w:rsid w:val="002D32AF"/>
    <w:rsid w:val="002D3306"/>
    <w:rsid w:val="002D33FD"/>
    <w:rsid w:val="002D3568"/>
    <w:rsid w:val="002D37C1"/>
    <w:rsid w:val="002D3A76"/>
    <w:rsid w:val="002D3B98"/>
    <w:rsid w:val="002D3DA5"/>
    <w:rsid w:val="002D3E11"/>
    <w:rsid w:val="002D3ECA"/>
    <w:rsid w:val="002D3FF7"/>
    <w:rsid w:val="002D4007"/>
    <w:rsid w:val="002D4074"/>
    <w:rsid w:val="002D4298"/>
    <w:rsid w:val="002D42F1"/>
    <w:rsid w:val="002D4487"/>
    <w:rsid w:val="002D4830"/>
    <w:rsid w:val="002D4960"/>
    <w:rsid w:val="002D4A0A"/>
    <w:rsid w:val="002D4A43"/>
    <w:rsid w:val="002D4A48"/>
    <w:rsid w:val="002D4BCB"/>
    <w:rsid w:val="002D4D52"/>
    <w:rsid w:val="002D5041"/>
    <w:rsid w:val="002D5098"/>
    <w:rsid w:val="002D52BF"/>
    <w:rsid w:val="002D556D"/>
    <w:rsid w:val="002D5B7A"/>
    <w:rsid w:val="002D6056"/>
    <w:rsid w:val="002D607F"/>
    <w:rsid w:val="002D60C9"/>
    <w:rsid w:val="002D65B4"/>
    <w:rsid w:val="002D6858"/>
    <w:rsid w:val="002D686E"/>
    <w:rsid w:val="002D68CE"/>
    <w:rsid w:val="002D6D06"/>
    <w:rsid w:val="002D72C5"/>
    <w:rsid w:val="002D7455"/>
    <w:rsid w:val="002D7729"/>
    <w:rsid w:val="002D7D96"/>
    <w:rsid w:val="002D7DF9"/>
    <w:rsid w:val="002E0315"/>
    <w:rsid w:val="002E0403"/>
    <w:rsid w:val="002E0793"/>
    <w:rsid w:val="002E085A"/>
    <w:rsid w:val="002E0895"/>
    <w:rsid w:val="002E08B7"/>
    <w:rsid w:val="002E0903"/>
    <w:rsid w:val="002E0C71"/>
    <w:rsid w:val="002E0D26"/>
    <w:rsid w:val="002E0D8B"/>
    <w:rsid w:val="002E0F23"/>
    <w:rsid w:val="002E1019"/>
    <w:rsid w:val="002E1095"/>
    <w:rsid w:val="002E10FA"/>
    <w:rsid w:val="002E197E"/>
    <w:rsid w:val="002E19C3"/>
    <w:rsid w:val="002E1DDE"/>
    <w:rsid w:val="002E21D1"/>
    <w:rsid w:val="002E229D"/>
    <w:rsid w:val="002E2569"/>
    <w:rsid w:val="002E25A8"/>
    <w:rsid w:val="002E279A"/>
    <w:rsid w:val="002E28DA"/>
    <w:rsid w:val="002E29E0"/>
    <w:rsid w:val="002E2BE7"/>
    <w:rsid w:val="002E2C88"/>
    <w:rsid w:val="002E2E05"/>
    <w:rsid w:val="002E323E"/>
    <w:rsid w:val="002E337A"/>
    <w:rsid w:val="002E34CF"/>
    <w:rsid w:val="002E3664"/>
    <w:rsid w:val="002E3832"/>
    <w:rsid w:val="002E398A"/>
    <w:rsid w:val="002E399E"/>
    <w:rsid w:val="002E3B08"/>
    <w:rsid w:val="002E3CE5"/>
    <w:rsid w:val="002E4118"/>
    <w:rsid w:val="002E41F3"/>
    <w:rsid w:val="002E4505"/>
    <w:rsid w:val="002E4516"/>
    <w:rsid w:val="002E4519"/>
    <w:rsid w:val="002E497D"/>
    <w:rsid w:val="002E4C70"/>
    <w:rsid w:val="002E4C93"/>
    <w:rsid w:val="002E5038"/>
    <w:rsid w:val="002E5288"/>
    <w:rsid w:val="002E533C"/>
    <w:rsid w:val="002E54E3"/>
    <w:rsid w:val="002E557C"/>
    <w:rsid w:val="002E5A20"/>
    <w:rsid w:val="002E5BB9"/>
    <w:rsid w:val="002E5BCC"/>
    <w:rsid w:val="002E5D16"/>
    <w:rsid w:val="002E6116"/>
    <w:rsid w:val="002E67BC"/>
    <w:rsid w:val="002E67E6"/>
    <w:rsid w:val="002E69B3"/>
    <w:rsid w:val="002E6BA7"/>
    <w:rsid w:val="002E6C0B"/>
    <w:rsid w:val="002E6C1F"/>
    <w:rsid w:val="002E6C83"/>
    <w:rsid w:val="002E6C97"/>
    <w:rsid w:val="002E6DBB"/>
    <w:rsid w:val="002E6E7C"/>
    <w:rsid w:val="002E6EED"/>
    <w:rsid w:val="002E6F72"/>
    <w:rsid w:val="002E7B0D"/>
    <w:rsid w:val="002E7D72"/>
    <w:rsid w:val="002F04DE"/>
    <w:rsid w:val="002F089E"/>
    <w:rsid w:val="002F094D"/>
    <w:rsid w:val="002F0A2B"/>
    <w:rsid w:val="002F0B9F"/>
    <w:rsid w:val="002F0D1B"/>
    <w:rsid w:val="002F0F46"/>
    <w:rsid w:val="002F108B"/>
    <w:rsid w:val="002F121E"/>
    <w:rsid w:val="002F14D0"/>
    <w:rsid w:val="002F1524"/>
    <w:rsid w:val="002F15C7"/>
    <w:rsid w:val="002F190D"/>
    <w:rsid w:val="002F196B"/>
    <w:rsid w:val="002F1A3E"/>
    <w:rsid w:val="002F1B32"/>
    <w:rsid w:val="002F1CD3"/>
    <w:rsid w:val="002F1D51"/>
    <w:rsid w:val="002F1E10"/>
    <w:rsid w:val="002F1E43"/>
    <w:rsid w:val="002F1EA4"/>
    <w:rsid w:val="002F2106"/>
    <w:rsid w:val="002F2266"/>
    <w:rsid w:val="002F242F"/>
    <w:rsid w:val="002F24B0"/>
    <w:rsid w:val="002F25F9"/>
    <w:rsid w:val="002F279C"/>
    <w:rsid w:val="002F283F"/>
    <w:rsid w:val="002F2A07"/>
    <w:rsid w:val="002F2B94"/>
    <w:rsid w:val="002F2BB2"/>
    <w:rsid w:val="002F2FB9"/>
    <w:rsid w:val="002F311E"/>
    <w:rsid w:val="002F3A93"/>
    <w:rsid w:val="002F3AFA"/>
    <w:rsid w:val="002F4355"/>
    <w:rsid w:val="002F440A"/>
    <w:rsid w:val="002F4444"/>
    <w:rsid w:val="002F45F4"/>
    <w:rsid w:val="002F4777"/>
    <w:rsid w:val="002F4A17"/>
    <w:rsid w:val="002F4A7F"/>
    <w:rsid w:val="002F4BEA"/>
    <w:rsid w:val="002F4C81"/>
    <w:rsid w:val="002F54B6"/>
    <w:rsid w:val="002F5629"/>
    <w:rsid w:val="002F5674"/>
    <w:rsid w:val="002F640A"/>
    <w:rsid w:val="002F65E5"/>
    <w:rsid w:val="002F66F0"/>
    <w:rsid w:val="002F677E"/>
    <w:rsid w:val="002F6A6F"/>
    <w:rsid w:val="002F6AA1"/>
    <w:rsid w:val="002F6B24"/>
    <w:rsid w:val="002F6CCA"/>
    <w:rsid w:val="002F6E28"/>
    <w:rsid w:val="002F6FA6"/>
    <w:rsid w:val="002F6FEA"/>
    <w:rsid w:val="002F7011"/>
    <w:rsid w:val="002F70BA"/>
    <w:rsid w:val="002F725F"/>
    <w:rsid w:val="002F72F7"/>
    <w:rsid w:val="002F7A88"/>
    <w:rsid w:val="002F7A99"/>
    <w:rsid w:val="002F7C08"/>
    <w:rsid w:val="002F7C21"/>
    <w:rsid w:val="002F7C31"/>
    <w:rsid w:val="002F7E68"/>
    <w:rsid w:val="002F7F86"/>
    <w:rsid w:val="003000CF"/>
    <w:rsid w:val="00300560"/>
    <w:rsid w:val="003006EC"/>
    <w:rsid w:val="003007DE"/>
    <w:rsid w:val="0030091F"/>
    <w:rsid w:val="00300A82"/>
    <w:rsid w:val="00300A84"/>
    <w:rsid w:val="00300C59"/>
    <w:rsid w:val="00300C9E"/>
    <w:rsid w:val="00300E39"/>
    <w:rsid w:val="00300F95"/>
    <w:rsid w:val="0030101C"/>
    <w:rsid w:val="0030107F"/>
    <w:rsid w:val="003011A6"/>
    <w:rsid w:val="00301217"/>
    <w:rsid w:val="003013EF"/>
    <w:rsid w:val="0030188F"/>
    <w:rsid w:val="00301D0A"/>
    <w:rsid w:val="00301E37"/>
    <w:rsid w:val="00302128"/>
    <w:rsid w:val="00302306"/>
    <w:rsid w:val="003023C2"/>
    <w:rsid w:val="003024FE"/>
    <w:rsid w:val="00302703"/>
    <w:rsid w:val="0030273B"/>
    <w:rsid w:val="00302853"/>
    <w:rsid w:val="0030294F"/>
    <w:rsid w:val="00302E5E"/>
    <w:rsid w:val="00302EA1"/>
    <w:rsid w:val="00303242"/>
    <w:rsid w:val="00303249"/>
    <w:rsid w:val="0030333D"/>
    <w:rsid w:val="00303545"/>
    <w:rsid w:val="003038DB"/>
    <w:rsid w:val="00303BC0"/>
    <w:rsid w:val="00303BC3"/>
    <w:rsid w:val="00303D58"/>
    <w:rsid w:val="00303D69"/>
    <w:rsid w:val="00303F5D"/>
    <w:rsid w:val="00303FA3"/>
    <w:rsid w:val="00304058"/>
    <w:rsid w:val="0030415A"/>
    <w:rsid w:val="00304405"/>
    <w:rsid w:val="00304433"/>
    <w:rsid w:val="0030458D"/>
    <w:rsid w:val="003046C7"/>
    <w:rsid w:val="003048C9"/>
    <w:rsid w:val="00304942"/>
    <w:rsid w:val="00304C8F"/>
    <w:rsid w:val="00304D19"/>
    <w:rsid w:val="00304D26"/>
    <w:rsid w:val="00304D4E"/>
    <w:rsid w:val="00304F3C"/>
    <w:rsid w:val="00304FF8"/>
    <w:rsid w:val="00305098"/>
    <w:rsid w:val="00305119"/>
    <w:rsid w:val="0030511E"/>
    <w:rsid w:val="0030529F"/>
    <w:rsid w:val="003053C8"/>
    <w:rsid w:val="003057A8"/>
    <w:rsid w:val="00305BCF"/>
    <w:rsid w:val="00305E6F"/>
    <w:rsid w:val="00305F35"/>
    <w:rsid w:val="0030615E"/>
    <w:rsid w:val="003064CE"/>
    <w:rsid w:val="003066BC"/>
    <w:rsid w:val="003066E9"/>
    <w:rsid w:val="00306919"/>
    <w:rsid w:val="00306A56"/>
    <w:rsid w:val="00306B86"/>
    <w:rsid w:val="00306D6D"/>
    <w:rsid w:val="00307448"/>
    <w:rsid w:val="003074C5"/>
    <w:rsid w:val="00307678"/>
    <w:rsid w:val="0030782B"/>
    <w:rsid w:val="003079B4"/>
    <w:rsid w:val="00307C05"/>
    <w:rsid w:val="00307C55"/>
    <w:rsid w:val="00307D09"/>
    <w:rsid w:val="00307DEF"/>
    <w:rsid w:val="00307F62"/>
    <w:rsid w:val="00310138"/>
    <w:rsid w:val="0031027B"/>
    <w:rsid w:val="003105A3"/>
    <w:rsid w:val="003107E5"/>
    <w:rsid w:val="00310978"/>
    <w:rsid w:val="00310BD6"/>
    <w:rsid w:val="00310DE6"/>
    <w:rsid w:val="0031115B"/>
    <w:rsid w:val="00311574"/>
    <w:rsid w:val="003115AC"/>
    <w:rsid w:val="00311768"/>
    <w:rsid w:val="003118E7"/>
    <w:rsid w:val="003119A7"/>
    <w:rsid w:val="00311BC8"/>
    <w:rsid w:val="00311D33"/>
    <w:rsid w:val="00311EE1"/>
    <w:rsid w:val="0031200F"/>
    <w:rsid w:val="0031208A"/>
    <w:rsid w:val="003126CA"/>
    <w:rsid w:val="003127C5"/>
    <w:rsid w:val="00313110"/>
    <w:rsid w:val="0031322F"/>
    <w:rsid w:val="00313361"/>
    <w:rsid w:val="003134C5"/>
    <w:rsid w:val="00313664"/>
    <w:rsid w:val="00313754"/>
    <w:rsid w:val="0031380E"/>
    <w:rsid w:val="003138A6"/>
    <w:rsid w:val="00313958"/>
    <w:rsid w:val="00313B78"/>
    <w:rsid w:val="00313C9A"/>
    <w:rsid w:val="00313DD4"/>
    <w:rsid w:val="00314361"/>
    <w:rsid w:val="003143BF"/>
    <w:rsid w:val="00314412"/>
    <w:rsid w:val="00314475"/>
    <w:rsid w:val="0031486F"/>
    <w:rsid w:val="00314936"/>
    <w:rsid w:val="00314A3D"/>
    <w:rsid w:val="00314C37"/>
    <w:rsid w:val="00314DB0"/>
    <w:rsid w:val="00314F90"/>
    <w:rsid w:val="00314FF0"/>
    <w:rsid w:val="003151AC"/>
    <w:rsid w:val="00315238"/>
    <w:rsid w:val="00315247"/>
    <w:rsid w:val="003153B1"/>
    <w:rsid w:val="003156D2"/>
    <w:rsid w:val="00315731"/>
    <w:rsid w:val="00315754"/>
    <w:rsid w:val="0031581C"/>
    <w:rsid w:val="003158D9"/>
    <w:rsid w:val="003159A1"/>
    <w:rsid w:val="00315C6A"/>
    <w:rsid w:val="00315D4B"/>
    <w:rsid w:val="00315E8E"/>
    <w:rsid w:val="00315F85"/>
    <w:rsid w:val="0031617F"/>
    <w:rsid w:val="003161CD"/>
    <w:rsid w:val="00316769"/>
    <w:rsid w:val="0031678B"/>
    <w:rsid w:val="00316DC6"/>
    <w:rsid w:val="0031707F"/>
    <w:rsid w:val="00317101"/>
    <w:rsid w:val="003174C9"/>
    <w:rsid w:val="003175A5"/>
    <w:rsid w:val="00317B87"/>
    <w:rsid w:val="00317C38"/>
    <w:rsid w:val="00317E03"/>
    <w:rsid w:val="0032006F"/>
    <w:rsid w:val="003201A1"/>
    <w:rsid w:val="00320747"/>
    <w:rsid w:val="00320832"/>
    <w:rsid w:val="0032086A"/>
    <w:rsid w:val="00320A7C"/>
    <w:rsid w:val="00320D1A"/>
    <w:rsid w:val="00320FD1"/>
    <w:rsid w:val="00321062"/>
    <w:rsid w:val="00321109"/>
    <w:rsid w:val="0032124F"/>
    <w:rsid w:val="00321523"/>
    <w:rsid w:val="00321560"/>
    <w:rsid w:val="00321690"/>
    <w:rsid w:val="00321758"/>
    <w:rsid w:val="00321823"/>
    <w:rsid w:val="00321B71"/>
    <w:rsid w:val="00321BDA"/>
    <w:rsid w:val="00321EBC"/>
    <w:rsid w:val="00322100"/>
    <w:rsid w:val="00322420"/>
    <w:rsid w:val="003226B9"/>
    <w:rsid w:val="003227C3"/>
    <w:rsid w:val="003228CF"/>
    <w:rsid w:val="00322925"/>
    <w:rsid w:val="00322A8D"/>
    <w:rsid w:val="00322E12"/>
    <w:rsid w:val="00322F3C"/>
    <w:rsid w:val="0032304D"/>
    <w:rsid w:val="0032358B"/>
    <w:rsid w:val="003238F4"/>
    <w:rsid w:val="003239F1"/>
    <w:rsid w:val="00323D94"/>
    <w:rsid w:val="00323E8F"/>
    <w:rsid w:val="00323FC4"/>
    <w:rsid w:val="003240C6"/>
    <w:rsid w:val="0032422A"/>
    <w:rsid w:val="00324397"/>
    <w:rsid w:val="003243D1"/>
    <w:rsid w:val="00324409"/>
    <w:rsid w:val="00324AC4"/>
    <w:rsid w:val="00324BC0"/>
    <w:rsid w:val="00324D77"/>
    <w:rsid w:val="0032547A"/>
    <w:rsid w:val="00325692"/>
    <w:rsid w:val="00325700"/>
    <w:rsid w:val="00325712"/>
    <w:rsid w:val="003257A7"/>
    <w:rsid w:val="00325820"/>
    <w:rsid w:val="00325841"/>
    <w:rsid w:val="003259D7"/>
    <w:rsid w:val="00326321"/>
    <w:rsid w:val="00326451"/>
    <w:rsid w:val="003264CC"/>
    <w:rsid w:val="003268C7"/>
    <w:rsid w:val="00326914"/>
    <w:rsid w:val="00326B3B"/>
    <w:rsid w:val="00326F12"/>
    <w:rsid w:val="0032704C"/>
    <w:rsid w:val="0032709A"/>
    <w:rsid w:val="00327426"/>
    <w:rsid w:val="00327438"/>
    <w:rsid w:val="00327557"/>
    <w:rsid w:val="003277AE"/>
    <w:rsid w:val="00327B11"/>
    <w:rsid w:val="00327BD3"/>
    <w:rsid w:val="00327CAA"/>
    <w:rsid w:val="00327D2E"/>
    <w:rsid w:val="00327DE9"/>
    <w:rsid w:val="00327E99"/>
    <w:rsid w:val="00327EB4"/>
    <w:rsid w:val="00327F5E"/>
    <w:rsid w:val="003301B3"/>
    <w:rsid w:val="0033033D"/>
    <w:rsid w:val="00330372"/>
    <w:rsid w:val="00330385"/>
    <w:rsid w:val="003303CC"/>
    <w:rsid w:val="003308D8"/>
    <w:rsid w:val="00330A02"/>
    <w:rsid w:val="00330C56"/>
    <w:rsid w:val="00330C5C"/>
    <w:rsid w:val="00330F2E"/>
    <w:rsid w:val="00330FF2"/>
    <w:rsid w:val="0033102E"/>
    <w:rsid w:val="0033137B"/>
    <w:rsid w:val="00331401"/>
    <w:rsid w:val="00331AC3"/>
    <w:rsid w:val="00331CEE"/>
    <w:rsid w:val="00331D67"/>
    <w:rsid w:val="00331F91"/>
    <w:rsid w:val="003322F1"/>
    <w:rsid w:val="00332344"/>
    <w:rsid w:val="00332372"/>
    <w:rsid w:val="0033289C"/>
    <w:rsid w:val="00332AFB"/>
    <w:rsid w:val="00332B2F"/>
    <w:rsid w:val="00332B47"/>
    <w:rsid w:val="00332C99"/>
    <w:rsid w:val="00332CF5"/>
    <w:rsid w:val="00332DE5"/>
    <w:rsid w:val="00332F67"/>
    <w:rsid w:val="0033312E"/>
    <w:rsid w:val="00333234"/>
    <w:rsid w:val="00333351"/>
    <w:rsid w:val="00333822"/>
    <w:rsid w:val="00333823"/>
    <w:rsid w:val="003339EC"/>
    <w:rsid w:val="00333B1F"/>
    <w:rsid w:val="00333C6F"/>
    <w:rsid w:val="00333CC8"/>
    <w:rsid w:val="00333DE5"/>
    <w:rsid w:val="003340BC"/>
    <w:rsid w:val="0033414E"/>
    <w:rsid w:val="00334316"/>
    <w:rsid w:val="003343B5"/>
    <w:rsid w:val="003345F8"/>
    <w:rsid w:val="003348FE"/>
    <w:rsid w:val="00334948"/>
    <w:rsid w:val="00334A9A"/>
    <w:rsid w:val="00334CBA"/>
    <w:rsid w:val="00334CDD"/>
    <w:rsid w:val="003351AE"/>
    <w:rsid w:val="00335370"/>
    <w:rsid w:val="003353FE"/>
    <w:rsid w:val="003355D3"/>
    <w:rsid w:val="003356B3"/>
    <w:rsid w:val="0033572C"/>
    <w:rsid w:val="0033577C"/>
    <w:rsid w:val="0033583D"/>
    <w:rsid w:val="00335ED1"/>
    <w:rsid w:val="00335EF7"/>
    <w:rsid w:val="00335FC6"/>
    <w:rsid w:val="00336098"/>
    <w:rsid w:val="0033630C"/>
    <w:rsid w:val="00336438"/>
    <w:rsid w:val="00336498"/>
    <w:rsid w:val="0033674B"/>
    <w:rsid w:val="00336C06"/>
    <w:rsid w:val="00336D88"/>
    <w:rsid w:val="00336FBD"/>
    <w:rsid w:val="00337245"/>
    <w:rsid w:val="00337808"/>
    <w:rsid w:val="00337905"/>
    <w:rsid w:val="00337BD3"/>
    <w:rsid w:val="00337EF8"/>
    <w:rsid w:val="00340110"/>
    <w:rsid w:val="00340174"/>
    <w:rsid w:val="003402AB"/>
    <w:rsid w:val="00340570"/>
    <w:rsid w:val="00340727"/>
    <w:rsid w:val="003407E4"/>
    <w:rsid w:val="0034081B"/>
    <w:rsid w:val="00340C0A"/>
    <w:rsid w:val="00341213"/>
    <w:rsid w:val="00341296"/>
    <w:rsid w:val="0034148E"/>
    <w:rsid w:val="00341557"/>
    <w:rsid w:val="003416A0"/>
    <w:rsid w:val="00341833"/>
    <w:rsid w:val="0034184D"/>
    <w:rsid w:val="0034185E"/>
    <w:rsid w:val="00341A29"/>
    <w:rsid w:val="003421C3"/>
    <w:rsid w:val="003422B3"/>
    <w:rsid w:val="00342333"/>
    <w:rsid w:val="003423C7"/>
    <w:rsid w:val="0034244C"/>
    <w:rsid w:val="003424A0"/>
    <w:rsid w:val="003424AD"/>
    <w:rsid w:val="003425DF"/>
    <w:rsid w:val="00342803"/>
    <w:rsid w:val="00342841"/>
    <w:rsid w:val="003428BA"/>
    <w:rsid w:val="003428F1"/>
    <w:rsid w:val="003429B2"/>
    <w:rsid w:val="00342A4B"/>
    <w:rsid w:val="00342A60"/>
    <w:rsid w:val="00342AEC"/>
    <w:rsid w:val="00342B28"/>
    <w:rsid w:val="00342CBB"/>
    <w:rsid w:val="00342DDC"/>
    <w:rsid w:val="00342F72"/>
    <w:rsid w:val="00342FBC"/>
    <w:rsid w:val="003430E2"/>
    <w:rsid w:val="0034364F"/>
    <w:rsid w:val="0034375A"/>
    <w:rsid w:val="0034379D"/>
    <w:rsid w:val="00343985"/>
    <w:rsid w:val="003439F6"/>
    <w:rsid w:val="00343CB0"/>
    <w:rsid w:val="00343DED"/>
    <w:rsid w:val="00343E5D"/>
    <w:rsid w:val="00343E69"/>
    <w:rsid w:val="00343EB4"/>
    <w:rsid w:val="0034410F"/>
    <w:rsid w:val="00344121"/>
    <w:rsid w:val="00344182"/>
    <w:rsid w:val="0034421C"/>
    <w:rsid w:val="00344317"/>
    <w:rsid w:val="00344359"/>
    <w:rsid w:val="00344774"/>
    <w:rsid w:val="00344983"/>
    <w:rsid w:val="00344A10"/>
    <w:rsid w:val="00344A29"/>
    <w:rsid w:val="00344A80"/>
    <w:rsid w:val="00344BED"/>
    <w:rsid w:val="00345553"/>
    <w:rsid w:val="003456CD"/>
    <w:rsid w:val="003456E6"/>
    <w:rsid w:val="00345ED9"/>
    <w:rsid w:val="00346192"/>
    <w:rsid w:val="003463D1"/>
    <w:rsid w:val="003463D8"/>
    <w:rsid w:val="0034646D"/>
    <w:rsid w:val="003464D6"/>
    <w:rsid w:val="003467E1"/>
    <w:rsid w:val="003469CE"/>
    <w:rsid w:val="00346C15"/>
    <w:rsid w:val="00346C66"/>
    <w:rsid w:val="0034714F"/>
    <w:rsid w:val="003474CE"/>
    <w:rsid w:val="003477AD"/>
    <w:rsid w:val="0034797B"/>
    <w:rsid w:val="00347BE5"/>
    <w:rsid w:val="00347D85"/>
    <w:rsid w:val="00347E31"/>
    <w:rsid w:val="003507DD"/>
    <w:rsid w:val="00350829"/>
    <w:rsid w:val="003508ED"/>
    <w:rsid w:val="00350A8F"/>
    <w:rsid w:val="00350B03"/>
    <w:rsid w:val="00350C0E"/>
    <w:rsid w:val="00350C95"/>
    <w:rsid w:val="00350EA0"/>
    <w:rsid w:val="00351124"/>
    <w:rsid w:val="00351162"/>
    <w:rsid w:val="00351347"/>
    <w:rsid w:val="00351632"/>
    <w:rsid w:val="00351666"/>
    <w:rsid w:val="0035167A"/>
    <w:rsid w:val="003516B1"/>
    <w:rsid w:val="0035171C"/>
    <w:rsid w:val="00351831"/>
    <w:rsid w:val="00351A55"/>
    <w:rsid w:val="00351F7F"/>
    <w:rsid w:val="003522E0"/>
    <w:rsid w:val="003522F5"/>
    <w:rsid w:val="00352429"/>
    <w:rsid w:val="00352432"/>
    <w:rsid w:val="003524E7"/>
    <w:rsid w:val="003525AA"/>
    <w:rsid w:val="0035267F"/>
    <w:rsid w:val="00352751"/>
    <w:rsid w:val="0035284A"/>
    <w:rsid w:val="00352922"/>
    <w:rsid w:val="00352B39"/>
    <w:rsid w:val="00352B55"/>
    <w:rsid w:val="003530FE"/>
    <w:rsid w:val="003531A5"/>
    <w:rsid w:val="003532EE"/>
    <w:rsid w:val="00354177"/>
    <w:rsid w:val="00354193"/>
    <w:rsid w:val="003541C7"/>
    <w:rsid w:val="003547F2"/>
    <w:rsid w:val="003547FA"/>
    <w:rsid w:val="003548FE"/>
    <w:rsid w:val="00354A61"/>
    <w:rsid w:val="00354ABA"/>
    <w:rsid w:val="00354BB4"/>
    <w:rsid w:val="00354F0A"/>
    <w:rsid w:val="003550A4"/>
    <w:rsid w:val="003550BA"/>
    <w:rsid w:val="00355171"/>
    <w:rsid w:val="00355319"/>
    <w:rsid w:val="0035537A"/>
    <w:rsid w:val="003554D2"/>
    <w:rsid w:val="0035580D"/>
    <w:rsid w:val="0035588D"/>
    <w:rsid w:val="00355985"/>
    <w:rsid w:val="00355D0B"/>
    <w:rsid w:val="003562C9"/>
    <w:rsid w:val="003565E0"/>
    <w:rsid w:val="00356887"/>
    <w:rsid w:val="00356915"/>
    <w:rsid w:val="003569DA"/>
    <w:rsid w:val="00356C9F"/>
    <w:rsid w:val="00356E3E"/>
    <w:rsid w:val="00356E75"/>
    <w:rsid w:val="00356F02"/>
    <w:rsid w:val="003570E5"/>
    <w:rsid w:val="0035766F"/>
    <w:rsid w:val="0035781A"/>
    <w:rsid w:val="0035797B"/>
    <w:rsid w:val="00357B39"/>
    <w:rsid w:val="00357CB5"/>
    <w:rsid w:val="00357E8C"/>
    <w:rsid w:val="00360026"/>
    <w:rsid w:val="003600B2"/>
    <w:rsid w:val="00360229"/>
    <w:rsid w:val="003602DC"/>
    <w:rsid w:val="0036040E"/>
    <w:rsid w:val="00360517"/>
    <w:rsid w:val="00360532"/>
    <w:rsid w:val="003605F7"/>
    <w:rsid w:val="0036075B"/>
    <w:rsid w:val="003608E7"/>
    <w:rsid w:val="003609AB"/>
    <w:rsid w:val="00360A27"/>
    <w:rsid w:val="00360AA5"/>
    <w:rsid w:val="00360B57"/>
    <w:rsid w:val="00360D4D"/>
    <w:rsid w:val="00360EB5"/>
    <w:rsid w:val="00360F43"/>
    <w:rsid w:val="0036158F"/>
    <w:rsid w:val="00361995"/>
    <w:rsid w:val="00361A0A"/>
    <w:rsid w:val="00361B3E"/>
    <w:rsid w:val="00361B81"/>
    <w:rsid w:val="00361BDA"/>
    <w:rsid w:val="00361D06"/>
    <w:rsid w:val="00361D3F"/>
    <w:rsid w:val="00361F15"/>
    <w:rsid w:val="00361F8C"/>
    <w:rsid w:val="0036214E"/>
    <w:rsid w:val="00362660"/>
    <w:rsid w:val="003629CC"/>
    <w:rsid w:val="00362BD5"/>
    <w:rsid w:val="00362FD3"/>
    <w:rsid w:val="003635CE"/>
    <w:rsid w:val="003638DB"/>
    <w:rsid w:val="003639FB"/>
    <w:rsid w:val="00363A15"/>
    <w:rsid w:val="00363AB5"/>
    <w:rsid w:val="00363B71"/>
    <w:rsid w:val="00363BF7"/>
    <w:rsid w:val="00363F1B"/>
    <w:rsid w:val="00363F4D"/>
    <w:rsid w:val="0036417B"/>
    <w:rsid w:val="00364264"/>
    <w:rsid w:val="003647DE"/>
    <w:rsid w:val="00364943"/>
    <w:rsid w:val="00364AF6"/>
    <w:rsid w:val="00364D9D"/>
    <w:rsid w:val="003650F3"/>
    <w:rsid w:val="003652B9"/>
    <w:rsid w:val="003654D0"/>
    <w:rsid w:val="00365588"/>
    <w:rsid w:val="003657B1"/>
    <w:rsid w:val="0036586B"/>
    <w:rsid w:val="0036591F"/>
    <w:rsid w:val="003659BE"/>
    <w:rsid w:val="00365B0A"/>
    <w:rsid w:val="00365DDD"/>
    <w:rsid w:val="00365E80"/>
    <w:rsid w:val="00365F32"/>
    <w:rsid w:val="0036601F"/>
    <w:rsid w:val="0036633A"/>
    <w:rsid w:val="00366366"/>
    <w:rsid w:val="003667DE"/>
    <w:rsid w:val="00366905"/>
    <w:rsid w:val="0036695B"/>
    <w:rsid w:val="0036712A"/>
    <w:rsid w:val="003671BF"/>
    <w:rsid w:val="003675CB"/>
    <w:rsid w:val="003678EB"/>
    <w:rsid w:val="00367B23"/>
    <w:rsid w:val="00367B88"/>
    <w:rsid w:val="00367CBE"/>
    <w:rsid w:val="00367E9A"/>
    <w:rsid w:val="00370040"/>
    <w:rsid w:val="00370097"/>
    <w:rsid w:val="00370307"/>
    <w:rsid w:val="0037035D"/>
    <w:rsid w:val="00370821"/>
    <w:rsid w:val="003709A2"/>
    <w:rsid w:val="00370A18"/>
    <w:rsid w:val="00370AA1"/>
    <w:rsid w:val="003710ED"/>
    <w:rsid w:val="00371482"/>
    <w:rsid w:val="003714E6"/>
    <w:rsid w:val="003716B7"/>
    <w:rsid w:val="003717D0"/>
    <w:rsid w:val="00371B79"/>
    <w:rsid w:val="00371D3A"/>
    <w:rsid w:val="0037203E"/>
    <w:rsid w:val="003720EE"/>
    <w:rsid w:val="003720FC"/>
    <w:rsid w:val="00372263"/>
    <w:rsid w:val="003725AA"/>
    <w:rsid w:val="003728BF"/>
    <w:rsid w:val="00372A5B"/>
    <w:rsid w:val="00373038"/>
    <w:rsid w:val="00373491"/>
    <w:rsid w:val="0037349F"/>
    <w:rsid w:val="00373766"/>
    <w:rsid w:val="003739DD"/>
    <w:rsid w:val="00373A9E"/>
    <w:rsid w:val="00373CEA"/>
    <w:rsid w:val="00373E99"/>
    <w:rsid w:val="00374197"/>
    <w:rsid w:val="003741A2"/>
    <w:rsid w:val="00374419"/>
    <w:rsid w:val="00374452"/>
    <w:rsid w:val="00374602"/>
    <w:rsid w:val="00374669"/>
    <w:rsid w:val="0037467D"/>
    <w:rsid w:val="0037473B"/>
    <w:rsid w:val="003747D5"/>
    <w:rsid w:val="00374824"/>
    <w:rsid w:val="00374AC8"/>
    <w:rsid w:val="00374C44"/>
    <w:rsid w:val="00374CAF"/>
    <w:rsid w:val="00374D75"/>
    <w:rsid w:val="00374DC3"/>
    <w:rsid w:val="00374DC6"/>
    <w:rsid w:val="00374F18"/>
    <w:rsid w:val="00374F8A"/>
    <w:rsid w:val="00375094"/>
    <w:rsid w:val="0037526B"/>
    <w:rsid w:val="003752CB"/>
    <w:rsid w:val="00375301"/>
    <w:rsid w:val="003753CE"/>
    <w:rsid w:val="00375A73"/>
    <w:rsid w:val="00375B02"/>
    <w:rsid w:val="00375B3A"/>
    <w:rsid w:val="00375B94"/>
    <w:rsid w:val="00375E08"/>
    <w:rsid w:val="00375EA8"/>
    <w:rsid w:val="00376186"/>
    <w:rsid w:val="0037638B"/>
    <w:rsid w:val="00376396"/>
    <w:rsid w:val="0037645E"/>
    <w:rsid w:val="00376A5C"/>
    <w:rsid w:val="00376B72"/>
    <w:rsid w:val="00376F2E"/>
    <w:rsid w:val="003770BF"/>
    <w:rsid w:val="0037738C"/>
    <w:rsid w:val="00377949"/>
    <w:rsid w:val="003779D0"/>
    <w:rsid w:val="00377BAD"/>
    <w:rsid w:val="00377CAD"/>
    <w:rsid w:val="00377D9A"/>
    <w:rsid w:val="00377E4F"/>
    <w:rsid w:val="00377F68"/>
    <w:rsid w:val="00380060"/>
    <w:rsid w:val="0038016E"/>
    <w:rsid w:val="00380265"/>
    <w:rsid w:val="00380364"/>
    <w:rsid w:val="0038047C"/>
    <w:rsid w:val="00380666"/>
    <w:rsid w:val="003806F2"/>
    <w:rsid w:val="00380746"/>
    <w:rsid w:val="003809D7"/>
    <w:rsid w:val="00380A8D"/>
    <w:rsid w:val="00380B0B"/>
    <w:rsid w:val="00380BB9"/>
    <w:rsid w:val="00380D7D"/>
    <w:rsid w:val="00380D86"/>
    <w:rsid w:val="00380E84"/>
    <w:rsid w:val="00380E94"/>
    <w:rsid w:val="003810E0"/>
    <w:rsid w:val="00381256"/>
    <w:rsid w:val="0038126C"/>
    <w:rsid w:val="003813B0"/>
    <w:rsid w:val="0038147F"/>
    <w:rsid w:val="003814B9"/>
    <w:rsid w:val="003814BB"/>
    <w:rsid w:val="00381562"/>
    <w:rsid w:val="00381685"/>
    <w:rsid w:val="00381750"/>
    <w:rsid w:val="00381F58"/>
    <w:rsid w:val="00382142"/>
    <w:rsid w:val="00382266"/>
    <w:rsid w:val="0038235E"/>
    <w:rsid w:val="00382958"/>
    <w:rsid w:val="00382A53"/>
    <w:rsid w:val="00382AE5"/>
    <w:rsid w:val="00382B0C"/>
    <w:rsid w:val="00382D2B"/>
    <w:rsid w:val="00382FE3"/>
    <w:rsid w:val="0038305E"/>
    <w:rsid w:val="00383170"/>
    <w:rsid w:val="003833B5"/>
    <w:rsid w:val="0038351F"/>
    <w:rsid w:val="0038352D"/>
    <w:rsid w:val="003835FF"/>
    <w:rsid w:val="00383BF4"/>
    <w:rsid w:val="0038400B"/>
    <w:rsid w:val="0038405C"/>
    <w:rsid w:val="00384270"/>
    <w:rsid w:val="003844A3"/>
    <w:rsid w:val="00384584"/>
    <w:rsid w:val="003847ED"/>
    <w:rsid w:val="00384ADE"/>
    <w:rsid w:val="00384DB9"/>
    <w:rsid w:val="00385184"/>
    <w:rsid w:val="003856BD"/>
    <w:rsid w:val="0038587A"/>
    <w:rsid w:val="00385C3E"/>
    <w:rsid w:val="00385E06"/>
    <w:rsid w:val="00386059"/>
    <w:rsid w:val="00386188"/>
    <w:rsid w:val="00386385"/>
    <w:rsid w:val="00386945"/>
    <w:rsid w:val="00386B1E"/>
    <w:rsid w:val="00386BA6"/>
    <w:rsid w:val="00386C24"/>
    <w:rsid w:val="00386DDB"/>
    <w:rsid w:val="00387108"/>
    <w:rsid w:val="0038724E"/>
    <w:rsid w:val="00387553"/>
    <w:rsid w:val="00387596"/>
    <w:rsid w:val="0038762B"/>
    <w:rsid w:val="003878D6"/>
    <w:rsid w:val="0038792E"/>
    <w:rsid w:val="0038797A"/>
    <w:rsid w:val="00387A4A"/>
    <w:rsid w:val="00387BD5"/>
    <w:rsid w:val="0039053F"/>
    <w:rsid w:val="00390A2C"/>
    <w:rsid w:val="00390FB5"/>
    <w:rsid w:val="00391023"/>
    <w:rsid w:val="00391078"/>
    <w:rsid w:val="0039121A"/>
    <w:rsid w:val="00392168"/>
    <w:rsid w:val="003921CD"/>
    <w:rsid w:val="00392268"/>
    <w:rsid w:val="00392270"/>
    <w:rsid w:val="003929D2"/>
    <w:rsid w:val="00392A6D"/>
    <w:rsid w:val="00392BC2"/>
    <w:rsid w:val="00392CCA"/>
    <w:rsid w:val="00393029"/>
    <w:rsid w:val="00393077"/>
    <w:rsid w:val="003932B5"/>
    <w:rsid w:val="00393AD7"/>
    <w:rsid w:val="00393BE1"/>
    <w:rsid w:val="00393E3E"/>
    <w:rsid w:val="00393F81"/>
    <w:rsid w:val="00393FA5"/>
    <w:rsid w:val="0039406E"/>
    <w:rsid w:val="0039411F"/>
    <w:rsid w:val="0039413F"/>
    <w:rsid w:val="003943C3"/>
    <w:rsid w:val="00394432"/>
    <w:rsid w:val="0039449F"/>
    <w:rsid w:val="003944A3"/>
    <w:rsid w:val="003946B9"/>
    <w:rsid w:val="0039476E"/>
    <w:rsid w:val="003947A9"/>
    <w:rsid w:val="003947D3"/>
    <w:rsid w:val="003948B7"/>
    <w:rsid w:val="0039499E"/>
    <w:rsid w:val="00394B51"/>
    <w:rsid w:val="003950D6"/>
    <w:rsid w:val="003953BE"/>
    <w:rsid w:val="003957BB"/>
    <w:rsid w:val="003958B0"/>
    <w:rsid w:val="003958FF"/>
    <w:rsid w:val="00395CB2"/>
    <w:rsid w:val="00396038"/>
    <w:rsid w:val="003962CD"/>
    <w:rsid w:val="003963FF"/>
    <w:rsid w:val="0039640B"/>
    <w:rsid w:val="003965C0"/>
    <w:rsid w:val="003966D5"/>
    <w:rsid w:val="003966EC"/>
    <w:rsid w:val="00396894"/>
    <w:rsid w:val="00396899"/>
    <w:rsid w:val="00396935"/>
    <w:rsid w:val="00396997"/>
    <w:rsid w:val="00396A4C"/>
    <w:rsid w:val="00396BE3"/>
    <w:rsid w:val="0039743E"/>
    <w:rsid w:val="00397473"/>
    <w:rsid w:val="0039749B"/>
    <w:rsid w:val="003974ED"/>
    <w:rsid w:val="00397A8D"/>
    <w:rsid w:val="00397A95"/>
    <w:rsid w:val="00397AEC"/>
    <w:rsid w:val="00397BBC"/>
    <w:rsid w:val="00397CAC"/>
    <w:rsid w:val="00397D16"/>
    <w:rsid w:val="00397FD8"/>
    <w:rsid w:val="003A022B"/>
    <w:rsid w:val="003A0403"/>
    <w:rsid w:val="003A091A"/>
    <w:rsid w:val="003A0BA7"/>
    <w:rsid w:val="003A0D0B"/>
    <w:rsid w:val="003A0E26"/>
    <w:rsid w:val="003A10F8"/>
    <w:rsid w:val="003A1301"/>
    <w:rsid w:val="003A148F"/>
    <w:rsid w:val="003A1709"/>
    <w:rsid w:val="003A1B94"/>
    <w:rsid w:val="003A1EE5"/>
    <w:rsid w:val="003A25B4"/>
    <w:rsid w:val="003A27BB"/>
    <w:rsid w:val="003A280A"/>
    <w:rsid w:val="003A285E"/>
    <w:rsid w:val="003A2951"/>
    <w:rsid w:val="003A297C"/>
    <w:rsid w:val="003A2BDF"/>
    <w:rsid w:val="003A2C5E"/>
    <w:rsid w:val="003A2FE5"/>
    <w:rsid w:val="003A31F5"/>
    <w:rsid w:val="003A33A5"/>
    <w:rsid w:val="003A35D6"/>
    <w:rsid w:val="003A37B1"/>
    <w:rsid w:val="003A3A69"/>
    <w:rsid w:val="003A3AE2"/>
    <w:rsid w:val="003A3D4B"/>
    <w:rsid w:val="003A3FF6"/>
    <w:rsid w:val="003A43CA"/>
    <w:rsid w:val="003A4473"/>
    <w:rsid w:val="003A4780"/>
    <w:rsid w:val="003A47B1"/>
    <w:rsid w:val="003A4E51"/>
    <w:rsid w:val="003A5077"/>
    <w:rsid w:val="003A5224"/>
    <w:rsid w:val="003A557B"/>
    <w:rsid w:val="003A5614"/>
    <w:rsid w:val="003A56A1"/>
    <w:rsid w:val="003A5BC5"/>
    <w:rsid w:val="003A5C82"/>
    <w:rsid w:val="003A5CF2"/>
    <w:rsid w:val="003A5D19"/>
    <w:rsid w:val="003A5E4A"/>
    <w:rsid w:val="003A5F4E"/>
    <w:rsid w:val="003A602C"/>
    <w:rsid w:val="003A6464"/>
    <w:rsid w:val="003A6592"/>
    <w:rsid w:val="003A68A9"/>
    <w:rsid w:val="003A69B7"/>
    <w:rsid w:val="003A6A4E"/>
    <w:rsid w:val="003A6DDA"/>
    <w:rsid w:val="003A6EE5"/>
    <w:rsid w:val="003A6F45"/>
    <w:rsid w:val="003A6F75"/>
    <w:rsid w:val="003A70CB"/>
    <w:rsid w:val="003A72FF"/>
    <w:rsid w:val="003A7348"/>
    <w:rsid w:val="003A782B"/>
    <w:rsid w:val="003A78AD"/>
    <w:rsid w:val="003A7B65"/>
    <w:rsid w:val="003A7C31"/>
    <w:rsid w:val="003A7D2D"/>
    <w:rsid w:val="003B03BF"/>
    <w:rsid w:val="003B0665"/>
    <w:rsid w:val="003B0BB8"/>
    <w:rsid w:val="003B0E9B"/>
    <w:rsid w:val="003B1620"/>
    <w:rsid w:val="003B1661"/>
    <w:rsid w:val="003B1919"/>
    <w:rsid w:val="003B194E"/>
    <w:rsid w:val="003B20CA"/>
    <w:rsid w:val="003B2174"/>
    <w:rsid w:val="003B2354"/>
    <w:rsid w:val="003B2644"/>
    <w:rsid w:val="003B2A09"/>
    <w:rsid w:val="003B2A25"/>
    <w:rsid w:val="003B2E43"/>
    <w:rsid w:val="003B2FCF"/>
    <w:rsid w:val="003B3083"/>
    <w:rsid w:val="003B317B"/>
    <w:rsid w:val="003B345F"/>
    <w:rsid w:val="003B34C0"/>
    <w:rsid w:val="003B3859"/>
    <w:rsid w:val="003B3DDA"/>
    <w:rsid w:val="003B3EC4"/>
    <w:rsid w:val="003B3FD2"/>
    <w:rsid w:val="003B4059"/>
    <w:rsid w:val="003B4407"/>
    <w:rsid w:val="003B440E"/>
    <w:rsid w:val="003B453B"/>
    <w:rsid w:val="003B46C7"/>
    <w:rsid w:val="003B4767"/>
    <w:rsid w:val="003B4F6B"/>
    <w:rsid w:val="003B5049"/>
    <w:rsid w:val="003B51D0"/>
    <w:rsid w:val="003B5254"/>
    <w:rsid w:val="003B533E"/>
    <w:rsid w:val="003B55D1"/>
    <w:rsid w:val="003B5747"/>
    <w:rsid w:val="003B580F"/>
    <w:rsid w:val="003B5CF5"/>
    <w:rsid w:val="003B5EC2"/>
    <w:rsid w:val="003B61CF"/>
    <w:rsid w:val="003B6230"/>
    <w:rsid w:val="003B62BD"/>
    <w:rsid w:val="003B63DD"/>
    <w:rsid w:val="003B641B"/>
    <w:rsid w:val="003B642F"/>
    <w:rsid w:val="003B647E"/>
    <w:rsid w:val="003B64E1"/>
    <w:rsid w:val="003B673D"/>
    <w:rsid w:val="003B6914"/>
    <w:rsid w:val="003B6A7F"/>
    <w:rsid w:val="003B6B84"/>
    <w:rsid w:val="003B6F88"/>
    <w:rsid w:val="003B730A"/>
    <w:rsid w:val="003B762E"/>
    <w:rsid w:val="003B7840"/>
    <w:rsid w:val="003B7AF0"/>
    <w:rsid w:val="003B7B9F"/>
    <w:rsid w:val="003B7CC3"/>
    <w:rsid w:val="003B7D0D"/>
    <w:rsid w:val="003B7EB5"/>
    <w:rsid w:val="003B7EEB"/>
    <w:rsid w:val="003B7F41"/>
    <w:rsid w:val="003C0183"/>
    <w:rsid w:val="003C0246"/>
    <w:rsid w:val="003C0B0E"/>
    <w:rsid w:val="003C0EB4"/>
    <w:rsid w:val="003C1054"/>
    <w:rsid w:val="003C13C9"/>
    <w:rsid w:val="003C1617"/>
    <w:rsid w:val="003C175D"/>
    <w:rsid w:val="003C195B"/>
    <w:rsid w:val="003C1B35"/>
    <w:rsid w:val="003C1CFB"/>
    <w:rsid w:val="003C248C"/>
    <w:rsid w:val="003C2577"/>
    <w:rsid w:val="003C28C6"/>
    <w:rsid w:val="003C2AD0"/>
    <w:rsid w:val="003C2BBD"/>
    <w:rsid w:val="003C2C46"/>
    <w:rsid w:val="003C2F98"/>
    <w:rsid w:val="003C32A6"/>
    <w:rsid w:val="003C3379"/>
    <w:rsid w:val="003C34FE"/>
    <w:rsid w:val="003C3AE8"/>
    <w:rsid w:val="003C3BB5"/>
    <w:rsid w:val="003C3E77"/>
    <w:rsid w:val="003C3E86"/>
    <w:rsid w:val="003C4066"/>
    <w:rsid w:val="003C40B4"/>
    <w:rsid w:val="003C4264"/>
    <w:rsid w:val="003C43EC"/>
    <w:rsid w:val="003C4448"/>
    <w:rsid w:val="003C4673"/>
    <w:rsid w:val="003C46AD"/>
    <w:rsid w:val="003C4A4F"/>
    <w:rsid w:val="003C4D1E"/>
    <w:rsid w:val="003C4E99"/>
    <w:rsid w:val="003C4ED6"/>
    <w:rsid w:val="003C500A"/>
    <w:rsid w:val="003C529F"/>
    <w:rsid w:val="003C57AC"/>
    <w:rsid w:val="003C57C8"/>
    <w:rsid w:val="003C5836"/>
    <w:rsid w:val="003C5C85"/>
    <w:rsid w:val="003C5FC9"/>
    <w:rsid w:val="003C61C4"/>
    <w:rsid w:val="003C63D3"/>
    <w:rsid w:val="003C69BD"/>
    <w:rsid w:val="003C6BC7"/>
    <w:rsid w:val="003C6BE6"/>
    <w:rsid w:val="003C6C9E"/>
    <w:rsid w:val="003C6D96"/>
    <w:rsid w:val="003C6F11"/>
    <w:rsid w:val="003C7449"/>
    <w:rsid w:val="003C758E"/>
    <w:rsid w:val="003C762C"/>
    <w:rsid w:val="003C762E"/>
    <w:rsid w:val="003C7AF1"/>
    <w:rsid w:val="003C7B18"/>
    <w:rsid w:val="003C7B75"/>
    <w:rsid w:val="003C7BE5"/>
    <w:rsid w:val="003D0022"/>
    <w:rsid w:val="003D01B7"/>
    <w:rsid w:val="003D01E8"/>
    <w:rsid w:val="003D0782"/>
    <w:rsid w:val="003D0B52"/>
    <w:rsid w:val="003D1093"/>
    <w:rsid w:val="003D10D8"/>
    <w:rsid w:val="003D141D"/>
    <w:rsid w:val="003D1448"/>
    <w:rsid w:val="003D1621"/>
    <w:rsid w:val="003D191E"/>
    <w:rsid w:val="003D1AC3"/>
    <w:rsid w:val="003D1ADC"/>
    <w:rsid w:val="003D1BB5"/>
    <w:rsid w:val="003D1BEF"/>
    <w:rsid w:val="003D1D95"/>
    <w:rsid w:val="003D1EEC"/>
    <w:rsid w:val="003D1EF2"/>
    <w:rsid w:val="003D1F44"/>
    <w:rsid w:val="003D2137"/>
    <w:rsid w:val="003D213E"/>
    <w:rsid w:val="003D22D2"/>
    <w:rsid w:val="003D23C6"/>
    <w:rsid w:val="003D282C"/>
    <w:rsid w:val="003D2A10"/>
    <w:rsid w:val="003D2DC9"/>
    <w:rsid w:val="003D2DF9"/>
    <w:rsid w:val="003D3000"/>
    <w:rsid w:val="003D33E2"/>
    <w:rsid w:val="003D3535"/>
    <w:rsid w:val="003D3537"/>
    <w:rsid w:val="003D3546"/>
    <w:rsid w:val="003D35E6"/>
    <w:rsid w:val="003D3A06"/>
    <w:rsid w:val="003D3CB2"/>
    <w:rsid w:val="003D3D91"/>
    <w:rsid w:val="003D3DDC"/>
    <w:rsid w:val="003D3EC2"/>
    <w:rsid w:val="003D409B"/>
    <w:rsid w:val="003D42EE"/>
    <w:rsid w:val="003D462E"/>
    <w:rsid w:val="003D4708"/>
    <w:rsid w:val="003D472C"/>
    <w:rsid w:val="003D477A"/>
    <w:rsid w:val="003D4BE4"/>
    <w:rsid w:val="003D4D86"/>
    <w:rsid w:val="003D52A9"/>
    <w:rsid w:val="003D5469"/>
    <w:rsid w:val="003D5847"/>
    <w:rsid w:val="003D601F"/>
    <w:rsid w:val="003D614C"/>
    <w:rsid w:val="003D619A"/>
    <w:rsid w:val="003D63DF"/>
    <w:rsid w:val="003D6556"/>
    <w:rsid w:val="003D6611"/>
    <w:rsid w:val="003D7077"/>
    <w:rsid w:val="003D7078"/>
    <w:rsid w:val="003D73C6"/>
    <w:rsid w:val="003D758E"/>
    <w:rsid w:val="003D7C86"/>
    <w:rsid w:val="003D7CF9"/>
    <w:rsid w:val="003E01B9"/>
    <w:rsid w:val="003E0352"/>
    <w:rsid w:val="003E05BD"/>
    <w:rsid w:val="003E0976"/>
    <w:rsid w:val="003E0A15"/>
    <w:rsid w:val="003E0AE5"/>
    <w:rsid w:val="003E0C71"/>
    <w:rsid w:val="003E0C99"/>
    <w:rsid w:val="003E0D37"/>
    <w:rsid w:val="003E0D79"/>
    <w:rsid w:val="003E0DEF"/>
    <w:rsid w:val="003E134E"/>
    <w:rsid w:val="003E14BE"/>
    <w:rsid w:val="003E1629"/>
    <w:rsid w:val="003E167F"/>
    <w:rsid w:val="003E182D"/>
    <w:rsid w:val="003E1937"/>
    <w:rsid w:val="003E19D9"/>
    <w:rsid w:val="003E1A30"/>
    <w:rsid w:val="003E1AFB"/>
    <w:rsid w:val="003E213F"/>
    <w:rsid w:val="003E239F"/>
    <w:rsid w:val="003E25F0"/>
    <w:rsid w:val="003E26B2"/>
    <w:rsid w:val="003E271A"/>
    <w:rsid w:val="003E2750"/>
    <w:rsid w:val="003E2AB1"/>
    <w:rsid w:val="003E2B86"/>
    <w:rsid w:val="003E2D26"/>
    <w:rsid w:val="003E2FE5"/>
    <w:rsid w:val="003E3046"/>
    <w:rsid w:val="003E31C1"/>
    <w:rsid w:val="003E3205"/>
    <w:rsid w:val="003E32E1"/>
    <w:rsid w:val="003E32FE"/>
    <w:rsid w:val="003E345C"/>
    <w:rsid w:val="003E35E0"/>
    <w:rsid w:val="003E3615"/>
    <w:rsid w:val="003E3F41"/>
    <w:rsid w:val="003E411A"/>
    <w:rsid w:val="003E4268"/>
    <w:rsid w:val="003E456D"/>
    <w:rsid w:val="003E4B6B"/>
    <w:rsid w:val="003E4CA2"/>
    <w:rsid w:val="003E4EF0"/>
    <w:rsid w:val="003E5003"/>
    <w:rsid w:val="003E50A1"/>
    <w:rsid w:val="003E5127"/>
    <w:rsid w:val="003E536E"/>
    <w:rsid w:val="003E542F"/>
    <w:rsid w:val="003E5582"/>
    <w:rsid w:val="003E5699"/>
    <w:rsid w:val="003E569A"/>
    <w:rsid w:val="003E592F"/>
    <w:rsid w:val="003E5C4C"/>
    <w:rsid w:val="003E5D85"/>
    <w:rsid w:val="003E5F33"/>
    <w:rsid w:val="003E6044"/>
    <w:rsid w:val="003E6049"/>
    <w:rsid w:val="003E6615"/>
    <w:rsid w:val="003E6917"/>
    <w:rsid w:val="003E694D"/>
    <w:rsid w:val="003E6CD0"/>
    <w:rsid w:val="003E74C3"/>
    <w:rsid w:val="003E74DF"/>
    <w:rsid w:val="003E79F9"/>
    <w:rsid w:val="003E7AD5"/>
    <w:rsid w:val="003E7B39"/>
    <w:rsid w:val="003E7C34"/>
    <w:rsid w:val="003E7C4E"/>
    <w:rsid w:val="003F0266"/>
    <w:rsid w:val="003F0644"/>
    <w:rsid w:val="003F06E0"/>
    <w:rsid w:val="003F076E"/>
    <w:rsid w:val="003F083C"/>
    <w:rsid w:val="003F0851"/>
    <w:rsid w:val="003F08C4"/>
    <w:rsid w:val="003F0949"/>
    <w:rsid w:val="003F09DF"/>
    <w:rsid w:val="003F0A9E"/>
    <w:rsid w:val="003F0C38"/>
    <w:rsid w:val="003F0D7C"/>
    <w:rsid w:val="003F10A0"/>
    <w:rsid w:val="003F1223"/>
    <w:rsid w:val="003F12E9"/>
    <w:rsid w:val="003F177A"/>
    <w:rsid w:val="003F1A02"/>
    <w:rsid w:val="003F1AB9"/>
    <w:rsid w:val="003F1BBE"/>
    <w:rsid w:val="003F1BEC"/>
    <w:rsid w:val="003F1C13"/>
    <w:rsid w:val="003F1CBA"/>
    <w:rsid w:val="003F1EEB"/>
    <w:rsid w:val="003F1FD6"/>
    <w:rsid w:val="003F212F"/>
    <w:rsid w:val="003F2416"/>
    <w:rsid w:val="003F26FE"/>
    <w:rsid w:val="003F2909"/>
    <w:rsid w:val="003F2A44"/>
    <w:rsid w:val="003F2ABB"/>
    <w:rsid w:val="003F2C11"/>
    <w:rsid w:val="003F301F"/>
    <w:rsid w:val="003F3377"/>
    <w:rsid w:val="003F33B7"/>
    <w:rsid w:val="003F34D0"/>
    <w:rsid w:val="003F364C"/>
    <w:rsid w:val="003F3780"/>
    <w:rsid w:val="003F37FD"/>
    <w:rsid w:val="003F3854"/>
    <w:rsid w:val="003F39AE"/>
    <w:rsid w:val="003F3A52"/>
    <w:rsid w:val="003F3CE3"/>
    <w:rsid w:val="003F3DAB"/>
    <w:rsid w:val="003F3EF1"/>
    <w:rsid w:val="003F403C"/>
    <w:rsid w:val="003F4503"/>
    <w:rsid w:val="003F4566"/>
    <w:rsid w:val="003F45B2"/>
    <w:rsid w:val="003F4679"/>
    <w:rsid w:val="003F47F9"/>
    <w:rsid w:val="003F4B62"/>
    <w:rsid w:val="003F4BB6"/>
    <w:rsid w:val="003F598C"/>
    <w:rsid w:val="003F59F4"/>
    <w:rsid w:val="003F5A05"/>
    <w:rsid w:val="003F5A1D"/>
    <w:rsid w:val="003F5A66"/>
    <w:rsid w:val="003F5B16"/>
    <w:rsid w:val="003F5CD7"/>
    <w:rsid w:val="003F5CD8"/>
    <w:rsid w:val="003F5D55"/>
    <w:rsid w:val="003F5FDD"/>
    <w:rsid w:val="003F6086"/>
    <w:rsid w:val="003F6091"/>
    <w:rsid w:val="003F60E1"/>
    <w:rsid w:val="003F62DD"/>
    <w:rsid w:val="003F648C"/>
    <w:rsid w:val="003F6633"/>
    <w:rsid w:val="003F66FD"/>
    <w:rsid w:val="003F672A"/>
    <w:rsid w:val="003F67C1"/>
    <w:rsid w:val="003F68F5"/>
    <w:rsid w:val="003F6A3A"/>
    <w:rsid w:val="003F7000"/>
    <w:rsid w:val="003F71EE"/>
    <w:rsid w:val="003F757E"/>
    <w:rsid w:val="003F764A"/>
    <w:rsid w:val="003F7F49"/>
    <w:rsid w:val="004002C0"/>
    <w:rsid w:val="004002DC"/>
    <w:rsid w:val="0040032A"/>
    <w:rsid w:val="0040033C"/>
    <w:rsid w:val="00400490"/>
    <w:rsid w:val="00400491"/>
    <w:rsid w:val="00400494"/>
    <w:rsid w:val="004004F6"/>
    <w:rsid w:val="0040060E"/>
    <w:rsid w:val="0040078F"/>
    <w:rsid w:val="00400938"/>
    <w:rsid w:val="00400949"/>
    <w:rsid w:val="0040098A"/>
    <w:rsid w:val="00400CA9"/>
    <w:rsid w:val="00400FE3"/>
    <w:rsid w:val="0040106F"/>
    <w:rsid w:val="004010AA"/>
    <w:rsid w:val="00401546"/>
    <w:rsid w:val="00401626"/>
    <w:rsid w:val="004017DF"/>
    <w:rsid w:val="00401A68"/>
    <w:rsid w:val="00401B69"/>
    <w:rsid w:val="004020F4"/>
    <w:rsid w:val="0040214B"/>
    <w:rsid w:val="004021FF"/>
    <w:rsid w:val="00402280"/>
    <w:rsid w:val="00402B37"/>
    <w:rsid w:val="00402BA1"/>
    <w:rsid w:val="00402DC6"/>
    <w:rsid w:val="00402E7A"/>
    <w:rsid w:val="0040313C"/>
    <w:rsid w:val="00403242"/>
    <w:rsid w:val="004033F3"/>
    <w:rsid w:val="0040351E"/>
    <w:rsid w:val="004035F3"/>
    <w:rsid w:val="00403882"/>
    <w:rsid w:val="00403A03"/>
    <w:rsid w:val="00403ACE"/>
    <w:rsid w:val="004041A7"/>
    <w:rsid w:val="00404A68"/>
    <w:rsid w:val="00404CA8"/>
    <w:rsid w:val="00404D94"/>
    <w:rsid w:val="00404DCD"/>
    <w:rsid w:val="00404E22"/>
    <w:rsid w:val="00405255"/>
    <w:rsid w:val="0040548B"/>
    <w:rsid w:val="004054A8"/>
    <w:rsid w:val="004055B0"/>
    <w:rsid w:val="004055FB"/>
    <w:rsid w:val="004057E2"/>
    <w:rsid w:val="00405AE6"/>
    <w:rsid w:val="00405BD1"/>
    <w:rsid w:val="00405CCB"/>
    <w:rsid w:val="00405E0D"/>
    <w:rsid w:val="00405EA9"/>
    <w:rsid w:val="00406145"/>
    <w:rsid w:val="0040646D"/>
    <w:rsid w:val="00406500"/>
    <w:rsid w:val="0040651A"/>
    <w:rsid w:val="0040667E"/>
    <w:rsid w:val="00406A86"/>
    <w:rsid w:val="00406AC1"/>
    <w:rsid w:val="00406FA4"/>
    <w:rsid w:val="00406FFC"/>
    <w:rsid w:val="004071CF"/>
    <w:rsid w:val="004073C4"/>
    <w:rsid w:val="00407441"/>
    <w:rsid w:val="004076F3"/>
    <w:rsid w:val="004077D6"/>
    <w:rsid w:val="0040780E"/>
    <w:rsid w:val="00407867"/>
    <w:rsid w:val="00407B81"/>
    <w:rsid w:val="00407BB2"/>
    <w:rsid w:val="00407C0D"/>
    <w:rsid w:val="004104BE"/>
    <w:rsid w:val="00410883"/>
    <w:rsid w:val="00410A5C"/>
    <w:rsid w:val="00410BE5"/>
    <w:rsid w:val="00410C9B"/>
    <w:rsid w:val="00411033"/>
    <w:rsid w:val="0041120F"/>
    <w:rsid w:val="00411317"/>
    <w:rsid w:val="004115E1"/>
    <w:rsid w:val="004116F3"/>
    <w:rsid w:val="004117A8"/>
    <w:rsid w:val="00411A45"/>
    <w:rsid w:val="00411A53"/>
    <w:rsid w:val="00411B0E"/>
    <w:rsid w:val="00411BEF"/>
    <w:rsid w:val="00411D7A"/>
    <w:rsid w:val="00411DA2"/>
    <w:rsid w:val="00411F5D"/>
    <w:rsid w:val="00412194"/>
    <w:rsid w:val="004121E7"/>
    <w:rsid w:val="00412B90"/>
    <w:rsid w:val="00412C39"/>
    <w:rsid w:val="0041312D"/>
    <w:rsid w:val="004136A9"/>
    <w:rsid w:val="00413B58"/>
    <w:rsid w:val="00413BB2"/>
    <w:rsid w:val="00414116"/>
    <w:rsid w:val="00414334"/>
    <w:rsid w:val="00414567"/>
    <w:rsid w:val="00414665"/>
    <w:rsid w:val="00414673"/>
    <w:rsid w:val="0041470C"/>
    <w:rsid w:val="0041471E"/>
    <w:rsid w:val="0041473B"/>
    <w:rsid w:val="00414753"/>
    <w:rsid w:val="0041478B"/>
    <w:rsid w:val="004147D6"/>
    <w:rsid w:val="004148B5"/>
    <w:rsid w:val="00414B30"/>
    <w:rsid w:val="00414BA6"/>
    <w:rsid w:val="00414C6B"/>
    <w:rsid w:val="00414E51"/>
    <w:rsid w:val="00414E5C"/>
    <w:rsid w:val="0041502B"/>
    <w:rsid w:val="0041517D"/>
    <w:rsid w:val="004151EC"/>
    <w:rsid w:val="0041527F"/>
    <w:rsid w:val="004152E6"/>
    <w:rsid w:val="00415514"/>
    <w:rsid w:val="00415AF8"/>
    <w:rsid w:val="00415D9B"/>
    <w:rsid w:val="00416093"/>
    <w:rsid w:val="004160A5"/>
    <w:rsid w:val="0041622E"/>
    <w:rsid w:val="004162D3"/>
    <w:rsid w:val="00416422"/>
    <w:rsid w:val="00416512"/>
    <w:rsid w:val="0041669A"/>
    <w:rsid w:val="004167C7"/>
    <w:rsid w:val="004167DB"/>
    <w:rsid w:val="00416CA7"/>
    <w:rsid w:val="00416CC7"/>
    <w:rsid w:val="00416D3C"/>
    <w:rsid w:val="00416DAA"/>
    <w:rsid w:val="00416E56"/>
    <w:rsid w:val="00416E86"/>
    <w:rsid w:val="0041705A"/>
    <w:rsid w:val="004171F1"/>
    <w:rsid w:val="00417321"/>
    <w:rsid w:val="00417347"/>
    <w:rsid w:val="004173A0"/>
    <w:rsid w:val="0041747D"/>
    <w:rsid w:val="004175FD"/>
    <w:rsid w:val="0041760B"/>
    <w:rsid w:val="00417775"/>
    <w:rsid w:val="004177AF"/>
    <w:rsid w:val="00417931"/>
    <w:rsid w:val="00417963"/>
    <w:rsid w:val="004179E2"/>
    <w:rsid w:val="00417AF6"/>
    <w:rsid w:val="00417E60"/>
    <w:rsid w:val="0042027A"/>
    <w:rsid w:val="004202E1"/>
    <w:rsid w:val="004203EF"/>
    <w:rsid w:val="00420435"/>
    <w:rsid w:val="004206EF"/>
    <w:rsid w:val="0042094B"/>
    <w:rsid w:val="00420F04"/>
    <w:rsid w:val="0042105B"/>
    <w:rsid w:val="004210BA"/>
    <w:rsid w:val="004210EC"/>
    <w:rsid w:val="004213A2"/>
    <w:rsid w:val="004213A6"/>
    <w:rsid w:val="004214FC"/>
    <w:rsid w:val="00421870"/>
    <w:rsid w:val="004224EF"/>
    <w:rsid w:val="00422553"/>
    <w:rsid w:val="00422615"/>
    <w:rsid w:val="004228C6"/>
    <w:rsid w:val="00422B12"/>
    <w:rsid w:val="00422B5C"/>
    <w:rsid w:val="00422D03"/>
    <w:rsid w:val="00423099"/>
    <w:rsid w:val="0042347C"/>
    <w:rsid w:val="00423710"/>
    <w:rsid w:val="004238BB"/>
    <w:rsid w:val="00423CBD"/>
    <w:rsid w:val="004240A9"/>
    <w:rsid w:val="004241CE"/>
    <w:rsid w:val="00424200"/>
    <w:rsid w:val="004244EF"/>
    <w:rsid w:val="00424564"/>
    <w:rsid w:val="00424B16"/>
    <w:rsid w:val="00424D0A"/>
    <w:rsid w:val="00424E79"/>
    <w:rsid w:val="00424FA9"/>
    <w:rsid w:val="004250C7"/>
    <w:rsid w:val="0042558E"/>
    <w:rsid w:val="00425928"/>
    <w:rsid w:val="00425BA1"/>
    <w:rsid w:val="00425BA2"/>
    <w:rsid w:val="00425BE4"/>
    <w:rsid w:val="00425E7E"/>
    <w:rsid w:val="00426008"/>
    <w:rsid w:val="00426178"/>
    <w:rsid w:val="004261AB"/>
    <w:rsid w:val="00426437"/>
    <w:rsid w:val="0042661C"/>
    <w:rsid w:val="00426955"/>
    <w:rsid w:val="00426C49"/>
    <w:rsid w:val="0042718E"/>
    <w:rsid w:val="00427271"/>
    <w:rsid w:val="004274B3"/>
    <w:rsid w:val="004274D2"/>
    <w:rsid w:val="00427688"/>
    <w:rsid w:val="004276D9"/>
    <w:rsid w:val="00427808"/>
    <w:rsid w:val="00427944"/>
    <w:rsid w:val="004279C8"/>
    <w:rsid w:val="00427B9A"/>
    <w:rsid w:val="00427CAB"/>
    <w:rsid w:val="00427DB1"/>
    <w:rsid w:val="00427EF5"/>
    <w:rsid w:val="00427F27"/>
    <w:rsid w:val="0043009C"/>
    <w:rsid w:val="00430294"/>
    <w:rsid w:val="004303AB"/>
    <w:rsid w:val="0043044F"/>
    <w:rsid w:val="00430487"/>
    <w:rsid w:val="0043062E"/>
    <w:rsid w:val="00430734"/>
    <w:rsid w:val="0043076A"/>
    <w:rsid w:val="00430906"/>
    <w:rsid w:val="00430BDD"/>
    <w:rsid w:val="0043113F"/>
    <w:rsid w:val="004313A1"/>
    <w:rsid w:val="004313D3"/>
    <w:rsid w:val="00431785"/>
    <w:rsid w:val="00431B17"/>
    <w:rsid w:val="00431C9B"/>
    <w:rsid w:val="00432048"/>
    <w:rsid w:val="004323EB"/>
    <w:rsid w:val="004324F9"/>
    <w:rsid w:val="00432540"/>
    <w:rsid w:val="004325C6"/>
    <w:rsid w:val="004325D7"/>
    <w:rsid w:val="00432D78"/>
    <w:rsid w:val="00432E48"/>
    <w:rsid w:val="00432ED2"/>
    <w:rsid w:val="0043314B"/>
    <w:rsid w:val="00433161"/>
    <w:rsid w:val="004331C2"/>
    <w:rsid w:val="004332B3"/>
    <w:rsid w:val="00433469"/>
    <w:rsid w:val="00433529"/>
    <w:rsid w:val="00433559"/>
    <w:rsid w:val="0043362C"/>
    <w:rsid w:val="004336F0"/>
    <w:rsid w:val="00433C2A"/>
    <w:rsid w:val="00433C78"/>
    <w:rsid w:val="00433F36"/>
    <w:rsid w:val="00433F90"/>
    <w:rsid w:val="00433FEE"/>
    <w:rsid w:val="004340ED"/>
    <w:rsid w:val="004341B3"/>
    <w:rsid w:val="004342B1"/>
    <w:rsid w:val="004344BF"/>
    <w:rsid w:val="0043452F"/>
    <w:rsid w:val="004345D6"/>
    <w:rsid w:val="00434660"/>
    <w:rsid w:val="00434B15"/>
    <w:rsid w:val="00434B64"/>
    <w:rsid w:val="00434C51"/>
    <w:rsid w:val="0043533B"/>
    <w:rsid w:val="0043544D"/>
    <w:rsid w:val="00435A21"/>
    <w:rsid w:val="00435A59"/>
    <w:rsid w:val="00435CB8"/>
    <w:rsid w:val="0043612F"/>
    <w:rsid w:val="00436217"/>
    <w:rsid w:val="00436227"/>
    <w:rsid w:val="0043632B"/>
    <w:rsid w:val="00436624"/>
    <w:rsid w:val="00436A5C"/>
    <w:rsid w:val="00436E6C"/>
    <w:rsid w:val="00436FDF"/>
    <w:rsid w:val="00437057"/>
    <w:rsid w:val="00437075"/>
    <w:rsid w:val="004370C2"/>
    <w:rsid w:val="00437135"/>
    <w:rsid w:val="004373E8"/>
    <w:rsid w:val="004375B3"/>
    <w:rsid w:val="00437B99"/>
    <w:rsid w:val="00440360"/>
    <w:rsid w:val="004403F7"/>
    <w:rsid w:val="00440434"/>
    <w:rsid w:val="00440B33"/>
    <w:rsid w:val="00440B7C"/>
    <w:rsid w:val="00440C8C"/>
    <w:rsid w:val="004412FA"/>
    <w:rsid w:val="0044167F"/>
    <w:rsid w:val="004416E9"/>
    <w:rsid w:val="0044175C"/>
    <w:rsid w:val="004417DA"/>
    <w:rsid w:val="004418E1"/>
    <w:rsid w:val="00441CBC"/>
    <w:rsid w:val="00441F98"/>
    <w:rsid w:val="0044207C"/>
    <w:rsid w:val="0044224B"/>
    <w:rsid w:val="004426B4"/>
    <w:rsid w:val="0044291A"/>
    <w:rsid w:val="00442AF7"/>
    <w:rsid w:val="00442E9B"/>
    <w:rsid w:val="004433F5"/>
    <w:rsid w:val="004438E4"/>
    <w:rsid w:val="00443B94"/>
    <w:rsid w:val="00443CBE"/>
    <w:rsid w:val="00443E1F"/>
    <w:rsid w:val="00443EC1"/>
    <w:rsid w:val="0044403E"/>
    <w:rsid w:val="004441BF"/>
    <w:rsid w:val="004441D6"/>
    <w:rsid w:val="00444240"/>
    <w:rsid w:val="00444313"/>
    <w:rsid w:val="004443E1"/>
    <w:rsid w:val="00444649"/>
    <w:rsid w:val="0044485C"/>
    <w:rsid w:val="0044493D"/>
    <w:rsid w:val="00444DBA"/>
    <w:rsid w:val="004451E0"/>
    <w:rsid w:val="004454B3"/>
    <w:rsid w:val="0044566E"/>
    <w:rsid w:val="00445811"/>
    <w:rsid w:val="004458A3"/>
    <w:rsid w:val="00445A45"/>
    <w:rsid w:val="00445B8F"/>
    <w:rsid w:val="00445BCC"/>
    <w:rsid w:val="00445C7B"/>
    <w:rsid w:val="00446009"/>
    <w:rsid w:val="0044603C"/>
    <w:rsid w:val="00446471"/>
    <w:rsid w:val="00446732"/>
    <w:rsid w:val="00446A4C"/>
    <w:rsid w:val="00446A96"/>
    <w:rsid w:val="00446C68"/>
    <w:rsid w:val="00446D05"/>
    <w:rsid w:val="00446F26"/>
    <w:rsid w:val="00447253"/>
    <w:rsid w:val="004472A2"/>
    <w:rsid w:val="004474B7"/>
    <w:rsid w:val="0044756C"/>
    <w:rsid w:val="00447666"/>
    <w:rsid w:val="00447725"/>
    <w:rsid w:val="004477AD"/>
    <w:rsid w:val="004477FF"/>
    <w:rsid w:val="00447AC9"/>
    <w:rsid w:val="00447CE7"/>
    <w:rsid w:val="00447D1A"/>
    <w:rsid w:val="00447D60"/>
    <w:rsid w:val="004502B2"/>
    <w:rsid w:val="0045031F"/>
    <w:rsid w:val="00450446"/>
    <w:rsid w:val="00450452"/>
    <w:rsid w:val="0045047E"/>
    <w:rsid w:val="004504E5"/>
    <w:rsid w:val="004504E9"/>
    <w:rsid w:val="00450935"/>
    <w:rsid w:val="00450CD9"/>
    <w:rsid w:val="0045121E"/>
    <w:rsid w:val="00451416"/>
    <w:rsid w:val="00451433"/>
    <w:rsid w:val="004517AC"/>
    <w:rsid w:val="004517E0"/>
    <w:rsid w:val="00451970"/>
    <w:rsid w:val="00451C11"/>
    <w:rsid w:val="00451D06"/>
    <w:rsid w:val="00451E80"/>
    <w:rsid w:val="0045205A"/>
    <w:rsid w:val="0045230C"/>
    <w:rsid w:val="00452434"/>
    <w:rsid w:val="004525AA"/>
    <w:rsid w:val="00452631"/>
    <w:rsid w:val="00452953"/>
    <w:rsid w:val="00452B06"/>
    <w:rsid w:val="00452B8E"/>
    <w:rsid w:val="00452C14"/>
    <w:rsid w:val="00452EAE"/>
    <w:rsid w:val="00452EF2"/>
    <w:rsid w:val="00452F97"/>
    <w:rsid w:val="00452FEC"/>
    <w:rsid w:val="00453264"/>
    <w:rsid w:val="0045350E"/>
    <w:rsid w:val="00453B21"/>
    <w:rsid w:val="00453FCD"/>
    <w:rsid w:val="0045402E"/>
    <w:rsid w:val="004548E0"/>
    <w:rsid w:val="00454984"/>
    <w:rsid w:val="00454DB9"/>
    <w:rsid w:val="00454E32"/>
    <w:rsid w:val="004551F2"/>
    <w:rsid w:val="0045521A"/>
    <w:rsid w:val="0045526D"/>
    <w:rsid w:val="0045532E"/>
    <w:rsid w:val="00455597"/>
    <w:rsid w:val="00455901"/>
    <w:rsid w:val="00455EBF"/>
    <w:rsid w:val="00456226"/>
    <w:rsid w:val="0045628F"/>
    <w:rsid w:val="004562B8"/>
    <w:rsid w:val="004564F5"/>
    <w:rsid w:val="0045650E"/>
    <w:rsid w:val="004568D7"/>
    <w:rsid w:val="00456D3F"/>
    <w:rsid w:val="00456E0B"/>
    <w:rsid w:val="00456EA1"/>
    <w:rsid w:val="00456EA8"/>
    <w:rsid w:val="004573AC"/>
    <w:rsid w:val="004574C0"/>
    <w:rsid w:val="004574E7"/>
    <w:rsid w:val="004575B3"/>
    <w:rsid w:val="00457886"/>
    <w:rsid w:val="00457981"/>
    <w:rsid w:val="00457990"/>
    <w:rsid w:val="004579D1"/>
    <w:rsid w:val="00457B9D"/>
    <w:rsid w:val="00457C7C"/>
    <w:rsid w:val="00457F4C"/>
    <w:rsid w:val="00460114"/>
    <w:rsid w:val="00460218"/>
    <w:rsid w:val="004604E5"/>
    <w:rsid w:val="004611A1"/>
    <w:rsid w:val="0046147A"/>
    <w:rsid w:val="0046174C"/>
    <w:rsid w:val="00461CDE"/>
    <w:rsid w:val="00461EE2"/>
    <w:rsid w:val="00462036"/>
    <w:rsid w:val="0046222A"/>
    <w:rsid w:val="004626A0"/>
    <w:rsid w:val="00462914"/>
    <w:rsid w:val="00462B3D"/>
    <w:rsid w:val="00462B54"/>
    <w:rsid w:val="00462B88"/>
    <w:rsid w:val="00462C61"/>
    <w:rsid w:val="00462E34"/>
    <w:rsid w:val="00463064"/>
    <w:rsid w:val="004631A4"/>
    <w:rsid w:val="00463213"/>
    <w:rsid w:val="0046334D"/>
    <w:rsid w:val="004633A5"/>
    <w:rsid w:val="004634B8"/>
    <w:rsid w:val="00463647"/>
    <w:rsid w:val="004636C5"/>
    <w:rsid w:val="004637AF"/>
    <w:rsid w:val="00463DB5"/>
    <w:rsid w:val="00463ED1"/>
    <w:rsid w:val="004640FD"/>
    <w:rsid w:val="00464118"/>
    <w:rsid w:val="0046432E"/>
    <w:rsid w:val="004645EC"/>
    <w:rsid w:val="0046478A"/>
    <w:rsid w:val="004648CD"/>
    <w:rsid w:val="0046498F"/>
    <w:rsid w:val="004649CD"/>
    <w:rsid w:val="00464C37"/>
    <w:rsid w:val="00465093"/>
    <w:rsid w:val="00465202"/>
    <w:rsid w:val="00465385"/>
    <w:rsid w:val="004653DF"/>
    <w:rsid w:val="0046558A"/>
    <w:rsid w:val="004656CF"/>
    <w:rsid w:val="004658A2"/>
    <w:rsid w:val="00465C24"/>
    <w:rsid w:val="00465D65"/>
    <w:rsid w:val="00465E91"/>
    <w:rsid w:val="00465EC7"/>
    <w:rsid w:val="00466750"/>
    <w:rsid w:val="00466805"/>
    <w:rsid w:val="0046685B"/>
    <w:rsid w:val="00466CFD"/>
    <w:rsid w:val="00466FC4"/>
    <w:rsid w:val="0046704A"/>
    <w:rsid w:val="004670A0"/>
    <w:rsid w:val="004670BC"/>
    <w:rsid w:val="004676EE"/>
    <w:rsid w:val="0046770A"/>
    <w:rsid w:val="004678F2"/>
    <w:rsid w:val="00467A5C"/>
    <w:rsid w:val="00467ABD"/>
    <w:rsid w:val="00467E2B"/>
    <w:rsid w:val="00467E8A"/>
    <w:rsid w:val="00470174"/>
    <w:rsid w:val="004702F8"/>
    <w:rsid w:val="004705F6"/>
    <w:rsid w:val="00470923"/>
    <w:rsid w:val="00470BAE"/>
    <w:rsid w:val="00470C5F"/>
    <w:rsid w:val="00471411"/>
    <w:rsid w:val="00471956"/>
    <w:rsid w:val="00471D36"/>
    <w:rsid w:val="00471DEC"/>
    <w:rsid w:val="00472461"/>
    <w:rsid w:val="004724BE"/>
    <w:rsid w:val="004727AD"/>
    <w:rsid w:val="00472B98"/>
    <w:rsid w:val="00472BC6"/>
    <w:rsid w:val="00472DEE"/>
    <w:rsid w:val="00473141"/>
    <w:rsid w:val="004732CA"/>
    <w:rsid w:val="00473515"/>
    <w:rsid w:val="004735D1"/>
    <w:rsid w:val="00473609"/>
    <w:rsid w:val="00473C3D"/>
    <w:rsid w:val="00473EBA"/>
    <w:rsid w:val="00474263"/>
    <w:rsid w:val="00474334"/>
    <w:rsid w:val="00474445"/>
    <w:rsid w:val="00474484"/>
    <w:rsid w:val="00474510"/>
    <w:rsid w:val="0047451E"/>
    <w:rsid w:val="00474565"/>
    <w:rsid w:val="00474593"/>
    <w:rsid w:val="00474835"/>
    <w:rsid w:val="00474987"/>
    <w:rsid w:val="00474C7E"/>
    <w:rsid w:val="00474EA2"/>
    <w:rsid w:val="0047501B"/>
    <w:rsid w:val="004752F8"/>
    <w:rsid w:val="0047568F"/>
    <w:rsid w:val="00475AB0"/>
    <w:rsid w:val="00475B95"/>
    <w:rsid w:val="00475BDA"/>
    <w:rsid w:val="00475BFE"/>
    <w:rsid w:val="00475C23"/>
    <w:rsid w:val="00475C50"/>
    <w:rsid w:val="004762F3"/>
    <w:rsid w:val="00476779"/>
    <w:rsid w:val="00476B4B"/>
    <w:rsid w:val="00477042"/>
    <w:rsid w:val="0047711B"/>
    <w:rsid w:val="0047723E"/>
    <w:rsid w:val="00477404"/>
    <w:rsid w:val="00477612"/>
    <w:rsid w:val="00477B93"/>
    <w:rsid w:val="00477BAF"/>
    <w:rsid w:val="00477C0F"/>
    <w:rsid w:val="00477C42"/>
    <w:rsid w:val="00477D63"/>
    <w:rsid w:val="00480061"/>
    <w:rsid w:val="00480065"/>
    <w:rsid w:val="00480562"/>
    <w:rsid w:val="00480564"/>
    <w:rsid w:val="004807B5"/>
    <w:rsid w:val="00480897"/>
    <w:rsid w:val="004808B8"/>
    <w:rsid w:val="004809B8"/>
    <w:rsid w:val="00480DD9"/>
    <w:rsid w:val="00480E48"/>
    <w:rsid w:val="0048119A"/>
    <w:rsid w:val="004814D7"/>
    <w:rsid w:val="00481708"/>
    <w:rsid w:val="004817E9"/>
    <w:rsid w:val="00481BED"/>
    <w:rsid w:val="00481CFE"/>
    <w:rsid w:val="00481F10"/>
    <w:rsid w:val="004820FA"/>
    <w:rsid w:val="004821B9"/>
    <w:rsid w:val="00482390"/>
    <w:rsid w:val="004824F0"/>
    <w:rsid w:val="00482758"/>
    <w:rsid w:val="00482A75"/>
    <w:rsid w:val="00483217"/>
    <w:rsid w:val="004832E5"/>
    <w:rsid w:val="0048347E"/>
    <w:rsid w:val="00483A69"/>
    <w:rsid w:val="00484292"/>
    <w:rsid w:val="00484339"/>
    <w:rsid w:val="0048468C"/>
    <w:rsid w:val="00484A98"/>
    <w:rsid w:val="00484AA6"/>
    <w:rsid w:val="00484D05"/>
    <w:rsid w:val="00485301"/>
    <w:rsid w:val="00485474"/>
    <w:rsid w:val="00485518"/>
    <w:rsid w:val="00485601"/>
    <w:rsid w:val="00485612"/>
    <w:rsid w:val="00485703"/>
    <w:rsid w:val="00485808"/>
    <w:rsid w:val="00485A0F"/>
    <w:rsid w:val="00485DD2"/>
    <w:rsid w:val="00485DD4"/>
    <w:rsid w:val="00485E73"/>
    <w:rsid w:val="00485F13"/>
    <w:rsid w:val="00485F6E"/>
    <w:rsid w:val="00486093"/>
    <w:rsid w:val="00486234"/>
    <w:rsid w:val="0048632D"/>
    <w:rsid w:val="0048697A"/>
    <w:rsid w:val="00486A7D"/>
    <w:rsid w:val="00486B45"/>
    <w:rsid w:val="00486C9B"/>
    <w:rsid w:val="00486E2E"/>
    <w:rsid w:val="0048701F"/>
    <w:rsid w:val="0048710B"/>
    <w:rsid w:val="00487498"/>
    <w:rsid w:val="0048758A"/>
    <w:rsid w:val="00487D40"/>
    <w:rsid w:val="00487F96"/>
    <w:rsid w:val="004902A7"/>
    <w:rsid w:val="004903BA"/>
    <w:rsid w:val="00490742"/>
    <w:rsid w:val="004908BF"/>
    <w:rsid w:val="00490A31"/>
    <w:rsid w:val="00490E6D"/>
    <w:rsid w:val="004910A6"/>
    <w:rsid w:val="004911EE"/>
    <w:rsid w:val="00491575"/>
    <w:rsid w:val="00491589"/>
    <w:rsid w:val="004915F3"/>
    <w:rsid w:val="004916CB"/>
    <w:rsid w:val="0049183D"/>
    <w:rsid w:val="00491880"/>
    <w:rsid w:val="00491A21"/>
    <w:rsid w:val="00491D88"/>
    <w:rsid w:val="00491FDF"/>
    <w:rsid w:val="0049217F"/>
    <w:rsid w:val="00492271"/>
    <w:rsid w:val="004925BF"/>
    <w:rsid w:val="004926AE"/>
    <w:rsid w:val="004927D8"/>
    <w:rsid w:val="004928BF"/>
    <w:rsid w:val="00492E4C"/>
    <w:rsid w:val="00492FB8"/>
    <w:rsid w:val="00493021"/>
    <w:rsid w:val="00493277"/>
    <w:rsid w:val="004935ED"/>
    <w:rsid w:val="00493631"/>
    <w:rsid w:val="0049397F"/>
    <w:rsid w:val="00493BE7"/>
    <w:rsid w:val="00493BFB"/>
    <w:rsid w:val="00494126"/>
    <w:rsid w:val="004942A5"/>
    <w:rsid w:val="004942B5"/>
    <w:rsid w:val="004943D2"/>
    <w:rsid w:val="0049444A"/>
    <w:rsid w:val="0049446D"/>
    <w:rsid w:val="00494708"/>
    <w:rsid w:val="00494E80"/>
    <w:rsid w:val="00494F30"/>
    <w:rsid w:val="0049508D"/>
    <w:rsid w:val="00495663"/>
    <w:rsid w:val="004957FE"/>
    <w:rsid w:val="004958AC"/>
    <w:rsid w:val="004958BC"/>
    <w:rsid w:val="00495A1F"/>
    <w:rsid w:val="00495A68"/>
    <w:rsid w:val="00495DA4"/>
    <w:rsid w:val="00495FD4"/>
    <w:rsid w:val="0049605C"/>
    <w:rsid w:val="0049657A"/>
    <w:rsid w:val="004965C1"/>
    <w:rsid w:val="004965F7"/>
    <w:rsid w:val="00496605"/>
    <w:rsid w:val="004966F6"/>
    <w:rsid w:val="0049687E"/>
    <w:rsid w:val="004969A6"/>
    <w:rsid w:val="004969AF"/>
    <w:rsid w:val="00496DA4"/>
    <w:rsid w:val="00496ECF"/>
    <w:rsid w:val="00496FBC"/>
    <w:rsid w:val="004970F8"/>
    <w:rsid w:val="004972D7"/>
    <w:rsid w:val="00497445"/>
    <w:rsid w:val="00497552"/>
    <w:rsid w:val="00497564"/>
    <w:rsid w:val="004975AD"/>
    <w:rsid w:val="00497950"/>
    <w:rsid w:val="00497AB5"/>
    <w:rsid w:val="00497BFA"/>
    <w:rsid w:val="00497FBF"/>
    <w:rsid w:val="004A0049"/>
    <w:rsid w:val="004A0432"/>
    <w:rsid w:val="004A053D"/>
    <w:rsid w:val="004A06F9"/>
    <w:rsid w:val="004A07C3"/>
    <w:rsid w:val="004A0A67"/>
    <w:rsid w:val="004A0A98"/>
    <w:rsid w:val="004A0B9A"/>
    <w:rsid w:val="004A11BB"/>
    <w:rsid w:val="004A13EE"/>
    <w:rsid w:val="004A1635"/>
    <w:rsid w:val="004A179F"/>
    <w:rsid w:val="004A1CF5"/>
    <w:rsid w:val="004A1D47"/>
    <w:rsid w:val="004A1D86"/>
    <w:rsid w:val="004A1FCC"/>
    <w:rsid w:val="004A238F"/>
    <w:rsid w:val="004A2565"/>
    <w:rsid w:val="004A267A"/>
    <w:rsid w:val="004A29AE"/>
    <w:rsid w:val="004A29BD"/>
    <w:rsid w:val="004A2BCF"/>
    <w:rsid w:val="004A2F18"/>
    <w:rsid w:val="004A2FFD"/>
    <w:rsid w:val="004A3183"/>
    <w:rsid w:val="004A31E4"/>
    <w:rsid w:val="004A325C"/>
    <w:rsid w:val="004A3632"/>
    <w:rsid w:val="004A3702"/>
    <w:rsid w:val="004A3802"/>
    <w:rsid w:val="004A3873"/>
    <w:rsid w:val="004A39C9"/>
    <w:rsid w:val="004A3A12"/>
    <w:rsid w:val="004A3B78"/>
    <w:rsid w:val="004A400C"/>
    <w:rsid w:val="004A4036"/>
    <w:rsid w:val="004A40B0"/>
    <w:rsid w:val="004A41FB"/>
    <w:rsid w:val="004A4309"/>
    <w:rsid w:val="004A43EE"/>
    <w:rsid w:val="004A454F"/>
    <w:rsid w:val="004A45B6"/>
    <w:rsid w:val="004A46FF"/>
    <w:rsid w:val="004A4765"/>
    <w:rsid w:val="004A47FF"/>
    <w:rsid w:val="004A4A56"/>
    <w:rsid w:val="004A4BFA"/>
    <w:rsid w:val="004A4C28"/>
    <w:rsid w:val="004A4CBD"/>
    <w:rsid w:val="004A547C"/>
    <w:rsid w:val="004A568B"/>
    <w:rsid w:val="004A56B1"/>
    <w:rsid w:val="004A570E"/>
    <w:rsid w:val="004A5A65"/>
    <w:rsid w:val="004A5BE2"/>
    <w:rsid w:val="004A5E71"/>
    <w:rsid w:val="004A5F9D"/>
    <w:rsid w:val="004A60AD"/>
    <w:rsid w:val="004A6101"/>
    <w:rsid w:val="004A6166"/>
    <w:rsid w:val="004A6391"/>
    <w:rsid w:val="004A63E5"/>
    <w:rsid w:val="004A64EB"/>
    <w:rsid w:val="004A669E"/>
    <w:rsid w:val="004A66FC"/>
    <w:rsid w:val="004A67E9"/>
    <w:rsid w:val="004A687D"/>
    <w:rsid w:val="004A6896"/>
    <w:rsid w:val="004A6B13"/>
    <w:rsid w:val="004A6B1F"/>
    <w:rsid w:val="004A6C66"/>
    <w:rsid w:val="004A6D4D"/>
    <w:rsid w:val="004A6DB6"/>
    <w:rsid w:val="004A7048"/>
    <w:rsid w:val="004A7057"/>
    <w:rsid w:val="004A70F7"/>
    <w:rsid w:val="004A7200"/>
    <w:rsid w:val="004A73A0"/>
    <w:rsid w:val="004A742E"/>
    <w:rsid w:val="004A7616"/>
    <w:rsid w:val="004A7698"/>
    <w:rsid w:val="004A7B16"/>
    <w:rsid w:val="004A7B5E"/>
    <w:rsid w:val="004A7DEC"/>
    <w:rsid w:val="004A7EFC"/>
    <w:rsid w:val="004B020A"/>
    <w:rsid w:val="004B03AD"/>
    <w:rsid w:val="004B0441"/>
    <w:rsid w:val="004B0498"/>
    <w:rsid w:val="004B0514"/>
    <w:rsid w:val="004B098A"/>
    <w:rsid w:val="004B0A0A"/>
    <w:rsid w:val="004B0B7E"/>
    <w:rsid w:val="004B0BDC"/>
    <w:rsid w:val="004B0D70"/>
    <w:rsid w:val="004B0FBE"/>
    <w:rsid w:val="004B102D"/>
    <w:rsid w:val="004B1088"/>
    <w:rsid w:val="004B1125"/>
    <w:rsid w:val="004B12F1"/>
    <w:rsid w:val="004B18FF"/>
    <w:rsid w:val="004B1B7D"/>
    <w:rsid w:val="004B1C4B"/>
    <w:rsid w:val="004B1DA3"/>
    <w:rsid w:val="004B1F04"/>
    <w:rsid w:val="004B208D"/>
    <w:rsid w:val="004B2392"/>
    <w:rsid w:val="004B248D"/>
    <w:rsid w:val="004B2683"/>
    <w:rsid w:val="004B26B5"/>
    <w:rsid w:val="004B2722"/>
    <w:rsid w:val="004B2773"/>
    <w:rsid w:val="004B279D"/>
    <w:rsid w:val="004B2891"/>
    <w:rsid w:val="004B2C16"/>
    <w:rsid w:val="004B2C60"/>
    <w:rsid w:val="004B2D06"/>
    <w:rsid w:val="004B2D30"/>
    <w:rsid w:val="004B3300"/>
    <w:rsid w:val="004B370E"/>
    <w:rsid w:val="004B37D3"/>
    <w:rsid w:val="004B3804"/>
    <w:rsid w:val="004B3980"/>
    <w:rsid w:val="004B3B67"/>
    <w:rsid w:val="004B3BF2"/>
    <w:rsid w:val="004B3C48"/>
    <w:rsid w:val="004B3E57"/>
    <w:rsid w:val="004B4074"/>
    <w:rsid w:val="004B4507"/>
    <w:rsid w:val="004B458E"/>
    <w:rsid w:val="004B4614"/>
    <w:rsid w:val="004B46BB"/>
    <w:rsid w:val="004B4928"/>
    <w:rsid w:val="004B4A31"/>
    <w:rsid w:val="004B4A80"/>
    <w:rsid w:val="004B4BEF"/>
    <w:rsid w:val="004B545E"/>
    <w:rsid w:val="004B590B"/>
    <w:rsid w:val="004B5A3D"/>
    <w:rsid w:val="004B5B47"/>
    <w:rsid w:val="004B5C07"/>
    <w:rsid w:val="004B60CB"/>
    <w:rsid w:val="004B625D"/>
    <w:rsid w:val="004B6673"/>
    <w:rsid w:val="004B6771"/>
    <w:rsid w:val="004B6784"/>
    <w:rsid w:val="004B6A3B"/>
    <w:rsid w:val="004B6BAA"/>
    <w:rsid w:val="004B6E81"/>
    <w:rsid w:val="004B6E89"/>
    <w:rsid w:val="004B74A0"/>
    <w:rsid w:val="004B7591"/>
    <w:rsid w:val="004B7652"/>
    <w:rsid w:val="004B77B7"/>
    <w:rsid w:val="004B77F4"/>
    <w:rsid w:val="004B7A5F"/>
    <w:rsid w:val="004B7B95"/>
    <w:rsid w:val="004C02D0"/>
    <w:rsid w:val="004C0650"/>
    <w:rsid w:val="004C0688"/>
    <w:rsid w:val="004C07D9"/>
    <w:rsid w:val="004C088E"/>
    <w:rsid w:val="004C09A8"/>
    <w:rsid w:val="004C0F6D"/>
    <w:rsid w:val="004C0FCF"/>
    <w:rsid w:val="004C0FF4"/>
    <w:rsid w:val="004C10FE"/>
    <w:rsid w:val="004C12D1"/>
    <w:rsid w:val="004C14AA"/>
    <w:rsid w:val="004C154D"/>
    <w:rsid w:val="004C1775"/>
    <w:rsid w:val="004C17E0"/>
    <w:rsid w:val="004C1BF1"/>
    <w:rsid w:val="004C1CB5"/>
    <w:rsid w:val="004C1D7B"/>
    <w:rsid w:val="004C1F4F"/>
    <w:rsid w:val="004C1FE0"/>
    <w:rsid w:val="004C2475"/>
    <w:rsid w:val="004C2564"/>
    <w:rsid w:val="004C2670"/>
    <w:rsid w:val="004C29CF"/>
    <w:rsid w:val="004C2AE7"/>
    <w:rsid w:val="004C2C94"/>
    <w:rsid w:val="004C2DEE"/>
    <w:rsid w:val="004C2FDD"/>
    <w:rsid w:val="004C30EF"/>
    <w:rsid w:val="004C37DA"/>
    <w:rsid w:val="004C39FF"/>
    <w:rsid w:val="004C3B79"/>
    <w:rsid w:val="004C3EFE"/>
    <w:rsid w:val="004C4088"/>
    <w:rsid w:val="004C442F"/>
    <w:rsid w:val="004C473F"/>
    <w:rsid w:val="004C484D"/>
    <w:rsid w:val="004C4C21"/>
    <w:rsid w:val="004C4FE9"/>
    <w:rsid w:val="004C5042"/>
    <w:rsid w:val="004C507A"/>
    <w:rsid w:val="004C50F1"/>
    <w:rsid w:val="004C5141"/>
    <w:rsid w:val="004C5197"/>
    <w:rsid w:val="004C5538"/>
    <w:rsid w:val="004C5665"/>
    <w:rsid w:val="004C57FD"/>
    <w:rsid w:val="004C5B13"/>
    <w:rsid w:val="004C5C5F"/>
    <w:rsid w:val="004C5DCD"/>
    <w:rsid w:val="004C5F4F"/>
    <w:rsid w:val="004C63BB"/>
    <w:rsid w:val="004C641F"/>
    <w:rsid w:val="004C6639"/>
    <w:rsid w:val="004C66D0"/>
    <w:rsid w:val="004C6876"/>
    <w:rsid w:val="004C68D1"/>
    <w:rsid w:val="004C6A42"/>
    <w:rsid w:val="004C6BC1"/>
    <w:rsid w:val="004C6E3B"/>
    <w:rsid w:val="004C7281"/>
    <w:rsid w:val="004C76D7"/>
    <w:rsid w:val="004C7882"/>
    <w:rsid w:val="004C78B5"/>
    <w:rsid w:val="004C78CF"/>
    <w:rsid w:val="004C78E2"/>
    <w:rsid w:val="004C7986"/>
    <w:rsid w:val="004C7B8B"/>
    <w:rsid w:val="004C7D58"/>
    <w:rsid w:val="004D0031"/>
    <w:rsid w:val="004D038B"/>
    <w:rsid w:val="004D04A1"/>
    <w:rsid w:val="004D04CA"/>
    <w:rsid w:val="004D05DD"/>
    <w:rsid w:val="004D075D"/>
    <w:rsid w:val="004D07EB"/>
    <w:rsid w:val="004D08F4"/>
    <w:rsid w:val="004D0A49"/>
    <w:rsid w:val="004D0B88"/>
    <w:rsid w:val="004D0C27"/>
    <w:rsid w:val="004D0D2B"/>
    <w:rsid w:val="004D0DFB"/>
    <w:rsid w:val="004D1405"/>
    <w:rsid w:val="004D16AB"/>
    <w:rsid w:val="004D16D2"/>
    <w:rsid w:val="004D1717"/>
    <w:rsid w:val="004D17B3"/>
    <w:rsid w:val="004D186A"/>
    <w:rsid w:val="004D1875"/>
    <w:rsid w:val="004D1886"/>
    <w:rsid w:val="004D1AB3"/>
    <w:rsid w:val="004D1C82"/>
    <w:rsid w:val="004D1DF1"/>
    <w:rsid w:val="004D1FD8"/>
    <w:rsid w:val="004D210D"/>
    <w:rsid w:val="004D225A"/>
    <w:rsid w:val="004D228F"/>
    <w:rsid w:val="004D254B"/>
    <w:rsid w:val="004D2819"/>
    <w:rsid w:val="004D281A"/>
    <w:rsid w:val="004D287F"/>
    <w:rsid w:val="004D2A9D"/>
    <w:rsid w:val="004D2B53"/>
    <w:rsid w:val="004D2B7A"/>
    <w:rsid w:val="004D2C13"/>
    <w:rsid w:val="004D2E82"/>
    <w:rsid w:val="004D2F55"/>
    <w:rsid w:val="004D3041"/>
    <w:rsid w:val="004D30A2"/>
    <w:rsid w:val="004D31E0"/>
    <w:rsid w:val="004D3287"/>
    <w:rsid w:val="004D34A9"/>
    <w:rsid w:val="004D3571"/>
    <w:rsid w:val="004D3B81"/>
    <w:rsid w:val="004D3D70"/>
    <w:rsid w:val="004D3F61"/>
    <w:rsid w:val="004D3F88"/>
    <w:rsid w:val="004D479B"/>
    <w:rsid w:val="004D48FD"/>
    <w:rsid w:val="004D4CF4"/>
    <w:rsid w:val="004D4E8E"/>
    <w:rsid w:val="004D51BD"/>
    <w:rsid w:val="004D527C"/>
    <w:rsid w:val="004D55D1"/>
    <w:rsid w:val="004D56AB"/>
    <w:rsid w:val="004D5AC8"/>
    <w:rsid w:val="004D5FAB"/>
    <w:rsid w:val="004D603D"/>
    <w:rsid w:val="004D62F0"/>
    <w:rsid w:val="004D6578"/>
    <w:rsid w:val="004D6797"/>
    <w:rsid w:val="004D693C"/>
    <w:rsid w:val="004D6C77"/>
    <w:rsid w:val="004D6D94"/>
    <w:rsid w:val="004D6EF5"/>
    <w:rsid w:val="004D6EFB"/>
    <w:rsid w:val="004D6F52"/>
    <w:rsid w:val="004D6F66"/>
    <w:rsid w:val="004D7100"/>
    <w:rsid w:val="004D74BB"/>
    <w:rsid w:val="004D7660"/>
    <w:rsid w:val="004D76E1"/>
    <w:rsid w:val="004D7C24"/>
    <w:rsid w:val="004D7E55"/>
    <w:rsid w:val="004D7E60"/>
    <w:rsid w:val="004D7E70"/>
    <w:rsid w:val="004DD263"/>
    <w:rsid w:val="004E0842"/>
    <w:rsid w:val="004E090F"/>
    <w:rsid w:val="004E094F"/>
    <w:rsid w:val="004E0B48"/>
    <w:rsid w:val="004E0EE9"/>
    <w:rsid w:val="004E10BF"/>
    <w:rsid w:val="004E10E4"/>
    <w:rsid w:val="004E1357"/>
    <w:rsid w:val="004E14ED"/>
    <w:rsid w:val="004E15C3"/>
    <w:rsid w:val="004E186D"/>
    <w:rsid w:val="004E1AFD"/>
    <w:rsid w:val="004E1B3F"/>
    <w:rsid w:val="004E1F5F"/>
    <w:rsid w:val="004E22B9"/>
    <w:rsid w:val="004E22BC"/>
    <w:rsid w:val="004E2673"/>
    <w:rsid w:val="004E267E"/>
    <w:rsid w:val="004E269F"/>
    <w:rsid w:val="004E2879"/>
    <w:rsid w:val="004E292C"/>
    <w:rsid w:val="004E294A"/>
    <w:rsid w:val="004E296C"/>
    <w:rsid w:val="004E2C6C"/>
    <w:rsid w:val="004E2E2B"/>
    <w:rsid w:val="004E2F96"/>
    <w:rsid w:val="004E2FCF"/>
    <w:rsid w:val="004E38FF"/>
    <w:rsid w:val="004E3A24"/>
    <w:rsid w:val="004E3A95"/>
    <w:rsid w:val="004E3B79"/>
    <w:rsid w:val="004E406C"/>
    <w:rsid w:val="004E420A"/>
    <w:rsid w:val="004E47B0"/>
    <w:rsid w:val="004E4825"/>
    <w:rsid w:val="004E4899"/>
    <w:rsid w:val="004E49DD"/>
    <w:rsid w:val="004E4A5B"/>
    <w:rsid w:val="004E4AAD"/>
    <w:rsid w:val="004E513E"/>
    <w:rsid w:val="004E5344"/>
    <w:rsid w:val="004E55AE"/>
    <w:rsid w:val="004E55D2"/>
    <w:rsid w:val="004E59E1"/>
    <w:rsid w:val="004E5AAD"/>
    <w:rsid w:val="004E6073"/>
    <w:rsid w:val="004E62F9"/>
    <w:rsid w:val="004E6318"/>
    <w:rsid w:val="004E6499"/>
    <w:rsid w:val="004E670D"/>
    <w:rsid w:val="004E6719"/>
    <w:rsid w:val="004E6AA8"/>
    <w:rsid w:val="004E6B7D"/>
    <w:rsid w:val="004E6CE3"/>
    <w:rsid w:val="004E6DD8"/>
    <w:rsid w:val="004E6E41"/>
    <w:rsid w:val="004E7076"/>
    <w:rsid w:val="004E7104"/>
    <w:rsid w:val="004E7517"/>
    <w:rsid w:val="004E7519"/>
    <w:rsid w:val="004E75AB"/>
    <w:rsid w:val="004E769A"/>
    <w:rsid w:val="004E795E"/>
    <w:rsid w:val="004E7A3A"/>
    <w:rsid w:val="004E7A4D"/>
    <w:rsid w:val="004E7A65"/>
    <w:rsid w:val="004E7AEB"/>
    <w:rsid w:val="004E7AFE"/>
    <w:rsid w:val="004E7C01"/>
    <w:rsid w:val="004E7F5F"/>
    <w:rsid w:val="004F03D5"/>
    <w:rsid w:val="004F0453"/>
    <w:rsid w:val="004F057B"/>
    <w:rsid w:val="004F0684"/>
    <w:rsid w:val="004F06A5"/>
    <w:rsid w:val="004F07A1"/>
    <w:rsid w:val="004F08D1"/>
    <w:rsid w:val="004F08D9"/>
    <w:rsid w:val="004F0A82"/>
    <w:rsid w:val="004F0E59"/>
    <w:rsid w:val="004F0EEE"/>
    <w:rsid w:val="004F1173"/>
    <w:rsid w:val="004F148C"/>
    <w:rsid w:val="004F16EB"/>
    <w:rsid w:val="004F1732"/>
    <w:rsid w:val="004F1973"/>
    <w:rsid w:val="004F1ACF"/>
    <w:rsid w:val="004F1B86"/>
    <w:rsid w:val="004F1BA7"/>
    <w:rsid w:val="004F1BB3"/>
    <w:rsid w:val="004F1DC8"/>
    <w:rsid w:val="004F2082"/>
    <w:rsid w:val="004F20E1"/>
    <w:rsid w:val="004F2303"/>
    <w:rsid w:val="004F2A15"/>
    <w:rsid w:val="004F2B4A"/>
    <w:rsid w:val="004F2BB4"/>
    <w:rsid w:val="004F2BDB"/>
    <w:rsid w:val="004F2BF3"/>
    <w:rsid w:val="004F2C66"/>
    <w:rsid w:val="004F2CB7"/>
    <w:rsid w:val="004F2F39"/>
    <w:rsid w:val="004F2F52"/>
    <w:rsid w:val="004F3029"/>
    <w:rsid w:val="004F310E"/>
    <w:rsid w:val="004F3156"/>
    <w:rsid w:val="004F31AE"/>
    <w:rsid w:val="004F32DC"/>
    <w:rsid w:val="004F341F"/>
    <w:rsid w:val="004F37DF"/>
    <w:rsid w:val="004F383C"/>
    <w:rsid w:val="004F3A8E"/>
    <w:rsid w:val="004F3B60"/>
    <w:rsid w:val="004F3CB6"/>
    <w:rsid w:val="004F3DA3"/>
    <w:rsid w:val="004F3F7A"/>
    <w:rsid w:val="004F4161"/>
    <w:rsid w:val="004F42C2"/>
    <w:rsid w:val="004F4366"/>
    <w:rsid w:val="004F437A"/>
    <w:rsid w:val="004F465F"/>
    <w:rsid w:val="004F491F"/>
    <w:rsid w:val="004F4A13"/>
    <w:rsid w:val="004F4C06"/>
    <w:rsid w:val="004F4CD1"/>
    <w:rsid w:val="004F502A"/>
    <w:rsid w:val="004F503C"/>
    <w:rsid w:val="004F53E2"/>
    <w:rsid w:val="004F545A"/>
    <w:rsid w:val="004F5556"/>
    <w:rsid w:val="004F5646"/>
    <w:rsid w:val="004F585C"/>
    <w:rsid w:val="004F58D3"/>
    <w:rsid w:val="004F5C07"/>
    <w:rsid w:val="004F5CEF"/>
    <w:rsid w:val="004F5D2B"/>
    <w:rsid w:val="004F5D40"/>
    <w:rsid w:val="004F5F48"/>
    <w:rsid w:val="004F5F65"/>
    <w:rsid w:val="004F612F"/>
    <w:rsid w:val="004F6228"/>
    <w:rsid w:val="004F6230"/>
    <w:rsid w:val="004F628E"/>
    <w:rsid w:val="004F6439"/>
    <w:rsid w:val="004F6479"/>
    <w:rsid w:val="004F65C1"/>
    <w:rsid w:val="004F6794"/>
    <w:rsid w:val="004F6860"/>
    <w:rsid w:val="004F693F"/>
    <w:rsid w:val="004F7358"/>
    <w:rsid w:val="004F750C"/>
    <w:rsid w:val="004F7531"/>
    <w:rsid w:val="004F7F2F"/>
    <w:rsid w:val="004F7F99"/>
    <w:rsid w:val="0050005E"/>
    <w:rsid w:val="00500160"/>
    <w:rsid w:val="005001B9"/>
    <w:rsid w:val="0050022E"/>
    <w:rsid w:val="005003BB"/>
    <w:rsid w:val="00500586"/>
    <w:rsid w:val="0050061B"/>
    <w:rsid w:val="005006D8"/>
    <w:rsid w:val="005007BA"/>
    <w:rsid w:val="0050085E"/>
    <w:rsid w:val="005009EC"/>
    <w:rsid w:val="00500A3C"/>
    <w:rsid w:val="00500ACD"/>
    <w:rsid w:val="00500B83"/>
    <w:rsid w:val="00500D49"/>
    <w:rsid w:val="00500E2D"/>
    <w:rsid w:val="00500FC1"/>
    <w:rsid w:val="00500FCE"/>
    <w:rsid w:val="00501016"/>
    <w:rsid w:val="00501138"/>
    <w:rsid w:val="00501181"/>
    <w:rsid w:val="005012C0"/>
    <w:rsid w:val="00501463"/>
    <w:rsid w:val="005015C6"/>
    <w:rsid w:val="005017F8"/>
    <w:rsid w:val="0050187F"/>
    <w:rsid w:val="00501A5D"/>
    <w:rsid w:val="00501C7C"/>
    <w:rsid w:val="00501C81"/>
    <w:rsid w:val="00501CF6"/>
    <w:rsid w:val="00501F21"/>
    <w:rsid w:val="00501F68"/>
    <w:rsid w:val="00501F6F"/>
    <w:rsid w:val="00501FED"/>
    <w:rsid w:val="00501FFE"/>
    <w:rsid w:val="00502770"/>
    <w:rsid w:val="00502C17"/>
    <w:rsid w:val="00502C52"/>
    <w:rsid w:val="00503344"/>
    <w:rsid w:val="0050376E"/>
    <w:rsid w:val="00503797"/>
    <w:rsid w:val="0050390F"/>
    <w:rsid w:val="00503994"/>
    <w:rsid w:val="00503A82"/>
    <w:rsid w:val="00503AB4"/>
    <w:rsid w:val="00503C46"/>
    <w:rsid w:val="00504061"/>
    <w:rsid w:val="005042F9"/>
    <w:rsid w:val="0050462E"/>
    <w:rsid w:val="005046F5"/>
    <w:rsid w:val="00504A0B"/>
    <w:rsid w:val="00504B27"/>
    <w:rsid w:val="00504DE0"/>
    <w:rsid w:val="00504E91"/>
    <w:rsid w:val="00504F2E"/>
    <w:rsid w:val="00505172"/>
    <w:rsid w:val="00505176"/>
    <w:rsid w:val="00505210"/>
    <w:rsid w:val="005054D2"/>
    <w:rsid w:val="00505BAE"/>
    <w:rsid w:val="00505CFD"/>
    <w:rsid w:val="00505E22"/>
    <w:rsid w:val="005060E3"/>
    <w:rsid w:val="005060F6"/>
    <w:rsid w:val="005061B2"/>
    <w:rsid w:val="005062FE"/>
    <w:rsid w:val="0050634D"/>
    <w:rsid w:val="00506956"/>
    <w:rsid w:val="00506973"/>
    <w:rsid w:val="005069A4"/>
    <w:rsid w:val="005069BD"/>
    <w:rsid w:val="00506A61"/>
    <w:rsid w:val="00506B9A"/>
    <w:rsid w:val="00506F1D"/>
    <w:rsid w:val="00506F90"/>
    <w:rsid w:val="0050707B"/>
    <w:rsid w:val="00507243"/>
    <w:rsid w:val="005073A1"/>
    <w:rsid w:val="005074E8"/>
    <w:rsid w:val="0050753C"/>
    <w:rsid w:val="005075E4"/>
    <w:rsid w:val="005079D2"/>
    <w:rsid w:val="00507B50"/>
    <w:rsid w:val="00507B89"/>
    <w:rsid w:val="00510370"/>
    <w:rsid w:val="005105DA"/>
    <w:rsid w:val="005105F2"/>
    <w:rsid w:val="005109EB"/>
    <w:rsid w:val="00510A38"/>
    <w:rsid w:val="00510AD2"/>
    <w:rsid w:val="00510E75"/>
    <w:rsid w:val="00510FDF"/>
    <w:rsid w:val="00510FE2"/>
    <w:rsid w:val="0051106A"/>
    <w:rsid w:val="005111F1"/>
    <w:rsid w:val="00511267"/>
    <w:rsid w:val="00511662"/>
    <w:rsid w:val="005117F7"/>
    <w:rsid w:val="005118AA"/>
    <w:rsid w:val="00511C48"/>
    <w:rsid w:val="00511CDE"/>
    <w:rsid w:val="00511CE8"/>
    <w:rsid w:val="00511D3F"/>
    <w:rsid w:val="00511D63"/>
    <w:rsid w:val="00511FFD"/>
    <w:rsid w:val="00512025"/>
    <w:rsid w:val="005123C7"/>
    <w:rsid w:val="00512593"/>
    <w:rsid w:val="005127C1"/>
    <w:rsid w:val="0051299B"/>
    <w:rsid w:val="00512BD8"/>
    <w:rsid w:val="00512CC3"/>
    <w:rsid w:val="00512D30"/>
    <w:rsid w:val="00512D64"/>
    <w:rsid w:val="0051339F"/>
    <w:rsid w:val="00513553"/>
    <w:rsid w:val="005138B1"/>
    <w:rsid w:val="00513924"/>
    <w:rsid w:val="00513928"/>
    <w:rsid w:val="00513A85"/>
    <w:rsid w:val="00513DC7"/>
    <w:rsid w:val="00513E05"/>
    <w:rsid w:val="00513E5D"/>
    <w:rsid w:val="00513E6D"/>
    <w:rsid w:val="00513F21"/>
    <w:rsid w:val="00514161"/>
    <w:rsid w:val="00514559"/>
    <w:rsid w:val="00514685"/>
    <w:rsid w:val="00514A33"/>
    <w:rsid w:val="00515270"/>
    <w:rsid w:val="00515380"/>
    <w:rsid w:val="005153F3"/>
    <w:rsid w:val="0051549E"/>
    <w:rsid w:val="005155DD"/>
    <w:rsid w:val="005155F1"/>
    <w:rsid w:val="005158AB"/>
    <w:rsid w:val="00515B60"/>
    <w:rsid w:val="00515C84"/>
    <w:rsid w:val="00515DC1"/>
    <w:rsid w:val="00516057"/>
    <w:rsid w:val="00516118"/>
    <w:rsid w:val="00516262"/>
    <w:rsid w:val="005162E3"/>
    <w:rsid w:val="0051639F"/>
    <w:rsid w:val="00516511"/>
    <w:rsid w:val="005166DF"/>
    <w:rsid w:val="0051676A"/>
    <w:rsid w:val="00516B53"/>
    <w:rsid w:val="00516C18"/>
    <w:rsid w:val="00516F93"/>
    <w:rsid w:val="005171F2"/>
    <w:rsid w:val="005175CB"/>
    <w:rsid w:val="005176CA"/>
    <w:rsid w:val="0051783F"/>
    <w:rsid w:val="00517A74"/>
    <w:rsid w:val="00517B22"/>
    <w:rsid w:val="00517DDF"/>
    <w:rsid w:val="00517ED3"/>
    <w:rsid w:val="00520091"/>
    <w:rsid w:val="00520495"/>
    <w:rsid w:val="00520498"/>
    <w:rsid w:val="00520530"/>
    <w:rsid w:val="005206F3"/>
    <w:rsid w:val="00520798"/>
    <w:rsid w:val="00520803"/>
    <w:rsid w:val="00520B8C"/>
    <w:rsid w:val="00520D09"/>
    <w:rsid w:val="00520E11"/>
    <w:rsid w:val="00520FFC"/>
    <w:rsid w:val="0052116B"/>
    <w:rsid w:val="00521244"/>
    <w:rsid w:val="00521364"/>
    <w:rsid w:val="005213EB"/>
    <w:rsid w:val="00521422"/>
    <w:rsid w:val="005214F7"/>
    <w:rsid w:val="00521758"/>
    <w:rsid w:val="00521DDF"/>
    <w:rsid w:val="00521F7D"/>
    <w:rsid w:val="00522068"/>
    <w:rsid w:val="0052212F"/>
    <w:rsid w:val="005221F0"/>
    <w:rsid w:val="00522212"/>
    <w:rsid w:val="0052239C"/>
    <w:rsid w:val="005225FE"/>
    <w:rsid w:val="00522660"/>
    <w:rsid w:val="005226F4"/>
    <w:rsid w:val="00522756"/>
    <w:rsid w:val="005227A8"/>
    <w:rsid w:val="00522907"/>
    <w:rsid w:val="00522967"/>
    <w:rsid w:val="00522B82"/>
    <w:rsid w:val="005230C0"/>
    <w:rsid w:val="0052341F"/>
    <w:rsid w:val="005235D1"/>
    <w:rsid w:val="005236C0"/>
    <w:rsid w:val="00523C7A"/>
    <w:rsid w:val="00523DCA"/>
    <w:rsid w:val="00523DCF"/>
    <w:rsid w:val="00523DFA"/>
    <w:rsid w:val="0052409B"/>
    <w:rsid w:val="005241C7"/>
    <w:rsid w:val="00524304"/>
    <w:rsid w:val="00524457"/>
    <w:rsid w:val="0052445F"/>
    <w:rsid w:val="005244E9"/>
    <w:rsid w:val="00524957"/>
    <w:rsid w:val="0052497E"/>
    <w:rsid w:val="00524A7D"/>
    <w:rsid w:val="00524E4E"/>
    <w:rsid w:val="00524FBE"/>
    <w:rsid w:val="005250AF"/>
    <w:rsid w:val="00525268"/>
    <w:rsid w:val="00525367"/>
    <w:rsid w:val="005253CA"/>
    <w:rsid w:val="005253FC"/>
    <w:rsid w:val="005256A7"/>
    <w:rsid w:val="005259C4"/>
    <w:rsid w:val="00525ACA"/>
    <w:rsid w:val="00525B2F"/>
    <w:rsid w:val="00525FEB"/>
    <w:rsid w:val="0052604A"/>
    <w:rsid w:val="005260B6"/>
    <w:rsid w:val="005260FD"/>
    <w:rsid w:val="0052638F"/>
    <w:rsid w:val="00526495"/>
    <w:rsid w:val="00526889"/>
    <w:rsid w:val="005268A8"/>
    <w:rsid w:val="005269C5"/>
    <w:rsid w:val="00526AD2"/>
    <w:rsid w:val="00526DF6"/>
    <w:rsid w:val="00526EF7"/>
    <w:rsid w:val="00527084"/>
    <w:rsid w:val="005270FC"/>
    <w:rsid w:val="00527359"/>
    <w:rsid w:val="00527486"/>
    <w:rsid w:val="0052773D"/>
    <w:rsid w:val="00527841"/>
    <w:rsid w:val="00527874"/>
    <w:rsid w:val="005279AE"/>
    <w:rsid w:val="00527ABE"/>
    <w:rsid w:val="00527E88"/>
    <w:rsid w:val="00527F47"/>
    <w:rsid w:val="00527F6D"/>
    <w:rsid w:val="005304E4"/>
    <w:rsid w:val="0053067D"/>
    <w:rsid w:val="00530736"/>
    <w:rsid w:val="00530AB1"/>
    <w:rsid w:val="00530C32"/>
    <w:rsid w:val="00530DB1"/>
    <w:rsid w:val="00530FA3"/>
    <w:rsid w:val="00531069"/>
    <w:rsid w:val="00531257"/>
    <w:rsid w:val="005312A7"/>
    <w:rsid w:val="0053144B"/>
    <w:rsid w:val="0053198F"/>
    <w:rsid w:val="005319FD"/>
    <w:rsid w:val="00531B3F"/>
    <w:rsid w:val="00531CAF"/>
    <w:rsid w:val="00531F66"/>
    <w:rsid w:val="00531FA2"/>
    <w:rsid w:val="005320CB"/>
    <w:rsid w:val="00532494"/>
    <w:rsid w:val="0053260A"/>
    <w:rsid w:val="00532776"/>
    <w:rsid w:val="00532779"/>
    <w:rsid w:val="00532B13"/>
    <w:rsid w:val="00532CB2"/>
    <w:rsid w:val="00532D10"/>
    <w:rsid w:val="005330E6"/>
    <w:rsid w:val="00533149"/>
    <w:rsid w:val="00533446"/>
    <w:rsid w:val="0053371D"/>
    <w:rsid w:val="005337BB"/>
    <w:rsid w:val="00533B84"/>
    <w:rsid w:val="00534593"/>
    <w:rsid w:val="00534748"/>
    <w:rsid w:val="0053498F"/>
    <w:rsid w:val="00534A1C"/>
    <w:rsid w:val="00534AAE"/>
    <w:rsid w:val="00534BC0"/>
    <w:rsid w:val="00534D7D"/>
    <w:rsid w:val="005350DC"/>
    <w:rsid w:val="00535252"/>
    <w:rsid w:val="0053539E"/>
    <w:rsid w:val="0053567D"/>
    <w:rsid w:val="005357E6"/>
    <w:rsid w:val="00535AAD"/>
    <w:rsid w:val="00535C4B"/>
    <w:rsid w:val="00535C6B"/>
    <w:rsid w:val="00535C83"/>
    <w:rsid w:val="00535CB4"/>
    <w:rsid w:val="00535D2E"/>
    <w:rsid w:val="00535DFF"/>
    <w:rsid w:val="00535EF2"/>
    <w:rsid w:val="00535FCD"/>
    <w:rsid w:val="00536010"/>
    <w:rsid w:val="0053606A"/>
    <w:rsid w:val="00536237"/>
    <w:rsid w:val="005367AC"/>
    <w:rsid w:val="005367C4"/>
    <w:rsid w:val="00536896"/>
    <w:rsid w:val="00536AD5"/>
    <w:rsid w:val="00536C28"/>
    <w:rsid w:val="00537146"/>
    <w:rsid w:val="005374E6"/>
    <w:rsid w:val="005376BA"/>
    <w:rsid w:val="00537904"/>
    <w:rsid w:val="00537A77"/>
    <w:rsid w:val="00537A7E"/>
    <w:rsid w:val="00537ABB"/>
    <w:rsid w:val="00537BC9"/>
    <w:rsid w:val="00537C63"/>
    <w:rsid w:val="00537F58"/>
    <w:rsid w:val="00540310"/>
    <w:rsid w:val="005408E1"/>
    <w:rsid w:val="00540C1A"/>
    <w:rsid w:val="00540EB6"/>
    <w:rsid w:val="00540F9D"/>
    <w:rsid w:val="00541487"/>
    <w:rsid w:val="0054154D"/>
    <w:rsid w:val="00541A14"/>
    <w:rsid w:val="00541B77"/>
    <w:rsid w:val="00541CAA"/>
    <w:rsid w:val="00541DF2"/>
    <w:rsid w:val="00541F3D"/>
    <w:rsid w:val="00542091"/>
    <w:rsid w:val="005420F8"/>
    <w:rsid w:val="0054211F"/>
    <w:rsid w:val="00542257"/>
    <w:rsid w:val="005422EE"/>
    <w:rsid w:val="005427D0"/>
    <w:rsid w:val="00542A49"/>
    <w:rsid w:val="00542D62"/>
    <w:rsid w:val="00542E34"/>
    <w:rsid w:val="0054316E"/>
    <w:rsid w:val="0054341B"/>
    <w:rsid w:val="00543462"/>
    <w:rsid w:val="005435F6"/>
    <w:rsid w:val="0054370B"/>
    <w:rsid w:val="0054376B"/>
    <w:rsid w:val="00543834"/>
    <w:rsid w:val="005438BB"/>
    <w:rsid w:val="0054390B"/>
    <w:rsid w:val="00543A5B"/>
    <w:rsid w:val="00543C6B"/>
    <w:rsid w:val="00543E92"/>
    <w:rsid w:val="00543F9C"/>
    <w:rsid w:val="00543FA3"/>
    <w:rsid w:val="00543FEE"/>
    <w:rsid w:val="00544051"/>
    <w:rsid w:val="00544053"/>
    <w:rsid w:val="00544300"/>
    <w:rsid w:val="00544774"/>
    <w:rsid w:val="00544BF1"/>
    <w:rsid w:val="00544F6B"/>
    <w:rsid w:val="005450CD"/>
    <w:rsid w:val="00545223"/>
    <w:rsid w:val="00545290"/>
    <w:rsid w:val="005452C8"/>
    <w:rsid w:val="0054542F"/>
    <w:rsid w:val="005455F6"/>
    <w:rsid w:val="00545949"/>
    <w:rsid w:val="00545C42"/>
    <w:rsid w:val="00545D06"/>
    <w:rsid w:val="00545D1E"/>
    <w:rsid w:val="00545DB7"/>
    <w:rsid w:val="00545DDB"/>
    <w:rsid w:val="00545EB0"/>
    <w:rsid w:val="00545F2D"/>
    <w:rsid w:val="00546034"/>
    <w:rsid w:val="005461AA"/>
    <w:rsid w:val="005462D0"/>
    <w:rsid w:val="00546AD0"/>
    <w:rsid w:val="00546B18"/>
    <w:rsid w:val="00546B4B"/>
    <w:rsid w:val="00546C79"/>
    <w:rsid w:val="00546D39"/>
    <w:rsid w:val="00546F59"/>
    <w:rsid w:val="00546F85"/>
    <w:rsid w:val="005472F3"/>
    <w:rsid w:val="0054771B"/>
    <w:rsid w:val="00547A88"/>
    <w:rsid w:val="00547AED"/>
    <w:rsid w:val="00547C23"/>
    <w:rsid w:val="00547D00"/>
    <w:rsid w:val="00547D0C"/>
    <w:rsid w:val="00547FD8"/>
    <w:rsid w:val="00547FDE"/>
    <w:rsid w:val="0055000A"/>
    <w:rsid w:val="0055036C"/>
    <w:rsid w:val="00550388"/>
    <w:rsid w:val="0055047F"/>
    <w:rsid w:val="005505D9"/>
    <w:rsid w:val="0055087D"/>
    <w:rsid w:val="00550AB0"/>
    <w:rsid w:val="00550B08"/>
    <w:rsid w:val="00550BEB"/>
    <w:rsid w:val="00550CBF"/>
    <w:rsid w:val="00550E84"/>
    <w:rsid w:val="00551368"/>
    <w:rsid w:val="005513AC"/>
    <w:rsid w:val="0055141A"/>
    <w:rsid w:val="0055143B"/>
    <w:rsid w:val="00551759"/>
    <w:rsid w:val="00551FA1"/>
    <w:rsid w:val="00552072"/>
    <w:rsid w:val="00552494"/>
    <w:rsid w:val="005524B0"/>
    <w:rsid w:val="005524E1"/>
    <w:rsid w:val="00552A03"/>
    <w:rsid w:val="00552B0F"/>
    <w:rsid w:val="00552B7D"/>
    <w:rsid w:val="00552B88"/>
    <w:rsid w:val="00552C3B"/>
    <w:rsid w:val="00552CD2"/>
    <w:rsid w:val="00552F7C"/>
    <w:rsid w:val="00552F7D"/>
    <w:rsid w:val="00552FB5"/>
    <w:rsid w:val="00552FCC"/>
    <w:rsid w:val="0055344F"/>
    <w:rsid w:val="00553893"/>
    <w:rsid w:val="00553D16"/>
    <w:rsid w:val="00553DFB"/>
    <w:rsid w:val="00554139"/>
    <w:rsid w:val="00554316"/>
    <w:rsid w:val="00554894"/>
    <w:rsid w:val="005548D6"/>
    <w:rsid w:val="00554A84"/>
    <w:rsid w:val="00554EF1"/>
    <w:rsid w:val="00554F08"/>
    <w:rsid w:val="00554FFD"/>
    <w:rsid w:val="00555206"/>
    <w:rsid w:val="00555283"/>
    <w:rsid w:val="00555546"/>
    <w:rsid w:val="005555DB"/>
    <w:rsid w:val="0055584F"/>
    <w:rsid w:val="0055587F"/>
    <w:rsid w:val="005559CF"/>
    <w:rsid w:val="00555AE0"/>
    <w:rsid w:val="00555AEC"/>
    <w:rsid w:val="00555B16"/>
    <w:rsid w:val="00555C8A"/>
    <w:rsid w:val="00555F09"/>
    <w:rsid w:val="00555FE5"/>
    <w:rsid w:val="00556028"/>
    <w:rsid w:val="0055650B"/>
    <w:rsid w:val="00556845"/>
    <w:rsid w:val="00556B07"/>
    <w:rsid w:val="00556BD6"/>
    <w:rsid w:val="00556ED7"/>
    <w:rsid w:val="00556EFB"/>
    <w:rsid w:val="00556F4F"/>
    <w:rsid w:val="00557296"/>
    <w:rsid w:val="005573E5"/>
    <w:rsid w:val="00557793"/>
    <w:rsid w:val="005577B0"/>
    <w:rsid w:val="00557A15"/>
    <w:rsid w:val="00557B39"/>
    <w:rsid w:val="00557BFE"/>
    <w:rsid w:val="00557C7F"/>
    <w:rsid w:val="00557ED0"/>
    <w:rsid w:val="005600DD"/>
    <w:rsid w:val="0056013B"/>
    <w:rsid w:val="00560192"/>
    <w:rsid w:val="005604B6"/>
    <w:rsid w:val="00560A65"/>
    <w:rsid w:val="005610FA"/>
    <w:rsid w:val="00561241"/>
    <w:rsid w:val="0056192C"/>
    <w:rsid w:val="00561AB3"/>
    <w:rsid w:val="00561C16"/>
    <w:rsid w:val="00561D21"/>
    <w:rsid w:val="00561D3C"/>
    <w:rsid w:val="00562084"/>
    <w:rsid w:val="0056209B"/>
    <w:rsid w:val="005623EA"/>
    <w:rsid w:val="005626AD"/>
    <w:rsid w:val="00562AB3"/>
    <w:rsid w:val="00562EA1"/>
    <w:rsid w:val="005630B7"/>
    <w:rsid w:val="005632E4"/>
    <w:rsid w:val="00563338"/>
    <w:rsid w:val="0056375B"/>
    <w:rsid w:val="00563927"/>
    <w:rsid w:val="00563C3A"/>
    <w:rsid w:val="00563D3E"/>
    <w:rsid w:val="00563DF2"/>
    <w:rsid w:val="0056418E"/>
    <w:rsid w:val="00564369"/>
    <w:rsid w:val="005648DF"/>
    <w:rsid w:val="00564B82"/>
    <w:rsid w:val="00564BA2"/>
    <w:rsid w:val="00564C58"/>
    <w:rsid w:val="00565095"/>
    <w:rsid w:val="00565333"/>
    <w:rsid w:val="005656AB"/>
    <w:rsid w:val="0056574F"/>
    <w:rsid w:val="00565898"/>
    <w:rsid w:val="005658BD"/>
    <w:rsid w:val="005659B6"/>
    <w:rsid w:val="005659E8"/>
    <w:rsid w:val="00565AA0"/>
    <w:rsid w:val="00565BB7"/>
    <w:rsid w:val="00565DB9"/>
    <w:rsid w:val="00565F80"/>
    <w:rsid w:val="00565FA4"/>
    <w:rsid w:val="005661C7"/>
    <w:rsid w:val="00566395"/>
    <w:rsid w:val="0056644C"/>
    <w:rsid w:val="005667BA"/>
    <w:rsid w:val="0056683E"/>
    <w:rsid w:val="005669BC"/>
    <w:rsid w:val="00566AD4"/>
    <w:rsid w:val="00566D15"/>
    <w:rsid w:val="00566E8F"/>
    <w:rsid w:val="00567154"/>
    <w:rsid w:val="005674D9"/>
    <w:rsid w:val="00567562"/>
    <w:rsid w:val="005675DF"/>
    <w:rsid w:val="005679ED"/>
    <w:rsid w:val="00567B35"/>
    <w:rsid w:val="00567BDA"/>
    <w:rsid w:val="00567BE3"/>
    <w:rsid w:val="00567DE1"/>
    <w:rsid w:val="00567E4C"/>
    <w:rsid w:val="00567F3C"/>
    <w:rsid w:val="0057013E"/>
    <w:rsid w:val="00570457"/>
    <w:rsid w:val="00570B9E"/>
    <w:rsid w:val="00570C58"/>
    <w:rsid w:val="00570E47"/>
    <w:rsid w:val="00570EED"/>
    <w:rsid w:val="00570F18"/>
    <w:rsid w:val="0057107A"/>
    <w:rsid w:val="00571101"/>
    <w:rsid w:val="0057141A"/>
    <w:rsid w:val="005715FC"/>
    <w:rsid w:val="00571649"/>
    <w:rsid w:val="005716FC"/>
    <w:rsid w:val="005717F7"/>
    <w:rsid w:val="0057198F"/>
    <w:rsid w:val="00571AF9"/>
    <w:rsid w:val="00571D2A"/>
    <w:rsid w:val="00571F9E"/>
    <w:rsid w:val="00571FE8"/>
    <w:rsid w:val="005720B7"/>
    <w:rsid w:val="005723C9"/>
    <w:rsid w:val="00572546"/>
    <w:rsid w:val="005725E3"/>
    <w:rsid w:val="005727BD"/>
    <w:rsid w:val="00572B3F"/>
    <w:rsid w:val="00572C2A"/>
    <w:rsid w:val="00572EF2"/>
    <w:rsid w:val="00572FAA"/>
    <w:rsid w:val="00573335"/>
    <w:rsid w:val="00573587"/>
    <w:rsid w:val="00573A3E"/>
    <w:rsid w:val="00573A4A"/>
    <w:rsid w:val="00573B54"/>
    <w:rsid w:val="00573F56"/>
    <w:rsid w:val="005744F6"/>
    <w:rsid w:val="00574671"/>
    <w:rsid w:val="005748D1"/>
    <w:rsid w:val="00574B37"/>
    <w:rsid w:val="005750BF"/>
    <w:rsid w:val="00575421"/>
    <w:rsid w:val="005754ED"/>
    <w:rsid w:val="005755D0"/>
    <w:rsid w:val="0057572B"/>
    <w:rsid w:val="005758DF"/>
    <w:rsid w:val="005759AB"/>
    <w:rsid w:val="00575AE0"/>
    <w:rsid w:val="00575B15"/>
    <w:rsid w:val="00575B53"/>
    <w:rsid w:val="00575C94"/>
    <w:rsid w:val="00575CAC"/>
    <w:rsid w:val="00575DEF"/>
    <w:rsid w:val="00575EE9"/>
    <w:rsid w:val="00575F16"/>
    <w:rsid w:val="00576C5F"/>
    <w:rsid w:val="00576E99"/>
    <w:rsid w:val="00577004"/>
    <w:rsid w:val="005771F0"/>
    <w:rsid w:val="0057720C"/>
    <w:rsid w:val="0057740D"/>
    <w:rsid w:val="005774BA"/>
    <w:rsid w:val="005778C8"/>
    <w:rsid w:val="005778EF"/>
    <w:rsid w:val="00577A25"/>
    <w:rsid w:val="00577A43"/>
    <w:rsid w:val="00577A7F"/>
    <w:rsid w:val="00577FCD"/>
    <w:rsid w:val="0058013F"/>
    <w:rsid w:val="005801A4"/>
    <w:rsid w:val="00580603"/>
    <w:rsid w:val="005807BD"/>
    <w:rsid w:val="00580A06"/>
    <w:rsid w:val="00580E44"/>
    <w:rsid w:val="00580F75"/>
    <w:rsid w:val="0058131B"/>
    <w:rsid w:val="005816C9"/>
    <w:rsid w:val="005816FA"/>
    <w:rsid w:val="005817F6"/>
    <w:rsid w:val="005818C7"/>
    <w:rsid w:val="00581920"/>
    <w:rsid w:val="00581C1A"/>
    <w:rsid w:val="00582079"/>
    <w:rsid w:val="0058211D"/>
    <w:rsid w:val="005822C1"/>
    <w:rsid w:val="0058236D"/>
    <w:rsid w:val="0058248A"/>
    <w:rsid w:val="005825DE"/>
    <w:rsid w:val="005826EA"/>
    <w:rsid w:val="0058279F"/>
    <w:rsid w:val="00582A53"/>
    <w:rsid w:val="00582B7C"/>
    <w:rsid w:val="00582EE3"/>
    <w:rsid w:val="0058306D"/>
    <w:rsid w:val="005832DD"/>
    <w:rsid w:val="0058358D"/>
    <w:rsid w:val="0058385F"/>
    <w:rsid w:val="0058393E"/>
    <w:rsid w:val="00583A21"/>
    <w:rsid w:val="00583A33"/>
    <w:rsid w:val="00583B95"/>
    <w:rsid w:val="00583D61"/>
    <w:rsid w:val="00583DAA"/>
    <w:rsid w:val="00583E24"/>
    <w:rsid w:val="00583F94"/>
    <w:rsid w:val="00584289"/>
    <w:rsid w:val="00584435"/>
    <w:rsid w:val="005844C4"/>
    <w:rsid w:val="00584518"/>
    <w:rsid w:val="0058453E"/>
    <w:rsid w:val="00584619"/>
    <w:rsid w:val="0058494B"/>
    <w:rsid w:val="00584BE4"/>
    <w:rsid w:val="00584BFC"/>
    <w:rsid w:val="00584ECA"/>
    <w:rsid w:val="00584F44"/>
    <w:rsid w:val="005850A2"/>
    <w:rsid w:val="00585198"/>
    <w:rsid w:val="005852F7"/>
    <w:rsid w:val="0058531F"/>
    <w:rsid w:val="005853DC"/>
    <w:rsid w:val="0058546C"/>
    <w:rsid w:val="005854C4"/>
    <w:rsid w:val="00585550"/>
    <w:rsid w:val="00585A79"/>
    <w:rsid w:val="00585D6F"/>
    <w:rsid w:val="00585DE1"/>
    <w:rsid w:val="00585E2C"/>
    <w:rsid w:val="005860AF"/>
    <w:rsid w:val="005867D2"/>
    <w:rsid w:val="0058687D"/>
    <w:rsid w:val="005869CB"/>
    <w:rsid w:val="005870E2"/>
    <w:rsid w:val="0058724E"/>
    <w:rsid w:val="005872B1"/>
    <w:rsid w:val="005875A5"/>
    <w:rsid w:val="00587876"/>
    <w:rsid w:val="0058798E"/>
    <w:rsid w:val="00587A31"/>
    <w:rsid w:val="00587C32"/>
    <w:rsid w:val="00587EF1"/>
    <w:rsid w:val="00587F6E"/>
    <w:rsid w:val="0059013D"/>
    <w:rsid w:val="00590172"/>
    <w:rsid w:val="005902E2"/>
    <w:rsid w:val="00590658"/>
    <w:rsid w:val="00590781"/>
    <w:rsid w:val="00590862"/>
    <w:rsid w:val="005909A8"/>
    <w:rsid w:val="00590D4E"/>
    <w:rsid w:val="00590DA8"/>
    <w:rsid w:val="00590E3D"/>
    <w:rsid w:val="005910E0"/>
    <w:rsid w:val="00591130"/>
    <w:rsid w:val="00591C16"/>
    <w:rsid w:val="00592624"/>
    <w:rsid w:val="0059271D"/>
    <w:rsid w:val="00592808"/>
    <w:rsid w:val="00592A0D"/>
    <w:rsid w:val="00592A8E"/>
    <w:rsid w:val="00592B45"/>
    <w:rsid w:val="00592BFB"/>
    <w:rsid w:val="0059324C"/>
    <w:rsid w:val="00593797"/>
    <w:rsid w:val="00593818"/>
    <w:rsid w:val="00593C7F"/>
    <w:rsid w:val="00593E38"/>
    <w:rsid w:val="00593FA4"/>
    <w:rsid w:val="00594376"/>
    <w:rsid w:val="005944B6"/>
    <w:rsid w:val="00594674"/>
    <w:rsid w:val="00594768"/>
    <w:rsid w:val="00594945"/>
    <w:rsid w:val="00594A61"/>
    <w:rsid w:val="00594A7C"/>
    <w:rsid w:val="00594B9D"/>
    <w:rsid w:val="00594F1D"/>
    <w:rsid w:val="00594F6F"/>
    <w:rsid w:val="005953AD"/>
    <w:rsid w:val="005956B6"/>
    <w:rsid w:val="005956E3"/>
    <w:rsid w:val="00595894"/>
    <w:rsid w:val="00595996"/>
    <w:rsid w:val="00595AB2"/>
    <w:rsid w:val="00596154"/>
    <w:rsid w:val="00596236"/>
    <w:rsid w:val="00596307"/>
    <w:rsid w:val="005963CC"/>
    <w:rsid w:val="005963FB"/>
    <w:rsid w:val="005965DA"/>
    <w:rsid w:val="00596841"/>
    <w:rsid w:val="00596861"/>
    <w:rsid w:val="00596C9B"/>
    <w:rsid w:val="00596CF9"/>
    <w:rsid w:val="00596E19"/>
    <w:rsid w:val="00596E42"/>
    <w:rsid w:val="00596E80"/>
    <w:rsid w:val="00596EE6"/>
    <w:rsid w:val="0059705C"/>
    <w:rsid w:val="0059712A"/>
    <w:rsid w:val="00597217"/>
    <w:rsid w:val="005973F6"/>
    <w:rsid w:val="005978AA"/>
    <w:rsid w:val="0059794D"/>
    <w:rsid w:val="00597AA8"/>
    <w:rsid w:val="00597B7D"/>
    <w:rsid w:val="00597DA7"/>
    <w:rsid w:val="00597DEB"/>
    <w:rsid w:val="00597ECE"/>
    <w:rsid w:val="005A02D7"/>
    <w:rsid w:val="005A071A"/>
    <w:rsid w:val="005A07F1"/>
    <w:rsid w:val="005A0988"/>
    <w:rsid w:val="005A0DA5"/>
    <w:rsid w:val="005A0E45"/>
    <w:rsid w:val="005A1059"/>
    <w:rsid w:val="005A1113"/>
    <w:rsid w:val="005A1369"/>
    <w:rsid w:val="005A1582"/>
    <w:rsid w:val="005A169B"/>
    <w:rsid w:val="005A16FB"/>
    <w:rsid w:val="005A1855"/>
    <w:rsid w:val="005A1986"/>
    <w:rsid w:val="005A1AB0"/>
    <w:rsid w:val="005A1C71"/>
    <w:rsid w:val="005A1C7C"/>
    <w:rsid w:val="005A1CE5"/>
    <w:rsid w:val="005A2049"/>
    <w:rsid w:val="005A20DA"/>
    <w:rsid w:val="005A241E"/>
    <w:rsid w:val="005A27FB"/>
    <w:rsid w:val="005A28B4"/>
    <w:rsid w:val="005A2CB9"/>
    <w:rsid w:val="005A2FEF"/>
    <w:rsid w:val="005A3189"/>
    <w:rsid w:val="005A3536"/>
    <w:rsid w:val="005A37C7"/>
    <w:rsid w:val="005A38AA"/>
    <w:rsid w:val="005A3923"/>
    <w:rsid w:val="005A3C3C"/>
    <w:rsid w:val="005A3C9B"/>
    <w:rsid w:val="005A4182"/>
    <w:rsid w:val="005A418F"/>
    <w:rsid w:val="005A4203"/>
    <w:rsid w:val="005A44DA"/>
    <w:rsid w:val="005A4614"/>
    <w:rsid w:val="005A462E"/>
    <w:rsid w:val="005A46A3"/>
    <w:rsid w:val="005A46F6"/>
    <w:rsid w:val="005A472C"/>
    <w:rsid w:val="005A4869"/>
    <w:rsid w:val="005A4897"/>
    <w:rsid w:val="005A4A43"/>
    <w:rsid w:val="005A4C3D"/>
    <w:rsid w:val="005A4C51"/>
    <w:rsid w:val="005A4C76"/>
    <w:rsid w:val="005A4EF3"/>
    <w:rsid w:val="005A519A"/>
    <w:rsid w:val="005A51A0"/>
    <w:rsid w:val="005A5325"/>
    <w:rsid w:val="005A5435"/>
    <w:rsid w:val="005A5557"/>
    <w:rsid w:val="005A5571"/>
    <w:rsid w:val="005A55D5"/>
    <w:rsid w:val="005A573A"/>
    <w:rsid w:val="005A5ED8"/>
    <w:rsid w:val="005A61A7"/>
    <w:rsid w:val="005A61F3"/>
    <w:rsid w:val="005A627D"/>
    <w:rsid w:val="005A64DD"/>
    <w:rsid w:val="005A671C"/>
    <w:rsid w:val="005A6864"/>
    <w:rsid w:val="005A6CD9"/>
    <w:rsid w:val="005A6F61"/>
    <w:rsid w:val="005A6F92"/>
    <w:rsid w:val="005A6FED"/>
    <w:rsid w:val="005A70E5"/>
    <w:rsid w:val="005A7323"/>
    <w:rsid w:val="005A777A"/>
    <w:rsid w:val="005A78B2"/>
    <w:rsid w:val="005A78EA"/>
    <w:rsid w:val="005A7A57"/>
    <w:rsid w:val="005A7AA4"/>
    <w:rsid w:val="005A7AFA"/>
    <w:rsid w:val="005A7BAC"/>
    <w:rsid w:val="005B00E2"/>
    <w:rsid w:val="005B04FD"/>
    <w:rsid w:val="005B0535"/>
    <w:rsid w:val="005B05E7"/>
    <w:rsid w:val="005B0736"/>
    <w:rsid w:val="005B0AE8"/>
    <w:rsid w:val="005B0B39"/>
    <w:rsid w:val="005B1001"/>
    <w:rsid w:val="005B10EF"/>
    <w:rsid w:val="005B13CE"/>
    <w:rsid w:val="005B166A"/>
    <w:rsid w:val="005B1799"/>
    <w:rsid w:val="005B1889"/>
    <w:rsid w:val="005B1A25"/>
    <w:rsid w:val="005B1B3E"/>
    <w:rsid w:val="005B1BC4"/>
    <w:rsid w:val="005B1D50"/>
    <w:rsid w:val="005B1DE8"/>
    <w:rsid w:val="005B1E2F"/>
    <w:rsid w:val="005B243C"/>
    <w:rsid w:val="005B2627"/>
    <w:rsid w:val="005B2836"/>
    <w:rsid w:val="005B2A64"/>
    <w:rsid w:val="005B2A96"/>
    <w:rsid w:val="005B2C40"/>
    <w:rsid w:val="005B2D3D"/>
    <w:rsid w:val="005B334E"/>
    <w:rsid w:val="005B33B6"/>
    <w:rsid w:val="005B34AC"/>
    <w:rsid w:val="005B3714"/>
    <w:rsid w:val="005B37D1"/>
    <w:rsid w:val="005B380D"/>
    <w:rsid w:val="005B3B14"/>
    <w:rsid w:val="005B3BD2"/>
    <w:rsid w:val="005B3C66"/>
    <w:rsid w:val="005B3D11"/>
    <w:rsid w:val="005B411C"/>
    <w:rsid w:val="005B41D4"/>
    <w:rsid w:val="005B4360"/>
    <w:rsid w:val="005B4BA3"/>
    <w:rsid w:val="005B4E4D"/>
    <w:rsid w:val="005B4EE9"/>
    <w:rsid w:val="005B502E"/>
    <w:rsid w:val="005B5435"/>
    <w:rsid w:val="005B54F3"/>
    <w:rsid w:val="005B5538"/>
    <w:rsid w:val="005B5D5F"/>
    <w:rsid w:val="005B5F1D"/>
    <w:rsid w:val="005B5FE8"/>
    <w:rsid w:val="005B63CD"/>
    <w:rsid w:val="005B6661"/>
    <w:rsid w:val="005B668D"/>
    <w:rsid w:val="005B6894"/>
    <w:rsid w:val="005B6B61"/>
    <w:rsid w:val="005B6C18"/>
    <w:rsid w:val="005B6E5D"/>
    <w:rsid w:val="005B6ED8"/>
    <w:rsid w:val="005B6F74"/>
    <w:rsid w:val="005B6FEC"/>
    <w:rsid w:val="005B6FF5"/>
    <w:rsid w:val="005B706B"/>
    <w:rsid w:val="005B7121"/>
    <w:rsid w:val="005B7243"/>
    <w:rsid w:val="005B727D"/>
    <w:rsid w:val="005B72D3"/>
    <w:rsid w:val="005B7646"/>
    <w:rsid w:val="005B7720"/>
    <w:rsid w:val="005B774D"/>
    <w:rsid w:val="005B779C"/>
    <w:rsid w:val="005B78AE"/>
    <w:rsid w:val="005B79E5"/>
    <w:rsid w:val="005B7B2E"/>
    <w:rsid w:val="005B7B47"/>
    <w:rsid w:val="005B7B94"/>
    <w:rsid w:val="005B7C9F"/>
    <w:rsid w:val="005C01A8"/>
    <w:rsid w:val="005C06F8"/>
    <w:rsid w:val="005C072C"/>
    <w:rsid w:val="005C078B"/>
    <w:rsid w:val="005C0E15"/>
    <w:rsid w:val="005C1023"/>
    <w:rsid w:val="005C1199"/>
    <w:rsid w:val="005C11E7"/>
    <w:rsid w:val="005C1384"/>
    <w:rsid w:val="005C13B2"/>
    <w:rsid w:val="005C17A1"/>
    <w:rsid w:val="005C1803"/>
    <w:rsid w:val="005C1815"/>
    <w:rsid w:val="005C19E5"/>
    <w:rsid w:val="005C1ADF"/>
    <w:rsid w:val="005C1AEC"/>
    <w:rsid w:val="005C1B26"/>
    <w:rsid w:val="005C1E7A"/>
    <w:rsid w:val="005C1EC2"/>
    <w:rsid w:val="005C1EE2"/>
    <w:rsid w:val="005C1FC1"/>
    <w:rsid w:val="005C2024"/>
    <w:rsid w:val="005C252B"/>
    <w:rsid w:val="005C27E3"/>
    <w:rsid w:val="005C3254"/>
    <w:rsid w:val="005C33AA"/>
    <w:rsid w:val="005C34E9"/>
    <w:rsid w:val="005C3768"/>
    <w:rsid w:val="005C37CB"/>
    <w:rsid w:val="005C3BE8"/>
    <w:rsid w:val="005C3C1F"/>
    <w:rsid w:val="005C3D1A"/>
    <w:rsid w:val="005C3EF8"/>
    <w:rsid w:val="005C3F98"/>
    <w:rsid w:val="005C3FE3"/>
    <w:rsid w:val="005C43CC"/>
    <w:rsid w:val="005C459C"/>
    <w:rsid w:val="005C475A"/>
    <w:rsid w:val="005C4E7C"/>
    <w:rsid w:val="005C52E3"/>
    <w:rsid w:val="005C5A0F"/>
    <w:rsid w:val="005C5AB2"/>
    <w:rsid w:val="005C5AD5"/>
    <w:rsid w:val="005C5C95"/>
    <w:rsid w:val="005C5FFD"/>
    <w:rsid w:val="005C614F"/>
    <w:rsid w:val="005C6EF3"/>
    <w:rsid w:val="005C71FB"/>
    <w:rsid w:val="005C72B0"/>
    <w:rsid w:val="005C7390"/>
    <w:rsid w:val="005C749D"/>
    <w:rsid w:val="005C74C5"/>
    <w:rsid w:val="005C76CC"/>
    <w:rsid w:val="005C7775"/>
    <w:rsid w:val="005C787E"/>
    <w:rsid w:val="005C7AA2"/>
    <w:rsid w:val="005C7EAF"/>
    <w:rsid w:val="005C7FCF"/>
    <w:rsid w:val="005D02FB"/>
    <w:rsid w:val="005D0305"/>
    <w:rsid w:val="005D08DF"/>
    <w:rsid w:val="005D0EFF"/>
    <w:rsid w:val="005D1457"/>
    <w:rsid w:val="005D14B9"/>
    <w:rsid w:val="005D1864"/>
    <w:rsid w:val="005D1A83"/>
    <w:rsid w:val="005D1A9F"/>
    <w:rsid w:val="005D1C71"/>
    <w:rsid w:val="005D1CC3"/>
    <w:rsid w:val="005D1D91"/>
    <w:rsid w:val="005D205E"/>
    <w:rsid w:val="005D2085"/>
    <w:rsid w:val="005D2264"/>
    <w:rsid w:val="005D24D7"/>
    <w:rsid w:val="005D2847"/>
    <w:rsid w:val="005D28CC"/>
    <w:rsid w:val="005D292F"/>
    <w:rsid w:val="005D2986"/>
    <w:rsid w:val="005D2A50"/>
    <w:rsid w:val="005D2A87"/>
    <w:rsid w:val="005D2B69"/>
    <w:rsid w:val="005D2F0B"/>
    <w:rsid w:val="005D306D"/>
    <w:rsid w:val="005D30CE"/>
    <w:rsid w:val="005D3264"/>
    <w:rsid w:val="005D34BD"/>
    <w:rsid w:val="005D34EA"/>
    <w:rsid w:val="005D368B"/>
    <w:rsid w:val="005D3D24"/>
    <w:rsid w:val="005D3E28"/>
    <w:rsid w:val="005D3E8E"/>
    <w:rsid w:val="005D3EC6"/>
    <w:rsid w:val="005D40A9"/>
    <w:rsid w:val="005D41C6"/>
    <w:rsid w:val="005D42BD"/>
    <w:rsid w:val="005D45B5"/>
    <w:rsid w:val="005D465F"/>
    <w:rsid w:val="005D4661"/>
    <w:rsid w:val="005D47EE"/>
    <w:rsid w:val="005D4AC5"/>
    <w:rsid w:val="005D4C57"/>
    <w:rsid w:val="005D4DD5"/>
    <w:rsid w:val="005D4FE1"/>
    <w:rsid w:val="005D503E"/>
    <w:rsid w:val="005D5075"/>
    <w:rsid w:val="005D50C0"/>
    <w:rsid w:val="005D52F8"/>
    <w:rsid w:val="005D52FA"/>
    <w:rsid w:val="005D5403"/>
    <w:rsid w:val="005D5848"/>
    <w:rsid w:val="005D600E"/>
    <w:rsid w:val="005D600F"/>
    <w:rsid w:val="005D6013"/>
    <w:rsid w:val="005D6101"/>
    <w:rsid w:val="005D6199"/>
    <w:rsid w:val="005D6240"/>
    <w:rsid w:val="005D6612"/>
    <w:rsid w:val="005D66F5"/>
    <w:rsid w:val="005D6759"/>
    <w:rsid w:val="005D6858"/>
    <w:rsid w:val="005D697E"/>
    <w:rsid w:val="005D6B4B"/>
    <w:rsid w:val="005D6D99"/>
    <w:rsid w:val="005D7088"/>
    <w:rsid w:val="005D7548"/>
    <w:rsid w:val="005D76AE"/>
    <w:rsid w:val="005D76DE"/>
    <w:rsid w:val="005D7713"/>
    <w:rsid w:val="005D777B"/>
    <w:rsid w:val="005D77DE"/>
    <w:rsid w:val="005D7D29"/>
    <w:rsid w:val="005D7EBF"/>
    <w:rsid w:val="005E0016"/>
    <w:rsid w:val="005E00F3"/>
    <w:rsid w:val="005E057D"/>
    <w:rsid w:val="005E05A1"/>
    <w:rsid w:val="005E09E4"/>
    <w:rsid w:val="005E0A6E"/>
    <w:rsid w:val="005E0B2F"/>
    <w:rsid w:val="005E0D78"/>
    <w:rsid w:val="005E100D"/>
    <w:rsid w:val="005E1466"/>
    <w:rsid w:val="005E167A"/>
    <w:rsid w:val="005E1726"/>
    <w:rsid w:val="005E1B7F"/>
    <w:rsid w:val="005E1DAB"/>
    <w:rsid w:val="005E1F37"/>
    <w:rsid w:val="005E235A"/>
    <w:rsid w:val="005E2513"/>
    <w:rsid w:val="005E25C0"/>
    <w:rsid w:val="005E266F"/>
    <w:rsid w:val="005E288F"/>
    <w:rsid w:val="005E295F"/>
    <w:rsid w:val="005E2BCF"/>
    <w:rsid w:val="005E2C53"/>
    <w:rsid w:val="005E2FA1"/>
    <w:rsid w:val="005E348B"/>
    <w:rsid w:val="005E38DE"/>
    <w:rsid w:val="005E3AB7"/>
    <w:rsid w:val="005E3B4C"/>
    <w:rsid w:val="005E3ECB"/>
    <w:rsid w:val="005E3F34"/>
    <w:rsid w:val="005E421C"/>
    <w:rsid w:val="005E4241"/>
    <w:rsid w:val="005E4504"/>
    <w:rsid w:val="005E46E6"/>
    <w:rsid w:val="005E4B58"/>
    <w:rsid w:val="005E4EF0"/>
    <w:rsid w:val="005E50E8"/>
    <w:rsid w:val="005E515B"/>
    <w:rsid w:val="005E54A8"/>
    <w:rsid w:val="005E5614"/>
    <w:rsid w:val="005E5734"/>
    <w:rsid w:val="005E5741"/>
    <w:rsid w:val="005E5980"/>
    <w:rsid w:val="005E5A1B"/>
    <w:rsid w:val="005E5C13"/>
    <w:rsid w:val="005E5EC3"/>
    <w:rsid w:val="005E5ED0"/>
    <w:rsid w:val="005E602B"/>
    <w:rsid w:val="005E6052"/>
    <w:rsid w:val="005E6150"/>
    <w:rsid w:val="005E61B6"/>
    <w:rsid w:val="005E63C7"/>
    <w:rsid w:val="005E6430"/>
    <w:rsid w:val="005E6487"/>
    <w:rsid w:val="005E651F"/>
    <w:rsid w:val="005E664C"/>
    <w:rsid w:val="005E68E1"/>
    <w:rsid w:val="005E6971"/>
    <w:rsid w:val="005E6D4E"/>
    <w:rsid w:val="005E6E70"/>
    <w:rsid w:val="005E70FB"/>
    <w:rsid w:val="005E72C2"/>
    <w:rsid w:val="005E73CE"/>
    <w:rsid w:val="005E77E3"/>
    <w:rsid w:val="005E782C"/>
    <w:rsid w:val="005E7CA5"/>
    <w:rsid w:val="005F0034"/>
    <w:rsid w:val="005F02A1"/>
    <w:rsid w:val="005F032D"/>
    <w:rsid w:val="005F0616"/>
    <w:rsid w:val="005F0727"/>
    <w:rsid w:val="005F077C"/>
    <w:rsid w:val="005F07DC"/>
    <w:rsid w:val="005F0C34"/>
    <w:rsid w:val="005F0EAB"/>
    <w:rsid w:val="005F0FB4"/>
    <w:rsid w:val="005F0FD1"/>
    <w:rsid w:val="005F13BD"/>
    <w:rsid w:val="005F13D3"/>
    <w:rsid w:val="005F1859"/>
    <w:rsid w:val="005F191C"/>
    <w:rsid w:val="005F1A8D"/>
    <w:rsid w:val="005F1AC8"/>
    <w:rsid w:val="005F1B25"/>
    <w:rsid w:val="005F1C05"/>
    <w:rsid w:val="005F1CF4"/>
    <w:rsid w:val="005F21AF"/>
    <w:rsid w:val="005F21FB"/>
    <w:rsid w:val="005F257C"/>
    <w:rsid w:val="005F25E2"/>
    <w:rsid w:val="005F27E3"/>
    <w:rsid w:val="005F2B4F"/>
    <w:rsid w:val="005F2B6B"/>
    <w:rsid w:val="005F347F"/>
    <w:rsid w:val="005F3483"/>
    <w:rsid w:val="005F35AA"/>
    <w:rsid w:val="005F38CE"/>
    <w:rsid w:val="005F3F1F"/>
    <w:rsid w:val="005F4017"/>
    <w:rsid w:val="005F40DE"/>
    <w:rsid w:val="005F43BB"/>
    <w:rsid w:val="005F4421"/>
    <w:rsid w:val="005F488A"/>
    <w:rsid w:val="005F4927"/>
    <w:rsid w:val="005F49F4"/>
    <w:rsid w:val="005F4ABD"/>
    <w:rsid w:val="005F4B7D"/>
    <w:rsid w:val="005F4BCB"/>
    <w:rsid w:val="005F4D34"/>
    <w:rsid w:val="005F4DB6"/>
    <w:rsid w:val="005F4E65"/>
    <w:rsid w:val="005F4F77"/>
    <w:rsid w:val="005F5483"/>
    <w:rsid w:val="005F557D"/>
    <w:rsid w:val="005F56F3"/>
    <w:rsid w:val="005F572A"/>
    <w:rsid w:val="005F5797"/>
    <w:rsid w:val="005F58B8"/>
    <w:rsid w:val="005F59E5"/>
    <w:rsid w:val="005F5A0F"/>
    <w:rsid w:val="005F5A6E"/>
    <w:rsid w:val="005F5EDF"/>
    <w:rsid w:val="005F5F45"/>
    <w:rsid w:val="005F6035"/>
    <w:rsid w:val="005F6096"/>
    <w:rsid w:val="005F61C5"/>
    <w:rsid w:val="005F63D8"/>
    <w:rsid w:val="005F64FB"/>
    <w:rsid w:val="005F67EC"/>
    <w:rsid w:val="005F68BD"/>
    <w:rsid w:val="005F6A3F"/>
    <w:rsid w:val="005F6BBB"/>
    <w:rsid w:val="005F6C45"/>
    <w:rsid w:val="005F71EC"/>
    <w:rsid w:val="005F729D"/>
    <w:rsid w:val="005F7308"/>
    <w:rsid w:val="005F77DC"/>
    <w:rsid w:val="005F7804"/>
    <w:rsid w:val="005F789F"/>
    <w:rsid w:val="005F78FC"/>
    <w:rsid w:val="005F7A0F"/>
    <w:rsid w:val="006000CD"/>
    <w:rsid w:val="006000FB"/>
    <w:rsid w:val="00600265"/>
    <w:rsid w:val="006003EE"/>
    <w:rsid w:val="006006E4"/>
    <w:rsid w:val="00600754"/>
    <w:rsid w:val="0060087C"/>
    <w:rsid w:val="00600B1E"/>
    <w:rsid w:val="00600CA9"/>
    <w:rsid w:val="00600D88"/>
    <w:rsid w:val="00600FC9"/>
    <w:rsid w:val="0060119A"/>
    <w:rsid w:val="006017B6"/>
    <w:rsid w:val="00601AC3"/>
    <w:rsid w:val="00601E47"/>
    <w:rsid w:val="006022C1"/>
    <w:rsid w:val="006022D0"/>
    <w:rsid w:val="006022DD"/>
    <w:rsid w:val="0060251E"/>
    <w:rsid w:val="00602905"/>
    <w:rsid w:val="00602A68"/>
    <w:rsid w:val="00602C95"/>
    <w:rsid w:val="00602DDE"/>
    <w:rsid w:val="00602E0C"/>
    <w:rsid w:val="0060339B"/>
    <w:rsid w:val="006034DC"/>
    <w:rsid w:val="00603552"/>
    <w:rsid w:val="00603B70"/>
    <w:rsid w:val="00603C6E"/>
    <w:rsid w:val="00603DFE"/>
    <w:rsid w:val="00604077"/>
    <w:rsid w:val="00604188"/>
    <w:rsid w:val="006041C6"/>
    <w:rsid w:val="00604335"/>
    <w:rsid w:val="006046E4"/>
    <w:rsid w:val="00604A0E"/>
    <w:rsid w:val="00604B5B"/>
    <w:rsid w:val="00604BC5"/>
    <w:rsid w:val="00604CEA"/>
    <w:rsid w:val="00604D85"/>
    <w:rsid w:val="00604FA3"/>
    <w:rsid w:val="00604FFA"/>
    <w:rsid w:val="00605037"/>
    <w:rsid w:val="0060577C"/>
    <w:rsid w:val="006058B4"/>
    <w:rsid w:val="006058B9"/>
    <w:rsid w:val="0060598E"/>
    <w:rsid w:val="006059B6"/>
    <w:rsid w:val="00605AFE"/>
    <w:rsid w:val="00605E04"/>
    <w:rsid w:val="00605E0D"/>
    <w:rsid w:val="00605E1D"/>
    <w:rsid w:val="00605F93"/>
    <w:rsid w:val="00605FFE"/>
    <w:rsid w:val="006063F2"/>
    <w:rsid w:val="0060650C"/>
    <w:rsid w:val="00606525"/>
    <w:rsid w:val="00606B37"/>
    <w:rsid w:val="00606B49"/>
    <w:rsid w:val="00606FCA"/>
    <w:rsid w:val="00606FF6"/>
    <w:rsid w:val="00607252"/>
    <w:rsid w:val="00607624"/>
    <w:rsid w:val="00607671"/>
    <w:rsid w:val="00607672"/>
    <w:rsid w:val="00607C2E"/>
    <w:rsid w:val="00607C54"/>
    <w:rsid w:val="00607E8B"/>
    <w:rsid w:val="00610027"/>
    <w:rsid w:val="00610137"/>
    <w:rsid w:val="00610287"/>
    <w:rsid w:val="0061038C"/>
    <w:rsid w:val="006106C1"/>
    <w:rsid w:val="006106F4"/>
    <w:rsid w:val="00610881"/>
    <w:rsid w:val="00610B28"/>
    <w:rsid w:val="00610E4B"/>
    <w:rsid w:val="00610F42"/>
    <w:rsid w:val="00610F52"/>
    <w:rsid w:val="0061124A"/>
    <w:rsid w:val="006112A0"/>
    <w:rsid w:val="006112D0"/>
    <w:rsid w:val="0061167D"/>
    <w:rsid w:val="0061169D"/>
    <w:rsid w:val="00611737"/>
    <w:rsid w:val="00611752"/>
    <w:rsid w:val="00611AB2"/>
    <w:rsid w:val="00611B07"/>
    <w:rsid w:val="00611C1D"/>
    <w:rsid w:val="00611C60"/>
    <w:rsid w:val="00611DA9"/>
    <w:rsid w:val="00611F0D"/>
    <w:rsid w:val="00612019"/>
    <w:rsid w:val="00612388"/>
    <w:rsid w:val="00612904"/>
    <w:rsid w:val="00612A32"/>
    <w:rsid w:val="00612C2C"/>
    <w:rsid w:val="00612E32"/>
    <w:rsid w:val="00612FDD"/>
    <w:rsid w:val="006132FD"/>
    <w:rsid w:val="006133A6"/>
    <w:rsid w:val="006134CA"/>
    <w:rsid w:val="006136FB"/>
    <w:rsid w:val="00613846"/>
    <w:rsid w:val="00613ECE"/>
    <w:rsid w:val="0061461E"/>
    <w:rsid w:val="00614646"/>
    <w:rsid w:val="006148C3"/>
    <w:rsid w:val="0061494C"/>
    <w:rsid w:val="00614B35"/>
    <w:rsid w:val="00614DE8"/>
    <w:rsid w:val="00614EC3"/>
    <w:rsid w:val="006152D6"/>
    <w:rsid w:val="00615301"/>
    <w:rsid w:val="0061540E"/>
    <w:rsid w:val="006154EE"/>
    <w:rsid w:val="0061556B"/>
    <w:rsid w:val="00615686"/>
    <w:rsid w:val="00615A35"/>
    <w:rsid w:val="00615BC4"/>
    <w:rsid w:val="00615C73"/>
    <w:rsid w:val="006161CA"/>
    <w:rsid w:val="006164F4"/>
    <w:rsid w:val="0061652C"/>
    <w:rsid w:val="006165A9"/>
    <w:rsid w:val="0061662A"/>
    <w:rsid w:val="00616755"/>
    <w:rsid w:val="00616B8C"/>
    <w:rsid w:val="00616BC0"/>
    <w:rsid w:val="00616C4A"/>
    <w:rsid w:val="00616E39"/>
    <w:rsid w:val="00617108"/>
    <w:rsid w:val="00617211"/>
    <w:rsid w:val="00617264"/>
    <w:rsid w:val="0061750E"/>
    <w:rsid w:val="006175A2"/>
    <w:rsid w:val="006175A7"/>
    <w:rsid w:val="00617652"/>
    <w:rsid w:val="0061777D"/>
    <w:rsid w:val="0061784D"/>
    <w:rsid w:val="00617B8B"/>
    <w:rsid w:val="00617C18"/>
    <w:rsid w:val="00617C50"/>
    <w:rsid w:val="00617F79"/>
    <w:rsid w:val="00620231"/>
    <w:rsid w:val="00620587"/>
    <w:rsid w:val="006207B2"/>
    <w:rsid w:val="006207ED"/>
    <w:rsid w:val="00620875"/>
    <w:rsid w:val="00620958"/>
    <w:rsid w:val="00620AFF"/>
    <w:rsid w:val="00620B98"/>
    <w:rsid w:val="00620EF1"/>
    <w:rsid w:val="0062140E"/>
    <w:rsid w:val="00621753"/>
    <w:rsid w:val="00621886"/>
    <w:rsid w:val="00621F29"/>
    <w:rsid w:val="00621FD1"/>
    <w:rsid w:val="00622143"/>
    <w:rsid w:val="006221F2"/>
    <w:rsid w:val="00622223"/>
    <w:rsid w:val="006222C4"/>
    <w:rsid w:val="00622388"/>
    <w:rsid w:val="00622613"/>
    <w:rsid w:val="00622669"/>
    <w:rsid w:val="0062286A"/>
    <w:rsid w:val="006228D2"/>
    <w:rsid w:val="00622B1A"/>
    <w:rsid w:val="00622E0B"/>
    <w:rsid w:val="00622E5B"/>
    <w:rsid w:val="00622EFD"/>
    <w:rsid w:val="00622FE1"/>
    <w:rsid w:val="006230E8"/>
    <w:rsid w:val="00623181"/>
    <w:rsid w:val="0062325B"/>
    <w:rsid w:val="006233D5"/>
    <w:rsid w:val="00623438"/>
    <w:rsid w:val="0062358E"/>
    <w:rsid w:val="006237A2"/>
    <w:rsid w:val="006237DE"/>
    <w:rsid w:val="00623960"/>
    <w:rsid w:val="006239FD"/>
    <w:rsid w:val="00623DC0"/>
    <w:rsid w:val="00623F3E"/>
    <w:rsid w:val="006240FF"/>
    <w:rsid w:val="0062416C"/>
    <w:rsid w:val="006241BC"/>
    <w:rsid w:val="006243B4"/>
    <w:rsid w:val="006243F6"/>
    <w:rsid w:val="00624470"/>
    <w:rsid w:val="00624510"/>
    <w:rsid w:val="006246F3"/>
    <w:rsid w:val="00624813"/>
    <w:rsid w:val="0062488E"/>
    <w:rsid w:val="006249B1"/>
    <w:rsid w:val="00624CAC"/>
    <w:rsid w:val="00624F4E"/>
    <w:rsid w:val="00624F7C"/>
    <w:rsid w:val="00625119"/>
    <w:rsid w:val="006253B7"/>
    <w:rsid w:val="00625547"/>
    <w:rsid w:val="00625549"/>
    <w:rsid w:val="00625707"/>
    <w:rsid w:val="006257E4"/>
    <w:rsid w:val="00625C1A"/>
    <w:rsid w:val="00625C77"/>
    <w:rsid w:val="00625CE5"/>
    <w:rsid w:val="00625DB6"/>
    <w:rsid w:val="00625EE9"/>
    <w:rsid w:val="00625F92"/>
    <w:rsid w:val="00626071"/>
    <w:rsid w:val="00626095"/>
    <w:rsid w:val="00626216"/>
    <w:rsid w:val="00626652"/>
    <w:rsid w:val="0062675C"/>
    <w:rsid w:val="006267E9"/>
    <w:rsid w:val="00626905"/>
    <w:rsid w:val="00626B27"/>
    <w:rsid w:val="00626C37"/>
    <w:rsid w:val="00626C39"/>
    <w:rsid w:val="00626F07"/>
    <w:rsid w:val="00626FB4"/>
    <w:rsid w:val="00626FCF"/>
    <w:rsid w:val="0062707D"/>
    <w:rsid w:val="006274F5"/>
    <w:rsid w:val="0063001E"/>
    <w:rsid w:val="00630089"/>
    <w:rsid w:val="00630142"/>
    <w:rsid w:val="00630256"/>
    <w:rsid w:val="0063030B"/>
    <w:rsid w:val="00630566"/>
    <w:rsid w:val="0063071F"/>
    <w:rsid w:val="00630749"/>
    <w:rsid w:val="0063075D"/>
    <w:rsid w:val="006308BD"/>
    <w:rsid w:val="006309CA"/>
    <w:rsid w:val="006309D8"/>
    <w:rsid w:val="00630C5E"/>
    <w:rsid w:val="00630CFB"/>
    <w:rsid w:val="00630F4F"/>
    <w:rsid w:val="00631056"/>
    <w:rsid w:val="0063107B"/>
    <w:rsid w:val="0063150C"/>
    <w:rsid w:val="00631552"/>
    <w:rsid w:val="00631638"/>
    <w:rsid w:val="00631655"/>
    <w:rsid w:val="00631873"/>
    <w:rsid w:val="00631891"/>
    <w:rsid w:val="006318C0"/>
    <w:rsid w:val="006319D3"/>
    <w:rsid w:val="00631BCE"/>
    <w:rsid w:val="00631DC7"/>
    <w:rsid w:val="00631E00"/>
    <w:rsid w:val="00631E41"/>
    <w:rsid w:val="00631E43"/>
    <w:rsid w:val="00632111"/>
    <w:rsid w:val="00632459"/>
    <w:rsid w:val="006324BB"/>
    <w:rsid w:val="0063251C"/>
    <w:rsid w:val="006326C7"/>
    <w:rsid w:val="006326DF"/>
    <w:rsid w:val="0063276D"/>
    <w:rsid w:val="006327CF"/>
    <w:rsid w:val="00632A61"/>
    <w:rsid w:val="00632B0E"/>
    <w:rsid w:val="00632E50"/>
    <w:rsid w:val="00632FD8"/>
    <w:rsid w:val="00633159"/>
    <w:rsid w:val="006334AC"/>
    <w:rsid w:val="006334EF"/>
    <w:rsid w:val="00633C36"/>
    <w:rsid w:val="00633C83"/>
    <w:rsid w:val="00633DBE"/>
    <w:rsid w:val="00634177"/>
    <w:rsid w:val="0063426D"/>
    <w:rsid w:val="0063440B"/>
    <w:rsid w:val="0063456F"/>
    <w:rsid w:val="0063461D"/>
    <w:rsid w:val="006347E7"/>
    <w:rsid w:val="006347F4"/>
    <w:rsid w:val="006347FC"/>
    <w:rsid w:val="00634826"/>
    <w:rsid w:val="006349C3"/>
    <w:rsid w:val="00634AA9"/>
    <w:rsid w:val="00634B42"/>
    <w:rsid w:val="00634D4F"/>
    <w:rsid w:val="00634D53"/>
    <w:rsid w:val="00635027"/>
    <w:rsid w:val="006350E7"/>
    <w:rsid w:val="006352DA"/>
    <w:rsid w:val="00635560"/>
    <w:rsid w:val="006355C4"/>
    <w:rsid w:val="00635827"/>
    <w:rsid w:val="00635CB0"/>
    <w:rsid w:val="00635D4B"/>
    <w:rsid w:val="00636284"/>
    <w:rsid w:val="006362EC"/>
    <w:rsid w:val="006363C4"/>
    <w:rsid w:val="00636486"/>
    <w:rsid w:val="006365CC"/>
    <w:rsid w:val="006365ED"/>
    <w:rsid w:val="0063660C"/>
    <w:rsid w:val="00636664"/>
    <w:rsid w:val="00636694"/>
    <w:rsid w:val="00636896"/>
    <w:rsid w:val="00636EBB"/>
    <w:rsid w:val="00636F37"/>
    <w:rsid w:val="00637101"/>
    <w:rsid w:val="00637170"/>
    <w:rsid w:val="00637208"/>
    <w:rsid w:val="006374E0"/>
    <w:rsid w:val="00637764"/>
    <w:rsid w:val="006379E1"/>
    <w:rsid w:val="00637C38"/>
    <w:rsid w:val="00637CBA"/>
    <w:rsid w:val="00637D7F"/>
    <w:rsid w:val="00637EE2"/>
    <w:rsid w:val="00637F1D"/>
    <w:rsid w:val="00637F64"/>
    <w:rsid w:val="0064023A"/>
    <w:rsid w:val="0064047E"/>
    <w:rsid w:val="00640576"/>
    <w:rsid w:val="0064059A"/>
    <w:rsid w:val="00640962"/>
    <w:rsid w:val="00640AC5"/>
    <w:rsid w:val="00640B1B"/>
    <w:rsid w:val="00640B26"/>
    <w:rsid w:val="006410AF"/>
    <w:rsid w:val="006411AC"/>
    <w:rsid w:val="006411BA"/>
    <w:rsid w:val="0064126C"/>
    <w:rsid w:val="0064132C"/>
    <w:rsid w:val="006413AA"/>
    <w:rsid w:val="006416D2"/>
    <w:rsid w:val="00641800"/>
    <w:rsid w:val="00641A83"/>
    <w:rsid w:val="00641D62"/>
    <w:rsid w:val="00641D96"/>
    <w:rsid w:val="006422C2"/>
    <w:rsid w:val="006423AA"/>
    <w:rsid w:val="006425CA"/>
    <w:rsid w:val="00642676"/>
    <w:rsid w:val="0064278C"/>
    <w:rsid w:val="00642B48"/>
    <w:rsid w:val="00642E37"/>
    <w:rsid w:val="00642F08"/>
    <w:rsid w:val="0064319B"/>
    <w:rsid w:val="00643241"/>
    <w:rsid w:val="006432FD"/>
    <w:rsid w:val="006434DC"/>
    <w:rsid w:val="0064397B"/>
    <w:rsid w:val="00643A41"/>
    <w:rsid w:val="00643A74"/>
    <w:rsid w:val="00643AF4"/>
    <w:rsid w:val="00643E35"/>
    <w:rsid w:val="00643FA1"/>
    <w:rsid w:val="00644178"/>
    <w:rsid w:val="006441F6"/>
    <w:rsid w:val="0064422A"/>
    <w:rsid w:val="0064425B"/>
    <w:rsid w:val="00644A7B"/>
    <w:rsid w:val="00644ACF"/>
    <w:rsid w:val="00644B8F"/>
    <w:rsid w:val="00644D3A"/>
    <w:rsid w:val="00644DE9"/>
    <w:rsid w:val="00644F9C"/>
    <w:rsid w:val="00644FC4"/>
    <w:rsid w:val="0064516B"/>
    <w:rsid w:val="00645240"/>
    <w:rsid w:val="006453C9"/>
    <w:rsid w:val="006453F4"/>
    <w:rsid w:val="006455AF"/>
    <w:rsid w:val="0064593A"/>
    <w:rsid w:val="00645BDE"/>
    <w:rsid w:val="00645E59"/>
    <w:rsid w:val="00645F5B"/>
    <w:rsid w:val="0064603A"/>
    <w:rsid w:val="00646073"/>
    <w:rsid w:val="006462E6"/>
    <w:rsid w:val="0064633D"/>
    <w:rsid w:val="006465C3"/>
    <w:rsid w:val="0064669D"/>
    <w:rsid w:val="00646C6F"/>
    <w:rsid w:val="00646DD0"/>
    <w:rsid w:val="006470C4"/>
    <w:rsid w:val="00647163"/>
    <w:rsid w:val="0064720C"/>
    <w:rsid w:val="0064722E"/>
    <w:rsid w:val="0064763D"/>
    <w:rsid w:val="006478DF"/>
    <w:rsid w:val="00647941"/>
    <w:rsid w:val="00647980"/>
    <w:rsid w:val="00647A7F"/>
    <w:rsid w:val="00647E22"/>
    <w:rsid w:val="00650713"/>
    <w:rsid w:val="006508D0"/>
    <w:rsid w:val="00650941"/>
    <w:rsid w:val="00650C28"/>
    <w:rsid w:val="00650E6D"/>
    <w:rsid w:val="00650F10"/>
    <w:rsid w:val="006510C1"/>
    <w:rsid w:val="006510CE"/>
    <w:rsid w:val="006512D6"/>
    <w:rsid w:val="006513C6"/>
    <w:rsid w:val="006514F4"/>
    <w:rsid w:val="00651812"/>
    <w:rsid w:val="0065196B"/>
    <w:rsid w:val="00651BBB"/>
    <w:rsid w:val="00651C59"/>
    <w:rsid w:val="00651D74"/>
    <w:rsid w:val="0065200F"/>
    <w:rsid w:val="006521AB"/>
    <w:rsid w:val="006522A8"/>
    <w:rsid w:val="0065233E"/>
    <w:rsid w:val="00652880"/>
    <w:rsid w:val="00652994"/>
    <w:rsid w:val="00652C3A"/>
    <w:rsid w:val="00652DB7"/>
    <w:rsid w:val="00652FCE"/>
    <w:rsid w:val="00653618"/>
    <w:rsid w:val="00653661"/>
    <w:rsid w:val="0065394F"/>
    <w:rsid w:val="00653B1B"/>
    <w:rsid w:val="00653E23"/>
    <w:rsid w:val="00653FE0"/>
    <w:rsid w:val="006540BD"/>
    <w:rsid w:val="006541F5"/>
    <w:rsid w:val="006543BA"/>
    <w:rsid w:val="006544AB"/>
    <w:rsid w:val="00654568"/>
    <w:rsid w:val="00654926"/>
    <w:rsid w:val="00654D72"/>
    <w:rsid w:val="0065521B"/>
    <w:rsid w:val="006553F3"/>
    <w:rsid w:val="006556B3"/>
    <w:rsid w:val="006556D1"/>
    <w:rsid w:val="006556D9"/>
    <w:rsid w:val="00655A50"/>
    <w:rsid w:val="00655AEE"/>
    <w:rsid w:val="00655BB2"/>
    <w:rsid w:val="00655CE4"/>
    <w:rsid w:val="00655EAD"/>
    <w:rsid w:val="0065607A"/>
    <w:rsid w:val="006561EC"/>
    <w:rsid w:val="006564CB"/>
    <w:rsid w:val="006565F7"/>
    <w:rsid w:val="00656672"/>
    <w:rsid w:val="006566BF"/>
    <w:rsid w:val="006569FE"/>
    <w:rsid w:val="00656CDB"/>
    <w:rsid w:val="00656DA0"/>
    <w:rsid w:val="00657123"/>
    <w:rsid w:val="00657189"/>
    <w:rsid w:val="0065724E"/>
    <w:rsid w:val="00657502"/>
    <w:rsid w:val="00657606"/>
    <w:rsid w:val="006576EC"/>
    <w:rsid w:val="006579ED"/>
    <w:rsid w:val="00657F90"/>
    <w:rsid w:val="0066002D"/>
    <w:rsid w:val="006600DB"/>
    <w:rsid w:val="00660596"/>
    <w:rsid w:val="0066064E"/>
    <w:rsid w:val="00660BF1"/>
    <w:rsid w:val="00661265"/>
    <w:rsid w:val="0066127E"/>
    <w:rsid w:val="006613C0"/>
    <w:rsid w:val="006613DD"/>
    <w:rsid w:val="0066194E"/>
    <w:rsid w:val="00661B96"/>
    <w:rsid w:val="00661C46"/>
    <w:rsid w:val="00661CC3"/>
    <w:rsid w:val="0066202F"/>
    <w:rsid w:val="00662076"/>
    <w:rsid w:val="006622A8"/>
    <w:rsid w:val="006624E8"/>
    <w:rsid w:val="006626BE"/>
    <w:rsid w:val="00662A67"/>
    <w:rsid w:val="00662B41"/>
    <w:rsid w:val="00662C07"/>
    <w:rsid w:val="00662E5E"/>
    <w:rsid w:val="006630FC"/>
    <w:rsid w:val="00663147"/>
    <w:rsid w:val="006632D0"/>
    <w:rsid w:val="00663344"/>
    <w:rsid w:val="00663C93"/>
    <w:rsid w:val="00663DFB"/>
    <w:rsid w:val="00664416"/>
    <w:rsid w:val="006644E1"/>
    <w:rsid w:val="006645EC"/>
    <w:rsid w:val="00664642"/>
    <w:rsid w:val="00664674"/>
    <w:rsid w:val="00664C0C"/>
    <w:rsid w:val="00665046"/>
    <w:rsid w:val="0066506E"/>
    <w:rsid w:val="006652D3"/>
    <w:rsid w:val="0066540D"/>
    <w:rsid w:val="00665888"/>
    <w:rsid w:val="0066616B"/>
    <w:rsid w:val="00666434"/>
    <w:rsid w:val="0066653C"/>
    <w:rsid w:val="006667D9"/>
    <w:rsid w:val="00666805"/>
    <w:rsid w:val="00666CBE"/>
    <w:rsid w:val="006670F0"/>
    <w:rsid w:val="00667409"/>
    <w:rsid w:val="0066757F"/>
    <w:rsid w:val="00667752"/>
    <w:rsid w:val="00667767"/>
    <w:rsid w:val="00667B59"/>
    <w:rsid w:val="00667BC6"/>
    <w:rsid w:val="00667C3E"/>
    <w:rsid w:val="00667C59"/>
    <w:rsid w:val="00667CAC"/>
    <w:rsid w:val="00667CF3"/>
    <w:rsid w:val="00667F94"/>
    <w:rsid w:val="00670135"/>
    <w:rsid w:val="00670380"/>
    <w:rsid w:val="0067050A"/>
    <w:rsid w:val="006705D5"/>
    <w:rsid w:val="006706B5"/>
    <w:rsid w:val="00670722"/>
    <w:rsid w:val="00670C07"/>
    <w:rsid w:val="00670C69"/>
    <w:rsid w:val="00670F00"/>
    <w:rsid w:val="00670F72"/>
    <w:rsid w:val="00670F81"/>
    <w:rsid w:val="00671047"/>
    <w:rsid w:val="0067120E"/>
    <w:rsid w:val="0067158A"/>
    <w:rsid w:val="00671738"/>
    <w:rsid w:val="006719B2"/>
    <w:rsid w:val="00671E35"/>
    <w:rsid w:val="00671FF4"/>
    <w:rsid w:val="006720FF"/>
    <w:rsid w:val="00672403"/>
    <w:rsid w:val="00672B3C"/>
    <w:rsid w:val="00672C45"/>
    <w:rsid w:val="00672C4C"/>
    <w:rsid w:val="00672F79"/>
    <w:rsid w:val="00673049"/>
    <w:rsid w:val="0067319C"/>
    <w:rsid w:val="0067336A"/>
    <w:rsid w:val="00673941"/>
    <w:rsid w:val="00673D6A"/>
    <w:rsid w:val="00673DC1"/>
    <w:rsid w:val="00673F42"/>
    <w:rsid w:val="00674042"/>
    <w:rsid w:val="006742E2"/>
    <w:rsid w:val="006744B2"/>
    <w:rsid w:val="006746BD"/>
    <w:rsid w:val="006748F0"/>
    <w:rsid w:val="00674C71"/>
    <w:rsid w:val="00674D58"/>
    <w:rsid w:val="00674FE9"/>
    <w:rsid w:val="00675042"/>
    <w:rsid w:val="0067504E"/>
    <w:rsid w:val="00675355"/>
    <w:rsid w:val="006754AF"/>
    <w:rsid w:val="006758C9"/>
    <w:rsid w:val="00675A5F"/>
    <w:rsid w:val="00676300"/>
    <w:rsid w:val="006764BC"/>
    <w:rsid w:val="006765AE"/>
    <w:rsid w:val="006766B4"/>
    <w:rsid w:val="006769C4"/>
    <w:rsid w:val="00676C6F"/>
    <w:rsid w:val="00676E72"/>
    <w:rsid w:val="00676EF1"/>
    <w:rsid w:val="00677456"/>
    <w:rsid w:val="006774B0"/>
    <w:rsid w:val="00677627"/>
    <w:rsid w:val="006776C7"/>
    <w:rsid w:val="00677743"/>
    <w:rsid w:val="0067783E"/>
    <w:rsid w:val="0067787C"/>
    <w:rsid w:val="00677A67"/>
    <w:rsid w:val="00677A87"/>
    <w:rsid w:val="00677BD5"/>
    <w:rsid w:val="00677CD8"/>
    <w:rsid w:val="00677DC9"/>
    <w:rsid w:val="00677E3C"/>
    <w:rsid w:val="00677F68"/>
    <w:rsid w:val="00677FF9"/>
    <w:rsid w:val="0068020B"/>
    <w:rsid w:val="0068025E"/>
    <w:rsid w:val="0068051B"/>
    <w:rsid w:val="006805D9"/>
    <w:rsid w:val="00680719"/>
    <w:rsid w:val="00680912"/>
    <w:rsid w:val="00680BC9"/>
    <w:rsid w:val="00680E8B"/>
    <w:rsid w:val="00680F9F"/>
    <w:rsid w:val="006811FA"/>
    <w:rsid w:val="00681506"/>
    <w:rsid w:val="0068150F"/>
    <w:rsid w:val="0068181C"/>
    <w:rsid w:val="006818D0"/>
    <w:rsid w:val="006819A3"/>
    <w:rsid w:val="00681C30"/>
    <w:rsid w:val="00681D10"/>
    <w:rsid w:val="00681D18"/>
    <w:rsid w:val="00681D51"/>
    <w:rsid w:val="00681E2F"/>
    <w:rsid w:val="00682129"/>
    <w:rsid w:val="00682225"/>
    <w:rsid w:val="00682474"/>
    <w:rsid w:val="0068266C"/>
    <w:rsid w:val="00682B11"/>
    <w:rsid w:val="00682C10"/>
    <w:rsid w:val="00682E55"/>
    <w:rsid w:val="00682E7A"/>
    <w:rsid w:val="00683055"/>
    <w:rsid w:val="0068329F"/>
    <w:rsid w:val="0068340E"/>
    <w:rsid w:val="00683528"/>
    <w:rsid w:val="006836A0"/>
    <w:rsid w:val="00683701"/>
    <w:rsid w:val="00683722"/>
    <w:rsid w:val="00683BFC"/>
    <w:rsid w:val="00683C5A"/>
    <w:rsid w:val="00683D2F"/>
    <w:rsid w:val="00684044"/>
    <w:rsid w:val="006840B2"/>
    <w:rsid w:val="006843F6"/>
    <w:rsid w:val="006845FD"/>
    <w:rsid w:val="00684773"/>
    <w:rsid w:val="0068491F"/>
    <w:rsid w:val="00684AE0"/>
    <w:rsid w:val="00684E1D"/>
    <w:rsid w:val="00684F4C"/>
    <w:rsid w:val="00685055"/>
    <w:rsid w:val="006851A2"/>
    <w:rsid w:val="0068538C"/>
    <w:rsid w:val="0068556F"/>
    <w:rsid w:val="0068563E"/>
    <w:rsid w:val="00685878"/>
    <w:rsid w:val="00685DE4"/>
    <w:rsid w:val="00686017"/>
    <w:rsid w:val="00686019"/>
    <w:rsid w:val="00686118"/>
    <w:rsid w:val="006861C0"/>
    <w:rsid w:val="00686596"/>
    <w:rsid w:val="00686896"/>
    <w:rsid w:val="00686CC2"/>
    <w:rsid w:val="00686EBA"/>
    <w:rsid w:val="00686F00"/>
    <w:rsid w:val="00686F2B"/>
    <w:rsid w:val="00686F54"/>
    <w:rsid w:val="006870C5"/>
    <w:rsid w:val="0068720B"/>
    <w:rsid w:val="00687321"/>
    <w:rsid w:val="006873B1"/>
    <w:rsid w:val="00687C97"/>
    <w:rsid w:val="00687D5A"/>
    <w:rsid w:val="00687E97"/>
    <w:rsid w:val="00690128"/>
    <w:rsid w:val="0069028E"/>
    <w:rsid w:val="00690324"/>
    <w:rsid w:val="006904C2"/>
    <w:rsid w:val="006904DD"/>
    <w:rsid w:val="00690524"/>
    <w:rsid w:val="00690D50"/>
    <w:rsid w:val="00690E71"/>
    <w:rsid w:val="00690F14"/>
    <w:rsid w:val="006911C8"/>
    <w:rsid w:val="0069139D"/>
    <w:rsid w:val="00691459"/>
    <w:rsid w:val="0069147F"/>
    <w:rsid w:val="00691644"/>
    <w:rsid w:val="00691687"/>
    <w:rsid w:val="00691974"/>
    <w:rsid w:val="00691B15"/>
    <w:rsid w:val="0069281E"/>
    <w:rsid w:val="00692949"/>
    <w:rsid w:val="00692A71"/>
    <w:rsid w:val="00692D12"/>
    <w:rsid w:val="00693137"/>
    <w:rsid w:val="00693208"/>
    <w:rsid w:val="0069326E"/>
    <w:rsid w:val="0069341F"/>
    <w:rsid w:val="00693531"/>
    <w:rsid w:val="00693579"/>
    <w:rsid w:val="00693842"/>
    <w:rsid w:val="00693888"/>
    <w:rsid w:val="00693C87"/>
    <w:rsid w:val="00693D3E"/>
    <w:rsid w:val="00693F44"/>
    <w:rsid w:val="00693F4E"/>
    <w:rsid w:val="00694027"/>
    <w:rsid w:val="006940A8"/>
    <w:rsid w:val="00694272"/>
    <w:rsid w:val="0069457A"/>
    <w:rsid w:val="006946D1"/>
    <w:rsid w:val="006949A7"/>
    <w:rsid w:val="00694B53"/>
    <w:rsid w:val="00694B55"/>
    <w:rsid w:val="00694B65"/>
    <w:rsid w:val="00694C69"/>
    <w:rsid w:val="00694D53"/>
    <w:rsid w:val="00694E58"/>
    <w:rsid w:val="00694FBE"/>
    <w:rsid w:val="00694FD4"/>
    <w:rsid w:val="006950FA"/>
    <w:rsid w:val="006951CE"/>
    <w:rsid w:val="006951E5"/>
    <w:rsid w:val="006951FF"/>
    <w:rsid w:val="006952A1"/>
    <w:rsid w:val="0069551F"/>
    <w:rsid w:val="006955D5"/>
    <w:rsid w:val="00695A5A"/>
    <w:rsid w:val="00695B5A"/>
    <w:rsid w:val="00695D1E"/>
    <w:rsid w:val="00695DBB"/>
    <w:rsid w:val="00695E66"/>
    <w:rsid w:val="00695EFA"/>
    <w:rsid w:val="00695F22"/>
    <w:rsid w:val="00695FCA"/>
    <w:rsid w:val="0069611E"/>
    <w:rsid w:val="006961F7"/>
    <w:rsid w:val="00696270"/>
    <w:rsid w:val="00696335"/>
    <w:rsid w:val="00696495"/>
    <w:rsid w:val="006965AE"/>
    <w:rsid w:val="00696A4D"/>
    <w:rsid w:val="00696C70"/>
    <w:rsid w:val="00696FB5"/>
    <w:rsid w:val="00697385"/>
    <w:rsid w:val="00697494"/>
    <w:rsid w:val="00697566"/>
    <w:rsid w:val="006975BB"/>
    <w:rsid w:val="00697608"/>
    <w:rsid w:val="00697AC9"/>
    <w:rsid w:val="00697D0C"/>
    <w:rsid w:val="00697D19"/>
    <w:rsid w:val="006A0052"/>
    <w:rsid w:val="006A0505"/>
    <w:rsid w:val="006A05C7"/>
    <w:rsid w:val="006A08AA"/>
    <w:rsid w:val="006A08CA"/>
    <w:rsid w:val="006A0E43"/>
    <w:rsid w:val="006A102D"/>
    <w:rsid w:val="006A11E4"/>
    <w:rsid w:val="006A15CF"/>
    <w:rsid w:val="006A1632"/>
    <w:rsid w:val="006A16F0"/>
    <w:rsid w:val="006A17A5"/>
    <w:rsid w:val="006A20A4"/>
    <w:rsid w:val="006A2156"/>
    <w:rsid w:val="006A21C6"/>
    <w:rsid w:val="006A22E8"/>
    <w:rsid w:val="006A25C8"/>
    <w:rsid w:val="006A26B3"/>
    <w:rsid w:val="006A29FF"/>
    <w:rsid w:val="006A2AB9"/>
    <w:rsid w:val="006A2CF1"/>
    <w:rsid w:val="006A2DB4"/>
    <w:rsid w:val="006A350E"/>
    <w:rsid w:val="006A39BE"/>
    <w:rsid w:val="006A3A87"/>
    <w:rsid w:val="006A414D"/>
    <w:rsid w:val="006A41F8"/>
    <w:rsid w:val="006A4213"/>
    <w:rsid w:val="006A42A5"/>
    <w:rsid w:val="006A42D0"/>
    <w:rsid w:val="006A451E"/>
    <w:rsid w:val="006A4554"/>
    <w:rsid w:val="006A459E"/>
    <w:rsid w:val="006A45BB"/>
    <w:rsid w:val="006A47CA"/>
    <w:rsid w:val="006A4839"/>
    <w:rsid w:val="006A4E52"/>
    <w:rsid w:val="006A4FC8"/>
    <w:rsid w:val="006A50F1"/>
    <w:rsid w:val="006A517B"/>
    <w:rsid w:val="006A5206"/>
    <w:rsid w:val="006A5259"/>
    <w:rsid w:val="006A55E1"/>
    <w:rsid w:val="006A5763"/>
    <w:rsid w:val="006A5D5D"/>
    <w:rsid w:val="006A5F6B"/>
    <w:rsid w:val="006A603D"/>
    <w:rsid w:val="006A607B"/>
    <w:rsid w:val="006A60FA"/>
    <w:rsid w:val="006A6174"/>
    <w:rsid w:val="006A61EC"/>
    <w:rsid w:val="006A6296"/>
    <w:rsid w:val="006A6378"/>
    <w:rsid w:val="006A66C8"/>
    <w:rsid w:val="006A6E27"/>
    <w:rsid w:val="006A6EAC"/>
    <w:rsid w:val="006A6ED2"/>
    <w:rsid w:val="006A6FB1"/>
    <w:rsid w:val="006A6FB8"/>
    <w:rsid w:val="006A72B0"/>
    <w:rsid w:val="006A74E5"/>
    <w:rsid w:val="006A7548"/>
    <w:rsid w:val="006A7AAA"/>
    <w:rsid w:val="006A7AB4"/>
    <w:rsid w:val="006A7C85"/>
    <w:rsid w:val="006A7DDF"/>
    <w:rsid w:val="006A7DED"/>
    <w:rsid w:val="006B00EA"/>
    <w:rsid w:val="006B02C4"/>
    <w:rsid w:val="006B04FE"/>
    <w:rsid w:val="006B04FF"/>
    <w:rsid w:val="006B05D4"/>
    <w:rsid w:val="006B075C"/>
    <w:rsid w:val="006B0856"/>
    <w:rsid w:val="006B0894"/>
    <w:rsid w:val="006B0932"/>
    <w:rsid w:val="006B0B24"/>
    <w:rsid w:val="006B0BAE"/>
    <w:rsid w:val="006B0EC6"/>
    <w:rsid w:val="006B1018"/>
    <w:rsid w:val="006B1191"/>
    <w:rsid w:val="006B12C1"/>
    <w:rsid w:val="006B166C"/>
    <w:rsid w:val="006B18C5"/>
    <w:rsid w:val="006B18FC"/>
    <w:rsid w:val="006B1932"/>
    <w:rsid w:val="006B19FF"/>
    <w:rsid w:val="006B1A4A"/>
    <w:rsid w:val="006B1B85"/>
    <w:rsid w:val="006B1B95"/>
    <w:rsid w:val="006B1E03"/>
    <w:rsid w:val="006B1F47"/>
    <w:rsid w:val="006B1FDA"/>
    <w:rsid w:val="006B2508"/>
    <w:rsid w:val="006B2542"/>
    <w:rsid w:val="006B26FF"/>
    <w:rsid w:val="006B270D"/>
    <w:rsid w:val="006B2995"/>
    <w:rsid w:val="006B2CFF"/>
    <w:rsid w:val="006B2D3E"/>
    <w:rsid w:val="006B2E3F"/>
    <w:rsid w:val="006B33CF"/>
    <w:rsid w:val="006B36AE"/>
    <w:rsid w:val="006B3980"/>
    <w:rsid w:val="006B3A61"/>
    <w:rsid w:val="006B3AEB"/>
    <w:rsid w:val="006B3DBF"/>
    <w:rsid w:val="006B3E4D"/>
    <w:rsid w:val="006B417B"/>
    <w:rsid w:val="006B4449"/>
    <w:rsid w:val="006B46E7"/>
    <w:rsid w:val="006B474F"/>
    <w:rsid w:val="006B4972"/>
    <w:rsid w:val="006B4C0C"/>
    <w:rsid w:val="006B4EAB"/>
    <w:rsid w:val="006B4ECA"/>
    <w:rsid w:val="006B4F07"/>
    <w:rsid w:val="006B5091"/>
    <w:rsid w:val="006B50B8"/>
    <w:rsid w:val="006B50F9"/>
    <w:rsid w:val="006B52E0"/>
    <w:rsid w:val="006B5756"/>
    <w:rsid w:val="006B593B"/>
    <w:rsid w:val="006B5A61"/>
    <w:rsid w:val="006B5ADC"/>
    <w:rsid w:val="006B5C4C"/>
    <w:rsid w:val="006B5D79"/>
    <w:rsid w:val="006B5FBC"/>
    <w:rsid w:val="006B64E8"/>
    <w:rsid w:val="006B654C"/>
    <w:rsid w:val="006B6AEF"/>
    <w:rsid w:val="006B6DA1"/>
    <w:rsid w:val="006B7116"/>
    <w:rsid w:val="006B71EF"/>
    <w:rsid w:val="006B7673"/>
    <w:rsid w:val="006B76C2"/>
    <w:rsid w:val="006B7877"/>
    <w:rsid w:val="006B7AB5"/>
    <w:rsid w:val="006B7C8E"/>
    <w:rsid w:val="006B7CBC"/>
    <w:rsid w:val="006B7EAD"/>
    <w:rsid w:val="006C02CD"/>
    <w:rsid w:val="006C06A9"/>
    <w:rsid w:val="006C0CD1"/>
    <w:rsid w:val="006C0DFA"/>
    <w:rsid w:val="006C106C"/>
    <w:rsid w:val="006C1181"/>
    <w:rsid w:val="006C132E"/>
    <w:rsid w:val="006C13A3"/>
    <w:rsid w:val="006C1482"/>
    <w:rsid w:val="006C157B"/>
    <w:rsid w:val="006C16F5"/>
    <w:rsid w:val="006C1822"/>
    <w:rsid w:val="006C1B59"/>
    <w:rsid w:val="006C1CB5"/>
    <w:rsid w:val="006C21F1"/>
    <w:rsid w:val="006C2360"/>
    <w:rsid w:val="006C2364"/>
    <w:rsid w:val="006C23EC"/>
    <w:rsid w:val="006C24E5"/>
    <w:rsid w:val="006C2ABA"/>
    <w:rsid w:val="006C2B59"/>
    <w:rsid w:val="006C2C86"/>
    <w:rsid w:val="006C2C8B"/>
    <w:rsid w:val="006C2CC5"/>
    <w:rsid w:val="006C2D1A"/>
    <w:rsid w:val="006C3201"/>
    <w:rsid w:val="006C34A1"/>
    <w:rsid w:val="006C3686"/>
    <w:rsid w:val="006C38EF"/>
    <w:rsid w:val="006C390C"/>
    <w:rsid w:val="006C3BCF"/>
    <w:rsid w:val="006C3BEF"/>
    <w:rsid w:val="006C3C80"/>
    <w:rsid w:val="006C3D36"/>
    <w:rsid w:val="006C3EBC"/>
    <w:rsid w:val="006C4043"/>
    <w:rsid w:val="006C41C1"/>
    <w:rsid w:val="006C41ED"/>
    <w:rsid w:val="006C4399"/>
    <w:rsid w:val="006C43FB"/>
    <w:rsid w:val="006C46B0"/>
    <w:rsid w:val="006C4713"/>
    <w:rsid w:val="006C479A"/>
    <w:rsid w:val="006C4950"/>
    <w:rsid w:val="006C49A5"/>
    <w:rsid w:val="006C49AF"/>
    <w:rsid w:val="006C4F0A"/>
    <w:rsid w:val="006C52B9"/>
    <w:rsid w:val="006C5477"/>
    <w:rsid w:val="006C5521"/>
    <w:rsid w:val="006C559A"/>
    <w:rsid w:val="006C58E3"/>
    <w:rsid w:val="006C5A68"/>
    <w:rsid w:val="006C5A8D"/>
    <w:rsid w:val="006C5C1E"/>
    <w:rsid w:val="006C5CDD"/>
    <w:rsid w:val="006C5D0C"/>
    <w:rsid w:val="006C5FCA"/>
    <w:rsid w:val="006C6299"/>
    <w:rsid w:val="006C6346"/>
    <w:rsid w:val="006C6399"/>
    <w:rsid w:val="006C6683"/>
    <w:rsid w:val="006C69EC"/>
    <w:rsid w:val="006C6B24"/>
    <w:rsid w:val="006C6BE9"/>
    <w:rsid w:val="006C6ED1"/>
    <w:rsid w:val="006C6F68"/>
    <w:rsid w:val="006C7100"/>
    <w:rsid w:val="006C748E"/>
    <w:rsid w:val="006C75AA"/>
    <w:rsid w:val="006C79A3"/>
    <w:rsid w:val="006C7AF2"/>
    <w:rsid w:val="006C7FB8"/>
    <w:rsid w:val="006C7FF1"/>
    <w:rsid w:val="006D01D6"/>
    <w:rsid w:val="006D02AA"/>
    <w:rsid w:val="006D02D4"/>
    <w:rsid w:val="006D02DB"/>
    <w:rsid w:val="006D031C"/>
    <w:rsid w:val="006D04B3"/>
    <w:rsid w:val="006D0646"/>
    <w:rsid w:val="006D0770"/>
    <w:rsid w:val="006D0A6F"/>
    <w:rsid w:val="006D0A9E"/>
    <w:rsid w:val="006D0E76"/>
    <w:rsid w:val="006D0F89"/>
    <w:rsid w:val="006D130F"/>
    <w:rsid w:val="006D13EC"/>
    <w:rsid w:val="006D192F"/>
    <w:rsid w:val="006D1A50"/>
    <w:rsid w:val="006D1DFE"/>
    <w:rsid w:val="006D1E59"/>
    <w:rsid w:val="006D20A4"/>
    <w:rsid w:val="006D20F2"/>
    <w:rsid w:val="006D24BF"/>
    <w:rsid w:val="006D2560"/>
    <w:rsid w:val="006D27DF"/>
    <w:rsid w:val="006D2969"/>
    <w:rsid w:val="006D2F47"/>
    <w:rsid w:val="006D2F53"/>
    <w:rsid w:val="006D3226"/>
    <w:rsid w:val="006D328B"/>
    <w:rsid w:val="006D32A0"/>
    <w:rsid w:val="006D3620"/>
    <w:rsid w:val="006D3C07"/>
    <w:rsid w:val="006D3CB4"/>
    <w:rsid w:val="006D41CE"/>
    <w:rsid w:val="006D4388"/>
    <w:rsid w:val="006D460E"/>
    <w:rsid w:val="006D472A"/>
    <w:rsid w:val="006D486B"/>
    <w:rsid w:val="006D4C4F"/>
    <w:rsid w:val="006D4CA2"/>
    <w:rsid w:val="006D50F6"/>
    <w:rsid w:val="006D5176"/>
    <w:rsid w:val="006D5201"/>
    <w:rsid w:val="006D5313"/>
    <w:rsid w:val="006D535C"/>
    <w:rsid w:val="006D5401"/>
    <w:rsid w:val="006D5510"/>
    <w:rsid w:val="006D55C0"/>
    <w:rsid w:val="006D5820"/>
    <w:rsid w:val="006D5886"/>
    <w:rsid w:val="006D5955"/>
    <w:rsid w:val="006D5D58"/>
    <w:rsid w:val="006D5F9A"/>
    <w:rsid w:val="006D6367"/>
    <w:rsid w:val="006D6703"/>
    <w:rsid w:val="006D6944"/>
    <w:rsid w:val="006D6989"/>
    <w:rsid w:val="006D6AFE"/>
    <w:rsid w:val="006D6D08"/>
    <w:rsid w:val="006D6F24"/>
    <w:rsid w:val="006D7167"/>
    <w:rsid w:val="006D71B2"/>
    <w:rsid w:val="006D74ED"/>
    <w:rsid w:val="006D7785"/>
    <w:rsid w:val="006D78EB"/>
    <w:rsid w:val="006D7C6D"/>
    <w:rsid w:val="006D7F5B"/>
    <w:rsid w:val="006E009F"/>
    <w:rsid w:val="006E0163"/>
    <w:rsid w:val="006E047F"/>
    <w:rsid w:val="006E058C"/>
    <w:rsid w:val="006E07AB"/>
    <w:rsid w:val="006E0922"/>
    <w:rsid w:val="006E0940"/>
    <w:rsid w:val="006E0B0D"/>
    <w:rsid w:val="006E0B3B"/>
    <w:rsid w:val="006E0ED9"/>
    <w:rsid w:val="006E0EF4"/>
    <w:rsid w:val="006E0F5D"/>
    <w:rsid w:val="006E0FA4"/>
    <w:rsid w:val="006E13A6"/>
    <w:rsid w:val="006E13C3"/>
    <w:rsid w:val="006E1629"/>
    <w:rsid w:val="006E16D5"/>
    <w:rsid w:val="006E16F2"/>
    <w:rsid w:val="006E1916"/>
    <w:rsid w:val="006E1B66"/>
    <w:rsid w:val="006E1C2F"/>
    <w:rsid w:val="006E2001"/>
    <w:rsid w:val="006E2008"/>
    <w:rsid w:val="006E2373"/>
    <w:rsid w:val="006E2427"/>
    <w:rsid w:val="006E2429"/>
    <w:rsid w:val="006E2656"/>
    <w:rsid w:val="006E28FF"/>
    <w:rsid w:val="006E2BB3"/>
    <w:rsid w:val="006E2F6E"/>
    <w:rsid w:val="006E3369"/>
    <w:rsid w:val="006E3385"/>
    <w:rsid w:val="006E36A4"/>
    <w:rsid w:val="006E3848"/>
    <w:rsid w:val="006E38A2"/>
    <w:rsid w:val="006E3A41"/>
    <w:rsid w:val="006E3D01"/>
    <w:rsid w:val="006E3DA4"/>
    <w:rsid w:val="006E4021"/>
    <w:rsid w:val="006E402D"/>
    <w:rsid w:val="006E42CD"/>
    <w:rsid w:val="006E45DC"/>
    <w:rsid w:val="006E4654"/>
    <w:rsid w:val="006E4690"/>
    <w:rsid w:val="006E48C1"/>
    <w:rsid w:val="006E48EE"/>
    <w:rsid w:val="006E49D8"/>
    <w:rsid w:val="006E4A43"/>
    <w:rsid w:val="006E4B4C"/>
    <w:rsid w:val="006E4FBF"/>
    <w:rsid w:val="006E50E1"/>
    <w:rsid w:val="006E511F"/>
    <w:rsid w:val="006E5147"/>
    <w:rsid w:val="006E5269"/>
    <w:rsid w:val="006E548F"/>
    <w:rsid w:val="006E54D0"/>
    <w:rsid w:val="006E5934"/>
    <w:rsid w:val="006E5BC2"/>
    <w:rsid w:val="006E5D74"/>
    <w:rsid w:val="006E5DDC"/>
    <w:rsid w:val="006E5E0B"/>
    <w:rsid w:val="006E5F40"/>
    <w:rsid w:val="006E5F44"/>
    <w:rsid w:val="006E65EF"/>
    <w:rsid w:val="006E670E"/>
    <w:rsid w:val="006E6779"/>
    <w:rsid w:val="006E6A19"/>
    <w:rsid w:val="006E6BC2"/>
    <w:rsid w:val="006E6CE7"/>
    <w:rsid w:val="006E6D96"/>
    <w:rsid w:val="006E744A"/>
    <w:rsid w:val="006E77A5"/>
    <w:rsid w:val="006E77BB"/>
    <w:rsid w:val="006E780C"/>
    <w:rsid w:val="006E7823"/>
    <w:rsid w:val="006E7A16"/>
    <w:rsid w:val="006E7BD2"/>
    <w:rsid w:val="006E7CC1"/>
    <w:rsid w:val="006E7EF3"/>
    <w:rsid w:val="006E7FB6"/>
    <w:rsid w:val="006F020F"/>
    <w:rsid w:val="006F0292"/>
    <w:rsid w:val="006F03E9"/>
    <w:rsid w:val="006F061C"/>
    <w:rsid w:val="006F075D"/>
    <w:rsid w:val="006F0800"/>
    <w:rsid w:val="006F08FA"/>
    <w:rsid w:val="006F0A30"/>
    <w:rsid w:val="006F0ABC"/>
    <w:rsid w:val="006F0C3D"/>
    <w:rsid w:val="006F0DD2"/>
    <w:rsid w:val="006F0E39"/>
    <w:rsid w:val="006F1024"/>
    <w:rsid w:val="006F129F"/>
    <w:rsid w:val="006F13E0"/>
    <w:rsid w:val="006F1440"/>
    <w:rsid w:val="006F1488"/>
    <w:rsid w:val="006F15FC"/>
    <w:rsid w:val="006F1C2B"/>
    <w:rsid w:val="006F1F36"/>
    <w:rsid w:val="006F222C"/>
    <w:rsid w:val="006F252E"/>
    <w:rsid w:val="006F26B4"/>
    <w:rsid w:val="006F26FB"/>
    <w:rsid w:val="006F2A04"/>
    <w:rsid w:val="006F2A0D"/>
    <w:rsid w:val="006F2D0A"/>
    <w:rsid w:val="006F2D32"/>
    <w:rsid w:val="006F2D7F"/>
    <w:rsid w:val="006F319D"/>
    <w:rsid w:val="006F3549"/>
    <w:rsid w:val="006F35A0"/>
    <w:rsid w:val="006F36DC"/>
    <w:rsid w:val="006F3ABE"/>
    <w:rsid w:val="006F3B7B"/>
    <w:rsid w:val="006F3C1F"/>
    <w:rsid w:val="006F3FA7"/>
    <w:rsid w:val="006F41F0"/>
    <w:rsid w:val="006F45A4"/>
    <w:rsid w:val="006F474D"/>
    <w:rsid w:val="006F49DE"/>
    <w:rsid w:val="006F4B10"/>
    <w:rsid w:val="006F4C65"/>
    <w:rsid w:val="006F4CC9"/>
    <w:rsid w:val="006F4FB4"/>
    <w:rsid w:val="006F52B7"/>
    <w:rsid w:val="006F55BD"/>
    <w:rsid w:val="006F5790"/>
    <w:rsid w:val="006F5A7C"/>
    <w:rsid w:val="006F5C00"/>
    <w:rsid w:val="006F5CC2"/>
    <w:rsid w:val="006F62BD"/>
    <w:rsid w:val="006F6303"/>
    <w:rsid w:val="006F6316"/>
    <w:rsid w:val="006F65A2"/>
    <w:rsid w:val="006F6885"/>
    <w:rsid w:val="006F6C31"/>
    <w:rsid w:val="006F70D0"/>
    <w:rsid w:val="006F744D"/>
    <w:rsid w:val="006F74B5"/>
    <w:rsid w:val="006F75EF"/>
    <w:rsid w:val="006F7609"/>
    <w:rsid w:val="006F769E"/>
    <w:rsid w:val="006F76D1"/>
    <w:rsid w:val="006F7A56"/>
    <w:rsid w:val="006F7DEF"/>
    <w:rsid w:val="007000C9"/>
    <w:rsid w:val="00700127"/>
    <w:rsid w:val="00700533"/>
    <w:rsid w:val="00700670"/>
    <w:rsid w:val="007006C6"/>
    <w:rsid w:val="00700703"/>
    <w:rsid w:val="0070084F"/>
    <w:rsid w:val="00700C5F"/>
    <w:rsid w:val="00700CF2"/>
    <w:rsid w:val="00700D1D"/>
    <w:rsid w:val="00700F0E"/>
    <w:rsid w:val="00700F78"/>
    <w:rsid w:val="007011CC"/>
    <w:rsid w:val="007012D2"/>
    <w:rsid w:val="0070150E"/>
    <w:rsid w:val="007016DD"/>
    <w:rsid w:val="00701735"/>
    <w:rsid w:val="00701CC3"/>
    <w:rsid w:val="007021F6"/>
    <w:rsid w:val="007022EE"/>
    <w:rsid w:val="00702381"/>
    <w:rsid w:val="007024FB"/>
    <w:rsid w:val="00702577"/>
    <w:rsid w:val="0070265E"/>
    <w:rsid w:val="00702844"/>
    <w:rsid w:val="007028A3"/>
    <w:rsid w:val="00702C03"/>
    <w:rsid w:val="00702DBE"/>
    <w:rsid w:val="00702DC5"/>
    <w:rsid w:val="00702F8D"/>
    <w:rsid w:val="00703238"/>
    <w:rsid w:val="00703253"/>
    <w:rsid w:val="007032EF"/>
    <w:rsid w:val="00703894"/>
    <w:rsid w:val="00703AE3"/>
    <w:rsid w:val="00703F05"/>
    <w:rsid w:val="00703F11"/>
    <w:rsid w:val="007043D6"/>
    <w:rsid w:val="00704788"/>
    <w:rsid w:val="00704C04"/>
    <w:rsid w:val="00704C5B"/>
    <w:rsid w:val="0070504E"/>
    <w:rsid w:val="00705212"/>
    <w:rsid w:val="00705518"/>
    <w:rsid w:val="007055E4"/>
    <w:rsid w:val="00705AE3"/>
    <w:rsid w:val="00705BF6"/>
    <w:rsid w:val="00705DB8"/>
    <w:rsid w:val="00705F50"/>
    <w:rsid w:val="00705F83"/>
    <w:rsid w:val="0070625C"/>
    <w:rsid w:val="00706668"/>
    <w:rsid w:val="007066CB"/>
    <w:rsid w:val="007066F3"/>
    <w:rsid w:val="00706836"/>
    <w:rsid w:val="00706852"/>
    <w:rsid w:val="00706929"/>
    <w:rsid w:val="00706BD9"/>
    <w:rsid w:val="00706BE3"/>
    <w:rsid w:val="00706C23"/>
    <w:rsid w:val="00706C8C"/>
    <w:rsid w:val="00706FD4"/>
    <w:rsid w:val="00706FFF"/>
    <w:rsid w:val="0070746A"/>
    <w:rsid w:val="0070748A"/>
    <w:rsid w:val="007076A2"/>
    <w:rsid w:val="00707734"/>
    <w:rsid w:val="007077EE"/>
    <w:rsid w:val="007079D7"/>
    <w:rsid w:val="00707A4C"/>
    <w:rsid w:val="00707A98"/>
    <w:rsid w:val="00707BD9"/>
    <w:rsid w:val="00707C31"/>
    <w:rsid w:val="00707C85"/>
    <w:rsid w:val="00707E5B"/>
    <w:rsid w:val="00707E8C"/>
    <w:rsid w:val="00707F24"/>
    <w:rsid w:val="00707FE1"/>
    <w:rsid w:val="00710213"/>
    <w:rsid w:val="00710278"/>
    <w:rsid w:val="00710349"/>
    <w:rsid w:val="0071035A"/>
    <w:rsid w:val="0071049B"/>
    <w:rsid w:val="00710853"/>
    <w:rsid w:val="0071098F"/>
    <w:rsid w:val="00710E62"/>
    <w:rsid w:val="00710FA3"/>
    <w:rsid w:val="0071122C"/>
    <w:rsid w:val="00711412"/>
    <w:rsid w:val="00711738"/>
    <w:rsid w:val="0071176D"/>
    <w:rsid w:val="0071179B"/>
    <w:rsid w:val="00711859"/>
    <w:rsid w:val="00711C71"/>
    <w:rsid w:val="00711D57"/>
    <w:rsid w:val="007122F5"/>
    <w:rsid w:val="007127C1"/>
    <w:rsid w:val="00712ACA"/>
    <w:rsid w:val="00713225"/>
    <w:rsid w:val="00713AD3"/>
    <w:rsid w:val="00713B79"/>
    <w:rsid w:val="00713BB3"/>
    <w:rsid w:val="00713EC2"/>
    <w:rsid w:val="00714095"/>
    <w:rsid w:val="007140E8"/>
    <w:rsid w:val="007141F4"/>
    <w:rsid w:val="007147C6"/>
    <w:rsid w:val="00714972"/>
    <w:rsid w:val="00714F97"/>
    <w:rsid w:val="0071529D"/>
    <w:rsid w:val="0071542B"/>
    <w:rsid w:val="0071548F"/>
    <w:rsid w:val="00715606"/>
    <w:rsid w:val="0071567F"/>
    <w:rsid w:val="00715751"/>
    <w:rsid w:val="00715A73"/>
    <w:rsid w:val="00715BA9"/>
    <w:rsid w:val="00715F7B"/>
    <w:rsid w:val="0071682C"/>
    <w:rsid w:val="00716FE6"/>
    <w:rsid w:val="0071717E"/>
    <w:rsid w:val="007171E9"/>
    <w:rsid w:val="007172B0"/>
    <w:rsid w:val="007175A7"/>
    <w:rsid w:val="00717B3E"/>
    <w:rsid w:val="00717CD4"/>
    <w:rsid w:val="00720232"/>
    <w:rsid w:val="007205E1"/>
    <w:rsid w:val="0072094A"/>
    <w:rsid w:val="0072095F"/>
    <w:rsid w:val="007209B9"/>
    <w:rsid w:val="00720A5C"/>
    <w:rsid w:val="0072108E"/>
    <w:rsid w:val="007214C0"/>
    <w:rsid w:val="007215AA"/>
    <w:rsid w:val="007215E5"/>
    <w:rsid w:val="007216B7"/>
    <w:rsid w:val="00721767"/>
    <w:rsid w:val="00721826"/>
    <w:rsid w:val="007218DE"/>
    <w:rsid w:val="00721901"/>
    <w:rsid w:val="00721A20"/>
    <w:rsid w:val="00721C77"/>
    <w:rsid w:val="007220C2"/>
    <w:rsid w:val="00722261"/>
    <w:rsid w:val="0072236E"/>
    <w:rsid w:val="007223D1"/>
    <w:rsid w:val="0072299A"/>
    <w:rsid w:val="00722B70"/>
    <w:rsid w:val="00722D6F"/>
    <w:rsid w:val="00722E59"/>
    <w:rsid w:val="00722F5B"/>
    <w:rsid w:val="00723062"/>
    <w:rsid w:val="007231DD"/>
    <w:rsid w:val="00723770"/>
    <w:rsid w:val="00723821"/>
    <w:rsid w:val="007241A7"/>
    <w:rsid w:val="007241BE"/>
    <w:rsid w:val="00724228"/>
    <w:rsid w:val="00724786"/>
    <w:rsid w:val="00724941"/>
    <w:rsid w:val="00724DCA"/>
    <w:rsid w:val="00724FEE"/>
    <w:rsid w:val="0072512A"/>
    <w:rsid w:val="0072529F"/>
    <w:rsid w:val="00725356"/>
    <w:rsid w:val="00725966"/>
    <w:rsid w:val="00725F78"/>
    <w:rsid w:val="007261CF"/>
    <w:rsid w:val="00726384"/>
    <w:rsid w:val="007264B1"/>
    <w:rsid w:val="00726AD7"/>
    <w:rsid w:val="00726B9F"/>
    <w:rsid w:val="00726C80"/>
    <w:rsid w:val="00726F11"/>
    <w:rsid w:val="00726F8A"/>
    <w:rsid w:val="00726FDC"/>
    <w:rsid w:val="0072709A"/>
    <w:rsid w:val="0072718D"/>
    <w:rsid w:val="00727529"/>
    <w:rsid w:val="00727930"/>
    <w:rsid w:val="00727AAD"/>
    <w:rsid w:val="007300CA"/>
    <w:rsid w:val="00730160"/>
    <w:rsid w:val="0073020B"/>
    <w:rsid w:val="00730285"/>
    <w:rsid w:val="007305AB"/>
    <w:rsid w:val="0073072C"/>
    <w:rsid w:val="00730CD8"/>
    <w:rsid w:val="0073130B"/>
    <w:rsid w:val="00731721"/>
    <w:rsid w:val="00731769"/>
    <w:rsid w:val="007319F8"/>
    <w:rsid w:val="00731AC1"/>
    <w:rsid w:val="00731C62"/>
    <w:rsid w:val="00731EE6"/>
    <w:rsid w:val="0073211A"/>
    <w:rsid w:val="00732507"/>
    <w:rsid w:val="0073271E"/>
    <w:rsid w:val="00732C26"/>
    <w:rsid w:val="00732C2F"/>
    <w:rsid w:val="00732D7D"/>
    <w:rsid w:val="00733081"/>
    <w:rsid w:val="0073347A"/>
    <w:rsid w:val="007334B5"/>
    <w:rsid w:val="0073356D"/>
    <w:rsid w:val="0073359C"/>
    <w:rsid w:val="007336AE"/>
    <w:rsid w:val="00733722"/>
    <w:rsid w:val="007337A0"/>
    <w:rsid w:val="007337ED"/>
    <w:rsid w:val="0073396C"/>
    <w:rsid w:val="00733B4E"/>
    <w:rsid w:val="00733DC2"/>
    <w:rsid w:val="00733E17"/>
    <w:rsid w:val="00733F0C"/>
    <w:rsid w:val="00734249"/>
    <w:rsid w:val="00734389"/>
    <w:rsid w:val="007343D5"/>
    <w:rsid w:val="00734420"/>
    <w:rsid w:val="00734440"/>
    <w:rsid w:val="00734465"/>
    <w:rsid w:val="007349D0"/>
    <w:rsid w:val="00734BAC"/>
    <w:rsid w:val="00734D16"/>
    <w:rsid w:val="00734D4D"/>
    <w:rsid w:val="00734F40"/>
    <w:rsid w:val="00734FA3"/>
    <w:rsid w:val="00735025"/>
    <w:rsid w:val="007355A6"/>
    <w:rsid w:val="00735B64"/>
    <w:rsid w:val="00735BD9"/>
    <w:rsid w:val="00735C36"/>
    <w:rsid w:val="00735EAB"/>
    <w:rsid w:val="00735F43"/>
    <w:rsid w:val="00736223"/>
    <w:rsid w:val="0073661A"/>
    <w:rsid w:val="00736675"/>
    <w:rsid w:val="007368D0"/>
    <w:rsid w:val="00736915"/>
    <w:rsid w:val="00736DD4"/>
    <w:rsid w:val="00736E5C"/>
    <w:rsid w:val="00737039"/>
    <w:rsid w:val="007371A8"/>
    <w:rsid w:val="007371C6"/>
    <w:rsid w:val="007371D7"/>
    <w:rsid w:val="007371DC"/>
    <w:rsid w:val="007372F7"/>
    <w:rsid w:val="00737503"/>
    <w:rsid w:val="00737748"/>
    <w:rsid w:val="0073792A"/>
    <w:rsid w:val="00737A14"/>
    <w:rsid w:val="00737BFB"/>
    <w:rsid w:val="00737E19"/>
    <w:rsid w:val="00737F4B"/>
    <w:rsid w:val="00737F87"/>
    <w:rsid w:val="007402E2"/>
    <w:rsid w:val="00740368"/>
    <w:rsid w:val="00740410"/>
    <w:rsid w:val="00740830"/>
    <w:rsid w:val="00740A71"/>
    <w:rsid w:val="00740C77"/>
    <w:rsid w:val="00740E94"/>
    <w:rsid w:val="00740FA6"/>
    <w:rsid w:val="00741167"/>
    <w:rsid w:val="0074146C"/>
    <w:rsid w:val="00741692"/>
    <w:rsid w:val="007417FA"/>
    <w:rsid w:val="007419A8"/>
    <w:rsid w:val="00741A31"/>
    <w:rsid w:val="00741B46"/>
    <w:rsid w:val="00741F79"/>
    <w:rsid w:val="007420C7"/>
    <w:rsid w:val="0074223A"/>
    <w:rsid w:val="00742532"/>
    <w:rsid w:val="00742648"/>
    <w:rsid w:val="007427C3"/>
    <w:rsid w:val="00742CFE"/>
    <w:rsid w:val="00742D11"/>
    <w:rsid w:val="00742E18"/>
    <w:rsid w:val="00742EBB"/>
    <w:rsid w:val="00743047"/>
    <w:rsid w:val="00743139"/>
    <w:rsid w:val="007431AA"/>
    <w:rsid w:val="007431C0"/>
    <w:rsid w:val="00743579"/>
    <w:rsid w:val="00743891"/>
    <w:rsid w:val="007439CC"/>
    <w:rsid w:val="00743C59"/>
    <w:rsid w:val="00743CAC"/>
    <w:rsid w:val="00743CC3"/>
    <w:rsid w:val="00743E88"/>
    <w:rsid w:val="00743F25"/>
    <w:rsid w:val="00744015"/>
    <w:rsid w:val="00744041"/>
    <w:rsid w:val="0074405C"/>
    <w:rsid w:val="00744062"/>
    <w:rsid w:val="007441CE"/>
    <w:rsid w:val="007442FB"/>
    <w:rsid w:val="0074436B"/>
    <w:rsid w:val="007446F4"/>
    <w:rsid w:val="00744D65"/>
    <w:rsid w:val="00744E10"/>
    <w:rsid w:val="00744F3B"/>
    <w:rsid w:val="007450A5"/>
    <w:rsid w:val="0074516C"/>
    <w:rsid w:val="007453BE"/>
    <w:rsid w:val="007453E9"/>
    <w:rsid w:val="007457FD"/>
    <w:rsid w:val="007458C1"/>
    <w:rsid w:val="007458D5"/>
    <w:rsid w:val="00745937"/>
    <w:rsid w:val="00745C92"/>
    <w:rsid w:val="00745D12"/>
    <w:rsid w:val="007460DA"/>
    <w:rsid w:val="0074622A"/>
    <w:rsid w:val="007466CF"/>
    <w:rsid w:val="00746977"/>
    <w:rsid w:val="00746BB4"/>
    <w:rsid w:val="00746D8B"/>
    <w:rsid w:val="00747126"/>
    <w:rsid w:val="007473CD"/>
    <w:rsid w:val="007476A0"/>
    <w:rsid w:val="00747789"/>
    <w:rsid w:val="007477C5"/>
    <w:rsid w:val="007477D2"/>
    <w:rsid w:val="0074792C"/>
    <w:rsid w:val="00747938"/>
    <w:rsid w:val="00747B66"/>
    <w:rsid w:val="00747F27"/>
    <w:rsid w:val="00747F64"/>
    <w:rsid w:val="00747FBD"/>
    <w:rsid w:val="00750227"/>
    <w:rsid w:val="00750901"/>
    <w:rsid w:val="00750C85"/>
    <w:rsid w:val="00750EC3"/>
    <w:rsid w:val="00750FCF"/>
    <w:rsid w:val="007510D7"/>
    <w:rsid w:val="007510EA"/>
    <w:rsid w:val="0075120B"/>
    <w:rsid w:val="007512B3"/>
    <w:rsid w:val="0075140C"/>
    <w:rsid w:val="00751551"/>
    <w:rsid w:val="007515D1"/>
    <w:rsid w:val="007517AE"/>
    <w:rsid w:val="007517DA"/>
    <w:rsid w:val="007519E9"/>
    <w:rsid w:val="00751B95"/>
    <w:rsid w:val="0075204A"/>
    <w:rsid w:val="007521C4"/>
    <w:rsid w:val="007522DD"/>
    <w:rsid w:val="007525C7"/>
    <w:rsid w:val="00752939"/>
    <w:rsid w:val="00752BA8"/>
    <w:rsid w:val="00752BEB"/>
    <w:rsid w:val="00752D13"/>
    <w:rsid w:val="00752DD8"/>
    <w:rsid w:val="00752F7C"/>
    <w:rsid w:val="0075312C"/>
    <w:rsid w:val="0075319E"/>
    <w:rsid w:val="007532FA"/>
    <w:rsid w:val="00753383"/>
    <w:rsid w:val="00753671"/>
    <w:rsid w:val="00753757"/>
    <w:rsid w:val="0075377A"/>
    <w:rsid w:val="00753963"/>
    <w:rsid w:val="00753A38"/>
    <w:rsid w:val="00753A66"/>
    <w:rsid w:val="00753D0A"/>
    <w:rsid w:val="00753D2B"/>
    <w:rsid w:val="00753F73"/>
    <w:rsid w:val="007541E4"/>
    <w:rsid w:val="00754410"/>
    <w:rsid w:val="007544E8"/>
    <w:rsid w:val="0075469A"/>
    <w:rsid w:val="00754A6C"/>
    <w:rsid w:val="00754A95"/>
    <w:rsid w:val="00754A9C"/>
    <w:rsid w:val="00754AA4"/>
    <w:rsid w:val="00755467"/>
    <w:rsid w:val="00755817"/>
    <w:rsid w:val="00755A32"/>
    <w:rsid w:val="00755B12"/>
    <w:rsid w:val="00755D13"/>
    <w:rsid w:val="00755D93"/>
    <w:rsid w:val="00755DCB"/>
    <w:rsid w:val="00755E5C"/>
    <w:rsid w:val="007561BE"/>
    <w:rsid w:val="00756335"/>
    <w:rsid w:val="007566C2"/>
    <w:rsid w:val="00756A7B"/>
    <w:rsid w:val="00756B83"/>
    <w:rsid w:val="00756CCC"/>
    <w:rsid w:val="00756D34"/>
    <w:rsid w:val="00756EF9"/>
    <w:rsid w:val="00756FDB"/>
    <w:rsid w:val="00757035"/>
    <w:rsid w:val="00757186"/>
    <w:rsid w:val="007573D6"/>
    <w:rsid w:val="007574A3"/>
    <w:rsid w:val="00757847"/>
    <w:rsid w:val="007578E1"/>
    <w:rsid w:val="00757970"/>
    <w:rsid w:val="00757A53"/>
    <w:rsid w:val="00757A6A"/>
    <w:rsid w:val="00757CF3"/>
    <w:rsid w:val="00757D01"/>
    <w:rsid w:val="00757DB0"/>
    <w:rsid w:val="0076006D"/>
    <w:rsid w:val="00760768"/>
    <w:rsid w:val="00760838"/>
    <w:rsid w:val="00760973"/>
    <w:rsid w:val="00760B35"/>
    <w:rsid w:val="00760BCC"/>
    <w:rsid w:val="00760C0E"/>
    <w:rsid w:val="00760CD3"/>
    <w:rsid w:val="0076106B"/>
    <w:rsid w:val="0076115B"/>
    <w:rsid w:val="00761320"/>
    <w:rsid w:val="0076146B"/>
    <w:rsid w:val="007617FB"/>
    <w:rsid w:val="00761830"/>
    <w:rsid w:val="007619E1"/>
    <w:rsid w:val="00761A7B"/>
    <w:rsid w:val="00761B1E"/>
    <w:rsid w:val="00761B62"/>
    <w:rsid w:val="00761FD2"/>
    <w:rsid w:val="007621FF"/>
    <w:rsid w:val="00762239"/>
    <w:rsid w:val="0076296B"/>
    <w:rsid w:val="00762AFB"/>
    <w:rsid w:val="00762B6A"/>
    <w:rsid w:val="00762DE7"/>
    <w:rsid w:val="007630F5"/>
    <w:rsid w:val="00763275"/>
    <w:rsid w:val="00763388"/>
    <w:rsid w:val="007634D8"/>
    <w:rsid w:val="007637BC"/>
    <w:rsid w:val="007639D9"/>
    <w:rsid w:val="00763ED0"/>
    <w:rsid w:val="007640AF"/>
    <w:rsid w:val="0076440A"/>
    <w:rsid w:val="007646DE"/>
    <w:rsid w:val="0076473B"/>
    <w:rsid w:val="0076475B"/>
    <w:rsid w:val="00764AC3"/>
    <w:rsid w:val="00764B31"/>
    <w:rsid w:val="00764B5D"/>
    <w:rsid w:val="00764D00"/>
    <w:rsid w:val="00764D72"/>
    <w:rsid w:val="00764FD5"/>
    <w:rsid w:val="0076517D"/>
    <w:rsid w:val="007655A9"/>
    <w:rsid w:val="007656A1"/>
    <w:rsid w:val="007656CA"/>
    <w:rsid w:val="007656EB"/>
    <w:rsid w:val="00765707"/>
    <w:rsid w:val="00765956"/>
    <w:rsid w:val="00765A07"/>
    <w:rsid w:val="00765B75"/>
    <w:rsid w:val="00765BA8"/>
    <w:rsid w:val="00765DAF"/>
    <w:rsid w:val="00765FD8"/>
    <w:rsid w:val="00766007"/>
    <w:rsid w:val="007662FE"/>
    <w:rsid w:val="007664F7"/>
    <w:rsid w:val="007668BC"/>
    <w:rsid w:val="007669FC"/>
    <w:rsid w:val="00766C00"/>
    <w:rsid w:val="00766C39"/>
    <w:rsid w:val="00767193"/>
    <w:rsid w:val="007671EB"/>
    <w:rsid w:val="007673C8"/>
    <w:rsid w:val="00767768"/>
    <w:rsid w:val="007677EE"/>
    <w:rsid w:val="0076784F"/>
    <w:rsid w:val="00767A6A"/>
    <w:rsid w:val="00767BDC"/>
    <w:rsid w:val="00767BF3"/>
    <w:rsid w:val="00767D63"/>
    <w:rsid w:val="00767D9C"/>
    <w:rsid w:val="00767FFC"/>
    <w:rsid w:val="0077018F"/>
    <w:rsid w:val="0077046D"/>
    <w:rsid w:val="00770A26"/>
    <w:rsid w:val="00770B1F"/>
    <w:rsid w:val="00770C31"/>
    <w:rsid w:val="00770C5E"/>
    <w:rsid w:val="00770C63"/>
    <w:rsid w:val="00770FA5"/>
    <w:rsid w:val="007713BF"/>
    <w:rsid w:val="007714DD"/>
    <w:rsid w:val="00771608"/>
    <w:rsid w:val="0077163A"/>
    <w:rsid w:val="0077172C"/>
    <w:rsid w:val="007717E4"/>
    <w:rsid w:val="00771FB5"/>
    <w:rsid w:val="007720FE"/>
    <w:rsid w:val="007722EC"/>
    <w:rsid w:val="007724A7"/>
    <w:rsid w:val="00772657"/>
    <w:rsid w:val="007726FA"/>
    <w:rsid w:val="00772945"/>
    <w:rsid w:val="00772B04"/>
    <w:rsid w:val="00772B73"/>
    <w:rsid w:val="007730BE"/>
    <w:rsid w:val="00773141"/>
    <w:rsid w:val="007731BC"/>
    <w:rsid w:val="0077330B"/>
    <w:rsid w:val="00773328"/>
    <w:rsid w:val="00773481"/>
    <w:rsid w:val="00773913"/>
    <w:rsid w:val="007739CF"/>
    <w:rsid w:val="00773C3D"/>
    <w:rsid w:val="00773D5C"/>
    <w:rsid w:val="007741E7"/>
    <w:rsid w:val="007746ED"/>
    <w:rsid w:val="00774814"/>
    <w:rsid w:val="00774ADC"/>
    <w:rsid w:val="00774B93"/>
    <w:rsid w:val="00774EAF"/>
    <w:rsid w:val="00774FC7"/>
    <w:rsid w:val="0077509A"/>
    <w:rsid w:val="00775231"/>
    <w:rsid w:val="007754C3"/>
    <w:rsid w:val="0077554D"/>
    <w:rsid w:val="00775567"/>
    <w:rsid w:val="007757C6"/>
    <w:rsid w:val="007757C9"/>
    <w:rsid w:val="00775965"/>
    <w:rsid w:val="00775981"/>
    <w:rsid w:val="00775C40"/>
    <w:rsid w:val="00775C59"/>
    <w:rsid w:val="00776135"/>
    <w:rsid w:val="0077629F"/>
    <w:rsid w:val="0077645D"/>
    <w:rsid w:val="00776542"/>
    <w:rsid w:val="007765D0"/>
    <w:rsid w:val="00776749"/>
    <w:rsid w:val="00776856"/>
    <w:rsid w:val="00776906"/>
    <w:rsid w:val="00776DF7"/>
    <w:rsid w:val="00776E2E"/>
    <w:rsid w:val="0077711D"/>
    <w:rsid w:val="00777219"/>
    <w:rsid w:val="007772AC"/>
    <w:rsid w:val="00777442"/>
    <w:rsid w:val="00777451"/>
    <w:rsid w:val="0077784F"/>
    <w:rsid w:val="0077791A"/>
    <w:rsid w:val="007779A3"/>
    <w:rsid w:val="00777ADC"/>
    <w:rsid w:val="00777B5C"/>
    <w:rsid w:val="00777E56"/>
    <w:rsid w:val="007802E7"/>
    <w:rsid w:val="00780694"/>
    <w:rsid w:val="00780B1A"/>
    <w:rsid w:val="00780D45"/>
    <w:rsid w:val="00780D62"/>
    <w:rsid w:val="00780F3F"/>
    <w:rsid w:val="00781260"/>
    <w:rsid w:val="007812E7"/>
    <w:rsid w:val="00781315"/>
    <w:rsid w:val="0078132A"/>
    <w:rsid w:val="00781546"/>
    <w:rsid w:val="0078159F"/>
    <w:rsid w:val="007816FD"/>
    <w:rsid w:val="007819C9"/>
    <w:rsid w:val="007819ED"/>
    <w:rsid w:val="00781A97"/>
    <w:rsid w:val="00781B4B"/>
    <w:rsid w:val="00781D12"/>
    <w:rsid w:val="00781E7D"/>
    <w:rsid w:val="00781E8E"/>
    <w:rsid w:val="00782065"/>
    <w:rsid w:val="007822F0"/>
    <w:rsid w:val="0078238E"/>
    <w:rsid w:val="00782419"/>
    <w:rsid w:val="007824BC"/>
    <w:rsid w:val="00782630"/>
    <w:rsid w:val="007828FD"/>
    <w:rsid w:val="00782A97"/>
    <w:rsid w:val="00782B0C"/>
    <w:rsid w:val="00782D2D"/>
    <w:rsid w:val="00782D85"/>
    <w:rsid w:val="00782DFC"/>
    <w:rsid w:val="00782EC4"/>
    <w:rsid w:val="00782EEE"/>
    <w:rsid w:val="00782F84"/>
    <w:rsid w:val="00783153"/>
    <w:rsid w:val="00783331"/>
    <w:rsid w:val="007838C9"/>
    <w:rsid w:val="0078390D"/>
    <w:rsid w:val="00783A74"/>
    <w:rsid w:val="00783AE5"/>
    <w:rsid w:val="00783D1E"/>
    <w:rsid w:val="00783F0C"/>
    <w:rsid w:val="007840C0"/>
    <w:rsid w:val="007840FF"/>
    <w:rsid w:val="007842BC"/>
    <w:rsid w:val="007842F1"/>
    <w:rsid w:val="007844CF"/>
    <w:rsid w:val="00784B98"/>
    <w:rsid w:val="00784E23"/>
    <w:rsid w:val="0078502F"/>
    <w:rsid w:val="007852F3"/>
    <w:rsid w:val="0078539C"/>
    <w:rsid w:val="007853C2"/>
    <w:rsid w:val="007853CD"/>
    <w:rsid w:val="00785777"/>
    <w:rsid w:val="007857DC"/>
    <w:rsid w:val="00785AEF"/>
    <w:rsid w:val="00785C83"/>
    <w:rsid w:val="00785DFE"/>
    <w:rsid w:val="00785E75"/>
    <w:rsid w:val="00785F60"/>
    <w:rsid w:val="00785F68"/>
    <w:rsid w:val="00786218"/>
    <w:rsid w:val="0078625B"/>
    <w:rsid w:val="00786414"/>
    <w:rsid w:val="007864DA"/>
    <w:rsid w:val="00786524"/>
    <w:rsid w:val="0078684E"/>
    <w:rsid w:val="0078688F"/>
    <w:rsid w:val="00786ED8"/>
    <w:rsid w:val="007873AA"/>
    <w:rsid w:val="00787491"/>
    <w:rsid w:val="0078759B"/>
    <w:rsid w:val="007875D7"/>
    <w:rsid w:val="00787807"/>
    <w:rsid w:val="00787825"/>
    <w:rsid w:val="007878D9"/>
    <w:rsid w:val="007879B9"/>
    <w:rsid w:val="00787A15"/>
    <w:rsid w:val="00787B7E"/>
    <w:rsid w:val="00787CA6"/>
    <w:rsid w:val="00787CF3"/>
    <w:rsid w:val="00787D20"/>
    <w:rsid w:val="00787D8C"/>
    <w:rsid w:val="00787EB0"/>
    <w:rsid w:val="00787FD1"/>
    <w:rsid w:val="0079001F"/>
    <w:rsid w:val="00790362"/>
    <w:rsid w:val="007904EA"/>
    <w:rsid w:val="0079065C"/>
    <w:rsid w:val="007906A9"/>
    <w:rsid w:val="00790767"/>
    <w:rsid w:val="007907C5"/>
    <w:rsid w:val="0079096E"/>
    <w:rsid w:val="00790A3B"/>
    <w:rsid w:val="00790B5F"/>
    <w:rsid w:val="00790EB5"/>
    <w:rsid w:val="0079108A"/>
    <w:rsid w:val="007911B6"/>
    <w:rsid w:val="00791226"/>
    <w:rsid w:val="007912A6"/>
    <w:rsid w:val="00791433"/>
    <w:rsid w:val="0079163F"/>
    <w:rsid w:val="00791A51"/>
    <w:rsid w:val="00791BF5"/>
    <w:rsid w:val="00791C07"/>
    <w:rsid w:val="00791E98"/>
    <w:rsid w:val="0079201D"/>
    <w:rsid w:val="00792061"/>
    <w:rsid w:val="007920FE"/>
    <w:rsid w:val="00792431"/>
    <w:rsid w:val="00792553"/>
    <w:rsid w:val="00792A5F"/>
    <w:rsid w:val="00792C20"/>
    <w:rsid w:val="007930B7"/>
    <w:rsid w:val="00793237"/>
    <w:rsid w:val="00793541"/>
    <w:rsid w:val="0079366E"/>
    <w:rsid w:val="00793BCE"/>
    <w:rsid w:val="00794064"/>
    <w:rsid w:val="00794191"/>
    <w:rsid w:val="00794234"/>
    <w:rsid w:val="007946AA"/>
    <w:rsid w:val="0079479F"/>
    <w:rsid w:val="00794CA5"/>
    <w:rsid w:val="00794D41"/>
    <w:rsid w:val="00794E6A"/>
    <w:rsid w:val="00794F5F"/>
    <w:rsid w:val="007951C3"/>
    <w:rsid w:val="007953AE"/>
    <w:rsid w:val="00795432"/>
    <w:rsid w:val="007954CF"/>
    <w:rsid w:val="00795515"/>
    <w:rsid w:val="00795730"/>
    <w:rsid w:val="007958E5"/>
    <w:rsid w:val="00795DF5"/>
    <w:rsid w:val="00795E2E"/>
    <w:rsid w:val="007962F7"/>
    <w:rsid w:val="007963F2"/>
    <w:rsid w:val="0079646C"/>
    <w:rsid w:val="0079662F"/>
    <w:rsid w:val="0079691E"/>
    <w:rsid w:val="007969E4"/>
    <w:rsid w:val="00796A36"/>
    <w:rsid w:val="00796CA4"/>
    <w:rsid w:val="00796CD0"/>
    <w:rsid w:val="00796E5B"/>
    <w:rsid w:val="00796E96"/>
    <w:rsid w:val="00797093"/>
    <w:rsid w:val="007970C0"/>
    <w:rsid w:val="0079768A"/>
    <w:rsid w:val="0079776F"/>
    <w:rsid w:val="00797CD7"/>
    <w:rsid w:val="00797E8D"/>
    <w:rsid w:val="007A0003"/>
    <w:rsid w:val="007A0131"/>
    <w:rsid w:val="007A0395"/>
    <w:rsid w:val="007A0433"/>
    <w:rsid w:val="007A04E1"/>
    <w:rsid w:val="007A04E6"/>
    <w:rsid w:val="007A06CB"/>
    <w:rsid w:val="007A08CD"/>
    <w:rsid w:val="007A08CE"/>
    <w:rsid w:val="007A092C"/>
    <w:rsid w:val="007A0B87"/>
    <w:rsid w:val="007A0BC8"/>
    <w:rsid w:val="007A0F3F"/>
    <w:rsid w:val="007A12D4"/>
    <w:rsid w:val="007A12F0"/>
    <w:rsid w:val="007A134F"/>
    <w:rsid w:val="007A1364"/>
    <w:rsid w:val="007A1785"/>
    <w:rsid w:val="007A1889"/>
    <w:rsid w:val="007A1939"/>
    <w:rsid w:val="007A1CF3"/>
    <w:rsid w:val="007A1F2D"/>
    <w:rsid w:val="007A2111"/>
    <w:rsid w:val="007A2179"/>
    <w:rsid w:val="007A2286"/>
    <w:rsid w:val="007A235A"/>
    <w:rsid w:val="007A245F"/>
    <w:rsid w:val="007A2485"/>
    <w:rsid w:val="007A24A0"/>
    <w:rsid w:val="007A261A"/>
    <w:rsid w:val="007A2702"/>
    <w:rsid w:val="007A2720"/>
    <w:rsid w:val="007A2723"/>
    <w:rsid w:val="007A2769"/>
    <w:rsid w:val="007A2824"/>
    <w:rsid w:val="007A28EC"/>
    <w:rsid w:val="007A2938"/>
    <w:rsid w:val="007A2BE4"/>
    <w:rsid w:val="007A2CCB"/>
    <w:rsid w:val="007A2DAD"/>
    <w:rsid w:val="007A2DB0"/>
    <w:rsid w:val="007A2E83"/>
    <w:rsid w:val="007A332C"/>
    <w:rsid w:val="007A3451"/>
    <w:rsid w:val="007A34F1"/>
    <w:rsid w:val="007A35AC"/>
    <w:rsid w:val="007A3B9A"/>
    <w:rsid w:val="007A3E1F"/>
    <w:rsid w:val="007A3E5B"/>
    <w:rsid w:val="007A3FC1"/>
    <w:rsid w:val="007A3FCB"/>
    <w:rsid w:val="007A4094"/>
    <w:rsid w:val="007A4171"/>
    <w:rsid w:val="007A41A1"/>
    <w:rsid w:val="007A41B9"/>
    <w:rsid w:val="007A4377"/>
    <w:rsid w:val="007A45FB"/>
    <w:rsid w:val="007A4637"/>
    <w:rsid w:val="007A48CA"/>
    <w:rsid w:val="007A4AB2"/>
    <w:rsid w:val="007A4E13"/>
    <w:rsid w:val="007A561B"/>
    <w:rsid w:val="007A5801"/>
    <w:rsid w:val="007A58DD"/>
    <w:rsid w:val="007A5E68"/>
    <w:rsid w:val="007A602B"/>
    <w:rsid w:val="007A63C9"/>
    <w:rsid w:val="007A6409"/>
    <w:rsid w:val="007A64C9"/>
    <w:rsid w:val="007A64DE"/>
    <w:rsid w:val="007A6518"/>
    <w:rsid w:val="007A68F6"/>
    <w:rsid w:val="007A6945"/>
    <w:rsid w:val="007A6C0A"/>
    <w:rsid w:val="007A6CFC"/>
    <w:rsid w:val="007A71CE"/>
    <w:rsid w:val="007A7442"/>
    <w:rsid w:val="007A749E"/>
    <w:rsid w:val="007A776D"/>
    <w:rsid w:val="007A7825"/>
    <w:rsid w:val="007A7925"/>
    <w:rsid w:val="007A7E8C"/>
    <w:rsid w:val="007B02DD"/>
    <w:rsid w:val="007B0602"/>
    <w:rsid w:val="007B08B5"/>
    <w:rsid w:val="007B08C9"/>
    <w:rsid w:val="007B0A22"/>
    <w:rsid w:val="007B0CAC"/>
    <w:rsid w:val="007B0E20"/>
    <w:rsid w:val="007B1166"/>
    <w:rsid w:val="007B11B1"/>
    <w:rsid w:val="007B1206"/>
    <w:rsid w:val="007B14FD"/>
    <w:rsid w:val="007B15A6"/>
    <w:rsid w:val="007B18D5"/>
    <w:rsid w:val="007B1B6D"/>
    <w:rsid w:val="007B1BF7"/>
    <w:rsid w:val="007B1DA8"/>
    <w:rsid w:val="007B202C"/>
    <w:rsid w:val="007B265A"/>
    <w:rsid w:val="007B26E2"/>
    <w:rsid w:val="007B27BE"/>
    <w:rsid w:val="007B2892"/>
    <w:rsid w:val="007B2965"/>
    <w:rsid w:val="007B29FE"/>
    <w:rsid w:val="007B2E23"/>
    <w:rsid w:val="007B2FD6"/>
    <w:rsid w:val="007B31A8"/>
    <w:rsid w:val="007B321C"/>
    <w:rsid w:val="007B33E5"/>
    <w:rsid w:val="007B36BF"/>
    <w:rsid w:val="007B3BDE"/>
    <w:rsid w:val="007B3C14"/>
    <w:rsid w:val="007B3C1D"/>
    <w:rsid w:val="007B3CCC"/>
    <w:rsid w:val="007B3CE5"/>
    <w:rsid w:val="007B3D0B"/>
    <w:rsid w:val="007B3DF6"/>
    <w:rsid w:val="007B3E78"/>
    <w:rsid w:val="007B400A"/>
    <w:rsid w:val="007B4192"/>
    <w:rsid w:val="007B42A7"/>
    <w:rsid w:val="007B443F"/>
    <w:rsid w:val="007B454A"/>
    <w:rsid w:val="007B4591"/>
    <w:rsid w:val="007B45DE"/>
    <w:rsid w:val="007B46A6"/>
    <w:rsid w:val="007B4757"/>
    <w:rsid w:val="007B4A47"/>
    <w:rsid w:val="007B4A59"/>
    <w:rsid w:val="007B4AEF"/>
    <w:rsid w:val="007B4D42"/>
    <w:rsid w:val="007B4F33"/>
    <w:rsid w:val="007B4FD1"/>
    <w:rsid w:val="007B51AA"/>
    <w:rsid w:val="007B5298"/>
    <w:rsid w:val="007B5502"/>
    <w:rsid w:val="007B577C"/>
    <w:rsid w:val="007B584E"/>
    <w:rsid w:val="007B598C"/>
    <w:rsid w:val="007B59DC"/>
    <w:rsid w:val="007B5A2F"/>
    <w:rsid w:val="007B5B27"/>
    <w:rsid w:val="007B5B32"/>
    <w:rsid w:val="007B5C11"/>
    <w:rsid w:val="007B5C75"/>
    <w:rsid w:val="007B5DBD"/>
    <w:rsid w:val="007B5E58"/>
    <w:rsid w:val="007B5FA4"/>
    <w:rsid w:val="007B60E2"/>
    <w:rsid w:val="007B610F"/>
    <w:rsid w:val="007B6197"/>
    <w:rsid w:val="007B629E"/>
    <w:rsid w:val="007B63CF"/>
    <w:rsid w:val="007B684E"/>
    <w:rsid w:val="007B69D8"/>
    <w:rsid w:val="007B6A2C"/>
    <w:rsid w:val="007B6AEE"/>
    <w:rsid w:val="007B6BBE"/>
    <w:rsid w:val="007B6F53"/>
    <w:rsid w:val="007B713D"/>
    <w:rsid w:val="007B71E3"/>
    <w:rsid w:val="007B7331"/>
    <w:rsid w:val="007B745C"/>
    <w:rsid w:val="007B7472"/>
    <w:rsid w:val="007B74C8"/>
    <w:rsid w:val="007B7573"/>
    <w:rsid w:val="007B7A13"/>
    <w:rsid w:val="007B7AAB"/>
    <w:rsid w:val="007B7ACD"/>
    <w:rsid w:val="007C03BB"/>
    <w:rsid w:val="007C0508"/>
    <w:rsid w:val="007C06B2"/>
    <w:rsid w:val="007C0EEA"/>
    <w:rsid w:val="007C124F"/>
    <w:rsid w:val="007C129B"/>
    <w:rsid w:val="007C12E5"/>
    <w:rsid w:val="007C1480"/>
    <w:rsid w:val="007C1922"/>
    <w:rsid w:val="007C1D9D"/>
    <w:rsid w:val="007C1DA2"/>
    <w:rsid w:val="007C1EC9"/>
    <w:rsid w:val="007C20C1"/>
    <w:rsid w:val="007C2198"/>
    <w:rsid w:val="007C223B"/>
    <w:rsid w:val="007C229C"/>
    <w:rsid w:val="007C25FD"/>
    <w:rsid w:val="007C263D"/>
    <w:rsid w:val="007C264C"/>
    <w:rsid w:val="007C28CF"/>
    <w:rsid w:val="007C2941"/>
    <w:rsid w:val="007C29D7"/>
    <w:rsid w:val="007C2A9E"/>
    <w:rsid w:val="007C2E93"/>
    <w:rsid w:val="007C2FC6"/>
    <w:rsid w:val="007C314F"/>
    <w:rsid w:val="007C3215"/>
    <w:rsid w:val="007C3329"/>
    <w:rsid w:val="007C3499"/>
    <w:rsid w:val="007C34DE"/>
    <w:rsid w:val="007C3657"/>
    <w:rsid w:val="007C36CD"/>
    <w:rsid w:val="007C38B5"/>
    <w:rsid w:val="007C404B"/>
    <w:rsid w:val="007C4077"/>
    <w:rsid w:val="007C4187"/>
    <w:rsid w:val="007C41A0"/>
    <w:rsid w:val="007C42EC"/>
    <w:rsid w:val="007C4A68"/>
    <w:rsid w:val="007C4BAE"/>
    <w:rsid w:val="007C4BEE"/>
    <w:rsid w:val="007C4D64"/>
    <w:rsid w:val="007C4EF0"/>
    <w:rsid w:val="007C4FAE"/>
    <w:rsid w:val="007C5BA9"/>
    <w:rsid w:val="007C62AC"/>
    <w:rsid w:val="007C667A"/>
    <w:rsid w:val="007C6A89"/>
    <w:rsid w:val="007C6B3A"/>
    <w:rsid w:val="007C6CD2"/>
    <w:rsid w:val="007C6D50"/>
    <w:rsid w:val="007C6F2E"/>
    <w:rsid w:val="007C6FF9"/>
    <w:rsid w:val="007C73CF"/>
    <w:rsid w:val="007C7617"/>
    <w:rsid w:val="007C764E"/>
    <w:rsid w:val="007C77C5"/>
    <w:rsid w:val="007C7A2C"/>
    <w:rsid w:val="007C7B8C"/>
    <w:rsid w:val="007C7D1A"/>
    <w:rsid w:val="007C7E37"/>
    <w:rsid w:val="007C7EB5"/>
    <w:rsid w:val="007C7FD6"/>
    <w:rsid w:val="007D01AF"/>
    <w:rsid w:val="007D039C"/>
    <w:rsid w:val="007D044C"/>
    <w:rsid w:val="007D0ABB"/>
    <w:rsid w:val="007D0C09"/>
    <w:rsid w:val="007D0C2A"/>
    <w:rsid w:val="007D0C38"/>
    <w:rsid w:val="007D0EF3"/>
    <w:rsid w:val="007D0FFB"/>
    <w:rsid w:val="007D10C8"/>
    <w:rsid w:val="007D1156"/>
    <w:rsid w:val="007D1269"/>
    <w:rsid w:val="007D12A6"/>
    <w:rsid w:val="007D138D"/>
    <w:rsid w:val="007D1406"/>
    <w:rsid w:val="007D190C"/>
    <w:rsid w:val="007D1C9D"/>
    <w:rsid w:val="007D1CE2"/>
    <w:rsid w:val="007D1D3B"/>
    <w:rsid w:val="007D1DF0"/>
    <w:rsid w:val="007D1E79"/>
    <w:rsid w:val="007D20B0"/>
    <w:rsid w:val="007D2102"/>
    <w:rsid w:val="007D2179"/>
    <w:rsid w:val="007D24CF"/>
    <w:rsid w:val="007D24EE"/>
    <w:rsid w:val="007D2A15"/>
    <w:rsid w:val="007D2A2E"/>
    <w:rsid w:val="007D3122"/>
    <w:rsid w:val="007D3165"/>
    <w:rsid w:val="007D31C1"/>
    <w:rsid w:val="007D32B3"/>
    <w:rsid w:val="007D3560"/>
    <w:rsid w:val="007D3CD3"/>
    <w:rsid w:val="007D3DF2"/>
    <w:rsid w:val="007D4068"/>
    <w:rsid w:val="007D41C3"/>
    <w:rsid w:val="007D4284"/>
    <w:rsid w:val="007D44CA"/>
    <w:rsid w:val="007D4584"/>
    <w:rsid w:val="007D4621"/>
    <w:rsid w:val="007D47A8"/>
    <w:rsid w:val="007D4982"/>
    <w:rsid w:val="007D4BCA"/>
    <w:rsid w:val="007D4D87"/>
    <w:rsid w:val="007D4DAA"/>
    <w:rsid w:val="007D4E55"/>
    <w:rsid w:val="007D4EAC"/>
    <w:rsid w:val="007D5188"/>
    <w:rsid w:val="007D54A2"/>
    <w:rsid w:val="007D5696"/>
    <w:rsid w:val="007D5697"/>
    <w:rsid w:val="007D5787"/>
    <w:rsid w:val="007D57EA"/>
    <w:rsid w:val="007D5960"/>
    <w:rsid w:val="007D5A97"/>
    <w:rsid w:val="007D6002"/>
    <w:rsid w:val="007D606A"/>
    <w:rsid w:val="007D6193"/>
    <w:rsid w:val="007D639E"/>
    <w:rsid w:val="007D64E4"/>
    <w:rsid w:val="007D65F6"/>
    <w:rsid w:val="007D6C0C"/>
    <w:rsid w:val="007D6DB0"/>
    <w:rsid w:val="007D6DCE"/>
    <w:rsid w:val="007D6DE3"/>
    <w:rsid w:val="007D715C"/>
    <w:rsid w:val="007D76B1"/>
    <w:rsid w:val="007D77EB"/>
    <w:rsid w:val="007D7882"/>
    <w:rsid w:val="007D7C3C"/>
    <w:rsid w:val="007D7D31"/>
    <w:rsid w:val="007E0081"/>
    <w:rsid w:val="007E025A"/>
    <w:rsid w:val="007E036C"/>
    <w:rsid w:val="007E0451"/>
    <w:rsid w:val="007E0521"/>
    <w:rsid w:val="007E065C"/>
    <w:rsid w:val="007E0894"/>
    <w:rsid w:val="007E0976"/>
    <w:rsid w:val="007E0D25"/>
    <w:rsid w:val="007E0F03"/>
    <w:rsid w:val="007E114E"/>
    <w:rsid w:val="007E1282"/>
    <w:rsid w:val="007E1416"/>
    <w:rsid w:val="007E1524"/>
    <w:rsid w:val="007E15F0"/>
    <w:rsid w:val="007E17FA"/>
    <w:rsid w:val="007E1883"/>
    <w:rsid w:val="007E19F8"/>
    <w:rsid w:val="007E1C96"/>
    <w:rsid w:val="007E1D84"/>
    <w:rsid w:val="007E2338"/>
    <w:rsid w:val="007E2B82"/>
    <w:rsid w:val="007E2DD3"/>
    <w:rsid w:val="007E33B9"/>
    <w:rsid w:val="007E3460"/>
    <w:rsid w:val="007E3588"/>
    <w:rsid w:val="007E36ED"/>
    <w:rsid w:val="007E378E"/>
    <w:rsid w:val="007E3852"/>
    <w:rsid w:val="007E3B21"/>
    <w:rsid w:val="007E3BBE"/>
    <w:rsid w:val="007E3E58"/>
    <w:rsid w:val="007E3F37"/>
    <w:rsid w:val="007E4015"/>
    <w:rsid w:val="007E402D"/>
    <w:rsid w:val="007E42E6"/>
    <w:rsid w:val="007E4393"/>
    <w:rsid w:val="007E46BF"/>
    <w:rsid w:val="007E4734"/>
    <w:rsid w:val="007E487F"/>
    <w:rsid w:val="007E4A0D"/>
    <w:rsid w:val="007E4B2D"/>
    <w:rsid w:val="007E4C3F"/>
    <w:rsid w:val="007E518B"/>
    <w:rsid w:val="007E5265"/>
    <w:rsid w:val="007E5328"/>
    <w:rsid w:val="007E5388"/>
    <w:rsid w:val="007E54E0"/>
    <w:rsid w:val="007E587D"/>
    <w:rsid w:val="007E58C0"/>
    <w:rsid w:val="007E5A40"/>
    <w:rsid w:val="007E5B6B"/>
    <w:rsid w:val="007E5CE8"/>
    <w:rsid w:val="007E5F71"/>
    <w:rsid w:val="007E60C0"/>
    <w:rsid w:val="007E6447"/>
    <w:rsid w:val="007E6757"/>
    <w:rsid w:val="007E68C0"/>
    <w:rsid w:val="007E6BD6"/>
    <w:rsid w:val="007E6CE0"/>
    <w:rsid w:val="007E6D75"/>
    <w:rsid w:val="007E6D9B"/>
    <w:rsid w:val="007E6DE7"/>
    <w:rsid w:val="007E6EEF"/>
    <w:rsid w:val="007E6F7D"/>
    <w:rsid w:val="007E7025"/>
    <w:rsid w:val="007E7124"/>
    <w:rsid w:val="007E71E9"/>
    <w:rsid w:val="007E7354"/>
    <w:rsid w:val="007E74E3"/>
    <w:rsid w:val="007E76CB"/>
    <w:rsid w:val="007E7721"/>
    <w:rsid w:val="007E77E9"/>
    <w:rsid w:val="007E794B"/>
    <w:rsid w:val="007E7B1C"/>
    <w:rsid w:val="007E7C5C"/>
    <w:rsid w:val="007E7CB2"/>
    <w:rsid w:val="007E7CF2"/>
    <w:rsid w:val="007E7ECF"/>
    <w:rsid w:val="007F029C"/>
    <w:rsid w:val="007F02B2"/>
    <w:rsid w:val="007F02C7"/>
    <w:rsid w:val="007F032B"/>
    <w:rsid w:val="007F032D"/>
    <w:rsid w:val="007F03E4"/>
    <w:rsid w:val="007F03FE"/>
    <w:rsid w:val="007F092E"/>
    <w:rsid w:val="007F0CBE"/>
    <w:rsid w:val="007F0CDB"/>
    <w:rsid w:val="007F0DAC"/>
    <w:rsid w:val="007F104E"/>
    <w:rsid w:val="007F10CC"/>
    <w:rsid w:val="007F11E8"/>
    <w:rsid w:val="007F11ED"/>
    <w:rsid w:val="007F12E0"/>
    <w:rsid w:val="007F15E2"/>
    <w:rsid w:val="007F160D"/>
    <w:rsid w:val="007F1873"/>
    <w:rsid w:val="007F18C4"/>
    <w:rsid w:val="007F1A5E"/>
    <w:rsid w:val="007F1BFB"/>
    <w:rsid w:val="007F1D06"/>
    <w:rsid w:val="007F1D2C"/>
    <w:rsid w:val="007F1ECD"/>
    <w:rsid w:val="007F1FE2"/>
    <w:rsid w:val="007F2ACA"/>
    <w:rsid w:val="007F2C72"/>
    <w:rsid w:val="007F2D94"/>
    <w:rsid w:val="007F2DFD"/>
    <w:rsid w:val="007F2EB2"/>
    <w:rsid w:val="007F2F7E"/>
    <w:rsid w:val="007F2FC3"/>
    <w:rsid w:val="007F3034"/>
    <w:rsid w:val="007F344C"/>
    <w:rsid w:val="007F3499"/>
    <w:rsid w:val="007F3745"/>
    <w:rsid w:val="007F37F9"/>
    <w:rsid w:val="007F3C96"/>
    <w:rsid w:val="007F4434"/>
    <w:rsid w:val="007F4A8C"/>
    <w:rsid w:val="007F51E7"/>
    <w:rsid w:val="007F5260"/>
    <w:rsid w:val="007F5287"/>
    <w:rsid w:val="007F5420"/>
    <w:rsid w:val="007F5799"/>
    <w:rsid w:val="007F5A11"/>
    <w:rsid w:val="007F5BF1"/>
    <w:rsid w:val="007F62F3"/>
    <w:rsid w:val="007F64ED"/>
    <w:rsid w:val="007F651C"/>
    <w:rsid w:val="007F66F4"/>
    <w:rsid w:val="007F68DC"/>
    <w:rsid w:val="007F68DF"/>
    <w:rsid w:val="007F6A54"/>
    <w:rsid w:val="007F6B28"/>
    <w:rsid w:val="007F6BD3"/>
    <w:rsid w:val="007F6D6C"/>
    <w:rsid w:val="007F70A8"/>
    <w:rsid w:val="007F70B9"/>
    <w:rsid w:val="007F7137"/>
    <w:rsid w:val="007F72A5"/>
    <w:rsid w:val="007F72F1"/>
    <w:rsid w:val="007F731F"/>
    <w:rsid w:val="007F7679"/>
    <w:rsid w:val="007F7A75"/>
    <w:rsid w:val="007F7C48"/>
    <w:rsid w:val="007F7ECC"/>
    <w:rsid w:val="007F7FDA"/>
    <w:rsid w:val="0080006E"/>
    <w:rsid w:val="00800462"/>
    <w:rsid w:val="0080048C"/>
    <w:rsid w:val="00800512"/>
    <w:rsid w:val="00800E62"/>
    <w:rsid w:val="00800F35"/>
    <w:rsid w:val="008010D7"/>
    <w:rsid w:val="008011D4"/>
    <w:rsid w:val="0080128D"/>
    <w:rsid w:val="008012EF"/>
    <w:rsid w:val="00801475"/>
    <w:rsid w:val="0080147D"/>
    <w:rsid w:val="00801561"/>
    <w:rsid w:val="0080158C"/>
    <w:rsid w:val="008016CA"/>
    <w:rsid w:val="008017B6"/>
    <w:rsid w:val="00801B2D"/>
    <w:rsid w:val="00801D7E"/>
    <w:rsid w:val="00801DB0"/>
    <w:rsid w:val="00802754"/>
    <w:rsid w:val="00802A65"/>
    <w:rsid w:val="00802DF1"/>
    <w:rsid w:val="00802E61"/>
    <w:rsid w:val="00802F4C"/>
    <w:rsid w:val="008030EB"/>
    <w:rsid w:val="00803432"/>
    <w:rsid w:val="00803443"/>
    <w:rsid w:val="008036C0"/>
    <w:rsid w:val="008037E5"/>
    <w:rsid w:val="00803F2E"/>
    <w:rsid w:val="00804131"/>
    <w:rsid w:val="00804144"/>
    <w:rsid w:val="008041DE"/>
    <w:rsid w:val="0080450E"/>
    <w:rsid w:val="00804530"/>
    <w:rsid w:val="00804791"/>
    <w:rsid w:val="00804898"/>
    <w:rsid w:val="008048EE"/>
    <w:rsid w:val="008048F5"/>
    <w:rsid w:val="00804A6F"/>
    <w:rsid w:val="00804B1E"/>
    <w:rsid w:val="00804B4D"/>
    <w:rsid w:val="00804C3C"/>
    <w:rsid w:val="00804D2A"/>
    <w:rsid w:val="00804D52"/>
    <w:rsid w:val="00804EB4"/>
    <w:rsid w:val="00805073"/>
    <w:rsid w:val="00805159"/>
    <w:rsid w:val="0080516A"/>
    <w:rsid w:val="00805930"/>
    <w:rsid w:val="00805A6E"/>
    <w:rsid w:val="00805D9C"/>
    <w:rsid w:val="00805F32"/>
    <w:rsid w:val="008061D6"/>
    <w:rsid w:val="0080646D"/>
    <w:rsid w:val="008064BF"/>
    <w:rsid w:val="0080680D"/>
    <w:rsid w:val="00806E2F"/>
    <w:rsid w:val="00806E75"/>
    <w:rsid w:val="00807138"/>
    <w:rsid w:val="00807676"/>
    <w:rsid w:val="0080786A"/>
    <w:rsid w:val="00807AA3"/>
    <w:rsid w:val="00807BE3"/>
    <w:rsid w:val="00807F10"/>
    <w:rsid w:val="00810139"/>
    <w:rsid w:val="00810552"/>
    <w:rsid w:val="008105B3"/>
    <w:rsid w:val="00810858"/>
    <w:rsid w:val="008108B2"/>
    <w:rsid w:val="008111CF"/>
    <w:rsid w:val="008111E9"/>
    <w:rsid w:val="0081137B"/>
    <w:rsid w:val="0081153A"/>
    <w:rsid w:val="0081163F"/>
    <w:rsid w:val="00811CEA"/>
    <w:rsid w:val="00811D79"/>
    <w:rsid w:val="00811FCF"/>
    <w:rsid w:val="008127F9"/>
    <w:rsid w:val="00812A4B"/>
    <w:rsid w:val="00812C05"/>
    <w:rsid w:val="00812CBA"/>
    <w:rsid w:val="00812DF0"/>
    <w:rsid w:val="00812F53"/>
    <w:rsid w:val="00812FA4"/>
    <w:rsid w:val="008130B3"/>
    <w:rsid w:val="008130C1"/>
    <w:rsid w:val="008130C4"/>
    <w:rsid w:val="0081319D"/>
    <w:rsid w:val="008131C7"/>
    <w:rsid w:val="0081322A"/>
    <w:rsid w:val="00813367"/>
    <w:rsid w:val="00813454"/>
    <w:rsid w:val="00813678"/>
    <w:rsid w:val="0081367C"/>
    <w:rsid w:val="00813706"/>
    <w:rsid w:val="008137B6"/>
    <w:rsid w:val="0081391C"/>
    <w:rsid w:val="0081394E"/>
    <w:rsid w:val="00813992"/>
    <w:rsid w:val="00813A02"/>
    <w:rsid w:val="00813B8D"/>
    <w:rsid w:val="00813C26"/>
    <w:rsid w:val="00813DC6"/>
    <w:rsid w:val="00813DC9"/>
    <w:rsid w:val="00813F26"/>
    <w:rsid w:val="00813F34"/>
    <w:rsid w:val="0081423C"/>
    <w:rsid w:val="008143A1"/>
    <w:rsid w:val="00814578"/>
    <w:rsid w:val="00814693"/>
    <w:rsid w:val="00814746"/>
    <w:rsid w:val="00814884"/>
    <w:rsid w:val="008148C2"/>
    <w:rsid w:val="00814920"/>
    <w:rsid w:val="00814953"/>
    <w:rsid w:val="00814C4A"/>
    <w:rsid w:val="00814D2B"/>
    <w:rsid w:val="00814D5C"/>
    <w:rsid w:val="00814DD8"/>
    <w:rsid w:val="00814E16"/>
    <w:rsid w:val="00814F2B"/>
    <w:rsid w:val="00814FFC"/>
    <w:rsid w:val="0081500C"/>
    <w:rsid w:val="00815055"/>
    <w:rsid w:val="008151C2"/>
    <w:rsid w:val="008151CC"/>
    <w:rsid w:val="0081521F"/>
    <w:rsid w:val="008153C9"/>
    <w:rsid w:val="00815617"/>
    <w:rsid w:val="00815E12"/>
    <w:rsid w:val="00816008"/>
    <w:rsid w:val="008162AB"/>
    <w:rsid w:val="008164EB"/>
    <w:rsid w:val="0081657F"/>
    <w:rsid w:val="008167A6"/>
    <w:rsid w:val="008167F3"/>
    <w:rsid w:val="008169C0"/>
    <w:rsid w:val="008169E7"/>
    <w:rsid w:val="00816E7C"/>
    <w:rsid w:val="00816E86"/>
    <w:rsid w:val="00817192"/>
    <w:rsid w:val="008173CA"/>
    <w:rsid w:val="0081766B"/>
    <w:rsid w:val="008176FC"/>
    <w:rsid w:val="00817A08"/>
    <w:rsid w:val="00817A68"/>
    <w:rsid w:val="00820071"/>
    <w:rsid w:val="008201FF"/>
    <w:rsid w:val="00820281"/>
    <w:rsid w:val="008203C0"/>
    <w:rsid w:val="008203EF"/>
    <w:rsid w:val="00820757"/>
    <w:rsid w:val="00820BC4"/>
    <w:rsid w:val="00820CB3"/>
    <w:rsid w:val="00820D00"/>
    <w:rsid w:val="0082130E"/>
    <w:rsid w:val="0082132D"/>
    <w:rsid w:val="008215ED"/>
    <w:rsid w:val="00821747"/>
    <w:rsid w:val="00821829"/>
    <w:rsid w:val="00821851"/>
    <w:rsid w:val="008218B6"/>
    <w:rsid w:val="00821C6A"/>
    <w:rsid w:val="00821EDE"/>
    <w:rsid w:val="00821EE3"/>
    <w:rsid w:val="00822048"/>
    <w:rsid w:val="0082235F"/>
    <w:rsid w:val="0082253F"/>
    <w:rsid w:val="008226FC"/>
    <w:rsid w:val="0082274B"/>
    <w:rsid w:val="00822800"/>
    <w:rsid w:val="00822AEA"/>
    <w:rsid w:val="00822B6B"/>
    <w:rsid w:val="00822C58"/>
    <w:rsid w:val="00822CC6"/>
    <w:rsid w:val="00822D96"/>
    <w:rsid w:val="008233E7"/>
    <w:rsid w:val="0082353F"/>
    <w:rsid w:val="00823611"/>
    <w:rsid w:val="00823A0C"/>
    <w:rsid w:val="00823AEB"/>
    <w:rsid w:val="00823B79"/>
    <w:rsid w:val="00823C4B"/>
    <w:rsid w:val="00823E18"/>
    <w:rsid w:val="00823E43"/>
    <w:rsid w:val="00823F22"/>
    <w:rsid w:val="00824174"/>
    <w:rsid w:val="008249A1"/>
    <w:rsid w:val="00824AB7"/>
    <w:rsid w:val="00824E21"/>
    <w:rsid w:val="008251F4"/>
    <w:rsid w:val="00825276"/>
    <w:rsid w:val="008252C7"/>
    <w:rsid w:val="008253AD"/>
    <w:rsid w:val="008253BF"/>
    <w:rsid w:val="008256B0"/>
    <w:rsid w:val="008256FF"/>
    <w:rsid w:val="00825827"/>
    <w:rsid w:val="00825933"/>
    <w:rsid w:val="00825FFF"/>
    <w:rsid w:val="0082604B"/>
    <w:rsid w:val="00826220"/>
    <w:rsid w:val="0082640E"/>
    <w:rsid w:val="008264F4"/>
    <w:rsid w:val="00826747"/>
    <w:rsid w:val="008267DA"/>
    <w:rsid w:val="00826816"/>
    <w:rsid w:val="00826C83"/>
    <w:rsid w:val="00826D47"/>
    <w:rsid w:val="008270B4"/>
    <w:rsid w:val="00827368"/>
    <w:rsid w:val="008273F7"/>
    <w:rsid w:val="008276EB"/>
    <w:rsid w:val="00827964"/>
    <w:rsid w:val="00827A39"/>
    <w:rsid w:val="00827AAC"/>
    <w:rsid w:val="00827BD7"/>
    <w:rsid w:val="00827C83"/>
    <w:rsid w:val="00827D6E"/>
    <w:rsid w:val="00827DC0"/>
    <w:rsid w:val="00827DEF"/>
    <w:rsid w:val="00827F0B"/>
    <w:rsid w:val="00827F65"/>
    <w:rsid w:val="00830040"/>
    <w:rsid w:val="0083010F"/>
    <w:rsid w:val="008302B7"/>
    <w:rsid w:val="00830340"/>
    <w:rsid w:val="008303A5"/>
    <w:rsid w:val="008304E0"/>
    <w:rsid w:val="00830A36"/>
    <w:rsid w:val="00830B2B"/>
    <w:rsid w:val="00830F45"/>
    <w:rsid w:val="0083115E"/>
    <w:rsid w:val="00831160"/>
    <w:rsid w:val="0083117D"/>
    <w:rsid w:val="008311BC"/>
    <w:rsid w:val="00831279"/>
    <w:rsid w:val="0083154C"/>
    <w:rsid w:val="00831864"/>
    <w:rsid w:val="008318FD"/>
    <w:rsid w:val="00831D84"/>
    <w:rsid w:val="00831F0B"/>
    <w:rsid w:val="00831FC2"/>
    <w:rsid w:val="00832350"/>
    <w:rsid w:val="00832550"/>
    <w:rsid w:val="0083256E"/>
    <w:rsid w:val="0083269B"/>
    <w:rsid w:val="008326DC"/>
    <w:rsid w:val="00832835"/>
    <w:rsid w:val="008328F9"/>
    <w:rsid w:val="00832B42"/>
    <w:rsid w:val="00832BB0"/>
    <w:rsid w:val="00832D79"/>
    <w:rsid w:val="00832D83"/>
    <w:rsid w:val="00832F98"/>
    <w:rsid w:val="008330E2"/>
    <w:rsid w:val="008330FE"/>
    <w:rsid w:val="008331C0"/>
    <w:rsid w:val="008333AF"/>
    <w:rsid w:val="00833544"/>
    <w:rsid w:val="00833682"/>
    <w:rsid w:val="008336B5"/>
    <w:rsid w:val="008337D2"/>
    <w:rsid w:val="00833A60"/>
    <w:rsid w:val="00833B23"/>
    <w:rsid w:val="00833D91"/>
    <w:rsid w:val="00833DDB"/>
    <w:rsid w:val="00833E6F"/>
    <w:rsid w:val="00833F32"/>
    <w:rsid w:val="00833F3F"/>
    <w:rsid w:val="00833FA8"/>
    <w:rsid w:val="0083438F"/>
    <w:rsid w:val="008343EB"/>
    <w:rsid w:val="00834608"/>
    <w:rsid w:val="008346F0"/>
    <w:rsid w:val="008349B6"/>
    <w:rsid w:val="00834C54"/>
    <w:rsid w:val="00834ED2"/>
    <w:rsid w:val="0083508E"/>
    <w:rsid w:val="00835708"/>
    <w:rsid w:val="0083582D"/>
    <w:rsid w:val="00835B07"/>
    <w:rsid w:val="00835D78"/>
    <w:rsid w:val="00835E55"/>
    <w:rsid w:val="00835F6A"/>
    <w:rsid w:val="0083608A"/>
    <w:rsid w:val="0083639B"/>
    <w:rsid w:val="00836D98"/>
    <w:rsid w:val="00837145"/>
    <w:rsid w:val="008373FD"/>
    <w:rsid w:val="00837595"/>
    <w:rsid w:val="0083760E"/>
    <w:rsid w:val="0083793B"/>
    <w:rsid w:val="00837AA4"/>
    <w:rsid w:val="00837FBB"/>
    <w:rsid w:val="0084015E"/>
    <w:rsid w:val="008404F3"/>
    <w:rsid w:val="00840763"/>
    <w:rsid w:val="0084089D"/>
    <w:rsid w:val="00840A12"/>
    <w:rsid w:val="00840A83"/>
    <w:rsid w:val="00840CA5"/>
    <w:rsid w:val="0084147D"/>
    <w:rsid w:val="00841533"/>
    <w:rsid w:val="0084193F"/>
    <w:rsid w:val="00841A4D"/>
    <w:rsid w:val="00841A52"/>
    <w:rsid w:val="00841B13"/>
    <w:rsid w:val="00841E92"/>
    <w:rsid w:val="00841F43"/>
    <w:rsid w:val="00842015"/>
    <w:rsid w:val="00842414"/>
    <w:rsid w:val="00842774"/>
    <w:rsid w:val="0084298E"/>
    <w:rsid w:val="00842AB6"/>
    <w:rsid w:val="00842CE6"/>
    <w:rsid w:val="00842E09"/>
    <w:rsid w:val="00842ECC"/>
    <w:rsid w:val="00843016"/>
    <w:rsid w:val="00843347"/>
    <w:rsid w:val="00843577"/>
    <w:rsid w:val="00843CE5"/>
    <w:rsid w:val="00843E6F"/>
    <w:rsid w:val="008441CE"/>
    <w:rsid w:val="008443E7"/>
    <w:rsid w:val="00844529"/>
    <w:rsid w:val="00844562"/>
    <w:rsid w:val="00844890"/>
    <w:rsid w:val="00844892"/>
    <w:rsid w:val="00844A90"/>
    <w:rsid w:val="00844C88"/>
    <w:rsid w:val="00844E4A"/>
    <w:rsid w:val="00844E7A"/>
    <w:rsid w:val="00844F83"/>
    <w:rsid w:val="0084524A"/>
    <w:rsid w:val="0084541E"/>
    <w:rsid w:val="00845487"/>
    <w:rsid w:val="00845499"/>
    <w:rsid w:val="008454CC"/>
    <w:rsid w:val="00845632"/>
    <w:rsid w:val="008456CE"/>
    <w:rsid w:val="0084570F"/>
    <w:rsid w:val="00845881"/>
    <w:rsid w:val="008459D4"/>
    <w:rsid w:val="00845DA1"/>
    <w:rsid w:val="00845EDA"/>
    <w:rsid w:val="008460D6"/>
    <w:rsid w:val="008467BC"/>
    <w:rsid w:val="008469E2"/>
    <w:rsid w:val="00846A58"/>
    <w:rsid w:val="00846C00"/>
    <w:rsid w:val="00846E05"/>
    <w:rsid w:val="00846E4A"/>
    <w:rsid w:val="00846EC3"/>
    <w:rsid w:val="008471D5"/>
    <w:rsid w:val="0084750D"/>
    <w:rsid w:val="00847517"/>
    <w:rsid w:val="00847C2B"/>
    <w:rsid w:val="00847C98"/>
    <w:rsid w:val="00847CD6"/>
    <w:rsid w:val="00847EEE"/>
    <w:rsid w:val="00850128"/>
    <w:rsid w:val="008501FF"/>
    <w:rsid w:val="008503D0"/>
    <w:rsid w:val="00850581"/>
    <w:rsid w:val="008505AD"/>
    <w:rsid w:val="00850832"/>
    <w:rsid w:val="00850A66"/>
    <w:rsid w:val="00850CCC"/>
    <w:rsid w:val="00851046"/>
    <w:rsid w:val="00851100"/>
    <w:rsid w:val="00851111"/>
    <w:rsid w:val="008511A9"/>
    <w:rsid w:val="00851201"/>
    <w:rsid w:val="0085127C"/>
    <w:rsid w:val="008512B5"/>
    <w:rsid w:val="0085159D"/>
    <w:rsid w:val="00851654"/>
    <w:rsid w:val="008517B7"/>
    <w:rsid w:val="00851AF5"/>
    <w:rsid w:val="00851B3A"/>
    <w:rsid w:val="00851DAA"/>
    <w:rsid w:val="00851E3A"/>
    <w:rsid w:val="00851EA9"/>
    <w:rsid w:val="00851FB5"/>
    <w:rsid w:val="00852096"/>
    <w:rsid w:val="008521D6"/>
    <w:rsid w:val="008521DB"/>
    <w:rsid w:val="008522D5"/>
    <w:rsid w:val="008523B5"/>
    <w:rsid w:val="00852677"/>
    <w:rsid w:val="008526B8"/>
    <w:rsid w:val="00852712"/>
    <w:rsid w:val="00852766"/>
    <w:rsid w:val="0085276B"/>
    <w:rsid w:val="008527D1"/>
    <w:rsid w:val="00852984"/>
    <w:rsid w:val="00852A3B"/>
    <w:rsid w:val="00852A40"/>
    <w:rsid w:val="00852B97"/>
    <w:rsid w:val="00852DB9"/>
    <w:rsid w:val="00852EC6"/>
    <w:rsid w:val="008533BB"/>
    <w:rsid w:val="008533EE"/>
    <w:rsid w:val="00853853"/>
    <w:rsid w:val="00853921"/>
    <w:rsid w:val="00853957"/>
    <w:rsid w:val="00853B1F"/>
    <w:rsid w:val="00853B4B"/>
    <w:rsid w:val="00853C74"/>
    <w:rsid w:val="00853D89"/>
    <w:rsid w:val="00853E48"/>
    <w:rsid w:val="00853ED1"/>
    <w:rsid w:val="0085404C"/>
    <w:rsid w:val="0085420D"/>
    <w:rsid w:val="00854332"/>
    <w:rsid w:val="00854394"/>
    <w:rsid w:val="008543AB"/>
    <w:rsid w:val="00854670"/>
    <w:rsid w:val="00854724"/>
    <w:rsid w:val="00854CBF"/>
    <w:rsid w:val="00854DAA"/>
    <w:rsid w:val="008550C6"/>
    <w:rsid w:val="008550CB"/>
    <w:rsid w:val="00855513"/>
    <w:rsid w:val="00855761"/>
    <w:rsid w:val="0085591E"/>
    <w:rsid w:val="00855B60"/>
    <w:rsid w:val="00855BEE"/>
    <w:rsid w:val="00855E0B"/>
    <w:rsid w:val="008560B9"/>
    <w:rsid w:val="008561B8"/>
    <w:rsid w:val="008561E8"/>
    <w:rsid w:val="0085625A"/>
    <w:rsid w:val="00856A20"/>
    <w:rsid w:val="00856D81"/>
    <w:rsid w:val="008570DB"/>
    <w:rsid w:val="0085710F"/>
    <w:rsid w:val="0085718B"/>
    <w:rsid w:val="0085775B"/>
    <w:rsid w:val="0085776F"/>
    <w:rsid w:val="00857897"/>
    <w:rsid w:val="00857A69"/>
    <w:rsid w:val="00857B40"/>
    <w:rsid w:val="00857F36"/>
    <w:rsid w:val="0086027B"/>
    <w:rsid w:val="0086028E"/>
    <w:rsid w:val="0086032B"/>
    <w:rsid w:val="008603CB"/>
    <w:rsid w:val="0086044F"/>
    <w:rsid w:val="00860589"/>
    <w:rsid w:val="0086078A"/>
    <w:rsid w:val="00860793"/>
    <w:rsid w:val="008608A3"/>
    <w:rsid w:val="0086092E"/>
    <w:rsid w:val="008609F5"/>
    <w:rsid w:val="00860A8F"/>
    <w:rsid w:val="00860B4C"/>
    <w:rsid w:val="00860D6C"/>
    <w:rsid w:val="00860DA7"/>
    <w:rsid w:val="00860F5F"/>
    <w:rsid w:val="00861062"/>
    <w:rsid w:val="008612B7"/>
    <w:rsid w:val="0086169D"/>
    <w:rsid w:val="00861949"/>
    <w:rsid w:val="008619E9"/>
    <w:rsid w:val="00861B3D"/>
    <w:rsid w:val="00861B8D"/>
    <w:rsid w:val="00861D42"/>
    <w:rsid w:val="00861F48"/>
    <w:rsid w:val="00862196"/>
    <w:rsid w:val="008622FB"/>
    <w:rsid w:val="0086242C"/>
    <w:rsid w:val="0086256A"/>
    <w:rsid w:val="008626B9"/>
    <w:rsid w:val="00862721"/>
    <w:rsid w:val="00862724"/>
    <w:rsid w:val="00862BB2"/>
    <w:rsid w:val="008632E1"/>
    <w:rsid w:val="00863389"/>
    <w:rsid w:val="0086362C"/>
    <w:rsid w:val="00863847"/>
    <w:rsid w:val="0086396F"/>
    <w:rsid w:val="00863A17"/>
    <w:rsid w:val="0086447F"/>
    <w:rsid w:val="008646FE"/>
    <w:rsid w:val="00864737"/>
    <w:rsid w:val="008647DE"/>
    <w:rsid w:val="00864953"/>
    <w:rsid w:val="00864A4E"/>
    <w:rsid w:val="00864A8A"/>
    <w:rsid w:val="00864B95"/>
    <w:rsid w:val="00864C3F"/>
    <w:rsid w:val="00864DEB"/>
    <w:rsid w:val="00864E48"/>
    <w:rsid w:val="008653CE"/>
    <w:rsid w:val="0086549E"/>
    <w:rsid w:val="00865508"/>
    <w:rsid w:val="008656A2"/>
    <w:rsid w:val="00865737"/>
    <w:rsid w:val="00865846"/>
    <w:rsid w:val="00865931"/>
    <w:rsid w:val="00865D1C"/>
    <w:rsid w:val="00865E72"/>
    <w:rsid w:val="00865F33"/>
    <w:rsid w:val="00866142"/>
    <w:rsid w:val="00866277"/>
    <w:rsid w:val="0086631B"/>
    <w:rsid w:val="00866459"/>
    <w:rsid w:val="0086655E"/>
    <w:rsid w:val="0086663F"/>
    <w:rsid w:val="00866683"/>
    <w:rsid w:val="00866788"/>
    <w:rsid w:val="008667B8"/>
    <w:rsid w:val="00866864"/>
    <w:rsid w:val="008668F6"/>
    <w:rsid w:val="00866A85"/>
    <w:rsid w:val="00866CC0"/>
    <w:rsid w:val="00866D8C"/>
    <w:rsid w:val="00866EFA"/>
    <w:rsid w:val="00867003"/>
    <w:rsid w:val="008671FC"/>
    <w:rsid w:val="00867488"/>
    <w:rsid w:val="008675B1"/>
    <w:rsid w:val="0086774E"/>
    <w:rsid w:val="00867B06"/>
    <w:rsid w:val="00867BCA"/>
    <w:rsid w:val="00867DA2"/>
    <w:rsid w:val="00870122"/>
    <w:rsid w:val="00870224"/>
    <w:rsid w:val="008705D6"/>
    <w:rsid w:val="00870715"/>
    <w:rsid w:val="00870A9A"/>
    <w:rsid w:val="00870AF6"/>
    <w:rsid w:val="00870BFB"/>
    <w:rsid w:val="00870C2B"/>
    <w:rsid w:val="00870CDD"/>
    <w:rsid w:val="00870E05"/>
    <w:rsid w:val="008712E0"/>
    <w:rsid w:val="008713BA"/>
    <w:rsid w:val="0087161F"/>
    <w:rsid w:val="00871A8F"/>
    <w:rsid w:val="00871AF6"/>
    <w:rsid w:val="00871B8B"/>
    <w:rsid w:val="00871C23"/>
    <w:rsid w:val="00871C8A"/>
    <w:rsid w:val="00871C95"/>
    <w:rsid w:val="00871DDA"/>
    <w:rsid w:val="00871F13"/>
    <w:rsid w:val="00872175"/>
    <w:rsid w:val="00872295"/>
    <w:rsid w:val="008723B7"/>
    <w:rsid w:val="00872411"/>
    <w:rsid w:val="00872449"/>
    <w:rsid w:val="008724D1"/>
    <w:rsid w:val="00872735"/>
    <w:rsid w:val="008727F1"/>
    <w:rsid w:val="0087295E"/>
    <w:rsid w:val="00872D25"/>
    <w:rsid w:val="008730A0"/>
    <w:rsid w:val="008731B8"/>
    <w:rsid w:val="0087324C"/>
    <w:rsid w:val="00873269"/>
    <w:rsid w:val="008735C6"/>
    <w:rsid w:val="00873620"/>
    <w:rsid w:val="00873A6D"/>
    <w:rsid w:val="00873BDE"/>
    <w:rsid w:val="00873C67"/>
    <w:rsid w:val="00873C84"/>
    <w:rsid w:val="00873EFF"/>
    <w:rsid w:val="00874159"/>
    <w:rsid w:val="0087434B"/>
    <w:rsid w:val="008743F0"/>
    <w:rsid w:val="00874545"/>
    <w:rsid w:val="008745A5"/>
    <w:rsid w:val="00874736"/>
    <w:rsid w:val="008747A6"/>
    <w:rsid w:val="0087490B"/>
    <w:rsid w:val="00874ABD"/>
    <w:rsid w:val="00874B8E"/>
    <w:rsid w:val="00874C0B"/>
    <w:rsid w:val="00874DB0"/>
    <w:rsid w:val="00874E64"/>
    <w:rsid w:val="00875037"/>
    <w:rsid w:val="00875A5A"/>
    <w:rsid w:val="00875A72"/>
    <w:rsid w:val="00875DD2"/>
    <w:rsid w:val="00875F57"/>
    <w:rsid w:val="008760EF"/>
    <w:rsid w:val="00876363"/>
    <w:rsid w:val="00876567"/>
    <w:rsid w:val="0087671F"/>
    <w:rsid w:val="008767E6"/>
    <w:rsid w:val="0087693A"/>
    <w:rsid w:val="00876B8D"/>
    <w:rsid w:val="00876F19"/>
    <w:rsid w:val="00877051"/>
    <w:rsid w:val="008771EA"/>
    <w:rsid w:val="00877277"/>
    <w:rsid w:val="008773A1"/>
    <w:rsid w:val="00877727"/>
    <w:rsid w:val="00877A14"/>
    <w:rsid w:val="00877A66"/>
    <w:rsid w:val="00877A6A"/>
    <w:rsid w:val="00877B1A"/>
    <w:rsid w:val="00877E7E"/>
    <w:rsid w:val="00877E9C"/>
    <w:rsid w:val="00880017"/>
    <w:rsid w:val="008800D3"/>
    <w:rsid w:val="00880159"/>
    <w:rsid w:val="00880449"/>
    <w:rsid w:val="008805E6"/>
    <w:rsid w:val="00880642"/>
    <w:rsid w:val="008806AF"/>
    <w:rsid w:val="00880B27"/>
    <w:rsid w:val="00880C56"/>
    <w:rsid w:val="00880C84"/>
    <w:rsid w:val="00880CC3"/>
    <w:rsid w:val="00880D8E"/>
    <w:rsid w:val="00880E6D"/>
    <w:rsid w:val="00880F1A"/>
    <w:rsid w:val="00881151"/>
    <w:rsid w:val="008812AB"/>
    <w:rsid w:val="008812F8"/>
    <w:rsid w:val="0088141F"/>
    <w:rsid w:val="008816A8"/>
    <w:rsid w:val="00881775"/>
    <w:rsid w:val="00881ADB"/>
    <w:rsid w:val="00881B11"/>
    <w:rsid w:val="00881B16"/>
    <w:rsid w:val="00881C85"/>
    <w:rsid w:val="00881DB5"/>
    <w:rsid w:val="00881EE6"/>
    <w:rsid w:val="00882066"/>
    <w:rsid w:val="00882181"/>
    <w:rsid w:val="00882308"/>
    <w:rsid w:val="0088236F"/>
    <w:rsid w:val="0088237C"/>
    <w:rsid w:val="00882748"/>
    <w:rsid w:val="00882974"/>
    <w:rsid w:val="00882D12"/>
    <w:rsid w:val="00882D58"/>
    <w:rsid w:val="00882F76"/>
    <w:rsid w:val="008831D1"/>
    <w:rsid w:val="008832F5"/>
    <w:rsid w:val="00883492"/>
    <w:rsid w:val="008835AB"/>
    <w:rsid w:val="00883A62"/>
    <w:rsid w:val="00883B56"/>
    <w:rsid w:val="00883B6D"/>
    <w:rsid w:val="00883CA4"/>
    <w:rsid w:val="00883E2B"/>
    <w:rsid w:val="00883EC1"/>
    <w:rsid w:val="008840F0"/>
    <w:rsid w:val="008841C5"/>
    <w:rsid w:val="00884266"/>
    <w:rsid w:val="00884395"/>
    <w:rsid w:val="008843E5"/>
    <w:rsid w:val="00884644"/>
    <w:rsid w:val="00884A3C"/>
    <w:rsid w:val="00884A63"/>
    <w:rsid w:val="00884EA2"/>
    <w:rsid w:val="00885218"/>
    <w:rsid w:val="00885306"/>
    <w:rsid w:val="008853B4"/>
    <w:rsid w:val="008853C7"/>
    <w:rsid w:val="008854EC"/>
    <w:rsid w:val="00885825"/>
    <w:rsid w:val="00885B9B"/>
    <w:rsid w:val="00885D5E"/>
    <w:rsid w:val="00886030"/>
    <w:rsid w:val="008860CC"/>
    <w:rsid w:val="00886501"/>
    <w:rsid w:val="00886531"/>
    <w:rsid w:val="00886CDD"/>
    <w:rsid w:val="00886E23"/>
    <w:rsid w:val="00886F36"/>
    <w:rsid w:val="00886F38"/>
    <w:rsid w:val="00886FF6"/>
    <w:rsid w:val="00887380"/>
    <w:rsid w:val="00887387"/>
    <w:rsid w:val="00887462"/>
    <w:rsid w:val="008879A9"/>
    <w:rsid w:val="00887A37"/>
    <w:rsid w:val="00887E1E"/>
    <w:rsid w:val="00890079"/>
    <w:rsid w:val="00890654"/>
    <w:rsid w:val="00890760"/>
    <w:rsid w:val="00890A25"/>
    <w:rsid w:val="00890C93"/>
    <w:rsid w:val="00891409"/>
    <w:rsid w:val="0089148E"/>
    <w:rsid w:val="008914FB"/>
    <w:rsid w:val="008915B6"/>
    <w:rsid w:val="0089177C"/>
    <w:rsid w:val="00891D47"/>
    <w:rsid w:val="00891DD9"/>
    <w:rsid w:val="0089214D"/>
    <w:rsid w:val="008922AD"/>
    <w:rsid w:val="00892778"/>
    <w:rsid w:val="008928D3"/>
    <w:rsid w:val="00892B2A"/>
    <w:rsid w:val="00892B2D"/>
    <w:rsid w:val="0089384D"/>
    <w:rsid w:val="0089394F"/>
    <w:rsid w:val="00893950"/>
    <w:rsid w:val="00893C0D"/>
    <w:rsid w:val="00893CD2"/>
    <w:rsid w:val="00893D72"/>
    <w:rsid w:val="00893F30"/>
    <w:rsid w:val="00894081"/>
    <w:rsid w:val="00894125"/>
    <w:rsid w:val="00894143"/>
    <w:rsid w:val="0089435A"/>
    <w:rsid w:val="00894781"/>
    <w:rsid w:val="0089485F"/>
    <w:rsid w:val="00894A50"/>
    <w:rsid w:val="00894AA7"/>
    <w:rsid w:val="00894E3A"/>
    <w:rsid w:val="008950EF"/>
    <w:rsid w:val="00895487"/>
    <w:rsid w:val="008954F9"/>
    <w:rsid w:val="00895653"/>
    <w:rsid w:val="0089577C"/>
    <w:rsid w:val="008957DD"/>
    <w:rsid w:val="00895B31"/>
    <w:rsid w:val="00895E30"/>
    <w:rsid w:val="00896168"/>
    <w:rsid w:val="00896449"/>
    <w:rsid w:val="00896790"/>
    <w:rsid w:val="00896EAA"/>
    <w:rsid w:val="00896F97"/>
    <w:rsid w:val="00897194"/>
    <w:rsid w:val="0089724F"/>
    <w:rsid w:val="00897475"/>
    <w:rsid w:val="0089754C"/>
    <w:rsid w:val="00897B2E"/>
    <w:rsid w:val="00897B5E"/>
    <w:rsid w:val="00897BC6"/>
    <w:rsid w:val="00897D8B"/>
    <w:rsid w:val="00897DC3"/>
    <w:rsid w:val="008A002A"/>
    <w:rsid w:val="008A00BE"/>
    <w:rsid w:val="008A014D"/>
    <w:rsid w:val="008A02EC"/>
    <w:rsid w:val="008A0393"/>
    <w:rsid w:val="008A05AC"/>
    <w:rsid w:val="008A0800"/>
    <w:rsid w:val="008A0D37"/>
    <w:rsid w:val="008A0E11"/>
    <w:rsid w:val="008A10E5"/>
    <w:rsid w:val="008A12ED"/>
    <w:rsid w:val="008A1836"/>
    <w:rsid w:val="008A1B0F"/>
    <w:rsid w:val="008A20DA"/>
    <w:rsid w:val="008A21C0"/>
    <w:rsid w:val="008A22FC"/>
    <w:rsid w:val="008A27EA"/>
    <w:rsid w:val="008A287D"/>
    <w:rsid w:val="008A28B1"/>
    <w:rsid w:val="008A298B"/>
    <w:rsid w:val="008A2D0B"/>
    <w:rsid w:val="008A2D18"/>
    <w:rsid w:val="008A304A"/>
    <w:rsid w:val="008A3067"/>
    <w:rsid w:val="008A3068"/>
    <w:rsid w:val="008A3163"/>
    <w:rsid w:val="008A3370"/>
    <w:rsid w:val="008A36C1"/>
    <w:rsid w:val="008A3B57"/>
    <w:rsid w:val="008A3CC4"/>
    <w:rsid w:val="008A3D8F"/>
    <w:rsid w:val="008A3F89"/>
    <w:rsid w:val="008A4019"/>
    <w:rsid w:val="008A40FE"/>
    <w:rsid w:val="008A42BA"/>
    <w:rsid w:val="008A436D"/>
    <w:rsid w:val="008A4424"/>
    <w:rsid w:val="008A4622"/>
    <w:rsid w:val="008A4A97"/>
    <w:rsid w:val="008A4D27"/>
    <w:rsid w:val="008A534C"/>
    <w:rsid w:val="008A5616"/>
    <w:rsid w:val="008A581A"/>
    <w:rsid w:val="008A5FB5"/>
    <w:rsid w:val="008A6027"/>
    <w:rsid w:val="008A612D"/>
    <w:rsid w:val="008A6395"/>
    <w:rsid w:val="008A6B0E"/>
    <w:rsid w:val="008A6B2C"/>
    <w:rsid w:val="008A6B43"/>
    <w:rsid w:val="008A6D58"/>
    <w:rsid w:val="008A6E00"/>
    <w:rsid w:val="008A6EC3"/>
    <w:rsid w:val="008A71FC"/>
    <w:rsid w:val="008A7878"/>
    <w:rsid w:val="008A7C16"/>
    <w:rsid w:val="008A7CA8"/>
    <w:rsid w:val="008A7FE2"/>
    <w:rsid w:val="008B0164"/>
    <w:rsid w:val="008B0254"/>
    <w:rsid w:val="008B044E"/>
    <w:rsid w:val="008B0526"/>
    <w:rsid w:val="008B05AC"/>
    <w:rsid w:val="008B062C"/>
    <w:rsid w:val="008B07BC"/>
    <w:rsid w:val="008B08AF"/>
    <w:rsid w:val="008B0F41"/>
    <w:rsid w:val="008B0FAC"/>
    <w:rsid w:val="008B10A9"/>
    <w:rsid w:val="008B10CC"/>
    <w:rsid w:val="008B1415"/>
    <w:rsid w:val="008B1614"/>
    <w:rsid w:val="008B188E"/>
    <w:rsid w:val="008B1ABF"/>
    <w:rsid w:val="008B1F63"/>
    <w:rsid w:val="008B20E3"/>
    <w:rsid w:val="008B22DC"/>
    <w:rsid w:val="008B22E8"/>
    <w:rsid w:val="008B240D"/>
    <w:rsid w:val="008B259C"/>
    <w:rsid w:val="008B261F"/>
    <w:rsid w:val="008B2636"/>
    <w:rsid w:val="008B2B14"/>
    <w:rsid w:val="008B2BEE"/>
    <w:rsid w:val="008B35B3"/>
    <w:rsid w:val="008B3612"/>
    <w:rsid w:val="008B36DC"/>
    <w:rsid w:val="008B3745"/>
    <w:rsid w:val="008B3750"/>
    <w:rsid w:val="008B3767"/>
    <w:rsid w:val="008B38FF"/>
    <w:rsid w:val="008B3AE5"/>
    <w:rsid w:val="008B3BCD"/>
    <w:rsid w:val="008B3C5E"/>
    <w:rsid w:val="008B3D5D"/>
    <w:rsid w:val="008B3D60"/>
    <w:rsid w:val="008B4026"/>
    <w:rsid w:val="008B406E"/>
    <w:rsid w:val="008B4093"/>
    <w:rsid w:val="008B40F2"/>
    <w:rsid w:val="008B4389"/>
    <w:rsid w:val="008B44E4"/>
    <w:rsid w:val="008B4573"/>
    <w:rsid w:val="008B47C0"/>
    <w:rsid w:val="008B49A3"/>
    <w:rsid w:val="008B4D41"/>
    <w:rsid w:val="008B4E5F"/>
    <w:rsid w:val="008B56A3"/>
    <w:rsid w:val="008B56C2"/>
    <w:rsid w:val="008B5C8F"/>
    <w:rsid w:val="008B5DD6"/>
    <w:rsid w:val="008B5F16"/>
    <w:rsid w:val="008B6582"/>
    <w:rsid w:val="008B658E"/>
    <w:rsid w:val="008B6AF5"/>
    <w:rsid w:val="008B6B1E"/>
    <w:rsid w:val="008B6F7C"/>
    <w:rsid w:val="008B7183"/>
    <w:rsid w:val="008B722F"/>
    <w:rsid w:val="008B7451"/>
    <w:rsid w:val="008B7695"/>
    <w:rsid w:val="008B7722"/>
    <w:rsid w:val="008B77CE"/>
    <w:rsid w:val="008B7868"/>
    <w:rsid w:val="008B786F"/>
    <w:rsid w:val="008B792C"/>
    <w:rsid w:val="008B7CA2"/>
    <w:rsid w:val="008B7EAB"/>
    <w:rsid w:val="008B7F9A"/>
    <w:rsid w:val="008C02BE"/>
    <w:rsid w:val="008C02E7"/>
    <w:rsid w:val="008C031A"/>
    <w:rsid w:val="008C0475"/>
    <w:rsid w:val="008C066D"/>
    <w:rsid w:val="008C07DA"/>
    <w:rsid w:val="008C0921"/>
    <w:rsid w:val="008C0AFA"/>
    <w:rsid w:val="008C0DAB"/>
    <w:rsid w:val="008C0E5C"/>
    <w:rsid w:val="008C0FD6"/>
    <w:rsid w:val="008C12CF"/>
    <w:rsid w:val="008C138D"/>
    <w:rsid w:val="008C1498"/>
    <w:rsid w:val="008C15E7"/>
    <w:rsid w:val="008C184B"/>
    <w:rsid w:val="008C18BC"/>
    <w:rsid w:val="008C1ADE"/>
    <w:rsid w:val="008C1B45"/>
    <w:rsid w:val="008C1CCA"/>
    <w:rsid w:val="008C1E2C"/>
    <w:rsid w:val="008C2510"/>
    <w:rsid w:val="008C26EC"/>
    <w:rsid w:val="008C26ED"/>
    <w:rsid w:val="008C28D0"/>
    <w:rsid w:val="008C2981"/>
    <w:rsid w:val="008C29FE"/>
    <w:rsid w:val="008C2BB5"/>
    <w:rsid w:val="008C2E55"/>
    <w:rsid w:val="008C3134"/>
    <w:rsid w:val="008C343F"/>
    <w:rsid w:val="008C34E7"/>
    <w:rsid w:val="008C36BD"/>
    <w:rsid w:val="008C3920"/>
    <w:rsid w:val="008C39E1"/>
    <w:rsid w:val="008C3A8C"/>
    <w:rsid w:val="008C3B3A"/>
    <w:rsid w:val="008C3C50"/>
    <w:rsid w:val="008C3C63"/>
    <w:rsid w:val="008C3D2F"/>
    <w:rsid w:val="008C4206"/>
    <w:rsid w:val="008C43E2"/>
    <w:rsid w:val="008C4581"/>
    <w:rsid w:val="008C472B"/>
    <w:rsid w:val="008C489E"/>
    <w:rsid w:val="008C4AB3"/>
    <w:rsid w:val="008C4B77"/>
    <w:rsid w:val="008C4C65"/>
    <w:rsid w:val="008C4EF6"/>
    <w:rsid w:val="008C4FA9"/>
    <w:rsid w:val="008C504D"/>
    <w:rsid w:val="008C56E7"/>
    <w:rsid w:val="008C58E7"/>
    <w:rsid w:val="008C59DF"/>
    <w:rsid w:val="008C5D76"/>
    <w:rsid w:val="008C5EC0"/>
    <w:rsid w:val="008C5EE3"/>
    <w:rsid w:val="008C6337"/>
    <w:rsid w:val="008C636A"/>
    <w:rsid w:val="008C67E6"/>
    <w:rsid w:val="008C6829"/>
    <w:rsid w:val="008C6876"/>
    <w:rsid w:val="008C69DB"/>
    <w:rsid w:val="008C6B32"/>
    <w:rsid w:val="008C6E40"/>
    <w:rsid w:val="008C6F52"/>
    <w:rsid w:val="008C6F97"/>
    <w:rsid w:val="008C6FBE"/>
    <w:rsid w:val="008C6FDE"/>
    <w:rsid w:val="008C6FFE"/>
    <w:rsid w:val="008C70F4"/>
    <w:rsid w:val="008C7138"/>
    <w:rsid w:val="008C73B9"/>
    <w:rsid w:val="008C7584"/>
    <w:rsid w:val="008C7941"/>
    <w:rsid w:val="008C79A1"/>
    <w:rsid w:val="008C7C57"/>
    <w:rsid w:val="008C7D14"/>
    <w:rsid w:val="008C7F74"/>
    <w:rsid w:val="008D002C"/>
    <w:rsid w:val="008D011F"/>
    <w:rsid w:val="008D018E"/>
    <w:rsid w:val="008D01C9"/>
    <w:rsid w:val="008D01F7"/>
    <w:rsid w:val="008D0369"/>
    <w:rsid w:val="008D0444"/>
    <w:rsid w:val="008D0519"/>
    <w:rsid w:val="008D0581"/>
    <w:rsid w:val="008D06C2"/>
    <w:rsid w:val="008D0902"/>
    <w:rsid w:val="008D0A31"/>
    <w:rsid w:val="008D0B16"/>
    <w:rsid w:val="008D0B43"/>
    <w:rsid w:val="008D0ED4"/>
    <w:rsid w:val="008D100D"/>
    <w:rsid w:val="008D1497"/>
    <w:rsid w:val="008D1527"/>
    <w:rsid w:val="008D15FB"/>
    <w:rsid w:val="008D1C1A"/>
    <w:rsid w:val="008D1FB9"/>
    <w:rsid w:val="008D2099"/>
    <w:rsid w:val="008D2174"/>
    <w:rsid w:val="008D248E"/>
    <w:rsid w:val="008D24EA"/>
    <w:rsid w:val="008D24F1"/>
    <w:rsid w:val="008D264B"/>
    <w:rsid w:val="008D283F"/>
    <w:rsid w:val="008D2B67"/>
    <w:rsid w:val="008D32FC"/>
    <w:rsid w:val="008D335A"/>
    <w:rsid w:val="008D348B"/>
    <w:rsid w:val="008D357C"/>
    <w:rsid w:val="008D3C94"/>
    <w:rsid w:val="008D3E3A"/>
    <w:rsid w:val="008D3F0D"/>
    <w:rsid w:val="008D3F6A"/>
    <w:rsid w:val="008D4269"/>
    <w:rsid w:val="008D4398"/>
    <w:rsid w:val="008D4629"/>
    <w:rsid w:val="008D4658"/>
    <w:rsid w:val="008D46EE"/>
    <w:rsid w:val="008D4711"/>
    <w:rsid w:val="008D4837"/>
    <w:rsid w:val="008D4A17"/>
    <w:rsid w:val="008D4BDF"/>
    <w:rsid w:val="008D4E5B"/>
    <w:rsid w:val="008D5391"/>
    <w:rsid w:val="008D55D1"/>
    <w:rsid w:val="008D5705"/>
    <w:rsid w:val="008D5986"/>
    <w:rsid w:val="008D5AA6"/>
    <w:rsid w:val="008D6146"/>
    <w:rsid w:val="008D615B"/>
    <w:rsid w:val="008D635F"/>
    <w:rsid w:val="008D6600"/>
    <w:rsid w:val="008D6782"/>
    <w:rsid w:val="008D6A98"/>
    <w:rsid w:val="008D6C04"/>
    <w:rsid w:val="008D6D34"/>
    <w:rsid w:val="008D7133"/>
    <w:rsid w:val="008D7864"/>
    <w:rsid w:val="008D7CD8"/>
    <w:rsid w:val="008D7E57"/>
    <w:rsid w:val="008D7EE9"/>
    <w:rsid w:val="008E006C"/>
    <w:rsid w:val="008E027A"/>
    <w:rsid w:val="008E0337"/>
    <w:rsid w:val="008E0629"/>
    <w:rsid w:val="008E063C"/>
    <w:rsid w:val="008E069D"/>
    <w:rsid w:val="008E07EB"/>
    <w:rsid w:val="008E095B"/>
    <w:rsid w:val="008E097D"/>
    <w:rsid w:val="008E0F29"/>
    <w:rsid w:val="008E13C9"/>
    <w:rsid w:val="008E14F9"/>
    <w:rsid w:val="008E1619"/>
    <w:rsid w:val="008E16A3"/>
    <w:rsid w:val="008E174F"/>
    <w:rsid w:val="008E179C"/>
    <w:rsid w:val="008E1AAD"/>
    <w:rsid w:val="008E1B8E"/>
    <w:rsid w:val="008E1BF5"/>
    <w:rsid w:val="008E1D53"/>
    <w:rsid w:val="008E1FC2"/>
    <w:rsid w:val="008E2136"/>
    <w:rsid w:val="008E21BD"/>
    <w:rsid w:val="008E230B"/>
    <w:rsid w:val="008E24A1"/>
    <w:rsid w:val="008E24E6"/>
    <w:rsid w:val="008E2678"/>
    <w:rsid w:val="008E27A2"/>
    <w:rsid w:val="008E2BE4"/>
    <w:rsid w:val="008E2CBC"/>
    <w:rsid w:val="008E2D39"/>
    <w:rsid w:val="008E2D87"/>
    <w:rsid w:val="008E3191"/>
    <w:rsid w:val="008E3357"/>
    <w:rsid w:val="008E345C"/>
    <w:rsid w:val="008E3522"/>
    <w:rsid w:val="008E3A3F"/>
    <w:rsid w:val="008E3B97"/>
    <w:rsid w:val="008E3DD7"/>
    <w:rsid w:val="008E3E07"/>
    <w:rsid w:val="008E3ED5"/>
    <w:rsid w:val="008E3F66"/>
    <w:rsid w:val="008E41A0"/>
    <w:rsid w:val="008E41BE"/>
    <w:rsid w:val="008E4254"/>
    <w:rsid w:val="008E43B9"/>
    <w:rsid w:val="008E456A"/>
    <w:rsid w:val="008E464A"/>
    <w:rsid w:val="008E4732"/>
    <w:rsid w:val="008E4875"/>
    <w:rsid w:val="008E49F3"/>
    <w:rsid w:val="008E4A5B"/>
    <w:rsid w:val="008E4DB3"/>
    <w:rsid w:val="008E4FAE"/>
    <w:rsid w:val="008E5047"/>
    <w:rsid w:val="008E5175"/>
    <w:rsid w:val="008E538E"/>
    <w:rsid w:val="008E53A2"/>
    <w:rsid w:val="008E564D"/>
    <w:rsid w:val="008E5786"/>
    <w:rsid w:val="008E58F0"/>
    <w:rsid w:val="008E5912"/>
    <w:rsid w:val="008E595F"/>
    <w:rsid w:val="008E5B20"/>
    <w:rsid w:val="008E62D2"/>
    <w:rsid w:val="008E66B3"/>
    <w:rsid w:val="008E68E5"/>
    <w:rsid w:val="008E6953"/>
    <w:rsid w:val="008E698C"/>
    <w:rsid w:val="008E69A2"/>
    <w:rsid w:val="008E6B4E"/>
    <w:rsid w:val="008E6B79"/>
    <w:rsid w:val="008E6CE6"/>
    <w:rsid w:val="008E6DC0"/>
    <w:rsid w:val="008E6F90"/>
    <w:rsid w:val="008E7144"/>
    <w:rsid w:val="008E72EE"/>
    <w:rsid w:val="008E731B"/>
    <w:rsid w:val="008E7369"/>
    <w:rsid w:val="008E7455"/>
    <w:rsid w:val="008E76CD"/>
    <w:rsid w:val="008E7970"/>
    <w:rsid w:val="008E7B02"/>
    <w:rsid w:val="008E7B40"/>
    <w:rsid w:val="008E7C34"/>
    <w:rsid w:val="008E7E82"/>
    <w:rsid w:val="008E7F4A"/>
    <w:rsid w:val="008F0155"/>
    <w:rsid w:val="008F03A7"/>
    <w:rsid w:val="008F03D8"/>
    <w:rsid w:val="008F0487"/>
    <w:rsid w:val="008F0B57"/>
    <w:rsid w:val="008F0C36"/>
    <w:rsid w:val="008F0C63"/>
    <w:rsid w:val="008F0EB2"/>
    <w:rsid w:val="008F1016"/>
    <w:rsid w:val="008F107F"/>
    <w:rsid w:val="008F10B3"/>
    <w:rsid w:val="008F10D9"/>
    <w:rsid w:val="008F10DD"/>
    <w:rsid w:val="008F10F1"/>
    <w:rsid w:val="008F12B8"/>
    <w:rsid w:val="008F1630"/>
    <w:rsid w:val="008F16EB"/>
    <w:rsid w:val="008F1959"/>
    <w:rsid w:val="008F19AE"/>
    <w:rsid w:val="008F1BDA"/>
    <w:rsid w:val="008F1C38"/>
    <w:rsid w:val="008F1CCC"/>
    <w:rsid w:val="008F1E3C"/>
    <w:rsid w:val="008F20F7"/>
    <w:rsid w:val="008F2164"/>
    <w:rsid w:val="008F21B8"/>
    <w:rsid w:val="008F2348"/>
    <w:rsid w:val="008F2451"/>
    <w:rsid w:val="008F258F"/>
    <w:rsid w:val="008F2847"/>
    <w:rsid w:val="008F2B4C"/>
    <w:rsid w:val="008F2E7C"/>
    <w:rsid w:val="008F2F7D"/>
    <w:rsid w:val="008F316C"/>
    <w:rsid w:val="008F328D"/>
    <w:rsid w:val="008F32C6"/>
    <w:rsid w:val="008F344B"/>
    <w:rsid w:val="008F344E"/>
    <w:rsid w:val="008F3690"/>
    <w:rsid w:val="008F36E2"/>
    <w:rsid w:val="008F377B"/>
    <w:rsid w:val="008F39B9"/>
    <w:rsid w:val="008F3C4B"/>
    <w:rsid w:val="008F3D94"/>
    <w:rsid w:val="008F4033"/>
    <w:rsid w:val="008F42B0"/>
    <w:rsid w:val="008F43F5"/>
    <w:rsid w:val="008F4453"/>
    <w:rsid w:val="008F4823"/>
    <w:rsid w:val="008F4835"/>
    <w:rsid w:val="008F48F6"/>
    <w:rsid w:val="008F4E23"/>
    <w:rsid w:val="008F4FC9"/>
    <w:rsid w:val="008F50A6"/>
    <w:rsid w:val="008F51DA"/>
    <w:rsid w:val="008F5463"/>
    <w:rsid w:val="008F56DE"/>
    <w:rsid w:val="008F5D89"/>
    <w:rsid w:val="008F5E4C"/>
    <w:rsid w:val="008F60D4"/>
    <w:rsid w:val="008F61A0"/>
    <w:rsid w:val="008F621C"/>
    <w:rsid w:val="008F6485"/>
    <w:rsid w:val="008F67CC"/>
    <w:rsid w:val="008F6AD6"/>
    <w:rsid w:val="008F6C55"/>
    <w:rsid w:val="008F759C"/>
    <w:rsid w:val="008F771D"/>
    <w:rsid w:val="008F78F0"/>
    <w:rsid w:val="008F7A6D"/>
    <w:rsid w:val="008F7DD0"/>
    <w:rsid w:val="00900259"/>
    <w:rsid w:val="009002D4"/>
    <w:rsid w:val="009002E4"/>
    <w:rsid w:val="00900358"/>
    <w:rsid w:val="009007FC"/>
    <w:rsid w:val="00900B47"/>
    <w:rsid w:val="00900C35"/>
    <w:rsid w:val="00900DCC"/>
    <w:rsid w:val="00901012"/>
    <w:rsid w:val="009010C2"/>
    <w:rsid w:val="009011CE"/>
    <w:rsid w:val="00901329"/>
    <w:rsid w:val="00901494"/>
    <w:rsid w:val="00901674"/>
    <w:rsid w:val="009017A1"/>
    <w:rsid w:val="00901BD5"/>
    <w:rsid w:val="00901C5A"/>
    <w:rsid w:val="00901D41"/>
    <w:rsid w:val="00901D7D"/>
    <w:rsid w:val="00901E5A"/>
    <w:rsid w:val="00902050"/>
    <w:rsid w:val="0090241C"/>
    <w:rsid w:val="0090252A"/>
    <w:rsid w:val="0090258C"/>
    <w:rsid w:val="009025AB"/>
    <w:rsid w:val="00902601"/>
    <w:rsid w:val="009027F4"/>
    <w:rsid w:val="00902981"/>
    <w:rsid w:val="00902B8E"/>
    <w:rsid w:val="00902C00"/>
    <w:rsid w:val="00902CA5"/>
    <w:rsid w:val="00902D4F"/>
    <w:rsid w:val="009030E3"/>
    <w:rsid w:val="0090348D"/>
    <w:rsid w:val="009034B9"/>
    <w:rsid w:val="00903797"/>
    <w:rsid w:val="00903FB3"/>
    <w:rsid w:val="0090420D"/>
    <w:rsid w:val="00904255"/>
    <w:rsid w:val="00904690"/>
    <w:rsid w:val="009048C3"/>
    <w:rsid w:val="00904B8E"/>
    <w:rsid w:val="00905053"/>
    <w:rsid w:val="00905336"/>
    <w:rsid w:val="00905D23"/>
    <w:rsid w:val="00905D27"/>
    <w:rsid w:val="00905F5A"/>
    <w:rsid w:val="009060FF"/>
    <w:rsid w:val="00906195"/>
    <w:rsid w:val="009066DC"/>
    <w:rsid w:val="00906E22"/>
    <w:rsid w:val="00906E85"/>
    <w:rsid w:val="00906FBB"/>
    <w:rsid w:val="0090728D"/>
    <w:rsid w:val="00907441"/>
    <w:rsid w:val="009074D8"/>
    <w:rsid w:val="00907542"/>
    <w:rsid w:val="00907583"/>
    <w:rsid w:val="0090758F"/>
    <w:rsid w:val="0090766F"/>
    <w:rsid w:val="0090779A"/>
    <w:rsid w:val="009077DB"/>
    <w:rsid w:val="0090780A"/>
    <w:rsid w:val="0090787E"/>
    <w:rsid w:val="0090798F"/>
    <w:rsid w:val="00907AD2"/>
    <w:rsid w:val="00910259"/>
    <w:rsid w:val="009102B4"/>
    <w:rsid w:val="0091052B"/>
    <w:rsid w:val="00910715"/>
    <w:rsid w:val="009107FF"/>
    <w:rsid w:val="00910873"/>
    <w:rsid w:val="0091091D"/>
    <w:rsid w:val="009109E1"/>
    <w:rsid w:val="00910AF6"/>
    <w:rsid w:val="00910E8C"/>
    <w:rsid w:val="009110E2"/>
    <w:rsid w:val="00911327"/>
    <w:rsid w:val="00911406"/>
    <w:rsid w:val="009114AB"/>
    <w:rsid w:val="00911B8D"/>
    <w:rsid w:val="00911E54"/>
    <w:rsid w:val="00911ED8"/>
    <w:rsid w:val="00911F7E"/>
    <w:rsid w:val="009122CA"/>
    <w:rsid w:val="009122DB"/>
    <w:rsid w:val="0091250E"/>
    <w:rsid w:val="0091260D"/>
    <w:rsid w:val="00912848"/>
    <w:rsid w:val="00912B56"/>
    <w:rsid w:val="00912C6F"/>
    <w:rsid w:val="00912D88"/>
    <w:rsid w:val="00912E50"/>
    <w:rsid w:val="00912E6B"/>
    <w:rsid w:val="009133D4"/>
    <w:rsid w:val="009133EA"/>
    <w:rsid w:val="009136D9"/>
    <w:rsid w:val="00913D3B"/>
    <w:rsid w:val="00913F98"/>
    <w:rsid w:val="009142D7"/>
    <w:rsid w:val="00914D25"/>
    <w:rsid w:val="00914D48"/>
    <w:rsid w:val="00914EB5"/>
    <w:rsid w:val="00915512"/>
    <w:rsid w:val="0091568F"/>
    <w:rsid w:val="009157A1"/>
    <w:rsid w:val="0091599E"/>
    <w:rsid w:val="00915D3A"/>
    <w:rsid w:val="00915EF5"/>
    <w:rsid w:val="00916185"/>
    <w:rsid w:val="00916223"/>
    <w:rsid w:val="00916269"/>
    <w:rsid w:val="009163A0"/>
    <w:rsid w:val="009165A9"/>
    <w:rsid w:val="0091668C"/>
    <w:rsid w:val="0091696F"/>
    <w:rsid w:val="00916AAB"/>
    <w:rsid w:val="00916C99"/>
    <w:rsid w:val="00916CF4"/>
    <w:rsid w:val="00916EBB"/>
    <w:rsid w:val="00916EE9"/>
    <w:rsid w:val="00917159"/>
    <w:rsid w:val="00917210"/>
    <w:rsid w:val="00917690"/>
    <w:rsid w:val="009179A6"/>
    <w:rsid w:val="00917C84"/>
    <w:rsid w:val="00917D6B"/>
    <w:rsid w:val="00917EE5"/>
    <w:rsid w:val="0092088D"/>
    <w:rsid w:val="00920926"/>
    <w:rsid w:val="00920FCF"/>
    <w:rsid w:val="0092119F"/>
    <w:rsid w:val="00921892"/>
    <w:rsid w:val="009218A2"/>
    <w:rsid w:val="009218C6"/>
    <w:rsid w:val="0092191B"/>
    <w:rsid w:val="00921AF9"/>
    <w:rsid w:val="00921B64"/>
    <w:rsid w:val="00921D72"/>
    <w:rsid w:val="00921D86"/>
    <w:rsid w:val="00921F1C"/>
    <w:rsid w:val="00921FE8"/>
    <w:rsid w:val="0092241F"/>
    <w:rsid w:val="009224A3"/>
    <w:rsid w:val="009224B7"/>
    <w:rsid w:val="00922566"/>
    <w:rsid w:val="0092261B"/>
    <w:rsid w:val="009227D9"/>
    <w:rsid w:val="00922A44"/>
    <w:rsid w:val="00922AE4"/>
    <w:rsid w:val="00922CC5"/>
    <w:rsid w:val="00922E3B"/>
    <w:rsid w:val="00922FD8"/>
    <w:rsid w:val="009230B4"/>
    <w:rsid w:val="0092324E"/>
    <w:rsid w:val="00923261"/>
    <w:rsid w:val="00923281"/>
    <w:rsid w:val="009233CC"/>
    <w:rsid w:val="009234D1"/>
    <w:rsid w:val="00923509"/>
    <w:rsid w:val="00923551"/>
    <w:rsid w:val="0092360F"/>
    <w:rsid w:val="00923633"/>
    <w:rsid w:val="00923651"/>
    <w:rsid w:val="00923A81"/>
    <w:rsid w:val="00923C11"/>
    <w:rsid w:val="00923C69"/>
    <w:rsid w:val="009240D8"/>
    <w:rsid w:val="009240FF"/>
    <w:rsid w:val="009242AE"/>
    <w:rsid w:val="00924502"/>
    <w:rsid w:val="00924AA7"/>
    <w:rsid w:val="00924EC9"/>
    <w:rsid w:val="00925026"/>
    <w:rsid w:val="009250DB"/>
    <w:rsid w:val="0092518C"/>
    <w:rsid w:val="0092523D"/>
    <w:rsid w:val="0092571D"/>
    <w:rsid w:val="0092586A"/>
    <w:rsid w:val="009259B7"/>
    <w:rsid w:val="00925EF6"/>
    <w:rsid w:val="00925F7F"/>
    <w:rsid w:val="009260A9"/>
    <w:rsid w:val="009260FB"/>
    <w:rsid w:val="00926354"/>
    <w:rsid w:val="009264CA"/>
    <w:rsid w:val="009264D5"/>
    <w:rsid w:val="009267C5"/>
    <w:rsid w:val="00926DAC"/>
    <w:rsid w:val="00926F34"/>
    <w:rsid w:val="00927038"/>
    <w:rsid w:val="0092726F"/>
    <w:rsid w:val="009276D9"/>
    <w:rsid w:val="0092785A"/>
    <w:rsid w:val="0092789F"/>
    <w:rsid w:val="00927A08"/>
    <w:rsid w:val="00927F26"/>
    <w:rsid w:val="00927FCB"/>
    <w:rsid w:val="009303C3"/>
    <w:rsid w:val="00930560"/>
    <w:rsid w:val="0093066B"/>
    <w:rsid w:val="0093069F"/>
    <w:rsid w:val="00930745"/>
    <w:rsid w:val="00930812"/>
    <w:rsid w:val="0093086F"/>
    <w:rsid w:val="00930948"/>
    <w:rsid w:val="00930A39"/>
    <w:rsid w:val="00930A74"/>
    <w:rsid w:val="00930E1C"/>
    <w:rsid w:val="00930EA1"/>
    <w:rsid w:val="009310EB"/>
    <w:rsid w:val="00931112"/>
    <w:rsid w:val="00931338"/>
    <w:rsid w:val="009316A4"/>
    <w:rsid w:val="0093176E"/>
    <w:rsid w:val="009317A8"/>
    <w:rsid w:val="00931852"/>
    <w:rsid w:val="00931B5E"/>
    <w:rsid w:val="00931ED9"/>
    <w:rsid w:val="00932096"/>
    <w:rsid w:val="00932100"/>
    <w:rsid w:val="009322E1"/>
    <w:rsid w:val="00932509"/>
    <w:rsid w:val="00932739"/>
    <w:rsid w:val="00932929"/>
    <w:rsid w:val="00932983"/>
    <w:rsid w:val="009329B0"/>
    <w:rsid w:val="009329B2"/>
    <w:rsid w:val="00932A5E"/>
    <w:rsid w:val="009332E2"/>
    <w:rsid w:val="00933569"/>
    <w:rsid w:val="00933817"/>
    <w:rsid w:val="00933A35"/>
    <w:rsid w:val="00933D8F"/>
    <w:rsid w:val="00933FE3"/>
    <w:rsid w:val="009346B0"/>
    <w:rsid w:val="00934703"/>
    <w:rsid w:val="009347F4"/>
    <w:rsid w:val="00934B9B"/>
    <w:rsid w:val="00934B9E"/>
    <w:rsid w:val="00934EAC"/>
    <w:rsid w:val="009350E4"/>
    <w:rsid w:val="009354C3"/>
    <w:rsid w:val="009354E5"/>
    <w:rsid w:val="00935753"/>
    <w:rsid w:val="009359A5"/>
    <w:rsid w:val="009359DF"/>
    <w:rsid w:val="00935A5A"/>
    <w:rsid w:val="0093603E"/>
    <w:rsid w:val="009360D7"/>
    <w:rsid w:val="009362C9"/>
    <w:rsid w:val="00936305"/>
    <w:rsid w:val="009363E4"/>
    <w:rsid w:val="0093687A"/>
    <w:rsid w:val="00936AD3"/>
    <w:rsid w:val="00936E59"/>
    <w:rsid w:val="0093743C"/>
    <w:rsid w:val="00937498"/>
    <w:rsid w:val="00937509"/>
    <w:rsid w:val="0093753F"/>
    <w:rsid w:val="00937935"/>
    <w:rsid w:val="00937E54"/>
    <w:rsid w:val="00937F67"/>
    <w:rsid w:val="00940006"/>
    <w:rsid w:val="009404D7"/>
    <w:rsid w:val="009405A4"/>
    <w:rsid w:val="009407AA"/>
    <w:rsid w:val="00940AD1"/>
    <w:rsid w:val="00940E50"/>
    <w:rsid w:val="00940FB6"/>
    <w:rsid w:val="00941026"/>
    <w:rsid w:val="00941536"/>
    <w:rsid w:val="0094155F"/>
    <w:rsid w:val="00941754"/>
    <w:rsid w:val="00941769"/>
    <w:rsid w:val="00941AF1"/>
    <w:rsid w:val="00941D13"/>
    <w:rsid w:val="00941DD1"/>
    <w:rsid w:val="00941E1F"/>
    <w:rsid w:val="00941E99"/>
    <w:rsid w:val="00942058"/>
    <w:rsid w:val="0094218A"/>
    <w:rsid w:val="00942226"/>
    <w:rsid w:val="00942387"/>
    <w:rsid w:val="00942596"/>
    <w:rsid w:val="009428E4"/>
    <w:rsid w:val="009429BD"/>
    <w:rsid w:val="00942A1E"/>
    <w:rsid w:val="00942B82"/>
    <w:rsid w:val="00942BAA"/>
    <w:rsid w:val="00942D49"/>
    <w:rsid w:val="00942ED4"/>
    <w:rsid w:val="0094380C"/>
    <w:rsid w:val="0094385A"/>
    <w:rsid w:val="009438FE"/>
    <w:rsid w:val="00943AD9"/>
    <w:rsid w:val="00943AE3"/>
    <w:rsid w:val="00943B3B"/>
    <w:rsid w:val="00944236"/>
    <w:rsid w:val="00944614"/>
    <w:rsid w:val="00944959"/>
    <w:rsid w:val="00944EAE"/>
    <w:rsid w:val="00945120"/>
    <w:rsid w:val="0094517F"/>
    <w:rsid w:val="009451A4"/>
    <w:rsid w:val="00945223"/>
    <w:rsid w:val="0094553C"/>
    <w:rsid w:val="00945613"/>
    <w:rsid w:val="0094573D"/>
    <w:rsid w:val="009457B0"/>
    <w:rsid w:val="00945A16"/>
    <w:rsid w:val="00945B2C"/>
    <w:rsid w:val="00945BEC"/>
    <w:rsid w:val="00945D86"/>
    <w:rsid w:val="00945EF3"/>
    <w:rsid w:val="00946019"/>
    <w:rsid w:val="0094626F"/>
    <w:rsid w:val="009462D2"/>
    <w:rsid w:val="0094692B"/>
    <w:rsid w:val="00946A1D"/>
    <w:rsid w:val="0094743A"/>
    <w:rsid w:val="00947519"/>
    <w:rsid w:val="00947596"/>
    <w:rsid w:val="009475B6"/>
    <w:rsid w:val="009476AB"/>
    <w:rsid w:val="009479A6"/>
    <w:rsid w:val="009479F5"/>
    <w:rsid w:val="00947E56"/>
    <w:rsid w:val="00947F13"/>
    <w:rsid w:val="009502CD"/>
    <w:rsid w:val="00950A20"/>
    <w:rsid w:val="00950CD5"/>
    <w:rsid w:val="00950D16"/>
    <w:rsid w:val="0095101B"/>
    <w:rsid w:val="00951101"/>
    <w:rsid w:val="0095118D"/>
    <w:rsid w:val="00951282"/>
    <w:rsid w:val="00951391"/>
    <w:rsid w:val="0095144C"/>
    <w:rsid w:val="00951501"/>
    <w:rsid w:val="009515F4"/>
    <w:rsid w:val="0095165B"/>
    <w:rsid w:val="00951758"/>
    <w:rsid w:val="0095177F"/>
    <w:rsid w:val="00951BD0"/>
    <w:rsid w:val="00951D17"/>
    <w:rsid w:val="009521B3"/>
    <w:rsid w:val="00952548"/>
    <w:rsid w:val="009526C2"/>
    <w:rsid w:val="00952807"/>
    <w:rsid w:val="00952844"/>
    <w:rsid w:val="00952D32"/>
    <w:rsid w:val="009531B5"/>
    <w:rsid w:val="00953595"/>
    <w:rsid w:val="00953777"/>
    <w:rsid w:val="00953825"/>
    <w:rsid w:val="00953832"/>
    <w:rsid w:val="009538C2"/>
    <w:rsid w:val="009538F9"/>
    <w:rsid w:val="00953923"/>
    <w:rsid w:val="00953D79"/>
    <w:rsid w:val="00953D91"/>
    <w:rsid w:val="00954003"/>
    <w:rsid w:val="00954148"/>
    <w:rsid w:val="009542ED"/>
    <w:rsid w:val="00954347"/>
    <w:rsid w:val="0095434A"/>
    <w:rsid w:val="009543FF"/>
    <w:rsid w:val="009545BA"/>
    <w:rsid w:val="00954939"/>
    <w:rsid w:val="00954A8B"/>
    <w:rsid w:val="00954B93"/>
    <w:rsid w:val="00954F11"/>
    <w:rsid w:val="00955262"/>
    <w:rsid w:val="009553DD"/>
    <w:rsid w:val="009554B5"/>
    <w:rsid w:val="0095554D"/>
    <w:rsid w:val="00955943"/>
    <w:rsid w:val="009559B8"/>
    <w:rsid w:val="009559C4"/>
    <w:rsid w:val="00955AC4"/>
    <w:rsid w:val="00955DF3"/>
    <w:rsid w:val="00955F6F"/>
    <w:rsid w:val="0095608E"/>
    <w:rsid w:val="009561A6"/>
    <w:rsid w:val="009562DA"/>
    <w:rsid w:val="0095654C"/>
    <w:rsid w:val="009566A5"/>
    <w:rsid w:val="009566C5"/>
    <w:rsid w:val="00956865"/>
    <w:rsid w:val="0095686C"/>
    <w:rsid w:val="009568CE"/>
    <w:rsid w:val="00956C4E"/>
    <w:rsid w:val="00956FA7"/>
    <w:rsid w:val="0095714D"/>
    <w:rsid w:val="0095751D"/>
    <w:rsid w:val="00957569"/>
    <w:rsid w:val="00957A08"/>
    <w:rsid w:val="00957A77"/>
    <w:rsid w:val="00957AA7"/>
    <w:rsid w:val="00957B96"/>
    <w:rsid w:val="00957CC7"/>
    <w:rsid w:val="00957D5D"/>
    <w:rsid w:val="0096002A"/>
    <w:rsid w:val="009601E7"/>
    <w:rsid w:val="00960820"/>
    <w:rsid w:val="009608B0"/>
    <w:rsid w:val="009608B3"/>
    <w:rsid w:val="00960E96"/>
    <w:rsid w:val="00961623"/>
    <w:rsid w:val="0096167A"/>
    <w:rsid w:val="009619B3"/>
    <w:rsid w:val="00961B66"/>
    <w:rsid w:val="00961F47"/>
    <w:rsid w:val="00961F98"/>
    <w:rsid w:val="00961F9F"/>
    <w:rsid w:val="00961FF0"/>
    <w:rsid w:val="00962150"/>
    <w:rsid w:val="00962323"/>
    <w:rsid w:val="00962671"/>
    <w:rsid w:val="009626AC"/>
    <w:rsid w:val="0096297B"/>
    <w:rsid w:val="00962AEE"/>
    <w:rsid w:val="009631D4"/>
    <w:rsid w:val="00963209"/>
    <w:rsid w:val="00963269"/>
    <w:rsid w:val="009633D7"/>
    <w:rsid w:val="009636CE"/>
    <w:rsid w:val="009637F5"/>
    <w:rsid w:val="00963959"/>
    <w:rsid w:val="00963AC1"/>
    <w:rsid w:val="00963ACD"/>
    <w:rsid w:val="00963B70"/>
    <w:rsid w:val="00963B85"/>
    <w:rsid w:val="00963C1F"/>
    <w:rsid w:val="00963CB2"/>
    <w:rsid w:val="00963DA1"/>
    <w:rsid w:val="00963E9F"/>
    <w:rsid w:val="00964499"/>
    <w:rsid w:val="009644AA"/>
    <w:rsid w:val="00964723"/>
    <w:rsid w:val="00964A1C"/>
    <w:rsid w:val="00964A79"/>
    <w:rsid w:val="00964C14"/>
    <w:rsid w:val="00964C2F"/>
    <w:rsid w:val="00964CF1"/>
    <w:rsid w:val="00965064"/>
    <w:rsid w:val="009652D5"/>
    <w:rsid w:val="0096563D"/>
    <w:rsid w:val="00965A6D"/>
    <w:rsid w:val="00965B4F"/>
    <w:rsid w:val="00965CF8"/>
    <w:rsid w:val="00966130"/>
    <w:rsid w:val="00966329"/>
    <w:rsid w:val="00966430"/>
    <w:rsid w:val="009664FD"/>
    <w:rsid w:val="00966561"/>
    <w:rsid w:val="00966690"/>
    <w:rsid w:val="00966C16"/>
    <w:rsid w:val="00966C64"/>
    <w:rsid w:val="00966CA9"/>
    <w:rsid w:val="00966D01"/>
    <w:rsid w:val="00966E93"/>
    <w:rsid w:val="009671F5"/>
    <w:rsid w:val="009673BF"/>
    <w:rsid w:val="0096761A"/>
    <w:rsid w:val="0096765A"/>
    <w:rsid w:val="009677F8"/>
    <w:rsid w:val="0096791C"/>
    <w:rsid w:val="00967C33"/>
    <w:rsid w:val="00967F62"/>
    <w:rsid w:val="0097036B"/>
    <w:rsid w:val="0097054C"/>
    <w:rsid w:val="009705FE"/>
    <w:rsid w:val="00970885"/>
    <w:rsid w:val="00970910"/>
    <w:rsid w:val="00970A3B"/>
    <w:rsid w:val="00970B79"/>
    <w:rsid w:val="00970C46"/>
    <w:rsid w:val="00970D1A"/>
    <w:rsid w:val="00970E55"/>
    <w:rsid w:val="00970EF1"/>
    <w:rsid w:val="00970F09"/>
    <w:rsid w:val="00970F7A"/>
    <w:rsid w:val="00971146"/>
    <w:rsid w:val="0097127A"/>
    <w:rsid w:val="009713E2"/>
    <w:rsid w:val="009713EB"/>
    <w:rsid w:val="0097141D"/>
    <w:rsid w:val="0097159E"/>
    <w:rsid w:val="0097175C"/>
    <w:rsid w:val="009717BC"/>
    <w:rsid w:val="009717F0"/>
    <w:rsid w:val="009718C4"/>
    <w:rsid w:val="0097198B"/>
    <w:rsid w:val="00971AA1"/>
    <w:rsid w:val="00971C26"/>
    <w:rsid w:val="00971C3A"/>
    <w:rsid w:val="00971C90"/>
    <w:rsid w:val="00971DC0"/>
    <w:rsid w:val="00972278"/>
    <w:rsid w:val="0097229F"/>
    <w:rsid w:val="009723EC"/>
    <w:rsid w:val="009725F2"/>
    <w:rsid w:val="00972636"/>
    <w:rsid w:val="00972847"/>
    <w:rsid w:val="00972910"/>
    <w:rsid w:val="00972916"/>
    <w:rsid w:val="00972A9A"/>
    <w:rsid w:val="00972AFF"/>
    <w:rsid w:val="00972B99"/>
    <w:rsid w:val="009730F0"/>
    <w:rsid w:val="0097331F"/>
    <w:rsid w:val="009735FB"/>
    <w:rsid w:val="00973738"/>
    <w:rsid w:val="0097374B"/>
    <w:rsid w:val="009737F7"/>
    <w:rsid w:val="00973C85"/>
    <w:rsid w:val="00974091"/>
    <w:rsid w:val="0097429B"/>
    <w:rsid w:val="009744F2"/>
    <w:rsid w:val="009746C6"/>
    <w:rsid w:val="0097477A"/>
    <w:rsid w:val="0097498A"/>
    <w:rsid w:val="009749F7"/>
    <w:rsid w:val="00974D9C"/>
    <w:rsid w:val="00974F5C"/>
    <w:rsid w:val="00974FF5"/>
    <w:rsid w:val="009755AF"/>
    <w:rsid w:val="00975614"/>
    <w:rsid w:val="009757B3"/>
    <w:rsid w:val="00975B8C"/>
    <w:rsid w:val="00975EDC"/>
    <w:rsid w:val="0097600B"/>
    <w:rsid w:val="0097624F"/>
    <w:rsid w:val="0097691F"/>
    <w:rsid w:val="009769C3"/>
    <w:rsid w:val="00976F1E"/>
    <w:rsid w:val="00977263"/>
    <w:rsid w:val="0097783B"/>
    <w:rsid w:val="0097785A"/>
    <w:rsid w:val="00977A34"/>
    <w:rsid w:val="00977AF1"/>
    <w:rsid w:val="00977D75"/>
    <w:rsid w:val="00977ED3"/>
    <w:rsid w:val="00977FE8"/>
    <w:rsid w:val="009801C7"/>
    <w:rsid w:val="0098059E"/>
    <w:rsid w:val="009805DD"/>
    <w:rsid w:val="009807B8"/>
    <w:rsid w:val="009809DC"/>
    <w:rsid w:val="00980AF1"/>
    <w:rsid w:val="00980C3C"/>
    <w:rsid w:val="00980C4C"/>
    <w:rsid w:val="00980DDF"/>
    <w:rsid w:val="00980FF3"/>
    <w:rsid w:val="00981126"/>
    <w:rsid w:val="00981301"/>
    <w:rsid w:val="0098151D"/>
    <w:rsid w:val="00981723"/>
    <w:rsid w:val="0098193C"/>
    <w:rsid w:val="00981C05"/>
    <w:rsid w:val="00981C23"/>
    <w:rsid w:val="00981D7C"/>
    <w:rsid w:val="00981E75"/>
    <w:rsid w:val="00982104"/>
    <w:rsid w:val="009821F2"/>
    <w:rsid w:val="009821F9"/>
    <w:rsid w:val="00982435"/>
    <w:rsid w:val="00982559"/>
    <w:rsid w:val="00982627"/>
    <w:rsid w:val="00982719"/>
    <w:rsid w:val="00982745"/>
    <w:rsid w:val="0098280F"/>
    <w:rsid w:val="0098291E"/>
    <w:rsid w:val="00982F5A"/>
    <w:rsid w:val="0098307E"/>
    <w:rsid w:val="00983096"/>
    <w:rsid w:val="009830AB"/>
    <w:rsid w:val="00983174"/>
    <w:rsid w:val="009831FA"/>
    <w:rsid w:val="0098338D"/>
    <w:rsid w:val="00983455"/>
    <w:rsid w:val="009837CE"/>
    <w:rsid w:val="00983847"/>
    <w:rsid w:val="00983A0F"/>
    <w:rsid w:val="00983AD2"/>
    <w:rsid w:val="00983C31"/>
    <w:rsid w:val="00983D79"/>
    <w:rsid w:val="00983DFB"/>
    <w:rsid w:val="00983E7E"/>
    <w:rsid w:val="00983EF1"/>
    <w:rsid w:val="0098401C"/>
    <w:rsid w:val="00984061"/>
    <w:rsid w:val="009841C1"/>
    <w:rsid w:val="0098461A"/>
    <w:rsid w:val="00984774"/>
    <w:rsid w:val="00984835"/>
    <w:rsid w:val="00984A1E"/>
    <w:rsid w:val="00984E8C"/>
    <w:rsid w:val="00985121"/>
    <w:rsid w:val="0098513A"/>
    <w:rsid w:val="00985203"/>
    <w:rsid w:val="009856BD"/>
    <w:rsid w:val="009857CA"/>
    <w:rsid w:val="009859ED"/>
    <w:rsid w:val="009859F7"/>
    <w:rsid w:val="00985B37"/>
    <w:rsid w:val="00985C77"/>
    <w:rsid w:val="00985CF9"/>
    <w:rsid w:val="00985E04"/>
    <w:rsid w:val="00985E7D"/>
    <w:rsid w:val="00985EA7"/>
    <w:rsid w:val="00985F30"/>
    <w:rsid w:val="00986090"/>
    <w:rsid w:val="0098625E"/>
    <w:rsid w:val="00986298"/>
    <w:rsid w:val="009865DA"/>
    <w:rsid w:val="009866A4"/>
    <w:rsid w:val="00986C64"/>
    <w:rsid w:val="00986C83"/>
    <w:rsid w:val="00986DA8"/>
    <w:rsid w:val="00987008"/>
    <w:rsid w:val="00987347"/>
    <w:rsid w:val="009874D7"/>
    <w:rsid w:val="00987582"/>
    <w:rsid w:val="0098765E"/>
    <w:rsid w:val="00987711"/>
    <w:rsid w:val="009879E3"/>
    <w:rsid w:val="00987A6D"/>
    <w:rsid w:val="00987BAC"/>
    <w:rsid w:val="00987BB1"/>
    <w:rsid w:val="00987C50"/>
    <w:rsid w:val="00990169"/>
    <w:rsid w:val="009902F9"/>
    <w:rsid w:val="00990531"/>
    <w:rsid w:val="00990575"/>
    <w:rsid w:val="009905FF"/>
    <w:rsid w:val="00990640"/>
    <w:rsid w:val="00990672"/>
    <w:rsid w:val="00990C51"/>
    <w:rsid w:val="00990CB5"/>
    <w:rsid w:val="00990CF1"/>
    <w:rsid w:val="00990D40"/>
    <w:rsid w:val="00990D5A"/>
    <w:rsid w:val="00990F98"/>
    <w:rsid w:val="00991675"/>
    <w:rsid w:val="00991737"/>
    <w:rsid w:val="0099173D"/>
    <w:rsid w:val="00991C60"/>
    <w:rsid w:val="00991E71"/>
    <w:rsid w:val="00991FFA"/>
    <w:rsid w:val="00992008"/>
    <w:rsid w:val="009928FE"/>
    <w:rsid w:val="00992A0D"/>
    <w:rsid w:val="00992A31"/>
    <w:rsid w:val="00992B05"/>
    <w:rsid w:val="00992BBD"/>
    <w:rsid w:val="00992BC7"/>
    <w:rsid w:val="00993266"/>
    <w:rsid w:val="00993285"/>
    <w:rsid w:val="00993358"/>
    <w:rsid w:val="00993387"/>
    <w:rsid w:val="00993431"/>
    <w:rsid w:val="009937AB"/>
    <w:rsid w:val="00993B85"/>
    <w:rsid w:val="00993EC9"/>
    <w:rsid w:val="00993F9C"/>
    <w:rsid w:val="009940BB"/>
    <w:rsid w:val="009941F1"/>
    <w:rsid w:val="00994223"/>
    <w:rsid w:val="00994395"/>
    <w:rsid w:val="00994409"/>
    <w:rsid w:val="00994540"/>
    <w:rsid w:val="009945D5"/>
    <w:rsid w:val="00994679"/>
    <w:rsid w:val="0099478E"/>
    <w:rsid w:val="0099499F"/>
    <w:rsid w:val="00994B8D"/>
    <w:rsid w:val="00994D12"/>
    <w:rsid w:val="0099513F"/>
    <w:rsid w:val="0099551A"/>
    <w:rsid w:val="00995563"/>
    <w:rsid w:val="009955A3"/>
    <w:rsid w:val="0099566F"/>
    <w:rsid w:val="00995D8B"/>
    <w:rsid w:val="00995DC2"/>
    <w:rsid w:val="00995F04"/>
    <w:rsid w:val="00995F67"/>
    <w:rsid w:val="0099606C"/>
    <w:rsid w:val="0099609E"/>
    <w:rsid w:val="00996232"/>
    <w:rsid w:val="00996409"/>
    <w:rsid w:val="00996499"/>
    <w:rsid w:val="009965BC"/>
    <w:rsid w:val="00996750"/>
    <w:rsid w:val="0099699D"/>
    <w:rsid w:val="009969A3"/>
    <w:rsid w:val="009969D4"/>
    <w:rsid w:val="00996ACD"/>
    <w:rsid w:val="00996B32"/>
    <w:rsid w:val="00996BB0"/>
    <w:rsid w:val="00996D00"/>
    <w:rsid w:val="00996D4C"/>
    <w:rsid w:val="00996D57"/>
    <w:rsid w:val="00996EA5"/>
    <w:rsid w:val="009970C4"/>
    <w:rsid w:val="0099733B"/>
    <w:rsid w:val="0099752F"/>
    <w:rsid w:val="009976DF"/>
    <w:rsid w:val="00997B29"/>
    <w:rsid w:val="00997B48"/>
    <w:rsid w:val="00997B82"/>
    <w:rsid w:val="00997ED6"/>
    <w:rsid w:val="009A0382"/>
    <w:rsid w:val="009A03DC"/>
    <w:rsid w:val="009A0481"/>
    <w:rsid w:val="009A058D"/>
    <w:rsid w:val="009A0FD4"/>
    <w:rsid w:val="009A143F"/>
    <w:rsid w:val="009A1519"/>
    <w:rsid w:val="009A1683"/>
    <w:rsid w:val="009A16C3"/>
    <w:rsid w:val="009A16FC"/>
    <w:rsid w:val="009A17C5"/>
    <w:rsid w:val="009A1AE5"/>
    <w:rsid w:val="009A1BBE"/>
    <w:rsid w:val="009A2217"/>
    <w:rsid w:val="009A228E"/>
    <w:rsid w:val="009A25C9"/>
    <w:rsid w:val="009A2700"/>
    <w:rsid w:val="009A2C92"/>
    <w:rsid w:val="009A3215"/>
    <w:rsid w:val="009A34D9"/>
    <w:rsid w:val="009A354A"/>
    <w:rsid w:val="009A35F7"/>
    <w:rsid w:val="009A3B8A"/>
    <w:rsid w:val="009A3D6B"/>
    <w:rsid w:val="009A41A1"/>
    <w:rsid w:val="009A43F3"/>
    <w:rsid w:val="009A4693"/>
    <w:rsid w:val="009A48BF"/>
    <w:rsid w:val="009A4D22"/>
    <w:rsid w:val="009A50D0"/>
    <w:rsid w:val="009A567A"/>
    <w:rsid w:val="009A58C4"/>
    <w:rsid w:val="009A63BA"/>
    <w:rsid w:val="009A643D"/>
    <w:rsid w:val="009A6BA6"/>
    <w:rsid w:val="009A6CF3"/>
    <w:rsid w:val="009A6D77"/>
    <w:rsid w:val="009A7199"/>
    <w:rsid w:val="009A7397"/>
    <w:rsid w:val="009A74E4"/>
    <w:rsid w:val="009A769A"/>
    <w:rsid w:val="009A76F7"/>
    <w:rsid w:val="009A7729"/>
    <w:rsid w:val="009A78E7"/>
    <w:rsid w:val="009A7999"/>
    <w:rsid w:val="009A7CA5"/>
    <w:rsid w:val="009B0134"/>
    <w:rsid w:val="009B03EA"/>
    <w:rsid w:val="009B0655"/>
    <w:rsid w:val="009B08A0"/>
    <w:rsid w:val="009B0A00"/>
    <w:rsid w:val="009B0C68"/>
    <w:rsid w:val="009B0E88"/>
    <w:rsid w:val="009B1300"/>
    <w:rsid w:val="009B1343"/>
    <w:rsid w:val="009B15D3"/>
    <w:rsid w:val="009B1A42"/>
    <w:rsid w:val="009B1A57"/>
    <w:rsid w:val="009B1B57"/>
    <w:rsid w:val="009B1DB3"/>
    <w:rsid w:val="009B2020"/>
    <w:rsid w:val="009B24F2"/>
    <w:rsid w:val="009B252F"/>
    <w:rsid w:val="009B2706"/>
    <w:rsid w:val="009B2785"/>
    <w:rsid w:val="009B27A4"/>
    <w:rsid w:val="009B2BD1"/>
    <w:rsid w:val="009B2D15"/>
    <w:rsid w:val="009B2DBA"/>
    <w:rsid w:val="009B2E15"/>
    <w:rsid w:val="009B2F62"/>
    <w:rsid w:val="009B3133"/>
    <w:rsid w:val="009B31DA"/>
    <w:rsid w:val="009B3208"/>
    <w:rsid w:val="009B3302"/>
    <w:rsid w:val="009B34E9"/>
    <w:rsid w:val="009B3504"/>
    <w:rsid w:val="009B3593"/>
    <w:rsid w:val="009B366F"/>
    <w:rsid w:val="009B388A"/>
    <w:rsid w:val="009B38BC"/>
    <w:rsid w:val="009B3D1C"/>
    <w:rsid w:val="009B3DA4"/>
    <w:rsid w:val="009B42DD"/>
    <w:rsid w:val="009B43BF"/>
    <w:rsid w:val="009B449D"/>
    <w:rsid w:val="009B4693"/>
    <w:rsid w:val="009B4A2D"/>
    <w:rsid w:val="009B4A90"/>
    <w:rsid w:val="009B4BEE"/>
    <w:rsid w:val="009B4C12"/>
    <w:rsid w:val="009B4C2A"/>
    <w:rsid w:val="009B4D9E"/>
    <w:rsid w:val="009B5025"/>
    <w:rsid w:val="009B515F"/>
    <w:rsid w:val="009B51B2"/>
    <w:rsid w:val="009B540B"/>
    <w:rsid w:val="009B54E0"/>
    <w:rsid w:val="009B56F9"/>
    <w:rsid w:val="009B5839"/>
    <w:rsid w:val="009B591D"/>
    <w:rsid w:val="009B5A07"/>
    <w:rsid w:val="009B5C68"/>
    <w:rsid w:val="009B5CD6"/>
    <w:rsid w:val="009B6196"/>
    <w:rsid w:val="009B64D1"/>
    <w:rsid w:val="009B655D"/>
    <w:rsid w:val="009B6675"/>
    <w:rsid w:val="009B6884"/>
    <w:rsid w:val="009B690A"/>
    <w:rsid w:val="009B6AC2"/>
    <w:rsid w:val="009B6BC6"/>
    <w:rsid w:val="009B6EAB"/>
    <w:rsid w:val="009B72A4"/>
    <w:rsid w:val="009B74D3"/>
    <w:rsid w:val="009B757A"/>
    <w:rsid w:val="009B7D7A"/>
    <w:rsid w:val="009C01A9"/>
    <w:rsid w:val="009C065D"/>
    <w:rsid w:val="009C0807"/>
    <w:rsid w:val="009C08A9"/>
    <w:rsid w:val="009C09C4"/>
    <w:rsid w:val="009C0D78"/>
    <w:rsid w:val="009C0E6B"/>
    <w:rsid w:val="009C0E96"/>
    <w:rsid w:val="009C1023"/>
    <w:rsid w:val="009C1363"/>
    <w:rsid w:val="009C14A4"/>
    <w:rsid w:val="009C151B"/>
    <w:rsid w:val="009C16B9"/>
    <w:rsid w:val="009C18B8"/>
    <w:rsid w:val="009C1A33"/>
    <w:rsid w:val="009C1B3C"/>
    <w:rsid w:val="009C1B99"/>
    <w:rsid w:val="009C1E01"/>
    <w:rsid w:val="009C1E0B"/>
    <w:rsid w:val="009C2018"/>
    <w:rsid w:val="009C218C"/>
    <w:rsid w:val="009C2259"/>
    <w:rsid w:val="009C26C9"/>
    <w:rsid w:val="009C2871"/>
    <w:rsid w:val="009C2E38"/>
    <w:rsid w:val="009C2EC7"/>
    <w:rsid w:val="009C2F02"/>
    <w:rsid w:val="009C321C"/>
    <w:rsid w:val="009C3301"/>
    <w:rsid w:val="009C3AC8"/>
    <w:rsid w:val="009C3B10"/>
    <w:rsid w:val="009C3D52"/>
    <w:rsid w:val="009C41D8"/>
    <w:rsid w:val="009C43B2"/>
    <w:rsid w:val="009C442C"/>
    <w:rsid w:val="009C4808"/>
    <w:rsid w:val="009C4851"/>
    <w:rsid w:val="009C4884"/>
    <w:rsid w:val="009C491B"/>
    <w:rsid w:val="009C4A9D"/>
    <w:rsid w:val="009C4AD3"/>
    <w:rsid w:val="009C52A7"/>
    <w:rsid w:val="009C5421"/>
    <w:rsid w:val="009C5665"/>
    <w:rsid w:val="009C56C2"/>
    <w:rsid w:val="009C571C"/>
    <w:rsid w:val="009C57A4"/>
    <w:rsid w:val="009C5898"/>
    <w:rsid w:val="009C5AFF"/>
    <w:rsid w:val="009C5D80"/>
    <w:rsid w:val="009C5DFA"/>
    <w:rsid w:val="009C601F"/>
    <w:rsid w:val="009C6200"/>
    <w:rsid w:val="009C62F8"/>
    <w:rsid w:val="009C64AF"/>
    <w:rsid w:val="009C65D7"/>
    <w:rsid w:val="009C679F"/>
    <w:rsid w:val="009C67A6"/>
    <w:rsid w:val="009C68C5"/>
    <w:rsid w:val="009C6A90"/>
    <w:rsid w:val="009C6AC8"/>
    <w:rsid w:val="009C6D40"/>
    <w:rsid w:val="009C7145"/>
    <w:rsid w:val="009C73CB"/>
    <w:rsid w:val="009C7951"/>
    <w:rsid w:val="009C79F2"/>
    <w:rsid w:val="009C7B5C"/>
    <w:rsid w:val="009C7B7D"/>
    <w:rsid w:val="009C7CFE"/>
    <w:rsid w:val="009D03E1"/>
    <w:rsid w:val="009D057F"/>
    <w:rsid w:val="009D0581"/>
    <w:rsid w:val="009D0629"/>
    <w:rsid w:val="009D078F"/>
    <w:rsid w:val="009D07C3"/>
    <w:rsid w:val="009D0946"/>
    <w:rsid w:val="009D097D"/>
    <w:rsid w:val="009D09FF"/>
    <w:rsid w:val="009D0B8E"/>
    <w:rsid w:val="009D0D3A"/>
    <w:rsid w:val="009D0D81"/>
    <w:rsid w:val="009D0F03"/>
    <w:rsid w:val="009D1296"/>
    <w:rsid w:val="009D15C6"/>
    <w:rsid w:val="009D172C"/>
    <w:rsid w:val="009D17B9"/>
    <w:rsid w:val="009D1928"/>
    <w:rsid w:val="009D1A4E"/>
    <w:rsid w:val="009D1A67"/>
    <w:rsid w:val="009D1B83"/>
    <w:rsid w:val="009D1ED1"/>
    <w:rsid w:val="009D1F69"/>
    <w:rsid w:val="009D1FC0"/>
    <w:rsid w:val="009D2244"/>
    <w:rsid w:val="009D2289"/>
    <w:rsid w:val="009D2362"/>
    <w:rsid w:val="009D23F9"/>
    <w:rsid w:val="009D2476"/>
    <w:rsid w:val="009D26D9"/>
    <w:rsid w:val="009D2788"/>
    <w:rsid w:val="009D2C0B"/>
    <w:rsid w:val="009D2E8F"/>
    <w:rsid w:val="009D3001"/>
    <w:rsid w:val="009D3066"/>
    <w:rsid w:val="009D318D"/>
    <w:rsid w:val="009D31EC"/>
    <w:rsid w:val="009D321C"/>
    <w:rsid w:val="009D341C"/>
    <w:rsid w:val="009D37B5"/>
    <w:rsid w:val="009D38F7"/>
    <w:rsid w:val="009D39CC"/>
    <w:rsid w:val="009D3B10"/>
    <w:rsid w:val="009D3B4C"/>
    <w:rsid w:val="009D3DD0"/>
    <w:rsid w:val="009D3FB8"/>
    <w:rsid w:val="009D3FF4"/>
    <w:rsid w:val="009D4043"/>
    <w:rsid w:val="009D406F"/>
    <w:rsid w:val="009D4088"/>
    <w:rsid w:val="009D465F"/>
    <w:rsid w:val="009D4666"/>
    <w:rsid w:val="009D4A8E"/>
    <w:rsid w:val="009D5196"/>
    <w:rsid w:val="009D525C"/>
    <w:rsid w:val="009D545A"/>
    <w:rsid w:val="009D558A"/>
    <w:rsid w:val="009D56FF"/>
    <w:rsid w:val="009D5BCD"/>
    <w:rsid w:val="009D5BF0"/>
    <w:rsid w:val="009D5E81"/>
    <w:rsid w:val="009D62A2"/>
    <w:rsid w:val="009D631E"/>
    <w:rsid w:val="009D6321"/>
    <w:rsid w:val="009D6569"/>
    <w:rsid w:val="009D6606"/>
    <w:rsid w:val="009D669A"/>
    <w:rsid w:val="009D6745"/>
    <w:rsid w:val="009D6B83"/>
    <w:rsid w:val="009D6B9B"/>
    <w:rsid w:val="009D6C3E"/>
    <w:rsid w:val="009D6CDA"/>
    <w:rsid w:val="009D6D44"/>
    <w:rsid w:val="009D6E91"/>
    <w:rsid w:val="009D70A5"/>
    <w:rsid w:val="009D7225"/>
    <w:rsid w:val="009D76C5"/>
    <w:rsid w:val="009D7A61"/>
    <w:rsid w:val="009D7D4D"/>
    <w:rsid w:val="009E00EA"/>
    <w:rsid w:val="009E01D7"/>
    <w:rsid w:val="009E0299"/>
    <w:rsid w:val="009E02E3"/>
    <w:rsid w:val="009E031A"/>
    <w:rsid w:val="009E0379"/>
    <w:rsid w:val="009E037D"/>
    <w:rsid w:val="009E03A6"/>
    <w:rsid w:val="009E04A8"/>
    <w:rsid w:val="009E0506"/>
    <w:rsid w:val="009E0593"/>
    <w:rsid w:val="009E086D"/>
    <w:rsid w:val="009E0CC9"/>
    <w:rsid w:val="009E0D9D"/>
    <w:rsid w:val="009E0DF4"/>
    <w:rsid w:val="009E0F4D"/>
    <w:rsid w:val="009E10D6"/>
    <w:rsid w:val="009E11F6"/>
    <w:rsid w:val="009E165F"/>
    <w:rsid w:val="009E1829"/>
    <w:rsid w:val="009E1BA5"/>
    <w:rsid w:val="009E1CCF"/>
    <w:rsid w:val="009E1F4C"/>
    <w:rsid w:val="009E1F85"/>
    <w:rsid w:val="009E1FED"/>
    <w:rsid w:val="009E217E"/>
    <w:rsid w:val="009E21F4"/>
    <w:rsid w:val="009E22FA"/>
    <w:rsid w:val="009E2D9C"/>
    <w:rsid w:val="009E2E6B"/>
    <w:rsid w:val="009E323E"/>
    <w:rsid w:val="009E3A4C"/>
    <w:rsid w:val="009E3D98"/>
    <w:rsid w:val="009E3F46"/>
    <w:rsid w:val="009E3FA9"/>
    <w:rsid w:val="009E4204"/>
    <w:rsid w:val="009E4351"/>
    <w:rsid w:val="009E44DA"/>
    <w:rsid w:val="009E4744"/>
    <w:rsid w:val="009E47E0"/>
    <w:rsid w:val="009E4878"/>
    <w:rsid w:val="009E4947"/>
    <w:rsid w:val="009E4CB5"/>
    <w:rsid w:val="009E4CBA"/>
    <w:rsid w:val="009E4E67"/>
    <w:rsid w:val="009E4E7C"/>
    <w:rsid w:val="009E4EC9"/>
    <w:rsid w:val="009E4FA3"/>
    <w:rsid w:val="009E51AC"/>
    <w:rsid w:val="009E53F2"/>
    <w:rsid w:val="009E5457"/>
    <w:rsid w:val="009E5542"/>
    <w:rsid w:val="009E58B0"/>
    <w:rsid w:val="009E58C2"/>
    <w:rsid w:val="009E5D00"/>
    <w:rsid w:val="009E5D5A"/>
    <w:rsid w:val="009E5DF5"/>
    <w:rsid w:val="009E67F6"/>
    <w:rsid w:val="009E6800"/>
    <w:rsid w:val="009E6876"/>
    <w:rsid w:val="009E6D30"/>
    <w:rsid w:val="009E6DA4"/>
    <w:rsid w:val="009E6DB6"/>
    <w:rsid w:val="009E6F99"/>
    <w:rsid w:val="009E702B"/>
    <w:rsid w:val="009E71BC"/>
    <w:rsid w:val="009E761C"/>
    <w:rsid w:val="009E784E"/>
    <w:rsid w:val="009E7F68"/>
    <w:rsid w:val="009F009D"/>
    <w:rsid w:val="009F02B8"/>
    <w:rsid w:val="009F0630"/>
    <w:rsid w:val="009F0984"/>
    <w:rsid w:val="009F0B36"/>
    <w:rsid w:val="009F0E52"/>
    <w:rsid w:val="009F0EC7"/>
    <w:rsid w:val="009F0F33"/>
    <w:rsid w:val="009F1166"/>
    <w:rsid w:val="009F1180"/>
    <w:rsid w:val="009F1490"/>
    <w:rsid w:val="009F14DC"/>
    <w:rsid w:val="009F1758"/>
    <w:rsid w:val="009F1C84"/>
    <w:rsid w:val="009F1D68"/>
    <w:rsid w:val="009F1DF0"/>
    <w:rsid w:val="009F2114"/>
    <w:rsid w:val="009F2262"/>
    <w:rsid w:val="009F2687"/>
    <w:rsid w:val="009F2827"/>
    <w:rsid w:val="009F28E2"/>
    <w:rsid w:val="009F299F"/>
    <w:rsid w:val="009F2BCD"/>
    <w:rsid w:val="009F2C2D"/>
    <w:rsid w:val="009F2E25"/>
    <w:rsid w:val="009F3315"/>
    <w:rsid w:val="009F3377"/>
    <w:rsid w:val="009F3419"/>
    <w:rsid w:val="009F371B"/>
    <w:rsid w:val="009F3BC9"/>
    <w:rsid w:val="009F3BCC"/>
    <w:rsid w:val="009F3DE4"/>
    <w:rsid w:val="009F3E43"/>
    <w:rsid w:val="009F4171"/>
    <w:rsid w:val="009F42E8"/>
    <w:rsid w:val="009F4364"/>
    <w:rsid w:val="009F441E"/>
    <w:rsid w:val="009F4583"/>
    <w:rsid w:val="009F47CE"/>
    <w:rsid w:val="009F4A66"/>
    <w:rsid w:val="009F4ADA"/>
    <w:rsid w:val="009F4B71"/>
    <w:rsid w:val="009F4BA8"/>
    <w:rsid w:val="009F4BFE"/>
    <w:rsid w:val="009F4FC6"/>
    <w:rsid w:val="009F52CE"/>
    <w:rsid w:val="009F5858"/>
    <w:rsid w:val="009F6239"/>
    <w:rsid w:val="009F6349"/>
    <w:rsid w:val="009F6522"/>
    <w:rsid w:val="009F654B"/>
    <w:rsid w:val="009F6658"/>
    <w:rsid w:val="009F671F"/>
    <w:rsid w:val="009F6A0D"/>
    <w:rsid w:val="009F6A14"/>
    <w:rsid w:val="009F6BF2"/>
    <w:rsid w:val="009F6C05"/>
    <w:rsid w:val="009F6DF7"/>
    <w:rsid w:val="009F6FF0"/>
    <w:rsid w:val="009F7100"/>
    <w:rsid w:val="009F727D"/>
    <w:rsid w:val="009F7294"/>
    <w:rsid w:val="009F734C"/>
    <w:rsid w:val="009F746A"/>
    <w:rsid w:val="009F76C7"/>
    <w:rsid w:val="009F7C9B"/>
    <w:rsid w:val="009F7E8C"/>
    <w:rsid w:val="009F7FB3"/>
    <w:rsid w:val="00A00114"/>
    <w:rsid w:val="00A00345"/>
    <w:rsid w:val="00A007B5"/>
    <w:rsid w:val="00A0080A"/>
    <w:rsid w:val="00A00AA7"/>
    <w:rsid w:val="00A00ACE"/>
    <w:rsid w:val="00A00B7E"/>
    <w:rsid w:val="00A00BA5"/>
    <w:rsid w:val="00A017A8"/>
    <w:rsid w:val="00A0185E"/>
    <w:rsid w:val="00A01AAD"/>
    <w:rsid w:val="00A01B15"/>
    <w:rsid w:val="00A01BA3"/>
    <w:rsid w:val="00A01DCB"/>
    <w:rsid w:val="00A01EAA"/>
    <w:rsid w:val="00A027F9"/>
    <w:rsid w:val="00A028E5"/>
    <w:rsid w:val="00A02A0F"/>
    <w:rsid w:val="00A02CE8"/>
    <w:rsid w:val="00A02E1B"/>
    <w:rsid w:val="00A02F04"/>
    <w:rsid w:val="00A02F3C"/>
    <w:rsid w:val="00A02FD1"/>
    <w:rsid w:val="00A0313B"/>
    <w:rsid w:val="00A03595"/>
    <w:rsid w:val="00A03BE9"/>
    <w:rsid w:val="00A03D76"/>
    <w:rsid w:val="00A03F67"/>
    <w:rsid w:val="00A04137"/>
    <w:rsid w:val="00A0439D"/>
    <w:rsid w:val="00A04488"/>
    <w:rsid w:val="00A04712"/>
    <w:rsid w:val="00A04A0F"/>
    <w:rsid w:val="00A04CFA"/>
    <w:rsid w:val="00A04D9F"/>
    <w:rsid w:val="00A05069"/>
    <w:rsid w:val="00A050D7"/>
    <w:rsid w:val="00A0534B"/>
    <w:rsid w:val="00A05855"/>
    <w:rsid w:val="00A05E5A"/>
    <w:rsid w:val="00A0638A"/>
    <w:rsid w:val="00A063FD"/>
    <w:rsid w:val="00A069D1"/>
    <w:rsid w:val="00A069F4"/>
    <w:rsid w:val="00A06DB7"/>
    <w:rsid w:val="00A06E2E"/>
    <w:rsid w:val="00A070B7"/>
    <w:rsid w:val="00A07486"/>
    <w:rsid w:val="00A074B7"/>
    <w:rsid w:val="00A076D2"/>
    <w:rsid w:val="00A07991"/>
    <w:rsid w:val="00A079A5"/>
    <w:rsid w:val="00A07ACD"/>
    <w:rsid w:val="00A07B27"/>
    <w:rsid w:val="00A07F1F"/>
    <w:rsid w:val="00A1008B"/>
    <w:rsid w:val="00A102FE"/>
    <w:rsid w:val="00A10363"/>
    <w:rsid w:val="00A104CE"/>
    <w:rsid w:val="00A1052D"/>
    <w:rsid w:val="00A106AC"/>
    <w:rsid w:val="00A1080F"/>
    <w:rsid w:val="00A1092B"/>
    <w:rsid w:val="00A10CDE"/>
    <w:rsid w:val="00A1135A"/>
    <w:rsid w:val="00A113F9"/>
    <w:rsid w:val="00A11456"/>
    <w:rsid w:val="00A11545"/>
    <w:rsid w:val="00A1169A"/>
    <w:rsid w:val="00A11B8B"/>
    <w:rsid w:val="00A11BA4"/>
    <w:rsid w:val="00A11D9C"/>
    <w:rsid w:val="00A11EAA"/>
    <w:rsid w:val="00A12722"/>
    <w:rsid w:val="00A12DE8"/>
    <w:rsid w:val="00A12F1D"/>
    <w:rsid w:val="00A12FE0"/>
    <w:rsid w:val="00A1310F"/>
    <w:rsid w:val="00A13215"/>
    <w:rsid w:val="00A132B8"/>
    <w:rsid w:val="00A13491"/>
    <w:rsid w:val="00A1383F"/>
    <w:rsid w:val="00A139FC"/>
    <w:rsid w:val="00A13A50"/>
    <w:rsid w:val="00A13A89"/>
    <w:rsid w:val="00A13E76"/>
    <w:rsid w:val="00A143E1"/>
    <w:rsid w:val="00A143F0"/>
    <w:rsid w:val="00A14598"/>
    <w:rsid w:val="00A14748"/>
    <w:rsid w:val="00A14887"/>
    <w:rsid w:val="00A148D4"/>
    <w:rsid w:val="00A14C1C"/>
    <w:rsid w:val="00A14DE8"/>
    <w:rsid w:val="00A150BE"/>
    <w:rsid w:val="00A152E5"/>
    <w:rsid w:val="00A15636"/>
    <w:rsid w:val="00A1569E"/>
    <w:rsid w:val="00A15BD1"/>
    <w:rsid w:val="00A15C5F"/>
    <w:rsid w:val="00A15F04"/>
    <w:rsid w:val="00A15F6E"/>
    <w:rsid w:val="00A1605F"/>
    <w:rsid w:val="00A160A9"/>
    <w:rsid w:val="00A163CA"/>
    <w:rsid w:val="00A163D2"/>
    <w:rsid w:val="00A166BA"/>
    <w:rsid w:val="00A16777"/>
    <w:rsid w:val="00A1680D"/>
    <w:rsid w:val="00A168D9"/>
    <w:rsid w:val="00A16BCD"/>
    <w:rsid w:val="00A16CA1"/>
    <w:rsid w:val="00A16CEB"/>
    <w:rsid w:val="00A16D2F"/>
    <w:rsid w:val="00A16EA7"/>
    <w:rsid w:val="00A170E3"/>
    <w:rsid w:val="00A1716C"/>
    <w:rsid w:val="00A173DF"/>
    <w:rsid w:val="00A1749D"/>
    <w:rsid w:val="00A17592"/>
    <w:rsid w:val="00A176D2"/>
    <w:rsid w:val="00A176FF"/>
    <w:rsid w:val="00A17CC1"/>
    <w:rsid w:val="00A17F7E"/>
    <w:rsid w:val="00A209A3"/>
    <w:rsid w:val="00A20DD3"/>
    <w:rsid w:val="00A21028"/>
    <w:rsid w:val="00A21247"/>
    <w:rsid w:val="00A212CF"/>
    <w:rsid w:val="00A2190F"/>
    <w:rsid w:val="00A21962"/>
    <w:rsid w:val="00A21971"/>
    <w:rsid w:val="00A21B20"/>
    <w:rsid w:val="00A21D6F"/>
    <w:rsid w:val="00A21DA9"/>
    <w:rsid w:val="00A21DDD"/>
    <w:rsid w:val="00A21EBE"/>
    <w:rsid w:val="00A21EDD"/>
    <w:rsid w:val="00A22037"/>
    <w:rsid w:val="00A222CC"/>
    <w:rsid w:val="00A22346"/>
    <w:rsid w:val="00A2264A"/>
    <w:rsid w:val="00A226F5"/>
    <w:rsid w:val="00A229D4"/>
    <w:rsid w:val="00A22A1C"/>
    <w:rsid w:val="00A22BA1"/>
    <w:rsid w:val="00A23012"/>
    <w:rsid w:val="00A23122"/>
    <w:rsid w:val="00A231F3"/>
    <w:rsid w:val="00A234EA"/>
    <w:rsid w:val="00A23718"/>
    <w:rsid w:val="00A23764"/>
    <w:rsid w:val="00A237EA"/>
    <w:rsid w:val="00A238F3"/>
    <w:rsid w:val="00A23AB0"/>
    <w:rsid w:val="00A23C12"/>
    <w:rsid w:val="00A23C59"/>
    <w:rsid w:val="00A24023"/>
    <w:rsid w:val="00A241A2"/>
    <w:rsid w:val="00A243B4"/>
    <w:rsid w:val="00A24949"/>
    <w:rsid w:val="00A2495D"/>
    <w:rsid w:val="00A249AF"/>
    <w:rsid w:val="00A24CFE"/>
    <w:rsid w:val="00A2507A"/>
    <w:rsid w:val="00A25D3B"/>
    <w:rsid w:val="00A25EE5"/>
    <w:rsid w:val="00A2657D"/>
    <w:rsid w:val="00A266C5"/>
    <w:rsid w:val="00A26704"/>
    <w:rsid w:val="00A2687D"/>
    <w:rsid w:val="00A26B02"/>
    <w:rsid w:val="00A26B03"/>
    <w:rsid w:val="00A26C43"/>
    <w:rsid w:val="00A26D60"/>
    <w:rsid w:val="00A26E70"/>
    <w:rsid w:val="00A2706D"/>
    <w:rsid w:val="00A27101"/>
    <w:rsid w:val="00A2712F"/>
    <w:rsid w:val="00A27303"/>
    <w:rsid w:val="00A27448"/>
    <w:rsid w:val="00A275CA"/>
    <w:rsid w:val="00A278DB"/>
    <w:rsid w:val="00A27AE6"/>
    <w:rsid w:val="00A27D2D"/>
    <w:rsid w:val="00A3020D"/>
    <w:rsid w:val="00A3052D"/>
    <w:rsid w:val="00A307B8"/>
    <w:rsid w:val="00A308B2"/>
    <w:rsid w:val="00A309C6"/>
    <w:rsid w:val="00A30A86"/>
    <w:rsid w:val="00A30BC0"/>
    <w:rsid w:val="00A30C55"/>
    <w:rsid w:val="00A30DF8"/>
    <w:rsid w:val="00A30E45"/>
    <w:rsid w:val="00A30E91"/>
    <w:rsid w:val="00A30F98"/>
    <w:rsid w:val="00A3115A"/>
    <w:rsid w:val="00A312AD"/>
    <w:rsid w:val="00A313F8"/>
    <w:rsid w:val="00A31657"/>
    <w:rsid w:val="00A31734"/>
    <w:rsid w:val="00A31778"/>
    <w:rsid w:val="00A317A3"/>
    <w:rsid w:val="00A3187D"/>
    <w:rsid w:val="00A318E4"/>
    <w:rsid w:val="00A31A32"/>
    <w:rsid w:val="00A31C8F"/>
    <w:rsid w:val="00A321AD"/>
    <w:rsid w:val="00A3227D"/>
    <w:rsid w:val="00A32388"/>
    <w:rsid w:val="00A326F2"/>
    <w:rsid w:val="00A3277F"/>
    <w:rsid w:val="00A329C5"/>
    <w:rsid w:val="00A32AB2"/>
    <w:rsid w:val="00A32AFC"/>
    <w:rsid w:val="00A32B47"/>
    <w:rsid w:val="00A32E4E"/>
    <w:rsid w:val="00A33019"/>
    <w:rsid w:val="00A3301F"/>
    <w:rsid w:val="00A330C7"/>
    <w:rsid w:val="00A333F6"/>
    <w:rsid w:val="00A33490"/>
    <w:rsid w:val="00A336E7"/>
    <w:rsid w:val="00A3372D"/>
    <w:rsid w:val="00A33B24"/>
    <w:rsid w:val="00A33B7D"/>
    <w:rsid w:val="00A33BAB"/>
    <w:rsid w:val="00A33BAE"/>
    <w:rsid w:val="00A33D3C"/>
    <w:rsid w:val="00A33E28"/>
    <w:rsid w:val="00A3430F"/>
    <w:rsid w:val="00A3443F"/>
    <w:rsid w:val="00A34538"/>
    <w:rsid w:val="00A3478D"/>
    <w:rsid w:val="00A347CC"/>
    <w:rsid w:val="00A3487B"/>
    <w:rsid w:val="00A34882"/>
    <w:rsid w:val="00A349DD"/>
    <w:rsid w:val="00A34D12"/>
    <w:rsid w:val="00A34DF9"/>
    <w:rsid w:val="00A35011"/>
    <w:rsid w:val="00A352F6"/>
    <w:rsid w:val="00A3537A"/>
    <w:rsid w:val="00A354E8"/>
    <w:rsid w:val="00A3553E"/>
    <w:rsid w:val="00A357C1"/>
    <w:rsid w:val="00A35822"/>
    <w:rsid w:val="00A358C4"/>
    <w:rsid w:val="00A35A16"/>
    <w:rsid w:val="00A35A31"/>
    <w:rsid w:val="00A35ACA"/>
    <w:rsid w:val="00A35B65"/>
    <w:rsid w:val="00A35F83"/>
    <w:rsid w:val="00A35F88"/>
    <w:rsid w:val="00A360D6"/>
    <w:rsid w:val="00A3624E"/>
    <w:rsid w:val="00A36400"/>
    <w:rsid w:val="00A3647F"/>
    <w:rsid w:val="00A36493"/>
    <w:rsid w:val="00A36605"/>
    <w:rsid w:val="00A36842"/>
    <w:rsid w:val="00A36B00"/>
    <w:rsid w:val="00A36B76"/>
    <w:rsid w:val="00A36BAD"/>
    <w:rsid w:val="00A36C43"/>
    <w:rsid w:val="00A36C9C"/>
    <w:rsid w:val="00A372A5"/>
    <w:rsid w:val="00A37574"/>
    <w:rsid w:val="00A3771D"/>
    <w:rsid w:val="00A3778E"/>
    <w:rsid w:val="00A37983"/>
    <w:rsid w:val="00A37F90"/>
    <w:rsid w:val="00A40020"/>
    <w:rsid w:val="00A40325"/>
    <w:rsid w:val="00A4062E"/>
    <w:rsid w:val="00A40700"/>
    <w:rsid w:val="00A4089E"/>
    <w:rsid w:val="00A40A11"/>
    <w:rsid w:val="00A40BDA"/>
    <w:rsid w:val="00A40D9D"/>
    <w:rsid w:val="00A40EC0"/>
    <w:rsid w:val="00A40FAC"/>
    <w:rsid w:val="00A40FE5"/>
    <w:rsid w:val="00A4103C"/>
    <w:rsid w:val="00A4109C"/>
    <w:rsid w:val="00A4132F"/>
    <w:rsid w:val="00A41514"/>
    <w:rsid w:val="00A415E6"/>
    <w:rsid w:val="00A41686"/>
    <w:rsid w:val="00A41709"/>
    <w:rsid w:val="00A41726"/>
    <w:rsid w:val="00A41B00"/>
    <w:rsid w:val="00A41C2B"/>
    <w:rsid w:val="00A41D03"/>
    <w:rsid w:val="00A41E6D"/>
    <w:rsid w:val="00A42026"/>
    <w:rsid w:val="00A4213F"/>
    <w:rsid w:val="00A42342"/>
    <w:rsid w:val="00A425D1"/>
    <w:rsid w:val="00A427D6"/>
    <w:rsid w:val="00A42AF7"/>
    <w:rsid w:val="00A42BED"/>
    <w:rsid w:val="00A42C9F"/>
    <w:rsid w:val="00A42D88"/>
    <w:rsid w:val="00A42EFE"/>
    <w:rsid w:val="00A4327B"/>
    <w:rsid w:val="00A43451"/>
    <w:rsid w:val="00A43819"/>
    <w:rsid w:val="00A43CF5"/>
    <w:rsid w:val="00A43E70"/>
    <w:rsid w:val="00A43EF4"/>
    <w:rsid w:val="00A44066"/>
    <w:rsid w:val="00A4423D"/>
    <w:rsid w:val="00A445E5"/>
    <w:rsid w:val="00A44625"/>
    <w:rsid w:val="00A4487E"/>
    <w:rsid w:val="00A44C91"/>
    <w:rsid w:val="00A44D7A"/>
    <w:rsid w:val="00A44EA7"/>
    <w:rsid w:val="00A44EFE"/>
    <w:rsid w:val="00A451A0"/>
    <w:rsid w:val="00A452A1"/>
    <w:rsid w:val="00A4542B"/>
    <w:rsid w:val="00A45444"/>
    <w:rsid w:val="00A45D10"/>
    <w:rsid w:val="00A45D35"/>
    <w:rsid w:val="00A45E13"/>
    <w:rsid w:val="00A45FF3"/>
    <w:rsid w:val="00A46423"/>
    <w:rsid w:val="00A464C8"/>
    <w:rsid w:val="00A464DF"/>
    <w:rsid w:val="00A46632"/>
    <w:rsid w:val="00A468D6"/>
    <w:rsid w:val="00A46989"/>
    <w:rsid w:val="00A469FE"/>
    <w:rsid w:val="00A47055"/>
    <w:rsid w:val="00A47118"/>
    <w:rsid w:val="00A47281"/>
    <w:rsid w:val="00A475D0"/>
    <w:rsid w:val="00A4765F"/>
    <w:rsid w:val="00A47868"/>
    <w:rsid w:val="00A47972"/>
    <w:rsid w:val="00A47B23"/>
    <w:rsid w:val="00A47B26"/>
    <w:rsid w:val="00A47B53"/>
    <w:rsid w:val="00A47D63"/>
    <w:rsid w:val="00A47ECE"/>
    <w:rsid w:val="00A500B8"/>
    <w:rsid w:val="00A501F8"/>
    <w:rsid w:val="00A50328"/>
    <w:rsid w:val="00A504C0"/>
    <w:rsid w:val="00A50503"/>
    <w:rsid w:val="00A505DE"/>
    <w:rsid w:val="00A5075C"/>
    <w:rsid w:val="00A508B3"/>
    <w:rsid w:val="00A50A28"/>
    <w:rsid w:val="00A50AC0"/>
    <w:rsid w:val="00A50BEB"/>
    <w:rsid w:val="00A50CDF"/>
    <w:rsid w:val="00A50D28"/>
    <w:rsid w:val="00A50D3F"/>
    <w:rsid w:val="00A50D81"/>
    <w:rsid w:val="00A50D97"/>
    <w:rsid w:val="00A50DBB"/>
    <w:rsid w:val="00A5102B"/>
    <w:rsid w:val="00A51128"/>
    <w:rsid w:val="00A51164"/>
    <w:rsid w:val="00A512DD"/>
    <w:rsid w:val="00A51818"/>
    <w:rsid w:val="00A51839"/>
    <w:rsid w:val="00A51A3F"/>
    <w:rsid w:val="00A51DAA"/>
    <w:rsid w:val="00A525F4"/>
    <w:rsid w:val="00A52857"/>
    <w:rsid w:val="00A529E8"/>
    <w:rsid w:val="00A52B02"/>
    <w:rsid w:val="00A52F6C"/>
    <w:rsid w:val="00A5304A"/>
    <w:rsid w:val="00A5314F"/>
    <w:rsid w:val="00A531BB"/>
    <w:rsid w:val="00A5327C"/>
    <w:rsid w:val="00A5341B"/>
    <w:rsid w:val="00A53615"/>
    <w:rsid w:val="00A53A7F"/>
    <w:rsid w:val="00A53AE7"/>
    <w:rsid w:val="00A53F6A"/>
    <w:rsid w:val="00A54056"/>
    <w:rsid w:val="00A5418D"/>
    <w:rsid w:val="00A542A5"/>
    <w:rsid w:val="00A54439"/>
    <w:rsid w:val="00A544F2"/>
    <w:rsid w:val="00A5491C"/>
    <w:rsid w:val="00A549DA"/>
    <w:rsid w:val="00A54BA0"/>
    <w:rsid w:val="00A54E71"/>
    <w:rsid w:val="00A55064"/>
    <w:rsid w:val="00A550D2"/>
    <w:rsid w:val="00A5511E"/>
    <w:rsid w:val="00A558F9"/>
    <w:rsid w:val="00A55B2C"/>
    <w:rsid w:val="00A55D23"/>
    <w:rsid w:val="00A55DBA"/>
    <w:rsid w:val="00A563C2"/>
    <w:rsid w:val="00A5678F"/>
    <w:rsid w:val="00A5686E"/>
    <w:rsid w:val="00A56AC3"/>
    <w:rsid w:val="00A56AC9"/>
    <w:rsid w:val="00A56C71"/>
    <w:rsid w:val="00A56C9D"/>
    <w:rsid w:val="00A56D2A"/>
    <w:rsid w:val="00A56D5D"/>
    <w:rsid w:val="00A5703A"/>
    <w:rsid w:val="00A5721C"/>
    <w:rsid w:val="00A57434"/>
    <w:rsid w:val="00A574AA"/>
    <w:rsid w:val="00A574FA"/>
    <w:rsid w:val="00A57592"/>
    <w:rsid w:val="00A57C1B"/>
    <w:rsid w:val="00A57EB4"/>
    <w:rsid w:val="00A57F95"/>
    <w:rsid w:val="00A60468"/>
    <w:rsid w:val="00A60563"/>
    <w:rsid w:val="00A60627"/>
    <w:rsid w:val="00A6082A"/>
    <w:rsid w:val="00A60A26"/>
    <w:rsid w:val="00A60ACA"/>
    <w:rsid w:val="00A60BB9"/>
    <w:rsid w:val="00A60CF4"/>
    <w:rsid w:val="00A611D9"/>
    <w:rsid w:val="00A61239"/>
    <w:rsid w:val="00A613B6"/>
    <w:rsid w:val="00A61403"/>
    <w:rsid w:val="00A61446"/>
    <w:rsid w:val="00A6146C"/>
    <w:rsid w:val="00A614EB"/>
    <w:rsid w:val="00A614EC"/>
    <w:rsid w:val="00A6165A"/>
    <w:rsid w:val="00A61705"/>
    <w:rsid w:val="00A61708"/>
    <w:rsid w:val="00A61E21"/>
    <w:rsid w:val="00A61E6C"/>
    <w:rsid w:val="00A61F47"/>
    <w:rsid w:val="00A62293"/>
    <w:rsid w:val="00A62781"/>
    <w:rsid w:val="00A62992"/>
    <w:rsid w:val="00A62BD6"/>
    <w:rsid w:val="00A62D5D"/>
    <w:rsid w:val="00A62F7B"/>
    <w:rsid w:val="00A62FC9"/>
    <w:rsid w:val="00A6304E"/>
    <w:rsid w:val="00A632BF"/>
    <w:rsid w:val="00A63410"/>
    <w:rsid w:val="00A636DA"/>
    <w:rsid w:val="00A63A75"/>
    <w:rsid w:val="00A63AA2"/>
    <w:rsid w:val="00A63B5E"/>
    <w:rsid w:val="00A63D22"/>
    <w:rsid w:val="00A63F85"/>
    <w:rsid w:val="00A643ED"/>
    <w:rsid w:val="00A645CF"/>
    <w:rsid w:val="00A64769"/>
    <w:rsid w:val="00A648FF"/>
    <w:rsid w:val="00A64B32"/>
    <w:rsid w:val="00A64F06"/>
    <w:rsid w:val="00A64F88"/>
    <w:rsid w:val="00A65106"/>
    <w:rsid w:val="00A652E4"/>
    <w:rsid w:val="00A654E7"/>
    <w:rsid w:val="00A6591E"/>
    <w:rsid w:val="00A65C29"/>
    <w:rsid w:val="00A65C97"/>
    <w:rsid w:val="00A65DAD"/>
    <w:rsid w:val="00A65E23"/>
    <w:rsid w:val="00A6608F"/>
    <w:rsid w:val="00A661CC"/>
    <w:rsid w:val="00A66234"/>
    <w:rsid w:val="00A6633A"/>
    <w:rsid w:val="00A663F2"/>
    <w:rsid w:val="00A66776"/>
    <w:rsid w:val="00A668D6"/>
    <w:rsid w:val="00A669AF"/>
    <w:rsid w:val="00A669C8"/>
    <w:rsid w:val="00A66A07"/>
    <w:rsid w:val="00A66AF5"/>
    <w:rsid w:val="00A66C65"/>
    <w:rsid w:val="00A66D34"/>
    <w:rsid w:val="00A66DE4"/>
    <w:rsid w:val="00A66FC3"/>
    <w:rsid w:val="00A67080"/>
    <w:rsid w:val="00A67215"/>
    <w:rsid w:val="00A673ED"/>
    <w:rsid w:val="00A676A8"/>
    <w:rsid w:val="00A67913"/>
    <w:rsid w:val="00A67969"/>
    <w:rsid w:val="00A67A73"/>
    <w:rsid w:val="00A67B22"/>
    <w:rsid w:val="00A67DAB"/>
    <w:rsid w:val="00A700C5"/>
    <w:rsid w:val="00A70502"/>
    <w:rsid w:val="00A70569"/>
    <w:rsid w:val="00A70C05"/>
    <w:rsid w:val="00A70D18"/>
    <w:rsid w:val="00A7113E"/>
    <w:rsid w:val="00A71291"/>
    <w:rsid w:val="00A714FB"/>
    <w:rsid w:val="00A716BA"/>
    <w:rsid w:val="00A71798"/>
    <w:rsid w:val="00A71869"/>
    <w:rsid w:val="00A71997"/>
    <w:rsid w:val="00A71A6C"/>
    <w:rsid w:val="00A71D19"/>
    <w:rsid w:val="00A71DB1"/>
    <w:rsid w:val="00A722A2"/>
    <w:rsid w:val="00A72432"/>
    <w:rsid w:val="00A72585"/>
    <w:rsid w:val="00A72EE5"/>
    <w:rsid w:val="00A731FD"/>
    <w:rsid w:val="00A73291"/>
    <w:rsid w:val="00A733D3"/>
    <w:rsid w:val="00A734F3"/>
    <w:rsid w:val="00A736B7"/>
    <w:rsid w:val="00A73704"/>
    <w:rsid w:val="00A7391E"/>
    <w:rsid w:val="00A73C5F"/>
    <w:rsid w:val="00A73E86"/>
    <w:rsid w:val="00A74064"/>
    <w:rsid w:val="00A74260"/>
    <w:rsid w:val="00A743F8"/>
    <w:rsid w:val="00A74599"/>
    <w:rsid w:val="00A746C8"/>
    <w:rsid w:val="00A7483E"/>
    <w:rsid w:val="00A748F0"/>
    <w:rsid w:val="00A74934"/>
    <w:rsid w:val="00A74B9B"/>
    <w:rsid w:val="00A74F50"/>
    <w:rsid w:val="00A750EE"/>
    <w:rsid w:val="00A752B0"/>
    <w:rsid w:val="00A75773"/>
    <w:rsid w:val="00A75892"/>
    <w:rsid w:val="00A75952"/>
    <w:rsid w:val="00A759D5"/>
    <w:rsid w:val="00A75A1F"/>
    <w:rsid w:val="00A75ADA"/>
    <w:rsid w:val="00A75AFC"/>
    <w:rsid w:val="00A75D8C"/>
    <w:rsid w:val="00A7647A"/>
    <w:rsid w:val="00A766E4"/>
    <w:rsid w:val="00A766FF"/>
    <w:rsid w:val="00A7691F"/>
    <w:rsid w:val="00A76A67"/>
    <w:rsid w:val="00A76BFF"/>
    <w:rsid w:val="00A76CC0"/>
    <w:rsid w:val="00A778C6"/>
    <w:rsid w:val="00A778D9"/>
    <w:rsid w:val="00A77ACA"/>
    <w:rsid w:val="00A77AEA"/>
    <w:rsid w:val="00A77C21"/>
    <w:rsid w:val="00A77D6D"/>
    <w:rsid w:val="00A8014C"/>
    <w:rsid w:val="00A80233"/>
    <w:rsid w:val="00A808DB"/>
    <w:rsid w:val="00A8091A"/>
    <w:rsid w:val="00A80B2C"/>
    <w:rsid w:val="00A80B3C"/>
    <w:rsid w:val="00A80E42"/>
    <w:rsid w:val="00A80E71"/>
    <w:rsid w:val="00A80F35"/>
    <w:rsid w:val="00A80FF2"/>
    <w:rsid w:val="00A810B4"/>
    <w:rsid w:val="00A81252"/>
    <w:rsid w:val="00A81A94"/>
    <w:rsid w:val="00A81D28"/>
    <w:rsid w:val="00A81D45"/>
    <w:rsid w:val="00A82029"/>
    <w:rsid w:val="00A82108"/>
    <w:rsid w:val="00A8223B"/>
    <w:rsid w:val="00A82534"/>
    <w:rsid w:val="00A825C0"/>
    <w:rsid w:val="00A82948"/>
    <w:rsid w:val="00A82BA1"/>
    <w:rsid w:val="00A82C5B"/>
    <w:rsid w:val="00A82EAB"/>
    <w:rsid w:val="00A83117"/>
    <w:rsid w:val="00A831B2"/>
    <w:rsid w:val="00A8329D"/>
    <w:rsid w:val="00A8364E"/>
    <w:rsid w:val="00A837C5"/>
    <w:rsid w:val="00A83ACF"/>
    <w:rsid w:val="00A83BBB"/>
    <w:rsid w:val="00A83CBD"/>
    <w:rsid w:val="00A843C4"/>
    <w:rsid w:val="00A845F6"/>
    <w:rsid w:val="00A84AC8"/>
    <w:rsid w:val="00A84D50"/>
    <w:rsid w:val="00A84DE6"/>
    <w:rsid w:val="00A84E12"/>
    <w:rsid w:val="00A850C0"/>
    <w:rsid w:val="00A85346"/>
    <w:rsid w:val="00A8539D"/>
    <w:rsid w:val="00A85810"/>
    <w:rsid w:val="00A8590B"/>
    <w:rsid w:val="00A85975"/>
    <w:rsid w:val="00A85C38"/>
    <w:rsid w:val="00A85D0F"/>
    <w:rsid w:val="00A85EDA"/>
    <w:rsid w:val="00A86039"/>
    <w:rsid w:val="00A860BF"/>
    <w:rsid w:val="00A860F3"/>
    <w:rsid w:val="00A86410"/>
    <w:rsid w:val="00A86427"/>
    <w:rsid w:val="00A8642C"/>
    <w:rsid w:val="00A864F0"/>
    <w:rsid w:val="00A8694C"/>
    <w:rsid w:val="00A86C7B"/>
    <w:rsid w:val="00A86DCE"/>
    <w:rsid w:val="00A86E2E"/>
    <w:rsid w:val="00A86F4C"/>
    <w:rsid w:val="00A86F7E"/>
    <w:rsid w:val="00A872C8"/>
    <w:rsid w:val="00A87332"/>
    <w:rsid w:val="00A878B9"/>
    <w:rsid w:val="00A87ADE"/>
    <w:rsid w:val="00A87BE8"/>
    <w:rsid w:val="00A87DD8"/>
    <w:rsid w:val="00A87FF6"/>
    <w:rsid w:val="00A90040"/>
    <w:rsid w:val="00A901A5"/>
    <w:rsid w:val="00A90442"/>
    <w:rsid w:val="00A9049B"/>
    <w:rsid w:val="00A90503"/>
    <w:rsid w:val="00A906AD"/>
    <w:rsid w:val="00A908D4"/>
    <w:rsid w:val="00A90A77"/>
    <w:rsid w:val="00A90AE8"/>
    <w:rsid w:val="00A90B83"/>
    <w:rsid w:val="00A9108B"/>
    <w:rsid w:val="00A9119A"/>
    <w:rsid w:val="00A911F3"/>
    <w:rsid w:val="00A91520"/>
    <w:rsid w:val="00A917B8"/>
    <w:rsid w:val="00A917EC"/>
    <w:rsid w:val="00A917F7"/>
    <w:rsid w:val="00A91E28"/>
    <w:rsid w:val="00A92037"/>
    <w:rsid w:val="00A9221F"/>
    <w:rsid w:val="00A927C2"/>
    <w:rsid w:val="00A9289F"/>
    <w:rsid w:val="00A92A30"/>
    <w:rsid w:val="00A92A91"/>
    <w:rsid w:val="00A93036"/>
    <w:rsid w:val="00A930D5"/>
    <w:rsid w:val="00A93184"/>
    <w:rsid w:val="00A93636"/>
    <w:rsid w:val="00A93749"/>
    <w:rsid w:val="00A9396C"/>
    <w:rsid w:val="00A93DAA"/>
    <w:rsid w:val="00A94492"/>
    <w:rsid w:val="00A9453E"/>
    <w:rsid w:val="00A945FB"/>
    <w:rsid w:val="00A94636"/>
    <w:rsid w:val="00A946EC"/>
    <w:rsid w:val="00A949AE"/>
    <w:rsid w:val="00A94A82"/>
    <w:rsid w:val="00A94C15"/>
    <w:rsid w:val="00A94E68"/>
    <w:rsid w:val="00A94F3E"/>
    <w:rsid w:val="00A9501B"/>
    <w:rsid w:val="00A950DB"/>
    <w:rsid w:val="00A951CD"/>
    <w:rsid w:val="00A9522D"/>
    <w:rsid w:val="00A95300"/>
    <w:rsid w:val="00A956B1"/>
    <w:rsid w:val="00A957DA"/>
    <w:rsid w:val="00A95932"/>
    <w:rsid w:val="00A95A19"/>
    <w:rsid w:val="00A95D13"/>
    <w:rsid w:val="00A95DED"/>
    <w:rsid w:val="00A95EBC"/>
    <w:rsid w:val="00A9618D"/>
    <w:rsid w:val="00A961DE"/>
    <w:rsid w:val="00A962F1"/>
    <w:rsid w:val="00A96489"/>
    <w:rsid w:val="00A9660E"/>
    <w:rsid w:val="00A9663C"/>
    <w:rsid w:val="00A9681E"/>
    <w:rsid w:val="00A96A38"/>
    <w:rsid w:val="00A96B5D"/>
    <w:rsid w:val="00A96CDB"/>
    <w:rsid w:val="00A96E4B"/>
    <w:rsid w:val="00A971F3"/>
    <w:rsid w:val="00A97670"/>
    <w:rsid w:val="00A97948"/>
    <w:rsid w:val="00A97B61"/>
    <w:rsid w:val="00A97B74"/>
    <w:rsid w:val="00A97B82"/>
    <w:rsid w:val="00A97D18"/>
    <w:rsid w:val="00A97E96"/>
    <w:rsid w:val="00AA007A"/>
    <w:rsid w:val="00AA0235"/>
    <w:rsid w:val="00AA02FE"/>
    <w:rsid w:val="00AA06B5"/>
    <w:rsid w:val="00AA0700"/>
    <w:rsid w:val="00AA0B11"/>
    <w:rsid w:val="00AA0BFF"/>
    <w:rsid w:val="00AA0D6A"/>
    <w:rsid w:val="00AA0E2A"/>
    <w:rsid w:val="00AA0E8A"/>
    <w:rsid w:val="00AA12B3"/>
    <w:rsid w:val="00AA12C5"/>
    <w:rsid w:val="00AA1489"/>
    <w:rsid w:val="00AA15D1"/>
    <w:rsid w:val="00AA16B2"/>
    <w:rsid w:val="00AA16D3"/>
    <w:rsid w:val="00AA1803"/>
    <w:rsid w:val="00AA1995"/>
    <w:rsid w:val="00AA1C89"/>
    <w:rsid w:val="00AA1E89"/>
    <w:rsid w:val="00AA234F"/>
    <w:rsid w:val="00AA24E2"/>
    <w:rsid w:val="00AA2539"/>
    <w:rsid w:val="00AA255D"/>
    <w:rsid w:val="00AA274B"/>
    <w:rsid w:val="00AA2869"/>
    <w:rsid w:val="00AA2C21"/>
    <w:rsid w:val="00AA34A6"/>
    <w:rsid w:val="00AA353F"/>
    <w:rsid w:val="00AA35B4"/>
    <w:rsid w:val="00AA3603"/>
    <w:rsid w:val="00AA36CB"/>
    <w:rsid w:val="00AA36CC"/>
    <w:rsid w:val="00AA384A"/>
    <w:rsid w:val="00AA3B49"/>
    <w:rsid w:val="00AA3B57"/>
    <w:rsid w:val="00AA3D53"/>
    <w:rsid w:val="00AA4187"/>
    <w:rsid w:val="00AA46F0"/>
    <w:rsid w:val="00AA4DB7"/>
    <w:rsid w:val="00AA4DD2"/>
    <w:rsid w:val="00AA4E64"/>
    <w:rsid w:val="00AA5069"/>
    <w:rsid w:val="00AA5443"/>
    <w:rsid w:val="00AA56C3"/>
    <w:rsid w:val="00AA56E3"/>
    <w:rsid w:val="00AA58D3"/>
    <w:rsid w:val="00AA5CF6"/>
    <w:rsid w:val="00AA5F1A"/>
    <w:rsid w:val="00AA603A"/>
    <w:rsid w:val="00AA607B"/>
    <w:rsid w:val="00AA6586"/>
    <w:rsid w:val="00AA685A"/>
    <w:rsid w:val="00AA6C3C"/>
    <w:rsid w:val="00AA6D35"/>
    <w:rsid w:val="00AA6D76"/>
    <w:rsid w:val="00AA7167"/>
    <w:rsid w:val="00AA71BB"/>
    <w:rsid w:val="00AA71C6"/>
    <w:rsid w:val="00AA7225"/>
    <w:rsid w:val="00AA726D"/>
    <w:rsid w:val="00AA73C3"/>
    <w:rsid w:val="00AA74DD"/>
    <w:rsid w:val="00AA756E"/>
    <w:rsid w:val="00AA75F7"/>
    <w:rsid w:val="00AA768C"/>
    <w:rsid w:val="00AA76F1"/>
    <w:rsid w:val="00AA7713"/>
    <w:rsid w:val="00AA7749"/>
    <w:rsid w:val="00AA78B4"/>
    <w:rsid w:val="00AA7B29"/>
    <w:rsid w:val="00AA7DB5"/>
    <w:rsid w:val="00AA7DEE"/>
    <w:rsid w:val="00AA7E3A"/>
    <w:rsid w:val="00AB044A"/>
    <w:rsid w:val="00AB05C6"/>
    <w:rsid w:val="00AB067C"/>
    <w:rsid w:val="00AB0710"/>
    <w:rsid w:val="00AB073E"/>
    <w:rsid w:val="00AB0842"/>
    <w:rsid w:val="00AB0950"/>
    <w:rsid w:val="00AB0989"/>
    <w:rsid w:val="00AB0A25"/>
    <w:rsid w:val="00AB0AAB"/>
    <w:rsid w:val="00AB0B1E"/>
    <w:rsid w:val="00AB0EBB"/>
    <w:rsid w:val="00AB10A9"/>
    <w:rsid w:val="00AB13AF"/>
    <w:rsid w:val="00AB14AE"/>
    <w:rsid w:val="00AB14CC"/>
    <w:rsid w:val="00AB14D7"/>
    <w:rsid w:val="00AB164D"/>
    <w:rsid w:val="00AB16B0"/>
    <w:rsid w:val="00AB1A13"/>
    <w:rsid w:val="00AB1D66"/>
    <w:rsid w:val="00AB1E98"/>
    <w:rsid w:val="00AB2231"/>
    <w:rsid w:val="00AB240C"/>
    <w:rsid w:val="00AB24C5"/>
    <w:rsid w:val="00AB25BF"/>
    <w:rsid w:val="00AB26C5"/>
    <w:rsid w:val="00AB26C8"/>
    <w:rsid w:val="00AB29E8"/>
    <w:rsid w:val="00AB2AFE"/>
    <w:rsid w:val="00AB2C61"/>
    <w:rsid w:val="00AB2D65"/>
    <w:rsid w:val="00AB2E87"/>
    <w:rsid w:val="00AB314D"/>
    <w:rsid w:val="00AB3173"/>
    <w:rsid w:val="00AB31BC"/>
    <w:rsid w:val="00AB3565"/>
    <w:rsid w:val="00AB3C6E"/>
    <w:rsid w:val="00AB3D7C"/>
    <w:rsid w:val="00AB3E40"/>
    <w:rsid w:val="00AB3EFC"/>
    <w:rsid w:val="00AB3FBA"/>
    <w:rsid w:val="00AB424B"/>
    <w:rsid w:val="00AB4567"/>
    <w:rsid w:val="00AB47DC"/>
    <w:rsid w:val="00AB49F9"/>
    <w:rsid w:val="00AB4B06"/>
    <w:rsid w:val="00AB4E79"/>
    <w:rsid w:val="00AB4E9F"/>
    <w:rsid w:val="00AB506E"/>
    <w:rsid w:val="00AB523A"/>
    <w:rsid w:val="00AB53BE"/>
    <w:rsid w:val="00AB53CA"/>
    <w:rsid w:val="00AB5493"/>
    <w:rsid w:val="00AB54D6"/>
    <w:rsid w:val="00AB5666"/>
    <w:rsid w:val="00AB56BE"/>
    <w:rsid w:val="00AB5B9D"/>
    <w:rsid w:val="00AB5CDF"/>
    <w:rsid w:val="00AB5E1F"/>
    <w:rsid w:val="00AB5F63"/>
    <w:rsid w:val="00AB60E2"/>
    <w:rsid w:val="00AB6324"/>
    <w:rsid w:val="00AB63B3"/>
    <w:rsid w:val="00AB6A1E"/>
    <w:rsid w:val="00AB6B3F"/>
    <w:rsid w:val="00AB6C69"/>
    <w:rsid w:val="00AB6C9F"/>
    <w:rsid w:val="00AB6D35"/>
    <w:rsid w:val="00AB6D65"/>
    <w:rsid w:val="00AB6E87"/>
    <w:rsid w:val="00AB6FFE"/>
    <w:rsid w:val="00AB7A2F"/>
    <w:rsid w:val="00AB7DFE"/>
    <w:rsid w:val="00AC00C4"/>
    <w:rsid w:val="00AC034D"/>
    <w:rsid w:val="00AC0529"/>
    <w:rsid w:val="00AC0713"/>
    <w:rsid w:val="00AC07DD"/>
    <w:rsid w:val="00AC0901"/>
    <w:rsid w:val="00AC098A"/>
    <w:rsid w:val="00AC0A1D"/>
    <w:rsid w:val="00AC0B0B"/>
    <w:rsid w:val="00AC0CE2"/>
    <w:rsid w:val="00AC126F"/>
    <w:rsid w:val="00AC1736"/>
    <w:rsid w:val="00AC190C"/>
    <w:rsid w:val="00AC1B8A"/>
    <w:rsid w:val="00AC1C55"/>
    <w:rsid w:val="00AC1D2B"/>
    <w:rsid w:val="00AC1E98"/>
    <w:rsid w:val="00AC1FB2"/>
    <w:rsid w:val="00AC210F"/>
    <w:rsid w:val="00AC2210"/>
    <w:rsid w:val="00AC23EA"/>
    <w:rsid w:val="00AC25D7"/>
    <w:rsid w:val="00AC2700"/>
    <w:rsid w:val="00AC27FF"/>
    <w:rsid w:val="00AC2853"/>
    <w:rsid w:val="00AC2A31"/>
    <w:rsid w:val="00AC2AD1"/>
    <w:rsid w:val="00AC2CBA"/>
    <w:rsid w:val="00AC2F92"/>
    <w:rsid w:val="00AC3010"/>
    <w:rsid w:val="00AC315E"/>
    <w:rsid w:val="00AC319E"/>
    <w:rsid w:val="00AC328F"/>
    <w:rsid w:val="00AC3592"/>
    <w:rsid w:val="00AC35FD"/>
    <w:rsid w:val="00AC3685"/>
    <w:rsid w:val="00AC3B80"/>
    <w:rsid w:val="00AC3C2F"/>
    <w:rsid w:val="00AC3D80"/>
    <w:rsid w:val="00AC3F70"/>
    <w:rsid w:val="00AC42ED"/>
    <w:rsid w:val="00AC446F"/>
    <w:rsid w:val="00AC45F0"/>
    <w:rsid w:val="00AC4659"/>
    <w:rsid w:val="00AC48B8"/>
    <w:rsid w:val="00AC48FC"/>
    <w:rsid w:val="00AC4A60"/>
    <w:rsid w:val="00AC4A68"/>
    <w:rsid w:val="00AC4AA2"/>
    <w:rsid w:val="00AC4BB9"/>
    <w:rsid w:val="00AC4C6F"/>
    <w:rsid w:val="00AC4CC2"/>
    <w:rsid w:val="00AC5B1B"/>
    <w:rsid w:val="00AC5D4F"/>
    <w:rsid w:val="00AC5D5A"/>
    <w:rsid w:val="00AC5D6E"/>
    <w:rsid w:val="00AC5EEE"/>
    <w:rsid w:val="00AC624F"/>
    <w:rsid w:val="00AC63D5"/>
    <w:rsid w:val="00AC6527"/>
    <w:rsid w:val="00AC6A7B"/>
    <w:rsid w:val="00AC6BCD"/>
    <w:rsid w:val="00AC6C7E"/>
    <w:rsid w:val="00AC6F02"/>
    <w:rsid w:val="00AC6F7A"/>
    <w:rsid w:val="00AC71D8"/>
    <w:rsid w:val="00AC72BA"/>
    <w:rsid w:val="00AC7437"/>
    <w:rsid w:val="00AC7665"/>
    <w:rsid w:val="00AC7812"/>
    <w:rsid w:val="00AC79CC"/>
    <w:rsid w:val="00AC7D49"/>
    <w:rsid w:val="00AC7D5E"/>
    <w:rsid w:val="00AC7D89"/>
    <w:rsid w:val="00AC7E66"/>
    <w:rsid w:val="00AD0143"/>
    <w:rsid w:val="00AD0306"/>
    <w:rsid w:val="00AD0326"/>
    <w:rsid w:val="00AD05F3"/>
    <w:rsid w:val="00AD06BC"/>
    <w:rsid w:val="00AD09B3"/>
    <w:rsid w:val="00AD0CF7"/>
    <w:rsid w:val="00AD121B"/>
    <w:rsid w:val="00AD129A"/>
    <w:rsid w:val="00AD1334"/>
    <w:rsid w:val="00AD1713"/>
    <w:rsid w:val="00AD1A57"/>
    <w:rsid w:val="00AD1AA1"/>
    <w:rsid w:val="00AD1C47"/>
    <w:rsid w:val="00AD1DDB"/>
    <w:rsid w:val="00AD20AD"/>
    <w:rsid w:val="00AD21A1"/>
    <w:rsid w:val="00AD222C"/>
    <w:rsid w:val="00AD2294"/>
    <w:rsid w:val="00AD23EC"/>
    <w:rsid w:val="00AD2541"/>
    <w:rsid w:val="00AD2AC9"/>
    <w:rsid w:val="00AD30A0"/>
    <w:rsid w:val="00AD337E"/>
    <w:rsid w:val="00AD34F4"/>
    <w:rsid w:val="00AD353F"/>
    <w:rsid w:val="00AD386C"/>
    <w:rsid w:val="00AD3F5E"/>
    <w:rsid w:val="00AD3FC6"/>
    <w:rsid w:val="00AD406C"/>
    <w:rsid w:val="00AD426B"/>
    <w:rsid w:val="00AD43EE"/>
    <w:rsid w:val="00AD4695"/>
    <w:rsid w:val="00AD47E6"/>
    <w:rsid w:val="00AD4866"/>
    <w:rsid w:val="00AD494E"/>
    <w:rsid w:val="00AD4968"/>
    <w:rsid w:val="00AD4BE5"/>
    <w:rsid w:val="00AD4ED4"/>
    <w:rsid w:val="00AD4F31"/>
    <w:rsid w:val="00AD4FD7"/>
    <w:rsid w:val="00AD5008"/>
    <w:rsid w:val="00AD50AD"/>
    <w:rsid w:val="00AD56D7"/>
    <w:rsid w:val="00AD5A30"/>
    <w:rsid w:val="00AD5AD1"/>
    <w:rsid w:val="00AD5B7E"/>
    <w:rsid w:val="00AD5EEC"/>
    <w:rsid w:val="00AD5F24"/>
    <w:rsid w:val="00AD5FE2"/>
    <w:rsid w:val="00AD602D"/>
    <w:rsid w:val="00AD6131"/>
    <w:rsid w:val="00AD623D"/>
    <w:rsid w:val="00AD6315"/>
    <w:rsid w:val="00AD66BE"/>
    <w:rsid w:val="00AD675E"/>
    <w:rsid w:val="00AD681E"/>
    <w:rsid w:val="00AD6AD3"/>
    <w:rsid w:val="00AD6D52"/>
    <w:rsid w:val="00AD6E42"/>
    <w:rsid w:val="00AD722A"/>
    <w:rsid w:val="00AD7286"/>
    <w:rsid w:val="00AD7362"/>
    <w:rsid w:val="00AD7D82"/>
    <w:rsid w:val="00AD7F4A"/>
    <w:rsid w:val="00AD7F70"/>
    <w:rsid w:val="00AD7FE9"/>
    <w:rsid w:val="00AE02C5"/>
    <w:rsid w:val="00AE0356"/>
    <w:rsid w:val="00AE04BC"/>
    <w:rsid w:val="00AE0961"/>
    <w:rsid w:val="00AE09FB"/>
    <w:rsid w:val="00AE0A2D"/>
    <w:rsid w:val="00AE0B90"/>
    <w:rsid w:val="00AE1302"/>
    <w:rsid w:val="00AE1529"/>
    <w:rsid w:val="00AE15C9"/>
    <w:rsid w:val="00AE1926"/>
    <w:rsid w:val="00AE19D9"/>
    <w:rsid w:val="00AE1A70"/>
    <w:rsid w:val="00AE1B01"/>
    <w:rsid w:val="00AE1B29"/>
    <w:rsid w:val="00AE1F28"/>
    <w:rsid w:val="00AE26C9"/>
    <w:rsid w:val="00AE279B"/>
    <w:rsid w:val="00AE28E4"/>
    <w:rsid w:val="00AE2AF7"/>
    <w:rsid w:val="00AE2B5B"/>
    <w:rsid w:val="00AE309D"/>
    <w:rsid w:val="00AE313D"/>
    <w:rsid w:val="00AE3455"/>
    <w:rsid w:val="00AE363C"/>
    <w:rsid w:val="00AE3739"/>
    <w:rsid w:val="00AE3973"/>
    <w:rsid w:val="00AE3A1E"/>
    <w:rsid w:val="00AE3AA3"/>
    <w:rsid w:val="00AE3D37"/>
    <w:rsid w:val="00AE41A3"/>
    <w:rsid w:val="00AE4395"/>
    <w:rsid w:val="00AE45BF"/>
    <w:rsid w:val="00AE4673"/>
    <w:rsid w:val="00AE4834"/>
    <w:rsid w:val="00AE4AC3"/>
    <w:rsid w:val="00AE501E"/>
    <w:rsid w:val="00AE5536"/>
    <w:rsid w:val="00AE56B7"/>
    <w:rsid w:val="00AE578C"/>
    <w:rsid w:val="00AE5BD4"/>
    <w:rsid w:val="00AE5F32"/>
    <w:rsid w:val="00AE5F4E"/>
    <w:rsid w:val="00AE6034"/>
    <w:rsid w:val="00AE6735"/>
    <w:rsid w:val="00AE6798"/>
    <w:rsid w:val="00AE6898"/>
    <w:rsid w:val="00AE68F7"/>
    <w:rsid w:val="00AE69A7"/>
    <w:rsid w:val="00AE69E3"/>
    <w:rsid w:val="00AE6C1E"/>
    <w:rsid w:val="00AE6CD0"/>
    <w:rsid w:val="00AE6FCD"/>
    <w:rsid w:val="00AE7198"/>
    <w:rsid w:val="00AE734F"/>
    <w:rsid w:val="00AE7661"/>
    <w:rsid w:val="00AE7766"/>
    <w:rsid w:val="00AE798B"/>
    <w:rsid w:val="00AE7B67"/>
    <w:rsid w:val="00AE7EA8"/>
    <w:rsid w:val="00AE7F77"/>
    <w:rsid w:val="00AF00ED"/>
    <w:rsid w:val="00AF0308"/>
    <w:rsid w:val="00AF0626"/>
    <w:rsid w:val="00AF067A"/>
    <w:rsid w:val="00AF07B2"/>
    <w:rsid w:val="00AF0A86"/>
    <w:rsid w:val="00AF0C2B"/>
    <w:rsid w:val="00AF0D96"/>
    <w:rsid w:val="00AF0F36"/>
    <w:rsid w:val="00AF109E"/>
    <w:rsid w:val="00AF1263"/>
    <w:rsid w:val="00AF12C6"/>
    <w:rsid w:val="00AF1302"/>
    <w:rsid w:val="00AF18AB"/>
    <w:rsid w:val="00AF1A2D"/>
    <w:rsid w:val="00AF1B67"/>
    <w:rsid w:val="00AF25B7"/>
    <w:rsid w:val="00AF2656"/>
    <w:rsid w:val="00AF27BC"/>
    <w:rsid w:val="00AF28FD"/>
    <w:rsid w:val="00AF2902"/>
    <w:rsid w:val="00AF294A"/>
    <w:rsid w:val="00AF297D"/>
    <w:rsid w:val="00AF2B98"/>
    <w:rsid w:val="00AF2C0B"/>
    <w:rsid w:val="00AF2D10"/>
    <w:rsid w:val="00AF2DA7"/>
    <w:rsid w:val="00AF2DBC"/>
    <w:rsid w:val="00AF2EA2"/>
    <w:rsid w:val="00AF2FCC"/>
    <w:rsid w:val="00AF300E"/>
    <w:rsid w:val="00AF32A1"/>
    <w:rsid w:val="00AF32F9"/>
    <w:rsid w:val="00AF3824"/>
    <w:rsid w:val="00AF3B17"/>
    <w:rsid w:val="00AF3D60"/>
    <w:rsid w:val="00AF3DFE"/>
    <w:rsid w:val="00AF3E8F"/>
    <w:rsid w:val="00AF4019"/>
    <w:rsid w:val="00AF4170"/>
    <w:rsid w:val="00AF47EB"/>
    <w:rsid w:val="00AF4AAC"/>
    <w:rsid w:val="00AF4DBF"/>
    <w:rsid w:val="00AF4FD5"/>
    <w:rsid w:val="00AF5650"/>
    <w:rsid w:val="00AF57E0"/>
    <w:rsid w:val="00AF5A7E"/>
    <w:rsid w:val="00AF5ACD"/>
    <w:rsid w:val="00AF607D"/>
    <w:rsid w:val="00AF60D7"/>
    <w:rsid w:val="00AF6110"/>
    <w:rsid w:val="00AF6226"/>
    <w:rsid w:val="00AF63E9"/>
    <w:rsid w:val="00AF6425"/>
    <w:rsid w:val="00AF646E"/>
    <w:rsid w:val="00AF66AE"/>
    <w:rsid w:val="00AF685D"/>
    <w:rsid w:val="00AF6AC6"/>
    <w:rsid w:val="00AF7095"/>
    <w:rsid w:val="00AF70D8"/>
    <w:rsid w:val="00AF719C"/>
    <w:rsid w:val="00AF71C9"/>
    <w:rsid w:val="00AF72E9"/>
    <w:rsid w:val="00AF73D4"/>
    <w:rsid w:val="00AF74A5"/>
    <w:rsid w:val="00AF7AB9"/>
    <w:rsid w:val="00AF7D99"/>
    <w:rsid w:val="00AF7E82"/>
    <w:rsid w:val="00AF7F9B"/>
    <w:rsid w:val="00B00014"/>
    <w:rsid w:val="00B005CC"/>
    <w:rsid w:val="00B00611"/>
    <w:rsid w:val="00B0065F"/>
    <w:rsid w:val="00B00709"/>
    <w:rsid w:val="00B00DC7"/>
    <w:rsid w:val="00B01196"/>
    <w:rsid w:val="00B011BA"/>
    <w:rsid w:val="00B013E3"/>
    <w:rsid w:val="00B01B4D"/>
    <w:rsid w:val="00B01C4E"/>
    <w:rsid w:val="00B01F1F"/>
    <w:rsid w:val="00B01FA8"/>
    <w:rsid w:val="00B02046"/>
    <w:rsid w:val="00B02141"/>
    <w:rsid w:val="00B02484"/>
    <w:rsid w:val="00B02A12"/>
    <w:rsid w:val="00B02B88"/>
    <w:rsid w:val="00B02C57"/>
    <w:rsid w:val="00B02D60"/>
    <w:rsid w:val="00B02DD8"/>
    <w:rsid w:val="00B02ED2"/>
    <w:rsid w:val="00B02F6B"/>
    <w:rsid w:val="00B03037"/>
    <w:rsid w:val="00B0334E"/>
    <w:rsid w:val="00B03484"/>
    <w:rsid w:val="00B03719"/>
    <w:rsid w:val="00B03A5A"/>
    <w:rsid w:val="00B03A82"/>
    <w:rsid w:val="00B03C5A"/>
    <w:rsid w:val="00B03CED"/>
    <w:rsid w:val="00B03FE3"/>
    <w:rsid w:val="00B042D3"/>
    <w:rsid w:val="00B04354"/>
    <w:rsid w:val="00B0461C"/>
    <w:rsid w:val="00B04663"/>
    <w:rsid w:val="00B0476A"/>
    <w:rsid w:val="00B048DB"/>
    <w:rsid w:val="00B049AD"/>
    <w:rsid w:val="00B049C5"/>
    <w:rsid w:val="00B04AB7"/>
    <w:rsid w:val="00B04BAA"/>
    <w:rsid w:val="00B04FD7"/>
    <w:rsid w:val="00B05065"/>
    <w:rsid w:val="00B05316"/>
    <w:rsid w:val="00B053B4"/>
    <w:rsid w:val="00B05446"/>
    <w:rsid w:val="00B05686"/>
    <w:rsid w:val="00B05B9D"/>
    <w:rsid w:val="00B05EE4"/>
    <w:rsid w:val="00B06224"/>
    <w:rsid w:val="00B06435"/>
    <w:rsid w:val="00B064CE"/>
    <w:rsid w:val="00B065B9"/>
    <w:rsid w:val="00B067BF"/>
    <w:rsid w:val="00B06826"/>
    <w:rsid w:val="00B0684A"/>
    <w:rsid w:val="00B06B7D"/>
    <w:rsid w:val="00B06BA4"/>
    <w:rsid w:val="00B06BDC"/>
    <w:rsid w:val="00B06C9E"/>
    <w:rsid w:val="00B0759C"/>
    <w:rsid w:val="00B0770C"/>
    <w:rsid w:val="00B07A16"/>
    <w:rsid w:val="00B07B87"/>
    <w:rsid w:val="00B07D14"/>
    <w:rsid w:val="00B07DB8"/>
    <w:rsid w:val="00B10118"/>
    <w:rsid w:val="00B101C7"/>
    <w:rsid w:val="00B101D9"/>
    <w:rsid w:val="00B101E6"/>
    <w:rsid w:val="00B10367"/>
    <w:rsid w:val="00B10374"/>
    <w:rsid w:val="00B104CF"/>
    <w:rsid w:val="00B10672"/>
    <w:rsid w:val="00B10737"/>
    <w:rsid w:val="00B10A51"/>
    <w:rsid w:val="00B10C46"/>
    <w:rsid w:val="00B10D0C"/>
    <w:rsid w:val="00B10D51"/>
    <w:rsid w:val="00B10D6B"/>
    <w:rsid w:val="00B10DA1"/>
    <w:rsid w:val="00B10DA7"/>
    <w:rsid w:val="00B11186"/>
    <w:rsid w:val="00B111E7"/>
    <w:rsid w:val="00B11706"/>
    <w:rsid w:val="00B1184A"/>
    <w:rsid w:val="00B11AC7"/>
    <w:rsid w:val="00B11B7E"/>
    <w:rsid w:val="00B11BAA"/>
    <w:rsid w:val="00B11BCB"/>
    <w:rsid w:val="00B11BE4"/>
    <w:rsid w:val="00B11C6A"/>
    <w:rsid w:val="00B11C78"/>
    <w:rsid w:val="00B11D09"/>
    <w:rsid w:val="00B11E11"/>
    <w:rsid w:val="00B11E5A"/>
    <w:rsid w:val="00B1232A"/>
    <w:rsid w:val="00B1232B"/>
    <w:rsid w:val="00B1244C"/>
    <w:rsid w:val="00B13013"/>
    <w:rsid w:val="00B130EE"/>
    <w:rsid w:val="00B130FC"/>
    <w:rsid w:val="00B1315D"/>
    <w:rsid w:val="00B1325A"/>
    <w:rsid w:val="00B133CB"/>
    <w:rsid w:val="00B1361C"/>
    <w:rsid w:val="00B1372B"/>
    <w:rsid w:val="00B1384B"/>
    <w:rsid w:val="00B13AFA"/>
    <w:rsid w:val="00B13C94"/>
    <w:rsid w:val="00B13DCB"/>
    <w:rsid w:val="00B13E64"/>
    <w:rsid w:val="00B14533"/>
    <w:rsid w:val="00B14A1A"/>
    <w:rsid w:val="00B14BB1"/>
    <w:rsid w:val="00B14BC6"/>
    <w:rsid w:val="00B1529A"/>
    <w:rsid w:val="00B154F0"/>
    <w:rsid w:val="00B157A5"/>
    <w:rsid w:val="00B157B6"/>
    <w:rsid w:val="00B15927"/>
    <w:rsid w:val="00B15B1B"/>
    <w:rsid w:val="00B15BA3"/>
    <w:rsid w:val="00B15BAF"/>
    <w:rsid w:val="00B15DEB"/>
    <w:rsid w:val="00B15DFC"/>
    <w:rsid w:val="00B15EBB"/>
    <w:rsid w:val="00B15ED6"/>
    <w:rsid w:val="00B160CA"/>
    <w:rsid w:val="00B16126"/>
    <w:rsid w:val="00B162C1"/>
    <w:rsid w:val="00B16420"/>
    <w:rsid w:val="00B164E0"/>
    <w:rsid w:val="00B16BCB"/>
    <w:rsid w:val="00B16D7F"/>
    <w:rsid w:val="00B16E3D"/>
    <w:rsid w:val="00B16F6B"/>
    <w:rsid w:val="00B17073"/>
    <w:rsid w:val="00B171B0"/>
    <w:rsid w:val="00B17780"/>
    <w:rsid w:val="00B17D28"/>
    <w:rsid w:val="00B17EC5"/>
    <w:rsid w:val="00B17FBC"/>
    <w:rsid w:val="00B200AB"/>
    <w:rsid w:val="00B20466"/>
    <w:rsid w:val="00B20646"/>
    <w:rsid w:val="00B20726"/>
    <w:rsid w:val="00B20C13"/>
    <w:rsid w:val="00B20CCB"/>
    <w:rsid w:val="00B20FDA"/>
    <w:rsid w:val="00B2129A"/>
    <w:rsid w:val="00B21357"/>
    <w:rsid w:val="00B21460"/>
    <w:rsid w:val="00B2157B"/>
    <w:rsid w:val="00B21C33"/>
    <w:rsid w:val="00B21E4A"/>
    <w:rsid w:val="00B220AB"/>
    <w:rsid w:val="00B22173"/>
    <w:rsid w:val="00B221B5"/>
    <w:rsid w:val="00B2234B"/>
    <w:rsid w:val="00B223EF"/>
    <w:rsid w:val="00B22465"/>
    <w:rsid w:val="00B2283A"/>
    <w:rsid w:val="00B229C5"/>
    <w:rsid w:val="00B22D52"/>
    <w:rsid w:val="00B22F02"/>
    <w:rsid w:val="00B231F3"/>
    <w:rsid w:val="00B2324E"/>
    <w:rsid w:val="00B23320"/>
    <w:rsid w:val="00B233B4"/>
    <w:rsid w:val="00B234B9"/>
    <w:rsid w:val="00B238E4"/>
    <w:rsid w:val="00B23A2D"/>
    <w:rsid w:val="00B23A5B"/>
    <w:rsid w:val="00B23A6B"/>
    <w:rsid w:val="00B23C92"/>
    <w:rsid w:val="00B240AE"/>
    <w:rsid w:val="00B2417B"/>
    <w:rsid w:val="00B243B0"/>
    <w:rsid w:val="00B2462E"/>
    <w:rsid w:val="00B2484E"/>
    <w:rsid w:val="00B2485D"/>
    <w:rsid w:val="00B249E4"/>
    <w:rsid w:val="00B249FC"/>
    <w:rsid w:val="00B24CE9"/>
    <w:rsid w:val="00B25147"/>
    <w:rsid w:val="00B25256"/>
    <w:rsid w:val="00B252B2"/>
    <w:rsid w:val="00B254B8"/>
    <w:rsid w:val="00B25644"/>
    <w:rsid w:val="00B2564E"/>
    <w:rsid w:val="00B259DE"/>
    <w:rsid w:val="00B25C8C"/>
    <w:rsid w:val="00B260E6"/>
    <w:rsid w:val="00B261A5"/>
    <w:rsid w:val="00B262CB"/>
    <w:rsid w:val="00B268A9"/>
    <w:rsid w:val="00B26D0A"/>
    <w:rsid w:val="00B26EA8"/>
    <w:rsid w:val="00B26EB8"/>
    <w:rsid w:val="00B27091"/>
    <w:rsid w:val="00B2718A"/>
    <w:rsid w:val="00B27212"/>
    <w:rsid w:val="00B27239"/>
    <w:rsid w:val="00B274EB"/>
    <w:rsid w:val="00B27740"/>
    <w:rsid w:val="00B27975"/>
    <w:rsid w:val="00B27D97"/>
    <w:rsid w:val="00B27FC2"/>
    <w:rsid w:val="00B3014D"/>
    <w:rsid w:val="00B305DB"/>
    <w:rsid w:val="00B30882"/>
    <w:rsid w:val="00B30983"/>
    <w:rsid w:val="00B30D78"/>
    <w:rsid w:val="00B31035"/>
    <w:rsid w:val="00B311AE"/>
    <w:rsid w:val="00B31215"/>
    <w:rsid w:val="00B31552"/>
    <w:rsid w:val="00B316D4"/>
    <w:rsid w:val="00B317E7"/>
    <w:rsid w:val="00B31A96"/>
    <w:rsid w:val="00B31C0F"/>
    <w:rsid w:val="00B31C4E"/>
    <w:rsid w:val="00B31E41"/>
    <w:rsid w:val="00B31E66"/>
    <w:rsid w:val="00B32315"/>
    <w:rsid w:val="00B3234F"/>
    <w:rsid w:val="00B324E2"/>
    <w:rsid w:val="00B328AA"/>
    <w:rsid w:val="00B329D5"/>
    <w:rsid w:val="00B32B64"/>
    <w:rsid w:val="00B32FB1"/>
    <w:rsid w:val="00B335B3"/>
    <w:rsid w:val="00B335CA"/>
    <w:rsid w:val="00B338FB"/>
    <w:rsid w:val="00B339EE"/>
    <w:rsid w:val="00B33A0F"/>
    <w:rsid w:val="00B33A57"/>
    <w:rsid w:val="00B34083"/>
    <w:rsid w:val="00B34226"/>
    <w:rsid w:val="00B34309"/>
    <w:rsid w:val="00B3442C"/>
    <w:rsid w:val="00B34744"/>
    <w:rsid w:val="00B34BD6"/>
    <w:rsid w:val="00B34C57"/>
    <w:rsid w:val="00B34EF8"/>
    <w:rsid w:val="00B34F90"/>
    <w:rsid w:val="00B34FFF"/>
    <w:rsid w:val="00B35056"/>
    <w:rsid w:val="00B3514C"/>
    <w:rsid w:val="00B351D9"/>
    <w:rsid w:val="00B3521C"/>
    <w:rsid w:val="00B35392"/>
    <w:rsid w:val="00B3581A"/>
    <w:rsid w:val="00B35911"/>
    <w:rsid w:val="00B35BC4"/>
    <w:rsid w:val="00B35DA1"/>
    <w:rsid w:val="00B36391"/>
    <w:rsid w:val="00B36704"/>
    <w:rsid w:val="00B3678D"/>
    <w:rsid w:val="00B3693B"/>
    <w:rsid w:val="00B36C36"/>
    <w:rsid w:val="00B36CB6"/>
    <w:rsid w:val="00B36E37"/>
    <w:rsid w:val="00B36E56"/>
    <w:rsid w:val="00B36F30"/>
    <w:rsid w:val="00B36F34"/>
    <w:rsid w:val="00B3715F"/>
    <w:rsid w:val="00B37514"/>
    <w:rsid w:val="00B37728"/>
    <w:rsid w:val="00B37935"/>
    <w:rsid w:val="00B37CB4"/>
    <w:rsid w:val="00B37E37"/>
    <w:rsid w:val="00B37E88"/>
    <w:rsid w:val="00B37EC4"/>
    <w:rsid w:val="00B4020A"/>
    <w:rsid w:val="00B404C4"/>
    <w:rsid w:val="00B40949"/>
    <w:rsid w:val="00B40BEA"/>
    <w:rsid w:val="00B40DFA"/>
    <w:rsid w:val="00B40E6D"/>
    <w:rsid w:val="00B40FB6"/>
    <w:rsid w:val="00B410ED"/>
    <w:rsid w:val="00B41288"/>
    <w:rsid w:val="00B417A0"/>
    <w:rsid w:val="00B41AF4"/>
    <w:rsid w:val="00B41B52"/>
    <w:rsid w:val="00B41C3F"/>
    <w:rsid w:val="00B41D5E"/>
    <w:rsid w:val="00B4211C"/>
    <w:rsid w:val="00B42271"/>
    <w:rsid w:val="00B422FC"/>
    <w:rsid w:val="00B4266B"/>
    <w:rsid w:val="00B42683"/>
    <w:rsid w:val="00B4291E"/>
    <w:rsid w:val="00B429B8"/>
    <w:rsid w:val="00B42ADE"/>
    <w:rsid w:val="00B42DCB"/>
    <w:rsid w:val="00B42EA7"/>
    <w:rsid w:val="00B42F07"/>
    <w:rsid w:val="00B432C6"/>
    <w:rsid w:val="00B4338B"/>
    <w:rsid w:val="00B435E3"/>
    <w:rsid w:val="00B43827"/>
    <w:rsid w:val="00B43C25"/>
    <w:rsid w:val="00B43C7F"/>
    <w:rsid w:val="00B43E60"/>
    <w:rsid w:val="00B43EEA"/>
    <w:rsid w:val="00B44205"/>
    <w:rsid w:val="00B444AF"/>
    <w:rsid w:val="00B44634"/>
    <w:rsid w:val="00B449E9"/>
    <w:rsid w:val="00B44BB4"/>
    <w:rsid w:val="00B44C94"/>
    <w:rsid w:val="00B44E24"/>
    <w:rsid w:val="00B44F50"/>
    <w:rsid w:val="00B44F9C"/>
    <w:rsid w:val="00B450AB"/>
    <w:rsid w:val="00B4527E"/>
    <w:rsid w:val="00B452DE"/>
    <w:rsid w:val="00B45373"/>
    <w:rsid w:val="00B4541C"/>
    <w:rsid w:val="00B45468"/>
    <w:rsid w:val="00B45702"/>
    <w:rsid w:val="00B458E7"/>
    <w:rsid w:val="00B45A00"/>
    <w:rsid w:val="00B45C64"/>
    <w:rsid w:val="00B45DB8"/>
    <w:rsid w:val="00B45E8B"/>
    <w:rsid w:val="00B46207"/>
    <w:rsid w:val="00B463BE"/>
    <w:rsid w:val="00B466C3"/>
    <w:rsid w:val="00B466F6"/>
    <w:rsid w:val="00B4678F"/>
    <w:rsid w:val="00B46A32"/>
    <w:rsid w:val="00B46AE4"/>
    <w:rsid w:val="00B46B29"/>
    <w:rsid w:val="00B46EF4"/>
    <w:rsid w:val="00B46FE3"/>
    <w:rsid w:val="00B47298"/>
    <w:rsid w:val="00B47511"/>
    <w:rsid w:val="00B476B0"/>
    <w:rsid w:val="00B476E0"/>
    <w:rsid w:val="00B47896"/>
    <w:rsid w:val="00B47954"/>
    <w:rsid w:val="00B47BF7"/>
    <w:rsid w:val="00B47C01"/>
    <w:rsid w:val="00B50219"/>
    <w:rsid w:val="00B50295"/>
    <w:rsid w:val="00B50470"/>
    <w:rsid w:val="00B50765"/>
    <w:rsid w:val="00B507BD"/>
    <w:rsid w:val="00B50A40"/>
    <w:rsid w:val="00B50BF6"/>
    <w:rsid w:val="00B50C19"/>
    <w:rsid w:val="00B50C31"/>
    <w:rsid w:val="00B50E9E"/>
    <w:rsid w:val="00B51177"/>
    <w:rsid w:val="00B511BF"/>
    <w:rsid w:val="00B5140D"/>
    <w:rsid w:val="00B515E3"/>
    <w:rsid w:val="00B51717"/>
    <w:rsid w:val="00B51AD7"/>
    <w:rsid w:val="00B51B18"/>
    <w:rsid w:val="00B51CC7"/>
    <w:rsid w:val="00B51D59"/>
    <w:rsid w:val="00B51E1A"/>
    <w:rsid w:val="00B52061"/>
    <w:rsid w:val="00B5210D"/>
    <w:rsid w:val="00B5223E"/>
    <w:rsid w:val="00B5230B"/>
    <w:rsid w:val="00B5243D"/>
    <w:rsid w:val="00B525B5"/>
    <w:rsid w:val="00B525CD"/>
    <w:rsid w:val="00B527CC"/>
    <w:rsid w:val="00B528DF"/>
    <w:rsid w:val="00B529FF"/>
    <w:rsid w:val="00B52AAB"/>
    <w:rsid w:val="00B52ABC"/>
    <w:rsid w:val="00B52BE4"/>
    <w:rsid w:val="00B52E18"/>
    <w:rsid w:val="00B5307E"/>
    <w:rsid w:val="00B5325C"/>
    <w:rsid w:val="00B53547"/>
    <w:rsid w:val="00B53548"/>
    <w:rsid w:val="00B53597"/>
    <w:rsid w:val="00B53784"/>
    <w:rsid w:val="00B537EF"/>
    <w:rsid w:val="00B539BA"/>
    <w:rsid w:val="00B53C0D"/>
    <w:rsid w:val="00B53CA0"/>
    <w:rsid w:val="00B53E1D"/>
    <w:rsid w:val="00B5421A"/>
    <w:rsid w:val="00B545C4"/>
    <w:rsid w:val="00B54690"/>
    <w:rsid w:val="00B5494B"/>
    <w:rsid w:val="00B549C7"/>
    <w:rsid w:val="00B54A2D"/>
    <w:rsid w:val="00B54C75"/>
    <w:rsid w:val="00B550D8"/>
    <w:rsid w:val="00B55114"/>
    <w:rsid w:val="00B5524F"/>
    <w:rsid w:val="00B55322"/>
    <w:rsid w:val="00B55347"/>
    <w:rsid w:val="00B5535E"/>
    <w:rsid w:val="00B553BF"/>
    <w:rsid w:val="00B55911"/>
    <w:rsid w:val="00B55A8B"/>
    <w:rsid w:val="00B55AA4"/>
    <w:rsid w:val="00B55AEE"/>
    <w:rsid w:val="00B55BA9"/>
    <w:rsid w:val="00B55C1F"/>
    <w:rsid w:val="00B55D3E"/>
    <w:rsid w:val="00B56C6E"/>
    <w:rsid w:val="00B56D4C"/>
    <w:rsid w:val="00B56F38"/>
    <w:rsid w:val="00B5711C"/>
    <w:rsid w:val="00B5740F"/>
    <w:rsid w:val="00B57440"/>
    <w:rsid w:val="00B5746F"/>
    <w:rsid w:val="00B5752B"/>
    <w:rsid w:val="00B57642"/>
    <w:rsid w:val="00B5791A"/>
    <w:rsid w:val="00B57921"/>
    <w:rsid w:val="00B57938"/>
    <w:rsid w:val="00B57B8D"/>
    <w:rsid w:val="00B57D22"/>
    <w:rsid w:val="00B57E41"/>
    <w:rsid w:val="00B60122"/>
    <w:rsid w:val="00B60769"/>
    <w:rsid w:val="00B60968"/>
    <w:rsid w:val="00B60BF9"/>
    <w:rsid w:val="00B60EC1"/>
    <w:rsid w:val="00B60FA8"/>
    <w:rsid w:val="00B610F4"/>
    <w:rsid w:val="00B61272"/>
    <w:rsid w:val="00B6141E"/>
    <w:rsid w:val="00B61619"/>
    <w:rsid w:val="00B61648"/>
    <w:rsid w:val="00B616F8"/>
    <w:rsid w:val="00B619F4"/>
    <w:rsid w:val="00B61A01"/>
    <w:rsid w:val="00B61BE8"/>
    <w:rsid w:val="00B61F4E"/>
    <w:rsid w:val="00B62298"/>
    <w:rsid w:val="00B62412"/>
    <w:rsid w:val="00B62590"/>
    <w:rsid w:val="00B626C0"/>
    <w:rsid w:val="00B62700"/>
    <w:rsid w:val="00B62BDF"/>
    <w:rsid w:val="00B62F20"/>
    <w:rsid w:val="00B6325B"/>
    <w:rsid w:val="00B6327D"/>
    <w:rsid w:val="00B632FF"/>
    <w:rsid w:val="00B6393A"/>
    <w:rsid w:val="00B63970"/>
    <w:rsid w:val="00B63A74"/>
    <w:rsid w:val="00B63B5B"/>
    <w:rsid w:val="00B63BC1"/>
    <w:rsid w:val="00B641C4"/>
    <w:rsid w:val="00B644FE"/>
    <w:rsid w:val="00B646A9"/>
    <w:rsid w:val="00B6471C"/>
    <w:rsid w:val="00B64989"/>
    <w:rsid w:val="00B64AA0"/>
    <w:rsid w:val="00B64AE6"/>
    <w:rsid w:val="00B64C7F"/>
    <w:rsid w:val="00B64D61"/>
    <w:rsid w:val="00B64DD1"/>
    <w:rsid w:val="00B64FAA"/>
    <w:rsid w:val="00B6507A"/>
    <w:rsid w:val="00B65124"/>
    <w:rsid w:val="00B651B5"/>
    <w:rsid w:val="00B652E8"/>
    <w:rsid w:val="00B652FD"/>
    <w:rsid w:val="00B65638"/>
    <w:rsid w:val="00B65869"/>
    <w:rsid w:val="00B65AF3"/>
    <w:rsid w:val="00B65B7D"/>
    <w:rsid w:val="00B65E29"/>
    <w:rsid w:val="00B65F23"/>
    <w:rsid w:val="00B6634B"/>
    <w:rsid w:val="00B66381"/>
    <w:rsid w:val="00B663F1"/>
    <w:rsid w:val="00B6684C"/>
    <w:rsid w:val="00B66F1A"/>
    <w:rsid w:val="00B67097"/>
    <w:rsid w:val="00B670BA"/>
    <w:rsid w:val="00B6713D"/>
    <w:rsid w:val="00B67271"/>
    <w:rsid w:val="00B6729F"/>
    <w:rsid w:val="00B676E1"/>
    <w:rsid w:val="00B67712"/>
    <w:rsid w:val="00B67DDE"/>
    <w:rsid w:val="00B7006C"/>
    <w:rsid w:val="00B7013B"/>
    <w:rsid w:val="00B706E2"/>
    <w:rsid w:val="00B70A8C"/>
    <w:rsid w:val="00B70ACD"/>
    <w:rsid w:val="00B70AD8"/>
    <w:rsid w:val="00B70BB6"/>
    <w:rsid w:val="00B70D53"/>
    <w:rsid w:val="00B71492"/>
    <w:rsid w:val="00B71BC2"/>
    <w:rsid w:val="00B71D6A"/>
    <w:rsid w:val="00B71F3B"/>
    <w:rsid w:val="00B71FA4"/>
    <w:rsid w:val="00B720D4"/>
    <w:rsid w:val="00B721B4"/>
    <w:rsid w:val="00B7222D"/>
    <w:rsid w:val="00B7267A"/>
    <w:rsid w:val="00B72793"/>
    <w:rsid w:val="00B72988"/>
    <w:rsid w:val="00B72A4B"/>
    <w:rsid w:val="00B72D7E"/>
    <w:rsid w:val="00B72DE3"/>
    <w:rsid w:val="00B72EB1"/>
    <w:rsid w:val="00B72FC4"/>
    <w:rsid w:val="00B730C2"/>
    <w:rsid w:val="00B73167"/>
    <w:rsid w:val="00B735D9"/>
    <w:rsid w:val="00B735E1"/>
    <w:rsid w:val="00B7361F"/>
    <w:rsid w:val="00B73776"/>
    <w:rsid w:val="00B73788"/>
    <w:rsid w:val="00B73860"/>
    <w:rsid w:val="00B7386D"/>
    <w:rsid w:val="00B73919"/>
    <w:rsid w:val="00B74055"/>
    <w:rsid w:val="00B742DF"/>
    <w:rsid w:val="00B747F1"/>
    <w:rsid w:val="00B74931"/>
    <w:rsid w:val="00B74BA0"/>
    <w:rsid w:val="00B74E9A"/>
    <w:rsid w:val="00B74F5D"/>
    <w:rsid w:val="00B754A4"/>
    <w:rsid w:val="00B755ED"/>
    <w:rsid w:val="00B75608"/>
    <w:rsid w:val="00B75643"/>
    <w:rsid w:val="00B75682"/>
    <w:rsid w:val="00B756D1"/>
    <w:rsid w:val="00B75749"/>
    <w:rsid w:val="00B757F1"/>
    <w:rsid w:val="00B759AA"/>
    <w:rsid w:val="00B75A8F"/>
    <w:rsid w:val="00B75B4F"/>
    <w:rsid w:val="00B75DB8"/>
    <w:rsid w:val="00B75E6C"/>
    <w:rsid w:val="00B75F5A"/>
    <w:rsid w:val="00B76073"/>
    <w:rsid w:val="00B760B4"/>
    <w:rsid w:val="00B76240"/>
    <w:rsid w:val="00B76292"/>
    <w:rsid w:val="00B764E7"/>
    <w:rsid w:val="00B76728"/>
    <w:rsid w:val="00B768C2"/>
    <w:rsid w:val="00B76BDD"/>
    <w:rsid w:val="00B76C7B"/>
    <w:rsid w:val="00B76D3B"/>
    <w:rsid w:val="00B76DBB"/>
    <w:rsid w:val="00B775FE"/>
    <w:rsid w:val="00B777C2"/>
    <w:rsid w:val="00B77A40"/>
    <w:rsid w:val="00B77B1C"/>
    <w:rsid w:val="00B77B49"/>
    <w:rsid w:val="00B77BBF"/>
    <w:rsid w:val="00B77D2C"/>
    <w:rsid w:val="00B77F1D"/>
    <w:rsid w:val="00B77F57"/>
    <w:rsid w:val="00B80772"/>
    <w:rsid w:val="00B80792"/>
    <w:rsid w:val="00B80B50"/>
    <w:rsid w:val="00B80C4E"/>
    <w:rsid w:val="00B80C85"/>
    <w:rsid w:val="00B812BB"/>
    <w:rsid w:val="00B81389"/>
    <w:rsid w:val="00B81820"/>
    <w:rsid w:val="00B81941"/>
    <w:rsid w:val="00B81A0B"/>
    <w:rsid w:val="00B81AA6"/>
    <w:rsid w:val="00B81C48"/>
    <w:rsid w:val="00B81F24"/>
    <w:rsid w:val="00B823A7"/>
    <w:rsid w:val="00B82567"/>
    <w:rsid w:val="00B82627"/>
    <w:rsid w:val="00B82947"/>
    <w:rsid w:val="00B82948"/>
    <w:rsid w:val="00B829A2"/>
    <w:rsid w:val="00B82D02"/>
    <w:rsid w:val="00B82F20"/>
    <w:rsid w:val="00B83086"/>
    <w:rsid w:val="00B83298"/>
    <w:rsid w:val="00B832F7"/>
    <w:rsid w:val="00B83403"/>
    <w:rsid w:val="00B83409"/>
    <w:rsid w:val="00B8358F"/>
    <w:rsid w:val="00B83A4B"/>
    <w:rsid w:val="00B83ACA"/>
    <w:rsid w:val="00B83D27"/>
    <w:rsid w:val="00B83E50"/>
    <w:rsid w:val="00B83E6B"/>
    <w:rsid w:val="00B84331"/>
    <w:rsid w:val="00B84375"/>
    <w:rsid w:val="00B8448B"/>
    <w:rsid w:val="00B847BD"/>
    <w:rsid w:val="00B84913"/>
    <w:rsid w:val="00B84A8E"/>
    <w:rsid w:val="00B84AB1"/>
    <w:rsid w:val="00B84B30"/>
    <w:rsid w:val="00B84B6C"/>
    <w:rsid w:val="00B84DB6"/>
    <w:rsid w:val="00B84EED"/>
    <w:rsid w:val="00B84F29"/>
    <w:rsid w:val="00B85271"/>
    <w:rsid w:val="00B8528E"/>
    <w:rsid w:val="00B8578C"/>
    <w:rsid w:val="00B857D1"/>
    <w:rsid w:val="00B85C12"/>
    <w:rsid w:val="00B85E89"/>
    <w:rsid w:val="00B860EA"/>
    <w:rsid w:val="00B8624B"/>
    <w:rsid w:val="00B86441"/>
    <w:rsid w:val="00B86767"/>
    <w:rsid w:val="00B86804"/>
    <w:rsid w:val="00B868D9"/>
    <w:rsid w:val="00B8693B"/>
    <w:rsid w:val="00B86978"/>
    <w:rsid w:val="00B869B1"/>
    <w:rsid w:val="00B86AB2"/>
    <w:rsid w:val="00B86AF9"/>
    <w:rsid w:val="00B86BD5"/>
    <w:rsid w:val="00B86E46"/>
    <w:rsid w:val="00B8716C"/>
    <w:rsid w:val="00B871F0"/>
    <w:rsid w:val="00B8737A"/>
    <w:rsid w:val="00B87403"/>
    <w:rsid w:val="00B8751C"/>
    <w:rsid w:val="00B877BC"/>
    <w:rsid w:val="00B87802"/>
    <w:rsid w:val="00B878BC"/>
    <w:rsid w:val="00B87951"/>
    <w:rsid w:val="00B879CE"/>
    <w:rsid w:val="00B87BBB"/>
    <w:rsid w:val="00B87BCE"/>
    <w:rsid w:val="00B87F72"/>
    <w:rsid w:val="00B87F8C"/>
    <w:rsid w:val="00B90010"/>
    <w:rsid w:val="00B90141"/>
    <w:rsid w:val="00B90736"/>
    <w:rsid w:val="00B907FD"/>
    <w:rsid w:val="00B9090F"/>
    <w:rsid w:val="00B9097F"/>
    <w:rsid w:val="00B909E5"/>
    <w:rsid w:val="00B90A0B"/>
    <w:rsid w:val="00B90A91"/>
    <w:rsid w:val="00B90AA7"/>
    <w:rsid w:val="00B90ABC"/>
    <w:rsid w:val="00B90C9D"/>
    <w:rsid w:val="00B90D03"/>
    <w:rsid w:val="00B90E70"/>
    <w:rsid w:val="00B9103D"/>
    <w:rsid w:val="00B91088"/>
    <w:rsid w:val="00B912F5"/>
    <w:rsid w:val="00B9137B"/>
    <w:rsid w:val="00B91453"/>
    <w:rsid w:val="00B915BF"/>
    <w:rsid w:val="00B91A26"/>
    <w:rsid w:val="00B91FAE"/>
    <w:rsid w:val="00B92050"/>
    <w:rsid w:val="00B92295"/>
    <w:rsid w:val="00B9230F"/>
    <w:rsid w:val="00B92368"/>
    <w:rsid w:val="00B923CA"/>
    <w:rsid w:val="00B925CD"/>
    <w:rsid w:val="00B92825"/>
    <w:rsid w:val="00B92B39"/>
    <w:rsid w:val="00B92BE8"/>
    <w:rsid w:val="00B92E59"/>
    <w:rsid w:val="00B930DB"/>
    <w:rsid w:val="00B9324B"/>
    <w:rsid w:val="00B93311"/>
    <w:rsid w:val="00B9360C"/>
    <w:rsid w:val="00B93798"/>
    <w:rsid w:val="00B937BA"/>
    <w:rsid w:val="00B93809"/>
    <w:rsid w:val="00B938DC"/>
    <w:rsid w:val="00B93967"/>
    <w:rsid w:val="00B940D0"/>
    <w:rsid w:val="00B941ED"/>
    <w:rsid w:val="00B94335"/>
    <w:rsid w:val="00B944A0"/>
    <w:rsid w:val="00B94569"/>
    <w:rsid w:val="00B94879"/>
    <w:rsid w:val="00B94887"/>
    <w:rsid w:val="00B94946"/>
    <w:rsid w:val="00B94C02"/>
    <w:rsid w:val="00B94C59"/>
    <w:rsid w:val="00B94D92"/>
    <w:rsid w:val="00B94E35"/>
    <w:rsid w:val="00B95273"/>
    <w:rsid w:val="00B95369"/>
    <w:rsid w:val="00B953D5"/>
    <w:rsid w:val="00B957B9"/>
    <w:rsid w:val="00B959A1"/>
    <w:rsid w:val="00B95ACC"/>
    <w:rsid w:val="00B95AD0"/>
    <w:rsid w:val="00B95AFD"/>
    <w:rsid w:val="00B95D55"/>
    <w:rsid w:val="00B95FBC"/>
    <w:rsid w:val="00B962CD"/>
    <w:rsid w:val="00B9655A"/>
    <w:rsid w:val="00B96586"/>
    <w:rsid w:val="00B96777"/>
    <w:rsid w:val="00B96A15"/>
    <w:rsid w:val="00B96CDE"/>
    <w:rsid w:val="00B96E12"/>
    <w:rsid w:val="00B97784"/>
    <w:rsid w:val="00B97943"/>
    <w:rsid w:val="00B979EE"/>
    <w:rsid w:val="00B97A46"/>
    <w:rsid w:val="00B97A8A"/>
    <w:rsid w:val="00B97ACA"/>
    <w:rsid w:val="00B97AD7"/>
    <w:rsid w:val="00BA0002"/>
    <w:rsid w:val="00BA0033"/>
    <w:rsid w:val="00BA012A"/>
    <w:rsid w:val="00BA0152"/>
    <w:rsid w:val="00BA0485"/>
    <w:rsid w:val="00BA084F"/>
    <w:rsid w:val="00BA08DB"/>
    <w:rsid w:val="00BA0B59"/>
    <w:rsid w:val="00BA0D13"/>
    <w:rsid w:val="00BA0FC7"/>
    <w:rsid w:val="00BA12A2"/>
    <w:rsid w:val="00BA130B"/>
    <w:rsid w:val="00BA1543"/>
    <w:rsid w:val="00BA168B"/>
    <w:rsid w:val="00BA17DE"/>
    <w:rsid w:val="00BA1810"/>
    <w:rsid w:val="00BA18C8"/>
    <w:rsid w:val="00BA1BC3"/>
    <w:rsid w:val="00BA1C0A"/>
    <w:rsid w:val="00BA206E"/>
    <w:rsid w:val="00BA2089"/>
    <w:rsid w:val="00BA230D"/>
    <w:rsid w:val="00BA23CC"/>
    <w:rsid w:val="00BA24E0"/>
    <w:rsid w:val="00BA24EC"/>
    <w:rsid w:val="00BA2598"/>
    <w:rsid w:val="00BA2837"/>
    <w:rsid w:val="00BA2952"/>
    <w:rsid w:val="00BA2C95"/>
    <w:rsid w:val="00BA2CC5"/>
    <w:rsid w:val="00BA2F00"/>
    <w:rsid w:val="00BA2F9B"/>
    <w:rsid w:val="00BA303A"/>
    <w:rsid w:val="00BA31EA"/>
    <w:rsid w:val="00BA32B2"/>
    <w:rsid w:val="00BA3359"/>
    <w:rsid w:val="00BA35C7"/>
    <w:rsid w:val="00BA3717"/>
    <w:rsid w:val="00BA386D"/>
    <w:rsid w:val="00BA38E0"/>
    <w:rsid w:val="00BA38F6"/>
    <w:rsid w:val="00BA3BB3"/>
    <w:rsid w:val="00BA3D8F"/>
    <w:rsid w:val="00BA3DA3"/>
    <w:rsid w:val="00BA3DB4"/>
    <w:rsid w:val="00BA40EA"/>
    <w:rsid w:val="00BA41B2"/>
    <w:rsid w:val="00BA4651"/>
    <w:rsid w:val="00BA467B"/>
    <w:rsid w:val="00BA4C59"/>
    <w:rsid w:val="00BA4C9E"/>
    <w:rsid w:val="00BA4EC4"/>
    <w:rsid w:val="00BA5053"/>
    <w:rsid w:val="00BA55A6"/>
    <w:rsid w:val="00BA56C3"/>
    <w:rsid w:val="00BA5BD5"/>
    <w:rsid w:val="00BA60C8"/>
    <w:rsid w:val="00BA650A"/>
    <w:rsid w:val="00BA659D"/>
    <w:rsid w:val="00BA65E5"/>
    <w:rsid w:val="00BA6616"/>
    <w:rsid w:val="00BA67BB"/>
    <w:rsid w:val="00BA685A"/>
    <w:rsid w:val="00BA68D1"/>
    <w:rsid w:val="00BA6CEE"/>
    <w:rsid w:val="00BA6EE5"/>
    <w:rsid w:val="00BA70B4"/>
    <w:rsid w:val="00BA7285"/>
    <w:rsid w:val="00BA7406"/>
    <w:rsid w:val="00BA75E4"/>
    <w:rsid w:val="00BA75FC"/>
    <w:rsid w:val="00BA76D5"/>
    <w:rsid w:val="00BA7903"/>
    <w:rsid w:val="00BA790F"/>
    <w:rsid w:val="00BA7A62"/>
    <w:rsid w:val="00BA7AB6"/>
    <w:rsid w:val="00BA7D37"/>
    <w:rsid w:val="00BA7DA7"/>
    <w:rsid w:val="00BA7DB3"/>
    <w:rsid w:val="00BA7DFC"/>
    <w:rsid w:val="00BB0386"/>
    <w:rsid w:val="00BB08DA"/>
    <w:rsid w:val="00BB09DF"/>
    <w:rsid w:val="00BB0C49"/>
    <w:rsid w:val="00BB0D58"/>
    <w:rsid w:val="00BB0F75"/>
    <w:rsid w:val="00BB128A"/>
    <w:rsid w:val="00BB13D3"/>
    <w:rsid w:val="00BB14BD"/>
    <w:rsid w:val="00BB14EE"/>
    <w:rsid w:val="00BB15EE"/>
    <w:rsid w:val="00BB19BA"/>
    <w:rsid w:val="00BB1B43"/>
    <w:rsid w:val="00BB1B4C"/>
    <w:rsid w:val="00BB1E1C"/>
    <w:rsid w:val="00BB1F1D"/>
    <w:rsid w:val="00BB1FAA"/>
    <w:rsid w:val="00BB2028"/>
    <w:rsid w:val="00BB210A"/>
    <w:rsid w:val="00BB21C3"/>
    <w:rsid w:val="00BB2ACB"/>
    <w:rsid w:val="00BB2B29"/>
    <w:rsid w:val="00BB2BBC"/>
    <w:rsid w:val="00BB36E3"/>
    <w:rsid w:val="00BB37D9"/>
    <w:rsid w:val="00BB38CF"/>
    <w:rsid w:val="00BB3BCA"/>
    <w:rsid w:val="00BB3C87"/>
    <w:rsid w:val="00BB3F36"/>
    <w:rsid w:val="00BB3FC5"/>
    <w:rsid w:val="00BB4017"/>
    <w:rsid w:val="00BB4226"/>
    <w:rsid w:val="00BB43CD"/>
    <w:rsid w:val="00BB4456"/>
    <w:rsid w:val="00BB4627"/>
    <w:rsid w:val="00BB48D2"/>
    <w:rsid w:val="00BB4A61"/>
    <w:rsid w:val="00BB4A90"/>
    <w:rsid w:val="00BB4BCA"/>
    <w:rsid w:val="00BB4C11"/>
    <w:rsid w:val="00BB4C71"/>
    <w:rsid w:val="00BB4D0B"/>
    <w:rsid w:val="00BB5001"/>
    <w:rsid w:val="00BB51D5"/>
    <w:rsid w:val="00BB551D"/>
    <w:rsid w:val="00BB56FC"/>
    <w:rsid w:val="00BB5D8E"/>
    <w:rsid w:val="00BB60A2"/>
    <w:rsid w:val="00BB616D"/>
    <w:rsid w:val="00BB6281"/>
    <w:rsid w:val="00BB64D6"/>
    <w:rsid w:val="00BB6681"/>
    <w:rsid w:val="00BB68DB"/>
    <w:rsid w:val="00BB6B54"/>
    <w:rsid w:val="00BB6C3E"/>
    <w:rsid w:val="00BB6D97"/>
    <w:rsid w:val="00BB6DE6"/>
    <w:rsid w:val="00BB6EB5"/>
    <w:rsid w:val="00BB702E"/>
    <w:rsid w:val="00BB7194"/>
    <w:rsid w:val="00BB7751"/>
    <w:rsid w:val="00BB79F6"/>
    <w:rsid w:val="00BB7B9C"/>
    <w:rsid w:val="00BB7BC5"/>
    <w:rsid w:val="00BB7CF6"/>
    <w:rsid w:val="00BC0104"/>
    <w:rsid w:val="00BC05C1"/>
    <w:rsid w:val="00BC0611"/>
    <w:rsid w:val="00BC098E"/>
    <w:rsid w:val="00BC09FB"/>
    <w:rsid w:val="00BC0A2C"/>
    <w:rsid w:val="00BC0A61"/>
    <w:rsid w:val="00BC13C0"/>
    <w:rsid w:val="00BC15D7"/>
    <w:rsid w:val="00BC1C76"/>
    <w:rsid w:val="00BC1E27"/>
    <w:rsid w:val="00BC1FFB"/>
    <w:rsid w:val="00BC2087"/>
    <w:rsid w:val="00BC2098"/>
    <w:rsid w:val="00BC20C8"/>
    <w:rsid w:val="00BC226F"/>
    <w:rsid w:val="00BC24D8"/>
    <w:rsid w:val="00BC2605"/>
    <w:rsid w:val="00BC2790"/>
    <w:rsid w:val="00BC28D1"/>
    <w:rsid w:val="00BC290A"/>
    <w:rsid w:val="00BC2B3B"/>
    <w:rsid w:val="00BC2B7D"/>
    <w:rsid w:val="00BC2EFC"/>
    <w:rsid w:val="00BC31AA"/>
    <w:rsid w:val="00BC3232"/>
    <w:rsid w:val="00BC36A7"/>
    <w:rsid w:val="00BC38DF"/>
    <w:rsid w:val="00BC38E4"/>
    <w:rsid w:val="00BC39FC"/>
    <w:rsid w:val="00BC3A6A"/>
    <w:rsid w:val="00BC3D37"/>
    <w:rsid w:val="00BC3FFD"/>
    <w:rsid w:val="00BC4008"/>
    <w:rsid w:val="00BC4198"/>
    <w:rsid w:val="00BC437A"/>
    <w:rsid w:val="00BC4579"/>
    <w:rsid w:val="00BC463D"/>
    <w:rsid w:val="00BC4661"/>
    <w:rsid w:val="00BC47A1"/>
    <w:rsid w:val="00BC47AE"/>
    <w:rsid w:val="00BC49B1"/>
    <w:rsid w:val="00BC4ACA"/>
    <w:rsid w:val="00BC4DAF"/>
    <w:rsid w:val="00BC4F8B"/>
    <w:rsid w:val="00BC50AB"/>
    <w:rsid w:val="00BC51A4"/>
    <w:rsid w:val="00BC55BF"/>
    <w:rsid w:val="00BC5799"/>
    <w:rsid w:val="00BC5855"/>
    <w:rsid w:val="00BC5F89"/>
    <w:rsid w:val="00BC5F9A"/>
    <w:rsid w:val="00BC61C8"/>
    <w:rsid w:val="00BC6254"/>
    <w:rsid w:val="00BC65C6"/>
    <w:rsid w:val="00BC68EC"/>
    <w:rsid w:val="00BC6956"/>
    <w:rsid w:val="00BC695E"/>
    <w:rsid w:val="00BC6D54"/>
    <w:rsid w:val="00BC6E8B"/>
    <w:rsid w:val="00BC6EBC"/>
    <w:rsid w:val="00BC6F0F"/>
    <w:rsid w:val="00BC7071"/>
    <w:rsid w:val="00BC711A"/>
    <w:rsid w:val="00BC72DD"/>
    <w:rsid w:val="00BC7461"/>
    <w:rsid w:val="00BC7563"/>
    <w:rsid w:val="00BC7606"/>
    <w:rsid w:val="00BC79D1"/>
    <w:rsid w:val="00BC7A0C"/>
    <w:rsid w:val="00BC7D96"/>
    <w:rsid w:val="00BC7FF5"/>
    <w:rsid w:val="00BD01BF"/>
    <w:rsid w:val="00BD058F"/>
    <w:rsid w:val="00BD0B1B"/>
    <w:rsid w:val="00BD0BB6"/>
    <w:rsid w:val="00BD0EA5"/>
    <w:rsid w:val="00BD11D4"/>
    <w:rsid w:val="00BD126D"/>
    <w:rsid w:val="00BD13E7"/>
    <w:rsid w:val="00BD1464"/>
    <w:rsid w:val="00BD165F"/>
    <w:rsid w:val="00BD1940"/>
    <w:rsid w:val="00BD1981"/>
    <w:rsid w:val="00BD1BDE"/>
    <w:rsid w:val="00BD1BE0"/>
    <w:rsid w:val="00BD1BF9"/>
    <w:rsid w:val="00BD1F97"/>
    <w:rsid w:val="00BD21B0"/>
    <w:rsid w:val="00BD21E6"/>
    <w:rsid w:val="00BD243C"/>
    <w:rsid w:val="00BD2853"/>
    <w:rsid w:val="00BD2F79"/>
    <w:rsid w:val="00BD322B"/>
    <w:rsid w:val="00BD351D"/>
    <w:rsid w:val="00BD3737"/>
    <w:rsid w:val="00BD379F"/>
    <w:rsid w:val="00BD39FD"/>
    <w:rsid w:val="00BD3B2A"/>
    <w:rsid w:val="00BD3B9C"/>
    <w:rsid w:val="00BD3BA1"/>
    <w:rsid w:val="00BD3D24"/>
    <w:rsid w:val="00BD4601"/>
    <w:rsid w:val="00BD469D"/>
    <w:rsid w:val="00BD49F8"/>
    <w:rsid w:val="00BD49FD"/>
    <w:rsid w:val="00BD4A2C"/>
    <w:rsid w:val="00BD4A85"/>
    <w:rsid w:val="00BD4B1A"/>
    <w:rsid w:val="00BD4C84"/>
    <w:rsid w:val="00BD54C8"/>
    <w:rsid w:val="00BD5C5C"/>
    <w:rsid w:val="00BD6109"/>
    <w:rsid w:val="00BD6127"/>
    <w:rsid w:val="00BD62E0"/>
    <w:rsid w:val="00BD63FE"/>
    <w:rsid w:val="00BD640F"/>
    <w:rsid w:val="00BD6551"/>
    <w:rsid w:val="00BD67FF"/>
    <w:rsid w:val="00BD694C"/>
    <w:rsid w:val="00BD6972"/>
    <w:rsid w:val="00BD6A1D"/>
    <w:rsid w:val="00BD6A77"/>
    <w:rsid w:val="00BD6C77"/>
    <w:rsid w:val="00BD6C86"/>
    <w:rsid w:val="00BD6EEE"/>
    <w:rsid w:val="00BD706B"/>
    <w:rsid w:val="00BD76F3"/>
    <w:rsid w:val="00BD77BB"/>
    <w:rsid w:val="00BD78D3"/>
    <w:rsid w:val="00BD7B2F"/>
    <w:rsid w:val="00BD7B3E"/>
    <w:rsid w:val="00BD7C26"/>
    <w:rsid w:val="00BD7CD7"/>
    <w:rsid w:val="00BD7DD8"/>
    <w:rsid w:val="00BE07E9"/>
    <w:rsid w:val="00BE0854"/>
    <w:rsid w:val="00BE0C60"/>
    <w:rsid w:val="00BE0CA9"/>
    <w:rsid w:val="00BE0E46"/>
    <w:rsid w:val="00BE105B"/>
    <w:rsid w:val="00BE1218"/>
    <w:rsid w:val="00BE1255"/>
    <w:rsid w:val="00BE1650"/>
    <w:rsid w:val="00BE16F9"/>
    <w:rsid w:val="00BE18E8"/>
    <w:rsid w:val="00BE1A8F"/>
    <w:rsid w:val="00BE1C3A"/>
    <w:rsid w:val="00BE1D34"/>
    <w:rsid w:val="00BE1E43"/>
    <w:rsid w:val="00BE1EEE"/>
    <w:rsid w:val="00BE1FBC"/>
    <w:rsid w:val="00BE1FDD"/>
    <w:rsid w:val="00BE206D"/>
    <w:rsid w:val="00BE24E5"/>
    <w:rsid w:val="00BE27F2"/>
    <w:rsid w:val="00BE2855"/>
    <w:rsid w:val="00BE2ACF"/>
    <w:rsid w:val="00BE2D4F"/>
    <w:rsid w:val="00BE2FE9"/>
    <w:rsid w:val="00BE3362"/>
    <w:rsid w:val="00BE36E0"/>
    <w:rsid w:val="00BE3825"/>
    <w:rsid w:val="00BE399F"/>
    <w:rsid w:val="00BE3CCE"/>
    <w:rsid w:val="00BE3D5D"/>
    <w:rsid w:val="00BE3D76"/>
    <w:rsid w:val="00BE3D85"/>
    <w:rsid w:val="00BE3E6B"/>
    <w:rsid w:val="00BE3FDF"/>
    <w:rsid w:val="00BE4001"/>
    <w:rsid w:val="00BE4056"/>
    <w:rsid w:val="00BE409A"/>
    <w:rsid w:val="00BE44C4"/>
    <w:rsid w:val="00BE4768"/>
    <w:rsid w:val="00BE48AD"/>
    <w:rsid w:val="00BE491C"/>
    <w:rsid w:val="00BE4A12"/>
    <w:rsid w:val="00BE4D48"/>
    <w:rsid w:val="00BE51C1"/>
    <w:rsid w:val="00BE533B"/>
    <w:rsid w:val="00BE5436"/>
    <w:rsid w:val="00BE5447"/>
    <w:rsid w:val="00BE55AE"/>
    <w:rsid w:val="00BE59A1"/>
    <w:rsid w:val="00BE5A5F"/>
    <w:rsid w:val="00BE6000"/>
    <w:rsid w:val="00BE6055"/>
    <w:rsid w:val="00BE619D"/>
    <w:rsid w:val="00BE61B0"/>
    <w:rsid w:val="00BE63AF"/>
    <w:rsid w:val="00BE6522"/>
    <w:rsid w:val="00BE67B0"/>
    <w:rsid w:val="00BE68DD"/>
    <w:rsid w:val="00BE6BB4"/>
    <w:rsid w:val="00BE6BCF"/>
    <w:rsid w:val="00BE6C86"/>
    <w:rsid w:val="00BE6CFC"/>
    <w:rsid w:val="00BE6EC8"/>
    <w:rsid w:val="00BE6FA7"/>
    <w:rsid w:val="00BE7115"/>
    <w:rsid w:val="00BE716A"/>
    <w:rsid w:val="00BE71AE"/>
    <w:rsid w:val="00BE7238"/>
    <w:rsid w:val="00BE7367"/>
    <w:rsid w:val="00BE7398"/>
    <w:rsid w:val="00BE7435"/>
    <w:rsid w:val="00BE7465"/>
    <w:rsid w:val="00BE7670"/>
    <w:rsid w:val="00BE768B"/>
    <w:rsid w:val="00BE769B"/>
    <w:rsid w:val="00BE77E6"/>
    <w:rsid w:val="00BE7A48"/>
    <w:rsid w:val="00BE7C40"/>
    <w:rsid w:val="00BF00B3"/>
    <w:rsid w:val="00BF01CB"/>
    <w:rsid w:val="00BF02A3"/>
    <w:rsid w:val="00BF083B"/>
    <w:rsid w:val="00BF0878"/>
    <w:rsid w:val="00BF0BA7"/>
    <w:rsid w:val="00BF0BD7"/>
    <w:rsid w:val="00BF0C46"/>
    <w:rsid w:val="00BF0CD1"/>
    <w:rsid w:val="00BF0D9D"/>
    <w:rsid w:val="00BF10D2"/>
    <w:rsid w:val="00BF1285"/>
    <w:rsid w:val="00BF1899"/>
    <w:rsid w:val="00BF1963"/>
    <w:rsid w:val="00BF1AF1"/>
    <w:rsid w:val="00BF1CBD"/>
    <w:rsid w:val="00BF1FD8"/>
    <w:rsid w:val="00BF20E8"/>
    <w:rsid w:val="00BF22AD"/>
    <w:rsid w:val="00BF22CC"/>
    <w:rsid w:val="00BF277B"/>
    <w:rsid w:val="00BF28FD"/>
    <w:rsid w:val="00BF2C44"/>
    <w:rsid w:val="00BF2D81"/>
    <w:rsid w:val="00BF2E85"/>
    <w:rsid w:val="00BF2FFF"/>
    <w:rsid w:val="00BF30EC"/>
    <w:rsid w:val="00BF3212"/>
    <w:rsid w:val="00BF34FE"/>
    <w:rsid w:val="00BF3782"/>
    <w:rsid w:val="00BF38CD"/>
    <w:rsid w:val="00BF38DC"/>
    <w:rsid w:val="00BF3AA0"/>
    <w:rsid w:val="00BF3AC6"/>
    <w:rsid w:val="00BF3BCA"/>
    <w:rsid w:val="00BF3C9D"/>
    <w:rsid w:val="00BF45F4"/>
    <w:rsid w:val="00BF4A0E"/>
    <w:rsid w:val="00BF4A70"/>
    <w:rsid w:val="00BF4BAD"/>
    <w:rsid w:val="00BF4F34"/>
    <w:rsid w:val="00BF50F8"/>
    <w:rsid w:val="00BF51BE"/>
    <w:rsid w:val="00BF56E0"/>
    <w:rsid w:val="00BF5997"/>
    <w:rsid w:val="00BF59CA"/>
    <w:rsid w:val="00BF5BDD"/>
    <w:rsid w:val="00BF5C35"/>
    <w:rsid w:val="00BF5C7E"/>
    <w:rsid w:val="00BF6050"/>
    <w:rsid w:val="00BF61C0"/>
    <w:rsid w:val="00BF623D"/>
    <w:rsid w:val="00BF63B6"/>
    <w:rsid w:val="00BF6400"/>
    <w:rsid w:val="00BF66EE"/>
    <w:rsid w:val="00BF6923"/>
    <w:rsid w:val="00BF6D40"/>
    <w:rsid w:val="00BF71A3"/>
    <w:rsid w:val="00BF7273"/>
    <w:rsid w:val="00BF72DF"/>
    <w:rsid w:val="00BF74B5"/>
    <w:rsid w:val="00BF7565"/>
    <w:rsid w:val="00BF75A1"/>
    <w:rsid w:val="00BF7680"/>
    <w:rsid w:val="00BF76CD"/>
    <w:rsid w:val="00BF795E"/>
    <w:rsid w:val="00BF796C"/>
    <w:rsid w:val="00BF7A2C"/>
    <w:rsid w:val="00BF7A2E"/>
    <w:rsid w:val="00BF7A78"/>
    <w:rsid w:val="00BF7A7D"/>
    <w:rsid w:val="00BF7B27"/>
    <w:rsid w:val="00BF7E8C"/>
    <w:rsid w:val="00C0018A"/>
    <w:rsid w:val="00C00273"/>
    <w:rsid w:val="00C00284"/>
    <w:rsid w:val="00C0037D"/>
    <w:rsid w:val="00C003B9"/>
    <w:rsid w:val="00C003D5"/>
    <w:rsid w:val="00C00905"/>
    <w:rsid w:val="00C00A7C"/>
    <w:rsid w:val="00C00DAE"/>
    <w:rsid w:val="00C00E33"/>
    <w:rsid w:val="00C00FAC"/>
    <w:rsid w:val="00C0104C"/>
    <w:rsid w:val="00C01170"/>
    <w:rsid w:val="00C01370"/>
    <w:rsid w:val="00C013AB"/>
    <w:rsid w:val="00C0144B"/>
    <w:rsid w:val="00C0156D"/>
    <w:rsid w:val="00C01614"/>
    <w:rsid w:val="00C01759"/>
    <w:rsid w:val="00C01892"/>
    <w:rsid w:val="00C01A97"/>
    <w:rsid w:val="00C01BBB"/>
    <w:rsid w:val="00C01DC4"/>
    <w:rsid w:val="00C01FD1"/>
    <w:rsid w:val="00C0235E"/>
    <w:rsid w:val="00C024A5"/>
    <w:rsid w:val="00C02697"/>
    <w:rsid w:val="00C02BB7"/>
    <w:rsid w:val="00C02CE1"/>
    <w:rsid w:val="00C02D1E"/>
    <w:rsid w:val="00C02D46"/>
    <w:rsid w:val="00C0314D"/>
    <w:rsid w:val="00C03211"/>
    <w:rsid w:val="00C0331F"/>
    <w:rsid w:val="00C03508"/>
    <w:rsid w:val="00C035B5"/>
    <w:rsid w:val="00C036AC"/>
    <w:rsid w:val="00C03865"/>
    <w:rsid w:val="00C03B28"/>
    <w:rsid w:val="00C03D5A"/>
    <w:rsid w:val="00C040E1"/>
    <w:rsid w:val="00C04242"/>
    <w:rsid w:val="00C047A1"/>
    <w:rsid w:val="00C04A19"/>
    <w:rsid w:val="00C04FDD"/>
    <w:rsid w:val="00C0509A"/>
    <w:rsid w:val="00C05276"/>
    <w:rsid w:val="00C054A3"/>
    <w:rsid w:val="00C055F9"/>
    <w:rsid w:val="00C05622"/>
    <w:rsid w:val="00C0582D"/>
    <w:rsid w:val="00C05851"/>
    <w:rsid w:val="00C05ECD"/>
    <w:rsid w:val="00C05FB0"/>
    <w:rsid w:val="00C05FDD"/>
    <w:rsid w:val="00C06106"/>
    <w:rsid w:val="00C065A7"/>
    <w:rsid w:val="00C06767"/>
    <w:rsid w:val="00C06BEC"/>
    <w:rsid w:val="00C06E96"/>
    <w:rsid w:val="00C06FD0"/>
    <w:rsid w:val="00C0717B"/>
    <w:rsid w:val="00C07380"/>
    <w:rsid w:val="00C07393"/>
    <w:rsid w:val="00C0741C"/>
    <w:rsid w:val="00C07620"/>
    <w:rsid w:val="00C079D6"/>
    <w:rsid w:val="00C07AB6"/>
    <w:rsid w:val="00C07ACB"/>
    <w:rsid w:val="00C07E78"/>
    <w:rsid w:val="00C07F58"/>
    <w:rsid w:val="00C10055"/>
    <w:rsid w:val="00C1011B"/>
    <w:rsid w:val="00C101E3"/>
    <w:rsid w:val="00C102F3"/>
    <w:rsid w:val="00C1037A"/>
    <w:rsid w:val="00C10432"/>
    <w:rsid w:val="00C1043D"/>
    <w:rsid w:val="00C105A5"/>
    <w:rsid w:val="00C106B8"/>
    <w:rsid w:val="00C10AFD"/>
    <w:rsid w:val="00C10B22"/>
    <w:rsid w:val="00C10C3F"/>
    <w:rsid w:val="00C10C52"/>
    <w:rsid w:val="00C1107C"/>
    <w:rsid w:val="00C1152D"/>
    <w:rsid w:val="00C11623"/>
    <w:rsid w:val="00C1172F"/>
    <w:rsid w:val="00C11943"/>
    <w:rsid w:val="00C119A0"/>
    <w:rsid w:val="00C11A92"/>
    <w:rsid w:val="00C11ABD"/>
    <w:rsid w:val="00C1225A"/>
    <w:rsid w:val="00C124AF"/>
    <w:rsid w:val="00C129D9"/>
    <w:rsid w:val="00C12CCB"/>
    <w:rsid w:val="00C13089"/>
    <w:rsid w:val="00C130D6"/>
    <w:rsid w:val="00C1339B"/>
    <w:rsid w:val="00C134DA"/>
    <w:rsid w:val="00C13527"/>
    <w:rsid w:val="00C13547"/>
    <w:rsid w:val="00C137A7"/>
    <w:rsid w:val="00C137B4"/>
    <w:rsid w:val="00C139C4"/>
    <w:rsid w:val="00C13A24"/>
    <w:rsid w:val="00C13C06"/>
    <w:rsid w:val="00C13C90"/>
    <w:rsid w:val="00C13CF2"/>
    <w:rsid w:val="00C13E83"/>
    <w:rsid w:val="00C14246"/>
    <w:rsid w:val="00C14502"/>
    <w:rsid w:val="00C1455A"/>
    <w:rsid w:val="00C14F19"/>
    <w:rsid w:val="00C14FB2"/>
    <w:rsid w:val="00C15205"/>
    <w:rsid w:val="00C156B6"/>
    <w:rsid w:val="00C1575F"/>
    <w:rsid w:val="00C159C9"/>
    <w:rsid w:val="00C15B0C"/>
    <w:rsid w:val="00C15DE5"/>
    <w:rsid w:val="00C15E6C"/>
    <w:rsid w:val="00C160E5"/>
    <w:rsid w:val="00C1613F"/>
    <w:rsid w:val="00C1652A"/>
    <w:rsid w:val="00C16621"/>
    <w:rsid w:val="00C168CF"/>
    <w:rsid w:val="00C16912"/>
    <w:rsid w:val="00C16D47"/>
    <w:rsid w:val="00C17007"/>
    <w:rsid w:val="00C17204"/>
    <w:rsid w:val="00C17304"/>
    <w:rsid w:val="00C1748F"/>
    <w:rsid w:val="00C176AC"/>
    <w:rsid w:val="00C178EE"/>
    <w:rsid w:val="00C17CE1"/>
    <w:rsid w:val="00C20053"/>
    <w:rsid w:val="00C20464"/>
    <w:rsid w:val="00C2058B"/>
    <w:rsid w:val="00C20668"/>
    <w:rsid w:val="00C208B8"/>
    <w:rsid w:val="00C209AD"/>
    <w:rsid w:val="00C20B13"/>
    <w:rsid w:val="00C20C95"/>
    <w:rsid w:val="00C2103A"/>
    <w:rsid w:val="00C212C4"/>
    <w:rsid w:val="00C21311"/>
    <w:rsid w:val="00C2164B"/>
    <w:rsid w:val="00C218E8"/>
    <w:rsid w:val="00C21A27"/>
    <w:rsid w:val="00C21AE6"/>
    <w:rsid w:val="00C21CA6"/>
    <w:rsid w:val="00C21DA3"/>
    <w:rsid w:val="00C21EC9"/>
    <w:rsid w:val="00C21EF9"/>
    <w:rsid w:val="00C21FE6"/>
    <w:rsid w:val="00C221C0"/>
    <w:rsid w:val="00C222A1"/>
    <w:rsid w:val="00C222F7"/>
    <w:rsid w:val="00C22397"/>
    <w:rsid w:val="00C224E3"/>
    <w:rsid w:val="00C22690"/>
    <w:rsid w:val="00C22A23"/>
    <w:rsid w:val="00C22AAB"/>
    <w:rsid w:val="00C22CE9"/>
    <w:rsid w:val="00C22D56"/>
    <w:rsid w:val="00C22E62"/>
    <w:rsid w:val="00C22ECB"/>
    <w:rsid w:val="00C234A8"/>
    <w:rsid w:val="00C23BB4"/>
    <w:rsid w:val="00C23E88"/>
    <w:rsid w:val="00C23F47"/>
    <w:rsid w:val="00C23FC4"/>
    <w:rsid w:val="00C242B5"/>
    <w:rsid w:val="00C242C1"/>
    <w:rsid w:val="00C2437B"/>
    <w:rsid w:val="00C2442A"/>
    <w:rsid w:val="00C24589"/>
    <w:rsid w:val="00C245A3"/>
    <w:rsid w:val="00C2466F"/>
    <w:rsid w:val="00C246AB"/>
    <w:rsid w:val="00C24707"/>
    <w:rsid w:val="00C24792"/>
    <w:rsid w:val="00C24819"/>
    <w:rsid w:val="00C24839"/>
    <w:rsid w:val="00C24B34"/>
    <w:rsid w:val="00C24BB6"/>
    <w:rsid w:val="00C24D35"/>
    <w:rsid w:val="00C24E28"/>
    <w:rsid w:val="00C2525E"/>
    <w:rsid w:val="00C25464"/>
    <w:rsid w:val="00C2579C"/>
    <w:rsid w:val="00C2584D"/>
    <w:rsid w:val="00C25F77"/>
    <w:rsid w:val="00C26099"/>
    <w:rsid w:val="00C26159"/>
    <w:rsid w:val="00C2629C"/>
    <w:rsid w:val="00C262ED"/>
    <w:rsid w:val="00C26426"/>
    <w:rsid w:val="00C265C9"/>
    <w:rsid w:val="00C2664A"/>
    <w:rsid w:val="00C26732"/>
    <w:rsid w:val="00C26968"/>
    <w:rsid w:val="00C26A69"/>
    <w:rsid w:val="00C26DE9"/>
    <w:rsid w:val="00C26E37"/>
    <w:rsid w:val="00C26F04"/>
    <w:rsid w:val="00C27037"/>
    <w:rsid w:val="00C27554"/>
    <w:rsid w:val="00C27612"/>
    <w:rsid w:val="00C276FA"/>
    <w:rsid w:val="00C277DA"/>
    <w:rsid w:val="00C27BB2"/>
    <w:rsid w:val="00C27C23"/>
    <w:rsid w:val="00C30019"/>
    <w:rsid w:val="00C301CF"/>
    <w:rsid w:val="00C307DA"/>
    <w:rsid w:val="00C309E6"/>
    <w:rsid w:val="00C30B6D"/>
    <w:rsid w:val="00C30C46"/>
    <w:rsid w:val="00C30D5F"/>
    <w:rsid w:val="00C311E2"/>
    <w:rsid w:val="00C31439"/>
    <w:rsid w:val="00C31460"/>
    <w:rsid w:val="00C317B8"/>
    <w:rsid w:val="00C31808"/>
    <w:rsid w:val="00C31ACA"/>
    <w:rsid w:val="00C31B9C"/>
    <w:rsid w:val="00C31C0C"/>
    <w:rsid w:val="00C31C79"/>
    <w:rsid w:val="00C31D03"/>
    <w:rsid w:val="00C31D26"/>
    <w:rsid w:val="00C31DD4"/>
    <w:rsid w:val="00C31E1D"/>
    <w:rsid w:val="00C32064"/>
    <w:rsid w:val="00C3223A"/>
    <w:rsid w:val="00C32CA7"/>
    <w:rsid w:val="00C32E58"/>
    <w:rsid w:val="00C33040"/>
    <w:rsid w:val="00C330B7"/>
    <w:rsid w:val="00C3313A"/>
    <w:rsid w:val="00C33183"/>
    <w:rsid w:val="00C33203"/>
    <w:rsid w:val="00C33506"/>
    <w:rsid w:val="00C33706"/>
    <w:rsid w:val="00C33A05"/>
    <w:rsid w:val="00C33B29"/>
    <w:rsid w:val="00C33B39"/>
    <w:rsid w:val="00C33E62"/>
    <w:rsid w:val="00C33F14"/>
    <w:rsid w:val="00C34192"/>
    <w:rsid w:val="00C34198"/>
    <w:rsid w:val="00C34213"/>
    <w:rsid w:val="00C342FA"/>
    <w:rsid w:val="00C34608"/>
    <w:rsid w:val="00C3465A"/>
    <w:rsid w:val="00C34760"/>
    <w:rsid w:val="00C34B38"/>
    <w:rsid w:val="00C34D0A"/>
    <w:rsid w:val="00C34D5B"/>
    <w:rsid w:val="00C34ED2"/>
    <w:rsid w:val="00C35028"/>
    <w:rsid w:val="00C35349"/>
    <w:rsid w:val="00C354D1"/>
    <w:rsid w:val="00C357EA"/>
    <w:rsid w:val="00C35941"/>
    <w:rsid w:val="00C35A3D"/>
    <w:rsid w:val="00C35BCA"/>
    <w:rsid w:val="00C3616F"/>
    <w:rsid w:val="00C36322"/>
    <w:rsid w:val="00C363FB"/>
    <w:rsid w:val="00C364A6"/>
    <w:rsid w:val="00C36691"/>
    <w:rsid w:val="00C366C6"/>
    <w:rsid w:val="00C36A9F"/>
    <w:rsid w:val="00C36C09"/>
    <w:rsid w:val="00C36C4B"/>
    <w:rsid w:val="00C36F2F"/>
    <w:rsid w:val="00C374C1"/>
    <w:rsid w:val="00C37611"/>
    <w:rsid w:val="00C37666"/>
    <w:rsid w:val="00C37B9E"/>
    <w:rsid w:val="00C37CF3"/>
    <w:rsid w:val="00C37CFD"/>
    <w:rsid w:val="00C37EC7"/>
    <w:rsid w:val="00C40013"/>
    <w:rsid w:val="00C40560"/>
    <w:rsid w:val="00C40811"/>
    <w:rsid w:val="00C411E9"/>
    <w:rsid w:val="00C41586"/>
    <w:rsid w:val="00C415DD"/>
    <w:rsid w:val="00C416FD"/>
    <w:rsid w:val="00C417CC"/>
    <w:rsid w:val="00C417F5"/>
    <w:rsid w:val="00C41AFB"/>
    <w:rsid w:val="00C41C84"/>
    <w:rsid w:val="00C41DF7"/>
    <w:rsid w:val="00C41E33"/>
    <w:rsid w:val="00C41F79"/>
    <w:rsid w:val="00C42378"/>
    <w:rsid w:val="00C424DF"/>
    <w:rsid w:val="00C426CE"/>
    <w:rsid w:val="00C426F3"/>
    <w:rsid w:val="00C428FF"/>
    <w:rsid w:val="00C4290D"/>
    <w:rsid w:val="00C42AB0"/>
    <w:rsid w:val="00C42C84"/>
    <w:rsid w:val="00C42CCA"/>
    <w:rsid w:val="00C42EFC"/>
    <w:rsid w:val="00C42FAA"/>
    <w:rsid w:val="00C43035"/>
    <w:rsid w:val="00C43051"/>
    <w:rsid w:val="00C430CB"/>
    <w:rsid w:val="00C430E2"/>
    <w:rsid w:val="00C43314"/>
    <w:rsid w:val="00C437D2"/>
    <w:rsid w:val="00C43B5E"/>
    <w:rsid w:val="00C43C09"/>
    <w:rsid w:val="00C43EA9"/>
    <w:rsid w:val="00C44457"/>
    <w:rsid w:val="00C44738"/>
    <w:rsid w:val="00C4473A"/>
    <w:rsid w:val="00C44AE6"/>
    <w:rsid w:val="00C44D46"/>
    <w:rsid w:val="00C44DED"/>
    <w:rsid w:val="00C45016"/>
    <w:rsid w:val="00C4503C"/>
    <w:rsid w:val="00C45289"/>
    <w:rsid w:val="00C454D9"/>
    <w:rsid w:val="00C45525"/>
    <w:rsid w:val="00C45537"/>
    <w:rsid w:val="00C45636"/>
    <w:rsid w:val="00C45779"/>
    <w:rsid w:val="00C45AE5"/>
    <w:rsid w:val="00C45C2A"/>
    <w:rsid w:val="00C45C60"/>
    <w:rsid w:val="00C45C62"/>
    <w:rsid w:val="00C45E5A"/>
    <w:rsid w:val="00C46049"/>
    <w:rsid w:val="00C46292"/>
    <w:rsid w:val="00C4649C"/>
    <w:rsid w:val="00C4650F"/>
    <w:rsid w:val="00C4684C"/>
    <w:rsid w:val="00C469F2"/>
    <w:rsid w:val="00C46A3B"/>
    <w:rsid w:val="00C46B9D"/>
    <w:rsid w:val="00C46D29"/>
    <w:rsid w:val="00C46E19"/>
    <w:rsid w:val="00C46EB6"/>
    <w:rsid w:val="00C46F85"/>
    <w:rsid w:val="00C47077"/>
    <w:rsid w:val="00C47541"/>
    <w:rsid w:val="00C475C7"/>
    <w:rsid w:val="00C47601"/>
    <w:rsid w:val="00C478DA"/>
    <w:rsid w:val="00C478E4"/>
    <w:rsid w:val="00C47B75"/>
    <w:rsid w:val="00C47DF2"/>
    <w:rsid w:val="00C47FBA"/>
    <w:rsid w:val="00C50AAE"/>
    <w:rsid w:val="00C50DF7"/>
    <w:rsid w:val="00C5119C"/>
    <w:rsid w:val="00C513EA"/>
    <w:rsid w:val="00C514CE"/>
    <w:rsid w:val="00C51591"/>
    <w:rsid w:val="00C515B0"/>
    <w:rsid w:val="00C51702"/>
    <w:rsid w:val="00C5171D"/>
    <w:rsid w:val="00C517ED"/>
    <w:rsid w:val="00C51A28"/>
    <w:rsid w:val="00C51B08"/>
    <w:rsid w:val="00C51BA8"/>
    <w:rsid w:val="00C51C23"/>
    <w:rsid w:val="00C51C57"/>
    <w:rsid w:val="00C51DB8"/>
    <w:rsid w:val="00C51FF9"/>
    <w:rsid w:val="00C523D3"/>
    <w:rsid w:val="00C524BE"/>
    <w:rsid w:val="00C5298A"/>
    <w:rsid w:val="00C5304F"/>
    <w:rsid w:val="00C5349F"/>
    <w:rsid w:val="00C53513"/>
    <w:rsid w:val="00C53730"/>
    <w:rsid w:val="00C537D1"/>
    <w:rsid w:val="00C53951"/>
    <w:rsid w:val="00C53E49"/>
    <w:rsid w:val="00C53F5D"/>
    <w:rsid w:val="00C540B9"/>
    <w:rsid w:val="00C54398"/>
    <w:rsid w:val="00C543E7"/>
    <w:rsid w:val="00C54411"/>
    <w:rsid w:val="00C54CC3"/>
    <w:rsid w:val="00C54D6E"/>
    <w:rsid w:val="00C54D95"/>
    <w:rsid w:val="00C54EE3"/>
    <w:rsid w:val="00C551D0"/>
    <w:rsid w:val="00C552F9"/>
    <w:rsid w:val="00C554D4"/>
    <w:rsid w:val="00C554D9"/>
    <w:rsid w:val="00C55827"/>
    <w:rsid w:val="00C55927"/>
    <w:rsid w:val="00C560AC"/>
    <w:rsid w:val="00C560DB"/>
    <w:rsid w:val="00C5613E"/>
    <w:rsid w:val="00C5639E"/>
    <w:rsid w:val="00C56532"/>
    <w:rsid w:val="00C56C79"/>
    <w:rsid w:val="00C56D02"/>
    <w:rsid w:val="00C56D39"/>
    <w:rsid w:val="00C56DF9"/>
    <w:rsid w:val="00C56F0B"/>
    <w:rsid w:val="00C57155"/>
    <w:rsid w:val="00C5715C"/>
    <w:rsid w:val="00C57223"/>
    <w:rsid w:val="00C5722D"/>
    <w:rsid w:val="00C57569"/>
    <w:rsid w:val="00C576E7"/>
    <w:rsid w:val="00C5771A"/>
    <w:rsid w:val="00C57A1F"/>
    <w:rsid w:val="00C57A92"/>
    <w:rsid w:val="00C57C0D"/>
    <w:rsid w:val="00C57E63"/>
    <w:rsid w:val="00C602CD"/>
    <w:rsid w:val="00C605F0"/>
    <w:rsid w:val="00C6069B"/>
    <w:rsid w:val="00C607D1"/>
    <w:rsid w:val="00C609B9"/>
    <w:rsid w:val="00C60A86"/>
    <w:rsid w:val="00C60AF5"/>
    <w:rsid w:val="00C60C08"/>
    <w:rsid w:val="00C60C44"/>
    <w:rsid w:val="00C60CB5"/>
    <w:rsid w:val="00C60D11"/>
    <w:rsid w:val="00C60FBF"/>
    <w:rsid w:val="00C61030"/>
    <w:rsid w:val="00C61109"/>
    <w:rsid w:val="00C61324"/>
    <w:rsid w:val="00C6164A"/>
    <w:rsid w:val="00C6173D"/>
    <w:rsid w:val="00C6183D"/>
    <w:rsid w:val="00C61AB2"/>
    <w:rsid w:val="00C61B02"/>
    <w:rsid w:val="00C61C51"/>
    <w:rsid w:val="00C61E90"/>
    <w:rsid w:val="00C61F1C"/>
    <w:rsid w:val="00C61FD2"/>
    <w:rsid w:val="00C620B7"/>
    <w:rsid w:val="00C620D4"/>
    <w:rsid w:val="00C6222B"/>
    <w:rsid w:val="00C6276A"/>
    <w:rsid w:val="00C62792"/>
    <w:rsid w:val="00C62798"/>
    <w:rsid w:val="00C6297B"/>
    <w:rsid w:val="00C62AB4"/>
    <w:rsid w:val="00C62F43"/>
    <w:rsid w:val="00C62FBC"/>
    <w:rsid w:val="00C63444"/>
    <w:rsid w:val="00C63879"/>
    <w:rsid w:val="00C63BFA"/>
    <w:rsid w:val="00C64208"/>
    <w:rsid w:val="00C643EB"/>
    <w:rsid w:val="00C644C4"/>
    <w:rsid w:val="00C644F2"/>
    <w:rsid w:val="00C64544"/>
    <w:rsid w:val="00C645FD"/>
    <w:rsid w:val="00C64868"/>
    <w:rsid w:val="00C64DA3"/>
    <w:rsid w:val="00C64E8C"/>
    <w:rsid w:val="00C64F78"/>
    <w:rsid w:val="00C6511C"/>
    <w:rsid w:val="00C6535F"/>
    <w:rsid w:val="00C6539B"/>
    <w:rsid w:val="00C6540F"/>
    <w:rsid w:val="00C6544B"/>
    <w:rsid w:val="00C65642"/>
    <w:rsid w:val="00C65840"/>
    <w:rsid w:val="00C65BD3"/>
    <w:rsid w:val="00C65D6D"/>
    <w:rsid w:val="00C65FF3"/>
    <w:rsid w:val="00C66188"/>
    <w:rsid w:val="00C6642E"/>
    <w:rsid w:val="00C66494"/>
    <w:rsid w:val="00C664AE"/>
    <w:rsid w:val="00C66676"/>
    <w:rsid w:val="00C666B9"/>
    <w:rsid w:val="00C6672E"/>
    <w:rsid w:val="00C66BF2"/>
    <w:rsid w:val="00C66D84"/>
    <w:rsid w:val="00C66D93"/>
    <w:rsid w:val="00C66E98"/>
    <w:rsid w:val="00C670FC"/>
    <w:rsid w:val="00C67154"/>
    <w:rsid w:val="00C6720A"/>
    <w:rsid w:val="00C673F7"/>
    <w:rsid w:val="00C67950"/>
    <w:rsid w:val="00C67BCF"/>
    <w:rsid w:val="00C67CFD"/>
    <w:rsid w:val="00C67DA2"/>
    <w:rsid w:val="00C70072"/>
    <w:rsid w:val="00C700E6"/>
    <w:rsid w:val="00C702A2"/>
    <w:rsid w:val="00C702A5"/>
    <w:rsid w:val="00C70370"/>
    <w:rsid w:val="00C70530"/>
    <w:rsid w:val="00C70585"/>
    <w:rsid w:val="00C7065D"/>
    <w:rsid w:val="00C70975"/>
    <w:rsid w:val="00C709F0"/>
    <w:rsid w:val="00C71490"/>
    <w:rsid w:val="00C71783"/>
    <w:rsid w:val="00C719A2"/>
    <w:rsid w:val="00C71A63"/>
    <w:rsid w:val="00C71DC7"/>
    <w:rsid w:val="00C71F6D"/>
    <w:rsid w:val="00C72165"/>
    <w:rsid w:val="00C72184"/>
    <w:rsid w:val="00C72773"/>
    <w:rsid w:val="00C72A19"/>
    <w:rsid w:val="00C72B8E"/>
    <w:rsid w:val="00C72BBD"/>
    <w:rsid w:val="00C72CF0"/>
    <w:rsid w:val="00C72D7B"/>
    <w:rsid w:val="00C73209"/>
    <w:rsid w:val="00C73397"/>
    <w:rsid w:val="00C73620"/>
    <w:rsid w:val="00C73779"/>
    <w:rsid w:val="00C73AB0"/>
    <w:rsid w:val="00C73CFA"/>
    <w:rsid w:val="00C73D66"/>
    <w:rsid w:val="00C73FFF"/>
    <w:rsid w:val="00C74167"/>
    <w:rsid w:val="00C741D2"/>
    <w:rsid w:val="00C744CE"/>
    <w:rsid w:val="00C745B4"/>
    <w:rsid w:val="00C7486E"/>
    <w:rsid w:val="00C74929"/>
    <w:rsid w:val="00C74D98"/>
    <w:rsid w:val="00C74E08"/>
    <w:rsid w:val="00C74E50"/>
    <w:rsid w:val="00C7503A"/>
    <w:rsid w:val="00C75357"/>
    <w:rsid w:val="00C754E3"/>
    <w:rsid w:val="00C75537"/>
    <w:rsid w:val="00C75559"/>
    <w:rsid w:val="00C7574B"/>
    <w:rsid w:val="00C757AE"/>
    <w:rsid w:val="00C7582F"/>
    <w:rsid w:val="00C758BD"/>
    <w:rsid w:val="00C75A6D"/>
    <w:rsid w:val="00C75C28"/>
    <w:rsid w:val="00C75CEB"/>
    <w:rsid w:val="00C75D54"/>
    <w:rsid w:val="00C760F6"/>
    <w:rsid w:val="00C76268"/>
    <w:rsid w:val="00C76400"/>
    <w:rsid w:val="00C76624"/>
    <w:rsid w:val="00C76661"/>
    <w:rsid w:val="00C7692D"/>
    <w:rsid w:val="00C76AAF"/>
    <w:rsid w:val="00C76C46"/>
    <w:rsid w:val="00C76E35"/>
    <w:rsid w:val="00C77478"/>
    <w:rsid w:val="00C774A1"/>
    <w:rsid w:val="00C775A0"/>
    <w:rsid w:val="00C779BD"/>
    <w:rsid w:val="00C77CF1"/>
    <w:rsid w:val="00C8035B"/>
    <w:rsid w:val="00C803A3"/>
    <w:rsid w:val="00C8069B"/>
    <w:rsid w:val="00C80748"/>
    <w:rsid w:val="00C80AAA"/>
    <w:rsid w:val="00C80AB2"/>
    <w:rsid w:val="00C80B04"/>
    <w:rsid w:val="00C80BE2"/>
    <w:rsid w:val="00C80C41"/>
    <w:rsid w:val="00C80CEF"/>
    <w:rsid w:val="00C80E40"/>
    <w:rsid w:val="00C80EBD"/>
    <w:rsid w:val="00C81120"/>
    <w:rsid w:val="00C81336"/>
    <w:rsid w:val="00C81432"/>
    <w:rsid w:val="00C814B8"/>
    <w:rsid w:val="00C81817"/>
    <w:rsid w:val="00C81A43"/>
    <w:rsid w:val="00C81C05"/>
    <w:rsid w:val="00C82160"/>
    <w:rsid w:val="00C828B8"/>
    <w:rsid w:val="00C82958"/>
    <w:rsid w:val="00C82994"/>
    <w:rsid w:val="00C82C2D"/>
    <w:rsid w:val="00C82E07"/>
    <w:rsid w:val="00C82EC5"/>
    <w:rsid w:val="00C83041"/>
    <w:rsid w:val="00C83125"/>
    <w:rsid w:val="00C832EB"/>
    <w:rsid w:val="00C836CF"/>
    <w:rsid w:val="00C838C3"/>
    <w:rsid w:val="00C83A89"/>
    <w:rsid w:val="00C83C3A"/>
    <w:rsid w:val="00C83C8D"/>
    <w:rsid w:val="00C83E50"/>
    <w:rsid w:val="00C8452A"/>
    <w:rsid w:val="00C8458C"/>
    <w:rsid w:val="00C8487D"/>
    <w:rsid w:val="00C848A7"/>
    <w:rsid w:val="00C849C0"/>
    <w:rsid w:val="00C849FE"/>
    <w:rsid w:val="00C84ABF"/>
    <w:rsid w:val="00C84F2E"/>
    <w:rsid w:val="00C85035"/>
    <w:rsid w:val="00C851F6"/>
    <w:rsid w:val="00C8568B"/>
    <w:rsid w:val="00C858FF"/>
    <w:rsid w:val="00C859DC"/>
    <w:rsid w:val="00C85AE0"/>
    <w:rsid w:val="00C85DB5"/>
    <w:rsid w:val="00C85E30"/>
    <w:rsid w:val="00C85F23"/>
    <w:rsid w:val="00C85FAF"/>
    <w:rsid w:val="00C86608"/>
    <w:rsid w:val="00C86A80"/>
    <w:rsid w:val="00C86B12"/>
    <w:rsid w:val="00C86BFA"/>
    <w:rsid w:val="00C86E8E"/>
    <w:rsid w:val="00C8712F"/>
    <w:rsid w:val="00C876A0"/>
    <w:rsid w:val="00C8779F"/>
    <w:rsid w:val="00C878CA"/>
    <w:rsid w:val="00C879EF"/>
    <w:rsid w:val="00C87AF2"/>
    <w:rsid w:val="00C87B57"/>
    <w:rsid w:val="00C87FC6"/>
    <w:rsid w:val="00C90521"/>
    <w:rsid w:val="00C9065E"/>
    <w:rsid w:val="00C90796"/>
    <w:rsid w:val="00C908C6"/>
    <w:rsid w:val="00C90A98"/>
    <w:rsid w:val="00C90B42"/>
    <w:rsid w:val="00C91074"/>
    <w:rsid w:val="00C9182B"/>
    <w:rsid w:val="00C91C5F"/>
    <w:rsid w:val="00C9213E"/>
    <w:rsid w:val="00C92424"/>
    <w:rsid w:val="00C9255D"/>
    <w:rsid w:val="00C925FA"/>
    <w:rsid w:val="00C92870"/>
    <w:rsid w:val="00C928BF"/>
    <w:rsid w:val="00C9296C"/>
    <w:rsid w:val="00C92BE2"/>
    <w:rsid w:val="00C92DF7"/>
    <w:rsid w:val="00C92DFF"/>
    <w:rsid w:val="00C93384"/>
    <w:rsid w:val="00C93824"/>
    <w:rsid w:val="00C93EAE"/>
    <w:rsid w:val="00C93FD8"/>
    <w:rsid w:val="00C94170"/>
    <w:rsid w:val="00C941EC"/>
    <w:rsid w:val="00C94465"/>
    <w:rsid w:val="00C945C2"/>
    <w:rsid w:val="00C946B2"/>
    <w:rsid w:val="00C946F6"/>
    <w:rsid w:val="00C9474D"/>
    <w:rsid w:val="00C9475D"/>
    <w:rsid w:val="00C94B1E"/>
    <w:rsid w:val="00C94C80"/>
    <w:rsid w:val="00C94F00"/>
    <w:rsid w:val="00C94FB6"/>
    <w:rsid w:val="00C94FF5"/>
    <w:rsid w:val="00C95056"/>
    <w:rsid w:val="00C95076"/>
    <w:rsid w:val="00C95115"/>
    <w:rsid w:val="00C951FD"/>
    <w:rsid w:val="00C952C3"/>
    <w:rsid w:val="00C9536E"/>
    <w:rsid w:val="00C95479"/>
    <w:rsid w:val="00C95953"/>
    <w:rsid w:val="00C95A15"/>
    <w:rsid w:val="00C95A37"/>
    <w:rsid w:val="00C95D21"/>
    <w:rsid w:val="00C961DD"/>
    <w:rsid w:val="00C962F3"/>
    <w:rsid w:val="00C963BF"/>
    <w:rsid w:val="00C96479"/>
    <w:rsid w:val="00C96516"/>
    <w:rsid w:val="00C9664D"/>
    <w:rsid w:val="00C96797"/>
    <w:rsid w:val="00C96A54"/>
    <w:rsid w:val="00C96AFF"/>
    <w:rsid w:val="00C96B8E"/>
    <w:rsid w:val="00C96DD8"/>
    <w:rsid w:val="00C96DDF"/>
    <w:rsid w:val="00C96E1C"/>
    <w:rsid w:val="00C96F7D"/>
    <w:rsid w:val="00C97053"/>
    <w:rsid w:val="00C970A1"/>
    <w:rsid w:val="00C97155"/>
    <w:rsid w:val="00C97397"/>
    <w:rsid w:val="00C97511"/>
    <w:rsid w:val="00C975E6"/>
    <w:rsid w:val="00C9770C"/>
    <w:rsid w:val="00C9788C"/>
    <w:rsid w:val="00C978FE"/>
    <w:rsid w:val="00C97A74"/>
    <w:rsid w:val="00C97D48"/>
    <w:rsid w:val="00C97EAC"/>
    <w:rsid w:val="00CA014C"/>
    <w:rsid w:val="00CA0818"/>
    <w:rsid w:val="00CA0C2D"/>
    <w:rsid w:val="00CA0E9B"/>
    <w:rsid w:val="00CA10D0"/>
    <w:rsid w:val="00CA1333"/>
    <w:rsid w:val="00CA13DE"/>
    <w:rsid w:val="00CA1458"/>
    <w:rsid w:val="00CA14F6"/>
    <w:rsid w:val="00CA15AB"/>
    <w:rsid w:val="00CA175E"/>
    <w:rsid w:val="00CA19A9"/>
    <w:rsid w:val="00CA1B16"/>
    <w:rsid w:val="00CA1B78"/>
    <w:rsid w:val="00CA1E51"/>
    <w:rsid w:val="00CA21A9"/>
    <w:rsid w:val="00CA2499"/>
    <w:rsid w:val="00CA24A9"/>
    <w:rsid w:val="00CA2697"/>
    <w:rsid w:val="00CA2891"/>
    <w:rsid w:val="00CA2BC3"/>
    <w:rsid w:val="00CA2D88"/>
    <w:rsid w:val="00CA34C6"/>
    <w:rsid w:val="00CA35FE"/>
    <w:rsid w:val="00CA36D6"/>
    <w:rsid w:val="00CA38C1"/>
    <w:rsid w:val="00CA3A01"/>
    <w:rsid w:val="00CA3A5E"/>
    <w:rsid w:val="00CA421C"/>
    <w:rsid w:val="00CA43F9"/>
    <w:rsid w:val="00CA4458"/>
    <w:rsid w:val="00CA45FC"/>
    <w:rsid w:val="00CA46E0"/>
    <w:rsid w:val="00CA481F"/>
    <w:rsid w:val="00CA487E"/>
    <w:rsid w:val="00CA489F"/>
    <w:rsid w:val="00CA4AD3"/>
    <w:rsid w:val="00CA4BA4"/>
    <w:rsid w:val="00CA4BCD"/>
    <w:rsid w:val="00CA4BD8"/>
    <w:rsid w:val="00CA516C"/>
    <w:rsid w:val="00CA52B2"/>
    <w:rsid w:val="00CA55C8"/>
    <w:rsid w:val="00CA56C5"/>
    <w:rsid w:val="00CA59C2"/>
    <w:rsid w:val="00CA5C47"/>
    <w:rsid w:val="00CA5C82"/>
    <w:rsid w:val="00CA5E7A"/>
    <w:rsid w:val="00CA62EE"/>
    <w:rsid w:val="00CA632D"/>
    <w:rsid w:val="00CA657B"/>
    <w:rsid w:val="00CA65EF"/>
    <w:rsid w:val="00CA6647"/>
    <w:rsid w:val="00CA6751"/>
    <w:rsid w:val="00CA679A"/>
    <w:rsid w:val="00CA6956"/>
    <w:rsid w:val="00CA6B1A"/>
    <w:rsid w:val="00CA6CFF"/>
    <w:rsid w:val="00CA729C"/>
    <w:rsid w:val="00CA732B"/>
    <w:rsid w:val="00CA7414"/>
    <w:rsid w:val="00CA744E"/>
    <w:rsid w:val="00CA7632"/>
    <w:rsid w:val="00CA7676"/>
    <w:rsid w:val="00CA7682"/>
    <w:rsid w:val="00CA7854"/>
    <w:rsid w:val="00CA7915"/>
    <w:rsid w:val="00CA798E"/>
    <w:rsid w:val="00CA7A3A"/>
    <w:rsid w:val="00CA7A75"/>
    <w:rsid w:val="00CA7D5D"/>
    <w:rsid w:val="00CA7DF9"/>
    <w:rsid w:val="00CA7E03"/>
    <w:rsid w:val="00CA7F28"/>
    <w:rsid w:val="00CA7F39"/>
    <w:rsid w:val="00CB0076"/>
    <w:rsid w:val="00CB00EA"/>
    <w:rsid w:val="00CB0125"/>
    <w:rsid w:val="00CB01EF"/>
    <w:rsid w:val="00CB01F6"/>
    <w:rsid w:val="00CB029E"/>
    <w:rsid w:val="00CB0558"/>
    <w:rsid w:val="00CB0768"/>
    <w:rsid w:val="00CB0A1F"/>
    <w:rsid w:val="00CB0A2A"/>
    <w:rsid w:val="00CB0CE9"/>
    <w:rsid w:val="00CB0F58"/>
    <w:rsid w:val="00CB131F"/>
    <w:rsid w:val="00CB1320"/>
    <w:rsid w:val="00CB16C4"/>
    <w:rsid w:val="00CB198F"/>
    <w:rsid w:val="00CB19CF"/>
    <w:rsid w:val="00CB19D4"/>
    <w:rsid w:val="00CB1A00"/>
    <w:rsid w:val="00CB1EFD"/>
    <w:rsid w:val="00CB211C"/>
    <w:rsid w:val="00CB2121"/>
    <w:rsid w:val="00CB21AF"/>
    <w:rsid w:val="00CB221C"/>
    <w:rsid w:val="00CB2357"/>
    <w:rsid w:val="00CB2476"/>
    <w:rsid w:val="00CB2ACF"/>
    <w:rsid w:val="00CB2B76"/>
    <w:rsid w:val="00CB2E15"/>
    <w:rsid w:val="00CB33D0"/>
    <w:rsid w:val="00CB3555"/>
    <w:rsid w:val="00CB3693"/>
    <w:rsid w:val="00CB372C"/>
    <w:rsid w:val="00CB3BEB"/>
    <w:rsid w:val="00CB3C5D"/>
    <w:rsid w:val="00CB3E69"/>
    <w:rsid w:val="00CB3E9B"/>
    <w:rsid w:val="00CB434C"/>
    <w:rsid w:val="00CB439C"/>
    <w:rsid w:val="00CB4504"/>
    <w:rsid w:val="00CB452B"/>
    <w:rsid w:val="00CB4652"/>
    <w:rsid w:val="00CB46CD"/>
    <w:rsid w:val="00CB4900"/>
    <w:rsid w:val="00CB4B2D"/>
    <w:rsid w:val="00CB4DC2"/>
    <w:rsid w:val="00CB4DCD"/>
    <w:rsid w:val="00CB4E4B"/>
    <w:rsid w:val="00CB4F2D"/>
    <w:rsid w:val="00CB535F"/>
    <w:rsid w:val="00CB53F8"/>
    <w:rsid w:val="00CB544A"/>
    <w:rsid w:val="00CB57A4"/>
    <w:rsid w:val="00CB5AA2"/>
    <w:rsid w:val="00CB5E59"/>
    <w:rsid w:val="00CB5FF4"/>
    <w:rsid w:val="00CB603C"/>
    <w:rsid w:val="00CB6272"/>
    <w:rsid w:val="00CB6B3F"/>
    <w:rsid w:val="00CB6C9D"/>
    <w:rsid w:val="00CB7418"/>
    <w:rsid w:val="00CB779C"/>
    <w:rsid w:val="00CB78DF"/>
    <w:rsid w:val="00CB7A78"/>
    <w:rsid w:val="00CB7A7D"/>
    <w:rsid w:val="00CB7C49"/>
    <w:rsid w:val="00CB7EC4"/>
    <w:rsid w:val="00CC01EB"/>
    <w:rsid w:val="00CC03FB"/>
    <w:rsid w:val="00CC0670"/>
    <w:rsid w:val="00CC0743"/>
    <w:rsid w:val="00CC08E6"/>
    <w:rsid w:val="00CC09DA"/>
    <w:rsid w:val="00CC0A15"/>
    <w:rsid w:val="00CC0B70"/>
    <w:rsid w:val="00CC0BBE"/>
    <w:rsid w:val="00CC100B"/>
    <w:rsid w:val="00CC1311"/>
    <w:rsid w:val="00CC15A2"/>
    <w:rsid w:val="00CC1690"/>
    <w:rsid w:val="00CC1969"/>
    <w:rsid w:val="00CC19DE"/>
    <w:rsid w:val="00CC1B04"/>
    <w:rsid w:val="00CC1C7E"/>
    <w:rsid w:val="00CC1D7D"/>
    <w:rsid w:val="00CC207A"/>
    <w:rsid w:val="00CC2213"/>
    <w:rsid w:val="00CC2221"/>
    <w:rsid w:val="00CC22A0"/>
    <w:rsid w:val="00CC2320"/>
    <w:rsid w:val="00CC23B3"/>
    <w:rsid w:val="00CC25C1"/>
    <w:rsid w:val="00CC27FE"/>
    <w:rsid w:val="00CC2852"/>
    <w:rsid w:val="00CC285D"/>
    <w:rsid w:val="00CC28B4"/>
    <w:rsid w:val="00CC2995"/>
    <w:rsid w:val="00CC2A78"/>
    <w:rsid w:val="00CC2BB0"/>
    <w:rsid w:val="00CC2C12"/>
    <w:rsid w:val="00CC2D98"/>
    <w:rsid w:val="00CC2E06"/>
    <w:rsid w:val="00CC3066"/>
    <w:rsid w:val="00CC367D"/>
    <w:rsid w:val="00CC397F"/>
    <w:rsid w:val="00CC3A33"/>
    <w:rsid w:val="00CC3ABD"/>
    <w:rsid w:val="00CC3D23"/>
    <w:rsid w:val="00CC3D81"/>
    <w:rsid w:val="00CC3D91"/>
    <w:rsid w:val="00CC3E11"/>
    <w:rsid w:val="00CC3F04"/>
    <w:rsid w:val="00CC409D"/>
    <w:rsid w:val="00CC4210"/>
    <w:rsid w:val="00CC4238"/>
    <w:rsid w:val="00CC428B"/>
    <w:rsid w:val="00CC44F1"/>
    <w:rsid w:val="00CC44FE"/>
    <w:rsid w:val="00CC4921"/>
    <w:rsid w:val="00CC5431"/>
    <w:rsid w:val="00CC5476"/>
    <w:rsid w:val="00CC59C7"/>
    <w:rsid w:val="00CC5E1B"/>
    <w:rsid w:val="00CC644D"/>
    <w:rsid w:val="00CC658D"/>
    <w:rsid w:val="00CC665A"/>
    <w:rsid w:val="00CC6682"/>
    <w:rsid w:val="00CC67EC"/>
    <w:rsid w:val="00CC6ADB"/>
    <w:rsid w:val="00CC6D92"/>
    <w:rsid w:val="00CC6FB8"/>
    <w:rsid w:val="00CC718D"/>
    <w:rsid w:val="00CC7210"/>
    <w:rsid w:val="00CC74A2"/>
    <w:rsid w:val="00CC75E8"/>
    <w:rsid w:val="00CC779C"/>
    <w:rsid w:val="00CC799D"/>
    <w:rsid w:val="00CC7ADE"/>
    <w:rsid w:val="00CC7C4B"/>
    <w:rsid w:val="00CC7F36"/>
    <w:rsid w:val="00CD0004"/>
    <w:rsid w:val="00CD0111"/>
    <w:rsid w:val="00CD0183"/>
    <w:rsid w:val="00CD0492"/>
    <w:rsid w:val="00CD0518"/>
    <w:rsid w:val="00CD0593"/>
    <w:rsid w:val="00CD07CA"/>
    <w:rsid w:val="00CD07DE"/>
    <w:rsid w:val="00CD0AAE"/>
    <w:rsid w:val="00CD0D15"/>
    <w:rsid w:val="00CD0E49"/>
    <w:rsid w:val="00CD107A"/>
    <w:rsid w:val="00CD1184"/>
    <w:rsid w:val="00CD1226"/>
    <w:rsid w:val="00CD1311"/>
    <w:rsid w:val="00CD146B"/>
    <w:rsid w:val="00CD155B"/>
    <w:rsid w:val="00CD17E7"/>
    <w:rsid w:val="00CD1A3E"/>
    <w:rsid w:val="00CD1FD1"/>
    <w:rsid w:val="00CD20D4"/>
    <w:rsid w:val="00CD2187"/>
    <w:rsid w:val="00CD2340"/>
    <w:rsid w:val="00CD246B"/>
    <w:rsid w:val="00CD2519"/>
    <w:rsid w:val="00CD251C"/>
    <w:rsid w:val="00CD2652"/>
    <w:rsid w:val="00CD2777"/>
    <w:rsid w:val="00CD2785"/>
    <w:rsid w:val="00CD2C94"/>
    <w:rsid w:val="00CD2CDC"/>
    <w:rsid w:val="00CD2F34"/>
    <w:rsid w:val="00CD32BA"/>
    <w:rsid w:val="00CD3306"/>
    <w:rsid w:val="00CD3826"/>
    <w:rsid w:val="00CD3A61"/>
    <w:rsid w:val="00CD3A8A"/>
    <w:rsid w:val="00CD3B66"/>
    <w:rsid w:val="00CD4488"/>
    <w:rsid w:val="00CD4817"/>
    <w:rsid w:val="00CD4C1B"/>
    <w:rsid w:val="00CD4CB3"/>
    <w:rsid w:val="00CD4F23"/>
    <w:rsid w:val="00CD4FC6"/>
    <w:rsid w:val="00CD520E"/>
    <w:rsid w:val="00CD5217"/>
    <w:rsid w:val="00CD5329"/>
    <w:rsid w:val="00CD5562"/>
    <w:rsid w:val="00CD558B"/>
    <w:rsid w:val="00CD55B3"/>
    <w:rsid w:val="00CD58C0"/>
    <w:rsid w:val="00CD58CB"/>
    <w:rsid w:val="00CD5958"/>
    <w:rsid w:val="00CD59D9"/>
    <w:rsid w:val="00CD5A05"/>
    <w:rsid w:val="00CD5B7D"/>
    <w:rsid w:val="00CD5BF6"/>
    <w:rsid w:val="00CD5CD5"/>
    <w:rsid w:val="00CD5D9A"/>
    <w:rsid w:val="00CD5DBF"/>
    <w:rsid w:val="00CD5EDB"/>
    <w:rsid w:val="00CD5F3B"/>
    <w:rsid w:val="00CD6ABC"/>
    <w:rsid w:val="00CD6CB5"/>
    <w:rsid w:val="00CD6DE9"/>
    <w:rsid w:val="00CD7065"/>
    <w:rsid w:val="00CD7288"/>
    <w:rsid w:val="00CD73EC"/>
    <w:rsid w:val="00CD750A"/>
    <w:rsid w:val="00CD76D3"/>
    <w:rsid w:val="00CD7961"/>
    <w:rsid w:val="00CD7A6E"/>
    <w:rsid w:val="00CD7CD0"/>
    <w:rsid w:val="00CD7E16"/>
    <w:rsid w:val="00CD7EE5"/>
    <w:rsid w:val="00CD7FD7"/>
    <w:rsid w:val="00CE0097"/>
    <w:rsid w:val="00CE04A0"/>
    <w:rsid w:val="00CE04BA"/>
    <w:rsid w:val="00CE0644"/>
    <w:rsid w:val="00CE06BD"/>
    <w:rsid w:val="00CE07A2"/>
    <w:rsid w:val="00CE0855"/>
    <w:rsid w:val="00CE0A27"/>
    <w:rsid w:val="00CE0AAE"/>
    <w:rsid w:val="00CE0C64"/>
    <w:rsid w:val="00CE0DB5"/>
    <w:rsid w:val="00CE102F"/>
    <w:rsid w:val="00CE1198"/>
    <w:rsid w:val="00CE11B2"/>
    <w:rsid w:val="00CE19AB"/>
    <w:rsid w:val="00CE1AAD"/>
    <w:rsid w:val="00CE1C11"/>
    <w:rsid w:val="00CE1D24"/>
    <w:rsid w:val="00CE1E36"/>
    <w:rsid w:val="00CE1F52"/>
    <w:rsid w:val="00CE2272"/>
    <w:rsid w:val="00CE229F"/>
    <w:rsid w:val="00CE2349"/>
    <w:rsid w:val="00CE23B9"/>
    <w:rsid w:val="00CE23BA"/>
    <w:rsid w:val="00CE265B"/>
    <w:rsid w:val="00CE27CD"/>
    <w:rsid w:val="00CE28CA"/>
    <w:rsid w:val="00CE2B4F"/>
    <w:rsid w:val="00CE2B59"/>
    <w:rsid w:val="00CE3042"/>
    <w:rsid w:val="00CE3068"/>
    <w:rsid w:val="00CE30A7"/>
    <w:rsid w:val="00CE30B0"/>
    <w:rsid w:val="00CE30E6"/>
    <w:rsid w:val="00CE333D"/>
    <w:rsid w:val="00CE341F"/>
    <w:rsid w:val="00CE345F"/>
    <w:rsid w:val="00CE3464"/>
    <w:rsid w:val="00CE34DC"/>
    <w:rsid w:val="00CE368B"/>
    <w:rsid w:val="00CE36DD"/>
    <w:rsid w:val="00CE3AB3"/>
    <w:rsid w:val="00CE3BF2"/>
    <w:rsid w:val="00CE3F11"/>
    <w:rsid w:val="00CE3F2F"/>
    <w:rsid w:val="00CE44E5"/>
    <w:rsid w:val="00CE476B"/>
    <w:rsid w:val="00CE476E"/>
    <w:rsid w:val="00CE4825"/>
    <w:rsid w:val="00CE4B44"/>
    <w:rsid w:val="00CE4BBB"/>
    <w:rsid w:val="00CE4D3C"/>
    <w:rsid w:val="00CE4D54"/>
    <w:rsid w:val="00CE5135"/>
    <w:rsid w:val="00CE5203"/>
    <w:rsid w:val="00CE5457"/>
    <w:rsid w:val="00CE5899"/>
    <w:rsid w:val="00CE593A"/>
    <w:rsid w:val="00CE593C"/>
    <w:rsid w:val="00CE5B71"/>
    <w:rsid w:val="00CE5E98"/>
    <w:rsid w:val="00CE5F30"/>
    <w:rsid w:val="00CE5FCF"/>
    <w:rsid w:val="00CE60CD"/>
    <w:rsid w:val="00CE6389"/>
    <w:rsid w:val="00CE69FC"/>
    <w:rsid w:val="00CE6A21"/>
    <w:rsid w:val="00CE6A77"/>
    <w:rsid w:val="00CE6CC6"/>
    <w:rsid w:val="00CE6E7E"/>
    <w:rsid w:val="00CE6E81"/>
    <w:rsid w:val="00CE6FBA"/>
    <w:rsid w:val="00CE77A6"/>
    <w:rsid w:val="00CE77D7"/>
    <w:rsid w:val="00CF0219"/>
    <w:rsid w:val="00CF04B4"/>
    <w:rsid w:val="00CF05DB"/>
    <w:rsid w:val="00CF07B4"/>
    <w:rsid w:val="00CF08E5"/>
    <w:rsid w:val="00CF0B33"/>
    <w:rsid w:val="00CF0B3D"/>
    <w:rsid w:val="00CF0B8C"/>
    <w:rsid w:val="00CF0D06"/>
    <w:rsid w:val="00CF0FC4"/>
    <w:rsid w:val="00CF1089"/>
    <w:rsid w:val="00CF1537"/>
    <w:rsid w:val="00CF15DD"/>
    <w:rsid w:val="00CF1C79"/>
    <w:rsid w:val="00CF1D89"/>
    <w:rsid w:val="00CF1EFC"/>
    <w:rsid w:val="00CF2121"/>
    <w:rsid w:val="00CF2157"/>
    <w:rsid w:val="00CF223A"/>
    <w:rsid w:val="00CF225A"/>
    <w:rsid w:val="00CF24F0"/>
    <w:rsid w:val="00CF26C2"/>
    <w:rsid w:val="00CF2708"/>
    <w:rsid w:val="00CF294F"/>
    <w:rsid w:val="00CF2C08"/>
    <w:rsid w:val="00CF2C97"/>
    <w:rsid w:val="00CF2F64"/>
    <w:rsid w:val="00CF311A"/>
    <w:rsid w:val="00CF313E"/>
    <w:rsid w:val="00CF3286"/>
    <w:rsid w:val="00CF3359"/>
    <w:rsid w:val="00CF3400"/>
    <w:rsid w:val="00CF379F"/>
    <w:rsid w:val="00CF3C87"/>
    <w:rsid w:val="00CF3E45"/>
    <w:rsid w:val="00CF4256"/>
    <w:rsid w:val="00CF42DF"/>
    <w:rsid w:val="00CF4307"/>
    <w:rsid w:val="00CF4D4A"/>
    <w:rsid w:val="00CF5125"/>
    <w:rsid w:val="00CF54E1"/>
    <w:rsid w:val="00CF570D"/>
    <w:rsid w:val="00CF5938"/>
    <w:rsid w:val="00CF5C18"/>
    <w:rsid w:val="00CF5D03"/>
    <w:rsid w:val="00CF5D77"/>
    <w:rsid w:val="00CF603D"/>
    <w:rsid w:val="00CF6181"/>
    <w:rsid w:val="00CF67D9"/>
    <w:rsid w:val="00CF6C39"/>
    <w:rsid w:val="00CF6E63"/>
    <w:rsid w:val="00CF71D5"/>
    <w:rsid w:val="00CF76E5"/>
    <w:rsid w:val="00CF7B62"/>
    <w:rsid w:val="00CF7B8C"/>
    <w:rsid w:val="00CF7BBF"/>
    <w:rsid w:val="00CF7C62"/>
    <w:rsid w:val="00CF7FAF"/>
    <w:rsid w:val="00D0008E"/>
    <w:rsid w:val="00D0031D"/>
    <w:rsid w:val="00D007CD"/>
    <w:rsid w:val="00D007F4"/>
    <w:rsid w:val="00D009E6"/>
    <w:rsid w:val="00D00CA0"/>
    <w:rsid w:val="00D00EEC"/>
    <w:rsid w:val="00D00F9D"/>
    <w:rsid w:val="00D01361"/>
    <w:rsid w:val="00D01453"/>
    <w:rsid w:val="00D016EE"/>
    <w:rsid w:val="00D018FE"/>
    <w:rsid w:val="00D01927"/>
    <w:rsid w:val="00D01954"/>
    <w:rsid w:val="00D01A27"/>
    <w:rsid w:val="00D01AFE"/>
    <w:rsid w:val="00D01ED5"/>
    <w:rsid w:val="00D021F0"/>
    <w:rsid w:val="00D02271"/>
    <w:rsid w:val="00D02402"/>
    <w:rsid w:val="00D02456"/>
    <w:rsid w:val="00D026BC"/>
    <w:rsid w:val="00D02896"/>
    <w:rsid w:val="00D02AD7"/>
    <w:rsid w:val="00D02C47"/>
    <w:rsid w:val="00D0326D"/>
    <w:rsid w:val="00D03458"/>
    <w:rsid w:val="00D03BC1"/>
    <w:rsid w:val="00D03E7A"/>
    <w:rsid w:val="00D03E7B"/>
    <w:rsid w:val="00D040E7"/>
    <w:rsid w:val="00D0452C"/>
    <w:rsid w:val="00D047D3"/>
    <w:rsid w:val="00D04827"/>
    <w:rsid w:val="00D04EFF"/>
    <w:rsid w:val="00D04F25"/>
    <w:rsid w:val="00D051A6"/>
    <w:rsid w:val="00D051E5"/>
    <w:rsid w:val="00D05245"/>
    <w:rsid w:val="00D05307"/>
    <w:rsid w:val="00D0557D"/>
    <w:rsid w:val="00D05669"/>
    <w:rsid w:val="00D0590B"/>
    <w:rsid w:val="00D05BBC"/>
    <w:rsid w:val="00D05D64"/>
    <w:rsid w:val="00D0630F"/>
    <w:rsid w:val="00D0673D"/>
    <w:rsid w:val="00D06878"/>
    <w:rsid w:val="00D06A55"/>
    <w:rsid w:val="00D06CBF"/>
    <w:rsid w:val="00D070FC"/>
    <w:rsid w:val="00D0713C"/>
    <w:rsid w:val="00D0737D"/>
    <w:rsid w:val="00D078C6"/>
    <w:rsid w:val="00D07FB4"/>
    <w:rsid w:val="00D1027D"/>
    <w:rsid w:val="00D1036E"/>
    <w:rsid w:val="00D104C0"/>
    <w:rsid w:val="00D1052A"/>
    <w:rsid w:val="00D1060A"/>
    <w:rsid w:val="00D107E7"/>
    <w:rsid w:val="00D10D0E"/>
    <w:rsid w:val="00D10E7B"/>
    <w:rsid w:val="00D10E91"/>
    <w:rsid w:val="00D10FDC"/>
    <w:rsid w:val="00D1105A"/>
    <w:rsid w:val="00D11127"/>
    <w:rsid w:val="00D11284"/>
    <w:rsid w:val="00D1137B"/>
    <w:rsid w:val="00D11D6C"/>
    <w:rsid w:val="00D11DB6"/>
    <w:rsid w:val="00D11F4B"/>
    <w:rsid w:val="00D121FC"/>
    <w:rsid w:val="00D12482"/>
    <w:rsid w:val="00D125BD"/>
    <w:rsid w:val="00D12700"/>
    <w:rsid w:val="00D12892"/>
    <w:rsid w:val="00D1298F"/>
    <w:rsid w:val="00D12A9E"/>
    <w:rsid w:val="00D12BB7"/>
    <w:rsid w:val="00D12C70"/>
    <w:rsid w:val="00D131DF"/>
    <w:rsid w:val="00D132D5"/>
    <w:rsid w:val="00D135EB"/>
    <w:rsid w:val="00D13621"/>
    <w:rsid w:val="00D13A0C"/>
    <w:rsid w:val="00D13CCD"/>
    <w:rsid w:val="00D13E53"/>
    <w:rsid w:val="00D13F94"/>
    <w:rsid w:val="00D14117"/>
    <w:rsid w:val="00D14449"/>
    <w:rsid w:val="00D14492"/>
    <w:rsid w:val="00D14539"/>
    <w:rsid w:val="00D14AFC"/>
    <w:rsid w:val="00D14D8A"/>
    <w:rsid w:val="00D14EC1"/>
    <w:rsid w:val="00D14F85"/>
    <w:rsid w:val="00D151EA"/>
    <w:rsid w:val="00D15303"/>
    <w:rsid w:val="00D15AD0"/>
    <w:rsid w:val="00D16051"/>
    <w:rsid w:val="00D160C7"/>
    <w:rsid w:val="00D160F7"/>
    <w:rsid w:val="00D1623E"/>
    <w:rsid w:val="00D16297"/>
    <w:rsid w:val="00D168DB"/>
    <w:rsid w:val="00D16C83"/>
    <w:rsid w:val="00D16D0C"/>
    <w:rsid w:val="00D16D0D"/>
    <w:rsid w:val="00D16EF2"/>
    <w:rsid w:val="00D17788"/>
    <w:rsid w:val="00D1787D"/>
    <w:rsid w:val="00D17DCA"/>
    <w:rsid w:val="00D20039"/>
    <w:rsid w:val="00D2011C"/>
    <w:rsid w:val="00D20461"/>
    <w:rsid w:val="00D20A21"/>
    <w:rsid w:val="00D20B75"/>
    <w:rsid w:val="00D20EB0"/>
    <w:rsid w:val="00D20F03"/>
    <w:rsid w:val="00D21163"/>
    <w:rsid w:val="00D2148E"/>
    <w:rsid w:val="00D216F2"/>
    <w:rsid w:val="00D2173C"/>
    <w:rsid w:val="00D218BB"/>
    <w:rsid w:val="00D21A6E"/>
    <w:rsid w:val="00D21F7C"/>
    <w:rsid w:val="00D21FA8"/>
    <w:rsid w:val="00D220EF"/>
    <w:rsid w:val="00D22166"/>
    <w:rsid w:val="00D22469"/>
    <w:rsid w:val="00D224D2"/>
    <w:rsid w:val="00D225A3"/>
    <w:rsid w:val="00D2266D"/>
    <w:rsid w:val="00D22675"/>
    <w:rsid w:val="00D22B80"/>
    <w:rsid w:val="00D22B8A"/>
    <w:rsid w:val="00D22EDF"/>
    <w:rsid w:val="00D2314B"/>
    <w:rsid w:val="00D2325F"/>
    <w:rsid w:val="00D23333"/>
    <w:rsid w:val="00D2334D"/>
    <w:rsid w:val="00D23412"/>
    <w:rsid w:val="00D235C3"/>
    <w:rsid w:val="00D236B7"/>
    <w:rsid w:val="00D23981"/>
    <w:rsid w:val="00D23B5E"/>
    <w:rsid w:val="00D23BE3"/>
    <w:rsid w:val="00D23E48"/>
    <w:rsid w:val="00D23FF7"/>
    <w:rsid w:val="00D243EA"/>
    <w:rsid w:val="00D244BE"/>
    <w:rsid w:val="00D244CE"/>
    <w:rsid w:val="00D24537"/>
    <w:rsid w:val="00D24640"/>
    <w:rsid w:val="00D2482F"/>
    <w:rsid w:val="00D248DA"/>
    <w:rsid w:val="00D24B50"/>
    <w:rsid w:val="00D24B54"/>
    <w:rsid w:val="00D24B96"/>
    <w:rsid w:val="00D24C4C"/>
    <w:rsid w:val="00D24CDF"/>
    <w:rsid w:val="00D25352"/>
    <w:rsid w:val="00D25410"/>
    <w:rsid w:val="00D25964"/>
    <w:rsid w:val="00D25C92"/>
    <w:rsid w:val="00D25EC9"/>
    <w:rsid w:val="00D25FED"/>
    <w:rsid w:val="00D263FE"/>
    <w:rsid w:val="00D2643F"/>
    <w:rsid w:val="00D26488"/>
    <w:rsid w:val="00D26550"/>
    <w:rsid w:val="00D268D9"/>
    <w:rsid w:val="00D2692A"/>
    <w:rsid w:val="00D26A83"/>
    <w:rsid w:val="00D26B2F"/>
    <w:rsid w:val="00D26CB6"/>
    <w:rsid w:val="00D26D2F"/>
    <w:rsid w:val="00D26EF9"/>
    <w:rsid w:val="00D26F36"/>
    <w:rsid w:val="00D27232"/>
    <w:rsid w:val="00D2755B"/>
    <w:rsid w:val="00D277DE"/>
    <w:rsid w:val="00D278E5"/>
    <w:rsid w:val="00D278F4"/>
    <w:rsid w:val="00D27B83"/>
    <w:rsid w:val="00D27E4F"/>
    <w:rsid w:val="00D27F2D"/>
    <w:rsid w:val="00D300C0"/>
    <w:rsid w:val="00D300E9"/>
    <w:rsid w:val="00D30118"/>
    <w:rsid w:val="00D30251"/>
    <w:rsid w:val="00D302D0"/>
    <w:rsid w:val="00D30334"/>
    <w:rsid w:val="00D303A7"/>
    <w:rsid w:val="00D304CF"/>
    <w:rsid w:val="00D30814"/>
    <w:rsid w:val="00D3086E"/>
    <w:rsid w:val="00D3090A"/>
    <w:rsid w:val="00D30B6D"/>
    <w:rsid w:val="00D310C4"/>
    <w:rsid w:val="00D310F3"/>
    <w:rsid w:val="00D3111E"/>
    <w:rsid w:val="00D31125"/>
    <w:rsid w:val="00D31156"/>
    <w:rsid w:val="00D31221"/>
    <w:rsid w:val="00D31318"/>
    <w:rsid w:val="00D31546"/>
    <w:rsid w:val="00D316DF"/>
    <w:rsid w:val="00D31700"/>
    <w:rsid w:val="00D31851"/>
    <w:rsid w:val="00D31B08"/>
    <w:rsid w:val="00D31F8D"/>
    <w:rsid w:val="00D32138"/>
    <w:rsid w:val="00D323F9"/>
    <w:rsid w:val="00D32449"/>
    <w:rsid w:val="00D32664"/>
    <w:rsid w:val="00D326D0"/>
    <w:rsid w:val="00D32D36"/>
    <w:rsid w:val="00D32FA5"/>
    <w:rsid w:val="00D3300B"/>
    <w:rsid w:val="00D332A5"/>
    <w:rsid w:val="00D33419"/>
    <w:rsid w:val="00D336AD"/>
    <w:rsid w:val="00D3377F"/>
    <w:rsid w:val="00D33AE9"/>
    <w:rsid w:val="00D33C32"/>
    <w:rsid w:val="00D33C38"/>
    <w:rsid w:val="00D33EBE"/>
    <w:rsid w:val="00D34023"/>
    <w:rsid w:val="00D34058"/>
    <w:rsid w:val="00D34376"/>
    <w:rsid w:val="00D34548"/>
    <w:rsid w:val="00D3459B"/>
    <w:rsid w:val="00D34615"/>
    <w:rsid w:val="00D34DCF"/>
    <w:rsid w:val="00D35357"/>
    <w:rsid w:val="00D353B4"/>
    <w:rsid w:val="00D35755"/>
    <w:rsid w:val="00D35D25"/>
    <w:rsid w:val="00D35D9E"/>
    <w:rsid w:val="00D35E91"/>
    <w:rsid w:val="00D35FE9"/>
    <w:rsid w:val="00D36038"/>
    <w:rsid w:val="00D361D6"/>
    <w:rsid w:val="00D361D9"/>
    <w:rsid w:val="00D362CF"/>
    <w:rsid w:val="00D3633F"/>
    <w:rsid w:val="00D36421"/>
    <w:rsid w:val="00D3694E"/>
    <w:rsid w:val="00D36B98"/>
    <w:rsid w:val="00D36BD4"/>
    <w:rsid w:val="00D36CB6"/>
    <w:rsid w:val="00D36CC6"/>
    <w:rsid w:val="00D36CFB"/>
    <w:rsid w:val="00D370CA"/>
    <w:rsid w:val="00D3714E"/>
    <w:rsid w:val="00D37359"/>
    <w:rsid w:val="00D3737A"/>
    <w:rsid w:val="00D373FF"/>
    <w:rsid w:val="00D374A8"/>
    <w:rsid w:val="00D375EF"/>
    <w:rsid w:val="00D37745"/>
    <w:rsid w:val="00D37835"/>
    <w:rsid w:val="00D37ECC"/>
    <w:rsid w:val="00D401AB"/>
    <w:rsid w:val="00D401C6"/>
    <w:rsid w:val="00D40422"/>
    <w:rsid w:val="00D4049E"/>
    <w:rsid w:val="00D40508"/>
    <w:rsid w:val="00D40651"/>
    <w:rsid w:val="00D4065B"/>
    <w:rsid w:val="00D406B2"/>
    <w:rsid w:val="00D40B95"/>
    <w:rsid w:val="00D40BEF"/>
    <w:rsid w:val="00D40EAE"/>
    <w:rsid w:val="00D4111E"/>
    <w:rsid w:val="00D414C7"/>
    <w:rsid w:val="00D415AB"/>
    <w:rsid w:val="00D41A59"/>
    <w:rsid w:val="00D41C72"/>
    <w:rsid w:val="00D41CF9"/>
    <w:rsid w:val="00D41E10"/>
    <w:rsid w:val="00D41E77"/>
    <w:rsid w:val="00D41ED1"/>
    <w:rsid w:val="00D42113"/>
    <w:rsid w:val="00D422DB"/>
    <w:rsid w:val="00D426A5"/>
    <w:rsid w:val="00D427CA"/>
    <w:rsid w:val="00D42818"/>
    <w:rsid w:val="00D4281E"/>
    <w:rsid w:val="00D42B97"/>
    <w:rsid w:val="00D42F86"/>
    <w:rsid w:val="00D43096"/>
    <w:rsid w:val="00D4336E"/>
    <w:rsid w:val="00D43448"/>
    <w:rsid w:val="00D434A1"/>
    <w:rsid w:val="00D437EA"/>
    <w:rsid w:val="00D43897"/>
    <w:rsid w:val="00D43A71"/>
    <w:rsid w:val="00D43B5E"/>
    <w:rsid w:val="00D43BC4"/>
    <w:rsid w:val="00D43D89"/>
    <w:rsid w:val="00D43DE4"/>
    <w:rsid w:val="00D43F83"/>
    <w:rsid w:val="00D442D6"/>
    <w:rsid w:val="00D445E0"/>
    <w:rsid w:val="00D4465D"/>
    <w:rsid w:val="00D44715"/>
    <w:rsid w:val="00D44DEF"/>
    <w:rsid w:val="00D44FC7"/>
    <w:rsid w:val="00D45001"/>
    <w:rsid w:val="00D452D4"/>
    <w:rsid w:val="00D458E5"/>
    <w:rsid w:val="00D45A0E"/>
    <w:rsid w:val="00D45A7A"/>
    <w:rsid w:val="00D45DA7"/>
    <w:rsid w:val="00D45DA9"/>
    <w:rsid w:val="00D45DE4"/>
    <w:rsid w:val="00D45DEB"/>
    <w:rsid w:val="00D460AA"/>
    <w:rsid w:val="00D46108"/>
    <w:rsid w:val="00D4610D"/>
    <w:rsid w:val="00D463A2"/>
    <w:rsid w:val="00D4657B"/>
    <w:rsid w:val="00D46593"/>
    <w:rsid w:val="00D46852"/>
    <w:rsid w:val="00D469D9"/>
    <w:rsid w:val="00D46AB2"/>
    <w:rsid w:val="00D46C90"/>
    <w:rsid w:val="00D46D47"/>
    <w:rsid w:val="00D46D50"/>
    <w:rsid w:val="00D46DF6"/>
    <w:rsid w:val="00D471ED"/>
    <w:rsid w:val="00D472D9"/>
    <w:rsid w:val="00D47331"/>
    <w:rsid w:val="00D47815"/>
    <w:rsid w:val="00D47A4F"/>
    <w:rsid w:val="00D47D2C"/>
    <w:rsid w:val="00D500D3"/>
    <w:rsid w:val="00D501AA"/>
    <w:rsid w:val="00D501FA"/>
    <w:rsid w:val="00D50344"/>
    <w:rsid w:val="00D503A5"/>
    <w:rsid w:val="00D5050B"/>
    <w:rsid w:val="00D5069A"/>
    <w:rsid w:val="00D50B5D"/>
    <w:rsid w:val="00D50B86"/>
    <w:rsid w:val="00D50DE4"/>
    <w:rsid w:val="00D50FDC"/>
    <w:rsid w:val="00D5116C"/>
    <w:rsid w:val="00D511D2"/>
    <w:rsid w:val="00D5127A"/>
    <w:rsid w:val="00D51285"/>
    <w:rsid w:val="00D5129E"/>
    <w:rsid w:val="00D5145A"/>
    <w:rsid w:val="00D51477"/>
    <w:rsid w:val="00D51647"/>
    <w:rsid w:val="00D516BD"/>
    <w:rsid w:val="00D518A7"/>
    <w:rsid w:val="00D51EC0"/>
    <w:rsid w:val="00D51F0F"/>
    <w:rsid w:val="00D52283"/>
    <w:rsid w:val="00D5235C"/>
    <w:rsid w:val="00D526F8"/>
    <w:rsid w:val="00D52761"/>
    <w:rsid w:val="00D5276E"/>
    <w:rsid w:val="00D527C8"/>
    <w:rsid w:val="00D5287C"/>
    <w:rsid w:val="00D52AFF"/>
    <w:rsid w:val="00D52B7E"/>
    <w:rsid w:val="00D52BBB"/>
    <w:rsid w:val="00D52BD8"/>
    <w:rsid w:val="00D52C9D"/>
    <w:rsid w:val="00D52E6A"/>
    <w:rsid w:val="00D52EA4"/>
    <w:rsid w:val="00D5315E"/>
    <w:rsid w:val="00D532AB"/>
    <w:rsid w:val="00D53392"/>
    <w:rsid w:val="00D53509"/>
    <w:rsid w:val="00D53637"/>
    <w:rsid w:val="00D5376F"/>
    <w:rsid w:val="00D5392D"/>
    <w:rsid w:val="00D5394C"/>
    <w:rsid w:val="00D53953"/>
    <w:rsid w:val="00D5396D"/>
    <w:rsid w:val="00D53BC0"/>
    <w:rsid w:val="00D53CBC"/>
    <w:rsid w:val="00D53CE6"/>
    <w:rsid w:val="00D53D57"/>
    <w:rsid w:val="00D53DB7"/>
    <w:rsid w:val="00D5417D"/>
    <w:rsid w:val="00D5439D"/>
    <w:rsid w:val="00D54506"/>
    <w:rsid w:val="00D54840"/>
    <w:rsid w:val="00D54B50"/>
    <w:rsid w:val="00D54E69"/>
    <w:rsid w:val="00D552EE"/>
    <w:rsid w:val="00D552FB"/>
    <w:rsid w:val="00D5531F"/>
    <w:rsid w:val="00D55550"/>
    <w:rsid w:val="00D5567E"/>
    <w:rsid w:val="00D557F0"/>
    <w:rsid w:val="00D55928"/>
    <w:rsid w:val="00D55AF0"/>
    <w:rsid w:val="00D55F0F"/>
    <w:rsid w:val="00D5630B"/>
    <w:rsid w:val="00D5648E"/>
    <w:rsid w:val="00D564B8"/>
    <w:rsid w:val="00D565D4"/>
    <w:rsid w:val="00D567A6"/>
    <w:rsid w:val="00D56B70"/>
    <w:rsid w:val="00D56F15"/>
    <w:rsid w:val="00D5713D"/>
    <w:rsid w:val="00D57180"/>
    <w:rsid w:val="00D573EC"/>
    <w:rsid w:val="00D574BF"/>
    <w:rsid w:val="00D577B7"/>
    <w:rsid w:val="00D578F0"/>
    <w:rsid w:val="00D57AB1"/>
    <w:rsid w:val="00D57B11"/>
    <w:rsid w:val="00D60157"/>
    <w:rsid w:val="00D60463"/>
    <w:rsid w:val="00D60495"/>
    <w:rsid w:val="00D6057C"/>
    <w:rsid w:val="00D60805"/>
    <w:rsid w:val="00D60852"/>
    <w:rsid w:val="00D60A87"/>
    <w:rsid w:val="00D60C34"/>
    <w:rsid w:val="00D60DDE"/>
    <w:rsid w:val="00D60F2E"/>
    <w:rsid w:val="00D60FC2"/>
    <w:rsid w:val="00D61217"/>
    <w:rsid w:val="00D61292"/>
    <w:rsid w:val="00D612BF"/>
    <w:rsid w:val="00D613F1"/>
    <w:rsid w:val="00D614B7"/>
    <w:rsid w:val="00D6151F"/>
    <w:rsid w:val="00D616C5"/>
    <w:rsid w:val="00D616D0"/>
    <w:rsid w:val="00D6173B"/>
    <w:rsid w:val="00D618AF"/>
    <w:rsid w:val="00D61928"/>
    <w:rsid w:val="00D61981"/>
    <w:rsid w:val="00D619FD"/>
    <w:rsid w:val="00D623C5"/>
    <w:rsid w:val="00D62437"/>
    <w:rsid w:val="00D62991"/>
    <w:rsid w:val="00D62DB6"/>
    <w:rsid w:val="00D62F7C"/>
    <w:rsid w:val="00D63447"/>
    <w:rsid w:val="00D6347A"/>
    <w:rsid w:val="00D634D2"/>
    <w:rsid w:val="00D6356D"/>
    <w:rsid w:val="00D635CE"/>
    <w:rsid w:val="00D636D3"/>
    <w:rsid w:val="00D63934"/>
    <w:rsid w:val="00D63B98"/>
    <w:rsid w:val="00D63E85"/>
    <w:rsid w:val="00D64059"/>
    <w:rsid w:val="00D640A7"/>
    <w:rsid w:val="00D64165"/>
    <w:rsid w:val="00D6428D"/>
    <w:rsid w:val="00D6437F"/>
    <w:rsid w:val="00D644C2"/>
    <w:rsid w:val="00D64667"/>
    <w:rsid w:val="00D6473B"/>
    <w:rsid w:val="00D64833"/>
    <w:rsid w:val="00D64947"/>
    <w:rsid w:val="00D64A64"/>
    <w:rsid w:val="00D64ECE"/>
    <w:rsid w:val="00D64F1E"/>
    <w:rsid w:val="00D65425"/>
    <w:rsid w:val="00D6553D"/>
    <w:rsid w:val="00D655E5"/>
    <w:rsid w:val="00D656EB"/>
    <w:rsid w:val="00D6583D"/>
    <w:rsid w:val="00D65842"/>
    <w:rsid w:val="00D65A91"/>
    <w:rsid w:val="00D65C69"/>
    <w:rsid w:val="00D65D96"/>
    <w:rsid w:val="00D65F20"/>
    <w:rsid w:val="00D66181"/>
    <w:rsid w:val="00D6686E"/>
    <w:rsid w:val="00D66963"/>
    <w:rsid w:val="00D66A58"/>
    <w:rsid w:val="00D66A9A"/>
    <w:rsid w:val="00D66AB2"/>
    <w:rsid w:val="00D66BA4"/>
    <w:rsid w:val="00D66C86"/>
    <w:rsid w:val="00D66CFF"/>
    <w:rsid w:val="00D66DD4"/>
    <w:rsid w:val="00D67195"/>
    <w:rsid w:val="00D675EE"/>
    <w:rsid w:val="00D679FD"/>
    <w:rsid w:val="00D67BBC"/>
    <w:rsid w:val="00D701E8"/>
    <w:rsid w:val="00D70222"/>
    <w:rsid w:val="00D703B9"/>
    <w:rsid w:val="00D704C3"/>
    <w:rsid w:val="00D70624"/>
    <w:rsid w:val="00D7068D"/>
    <w:rsid w:val="00D7079A"/>
    <w:rsid w:val="00D707A9"/>
    <w:rsid w:val="00D708E9"/>
    <w:rsid w:val="00D709D6"/>
    <w:rsid w:val="00D70B14"/>
    <w:rsid w:val="00D70BD3"/>
    <w:rsid w:val="00D71026"/>
    <w:rsid w:val="00D7149A"/>
    <w:rsid w:val="00D71528"/>
    <w:rsid w:val="00D715A6"/>
    <w:rsid w:val="00D715B2"/>
    <w:rsid w:val="00D71794"/>
    <w:rsid w:val="00D71A9F"/>
    <w:rsid w:val="00D720DF"/>
    <w:rsid w:val="00D721E0"/>
    <w:rsid w:val="00D72317"/>
    <w:rsid w:val="00D7250F"/>
    <w:rsid w:val="00D72544"/>
    <w:rsid w:val="00D725CC"/>
    <w:rsid w:val="00D72629"/>
    <w:rsid w:val="00D728FC"/>
    <w:rsid w:val="00D72A6C"/>
    <w:rsid w:val="00D72A83"/>
    <w:rsid w:val="00D72B33"/>
    <w:rsid w:val="00D72BF0"/>
    <w:rsid w:val="00D72BF1"/>
    <w:rsid w:val="00D72CBF"/>
    <w:rsid w:val="00D72FDC"/>
    <w:rsid w:val="00D730B0"/>
    <w:rsid w:val="00D73385"/>
    <w:rsid w:val="00D73744"/>
    <w:rsid w:val="00D73835"/>
    <w:rsid w:val="00D73DE3"/>
    <w:rsid w:val="00D7424A"/>
    <w:rsid w:val="00D744AB"/>
    <w:rsid w:val="00D745D0"/>
    <w:rsid w:val="00D74743"/>
    <w:rsid w:val="00D749A1"/>
    <w:rsid w:val="00D749C1"/>
    <w:rsid w:val="00D74C95"/>
    <w:rsid w:val="00D74D67"/>
    <w:rsid w:val="00D74F41"/>
    <w:rsid w:val="00D7506D"/>
    <w:rsid w:val="00D75102"/>
    <w:rsid w:val="00D7563F"/>
    <w:rsid w:val="00D75A73"/>
    <w:rsid w:val="00D75A86"/>
    <w:rsid w:val="00D75B70"/>
    <w:rsid w:val="00D75C8D"/>
    <w:rsid w:val="00D75CAC"/>
    <w:rsid w:val="00D75EE3"/>
    <w:rsid w:val="00D75EFA"/>
    <w:rsid w:val="00D76269"/>
    <w:rsid w:val="00D765A0"/>
    <w:rsid w:val="00D76677"/>
    <w:rsid w:val="00D76684"/>
    <w:rsid w:val="00D766AA"/>
    <w:rsid w:val="00D766B0"/>
    <w:rsid w:val="00D76998"/>
    <w:rsid w:val="00D76AB5"/>
    <w:rsid w:val="00D76D53"/>
    <w:rsid w:val="00D76EEE"/>
    <w:rsid w:val="00D77114"/>
    <w:rsid w:val="00D7718D"/>
    <w:rsid w:val="00D771FD"/>
    <w:rsid w:val="00D77310"/>
    <w:rsid w:val="00D7796D"/>
    <w:rsid w:val="00D779E7"/>
    <w:rsid w:val="00D77AAD"/>
    <w:rsid w:val="00D77B8A"/>
    <w:rsid w:val="00D77FDB"/>
    <w:rsid w:val="00D800F7"/>
    <w:rsid w:val="00D80464"/>
    <w:rsid w:val="00D806B0"/>
    <w:rsid w:val="00D80855"/>
    <w:rsid w:val="00D80B1A"/>
    <w:rsid w:val="00D80BA8"/>
    <w:rsid w:val="00D80C06"/>
    <w:rsid w:val="00D80FA6"/>
    <w:rsid w:val="00D81118"/>
    <w:rsid w:val="00D8111F"/>
    <w:rsid w:val="00D811EE"/>
    <w:rsid w:val="00D812C7"/>
    <w:rsid w:val="00D81378"/>
    <w:rsid w:val="00D8154C"/>
    <w:rsid w:val="00D81B18"/>
    <w:rsid w:val="00D81EFD"/>
    <w:rsid w:val="00D82102"/>
    <w:rsid w:val="00D82253"/>
    <w:rsid w:val="00D8233C"/>
    <w:rsid w:val="00D82666"/>
    <w:rsid w:val="00D82696"/>
    <w:rsid w:val="00D8310B"/>
    <w:rsid w:val="00D831DB"/>
    <w:rsid w:val="00D8327F"/>
    <w:rsid w:val="00D8339A"/>
    <w:rsid w:val="00D833B3"/>
    <w:rsid w:val="00D83541"/>
    <w:rsid w:val="00D835C2"/>
    <w:rsid w:val="00D836EA"/>
    <w:rsid w:val="00D836F8"/>
    <w:rsid w:val="00D83768"/>
    <w:rsid w:val="00D83B0F"/>
    <w:rsid w:val="00D8435E"/>
    <w:rsid w:val="00D8441E"/>
    <w:rsid w:val="00D84502"/>
    <w:rsid w:val="00D8466B"/>
    <w:rsid w:val="00D8487E"/>
    <w:rsid w:val="00D84B4D"/>
    <w:rsid w:val="00D84B71"/>
    <w:rsid w:val="00D84D05"/>
    <w:rsid w:val="00D84D9B"/>
    <w:rsid w:val="00D84E0E"/>
    <w:rsid w:val="00D8501A"/>
    <w:rsid w:val="00D8553E"/>
    <w:rsid w:val="00D856AF"/>
    <w:rsid w:val="00D85CB7"/>
    <w:rsid w:val="00D85F1D"/>
    <w:rsid w:val="00D86167"/>
    <w:rsid w:val="00D8626E"/>
    <w:rsid w:val="00D86281"/>
    <w:rsid w:val="00D86421"/>
    <w:rsid w:val="00D8645F"/>
    <w:rsid w:val="00D865F5"/>
    <w:rsid w:val="00D866A4"/>
    <w:rsid w:val="00D86757"/>
    <w:rsid w:val="00D86BED"/>
    <w:rsid w:val="00D86F9B"/>
    <w:rsid w:val="00D87084"/>
    <w:rsid w:val="00D873A6"/>
    <w:rsid w:val="00D873DC"/>
    <w:rsid w:val="00D87453"/>
    <w:rsid w:val="00D8757C"/>
    <w:rsid w:val="00D8794E"/>
    <w:rsid w:val="00D87BED"/>
    <w:rsid w:val="00D87C14"/>
    <w:rsid w:val="00D87D25"/>
    <w:rsid w:val="00D90142"/>
    <w:rsid w:val="00D901AD"/>
    <w:rsid w:val="00D903DE"/>
    <w:rsid w:val="00D906D9"/>
    <w:rsid w:val="00D907B2"/>
    <w:rsid w:val="00D90875"/>
    <w:rsid w:val="00D90BAC"/>
    <w:rsid w:val="00D90D94"/>
    <w:rsid w:val="00D912E6"/>
    <w:rsid w:val="00D91390"/>
    <w:rsid w:val="00D91508"/>
    <w:rsid w:val="00D91540"/>
    <w:rsid w:val="00D91543"/>
    <w:rsid w:val="00D91763"/>
    <w:rsid w:val="00D91957"/>
    <w:rsid w:val="00D919C3"/>
    <w:rsid w:val="00D91B3E"/>
    <w:rsid w:val="00D91B86"/>
    <w:rsid w:val="00D91DA8"/>
    <w:rsid w:val="00D91F6E"/>
    <w:rsid w:val="00D92148"/>
    <w:rsid w:val="00D9223B"/>
    <w:rsid w:val="00D922E4"/>
    <w:rsid w:val="00D926BE"/>
    <w:rsid w:val="00D92745"/>
    <w:rsid w:val="00D927AC"/>
    <w:rsid w:val="00D92832"/>
    <w:rsid w:val="00D92A3A"/>
    <w:rsid w:val="00D92A5A"/>
    <w:rsid w:val="00D92AB4"/>
    <w:rsid w:val="00D93113"/>
    <w:rsid w:val="00D9340D"/>
    <w:rsid w:val="00D9355C"/>
    <w:rsid w:val="00D939A2"/>
    <w:rsid w:val="00D93A16"/>
    <w:rsid w:val="00D93AB0"/>
    <w:rsid w:val="00D93B28"/>
    <w:rsid w:val="00D93B89"/>
    <w:rsid w:val="00D93C1B"/>
    <w:rsid w:val="00D93CD5"/>
    <w:rsid w:val="00D93D55"/>
    <w:rsid w:val="00D93E19"/>
    <w:rsid w:val="00D94187"/>
    <w:rsid w:val="00D94233"/>
    <w:rsid w:val="00D944F7"/>
    <w:rsid w:val="00D945AB"/>
    <w:rsid w:val="00D9470E"/>
    <w:rsid w:val="00D9476A"/>
    <w:rsid w:val="00D9496D"/>
    <w:rsid w:val="00D94DAF"/>
    <w:rsid w:val="00D94DE8"/>
    <w:rsid w:val="00D94E49"/>
    <w:rsid w:val="00D9500A"/>
    <w:rsid w:val="00D950B1"/>
    <w:rsid w:val="00D95181"/>
    <w:rsid w:val="00D953C4"/>
    <w:rsid w:val="00D953CF"/>
    <w:rsid w:val="00D95562"/>
    <w:rsid w:val="00D957E7"/>
    <w:rsid w:val="00D959BB"/>
    <w:rsid w:val="00D960FE"/>
    <w:rsid w:val="00D96288"/>
    <w:rsid w:val="00D96356"/>
    <w:rsid w:val="00D96536"/>
    <w:rsid w:val="00D96699"/>
    <w:rsid w:val="00D96DBC"/>
    <w:rsid w:val="00D96DCC"/>
    <w:rsid w:val="00D96E46"/>
    <w:rsid w:val="00D96E5F"/>
    <w:rsid w:val="00D96ED8"/>
    <w:rsid w:val="00D97252"/>
    <w:rsid w:val="00D975AB"/>
    <w:rsid w:val="00D97A3C"/>
    <w:rsid w:val="00D97BEF"/>
    <w:rsid w:val="00D97C8E"/>
    <w:rsid w:val="00D97CAF"/>
    <w:rsid w:val="00D97DB1"/>
    <w:rsid w:val="00D97F9A"/>
    <w:rsid w:val="00DA004C"/>
    <w:rsid w:val="00DA04E8"/>
    <w:rsid w:val="00DA05D8"/>
    <w:rsid w:val="00DA0768"/>
    <w:rsid w:val="00DA076C"/>
    <w:rsid w:val="00DA0E91"/>
    <w:rsid w:val="00DA0F8E"/>
    <w:rsid w:val="00DA0FB0"/>
    <w:rsid w:val="00DA123E"/>
    <w:rsid w:val="00DA1417"/>
    <w:rsid w:val="00DA14B1"/>
    <w:rsid w:val="00DA15C8"/>
    <w:rsid w:val="00DA161A"/>
    <w:rsid w:val="00DA190D"/>
    <w:rsid w:val="00DA1CD0"/>
    <w:rsid w:val="00DA1CDC"/>
    <w:rsid w:val="00DA1F24"/>
    <w:rsid w:val="00DA20A3"/>
    <w:rsid w:val="00DA2220"/>
    <w:rsid w:val="00DA23F3"/>
    <w:rsid w:val="00DA2553"/>
    <w:rsid w:val="00DA2886"/>
    <w:rsid w:val="00DA2952"/>
    <w:rsid w:val="00DA2B34"/>
    <w:rsid w:val="00DA2C18"/>
    <w:rsid w:val="00DA2CD2"/>
    <w:rsid w:val="00DA3026"/>
    <w:rsid w:val="00DA30E8"/>
    <w:rsid w:val="00DA32A5"/>
    <w:rsid w:val="00DA3494"/>
    <w:rsid w:val="00DA3633"/>
    <w:rsid w:val="00DA3A39"/>
    <w:rsid w:val="00DA3E2F"/>
    <w:rsid w:val="00DA3EA9"/>
    <w:rsid w:val="00DA3EEE"/>
    <w:rsid w:val="00DA4039"/>
    <w:rsid w:val="00DA41B2"/>
    <w:rsid w:val="00DA4258"/>
    <w:rsid w:val="00DA430F"/>
    <w:rsid w:val="00DA43A0"/>
    <w:rsid w:val="00DA444D"/>
    <w:rsid w:val="00DA46CD"/>
    <w:rsid w:val="00DA475F"/>
    <w:rsid w:val="00DA4835"/>
    <w:rsid w:val="00DA4850"/>
    <w:rsid w:val="00DA4968"/>
    <w:rsid w:val="00DA4F7F"/>
    <w:rsid w:val="00DA566C"/>
    <w:rsid w:val="00DA5711"/>
    <w:rsid w:val="00DA5A94"/>
    <w:rsid w:val="00DA62A8"/>
    <w:rsid w:val="00DA6514"/>
    <w:rsid w:val="00DA6605"/>
    <w:rsid w:val="00DA6824"/>
    <w:rsid w:val="00DA6A04"/>
    <w:rsid w:val="00DA6ACF"/>
    <w:rsid w:val="00DA6C16"/>
    <w:rsid w:val="00DA707A"/>
    <w:rsid w:val="00DA7191"/>
    <w:rsid w:val="00DA752A"/>
    <w:rsid w:val="00DA7597"/>
    <w:rsid w:val="00DA7634"/>
    <w:rsid w:val="00DA7727"/>
    <w:rsid w:val="00DA7863"/>
    <w:rsid w:val="00DA786D"/>
    <w:rsid w:val="00DA789E"/>
    <w:rsid w:val="00DA7953"/>
    <w:rsid w:val="00DA7A46"/>
    <w:rsid w:val="00DA7A60"/>
    <w:rsid w:val="00DA7C81"/>
    <w:rsid w:val="00DA7EFD"/>
    <w:rsid w:val="00DA7F1B"/>
    <w:rsid w:val="00DB012F"/>
    <w:rsid w:val="00DB031B"/>
    <w:rsid w:val="00DB0324"/>
    <w:rsid w:val="00DB0442"/>
    <w:rsid w:val="00DB05B7"/>
    <w:rsid w:val="00DB05BD"/>
    <w:rsid w:val="00DB061A"/>
    <w:rsid w:val="00DB0867"/>
    <w:rsid w:val="00DB0D4F"/>
    <w:rsid w:val="00DB1044"/>
    <w:rsid w:val="00DB1144"/>
    <w:rsid w:val="00DB14EB"/>
    <w:rsid w:val="00DB1882"/>
    <w:rsid w:val="00DB1B4A"/>
    <w:rsid w:val="00DB1BF7"/>
    <w:rsid w:val="00DB1C73"/>
    <w:rsid w:val="00DB1FCF"/>
    <w:rsid w:val="00DB20B1"/>
    <w:rsid w:val="00DB2355"/>
    <w:rsid w:val="00DB25A6"/>
    <w:rsid w:val="00DB28AF"/>
    <w:rsid w:val="00DB2914"/>
    <w:rsid w:val="00DB2961"/>
    <w:rsid w:val="00DB2CF9"/>
    <w:rsid w:val="00DB2E7C"/>
    <w:rsid w:val="00DB316D"/>
    <w:rsid w:val="00DB333C"/>
    <w:rsid w:val="00DB33BE"/>
    <w:rsid w:val="00DB35FF"/>
    <w:rsid w:val="00DB38DC"/>
    <w:rsid w:val="00DB3BB4"/>
    <w:rsid w:val="00DB3EA6"/>
    <w:rsid w:val="00DB40E4"/>
    <w:rsid w:val="00DB436E"/>
    <w:rsid w:val="00DB43B7"/>
    <w:rsid w:val="00DB43B8"/>
    <w:rsid w:val="00DB4403"/>
    <w:rsid w:val="00DB45AB"/>
    <w:rsid w:val="00DB4717"/>
    <w:rsid w:val="00DB5149"/>
    <w:rsid w:val="00DB5415"/>
    <w:rsid w:val="00DB541B"/>
    <w:rsid w:val="00DB55CD"/>
    <w:rsid w:val="00DB5620"/>
    <w:rsid w:val="00DB564D"/>
    <w:rsid w:val="00DB56E5"/>
    <w:rsid w:val="00DB5704"/>
    <w:rsid w:val="00DB5777"/>
    <w:rsid w:val="00DB5889"/>
    <w:rsid w:val="00DB5B8E"/>
    <w:rsid w:val="00DB5D40"/>
    <w:rsid w:val="00DB5E7E"/>
    <w:rsid w:val="00DB5F6C"/>
    <w:rsid w:val="00DB6272"/>
    <w:rsid w:val="00DB62FF"/>
    <w:rsid w:val="00DB630B"/>
    <w:rsid w:val="00DB63BE"/>
    <w:rsid w:val="00DB6699"/>
    <w:rsid w:val="00DB6843"/>
    <w:rsid w:val="00DB696B"/>
    <w:rsid w:val="00DB6A0F"/>
    <w:rsid w:val="00DB6F15"/>
    <w:rsid w:val="00DB71C6"/>
    <w:rsid w:val="00DB74B3"/>
    <w:rsid w:val="00DB762B"/>
    <w:rsid w:val="00DB7920"/>
    <w:rsid w:val="00DB7A2E"/>
    <w:rsid w:val="00DB7A81"/>
    <w:rsid w:val="00DB7AEF"/>
    <w:rsid w:val="00DB7CF1"/>
    <w:rsid w:val="00DB7FDD"/>
    <w:rsid w:val="00DC0015"/>
    <w:rsid w:val="00DC0133"/>
    <w:rsid w:val="00DC0228"/>
    <w:rsid w:val="00DC023A"/>
    <w:rsid w:val="00DC033F"/>
    <w:rsid w:val="00DC07A1"/>
    <w:rsid w:val="00DC0B87"/>
    <w:rsid w:val="00DC0BFE"/>
    <w:rsid w:val="00DC0CB5"/>
    <w:rsid w:val="00DC0DB1"/>
    <w:rsid w:val="00DC0F02"/>
    <w:rsid w:val="00DC0F8D"/>
    <w:rsid w:val="00DC106B"/>
    <w:rsid w:val="00DC112C"/>
    <w:rsid w:val="00DC1276"/>
    <w:rsid w:val="00DC1325"/>
    <w:rsid w:val="00DC14E6"/>
    <w:rsid w:val="00DC15D0"/>
    <w:rsid w:val="00DC1606"/>
    <w:rsid w:val="00DC1816"/>
    <w:rsid w:val="00DC1A07"/>
    <w:rsid w:val="00DC1EAA"/>
    <w:rsid w:val="00DC1FBF"/>
    <w:rsid w:val="00DC2132"/>
    <w:rsid w:val="00DC2284"/>
    <w:rsid w:val="00DC2483"/>
    <w:rsid w:val="00DC24F1"/>
    <w:rsid w:val="00DC2723"/>
    <w:rsid w:val="00DC2893"/>
    <w:rsid w:val="00DC2956"/>
    <w:rsid w:val="00DC2ABF"/>
    <w:rsid w:val="00DC2BDD"/>
    <w:rsid w:val="00DC2C01"/>
    <w:rsid w:val="00DC2C39"/>
    <w:rsid w:val="00DC2D04"/>
    <w:rsid w:val="00DC2D52"/>
    <w:rsid w:val="00DC2DED"/>
    <w:rsid w:val="00DC2DFE"/>
    <w:rsid w:val="00DC2E98"/>
    <w:rsid w:val="00DC2EB4"/>
    <w:rsid w:val="00DC34F2"/>
    <w:rsid w:val="00DC353E"/>
    <w:rsid w:val="00DC3718"/>
    <w:rsid w:val="00DC388D"/>
    <w:rsid w:val="00DC38AC"/>
    <w:rsid w:val="00DC38DA"/>
    <w:rsid w:val="00DC3C14"/>
    <w:rsid w:val="00DC3C46"/>
    <w:rsid w:val="00DC3CA4"/>
    <w:rsid w:val="00DC3D1A"/>
    <w:rsid w:val="00DC3D55"/>
    <w:rsid w:val="00DC3E76"/>
    <w:rsid w:val="00DC40D2"/>
    <w:rsid w:val="00DC410B"/>
    <w:rsid w:val="00DC420E"/>
    <w:rsid w:val="00DC4304"/>
    <w:rsid w:val="00DC452A"/>
    <w:rsid w:val="00DC49F5"/>
    <w:rsid w:val="00DC4FAF"/>
    <w:rsid w:val="00DC5201"/>
    <w:rsid w:val="00DC53B8"/>
    <w:rsid w:val="00DC556C"/>
    <w:rsid w:val="00DC5A84"/>
    <w:rsid w:val="00DC5AD1"/>
    <w:rsid w:val="00DC5B96"/>
    <w:rsid w:val="00DC5BBD"/>
    <w:rsid w:val="00DC5C0D"/>
    <w:rsid w:val="00DC5D4C"/>
    <w:rsid w:val="00DC60DE"/>
    <w:rsid w:val="00DC60FF"/>
    <w:rsid w:val="00DC6158"/>
    <w:rsid w:val="00DC63D0"/>
    <w:rsid w:val="00DC7032"/>
    <w:rsid w:val="00DC70F1"/>
    <w:rsid w:val="00DC72A4"/>
    <w:rsid w:val="00DC72D1"/>
    <w:rsid w:val="00DC7435"/>
    <w:rsid w:val="00DC746E"/>
    <w:rsid w:val="00DC75EF"/>
    <w:rsid w:val="00DC76EE"/>
    <w:rsid w:val="00DC7D95"/>
    <w:rsid w:val="00DC7EF4"/>
    <w:rsid w:val="00DD0091"/>
    <w:rsid w:val="00DD01CA"/>
    <w:rsid w:val="00DD02F4"/>
    <w:rsid w:val="00DD043A"/>
    <w:rsid w:val="00DD0511"/>
    <w:rsid w:val="00DD069E"/>
    <w:rsid w:val="00DD0EB3"/>
    <w:rsid w:val="00DD1093"/>
    <w:rsid w:val="00DD1176"/>
    <w:rsid w:val="00DD14B7"/>
    <w:rsid w:val="00DD14DB"/>
    <w:rsid w:val="00DD1A7E"/>
    <w:rsid w:val="00DD1AB3"/>
    <w:rsid w:val="00DD1B4E"/>
    <w:rsid w:val="00DD214E"/>
    <w:rsid w:val="00DD245C"/>
    <w:rsid w:val="00DD2484"/>
    <w:rsid w:val="00DD25EB"/>
    <w:rsid w:val="00DD295D"/>
    <w:rsid w:val="00DD2AD7"/>
    <w:rsid w:val="00DD2B49"/>
    <w:rsid w:val="00DD2E0D"/>
    <w:rsid w:val="00DD304A"/>
    <w:rsid w:val="00DD30D8"/>
    <w:rsid w:val="00DD3117"/>
    <w:rsid w:val="00DD399A"/>
    <w:rsid w:val="00DD3A13"/>
    <w:rsid w:val="00DD3B3E"/>
    <w:rsid w:val="00DD3B96"/>
    <w:rsid w:val="00DD3BDC"/>
    <w:rsid w:val="00DD3CA5"/>
    <w:rsid w:val="00DD40A3"/>
    <w:rsid w:val="00DD47B6"/>
    <w:rsid w:val="00DD4A9E"/>
    <w:rsid w:val="00DD4D92"/>
    <w:rsid w:val="00DD50F4"/>
    <w:rsid w:val="00DD51E8"/>
    <w:rsid w:val="00DD52E5"/>
    <w:rsid w:val="00DD542A"/>
    <w:rsid w:val="00DD552F"/>
    <w:rsid w:val="00DD5A48"/>
    <w:rsid w:val="00DD5A72"/>
    <w:rsid w:val="00DD5B8F"/>
    <w:rsid w:val="00DD5BF3"/>
    <w:rsid w:val="00DD5CB3"/>
    <w:rsid w:val="00DD5FA4"/>
    <w:rsid w:val="00DD65DA"/>
    <w:rsid w:val="00DD6621"/>
    <w:rsid w:val="00DD6705"/>
    <w:rsid w:val="00DD6AC1"/>
    <w:rsid w:val="00DD6B1E"/>
    <w:rsid w:val="00DD6D1F"/>
    <w:rsid w:val="00DD6D37"/>
    <w:rsid w:val="00DD6E9C"/>
    <w:rsid w:val="00DD6ED5"/>
    <w:rsid w:val="00DD742C"/>
    <w:rsid w:val="00DD75C0"/>
    <w:rsid w:val="00DD75EF"/>
    <w:rsid w:val="00DD799C"/>
    <w:rsid w:val="00DD7AD5"/>
    <w:rsid w:val="00DD7BC5"/>
    <w:rsid w:val="00DD7CB3"/>
    <w:rsid w:val="00DE03A0"/>
    <w:rsid w:val="00DE0651"/>
    <w:rsid w:val="00DE077F"/>
    <w:rsid w:val="00DE09AF"/>
    <w:rsid w:val="00DE0B17"/>
    <w:rsid w:val="00DE0B20"/>
    <w:rsid w:val="00DE1148"/>
    <w:rsid w:val="00DE1255"/>
    <w:rsid w:val="00DE1376"/>
    <w:rsid w:val="00DE162E"/>
    <w:rsid w:val="00DE1C0E"/>
    <w:rsid w:val="00DE1CF4"/>
    <w:rsid w:val="00DE1E6C"/>
    <w:rsid w:val="00DE2193"/>
    <w:rsid w:val="00DE2265"/>
    <w:rsid w:val="00DE228D"/>
    <w:rsid w:val="00DE2293"/>
    <w:rsid w:val="00DE23B7"/>
    <w:rsid w:val="00DE2417"/>
    <w:rsid w:val="00DE242C"/>
    <w:rsid w:val="00DE246B"/>
    <w:rsid w:val="00DE2953"/>
    <w:rsid w:val="00DE2D56"/>
    <w:rsid w:val="00DE2DB1"/>
    <w:rsid w:val="00DE2E9D"/>
    <w:rsid w:val="00DE3440"/>
    <w:rsid w:val="00DE36A9"/>
    <w:rsid w:val="00DE374E"/>
    <w:rsid w:val="00DE37BE"/>
    <w:rsid w:val="00DE3D90"/>
    <w:rsid w:val="00DE4103"/>
    <w:rsid w:val="00DE4210"/>
    <w:rsid w:val="00DE42F6"/>
    <w:rsid w:val="00DE4437"/>
    <w:rsid w:val="00DE4578"/>
    <w:rsid w:val="00DE45E5"/>
    <w:rsid w:val="00DE4744"/>
    <w:rsid w:val="00DE4812"/>
    <w:rsid w:val="00DE48C1"/>
    <w:rsid w:val="00DE4B97"/>
    <w:rsid w:val="00DE4C5E"/>
    <w:rsid w:val="00DE4CD1"/>
    <w:rsid w:val="00DE4CEB"/>
    <w:rsid w:val="00DE4D81"/>
    <w:rsid w:val="00DE4DA8"/>
    <w:rsid w:val="00DE51B4"/>
    <w:rsid w:val="00DE5403"/>
    <w:rsid w:val="00DE55CB"/>
    <w:rsid w:val="00DE57C5"/>
    <w:rsid w:val="00DE58E6"/>
    <w:rsid w:val="00DE591A"/>
    <w:rsid w:val="00DE59A2"/>
    <w:rsid w:val="00DE59F4"/>
    <w:rsid w:val="00DE5C4A"/>
    <w:rsid w:val="00DE5E6A"/>
    <w:rsid w:val="00DE5F7E"/>
    <w:rsid w:val="00DE65A2"/>
    <w:rsid w:val="00DE6784"/>
    <w:rsid w:val="00DE698C"/>
    <w:rsid w:val="00DE6A31"/>
    <w:rsid w:val="00DE6A61"/>
    <w:rsid w:val="00DE6A6D"/>
    <w:rsid w:val="00DE6C35"/>
    <w:rsid w:val="00DE6EE5"/>
    <w:rsid w:val="00DE70FC"/>
    <w:rsid w:val="00DE7327"/>
    <w:rsid w:val="00DE7B41"/>
    <w:rsid w:val="00DE7BE9"/>
    <w:rsid w:val="00DE7BFE"/>
    <w:rsid w:val="00DE7CC2"/>
    <w:rsid w:val="00DE7D9C"/>
    <w:rsid w:val="00DF005A"/>
    <w:rsid w:val="00DF010F"/>
    <w:rsid w:val="00DF0155"/>
    <w:rsid w:val="00DF0263"/>
    <w:rsid w:val="00DF03F8"/>
    <w:rsid w:val="00DF04EE"/>
    <w:rsid w:val="00DF07E7"/>
    <w:rsid w:val="00DF08AE"/>
    <w:rsid w:val="00DF0D8B"/>
    <w:rsid w:val="00DF12D5"/>
    <w:rsid w:val="00DF148D"/>
    <w:rsid w:val="00DF17B5"/>
    <w:rsid w:val="00DF1879"/>
    <w:rsid w:val="00DF198F"/>
    <w:rsid w:val="00DF1CB0"/>
    <w:rsid w:val="00DF1E48"/>
    <w:rsid w:val="00DF1E58"/>
    <w:rsid w:val="00DF1E89"/>
    <w:rsid w:val="00DF1F1E"/>
    <w:rsid w:val="00DF214A"/>
    <w:rsid w:val="00DF22D2"/>
    <w:rsid w:val="00DF248F"/>
    <w:rsid w:val="00DF2549"/>
    <w:rsid w:val="00DF26FF"/>
    <w:rsid w:val="00DF2741"/>
    <w:rsid w:val="00DF2AFA"/>
    <w:rsid w:val="00DF2BD1"/>
    <w:rsid w:val="00DF2EC4"/>
    <w:rsid w:val="00DF3038"/>
    <w:rsid w:val="00DF32E7"/>
    <w:rsid w:val="00DF33DD"/>
    <w:rsid w:val="00DF3467"/>
    <w:rsid w:val="00DF34EF"/>
    <w:rsid w:val="00DF3743"/>
    <w:rsid w:val="00DF3757"/>
    <w:rsid w:val="00DF3838"/>
    <w:rsid w:val="00DF3D33"/>
    <w:rsid w:val="00DF3DBC"/>
    <w:rsid w:val="00DF3E35"/>
    <w:rsid w:val="00DF40FE"/>
    <w:rsid w:val="00DF42E0"/>
    <w:rsid w:val="00DF441A"/>
    <w:rsid w:val="00DF4742"/>
    <w:rsid w:val="00DF4EEB"/>
    <w:rsid w:val="00DF5113"/>
    <w:rsid w:val="00DF53A0"/>
    <w:rsid w:val="00DF5A98"/>
    <w:rsid w:val="00DF5B05"/>
    <w:rsid w:val="00DF5B56"/>
    <w:rsid w:val="00DF5B8B"/>
    <w:rsid w:val="00DF5F39"/>
    <w:rsid w:val="00DF6076"/>
    <w:rsid w:val="00DF620E"/>
    <w:rsid w:val="00DF6326"/>
    <w:rsid w:val="00DF6414"/>
    <w:rsid w:val="00DF66BC"/>
    <w:rsid w:val="00DF66E4"/>
    <w:rsid w:val="00DF6B7E"/>
    <w:rsid w:val="00DF6BD4"/>
    <w:rsid w:val="00DF70C8"/>
    <w:rsid w:val="00DF718E"/>
    <w:rsid w:val="00DF7249"/>
    <w:rsid w:val="00DF7516"/>
    <w:rsid w:val="00DF75B3"/>
    <w:rsid w:val="00DF7D21"/>
    <w:rsid w:val="00DF7D84"/>
    <w:rsid w:val="00DF7FC3"/>
    <w:rsid w:val="00E00460"/>
    <w:rsid w:val="00E004BA"/>
    <w:rsid w:val="00E006E9"/>
    <w:rsid w:val="00E00844"/>
    <w:rsid w:val="00E00C71"/>
    <w:rsid w:val="00E00E78"/>
    <w:rsid w:val="00E00EAA"/>
    <w:rsid w:val="00E00F12"/>
    <w:rsid w:val="00E01034"/>
    <w:rsid w:val="00E0103C"/>
    <w:rsid w:val="00E01443"/>
    <w:rsid w:val="00E01934"/>
    <w:rsid w:val="00E01ECD"/>
    <w:rsid w:val="00E02193"/>
    <w:rsid w:val="00E0220F"/>
    <w:rsid w:val="00E02399"/>
    <w:rsid w:val="00E0240A"/>
    <w:rsid w:val="00E0274F"/>
    <w:rsid w:val="00E027F4"/>
    <w:rsid w:val="00E02814"/>
    <w:rsid w:val="00E02A46"/>
    <w:rsid w:val="00E02B20"/>
    <w:rsid w:val="00E02BDA"/>
    <w:rsid w:val="00E02CFD"/>
    <w:rsid w:val="00E02D97"/>
    <w:rsid w:val="00E02ED3"/>
    <w:rsid w:val="00E02FD4"/>
    <w:rsid w:val="00E0338D"/>
    <w:rsid w:val="00E0339C"/>
    <w:rsid w:val="00E034E3"/>
    <w:rsid w:val="00E038DC"/>
    <w:rsid w:val="00E03A36"/>
    <w:rsid w:val="00E03A8F"/>
    <w:rsid w:val="00E03ED5"/>
    <w:rsid w:val="00E03F68"/>
    <w:rsid w:val="00E04119"/>
    <w:rsid w:val="00E0443B"/>
    <w:rsid w:val="00E04491"/>
    <w:rsid w:val="00E044AB"/>
    <w:rsid w:val="00E047D0"/>
    <w:rsid w:val="00E047E5"/>
    <w:rsid w:val="00E04AE7"/>
    <w:rsid w:val="00E04C97"/>
    <w:rsid w:val="00E05136"/>
    <w:rsid w:val="00E05160"/>
    <w:rsid w:val="00E05321"/>
    <w:rsid w:val="00E05508"/>
    <w:rsid w:val="00E05886"/>
    <w:rsid w:val="00E05994"/>
    <w:rsid w:val="00E059BC"/>
    <w:rsid w:val="00E05A10"/>
    <w:rsid w:val="00E05DC2"/>
    <w:rsid w:val="00E0623D"/>
    <w:rsid w:val="00E06243"/>
    <w:rsid w:val="00E062B6"/>
    <w:rsid w:val="00E0632A"/>
    <w:rsid w:val="00E06476"/>
    <w:rsid w:val="00E064E3"/>
    <w:rsid w:val="00E065DF"/>
    <w:rsid w:val="00E0667D"/>
    <w:rsid w:val="00E06853"/>
    <w:rsid w:val="00E068D6"/>
    <w:rsid w:val="00E068ED"/>
    <w:rsid w:val="00E06A06"/>
    <w:rsid w:val="00E06E3E"/>
    <w:rsid w:val="00E07169"/>
    <w:rsid w:val="00E071D5"/>
    <w:rsid w:val="00E0722D"/>
    <w:rsid w:val="00E07358"/>
    <w:rsid w:val="00E07828"/>
    <w:rsid w:val="00E0783F"/>
    <w:rsid w:val="00E07ABA"/>
    <w:rsid w:val="00E07B04"/>
    <w:rsid w:val="00E07BE8"/>
    <w:rsid w:val="00E07F80"/>
    <w:rsid w:val="00E10528"/>
    <w:rsid w:val="00E1096A"/>
    <w:rsid w:val="00E109BB"/>
    <w:rsid w:val="00E109BC"/>
    <w:rsid w:val="00E109C1"/>
    <w:rsid w:val="00E10E27"/>
    <w:rsid w:val="00E10E47"/>
    <w:rsid w:val="00E10F9C"/>
    <w:rsid w:val="00E1114D"/>
    <w:rsid w:val="00E1126C"/>
    <w:rsid w:val="00E11277"/>
    <w:rsid w:val="00E11282"/>
    <w:rsid w:val="00E1144B"/>
    <w:rsid w:val="00E117D6"/>
    <w:rsid w:val="00E11807"/>
    <w:rsid w:val="00E1184F"/>
    <w:rsid w:val="00E11863"/>
    <w:rsid w:val="00E11B68"/>
    <w:rsid w:val="00E11BA4"/>
    <w:rsid w:val="00E11D0F"/>
    <w:rsid w:val="00E11DF4"/>
    <w:rsid w:val="00E12185"/>
    <w:rsid w:val="00E12378"/>
    <w:rsid w:val="00E124AF"/>
    <w:rsid w:val="00E128FF"/>
    <w:rsid w:val="00E12B01"/>
    <w:rsid w:val="00E12F0C"/>
    <w:rsid w:val="00E13061"/>
    <w:rsid w:val="00E130AD"/>
    <w:rsid w:val="00E1311B"/>
    <w:rsid w:val="00E133BA"/>
    <w:rsid w:val="00E134D9"/>
    <w:rsid w:val="00E13601"/>
    <w:rsid w:val="00E136BF"/>
    <w:rsid w:val="00E138F0"/>
    <w:rsid w:val="00E13C49"/>
    <w:rsid w:val="00E13C52"/>
    <w:rsid w:val="00E13FCA"/>
    <w:rsid w:val="00E14055"/>
    <w:rsid w:val="00E140C2"/>
    <w:rsid w:val="00E141A8"/>
    <w:rsid w:val="00E143D6"/>
    <w:rsid w:val="00E14446"/>
    <w:rsid w:val="00E1474C"/>
    <w:rsid w:val="00E147F5"/>
    <w:rsid w:val="00E14E5A"/>
    <w:rsid w:val="00E14E5F"/>
    <w:rsid w:val="00E15017"/>
    <w:rsid w:val="00E15026"/>
    <w:rsid w:val="00E153BF"/>
    <w:rsid w:val="00E15748"/>
    <w:rsid w:val="00E157D3"/>
    <w:rsid w:val="00E15A4F"/>
    <w:rsid w:val="00E15D54"/>
    <w:rsid w:val="00E15E7A"/>
    <w:rsid w:val="00E15FCB"/>
    <w:rsid w:val="00E15FE5"/>
    <w:rsid w:val="00E160E5"/>
    <w:rsid w:val="00E162A4"/>
    <w:rsid w:val="00E162D7"/>
    <w:rsid w:val="00E163BA"/>
    <w:rsid w:val="00E163FA"/>
    <w:rsid w:val="00E16569"/>
    <w:rsid w:val="00E16716"/>
    <w:rsid w:val="00E16717"/>
    <w:rsid w:val="00E167EE"/>
    <w:rsid w:val="00E16869"/>
    <w:rsid w:val="00E16888"/>
    <w:rsid w:val="00E1688C"/>
    <w:rsid w:val="00E16937"/>
    <w:rsid w:val="00E16E1F"/>
    <w:rsid w:val="00E1725C"/>
    <w:rsid w:val="00E172C5"/>
    <w:rsid w:val="00E1749E"/>
    <w:rsid w:val="00E17C70"/>
    <w:rsid w:val="00E17CFF"/>
    <w:rsid w:val="00E17E8E"/>
    <w:rsid w:val="00E2006F"/>
    <w:rsid w:val="00E20199"/>
    <w:rsid w:val="00E2040A"/>
    <w:rsid w:val="00E20569"/>
    <w:rsid w:val="00E2082B"/>
    <w:rsid w:val="00E20955"/>
    <w:rsid w:val="00E20995"/>
    <w:rsid w:val="00E20AC1"/>
    <w:rsid w:val="00E20B01"/>
    <w:rsid w:val="00E20B39"/>
    <w:rsid w:val="00E20BE7"/>
    <w:rsid w:val="00E20DCA"/>
    <w:rsid w:val="00E20E33"/>
    <w:rsid w:val="00E20E7D"/>
    <w:rsid w:val="00E21091"/>
    <w:rsid w:val="00E2130B"/>
    <w:rsid w:val="00E21877"/>
    <w:rsid w:val="00E219B4"/>
    <w:rsid w:val="00E21AD0"/>
    <w:rsid w:val="00E21B67"/>
    <w:rsid w:val="00E21E4C"/>
    <w:rsid w:val="00E21FAA"/>
    <w:rsid w:val="00E220C6"/>
    <w:rsid w:val="00E22391"/>
    <w:rsid w:val="00E22665"/>
    <w:rsid w:val="00E2268B"/>
    <w:rsid w:val="00E227AE"/>
    <w:rsid w:val="00E2292D"/>
    <w:rsid w:val="00E229A8"/>
    <w:rsid w:val="00E229D2"/>
    <w:rsid w:val="00E22AC8"/>
    <w:rsid w:val="00E22ACC"/>
    <w:rsid w:val="00E22F0E"/>
    <w:rsid w:val="00E2307F"/>
    <w:rsid w:val="00E23090"/>
    <w:rsid w:val="00E23185"/>
    <w:rsid w:val="00E2323B"/>
    <w:rsid w:val="00E233E7"/>
    <w:rsid w:val="00E23526"/>
    <w:rsid w:val="00E23631"/>
    <w:rsid w:val="00E23693"/>
    <w:rsid w:val="00E23D56"/>
    <w:rsid w:val="00E23D8B"/>
    <w:rsid w:val="00E23F4E"/>
    <w:rsid w:val="00E24469"/>
    <w:rsid w:val="00E24626"/>
    <w:rsid w:val="00E24799"/>
    <w:rsid w:val="00E2482D"/>
    <w:rsid w:val="00E2486C"/>
    <w:rsid w:val="00E24906"/>
    <w:rsid w:val="00E24A60"/>
    <w:rsid w:val="00E24AF1"/>
    <w:rsid w:val="00E24B28"/>
    <w:rsid w:val="00E24C10"/>
    <w:rsid w:val="00E24C6A"/>
    <w:rsid w:val="00E24E16"/>
    <w:rsid w:val="00E24FB5"/>
    <w:rsid w:val="00E25349"/>
    <w:rsid w:val="00E25365"/>
    <w:rsid w:val="00E2539E"/>
    <w:rsid w:val="00E25422"/>
    <w:rsid w:val="00E2551F"/>
    <w:rsid w:val="00E25CF2"/>
    <w:rsid w:val="00E25DC6"/>
    <w:rsid w:val="00E25E05"/>
    <w:rsid w:val="00E260BC"/>
    <w:rsid w:val="00E263D8"/>
    <w:rsid w:val="00E2642A"/>
    <w:rsid w:val="00E26637"/>
    <w:rsid w:val="00E26810"/>
    <w:rsid w:val="00E2682C"/>
    <w:rsid w:val="00E269D9"/>
    <w:rsid w:val="00E26D0C"/>
    <w:rsid w:val="00E2751F"/>
    <w:rsid w:val="00E276A9"/>
    <w:rsid w:val="00E2773B"/>
    <w:rsid w:val="00E30029"/>
    <w:rsid w:val="00E30037"/>
    <w:rsid w:val="00E30499"/>
    <w:rsid w:val="00E30A29"/>
    <w:rsid w:val="00E30A46"/>
    <w:rsid w:val="00E30B51"/>
    <w:rsid w:val="00E30B8E"/>
    <w:rsid w:val="00E3102A"/>
    <w:rsid w:val="00E31116"/>
    <w:rsid w:val="00E31290"/>
    <w:rsid w:val="00E313EE"/>
    <w:rsid w:val="00E31767"/>
    <w:rsid w:val="00E31DF9"/>
    <w:rsid w:val="00E31E90"/>
    <w:rsid w:val="00E32128"/>
    <w:rsid w:val="00E321D1"/>
    <w:rsid w:val="00E324BB"/>
    <w:rsid w:val="00E32A7A"/>
    <w:rsid w:val="00E32ECD"/>
    <w:rsid w:val="00E33203"/>
    <w:rsid w:val="00E338C4"/>
    <w:rsid w:val="00E3399B"/>
    <w:rsid w:val="00E339F0"/>
    <w:rsid w:val="00E33B08"/>
    <w:rsid w:val="00E33BFA"/>
    <w:rsid w:val="00E33E0C"/>
    <w:rsid w:val="00E340C9"/>
    <w:rsid w:val="00E341F5"/>
    <w:rsid w:val="00E34287"/>
    <w:rsid w:val="00E34324"/>
    <w:rsid w:val="00E34381"/>
    <w:rsid w:val="00E344A4"/>
    <w:rsid w:val="00E344CB"/>
    <w:rsid w:val="00E345EC"/>
    <w:rsid w:val="00E34796"/>
    <w:rsid w:val="00E347A0"/>
    <w:rsid w:val="00E34884"/>
    <w:rsid w:val="00E34AAF"/>
    <w:rsid w:val="00E34B1D"/>
    <w:rsid w:val="00E34CEF"/>
    <w:rsid w:val="00E34D86"/>
    <w:rsid w:val="00E34D8C"/>
    <w:rsid w:val="00E35048"/>
    <w:rsid w:val="00E350F5"/>
    <w:rsid w:val="00E3523E"/>
    <w:rsid w:val="00E35427"/>
    <w:rsid w:val="00E356F7"/>
    <w:rsid w:val="00E35718"/>
    <w:rsid w:val="00E357B5"/>
    <w:rsid w:val="00E35E8B"/>
    <w:rsid w:val="00E362B9"/>
    <w:rsid w:val="00E36CE6"/>
    <w:rsid w:val="00E37017"/>
    <w:rsid w:val="00E3734F"/>
    <w:rsid w:val="00E37373"/>
    <w:rsid w:val="00E373AC"/>
    <w:rsid w:val="00E3741D"/>
    <w:rsid w:val="00E37424"/>
    <w:rsid w:val="00E374A2"/>
    <w:rsid w:val="00E374B5"/>
    <w:rsid w:val="00E375C1"/>
    <w:rsid w:val="00E377E8"/>
    <w:rsid w:val="00E37821"/>
    <w:rsid w:val="00E37841"/>
    <w:rsid w:val="00E37970"/>
    <w:rsid w:val="00E37B7F"/>
    <w:rsid w:val="00E37C98"/>
    <w:rsid w:val="00E37DFE"/>
    <w:rsid w:val="00E37E42"/>
    <w:rsid w:val="00E37E88"/>
    <w:rsid w:val="00E37F66"/>
    <w:rsid w:val="00E40283"/>
    <w:rsid w:val="00E403FB"/>
    <w:rsid w:val="00E40444"/>
    <w:rsid w:val="00E40986"/>
    <w:rsid w:val="00E40F22"/>
    <w:rsid w:val="00E4104C"/>
    <w:rsid w:val="00E4107F"/>
    <w:rsid w:val="00E41495"/>
    <w:rsid w:val="00E415B1"/>
    <w:rsid w:val="00E416FC"/>
    <w:rsid w:val="00E41711"/>
    <w:rsid w:val="00E41C77"/>
    <w:rsid w:val="00E41CA3"/>
    <w:rsid w:val="00E41E0A"/>
    <w:rsid w:val="00E41FB9"/>
    <w:rsid w:val="00E42445"/>
    <w:rsid w:val="00E4246F"/>
    <w:rsid w:val="00E425D7"/>
    <w:rsid w:val="00E42659"/>
    <w:rsid w:val="00E427F0"/>
    <w:rsid w:val="00E42885"/>
    <w:rsid w:val="00E42BE9"/>
    <w:rsid w:val="00E42C72"/>
    <w:rsid w:val="00E42EB4"/>
    <w:rsid w:val="00E42EDF"/>
    <w:rsid w:val="00E42F97"/>
    <w:rsid w:val="00E42FA8"/>
    <w:rsid w:val="00E43055"/>
    <w:rsid w:val="00E430DE"/>
    <w:rsid w:val="00E43242"/>
    <w:rsid w:val="00E4340D"/>
    <w:rsid w:val="00E43464"/>
    <w:rsid w:val="00E43542"/>
    <w:rsid w:val="00E438A7"/>
    <w:rsid w:val="00E4394A"/>
    <w:rsid w:val="00E439B6"/>
    <w:rsid w:val="00E43A5F"/>
    <w:rsid w:val="00E43A9B"/>
    <w:rsid w:val="00E43AED"/>
    <w:rsid w:val="00E43C11"/>
    <w:rsid w:val="00E43D44"/>
    <w:rsid w:val="00E43DBD"/>
    <w:rsid w:val="00E44270"/>
    <w:rsid w:val="00E44414"/>
    <w:rsid w:val="00E44472"/>
    <w:rsid w:val="00E44511"/>
    <w:rsid w:val="00E446D4"/>
    <w:rsid w:val="00E449A8"/>
    <w:rsid w:val="00E44AD2"/>
    <w:rsid w:val="00E450B3"/>
    <w:rsid w:val="00E451BE"/>
    <w:rsid w:val="00E4564D"/>
    <w:rsid w:val="00E456B4"/>
    <w:rsid w:val="00E45D50"/>
    <w:rsid w:val="00E45D80"/>
    <w:rsid w:val="00E45EF9"/>
    <w:rsid w:val="00E46181"/>
    <w:rsid w:val="00E464F0"/>
    <w:rsid w:val="00E46AA2"/>
    <w:rsid w:val="00E46C2F"/>
    <w:rsid w:val="00E46C61"/>
    <w:rsid w:val="00E46DEA"/>
    <w:rsid w:val="00E46DEC"/>
    <w:rsid w:val="00E471D4"/>
    <w:rsid w:val="00E4767B"/>
    <w:rsid w:val="00E477EE"/>
    <w:rsid w:val="00E478D0"/>
    <w:rsid w:val="00E47953"/>
    <w:rsid w:val="00E47A69"/>
    <w:rsid w:val="00E47C85"/>
    <w:rsid w:val="00E50055"/>
    <w:rsid w:val="00E501F9"/>
    <w:rsid w:val="00E502A5"/>
    <w:rsid w:val="00E502F3"/>
    <w:rsid w:val="00E50353"/>
    <w:rsid w:val="00E503B6"/>
    <w:rsid w:val="00E50554"/>
    <w:rsid w:val="00E505F8"/>
    <w:rsid w:val="00E50A52"/>
    <w:rsid w:val="00E50B87"/>
    <w:rsid w:val="00E50C35"/>
    <w:rsid w:val="00E50FD8"/>
    <w:rsid w:val="00E510A9"/>
    <w:rsid w:val="00E51472"/>
    <w:rsid w:val="00E518D2"/>
    <w:rsid w:val="00E51919"/>
    <w:rsid w:val="00E51AB6"/>
    <w:rsid w:val="00E51B1E"/>
    <w:rsid w:val="00E51BC5"/>
    <w:rsid w:val="00E51E3A"/>
    <w:rsid w:val="00E51EAD"/>
    <w:rsid w:val="00E51EDA"/>
    <w:rsid w:val="00E521A6"/>
    <w:rsid w:val="00E5222D"/>
    <w:rsid w:val="00E523E2"/>
    <w:rsid w:val="00E52681"/>
    <w:rsid w:val="00E52A70"/>
    <w:rsid w:val="00E52B09"/>
    <w:rsid w:val="00E52CF0"/>
    <w:rsid w:val="00E52EB9"/>
    <w:rsid w:val="00E532C7"/>
    <w:rsid w:val="00E5330C"/>
    <w:rsid w:val="00E533BC"/>
    <w:rsid w:val="00E534C6"/>
    <w:rsid w:val="00E5369A"/>
    <w:rsid w:val="00E53967"/>
    <w:rsid w:val="00E53F73"/>
    <w:rsid w:val="00E54168"/>
    <w:rsid w:val="00E546DA"/>
    <w:rsid w:val="00E548F0"/>
    <w:rsid w:val="00E5545A"/>
    <w:rsid w:val="00E554DE"/>
    <w:rsid w:val="00E55696"/>
    <w:rsid w:val="00E556F7"/>
    <w:rsid w:val="00E5574C"/>
    <w:rsid w:val="00E5578F"/>
    <w:rsid w:val="00E55A24"/>
    <w:rsid w:val="00E55B36"/>
    <w:rsid w:val="00E55D5A"/>
    <w:rsid w:val="00E560ED"/>
    <w:rsid w:val="00E5610E"/>
    <w:rsid w:val="00E561DE"/>
    <w:rsid w:val="00E56347"/>
    <w:rsid w:val="00E56410"/>
    <w:rsid w:val="00E564AD"/>
    <w:rsid w:val="00E564DD"/>
    <w:rsid w:val="00E5650C"/>
    <w:rsid w:val="00E56818"/>
    <w:rsid w:val="00E56B20"/>
    <w:rsid w:val="00E56DAC"/>
    <w:rsid w:val="00E56E74"/>
    <w:rsid w:val="00E571AD"/>
    <w:rsid w:val="00E571BB"/>
    <w:rsid w:val="00E577C9"/>
    <w:rsid w:val="00E578C8"/>
    <w:rsid w:val="00E57947"/>
    <w:rsid w:val="00E57B01"/>
    <w:rsid w:val="00E57C5B"/>
    <w:rsid w:val="00E57C9A"/>
    <w:rsid w:val="00E57E88"/>
    <w:rsid w:val="00E57EAD"/>
    <w:rsid w:val="00E57F7E"/>
    <w:rsid w:val="00E60147"/>
    <w:rsid w:val="00E603B9"/>
    <w:rsid w:val="00E60430"/>
    <w:rsid w:val="00E6051D"/>
    <w:rsid w:val="00E60774"/>
    <w:rsid w:val="00E6082F"/>
    <w:rsid w:val="00E6086D"/>
    <w:rsid w:val="00E6092E"/>
    <w:rsid w:val="00E60A84"/>
    <w:rsid w:val="00E60B92"/>
    <w:rsid w:val="00E61404"/>
    <w:rsid w:val="00E615CB"/>
    <w:rsid w:val="00E61859"/>
    <w:rsid w:val="00E61990"/>
    <w:rsid w:val="00E61AFE"/>
    <w:rsid w:val="00E61C4E"/>
    <w:rsid w:val="00E61DDE"/>
    <w:rsid w:val="00E61F08"/>
    <w:rsid w:val="00E620F9"/>
    <w:rsid w:val="00E62298"/>
    <w:rsid w:val="00E62637"/>
    <w:rsid w:val="00E62653"/>
    <w:rsid w:val="00E62740"/>
    <w:rsid w:val="00E628AE"/>
    <w:rsid w:val="00E62C15"/>
    <w:rsid w:val="00E62DFB"/>
    <w:rsid w:val="00E631AB"/>
    <w:rsid w:val="00E63361"/>
    <w:rsid w:val="00E63760"/>
    <w:rsid w:val="00E637D7"/>
    <w:rsid w:val="00E6383D"/>
    <w:rsid w:val="00E63847"/>
    <w:rsid w:val="00E638A3"/>
    <w:rsid w:val="00E63931"/>
    <w:rsid w:val="00E63A28"/>
    <w:rsid w:val="00E63E86"/>
    <w:rsid w:val="00E6435E"/>
    <w:rsid w:val="00E643C6"/>
    <w:rsid w:val="00E644DE"/>
    <w:rsid w:val="00E644ED"/>
    <w:rsid w:val="00E646C3"/>
    <w:rsid w:val="00E6472E"/>
    <w:rsid w:val="00E649FF"/>
    <w:rsid w:val="00E64B24"/>
    <w:rsid w:val="00E64BD6"/>
    <w:rsid w:val="00E64D19"/>
    <w:rsid w:val="00E64DF4"/>
    <w:rsid w:val="00E65145"/>
    <w:rsid w:val="00E652D3"/>
    <w:rsid w:val="00E65370"/>
    <w:rsid w:val="00E65397"/>
    <w:rsid w:val="00E655E8"/>
    <w:rsid w:val="00E655FC"/>
    <w:rsid w:val="00E66510"/>
    <w:rsid w:val="00E6657E"/>
    <w:rsid w:val="00E665F9"/>
    <w:rsid w:val="00E66695"/>
    <w:rsid w:val="00E666B9"/>
    <w:rsid w:val="00E66842"/>
    <w:rsid w:val="00E6697E"/>
    <w:rsid w:val="00E66B29"/>
    <w:rsid w:val="00E66F79"/>
    <w:rsid w:val="00E67031"/>
    <w:rsid w:val="00E670C0"/>
    <w:rsid w:val="00E67128"/>
    <w:rsid w:val="00E673F1"/>
    <w:rsid w:val="00E674D0"/>
    <w:rsid w:val="00E675E0"/>
    <w:rsid w:val="00E67772"/>
    <w:rsid w:val="00E67A21"/>
    <w:rsid w:val="00E67EAF"/>
    <w:rsid w:val="00E70613"/>
    <w:rsid w:val="00E706CF"/>
    <w:rsid w:val="00E70827"/>
    <w:rsid w:val="00E70957"/>
    <w:rsid w:val="00E70B38"/>
    <w:rsid w:val="00E70BF2"/>
    <w:rsid w:val="00E70C56"/>
    <w:rsid w:val="00E70C9F"/>
    <w:rsid w:val="00E710A8"/>
    <w:rsid w:val="00E710F6"/>
    <w:rsid w:val="00E7138B"/>
    <w:rsid w:val="00E715A3"/>
    <w:rsid w:val="00E71C50"/>
    <w:rsid w:val="00E71D34"/>
    <w:rsid w:val="00E71DDF"/>
    <w:rsid w:val="00E7204D"/>
    <w:rsid w:val="00E721A6"/>
    <w:rsid w:val="00E7229E"/>
    <w:rsid w:val="00E72408"/>
    <w:rsid w:val="00E72509"/>
    <w:rsid w:val="00E72835"/>
    <w:rsid w:val="00E728D2"/>
    <w:rsid w:val="00E72986"/>
    <w:rsid w:val="00E72A82"/>
    <w:rsid w:val="00E72CE0"/>
    <w:rsid w:val="00E72F2E"/>
    <w:rsid w:val="00E72F6C"/>
    <w:rsid w:val="00E730DE"/>
    <w:rsid w:val="00E73434"/>
    <w:rsid w:val="00E73B44"/>
    <w:rsid w:val="00E73BE1"/>
    <w:rsid w:val="00E73FD6"/>
    <w:rsid w:val="00E7416B"/>
    <w:rsid w:val="00E742D4"/>
    <w:rsid w:val="00E742F5"/>
    <w:rsid w:val="00E74435"/>
    <w:rsid w:val="00E7444B"/>
    <w:rsid w:val="00E74792"/>
    <w:rsid w:val="00E74856"/>
    <w:rsid w:val="00E74860"/>
    <w:rsid w:val="00E74A0E"/>
    <w:rsid w:val="00E74B5D"/>
    <w:rsid w:val="00E74E72"/>
    <w:rsid w:val="00E74F46"/>
    <w:rsid w:val="00E74F92"/>
    <w:rsid w:val="00E75236"/>
    <w:rsid w:val="00E75266"/>
    <w:rsid w:val="00E752D8"/>
    <w:rsid w:val="00E754AE"/>
    <w:rsid w:val="00E7566E"/>
    <w:rsid w:val="00E75796"/>
    <w:rsid w:val="00E75866"/>
    <w:rsid w:val="00E758AD"/>
    <w:rsid w:val="00E75AB5"/>
    <w:rsid w:val="00E75EB2"/>
    <w:rsid w:val="00E75F53"/>
    <w:rsid w:val="00E7608F"/>
    <w:rsid w:val="00E76430"/>
    <w:rsid w:val="00E7652F"/>
    <w:rsid w:val="00E7672B"/>
    <w:rsid w:val="00E7691E"/>
    <w:rsid w:val="00E76A86"/>
    <w:rsid w:val="00E76DAC"/>
    <w:rsid w:val="00E76E17"/>
    <w:rsid w:val="00E77135"/>
    <w:rsid w:val="00E7720A"/>
    <w:rsid w:val="00E774A2"/>
    <w:rsid w:val="00E77A79"/>
    <w:rsid w:val="00E77D4E"/>
    <w:rsid w:val="00E77DEE"/>
    <w:rsid w:val="00E8010C"/>
    <w:rsid w:val="00E80182"/>
    <w:rsid w:val="00E801BC"/>
    <w:rsid w:val="00E8037B"/>
    <w:rsid w:val="00E80529"/>
    <w:rsid w:val="00E807DA"/>
    <w:rsid w:val="00E80898"/>
    <w:rsid w:val="00E80AD2"/>
    <w:rsid w:val="00E80AF8"/>
    <w:rsid w:val="00E80D26"/>
    <w:rsid w:val="00E80D97"/>
    <w:rsid w:val="00E810BA"/>
    <w:rsid w:val="00E81119"/>
    <w:rsid w:val="00E81144"/>
    <w:rsid w:val="00E8137D"/>
    <w:rsid w:val="00E816B3"/>
    <w:rsid w:val="00E817E4"/>
    <w:rsid w:val="00E81B1A"/>
    <w:rsid w:val="00E81B49"/>
    <w:rsid w:val="00E82158"/>
    <w:rsid w:val="00E82191"/>
    <w:rsid w:val="00E82701"/>
    <w:rsid w:val="00E82796"/>
    <w:rsid w:val="00E82880"/>
    <w:rsid w:val="00E82923"/>
    <w:rsid w:val="00E82958"/>
    <w:rsid w:val="00E829CA"/>
    <w:rsid w:val="00E82B73"/>
    <w:rsid w:val="00E82E19"/>
    <w:rsid w:val="00E82FDF"/>
    <w:rsid w:val="00E831E5"/>
    <w:rsid w:val="00E83560"/>
    <w:rsid w:val="00E83650"/>
    <w:rsid w:val="00E837E6"/>
    <w:rsid w:val="00E83962"/>
    <w:rsid w:val="00E83969"/>
    <w:rsid w:val="00E83BA4"/>
    <w:rsid w:val="00E83CC4"/>
    <w:rsid w:val="00E83FBB"/>
    <w:rsid w:val="00E84618"/>
    <w:rsid w:val="00E848C5"/>
    <w:rsid w:val="00E84A36"/>
    <w:rsid w:val="00E84B9A"/>
    <w:rsid w:val="00E84E40"/>
    <w:rsid w:val="00E8509A"/>
    <w:rsid w:val="00E8529E"/>
    <w:rsid w:val="00E85500"/>
    <w:rsid w:val="00E85573"/>
    <w:rsid w:val="00E855D1"/>
    <w:rsid w:val="00E85A5D"/>
    <w:rsid w:val="00E85EF5"/>
    <w:rsid w:val="00E85F7C"/>
    <w:rsid w:val="00E860BF"/>
    <w:rsid w:val="00E862D8"/>
    <w:rsid w:val="00E864A7"/>
    <w:rsid w:val="00E86B7B"/>
    <w:rsid w:val="00E872E2"/>
    <w:rsid w:val="00E8731C"/>
    <w:rsid w:val="00E8747D"/>
    <w:rsid w:val="00E874B0"/>
    <w:rsid w:val="00E874FA"/>
    <w:rsid w:val="00E87585"/>
    <w:rsid w:val="00E877E9"/>
    <w:rsid w:val="00E878A3"/>
    <w:rsid w:val="00E87908"/>
    <w:rsid w:val="00E8799F"/>
    <w:rsid w:val="00E87B21"/>
    <w:rsid w:val="00E87B6D"/>
    <w:rsid w:val="00E87BB9"/>
    <w:rsid w:val="00E87D3B"/>
    <w:rsid w:val="00E87F2C"/>
    <w:rsid w:val="00E9000B"/>
    <w:rsid w:val="00E900F1"/>
    <w:rsid w:val="00E90457"/>
    <w:rsid w:val="00E90483"/>
    <w:rsid w:val="00E90533"/>
    <w:rsid w:val="00E90685"/>
    <w:rsid w:val="00E90825"/>
    <w:rsid w:val="00E908BD"/>
    <w:rsid w:val="00E90B49"/>
    <w:rsid w:val="00E90B7A"/>
    <w:rsid w:val="00E90B9C"/>
    <w:rsid w:val="00E90D32"/>
    <w:rsid w:val="00E90D4C"/>
    <w:rsid w:val="00E90E28"/>
    <w:rsid w:val="00E90F93"/>
    <w:rsid w:val="00E910C1"/>
    <w:rsid w:val="00E91177"/>
    <w:rsid w:val="00E913FA"/>
    <w:rsid w:val="00E9143C"/>
    <w:rsid w:val="00E9154D"/>
    <w:rsid w:val="00E9162B"/>
    <w:rsid w:val="00E916AC"/>
    <w:rsid w:val="00E91860"/>
    <w:rsid w:val="00E91BE9"/>
    <w:rsid w:val="00E91C12"/>
    <w:rsid w:val="00E91C49"/>
    <w:rsid w:val="00E91E5B"/>
    <w:rsid w:val="00E91F71"/>
    <w:rsid w:val="00E92395"/>
    <w:rsid w:val="00E9256D"/>
    <w:rsid w:val="00E9283C"/>
    <w:rsid w:val="00E92AC9"/>
    <w:rsid w:val="00E92B67"/>
    <w:rsid w:val="00E92C15"/>
    <w:rsid w:val="00E92FC3"/>
    <w:rsid w:val="00E932AE"/>
    <w:rsid w:val="00E936F6"/>
    <w:rsid w:val="00E937DD"/>
    <w:rsid w:val="00E938C0"/>
    <w:rsid w:val="00E9398B"/>
    <w:rsid w:val="00E93C5E"/>
    <w:rsid w:val="00E93D55"/>
    <w:rsid w:val="00E9402F"/>
    <w:rsid w:val="00E9431A"/>
    <w:rsid w:val="00E94501"/>
    <w:rsid w:val="00E9460B"/>
    <w:rsid w:val="00E946F9"/>
    <w:rsid w:val="00E948B7"/>
    <w:rsid w:val="00E948BC"/>
    <w:rsid w:val="00E9498C"/>
    <w:rsid w:val="00E94AAE"/>
    <w:rsid w:val="00E94C4F"/>
    <w:rsid w:val="00E94D8D"/>
    <w:rsid w:val="00E94F7C"/>
    <w:rsid w:val="00E9505D"/>
    <w:rsid w:val="00E954B7"/>
    <w:rsid w:val="00E955FC"/>
    <w:rsid w:val="00E95666"/>
    <w:rsid w:val="00E95847"/>
    <w:rsid w:val="00E95978"/>
    <w:rsid w:val="00E95CEB"/>
    <w:rsid w:val="00E960B5"/>
    <w:rsid w:val="00E961BD"/>
    <w:rsid w:val="00E9627C"/>
    <w:rsid w:val="00E96768"/>
    <w:rsid w:val="00E96CCA"/>
    <w:rsid w:val="00E96E58"/>
    <w:rsid w:val="00E96FDB"/>
    <w:rsid w:val="00E970BA"/>
    <w:rsid w:val="00E976AC"/>
    <w:rsid w:val="00E9794E"/>
    <w:rsid w:val="00E97C3D"/>
    <w:rsid w:val="00E97CF8"/>
    <w:rsid w:val="00E97E43"/>
    <w:rsid w:val="00EA0075"/>
    <w:rsid w:val="00EA00F9"/>
    <w:rsid w:val="00EA031F"/>
    <w:rsid w:val="00EA032A"/>
    <w:rsid w:val="00EA03D0"/>
    <w:rsid w:val="00EA0482"/>
    <w:rsid w:val="00EA0491"/>
    <w:rsid w:val="00EA059C"/>
    <w:rsid w:val="00EA063C"/>
    <w:rsid w:val="00EA071E"/>
    <w:rsid w:val="00EA074A"/>
    <w:rsid w:val="00EA097B"/>
    <w:rsid w:val="00EA0AAE"/>
    <w:rsid w:val="00EA0D29"/>
    <w:rsid w:val="00EA0DBE"/>
    <w:rsid w:val="00EA107B"/>
    <w:rsid w:val="00EA1186"/>
    <w:rsid w:val="00EA1539"/>
    <w:rsid w:val="00EA155A"/>
    <w:rsid w:val="00EA169A"/>
    <w:rsid w:val="00EA17E9"/>
    <w:rsid w:val="00EA1879"/>
    <w:rsid w:val="00EA19F6"/>
    <w:rsid w:val="00EA1C7F"/>
    <w:rsid w:val="00EA1C83"/>
    <w:rsid w:val="00EA2328"/>
    <w:rsid w:val="00EA23F6"/>
    <w:rsid w:val="00EA2624"/>
    <w:rsid w:val="00EA2A96"/>
    <w:rsid w:val="00EA2E80"/>
    <w:rsid w:val="00EA322C"/>
    <w:rsid w:val="00EA3299"/>
    <w:rsid w:val="00EA34D0"/>
    <w:rsid w:val="00EA3557"/>
    <w:rsid w:val="00EA3575"/>
    <w:rsid w:val="00EA3757"/>
    <w:rsid w:val="00EA3920"/>
    <w:rsid w:val="00EA3B77"/>
    <w:rsid w:val="00EA3CD9"/>
    <w:rsid w:val="00EA3CF7"/>
    <w:rsid w:val="00EA3ED8"/>
    <w:rsid w:val="00EA3EFB"/>
    <w:rsid w:val="00EA40A6"/>
    <w:rsid w:val="00EA4232"/>
    <w:rsid w:val="00EA43AA"/>
    <w:rsid w:val="00EA43EE"/>
    <w:rsid w:val="00EA44D4"/>
    <w:rsid w:val="00EA462B"/>
    <w:rsid w:val="00EA4645"/>
    <w:rsid w:val="00EA478E"/>
    <w:rsid w:val="00EA49A7"/>
    <w:rsid w:val="00EA4AF6"/>
    <w:rsid w:val="00EA4C19"/>
    <w:rsid w:val="00EA4D40"/>
    <w:rsid w:val="00EA4DB0"/>
    <w:rsid w:val="00EA5474"/>
    <w:rsid w:val="00EA54CB"/>
    <w:rsid w:val="00EA55A7"/>
    <w:rsid w:val="00EA59C6"/>
    <w:rsid w:val="00EA5E02"/>
    <w:rsid w:val="00EA5ED6"/>
    <w:rsid w:val="00EA639E"/>
    <w:rsid w:val="00EA63C3"/>
    <w:rsid w:val="00EA64A8"/>
    <w:rsid w:val="00EA66B5"/>
    <w:rsid w:val="00EA6BA8"/>
    <w:rsid w:val="00EA6D62"/>
    <w:rsid w:val="00EA75E0"/>
    <w:rsid w:val="00EA76EE"/>
    <w:rsid w:val="00EA7930"/>
    <w:rsid w:val="00EA79F7"/>
    <w:rsid w:val="00EA7AEE"/>
    <w:rsid w:val="00EA7F09"/>
    <w:rsid w:val="00EB0612"/>
    <w:rsid w:val="00EB082E"/>
    <w:rsid w:val="00EB096D"/>
    <w:rsid w:val="00EB0A35"/>
    <w:rsid w:val="00EB0BE2"/>
    <w:rsid w:val="00EB0C10"/>
    <w:rsid w:val="00EB0DA4"/>
    <w:rsid w:val="00EB0E30"/>
    <w:rsid w:val="00EB0E5A"/>
    <w:rsid w:val="00EB1029"/>
    <w:rsid w:val="00EB1098"/>
    <w:rsid w:val="00EB10AC"/>
    <w:rsid w:val="00EB115B"/>
    <w:rsid w:val="00EB11C9"/>
    <w:rsid w:val="00EB13D5"/>
    <w:rsid w:val="00EB190A"/>
    <w:rsid w:val="00EB196D"/>
    <w:rsid w:val="00EB196F"/>
    <w:rsid w:val="00EB2100"/>
    <w:rsid w:val="00EB22A7"/>
    <w:rsid w:val="00EB22A8"/>
    <w:rsid w:val="00EB29B3"/>
    <w:rsid w:val="00EB2EE7"/>
    <w:rsid w:val="00EB3295"/>
    <w:rsid w:val="00EB34BB"/>
    <w:rsid w:val="00EB356D"/>
    <w:rsid w:val="00EB3C7A"/>
    <w:rsid w:val="00EB3CE5"/>
    <w:rsid w:val="00EB3D5C"/>
    <w:rsid w:val="00EB3F40"/>
    <w:rsid w:val="00EB4125"/>
    <w:rsid w:val="00EB4313"/>
    <w:rsid w:val="00EB47C0"/>
    <w:rsid w:val="00EB47FD"/>
    <w:rsid w:val="00EB4A21"/>
    <w:rsid w:val="00EB4A49"/>
    <w:rsid w:val="00EB4A93"/>
    <w:rsid w:val="00EB4C29"/>
    <w:rsid w:val="00EB4CC0"/>
    <w:rsid w:val="00EB4E3F"/>
    <w:rsid w:val="00EB4EEE"/>
    <w:rsid w:val="00EB506B"/>
    <w:rsid w:val="00EB50A1"/>
    <w:rsid w:val="00EB5294"/>
    <w:rsid w:val="00EB54EF"/>
    <w:rsid w:val="00EB5539"/>
    <w:rsid w:val="00EB584B"/>
    <w:rsid w:val="00EB5A97"/>
    <w:rsid w:val="00EB5AB9"/>
    <w:rsid w:val="00EB5C8A"/>
    <w:rsid w:val="00EB5CAE"/>
    <w:rsid w:val="00EB5F9E"/>
    <w:rsid w:val="00EB641F"/>
    <w:rsid w:val="00EB6432"/>
    <w:rsid w:val="00EB6750"/>
    <w:rsid w:val="00EB67A9"/>
    <w:rsid w:val="00EB6889"/>
    <w:rsid w:val="00EB69A1"/>
    <w:rsid w:val="00EB69DD"/>
    <w:rsid w:val="00EB6AB9"/>
    <w:rsid w:val="00EB6D31"/>
    <w:rsid w:val="00EB6D82"/>
    <w:rsid w:val="00EB6F8A"/>
    <w:rsid w:val="00EB745E"/>
    <w:rsid w:val="00EB784E"/>
    <w:rsid w:val="00EB787B"/>
    <w:rsid w:val="00EB7A93"/>
    <w:rsid w:val="00EB7C77"/>
    <w:rsid w:val="00EB7CF8"/>
    <w:rsid w:val="00EB7D5C"/>
    <w:rsid w:val="00EB7E6C"/>
    <w:rsid w:val="00EC06CC"/>
    <w:rsid w:val="00EC09E0"/>
    <w:rsid w:val="00EC0DFD"/>
    <w:rsid w:val="00EC0FF0"/>
    <w:rsid w:val="00EC109E"/>
    <w:rsid w:val="00EC10A0"/>
    <w:rsid w:val="00EC1194"/>
    <w:rsid w:val="00EC1195"/>
    <w:rsid w:val="00EC1242"/>
    <w:rsid w:val="00EC1278"/>
    <w:rsid w:val="00EC1383"/>
    <w:rsid w:val="00EC13D0"/>
    <w:rsid w:val="00EC1545"/>
    <w:rsid w:val="00EC1591"/>
    <w:rsid w:val="00EC16C6"/>
    <w:rsid w:val="00EC16F1"/>
    <w:rsid w:val="00EC17F0"/>
    <w:rsid w:val="00EC18DA"/>
    <w:rsid w:val="00EC1C26"/>
    <w:rsid w:val="00EC1C8A"/>
    <w:rsid w:val="00EC1D42"/>
    <w:rsid w:val="00EC1DFD"/>
    <w:rsid w:val="00EC2024"/>
    <w:rsid w:val="00EC20D8"/>
    <w:rsid w:val="00EC2392"/>
    <w:rsid w:val="00EC26CC"/>
    <w:rsid w:val="00EC2822"/>
    <w:rsid w:val="00EC282D"/>
    <w:rsid w:val="00EC2840"/>
    <w:rsid w:val="00EC2A8D"/>
    <w:rsid w:val="00EC2B0D"/>
    <w:rsid w:val="00EC2BD6"/>
    <w:rsid w:val="00EC32C4"/>
    <w:rsid w:val="00EC3573"/>
    <w:rsid w:val="00EC357E"/>
    <w:rsid w:val="00EC3DA4"/>
    <w:rsid w:val="00EC410A"/>
    <w:rsid w:val="00EC418B"/>
    <w:rsid w:val="00EC419F"/>
    <w:rsid w:val="00EC41CB"/>
    <w:rsid w:val="00EC443F"/>
    <w:rsid w:val="00EC47F4"/>
    <w:rsid w:val="00EC4840"/>
    <w:rsid w:val="00EC493C"/>
    <w:rsid w:val="00EC49E6"/>
    <w:rsid w:val="00EC50A2"/>
    <w:rsid w:val="00EC518D"/>
    <w:rsid w:val="00EC52B8"/>
    <w:rsid w:val="00EC545A"/>
    <w:rsid w:val="00EC54F8"/>
    <w:rsid w:val="00EC561B"/>
    <w:rsid w:val="00EC5791"/>
    <w:rsid w:val="00EC57C6"/>
    <w:rsid w:val="00EC5AAD"/>
    <w:rsid w:val="00EC5D01"/>
    <w:rsid w:val="00EC5D88"/>
    <w:rsid w:val="00EC5FB8"/>
    <w:rsid w:val="00EC5FC9"/>
    <w:rsid w:val="00EC628D"/>
    <w:rsid w:val="00EC6308"/>
    <w:rsid w:val="00EC665A"/>
    <w:rsid w:val="00EC6763"/>
    <w:rsid w:val="00EC6C28"/>
    <w:rsid w:val="00EC6D0E"/>
    <w:rsid w:val="00EC6DFD"/>
    <w:rsid w:val="00EC6E84"/>
    <w:rsid w:val="00EC6E98"/>
    <w:rsid w:val="00EC6EA7"/>
    <w:rsid w:val="00EC6EF3"/>
    <w:rsid w:val="00EC7048"/>
    <w:rsid w:val="00EC71CB"/>
    <w:rsid w:val="00EC71D1"/>
    <w:rsid w:val="00EC769C"/>
    <w:rsid w:val="00EC76F3"/>
    <w:rsid w:val="00EC7797"/>
    <w:rsid w:val="00EC78BC"/>
    <w:rsid w:val="00EC7D3A"/>
    <w:rsid w:val="00EC7D87"/>
    <w:rsid w:val="00EC7E17"/>
    <w:rsid w:val="00ED0247"/>
    <w:rsid w:val="00ED0514"/>
    <w:rsid w:val="00ED05D6"/>
    <w:rsid w:val="00ED060E"/>
    <w:rsid w:val="00ED0992"/>
    <w:rsid w:val="00ED09DC"/>
    <w:rsid w:val="00ED0C6F"/>
    <w:rsid w:val="00ED0D88"/>
    <w:rsid w:val="00ED0E7F"/>
    <w:rsid w:val="00ED102F"/>
    <w:rsid w:val="00ED103C"/>
    <w:rsid w:val="00ED13D1"/>
    <w:rsid w:val="00ED17CF"/>
    <w:rsid w:val="00ED19C1"/>
    <w:rsid w:val="00ED1AA8"/>
    <w:rsid w:val="00ED1C07"/>
    <w:rsid w:val="00ED233E"/>
    <w:rsid w:val="00ED27BC"/>
    <w:rsid w:val="00ED280E"/>
    <w:rsid w:val="00ED29F2"/>
    <w:rsid w:val="00ED2D3B"/>
    <w:rsid w:val="00ED2E46"/>
    <w:rsid w:val="00ED2FCC"/>
    <w:rsid w:val="00ED2FEB"/>
    <w:rsid w:val="00ED3028"/>
    <w:rsid w:val="00ED306F"/>
    <w:rsid w:val="00ED36F2"/>
    <w:rsid w:val="00ED3A81"/>
    <w:rsid w:val="00ED3C41"/>
    <w:rsid w:val="00ED3F32"/>
    <w:rsid w:val="00ED4084"/>
    <w:rsid w:val="00ED4402"/>
    <w:rsid w:val="00ED4662"/>
    <w:rsid w:val="00ED4967"/>
    <w:rsid w:val="00ED4A38"/>
    <w:rsid w:val="00ED4AED"/>
    <w:rsid w:val="00ED4C12"/>
    <w:rsid w:val="00ED4DAB"/>
    <w:rsid w:val="00ED4E12"/>
    <w:rsid w:val="00ED50D8"/>
    <w:rsid w:val="00ED5166"/>
    <w:rsid w:val="00ED53B0"/>
    <w:rsid w:val="00ED5400"/>
    <w:rsid w:val="00ED5636"/>
    <w:rsid w:val="00ED5646"/>
    <w:rsid w:val="00ED58EA"/>
    <w:rsid w:val="00ED58F5"/>
    <w:rsid w:val="00ED5953"/>
    <w:rsid w:val="00ED5B7A"/>
    <w:rsid w:val="00ED635F"/>
    <w:rsid w:val="00ED6767"/>
    <w:rsid w:val="00ED67CE"/>
    <w:rsid w:val="00ED6EDA"/>
    <w:rsid w:val="00ED712D"/>
    <w:rsid w:val="00ED7559"/>
    <w:rsid w:val="00ED7637"/>
    <w:rsid w:val="00ED768A"/>
    <w:rsid w:val="00ED76F7"/>
    <w:rsid w:val="00ED78FE"/>
    <w:rsid w:val="00ED7A84"/>
    <w:rsid w:val="00ED7D74"/>
    <w:rsid w:val="00EE0279"/>
    <w:rsid w:val="00EE051D"/>
    <w:rsid w:val="00EE0538"/>
    <w:rsid w:val="00EE05EC"/>
    <w:rsid w:val="00EE0625"/>
    <w:rsid w:val="00EE0A4C"/>
    <w:rsid w:val="00EE0B6E"/>
    <w:rsid w:val="00EE0F57"/>
    <w:rsid w:val="00EE0F97"/>
    <w:rsid w:val="00EE1046"/>
    <w:rsid w:val="00EE11D0"/>
    <w:rsid w:val="00EE1236"/>
    <w:rsid w:val="00EE1399"/>
    <w:rsid w:val="00EE19C8"/>
    <w:rsid w:val="00EE1B10"/>
    <w:rsid w:val="00EE1CFF"/>
    <w:rsid w:val="00EE1F65"/>
    <w:rsid w:val="00EE2371"/>
    <w:rsid w:val="00EE28A4"/>
    <w:rsid w:val="00EE28CE"/>
    <w:rsid w:val="00EE28F4"/>
    <w:rsid w:val="00EE2B3B"/>
    <w:rsid w:val="00EE2C14"/>
    <w:rsid w:val="00EE2D19"/>
    <w:rsid w:val="00EE2D90"/>
    <w:rsid w:val="00EE3728"/>
    <w:rsid w:val="00EE3863"/>
    <w:rsid w:val="00EE38B6"/>
    <w:rsid w:val="00EE38F5"/>
    <w:rsid w:val="00EE3939"/>
    <w:rsid w:val="00EE39C4"/>
    <w:rsid w:val="00EE3BD1"/>
    <w:rsid w:val="00EE3CED"/>
    <w:rsid w:val="00EE3E7B"/>
    <w:rsid w:val="00EE3E83"/>
    <w:rsid w:val="00EE4141"/>
    <w:rsid w:val="00EE4261"/>
    <w:rsid w:val="00EE43C9"/>
    <w:rsid w:val="00EE4493"/>
    <w:rsid w:val="00EE44A5"/>
    <w:rsid w:val="00EE45C5"/>
    <w:rsid w:val="00EE4953"/>
    <w:rsid w:val="00EE4A12"/>
    <w:rsid w:val="00EE4A44"/>
    <w:rsid w:val="00EE4ADF"/>
    <w:rsid w:val="00EE4B2C"/>
    <w:rsid w:val="00EE4B3E"/>
    <w:rsid w:val="00EE4E22"/>
    <w:rsid w:val="00EE5A6B"/>
    <w:rsid w:val="00EE5B3C"/>
    <w:rsid w:val="00EE5F75"/>
    <w:rsid w:val="00EE63BE"/>
    <w:rsid w:val="00EE64B3"/>
    <w:rsid w:val="00EE660D"/>
    <w:rsid w:val="00EE6972"/>
    <w:rsid w:val="00EE6A2B"/>
    <w:rsid w:val="00EE6B04"/>
    <w:rsid w:val="00EE6B89"/>
    <w:rsid w:val="00EE6BA7"/>
    <w:rsid w:val="00EE6C1A"/>
    <w:rsid w:val="00EE6CA8"/>
    <w:rsid w:val="00EE6DAD"/>
    <w:rsid w:val="00EE6F01"/>
    <w:rsid w:val="00EE712F"/>
    <w:rsid w:val="00EE71C1"/>
    <w:rsid w:val="00EE73B5"/>
    <w:rsid w:val="00EE7766"/>
    <w:rsid w:val="00EE7890"/>
    <w:rsid w:val="00EE7915"/>
    <w:rsid w:val="00EE79AF"/>
    <w:rsid w:val="00EE7CFD"/>
    <w:rsid w:val="00EE7E5A"/>
    <w:rsid w:val="00EF0024"/>
    <w:rsid w:val="00EF01A1"/>
    <w:rsid w:val="00EF0633"/>
    <w:rsid w:val="00EF0799"/>
    <w:rsid w:val="00EF09CD"/>
    <w:rsid w:val="00EF0AC5"/>
    <w:rsid w:val="00EF10C1"/>
    <w:rsid w:val="00EF10CC"/>
    <w:rsid w:val="00EF12C5"/>
    <w:rsid w:val="00EF1514"/>
    <w:rsid w:val="00EF15F5"/>
    <w:rsid w:val="00EF1807"/>
    <w:rsid w:val="00EF1903"/>
    <w:rsid w:val="00EF1AC7"/>
    <w:rsid w:val="00EF1C75"/>
    <w:rsid w:val="00EF1CF5"/>
    <w:rsid w:val="00EF1EB2"/>
    <w:rsid w:val="00EF2006"/>
    <w:rsid w:val="00EF21A9"/>
    <w:rsid w:val="00EF21AF"/>
    <w:rsid w:val="00EF21B2"/>
    <w:rsid w:val="00EF225E"/>
    <w:rsid w:val="00EF2356"/>
    <w:rsid w:val="00EF24F7"/>
    <w:rsid w:val="00EF2596"/>
    <w:rsid w:val="00EF2722"/>
    <w:rsid w:val="00EF2A35"/>
    <w:rsid w:val="00EF2B93"/>
    <w:rsid w:val="00EF2DB3"/>
    <w:rsid w:val="00EF3258"/>
    <w:rsid w:val="00EF32CE"/>
    <w:rsid w:val="00EF32E0"/>
    <w:rsid w:val="00EF363D"/>
    <w:rsid w:val="00EF3850"/>
    <w:rsid w:val="00EF3A8D"/>
    <w:rsid w:val="00EF3B38"/>
    <w:rsid w:val="00EF3C83"/>
    <w:rsid w:val="00EF3E73"/>
    <w:rsid w:val="00EF40A5"/>
    <w:rsid w:val="00EF40BE"/>
    <w:rsid w:val="00EF416B"/>
    <w:rsid w:val="00EF41D3"/>
    <w:rsid w:val="00EF4469"/>
    <w:rsid w:val="00EF461D"/>
    <w:rsid w:val="00EF46FF"/>
    <w:rsid w:val="00EF4A36"/>
    <w:rsid w:val="00EF4AE4"/>
    <w:rsid w:val="00EF4F8C"/>
    <w:rsid w:val="00EF50B8"/>
    <w:rsid w:val="00EF5107"/>
    <w:rsid w:val="00EF5123"/>
    <w:rsid w:val="00EF541D"/>
    <w:rsid w:val="00EF575D"/>
    <w:rsid w:val="00EF5809"/>
    <w:rsid w:val="00EF58B7"/>
    <w:rsid w:val="00EF5A29"/>
    <w:rsid w:val="00EF5B55"/>
    <w:rsid w:val="00EF5CE4"/>
    <w:rsid w:val="00EF5E9A"/>
    <w:rsid w:val="00EF5EEA"/>
    <w:rsid w:val="00EF5FF8"/>
    <w:rsid w:val="00EF603F"/>
    <w:rsid w:val="00EF60A2"/>
    <w:rsid w:val="00EF623C"/>
    <w:rsid w:val="00EF6294"/>
    <w:rsid w:val="00EF6601"/>
    <w:rsid w:val="00EF6805"/>
    <w:rsid w:val="00EF696D"/>
    <w:rsid w:val="00EF69A8"/>
    <w:rsid w:val="00EF6D9B"/>
    <w:rsid w:val="00EF6EAE"/>
    <w:rsid w:val="00EF6F73"/>
    <w:rsid w:val="00EF711F"/>
    <w:rsid w:val="00EF730B"/>
    <w:rsid w:val="00EF768F"/>
    <w:rsid w:val="00EF780A"/>
    <w:rsid w:val="00EF7856"/>
    <w:rsid w:val="00EF78A0"/>
    <w:rsid w:val="00EF7A06"/>
    <w:rsid w:val="00EF7BF1"/>
    <w:rsid w:val="00EF7CF2"/>
    <w:rsid w:val="00EF7D85"/>
    <w:rsid w:val="00EF7F31"/>
    <w:rsid w:val="00F00062"/>
    <w:rsid w:val="00F00508"/>
    <w:rsid w:val="00F0060F"/>
    <w:rsid w:val="00F00819"/>
    <w:rsid w:val="00F00B2E"/>
    <w:rsid w:val="00F00C83"/>
    <w:rsid w:val="00F00E01"/>
    <w:rsid w:val="00F00FF0"/>
    <w:rsid w:val="00F0122F"/>
    <w:rsid w:val="00F01490"/>
    <w:rsid w:val="00F01696"/>
    <w:rsid w:val="00F01820"/>
    <w:rsid w:val="00F0193F"/>
    <w:rsid w:val="00F019C2"/>
    <w:rsid w:val="00F019CA"/>
    <w:rsid w:val="00F01A4C"/>
    <w:rsid w:val="00F01B01"/>
    <w:rsid w:val="00F01C5B"/>
    <w:rsid w:val="00F01C9B"/>
    <w:rsid w:val="00F01DDB"/>
    <w:rsid w:val="00F01E52"/>
    <w:rsid w:val="00F022A8"/>
    <w:rsid w:val="00F02473"/>
    <w:rsid w:val="00F024FD"/>
    <w:rsid w:val="00F02538"/>
    <w:rsid w:val="00F0256E"/>
    <w:rsid w:val="00F026BD"/>
    <w:rsid w:val="00F02BB4"/>
    <w:rsid w:val="00F02DCB"/>
    <w:rsid w:val="00F02FB1"/>
    <w:rsid w:val="00F02FEE"/>
    <w:rsid w:val="00F0319D"/>
    <w:rsid w:val="00F03616"/>
    <w:rsid w:val="00F03634"/>
    <w:rsid w:val="00F0368A"/>
    <w:rsid w:val="00F037EF"/>
    <w:rsid w:val="00F03825"/>
    <w:rsid w:val="00F0389E"/>
    <w:rsid w:val="00F03BCD"/>
    <w:rsid w:val="00F04286"/>
    <w:rsid w:val="00F042DC"/>
    <w:rsid w:val="00F04309"/>
    <w:rsid w:val="00F0448B"/>
    <w:rsid w:val="00F0450D"/>
    <w:rsid w:val="00F0463B"/>
    <w:rsid w:val="00F046BD"/>
    <w:rsid w:val="00F04A1A"/>
    <w:rsid w:val="00F04D63"/>
    <w:rsid w:val="00F04E16"/>
    <w:rsid w:val="00F04E40"/>
    <w:rsid w:val="00F04E72"/>
    <w:rsid w:val="00F04F1F"/>
    <w:rsid w:val="00F050B3"/>
    <w:rsid w:val="00F0526B"/>
    <w:rsid w:val="00F05357"/>
    <w:rsid w:val="00F0576E"/>
    <w:rsid w:val="00F057C2"/>
    <w:rsid w:val="00F0584D"/>
    <w:rsid w:val="00F05999"/>
    <w:rsid w:val="00F059AB"/>
    <w:rsid w:val="00F05B05"/>
    <w:rsid w:val="00F05D6E"/>
    <w:rsid w:val="00F06322"/>
    <w:rsid w:val="00F06378"/>
    <w:rsid w:val="00F06388"/>
    <w:rsid w:val="00F06769"/>
    <w:rsid w:val="00F06894"/>
    <w:rsid w:val="00F06906"/>
    <w:rsid w:val="00F06C35"/>
    <w:rsid w:val="00F06DDD"/>
    <w:rsid w:val="00F07099"/>
    <w:rsid w:val="00F074FA"/>
    <w:rsid w:val="00F076B0"/>
    <w:rsid w:val="00F077AC"/>
    <w:rsid w:val="00F07A90"/>
    <w:rsid w:val="00F07B33"/>
    <w:rsid w:val="00F07B75"/>
    <w:rsid w:val="00F07E06"/>
    <w:rsid w:val="00F07FC4"/>
    <w:rsid w:val="00F102A7"/>
    <w:rsid w:val="00F105EA"/>
    <w:rsid w:val="00F107E1"/>
    <w:rsid w:val="00F10807"/>
    <w:rsid w:val="00F10960"/>
    <w:rsid w:val="00F109D5"/>
    <w:rsid w:val="00F10B8A"/>
    <w:rsid w:val="00F10D9A"/>
    <w:rsid w:val="00F10DC3"/>
    <w:rsid w:val="00F10F10"/>
    <w:rsid w:val="00F1106A"/>
    <w:rsid w:val="00F1109A"/>
    <w:rsid w:val="00F11117"/>
    <w:rsid w:val="00F111B8"/>
    <w:rsid w:val="00F112B0"/>
    <w:rsid w:val="00F11304"/>
    <w:rsid w:val="00F11768"/>
    <w:rsid w:val="00F11D55"/>
    <w:rsid w:val="00F11DC7"/>
    <w:rsid w:val="00F11FA7"/>
    <w:rsid w:val="00F120D9"/>
    <w:rsid w:val="00F12541"/>
    <w:rsid w:val="00F125A7"/>
    <w:rsid w:val="00F12888"/>
    <w:rsid w:val="00F12E11"/>
    <w:rsid w:val="00F12E64"/>
    <w:rsid w:val="00F12F8C"/>
    <w:rsid w:val="00F131B4"/>
    <w:rsid w:val="00F132A7"/>
    <w:rsid w:val="00F13580"/>
    <w:rsid w:val="00F13586"/>
    <w:rsid w:val="00F13633"/>
    <w:rsid w:val="00F1421A"/>
    <w:rsid w:val="00F143EE"/>
    <w:rsid w:val="00F14435"/>
    <w:rsid w:val="00F1477E"/>
    <w:rsid w:val="00F14B20"/>
    <w:rsid w:val="00F14C45"/>
    <w:rsid w:val="00F14DE5"/>
    <w:rsid w:val="00F15033"/>
    <w:rsid w:val="00F1510D"/>
    <w:rsid w:val="00F15233"/>
    <w:rsid w:val="00F15618"/>
    <w:rsid w:val="00F15941"/>
    <w:rsid w:val="00F15A6E"/>
    <w:rsid w:val="00F15DC9"/>
    <w:rsid w:val="00F15E05"/>
    <w:rsid w:val="00F15E91"/>
    <w:rsid w:val="00F164D2"/>
    <w:rsid w:val="00F16E72"/>
    <w:rsid w:val="00F16F84"/>
    <w:rsid w:val="00F16F98"/>
    <w:rsid w:val="00F17122"/>
    <w:rsid w:val="00F17126"/>
    <w:rsid w:val="00F1735C"/>
    <w:rsid w:val="00F1738D"/>
    <w:rsid w:val="00F17473"/>
    <w:rsid w:val="00F178FF"/>
    <w:rsid w:val="00F1792A"/>
    <w:rsid w:val="00F17C77"/>
    <w:rsid w:val="00F17C97"/>
    <w:rsid w:val="00F17F93"/>
    <w:rsid w:val="00F20062"/>
    <w:rsid w:val="00F20210"/>
    <w:rsid w:val="00F2064C"/>
    <w:rsid w:val="00F20B53"/>
    <w:rsid w:val="00F20B5F"/>
    <w:rsid w:val="00F21056"/>
    <w:rsid w:val="00F21130"/>
    <w:rsid w:val="00F213CC"/>
    <w:rsid w:val="00F21463"/>
    <w:rsid w:val="00F21751"/>
    <w:rsid w:val="00F21961"/>
    <w:rsid w:val="00F219D3"/>
    <w:rsid w:val="00F21A42"/>
    <w:rsid w:val="00F21BA6"/>
    <w:rsid w:val="00F21C60"/>
    <w:rsid w:val="00F21C71"/>
    <w:rsid w:val="00F21D12"/>
    <w:rsid w:val="00F21E00"/>
    <w:rsid w:val="00F21FB3"/>
    <w:rsid w:val="00F22035"/>
    <w:rsid w:val="00F2231A"/>
    <w:rsid w:val="00F224A6"/>
    <w:rsid w:val="00F224A7"/>
    <w:rsid w:val="00F225AC"/>
    <w:rsid w:val="00F228B5"/>
    <w:rsid w:val="00F2291C"/>
    <w:rsid w:val="00F229C2"/>
    <w:rsid w:val="00F22A18"/>
    <w:rsid w:val="00F22AFC"/>
    <w:rsid w:val="00F22C19"/>
    <w:rsid w:val="00F22D18"/>
    <w:rsid w:val="00F22FD6"/>
    <w:rsid w:val="00F2300F"/>
    <w:rsid w:val="00F230D5"/>
    <w:rsid w:val="00F23243"/>
    <w:rsid w:val="00F23350"/>
    <w:rsid w:val="00F23434"/>
    <w:rsid w:val="00F235FB"/>
    <w:rsid w:val="00F23617"/>
    <w:rsid w:val="00F23664"/>
    <w:rsid w:val="00F2367A"/>
    <w:rsid w:val="00F236FC"/>
    <w:rsid w:val="00F23880"/>
    <w:rsid w:val="00F2390F"/>
    <w:rsid w:val="00F23B32"/>
    <w:rsid w:val="00F23E4E"/>
    <w:rsid w:val="00F23F3C"/>
    <w:rsid w:val="00F2410A"/>
    <w:rsid w:val="00F24340"/>
    <w:rsid w:val="00F24450"/>
    <w:rsid w:val="00F245C6"/>
    <w:rsid w:val="00F24B44"/>
    <w:rsid w:val="00F2521E"/>
    <w:rsid w:val="00F257E6"/>
    <w:rsid w:val="00F25AEA"/>
    <w:rsid w:val="00F25B50"/>
    <w:rsid w:val="00F25D28"/>
    <w:rsid w:val="00F25D82"/>
    <w:rsid w:val="00F25ED2"/>
    <w:rsid w:val="00F26073"/>
    <w:rsid w:val="00F26137"/>
    <w:rsid w:val="00F261A0"/>
    <w:rsid w:val="00F26270"/>
    <w:rsid w:val="00F26385"/>
    <w:rsid w:val="00F265DF"/>
    <w:rsid w:val="00F26755"/>
    <w:rsid w:val="00F2678A"/>
    <w:rsid w:val="00F267AE"/>
    <w:rsid w:val="00F26AA8"/>
    <w:rsid w:val="00F26AF2"/>
    <w:rsid w:val="00F26B6B"/>
    <w:rsid w:val="00F26CAE"/>
    <w:rsid w:val="00F27182"/>
    <w:rsid w:val="00F27812"/>
    <w:rsid w:val="00F27CF0"/>
    <w:rsid w:val="00F27D48"/>
    <w:rsid w:val="00F3026A"/>
    <w:rsid w:val="00F3039A"/>
    <w:rsid w:val="00F30693"/>
    <w:rsid w:val="00F307B3"/>
    <w:rsid w:val="00F30A58"/>
    <w:rsid w:val="00F30A91"/>
    <w:rsid w:val="00F30BB4"/>
    <w:rsid w:val="00F30F8A"/>
    <w:rsid w:val="00F312B5"/>
    <w:rsid w:val="00F313C9"/>
    <w:rsid w:val="00F31577"/>
    <w:rsid w:val="00F3174C"/>
    <w:rsid w:val="00F317E5"/>
    <w:rsid w:val="00F31837"/>
    <w:rsid w:val="00F318E5"/>
    <w:rsid w:val="00F31ABF"/>
    <w:rsid w:val="00F31B57"/>
    <w:rsid w:val="00F31D15"/>
    <w:rsid w:val="00F31DD9"/>
    <w:rsid w:val="00F31E7F"/>
    <w:rsid w:val="00F31EC4"/>
    <w:rsid w:val="00F32604"/>
    <w:rsid w:val="00F326E8"/>
    <w:rsid w:val="00F327CC"/>
    <w:rsid w:val="00F32A89"/>
    <w:rsid w:val="00F32F13"/>
    <w:rsid w:val="00F33351"/>
    <w:rsid w:val="00F33715"/>
    <w:rsid w:val="00F33746"/>
    <w:rsid w:val="00F33789"/>
    <w:rsid w:val="00F33A4A"/>
    <w:rsid w:val="00F33D53"/>
    <w:rsid w:val="00F33F9F"/>
    <w:rsid w:val="00F34042"/>
    <w:rsid w:val="00F34244"/>
    <w:rsid w:val="00F344EF"/>
    <w:rsid w:val="00F3473B"/>
    <w:rsid w:val="00F349B5"/>
    <w:rsid w:val="00F349C9"/>
    <w:rsid w:val="00F34FC3"/>
    <w:rsid w:val="00F35281"/>
    <w:rsid w:val="00F35613"/>
    <w:rsid w:val="00F35769"/>
    <w:rsid w:val="00F35775"/>
    <w:rsid w:val="00F357BC"/>
    <w:rsid w:val="00F35974"/>
    <w:rsid w:val="00F360C2"/>
    <w:rsid w:val="00F361D0"/>
    <w:rsid w:val="00F36757"/>
    <w:rsid w:val="00F368E6"/>
    <w:rsid w:val="00F369C2"/>
    <w:rsid w:val="00F36C87"/>
    <w:rsid w:val="00F36CD3"/>
    <w:rsid w:val="00F36CFF"/>
    <w:rsid w:val="00F36DB7"/>
    <w:rsid w:val="00F36E5C"/>
    <w:rsid w:val="00F3724B"/>
    <w:rsid w:val="00F376E3"/>
    <w:rsid w:val="00F376F4"/>
    <w:rsid w:val="00F37AAC"/>
    <w:rsid w:val="00F37C04"/>
    <w:rsid w:val="00F37D6F"/>
    <w:rsid w:val="00F37FD1"/>
    <w:rsid w:val="00F4011D"/>
    <w:rsid w:val="00F40460"/>
    <w:rsid w:val="00F40485"/>
    <w:rsid w:val="00F40910"/>
    <w:rsid w:val="00F40931"/>
    <w:rsid w:val="00F40A15"/>
    <w:rsid w:val="00F40D53"/>
    <w:rsid w:val="00F40E6D"/>
    <w:rsid w:val="00F4130E"/>
    <w:rsid w:val="00F4156B"/>
    <w:rsid w:val="00F4165C"/>
    <w:rsid w:val="00F41869"/>
    <w:rsid w:val="00F41A52"/>
    <w:rsid w:val="00F41B50"/>
    <w:rsid w:val="00F41E2A"/>
    <w:rsid w:val="00F42041"/>
    <w:rsid w:val="00F420C8"/>
    <w:rsid w:val="00F421F4"/>
    <w:rsid w:val="00F42332"/>
    <w:rsid w:val="00F4256F"/>
    <w:rsid w:val="00F426B1"/>
    <w:rsid w:val="00F427F0"/>
    <w:rsid w:val="00F42C4B"/>
    <w:rsid w:val="00F42CDB"/>
    <w:rsid w:val="00F4325B"/>
    <w:rsid w:val="00F4348E"/>
    <w:rsid w:val="00F4367D"/>
    <w:rsid w:val="00F439C9"/>
    <w:rsid w:val="00F43A0F"/>
    <w:rsid w:val="00F43AC4"/>
    <w:rsid w:val="00F43DE0"/>
    <w:rsid w:val="00F43E2C"/>
    <w:rsid w:val="00F44094"/>
    <w:rsid w:val="00F44339"/>
    <w:rsid w:val="00F4433B"/>
    <w:rsid w:val="00F44689"/>
    <w:rsid w:val="00F4492C"/>
    <w:rsid w:val="00F44A07"/>
    <w:rsid w:val="00F44CB4"/>
    <w:rsid w:val="00F44EC9"/>
    <w:rsid w:val="00F44FEC"/>
    <w:rsid w:val="00F45218"/>
    <w:rsid w:val="00F45465"/>
    <w:rsid w:val="00F45740"/>
    <w:rsid w:val="00F45A7F"/>
    <w:rsid w:val="00F4627A"/>
    <w:rsid w:val="00F465D4"/>
    <w:rsid w:val="00F468D3"/>
    <w:rsid w:val="00F46927"/>
    <w:rsid w:val="00F47062"/>
    <w:rsid w:val="00F47336"/>
    <w:rsid w:val="00F4771A"/>
    <w:rsid w:val="00F47936"/>
    <w:rsid w:val="00F47A6B"/>
    <w:rsid w:val="00F47ABE"/>
    <w:rsid w:val="00F47B6A"/>
    <w:rsid w:val="00F5008C"/>
    <w:rsid w:val="00F5019F"/>
    <w:rsid w:val="00F504F3"/>
    <w:rsid w:val="00F50999"/>
    <w:rsid w:val="00F51129"/>
    <w:rsid w:val="00F51292"/>
    <w:rsid w:val="00F51302"/>
    <w:rsid w:val="00F51396"/>
    <w:rsid w:val="00F5150F"/>
    <w:rsid w:val="00F516DA"/>
    <w:rsid w:val="00F518DA"/>
    <w:rsid w:val="00F5192E"/>
    <w:rsid w:val="00F51951"/>
    <w:rsid w:val="00F51AA5"/>
    <w:rsid w:val="00F51C6A"/>
    <w:rsid w:val="00F51C8A"/>
    <w:rsid w:val="00F51C95"/>
    <w:rsid w:val="00F51D13"/>
    <w:rsid w:val="00F520DB"/>
    <w:rsid w:val="00F520FF"/>
    <w:rsid w:val="00F52406"/>
    <w:rsid w:val="00F524F0"/>
    <w:rsid w:val="00F52550"/>
    <w:rsid w:val="00F5282B"/>
    <w:rsid w:val="00F5285C"/>
    <w:rsid w:val="00F530B9"/>
    <w:rsid w:val="00F53237"/>
    <w:rsid w:val="00F5346E"/>
    <w:rsid w:val="00F5352E"/>
    <w:rsid w:val="00F5385F"/>
    <w:rsid w:val="00F538BE"/>
    <w:rsid w:val="00F538E9"/>
    <w:rsid w:val="00F53BD8"/>
    <w:rsid w:val="00F53CC4"/>
    <w:rsid w:val="00F543CC"/>
    <w:rsid w:val="00F54498"/>
    <w:rsid w:val="00F5493B"/>
    <w:rsid w:val="00F54A63"/>
    <w:rsid w:val="00F55097"/>
    <w:rsid w:val="00F5557C"/>
    <w:rsid w:val="00F55854"/>
    <w:rsid w:val="00F55961"/>
    <w:rsid w:val="00F55A50"/>
    <w:rsid w:val="00F55A73"/>
    <w:rsid w:val="00F55A97"/>
    <w:rsid w:val="00F55CEC"/>
    <w:rsid w:val="00F55F7C"/>
    <w:rsid w:val="00F5604D"/>
    <w:rsid w:val="00F5609A"/>
    <w:rsid w:val="00F56194"/>
    <w:rsid w:val="00F5634E"/>
    <w:rsid w:val="00F566BE"/>
    <w:rsid w:val="00F56813"/>
    <w:rsid w:val="00F5686F"/>
    <w:rsid w:val="00F56AAC"/>
    <w:rsid w:val="00F56AFC"/>
    <w:rsid w:val="00F56B51"/>
    <w:rsid w:val="00F56FAE"/>
    <w:rsid w:val="00F571E2"/>
    <w:rsid w:val="00F574AB"/>
    <w:rsid w:val="00F5753B"/>
    <w:rsid w:val="00F577FB"/>
    <w:rsid w:val="00F5791B"/>
    <w:rsid w:val="00F57994"/>
    <w:rsid w:val="00F579C1"/>
    <w:rsid w:val="00F579F2"/>
    <w:rsid w:val="00F57AFC"/>
    <w:rsid w:val="00F57BD1"/>
    <w:rsid w:val="00F57BEC"/>
    <w:rsid w:val="00F57D16"/>
    <w:rsid w:val="00F57EF3"/>
    <w:rsid w:val="00F57F4B"/>
    <w:rsid w:val="00F6009A"/>
    <w:rsid w:val="00F600BC"/>
    <w:rsid w:val="00F60257"/>
    <w:rsid w:val="00F602AF"/>
    <w:rsid w:val="00F60998"/>
    <w:rsid w:val="00F60B8D"/>
    <w:rsid w:val="00F60CA1"/>
    <w:rsid w:val="00F60F15"/>
    <w:rsid w:val="00F61069"/>
    <w:rsid w:val="00F6119F"/>
    <w:rsid w:val="00F61271"/>
    <w:rsid w:val="00F6177B"/>
    <w:rsid w:val="00F6180A"/>
    <w:rsid w:val="00F61E89"/>
    <w:rsid w:val="00F622F2"/>
    <w:rsid w:val="00F6271C"/>
    <w:rsid w:val="00F627EF"/>
    <w:rsid w:val="00F62846"/>
    <w:rsid w:val="00F62ACF"/>
    <w:rsid w:val="00F62AED"/>
    <w:rsid w:val="00F62B77"/>
    <w:rsid w:val="00F62D42"/>
    <w:rsid w:val="00F62DDB"/>
    <w:rsid w:val="00F62DF2"/>
    <w:rsid w:val="00F62EDF"/>
    <w:rsid w:val="00F63074"/>
    <w:rsid w:val="00F630B7"/>
    <w:rsid w:val="00F6347E"/>
    <w:rsid w:val="00F63515"/>
    <w:rsid w:val="00F63565"/>
    <w:rsid w:val="00F636AC"/>
    <w:rsid w:val="00F6384E"/>
    <w:rsid w:val="00F63B3F"/>
    <w:rsid w:val="00F63B46"/>
    <w:rsid w:val="00F63B8F"/>
    <w:rsid w:val="00F63DC4"/>
    <w:rsid w:val="00F63E4B"/>
    <w:rsid w:val="00F63F59"/>
    <w:rsid w:val="00F6422C"/>
    <w:rsid w:val="00F64272"/>
    <w:rsid w:val="00F642F2"/>
    <w:rsid w:val="00F64584"/>
    <w:rsid w:val="00F645BA"/>
    <w:rsid w:val="00F64A79"/>
    <w:rsid w:val="00F64B3B"/>
    <w:rsid w:val="00F64BF6"/>
    <w:rsid w:val="00F64CC6"/>
    <w:rsid w:val="00F64FA9"/>
    <w:rsid w:val="00F651D6"/>
    <w:rsid w:val="00F65205"/>
    <w:rsid w:val="00F6534F"/>
    <w:rsid w:val="00F65358"/>
    <w:rsid w:val="00F65413"/>
    <w:rsid w:val="00F65458"/>
    <w:rsid w:val="00F654A3"/>
    <w:rsid w:val="00F656A6"/>
    <w:rsid w:val="00F656E3"/>
    <w:rsid w:val="00F6592B"/>
    <w:rsid w:val="00F65A32"/>
    <w:rsid w:val="00F65C6D"/>
    <w:rsid w:val="00F65CFF"/>
    <w:rsid w:val="00F65FA3"/>
    <w:rsid w:val="00F66298"/>
    <w:rsid w:val="00F663EB"/>
    <w:rsid w:val="00F6643B"/>
    <w:rsid w:val="00F66538"/>
    <w:rsid w:val="00F66617"/>
    <w:rsid w:val="00F666BD"/>
    <w:rsid w:val="00F66A54"/>
    <w:rsid w:val="00F67019"/>
    <w:rsid w:val="00F6703E"/>
    <w:rsid w:val="00F67053"/>
    <w:rsid w:val="00F67529"/>
    <w:rsid w:val="00F67B21"/>
    <w:rsid w:val="00F67F6B"/>
    <w:rsid w:val="00F70110"/>
    <w:rsid w:val="00F7011F"/>
    <w:rsid w:val="00F70170"/>
    <w:rsid w:val="00F70197"/>
    <w:rsid w:val="00F707C2"/>
    <w:rsid w:val="00F70811"/>
    <w:rsid w:val="00F70830"/>
    <w:rsid w:val="00F711DA"/>
    <w:rsid w:val="00F7126B"/>
    <w:rsid w:val="00F718A1"/>
    <w:rsid w:val="00F71999"/>
    <w:rsid w:val="00F71A2D"/>
    <w:rsid w:val="00F71B5A"/>
    <w:rsid w:val="00F71B9E"/>
    <w:rsid w:val="00F71DFF"/>
    <w:rsid w:val="00F71E9A"/>
    <w:rsid w:val="00F71F10"/>
    <w:rsid w:val="00F72100"/>
    <w:rsid w:val="00F721A0"/>
    <w:rsid w:val="00F72340"/>
    <w:rsid w:val="00F7255A"/>
    <w:rsid w:val="00F7255E"/>
    <w:rsid w:val="00F72587"/>
    <w:rsid w:val="00F72A80"/>
    <w:rsid w:val="00F72C93"/>
    <w:rsid w:val="00F72D3E"/>
    <w:rsid w:val="00F731F4"/>
    <w:rsid w:val="00F732F8"/>
    <w:rsid w:val="00F733A6"/>
    <w:rsid w:val="00F733EB"/>
    <w:rsid w:val="00F734A7"/>
    <w:rsid w:val="00F735BA"/>
    <w:rsid w:val="00F73671"/>
    <w:rsid w:val="00F736F7"/>
    <w:rsid w:val="00F73892"/>
    <w:rsid w:val="00F73A41"/>
    <w:rsid w:val="00F73AAB"/>
    <w:rsid w:val="00F73E5A"/>
    <w:rsid w:val="00F73F8B"/>
    <w:rsid w:val="00F74163"/>
    <w:rsid w:val="00F7423C"/>
    <w:rsid w:val="00F74288"/>
    <w:rsid w:val="00F74433"/>
    <w:rsid w:val="00F746B3"/>
    <w:rsid w:val="00F74A58"/>
    <w:rsid w:val="00F74B4B"/>
    <w:rsid w:val="00F74C57"/>
    <w:rsid w:val="00F74CB4"/>
    <w:rsid w:val="00F7507D"/>
    <w:rsid w:val="00F754C2"/>
    <w:rsid w:val="00F75843"/>
    <w:rsid w:val="00F75A5A"/>
    <w:rsid w:val="00F75C83"/>
    <w:rsid w:val="00F760B6"/>
    <w:rsid w:val="00F7673C"/>
    <w:rsid w:val="00F768DD"/>
    <w:rsid w:val="00F76A87"/>
    <w:rsid w:val="00F76B14"/>
    <w:rsid w:val="00F76BC1"/>
    <w:rsid w:val="00F76EA2"/>
    <w:rsid w:val="00F7709B"/>
    <w:rsid w:val="00F77498"/>
    <w:rsid w:val="00F7786E"/>
    <w:rsid w:val="00F77958"/>
    <w:rsid w:val="00F77BE2"/>
    <w:rsid w:val="00F77FB1"/>
    <w:rsid w:val="00F800B7"/>
    <w:rsid w:val="00F800B8"/>
    <w:rsid w:val="00F80131"/>
    <w:rsid w:val="00F8031E"/>
    <w:rsid w:val="00F80496"/>
    <w:rsid w:val="00F80662"/>
    <w:rsid w:val="00F80866"/>
    <w:rsid w:val="00F80A7B"/>
    <w:rsid w:val="00F80A88"/>
    <w:rsid w:val="00F80B4E"/>
    <w:rsid w:val="00F80C0B"/>
    <w:rsid w:val="00F80D2B"/>
    <w:rsid w:val="00F80F5A"/>
    <w:rsid w:val="00F80F6B"/>
    <w:rsid w:val="00F80FA9"/>
    <w:rsid w:val="00F8124F"/>
    <w:rsid w:val="00F81253"/>
    <w:rsid w:val="00F81498"/>
    <w:rsid w:val="00F81858"/>
    <w:rsid w:val="00F81AA7"/>
    <w:rsid w:val="00F81C18"/>
    <w:rsid w:val="00F81C9F"/>
    <w:rsid w:val="00F81D93"/>
    <w:rsid w:val="00F81DCC"/>
    <w:rsid w:val="00F81E6D"/>
    <w:rsid w:val="00F81F0D"/>
    <w:rsid w:val="00F81F72"/>
    <w:rsid w:val="00F82360"/>
    <w:rsid w:val="00F823F5"/>
    <w:rsid w:val="00F82404"/>
    <w:rsid w:val="00F824BE"/>
    <w:rsid w:val="00F8256F"/>
    <w:rsid w:val="00F826A2"/>
    <w:rsid w:val="00F82716"/>
    <w:rsid w:val="00F82D98"/>
    <w:rsid w:val="00F82EE9"/>
    <w:rsid w:val="00F8310B"/>
    <w:rsid w:val="00F8329C"/>
    <w:rsid w:val="00F83468"/>
    <w:rsid w:val="00F83669"/>
    <w:rsid w:val="00F837A3"/>
    <w:rsid w:val="00F8386F"/>
    <w:rsid w:val="00F8399B"/>
    <w:rsid w:val="00F83B2A"/>
    <w:rsid w:val="00F83D29"/>
    <w:rsid w:val="00F83D92"/>
    <w:rsid w:val="00F83EB1"/>
    <w:rsid w:val="00F83FF2"/>
    <w:rsid w:val="00F840E9"/>
    <w:rsid w:val="00F84207"/>
    <w:rsid w:val="00F84583"/>
    <w:rsid w:val="00F84891"/>
    <w:rsid w:val="00F848F9"/>
    <w:rsid w:val="00F84D1C"/>
    <w:rsid w:val="00F84E20"/>
    <w:rsid w:val="00F84E6A"/>
    <w:rsid w:val="00F8504E"/>
    <w:rsid w:val="00F851CA"/>
    <w:rsid w:val="00F85721"/>
    <w:rsid w:val="00F8575D"/>
    <w:rsid w:val="00F85793"/>
    <w:rsid w:val="00F85B1B"/>
    <w:rsid w:val="00F85B3C"/>
    <w:rsid w:val="00F85D75"/>
    <w:rsid w:val="00F85EB7"/>
    <w:rsid w:val="00F85F25"/>
    <w:rsid w:val="00F85F5C"/>
    <w:rsid w:val="00F85F71"/>
    <w:rsid w:val="00F86028"/>
    <w:rsid w:val="00F860DC"/>
    <w:rsid w:val="00F861CD"/>
    <w:rsid w:val="00F8626D"/>
    <w:rsid w:val="00F863A8"/>
    <w:rsid w:val="00F86519"/>
    <w:rsid w:val="00F86799"/>
    <w:rsid w:val="00F86903"/>
    <w:rsid w:val="00F86B66"/>
    <w:rsid w:val="00F86B7B"/>
    <w:rsid w:val="00F86E91"/>
    <w:rsid w:val="00F86F78"/>
    <w:rsid w:val="00F8733F"/>
    <w:rsid w:val="00F875D1"/>
    <w:rsid w:val="00F877FF"/>
    <w:rsid w:val="00F879DA"/>
    <w:rsid w:val="00F87AA6"/>
    <w:rsid w:val="00F87CCC"/>
    <w:rsid w:val="00F87F71"/>
    <w:rsid w:val="00F90013"/>
    <w:rsid w:val="00F90193"/>
    <w:rsid w:val="00F902DB"/>
    <w:rsid w:val="00F90311"/>
    <w:rsid w:val="00F904B1"/>
    <w:rsid w:val="00F908E3"/>
    <w:rsid w:val="00F9090D"/>
    <w:rsid w:val="00F90A9A"/>
    <w:rsid w:val="00F91011"/>
    <w:rsid w:val="00F91097"/>
    <w:rsid w:val="00F9126F"/>
    <w:rsid w:val="00F914DB"/>
    <w:rsid w:val="00F91656"/>
    <w:rsid w:val="00F9170D"/>
    <w:rsid w:val="00F91AD1"/>
    <w:rsid w:val="00F91CF3"/>
    <w:rsid w:val="00F91D16"/>
    <w:rsid w:val="00F920C9"/>
    <w:rsid w:val="00F926E2"/>
    <w:rsid w:val="00F92734"/>
    <w:rsid w:val="00F92740"/>
    <w:rsid w:val="00F928CD"/>
    <w:rsid w:val="00F92B33"/>
    <w:rsid w:val="00F9309F"/>
    <w:rsid w:val="00F932D3"/>
    <w:rsid w:val="00F9346C"/>
    <w:rsid w:val="00F93527"/>
    <w:rsid w:val="00F93571"/>
    <w:rsid w:val="00F935A7"/>
    <w:rsid w:val="00F936A6"/>
    <w:rsid w:val="00F93824"/>
    <w:rsid w:val="00F938DB"/>
    <w:rsid w:val="00F93B52"/>
    <w:rsid w:val="00F93D18"/>
    <w:rsid w:val="00F93D8D"/>
    <w:rsid w:val="00F93F47"/>
    <w:rsid w:val="00F94368"/>
    <w:rsid w:val="00F94423"/>
    <w:rsid w:val="00F945A2"/>
    <w:rsid w:val="00F945EB"/>
    <w:rsid w:val="00F9472E"/>
    <w:rsid w:val="00F9494C"/>
    <w:rsid w:val="00F94A0E"/>
    <w:rsid w:val="00F94C18"/>
    <w:rsid w:val="00F94C8B"/>
    <w:rsid w:val="00F94EC4"/>
    <w:rsid w:val="00F950F6"/>
    <w:rsid w:val="00F9516B"/>
    <w:rsid w:val="00F9517E"/>
    <w:rsid w:val="00F95267"/>
    <w:rsid w:val="00F957DC"/>
    <w:rsid w:val="00F958D7"/>
    <w:rsid w:val="00F95A03"/>
    <w:rsid w:val="00F962C0"/>
    <w:rsid w:val="00F965D3"/>
    <w:rsid w:val="00F967D2"/>
    <w:rsid w:val="00F968F6"/>
    <w:rsid w:val="00F96ACC"/>
    <w:rsid w:val="00F96B43"/>
    <w:rsid w:val="00F96BB9"/>
    <w:rsid w:val="00F96CDC"/>
    <w:rsid w:val="00F96E89"/>
    <w:rsid w:val="00F971B0"/>
    <w:rsid w:val="00F9733D"/>
    <w:rsid w:val="00F97691"/>
    <w:rsid w:val="00F97A46"/>
    <w:rsid w:val="00F97A61"/>
    <w:rsid w:val="00F97BA2"/>
    <w:rsid w:val="00F97CB8"/>
    <w:rsid w:val="00FA011A"/>
    <w:rsid w:val="00FA0597"/>
    <w:rsid w:val="00FA0840"/>
    <w:rsid w:val="00FA0908"/>
    <w:rsid w:val="00FA09DA"/>
    <w:rsid w:val="00FA0A46"/>
    <w:rsid w:val="00FA0A92"/>
    <w:rsid w:val="00FA0B92"/>
    <w:rsid w:val="00FA1264"/>
    <w:rsid w:val="00FA15C8"/>
    <w:rsid w:val="00FA1640"/>
    <w:rsid w:val="00FA1E81"/>
    <w:rsid w:val="00FA208A"/>
    <w:rsid w:val="00FA20F9"/>
    <w:rsid w:val="00FA21D5"/>
    <w:rsid w:val="00FA25C6"/>
    <w:rsid w:val="00FA2C5D"/>
    <w:rsid w:val="00FA2D86"/>
    <w:rsid w:val="00FA32C0"/>
    <w:rsid w:val="00FA3388"/>
    <w:rsid w:val="00FA348C"/>
    <w:rsid w:val="00FA34EB"/>
    <w:rsid w:val="00FA36B5"/>
    <w:rsid w:val="00FA38B2"/>
    <w:rsid w:val="00FA39D5"/>
    <w:rsid w:val="00FA3ABD"/>
    <w:rsid w:val="00FA3D87"/>
    <w:rsid w:val="00FA3EBD"/>
    <w:rsid w:val="00FA4023"/>
    <w:rsid w:val="00FA42B8"/>
    <w:rsid w:val="00FA463F"/>
    <w:rsid w:val="00FA4691"/>
    <w:rsid w:val="00FA46D9"/>
    <w:rsid w:val="00FA47CE"/>
    <w:rsid w:val="00FA4A29"/>
    <w:rsid w:val="00FA4AED"/>
    <w:rsid w:val="00FA4C57"/>
    <w:rsid w:val="00FA4F25"/>
    <w:rsid w:val="00FA515B"/>
    <w:rsid w:val="00FA53D8"/>
    <w:rsid w:val="00FA5721"/>
    <w:rsid w:val="00FA5F7E"/>
    <w:rsid w:val="00FA6108"/>
    <w:rsid w:val="00FA6201"/>
    <w:rsid w:val="00FA6235"/>
    <w:rsid w:val="00FA645E"/>
    <w:rsid w:val="00FA6674"/>
    <w:rsid w:val="00FA6774"/>
    <w:rsid w:val="00FA6792"/>
    <w:rsid w:val="00FA679E"/>
    <w:rsid w:val="00FA6961"/>
    <w:rsid w:val="00FA6A31"/>
    <w:rsid w:val="00FA6A7C"/>
    <w:rsid w:val="00FA6CCD"/>
    <w:rsid w:val="00FA6D3A"/>
    <w:rsid w:val="00FA6D8E"/>
    <w:rsid w:val="00FA7B91"/>
    <w:rsid w:val="00FA7CDB"/>
    <w:rsid w:val="00FA7CE8"/>
    <w:rsid w:val="00FA7EB1"/>
    <w:rsid w:val="00FB0185"/>
    <w:rsid w:val="00FB027A"/>
    <w:rsid w:val="00FB03D3"/>
    <w:rsid w:val="00FB045F"/>
    <w:rsid w:val="00FB087C"/>
    <w:rsid w:val="00FB08B3"/>
    <w:rsid w:val="00FB0A04"/>
    <w:rsid w:val="00FB0A85"/>
    <w:rsid w:val="00FB0AD8"/>
    <w:rsid w:val="00FB0C38"/>
    <w:rsid w:val="00FB0E05"/>
    <w:rsid w:val="00FB11B1"/>
    <w:rsid w:val="00FB12DE"/>
    <w:rsid w:val="00FB162F"/>
    <w:rsid w:val="00FB16A9"/>
    <w:rsid w:val="00FB16C8"/>
    <w:rsid w:val="00FB1A3B"/>
    <w:rsid w:val="00FB1C5B"/>
    <w:rsid w:val="00FB1FA0"/>
    <w:rsid w:val="00FB20E7"/>
    <w:rsid w:val="00FB2237"/>
    <w:rsid w:val="00FB249F"/>
    <w:rsid w:val="00FB2772"/>
    <w:rsid w:val="00FB2957"/>
    <w:rsid w:val="00FB2AC3"/>
    <w:rsid w:val="00FB2E12"/>
    <w:rsid w:val="00FB2E17"/>
    <w:rsid w:val="00FB2E47"/>
    <w:rsid w:val="00FB363C"/>
    <w:rsid w:val="00FB3802"/>
    <w:rsid w:val="00FB39F1"/>
    <w:rsid w:val="00FB3D71"/>
    <w:rsid w:val="00FB404B"/>
    <w:rsid w:val="00FB4270"/>
    <w:rsid w:val="00FB45E7"/>
    <w:rsid w:val="00FB4A29"/>
    <w:rsid w:val="00FB4B4B"/>
    <w:rsid w:val="00FB4B70"/>
    <w:rsid w:val="00FB4C1F"/>
    <w:rsid w:val="00FB4C99"/>
    <w:rsid w:val="00FB4D6C"/>
    <w:rsid w:val="00FB4DBB"/>
    <w:rsid w:val="00FB4ED0"/>
    <w:rsid w:val="00FB4F5E"/>
    <w:rsid w:val="00FB50F6"/>
    <w:rsid w:val="00FB5252"/>
    <w:rsid w:val="00FB5526"/>
    <w:rsid w:val="00FB552F"/>
    <w:rsid w:val="00FB5659"/>
    <w:rsid w:val="00FB5753"/>
    <w:rsid w:val="00FB58C0"/>
    <w:rsid w:val="00FB59C2"/>
    <w:rsid w:val="00FB5C0E"/>
    <w:rsid w:val="00FB5C68"/>
    <w:rsid w:val="00FB5E1E"/>
    <w:rsid w:val="00FB5F63"/>
    <w:rsid w:val="00FB5F97"/>
    <w:rsid w:val="00FB644E"/>
    <w:rsid w:val="00FB64FC"/>
    <w:rsid w:val="00FB66E4"/>
    <w:rsid w:val="00FB6892"/>
    <w:rsid w:val="00FB6C5B"/>
    <w:rsid w:val="00FB6E68"/>
    <w:rsid w:val="00FB7337"/>
    <w:rsid w:val="00FB735A"/>
    <w:rsid w:val="00FB748F"/>
    <w:rsid w:val="00FB7516"/>
    <w:rsid w:val="00FB7622"/>
    <w:rsid w:val="00FB76E4"/>
    <w:rsid w:val="00FB792A"/>
    <w:rsid w:val="00FB7A57"/>
    <w:rsid w:val="00FB7B0F"/>
    <w:rsid w:val="00FB7BB3"/>
    <w:rsid w:val="00FB7C3C"/>
    <w:rsid w:val="00FB7D3F"/>
    <w:rsid w:val="00FC0056"/>
    <w:rsid w:val="00FC023D"/>
    <w:rsid w:val="00FC0790"/>
    <w:rsid w:val="00FC08A1"/>
    <w:rsid w:val="00FC0BFA"/>
    <w:rsid w:val="00FC11F9"/>
    <w:rsid w:val="00FC13AD"/>
    <w:rsid w:val="00FC13E5"/>
    <w:rsid w:val="00FC1510"/>
    <w:rsid w:val="00FC1717"/>
    <w:rsid w:val="00FC195C"/>
    <w:rsid w:val="00FC1A06"/>
    <w:rsid w:val="00FC1B86"/>
    <w:rsid w:val="00FC1B9D"/>
    <w:rsid w:val="00FC1BA3"/>
    <w:rsid w:val="00FC1D33"/>
    <w:rsid w:val="00FC1FFE"/>
    <w:rsid w:val="00FC2007"/>
    <w:rsid w:val="00FC2189"/>
    <w:rsid w:val="00FC21E3"/>
    <w:rsid w:val="00FC244B"/>
    <w:rsid w:val="00FC277F"/>
    <w:rsid w:val="00FC28B1"/>
    <w:rsid w:val="00FC2974"/>
    <w:rsid w:val="00FC2CE9"/>
    <w:rsid w:val="00FC2E42"/>
    <w:rsid w:val="00FC3031"/>
    <w:rsid w:val="00FC3557"/>
    <w:rsid w:val="00FC3561"/>
    <w:rsid w:val="00FC3609"/>
    <w:rsid w:val="00FC36EE"/>
    <w:rsid w:val="00FC39F3"/>
    <w:rsid w:val="00FC3A39"/>
    <w:rsid w:val="00FC3BED"/>
    <w:rsid w:val="00FC3C7C"/>
    <w:rsid w:val="00FC43D1"/>
    <w:rsid w:val="00FC45A5"/>
    <w:rsid w:val="00FC46CA"/>
    <w:rsid w:val="00FC4C20"/>
    <w:rsid w:val="00FC4C4C"/>
    <w:rsid w:val="00FC4CF8"/>
    <w:rsid w:val="00FC510F"/>
    <w:rsid w:val="00FC531B"/>
    <w:rsid w:val="00FC56B8"/>
    <w:rsid w:val="00FC5701"/>
    <w:rsid w:val="00FC5757"/>
    <w:rsid w:val="00FC59AD"/>
    <w:rsid w:val="00FC5D58"/>
    <w:rsid w:val="00FC5F37"/>
    <w:rsid w:val="00FC63B9"/>
    <w:rsid w:val="00FC63F9"/>
    <w:rsid w:val="00FC692C"/>
    <w:rsid w:val="00FC6A50"/>
    <w:rsid w:val="00FC6C03"/>
    <w:rsid w:val="00FC6C43"/>
    <w:rsid w:val="00FC7069"/>
    <w:rsid w:val="00FC7206"/>
    <w:rsid w:val="00FC7740"/>
    <w:rsid w:val="00FC7A64"/>
    <w:rsid w:val="00FC7BDB"/>
    <w:rsid w:val="00FC7D7A"/>
    <w:rsid w:val="00FC7DC8"/>
    <w:rsid w:val="00FD00AA"/>
    <w:rsid w:val="00FD0147"/>
    <w:rsid w:val="00FD019D"/>
    <w:rsid w:val="00FD03C5"/>
    <w:rsid w:val="00FD0423"/>
    <w:rsid w:val="00FD05BA"/>
    <w:rsid w:val="00FD08D4"/>
    <w:rsid w:val="00FD0A9D"/>
    <w:rsid w:val="00FD0AFE"/>
    <w:rsid w:val="00FD0C68"/>
    <w:rsid w:val="00FD1065"/>
    <w:rsid w:val="00FD10FE"/>
    <w:rsid w:val="00FD15B8"/>
    <w:rsid w:val="00FD1749"/>
    <w:rsid w:val="00FD18F1"/>
    <w:rsid w:val="00FD1954"/>
    <w:rsid w:val="00FD1BB6"/>
    <w:rsid w:val="00FD1C2B"/>
    <w:rsid w:val="00FD1D26"/>
    <w:rsid w:val="00FD1E4A"/>
    <w:rsid w:val="00FD1FD9"/>
    <w:rsid w:val="00FD2009"/>
    <w:rsid w:val="00FD2050"/>
    <w:rsid w:val="00FD2114"/>
    <w:rsid w:val="00FD2393"/>
    <w:rsid w:val="00FD23DA"/>
    <w:rsid w:val="00FD24DE"/>
    <w:rsid w:val="00FD260F"/>
    <w:rsid w:val="00FD2AFF"/>
    <w:rsid w:val="00FD2BBD"/>
    <w:rsid w:val="00FD2D1E"/>
    <w:rsid w:val="00FD2DE2"/>
    <w:rsid w:val="00FD2F62"/>
    <w:rsid w:val="00FD344B"/>
    <w:rsid w:val="00FD3D40"/>
    <w:rsid w:val="00FD45BD"/>
    <w:rsid w:val="00FD4625"/>
    <w:rsid w:val="00FD4B9F"/>
    <w:rsid w:val="00FD4F46"/>
    <w:rsid w:val="00FD51F3"/>
    <w:rsid w:val="00FD5267"/>
    <w:rsid w:val="00FD55B1"/>
    <w:rsid w:val="00FD5604"/>
    <w:rsid w:val="00FD573B"/>
    <w:rsid w:val="00FD5907"/>
    <w:rsid w:val="00FD592E"/>
    <w:rsid w:val="00FD5D84"/>
    <w:rsid w:val="00FD5DB3"/>
    <w:rsid w:val="00FD62CE"/>
    <w:rsid w:val="00FD697B"/>
    <w:rsid w:val="00FD6AEB"/>
    <w:rsid w:val="00FD6B8A"/>
    <w:rsid w:val="00FD6C12"/>
    <w:rsid w:val="00FD6D2A"/>
    <w:rsid w:val="00FD6D6C"/>
    <w:rsid w:val="00FD717A"/>
    <w:rsid w:val="00FD71CC"/>
    <w:rsid w:val="00FD7374"/>
    <w:rsid w:val="00FD74B9"/>
    <w:rsid w:val="00FD7546"/>
    <w:rsid w:val="00FD760C"/>
    <w:rsid w:val="00FD76F2"/>
    <w:rsid w:val="00FD7778"/>
    <w:rsid w:val="00FD795A"/>
    <w:rsid w:val="00FD7970"/>
    <w:rsid w:val="00FD79E4"/>
    <w:rsid w:val="00FD7BA2"/>
    <w:rsid w:val="00FD7BDE"/>
    <w:rsid w:val="00FD7DAB"/>
    <w:rsid w:val="00FD7F88"/>
    <w:rsid w:val="00FD7FF7"/>
    <w:rsid w:val="00FE0249"/>
    <w:rsid w:val="00FE026B"/>
    <w:rsid w:val="00FE030E"/>
    <w:rsid w:val="00FE032C"/>
    <w:rsid w:val="00FE040A"/>
    <w:rsid w:val="00FE0471"/>
    <w:rsid w:val="00FE04F6"/>
    <w:rsid w:val="00FE0948"/>
    <w:rsid w:val="00FE0C45"/>
    <w:rsid w:val="00FE0C87"/>
    <w:rsid w:val="00FE0D40"/>
    <w:rsid w:val="00FE0DAB"/>
    <w:rsid w:val="00FE0EA5"/>
    <w:rsid w:val="00FE1369"/>
    <w:rsid w:val="00FE136C"/>
    <w:rsid w:val="00FE1406"/>
    <w:rsid w:val="00FE1AC3"/>
    <w:rsid w:val="00FE1B4B"/>
    <w:rsid w:val="00FE1EC3"/>
    <w:rsid w:val="00FE21B4"/>
    <w:rsid w:val="00FE234E"/>
    <w:rsid w:val="00FE23E4"/>
    <w:rsid w:val="00FE2459"/>
    <w:rsid w:val="00FE24FF"/>
    <w:rsid w:val="00FE253B"/>
    <w:rsid w:val="00FE28BB"/>
    <w:rsid w:val="00FE2A24"/>
    <w:rsid w:val="00FE2C17"/>
    <w:rsid w:val="00FE2E18"/>
    <w:rsid w:val="00FE306C"/>
    <w:rsid w:val="00FE3086"/>
    <w:rsid w:val="00FE323F"/>
    <w:rsid w:val="00FE3297"/>
    <w:rsid w:val="00FE3298"/>
    <w:rsid w:val="00FE331E"/>
    <w:rsid w:val="00FE336B"/>
    <w:rsid w:val="00FE3496"/>
    <w:rsid w:val="00FE36F8"/>
    <w:rsid w:val="00FE395E"/>
    <w:rsid w:val="00FE39C8"/>
    <w:rsid w:val="00FE3E6C"/>
    <w:rsid w:val="00FE4101"/>
    <w:rsid w:val="00FE42A4"/>
    <w:rsid w:val="00FE434D"/>
    <w:rsid w:val="00FE473C"/>
    <w:rsid w:val="00FE47AE"/>
    <w:rsid w:val="00FE48E8"/>
    <w:rsid w:val="00FE4B98"/>
    <w:rsid w:val="00FE4D0B"/>
    <w:rsid w:val="00FE4F91"/>
    <w:rsid w:val="00FE50D3"/>
    <w:rsid w:val="00FE5131"/>
    <w:rsid w:val="00FE518B"/>
    <w:rsid w:val="00FE55F7"/>
    <w:rsid w:val="00FE56DE"/>
    <w:rsid w:val="00FE5770"/>
    <w:rsid w:val="00FE5BA5"/>
    <w:rsid w:val="00FE5C60"/>
    <w:rsid w:val="00FE5D23"/>
    <w:rsid w:val="00FE5D92"/>
    <w:rsid w:val="00FE5E04"/>
    <w:rsid w:val="00FE5E83"/>
    <w:rsid w:val="00FE6127"/>
    <w:rsid w:val="00FE64F8"/>
    <w:rsid w:val="00FE6552"/>
    <w:rsid w:val="00FE6566"/>
    <w:rsid w:val="00FE669E"/>
    <w:rsid w:val="00FE699F"/>
    <w:rsid w:val="00FE69B9"/>
    <w:rsid w:val="00FE6D8D"/>
    <w:rsid w:val="00FE6DFE"/>
    <w:rsid w:val="00FE70BC"/>
    <w:rsid w:val="00FE71D5"/>
    <w:rsid w:val="00FE7247"/>
    <w:rsid w:val="00FE736A"/>
    <w:rsid w:val="00FE7446"/>
    <w:rsid w:val="00FE749C"/>
    <w:rsid w:val="00FE7B08"/>
    <w:rsid w:val="00FE7C5C"/>
    <w:rsid w:val="00FE7D4D"/>
    <w:rsid w:val="00FE7E05"/>
    <w:rsid w:val="00FE7E4E"/>
    <w:rsid w:val="00FE7FAF"/>
    <w:rsid w:val="00FF0058"/>
    <w:rsid w:val="00FF01D7"/>
    <w:rsid w:val="00FF02CF"/>
    <w:rsid w:val="00FF03AD"/>
    <w:rsid w:val="00FF0402"/>
    <w:rsid w:val="00FF0406"/>
    <w:rsid w:val="00FF050E"/>
    <w:rsid w:val="00FF072F"/>
    <w:rsid w:val="00FF0841"/>
    <w:rsid w:val="00FF0918"/>
    <w:rsid w:val="00FF09C7"/>
    <w:rsid w:val="00FF0A81"/>
    <w:rsid w:val="00FF0DA3"/>
    <w:rsid w:val="00FF0DE9"/>
    <w:rsid w:val="00FF0DF0"/>
    <w:rsid w:val="00FF1027"/>
    <w:rsid w:val="00FF1589"/>
    <w:rsid w:val="00FF15AE"/>
    <w:rsid w:val="00FF15B5"/>
    <w:rsid w:val="00FF16EF"/>
    <w:rsid w:val="00FF1A4E"/>
    <w:rsid w:val="00FF1CBE"/>
    <w:rsid w:val="00FF1D48"/>
    <w:rsid w:val="00FF1D6A"/>
    <w:rsid w:val="00FF1D92"/>
    <w:rsid w:val="00FF1D9E"/>
    <w:rsid w:val="00FF1F04"/>
    <w:rsid w:val="00FF1F43"/>
    <w:rsid w:val="00FF20D7"/>
    <w:rsid w:val="00FF246E"/>
    <w:rsid w:val="00FF294E"/>
    <w:rsid w:val="00FF2A65"/>
    <w:rsid w:val="00FF2B14"/>
    <w:rsid w:val="00FF2D85"/>
    <w:rsid w:val="00FF2F02"/>
    <w:rsid w:val="00FF3499"/>
    <w:rsid w:val="00FF35B8"/>
    <w:rsid w:val="00FF366A"/>
    <w:rsid w:val="00FF3733"/>
    <w:rsid w:val="00FF38C4"/>
    <w:rsid w:val="00FF3D7B"/>
    <w:rsid w:val="00FF3ED1"/>
    <w:rsid w:val="00FF3FF2"/>
    <w:rsid w:val="00FF41E9"/>
    <w:rsid w:val="00FF45DC"/>
    <w:rsid w:val="00FF4613"/>
    <w:rsid w:val="00FF477B"/>
    <w:rsid w:val="00FF47FC"/>
    <w:rsid w:val="00FF489E"/>
    <w:rsid w:val="00FF48E9"/>
    <w:rsid w:val="00FF4CA5"/>
    <w:rsid w:val="00FF4FAA"/>
    <w:rsid w:val="00FF5001"/>
    <w:rsid w:val="00FF50C5"/>
    <w:rsid w:val="00FF52BE"/>
    <w:rsid w:val="00FF534A"/>
    <w:rsid w:val="00FF536C"/>
    <w:rsid w:val="00FF5373"/>
    <w:rsid w:val="00FF54D7"/>
    <w:rsid w:val="00FF55B1"/>
    <w:rsid w:val="00FF5937"/>
    <w:rsid w:val="00FF5E34"/>
    <w:rsid w:val="00FF60DA"/>
    <w:rsid w:val="00FF6443"/>
    <w:rsid w:val="00FF6658"/>
    <w:rsid w:val="00FF67C2"/>
    <w:rsid w:val="00FF6993"/>
    <w:rsid w:val="00FF6B35"/>
    <w:rsid w:val="00FF7165"/>
    <w:rsid w:val="00FF7424"/>
    <w:rsid w:val="00FF7707"/>
    <w:rsid w:val="00FF7A2A"/>
    <w:rsid w:val="00FF7B22"/>
    <w:rsid w:val="00FF7F6A"/>
    <w:rsid w:val="01DC526E"/>
    <w:rsid w:val="02AC3CB1"/>
    <w:rsid w:val="02CF3FCF"/>
    <w:rsid w:val="02D996DF"/>
    <w:rsid w:val="0387EF7D"/>
    <w:rsid w:val="039AED53"/>
    <w:rsid w:val="03AE5EC8"/>
    <w:rsid w:val="0481DE35"/>
    <w:rsid w:val="064F5132"/>
    <w:rsid w:val="0679C1E2"/>
    <w:rsid w:val="067FEF2B"/>
    <w:rsid w:val="07A5E085"/>
    <w:rsid w:val="07E5AF1E"/>
    <w:rsid w:val="0802296E"/>
    <w:rsid w:val="085BA001"/>
    <w:rsid w:val="090B0FB8"/>
    <w:rsid w:val="09B8C5CE"/>
    <w:rsid w:val="09D601C5"/>
    <w:rsid w:val="0A8B4DC2"/>
    <w:rsid w:val="0ABB79E3"/>
    <w:rsid w:val="0B9BA385"/>
    <w:rsid w:val="0CA3AE72"/>
    <w:rsid w:val="0CB328C7"/>
    <w:rsid w:val="0D45DD8E"/>
    <w:rsid w:val="0E0974A9"/>
    <w:rsid w:val="102B8833"/>
    <w:rsid w:val="10A1E31E"/>
    <w:rsid w:val="10B37336"/>
    <w:rsid w:val="10B4A711"/>
    <w:rsid w:val="10E0324A"/>
    <w:rsid w:val="10EA7EA8"/>
    <w:rsid w:val="113DFF1D"/>
    <w:rsid w:val="114C00FC"/>
    <w:rsid w:val="121EA527"/>
    <w:rsid w:val="1265D4CD"/>
    <w:rsid w:val="129093EC"/>
    <w:rsid w:val="1361AFC2"/>
    <w:rsid w:val="13A29C0F"/>
    <w:rsid w:val="13D7BA42"/>
    <w:rsid w:val="14469FED"/>
    <w:rsid w:val="15852687"/>
    <w:rsid w:val="160A7B23"/>
    <w:rsid w:val="163371CD"/>
    <w:rsid w:val="16C8533C"/>
    <w:rsid w:val="16EB135B"/>
    <w:rsid w:val="16EDC135"/>
    <w:rsid w:val="171FCA0A"/>
    <w:rsid w:val="173E4866"/>
    <w:rsid w:val="17FB6432"/>
    <w:rsid w:val="189F5B9A"/>
    <w:rsid w:val="18E1B356"/>
    <w:rsid w:val="19BE2D6E"/>
    <w:rsid w:val="19E59813"/>
    <w:rsid w:val="1A10DA79"/>
    <w:rsid w:val="1A5787C1"/>
    <w:rsid w:val="1AEF4BAA"/>
    <w:rsid w:val="1B65C165"/>
    <w:rsid w:val="1BEF17F5"/>
    <w:rsid w:val="1D1CB1E9"/>
    <w:rsid w:val="1DBDA258"/>
    <w:rsid w:val="1F8A105C"/>
    <w:rsid w:val="1FBD4965"/>
    <w:rsid w:val="20779625"/>
    <w:rsid w:val="20FC3C9F"/>
    <w:rsid w:val="23B22024"/>
    <w:rsid w:val="23F82E0C"/>
    <w:rsid w:val="2413C6D7"/>
    <w:rsid w:val="2419CF73"/>
    <w:rsid w:val="24F3C059"/>
    <w:rsid w:val="24F50054"/>
    <w:rsid w:val="25B4D0A3"/>
    <w:rsid w:val="25F900E8"/>
    <w:rsid w:val="26AE7A62"/>
    <w:rsid w:val="26D8DFD4"/>
    <w:rsid w:val="27734A22"/>
    <w:rsid w:val="27A0842E"/>
    <w:rsid w:val="27A6626F"/>
    <w:rsid w:val="27C64060"/>
    <w:rsid w:val="296D0C20"/>
    <w:rsid w:val="2A6DE07B"/>
    <w:rsid w:val="2AD9F22F"/>
    <w:rsid w:val="2CFC9453"/>
    <w:rsid w:val="2E49AE78"/>
    <w:rsid w:val="2E850CBD"/>
    <w:rsid w:val="2F635335"/>
    <w:rsid w:val="302D3F8B"/>
    <w:rsid w:val="302F4D65"/>
    <w:rsid w:val="30816402"/>
    <w:rsid w:val="30D5697B"/>
    <w:rsid w:val="30F04951"/>
    <w:rsid w:val="314085DC"/>
    <w:rsid w:val="31BA9522"/>
    <w:rsid w:val="31DB6C2C"/>
    <w:rsid w:val="31E52AD8"/>
    <w:rsid w:val="31EB12E5"/>
    <w:rsid w:val="32082CDF"/>
    <w:rsid w:val="3335BBD1"/>
    <w:rsid w:val="3495AE98"/>
    <w:rsid w:val="349670E4"/>
    <w:rsid w:val="34E2265D"/>
    <w:rsid w:val="35C2E160"/>
    <w:rsid w:val="364F8374"/>
    <w:rsid w:val="3814EE08"/>
    <w:rsid w:val="38AC42AF"/>
    <w:rsid w:val="3925D9A1"/>
    <w:rsid w:val="39E64E03"/>
    <w:rsid w:val="3A6FA961"/>
    <w:rsid w:val="3ACE268B"/>
    <w:rsid w:val="3B673E8D"/>
    <w:rsid w:val="3C26E5D0"/>
    <w:rsid w:val="3C3BDA60"/>
    <w:rsid w:val="3CA60B79"/>
    <w:rsid w:val="3CE73168"/>
    <w:rsid w:val="3DFC72FE"/>
    <w:rsid w:val="3E84CA4B"/>
    <w:rsid w:val="3EAFAA10"/>
    <w:rsid w:val="3EEEC718"/>
    <w:rsid w:val="3FA412AD"/>
    <w:rsid w:val="404FFD1D"/>
    <w:rsid w:val="430B1675"/>
    <w:rsid w:val="434821A0"/>
    <w:rsid w:val="450D7191"/>
    <w:rsid w:val="456E2746"/>
    <w:rsid w:val="45DED44B"/>
    <w:rsid w:val="460D8C84"/>
    <w:rsid w:val="46707397"/>
    <w:rsid w:val="46F25864"/>
    <w:rsid w:val="4723B8E9"/>
    <w:rsid w:val="477855AB"/>
    <w:rsid w:val="47DBC5F4"/>
    <w:rsid w:val="48163224"/>
    <w:rsid w:val="4837B63E"/>
    <w:rsid w:val="4855DDEC"/>
    <w:rsid w:val="4917E216"/>
    <w:rsid w:val="49288AA4"/>
    <w:rsid w:val="495B6912"/>
    <w:rsid w:val="49BC46E6"/>
    <w:rsid w:val="4A48E502"/>
    <w:rsid w:val="4AA1ED61"/>
    <w:rsid w:val="4DABAC40"/>
    <w:rsid w:val="4DB3DF04"/>
    <w:rsid w:val="4DDECC52"/>
    <w:rsid w:val="4E347E83"/>
    <w:rsid w:val="4E940D90"/>
    <w:rsid w:val="4F396903"/>
    <w:rsid w:val="4FA0265A"/>
    <w:rsid w:val="500C9B8F"/>
    <w:rsid w:val="50274945"/>
    <w:rsid w:val="50B92C29"/>
    <w:rsid w:val="50BDB35E"/>
    <w:rsid w:val="512A003F"/>
    <w:rsid w:val="5191FBD9"/>
    <w:rsid w:val="5280316E"/>
    <w:rsid w:val="52BA9407"/>
    <w:rsid w:val="5315F693"/>
    <w:rsid w:val="53A7A6C3"/>
    <w:rsid w:val="547567E3"/>
    <w:rsid w:val="56533987"/>
    <w:rsid w:val="565FE929"/>
    <w:rsid w:val="590B4D12"/>
    <w:rsid w:val="59F70394"/>
    <w:rsid w:val="5B498770"/>
    <w:rsid w:val="5B5760B0"/>
    <w:rsid w:val="5B788B4C"/>
    <w:rsid w:val="5B882584"/>
    <w:rsid w:val="5C548097"/>
    <w:rsid w:val="5C75EE4D"/>
    <w:rsid w:val="5CA01DAC"/>
    <w:rsid w:val="5CA3A712"/>
    <w:rsid w:val="5CC63FE9"/>
    <w:rsid w:val="5D3C852E"/>
    <w:rsid w:val="5DD25F03"/>
    <w:rsid w:val="5E03A214"/>
    <w:rsid w:val="5E7DCA83"/>
    <w:rsid w:val="620B18AE"/>
    <w:rsid w:val="62313CC7"/>
    <w:rsid w:val="63365415"/>
    <w:rsid w:val="63EDF4DD"/>
    <w:rsid w:val="63F84288"/>
    <w:rsid w:val="640EB0FA"/>
    <w:rsid w:val="6410E691"/>
    <w:rsid w:val="644872B5"/>
    <w:rsid w:val="65FA745D"/>
    <w:rsid w:val="6612A921"/>
    <w:rsid w:val="6664F4B4"/>
    <w:rsid w:val="6667EA3D"/>
    <w:rsid w:val="66AFCFA2"/>
    <w:rsid w:val="66C94FB6"/>
    <w:rsid w:val="671D5AEF"/>
    <w:rsid w:val="6789AA63"/>
    <w:rsid w:val="69853CBE"/>
    <w:rsid w:val="69A33411"/>
    <w:rsid w:val="69C1C064"/>
    <w:rsid w:val="69C60032"/>
    <w:rsid w:val="69C833AA"/>
    <w:rsid w:val="6A411F4A"/>
    <w:rsid w:val="6AC19532"/>
    <w:rsid w:val="6AFEEC5F"/>
    <w:rsid w:val="6C3E3DE5"/>
    <w:rsid w:val="6C6AED1F"/>
    <w:rsid w:val="6CF19BC8"/>
    <w:rsid w:val="6D2817C8"/>
    <w:rsid w:val="6D4DADAC"/>
    <w:rsid w:val="6D757224"/>
    <w:rsid w:val="6EC02F61"/>
    <w:rsid w:val="6F1A2C09"/>
    <w:rsid w:val="6F2D68F4"/>
    <w:rsid w:val="6F766632"/>
    <w:rsid w:val="704F1973"/>
    <w:rsid w:val="709E1000"/>
    <w:rsid w:val="711FA24F"/>
    <w:rsid w:val="726A8805"/>
    <w:rsid w:val="73B22ADA"/>
    <w:rsid w:val="73CE1642"/>
    <w:rsid w:val="7445A6C6"/>
    <w:rsid w:val="7463705B"/>
    <w:rsid w:val="74921189"/>
    <w:rsid w:val="74AA12B2"/>
    <w:rsid w:val="7595A95E"/>
    <w:rsid w:val="75D948AC"/>
    <w:rsid w:val="78394C23"/>
    <w:rsid w:val="786252DD"/>
    <w:rsid w:val="78CDD94E"/>
    <w:rsid w:val="79455273"/>
    <w:rsid w:val="7AFE8734"/>
    <w:rsid w:val="7B44E964"/>
    <w:rsid w:val="7BC14F35"/>
    <w:rsid w:val="7CDD5A37"/>
    <w:rsid w:val="7DC4E5D4"/>
    <w:rsid w:val="7ED3C147"/>
    <w:rsid w:val="7EF3624C"/>
    <w:rsid w:val="7F34C857"/>
    <w:rsid w:val="7FBAD1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4D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5A64DD"/>
    <w:pPr>
      <w:numPr>
        <w:numId w:val="3"/>
      </w:numPr>
      <w:spacing w:after="120"/>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F109D5"/>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character" w:customStyle="1" w:styleId="CGC2025ParaNumbersChar">
    <w:name w:val="CGC 2025 Para Numbers Char"/>
    <w:basedOn w:val="DefaultParagraphFont"/>
    <w:link w:val="CGC2025ParaNumbers"/>
    <w:rsid w:val="00C12CCB"/>
    <w:rPr>
      <w:rFonts w:ascii="Work Sans" w:hAnsi="Work Sans"/>
      <w:sz w:val="20"/>
      <w:szCs w:val="24"/>
    </w:rPr>
  </w:style>
  <w:style w:type="paragraph" w:customStyle="1" w:styleId="CGC2025Quotetext">
    <w:name w:val="CGC 2025 Quote text"/>
    <w:basedOn w:val="CGCQuoteText"/>
    <w:qFormat/>
    <w:rsid w:val="00C12CCB"/>
    <w:rPr>
      <w:rFonts w:ascii="Work Sans" w:hAnsi="Work Sans"/>
    </w:rPr>
  </w:style>
  <w:style w:type="character" w:customStyle="1" w:styleId="ui-provider">
    <w:name w:val="ui-provider"/>
    <w:basedOn w:val="DefaultParagraphFont"/>
    <w:rsid w:val="00F630B7"/>
  </w:style>
  <w:style w:type="paragraph" w:customStyle="1" w:styleId="CGC2025Boxtext">
    <w:name w:val="CGC 2025 Box text"/>
    <w:basedOn w:val="CGC2025ParaNumbers"/>
    <w:qFormat/>
    <w:rsid w:val="005A64DD"/>
    <w:pPr>
      <w:numPr>
        <w:ilvl w:val="0"/>
        <w:numId w:val="0"/>
      </w:numPr>
      <w:spacing w:before="0" w:after="120" w:line="280" w:lineRule="atLeast"/>
      <w:ind w:left="113"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96369771">
      <w:bodyDiv w:val="1"/>
      <w:marLeft w:val="0"/>
      <w:marRight w:val="0"/>
      <w:marTop w:val="0"/>
      <w:marBottom w:val="0"/>
      <w:divBdr>
        <w:top w:val="none" w:sz="0" w:space="0" w:color="auto"/>
        <w:left w:val="none" w:sz="0" w:space="0" w:color="auto"/>
        <w:bottom w:val="none" w:sz="0" w:space="0" w:color="auto"/>
        <w:right w:val="none" w:sz="0" w:space="0" w:color="auto"/>
      </w:divBdr>
    </w:div>
    <w:div w:id="124741090">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63590487">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1234711">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288078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0883910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9338745">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39312098">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691489603">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89930618">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56913357">
      <w:bodyDiv w:val="1"/>
      <w:marLeft w:val="0"/>
      <w:marRight w:val="0"/>
      <w:marTop w:val="0"/>
      <w:marBottom w:val="0"/>
      <w:divBdr>
        <w:top w:val="none" w:sz="0" w:space="0" w:color="auto"/>
        <w:left w:val="none" w:sz="0" w:space="0" w:color="auto"/>
        <w:bottom w:val="none" w:sz="0" w:space="0" w:color="auto"/>
        <w:right w:val="none" w:sz="0" w:space="0" w:color="auto"/>
      </w:divBdr>
    </w:div>
    <w:div w:id="976296074">
      <w:bodyDiv w:val="1"/>
      <w:marLeft w:val="0"/>
      <w:marRight w:val="0"/>
      <w:marTop w:val="0"/>
      <w:marBottom w:val="0"/>
      <w:divBdr>
        <w:top w:val="none" w:sz="0" w:space="0" w:color="auto"/>
        <w:left w:val="none" w:sz="0" w:space="0" w:color="auto"/>
        <w:bottom w:val="none" w:sz="0" w:space="0" w:color="auto"/>
        <w:right w:val="none" w:sz="0" w:space="0" w:color="auto"/>
      </w:divBdr>
    </w:div>
    <w:div w:id="977420991">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06012122">
      <w:bodyDiv w:val="1"/>
      <w:marLeft w:val="0"/>
      <w:marRight w:val="0"/>
      <w:marTop w:val="0"/>
      <w:marBottom w:val="0"/>
      <w:divBdr>
        <w:top w:val="none" w:sz="0" w:space="0" w:color="auto"/>
        <w:left w:val="none" w:sz="0" w:space="0" w:color="auto"/>
        <w:bottom w:val="none" w:sz="0" w:space="0" w:color="auto"/>
        <w:right w:val="none" w:sz="0" w:space="0" w:color="auto"/>
      </w:divBdr>
    </w:div>
    <w:div w:id="1352880826">
      <w:bodyDiv w:val="1"/>
      <w:marLeft w:val="0"/>
      <w:marRight w:val="0"/>
      <w:marTop w:val="0"/>
      <w:marBottom w:val="0"/>
      <w:divBdr>
        <w:top w:val="none" w:sz="0" w:space="0" w:color="auto"/>
        <w:left w:val="none" w:sz="0" w:space="0" w:color="auto"/>
        <w:bottom w:val="none" w:sz="0" w:space="0" w:color="auto"/>
        <w:right w:val="none" w:sz="0" w:space="0" w:color="auto"/>
      </w:divBdr>
    </w:div>
    <w:div w:id="1354917705">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35465588">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4663064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48412886">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c.gov.au/reports-for-government/2025-methodology-review/consultation/draft-report"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hacpa.gov.au/resources/tier-2-non-admitted-services-2021-22"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gc.gov.au/sites/default/files/2023-06/2025%20Methodology%20Review%20-%20Consultation%20paper%20-%20Health_Fin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gc.gov.au/reports-for-government/2025-methodology-review/consultation/tranche-1-consultation-papers" TargetMode="External"/><Relationship Id="rId14" Type="http://schemas.openxmlformats.org/officeDocument/2006/relationships/footer" Target="footer2.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ihacpa.gov.au/resources/australian-hospital-patient-costing-standards-version-41" TargetMode="External"/><Relationship Id="rId2" Type="http://schemas.openxmlformats.org/officeDocument/2006/relationships/hyperlink" Target="https://www.ihacpa.gov.au/resources/consultation-paper-pricing-framework-australian-public-hospital-services-2022-23" TargetMode="External"/><Relationship Id="rId1" Type="http://schemas.openxmlformats.org/officeDocument/2006/relationships/hyperlink" Target="https://www.aihw.gov.au/reports-data/myhospitals/content/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Greg Freeman</DisplayName>
        <AccountId>1017</AccountId>
        <AccountType/>
      </UserInfo>
      <UserInfo>
        <DisplayName>Stewart, Darcy</DisplayName>
        <AccountId>44</AccountId>
        <AccountType/>
      </UserInfo>
      <UserInfo>
        <DisplayName>Julie Jasas</DisplayName>
        <AccountId>1016</AccountId>
        <AccountType/>
      </UserInfo>
      <UserInfo>
        <DisplayName>McQuestin, Dana</DisplayName>
        <AccountId>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6889A19F-B6A4-4F6F-BBB3-869A44E02F60}"/>
</file>

<file path=customXml/itemProps3.xml><?xml version="1.0" encoding="utf-8"?>
<ds:datastoreItem xmlns:ds="http://schemas.openxmlformats.org/officeDocument/2006/customXml" ds:itemID="{F5D02920-3117-4BBF-B2F9-809772EA2ACC}"/>
</file>

<file path=customXml/itemProps4.xml><?xml version="1.0" encoding="utf-8"?>
<ds:datastoreItem xmlns:ds="http://schemas.openxmlformats.org/officeDocument/2006/customXml" ds:itemID="{036221D0-5C8F-4A46-9ABE-1C08039BBF95}"/>
</file>

<file path=docProps/app.xml><?xml version="1.0" encoding="utf-8"?>
<Properties xmlns="http://schemas.openxmlformats.org/officeDocument/2006/extended-properties" xmlns:vt="http://schemas.openxmlformats.org/officeDocument/2006/docPropsVTypes">
  <Template>Normal.dotm</Template>
  <TotalTime>0</TotalTime>
  <Pages>32</Pages>
  <Words>11681</Words>
  <Characters>62962</Characters>
  <Application>Microsoft Office Word</Application>
  <DocSecurity>0</DocSecurity>
  <Lines>1574</Lines>
  <Paragraphs>995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73648</CharactersWithSpaces>
  <SharedDoc>false</SharedDoc>
  <HLinks>
    <vt:vector size="30" baseType="variant">
      <vt:variant>
        <vt:i4>4849691</vt:i4>
      </vt:variant>
      <vt:variant>
        <vt:i4>3</vt:i4>
      </vt:variant>
      <vt:variant>
        <vt:i4>0</vt:i4>
      </vt:variant>
      <vt:variant>
        <vt:i4>5</vt:i4>
      </vt:variant>
      <vt:variant>
        <vt:lpwstr>https://www.ihacpa.gov.au/resources/tier-2-non-admitted-services-2021-22</vt:lpwstr>
      </vt:variant>
      <vt:variant>
        <vt:lpwstr/>
      </vt:variant>
      <vt:variant>
        <vt:i4>5374026</vt:i4>
      </vt:variant>
      <vt:variant>
        <vt:i4>6</vt:i4>
      </vt:variant>
      <vt:variant>
        <vt:i4>0</vt:i4>
      </vt:variant>
      <vt:variant>
        <vt:i4>5</vt:i4>
      </vt:variant>
      <vt:variant>
        <vt:lpwstr>https://www.ihacpa.gov.au/resources/australian-hospital-patient-costing-standards-version-41</vt:lpwstr>
      </vt:variant>
      <vt:variant>
        <vt:lpwstr/>
      </vt:variant>
      <vt:variant>
        <vt:i4>4390934</vt:i4>
      </vt:variant>
      <vt:variant>
        <vt:i4>3</vt:i4>
      </vt:variant>
      <vt:variant>
        <vt:i4>0</vt:i4>
      </vt:variant>
      <vt:variant>
        <vt:i4>5</vt:i4>
      </vt:variant>
      <vt:variant>
        <vt:lpwstr>https://www.ihacpa.gov.au/resources/consultation-paper-pricing-framework-australian-public-hospital-services-2022-23</vt:lpwstr>
      </vt:variant>
      <vt:variant>
        <vt:lpwstr/>
      </vt:variant>
      <vt:variant>
        <vt:i4>4325402</vt:i4>
      </vt:variant>
      <vt:variant>
        <vt:i4>0</vt:i4>
      </vt:variant>
      <vt:variant>
        <vt:i4>0</vt:i4>
      </vt:variant>
      <vt:variant>
        <vt:i4>5</vt:i4>
      </vt:variant>
      <vt:variant>
        <vt:lpwstr>https://www.aihw.gov.au/reports-data/myhospitals/content/glossary</vt:lpwstr>
      </vt:variant>
      <vt:variant>
        <vt:lpwstr/>
      </vt:variant>
      <vt:variant>
        <vt:i4>8257625</vt:i4>
      </vt:variant>
      <vt:variant>
        <vt:i4>0</vt:i4>
      </vt:variant>
      <vt:variant>
        <vt:i4>0</vt:i4>
      </vt:variant>
      <vt:variant>
        <vt:i4>5</vt:i4>
      </vt:variant>
      <vt:variant>
        <vt:lpwstr>mailto:Ben.Crabb@cgc.gov.au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2025-02-08T04:05:00Z</dcterms:created>
  <dcterms:modified xsi:type="dcterms:W3CDTF">2025-02-08T04:06:00Z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2025-02-08T04:05:34Z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5f696bc0-3995-44ac-b079-b50c78e9ee0a</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2024-07-25T01:07:17Z</vt:lpwstr>
  </property>
  <property fmtid="{D5CDD505-2E9C-101B-9397-08002B2CF9AE}" pid="10" name="MSIP_Label_6e3dc468-5731-4ec9-b671-cf2147a52e3a_ActionId">
    <vt:lpwstr>cade5078-12c5-4b74-b25f-87bd1f3651b9</vt:lpwstr>
  </property>
  <property fmtid="{D5CDD505-2E9C-101B-9397-08002B2CF9AE}" pid="11" name="ContentTypeId">
    <vt:lpwstr>0x010100B91115572CD2074A8DF493F1808623F4</vt:lpwstr>
  </property>
  <property fmtid="{D5CDD505-2E9C-101B-9397-08002B2CF9AE}" pid="12" name="_ColorHex">
    <vt:lpwstr/>
  </property>
  <property fmtid="{D5CDD505-2E9C-101B-9397-08002B2CF9AE}" pid="13" name="ComplianceAssetId">
    <vt:lpwstr/>
  </property>
  <property fmtid="{D5CDD505-2E9C-101B-9397-08002B2CF9AE}" pid="14" name="TemplateUrl">
    <vt:lpwstr/>
  </property>
  <property fmtid="{D5CDD505-2E9C-101B-9397-08002B2CF9AE}" pid="15" name="ClassificationContentMarkingHeaderFontProps">
    <vt:lpwstr>#ff0000,12,Calibri</vt:lpwstr>
  </property>
  <property fmtid="{D5CDD505-2E9C-101B-9397-08002B2CF9AE}" pid="16" name="MSIP_Label_6e3dc468-5731-4ec9-b671-cf2147a52e3a_ContentBits">
    <vt:lpwstr>3</vt:lpwstr>
  </property>
  <property fmtid="{D5CDD505-2E9C-101B-9397-08002B2CF9AE}" pid="17" name="_ExtendedDescription">
    <vt:lpwstr/>
  </property>
  <property fmtid="{D5CDD505-2E9C-101B-9397-08002B2CF9AE}" pid="18" name="_ColorTag">
    <vt:lpwstr/>
  </property>
  <property fmtid="{D5CDD505-2E9C-101B-9397-08002B2CF9AE}" pid="19" name="ClassificationContentMarkingFooterShapeIds">
    <vt:lpwstr>4,5,6</vt:lpwstr>
  </property>
  <property fmtid="{D5CDD505-2E9C-101B-9397-08002B2CF9AE}" pid="20" name="xd_Signature">
    <vt:bool>false</vt:bool>
  </property>
  <property fmtid="{D5CDD505-2E9C-101B-9397-08002B2CF9AE}" pid="21" name="GUID">
    <vt:lpwstr>3835a335-fcb5-48e6-a9d3-093464786b9d</vt:lpwstr>
  </property>
  <property fmtid="{D5CDD505-2E9C-101B-9397-08002B2CF9AE}" pid="22" name="ClassificationContentMarkingHeaderShapeIds">
    <vt:lpwstr>1,2,3</vt:lpwstr>
  </property>
  <property fmtid="{D5CDD505-2E9C-101B-9397-08002B2CF9AE}" pid="23" name="MSIP_Label_6e3dc468-5731-4ec9-b671-cf2147a52e3a_Name">
    <vt:lpwstr>Official</vt:lpwstr>
  </property>
  <property fmtid="{D5CDD505-2E9C-101B-9397-08002B2CF9AE}" pid="24" name="ClassificationContentMarkingFooterFontProps">
    <vt:lpwstr>#ff0000,12,Calibri</vt:lpwstr>
  </property>
  <property fmtid="{D5CDD505-2E9C-101B-9397-08002B2CF9AE}" pid="25" name="_Emoji">
    <vt:lpwstr/>
  </property>
  <property fmtid="{D5CDD505-2E9C-101B-9397-08002B2CF9AE}" pid="26" name="MSIP_Label_6e3dc468-5731-4ec9-b671-cf2147a52e3a_Enabled">
    <vt:lpwstr>true</vt:lpwstr>
  </property>
  <property fmtid="{D5CDD505-2E9C-101B-9397-08002B2CF9AE}" pid="27" name="TriggerFlowInfo">
    <vt:lpwstr/>
  </property>
  <property fmtid="{D5CDD505-2E9C-101B-9397-08002B2CF9AE}" pid="28" name="ClassificationContentMarkingFooterText">
    <vt:lpwstr>OFFICIAL</vt:lpwstr>
  </property>
  <property fmtid="{D5CDD505-2E9C-101B-9397-08002B2CF9AE}" pid="29" name="MSIP_Label_6e3dc468-5731-4ec9-b671-cf2147a52e3a_SiteId">
    <vt:lpwstr>214f1646-2021-47cc-8397-e3d3a7ba7d9d</vt:lpwstr>
  </property>
  <property fmtid="{D5CDD505-2E9C-101B-9397-08002B2CF9AE}" pid="30" name="Order">
    <vt:r8>86000600</vt:r8>
  </property>
  <property fmtid="{D5CDD505-2E9C-101B-9397-08002B2CF9AE}" pid="31" name="MSIP_Label_6e3dc468-5731-4ec9-b671-cf2147a52e3a_Method">
    <vt:lpwstr>Privileged</vt:lpwstr>
  </property>
  <property fmtid="{D5CDD505-2E9C-101B-9397-08002B2CF9AE}" pid="32" name="ClassificationContentMarkingHeaderText">
    <vt:lpwstr>OFFICIAL</vt:lpwstr>
  </property>
  <property fmtid="{D5CDD505-2E9C-101B-9397-08002B2CF9AE}" pid="33" name="MediaServiceImageTags">
    <vt:lpwstr/>
  </property>
  <property fmtid="{D5CDD505-2E9C-101B-9397-08002B2CF9AE}" pid="34" name="xd_ProgID">
    <vt:lpwstr/>
  </property>
</Properties>
</file>