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D207" w14:textId="77777777" w:rsidR="008449B8" w:rsidRDefault="008449B8" w:rsidP="008C16C5">
      <w:pPr>
        <w:tabs>
          <w:tab w:val="left" w:pos="720"/>
          <w:tab w:val="left" w:pos="6260"/>
        </w:tabs>
        <w:sectPr w:rsidR="008449B8" w:rsidSect="00426B60">
          <w:headerReference w:type="even" r:id="rId11"/>
          <w:headerReference w:type="default" r:id="rId12"/>
          <w:footerReference w:type="default" r:id="rId13"/>
          <w:headerReference w:type="first" r:id="rId14"/>
          <w:pgSz w:w="11906" w:h="16838" w:code="9"/>
          <w:pgMar w:top="1440" w:right="1440" w:bottom="1440" w:left="1440" w:header="720" w:footer="113" w:gutter="0"/>
          <w:cols w:space="720"/>
          <w:titlePg/>
          <w:docGrid w:linePitch="272"/>
        </w:sectPr>
      </w:pPr>
      <w:bookmarkStart w:id="0" w:name="_Toc161322644"/>
      <w:bookmarkStart w:id="1" w:name="_Toc133236159"/>
      <w:bookmarkStart w:id="2" w:name="_Toc133236185"/>
    </w:p>
    <w:p w14:paraId="4F09F0DC" w14:textId="16718EA6" w:rsidR="00BB28C5" w:rsidRDefault="00395CB9" w:rsidP="008C16C5">
      <w:pPr>
        <w:tabs>
          <w:tab w:val="left" w:pos="720"/>
          <w:tab w:val="left" w:pos="6260"/>
        </w:tabs>
      </w:pPr>
      <w:r>
        <w:lastRenderedPageBreak/>
        <w:tab/>
      </w:r>
    </w:p>
    <w:p w14:paraId="5CE7C5A2" w14:textId="1D7A3EC3" w:rsidR="008E2BD0" w:rsidRDefault="008E2BD0" w:rsidP="008449B8">
      <w:pPr>
        <w:pStyle w:val="CGC2025ParaNumbers"/>
        <w:numPr>
          <w:ilvl w:val="0"/>
          <w:numId w:val="0"/>
        </w:numPr>
        <w:ind w:left="567" w:hanging="567"/>
      </w:pPr>
      <w:bookmarkStart w:id="3" w:name="_Toc176348491"/>
    </w:p>
    <w:tbl>
      <w:tblPr>
        <w:tblStyle w:val="TableGrid"/>
        <w:tblpPr w:leftFromText="180" w:rightFromText="180" w:vertAnchor="page" w:horzAnchor="margin" w:tblpY="7618"/>
        <w:tblW w:w="0" w:type="auto"/>
        <w:tblLook w:val="04A0" w:firstRow="1" w:lastRow="0" w:firstColumn="1" w:lastColumn="0" w:noHBand="0" w:noVBand="1"/>
      </w:tblPr>
      <w:tblGrid>
        <w:gridCol w:w="2972"/>
        <w:gridCol w:w="6044"/>
      </w:tblGrid>
      <w:tr w:rsidR="008E2BD0" w:rsidRPr="003119A7" w14:paraId="1A6B990D" w14:textId="77777777" w:rsidTr="008E2BD0">
        <w:tc>
          <w:tcPr>
            <w:tcW w:w="2972" w:type="dxa"/>
          </w:tcPr>
          <w:p w14:paraId="2DEA71AA" w14:textId="77777777" w:rsidR="008E2BD0" w:rsidRPr="003119A7" w:rsidRDefault="008E2BD0" w:rsidP="008E2BD0">
            <w:pPr>
              <w:rPr>
                <w:szCs w:val="20"/>
              </w:rPr>
            </w:pPr>
            <w:r w:rsidRPr="003119A7">
              <w:rPr>
                <w:szCs w:val="20"/>
              </w:rPr>
              <w:t>Paper issued</w:t>
            </w:r>
          </w:p>
        </w:tc>
        <w:tc>
          <w:tcPr>
            <w:tcW w:w="6044" w:type="dxa"/>
          </w:tcPr>
          <w:p w14:paraId="16176432" w14:textId="1080A389" w:rsidR="008E2BD0" w:rsidRPr="003119A7" w:rsidRDefault="00DE1DDF" w:rsidP="008E2BD0">
            <w:pPr>
              <w:rPr>
                <w:szCs w:val="20"/>
              </w:rPr>
            </w:pPr>
            <w:r>
              <w:rPr>
                <w:szCs w:val="20"/>
              </w:rPr>
              <w:t>8 November 2024</w:t>
            </w:r>
          </w:p>
        </w:tc>
      </w:tr>
      <w:tr w:rsidR="008E2BD0" w:rsidRPr="00B71847" w14:paraId="07101C53" w14:textId="77777777" w:rsidTr="008E2BD0">
        <w:tc>
          <w:tcPr>
            <w:tcW w:w="2972" w:type="dxa"/>
          </w:tcPr>
          <w:p w14:paraId="2CDB34C2" w14:textId="77777777" w:rsidR="008E2BD0" w:rsidRPr="003119A7" w:rsidRDefault="008E2BD0" w:rsidP="008E2BD0">
            <w:pPr>
              <w:rPr>
                <w:szCs w:val="20"/>
              </w:rPr>
            </w:pPr>
            <w:r w:rsidRPr="003119A7">
              <w:rPr>
                <w:szCs w:val="20"/>
              </w:rPr>
              <w:t>Commission contact officer</w:t>
            </w:r>
          </w:p>
        </w:tc>
        <w:tc>
          <w:tcPr>
            <w:tcW w:w="6044" w:type="dxa"/>
          </w:tcPr>
          <w:p w14:paraId="7083B052" w14:textId="3C9873B3" w:rsidR="008E2BD0" w:rsidRPr="00D62B34" w:rsidRDefault="00000000" w:rsidP="008E2BD0">
            <w:pPr>
              <w:rPr>
                <w:szCs w:val="20"/>
              </w:rPr>
            </w:pPr>
            <w:hyperlink>
              <w:r w:rsidR="5B737847" w:rsidRPr="00700B21">
                <w:rPr>
                  <w:rStyle w:val="Hyperlink"/>
                </w:rPr>
                <w:t>Therese.Maher@cgc,gov.au</w:t>
              </w:r>
            </w:hyperlink>
            <w:r w:rsidR="5B737847" w:rsidRPr="00700B21">
              <w:t xml:space="preserve"> </w:t>
            </w:r>
          </w:p>
        </w:tc>
      </w:tr>
      <w:tr w:rsidR="008E2BD0" w:rsidRPr="003119A7" w14:paraId="430D9C93" w14:textId="77777777" w:rsidTr="008E2BD0">
        <w:tc>
          <w:tcPr>
            <w:tcW w:w="2972" w:type="dxa"/>
          </w:tcPr>
          <w:p w14:paraId="101B4A3D" w14:textId="77777777" w:rsidR="008E2BD0" w:rsidRPr="00D62B34" w:rsidRDefault="008E2BD0" w:rsidP="008E2BD0">
            <w:pPr>
              <w:rPr>
                <w:szCs w:val="20"/>
              </w:rPr>
            </w:pPr>
            <w:r w:rsidRPr="00D62B34">
              <w:rPr>
                <w:szCs w:val="20"/>
              </w:rPr>
              <w:t>Submissions sought by</w:t>
            </w:r>
          </w:p>
        </w:tc>
        <w:tc>
          <w:tcPr>
            <w:tcW w:w="6044" w:type="dxa"/>
          </w:tcPr>
          <w:p w14:paraId="01FBAE7A" w14:textId="18BE8D2A" w:rsidR="008E2BD0" w:rsidRDefault="00A67738" w:rsidP="008E2BD0">
            <w:pPr>
              <w:rPr>
                <w:szCs w:val="20"/>
              </w:rPr>
            </w:pPr>
            <w:r>
              <w:rPr>
                <w:szCs w:val="20"/>
              </w:rPr>
              <w:t>2</w:t>
            </w:r>
            <w:r w:rsidR="008E2BD0">
              <w:rPr>
                <w:szCs w:val="20"/>
              </w:rPr>
              <w:t xml:space="preserve"> </w:t>
            </w:r>
            <w:r w:rsidR="0004001F">
              <w:rPr>
                <w:szCs w:val="20"/>
              </w:rPr>
              <w:t>December</w:t>
            </w:r>
            <w:r w:rsidR="00BF105C">
              <w:rPr>
                <w:szCs w:val="20"/>
              </w:rPr>
              <w:t xml:space="preserve"> </w:t>
            </w:r>
            <w:r w:rsidR="008E2BD0">
              <w:rPr>
                <w:szCs w:val="20"/>
              </w:rPr>
              <w:t>2024</w:t>
            </w:r>
          </w:p>
          <w:p w14:paraId="2F612728" w14:textId="60107B13" w:rsidR="008E2BD0" w:rsidRPr="003119A7" w:rsidRDefault="008E2BD0" w:rsidP="008E2BD0">
            <w:pPr>
              <w:rPr>
                <w:szCs w:val="20"/>
              </w:rPr>
            </w:pPr>
            <w:r w:rsidRPr="003119A7">
              <w:rPr>
                <w:szCs w:val="20"/>
              </w:rPr>
              <w:t xml:space="preserve">Submissions should be placed in your private state </w:t>
            </w:r>
            <w:r w:rsidR="003A568C">
              <w:rPr>
                <w:szCs w:val="20"/>
              </w:rPr>
              <w:t>or territory</w:t>
            </w:r>
            <w:r w:rsidRPr="003119A7">
              <w:rPr>
                <w:szCs w:val="20"/>
              </w:rPr>
              <w:t xml:space="preserve"> channel in </w:t>
            </w:r>
            <w:r w:rsidR="003A568C">
              <w:rPr>
                <w:szCs w:val="20"/>
              </w:rPr>
              <w:t xml:space="preserve">the </w:t>
            </w:r>
            <w:r w:rsidRPr="003119A7">
              <w:rPr>
                <w:szCs w:val="20"/>
              </w:rPr>
              <w:t xml:space="preserve">CGC Engagement </w:t>
            </w:r>
            <w:r w:rsidR="003A568C">
              <w:rPr>
                <w:szCs w:val="20"/>
              </w:rPr>
              <w:t>channel in GovTEAMS</w:t>
            </w:r>
            <w:r w:rsidRPr="003119A7">
              <w:rPr>
                <w:szCs w:val="20"/>
              </w:rPr>
              <w:t xml:space="preserve">, with a post notifying </w:t>
            </w:r>
            <w:r>
              <w:rPr>
                <w:szCs w:val="20"/>
              </w:rPr>
              <w:t>Katrina Baldock</w:t>
            </w:r>
            <w:r w:rsidRPr="003119A7">
              <w:rPr>
                <w:szCs w:val="20"/>
              </w:rPr>
              <w:t>.</w:t>
            </w:r>
          </w:p>
          <w:p w14:paraId="3D280326" w14:textId="235B8CED" w:rsidR="008E2BD0" w:rsidRPr="003119A7" w:rsidRDefault="008E2BD0" w:rsidP="008E2BD0">
            <w:pPr>
              <w:rPr>
                <w:szCs w:val="20"/>
              </w:rPr>
            </w:pPr>
            <w:r w:rsidRPr="003119A7">
              <w:rPr>
                <w:szCs w:val="20"/>
              </w:rPr>
              <w:t xml:space="preserve">Submissions </w:t>
            </w:r>
            <w:r>
              <w:rPr>
                <w:szCs w:val="20"/>
              </w:rPr>
              <w:t>should be in Word format</w:t>
            </w:r>
            <w:r w:rsidR="003A568C">
              <w:rPr>
                <w:szCs w:val="20"/>
              </w:rPr>
              <w:t>.</w:t>
            </w:r>
            <w:r>
              <w:rPr>
                <w:szCs w:val="20"/>
              </w:rPr>
              <w:t xml:space="preserve"> Submissions </w:t>
            </w:r>
            <w:r w:rsidRPr="003119A7">
              <w:rPr>
                <w:szCs w:val="20"/>
              </w:rPr>
              <w:t>more than 10 pages in length should include a summary section.</w:t>
            </w:r>
          </w:p>
        </w:tc>
      </w:tr>
      <w:tr w:rsidR="008E2BD0" w:rsidRPr="003119A7" w14:paraId="56762DD9" w14:textId="77777777" w:rsidTr="008E2BD0">
        <w:tc>
          <w:tcPr>
            <w:tcW w:w="2972" w:type="dxa"/>
          </w:tcPr>
          <w:p w14:paraId="7C3C9016" w14:textId="77777777" w:rsidR="008E2BD0" w:rsidRPr="003119A7" w:rsidRDefault="008E2BD0" w:rsidP="008E2BD0">
            <w:pPr>
              <w:rPr>
                <w:szCs w:val="20"/>
              </w:rPr>
            </w:pPr>
            <w:r w:rsidRPr="003119A7">
              <w:rPr>
                <w:szCs w:val="20"/>
              </w:rPr>
              <w:t>Confidential material</w:t>
            </w:r>
          </w:p>
        </w:tc>
        <w:tc>
          <w:tcPr>
            <w:tcW w:w="6044" w:type="dxa"/>
          </w:tcPr>
          <w:p w14:paraId="3A709048" w14:textId="77777777" w:rsidR="008E2BD0" w:rsidRPr="003119A7" w:rsidRDefault="008E2BD0" w:rsidP="008E2BD0">
            <w:pPr>
              <w:rPr>
                <w:szCs w:val="20"/>
              </w:rPr>
            </w:pPr>
            <w:r w:rsidRPr="003119A7">
              <w:rPr>
                <w:szCs w:val="20"/>
              </w:rPr>
              <w:t xml:space="preserve">It is the </w:t>
            </w:r>
            <w:r>
              <w:rPr>
                <w:szCs w:val="20"/>
              </w:rPr>
              <w:t>C</w:t>
            </w:r>
            <w:r w:rsidRPr="003119A7">
              <w:rPr>
                <w:szCs w:val="20"/>
              </w:rPr>
              <w:t xml:space="preserve">ommission’s normal practice to make state submissions available on its website under the CC BY licence, allowing free use of content by third parties. </w:t>
            </w:r>
          </w:p>
          <w:p w14:paraId="0B5BF067" w14:textId="77777777" w:rsidR="008E2BD0" w:rsidRPr="003119A7" w:rsidRDefault="008E2BD0" w:rsidP="008E2BD0">
            <w:pPr>
              <w:rPr>
                <w:szCs w:val="20"/>
              </w:rPr>
            </w:pPr>
            <w:r w:rsidRPr="003119A7">
              <w:rPr>
                <w:noProof/>
                <w:szCs w:val="20"/>
                <w:lang w:eastAsia="en-AU"/>
              </w:rPr>
              <w:drawing>
                <wp:inline distT="0" distB="0" distL="0" distR="0" wp14:anchorId="0EC9B92C" wp14:editId="6BD19091">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5"/>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61225584" w14:textId="77777777" w:rsidR="008E2BD0" w:rsidRPr="003119A7" w:rsidRDefault="008E2BD0" w:rsidP="008E2BD0">
            <w:pPr>
              <w:rPr>
                <w:szCs w:val="20"/>
              </w:rPr>
            </w:pPr>
            <w:r w:rsidRPr="003119A7">
              <w:rPr>
                <w:szCs w:val="20"/>
              </w:rPr>
              <w:t xml:space="preserve">Further information on the CC BY licence can be found on the Creative Commons website (http://creativecommons.org). </w:t>
            </w:r>
          </w:p>
          <w:p w14:paraId="7D378855" w14:textId="77777777" w:rsidR="008E2BD0" w:rsidRPr="003119A7" w:rsidRDefault="008E2BD0" w:rsidP="008E2BD0">
            <w:pPr>
              <w:rPr>
                <w:szCs w:val="20"/>
              </w:rPr>
            </w:pPr>
            <w:r w:rsidRPr="003119A7">
              <w:rPr>
                <w:szCs w:val="20"/>
              </w:rPr>
              <w:t xml:space="preserve">Confidential material contained in submissions must be clearly identified or included in separate attachment/s, and details provided in the covering email. Identified confidential material will not be published on the </w:t>
            </w:r>
            <w:r>
              <w:rPr>
                <w:szCs w:val="20"/>
              </w:rPr>
              <w:t>C</w:t>
            </w:r>
            <w:r w:rsidRPr="003119A7">
              <w:rPr>
                <w:szCs w:val="20"/>
              </w:rPr>
              <w:t>ommission’s website.</w:t>
            </w:r>
          </w:p>
        </w:tc>
      </w:tr>
    </w:tbl>
    <w:p w14:paraId="450887DA" w14:textId="77777777" w:rsidR="008449B8" w:rsidRDefault="0028338E">
      <w:pPr>
        <w:tabs>
          <w:tab w:val="clear" w:pos="567"/>
        </w:tabs>
        <w:spacing w:before="0" w:after="200" w:line="276" w:lineRule="auto"/>
        <w:sectPr w:rsidR="008449B8" w:rsidSect="00426B60">
          <w:headerReference w:type="first" r:id="rId16"/>
          <w:footerReference w:type="first" r:id="rId17"/>
          <w:pgSz w:w="11906" w:h="16838" w:code="9"/>
          <w:pgMar w:top="1440" w:right="1440" w:bottom="1440" w:left="1440" w:header="720" w:footer="113" w:gutter="0"/>
          <w:cols w:space="720"/>
          <w:titlePg/>
          <w:docGrid w:linePitch="272"/>
        </w:sectPr>
      </w:pPr>
      <w:r>
        <w:br w:type="page"/>
      </w:r>
    </w:p>
    <w:p w14:paraId="677E9F30" w14:textId="3A654F6A" w:rsidR="000A6328" w:rsidRDefault="00054A70" w:rsidP="00F42733">
      <w:pPr>
        <w:pStyle w:val="Heading1"/>
      </w:pPr>
      <w:r>
        <w:rPr>
          <w:noProof/>
        </w:rPr>
        <w:lastRenderedPageBreak/>
        <mc:AlternateContent>
          <mc:Choice Requires="wps">
            <w:drawing>
              <wp:anchor distT="45720" distB="45720" distL="114300" distR="114300" simplePos="0" relativeHeight="251658240" behindDoc="0" locked="0" layoutInCell="1" allowOverlap="1" wp14:anchorId="25C6F272" wp14:editId="6807D1D3">
                <wp:simplePos x="0" y="0"/>
                <wp:positionH relativeFrom="margin">
                  <wp:posOffset>-9525</wp:posOffset>
                </wp:positionH>
                <wp:positionV relativeFrom="paragraph">
                  <wp:posOffset>0</wp:posOffset>
                </wp:positionV>
                <wp:extent cx="5716270" cy="9201150"/>
                <wp:effectExtent l="0" t="0" r="1778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201150"/>
                        </a:xfrm>
                        <a:prstGeom prst="rect">
                          <a:avLst/>
                        </a:prstGeom>
                        <a:solidFill>
                          <a:srgbClr val="E5F8FF"/>
                        </a:solidFill>
                        <a:ln w="9525">
                          <a:solidFill>
                            <a:schemeClr val="bg1"/>
                          </a:solidFill>
                          <a:miter lim="800000"/>
                          <a:headEnd/>
                          <a:tailEnd/>
                        </a:ln>
                      </wps:spPr>
                      <wps:txbx>
                        <w:txbxContent>
                          <w:p w14:paraId="15A52D6D" w14:textId="7726D86B" w:rsidR="00054A70" w:rsidRDefault="00CC05A7" w:rsidP="00EC676C">
                            <w:pPr>
                              <w:pStyle w:val="Heading2"/>
                              <w:keepNext/>
                              <w:spacing w:before="120" w:after="120"/>
                            </w:pPr>
                            <w:r>
                              <w:t xml:space="preserve">Summary of changes </w:t>
                            </w:r>
                          </w:p>
                          <w:p w14:paraId="54E77D94" w14:textId="71EB4B57" w:rsidR="00054A70" w:rsidRPr="000E5B29" w:rsidRDefault="009A031A" w:rsidP="00BA0345">
                            <w:pPr>
                              <w:pStyle w:val="CGC2025Bullet1"/>
                              <w:numPr>
                                <w:ilvl w:val="0"/>
                                <w:numId w:val="0"/>
                              </w:numPr>
                              <w:ind w:left="567"/>
                            </w:pPr>
                            <w:r>
                              <w:t xml:space="preserve">The Commission has decided to make the following </w:t>
                            </w:r>
                            <w:r w:rsidR="00DB56A2">
                              <w:t xml:space="preserve">substantive </w:t>
                            </w:r>
                            <w:r>
                              <w:t xml:space="preserve">changes </w:t>
                            </w:r>
                            <w:r w:rsidR="00841418">
                              <w:t xml:space="preserve">to the methods </w:t>
                            </w:r>
                            <w:r w:rsidR="00B93919">
                              <w:t xml:space="preserve">proposed </w:t>
                            </w:r>
                            <w:r w:rsidR="00841418">
                              <w:t xml:space="preserve">in the Draft </w:t>
                            </w:r>
                            <w:r w:rsidR="00B366CA">
                              <w:t>R</w:t>
                            </w:r>
                            <w:r w:rsidR="00841418">
                              <w:t>eport for the 2025 Review</w:t>
                            </w:r>
                            <w:r w:rsidR="00CB7915">
                              <w:t>.</w:t>
                            </w:r>
                            <w:r w:rsidR="00841418">
                              <w:t xml:space="preserve"> </w:t>
                            </w:r>
                          </w:p>
                          <w:p w14:paraId="46050B62" w14:textId="3FB448E6" w:rsidR="00A82878" w:rsidRDefault="00A82878" w:rsidP="00054A70">
                            <w:pPr>
                              <w:pStyle w:val="CGC2025Bullet1"/>
                              <w:rPr>
                                <w:rStyle w:val="ui-provider"/>
                              </w:rPr>
                            </w:pPr>
                            <w:r>
                              <w:rPr>
                                <w:rStyle w:val="ui-provider"/>
                              </w:rPr>
                              <w:t>Motor taxes:</w:t>
                            </w:r>
                            <w:r w:rsidR="00F32029">
                              <w:rPr>
                                <w:rStyle w:val="ui-provider"/>
                              </w:rPr>
                              <w:t xml:space="preserve"> </w:t>
                            </w:r>
                            <w:r w:rsidR="00B56F72">
                              <w:rPr>
                                <w:rStyle w:val="ui-provider"/>
                              </w:rPr>
                              <w:t>r</w:t>
                            </w:r>
                            <w:r w:rsidR="00F32029">
                              <w:rPr>
                                <w:rStyle w:val="ui-provider"/>
                              </w:rPr>
                              <w:t>eintroduce a differential assessment of stamp duty on motor vehicle transfers</w:t>
                            </w:r>
                            <w:r w:rsidR="003E3AEF">
                              <w:rPr>
                                <w:rStyle w:val="ui-provider"/>
                              </w:rPr>
                              <w:t xml:space="preserve"> based on </w:t>
                            </w:r>
                            <w:r w:rsidR="00EB5702">
                              <w:t>the total dutiable value of vehicle transfers</w:t>
                            </w:r>
                          </w:p>
                          <w:p w14:paraId="4FC986B5" w14:textId="4E174F5A" w:rsidR="00054A70" w:rsidRDefault="00143E71" w:rsidP="00054A70">
                            <w:pPr>
                              <w:pStyle w:val="CGC2025Bullet1"/>
                            </w:pPr>
                            <w:r>
                              <w:rPr>
                                <w:rStyle w:val="ui-provider"/>
                              </w:rPr>
                              <w:t>Schools</w:t>
                            </w:r>
                            <w:r w:rsidR="00BA0345">
                              <w:rPr>
                                <w:rStyle w:val="ui-provider"/>
                              </w:rPr>
                              <w:t xml:space="preserve">: </w:t>
                            </w:r>
                            <w:r w:rsidR="00DA62C3">
                              <w:t xml:space="preserve">revert to the 2020 Review </w:t>
                            </w:r>
                            <w:r w:rsidR="00A11D3C">
                              <w:t xml:space="preserve">approach </w:t>
                            </w:r>
                            <w:r w:rsidR="00DA62C3">
                              <w:t xml:space="preserve">for measuring </w:t>
                            </w:r>
                            <w:r w:rsidR="00DA62C3">
                              <w:br/>
                              <w:t>socio-educational disadvantage, using the most socio-educationally disadvantaged 25% of students</w:t>
                            </w:r>
                          </w:p>
                          <w:p w14:paraId="607E76EE" w14:textId="7FA1D52D" w:rsidR="00DA62C3" w:rsidRDefault="00DA62C3" w:rsidP="00054A70">
                            <w:pPr>
                              <w:pStyle w:val="CGC2025Bullet1"/>
                            </w:pPr>
                            <w:r>
                              <w:t xml:space="preserve">Health: </w:t>
                            </w:r>
                          </w:p>
                          <w:p w14:paraId="4756F4D6" w14:textId="1B399AE0" w:rsidR="00060099" w:rsidRDefault="00060099" w:rsidP="00E40D5E">
                            <w:pPr>
                              <w:pStyle w:val="CGC2025Bullet2"/>
                            </w:pPr>
                            <w:r>
                              <w:t>revert to the 2020 Review approach of using private patient separations as the indicator of non</w:t>
                            </w:r>
                            <w:r>
                              <w:noBreakHyphen/>
                              <w:t>state sector admitted patient activity</w:t>
                            </w:r>
                          </w:p>
                          <w:p w14:paraId="53826F7F" w14:textId="2E604451" w:rsidR="0061288A" w:rsidRDefault="0061288A" w:rsidP="00E40D5E">
                            <w:pPr>
                              <w:pStyle w:val="CGC2025Bullet2"/>
                            </w:pPr>
                            <w:r>
                              <w:t>use the actual distribution of the Commonwealth grants for First Nations community-controlled health services as the estimate of</w:t>
                            </w:r>
                            <w:r w:rsidR="00070E19" w:rsidRPr="00070E19">
                              <w:t xml:space="preserve"> </w:t>
                            </w:r>
                            <w:r w:rsidR="00070E19">
                              <w:t>non-state sector expense needs</w:t>
                            </w:r>
                            <w:r w:rsidR="00196300">
                              <w:t>,</w:t>
                            </w:r>
                            <w:r w:rsidR="00070E19">
                              <w:t xml:space="preserve"> </w:t>
                            </w:r>
                            <w:r w:rsidR="00987B3F">
                              <w:t xml:space="preserve">resulting in the </w:t>
                            </w:r>
                            <w:r w:rsidR="001C6E5E">
                              <w:t>adjustment to actual Commonwealth payment</w:t>
                            </w:r>
                            <w:r w:rsidR="00D74713">
                              <w:t>s</w:t>
                            </w:r>
                            <w:r w:rsidR="001C6E5E">
                              <w:t xml:space="preserve"> being set to zero </w:t>
                            </w:r>
                          </w:p>
                          <w:p w14:paraId="20BA420B" w14:textId="385E1BEA" w:rsidR="009E05A9" w:rsidRDefault="009E05A9" w:rsidP="00E40D5E">
                            <w:pPr>
                              <w:pStyle w:val="CGC2025Bullet2"/>
                            </w:pPr>
                            <w:r>
                              <w:t>use the exact calculated estimates for the non</w:t>
                            </w:r>
                            <w:r>
                              <w:noBreakHyphen/>
                              <w:t>state sector adjustment substitutability levels</w:t>
                            </w:r>
                            <w:r w:rsidR="00822D0B">
                              <w:t xml:space="preserve"> instead of rounding to the nearest 5% </w:t>
                            </w:r>
                          </w:p>
                          <w:p w14:paraId="45485650" w14:textId="240A5D0C" w:rsidR="00A414A9" w:rsidRPr="00A414A9" w:rsidRDefault="00A414A9" w:rsidP="00E40D5E">
                            <w:pPr>
                              <w:pStyle w:val="CGC2025Bullet2"/>
                            </w:pPr>
                            <w:r w:rsidRPr="00A414A9">
                              <w:t xml:space="preserve">assess expenses </w:t>
                            </w:r>
                            <w:r w:rsidR="001758B5">
                              <w:t>on</w:t>
                            </w:r>
                            <w:r w:rsidRPr="00A414A9">
                              <w:t xml:space="preserve"> aeromedical services and the Patient Assistance Transport Scheme as part of the admitted patient component</w:t>
                            </w:r>
                            <w:r>
                              <w:t xml:space="preserve"> in a future update if data for all</w:t>
                            </w:r>
                            <w:r w:rsidRPr="00A414A9">
                              <w:t xml:space="preserve"> states </w:t>
                            </w:r>
                            <w:r w:rsidR="000265E0">
                              <w:t xml:space="preserve">are </w:t>
                            </w:r>
                            <w:r>
                              <w:t>include</w:t>
                            </w:r>
                            <w:r w:rsidR="001758B5">
                              <w:t>d</w:t>
                            </w:r>
                            <w:r>
                              <w:t xml:space="preserve"> in</w:t>
                            </w:r>
                            <w:r w:rsidRPr="00A414A9">
                              <w:t xml:space="preserve"> national weighted activity units</w:t>
                            </w:r>
                            <w:r>
                              <w:t xml:space="preserve"> </w:t>
                            </w:r>
                            <w:r w:rsidR="00D35AE9">
                              <w:t xml:space="preserve">(NWAU) </w:t>
                            </w:r>
                            <w:r>
                              <w:t>and are</w:t>
                            </w:r>
                            <w:r w:rsidRPr="00A414A9">
                              <w:t xml:space="preserve"> available for all 3 years of the assessment period </w:t>
                            </w:r>
                          </w:p>
                          <w:p w14:paraId="1E706E65" w14:textId="0FEA7B03" w:rsidR="001A2A96" w:rsidRDefault="00A90FAC" w:rsidP="00E40D5E">
                            <w:pPr>
                              <w:pStyle w:val="CGC2025Bullet2"/>
                            </w:pPr>
                            <w:r w:rsidRPr="00A90FAC">
                              <w:t>exclude COVID</w:t>
                            </w:r>
                            <w:r w:rsidRPr="00A90FAC">
                              <w:noBreakHyphen/>
                              <w:t>19 clinics from the list of non</w:t>
                            </w:r>
                            <w:r w:rsidRPr="00A90FAC">
                              <w:noBreakHyphen/>
                              <w:t>admitted patient allied health services in the proxy indicator of community and public health</w:t>
                            </w:r>
                            <w:r w:rsidR="00E85835">
                              <w:t xml:space="preserve"> </w:t>
                            </w:r>
                          </w:p>
                          <w:p w14:paraId="09420D9C" w14:textId="11544DC4" w:rsidR="00A74496" w:rsidRDefault="00A74496" w:rsidP="00E40D5E">
                            <w:pPr>
                              <w:pStyle w:val="CGC2025Bullet2"/>
                            </w:pPr>
                            <w:r>
                              <w:t>discount the non-state sector adjustment for admitted patients, emergency departments, non-admitted patients and community health by 12.5%</w:t>
                            </w:r>
                          </w:p>
                          <w:p w14:paraId="3BBD5C83" w14:textId="0DA7AC20" w:rsidR="008964E5" w:rsidRDefault="008964E5" w:rsidP="008964E5">
                            <w:pPr>
                              <w:pStyle w:val="CGC2025Bullet1"/>
                            </w:pPr>
                            <w:r>
                              <w:t xml:space="preserve">Housing: </w:t>
                            </w:r>
                            <w:r w:rsidR="007142CD">
                              <w:t>assess net expenses for social housing using an average household size</w:t>
                            </w:r>
                            <w:r w:rsidR="007142CD">
                              <w:noBreakHyphen/>
                              <w:t xml:space="preserve">based approach rather than the individual based approach </w:t>
                            </w:r>
                          </w:p>
                          <w:p w14:paraId="39733ECC" w14:textId="4709E634" w:rsidR="00612029" w:rsidRDefault="00612029" w:rsidP="008227FB">
                            <w:pPr>
                              <w:pStyle w:val="CGC2025Bullet1"/>
                            </w:pPr>
                            <w:r>
                              <w:t xml:space="preserve">Investment: </w:t>
                            </w:r>
                            <w:r w:rsidR="003E3016" w:rsidRPr="003A6320">
                              <w:t xml:space="preserve">exclude </w:t>
                            </w:r>
                            <w:r w:rsidR="003E3016">
                              <w:t>expenses</w:t>
                            </w:r>
                            <w:r w:rsidR="003E3016" w:rsidRPr="003A6320">
                              <w:t xml:space="preserve"> assessed in the COVID-19 component of the health assessment in </w:t>
                            </w:r>
                            <w:r w:rsidR="00726808">
                              <w:t>the</w:t>
                            </w:r>
                            <w:r w:rsidR="00726808" w:rsidRPr="003A6320">
                              <w:t xml:space="preserve"> </w:t>
                            </w:r>
                            <w:r w:rsidR="003E3016" w:rsidRPr="003A6320">
                              <w:t xml:space="preserve">calculation of state shares of need for </w:t>
                            </w:r>
                            <w:r w:rsidR="00726808">
                              <w:br/>
                            </w:r>
                            <w:r w:rsidR="003E3016" w:rsidRPr="003A6320">
                              <w:t>health-related capital</w:t>
                            </w:r>
                          </w:p>
                          <w:p w14:paraId="7B24EFCB" w14:textId="12B2EEB4" w:rsidR="00B36511" w:rsidRPr="00F9047D" w:rsidRDefault="00E1745F" w:rsidP="007A6EC6">
                            <w:pPr>
                              <w:pStyle w:val="CGC2025Bullet1"/>
                              <w:rPr>
                                <w:rStyle w:val="ui-provider"/>
                              </w:rPr>
                            </w:pPr>
                            <w:r w:rsidRPr="00F9047D">
                              <w:t xml:space="preserve">Roads: </w:t>
                            </w:r>
                            <w:r w:rsidR="00C70691" w:rsidRPr="00F9047D">
                              <w:t>retain the 2020 Review method for the synthetic rural road network, including routes to mines, national parks, gas wells and ports</w:t>
                            </w:r>
                            <w:r w:rsidR="00C42727">
                              <w:t>.</w:t>
                            </w:r>
                          </w:p>
                          <w:p w14:paraId="70BA53C2" w14:textId="3D1E9995" w:rsidR="00E1745F" w:rsidRDefault="00E1745F" w:rsidP="00E1745F">
                            <w:pPr>
                              <w:pStyle w:val="CGC2025Bullet1"/>
                              <w:numPr>
                                <w:ilvl w:val="0"/>
                                <w:numId w:val="0"/>
                              </w:numPr>
                              <w:ind w:left="567"/>
                            </w:pPr>
                            <w:r w:rsidRPr="00E1745F">
                              <w:t xml:space="preserve">The Commission has decided to make the following </w:t>
                            </w:r>
                            <w:r>
                              <w:t>minor</w:t>
                            </w:r>
                            <w:r w:rsidRPr="00E1745F">
                              <w:t xml:space="preserve"> changes to the methods </w:t>
                            </w:r>
                            <w:r w:rsidR="00B93919">
                              <w:t>proposed</w:t>
                            </w:r>
                            <w:r w:rsidR="00B93919" w:rsidRPr="00E1745F">
                              <w:t xml:space="preserve"> </w:t>
                            </w:r>
                            <w:r w:rsidRPr="00E1745F">
                              <w:t xml:space="preserve">in the Draft </w:t>
                            </w:r>
                            <w:r w:rsidR="009712CE">
                              <w:t>R</w:t>
                            </w:r>
                            <w:r w:rsidRPr="00E1745F">
                              <w:t>eport.</w:t>
                            </w:r>
                          </w:p>
                          <w:p w14:paraId="61C049D1" w14:textId="1395C172" w:rsidR="0054686C" w:rsidRDefault="004E0EC3" w:rsidP="00D37656">
                            <w:pPr>
                              <w:pStyle w:val="CGC2025Bullet1"/>
                            </w:pPr>
                            <w:r>
                              <w:t>Welfare:</w:t>
                            </w:r>
                            <w:r w:rsidR="00CB5164">
                              <w:t xml:space="preserve"> </w:t>
                            </w:r>
                            <w:r w:rsidR="0056028A" w:rsidRPr="0056028A">
                              <w:t xml:space="preserve">where states </w:t>
                            </w:r>
                            <w:r w:rsidR="006A47E1">
                              <w:t>are</w:t>
                            </w:r>
                            <w:r w:rsidR="0056028A" w:rsidRPr="0056028A">
                              <w:t xml:space="preserve"> not able to provide </w:t>
                            </w:r>
                            <w:r w:rsidR="0056028A">
                              <w:t xml:space="preserve">data on </w:t>
                            </w:r>
                            <w:r w:rsidR="0056028A" w:rsidRPr="0056028A">
                              <w:t>homelessness services expense</w:t>
                            </w:r>
                            <w:r w:rsidR="000F5DA2">
                              <w:t>s</w:t>
                            </w:r>
                            <w:r w:rsidR="0056028A" w:rsidRPr="0056028A">
                              <w:t xml:space="preserve">, </w:t>
                            </w:r>
                            <w:r w:rsidR="00CB5164">
                              <w:t>use the average of state expense</w:t>
                            </w:r>
                            <w:r w:rsidR="000F5DA2">
                              <w:t>s</w:t>
                            </w:r>
                            <w:r w:rsidR="00CB5164">
                              <w:t xml:space="preserve"> on homelessness from the Productivity Commission’s </w:t>
                            </w:r>
                            <w:r w:rsidR="00CB5164" w:rsidRPr="00D3143F">
                              <w:rPr>
                                <w:i/>
                                <w:iCs/>
                              </w:rPr>
                              <w:t>Report on Government Services</w:t>
                            </w:r>
                            <w:r w:rsidR="00CB5164">
                              <w:t xml:space="preserve"> to split expenses across the housing and welfare categories</w:t>
                            </w:r>
                            <w:r w:rsidR="00FF0069">
                              <w:t xml:space="preserve"> </w:t>
                            </w:r>
                          </w:p>
                          <w:p w14:paraId="34619B76" w14:textId="75CA77E9" w:rsidR="00DF7080" w:rsidRDefault="00B6408C" w:rsidP="00DF7080">
                            <w:pPr>
                              <w:pStyle w:val="CGC2025Bullet1"/>
                            </w:pPr>
                            <w:r>
                              <w:t>Transport</w:t>
                            </w:r>
                            <w:r w:rsidR="00FC3845">
                              <w:t>:</w:t>
                            </w:r>
                            <w:r w:rsidR="00DF7080">
                              <w:t xml:space="preserve"> reallocate pipeline expenses </w:t>
                            </w:r>
                            <w:r w:rsidR="00DF7080" w:rsidRPr="00DF7080">
                              <w:t>from the urban</w:t>
                            </w:r>
                            <w:r w:rsidR="00DF7080">
                              <w:t xml:space="preserve"> </w:t>
                            </w:r>
                            <w:r w:rsidR="001B38D3">
                              <w:t xml:space="preserve">component </w:t>
                            </w:r>
                            <w:r w:rsidR="00DF7080">
                              <w:t>to the non-urban component</w:t>
                            </w:r>
                          </w:p>
                          <w:p w14:paraId="3F2C2B66" w14:textId="47493619" w:rsidR="00DF7080" w:rsidRDefault="00DF7080" w:rsidP="00DF7080">
                            <w:pPr>
                              <w:pStyle w:val="CGC2025Bullet1"/>
                            </w:pPr>
                            <w:r>
                              <w:t>Geography: not include the gradients calculated for water or electricity subsidies in the general regional cost gradient. The general gradient will be calculated as the weighted average of gradients for state funding of government schools</w:t>
                            </w:r>
                            <w:r w:rsidR="00826DDA">
                              <w:t>,</w:t>
                            </w:r>
                            <w:r>
                              <w:t xml:space="preserve"> post-secondary education</w:t>
                            </w:r>
                            <w:r w:rsidR="00826DDA">
                              <w:t>,</w:t>
                            </w:r>
                            <w:r>
                              <w:t xml:space="preserve"> admitted patients</w:t>
                            </w:r>
                            <w:r w:rsidR="00826DDA">
                              <w:t>,</w:t>
                            </w:r>
                            <w:r>
                              <w:t xml:space="preserve"> emergency departments</w:t>
                            </w:r>
                            <w:r w:rsidR="00826DDA">
                              <w:t>,</w:t>
                            </w:r>
                            <w:r>
                              <w:t xml:space="preserve"> non-admitted patients</w:t>
                            </w:r>
                            <w:r w:rsidR="00826DDA">
                              <w:t>,</w:t>
                            </w:r>
                            <w:r>
                              <w:t xml:space="preserve"> criminal courts</w:t>
                            </w:r>
                            <w:r w:rsidR="00826DDA">
                              <w:t>,</w:t>
                            </w:r>
                            <w:r>
                              <w:t xml:space="preserve"> prisons</w:t>
                            </w:r>
                            <w:r w:rsidR="0071601B">
                              <w:t>,</w:t>
                            </w:r>
                            <w:r w:rsidR="00826DDA">
                              <w:t xml:space="preserve"> and</w:t>
                            </w:r>
                            <w:r>
                              <w:t xml:space="preserve"> Rawlinsons cost of construction. </w:t>
                            </w:r>
                          </w:p>
                          <w:p w14:paraId="5B4B7440" w14:textId="77777777" w:rsidR="00DF7080" w:rsidRPr="00A90FAC" w:rsidRDefault="00DF7080" w:rsidP="0069389C">
                            <w:pPr>
                              <w:pStyle w:val="CGC2025Bullet1"/>
                              <w:numPr>
                                <w:ilvl w:val="0"/>
                                <w:numId w:val="0"/>
                              </w:numPr>
                              <w:ind w:left="927"/>
                            </w:pPr>
                          </w:p>
                          <w:p w14:paraId="3F6B167A" w14:textId="0880AA59" w:rsidR="00954E8C" w:rsidRPr="00A90FAC" w:rsidRDefault="00954E8C" w:rsidP="00DF7080">
                            <w:pPr>
                              <w:pStyle w:val="CGC2025Bullet2"/>
                              <w:numPr>
                                <w:ilvl w:val="0"/>
                                <w:numId w:val="0"/>
                              </w:numPr>
                              <w:ind w:left="1321" w:hanging="35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6F272" id="_x0000_t202" coordsize="21600,21600" o:spt="202" path="m,l,21600r21600,l21600,xe">
                <v:stroke joinstyle="miter"/>
                <v:path gradientshapeok="t" o:connecttype="rect"/>
              </v:shapetype>
              <v:shape id="Text Box 217" o:spid="_x0000_s1026" type="#_x0000_t202" style="position:absolute;margin-left:-.75pt;margin-top:0;width:450.1pt;height:72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" fillcolor="#e5f8ff" strokecolor="white [3212]">
                <v:textbox>
                  <w:txbxContent>
                    <w:p w14:paraId="15A52D6D" w14:textId="7726D86B" w:rsidR="00054A70" w:rsidRDefault="00CC05A7" w:rsidP="00EC676C">
                      <w:pPr>
                        <w:pStyle w:val="Heading2"/>
                        <w:keepNext/>
                        <w:spacing w:before="120" w:after="120"/>
                      </w:pPr>
                      <w:r>
                        <w:t xml:space="preserve">Summary of changes </w:t>
                      </w:r>
                    </w:p>
                    <w:p w14:paraId="54E77D94" w14:textId="71EB4B57" w:rsidR="00054A70" w:rsidRPr="000E5B29" w:rsidRDefault="009A031A" w:rsidP="00BA0345">
                      <w:pPr>
                        <w:pStyle w:val="CGC2025Bullet1"/>
                        <w:numPr>
                          <w:ilvl w:val="0"/>
                          <w:numId w:val="0"/>
                        </w:numPr>
                        <w:ind w:left="567"/>
                      </w:pPr>
                      <w:r>
                        <w:t xml:space="preserve">The Commission has decided to make the following </w:t>
                      </w:r>
                      <w:r w:rsidR="00DB56A2">
                        <w:t xml:space="preserve">substantive </w:t>
                      </w:r>
                      <w:r>
                        <w:t xml:space="preserve">changes </w:t>
                      </w:r>
                      <w:r w:rsidR="00841418">
                        <w:t xml:space="preserve">to the methods </w:t>
                      </w:r>
                      <w:r w:rsidR="00B93919">
                        <w:t xml:space="preserve">proposed </w:t>
                      </w:r>
                      <w:r w:rsidR="00841418">
                        <w:t xml:space="preserve">in the Draft </w:t>
                      </w:r>
                      <w:r w:rsidR="00B366CA">
                        <w:t>R</w:t>
                      </w:r>
                      <w:r w:rsidR="00841418">
                        <w:t>eport for the 2025 Review</w:t>
                      </w:r>
                      <w:r w:rsidR="00CB7915">
                        <w:t>.</w:t>
                      </w:r>
                      <w:r w:rsidR="00841418">
                        <w:t xml:space="preserve"> </w:t>
                      </w:r>
                    </w:p>
                    <w:p w14:paraId="46050B62" w14:textId="3FB448E6" w:rsidR="00A82878" w:rsidRDefault="00A82878" w:rsidP="00054A70">
                      <w:pPr>
                        <w:pStyle w:val="CGC2025Bullet1"/>
                        <w:rPr>
                          <w:rStyle w:val="ui-provider"/>
                        </w:rPr>
                      </w:pPr>
                      <w:r>
                        <w:rPr>
                          <w:rStyle w:val="ui-provider"/>
                        </w:rPr>
                        <w:t>Motor taxes:</w:t>
                      </w:r>
                      <w:r w:rsidR="00F32029">
                        <w:rPr>
                          <w:rStyle w:val="ui-provider"/>
                        </w:rPr>
                        <w:t xml:space="preserve"> </w:t>
                      </w:r>
                      <w:r w:rsidR="00B56F72">
                        <w:rPr>
                          <w:rStyle w:val="ui-provider"/>
                        </w:rPr>
                        <w:t>r</w:t>
                      </w:r>
                      <w:r w:rsidR="00F32029">
                        <w:rPr>
                          <w:rStyle w:val="ui-provider"/>
                        </w:rPr>
                        <w:t>eintroduce a differential assessment of stamp duty on motor vehicle transfers</w:t>
                      </w:r>
                      <w:r w:rsidR="003E3AEF">
                        <w:rPr>
                          <w:rStyle w:val="ui-provider"/>
                        </w:rPr>
                        <w:t xml:space="preserve"> based on </w:t>
                      </w:r>
                      <w:r w:rsidR="00EB5702">
                        <w:t xml:space="preserve">the total dutiable value of vehicle </w:t>
                      </w:r>
                      <w:proofErr w:type="gramStart"/>
                      <w:r w:rsidR="00EB5702">
                        <w:t>transfers</w:t>
                      </w:r>
                      <w:proofErr w:type="gramEnd"/>
                    </w:p>
                    <w:p w14:paraId="4FC986B5" w14:textId="4E174F5A" w:rsidR="00054A70" w:rsidRDefault="00143E71" w:rsidP="00054A70">
                      <w:pPr>
                        <w:pStyle w:val="CGC2025Bullet1"/>
                      </w:pPr>
                      <w:r>
                        <w:rPr>
                          <w:rStyle w:val="ui-provider"/>
                        </w:rPr>
                        <w:t>Schools</w:t>
                      </w:r>
                      <w:r w:rsidR="00BA0345">
                        <w:rPr>
                          <w:rStyle w:val="ui-provider"/>
                        </w:rPr>
                        <w:t xml:space="preserve">: </w:t>
                      </w:r>
                      <w:r w:rsidR="00DA62C3">
                        <w:t xml:space="preserve">revert to the 2020 Review </w:t>
                      </w:r>
                      <w:r w:rsidR="00A11D3C">
                        <w:t xml:space="preserve">approach </w:t>
                      </w:r>
                      <w:r w:rsidR="00DA62C3">
                        <w:t xml:space="preserve">for measuring </w:t>
                      </w:r>
                      <w:r w:rsidR="00DA62C3">
                        <w:br/>
                        <w:t>socio-educational disadvantage, using the most socio-educationally disadvantaged 25% of students</w:t>
                      </w:r>
                    </w:p>
                    <w:p w14:paraId="607E76EE" w14:textId="7FA1D52D" w:rsidR="00DA62C3" w:rsidRDefault="00DA62C3" w:rsidP="00054A70">
                      <w:pPr>
                        <w:pStyle w:val="CGC2025Bullet1"/>
                      </w:pPr>
                      <w:r>
                        <w:t xml:space="preserve">Health: </w:t>
                      </w:r>
                    </w:p>
                    <w:p w14:paraId="4756F4D6" w14:textId="1B399AE0" w:rsidR="00060099" w:rsidRDefault="00060099" w:rsidP="00E40D5E">
                      <w:pPr>
                        <w:pStyle w:val="CGC2025Bullet2"/>
                      </w:pPr>
                      <w:r>
                        <w:t>revert to the 2020 Review approach of using private patient separations as the indicator of non</w:t>
                      </w:r>
                      <w:r>
                        <w:noBreakHyphen/>
                        <w:t xml:space="preserve">state sector admitted patient </w:t>
                      </w:r>
                      <w:proofErr w:type="gramStart"/>
                      <w:r>
                        <w:t>activity</w:t>
                      </w:r>
                      <w:proofErr w:type="gramEnd"/>
                    </w:p>
                    <w:p w14:paraId="53826F7F" w14:textId="2E604451" w:rsidR="0061288A" w:rsidRDefault="0061288A" w:rsidP="00E40D5E">
                      <w:pPr>
                        <w:pStyle w:val="CGC2025Bullet2"/>
                      </w:pPr>
                      <w:r>
                        <w:t>use the actual distribution of the Commonwealth grants for First Nations community-controlled health services as the estimate of</w:t>
                      </w:r>
                      <w:r w:rsidR="00070E19" w:rsidRPr="00070E19">
                        <w:t xml:space="preserve"> </w:t>
                      </w:r>
                      <w:r w:rsidR="00070E19">
                        <w:t>non-state sector expense needs</w:t>
                      </w:r>
                      <w:r w:rsidR="00196300">
                        <w:t>,</w:t>
                      </w:r>
                      <w:r w:rsidR="00070E19">
                        <w:t xml:space="preserve"> </w:t>
                      </w:r>
                      <w:r w:rsidR="00987B3F">
                        <w:t xml:space="preserve">resulting in the </w:t>
                      </w:r>
                      <w:r w:rsidR="001C6E5E">
                        <w:t>adjustment to actual Commonwealth payment</w:t>
                      </w:r>
                      <w:r w:rsidR="00D74713">
                        <w:t>s</w:t>
                      </w:r>
                      <w:r w:rsidR="001C6E5E">
                        <w:t xml:space="preserve"> being set to </w:t>
                      </w:r>
                      <w:proofErr w:type="gramStart"/>
                      <w:r w:rsidR="001C6E5E">
                        <w:t>zero</w:t>
                      </w:r>
                      <w:proofErr w:type="gramEnd"/>
                      <w:r w:rsidR="001C6E5E">
                        <w:t xml:space="preserve"> </w:t>
                      </w:r>
                    </w:p>
                    <w:p w14:paraId="20BA420B" w14:textId="385E1BEA" w:rsidR="009E05A9" w:rsidRDefault="009E05A9" w:rsidP="00E40D5E">
                      <w:pPr>
                        <w:pStyle w:val="CGC2025Bullet2"/>
                      </w:pPr>
                      <w:r>
                        <w:t>use the exact calculated estimates for the non</w:t>
                      </w:r>
                      <w:r>
                        <w:noBreakHyphen/>
                        <w:t>state sector adjustment substitutability levels</w:t>
                      </w:r>
                      <w:r w:rsidR="00822D0B">
                        <w:t xml:space="preserve"> instead of rounding to the nearest </w:t>
                      </w:r>
                      <w:proofErr w:type="gramStart"/>
                      <w:r w:rsidR="00822D0B">
                        <w:t>5%</w:t>
                      </w:r>
                      <w:proofErr w:type="gramEnd"/>
                      <w:r w:rsidR="00822D0B">
                        <w:t xml:space="preserve"> </w:t>
                      </w:r>
                    </w:p>
                    <w:p w14:paraId="45485650" w14:textId="240A5D0C" w:rsidR="00A414A9" w:rsidRPr="00A414A9" w:rsidRDefault="00A414A9" w:rsidP="00E40D5E">
                      <w:pPr>
                        <w:pStyle w:val="CGC2025Bullet2"/>
                      </w:pPr>
                      <w:r w:rsidRPr="00A414A9">
                        <w:t xml:space="preserve">assess expenses </w:t>
                      </w:r>
                      <w:r w:rsidR="001758B5">
                        <w:t>on</w:t>
                      </w:r>
                      <w:r w:rsidRPr="00A414A9">
                        <w:t xml:space="preserve"> aeromedical services and the Patient Assistance Transport Scheme as part of the admitted patient component</w:t>
                      </w:r>
                      <w:r>
                        <w:t xml:space="preserve"> in a future update if data for all</w:t>
                      </w:r>
                      <w:r w:rsidRPr="00A414A9">
                        <w:t xml:space="preserve"> states </w:t>
                      </w:r>
                      <w:r w:rsidR="000265E0">
                        <w:t xml:space="preserve">are </w:t>
                      </w:r>
                      <w:r>
                        <w:t>include</w:t>
                      </w:r>
                      <w:r w:rsidR="001758B5">
                        <w:t>d</w:t>
                      </w:r>
                      <w:r>
                        <w:t xml:space="preserve"> in</w:t>
                      </w:r>
                      <w:r w:rsidRPr="00A414A9">
                        <w:t xml:space="preserve"> national weighted activity units</w:t>
                      </w:r>
                      <w:r>
                        <w:t xml:space="preserve"> </w:t>
                      </w:r>
                      <w:r w:rsidR="00D35AE9">
                        <w:t xml:space="preserve">(NWAU) </w:t>
                      </w:r>
                      <w:r>
                        <w:t>and are</w:t>
                      </w:r>
                      <w:r w:rsidRPr="00A414A9">
                        <w:t xml:space="preserve"> available for all 3 years of the assessment </w:t>
                      </w:r>
                      <w:proofErr w:type="gramStart"/>
                      <w:r w:rsidRPr="00A414A9">
                        <w:t>period</w:t>
                      </w:r>
                      <w:proofErr w:type="gramEnd"/>
                      <w:r w:rsidRPr="00A414A9">
                        <w:t xml:space="preserve"> </w:t>
                      </w:r>
                    </w:p>
                    <w:p w14:paraId="1E706E65" w14:textId="0FEA7B03" w:rsidR="001A2A96" w:rsidRDefault="00A90FAC" w:rsidP="00E40D5E">
                      <w:pPr>
                        <w:pStyle w:val="CGC2025Bullet2"/>
                      </w:pPr>
                      <w:r w:rsidRPr="00A90FAC">
                        <w:t>exclude COVID</w:t>
                      </w:r>
                      <w:r w:rsidRPr="00A90FAC">
                        <w:noBreakHyphen/>
                        <w:t>19 clinics from the list of non</w:t>
                      </w:r>
                      <w:r w:rsidRPr="00A90FAC">
                        <w:noBreakHyphen/>
                        <w:t xml:space="preserve">admitted patient allied health services in the proxy indicator of community and public </w:t>
                      </w:r>
                      <w:proofErr w:type="gramStart"/>
                      <w:r w:rsidRPr="00A90FAC">
                        <w:t>health</w:t>
                      </w:r>
                      <w:proofErr w:type="gramEnd"/>
                      <w:r w:rsidR="00E85835">
                        <w:t xml:space="preserve"> </w:t>
                      </w:r>
                    </w:p>
                    <w:p w14:paraId="09420D9C" w14:textId="11544DC4" w:rsidR="00A74496" w:rsidRDefault="00A74496" w:rsidP="00E40D5E">
                      <w:pPr>
                        <w:pStyle w:val="CGC2025Bullet2"/>
                      </w:pPr>
                      <w:r>
                        <w:t xml:space="preserve">discount the non-state sector adjustment for admitted patients, emergency departments, non-admitted patients and community health by </w:t>
                      </w:r>
                      <w:proofErr w:type="gramStart"/>
                      <w:r>
                        <w:t>12.5%</w:t>
                      </w:r>
                      <w:proofErr w:type="gramEnd"/>
                    </w:p>
                    <w:p w14:paraId="3BBD5C83" w14:textId="0DA7AC20" w:rsidR="008964E5" w:rsidRDefault="008964E5" w:rsidP="008964E5">
                      <w:pPr>
                        <w:pStyle w:val="CGC2025Bullet1"/>
                      </w:pPr>
                      <w:r>
                        <w:t xml:space="preserve">Housing: </w:t>
                      </w:r>
                      <w:r w:rsidR="007142CD">
                        <w:t>assess net expenses for social housing using an average household size</w:t>
                      </w:r>
                      <w:r w:rsidR="007142CD">
                        <w:noBreakHyphen/>
                        <w:t xml:space="preserve">based approach rather than the individual based approach </w:t>
                      </w:r>
                    </w:p>
                    <w:p w14:paraId="39733ECC" w14:textId="4709E634" w:rsidR="00612029" w:rsidRDefault="00612029" w:rsidP="008227FB">
                      <w:pPr>
                        <w:pStyle w:val="CGC2025Bullet1"/>
                      </w:pPr>
                      <w:r>
                        <w:t xml:space="preserve">Investment: </w:t>
                      </w:r>
                      <w:r w:rsidR="003E3016" w:rsidRPr="003A6320">
                        <w:t xml:space="preserve">exclude </w:t>
                      </w:r>
                      <w:r w:rsidR="003E3016">
                        <w:t>expenses</w:t>
                      </w:r>
                      <w:r w:rsidR="003E3016" w:rsidRPr="003A6320">
                        <w:t xml:space="preserve"> assessed in the COVID-19 component of the health assessment in </w:t>
                      </w:r>
                      <w:r w:rsidR="00726808">
                        <w:t>the</w:t>
                      </w:r>
                      <w:r w:rsidR="00726808" w:rsidRPr="003A6320">
                        <w:t xml:space="preserve"> </w:t>
                      </w:r>
                      <w:r w:rsidR="003E3016" w:rsidRPr="003A6320">
                        <w:t xml:space="preserve">calculation of state shares of need for </w:t>
                      </w:r>
                      <w:r w:rsidR="00726808">
                        <w:br/>
                      </w:r>
                      <w:r w:rsidR="003E3016" w:rsidRPr="003A6320">
                        <w:t>health-related capital</w:t>
                      </w:r>
                    </w:p>
                    <w:p w14:paraId="7B24EFCB" w14:textId="12B2EEB4" w:rsidR="00B36511" w:rsidRPr="00F9047D" w:rsidRDefault="00E1745F" w:rsidP="007A6EC6">
                      <w:pPr>
                        <w:pStyle w:val="CGC2025Bullet1"/>
                        <w:rPr>
                          <w:rStyle w:val="ui-provider"/>
                        </w:rPr>
                      </w:pPr>
                      <w:r w:rsidRPr="00F9047D">
                        <w:t xml:space="preserve">Roads: </w:t>
                      </w:r>
                      <w:r w:rsidR="00C70691" w:rsidRPr="00F9047D">
                        <w:t>retain the 2020 Review method for the synthetic rural road network, including routes to mines, national parks, gas wells and ports</w:t>
                      </w:r>
                      <w:r w:rsidR="00C42727">
                        <w:t>.</w:t>
                      </w:r>
                    </w:p>
                    <w:p w14:paraId="70BA53C2" w14:textId="3D1E9995" w:rsidR="00E1745F" w:rsidRDefault="00E1745F" w:rsidP="00E1745F">
                      <w:pPr>
                        <w:pStyle w:val="CGC2025Bullet1"/>
                        <w:numPr>
                          <w:ilvl w:val="0"/>
                          <w:numId w:val="0"/>
                        </w:numPr>
                        <w:ind w:left="567"/>
                      </w:pPr>
                      <w:r w:rsidRPr="00E1745F">
                        <w:t xml:space="preserve">The Commission has decided to make the following </w:t>
                      </w:r>
                      <w:r>
                        <w:t>minor</w:t>
                      </w:r>
                      <w:r w:rsidRPr="00E1745F">
                        <w:t xml:space="preserve"> changes to the methods </w:t>
                      </w:r>
                      <w:r w:rsidR="00B93919">
                        <w:t>proposed</w:t>
                      </w:r>
                      <w:r w:rsidR="00B93919" w:rsidRPr="00E1745F">
                        <w:t xml:space="preserve"> </w:t>
                      </w:r>
                      <w:r w:rsidRPr="00E1745F">
                        <w:t xml:space="preserve">in the Draft </w:t>
                      </w:r>
                      <w:r w:rsidR="009712CE">
                        <w:t>R</w:t>
                      </w:r>
                      <w:r w:rsidRPr="00E1745F">
                        <w:t>eport.</w:t>
                      </w:r>
                    </w:p>
                    <w:p w14:paraId="61C049D1" w14:textId="1395C172" w:rsidR="0054686C" w:rsidRDefault="004E0EC3" w:rsidP="00D37656">
                      <w:pPr>
                        <w:pStyle w:val="CGC2025Bullet1"/>
                      </w:pPr>
                      <w:r>
                        <w:t>Welfare:</w:t>
                      </w:r>
                      <w:r w:rsidR="00CB5164">
                        <w:t xml:space="preserve"> </w:t>
                      </w:r>
                      <w:r w:rsidR="0056028A" w:rsidRPr="0056028A">
                        <w:t xml:space="preserve">where states </w:t>
                      </w:r>
                      <w:r w:rsidR="006A47E1">
                        <w:t>are</w:t>
                      </w:r>
                      <w:r w:rsidR="0056028A" w:rsidRPr="0056028A">
                        <w:t xml:space="preserve"> not able to provide </w:t>
                      </w:r>
                      <w:r w:rsidR="0056028A">
                        <w:t xml:space="preserve">data on </w:t>
                      </w:r>
                      <w:r w:rsidR="0056028A" w:rsidRPr="0056028A">
                        <w:t>homelessness services expense</w:t>
                      </w:r>
                      <w:r w:rsidR="000F5DA2">
                        <w:t>s</w:t>
                      </w:r>
                      <w:r w:rsidR="0056028A" w:rsidRPr="0056028A">
                        <w:t xml:space="preserve">, </w:t>
                      </w:r>
                      <w:r w:rsidR="00CB5164">
                        <w:t>use the average of state expense</w:t>
                      </w:r>
                      <w:r w:rsidR="000F5DA2">
                        <w:t>s</w:t>
                      </w:r>
                      <w:r w:rsidR="00CB5164">
                        <w:t xml:space="preserve"> on homelessness from the Productivity Commission’s </w:t>
                      </w:r>
                      <w:r w:rsidR="00CB5164" w:rsidRPr="00D3143F">
                        <w:rPr>
                          <w:i/>
                          <w:iCs/>
                        </w:rPr>
                        <w:t>Report on Government Services</w:t>
                      </w:r>
                      <w:r w:rsidR="00CB5164">
                        <w:t xml:space="preserve"> to split expenses across the housing and welfare categories</w:t>
                      </w:r>
                      <w:r w:rsidR="00FF0069">
                        <w:t xml:space="preserve"> </w:t>
                      </w:r>
                    </w:p>
                    <w:p w14:paraId="34619B76" w14:textId="75CA77E9" w:rsidR="00DF7080" w:rsidRDefault="00B6408C" w:rsidP="00DF7080">
                      <w:pPr>
                        <w:pStyle w:val="CGC2025Bullet1"/>
                      </w:pPr>
                      <w:r>
                        <w:t>Transport</w:t>
                      </w:r>
                      <w:r w:rsidR="00FC3845">
                        <w:t>:</w:t>
                      </w:r>
                      <w:r w:rsidR="00DF7080">
                        <w:t xml:space="preserve"> reallocate pipeline expenses </w:t>
                      </w:r>
                      <w:r w:rsidR="00DF7080" w:rsidRPr="00DF7080">
                        <w:t>from the urban</w:t>
                      </w:r>
                      <w:r w:rsidR="00DF7080">
                        <w:t xml:space="preserve"> </w:t>
                      </w:r>
                      <w:r w:rsidR="001B38D3">
                        <w:t xml:space="preserve">component </w:t>
                      </w:r>
                      <w:r w:rsidR="00DF7080">
                        <w:t>to the non-urban component</w:t>
                      </w:r>
                    </w:p>
                    <w:p w14:paraId="3F2C2B66" w14:textId="47493619" w:rsidR="00DF7080" w:rsidRDefault="00DF7080" w:rsidP="00DF7080">
                      <w:pPr>
                        <w:pStyle w:val="CGC2025Bullet1"/>
                      </w:pPr>
                      <w:r>
                        <w:t>Geography: not include the gradients calculated for water or electricity subsidies in the general regional cost gradient. The general gradient will be calculated as the weighted average of gradients for state funding of government schools</w:t>
                      </w:r>
                      <w:r w:rsidR="00826DDA">
                        <w:t>,</w:t>
                      </w:r>
                      <w:r>
                        <w:t xml:space="preserve"> post-secondary education</w:t>
                      </w:r>
                      <w:r w:rsidR="00826DDA">
                        <w:t>,</w:t>
                      </w:r>
                      <w:r>
                        <w:t xml:space="preserve"> admitted patients</w:t>
                      </w:r>
                      <w:r w:rsidR="00826DDA">
                        <w:t>,</w:t>
                      </w:r>
                      <w:r>
                        <w:t xml:space="preserve"> emergency departments</w:t>
                      </w:r>
                      <w:r w:rsidR="00826DDA">
                        <w:t>,</w:t>
                      </w:r>
                      <w:r>
                        <w:t xml:space="preserve"> non-admitted patients</w:t>
                      </w:r>
                      <w:r w:rsidR="00826DDA">
                        <w:t>,</w:t>
                      </w:r>
                      <w:r>
                        <w:t xml:space="preserve"> criminal courts</w:t>
                      </w:r>
                      <w:r w:rsidR="00826DDA">
                        <w:t>,</w:t>
                      </w:r>
                      <w:r>
                        <w:t xml:space="preserve"> prisons</w:t>
                      </w:r>
                      <w:r w:rsidR="0071601B">
                        <w:t>,</w:t>
                      </w:r>
                      <w:r w:rsidR="00826DDA">
                        <w:t xml:space="preserve"> and</w:t>
                      </w:r>
                      <w:r>
                        <w:t xml:space="preserve"> </w:t>
                      </w:r>
                      <w:proofErr w:type="spellStart"/>
                      <w:r>
                        <w:t>Rawlinsons</w:t>
                      </w:r>
                      <w:proofErr w:type="spellEnd"/>
                      <w:r>
                        <w:t xml:space="preserve"> cost of construction. </w:t>
                      </w:r>
                    </w:p>
                    <w:p w14:paraId="5B4B7440" w14:textId="77777777" w:rsidR="00DF7080" w:rsidRPr="00A90FAC" w:rsidRDefault="00DF7080" w:rsidP="0069389C">
                      <w:pPr>
                        <w:pStyle w:val="CGC2025Bullet1"/>
                        <w:numPr>
                          <w:ilvl w:val="0"/>
                          <w:numId w:val="0"/>
                        </w:numPr>
                        <w:ind w:left="927"/>
                      </w:pPr>
                    </w:p>
                    <w:p w14:paraId="3F6B167A" w14:textId="0880AA59" w:rsidR="00954E8C" w:rsidRPr="00A90FAC" w:rsidRDefault="00954E8C" w:rsidP="00DF7080">
                      <w:pPr>
                        <w:pStyle w:val="CGC2025Bullet2"/>
                        <w:numPr>
                          <w:ilvl w:val="0"/>
                          <w:numId w:val="0"/>
                        </w:numPr>
                        <w:ind w:left="1321" w:hanging="357"/>
                      </w:pPr>
                    </w:p>
                  </w:txbxContent>
                </v:textbox>
                <w10:wrap type="square" anchorx="margin"/>
              </v:shape>
            </w:pict>
          </mc:Fallback>
        </mc:AlternateContent>
      </w:r>
    </w:p>
    <w:p w14:paraId="1F38E0A1" w14:textId="446EBE12" w:rsidR="00F42733" w:rsidRDefault="00F42733" w:rsidP="00F42733">
      <w:pPr>
        <w:pStyle w:val="Heading1"/>
      </w:pPr>
      <w:r>
        <w:lastRenderedPageBreak/>
        <w:t>Background</w:t>
      </w:r>
      <w:bookmarkEnd w:id="3"/>
    </w:p>
    <w:p w14:paraId="7C76916E" w14:textId="53E830B9" w:rsidR="00552F81" w:rsidRPr="00CC1F92" w:rsidRDefault="00F3265B" w:rsidP="001E712B">
      <w:pPr>
        <w:pStyle w:val="CGCNumberedPara"/>
        <w:numPr>
          <w:ilvl w:val="1"/>
          <w:numId w:val="17"/>
        </w:numPr>
        <w:rPr>
          <w:rFonts w:ascii="Work Sans" w:hAnsi="Work Sans"/>
          <w:sz w:val="20"/>
          <w:szCs w:val="20"/>
        </w:rPr>
      </w:pPr>
      <w:r w:rsidRPr="00CC1F92">
        <w:rPr>
          <w:rFonts w:ascii="Work Sans" w:hAnsi="Work Sans"/>
          <w:sz w:val="20"/>
          <w:szCs w:val="20"/>
        </w:rPr>
        <w:t>As part of the 2025 Methodology Review</w:t>
      </w:r>
      <w:r w:rsidR="0074061B" w:rsidRPr="00CC1F92">
        <w:rPr>
          <w:rFonts w:ascii="Work Sans" w:hAnsi="Work Sans"/>
          <w:sz w:val="20"/>
          <w:szCs w:val="20"/>
        </w:rPr>
        <w:t xml:space="preserve"> </w:t>
      </w:r>
      <w:hyperlink r:id="rId18" w:tgtFrame="_blank" w:history="1">
        <w:r w:rsidR="00906684">
          <w:rPr>
            <w:rStyle w:val="normaltextrun"/>
            <w:rFonts w:ascii="Work Sans" w:hAnsi="Work Sans" w:cs="Segoe UI"/>
            <w:color w:val="006991"/>
            <w:sz w:val="20"/>
            <w:szCs w:val="20"/>
            <w:u w:val="single"/>
            <w:shd w:val="clear" w:color="auto" w:fill="FFFFFF"/>
          </w:rPr>
          <w:t>T</w:t>
        </w:r>
        <w:r w:rsidR="00905846" w:rsidRPr="00CC1F92">
          <w:rPr>
            <w:rStyle w:val="normaltextrun"/>
            <w:rFonts w:ascii="Work Sans" w:hAnsi="Work Sans" w:cs="Segoe UI"/>
            <w:color w:val="006991"/>
            <w:sz w:val="20"/>
            <w:szCs w:val="20"/>
            <w:u w:val="single"/>
            <w:shd w:val="clear" w:color="auto" w:fill="FFFFFF"/>
          </w:rPr>
          <w:t xml:space="preserve">erms of </w:t>
        </w:r>
        <w:r w:rsidR="00906684">
          <w:rPr>
            <w:rStyle w:val="normaltextrun"/>
            <w:rFonts w:ascii="Work Sans" w:hAnsi="Work Sans" w:cs="Segoe UI"/>
            <w:color w:val="006991"/>
            <w:sz w:val="20"/>
            <w:szCs w:val="20"/>
            <w:u w:val="single"/>
            <w:shd w:val="clear" w:color="auto" w:fill="FFFFFF"/>
          </w:rPr>
          <w:t>R</w:t>
        </w:r>
        <w:r w:rsidR="00905846" w:rsidRPr="00CC1F92">
          <w:rPr>
            <w:rStyle w:val="normaltextrun"/>
            <w:rFonts w:ascii="Work Sans" w:hAnsi="Work Sans" w:cs="Segoe UI"/>
            <w:color w:val="006991"/>
            <w:sz w:val="20"/>
            <w:szCs w:val="20"/>
            <w:u w:val="single"/>
            <w:shd w:val="clear" w:color="auto" w:fill="FFFFFF"/>
          </w:rPr>
          <w:t>eference</w:t>
        </w:r>
      </w:hyperlink>
      <w:r w:rsidR="0074061B" w:rsidRPr="00CC1F92">
        <w:rPr>
          <w:rFonts w:ascii="Work Sans" w:hAnsi="Work Sans"/>
          <w:sz w:val="20"/>
          <w:szCs w:val="20"/>
        </w:rPr>
        <w:t xml:space="preserve"> issued by the</w:t>
      </w:r>
      <w:r w:rsidRPr="00CC1F92">
        <w:rPr>
          <w:rFonts w:ascii="Work Sans" w:hAnsi="Work Sans"/>
          <w:sz w:val="20"/>
          <w:szCs w:val="20"/>
        </w:rPr>
        <w:t xml:space="preserve"> Commonwealth Treasurer</w:t>
      </w:r>
      <w:r w:rsidR="00DD31A5" w:rsidRPr="00CC1F92">
        <w:rPr>
          <w:rFonts w:ascii="Work Sans" w:hAnsi="Work Sans"/>
          <w:sz w:val="20"/>
          <w:szCs w:val="20"/>
        </w:rPr>
        <w:t>,</w:t>
      </w:r>
      <w:r w:rsidRPr="00CC1F92">
        <w:rPr>
          <w:rFonts w:ascii="Work Sans" w:hAnsi="Work Sans"/>
          <w:sz w:val="20"/>
          <w:szCs w:val="20"/>
        </w:rPr>
        <w:t xml:space="preserve"> </w:t>
      </w:r>
      <w:r w:rsidR="0074061B" w:rsidRPr="00CC1F92">
        <w:rPr>
          <w:rFonts w:ascii="Work Sans" w:hAnsi="Work Sans"/>
          <w:sz w:val="20"/>
          <w:szCs w:val="20"/>
        </w:rPr>
        <w:t>the Commission was asked</w:t>
      </w:r>
      <w:r w:rsidRPr="00CC1F92">
        <w:rPr>
          <w:rFonts w:ascii="Work Sans" w:hAnsi="Work Sans"/>
          <w:sz w:val="20"/>
          <w:szCs w:val="20"/>
        </w:rPr>
        <w:t xml:space="preserve"> to consult with </w:t>
      </w:r>
      <w:r w:rsidR="0074061B" w:rsidRPr="00CC1F92">
        <w:rPr>
          <w:rFonts w:ascii="Work Sans" w:hAnsi="Work Sans"/>
          <w:sz w:val="20"/>
          <w:szCs w:val="20"/>
        </w:rPr>
        <w:t>s</w:t>
      </w:r>
      <w:r w:rsidRPr="00CC1F92">
        <w:rPr>
          <w:rFonts w:ascii="Work Sans" w:hAnsi="Work Sans"/>
          <w:sz w:val="20"/>
          <w:szCs w:val="20"/>
        </w:rPr>
        <w:t xml:space="preserve">tates </w:t>
      </w:r>
      <w:r w:rsidR="000B3AFF" w:rsidRPr="00CC1F92">
        <w:rPr>
          <w:rFonts w:ascii="Work Sans" w:hAnsi="Work Sans"/>
          <w:sz w:val="20"/>
          <w:szCs w:val="20"/>
        </w:rPr>
        <w:t xml:space="preserve">and territories (states) </w:t>
      </w:r>
      <w:r w:rsidR="003F53FB" w:rsidRPr="00CC1F92">
        <w:rPr>
          <w:rFonts w:ascii="Work Sans" w:hAnsi="Work Sans"/>
          <w:sz w:val="20"/>
          <w:szCs w:val="20"/>
        </w:rPr>
        <w:t>on any</w:t>
      </w:r>
      <w:r w:rsidRPr="00CC1F92">
        <w:rPr>
          <w:rFonts w:ascii="Work Sans" w:hAnsi="Work Sans"/>
          <w:sz w:val="20"/>
          <w:szCs w:val="20"/>
        </w:rPr>
        <w:t xml:space="preserve"> substantive changes to the methods </w:t>
      </w:r>
      <w:r w:rsidR="00A97428" w:rsidRPr="00CC1F92">
        <w:rPr>
          <w:rFonts w:ascii="Work Sans" w:hAnsi="Work Sans"/>
          <w:sz w:val="20"/>
          <w:szCs w:val="20"/>
        </w:rPr>
        <w:t xml:space="preserve">proposed </w:t>
      </w:r>
      <w:r w:rsidRPr="00CC1F92">
        <w:rPr>
          <w:rFonts w:ascii="Work Sans" w:hAnsi="Work Sans"/>
          <w:sz w:val="20"/>
          <w:szCs w:val="20"/>
        </w:rPr>
        <w:t xml:space="preserve">in the </w:t>
      </w:r>
      <w:r w:rsidR="00B85FAE" w:rsidRPr="00CC1F92">
        <w:rPr>
          <w:rFonts w:ascii="Work Sans" w:hAnsi="Work Sans"/>
          <w:sz w:val="20"/>
          <w:szCs w:val="20"/>
        </w:rPr>
        <w:br/>
      </w:r>
      <w:hyperlink r:id="rId19" w:history="1">
        <w:r w:rsidR="00B85FAE" w:rsidRPr="00CC1F92">
          <w:rPr>
            <w:rStyle w:val="Hyperlink"/>
            <w:rFonts w:ascii="Work Sans" w:hAnsi="Work Sans"/>
            <w:sz w:val="20"/>
            <w:szCs w:val="20"/>
          </w:rPr>
          <w:t>Draft Report</w:t>
        </w:r>
      </w:hyperlink>
      <w:r w:rsidRPr="00CC1F92">
        <w:rPr>
          <w:rFonts w:ascii="Work Sans" w:hAnsi="Work Sans"/>
          <w:sz w:val="20"/>
          <w:szCs w:val="20"/>
        </w:rPr>
        <w:t>.</w:t>
      </w:r>
      <w:r w:rsidR="00FC6A92" w:rsidRPr="00CC1F92">
        <w:rPr>
          <w:rFonts w:ascii="Work Sans" w:hAnsi="Work Sans"/>
          <w:sz w:val="20"/>
          <w:szCs w:val="20"/>
        </w:rPr>
        <w:t xml:space="preserve"> </w:t>
      </w:r>
    </w:p>
    <w:p w14:paraId="35407596" w14:textId="569A4F1B" w:rsidR="003456D8" w:rsidRPr="00B454DA" w:rsidRDefault="00F3265B" w:rsidP="00B454DA">
      <w:pPr>
        <w:pStyle w:val="CGCNumberedPara"/>
        <w:rPr>
          <w:rFonts w:ascii="Work Sans" w:hAnsi="Work Sans"/>
          <w:color w:val="313131"/>
          <w:sz w:val="20"/>
          <w:szCs w:val="20"/>
        </w:rPr>
      </w:pPr>
      <w:r w:rsidRPr="00B454DA">
        <w:rPr>
          <w:rFonts w:ascii="Work Sans" w:hAnsi="Work Sans"/>
          <w:color w:val="313131"/>
          <w:sz w:val="20"/>
          <w:szCs w:val="20"/>
        </w:rPr>
        <w:t xml:space="preserve">This paper sets out the substantive and </w:t>
      </w:r>
      <w:r w:rsidR="00913525" w:rsidRPr="00B454DA">
        <w:rPr>
          <w:rFonts w:ascii="Work Sans" w:hAnsi="Work Sans"/>
          <w:color w:val="313131"/>
          <w:sz w:val="20"/>
          <w:szCs w:val="20"/>
        </w:rPr>
        <w:t xml:space="preserve">minor </w:t>
      </w:r>
      <w:r w:rsidR="009C6751" w:rsidRPr="00B454DA">
        <w:rPr>
          <w:rFonts w:ascii="Work Sans" w:hAnsi="Work Sans"/>
          <w:color w:val="313131"/>
          <w:sz w:val="20"/>
          <w:szCs w:val="20"/>
        </w:rPr>
        <w:t xml:space="preserve">changes </w:t>
      </w:r>
      <w:r w:rsidR="0051258D" w:rsidRPr="00B454DA">
        <w:rPr>
          <w:rFonts w:ascii="Work Sans" w:hAnsi="Work Sans"/>
          <w:color w:val="313131"/>
          <w:sz w:val="20"/>
          <w:szCs w:val="20"/>
        </w:rPr>
        <w:t xml:space="preserve">since the Draft Report, </w:t>
      </w:r>
      <w:r w:rsidR="00895B38" w:rsidRPr="00B454DA">
        <w:rPr>
          <w:rFonts w:ascii="Work Sans" w:hAnsi="Work Sans"/>
          <w:color w:val="313131"/>
          <w:sz w:val="20"/>
          <w:szCs w:val="20"/>
        </w:rPr>
        <w:t>the reasons for those cha</w:t>
      </w:r>
      <w:r w:rsidR="6DCD3CD4" w:rsidRPr="00B454DA">
        <w:rPr>
          <w:rFonts w:ascii="Work Sans" w:hAnsi="Work Sans"/>
          <w:color w:val="313131"/>
          <w:sz w:val="20"/>
          <w:szCs w:val="20"/>
        </w:rPr>
        <w:t>n</w:t>
      </w:r>
      <w:r w:rsidR="00C043EB" w:rsidRPr="00B454DA">
        <w:rPr>
          <w:rFonts w:ascii="Work Sans" w:hAnsi="Work Sans"/>
          <w:color w:val="313131"/>
          <w:sz w:val="20"/>
          <w:szCs w:val="20"/>
        </w:rPr>
        <w:t>ges</w:t>
      </w:r>
      <w:r w:rsidR="005A6F17" w:rsidRPr="00B454DA">
        <w:rPr>
          <w:rFonts w:ascii="Work Sans" w:hAnsi="Work Sans"/>
          <w:color w:val="313131"/>
          <w:sz w:val="20"/>
          <w:szCs w:val="20"/>
        </w:rPr>
        <w:t xml:space="preserve">, </w:t>
      </w:r>
      <w:r w:rsidR="00157AE9" w:rsidRPr="00B454DA">
        <w:rPr>
          <w:rFonts w:ascii="Work Sans" w:hAnsi="Work Sans"/>
          <w:color w:val="313131"/>
          <w:sz w:val="20"/>
          <w:szCs w:val="20"/>
        </w:rPr>
        <w:t>and inc</w:t>
      </w:r>
      <w:r w:rsidR="000F61DB" w:rsidRPr="00B454DA">
        <w:rPr>
          <w:rFonts w:ascii="Work Sans" w:hAnsi="Work Sans"/>
          <w:color w:val="313131"/>
          <w:sz w:val="20"/>
          <w:szCs w:val="20"/>
        </w:rPr>
        <w:t>l</w:t>
      </w:r>
      <w:r w:rsidR="00157AE9" w:rsidRPr="00B454DA">
        <w:rPr>
          <w:rFonts w:ascii="Work Sans" w:hAnsi="Work Sans"/>
          <w:color w:val="313131"/>
          <w:sz w:val="20"/>
          <w:szCs w:val="20"/>
        </w:rPr>
        <w:t xml:space="preserve">udes </w:t>
      </w:r>
      <w:r w:rsidR="0088349F" w:rsidRPr="00B454DA">
        <w:rPr>
          <w:rFonts w:ascii="Work Sans" w:hAnsi="Work Sans"/>
          <w:color w:val="313131"/>
          <w:sz w:val="20"/>
          <w:szCs w:val="20"/>
        </w:rPr>
        <w:t xml:space="preserve">indicative </w:t>
      </w:r>
      <w:r w:rsidR="00157AE9" w:rsidRPr="00B454DA">
        <w:rPr>
          <w:rFonts w:ascii="Work Sans" w:hAnsi="Work Sans"/>
          <w:color w:val="313131"/>
          <w:sz w:val="20"/>
          <w:szCs w:val="20"/>
        </w:rPr>
        <w:t>GST impacts</w:t>
      </w:r>
      <w:r w:rsidR="005A6F17" w:rsidRPr="00B454DA">
        <w:rPr>
          <w:rFonts w:ascii="Work Sans" w:hAnsi="Work Sans"/>
          <w:color w:val="313131"/>
          <w:sz w:val="20"/>
          <w:szCs w:val="20"/>
        </w:rPr>
        <w:t xml:space="preserve"> of the </w:t>
      </w:r>
      <w:r w:rsidR="000F61DB" w:rsidRPr="00B454DA">
        <w:rPr>
          <w:rFonts w:ascii="Work Sans" w:hAnsi="Work Sans"/>
          <w:color w:val="313131"/>
          <w:sz w:val="20"/>
          <w:szCs w:val="20"/>
        </w:rPr>
        <w:t>new</w:t>
      </w:r>
      <w:r w:rsidR="005A6F17" w:rsidRPr="00B454DA">
        <w:rPr>
          <w:rFonts w:ascii="Work Sans" w:hAnsi="Work Sans"/>
          <w:color w:val="313131"/>
          <w:sz w:val="20"/>
          <w:szCs w:val="20"/>
        </w:rPr>
        <w:t xml:space="preserve"> methods</w:t>
      </w:r>
      <w:r w:rsidR="008540F0" w:rsidRPr="00B454DA">
        <w:rPr>
          <w:rFonts w:ascii="Work Sans" w:hAnsi="Work Sans"/>
          <w:color w:val="313131"/>
          <w:sz w:val="20"/>
          <w:szCs w:val="20"/>
        </w:rPr>
        <w:t xml:space="preserve"> </w:t>
      </w:r>
      <w:r w:rsidR="002478EE" w:rsidRPr="00B454DA">
        <w:rPr>
          <w:rFonts w:ascii="Work Sans" w:hAnsi="Work Sans"/>
          <w:color w:val="313131"/>
          <w:sz w:val="20"/>
          <w:szCs w:val="20"/>
        </w:rPr>
        <w:t>reflecting</w:t>
      </w:r>
      <w:r w:rsidR="008540F0" w:rsidRPr="00B454DA">
        <w:rPr>
          <w:rFonts w:ascii="Work Sans" w:hAnsi="Work Sans"/>
          <w:color w:val="313131"/>
          <w:sz w:val="20"/>
          <w:szCs w:val="20"/>
        </w:rPr>
        <w:t xml:space="preserve"> the changes since the Draft R</w:t>
      </w:r>
      <w:r w:rsidR="00B32153" w:rsidRPr="00B454DA">
        <w:rPr>
          <w:rFonts w:ascii="Work Sans" w:hAnsi="Work Sans"/>
          <w:color w:val="313131"/>
          <w:sz w:val="20"/>
          <w:szCs w:val="20"/>
        </w:rPr>
        <w:t>e</w:t>
      </w:r>
      <w:r w:rsidR="008540F0" w:rsidRPr="00B454DA">
        <w:rPr>
          <w:rFonts w:ascii="Work Sans" w:hAnsi="Work Sans"/>
          <w:color w:val="313131"/>
          <w:sz w:val="20"/>
          <w:szCs w:val="20"/>
        </w:rPr>
        <w:t>port</w:t>
      </w:r>
      <w:r w:rsidR="00895B38" w:rsidRPr="00B454DA">
        <w:rPr>
          <w:rFonts w:ascii="Work Sans" w:hAnsi="Work Sans"/>
          <w:color w:val="313131"/>
          <w:sz w:val="20"/>
          <w:szCs w:val="20"/>
        </w:rPr>
        <w:t xml:space="preserve">.  </w:t>
      </w:r>
    </w:p>
    <w:p w14:paraId="75BF4DC6" w14:textId="55C01267" w:rsidR="00552F81" w:rsidRPr="00B454DA" w:rsidRDefault="003A5BAE" w:rsidP="00B454DA">
      <w:pPr>
        <w:pStyle w:val="CGC2025ParaNumbers"/>
        <w:rPr>
          <w:color w:val="313131"/>
          <w:szCs w:val="20"/>
        </w:rPr>
      </w:pPr>
      <w:r w:rsidRPr="00B454DA">
        <w:rPr>
          <w:color w:val="313131"/>
          <w:szCs w:val="20"/>
        </w:rPr>
        <w:t>Indicative GST impacts are calculated using the 3 assessment years of the 2024</w:t>
      </w:r>
      <w:r w:rsidR="004F1469" w:rsidRPr="00B454DA">
        <w:rPr>
          <w:color w:val="313131"/>
          <w:szCs w:val="20"/>
        </w:rPr>
        <w:t> </w:t>
      </w:r>
      <w:r w:rsidRPr="00B454DA">
        <w:rPr>
          <w:color w:val="313131"/>
          <w:szCs w:val="20"/>
        </w:rPr>
        <w:t xml:space="preserve">Update and applying </w:t>
      </w:r>
      <w:r w:rsidR="00CB1D20" w:rsidRPr="00B454DA">
        <w:rPr>
          <w:color w:val="313131"/>
          <w:szCs w:val="20"/>
        </w:rPr>
        <w:t xml:space="preserve">the Commission’s </w:t>
      </w:r>
      <w:r w:rsidRPr="00B454DA">
        <w:rPr>
          <w:color w:val="313131"/>
          <w:szCs w:val="20"/>
        </w:rPr>
        <w:t>method changes</w:t>
      </w:r>
      <w:r w:rsidR="00BE1028" w:rsidRPr="00B454DA">
        <w:rPr>
          <w:color w:val="313131"/>
          <w:szCs w:val="20"/>
        </w:rPr>
        <w:t xml:space="preserve"> </w:t>
      </w:r>
      <w:r w:rsidR="00CA2262" w:rsidRPr="00B454DA">
        <w:rPr>
          <w:color w:val="313131"/>
          <w:szCs w:val="20"/>
        </w:rPr>
        <w:t xml:space="preserve">as </w:t>
      </w:r>
      <w:r w:rsidR="00BE1028" w:rsidRPr="00B454DA">
        <w:rPr>
          <w:color w:val="313131"/>
          <w:szCs w:val="20"/>
        </w:rPr>
        <w:t xml:space="preserve">outlined in the </w:t>
      </w:r>
      <w:r w:rsidR="00C54510" w:rsidRPr="00B454DA">
        <w:rPr>
          <w:color w:val="313131"/>
          <w:szCs w:val="20"/>
        </w:rPr>
        <w:t>D</w:t>
      </w:r>
      <w:r w:rsidR="00BE1028" w:rsidRPr="00B454DA">
        <w:rPr>
          <w:color w:val="313131"/>
          <w:szCs w:val="20"/>
        </w:rPr>
        <w:t>raft</w:t>
      </w:r>
      <w:r w:rsidR="00B35001" w:rsidRPr="00B454DA">
        <w:rPr>
          <w:color w:val="313131"/>
          <w:szCs w:val="20"/>
        </w:rPr>
        <w:t> </w:t>
      </w:r>
      <w:r w:rsidR="00C54510" w:rsidRPr="00B454DA">
        <w:rPr>
          <w:color w:val="313131"/>
          <w:szCs w:val="20"/>
        </w:rPr>
        <w:t>R</w:t>
      </w:r>
      <w:r w:rsidR="00BE1028" w:rsidRPr="00B454DA">
        <w:rPr>
          <w:color w:val="313131"/>
          <w:szCs w:val="20"/>
        </w:rPr>
        <w:t>eport</w:t>
      </w:r>
      <w:r w:rsidR="00DB015E" w:rsidRPr="00B454DA">
        <w:rPr>
          <w:color w:val="313131"/>
          <w:szCs w:val="20"/>
        </w:rPr>
        <w:t xml:space="preserve"> modified to </w:t>
      </w:r>
      <w:r w:rsidR="00CA2262" w:rsidRPr="00B454DA">
        <w:rPr>
          <w:color w:val="313131"/>
          <w:szCs w:val="20"/>
        </w:rPr>
        <w:t>incorporat</w:t>
      </w:r>
      <w:r w:rsidR="00DB015E" w:rsidRPr="00B454DA">
        <w:rPr>
          <w:color w:val="313131"/>
          <w:szCs w:val="20"/>
        </w:rPr>
        <w:t>e</w:t>
      </w:r>
      <w:r w:rsidR="00CA2262" w:rsidRPr="00B454DA">
        <w:rPr>
          <w:color w:val="313131"/>
          <w:szCs w:val="20"/>
        </w:rPr>
        <w:t xml:space="preserve"> the changes in </w:t>
      </w:r>
      <w:r w:rsidR="00BE1028" w:rsidRPr="00B454DA">
        <w:rPr>
          <w:color w:val="313131"/>
          <w:szCs w:val="20"/>
        </w:rPr>
        <w:t>this paper</w:t>
      </w:r>
      <w:r w:rsidRPr="00B454DA">
        <w:rPr>
          <w:color w:val="313131"/>
          <w:szCs w:val="20"/>
        </w:rPr>
        <w:t>. </w:t>
      </w:r>
    </w:p>
    <w:p w14:paraId="37F06237" w14:textId="0282DE0F" w:rsidR="003A5BAE" w:rsidRPr="00F9047D" w:rsidRDefault="003A5BAE" w:rsidP="00F9047D">
      <w:pPr>
        <w:pStyle w:val="CGCNumberedPara"/>
        <w:numPr>
          <w:ilvl w:val="1"/>
          <w:numId w:val="17"/>
        </w:numPr>
        <w:rPr>
          <w:rFonts w:ascii="Work Sans" w:hAnsi="Work Sans"/>
          <w:color w:val="313131"/>
          <w:sz w:val="20"/>
          <w:szCs w:val="20"/>
        </w:rPr>
      </w:pPr>
      <w:r w:rsidRPr="00F9047D">
        <w:rPr>
          <w:rFonts w:ascii="Work Sans" w:hAnsi="Work Sans"/>
          <w:sz w:val="20"/>
          <w:szCs w:val="20"/>
        </w:rPr>
        <w:t>GST impacts are provided for illustrative purposes only and should not be used</w:t>
      </w:r>
      <w:r w:rsidRPr="00F9047D">
        <w:rPr>
          <w:rFonts w:ascii="Work Sans" w:hAnsi="Work Sans"/>
          <w:color w:val="313131"/>
          <w:sz w:val="20"/>
          <w:szCs w:val="20"/>
        </w:rPr>
        <w:t xml:space="preserve"> to predict the GST distribution for 2025–26. The GST impacts in the Commission’s </w:t>
      </w:r>
      <w:r w:rsidR="002B0855">
        <w:rPr>
          <w:rFonts w:ascii="Work Sans" w:hAnsi="Work Sans"/>
          <w:color w:val="313131"/>
          <w:sz w:val="20"/>
          <w:szCs w:val="20"/>
        </w:rPr>
        <w:t>f</w:t>
      </w:r>
      <w:r w:rsidRPr="00F9047D">
        <w:rPr>
          <w:rFonts w:ascii="Work Sans" w:hAnsi="Work Sans"/>
          <w:color w:val="313131"/>
          <w:sz w:val="20"/>
          <w:szCs w:val="20"/>
        </w:rPr>
        <w:t>inal</w:t>
      </w:r>
      <w:r w:rsidR="000B5BBA" w:rsidRPr="00F9047D">
        <w:rPr>
          <w:rFonts w:ascii="Work Sans" w:hAnsi="Work Sans"/>
          <w:color w:val="313131"/>
          <w:sz w:val="20"/>
          <w:szCs w:val="20"/>
        </w:rPr>
        <w:t> </w:t>
      </w:r>
      <w:r w:rsidR="002B0855">
        <w:rPr>
          <w:rFonts w:ascii="Work Sans" w:hAnsi="Work Sans"/>
          <w:color w:val="313131"/>
          <w:sz w:val="20"/>
          <w:szCs w:val="20"/>
        </w:rPr>
        <w:t>r</w:t>
      </w:r>
      <w:r w:rsidRPr="00F9047D">
        <w:rPr>
          <w:rFonts w:ascii="Work Sans" w:hAnsi="Work Sans"/>
          <w:color w:val="313131"/>
          <w:sz w:val="20"/>
          <w:szCs w:val="20"/>
        </w:rPr>
        <w:t xml:space="preserve">eport will include updated data and will differ from the illustrative impacts in this </w:t>
      </w:r>
      <w:r w:rsidR="009D322D" w:rsidRPr="00F9047D">
        <w:rPr>
          <w:rFonts w:ascii="Work Sans" w:hAnsi="Work Sans"/>
          <w:color w:val="313131"/>
          <w:sz w:val="20"/>
          <w:szCs w:val="20"/>
        </w:rPr>
        <w:t>paper</w:t>
      </w:r>
      <w:r w:rsidRPr="00F9047D">
        <w:rPr>
          <w:rFonts w:ascii="Work Sans" w:hAnsi="Work Sans"/>
          <w:color w:val="313131"/>
          <w:sz w:val="20"/>
          <w:szCs w:val="20"/>
        </w:rPr>
        <w:t>.  </w:t>
      </w:r>
    </w:p>
    <w:p w14:paraId="21CB984C" w14:textId="42551DBE" w:rsidR="004107A8" w:rsidRPr="00F9047D" w:rsidRDefault="00F3265B" w:rsidP="00F9047D">
      <w:pPr>
        <w:pStyle w:val="CGCNumberedPara"/>
        <w:numPr>
          <w:ilvl w:val="1"/>
          <w:numId w:val="17"/>
        </w:numPr>
        <w:rPr>
          <w:rFonts w:ascii="Work Sans" w:hAnsi="Work Sans"/>
          <w:sz w:val="20"/>
          <w:szCs w:val="20"/>
        </w:rPr>
      </w:pPr>
      <w:r w:rsidRPr="00F9047D">
        <w:rPr>
          <w:rFonts w:ascii="Work Sans" w:hAnsi="Work Sans"/>
          <w:sz w:val="20"/>
          <w:szCs w:val="20"/>
        </w:rPr>
        <w:t xml:space="preserve">Methods not </w:t>
      </w:r>
      <w:r w:rsidR="00FD212C" w:rsidRPr="00F9047D">
        <w:rPr>
          <w:rFonts w:ascii="Work Sans" w:hAnsi="Work Sans"/>
          <w:sz w:val="20"/>
          <w:szCs w:val="20"/>
        </w:rPr>
        <w:t>covered</w:t>
      </w:r>
      <w:r w:rsidR="00292789" w:rsidRPr="00F9047D">
        <w:rPr>
          <w:rFonts w:ascii="Work Sans" w:hAnsi="Work Sans"/>
          <w:sz w:val="20"/>
          <w:szCs w:val="20"/>
        </w:rPr>
        <w:t xml:space="preserve"> </w:t>
      </w:r>
      <w:r w:rsidRPr="00F9047D">
        <w:rPr>
          <w:rFonts w:ascii="Work Sans" w:hAnsi="Work Sans"/>
          <w:sz w:val="20"/>
          <w:szCs w:val="20"/>
        </w:rPr>
        <w:t xml:space="preserve">in this paper </w:t>
      </w:r>
      <w:r w:rsidR="00A362F5" w:rsidRPr="00F9047D">
        <w:rPr>
          <w:rFonts w:ascii="Work Sans" w:hAnsi="Work Sans"/>
          <w:sz w:val="20"/>
          <w:szCs w:val="20"/>
        </w:rPr>
        <w:t xml:space="preserve">are expected to </w:t>
      </w:r>
      <w:r w:rsidR="00400D19" w:rsidRPr="00F9047D">
        <w:rPr>
          <w:rFonts w:ascii="Work Sans" w:hAnsi="Work Sans"/>
          <w:sz w:val="20"/>
          <w:szCs w:val="20"/>
        </w:rPr>
        <w:t>remain</w:t>
      </w:r>
      <w:r w:rsidRPr="00F9047D">
        <w:rPr>
          <w:rFonts w:ascii="Work Sans" w:hAnsi="Work Sans"/>
          <w:sz w:val="20"/>
          <w:szCs w:val="20"/>
        </w:rPr>
        <w:t xml:space="preserve"> as described in the </w:t>
      </w:r>
      <w:r w:rsidR="0074061B" w:rsidRPr="00F9047D">
        <w:rPr>
          <w:rFonts w:ascii="Work Sans" w:hAnsi="Work Sans"/>
          <w:sz w:val="20"/>
          <w:szCs w:val="20"/>
        </w:rPr>
        <w:t>D</w:t>
      </w:r>
      <w:r w:rsidRPr="00F9047D">
        <w:rPr>
          <w:rFonts w:ascii="Work Sans" w:hAnsi="Work Sans"/>
          <w:sz w:val="20"/>
          <w:szCs w:val="20"/>
        </w:rPr>
        <w:t>raft</w:t>
      </w:r>
      <w:r w:rsidR="000B3AFF" w:rsidRPr="00F9047D">
        <w:rPr>
          <w:rFonts w:ascii="Work Sans" w:hAnsi="Work Sans"/>
          <w:sz w:val="20"/>
          <w:szCs w:val="20"/>
        </w:rPr>
        <w:t> </w:t>
      </w:r>
      <w:r w:rsidR="0074061B" w:rsidRPr="00F9047D">
        <w:rPr>
          <w:rFonts w:ascii="Work Sans" w:hAnsi="Work Sans"/>
          <w:sz w:val="20"/>
          <w:szCs w:val="20"/>
        </w:rPr>
        <w:t>R</w:t>
      </w:r>
      <w:r w:rsidRPr="00F9047D">
        <w:rPr>
          <w:rFonts w:ascii="Work Sans" w:hAnsi="Work Sans"/>
          <w:sz w:val="20"/>
          <w:szCs w:val="20"/>
        </w:rPr>
        <w:t>eport</w:t>
      </w:r>
      <w:r w:rsidR="0074061B" w:rsidRPr="00F9047D">
        <w:rPr>
          <w:rFonts w:ascii="Work Sans" w:hAnsi="Work Sans"/>
          <w:sz w:val="20"/>
          <w:szCs w:val="20"/>
        </w:rPr>
        <w:t>.</w:t>
      </w:r>
    </w:p>
    <w:p w14:paraId="7D4E8A48" w14:textId="18DD5048" w:rsidR="00EA2DB1" w:rsidRDefault="00EA2DB1" w:rsidP="008B341C">
      <w:pPr>
        <w:pStyle w:val="Heading1"/>
      </w:pPr>
      <w:bookmarkStart w:id="4" w:name="_Toc176348493"/>
      <w:r>
        <w:t>Substantive method change</w:t>
      </w:r>
      <w:bookmarkEnd w:id="4"/>
      <w:r w:rsidR="008B341C">
        <w:t>s</w:t>
      </w:r>
      <w:r w:rsidR="00A730B7">
        <w:t xml:space="preserve"> since the Draft Report </w:t>
      </w:r>
    </w:p>
    <w:p w14:paraId="12362F21" w14:textId="6FA39630" w:rsidR="00650B4A" w:rsidRPr="008B341C" w:rsidRDefault="00650B4A" w:rsidP="00650B4A">
      <w:pPr>
        <w:pStyle w:val="Heading2"/>
      </w:pPr>
      <w:r>
        <w:t>Motor taxes</w:t>
      </w:r>
    </w:p>
    <w:p w14:paraId="43BAC07B" w14:textId="6DD1D363" w:rsidR="00650B4A" w:rsidRDefault="00650B4A" w:rsidP="00650B4A">
      <w:pPr>
        <w:pStyle w:val="Heading3"/>
      </w:pPr>
      <w:r>
        <w:t>Differential assessment of stamp duty on motor vehicle transfers</w:t>
      </w:r>
    </w:p>
    <w:p w14:paraId="6E771110" w14:textId="2BD8086F" w:rsidR="00650B4A" w:rsidRDefault="0077333D" w:rsidP="00650B4A">
      <w:pPr>
        <w:pStyle w:val="CGC2025ParaNumbers"/>
      </w:pPr>
      <w:r>
        <w:t xml:space="preserve">In the Draft Report, the Commission proposed not to reintroduce a differential assessment of stamp duty on motor vehicle transfers </w:t>
      </w:r>
      <w:r w:rsidR="00425CB4">
        <w:t xml:space="preserve">because it considered </w:t>
      </w:r>
      <w:r>
        <w:t xml:space="preserve">the assessment was not </w:t>
      </w:r>
      <w:r w:rsidR="00AA6149">
        <w:t xml:space="preserve">likely to be </w:t>
      </w:r>
      <w:r>
        <w:t>material at the driver materiality threshold ($40</w:t>
      </w:r>
      <w:r w:rsidR="002F6E27">
        <w:t> </w:t>
      </w:r>
      <w:r>
        <w:t>per</w:t>
      </w:r>
      <w:r w:rsidR="002F6E27">
        <w:t> </w:t>
      </w:r>
      <w:r>
        <w:t xml:space="preserve">capita). </w:t>
      </w:r>
      <w:r w:rsidR="00AA6149">
        <w:t>The Commission</w:t>
      </w:r>
      <w:r w:rsidR="00890D03">
        <w:t>’s position was based on an</w:t>
      </w:r>
      <w:r w:rsidR="00AA6149">
        <w:t xml:space="preserve"> estimate</w:t>
      </w:r>
      <w:r w:rsidR="00890D03">
        <w:t xml:space="preserve"> of</w:t>
      </w:r>
      <w:r w:rsidR="00AA6149">
        <w:t xml:space="preserve"> the materiality of a differential assessment using data provided by states in the 2019</w:t>
      </w:r>
      <w:r w:rsidR="002F6E27">
        <w:t> </w:t>
      </w:r>
      <w:r w:rsidR="00AA6149">
        <w:t xml:space="preserve">Update, the latest data </w:t>
      </w:r>
      <w:r w:rsidR="009340DA">
        <w:t xml:space="preserve">the Commission had </w:t>
      </w:r>
      <w:r w:rsidR="00AA6149">
        <w:t>available</w:t>
      </w:r>
      <w:r w:rsidR="009340DA">
        <w:t xml:space="preserve"> at th</w:t>
      </w:r>
      <w:r w:rsidR="0074039D">
        <w:t>e</w:t>
      </w:r>
      <w:r w:rsidR="009340DA">
        <w:t xml:space="preserve"> time</w:t>
      </w:r>
      <w:r w:rsidR="0074039D">
        <w:t xml:space="preserve"> of the Draft</w:t>
      </w:r>
      <w:r w:rsidR="006936DB">
        <w:t> </w:t>
      </w:r>
      <w:r w:rsidR="0074039D">
        <w:t>Report</w:t>
      </w:r>
      <w:r w:rsidR="00AA6149">
        <w:t>.</w:t>
      </w:r>
    </w:p>
    <w:p w14:paraId="68D67F9B" w14:textId="77777777" w:rsidR="00650B4A" w:rsidRDefault="00650B4A" w:rsidP="00650B4A">
      <w:pPr>
        <w:pStyle w:val="Heading4"/>
      </w:pPr>
      <w:r>
        <w:t>State views</w:t>
      </w:r>
    </w:p>
    <w:p w14:paraId="07EA53A0" w14:textId="0EEDC395" w:rsidR="00650B4A" w:rsidRDefault="00FC730A" w:rsidP="00650B4A">
      <w:pPr>
        <w:pStyle w:val="CGC2025ParaNumbers"/>
      </w:pPr>
      <w:r>
        <w:t xml:space="preserve">In response to the Draft Report, </w:t>
      </w:r>
      <w:r w:rsidR="00650B4A">
        <w:t xml:space="preserve">South Australia </w:t>
      </w:r>
      <w:r w:rsidR="00A3144A">
        <w:t xml:space="preserve">said </w:t>
      </w:r>
      <w:r w:rsidR="008459AA">
        <w:t>Australian Bureau of Statistics (</w:t>
      </w:r>
      <w:r w:rsidR="004102C9">
        <w:t>ABS</w:t>
      </w:r>
      <w:r w:rsidR="008459AA">
        <w:t>)</w:t>
      </w:r>
      <w:r w:rsidR="004102C9">
        <w:t xml:space="preserve"> data showed </w:t>
      </w:r>
      <w:r w:rsidR="007E05C0">
        <w:t xml:space="preserve">there </w:t>
      </w:r>
      <w:r w:rsidR="004A2C67">
        <w:t xml:space="preserve">had been significant growth in </w:t>
      </w:r>
      <w:r w:rsidR="001A58B7">
        <w:t xml:space="preserve">revenue raised from stamp duty on </w:t>
      </w:r>
      <w:r w:rsidR="00044B3A">
        <w:t>motor vehicle transfers</w:t>
      </w:r>
      <w:r w:rsidR="00AF3B95">
        <w:t xml:space="preserve"> since 2018–19</w:t>
      </w:r>
      <w:r w:rsidR="001A58B7">
        <w:t>.</w:t>
      </w:r>
      <w:r w:rsidR="00044B3A">
        <w:t xml:space="preserve"> </w:t>
      </w:r>
      <w:r w:rsidR="000035DD">
        <w:t>South Australia</w:t>
      </w:r>
      <w:r w:rsidR="00FD1E92">
        <w:t xml:space="preserve"> said its analysis </w:t>
      </w:r>
      <w:r w:rsidR="00BB4440">
        <w:lastRenderedPageBreak/>
        <w:t xml:space="preserve">indicated that a differential assessment would be material. </w:t>
      </w:r>
      <w:r w:rsidR="00093B14">
        <w:t xml:space="preserve">It said </w:t>
      </w:r>
      <w:r w:rsidR="00A3144A">
        <w:t xml:space="preserve">the Commission </w:t>
      </w:r>
      <w:r w:rsidR="00093B14">
        <w:t xml:space="preserve">should seek more recent data from states </w:t>
      </w:r>
      <w:r w:rsidR="00044B3A">
        <w:t>to test the materiality of a differential assessment</w:t>
      </w:r>
      <w:r w:rsidR="00ED1F11">
        <w:t xml:space="preserve"> of stamp duty </w:t>
      </w:r>
      <w:r w:rsidR="007723AC">
        <w:t xml:space="preserve">on motor vehicles and </w:t>
      </w:r>
      <w:r w:rsidR="00484A2A">
        <w:t xml:space="preserve">reintroduce </w:t>
      </w:r>
      <w:r w:rsidR="00DC129F">
        <w:t xml:space="preserve">the assessment </w:t>
      </w:r>
      <w:r w:rsidR="00484A2A">
        <w:t>if material.</w:t>
      </w:r>
    </w:p>
    <w:p w14:paraId="4396CD55" w14:textId="77777777" w:rsidR="00650B4A" w:rsidRDefault="00650B4A" w:rsidP="00650B4A">
      <w:pPr>
        <w:pStyle w:val="Heading4"/>
      </w:pPr>
      <w:r>
        <w:t>Commission response</w:t>
      </w:r>
    </w:p>
    <w:p w14:paraId="0B50162A" w14:textId="0BE6CF3D" w:rsidR="00650B4A" w:rsidRDefault="00650B4A" w:rsidP="00650B4A">
      <w:pPr>
        <w:pStyle w:val="CGC2025ParaNumbers"/>
      </w:pPr>
      <w:r>
        <w:t>The</w:t>
      </w:r>
      <w:r w:rsidR="00F95605">
        <w:t xml:space="preserve"> Commission collected data </w:t>
      </w:r>
      <w:r w:rsidR="001D4E2F">
        <w:t xml:space="preserve">from states on the value of motor vehicle transfers </w:t>
      </w:r>
      <w:r w:rsidR="00F95605">
        <w:t xml:space="preserve">for the 2024 Update </w:t>
      </w:r>
      <w:r w:rsidR="00484A2A">
        <w:t>assessment years</w:t>
      </w:r>
      <w:r w:rsidR="000779AB">
        <w:t>.</w:t>
      </w:r>
      <w:r w:rsidR="00484A2A">
        <w:t xml:space="preserve"> </w:t>
      </w:r>
      <w:r w:rsidR="004F7F4D">
        <w:t xml:space="preserve">Based on these data the assessment is material at the </w:t>
      </w:r>
      <w:r w:rsidR="00474240">
        <w:t xml:space="preserve">$40 per capita </w:t>
      </w:r>
      <w:r w:rsidR="004F7F4D">
        <w:t>driver materiality threshold</w:t>
      </w:r>
      <w:r w:rsidR="005332BB">
        <w:t>.</w:t>
      </w:r>
    </w:p>
    <w:p w14:paraId="4B503BA2" w14:textId="77777777" w:rsidR="00650B4A" w:rsidRPr="00E21413" w:rsidRDefault="00650B4A" w:rsidP="00650B4A">
      <w:pPr>
        <w:pStyle w:val="Heading4"/>
        <w:keepLines/>
      </w:pPr>
      <w:r>
        <w:t>Commission position</w:t>
      </w:r>
    </w:p>
    <w:p w14:paraId="7579AF99" w14:textId="5586EB80" w:rsidR="001941EF" w:rsidRDefault="00650B4A" w:rsidP="001941EF">
      <w:pPr>
        <w:pStyle w:val="CGC2025ParaNumbers"/>
      </w:pPr>
      <w:r>
        <w:t xml:space="preserve">The Commission will </w:t>
      </w:r>
      <w:r w:rsidR="00C7370F">
        <w:t>reintroduce a differential assessment of stamp duty on motor vehicle tra</w:t>
      </w:r>
      <w:r w:rsidR="00F95605">
        <w:t>nsfers.</w:t>
      </w:r>
      <w:r w:rsidR="00480A66">
        <w:t xml:space="preserve"> </w:t>
      </w:r>
      <w:r w:rsidR="00766CC1">
        <w:t xml:space="preserve">Stamp duty on motor vehicles will be </w:t>
      </w:r>
      <w:r w:rsidR="00480A66">
        <w:t>assess</w:t>
      </w:r>
      <w:r w:rsidR="00766CC1">
        <w:t xml:space="preserve">ed </w:t>
      </w:r>
      <w:r w:rsidR="0082315A">
        <w:t xml:space="preserve">as a separate component within </w:t>
      </w:r>
      <w:r w:rsidR="007F125E">
        <w:t>the motor taxes category.</w:t>
      </w:r>
      <w:r w:rsidR="00350016">
        <w:rPr>
          <w:rStyle w:val="FootnoteReference"/>
        </w:rPr>
        <w:footnoteReference w:id="2"/>
      </w:r>
      <w:r w:rsidR="005D560D">
        <w:t xml:space="preserve"> The revenue base </w:t>
      </w:r>
      <w:r w:rsidR="00DF7080">
        <w:t>will be</w:t>
      </w:r>
      <w:r w:rsidR="005D560D">
        <w:t xml:space="preserve"> the total </w:t>
      </w:r>
      <w:r w:rsidR="00C56857">
        <w:t xml:space="preserve">dutiable </w:t>
      </w:r>
      <w:r w:rsidR="005D560D">
        <w:t>value of vehicle</w:t>
      </w:r>
      <w:r w:rsidR="007B1859">
        <w:t xml:space="preserve"> transfers</w:t>
      </w:r>
      <w:r w:rsidR="00A54321">
        <w:t>.</w:t>
      </w:r>
      <w:r w:rsidR="00107CF8">
        <w:t xml:space="preserve"> </w:t>
      </w:r>
      <w:r w:rsidR="00B6246D">
        <w:t xml:space="preserve">The dutiable value is the greater of the purchase price or the market value. </w:t>
      </w:r>
      <w:r w:rsidR="00107CF8">
        <w:t xml:space="preserve">Data on the revenue raised are separately </w:t>
      </w:r>
      <w:r w:rsidR="00211652">
        <w:t xml:space="preserve">identified in </w:t>
      </w:r>
      <w:r w:rsidR="00107CF8">
        <w:t>ABS</w:t>
      </w:r>
      <w:r w:rsidR="002F6E27">
        <w:t> </w:t>
      </w:r>
      <w:r w:rsidR="00107CF8">
        <w:t xml:space="preserve">Government Finance Statistics </w:t>
      </w:r>
      <w:r w:rsidR="004E64A0">
        <w:t>and</w:t>
      </w:r>
      <w:r w:rsidR="00A511B9">
        <w:t xml:space="preserve">, </w:t>
      </w:r>
      <w:r w:rsidR="004E64A0">
        <w:t xml:space="preserve">for the last </w:t>
      </w:r>
      <w:r w:rsidR="00C10DC5">
        <w:t xml:space="preserve">assessment </w:t>
      </w:r>
      <w:r w:rsidR="004E64A0">
        <w:t>year</w:t>
      </w:r>
      <w:r w:rsidR="00A511B9">
        <w:t xml:space="preserve">, from </w:t>
      </w:r>
      <w:r w:rsidR="00426B60">
        <w:t>s</w:t>
      </w:r>
      <w:r w:rsidR="00A511B9">
        <w:t>tate</w:t>
      </w:r>
      <w:r w:rsidR="002F6E27">
        <w:t> </w:t>
      </w:r>
      <w:r w:rsidR="00426B60">
        <w:t>r</w:t>
      </w:r>
      <w:r w:rsidR="00A511B9">
        <w:t xml:space="preserve">evenue </w:t>
      </w:r>
      <w:r w:rsidR="00426B60">
        <w:t>o</w:t>
      </w:r>
      <w:r w:rsidR="00A511B9">
        <w:t>ffices.</w:t>
      </w:r>
      <w:r w:rsidR="004E64A0">
        <w:t xml:space="preserve"> </w:t>
      </w:r>
    </w:p>
    <w:p w14:paraId="20B7A7CD" w14:textId="0CFDC1BF" w:rsidR="001941EF" w:rsidRPr="00194E8C" w:rsidRDefault="001941EF" w:rsidP="002E1C50">
      <w:pPr>
        <w:pStyle w:val="Heading3"/>
      </w:pPr>
      <w:r w:rsidRPr="00194E8C">
        <w:t>Indicative impact on GST distribution of changes</w:t>
      </w:r>
      <w:r w:rsidR="00282C17" w:rsidRPr="00194E8C">
        <w:t xml:space="preserve"> </w:t>
      </w:r>
      <w:r w:rsidR="001431B6">
        <w:t xml:space="preserve">since the Draft Report </w:t>
      </w:r>
      <w:r w:rsidRPr="00194E8C">
        <w:t>in the motor taxes assessment</w:t>
      </w:r>
    </w:p>
    <w:p w14:paraId="40AD29D5" w14:textId="495F548D" w:rsidR="001941EF" w:rsidRPr="00B454DA" w:rsidRDefault="001941EF" w:rsidP="00A74496">
      <w:pPr>
        <w:pStyle w:val="CGC2025ParaNumbers"/>
      </w:pPr>
      <w:r w:rsidRPr="00476AC7">
        <w:t>Table 1 shows the change from the 2020 Review method to the 2025 Review method</w:t>
      </w:r>
      <w:r w:rsidR="008A2B7E" w:rsidRPr="00476AC7">
        <w:t xml:space="preserve">, </w:t>
      </w:r>
      <w:r w:rsidR="00544BF4" w:rsidRPr="00476AC7">
        <w:t>resulting from</w:t>
      </w:r>
      <w:r w:rsidR="006E24A5" w:rsidRPr="00476AC7">
        <w:t xml:space="preserve"> </w:t>
      </w:r>
      <w:r w:rsidR="008A2B7E" w:rsidRPr="00476AC7">
        <w:t>a differential assessment of stamp duty on motor vehicle transfers</w:t>
      </w:r>
      <w:r w:rsidRPr="00476AC7">
        <w:t>.</w:t>
      </w:r>
      <w:r w:rsidR="00295AB2" w:rsidRPr="00476AC7">
        <w:t xml:space="preserve"> New</w:t>
      </w:r>
      <w:r w:rsidR="00F3270D" w:rsidRPr="00476AC7">
        <w:t xml:space="preserve"> South Wales</w:t>
      </w:r>
      <w:r w:rsidR="00D06B93" w:rsidRPr="00476AC7">
        <w:t xml:space="preserve"> and Western</w:t>
      </w:r>
      <w:r w:rsidR="008909D0" w:rsidRPr="00476AC7">
        <w:t xml:space="preserve"> Australia</w:t>
      </w:r>
      <w:r w:rsidR="005028EA" w:rsidRPr="00476AC7">
        <w:t xml:space="preserve"> had above</w:t>
      </w:r>
      <w:r w:rsidR="008724A9">
        <w:t>-</w:t>
      </w:r>
      <w:r w:rsidR="00A64CFA" w:rsidRPr="00476AC7">
        <w:t>average per capita</w:t>
      </w:r>
      <w:r w:rsidR="00F3659D" w:rsidRPr="00476AC7">
        <w:t xml:space="preserve"> value of </w:t>
      </w:r>
      <w:r w:rsidR="00194141" w:rsidRPr="00476AC7">
        <w:t>vehicle transfers</w:t>
      </w:r>
      <w:r w:rsidR="00E03737" w:rsidRPr="00476AC7">
        <w:t xml:space="preserve">, </w:t>
      </w:r>
      <w:r w:rsidR="009825C6" w:rsidRPr="00476AC7">
        <w:t xml:space="preserve">and </w:t>
      </w:r>
      <w:r w:rsidR="00E03737" w:rsidRPr="00476AC7">
        <w:t>this reduced their</w:t>
      </w:r>
      <w:r w:rsidR="00122526" w:rsidRPr="00476AC7">
        <w:t xml:space="preserve"> GST needs.</w:t>
      </w:r>
      <w:r w:rsidRPr="00476AC7">
        <w:t xml:space="preserve"> </w:t>
      </w:r>
      <w:r w:rsidR="00AF0AF3" w:rsidRPr="00B454DA">
        <w:t>Victoria</w:t>
      </w:r>
      <w:r w:rsidR="00AC30B9" w:rsidRPr="00B454DA">
        <w:t>,</w:t>
      </w:r>
      <w:r w:rsidR="00D907B6" w:rsidRPr="00B454DA">
        <w:t xml:space="preserve"> the ACT </w:t>
      </w:r>
      <w:r w:rsidR="00F76812" w:rsidRPr="00B454DA">
        <w:t xml:space="preserve">and the Northern Territory </w:t>
      </w:r>
      <w:r w:rsidR="00D907B6" w:rsidRPr="00B454DA">
        <w:t xml:space="preserve">had </w:t>
      </w:r>
      <w:r w:rsidR="00D36EB7" w:rsidRPr="00B454DA">
        <w:t xml:space="preserve">well </w:t>
      </w:r>
      <w:r w:rsidR="004D1130" w:rsidRPr="00B454DA">
        <w:t>below</w:t>
      </w:r>
      <w:r w:rsidR="008724A9">
        <w:t>-</w:t>
      </w:r>
      <w:r w:rsidR="004D1130" w:rsidRPr="00B454DA">
        <w:t>average per</w:t>
      </w:r>
      <w:r w:rsidR="001D19AF" w:rsidRPr="00B454DA">
        <w:t> </w:t>
      </w:r>
      <w:r w:rsidR="004D1130" w:rsidRPr="00B454DA">
        <w:t>capita value of</w:t>
      </w:r>
      <w:r w:rsidR="009B149B" w:rsidRPr="00B454DA">
        <w:t xml:space="preserve"> vehicle transfers</w:t>
      </w:r>
      <w:r w:rsidR="001D74F1" w:rsidRPr="00B454DA">
        <w:t xml:space="preserve">, and this increased </w:t>
      </w:r>
      <w:r w:rsidR="00F76812" w:rsidRPr="00B454DA">
        <w:t>their</w:t>
      </w:r>
      <w:r w:rsidR="00C46324">
        <w:t xml:space="preserve"> assessed</w:t>
      </w:r>
      <w:r w:rsidR="00F76812" w:rsidRPr="00B454DA">
        <w:t xml:space="preserve"> </w:t>
      </w:r>
      <w:r w:rsidR="001D74F1" w:rsidRPr="00B454DA">
        <w:t>GST needs.</w:t>
      </w:r>
      <w:r w:rsidR="00FD26DC" w:rsidRPr="00B454DA">
        <w:t xml:space="preserve"> The </w:t>
      </w:r>
      <w:r w:rsidR="007942F1" w:rsidRPr="00B454DA">
        <w:t>value of vehicle transfers</w:t>
      </w:r>
      <w:r w:rsidR="00DC1170" w:rsidRPr="00B454DA">
        <w:t xml:space="preserve"> was close to average in the other states</w:t>
      </w:r>
      <w:r w:rsidR="007942F1" w:rsidRPr="00B454DA">
        <w:t>.</w:t>
      </w:r>
    </w:p>
    <w:p w14:paraId="7AC96802" w14:textId="287CBB58" w:rsidR="00741B6E" w:rsidRPr="0001030A" w:rsidRDefault="001941EF" w:rsidP="00841425">
      <w:pPr>
        <w:pStyle w:val="CGC2025Caption"/>
        <w:ind w:left="1440" w:hanging="1440"/>
        <w:rPr>
          <w:lang w:eastAsia="en-AU"/>
        </w:rPr>
      </w:pPr>
      <w:r w:rsidRPr="0001030A">
        <w:t xml:space="preserve">Table 1 </w:t>
      </w:r>
      <w:r w:rsidRPr="0001030A">
        <w:tab/>
        <w:t xml:space="preserve">Indicative impact on GST distribution of </w:t>
      </w:r>
      <w:r w:rsidR="00B62550" w:rsidRPr="0001030A">
        <w:t xml:space="preserve">2025 Review method </w:t>
      </w:r>
      <w:r w:rsidRPr="0001030A">
        <w:t>changes to the motor taxes assessment, 2024</w:t>
      </w:r>
      <w:r w:rsidR="00DB0E12" w:rsidRPr="0001030A">
        <w:t>–</w:t>
      </w:r>
      <w:r w:rsidRPr="0001030A">
        <w:t xml:space="preserve">25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810"/>
        <w:gridCol w:w="810"/>
        <w:gridCol w:w="810"/>
        <w:gridCol w:w="810"/>
        <w:gridCol w:w="810"/>
        <w:gridCol w:w="810"/>
        <w:gridCol w:w="810"/>
        <w:gridCol w:w="810"/>
        <w:gridCol w:w="1350"/>
      </w:tblGrid>
      <w:tr w:rsidR="00741B6E" w:rsidRPr="00DC3632" w14:paraId="63747270" w14:textId="77777777" w:rsidTr="008F5BFD">
        <w:trPr>
          <w:trHeight w:val="300"/>
        </w:trPr>
        <w:tc>
          <w:tcPr>
            <w:tcW w:w="990" w:type="dxa"/>
            <w:tcBorders>
              <w:top w:val="nil"/>
              <w:left w:val="nil"/>
              <w:bottom w:val="single" w:sz="6" w:space="0" w:color="ADD6EA"/>
              <w:right w:val="nil"/>
            </w:tcBorders>
            <w:shd w:val="clear" w:color="auto" w:fill="006991"/>
            <w:vAlign w:val="center"/>
            <w:hideMark/>
          </w:tcPr>
          <w:p w14:paraId="1BA81049" w14:textId="77777777" w:rsidR="00741B6E" w:rsidRPr="00DC3632" w:rsidRDefault="00741B6E" w:rsidP="00741B6E">
            <w:pPr>
              <w:tabs>
                <w:tab w:val="clear" w:pos="567"/>
              </w:tabs>
              <w:spacing w:before="0" w:line="240" w:lineRule="auto"/>
              <w:textAlignment w:val="baseline"/>
              <w:rPr>
                <w:rFonts w:ascii="Times New Roman" w:eastAsia="Times New Roman" w:hAnsi="Times New Roman" w:cs="Times New Roman"/>
                <w:sz w:val="24"/>
                <w:szCs w:val="24"/>
                <w:lang w:eastAsia="en-AU"/>
              </w:rPr>
            </w:pPr>
            <w:r w:rsidRPr="00DC3632">
              <w:rPr>
                <w:rFonts w:ascii="Arial" w:eastAsia="Times New Roman" w:hAnsi="Arial" w:cs="Arial"/>
                <w:color w:val="FFFFFF"/>
                <w:sz w:val="16"/>
                <w:szCs w:val="16"/>
                <w:lang w:eastAsia="en-AU"/>
              </w:rPr>
              <w:t> </w:t>
            </w:r>
            <w:r w:rsidRPr="00DC3632">
              <w:rPr>
                <w:rFonts w:ascii="Open Sans Semibold" w:eastAsia="Times New Roman" w:hAnsi="Open Sans Semibold" w:cs="Open Sans Semibold"/>
                <w:color w:val="FFFFFF"/>
                <w:sz w:val="16"/>
                <w:szCs w:val="16"/>
                <w:lang w:eastAsia="en-AU"/>
              </w:rPr>
              <w:t> </w:t>
            </w:r>
          </w:p>
        </w:tc>
        <w:tc>
          <w:tcPr>
            <w:tcW w:w="810" w:type="dxa"/>
            <w:tcBorders>
              <w:top w:val="nil"/>
              <w:left w:val="nil"/>
              <w:bottom w:val="single" w:sz="6" w:space="0" w:color="ADD6EA"/>
              <w:right w:val="nil"/>
            </w:tcBorders>
            <w:shd w:val="clear" w:color="auto" w:fill="006991"/>
            <w:vAlign w:val="center"/>
            <w:hideMark/>
          </w:tcPr>
          <w:p w14:paraId="1985883B"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NSW </w:t>
            </w:r>
          </w:p>
        </w:tc>
        <w:tc>
          <w:tcPr>
            <w:tcW w:w="810" w:type="dxa"/>
            <w:tcBorders>
              <w:top w:val="nil"/>
              <w:left w:val="nil"/>
              <w:bottom w:val="single" w:sz="6" w:space="0" w:color="ADD6EA"/>
              <w:right w:val="nil"/>
            </w:tcBorders>
            <w:shd w:val="clear" w:color="auto" w:fill="006991"/>
            <w:vAlign w:val="center"/>
            <w:hideMark/>
          </w:tcPr>
          <w:p w14:paraId="32C7EC64"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Vic </w:t>
            </w:r>
          </w:p>
        </w:tc>
        <w:tc>
          <w:tcPr>
            <w:tcW w:w="810" w:type="dxa"/>
            <w:tcBorders>
              <w:top w:val="nil"/>
              <w:left w:val="nil"/>
              <w:bottom w:val="single" w:sz="6" w:space="0" w:color="ADD6EA"/>
              <w:right w:val="nil"/>
            </w:tcBorders>
            <w:shd w:val="clear" w:color="auto" w:fill="006991"/>
            <w:vAlign w:val="center"/>
            <w:hideMark/>
          </w:tcPr>
          <w:p w14:paraId="3AC49192"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Qld </w:t>
            </w:r>
          </w:p>
        </w:tc>
        <w:tc>
          <w:tcPr>
            <w:tcW w:w="810" w:type="dxa"/>
            <w:tcBorders>
              <w:top w:val="nil"/>
              <w:left w:val="nil"/>
              <w:bottom w:val="single" w:sz="6" w:space="0" w:color="ADD6EA"/>
              <w:right w:val="nil"/>
            </w:tcBorders>
            <w:shd w:val="clear" w:color="auto" w:fill="006991"/>
            <w:vAlign w:val="center"/>
            <w:hideMark/>
          </w:tcPr>
          <w:p w14:paraId="22114E54"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WA </w:t>
            </w:r>
          </w:p>
        </w:tc>
        <w:tc>
          <w:tcPr>
            <w:tcW w:w="810" w:type="dxa"/>
            <w:tcBorders>
              <w:top w:val="nil"/>
              <w:left w:val="nil"/>
              <w:bottom w:val="single" w:sz="6" w:space="0" w:color="ADD6EA"/>
              <w:right w:val="nil"/>
            </w:tcBorders>
            <w:shd w:val="clear" w:color="auto" w:fill="006991"/>
            <w:vAlign w:val="center"/>
            <w:hideMark/>
          </w:tcPr>
          <w:p w14:paraId="0CF6C084"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SA </w:t>
            </w:r>
          </w:p>
        </w:tc>
        <w:tc>
          <w:tcPr>
            <w:tcW w:w="810" w:type="dxa"/>
            <w:tcBorders>
              <w:top w:val="nil"/>
              <w:left w:val="nil"/>
              <w:bottom w:val="single" w:sz="6" w:space="0" w:color="ADD6EA"/>
              <w:right w:val="nil"/>
            </w:tcBorders>
            <w:shd w:val="clear" w:color="auto" w:fill="006991"/>
            <w:vAlign w:val="center"/>
            <w:hideMark/>
          </w:tcPr>
          <w:p w14:paraId="71442CD1"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Tas </w:t>
            </w:r>
          </w:p>
        </w:tc>
        <w:tc>
          <w:tcPr>
            <w:tcW w:w="810" w:type="dxa"/>
            <w:tcBorders>
              <w:top w:val="nil"/>
              <w:left w:val="nil"/>
              <w:bottom w:val="single" w:sz="6" w:space="0" w:color="ADD6EA"/>
              <w:right w:val="nil"/>
            </w:tcBorders>
            <w:shd w:val="clear" w:color="auto" w:fill="006991"/>
            <w:vAlign w:val="center"/>
            <w:hideMark/>
          </w:tcPr>
          <w:p w14:paraId="5F7835DA"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ACT </w:t>
            </w:r>
          </w:p>
        </w:tc>
        <w:tc>
          <w:tcPr>
            <w:tcW w:w="810" w:type="dxa"/>
            <w:tcBorders>
              <w:top w:val="nil"/>
              <w:left w:val="nil"/>
              <w:bottom w:val="single" w:sz="6" w:space="0" w:color="ADD6EA"/>
              <w:right w:val="nil"/>
            </w:tcBorders>
            <w:shd w:val="clear" w:color="auto" w:fill="006991"/>
            <w:vAlign w:val="center"/>
            <w:hideMark/>
          </w:tcPr>
          <w:p w14:paraId="21B6C3A4"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NT </w:t>
            </w:r>
          </w:p>
        </w:tc>
        <w:tc>
          <w:tcPr>
            <w:tcW w:w="1350" w:type="dxa"/>
            <w:tcBorders>
              <w:top w:val="nil"/>
              <w:left w:val="nil"/>
              <w:bottom w:val="single" w:sz="6" w:space="0" w:color="ADD6EA"/>
              <w:right w:val="nil"/>
            </w:tcBorders>
            <w:shd w:val="clear" w:color="auto" w:fill="006991"/>
            <w:vAlign w:val="center"/>
            <w:hideMark/>
          </w:tcPr>
          <w:p w14:paraId="7B7C1D14" w14:textId="77777777" w:rsidR="00741B6E" w:rsidRPr="00DC3632" w:rsidRDefault="00741B6E" w:rsidP="00741B6E">
            <w:pPr>
              <w:tabs>
                <w:tab w:val="clear" w:pos="567"/>
              </w:tabs>
              <w:spacing w:before="0" w:line="240" w:lineRule="auto"/>
              <w:jc w:val="right"/>
              <w:textAlignment w:val="baseline"/>
              <w:rPr>
                <w:rFonts w:ascii="Times New Roman" w:eastAsia="Times New Roman" w:hAnsi="Times New Roman" w:cs="Times New Roman"/>
                <w:sz w:val="24"/>
                <w:szCs w:val="24"/>
                <w:lang w:eastAsia="en-AU"/>
              </w:rPr>
            </w:pPr>
            <w:r w:rsidRPr="00DC3632">
              <w:rPr>
                <w:rFonts w:ascii="Open Sans Semibold" w:eastAsia="Times New Roman" w:hAnsi="Open Sans Semibold" w:cs="Open Sans Semibold"/>
                <w:color w:val="FFFFFF"/>
                <w:sz w:val="16"/>
                <w:szCs w:val="16"/>
                <w:lang w:eastAsia="en-AU"/>
              </w:rPr>
              <w:t>Total effect </w:t>
            </w:r>
          </w:p>
        </w:tc>
      </w:tr>
      <w:tr w:rsidR="008F5BFD" w:rsidRPr="00DC3632" w14:paraId="3C2A1759" w14:textId="77777777" w:rsidTr="008F5BFD">
        <w:trPr>
          <w:trHeight w:val="300"/>
        </w:trPr>
        <w:tc>
          <w:tcPr>
            <w:tcW w:w="990" w:type="dxa"/>
            <w:tcBorders>
              <w:top w:val="single" w:sz="6" w:space="0" w:color="ADD6EA"/>
              <w:left w:val="nil"/>
              <w:bottom w:val="single" w:sz="6" w:space="0" w:color="ADD6EA"/>
              <w:right w:val="nil"/>
            </w:tcBorders>
            <w:shd w:val="clear" w:color="auto" w:fill="auto"/>
            <w:vAlign w:val="bottom"/>
            <w:hideMark/>
          </w:tcPr>
          <w:p w14:paraId="05571B5E" w14:textId="77777777" w:rsidR="00741B6E" w:rsidRPr="00DC3632" w:rsidRDefault="00741B6E" w:rsidP="008F5BFD">
            <w:pPr>
              <w:tabs>
                <w:tab w:val="clear" w:pos="567"/>
              </w:tabs>
              <w:spacing w:before="0" w:line="240" w:lineRule="auto"/>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$m </w:t>
            </w:r>
          </w:p>
        </w:tc>
        <w:tc>
          <w:tcPr>
            <w:tcW w:w="810" w:type="dxa"/>
            <w:tcBorders>
              <w:top w:val="single" w:sz="6" w:space="0" w:color="ADD6EA"/>
              <w:left w:val="nil"/>
              <w:bottom w:val="single" w:sz="6" w:space="0" w:color="ADD6EA"/>
              <w:right w:val="nil"/>
            </w:tcBorders>
            <w:shd w:val="clear" w:color="auto" w:fill="auto"/>
            <w:vAlign w:val="bottom"/>
            <w:hideMark/>
          </w:tcPr>
          <w:p w14:paraId="79C18F1B"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-289 </w:t>
            </w:r>
          </w:p>
        </w:tc>
        <w:tc>
          <w:tcPr>
            <w:tcW w:w="810" w:type="dxa"/>
            <w:tcBorders>
              <w:top w:val="single" w:sz="6" w:space="0" w:color="ADD6EA"/>
              <w:left w:val="nil"/>
              <w:bottom w:val="single" w:sz="6" w:space="0" w:color="ADD6EA"/>
              <w:right w:val="nil"/>
            </w:tcBorders>
            <w:shd w:val="clear" w:color="auto" w:fill="auto"/>
            <w:vAlign w:val="bottom"/>
            <w:hideMark/>
          </w:tcPr>
          <w:p w14:paraId="119BF439"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245 </w:t>
            </w:r>
          </w:p>
        </w:tc>
        <w:tc>
          <w:tcPr>
            <w:tcW w:w="810" w:type="dxa"/>
            <w:tcBorders>
              <w:top w:val="single" w:sz="6" w:space="0" w:color="ADD6EA"/>
              <w:left w:val="nil"/>
              <w:bottom w:val="single" w:sz="6" w:space="0" w:color="ADD6EA"/>
              <w:right w:val="nil"/>
            </w:tcBorders>
            <w:shd w:val="clear" w:color="auto" w:fill="auto"/>
            <w:vAlign w:val="bottom"/>
            <w:hideMark/>
          </w:tcPr>
          <w:p w14:paraId="26F4FA76"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33 </w:t>
            </w:r>
          </w:p>
        </w:tc>
        <w:tc>
          <w:tcPr>
            <w:tcW w:w="810" w:type="dxa"/>
            <w:tcBorders>
              <w:top w:val="single" w:sz="6" w:space="0" w:color="ADD6EA"/>
              <w:left w:val="nil"/>
              <w:bottom w:val="single" w:sz="6" w:space="0" w:color="ADD6EA"/>
              <w:right w:val="nil"/>
            </w:tcBorders>
            <w:shd w:val="clear" w:color="auto" w:fill="auto"/>
            <w:vAlign w:val="bottom"/>
            <w:hideMark/>
          </w:tcPr>
          <w:p w14:paraId="1F394CD9"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-37 </w:t>
            </w:r>
          </w:p>
        </w:tc>
        <w:tc>
          <w:tcPr>
            <w:tcW w:w="810" w:type="dxa"/>
            <w:tcBorders>
              <w:top w:val="single" w:sz="6" w:space="0" w:color="ADD6EA"/>
              <w:left w:val="nil"/>
              <w:bottom w:val="single" w:sz="6" w:space="0" w:color="ADD6EA"/>
              <w:right w:val="nil"/>
            </w:tcBorders>
            <w:shd w:val="clear" w:color="auto" w:fill="auto"/>
            <w:vAlign w:val="bottom"/>
            <w:hideMark/>
          </w:tcPr>
          <w:p w14:paraId="7445DB59"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12 </w:t>
            </w:r>
          </w:p>
        </w:tc>
        <w:tc>
          <w:tcPr>
            <w:tcW w:w="810" w:type="dxa"/>
            <w:tcBorders>
              <w:top w:val="single" w:sz="6" w:space="0" w:color="ADD6EA"/>
              <w:left w:val="nil"/>
              <w:bottom w:val="single" w:sz="6" w:space="0" w:color="ADD6EA"/>
              <w:right w:val="nil"/>
            </w:tcBorders>
            <w:shd w:val="clear" w:color="auto" w:fill="auto"/>
            <w:vAlign w:val="bottom"/>
            <w:hideMark/>
          </w:tcPr>
          <w:p w14:paraId="36FCE037"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4 </w:t>
            </w:r>
          </w:p>
        </w:tc>
        <w:tc>
          <w:tcPr>
            <w:tcW w:w="810" w:type="dxa"/>
            <w:tcBorders>
              <w:top w:val="single" w:sz="6" w:space="0" w:color="ADD6EA"/>
              <w:left w:val="nil"/>
              <w:bottom w:val="single" w:sz="6" w:space="0" w:color="ADD6EA"/>
              <w:right w:val="nil"/>
            </w:tcBorders>
            <w:shd w:val="clear" w:color="auto" w:fill="auto"/>
            <w:vAlign w:val="bottom"/>
            <w:hideMark/>
          </w:tcPr>
          <w:p w14:paraId="1E3273A0"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27 </w:t>
            </w:r>
          </w:p>
        </w:tc>
        <w:tc>
          <w:tcPr>
            <w:tcW w:w="810" w:type="dxa"/>
            <w:tcBorders>
              <w:top w:val="single" w:sz="6" w:space="0" w:color="ADD6EA"/>
              <w:left w:val="nil"/>
              <w:bottom w:val="single" w:sz="6" w:space="0" w:color="ADD6EA"/>
              <w:right w:val="nil"/>
            </w:tcBorders>
            <w:shd w:val="clear" w:color="auto" w:fill="auto"/>
            <w:vAlign w:val="bottom"/>
            <w:hideMark/>
          </w:tcPr>
          <w:p w14:paraId="108A8C35"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5 </w:t>
            </w:r>
          </w:p>
        </w:tc>
        <w:tc>
          <w:tcPr>
            <w:tcW w:w="1350" w:type="dxa"/>
            <w:tcBorders>
              <w:top w:val="single" w:sz="6" w:space="0" w:color="ADD6EA"/>
              <w:left w:val="nil"/>
              <w:bottom w:val="single" w:sz="6" w:space="0" w:color="ADD6EA"/>
              <w:right w:val="nil"/>
            </w:tcBorders>
            <w:shd w:val="clear" w:color="auto" w:fill="auto"/>
            <w:vAlign w:val="bottom"/>
            <w:hideMark/>
          </w:tcPr>
          <w:p w14:paraId="2E3180E2"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326 </w:t>
            </w:r>
          </w:p>
        </w:tc>
      </w:tr>
      <w:tr w:rsidR="008F5BFD" w:rsidRPr="00741B6E" w14:paraId="4F50CF2C" w14:textId="77777777" w:rsidTr="008F5BFD">
        <w:trPr>
          <w:trHeight w:val="300"/>
        </w:trPr>
        <w:tc>
          <w:tcPr>
            <w:tcW w:w="990" w:type="dxa"/>
            <w:tcBorders>
              <w:top w:val="single" w:sz="6" w:space="0" w:color="ADD6EA"/>
              <w:left w:val="nil"/>
              <w:bottom w:val="single" w:sz="6" w:space="0" w:color="ADD6EA"/>
              <w:right w:val="nil"/>
            </w:tcBorders>
            <w:shd w:val="clear" w:color="auto" w:fill="auto"/>
            <w:vAlign w:val="bottom"/>
            <w:hideMark/>
          </w:tcPr>
          <w:p w14:paraId="35CE827B" w14:textId="77777777" w:rsidR="00741B6E" w:rsidRPr="00DC3632" w:rsidRDefault="00741B6E" w:rsidP="008F5BFD">
            <w:pPr>
              <w:tabs>
                <w:tab w:val="clear" w:pos="567"/>
              </w:tabs>
              <w:spacing w:before="0" w:line="240" w:lineRule="auto"/>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$pc </w:t>
            </w:r>
          </w:p>
        </w:tc>
        <w:tc>
          <w:tcPr>
            <w:tcW w:w="810" w:type="dxa"/>
            <w:tcBorders>
              <w:top w:val="single" w:sz="6" w:space="0" w:color="ADD6EA"/>
              <w:left w:val="nil"/>
              <w:bottom w:val="single" w:sz="6" w:space="0" w:color="ADD6EA"/>
              <w:right w:val="nil"/>
            </w:tcBorders>
            <w:shd w:val="clear" w:color="auto" w:fill="auto"/>
            <w:vAlign w:val="bottom"/>
            <w:hideMark/>
          </w:tcPr>
          <w:p w14:paraId="4E7077A8"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-34 </w:t>
            </w:r>
          </w:p>
        </w:tc>
        <w:tc>
          <w:tcPr>
            <w:tcW w:w="810" w:type="dxa"/>
            <w:tcBorders>
              <w:top w:val="single" w:sz="6" w:space="0" w:color="ADD6EA"/>
              <w:left w:val="nil"/>
              <w:bottom w:val="single" w:sz="6" w:space="0" w:color="ADD6EA"/>
              <w:right w:val="nil"/>
            </w:tcBorders>
            <w:shd w:val="clear" w:color="auto" w:fill="auto"/>
            <w:vAlign w:val="bottom"/>
            <w:hideMark/>
          </w:tcPr>
          <w:p w14:paraId="4BAB531A"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35 </w:t>
            </w:r>
          </w:p>
        </w:tc>
        <w:tc>
          <w:tcPr>
            <w:tcW w:w="810" w:type="dxa"/>
            <w:tcBorders>
              <w:top w:val="single" w:sz="6" w:space="0" w:color="ADD6EA"/>
              <w:left w:val="nil"/>
              <w:bottom w:val="single" w:sz="6" w:space="0" w:color="ADD6EA"/>
              <w:right w:val="nil"/>
            </w:tcBorders>
            <w:shd w:val="clear" w:color="auto" w:fill="auto"/>
            <w:vAlign w:val="bottom"/>
            <w:hideMark/>
          </w:tcPr>
          <w:p w14:paraId="069FFBF1"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6 </w:t>
            </w:r>
          </w:p>
        </w:tc>
        <w:tc>
          <w:tcPr>
            <w:tcW w:w="810" w:type="dxa"/>
            <w:tcBorders>
              <w:top w:val="single" w:sz="6" w:space="0" w:color="ADD6EA"/>
              <w:left w:val="nil"/>
              <w:bottom w:val="single" w:sz="6" w:space="0" w:color="ADD6EA"/>
              <w:right w:val="nil"/>
            </w:tcBorders>
            <w:shd w:val="clear" w:color="auto" w:fill="auto"/>
            <w:vAlign w:val="bottom"/>
            <w:hideMark/>
          </w:tcPr>
          <w:p w14:paraId="42910AD1"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-13 </w:t>
            </w:r>
          </w:p>
        </w:tc>
        <w:tc>
          <w:tcPr>
            <w:tcW w:w="810" w:type="dxa"/>
            <w:tcBorders>
              <w:top w:val="single" w:sz="6" w:space="0" w:color="ADD6EA"/>
              <w:left w:val="nil"/>
              <w:bottom w:val="single" w:sz="6" w:space="0" w:color="ADD6EA"/>
              <w:right w:val="nil"/>
            </w:tcBorders>
            <w:shd w:val="clear" w:color="auto" w:fill="auto"/>
            <w:vAlign w:val="bottom"/>
            <w:hideMark/>
          </w:tcPr>
          <w:p w14:paraId="5158CB97"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7 </w:t>
            </w:r>
          </w:p>
        </w:tc>
        <w:tc>
          <w:tcPr>
            <w:tcW w:w="810" w:type="dxa"/>
            <w:tcBorders>
              <w:top w:val="single" w:sz="6" w:space="0" w:color="ADD6EA"/>
              <w:left w:val="nil"/>
              <w:bottom w:val="single" w:sz="6" w:space="0" w:color="ADD6EA"/>
              <w:right w:val="nil"/>
            </w:tcBorders>
            <w:shd w:val="clear" w:color="auto" w:fill="auto"/>
            <w:vAlign w:val="bottom"/>
            <w:hideMark/>
          </w:tcPr>
          <w:p w14:paraId="56874DA0"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7 </w:t>
            </w:r>
          </w:p>
        </w:tc>
        <w:tc>
          <w:tcPr>
            <w:tcW w:w="810" w:type="dxa"/>
            <w:tcBorders>
              <w:top w:val="single" w:sz="6" w:space="0" w:color="ADD6EA"/>
              <w:left w:val="nil"/>
              <w:bottom w:val="single" w:sz="6" w:space="0" w:color="ADD6EA"/>
              <w:right w:val="nil"/>
            </w:tcBorders>
            <w:shd w:val="clear" w:color="auto" w:fill="auto"/>
            <w:vAlign w:val="bottom"/>
            <w:hideMark/>
          </w:tcPr>
          <w:p w14:paraId="1FB9D0F0"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55 </w:t>
            </w:r>
          </w:p>
        </w:tc>
        <w:tc>
          <w:tcPr>
            <w:tcW w:w="810" w:type="dxa"/>
            <w:tcBorders>
              <w:top w:val="single" w:sz="6" w:space="0" w:color="ADD6EA"/>
              <w:left w:val="nil"/>
              <w:bottom w:val="single" w:sz="6" w:space="0" w:color="ADD6EA"/>
              <w:right w:val="nil"/>
            </w:tcBorders>
            <w:shd w:val="clear" w:color="auto" w:fill="auto"/>
            <w:vAlign w:val="bottom"/>
            <w:hideMark/>
          </w:tcPr>
          <w:p w14:paraId="36914A8D" w14:textId="77777777" w:rsidR="00741B6E" w:rsidRPr="00DC3632"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20 </w:t>
            </w:r>
          </w:p>
        </w:tc>
        <w:tc>
          <w:tcPr>
            <w:tcW w:w="1350" w:type="dxa"/>
            <w:tcBorders>
              <w:top w:val="single" w:sz="6" w:space="0" w:color="ADD6EA"/>
              <w:left w:val="nil"/>
              <w:bottom w:val="single" w:sz="6" w:space="0" w:color="ADD6EA"/>
              <w:right w:val="nil"/>
            </w:tcBorders>
            <w:shd w:val="clear" w:color="auto" w:fill="auto"/>
            <w:vAlign w:val="bottom"/>
            <w:hideMark/>
          </w:tcPr>
          <w:p w14:paraId="7EE5C202" w14:textId="77777777" w:rsidR="00741B6E" w:rsidRPr="00741B6E" w:rsidRDefault="00741B6E" w:rsidP="008F5BFD">
            <w:pPr>
              <w:tabs>
                <w:tab w:val="clear" w:pos="567"/>
              </w:tabs>
              <w:spacing w:before="0" w:line="240" w:lineRule="auto"/>
              <w:jc w:val="right"/>
              <w:textAlignment w:val="baseline"/>
              <w:rPr>
                <w:rFonts w:ascii="Open Sans Light" w:eastAsia="Times New Roman" w:hAnsi="Open Sans Light" w:cs="Open Sans Light"/>
                <w:color w:val="000000"/>
                <w:sz w:val="16"/>
                <w:szCs w:val="16"/>
                <w:lang w:eastAsia="en-AU"/>
              </w:rPr>
            </w:pPr>
            <w:r w:rsidRPr="00DC3632">
              <w:rPr>
                <w:rFonts w:ascii="Open Sans Light" w:eastAsia="Times New Roman" w:hAnsi="Open Sans Light" w:cs="Open Sans Light"/>
                <w:color w:val="000000"/>
                <w:sz w:val="16"/>
                <w:szCs w:val="16"/>
                <w:lang w:eastAsia="en-AU"/>
              </w:rPr>
              <w:t>12</w:t>
            </w:r>
            <w:r w:rsidRPr="00741B6E">
              <w:rPr>
                <w:rFonts w:ascii="Open Sans Light" w:eastAsia="Times New Roman" w:hAnsi="Open Sans Light" w:cs="Open Sans Light"/>
                <w:color w:val="000000"/>
                <w:sz w:val="16"/>
                <w:szCs w:val="16"/>
                <w:lang w:eastAsia="en-AU"/>
              </w:rPr>
              <w:t> </w:t>
            </w:r>
          </w:p>
        </w:tc>
      </w:tr>
    </w:tbl>
    <w:p w14:paraId="67B48DDD" w14:textId="77777777" w:rsidR="00245FCE" w:rsidRDefault="00245FCE" w:rsidP="00EB3830">
      <w:pPr>
        <w:pStyle w:val="CGC2025Caption"/>
        <w:spacing w:before="0" w:after="0"/>
      </w:pPr>
    </w:p>
    <w:p w14:paraId="2DB608BD" w14:textId="4C0D1077" w:rsidR="008B341C" w:rsidRPr="008B341C" w:rsidRDefault="008B341C" w:rsidP="001941EF">
      <w:pPr>
        <w:pStyle w:val="Heading2"/>
        <w:keepNext/>
        <w:keepLines/>
      </w:pPr>
      <w:r>
        <w:lastRenderedPageBreak/>
        <w:t>Schools</w:t>
      </w:r>
    </w:p>
    <w:p w14:paraId="491BEA7C" w14:textId="77777777" w:rsidR="00EA2DB1" w:rsidRDefault="00EA2DB1" w:rsidP="001941EF">
      <w:pPr>
        <w:pStyle w:val="Heading3"/>
        <w:keepNext/>
        <w:keepLines/>
      </w:pPr>
      <w:bookmarkStart w:id="5" w:name="_Toc176348494"/>
      <w:r>
        <w:t>Classification of socio-educational disadvantage</w:t>
      </w:r>
      <w:bookmarkEnd w:id="5"/>
    </w:p>
    <w:p w14:paraId="4EFF7A7A" w14:textId="6A6787FE" w:rsidR="00EA2DB1" w:rsidRDefault="00EA2DB1" w:rsidP="00F73500">
      <w:pPr>
        <w:pStyle w:val="CGC2025ParaNumbers"/>
      </w:pPr>
      <w:r>
        <w:t xml:space="preserve">In the 2020 Review, the schools assessment incorporated a regression that identified a higher cost </w:t>
      </w:r>
      <w:r w:rsidR="00271CA6">
        <w:t xml:space="preserve">per student </w:t>
      </w:r>
      <w:r>
        <w:t xml:space="preserve">for the most disadvantaged 25% of students. In the </w:t>
      </w:r>
      <w:r w:rsidR="006F2F79">
        <w:t>D</w:t>
      </w:r>
      <w:r>
        <w:t>raft</w:t>
      </w:r>
      <w:r w:rsidR="00681CB7">
        <w:t> </w:t>
      </w:r>
      <w:r w:rsidR="006F2F79">
        <w:t>R</w:t>
      </w:r>
      <w:r>
        <w:t>eport, the Commission proposed</w:t>
      </w:r>
      <w:r w:rsidDel="00F81474">
        <w:t xml:space="preserve"> </w:t>
      </w:r>
      <w:r w:rsidR="00C5281C">
        <w:t>chan</w:t>
      </w:r>
      <w:r w:rsidR="00093E4A">
        <w:t xml:space="preserve">ging the assessment </w:t>
      </w:r>
      <w:r w:rsidR="003F3C20">
        <w:t xml:space="preserve">to </w:t>
      </w:r>
      <w:r>
        <w:t>measure the higher cost for the most disadvantaged 10% of students</w:t>
      </w:r>
      <w:r w:rsidR="00093E4A">
        <w:t xml:space="preserve"> rather that the </w:t>
      </w:r>
      <w:r w:rsidR="002C65FA">
        <w:t>most disadvantaged 25% of students</w:t>
      </w:r>
      <w:r>
        <w:t xml:space="preserve">. </w:t>
      </w:r>
    </w:p>
    <w:p w14:paraId="3A0A7595" w14:textId="77777777" w:rsidR="00EA2DB1" w:rsidRDefault="00EA2DB1" w:rsidP="00EA2DB1">
      <w:pPr>
        <w:pStyle w:val="Heading4"/>
      </w:pPr>
      <w:r>
        <w:t>State views</w:t>
      </w:r>
    </w:p>
    <w:p w14:paraId="3E4DB81C" w14:textId="7AC5F1A3" w:rsidR="00EA2DB1" w:rsidRDefault="00732838" w:rsidP="00EA2DB1">
      <w:pPr>
        <w:pStyle w:val="CGC2025ParaNumbers"/>
      </w:pPr>
      <w:r>
        <w:t>Queensland</w:t>
      </w:r>
      <w:r w:rsidR="00EA2DB1">
        <w:t xml:space="preserve">, South Australia and </w:t>
      </w:r>
      <w:r w:rsidR="008F296F">
        <w:t>Tasmania</w:t>
      </w:r>
      <w:r w:rsidR="00EA2DB1">
        <w:t xml:space="preserve"> oppose</w:t>
      </w:r>
      <w:r w:rsidR="002A1219">
        <w:t>d</w:t>
      </w:r>
      <w:r w:rsidR="00EA2DB1">
        <w:t xml:space="preserve"> the </w:t>
      </w:r>
      <w:r w:rsidR="00496C99">
        <w:t xml:space="preserve">Commission’s </w:t>
      </w:r>
      <w:r w:rsidR="00EA2DB1">
        <w:t>propos</w:t>
      </w:r>
      <w:r w:rsidR="00496C99">
        <w:t>ed change</w:t>
      </w:r>
      <w:r w:rsidR="00EA2DB1">
        <w:t>. They said that</w:t>
      </w:r>
      <w:r w:rsidR="008657FD">
        <w:t>,</w:t>
      </w:r>
      <w:r w:rsidR="00EA2DB1">
        <w:t xml:space="preserve"> while severe disadvantage was a significant driver of cost</w:t>
      </w:r>
      <w:r w:rsidR="002A1219">
        <w:t>s</w:t>
      </w:r>
      <w:r w:rsidR="00EA2DB1">
        <w:t xml:space="preserve">, moderate disadvantage was also very important, </w:t>
      </w:r>
      <w:r w:rsidR="00364A39">
        <w:t xml:space="preserve">and </w:t>
      </w:r>
      <w:r w:rsidR="00EA2DB1">
        <w:t xml:space="preserve">possibly more important. </w:t>
      </w:r>
    </w:p>
    <w:p w14:paraId="469CE1FD" w14:textId="77777777" w:rsidR="00EA2DB1" w:rsidRDefault="00EA2DB1" w:rsidP="00EA2DB1">
      <w:pPr>
        <w:pStyle w:val="Heading4"/>
      </w:pPr>
      <w:r>
        <w:t>Commission response</w:t>
      </w:r>
    </w:p>
    <w:p w14:paraId="0B967C42" w14:textId="7D5FD843" w:rsidR="00EA2DB1" w:rsidRDefault="00EA2DB1" w:rsidP="006936DB">
      <w:pPr>
        <w:pStyle w:val="CGC2025ParaNumbers"/>
      </w:pPr>
      <w:r>
        <w:t>There is a strong conceptual case that students with both severe and moderate disadvantage increase the costs of delivering school</w:t>
      </w:r>
      <w:r w:rsidR="0087677A">
        <w:t xml:space="preserve"> services</w:t>
      </w:r>
      <w:r>
        <w:t xml:space="preserve">. However, the Commission has been unable to specify a regression model </w:t>
      </w:r>
      <w:r w:rsidR="00FF4F2F">
        <w:t xml:space="preserve">that </w:t>
      </w:r>
      <w:r>
        <w:t xml:space="preserve">reflects </w:t>
      </w:r>
      <w:r w:rsidR="007C3418">
        <w:t>the impact</w:t>
      </w:r>
      <w:r w:rsidR="00DD21B2">
        <w:t>s</w:t>
      </w:r>
      <w:r w:rsidR="007C3418">
        <w:t xml:space="preserve"> of </w:t>
      </w:r>
      <w:r w:rsidR="00DD21B2">
        <w:t>both</w:t>
      </w:r>
      <w:r w:rsidR="007C3418">
        <w:t xml:space="preserve"> </w:t>
      </w:r>
      <w:r w:rsidR="00A73C52">
        <w:t>moderate</w:t>
      </w:r>
      <w:r w:rsidR="00C041FE">
        <w:t>ly</w:t>
      </w:r>
      <w:r w:rsidR="00A73C52">
        <w:t xml:space="preserve"> and severe</w:t>
      </w:r>
      <w:r w:rsidR="009558E1">
        <w:t>ly</w:t>
      </w:r>
      <w:r w:rsidR="00A73C52">
        <w:t xml:space="preserve"> disadvantaged students</w:t>
      </w:r>
      <w:r>
        <w:t xml:space="preserve">. As such, the Commission is faced with a choice between one </w:t>
      </w:r>
      <w:r w:rsidR="00306302">
        <w:t xml:space="preserve">of the </w:t>
      </w:r>
      <w:r w:rsidR="00903DB3">
        <w:t>two</w:t>
      </w:r>
      <w:r>
        <w:t xml:space="preserve"> indicator</w:t>
      </w:r>
      <w:r w:rsidR="00306302">
        <w:t>s</w:t>
      </w:r>
      <w:r w:rsidR="00B26000">
        <w:t>:</w:t>
      </w:r>
      <w:r w:rsidR="00BE436A">
        <w:t xml:space="preserve"> it</w:t>
      </w:r>
      <w:r>
        <w:t xml:space="preserve"> cannot reliably use both</w:t>
      </w:r>
      <w:r w:rsidR="00CA239B">
        <w:t>.</w:t>
      </w:r>
      <w:r w:rsidR="002E52AB" w:rsidRPr="00145505">
        <w:rPr>
          <w:vertAlign w:val="superscript"/>
        </w:rPr>
        <w:footnoteReference w:id="3"/>
      </w:r>
      <w:r>
        <w:t xml:space="preserve"> </w:t>
      </w:r>
    </w:p>
    <w:p w14:paraId="25077F94" w14:textId="784DA3D4" w:rsidR="008652F4" w:rsidRDefault="0087677A" w:rsidP="00A8078F">
      <w:pPr>
        <w:pStyle w:val="CGC2025ParaNumbers"/>
      </w:pPr>
      <w:r w:rsidRPr="00D316FB">
        <w:t>A total of</w:t>
      </w:r>
      <w:r w:rsidRPr="00F73500">
        <w:t xml:space="preserve"> </w:t>
      </w:r>
      <w:r w:rsidR="00EA2DB1" w:rsidRPr="00D316FB">
        <w:t>30%</w:t>
      </w:r>
      <w:r w:rsidR="00EA2DB1">
        <w:t xml:space="preserve"> of government </w:t>
      </w:r>
      <w:r w:rsidR="002C7170">
        <w:t>school</w:t>
      </w:r>
      <w:r w:rsidR="00EA2DB1">
        <w:t xml:space="preserve"> students are in the most disadvantaged 25% of all students, compared with </w:t>
      </w:r>
      <w:r w:rsidR="00EA2DB1" w:rsidRPr="00D316FB">
        <w:t>1</w:t>
      </w:r>
      <w:r w:rsidR="005D4A22" w:rsidRPr="00D316FB">
        <w:t>3</w:t>
      </w:r>
      <w:r w:rsidR="00EA2DB1" w:rsidRPr="00D316FB">
        <w:t>%</w:t>
      </w:r>
      <w:r w:rsidR="00EA2DB1" w:rsidRPr="005D4A22">
        <w:t xml:space="preserve"> </w:t>
      </w:r>
      <w:r w:rsidR="00EA2DB1">
        <w:t>in the most disadvantaged 10%</w:t>
      </w:r>
      <w:r w:rsidR="006F67DF">
        <w:t xml:space="preserve"> of all students</w:t>
      </w:r>
      <w:r w:rsidR="00EA2DB1">
        <w:t xml:space="preserve">. While changing the indicator </w:t>
      </w:r>
      <w:r w:rsidR="00BC61E8">
        <w:t xml:space="preserve">from </w:t>
      </w:r>
      <w:r w:rsidR="00550FD3">
        <w:t>the most dis</w:t>
      </w:r>
      <w:r w:rsidR="008558D7">
        <w:t>advantaged 25% to the</w:t>
      </w:r>
      <w:r w:rsidR="00617677">
        <w:t xml:space="preserve"> most disadvantaged 10% </w:t>
      </w:r>
      <w:r w:rsidR="00EA2DB1">
        <w:t xml:space="preserve">roughly halves the number of affected students, the associated coefficient </w:t>
      </w:r>
      <w:r w:rsidR="009B7A7C">
        <w:t xml:space="preserve">changes by </w:t>
      </w:r>
      <w:r w:rsidR="00EA2DB1">
        <w:t xml:space="preserve">less than double (increasing from </w:t>
      </w:r>
      <w:r w:rsidR="002A185C">
        <w:t>5,067</w:t>
      </w:r>
      <w:r w:rsidR="00EA2DB1">
        <w:t xml:space="preserve"> to </w:t>
      </w:r>
      <w:r w:rsidR="007B114D">
        <w:t>9</w:t>
      </w:r>
      <w:r w:rsidR="005E611F">
        <w:t>,719</w:t>
      </w:r>
      <w:r w:rsidR="00EA2DB1">
        <w:t xml:space="preserve">). </w:t>
      </w:r>
      <w:r w:rsidR="007F222B">
        <w:t>Thus,</w:t>
      </w:r>
      <w:r w:rsidR="00EA2DB1">
        <w:t xml:space="preserve"> the total funding attributed to disadvantaged students </w:t>
      </w:r>
      <w:r w:rsidR="00F84AC4">
        <w:t xml:space="preserve">would </w:t>
      </w:r>
      <w:r w:rsidR="00EA2DB1">
        <w:t xml:space="preserve">decrease by moving to measuring the </w:t>
      </w:r>
      <w:r w:rsidR="00265461">
        <w:t>10</w:t>
      </w:r>
      <w:r w:rsidR="00565AEA">
        <w:t xml:space="preserve">% </w:t>
      </w:r>
      <w:r w:rsidR="00EA2DB1">
        <w:t xml:space="preserve">most disadvantaged. </w:t>
      </w:r>
      <w:r w:rsidR="00F50958" w:rsidRPr="00F73500">
        <w:t xml:space="preserve">Given that only one variable can be used, the Commission considers that the </w:t>
      </w:r>
      <w:r w:rsidR="005D2260">
        <w:t xml:space="preserve">preferable approach </w:t>
      </w:r>
      <w:r w:rsidR="0046173E">
        <w:t xml:space="preserve">is to use the </w:t>
      </w:r>
      <w:r w:rsidR="0048107D" w:rsidRPr="00F73500">
        <w:t xml:space="preserve">variable that </w:t>
      </w:r>
      <w:r w:rsidR="00C15765" w:rsidRPr="00F73500">
        <w:t xml:space="preserve">has the larger effect </w:t>
      </w:r>
      <w:r w:rsidR="00094CEB" w:rsidRPr="00F73500">
        <w:t>at the state level</w:t>
      </w:r>
      <w:r w:rsidR="00B87905">
        <w:t>,</w:t>
      </w:r>
      <w:r w:rsidR="0046173E">
        <w:t xml:space="preserve"> namely the most disadvantaged </w:t>
      </w:r>
      <w:r w:rsidR="00E73981">
        <w:t>25% of students</w:t>
      </w:r>
      <w:r w:rsidR="00844ACC" w:rsidRPr="00F73500">
        <w:t>.</w:t>
      </w:r>
      <w:r w:rsidR="00844ACC">
        <w:t xml:space="preserve"> </w:t>
      </w:r>
    </w:p>
    <w:p w14:paraId="1955387A" w14:textId="414EC7C7" w:rsidR="00C84814" w:rsidRDefault="002E5C8B" w:rsidP="002845B8">
      <w:pPr>
        <w:pStyle w:val="CGC2025ParaNumbers"/>
      </w:pPr>
      <w:r>
        <w:t xml:space="preserve">Changing the </w:t>
      </w:r>
      <w:r w:rsidR="003D6603">
        <w:t>socio-educational advantage</w:t>
      </w:r>
      <w:r>
        <w:t xml:space="preserve"> indicator from the most disadvantaged 25% to the most disadvantaged 10% would increase the Northern Territory’s assessed needs for socio-educational advantage, as the Northern Territory has a large</w:t>
      </w:r>
      <w:r w:rsidR="00386BB6">
        <w:t>r</w:t>
      </w:r>
      <w:r>
        <w:t xml:space="preserve"> share of the most disadvantaged students. However, this change would also decrease the </w:t>
      </w:r>
      <w:r w:rsidR="00A73188">
        <w:t xml:space="preserve">estimated </w:t>
      </w:r>
      <w:r>
        <w:t xml:space="preserve">coefficient </w:t>
      </w:r>
      <w:r w:rsidR="00B02EE3">
        <w:t xml:space="preserve">for </w:t>
      </w:r>
      <w:r>
        <w:t>First Nations students. The decrease in the amount allocated to the Northern Territory for First Nations students would largely offset the increase for socio-</w:t>
      </w:r>
      <w:r w:rsidR="001D0A2E">
        <w:t>educational</w:t>
      </w:r>
      <w:r w:rsidR="00F841C5">
        <w:t xml:space="preserve"> disadvantage</w:t>
      </w:r>
      <w:r w:rsidR="00525017">
        <w:t xml:space="preserve">. </w:t>
      </w:r>
    </w:p>
    <w:p w14:paraId="7D10F32E" w14:textId="0F97095D" w:rsidR="00EA2DB1" w:rsidRPr="00E21413" w:rsidRDefault="00F366F8" w:rsidP="00F73500">
      <w:pPr>
        <w:pStyle w:val="Heading4"/>
      </w:pPr>
      <w:r>
        <w:lastRenderedPageBreak/>
        <w:t>Commission</w:t>
      </w:r>
      <w:r w:rsidR="00EA2DB1">
        <w:t xml:space="preserve"> position</w:t>
      </w:r>
    </w:p>
    <w:p w14:paraId="0E4E3150" w14:textId="09359B1F" w:rsidR="00EA2DB1" w:rsidRDefault="00EA2DB1" w:rsidP="00992816">
      <w:pPr>
        <w:pStyle w:val="CGC2025ParaNumbers"/>
      </w:pPr>
      <w:r>
        <w:t xml:space="preserve">The Commission </w:t>
      </w:r>
      <w:r w:rsidR="00AD5A6E">
        <w:t xml:space="preserve">will </w:t>
      </w:r>
      <w:r w:rsidR="00C816EB">
        <w:t>re</w:t>
      </w:r>
      <w:r w:rsidR="00C73629">
        <w:t xml:space="preserve">tain </w:t>
      </w:r>
      <w:r w:rsidR="00AD5A6E">
        <w:t xml:space="preserve">the </w:t>
      </w:r>
      <w:r w:rsidR="005834F6">
        <w:t xml:space="preserve">approach </w:t>
      </w:r>
      <w:r w:rsidR="00C816EB">
        <w:t xml:space="preserve">used in the 2020 </w:t>
      </w:r>
      <w:r w:rsidR="00D16552">
        <w:t>R</w:t>
      </w:r>
      <w:r w:rsidR="00C816EB">
        <w:t xml:space="preserve">eview for measuring </w:t>
      </w:r>
      <w:r w:rsidR="00010B3F">
        <w:br/>
      </w:r>
      <w:r w:rsidR="00C816EB">
        <w:t>socio-educational disadvantage</w:t>
      </w:r>
      <w:r w:rsidR="005834F6">
        <w:t>, using the most socio-educationally disadvantaged 25% of students</w:t>
      </w:r>
      <w:r w:rsidR="00C816EB">
        <w:t xml:space="preserve">. </w:t>
      </w:r>
      <w:r w:rsidR="00C94281">
        <w:t xml:space="preserve">The Commission agrees with </w:t>
      </w:r>
      <w:r w:rsidR="00B34D57">
        <w:t>those states that indicated that changing the in</w:t>
      </w:r>
      <w:r w:rsidR="00C32752">
        <w:t xml:space="preserve">dicator </w:t>
      </w:r>
      <w:r w:rsidR="00B14492">
        <w:t xml:space="preserve">to only the most disadvantaged 10% of students did not adequately </w:t>
      </w:r>
      <w:r w:rsidR="00F26041">
        <w:t>capture</w:t>
      </w:r>
      <w:r w:rsidR="00B14492">
        <w:t xml:space="preserve"> the costs associated with </w:t>
      </w:r>
      <w:r w:rsidR="0075780D">
        <w:t xml:space="preserve">more </w:t>
      </w:r>
      <w:r w:rsidR="00A34214">
        <w:t xml:space="preserve">moderately </w:t>
      </w:r>
      <w:r w:rsidR="00D45245">
        <w:t>disadvantage</w:t>
      </w:r>
      <w:r w:rsidR="00A05A1B">
        <w:t>d</w:t>
      </w:r>
      <w:r w:rsidR="00D45245">
        <w:t xml:space="preserve"> students.</w:t>
      </w:r>
    </w:p>
    <w:p w14:paraId="68C68F5E" w14:textId="5492B5BC" w:rsidR="00EA2DB1" w:rsidRDefault="00EA2DB1" w:rsidP="002E1C50">
      <w:pPr>
        <w:pStyle w:val="Heading3"/>
      </w:pPr>
      <w:bookmarkStart w:id="6" w:name="_Toc176348495"/>
      <w:bookmarkStart w:id="7" w:name="_Hlk178932019"/>
      <w:r>
        <w:t xml:space="preserve">Indicative impact on GST distribution of changes </w:t>
      </w:r>
      <w:r w:rsidR="00282C17">
        <w:t xml:space="preserve">since the Draft Report </w:t>
      </w:r>
      <w:r>
        <w:t>in the schools assessment</w:t>
      </w:r>
      <w:bookmarkEnd w:id="6"/>
    </w:p>
    <w:p w14:paraId="2E2B0CA8" w14:textId="60F25F83" w:rsidR="008A2B7E" w:rsidRPr="00476AC7" w:rsidRDefault="00740CE2" w:rsidP="004E3DCA">
      <w:pPr>
        <w:pStyle w:val="CGC2025ParaNumbers"/>
      </w:pPr>
      <w:r w:rsidRPr="00476AC7">
        <w:t>By</w:t>
      </w:r>
      <w:r w:rsidR="0034648B" w:rsidRPr="00476AC7">
        <w:t xml:space="preserve"> re</w:t>
      </w:r>
      <w:r w:rsidR="0026588B" w:rsidRPr="00476AC7">
        <w:t>verting to</w:t>
      </w:r>
      <w:r w:rsidRPr="00476AC7">
        <w:t xml:space="preserve"> the 2020 Review definition of socio</w:t>
      </w:r>
      <w:r w:rsidRPr="00476AC7">
        <w:noBreakHyphen/>
        <w:t xml:space="preserve">educational disadvantage, </w:t>
      </w:r>
      <w:r w:rsidR="00B007F6" w:rsidRPr="00476AC7">
        <w:t xml:space="preserve">there is no </w:t>
      </w:r>
      <w:r w:rsidR="00007562" w:rsidRPr="00476AC7">
        <w:t xml:space="preserve">change in the GST distribution between the </w:t>
      </w:r>
      <w:r w:rsidR="00DF26A2" w:rsidRPr="00476AC7">
        <w:t xml:space="preserve">2024 Update and the 2025 </w:t>
      </w:r>
      <w:r w:rsidR="0010776E" w:rsidRPr="00476AC7">
        <w:t>Review</w:t>
      </w:r>
      <w:r w:rsidR="00DF26A2" w:rsidRPr="00476AC7">
        <w:t xml:space="preserve"> associated with </w:t>
      </w:r>
      <w:r w:rsidR="00FC09D3" w:rsidRPr="00476AC7">
        <w:t xml:space="preserve">socio-educational disadvantage. </w:t>
      </w:r>
    </w:p>
    <w:p w14:paraId="5BBD6D0F" w14:textId="25682C38" w:rsidR="00FE5655" w:rsidRPr="00FE5655" w:rsidRDefault="00FE5655" w:rsidP="00701DF9">
      <w:pPr>
        <w:pStyle w:val="Heading2"/>
      </w:pPr>
      <w:bookmarkStart w:id="8" w:name="_Toc176348496"/>
      <w:bookmarkEnd w:id="7"/>
      <w:r>
        <w:t>Health</w:t>
      </w:r>
      <w:bookmarkEnd w:id="8"/>
    </w:p>
    <w:p w14:paraId="39F4615B" w14:textId="77777777" w:rsidR="00375B3F" w:rsidRDefault="00375B3F" w:rsidP="004562E1">
      <w:pPr>
        <w:pStyle w:val="Heading3"/>
        <w:keepNext/>
      </w:pPr>
      <w:bookmarkStart w:id="9" w:name="_Toc176348498"/>
      <w:r>
        <w:t>Admitted patient non-state sector indicator</w:t>
      </w:r>
      <w:bookmarkEnd w:id="9"/>
    </w:p>
    <w:p w14:paraId="6F47B480" w14:textId="77777777" w:rsidR="00375B3F" w:rsidRDefault="00375B3F" w:rsidP="004562E1">
      <w:pPr>
        <w:pStyle w:val="CGC2025ParaNumbers"/>
        <w:keepNext/>
      </w:pPr>
      <w:r>
        <w:t>In the Draft Report, the Commission proposed using private patient benefits paid as the indicator of non-state sector activity for the calculation of the admitted patient non</w:t>
      </w:r>
      <w:r>
        <w:noBreakHyphen/>
        <w:t>state sector adjustment. The 2020 Review method used private patient separations as the indicator.</w:t>
      </w:r>
    </w:p>
    <w:p w14:paraId="2CE4878A" w14:textId="47BD3D98" w:rsidR="00375B3F" w:rsidRDefault="00375B3F" w:rsidP="00375B3F">
      <w:pPr>
        <w:pStyle w:val="CGC2025ParaNumbers"/>
      </w:pPr>
      <w:r>
        <w:t xml:space="preserve">The Commission’s proposal was in response to Queensland’s </w:t>
      </w:r>
      <w:r w:rsidR="00CF447C">
        <w:t xml:space="preserve">suggestion </w:t>
      </w:r>
      <w:r>
        <w:t>in its Tranche 1 submission to use</w:t>
      </w:r>
      <w:r w:rsidRPr="00E6077D">
        <w:t xml:space="preserve"> private patient bed days rather than separations as the indicator of non-state sector activity for admitted patient services. Queensland said that bed days provide more information on the relative costs of service provision and therefore provide a better indicator of non</w:t>
      </w:r>
      <w:r>
        <w:noBreakHyphen/>
      </w:r>
      <w:r w:rsidRPr="00E6077D">
        <w:t>state sector activity</w:t>
      </w:r>
      <w:r>
        <w:t>.</w:t>
      </w:r>
    </w:p>
    <w:p w14:paraId="5630887B" w14:textId="7A14D99A" w:rsidR="00375B3F" w:rsidRDefault="00375B3F" w:rsidP="00375B3F">
      <w:pPr>
        <w:pStyle w:val="CGC2025ParaNumbers"/>
      </w:pPr>
      <w:r>
        <w:t>The Commission proposed private patient benefits paid because:</w:t>
      </w:r>
    </w:p>
    <w:p w14:paraId="1EF0BE3D" w14:textId="41F0D0CD" w:rsidR="00375B3F" w:rsidRDefault="00375B3F" w:rsidP="00375B3F">
      <w:pPr>
        <w:pStyle w:val="CGC2025Bullet1"/>
      </w:pPr>
      <w:r>
        <w:t>state</w:t>
      </w:r>
      <w:r>
        <w:noBreakHyphen/>
        <w:t xml:space="preserve">level data on bed days </w:t>
      </w:r>
      <w:r w:rsidR="00807576">
        <w:t xml:space="preserve">are </w:t>
      </w:r>
      <w:r>
        <w:t>not available for the 3 smallest states</w:t>
      </w:r>
    </w:p>
    <w:p w14:paraId="5DCF61AB" w14:textId="26335132" w:rsidR="00323FB6" w:rsidRDefault="001F56A6" w:rsidP="00375B3F">
      <w:pPr>
        <w:pStyle w:val="CGC2025Bullet1"/>
      </w:pPr>
      <w:r>
        <w:t>b</w:t>
      </w:r>
      <w:r w:rsidR="00375B3F">
        <w:t>enefits paid</w:t>
      </w:r>
      <w:r w:rsidR="00375B3F" w:rsidDel="00422471">
        <w:t xml:space="preserve"> </w:t>
      </w:r>
      <w:r w:rsidR="00422471">
        <w:t>could</w:t>
      </w:r>
      <w:r w:rsidR="00375B3F">
        <w:t xml:space="preserve"> potentially provide more information than separation</w:t>
      </w:r>
      <w:r w:rsidR="003B31D1">
        <w:t>s</w:t>
      </w:r>
      <w:r w:rsidR="00375B3F">
        <w:t xml:space="preserve"> or bed days on the relative costs of service provision, and therefore provide a better indicator of non</w:t>
      </w:r>
      <w:r w:rsidR="00375B3F">
        <w:noBreakHyphen/>
        <w:t xml:space="preserve">state sector activity. </w:t>
      </w:r>
    </w:p>
    <w:p w14:paraId="14BEDEB0" w14:textId="05B94ED2" w:rsidR="00375B3F" w:rsidRDefault="00375B3F" w:rsidP="00E102C9">
      <w:pPr>
        <w:pStyle w:val="CGC2025ParaNumbers"/>
      </w:pPr>
      <w:r>
        <w:t xml:space="preserve">However, </w:t>
      </w:r>
      <w:r w:rsidR="00A6325A">
        <w:t xml:space="preserve">the </w:t>
      </w:r>
      <w:r w:rsidR="00271116">
        <w:t>reliability</w:t>
      </w:r>
      <w:r w:rsidR="00A6325A">
        <w:t xml:space="preserve"> of</w:t>
      </w:r>
      <w:r w:rsidR="551F35BB">
        <w:t xml:space="preserve"> private patient</w:t>
      </w:r>
      <w:r w:rsidR="00A6325A">
        <w:t xml:space="preserve"> </w:t>
      </w:r>
      <w:r w:rsidR="00427043">
        <w:t>benefits paid as an indicator of activity</w:t>
      </w:r>
      <w:r w:rsidR="005F0061">
        <w:t xml:space="preserve"> depends</w:t>
      </w:r>
      <w:r>
        <w:t xml:space="preserve"> on states having comparable average benefits paid for equivalent hospital services. </w:t>
      </w:r>
      <w:r w:rsidR="00BB3655">
        <w:t>In the Draft</w:t>
      </w:r>
      <w:r w:rsidR="00FA18E8">
        <w:t> </w:t>
      </w:r>
      <w:r w:rsidR="00BB3655">
        <w:t xml:space="preserve">Report the Commission noted that the indicator was not considered ideal due to differences between states in </w:t>
      </w:r>
      <w:r w:rsidR="00F47CAC">
        <w:t xml:space="preserve">average benefits </w:t>
      </w:r>
      <w:r w:rsidR="00B865D1">
        <w:t>paid but</w:t>
      </w:r>
      <w:r w:rsidR="00BB3655">
        <w:t xml:space="preserve"> concluded that </w:t>
      </w:r>
      <w:r w:rsidR="008A525C">
        <w:t>it</w:t>
      </w:r>
      <w:r w:rsidR="00BB3655">
        <w:t xml:space="preserve"> provided a better measure of activity than separations</w:t>
      </w:r>
      <w:r w:rsidR="008A525C">
        <w:t>.</w:t>
      </w:r>
    </w:p>
    <w:p w14:paraId="7971C613" w14:textId="77777777" w:rsidR="00375B3F" w:rsidRDefault="00375B3F" w:rsidP="00375B3F">
      <w:pPr>
        <w:pStyle w:val="Heading4"/>
      </w:pPr>
      <w:r>
        <w:t>State views</w:t>
      </w:r>
    </w:p>
    <w:p w14:paraId="1CC8B353" w14:textId="77777777" w:rsidR="00375B3F" w:rsidRDefault="00375B3F" w:rsidP="00375B3F">
      <w:pPr>
        <w:pStyle w:val="CGC2025ParaNumbers"/>
      </w:pPr>
      <w:r>
        <w:t>New South Wales, Victoria, Queensland and the ACT supported the use of private benefits paid as a better indicator of non</w:t>
      </w:r>
      <w:r>
        <w:noBreakHyphen/>
        <w:t>state sector activity.</w:t>
      </w:r>
    </w:p>
    <w:p w14:paraId="5A944AB2" w14:textId="7C964004" w:rsidR="00375B3F" w:rsidRDefault="00375B3F" w:rsidP="00375B3F">
      <w:pPr>
        <w:pStyle w:val="CGC2025ParaNumbers"/>
      </w:pPr>
      <w:r>
        <w:lastRenderedPageBreak/>
        <w:t xml:space="preserve">Western Australia said that benefits paid by private health insurers vary among states due to factors other than </w:t>
      </w:r>
      <w:r w:rsidR="00EB1017">
        <w:t>case</w:t>
      </w:r>
      <w:r>
        <w:t xml:space="preserve"> complexity. Western Australia has high private health insurance benefits, but low private bed days per separation. Western Australia said it appears that </w:t>
      </w:r>
      <w:r w:rsidR="005925B8">
        <w:t>its</w:t>
      </w:r>
      <w:r>
        <w:t xml:space="preserve"> private hospitals charge more than the national average for treatments of the same complexity. Western Australia said that this could reflect the market dynamics of a </w:t>
      </w:r>
      <w:r w:rsidR="0062016A">
        <w:t>concentrated</w:t>
      </w:r>
      <w:r>
        <w:t xml:space="preserve"> group of private hospital operators, the majority insurance provider being not-for-profit, and possibly higher costs faced by private hospitals. </w:t>
      </w:r>
    </w:p>
    <w:p w14:paraId="06027CD0" w14:textId="63254B18" w:rsidR="00375B3F" w:rsidRDefault="00375B3F" w:rsidP="00375B3F">
      <w:pPr>
        <w:pStyle w:val="CGC2025ParaNumbers"/>
      </w:pPr>
      <w:r>
        <w:t xml:space="preserve">South Australia said that, given the significance of this component, any method changes affecting it should be based on high quality, consistent data that </w:t>
      </w:r>
      <w:r w:rsidR="00B36962">
        <w:t xml:space="preserve">are </w:t>
      </w:r>
      <w:r>
        <w:t xml:space="preserve">not policy influenced. It </w:t>
      </w:r>
      <w:r w:rsidR="00636E7D">
        <w:t>was</w:t>
      </w:r>
      <w:r>
        <w:t xml:space="preserve"> not convinced that the proposed private patient benefits paid data meet this requirement. </w:t>
      </w:r>
    </w:p>
    <w:p w14:paraId="287AEB7D" w14:textId="77777777" w:rsidR="00375B3F" w:rsidRDefault="00375B3F" w:rsidP="00375B3F">
      <w:pPr>
        <w:pStyle w:val="Heading4"/>
      </w:pPr>
      <w:r>
        <w:t>Commission response</w:t>
      </w:r>
    </w:p>
    <w:p w14:paraId="452F20E2" w14:textId="3B357488" w:rsidR="00432112" w:rsidRDefault="00432112" w:rsidP="00432112">
      <w:pPr>
        <w:pStyle w:val="CGC2025ParaNumbers"/>
      </w:pPr>
      <w:r>
        <w:t>Analysis</w:t>
      </w:r>
      <w:r w:rsidR="008F35D5">
        <w:t xml:space="preserve"> of</w:t>
      </w:r>
      <w:r>
        <w:t xml:space="preserve"> data on benefits paid per separation by diagnosis-related group showed that, for the 5 states </w:t>
      </w:r>
      <w:r w:rsidR="00E33EAC">
        <w:t>w</w:t>
      </w:r>
      <w:r w:rsidR="00A043C2">
        <w:t>h</w:t>
      </w:r>
      <w:r w:rsidR="00E33EAC">
        <w:t>ere</w:t>
      </w:r>
      <w:r>
        <w:t xml:space="preserve"> data </w:t>
      </w:r>
      <w:r w:rsidR="00E33EAC">
        <w:t xml:space="preserve">are </w:t>
      </w:r>
      <w:r>
        <w:t>available, all had relatively large shares of separations where the ratio of state benefits paid to the Australian average was close (within 20%) to one.</w:t>
      </w:r>
    </w:p>
    <w:p w14:paraId="22096A56" w14:textId="77777777" w:rsidR="005C05E8" w:rsidRDefault="00432112" w:rsidP="00432112">
      <w:pPr>
        <w:pStyle w:val="CGC2025ParaNumbers"/>
      </w:pPr>
      <w:r>
        <w:t xml:space="preserve">However, states varied in their share of separations that had average benefits paid that were above or below the national average. Victoria and South Australia had a large share of separations below the national average and Western Australia a large share above the national average. </w:t>
      </w:r>
    </w:p>
    <w:p w14:paraId="41A9B1DC" w14:textId="4F800361" w:rsidR="00FA6011" w:rsidRDefault="00FA6011" w:rsidP="00FC7AD3">
      <w:pPr>
        <w:pStyle w:val="CGC2025ParaNumbers"/>
      </w:pPr>
      <w:r>
        <w:t>The Commission accepts that private patient benefits paid for equivalent hospital services vary among states due to factors other than</w:t>
      </w:r>
      <w:r w:rsidDel="00FA6011">
        <w:t xml:space="preserve"> </w:t>
      </w:r>
      <w:r>
        <w:t>case complexity</w:t>
      </w:r>
      <w:r w:rsidR="000D57ED">
        <w:t>. It</w:t>
      </w:r>
      <w:r w:rsidR="00D502C3">
        <w:t xml:space="preserve"> </w:t>
      </w:r>
      <w:r w:rsidR="00FF2D01">
        <w:t>concluded that benefits paid could not be considered an unbiased measure of non</w:t>
      </w:r>
      <w:r w:rsidR="00E32C18">
        <w:t>-</w:t>
      </w:r>
      <w:r w:rsidR="00FF2D01">
        <w:t>state sector activity.</w:t>
      </w:r>
    </w:p>
    <w:p w14:paraId="01F9F513" w14:textId="3F70561A" w:rsidR="00375B3F" w:rsidRPr="00E21413" w:rsidRDefault="0009693D" w:rsidP="00375B3F">
      <w:pPr>
        <w:pStyle w:val="Heading4"/>
      </w:pPr>
      <w:r>
        <w:t>Commission</w:t>
      </w:r>
      <w:r w:rsidR="00375B3F">
        <w:t xml:space="preserve"> position</w:t>
      </w:r>
    </w:p>
    <w:p w14:paraId="6D3B8402" w14:textId="0407FD38" w:rsidR="00375B3F" w:rsidRDefault="00375B3F" w:rsidP="00375B3F">
      <w:pPr>
        <w:pStyle w:val="CGC2025ParaNumbers"/>
      </w:pPr>
      <w:r>
        <w:t xml:space="preserve">The Commission </w:t>
      </w:r>
      <w:r w:rsidR="00D54E39">
        <w:t>will</w:t>
      </w:r>
      <w:r>
        <w:t xml:space="preserve"> </w:t>
      </w:r>
      <w:r w:rsidR="008719DA">
        <w:t>revert</w:t>
      </w:r>
      <w:r w:rsidR="00183085">
        <w:t xml:space="preserve"> to the 2020 Review approach of </w:t>
      </w:r>
      <w:r>
        <w:t>using private patient separations as the indicator of non</w:t>
      </w:r>
      <w:r>
        <w:noBreakHyphen/>
        <w:t xml:space="preserve">state sector admitted patient activity. </w:t>
      </w:r>
    </w:p>
    <w:p w14:paraId="1F444415" w14:textId="4BA82B33" w:rsidR="00375B3F" w:rsidRPr="00B454DA" w:rsidRDefault="003D7FB1" w:rsidP="003D7FB1">
      <w:pPr>
        <w:pStyle w:val="CGC2025ParaNumbers"/>
      </w:pPr>
      <w:r w:rsidRPr="00B454DA">
        <w:t xml:space="preserve">The non-state sector adjustment for all health assessment components, including the choice of indicator for non-state admitted patient activity, </w:t>
      </w:r>
      <w:r w:rsidR="00E32771" w:rsidRPr="00B454DA">
        <w:t>is</w:t>
      </w:r>
      <w:r w:rsidR="00F74F43" w:rsidRPr="00B454DA">
        <w:t xml:space="preserve"> included in</w:t>
      </w:r>
      <w:r w:rsidRPr="00B454DA">
        <w:t xml:space="preserve"> the Commission's forward work program</w:t>
      </w:r>
      <w:r w:rsidR="00476AC7" w:rsidRPr="00B454DA">
        <w:t>.</w:t>
      </w:r>
    </w:p>
    <w:p w14:paraId="6F15605D" w14:textId="77777777" w:rsidR="000018E8" w:rsidRDefault="000018E8" w:rsidP="00246567">
      <w:pPr>
        <w:pStyle w:val="Heading3"/>
      </w:pPr>
      <w:bookmarkStart w:id="10" w:name="_Toc176348499"/>
      <w:r>
        <w:t>Re-testing socio-demographic groups</w:t>
      </w:r>
      <w:bookmarkEnd w:id="10"/>
    </w:p>
    <w:p w14:paraId="60A67FF8" w14:textId="68B0BBCD" w:rsidR="0041533D" w:rsidRDefault="0041533D" w:rsidP="00246567">
      <w:pPr>
        <w:pStyle w:val="CGC2025ParaNumbers"/>
        <w:tabs>
          <w:tab w:val="clear" w:pos="567"/>
        </w:tabs>
      </w:pPr>
      <w:r>
        <w:t>In the Draft Report, the socio</w:t>
      </w:r>
      <w:r>
        <w:noBreakHyphen/>
        <w:t xml:space="preserve">demographic drivers in the health assessment were unchanged from the </w:t>
      </w:r>
      <w:r w:rsidRPr="008603EE">
        <w:t>2020</w:t>
      </w:r>
      <w:r>
        <w:t> Review method. The Draft Report stated that t</w:t>
      </w:r>
      <w:r w:rsidRPr="008603EE">
        <w:t>he</w:t>
      </w:r>
      <w:r>
        <w:t xml:space="preserve"> socio</w:t>
      </w:r>
      <w:r>
        <w:noBreakHyphen/>
        <w:t>demographic drivers would be re</w:t>
      </w:r>
      <w:r>
        <w:noBreakHyphen/>
        <w:t xml:space="preserve">tested to ensure </w:t>
      </w:r>
      <w:r w:rsidR="00402537">
        <w:t xml:space="preserve">the assessment used </w:t>
      </w:r>
      <w:r>
        <w:t>as much information on service use and cost by socio</w:t>
      </w:r>
      <w:r>
        <w:noBreakHyphen/>
        <w:t xml:space="preserve">demographic groups that can be supported by the data. </w:t>
      </w:r>
    </w:p>
    <w:p w14:paraId="6E8827AE" w14:textId="3F533980" w:rsidR="0041533D" w:rsidRDefault="0041533D" w:rsidP="00246567">
      <w:pPr>
        <w:pStyle w:val="CGC2025ParaNumbers"/>
        <w:tabs>
          <w:tab w:val="clear" w:pos="567"/>
        </w:tabs>
      </w:pPr>
      <w:bookmarkStart w:id="11" w:name="_Hlk176438760"/>
      <w:r>
        <w:lastRenderedPageBreak/>
        <w:t xml:space="preserve">The 2020 Review method </w:t>
      </w:r>
      <w:r w:rsidR="00DE2C98">
        <w:t xml:space="preserve">did </w:t>
      </w:r>
      <w:r>
        <w:t>not include socio</w:t>
      </w:r>
      <w:r>
        <w:noBreakHyphen/>
        <w:t xml:space="preserve">economic status as a driver in remote and very remote areas, </w:t>
      </w:r>
      <w:bookmarkStart w:id="12" w:name="_Hlk176441579"/>
      <w:r>
        <w:t>for either the assessment of state health expenses or the assessment of non</w:t>
      </w:r>
      <w:r>
        <w:noBreakHyphen/>
        <w:t>state sector activity</w:t>
      </w:r>
      <w:bookmarkEnd w:id="11"/>
      <w:bookmarkEnd w:id="12"/>
      <w:r>
        <w:t xml:space="preserve">. </w:t>
      </w:r>
    </w:p>
    <w:p w14:paraId="597BE788" w14:textId="77777777" w:rsidR="000018E8" w:rsidRDefault="000018E8" w:rsidP="00246567">
      <w:pPr>
        <w:pStyle w:val="Heading4"/>
        <w:keepLines/>
      </w:pPr>
      <w:r>
        <w:t>State views</w:t>
      </w:r>
    </w:p>
    <w:p w14:paraId="087AA019" w14:textId="12DFFF1E" w:rsidR="00841E3A" w:rsidRPr="00841E3A" w:rsidRDefault="00841E3A" w:rsidP="00841E3A">
      <w:pPr>
        <w:pStyle w:val="CGC2025ParaNumbers"/>
      </w:pPr>
      <w:r w:rsidRPr="00841E3A">
        <w:t>The Northern Territory said that the community and public health non-state sector adjustment for Commonwealth funding of First Nations community</w:t>
      </w:r>
      <w:r w:rsidR="009F2326">
        <w:noBreakHyphen/>
      </w:r>
      <w:r w:rsidR="00B03483">
        <w:t xml:space="preserve">controlled </w:t>
      </w:r>
      <w:r w:rsidRPr="00841E3A">
        <w:t>health organisations should be amended to include socio</w:t>
      </w:r>
      <w:r w:rsidR="00B24773">
        <w:noBreakHyphen/>
      </w:r>
      <w:r w:rsidRPr="00841E3A">
        <w:t>economic status as a driver in remote areas. It said that the Commission’s method assumes that all remote First</w:t>
      </w:r>
      <w:r w:rsidR="00B24773">
        <w:t> </w:t>
      </w:r>
      <w:r w:rsidRPr="00841E3A">
        <w:t>Nations people have homogenous health needs, whereas the Commonwealth funding model for the Indigenous Australians’ Health Programme includes a socio</w:t>
      </w:r>
      <w:r w:rsidR="00D27559">
        <w:noBreakHyphen/>
      </w:r>
      <w:r w:rsidRPr="00841E3A">
        <w:t>economic adjustment in addition to remoteness.</w:t>
      </w:r>
    </w:p>
    <w:p w14:paraId="7DDFE0F7" w14:textId="77777777" w:rsidR="000018E8" w:rsidRDefault="000018E8" w:rsidP="000018E8">
      <w:pPr>
        <w:pStyle w:val="Heading4"/>
      </w:pPr>
      <w:r>
        <w:t>Commission response</w:t>
      </w:r>
    </w:p>
    <w:p w14:paraId="2A2FDE24" w14:textId="77777777" w:rsidR="000963F4" w:rsidRDefault="000963F4" w:rsidP="000963F4">
      <w:pPr>
        <w:pStyle w:val="CGC2025ParaNumbers"/>
        <w:tabs>
          <w:tab w:val="clear" w:pos="567"/>
        </w:tabs>
      </w:pPr>
      <w:r>
        <w:t>Using the latest available data, the Commission re</w:t>
      </w:r>
      <w:r>
        <w:noBreakHyphen/>
        <w:t>tested the drivers used in the state and non</w:t>
      </w:r>
      <w:r>
        <w:noBreakHyphen/>
        <w:t>state sector elements of the health assessment.</w:t>
      </w:r>
    </w:p>
    <w:p w14:paraId="0969DC3B" w14:textId="296DF7D9" w:rsidR="000963F4" w:rsidRDefault="000963F4" w:rsidP="000963F4">
      <w:pPr>
        <w:pStyle w:val="CGC2025ParaNumbers"/>
        <w:tabs>
          <w:tab w:val="clear" w:pos="567"/>
        </w:tabs>
      </w:pPr>
      <w:r>
        <w:t>The conceptual case for the inclusion of socio</w:t>
      </w:r>
      <w:r>
        <w:noBreakHyphen/>
        <w:t>economic status in the assessment of state expenses is based on people living in areas classified as low socio</w:t>
      </w:r>
      <w:r>
        <w:noBreakHyphen/>
        <w:t>economic status using state health services more than people living in medium or high socio</w:t>
      </w:r>
      <w:r>
        <w:noBreakHyphen/>
        <w:t xml:space="preserve">economic areas (see </w:t>
      </w:r>
      <w:r>
        <w:fldChar w:fldCharType="begin"/>
      </w:r>
      <w:r>
        <w:instrText xml:space="preserve"> REF _Ref176433692 \h </w:instrText>
      </w:r>
      <w:r>
        <w:fldChar w:fldCharType="separate"/>
      </w:r>
      <w:r w:rsidR="003F6DE4">
        <w:t xml:space="preserve">Figure </w:t>
      </w:r>
      <w:r w:rsidR="003F6DE4">
        <w:rPr>
          <w:noProof/>
        </w:rPr>
        <w:t>1</w:t>
      </w:r>
      <w:r>
        <w:fldChar w:fldCharType="end"/>
      </w:r>
      <w:r>
        <w:t xml:space="preserve">). </w:t>
      </w:r>
    </w:p>
    <w:p w14:paraId="3D326C0C" w14:textId="1F27C99B" w:rsidR="000963F4" w:rsidRDefault="000963F4" w:rsidP="00DC08AE">
      <w:pPr>
        <w:pStyle w:val="CGC2025Caption"/>
        <w:keepNext/>
        <w:ind w:left="1440" w:hanging="1440"/>
      </w:pPr>
      <w:bookmarkStart w:id="13" w:name="_Ref176433692"/>
      <w:r>
        <w:t xml:space="preserve">Figure </w:t>
      </w:r>
      <w:r>
        <w:fldChar w:fldCharType="begin"/>
      </w:r>
      <w:r>
        <w:instrText xml:space="preserve"> SEQ Figure \* ARABIC </w:instrText>
      </w:r>
      <w:r>
        <w:fldChar w:fldCharType="separate"/>
      </w:r>
      <w:r w:rsidR="003F6DE4">
        <w:rPr>
          <w:noProof/>
        </w:rPr>
        <w:t>1</w:t>
      </w:r>
      <w:r>
        <w:fldChar w:fldCharType="end"/>
      </w:r>
      <w:bookmarkEnd w:id="13"/>
      <w:r>
        <w:tab/>
        <w:t xml:space="preserve">State sector admitted patient </w:t>
      </w:r>
      <w:r w:rsidR="00344B7A">
        <w:t>activity</w:t>
      </w:r>
      <w:r>
        <w:t>, by socio</w:t>
      </w:r>
      <w:r>
        <w:noBreakHyphen/>
        <w:t>economic and Indigenous status, 2021</w:t>
      </w:r>
      <w:r w:rsidR="00785F22">
        <w:t>–</w:t>
      </w:r>
      <w:r>
        <w:t>22</w:t>
      </w:r>
    </w:p>
    <w:p w14:paraId="5267CD11" w14:textId="0DF97458" w:rsidR="000963F4" w:rsidRDefault="008F1129" w:rsidP="00DC08AE">
      <w:pPr>
        <w:pStyle w:val="CGC2025ParaNumbers"/>
        <w:keepNext/>
        <w:numPr>
          <w:ilvl w:val="0"/>
          <w:numId w:val="0"/>
        </w:numPr>
      </w:pPr>
      <w:r w:rsidRPr="008F1129">
        <w:rPr>
          <w:noProof/>
        </w:rPr>
        <w:drawing>
          <wp:inline distT="0" distB="0" distL="0" distR="0" wp14:anchorId="48DEA645" wp14:editId="153C9932">
            <wp:extent cx="5616000" cy="2844000"/>
            <wp:effectExtent l="0" t="0" r="3810" b="0"/>
            <wp:docPr id="179992466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6000" cy="2844000"/>
                    </a:xfrm>
                    <a:prstGeom prst="rect">
                      <a:avLst/>
                    </a:prstGeom>
                    <a:noFill/>
                    <a:ln>
                      <a:noFill/>
                    </a:ln>
                  </pic:spPr>
                </pic:pic>
              </a:graphicData>
            </a:graphic>
          </wp:inline>
        </w:drawing>
      </w:r>
    </w:p>
    <w:p w14:paraId="7332F4AB" w14:textId="425A23B1" w:rsidR="000963F4" w:rsidRDefault="000963F4" w:rsidP="00A20AF1">
      <w:pPr>
        <w:pStyle w:val="CGC2025TableNote"/>
        <w:ind w:left="686" w:hanging="573"/>
      </w:pPr>
      <w:r>
        <w:t xml:space="preserve">Source: Commission calculation using IHACPA </w:t>
      </w:r>
      <w:r w:rsidR="00ED6401">
        <w:t>NWAU</w:t>
      </w:r>
      <w:r>
        <w:t xml:space="preserve">, </w:t>
      </w:r>
      <w:r w:rsidR="00875846">
        <w:t xml:space="preserve">ABS </w:t>
      </w:r>
      <w:r>
        <w:t>G</w:t>
      </w:r>
      <w:r w:rsidR="00875846">
        <w:t xml:space="preserve">overnment </w:t>
      </w:r>
      <w:r>
        <w:t>F</w:t>
      </w:r>
      <w:r w:rsidR="00875846">
        <w:t xml:space="preserve">inance </w:t>
      </w:r>
      <w:r>
        <w:t>S</w:t>
      </w:r>
      <w:r w:rsidR="00875846">
        <w:t>tatistics</w:t>
      </w:r>
      <w:r>
        <w:t xml:space="preserve"> expenses and ABS population data.</w:t>
      </w:r>
    </w:p>
    <w:p w14:paraId="46875DC4" w14:textId="408F1D1B" w:rsidR="008B6D95" w:rsidRPr="008B6D95" w:rsidRDefault="008B6D95" w:rsidP="00DC6A83">
      <w:pPr>
        <w:pStyle w:val="CGC2025ParaNumbers"/>
        <w:keepNext/>
        <w:keepLines/>
      </w:pPr>
      <w:r w:rsidRPr="008B6D95">
        <w:lastRenderedPageBreak/>
        <w:t>Socio</w:t>
      </w:r>
      <w:r w:rsidR="0012092C">
        <w:noBreakHyphen/>
      </w:r>
      <w:r w:rsidRPr="008B6D95">
        <w:t xml:space="preserve">economic patterns of use are </w:t>
      </w:r>
      <w:r w:rsidR="001C5DE6">
        <w:t>expected</w:t>
      </w:r>
      <w:r w:rsidR="001C5DE6" w:rsidRPr="008B6D95">
        <w:t xml:space="preserve"> </w:t>
      </w:r>
      <w:r w:rsidRPr="008B6D95">
        <w:t>to vary across the different types of non</w:t>
      </w:r>
      <w:r w:rsidR="006C0CF4">
        <w:noBreakHyphen/>
      </w:r>
      <w:r w:rsidRPr="008B6D95">
        <w:t xml:space="preserve">state sector health services due to differences in the out-of-pocket costs for patients. </w:t>
      </w:r>
      <w:r w:rsidR="00DC7366" w:rsidRPr="008B6D95">
        <w:t xml:space="preserve">Figure 2 shows the pattern of usage by socio-economic status of non-state sector admitted patient services. </w:t>
      </w:r>
      <w:r w:rsidR="009A0F15">
        <w:t xml:space="preserve">In contrast to </w:t>
      </w:r>
      <w:r w:rsidR="005A3A9F">
        <w:t xml:space="preserve">state admitted patient services, </w:t>
      </w:r>
      <w:r w:rsidR="0041343A">
        <w:t xml:space="preserve">use </w:t>
      </w:r>
      <w:r w:rsidR="009A0F15">
        <w:t xml:space="preserve">is higher </w:t>
      </w:r>
      <w:r w:rsidR="001F709C">
        <w:t>among people living in high socio</w:t>
      </w:r>
      <w:r w:rsidR="00BE2ADB">
        <w:t>-</w:t>
      </w:r>
      <w:r w:rsidR="001F709C">
        <w:t>economic status areas</w:t>
      </w:r>
      <w:r w:rsidR="008419BF">
        <w:t xml:space="preserve">. </w:t>
      </w:r>
      <w:r w:rsidR="00627937" w:rsidRPr="00627937">
        <w:t>The socio</w:t>
      </w:r>
      <w:r w:rsidR="00627937">
        <w:noBreakHyphen/>
        <w:t>economic</w:t>
      </w:r>
      <w:r w:rsidR="00627937" w:rsidRPr="00627937">
        <w:t xml:space="preserve"> use profile for other non-state sector services (Medicare bulk billed non-referred services</w:t>
      </w:r>
      <w:r w:rsidR="00E17310">
        <w:t xml:space="preserve">, </w:t>
      </w:r>
      <w:r w:rsidR="00627937" w:rsidRPr="00627937">
        <w:t>specialists and operations) is similar to the use profile in public hospitals.</w:t>
      </w:r>
    </w:p>
    <w:p w14:paraId="4CE5257E" w14:textId="135FC38F" w:rsidR="000963F4" w:rsidRDefault="000963F4" w:rsidP="000D132D">
      <w:pPr>
        <w:pStyle w:val="CGC2025Caption"/>
        <w:keepNext/>
        <w:keepLines/>
        <w:ind w:left="1440" w:hanging="1440"/>
      </w:pPr>
      <w:bookmarkStart w:id="14" w:name="_Ref176434393"/>
      <w:r>
        <w:t xml:space="preserve">Figure </w:t>
      </w:r>
      <w:r>
        <w:fldChar w:fldCharType="begin"/>
      </w:r>
      <w:r>
        <w:instrText xml:space="preserve"> SEQ Figure \* ARABIC </w:instrText>
      </w:r>
      <w:r>
        <w:fldChar w:fldCharType="separate"/>
      </w:r>
      <w:r w:rsidR="003F6DE4">
        <w:rPr>
          <w:noProof/>
        </w:rPr>
        <w:t>2</w:t>
      </w:r>
      <w:r>
        <w:fldChar w:fldCharType="end"/>
      </w:r>
      <w:bookmarkEnd w:id="14"/>
      <w:r>
        <w:tab/>
        <w:t>Non</w:t>
      </w:r>
      <w:r>
        <w:noBreakHyphen/>
        <w:t xml:space="preserve">state sector admitted patient </w:t>
      </w:r>
      <w:r w:rsidR="0089314A">
        <w:t>activity</w:t>
      </w:r>
      <w:r>
        <w:t>, by socio</w:t>
      </w:r>
      <w:r>
        <w:noBreakHyphen/>
        <w:t>economic and Indigenous status, 2022</w:t>
      </w:r>
      <w:r w:rsidR="00930E30">
        <w:t>–</w:t>
      </w:r>
      <w:r>
        <w:t>23</w:t>
      </w:r>
    </w:p>
    <w:p w14:paraId="0DDC2127" w14:textId="35F11B3A" w:rsidR="000963F4" w:rsidRDefault="00AC0312" w:rsidP="00CF6C41">
      <w:pPr>
        <w:pStyle w:val="CGC2025ParaNumbers"/>
        <w:numPr>
          <w:ilvl w:val="0"/>
          <w:numId w:val="0"/>
        </w:numPr>
        <w:ind w:left="567" w:hanging="567"/>
      </w:pPr>
      <w:r w:rsidRPr="00AC0312">
        <w:rPr>
          <w:noProof/>
        </w:rPr>
        <w:drawing>
          <wp:inline distT="0" distB="0" distL="0" distR="0" wp14:anchorId="713C3CD2" wp14:editId="5F19BEB1">
            <wp:extent cx="5616000" cy="2844000"/>
            <wp:effectExtent l="0" t="0" r="3810" b="0"/>
            <wp:docPr id="4661007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6000" cy="2844000"/>
                    </a:xfrm>
                    <a:prstGeom prst="rect">
                      <a:avLst/>
                    </a:prstGeom>
                    <a:noFill/>
                    <a:ln>
                      <a:noFill/>
                    </a:ln>
                  </pic:spPr>
                </pic:pic>
              </a:graphicData>
            </a:graphic>
          </wp:inline>
        </w:drawing>
      </w:r>
    </w:p>
    <w:p w14:paraId="50F0887E" w14:textId="43AE0998" w:rsidR="000963F4" w:rsidRDefault="000963F4" w:rsidP="00CF6C41">
      <w:pPr>
        <w:pStyle w:val="CGC2025TableNote"/>
        <w:ind w:left="686" w:hanging="573"/>
      </w:pPr>
      <w:r>
        <w:t xml:space="preserve">Source: Commission calculation using AIHW admitted patient private health insurance funded separations, </w:t>
      </w:r>
      <w:r w:rsidR="00EB74E1">
        <w:t xml:space="preserve">ABS </w:t>
      </w:r>
      <w:r>
        <w:t>G</w:t>
      </w:r>
      <w:r w:rsidR="00EB74E1">
        <w:t xml:space="preserve">overnment Finance </w:t>
      </w:r>
      <w:r>
        <w:t>S</w:t>
      </w:r>
      <w:r w:rsidR="00EB74E1">
        <w:t>tatistics</w:t>
      </w:r>
      <w:r>
        <w:t xml:space="preserve"> expenses and ABS population data.</w:t>
      </w:r>
    </w:p>
    <w:p w14:paraId="65BD61B4" w14:textId="087355FC" w:rsidR="006E7169" w:rsidRDefault="00FC6F68" w:rsidP="000963F4">
      <w:pPr>
        <w:pStyle w:val="CGC2025ParaNumbers"/>
        <w:tabs>
          <w:tab w:val="clear" w:pos="567"/>
        </w:tabs>
      </w:pPr>
      <w:r>
        <w:t>When t</w:t>
      </w:r>
      <w:r w:rsidR="000963F4">
        <w:t xml:space="preserve">he </w:t>
      </w:r>
      <w:r w:rsidR="002B289A">
        <w:t xml:space="preserve">state sector </w:t>
      </w:r>
      <w:r w:rsidR="002C23EC">
        <w:t xml:space="preserve">activity data are </w:t>
      </w:r>
      <w:r w:rsidR="000963F4">
        <w:t>cross</w:t>
      </w:r>
      <w:r w:rsidR="000963F4">
        <w:noBreakHyphen/>
        <w:t xml:space="preserve">classified </w:t>
      </w:r>
      <w:r w:rsidR="009B77BF">
        <w:t>by remoteness area</w:t>
      </w:r>
      <w:r w:rsidR="00301BA5">
        <w:t xml:space="preserve">, the resulting use rates </w:t>
      </w:r>
      <w:r w:rsidR="00C631A4">
        <w:t xml:space="preserve">are </w:t>
      </w:r>
      <w:r w:rsidR="000963F4">
        <w:t xml:space="preserve">often not consistent with the conceptual case for </w:t>
      </w:r>
      <w:r w:rsidR="0027671A">
        <w:t xml:space="preserve">the impact of </w:t>
      </w:r>
      <w:r w:rsidR="000963F4">
        <w:t>socio</w:t>
      </w:r>
      <w:r w:rsidR="000963F4">
        <w:noBreakHyphen/>
        <w:t xml:space="preserve">economic </w:t>
      </w:r>
      <w:r w:rsidR="00701A51">
        <w:t xml:space="preserve">status on the </w:t>
      </w:r>
      <w:r w:rsidR="00000A67">
        <w:t>use</w:t>
      </w:r>
      <w:r w:rsidR="00701A51">
        <w:t xml:space="preserve"> of health services</w:t>
      </w:r>
      <w:r w:rsidR="004454CA">
        <w:t>, particularly</w:t>
      </w:r>
      <w:r w:rsidR="000963F4">
        <w:t xml:space="preserve"> in remote and very remote areas</w:t>
      </w:r>
      <w:r w:rsidR="008A152A">
        <w:t xml:space="preserve"> (</w:t>
      </w:r>
      <w:r w:rsidR="008A152A">
        <w:fldChar w:fldCharType="begin"/>
      </w:r>
      <w:r w:rsidR="008A152A">
        <w:instrText xml:space="preserve"> REF _Ref176438174 \h </w:instrText>
      </w:r>
      <w:r w:rsidR="008A152A">
        <w:fldChar w:fldCharType="separate"/>
      </w:r>
      <w:r w:rsidR="003F6DE4">
        <w:t xml:space="preserve">Figure </w:t>
      </w:r>
      <w:r w:rsidR="003F6DE4">
        <w:rPr>
          <w:noProof/>
        </w:rPr>
        <w:t>3</w:t>
      </w:r>
      <w:r w:rsidR="008A152A">
        <w:fldChar w:fldCharType="end"/>
      </w:r>
      <w:r w:rsidR="008A152A">
        <w:t>)</w:t>
      </w:r>
      <w:r w:rsidR="000963F4">
        <w:t>.</w:t>
      </w:r>
      <w:r w:rsidR="00C0600D">
        <w:t xml:space="preserve"> For example</w:t>
      </w:r>
      <w:r w:rsidR="006E7169">
        <w:t>:</w:t>
      </w:r>
    </w:p>
    <w:p w14:paraId="5CC00BF3" w14:textId="0B26950B" w:rsidR="00393C08" w:rsidRDefault="001F4835" w:rsidP="00CB4117">
      <w:pPr>
        <w:pStyle w:val="CGC2025Bullet1"/>
      </w:pPr>
      <w:r>
        <w:t>I</w:t>
      </w:r>
      <w:r w:rsidR="00393C08">
        <w:t xml:space="preserve">n admitted patients, use </w:t>
      </w:r>
      <w:r w:rsidR="00701A51">
        <w:t xml:space="preserve">of health services </w:t>
      </w:r>
      <w:r w:rsidR="00393C08">
        <w:t xml:space="preserve">is </w:t>
      </w:r>
      <w:r w:rsidR="00406056">
        <w:t>higher for non</w:t>
      </w:r>
      <w:r w:rsidR="00F31735">
        <w:t>-</w:t>
      </w:r>
      <w:r w:rsidR="00406056">
        <w:t>Indigenous people in remote</w:t>
      </w:r>
      <w:r w:rsidR="006E5BDC">
        <w:t>,</w:t>
      </w:r>
      <w:r w:rsidR="00406056">
        <w:t xml:space="preserve"> middle socio</w:t>
      </w:r>
      <w:r w:rsidR="00C474C4">
        <w:noBreakHyphen/>
      </w:r>
      <w:r w:rsidR="00406056">
        <w:t>economic areas</w:t>
      </w:r>
      <w:r w:rsidR="004C5BC4">
        <w:t xml:space="preserve"> compared </w:t>
      </w:r>
      <w:r w:rsidR="002C64CF">
        <w:t>with</w:t>
      </w:r>
      <w:r w:rsidR="004C5BC4">
        <w:t xml:space="preserve"> low socio</w:t>
      </w:r>
      <w:r w:rsidR="00FE37C6">
        <w:t>-</w:t>
      </w:r>
      <w:r w:rsidR="004C5BC4">
        <w:t>economic areas</w:t>
      </w:r>
      <w:r w:rsidR="00456AF8">
        <w:t xml:space="preserve"> </w:t>
      </w:r>
      <w:r w:rsidR="00606559">
        <w:t>(</w:t>
      </w:r>
      <w:r w:rsidR="00D7310C">
        <w:fldChar w:fldCharType="begin"/>
      </w:r>
      <w:r w:rsidR="00D7310C">
        <w:instrText xml:space="preserve"> REF _Ref176438174 \h </w:instrText>
      </w:r>
      <w:r w:rsidR="00D7310C">
        <w:fldChar w:fldCharType="separate"/>
      </w:r>
      <w:r w:rsidR="003F6DE4">
        <w:t xml:space="preserve">Figure </w:t>
      </w:r>
      <w:r w:rsidR="003F6DE4">
        <w:rPr>
          <w:noProof/>
        </w:rPr>
        <w:t>3</w:t>
      </w:r>
      <w:r w:rsidR="00D7310C">
        <w:fldChar w:fldCharType="end"/>
      </w:r>
      <w:r w:rsidR="00D54815">
        <w:t>, panel 1)</w:t>
      </w:r>
      <w:r>
        <w:t>.</w:t>
      </w:r>
    </w:p>
    <w:p w14:paraId="7B89407E" w14:textId="0A2FDA43" w:rsidR="00CA1FB3" w:rsidRDefault="001F4835" w:rsidP="00CB4117">
      <w:pPr>
        <w:pStyle w:val="CGC2025Bullet1"/>
      </w:pPr>
      <w:r>
        <w:t>I</w:t>
      </w:r>
      <w:r w:rsidR="006C58B5">
        <w:t xml:space="preserve">n emergency departments, use </w:t>
      </w:r>
      <w:r w:rsidR="00944461">
        <w:t xml:space="preserve">of health services </w:t>
      </w:r>
      <w:r w:rsidR="006C58B5">
        <w:t xml:space="preserve">is higher </w:t>
      </w:r>
      <w:r w:rsidR="009B1586">
        <w:t xml:space="preserve">for First Nations </w:t>
      </w:r>
      <w:r w:rsidR="003330F7">
        <w:t>and non</w:t>
      </w:r>
      <w:r w:rsidR="003330F7">
        <w:noBreakHyphen/>
        <w:t xml:space="preserve">Indigenous </w:t>
      </w:r>
      <w:r w:rsidR="007B3253">
        <w:t>people in very remote</w:t>
      </w:r>
      <w:r w:rsidR="00BB51E8">
        <w:t xml:space="preserve"> </w:t>
      </w:r>
      <w:r w:rsidR="00DF529E">
        <w:t>high socio</w:t>
      </w:r>
      <w:r w:rsidR="00DF529E">
        <w:noBreakHyphen/>
        <w:t xml:space="preserve">economic </w:t>
      </w:r>
      <w:r w:rsidR="00BB51E8">
        <w:t xml:space="preserve">areas </w:t>
      </w:r>
      <w:r w:rsidR="004B6230">
        <w:t xml:space="preserve">compared </w:t>
      </w:r>
      <w:r w:rsidR="00947F42">
        <w:t>with</w:t>
      </w:r>
      <w:r w:rsidR="004B6230">
        <w:t xml:space="preserve"> </w:t>
      </w:r>
      <w:r w:rsidR="003330F7">
        <w:t>low socio</w:t>
      </w:r>
      <w:r w:rsidR="004C5BC4">
        <w:noBreakHyphen/>
      </w:r>
      <w:r w:rsidR="003330F7">
        <w:t>economic areas</w:t>
      </w:r>
      <w:r w:rsidR="00D54815">
        <w:t xml:space="preserve"> (</w:t>
      </w:r>
      <w:r w:rsidR="00D54815">
        <w:fldChar w:fldCharType="begin"/>
      </w:r>
      <w:r w:rsidR="00D54815">
        <w:instrText xml:space="preserve"> REF _Ref176438174 \h </w:instrText>
      </w:r>
      <w:r w:rsidR="00D54815">
        <w:fldChar w:fldCharType="separate"/>
      </w:r>
      <w:r w:rsidR="003F6DE4">
        <w:t xml:space="preserve">Figure </w:t>
      </w:r>
      <w:r w:rsidR="003F6DE4">
        <w:rPr>
          <w:noProof/>
        </w:rPr>
        <w:t>3</w:t>
      </w:r>
      <w:r w:rsidR="00D54815">
        <w:fldChar w:fldCharType="end"/>
      </w:r>
      <w:r w:rsidR="00D54815">
        <w:t>, panel 2)</w:t>
      </w:r>
      <w:r>
        <w:t>.</w:t>
      </w:r>
    </w:p>
    <w:p w14:paraId="557BC965" w14:textId="46D8C6E0" w:rsidR="005604EB" w:rsidRDefault="001F4835" w:rsidP="00CB4117">
      <w:pPr>
        <w:pStyle w:val="CGC2025Bullet1"/>
      </w:pPr>
      <w:r>
        <w:t>I</w:t>
      </w:r>
      <w:r w:rsidR="00CA1FB3">
        <w:t>n non</w:t>
      </w:r>
      <w:r w:rsidR="002E6112">
        <w:t xml:space="preserve">-admitted patients, use </w:t>
      </w:r>
      <w:r w:rsidR="00944461">
        <w:t xml:space="preserve">of health services </w:t>
      </w:r>
      <w:r w:rsidR="002E6112">
        <w:t>is higher for non</w:t>
      </w:r>
      <w:r w:rsidR="002E6112">
        <w:noBreakHyphen/>
        <w:t xml:space="preserve">Indigenous people in </w:t>
      </w:r>
      <w:r w:rsidR="00A90F3D">
        <w:t xml:space="preserve">remote and </w:t>
      </w:r>
      <w:r w:rsidR="002E6112">
        <w:t>very remote high socio</w:t>
      </w:r>
      <w:r w:rsidR="002E6112">
        <w:noBreakHyphen/>
        <w:t xml:space="preserve">economic areas compared </w:t>
      </w:r>
      <w:r w:rsidR="00947F42">
        <w:t>with</w:t>
      </w:r>
      <w:r w:rsidR="002E6112">
        <w:t xml:space="preserve"> low socio</w:t>
      </w:r>
      <w:r w:rsidR="0092249E">
        <w:noBreakHyphen/>
      </w:r>
      <w:r w:rsidR="002E6112">
        <w:t>economic areas</w:t>
      </w:r>
      <w:r w:rsidR="00D54815">
        <w:t xml:space="preserve"> </w:t>
      </w:r>
      <w:r w:rsidR="007750F6">
        <w:t>(</w:t>
      </w:r>
      <w:r w:rsidR="007750F6">
        <w:fldChar w:fldCharType="begin"/>
      </w:r>
      <w:r w:rsidR="007750F6">
        <w:instrText xml:space="preserve"> REF _Ref176438174 \h </w:instrText>
      </w:r>
      <w:r w:rsidR="007750F6">
        <w:fldChar w:fldCharType="separate"/>
      </w:r>
      <w:r w:rsidR="003F6DE4">
        <w:t xml:space="preserve">Figure </w:t>
      </w:r>
      <w:r w:rsidR="003F6DE4">
        <w:rPr>
          <w:noProof/>
        </w:rPr>
        <w:t>3</w:t>
      </w:r>
      <w:r w:rsidR="007750F6">
        <w:fldChar w:fldCharType="end"/>
      </w:r>
      <w:r w:rsidR="007750F6">
        <w:t>, panel 3).</w:t>
      </w:r>
    </w:p>
    <w:p w14:paraId="36B133DF" w14:textId="52356318" w:rsidR="000963F4" w:rsidRDefault="005604EB" w:rsidP="005604EB">
      <w:pPr>
        <w:pStyle w:val="CGC2025ParaNumbers"/>
      </w:pPr>
      <w:r>
        <w:t xml:space="preserve">The </w:t>
      </w:r>
      <w:r w:rsidR="00982F1F">
        <w:t>health</w:t>
      </w:r>
      <w:r w:rsidR="00933B0D">
        <w:t xml:space="preserve"> services</w:t>
      </w:r>
      <w:r w:rsidR="00982F1F">
        <w:t xml:space="preserve"> </w:t>
      </w:r>
      <w:r>
        <w:t xml:space="preserve">use pattern </w:t>
      </w:r>
      <w:r w:rsidR="00C5782D">
        <w:t>for First Nations people in major cities</w:t>
      </w:r>
      <w:r w:rsidR="00D636B3">
        <w:t>,</w:t>
      </w:r>
      <w:r w:rsidR="00C5782D">
        <w:t xml:space="preserve"> </w:t>
      </w:r>
      <w:r w:rsidR="00006B78">
        <w:t>across the 3</w:t>
      </w:r>
      <w:r w:rsidR="00FE37C6">
        <w:t> </w:t>
      </w:r>
      <w:r w:rsidR="00006B78">
        <w:t>hospital components</w:t>
      </w:r>
      <w:r w:rsidR="003478E8">
        <w:t>,</w:t>
      </w:r>
      <w:r w:rsidR="00006B78" w:rsidDel="00FC1671">
        <w:t xml:space="preserve"> </w:t>
      </w:r>
      <w:r w:rsidR="00FC1671">
        <w:t>is also no</w:t>
      </w:r>
      <w:r w:rsidR="009325A3">
        <w:t>t consistent with the conceptual case</w:t>
      </w:r>
      <w:r w:rsidR="0017182F">
        <w:t xml:space="preserve">. </w:t>
      </w:r>
      <w:r w:rsidR="00FF2F7E">
        <w:t xml:space="preserve">Among </w:t>
      </w:r>
      <w:r w:rsidR="004D3280">
        <w:t>First</w:t>
      </w:r>
      <w:r w:rsidR="001840DC">
        <w:t> </w:t>
      </w:r>
      <w:r w:rsidR="004D3280">
        <w:t>Nations people in major cities</w:t>
      </w:r>
      <w:r w:rsidR="00DC57BA">
        <w:t>,</w:t>
      </w:r>
      <w:r w:rsidR="00BE1A61">
        <w:t xml:space="preserve"> </w:t>
      </w:r>
      <w:r w:rsidR="00FF2F7E">
        <w:t xml:space="preserve">use rates </w:t>
      </w:r>
      <w:r w:rsidR="00005869">
        <w:t xml:space="preserve">are lower for those </w:t>
      </w:r>
      <w:r w:rsidR="00BE1A61">
        <w:t>with low</w:t>
      </w:r>
      <w:r w:rsidR="00BE29A4">
        <w:t xml:space="preserve"> </w:t>
      </w:r>
      <w:r w:rsidR="00BE1A61">
        <w:t>socio</w:t>
      </w:r>
      <w:r w:rsidR="00245DD7">
        <w:noBreakHyphen/>
      </w:r>
      <w:r w:rsidR="00E73E5E">
        <w:t>economic</w:t>
      </w:r>
      <w:r w:rsidR="00BE1A61">
        <w:t xml:space="preserve"> status </w:t>
      </w:r>
      <w:r w:rsidR="00052F61">
        <w:t xml:space="preserve">relative to </w:t>
      </w:r>
      <w:r w:rsidR="00E73E5E">
        <w:t>those with higher socio-econ</w:t>
      </w:r>
      <w:r w:rsidR="009A4301">
        <w:t>omic status</w:t>
      </w:r>
      <w:r w:rsidR="00720432">
        <w:t>.</w:t>
      </w:r>
    </w:p>
    <w:p w14:paraId="471FD3A5" w14:textId="07BD8C47" w:rsidR="000963F4" w:rsidRDefault="000963F4" w:rsidP="00AE329A">
      <w:pPr>
        <w:pStyle w:val="CGC2025Caption"/>
        <w:keepNext/>
        <w:keepLines/>
        <w:ind w:left="1440" w:hanging="1440"/>
      </w:pPr>
      <w:bookmarkStart w:id="15" w:name="_Ref176438174"/>
      <w:r>
        <w:lastRenderedPageBreak/>
        <w:t xml:space="preserve">Figure </w:t>
      </w:r>
      <w:r>
        <w:fldChar w:fldCharType="begin"/>
      </w:r>
      <w:r>
        <w:instrText xml:space="preserve"> SEQ Figure \* ARABIC </w:instrText>
      </w:r>
      <w:r>
        <w:fldChar w:fldCharType="separate"/>
      </w:r>
      <w:r w:rsidR="003F6DE4">
        <w:rPr>
          <w:noProof/>
        </w:rPr>
        <w:t>3</w:t>
      </w:r>
      <w:r>
        <w:fldChar w:fldCharType="end"/>
      </w:r>
      <w:bookmarkEnd w:id="15"/>
      <w:r>
        <w:tab/>
      </w:r>
      <w:bookmarkStart w:id="16" w:name="_Hlk176437688"/>
      <w:r>
        <w:t xml:space="preserve">State sector </w:t>
      </w:r>
      <w:r w:rsidR="005F260A">
        <w:t>activity</w:t>
      </w:r>
      <w:r>
        <w:t>, by remoteness, socio</w:t>
      </w:r>
      <w:r w:rsidR="001840DC">
        <w:t>-</w:t>
      </w:r>
      <w:r>
        <w:t>economic and Indigenous status, 2021</w:t>
      </w:r>
      <w:r w:rsidR="000C32CA">
        <w:t>–</w:t>
      </w:r>
      <w:r>
        <w:t>22</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63F4" w14:paraId="24BD1BF3" w14:textId="77777777" w:rsidTr="1095374F">
        <w:tc>
          <w:tcPr>
            <w:tcW w:w="4508" w:type="dxa"/>
          </w:tcPr>
          <w:p w14:paraId="2B072E6B" w14:textId="77777777" w:rsidR="000963F4" w:rsidRDefault="000963F4">
            <w:r w:rsidRPr="00342911">
              <w:rPr>
                <w:noProof/>
              </w:rPr>
              <w:drawing>
                <wp:inline distT="0" distB="0" distL="0" distR="0" wp14:anchorId="1F15638F" wp14:editId="12991B80">
                  <wp:extent cx="2700000" cy="1944000"/>
                  <wp:effectExtent l="0" t="0" r="5715" b="0"/>
                  <wp:docPr id="8544613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00" cy="1944000"/>
                          </a:xfrm>
                          <a:prstGeom prst="rect">
                            <a:avLst/>
                          </a:prstGeom>
                          <a:noFill/>
                          <a:ln>
                            <a:noFill/>
                          </a:ln>
                        </pic:spPr>
                      </pic:pic>
                    </a:graphicData>
                  </a:graphic>
                </wp:inline>
              </w:drawing>
            </w:r>
          </w:p>
        </w:tc>
        <w:tc>
          <w:tcPr>
            <w:tcW w:w="4508" w:type="dxa"/>
          </w:tcPr>
          <w:p w14:paraId="4D8C91AB" w14:textId="77777777" w:rsidR="000963F4" w:rsidRDefault="000963F4">
            <w:r w:rsidRPr="00DE63CA">
              <w:rPr>
                <w:noProof/>
              </w:rPr>
              <w:drawing>
                <wp:inline distT="0" distB="0" distL="0" distR="0" wp14:anchorId="16C0B9F8" wp14:editId="7AAB28F8">
                  <wp:extent cx="2700000" cy="1944000"/>
                  <wp:effectExtent l="0" t="0" r="5715" b="0"/>
                  <wp:docPr id="19925256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1944000"/>
                          </a:xfrm>
                          <a:prstGeom prst="rect">
                            <a:avLst/>
                          </a:prstGeom>
                          <a:noFill/>
                          <a:ln>
                            <a:noFill/>
                          </a:ln>
                        </pic:spPr>
                      </pic:pic>
                    </a:graphicData>
                  </a:graphic>
                </wp:inline>
              </w:drawing>
            </w:r>
          </w:p>
        </w:tc>
      </w:tr>
      <w:tr w:rsidR="000963F4" w14:paraId="143F209A" w14:textId="77777777" w:rsidTr="1095374F">
        <w:tc>
          <w:tcPr>
            <w:tcW w:w="4508" w:type="dxa"/>
          </w:tcPr>
          <w:p w14:paraId="05E5F00E" w14:textId="5441ABE3" w:rsidR="000963F4" w:rsidRDefault="0037548A">
            <w:r w:rsidRPr="0037548A">
              <w:rPr>
                <w:noProof/>
              </w:rPr>
              <w:drawing>
                <wp:inline distT="0" distB="0" distL="0" distR="0" wp14:anchorId="25D8248E" wp14:editId="5006E1A1">
                  <wp:extent cx="2700000" cy="1944000"/>
                  <wp:effectExtent l="0" t="0" r="5715" b="0"/>
                  <wp:docPr id="5202094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0" cy="1944000"/>
                          </a:xfrm>
                          <a:prstGeom prst="rect">
                            <a:avLst/>
                          </a:prstGeom>
                          <a:noFill/>
                          <a:ln>
                            <a:noFill/>
                          </a:ln>
                        </pic:spPr>
                      </pic:pic>
                    </a:graphicData>
                  </a:graphic>
                </wp:inline>
              </w:drawing>
            </w:r>
          </w:p>
        </w:tc>
        <w:tc>
          <w:tcPr>
            <w:tcW w:w="4508" w:type="dxa"/>
          </w:tcPr>
          <w:p w14:paraId="6136F418" w14:textId="48A91954" w:rsidR="000963F4" w:rsidRDefault="005C2F76">
            <w:r w:rsidRPr="005C2F76">
              <w:rPr>
                <w:noProof/>
              </w:rPr>
              <w:drawing>
                <wp:inline distT="0" distB="0" distL="0" distR="0" wp14:anchorId="15B502CD" wp14:editId="063F65E6">
                  <wp:extent cx="2700000" cy="1944000"/>
                  <wp:effectExtent l="0" t="0" r="5715" b="0"/>
                  <wp:docPr id="59670888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000" cy="1944000"/>
                          </a:xfrm>
                          <a:prstGeom prst="rect">
                            <a:avLst/>
                          </a:prstGeom>
                          <a:noFill/>
                          <a:ln>
                            <a:noFill/>
                          </a:ln>
                        </pic:spPr>
                      </pic:pic>
                    </a:graphicData>
                  </a:graphic>
                </wp:inline>
              </w:drawing>
            </w:r>
          </w:p>
        </w:tc>
      </w:tr>
      <w:tr w:rsidR="000963F4" w14:paraId="0AD75F91" w14:textId="77777777" w:rsidTr="1095374F">
        <w:tc>
          <w:tcPr>
            <w:tcW w:w="4508" w:type="dxa"/>
          </w:tcPr>
          <w:p w14:paraId="54D26C4A" w14:textId="6A35CC82" w:rsidR="000963F4" w:rsidRPr="000B1E91" w:rsidRDefault="00242867">
            <w:pPr>
              <w:rPr>
                <w:noProof/>
              </w:rPr>
            </w:pPr>
            <w:r w:rsidRPr="00242867">
              <w:rPr>
                <w:noProof/>
              </w:rPr>
              <w:drawing>
                <wp:inline distT="0" distB="0" distL="0" distR="0" wp14:anchorId="1C53F91A" wp14:editId="44EBA3AA">
                  <wp:extent cx="2700000" cy="1944000"/>
                  <wp:effectExtent l="0" t="0" r="5715" b="0"/>
                  <wp:docPr id="195614377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00" cy="1944000"/>
                          </a:xfrm>
                          <a:prstGeom prst="rect">
                            <a:avLst/>
                          </a:prstGeom>
                          <a:noFill/>
                          <a:ln>
                            <a:noFill/>
                          </a:ln>
                        </pic:spPr>
                      </pic:pic>
                    </a:graphicData>
                  </a:graphic>
                </wp:inline>
              </w:drawing>
            </w:r>
          </w:p>
        </w:tc>
        <w:tc>
          <w:tcPr>
            <w:tcW w:w="4508" w:type="dxa"/>
          </w:tcPr>
          <w:p w14:paraId="27914380" w14:textId="3BB64DF4" w:rsidR="000963F4" w:rsidRPr="00986F04" w:rsidRDefault="005E4C44">
            <w:pPr>
              <w:rPr>
                <w:noProof/>
              </w:rPr>
            </w:pPr>
            <w:r w:rsidRPr="005E4C44">
              <w:rPr>
                <w:noProof/>
              </w:rPr>
              <w:drawing>
                <wp:inline distT="0" distB="0" distL="0" distR="0" wp14:anchorId="56F15898" wp14:editId="46DA8873">
                  <wp:extent cx="2700000" cy="1944000"/>
                  <wp:effectExtent l="0" t="0" r="5715" b="0"/>
                  <wp:docPr id="65638426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000" cy="1944000"/>
                          </a:xfrm>
                          <a:prstGeom prst="rect">
                            <a:avLst/>
                          </a:prstGeom>
                          <a:noFill/>
                          <a:ln>
                            <a:noFill/>
                          </a:ln>
                        </pic:spPr>
                      </pic:pic>
                    </a:graphicData>
                  </a:graphic>
                </wp:inline>
              </w:drawing>
            </w:r>
          </w:p>
        </w:tc>
      </w:tr>
    </w:tbl>
    <w:p w14:paraId="0379FDE5" w14:textId="00B4FC1B" w:rsidR="000963F4" w:rsidRDefault="000963F4" w:rsidP="00AC6E1D">
      <w:pPr>
        <w:pStyle w:val="CGC2025TableNote"/>
        <w:ind w:left="686" w:hanging="573"/>
      </w:pPr>
      <w:r>
        <w:t xml:space="preserve">Source: Commission calculation using IHACPA </w:t>
      </w:r>
      <w:r w:rsidR="00504DB4">
        <w:t>NWAU</w:t>
      </w:r>
      <w:r>
        <w:t xml:space="preserve">, </w:t>
      </w:r>
      <w:r w:rsidR="003222E5">
        <w:t xml:space="preserve">ABS </w:t>
      </w:r>
      <w:r>
        <w:t>G</w:t>
      </w:r>
      <w:r w:rsidR="003222E5">
        <w:t xml:space="preserve">overnment </w:t>
      </w:r>
      <w:r>
        <w:t>F</w:t>
      </w:r>
      <w:r w:rsidR="003222E5">
        <w:t xml:space="preserve">inance </w:t>
      </w:r>
      <w:r>
        <w:t>S</w:t>
      </w:r>
      <w:r w:rsidR="003222E5">
        <w:t>tatistic</w:t>
      </w:r>
      <w:r w:rsidR="007224BC">
        <w:t>s</w:t>
      </w:r>
      <w:r>
        <w:t xml:space="preserve"> expenses and ABS population data.</w:t>
      </w:r>
    </w:p>
    <w:p w14:paraId="7A0DE0DA" w14:textId="583955BB" w:rsidR="000963F4" w:rsidRDefault="000963F4" w:rsidP="000963F4">
      <w:pPr>
        <w:pStyle w:val="CGC2025ParaNumbers"/>
        <w:tabs>
          <w:tab w:val="clear" w:pos="567"/>
        </w:tabs>
      </w:pPr>
      <w:r>
        <w:t>For the non</w:t>
      </w:r>
      <w:r>
        <w:noBreakHyphen/>
        <w:t>state sector, the data on private admitted patients do not allow activity to be disaggregated by socio</w:t>
      </w:r>
      <w:r>
        <w:noBreakHyphen/>
        <w:t>economic status in remote areas</w:t>
      </w:r>
      <w:r w:rsidR="00DA4411">
        <w:t xml:space="preserve"> </w:t>
      </w:r>
      <w:r w:rsidR="00183576">
        <w:t>(</w:t>
      </w:r>
      <w:r w:rsidR="0004331D">
        <w:t>d</w:t>
      </w:r>
      <w:r w:rsidR="00C20B3C">
        <w:t>ue</w:t>
      </w:r>
      <w:r w:rsidR="0004331D">
        <w:t xml:space="preserve"> to </w:t>
      </w:r>
      <w:r w:rsidR="00BA449E">
        <w:t xml:space="preserve">confidentiality </w:t>
      </w:r>
      <w:r w:rsidR="00DA13A3">
        <w:t xml:space="preserve">resulting from </w:t>
      </w:r>
      <w:r w:rsidR="00F911FC">
        <w:t xml:space="preserve">the </w:t>
      </w:r>
      <w:r w:rsidR="00DA13A3">
        <w:t xml:space="preserve">small </w:t>
      </w:r>
      <w:r w:rsidR="00F911FC">
        <w:t>number of</w:t>
      </w:r>
      <w:r w:rsidR="00BF10B8">
        <w:t xml:space="preserve"> </w:t>
      </w:r>
      <w:r w:rsidR="004408BF">
        <w:t>observations)</w:t>
      </w:r>
      <w:r>
        <w:t>. It can be done for very remote areas (</w:t>
      </w:r>
      <w:r>
        <w:fldChar w:fldCharType="begin"/>
      </w:r>
      <w:r>
        <w:instrText xml:space="preserve"> REF _Ref176438193 \h </w:instrText>
      </w:r>
      <w:r>
        <w:fldChar w:fldCharType="separate"/>
      </w:r>
      <w:r w:rsidR="003F6DE4">
        <w:t xml:space="preserve">Figure </w:t>
      </w:r>
      <w:r w:rsidR="003F6DE4">
        <w:rPr>
          <w:noProof/>
        </w:rPr>
        <w:t>4</w:t>
      </w:r>
      <w:r>
        <w:fldChar w:fldCharType="end"/>
      </w:r>
      <w:r>
        <w:t>, panel</w:t>
      </w:r>
      <w:r w:rsidR="00A1693D">
        <w:t xml:space="preserve"> 1</w:t>
      </w:r>
      <w:r>
        <w:t>). For activity measured by GP bulk billed benefits (used as the proxy measure of non</w:t>
      </w:r>
      <w:r>
        <w:noBreakHyphen/>
        <w:t>state sector activity in the emergency department and community and public health components), socio</w:t>
      </w:r>
      <w:r>
        <w:noBreakHyphen/>
        <w:t>economic use patterns are consistent across remoteness areas (</w:t>
      </w:r>
      <w:r>
        <w:fldChar w:fldCharType="begin"/>
      </w:r>
      <w:r>
        <w:instrText xml:space="preserve"> REF _Ref176438193 \h </w:instrText>
      </w:r>
      <w:r>
        <w:fldChar w:fldCharType="separate"/>
      </w:r>
      <w:r w:rsidR="003F6DE4">
        <w:t xml:space="preserve">Figure </w:t>
      </w:r>
      <w:r w:rsidR="003F6DE4">
        <w:rPr>
          <w:noProof/>
        </w:rPr>
        <w:t>4</w:t>
      </w:r>
      <w:r>
        <w:fldChar w:fldCharType="end"/>
      </w:r>
      <w:r>
        <w:t>, panel</w:t>
      </w:r>
      <w:r w:rsidR="00A1693D">
        <w:t xml:space="preserve"> 2</w:t>
      </w:r>
      <w:r>
        <w:t xml:space="preserve">). </w:t>
      </w:r>
    </w:p>
    <w:p w14:paraId="017800E9" w14:textId="324BAAF7" w:rsidR="000963F4" w:rsidRDefault="000963F4" w:rsidP="00AE329A">
      <w:pPr>
        <w:pStyle w:val="CGC2025Caption"/>
        <w:keepNext/>
        <w:keepLines/>
        <w:ind w:left="1440" w:hanging="1440"/>
      </w:pPr>
      <w:bookmarkStart w:id="17" w:name="_Ref176438193"/>
      <w:r>
        <w:lastRenderedPageBreak/>
        <w:t xml:space="preserve">Figure </w:t>
      </w:r>
      <w:r>
        <w:fldChar w:fldCharType="begin"/>
      </w:r>
      <w:r>
        <w:instrText xml:space="preserve"> SEQ Figure \* ARABIC </w:instrText>
      </w:r>
      <w:r>
        <w:fldChar w:fldCharType="separate"/>
      </w:r>
      <w:r w:rsidR="003F6DE4">
        <w:rPr>
          <w:noProof/>
        </w:rPr>
        <w:t>4</w:t>
      </w:r>
      <w:r>
        <w:fldChar w:fldCharType="end"/>
      </w:r>
      <w:bookmarkEnd w:id="17"/>
      <w:r>
        <w:tab/>
        <w:t>Non</w:t>
      </w:r>
      <w:r>
        <w:noBreakHyphen/>
        <w:t>s</w:t>
      </w:r>
      <w:r w:rsidRPr="00CD2028">
        <w:t xml:space="preserve">tate sector </w:t>
      </w:r>
      <w:r w:rsidR="00310EA5">
        <w:t>activity</w:t>
      </w:r>
      <w:r w:rsidRPr="00CD2028">
        <w:t xml:space="preserve">, </w:t>
      </w:r>
      <w:bookmarkStart w:id="18" w:name="_Hlk176441172"/>
      <w:r w:rsidRPr="00CD2028">
        <w:t>by remoteness, socio</w:t>
      </w:r>
      <w:r w:rsidR="008541C3">
        <w:t>-</w:t>
      </w:r>
      <w:r w:rsidRPr="00CD2028">
        <w:t xml:space="preserve">economic </w:t>
      </w:r>
      <w:bookmarkEnd w:id="18"/>
      <w:r w:rsidRPr="00CD2028">
        <w:t xml:space="preserve">and Indigenous status, </w:t>
      </w:r>
      <w:r w:rsidR="00D32CDA">
        <w:t>a</w:t>
      </w:r>
      <w:r w:rsidR="008541C3">
        <w:t xml:space="preserve">dmitted </w:t>
      </w:r>
      <w:r w:rsidR="00D32CDA">
        <w:t>patients</w:t>
      </w:r>
      <w:r w:rsidRPr="004F646C">
        <w:t>,</w:t>
      </w:r>
      <w:r>
        <w:t xml:space="preserve"> </w:t>
      </w:r>
      <w:r w:rsidR="00D32CDA">
        <w:t xml:space="preserve">emergency departments </w:t>
      </w:r>
      <w:r>
        <w:t xml:space="preserve">and </w:t>
      </w:r>
      <w:r w:rsidR="00D32CDA">
        <w:t xml:space="preserve">community </w:t>
      </w:r>
      <w:r>
        <w:t xml:space="preserve">and public health, </w:t>
      </w:r>
      <w:r w:rsidRPr="00CD2028">
        <w:t>2021</w:t>
      </w:r>
      <w:r w:rsidR="000C32CA">
        <w:t>–</w:t>
      </w:r>
      <w:r w:rsidRPr="00CD2028">
        <w:t>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63F4" w14:paraId="7409BDA2" w14:textId="77777777" w:rsidTr="1095374F">
        <w:tc>
          <w:tcPr>
            <w:tcW w:w="4508" w:type="dxa"/>
          </w:tcPr>
          <w:p w14:paraId="73C7ABE7" w14:textId="6B2FB041" w:rsidR="000963F4" w:rsidRDefault="00A42AFB">
            <w:r w:rsidRPr="00A42AFB">
              <w:rPr>
                <w:noProof/>
              </w:rPr>
              <w:drawing>
                <wp:inline distT="0" distB="0" distL="0" distR="0" wp14:anchorId="7824154C" wp14:editId="7FA19450">
                  <wp:extent cx="2646310" cy="1908843"/>
                  <wp:effectExtent l="0" t="0" r="1905" b="0"/>
                  <wp:docPr id="1053221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2826" cy="1913543"/>
                          </a:xfrm>
                          <a:prstGeom prst="rect">
                            <a:avLst/>
                          </a:prstGeom>
                          <a:noFill/>
                          <a:ln>
                            <a:noFill/>
                          </a:ln>
                        </pic:spPr>
                      </pic:pic>
                    </a:graphicData>
                  </a:graphic>
                </wp:inline>
              </w:drawing>
            </w:r>
          </w:p>
        </w:tc>
        <w:tc>
          <w:tcPr>
            <w:tcW w:w="4508" w:type="dxa"/>
          </w:tcPr>
          <w:p w14:paraId="4E1AC523" w14:textId="051A5DD3" w:rsidR="000963F4" w:rsidRDefault="00BF2596">
            <w:r w:rsidRPr="00BF2596">
              <w:rPr>
                <w:noProof/>
              </w:rPr>
              <w:drawing>
                <wp:inline distT="0" distB="0" distL="0" distR="0" wp14:anchorId="3BB01EA1" wp14:editId="59484D90">
                  <wp:extent cx="2700000" cy="1944000"/>
                  <wp:effectExtent l="0" t="0" r="5715" b="0"/>
                  <wp:docPr id="109098886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1944000"/>
                          </a:xfrm>
                          <a:prstGeom prst="rect">
                            <a:avLst/>
                          </a:prstGeom>
                          <a:noFill/>
                          <a:ln>
                            <a:noFill/>
                          </a:ln>
                        </pic:spPr>
                      </pic:pic>
                    </a:graphicData>
                  </a:graphic>
                </wp:inline>
              </w:drawing>
            </w:r>
          </w:p>
        </w:tc>
      </w:tr>
      <w:tr w:rsidR="000963F4" w14:paraId="02C83176" w14:textId="77777777" w:rsidTr="1095374F">
        <w:tc>
          <w:tcPr>
            <w:tcW w:w="4508" w:type="dxa"/>
          </w:tcPr>
          <w:p w14:paraId="34BCDB99" w14:textId="73AF41F8" w:rsidR="000963F4" w:rsidRPr="00A73D09" w:rsidRDefault="002A4053">
            <w:pPr>
              <w:rPr>
                <w:noProof/>
              </w:rPr>
            </w:pPr>
            <w:r w:rsidRPr="002A4053">
              <w:rPr>
                <w:noProof/>
              </w:rPr>
              <w:drawing>
                <wp:inline distT="0" distB="0" distL="0" distR="0" wp14:anchorId="10A45891" wp14:editId="1C4AFCB0">
                  <wp:extent cx="2661646" cy="2030730"/>
                  <wp:effectExtent l="0" t="0" r="5715" b="7620"/>
                  <wp:docPr id="15218768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1054" cy="2045537"/>
                          </a:xfrm>
                          <a:prstGeom prst="rect">
                            <a:avLst/>
                          </a:prstGeom>
                          <a:noFill/>
                          <a:ln>
                            <a:noFill/>
                          </a:ln>
                        </pic:spPr>
                      </pic:pic>
                    </a:graphicData>
                  </a:graphic>
                </wp:inline>
              </w:drawing>
            </w:r>
          </w:p>
        </w:tc>
        <w:tc>
          <w:tcPr>
            <w:tcW w:w="4508" w:type="dxa"/>
          </w:tcPr>
          <w:p w14:paraId="4C415E37" w14:textId="2910170E" w:rsidR="000963F4" w:rsidRPr="003D1FC2" w:rsidRDefault="00E15718">
            <w:pPr>
              <w:rPr>
                <w:noProof/>
              </w:rPr>
            </w:pPr>
            <w:r w:rsidRPr="00E15718">
              <w:rPr>
                <w:noProof/>
              </w:rPr>
              <w:drawing>
                <wp:inline distT="0" distB="0" distL="0" distR="0" wp14:anchorId="3D7DEB75" wp14:editId="64476168">
                  <wp:extent cx="2670175" cy="2030817"/>
                  <wp:effectExtent l="0" t="0" r="0" b="7620"/>
                  <wp:docPr id="1806544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457" cy="2053848"/>
                          </a:xfrm>
                          <a:prstGeom prst="rect">
                            <a:avLst/>
                          </a:prstGeom>
                          <a:noFill/>
                          <a:ln>
                            <a:noFill/>
                          </a:ln>
                        </pic:spPr>
                      </pic:pic>
                    </a:graphicData>
                  </a:graphic>
                </wp:inline>
              </w:drawing>
            </w:r>
          </w:p>
        </w:tc>
      </w:tr>
    </w:tbl>
    <w:p w14:paraId="551E284C" w14:textId="4FE434DC" w:rsidR="000963F4" w:rsidRDefault="000963F4" w:rsidP="00AC6E1D">
      <w:pPr>
        <w:pStyle w:val="CGC2025TableNote"/>
        <w:ind w:left="686" w:hanging="573"/>
      </w:pPr>
      <w:r>
        <w:t>Source: Commission calculation using AIHW admitted patient private health insurance funded separations, Medicare bulk billed benefits paid, G</w:t>
      </w:r>
      <w:r w:rsidR="007224BC">
        <w:t xml:space="preserve">overnment </w:t>
      </w:r>
      <w:r>
        <w:t>F</w:t>
      </w:r>
      <w:r w:rsidR="007224BC">
        <w:t xml:space="preserve">inance </w:t>
      </w:r>
      <w:r>
        <w:t>S</w:t>
      </w:r>
      <w:r w:rsidR="007224BC">
        <w:t>tatistics</w:t>
      </w:r>
      <w:r>
        <w:t xml:space="preserve"> expenses and ABS population data.</w:t>
      </w:r>
    </w:p>
    <w:p w14:paraId="0A70E21B" w14:textId="3BA0284D" w:rsidR="00992816" w:rsidRDefault="000963F4" w:rsidP="00D2319C">
      <w:pPr>
        <w:pStyle w:val="CGC2025ParaNumbers"/>
        <w:tabs>
          <w:tab w:val="clear" w:pos="567"/>
        </w:tabs>
      </w:pPr>
      <w:r>
        <w:fldChar w:fldCharType="begin"/>
      </w:r>
      <w:r>
        <w:instrText xml:space="preserve"> REF _Ref176444913 \h </w:instrText>
      </w:r>
      <w:r>
        <w:fldChar w:fldCharType="separate"/>
      </w:r>
      <w:r w:rsidR="003F6DE4">
        <w:t xml:space="preserve">Figure </w:t>
      </w:r>
      <w:r w:rsidR="003F6DE4">
        <w:rPr>
          <w:noProof/>
        </w:rPr>
        <w:t>5</w:t>
      </w:r>
      <w:r>
        <w:fldChar w:fldCharType="end"/>
      </w:r>
      <w:r>
        <w:t xml:space="preserve"> shows the pattern of service activity funded by </w:t>
      </w:r>
      <w:r w:rsidRPr="001C2B61">
        <w:t>Commonwealth grants</w:t>
      </w:r>
      <w:r w:rsidR="007041C3">
        <w:t xml:space="preserve"> to</w:t>
      </w:r>
      <w:r w:rsidR="00D32CDA">
        <w:t xml:space="preserve"> </w:t>
      </w:r>
      <w:r w:rsidR="007041C3" w:rsidRPr="001C2B61">
        <w:t>First Nations</w:t>
      </w:r>
      <w:r w:rsidR="007041C3">
        <w:t xml:space="preserve"> </w:t>
      </w:r>
      <w:r w:rsidR="007B40FC">
        <w:t>community</w:t>
      </w:r>
      <w:r w:rsidR="00293C64">
        <w:noBreakHyphen/>
      </w:r>
      <w:r w:rsidR="007B40FC">
        <w:t>controlled health organisations</w:t>
      </w:r>
      <w:r>
        <w:t>, as measured by staff numbers in the organisations receiving these grants.</w:t>
      </w:r>
      <w:r w:rsidR="00D2319C">
        <w:t xml:space="preserve"> </w:t>
      </w:r>
      <w:r w:rsidR="00992816">
        <w:t>This analysis presents a mixed case for using socio</w:t>
      </w:r>
      <w:r w:rsidR="00963372">
        <w:t>-</w:t>
      </w:r>
      <w:r w:rsidR="00992816">
        <w:t xml:space="preserve">economic status as a driver </w:t>
      </w:r>
      <w:r w:rsidR="000F7487">
        <w:t xml:space="preserve">for the use of health services </w:t>
      </w:r>
      <w:r w:rsidR="00992816">
        <w:t>in remote and very remote areas.</w:t>
      </w:r>
    </w:p>
    <w:p w14:paraId="0CF44AEF" w14:textId="78A9AB85" w:rsidR="00992816" w:rsidRDefault="00992816" w:rsidP="00992816">
      <w:pPr>
        <w:pStyle w:val="CGC2025ParaNumbers"/>
      </w:pPr>
      <w:r>
        <w:t>For the non-state sector adjustment for First Nations Commonwealth grants</w:t>
      </w:r>
      <w:r w:rsidR="00B45328">
        <w:t xml:space="preserve"> to</w:t>
      </w:r>
      <w:r w:rsidR="00B45328" w:rsidRPr="00B45328">
        <w:t xml:space="preserve"> </w:t>
      </w:r>
      <w:r w:rsidR="00B45328" w:rsidRPr="001C2B61">
        <w:t>First</w:t>
      </w:r>
      <w:r w:rsidR="00B45328">
        <w:t> </w:t>
      </w:r>
      <w:r w:rsidR="00B45328" w:rsidRPr="001C2B61">
        <w:t>Nations</w:t>
      </w:r>
      <w:r w:rsidR="00B45328">
        <w:t xml:space="preserve"> community</w:t>
      </w:r>
      <w:r w:rsidR="004E2685">
        <w:noBreakHyphen/>
      </w:r>
      <w:r w:rsidR="00B45328">
        <w:t>controlled health organisations</w:t>
      </w:r>
      <w:r>
        <w:t>, excluding socio</w:t>
      </w:r>
      <w:r w:rsidR="004943E1">
        <w:noBreakHyphen/>
      </w:r>
      <w:r>
        <w:t xml:space="preserve">economic status as a driver in remote and very remote areas would mean a key determinant of expense needs is missing. </w:t>
      </w:r>
      <w:r w:rsidR="001B139F" w:rsidRPr="001B139F">
        <w:t>The Commonwealth consider</w:t>
      </w:r>
      <w:r w:rsidR="00560C70">
        <w:t>s</w:t>
      </w:r>
      <w:r w:rsidR="001B139F" w:rsidRPr="001B139F">
        <w:t xml:space="preserve"> the socio-economic status and remoteness of the region</w:t>
      </w:r>
      <w:r w:rsidR="006F2232">
        <w:t xml:space="preserve"> when allocating these grants </w:t>
      </w:r>
      <w:r w:rsidR="00560C70">
        <w:t>to First Nations community health organisations</w:t>
      </w:r>
      <w:r w:rsidR="001B139F" w:rsidRPr="001B139F">
        <w:t>.</w:t>
      </w:r>
      <w:r w:rsidR="00DF2E87">
        <w:rPr>
          <w:rStyle w:val="FootnoteReference"/>
        </w:rPr>
        <w:footnoteReference w:id="4"/>
      </w:r>
    </w:p>
    <w:p w14:paraId="0048E641" w14:textId="68971876" w:rsidR="000963F4" w:rsidRDefault="000963F4" w:rsidP="000F448D">
      <w:pPr>
        <w:pStyle w:val="CGC2025Caption"/>
        <w:keepNext/>
        <w:keepLines/>
        <w:ind w:left="1440" w:hanging="1440"/>
      </w:pPr>
      <w:bookmarkStart w:id="19" w:name="_Ref176444913"/>
      <w:r>
        <w:lastRenderedPageBreak/>
        <w:t xml:space="preserve">Figure </w:t>
      </w:r>
      <w:r>
        <w:fldChar w:fldCharType="begin"/>
      </w:r>
      <w:r>
        <w:instrText xml:space="preserve"> SEQ Figure \* ARABIC </w:instrText>
      </w:r>
      <w:r>
        <w:fldChar w:fldCharType="separate"/>
      </w:r>
      <w:r w:rsidR="003F6DE4">
        <w:rPr>
          <w:noProof/>
        </w:rPr>
        <w:t>5</w:t>
      </w:r>
      <w:r>
        <w:fldChar w:fldCharType="end"/>
      </w:r>
      <w:bookmarkEnd w:id="19"/>
      <w:r>
        <w:tab/>
        <w:t>Commonwealth grants</w:t>
      </w:r>
      <w:r w:rsidR="00B45328">
        <w:t xml:space="preserve"> to First Nations community</w:t>
      </w:r>
      <w:r w:rsidR="009C3AD2">
        <w:noBreakHyphen/>
      </w:r>
      <w:r w:rsidR="00DF51B4">
        <w:t>controlled health organisations</w:t>
      </w:r>
      <w:r>
        <w:t xml:space="preserve">, expenses per capita </w:t>
      </w:r>
      <w:r w:rsidRPr="00F10C75">
        <w:t>by remoteness</w:t>
      </w:r>
      <w:r>
        <w:t xml:space="preserve"> and</w:t>
      </w:r>
      <w:r w:rsidRPr="00F10C75">
        <w:t xml:space="preserve"> socio</w:t>
      </w:r>
      <w:r>
        <w:noBreakHyphen/>
      </w:r>
      <w:r w:rsidRPr="00F10C75">
        <w:t>economic</w:t>
      </w:r>
      <w:r>
        <w:t xml:space="preserve"> status, 2021</w:t>
      </w:r>
      <w:r w:rsidR="000C32CA">
        <w:t>–</w:t>
      </w:r>
      <w:r>
        <w:t>22</w:t>
      </w:r>
    </w:p>
    <w:p w14:paraId="07B5ED90" w14:textId="77777777" w:rsidR="000963F4" w:rsidRDefault="000963F4" w:rsidP="000963F4">
      <w:pPr>
        <w:pStyle w:val="CGC2025ParaNumbers"/>
        <w:numPr>
          <w:ilvl w:val="0"/>
          <w:numId w:val="0"/>
        </w:numPr>
        <w:ind w:left="567" w:hanging="567"/>
      </w:pPr>
      <w:r w:rsidRPr="00B42BAD">
        <w:rPr>
          <w:noProof/>
        </w:rPr>
        <w:drawing>
          <wp:inline distT="0" distB="0" distL="0" distR="0" wp14:anchorId="6F7931AF" wp14:editId="1773EE21">
            <wp:extent cx="5657215" cy="3568700"/>
            <wp:effectExtent l="0" t="0" r="635" b="0"/>
            <wp:docPr id="18707471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215" cy="3568700"/>
                    </a:xfrm>
                    <a:prstGeom prst="rect">
                      <a:avLst/>
                    </a:prstGeom>
                    <a:noFill/>
                    <a:ln>
                      <a:noFill/>
                    </a:ln>
                  </pic:spPr>
                </pic:pic>
              </a:graphicData>
            </a:graphic>
          </wp:inline>
        </w:drawing>
      </w:r>
    </w:p>
    <w:p w14:paraId="696750C9" w14:textId="5DFD7DA6" w:rsidR="000963F4" w:rsidRDefault="000963F4" w:rsidP="00425A1C">
      <w:pPr>
        <w:pStyle w:val="CGC2025TableNote"/>
        <w:ind w:left="686" w:hanging="573"/>
      </w:pPr>
      <w:r>
        <w:t xml:space="preserve">Source: Commission calculation using </w:t>
      </w:r>
      <w:r w:rsidR="00443B64">
        <w:t>AIHW</w:t>
      </w:r>
      <w:r>
        <w:t xml:space="preserve"> Aboriginal Community Controlled Health Services full</w:t>
      </w:r>
      <w:r w:rsidR="00571030">
        <w:t>-</w:t>
      </w:r>
      <w:r>
        <w:t xml:space="preserve">time equivalent staffing, </w:t>
      </w:r>
      <w:r w:rsidR="0055542C">
        <w:t>Common</w:t>
      </w:r>
      <w:r w:rsidR="00751386">
        <w:t>wealth Department of Health</w:t>
      </w:r>
      <w:r>
        <w:t xml:space="preserve"> grants to non-government organisations for First</w:t>
      </w:r>
      <w:r w:rsidR="00751386">
        <w:t> </w:t>
      </w:r>
      <w:r>
        <w:t>Nations purposes and ABS population data.</w:t>
      </w:r>
    </w:p>
    <w:p w14:paraId="432B13D7" w14:textId="47BF738A" w:rsidR="000B2FBB" w:rsidRDefault="000B2FBB" w:rsidP="00B450BD">
      <w:pPr>
        <w:pStyle w:val="CGC2025ParaNumbers"/>
      </w:pPr>
      <w:r>
        <w:t xml:space="preserve">The reliability of activity data on </w:t>
      </w:r>
      <w:r w:rsidR="007512A9">
        <w:t xml:space="preserve">the </w:t>
      </w:r>
      <w:r w:rsidR="000C0036">
        <w:t xml:space="preserve">use </w:t>
      </w:r>
      <w:r w:rsidR="007512A9">
        <w:t xml:space="preserve">of health services </w:t>
      </w:r>
      <w:r w:rsidR="000C0036">
        <w:t xml:space="preserve">by </w:t>
      </w:r>
      <w:r>
        <w:t>socio</w:t>
      </w:r>
      <w:r w:rsidR="00D205A6">
        <w:t>-</w:t>
      </w:r>
      <w:r>
        <w:t xml:space="preserve">economic </w:t>
      </w:r>
      <w:r w:rsidR="000C0036">
        <w:t>status</w:t>
      </w:r>
      <w:r>
        <w:t xml:space="preserve"> in remote and very remote areas varies across the state and non</w:t>
      </w:r>
      <w:r>
        <w:noBreakHyphen/>
        <w:t xml:space="preserve">state sector components </w:t>
      </w:r>
      <w:r w:rsidR="00DC6CFB">
        <w:t xml:space="preserve">of </w:t>
      </w:r>
      <w:r>
        <w:t>the health assessment. The Commission</w:t>
      </w:r>
      <w:r w:rsidR="00B243DF">
        <w:t xml:space="preserve"> seeks</w:t>
      </w:r>
      <w:r>
        <w:t xml:space="preserve"> to </w:t>
      </w:r>
      <w:r w:rsidR="00B243DF">
        <w:t>apply</w:t>
      </w:r>
      <w:r>
        <w:t xml:space="preserve"> a consistent approach to the use of socio</w:t>
      </w:r>
      <w:r>
        <w:noBreakHyphen/>
        <w:t>economic status as a driver</w:t>
      </w:r>
      <w:r w:rsidR="00D31DF7">
        <w:t xml:space="preserve"> based on reliable data</w:t>
      </w:r>
      <w:r>
        <w:t>.</w:t>
      </w:r>
      <w:r w:rsidDel="00454F78">
        <w:t xml:space="preserve"> </w:t>
      </w:r>
      <w:r w:rsidR="00B450BD" w:rsidRPr="00B450BD">
        <w:t>Given the absence of reliable data on</w:t>
      </w:r>
      <w:r w:rsidR="003A60A1">
        <w:t xml:space="preserve"> use by</w:t>
      </w:r>
      <w:r w:rsidR="00B450BD" w:rsidRPr="00B450BD">
        <w:t xml:space="preserve"> socio</w:t>
      </w:r>
      <w:r w:rsidR="004F0F2D">
        <w:noBreakHyphen/>
      </w:r>
      <w:r w:rsidR="00B450BD" w:rsidRPr="00B450BD">
        <w:t xml:space="preserve">economic </w:t>
      </w:r>
      <w:r w:rsidR="003A60A1">
        <w:t>status</w:t>
      </w:r>
      <w:r w:rsidR="00B450BD" w:rsidRPr="00B450BD">
        <w:t xml:space="preserve"> in remote and very remote areas, the Commission has not changed the position in the </w:t>
      </w:r>
      <w:r w:rsidR="00F8498D">
        <w:t>D</w:t>
      </w:r>
      <w:r w:rsidR="00B450BD" w:rsidRPr="00B450BD">
        <w:t xml:space="preserve">raft </w:t>
      </w:r>
      <w:r w:rsidR="00F8498D">
        <w:t>R</w:t>
      </w:r>
      <w:r w:rsidR="00B450BD" w:rsidRPr="00B450BD">
        <w:t>eport and will continue with the 2020 Review approach of not including socio-economic status as a driver in remote and very remote areas for state</w:t>
      </w:r>
      <w:r w:rsidR="00F8498D">
        <w:t xml:space="preserve"> and non</w:t>
      </w:r>
      <w:r w:rsidR="00F8498D">
        <w:noBreakHyphen/>
        <w:t>state</w:t>
      </w:r>
      <w:r w:rsidR="00454F78">
        <w:t xml:space="preserve"> sector</w:t>
      </w:r>
      <w:r w:rsidR="00B450BD" w:rsidRPr="00B450BD">
        <w:t xml:space="preserve"> services</w:t>
      </w:r>
      <w:r w:rsidR="00454F78">
        <w:t>.</w:t>
      </w:r>
    </w:p>
    <w:p w14:paraId="5E65332A" w14:textId="552EC0AD" w:rsidR="00EB2716" w:rsidRDefault="00F95271" w:rsidP="00B5023F">
      <w:pPr>
        <w:pStyle w:val="CGC2025ParaNumbers"/>
      </w:pPr>
      <w:r>
        <w:t xml:space="preserve">Data limitations do not allow for </w:t>
      </w:r>
      <w:r w:rsidR="00620B23">
        <w:t>the inclusion of socio-economic</w:t>
      </w:r>
      <w:r w:rsidR="00D17650">
        <w:t xml:space="preserve"> status as a driver </w:t>
      </w:r>
      <w:r w:rsidR="00256CC4">
        <w:t xml:space="preserve">in remote </w:t>
      </w:r>
      <w:r w:rsidR="00E15764">
        <w:t>and very remote areas</w:t>
      </w:r>
      <w:r w:rsidR="00454F78">
        <w:t xml:space="preserve"> for the </w:t>
      </w:r>
      <w:r w:rsidR="00ED5F25">
        <w:t xml:space="preserve">assessment of </w:t>
      </w:r>
      <w:r w:rsidR="00937CD9">
        <w:t xml:space="preserve">Commonwealth </w:t>
      </w:r>
      <w:r w:rsidR="001E0CE2">
        <w:t>grants to First Nations community</w:t>
      </w:r>
      <w:r w:rsidR="009148DC">
        <w:noBreakHyphen/>
      </w:r>
      <w:r w:rsidR="00937CD9">
        <w:t xml:space="preserve">controlled </w:t>
      </w:r>
      <w:r w:rsidR="001E0CE2">
        <w:t>health organisations</w:t>
      </w:r>
      <w:r w:rsidR="00E15764">
        <w:t xml:space="preserve">. However, </w:t>
      </w:r>
      <w:r w:rsidR="0015546F">
        <w:t>given the Commonw</w:t>
      </w:r>
      <w:r w:rsidR="0038227B">
        <w:t xml:space="preserve">ealth </w:t>
      </w:r>
      <w:r w:rsidR="00B13930">
        <w:t xml:space="preserve">allocates </w:t>
      </w:r>
      <w:r w:rsidR="001E0CE2">
        <w:t xml:space="preserve">the </w:t>
      </w:r>
      <w:r w:rsidR="00BA618A">
        <w:t xml:space="preserve">grants to First </w:t>
      </w:r>
      <w:r w:rsidR="008A1146">
        <w:t>Nations community</w:t>
      </w:r>
      <w:r w:rsidR="009148DC">
        <w:noBreakHyphen/>
      </w:r>
      <w:r w:rsidR="002F5491">
        <w:t>controlled</w:t>
      </w:r>
      <w:r w:rsidR="008A1146">
        <w:t xml:space="preserve"> health organisations</w:t>
      </w:r>
      <w:r w:rsidR="002F5DA5">
        <w:t xml:space="preserve"> </w:t>
      </w:r>
      <w:r w:rsidR="00C7333C">
        <w:t>taking into account</w:t>
      </w:r>
      <w:r w:rsidR="00B457E3">
        <w:t xml:space="preserve"> </w:t>
      </w:r>
      <w:r w:rsidR="00620467">
        <w:t>socio</w:t>
      </w:r>
      <w:r w:rsidR="00620467">
        <w:noBreakHyphen/>
        <w:t xml:space="preserve">economic status </w:t>
      </w:r>
      <w:r w:rsidR="00C63C00">
        <w:t>in remote and very remote areas</w:t>
      </w:r>
      <w:r w:rsidR="000B2FBB">
        <w:t xml:space="preserve">, the Commission </w:t>
      </w:r>
      <w:r w:rsidR="008C765A">
        <w:t>considers</w:t>
      </w:r>
      <w:r w:rsidR="000B2FBB">
        <w:t xml:space="preserve"> that the actual distribution of grants </w:t>
      </w:r>
      <w:r w:rsidR="00D63553">
        <w:t xml:space="preserve">produces </w:t>
      </w:r>
      <w:r w:rsidR="000B2FBB">
        <w:t xml:space="preserve">a better estimate of </w:t>
      </w:r>
      <w:r w:rsidR="00226325">
        <w:t xml:space="preserve">assessed </w:t>
      </w:r>
      <w:r w:rsidR="000B2FBB">
        <w:t>non</w:t>
      </w:r>
      <w:r w:rsidR="000B2FBB">
        <w:noBreakHyphen/>
        <w:t xml:space="preserve">state sector expense needs than the </w:t>
      </w:r>
      <w:r w:rsidR="009B2D28">
        <w:t xml:space="preserve">method used in the </w:t>
      </w:r>
      <w:r w:rsidR="000B2FBB">
        <w:t>2020 Review</w:t>
      </w:r>
      <w:r w:rsidR="00D56229">
        <w:t xml:space="preserve">. </w:t>
      </w:r>
      <w:r w:rsidR="000B2FBB">
        <w:t xml:space="preserve"> </w:t>
      </w:r>
    </w:p>
    <w:p w14:paraId="35951315" w14:textId="1BE3A7F4" w:rsidR="00053843" w:rsidRDefault="00053843" w:rsidP="00053843">
      <w:pPr>
        <w:pStyle w:val="Heading4"/>
      </w:pPr>
      <w:r>
        <w:lastRenderedPageBreak/>
        <w:t>Commission position</w:t>
      </w:r>
    </w:p>
    <w:p w14:paraId="3ED6E82D" w14:textId="19124FC9" w:rsidR="003B367D" w:rsidRDefault="00FB134B" w:rsidP="00FB134B">
      <w:pPr>
        <w:pStyle w:val="CGC2025ParaNumbers"/>
      </w:pPr>
      <w:r>
        <w:t xml:space="preserve">The Commission </w:t>
      </w:r>
      <w:r w:rsidRPr="00FB134B">
        <w:t xml:space="preserve">will continue with the </w:t>
      </w:r>
      <w:r w:rsidR="00EC6D65">
        <w:t xml:space="preserve">2020 Review </w:t>
      </w:r>
      <w:r w:rsidRPr="00FB134B">
        <w:t>approach of not including socio</w:t>
      </w:r>
      <w:r w:rsidR="008353AC">
        <w:noBreakHyphen/>
      </w:r>
      <w:r w:rsidRPr="00FB134B">
        <w:t xml:space="preserve">economic status as a driver </w:t>
      </w:r>
      <w:r w:rsidR="00EA6134">
        <w:t xml:space="preserve">of expenses </w:t>
      </w:r>
      <w:r w:rsidRPr="00FB134B">
        <w:t>in remote and very remote areas for state and non</w:t>
      </w:r>
      <w:r w:rsidR="00EA6134">
        <w:noBreakHyphen/>
      </w:r>
      <w:r w:rsidRPr="00FB134B">
        <w:t>state sector services.</w:t>
      </w:r>
    </w:p>
    <w:p w14:paraId="465712C9" w14:textId="35EE2812" w:rsidR="00B5023F" w:rsidRPr="00B5023F" w:rsidRDefault="000C175A" w:rsidP="00B5023F">
      <w:pPr>
        <w:pStyle w:val="CGC2025ParaNumbers"/>
      </w:pPr>
      <w:r>
        <w:t xml:space="preserve">The Commission will </w:t>
      </w:r>
      <w:r w:rsidR="0000628E">
        <w:t xml:space="preserve">use the actual distribution of </w:t>
      </w:r>
      <w:r w:rsidR="00EA6134">
        <w:t xml:space="preserve">Commonwealth grants to </w:t>
      </w:r>
      <w:r w:rsidR="001B764B">
        <w:t>First</w:t>
      </w:r>
      <w:r w:rsidR="006B43AA">
        <w:t> </w:t>
      </w:r>
      <w:r w:rsidR="001B764B">
        <w:t xml:space="preserve">Nations </w:t>
      </w:r>
      <w:r w:rsidR="00EA6134">
        <w:t>community</w:t>
      </w:r>
      <w:r w:rsidR="009148DC">
        <w:noBreakHyphen/>
      </w:r>
      <w:r w:rsidR="00EA6134">
        <w:t>controlled health services</w:t>
      </w:r>
      <w:r w:rsidR="0000628E">
        <w:t xml:space="preserve"> </w:t>
      </w:r>
      <w:r w:rsidR="004C2F58">
        <w:t xml:space="preserve">as </w:t>
      </w:r>
      <w:r w:rsidR="00BA2DF4">
        <w:t xml:space="preserve">the </w:t>
      </w:r>
      <w:r w:rsidR="00CC2BC8">
        <w:t xml:space="preserve">estimate of </w:t>
      </w:r>
      <w:r w:rsidR="00067D1C">
        <w:t>non-state sector expense needs</w:t>
      </w:r>
      <w:r w:rsidR="001B764B">
        <w:t xml:space="preserve">. </w:t>
      </w:r>
      <w:r w:rsidR="00360B1B">
        <w:t>This mean</w:t>
      </w:r>
      <w:r w:rsidR="00341298">
        <w:t>s</w:t>
      </w:r>
      <w:r w:rsidR="00360B1B">
        <w:t xml:space="preserve"> the non-state sector adjustment for </w:t>
      </w:r>
      <w:r w:rsidR="00C377B9">
        <w:t xml:space="preserve">Commonwealth grants to </w:t>
      </w:r>
      <w:r w:rsidR="00F97982">
        <w:t>community</w:t>
      </w:r>
      <w:r w:rsidR="009148DC">
        <w:noBreakHyphen/>
      </w:r>
      <w:r w:rsidR="00F97982">
        <w:t>controlled</w:t>
      </w:r>
      <w:r w:rsidR="000A0B1B">
        <w:t xml:space="preserve"> health organi</w:t>
      </w:r>
      <w:r w:rsidR="00687D16">
        <w:t>s</w:t>
      </w:r>
      <w:r w:rsidR="000A0B1B">
        <w:t xml:space="preserve">ations </w:t>
      </w:r>
      <w:r w:rsidR="00341298">
        <w:t>will be</w:t>
      </w:r>
      <w:r w:rsidR="000A0B1B">
        <w:t xml:space="preserve"> set to </w:t>
      </w:r>
      <w:r w:rsidR="00687D16">
        <w:t>zero</w:t>
      </w:r>
      <w:r w:rsidR="00475021">
        <w:t>.</w:t>
      </w:r>
      <w:r w:rsidR="00B5023F" w:rsidRPr="00B5023F">
        <w:t xml:space="preserve"> </w:t>
      </w:r>
    </w:p>
    <w:p w14:paraId="2485D9BA" w14:textId="77777777" w:rsidR="00546B5B" w:rsidRPr="00B96E81" w:rsidRDefault="00546B5B" w:rsidP="00DF0EA5">
      <w:pPr>
        <w:pStyle w:val="Heading3"/>
      </w:pPr>
      <w:bookmarkStart w:id="20" w:name="_Toc176348501"/>
      <w:r>
        <w:t>Rounding non-state sector substitutability levels</w:t>
      </w:r>
      <w:bookmarkEnd w:id="20"/>
    </w:p>
    <w:p w14:paraId="3DFE6DBE" w14:textId="5BA7C293" w:rsidR="00546B5B" w:rsidRDefault="00546B5B" w:rsidP="00DF0EA5">
      <w:pPr>
        <w:pStyle w:val="CGC2025ParaNumbers"/>
      </w:pPr>
      <w:r>
        <w:t xml:space="preserve">In the Draft Report, the Commission presented updated </w:t>
      </w:r>
      <w:r w:rsidR="00D260FA">
        <w:t xml:space="preserve">public/non-state </w:t>
      </w:r>
      <w:r>
        <w:t>substitutability levels for the non</w:t>
      </w:r>
      <w:r>
        <w:noBreakHyphen/>
        <w:t>state sector adjustment for the admitted patient, emergency department, non</w:t>
      </w:r>
      <w:r>
        <w:noBreakHyphen/>
        <w:t>admitted patients, and community and public health components. In each case, the exact figure</w:t>
      </w:r>
      <w:r w:rsidR="00B5067C">
        <w:t>s</w:t>
      </w:r>
      <w:r>
        <w:t xml:space="preserve"> produced by the formula </w:t>
      </w:r>
      <w:r w:rsidR="00A40DD0">
        <w:t xml:space="preserve">were </w:t>
      </w:r>
      <w:r>
        <w:t>rounded to the nearest 5%.</w:t>
      </w:r>
    </w:p>
    <w:p w14:paraId="64C4DC33" w14:textId="77777777" w:rsidR="00546B5B" w:rsidRDefault="00546B5B" w:rsidP="00DF0EA5">
      <w:pPr>
        <w:pStyle w:val="Heading4"/>
      </w:pPr>
      <w:r>
        <w:t>State views</w:t>
      </w:r>
    </w:p>
    <w:p w14:paraId="6F4089FC" w14:textId="707FB34E" w:rsidR="00546B5B" w:rsidRPr="001C5D02" w:rsidRDefault="00546B5B" w:rsidP="00DF0EA5">
      <w:pPr>
        <w:pStyle w:val="CGC2025ParaNumbers"/>
        <w:keepNext/>
      </w:pPr>
      <w:r w:rsidRPr="001C5D02">
        <w:t xml:space="preserve">New South Wales and Victoria said the Commission should use the exact number produced by the formula for the non-state sector substitutability </w:t>
      </w:r>
      <w:r w:rsidR="00150559" w:rsidRPr="001C5D02">
        <w:t>level</w:t>
      </w:r>
      <w:r w:rsidR="00150559">
        <w:t>s</w:t>
      </w:r>
      <w:r w:rsidR="00150559" w:rsidRPr="001C5D02">
        <w:t xml:space="preserve"> rather</w:t>
      </w:r>
      <w:r w:rsidRPr="001C5D02">
        <w:t xml:space="preserve"> than </w:t>
      </w:r>
      <w:r w:rsidR="0054757C">
        <w:t xml:space="preserve">rounding </w:t>
      </w:r>
      <w:r w:rsidR="006C75A0">
        <w:t xml:space="preserve">numbers </w:t>
      </w:r>
      <w:r w:rsidRPr="001C5D02">
        <w:t>to the nearest 5%.</w:t>
      </w:r>
      <w:r>
        <w:t xml:space="preserve"> They said the rounding decision did not reduce complexity and resulted in a significant change in GST distribution based on an arbitrary decision </w:t>
      </w:r>
      <w:r w:rsidR="00941AC3">
        <w:t xml:space="preserve">that </w:t>
      </w:r>
      <w:r w:rsidR="00FA1884">
        <w:t>was</w:t>
      </w:r>
      <w:r w:rsidR="00941AC3">
        <w:t xml:space="preserve"> not</w:t>
      </w:r>
      <w:r>
        <w:t xml:space="preserve"> evidence</w:t>
      </w:r>
      <w:r w:rsidR="00941AC3">
        <w:t xml:space="preserve"> based</w:t>
      </w:r>
      <w:r>
        <w:t>.</w:t>
      </w:r>
    </w:p>
    <w:p w14:paraId="19FA733F" w14:textId="77777777" w:rsidR="00546B5B" w:rsidRDefault="00546B5B" w:rsidP="00546B5B">
      <w:pPr>
        <w:pStyle w:val="Heading4"/>
      </w:pPr>
      <w:r>
        <w:t>Commission response</w:t>
      </w:r>
    </w:p>
    <w:p w14:paraId="3824048A" w14:textId="3A738C2C" w:rsidR="00546B5B" w:rsidRDefault="00546B5B" w:rsidP="00546B5B">
      <w:pPr>
        <w:pStyle w:val="CGC2025ParaNumbers"/>
      </w:pPr>
      <w:r>
        <w:t>The Commission accept</w:t>
      </w:r>
      <w:r w:rsidR="00F70ADD">
        <w:t>s</w:t>
      </w:r>
      <w:r>
        <w:t xml:space="preserve"> that the proposal to round </w:t>
      </w:r>
      <w:r w:rsidRPr="001C5D02">
        <w:t>substitutability level</w:t>
      </w:r>
      <w:r>
        <w:t xml:space="preserve">s to the nearest 5% </w:t>
      </w:r>
      <w:r w:rsidR="00713AE3">
        <w:t xml:space="preserve">adds </w:t>
      </w:r>
      <w:r>
        <w:t>an addition</w:t>
      </w:r>
      <w:r w:rsidR="00C45481">
        <w:t>al</w:t>
      </w:r>
      <w:r w:rsidR="00747A08">
        <w:t>, unnecessary</w:t>
      </w:r>
      <w:r>
        <w:t xml:space="preserve"> step to the calculation.</w:t>
      </w:r>
    </w:p>
    <w:p w14:paraId="58CEF501" w14:textId="58F9C549" w:rsidR="00546B5B" w:rsidRDefault="007C1E60" w:rsidP="00546B5B">
      <w:pPr>
        <w:pStyle w:val="CGC2025ParaNumbers"/>
      </w:pPr>
      <w:r>
        <w:t xml:space="preserve">Table </w:t>
      </w:r>
      <w:r w:rsidR="00BD08CE">
        <w:t>2</w:t>
      </w:r>
      <w:r w:rsidR="00546B5B">
        <w:t xml:space="preserve"> shows the calculated and rounded substitutability levels for the non</w:t>
      </w:r>
      <w:r w:rsidR="00546B5B">
        <w:noBreakHyphen/>
        <w:t>state sector adjustments. The substitutability levels shown in the column titled ‘midpoint’ will be the non</w:t>
      </w:r>
      <w:r w:rsidR="00546B5B">
        <w:noBreakHyphen/>
        <w:t>state sector substitutability levels for the 2025 Review.</w:t>
      </w:r>
    </w:p>
    <w:p w14:paraId="1699FD29" w14:textId="3916A0C8" w:rsidR="00546B5B" w:rsidRPr="003608BB" w:rsidRDefault="00546B5B" w:rsidP="000D132D">
      <w:pPr>
        <w:pStyle w:val="CGC2025Caption"/>
      </w:pPr>
      <w:bookmarkStart w:id="21" w:name="_Ref175908875"/>
      <w:r w:rsidRPr="003608BB">
        <w:t>Table</w:t>
      </w:r>
      <w:r w:rsidR="007C1E60">
        <w:t xml:space="preserve"> </w:t>
      </w:r>
      <w:bookmarkEnd w:id="21"/>
      <w:r w:rsidR="00BD08CE">
        <w:t>2</w:t>
      </w:r>
      <w:r w:rsidRPr="003608BB">
        <w:tab/>
        <w:t>Draft Report proposed substitutability levels</w:t>
      </w:r>
    </w:p>
    <w:tbl>
      <w:tblPr>
        <w:tblW w:w="8840" w:type="dxa"/>
        <w:tblLook w:val="04A0" w:firstRow="1" w:lastRow="0" w:firstColumn="1" w:lastColumn="0" w:noHBand="0" w:noVBand="1"/>
      </w:tblPr>
      <w:tblGrid>
        <w:gridCol w:w="3880"/>
        <w:gridCol w:w="1240"/>
        <w:gridCol w:w="1240"/>
        <w:gridCol w:w="1240"/>
        <w:gridCol w:w="1240"/>
      </w:tblGrid>
      <w:tr w:rsidR="00546B5B" w:rsidRPr="007E6B91" w14:paraId="7807B1C3" w14:textId="77777777">
        <w:trPr>
          <w:trHeight w:val="375"/>
        </w:trPr>
        <w:tc>
          <w:tcPr>
            <w:tcW w:w="3880" w:type="dxa"/>
            <w:tcBorders>
              <w:top w:val="nil"/>
              <w:left w:val="nil"/>
              <w:bottom w:val="nil"/>
              <w:right w:val="nil"/>
            </w:tcBorders>
            <w:shd w:val="clear" w:color="000000" w:fill="006991"/>
            <w:vAlign w:val="center"/>
            <w:hideMark/>
          </w:tcPr>
          <w:p w14:paraId="2C91C08C" w14:textId="77777777" w:rsidR="00546B5B" w:rsidRPr="007E6B91" w:rsidRDefault="00546B5B" w:rsidP="000D132D">
            <w:pPr>
              <w:tabs>
                <w:tab w:val="clear" w:pos="567"/>
              </w:tabs>
              <w:spacing w:before="0" w:line="240" w:lineRule="auto"/>
              <w:rPr>
                <w:rFonts w:ascii="Calibri" w:eastAsia="Times New Roman" w:hAnsi="Calibri" w:cs="Calibri"/>
                <w:color w:val="000000"/>
                <w:sz w:val="16"/>
                <w:szCs w:val="16"/>
                <w:lang w:eastAsia="en-AU"/>
              </w:rPr>
            </w:pPr>
            <w:r w:rsidRPr="007E6B91">
              <w:rPr>
                <w:rFonts w:ascii="Calibri" w:eastAsia="Times New Roman" w:hAnsi="Calibri" w:cs="Calibri"/>
                <w:color w:val="000000"/>
                <w:sz w:val="16"/>
                <w:szCs w:val="16"/>
                <w:lang w:eastAsia="en-AU"/>
              </w:rPr>
              <w:t> </w:t>
            </w:r>
          </w:p>
        </w:tc>
        <w:tc>
          <w:tcPr>
            <w:tcW w:w="1240" w:type="dxa"/>
            <w:tcBorders>
              <w:top w:val="nil"/>
              <w:left w:val="nil"/>
              <w:bottom w:val="nil"/>
              <w:right w:val="nil"/>
            </w:tcBorders>
            <w:shd w:val="clear" w:color="000000" w:fill="006991"/>
            <w:vAlign w:val="center"/>
            <w:hideMark/>
          </w:tcPr>
          <w:p w14:paraId="6E948C9B" w14:textId="77777777" w:rsidR="00546B5B" w:rsidRPr="007E6B91" w:rsidRDefault="00546B5B" w:rsidP="000D13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6B91">
              <w:rPr>
                <w:rFonts w:ascii="Open Sans Semibold" w:eastAsia="Times New Roman" w:hAnsi="Open Sans Semibold" w:cs="Open Sans Semibold"/>
                <w:color w:val="FFFFFF"/>
                <w:sz w:val="16"/>
                <w:szCs w:val="16"/>
                <w:lang w:eastAsia="en-AU"/>
              </w:rPr>
              <w:t>Method 1</w:t>
            </w:r>
          </w:p>
        </w:tc>
        <w:tc>
          <w:tcPr>
            <w:tcW w:w="1240" w:type="dxa"/>
            <w:tcBorders>
              <w:top w:val="nil"/>
              <w:left w:val="nil"/>
              <w:bottom w:val="nil"/>
              <w:right w:val="nil"/>
            </w:tcBorders>
            <w:shd w:val="clear" w:color="000000" w:fill="006991"/>
            <w:vAlign w:val="center"/>
            <w:hideMark/>
          </w:tcPr>
          <w:p w14:paraId="53E2F6AA" w14:textId="77777777" w:rsidR="00546B5B" w:rsidRPr="007E6B91" w:rsidRDefault="00546B5B" w:rsidP="000D13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6B91">
              <w:rPr>
                <w:rFonts w:ascii="Open Sans Semibold" w:eastAsia="Times New Roman" w:hAnsi="Open Sans Semibold" w:cs="Open Sans Semibold"/>
                <w:color w:val="FFFFFF"/>
                <w:sz w:val="16"/>
                <w:szCs w:val="16"/>
                <w:lang w:eastAsia="en-AU"/>
              </w:rPr>
              <w:t>Method 2</w:t>
            </w:r>
          </w:p>
        </w:tc>
        <w:tc>
          <w:tcPr>
            <w:tcW w:w="1240" w:type="dxa"/>
            <w:tcBorders>
              <w:top w:val="nil"/>
              <w:left w:val="nil"/>
              <w:bottom w:val="nil"/>
              <w:right w:val="nil"/>
            </w:tcBorders>
            <w:shd w:val="clear" w:color="000000" w:fill="006991"/>
            <w:vAlign w:val="center"/>
            <w:hideMark/>
          </w:tcPr>
          <w:p w14:paraId="451DC860" w14:textId="77777777" w:rsidR="00546B5B" w:rsidRPr="007E6B91" w:rsidRDefault="00546B5B" w:rsidP="000D13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6B91">
              <w:rPr>
                <w:rFonts w:ascii="Open Sans Semibold" w:eastAsia="Times New Roman" w:hAnsi="Open Sans Semibold" w:cs="Open Sans Semibold"/>
                <w:color w:val="FFFFFF"/>
                <w:sz w:val="16"/>
                <w:szCs w:val="16"/>
                <w:lang w:eastAsia="en-AU"/>
              </w:rPr>
              <w:t>Midpoint</w:t>
            </w:r>
          </w:p>
        </w:tc>
        <w:tc>
          <w:tcPr>
            <w:tcW w:w="1240" w:type="dxa"/>
            <w:tcBorders>
              <w:top w:val="nil"/>
              <w:left w:val="nil"/>
              <w:bottom w:val="nil"/>
              <w:right w:val="nil"/>
            </w:tcBorders>
            <w:shd w:val="clear" w:color="000000" w:fill="006991"/>
            <w:vAlign w:val="center"/>
            <w:hideMark/>
          </w:tcPr>
          <w:p w14:paraId="229CE4F1" w14:textId="77777777" w:rsidR="00546B5B" w:rsidRPr="007E6B91" w:rsidRDefault="00546B5B" w:rsidP="000D13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6B91">
              <w:rPr>
                <w:rFonts w:ascii="Open Sans Semibold" w:eastAsia="Times New Roman" w:hAnsi="Open Sans Semibold" w:cs="Open Sans Semibold"/>
                <w:color w:val="FFFFFF"/>
                <w:sz w:val="16"/>
                <w:szCs w:val="16"/>
                <w:lang w:eastAsia="en-AU"/>
              </w:rPr>
              <w:t>Rounded</w:t>
            </w:r>
          </w:p>
        </w:tc>
      </w:tr>
      <w:tr w:rsidR="00546B5B" w:rsidRPr="007E6B91" w14:paraId="27127030" w14:textId="77777777">
        <w:trPr>
          <w:trHeight w:val="315"/>
        </w:trPr>
        <w:tc>
          <w:tcPr>
            <w:tcW w:w="3880" w:type="dxa"/>
            <w:tcBorders>
              <w:top w:val="nil"/>
              <w:left w:val="nil"/>
              <w:bottom w:val="single" w:sz="4" w:space="0" w:color="ADD6EA"/>
              <w:right w:val="nil"/>
            </w:tcBorders>
            <w:shd w:val="clear" w:color="000000" w:fill="FFFFFF"/>
            <w:vAlign w:val="center"/>
            <w:hideMark/>
          </w:tcPr>
          <w:p w14:paraId="5A3B793A" w14:textId="51C5B30B" w:rsidR="00546B5B" w:rsidRPr="007E6B91" w:rsidRDefault="00546B5B" w:rsidP="000D132D">
            <w:pPr>
              <w:tabs>
                <w:tab w:val="clear" w:pos="567"/>
              </w:tabs>
              <w:spacing w:before="0" w:line="240" w:lineRule="auto"/>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Admitted patients</w:t>
            </w:r>
            <w:r w:rsidR="001C2E3B">
              <w:rPr>
                <w:rFonts w:ascii="Open Sans Light" w:eastAsia="Times New Roman" w:hAnsi="Open Sans Light" w:cs="Open Sans Light"/>
                <w:color w:val="000000"/>
                <w:sz w:val="16"/>
                <w:szCs w:val="16"/>
                <w:lang w:eastAsia="en-AU"/>
              </w:rPr>
              <w:t xml:space="preserve"> </w:t>
            </w:r>
            <w:r w:rsidR="005E5096" w:rsidRPr="005E5096">
              <w:rPr>
                <w:rFonts w:ascii="Open Sans Light" w:eastAsia="Times New Roman" w:hAnsi="Open Sans Light" w:cs="Open Sans Light"/>
                <w:color w:val="000000"/>
                <w:sz w:val="16"/>
                <w:szCs w:val="16"/>
                <w:vertAlign w:val="superscript"/>
                <w:lang w:eastAsia="en-AU"/>
              </w:rPr>
              <w:t>a</w:t>
            </w:r>
          </w:p>
        </w:tc>
        <w:tc>
          <w:tcPr>
            <w:tcW w:w="1240" w:type="dxa"/>
            <w:tcBorders>
              <w:top w:val="nil"/>
              <w:left w:val="nil"/>
              <w:bottom w:val="single" w:sz="4" w:space="0" w:color="ADD6EA"/>
              <w:right w:val="nil"/>
            </w:tcBorders>
            <w:shd w:val="clear" w:color="000000" w:fill="FFFFFF"/>
            <w:vAlign w:val="center"/>
            <w:hideMark/>
          </w:tcPr>
          <w:p w14:paraId="36A69BC9"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27</w:t>
            </w:r>
          </w:p>
        </w:tc>
        <w:tc>
          <w:tcPr>
            <w:tcW w:w="1240" w:type="dxa"/>
            <w:tcBorders>
              <w:top w:val="nil"/>
              <w:left w:val="nil"/>
              <w:bottom w:val="single" w:sz="4" w:space="0" w:color="ADD6EA"/>
              <w:right w:val="nil"/>
            </w:tcBorders>
            <w:shd w:val="clear" w:color="000000" w:fill="FFFFFF"/>
            <w:vAlign w:val="center"/>
            <w:hideMark/>
          </w:tcPr>
          <w:p w14:paraId="30B32F35"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8</w:t>
            </w:r>
          </w:p>
        </w:tc>
        <w:tc>
          <w:tcPr>
            <w:tcW w:w="1240" w:type="dxa"/>
            <w:tcBorders>
              <w:top w:val="nil"/>
              <w:left w:val="nil"/>
              <w:bottom w:val="single" w:sz="4" w:space="0" w:color="ADD6EA"/>
              <w:right w:val="nil"/>
            </w:tcBorders>
            <w:shd w:val="clear" w:color="000000" w:fill="FFFFFF"/>
            <w:vAlign w:val="center"/>
            <w:hideMark/>
          </w:tcPr>
          <w:p w14:paraId="6526DF24"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17</w:t>
            </w:r>
          </w:p>
        </w:tc>
        <w:tc>
          <w:tcPr>
            <w:tcW w:w="1240" w:type="dxa"/>
            <w:tcBorders>
              <w:top w:val="nil"/>
              <w:left w:val="nil"/>
              <w:bottom w:val="single" w:sz="4" w:space="0" w:color="ADD6EA"/>
              <w:right w:val="nil"/>
            </w:tcBorders>
            <w:shd w:val="clear" w:color="000000" w:fill="FFFFFF"/>
            <w:vAlign w:val="center"/>
            <w:hideMark/>
          </w:tcPr>
          <w:p w14:paraId="1F4B4E95"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15</w:t>
            </w:r>
          </w:p>
        </w:tc>
      </w:tr>
      <w:tr w:rsidR="00546B5B" w:rsidRPr="007E6B91" w14:paraId="4A4D42B0" w14:textId="77777777">
        <w:trPr>
          <w:trHeight w:val="315"/>
        </w:trPr>
        <w:tc>
          <w:tcPr>
            <w:tcW w:w="3880" w:type="dxa"/>
            <w:tcBorders>
              <w:top w:val="nil"/>
              <w:left w:val="nil"/>
              <w:bottom w:val="single" w:sz="4" w:space="0" w:color="ADD6EA"/>
              <w:right w:val="nil"/>
            </w:tcBorders>
            <w:shd w:val="clear" w:color="000000" w:fill="FFFFFF"/>
            <w:vAlign w:val="center"/>
            <w:hideMark/>
          </w:tcPr>
          <w:p w14:paraId="0966B4E9" w14:textId="77777777" w:rsidR="00546B5B" w:rsidRPr="007E6B91" w:rsidRDefault="00546B5B" w:rsidP="000D132D">
            <w:pPr>
              <w:tabs>
                <w:tab w:val="clear" w:pos="567"/>
              </w:tabs>
              <w:spacing w:before="0" w:line="240" w:lineRule="auto"/>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Emergency departments</w:t>
            </w:r>
          </w:p>
        </w:tc>
        <w:tc>
          <w:tcPr>
            <w:tcW w:w="1240" w:type="dxa"/>
            <w:tcBorders>
              <w:top w:val="nil"/>
              <w:left w:val="nil"/>
              <w:bottom w:val="single" w:sz="4" w:space="0" w:color="ADD6EA"/>
              <w:right w:val="nil"/>
            </w:tcBorders>
            <w:shd w:val="clear" w:color="000000" w:fill="FFFFFF"/>
            <w:vAlign w:val="center"/>
            <w:hideMark/>
          </w:tcPr>
          <w:p w14:paraId="44370F75"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13</w:t>
            </w:r>
          </w:p>
        </w:tc>
        <w:tc>
          <w:tcPr>
            <w:tcW w:w="1240" w:type="dxa"/>
            <w:tcBorders>
              <w:top w:val="nil"/>
              <w:left w:val="nil"/>
              <w:bottom w:val="single" w:sz="4" w:space="0" w:color="ADD6EA"/>
              <w:right w:val="nil"/>
            </w:tcBorders>
            <w:shd w:val="clear" w:color="000000" w:fill="FFFFFF"/>
            <w:vAlign w:val="center"/>
            <w:hideMark/>
          </w:tcPr>
          <w:p w14:paraId="0F58D9EB"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 </w:t>
            </w:r>
          </w:p>
        </w:tc>
        <w:tc>
          <w:tcPr>
            <w:tcW w:w="1240" w:type="dxa"/>
            <w:tcBorders>
              <w:top w:val="nil"/>
              <w:left w:val="nil"/>
              <w:bottom w:val="single" w:sz="4" w:space="0" w:color="ADD6EA"/>
              <w:right w:val="nil"/>
            </w:tcBorders>
            <w:shd w:val="clear" w:color="000000" w:fill="FFFFFF"/>
            <w:vAlign w:val="center"/>
            <w:hideMark/>
          </w:tcPr>
          <w:p w14:paraId="5EACBAC0"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13</w:t>
            </w:r>
          </w:p>
        </w:tc>
        <w:tc>
          <w:tcPr>
            <w:tcW w:w="1240" w:type="dxa"/>
            <w:tcBorders>
              <w:top w:val="nil"/>
              <w:left w:val="nil"/>
              <w:bottom w:val="single" w:sz="4" w:space="0" w:color="ADD6EA"/>
              <w:right w:val="nil"/>
            </w:tcBorders>
            <w:shd w:val="clear" w:color="000000" w:fill="FFFFFF"/>
            <w:vAlign w:val="center"/>
            <w:hideMark/>
          </w:tcPr>
          <w:p w14:paraId="2385424D"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15</w:t>
            </w:r>
          </w:p>
        </w:tc>
      </w:tr>
      <w:tr w:rsidR="00546B5B" w:rsidRPr="007E6B91" w14:paraId="3B5279A5" w14:textId="77777777">
        <w:trPr>
          <w:trHeight w:val="315"/>
        </w:trPr>
        <w:tc>
          <w:tcPr>
            <w:tcW w:w="3880" w:type="dxa"/>
            <w:tcBorders>
              <w:top w:val="nil"/>
              <w:left w:val="nil"/>
              <w:bottom w:val="single" w:sz="4" w:space="0" w:color="ADD6EA"/>
              <w:right w:val="nil"/>
            </w:tcBorders>
            <w:shd w:val="clear" w:color="000000" w:fill="FFFFFF"/>
            <w:vAlign w:val="center"/>
            <w:hideMark/>
          </w:tcPr>
          <w:p w14:paraId="1104350E" w14:textId="4710216E" w:rsidR="00546B5B" w:rsidRPr="007E6B91" w:rsidRDefault="00546B5B" w:rsidP="000D132D">
            <w:pPr>
              <w:tabs>
                <w:tab w:val="clear" w:pos="567"/>
              </w:tabs>
              <w:spacing w:before="0" w:line="240" w:lineRule="auto"/>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Non-admitted patients</w:t>
            </w:r>
            <w:r w:rsidR="001C2E3B">
              <w:rPr>
                <w:rFonts w:ascii="Open Sans Light" w:eastAsia="Times New Roman" w:hAnsi="Open Sans Light" w:cs="Open Sans Light"/>
                <w:color w:val="000000"/>
                <w:sz w:val="16"/>
                <w:szCs w:val="16"/>
                <w:lang w:eastAsia="en-AU"/>
              </w:rPr>
              <w:t xml:space="preserve"> </w:t>
            </w:r>
            <w:r w:rsidR="00B251D2" w:rsidRPr="00F663F2">
              <w:rPr>
                <w:rFonts w:ascii="Open Sans Light" w:eastAsia="Times New Roman" w:hAnsi="Open Sans Light" w:cs="Open Sans Light"/>
                <w:color w:val="000000"/>
                <w:sz w:val="16"/>
                <w:szCs w:val="16"/>
                <w:vertAlign w:val="superscript"/>
                <w:lang w:eastAsia="en-AU"/>
              </w:rPr>
              <w:t>b</w:t>
            </w:r>
          </w:p>
        </w:tc>
        <w:tc>
          <w:tcPr>
            <w:tcW w:w="1240" w:type="dxa"/>
            <w:tcBorders>
              <w:top w:val="nil"/>
              <w:left w:val="nil"/>
              <w:bottom w:val="single" w:sz="4" w:space="0" w:color="ADD6EA"/>
              <w:right w:val="nil"/>
            </w:tcBorders>
            <w:shd w:val="clear" w:color="000000" w:fill="FFFFFF"/>
            <w:vAlign w:val="center"/>
            <w:hideMark/>
          </w:tcPr>
          <w:p w14:paraId="697408C4" w14:textId="72834A94"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3</w:t>
            </w:r>
            <w:r w:rsidR="00113BBF">
              <w:rPr>
                <w:rFonts w:ascii="Open Sans Light" w:eastAsia="Times New Roman" w:hAnsi="Open Sans Light" w:cs="Open Sans Light"/>
                <w:color w:val="000000"/>
                <w:sz w:val="16"/>
                <w:szCs w:val="16"/>
                <w:lang w:eastAsia="en-AU"/>
              </w:rPr>
              <w:t>6</w:t>
            </w:r>
          </w:p>
        </w:tc>
        <w:tc>
          <w:tcPr>
            <w:tcW w:w="1240" w:type="dxa"/>
            <w:tcBorders>
              <w:top w:val="nil"/>
              <w:left w:val="nil"/>
              <w:bottom w:val="single" w:sz="4" w:space="0" w:color="ADD6EA"/>
              <w:right w:val="nil"/>
            </w:tcBorders>
            <w:shd w:val="clear" w:color="000000" w:fill="FFFFFF"/>
            <w:vAlign w:val="center"/>
            <w:hideMark/>
          </w:tcPr>
          <w:p w14:paraId="23812743"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20</w:t>
            </w:r>
          </w:p>
        </w:tc>
        <w:tc>
          <w:tcPr>
            <w:tcW w:w="1240" w:type="dxa"/>
            <w:tcBorders>
              <w:top w:val="nil"/>
              <w:left w:val="nil"/>
              <w:bottom w:val="single" w:sz="4" w:space="0" w:color="ADD6EA"/>
              <w:right w:val="nil"/>
            </w:tcBorders>
            <w:shd w:val="clear" w:color="000000" w:fill="FFFFFF"/>
            <w:vAlign w:val="center"/>
            <w:hideMark/>
          </w:tcPr>
          <w:p w14:paraId="2CCC09EF"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28</w:t>
            </w:r>
          </w:p>
        </w:tc>
        <w:tc>
          <w:tcPr>
            <w:tcW w:w="1240" w:type="dxa"/>
            <w:tcBorders>
              <w:top w:val="nil"/>
              <w:left w:val="nil"/>
              <w:bottom w:val="single" w:sz="4" w:space="0" w:color="ADD6EA"/>
              <w:right w:val="nil"/>
            </w:tcBorders>
            <w:shd w:val="clear" w:color="000000" w:fill="FFFFFF"/>
            <w:vAlign w:val="center"/>
            <w:hideMark/>
          </w:tcPr>
          <w:p w14:paraId="2AA5F270"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30</w:t>
            </w:r>
          </w:p>
        </w:tc>
      </w:tr>
      <w:tr w:rsidR="00546B5B" w:rsidRPr="007E6B91" w14:paraId="76C64A81" w14:textId="77777777">
        <w:trPr>
          <w:trHeight w:val="315"/>
        </w:trPr>
        <w:tc>
          <w:tcPr>
            <w:tcW w:w="3880" w:type="dxa"/>
            <w:tcBorders>
              <w:top w:val="nil"/>
              <w:left w:val="nil"/>
              <w:bottom w:val="single" w:sz="4" w:space="0" w:color="ADD6EA"/>
              <w:right w:val="nil"/>
            </w:tcBorders>
            <w:shd w:val="clear" w:color="000000" w:fill="FFFFFF"/>
            <w:vAlign w:val="center"/>
            <w:hideMark/>
          </w:tcPr>
          <w:p w14:paraId="6611894E" w14:textId="77777777" w:rsidR="00546B5B" w:rsidRPr="007E6B91" w:rsidRDefault="00546B5B" w:rsidP="000D132D">
            <w:pPr>
              <w:tabs>
                <w:tab w:val="clear" w:pos="567"/>
              </w:tabs>
              <w:spacing w:before="0" w:line="240" w:lineRule="auto"/>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Community and public health</w:t>
            </w:r>
          </w:p>
        </w:tc>
        <w:tc>
          <w:tcPr>
            <w:tcW w:w="1240" w:type="dxa"/>
            <w:tcBorders>
              <w:top w:val="nil"/>
              <w:left w:val="nil"/>
              <w:bottom w:val="single" w:sz="4" w:space="0" w:color="ADD6EA"/>
              <w:right w:val="nil"/>
            </w:tcBorders>
            <w:shd w:val="clear" w:color="000000" w:fill="FFFFFF"/>
            <w:vAlign w:val="center"/>
            <w:hideMark/>
          </w:tcPr>
          <w:p w14:paraId="49CD516C"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62</w:t>
            </w:r>
          </w:p>
        </w:tc>
        <w:tc>
          <w:tcPr>
            <w:tcW w:w="1240" w:type="dxa"/>
            <w:tcBorders>
              <w:top w:val="nil"/>
              <w:left w:val="nil"/>
              <w:bottom w:val="single" w:sz="4" w:space="0" w:color="ADD6EA"/>
              <w:right w:val="nil"/>
            </w:tcBorders>
            <w:shd w:val="clear" w:color="000000" w:fill="FFFFFF"/>
            <w:vAlign w:val="center"/>
            <w:hideMark/>
          </w:tcPr>
          <w:p w14:paraId="64B97F23"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 </w:t>
            </w:r>
          </w:p>
        </w:tc>
        <w:tc>
          <w:tcPr>
            <w:tcW w:w="1240" w:type="dxa"/>
            <w:tcBorders>
              <w:top w:val="nil"/>
              <w:left w:val="nil"/>
              <w:bottom w:val="single" w:sz="4" w:space="0" w:color="ADD6EA"/>
              <w:right w:val="nil"/>
            </w:tcBorders>
            <w:shd w:val="clear" w:color="000000" w:fill="FFFFFF"/>
            <w:vAlign w:val="center"/>
            <w:hideMark/>
          </w:tcPr>
          <w:p w14:paraId="3B4F58ED"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62</w:t>
            </w:r>
          </w:p>
        </w:tc>
        <w:tc>
          <w:tcPr>
            <w:tcW w:w="1240" w:type="dxa"/>
            <w:tcBorders>
              <w:top w:val="nil"/>
              <w:left w:val="nil"/>
              <w:bottom w:val="single" w:sz="4" w:space="0" w:color="ADD6EA"/>
              <w:right w:val="nil"/>
            </w:tcBorders>
            <w:shd w:val="clear" w:color="000000" w:fill="FFFFFF"/>
            <w:vAlign w:val="center"/>
            <w:hideMark/>
          </w:tcPr>
          <w:p w14:paraId="6E13558F" w14:textId="77777777" w:rsidR="00546B5B" w:rsidRPr="007E6B91" w:rsidRDefault="00546B5B" w:rsidP="000D132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E6B91">
              <w:rPr>
                <w:rFonts w:ascii="Open Sans Light" w:eastAsia="Times New Roman" w:hAnsi="Open Sans Light" w:cs="Open Sans Light"/>
                <w:color w:val="000000"/>
                <w:sz w:val="16"/>
                <w:szCs w:val="16"/>
                <w:lang w:eastAsia="en-AU"/>
              </w:rPr>
              <w:t>60</w:t>
            </w:r>
          </w:p>
        </w:tc>
      </w:tr>
    </w:tbl>
    <w:p w14:paraId="37DE12F2" w14:textId="30B1A80D" w:rsidR="003B26C1" w:rsidRDefault="005E5096" w:rsidP="000D132D">
      <w:pPr>
        <w:pStyle w:val="CGC2025TableNote"/>
      </w:pPr>
      <w:r>
        <w:t xml:space="preserve">a </w:t>
      </w:r>
      <w:r w:rsidR="001C2E3B">
        <w:tab/>
      </w:r>
      <w:r w:rsidR="00660E61">
        <w:t xml:space="preserve">Method 1 </w:t>
      </w:r>
      <w:r w:rsidR="006064DD">
        <w:t>provides an estimate of substitutable services</w:t>
      </w:r>
      <w:r w:rsidR="00A64E89">
        <w:t xml:space="preserve"> based on </w:t>
      </w:r>
      <w:r w:rsidR="000E50ED">
        <w:t>private patient services in both private and public hospital</w:t>
      </w:r>
      <w:r w:rsidR="00B60283">
        <w:t xml:space="preserve">s. </w:t>
      </w:r>
      <w:r w:rsidR="00CB63CA">
        <w:t xml:space="preserve">Method 2 </w:t>
      </w:r>
      <w:r w:rsidR="00D70A94">
        <w:t xml:space="preserve">provides an estimate </w:t>
      </w:r>
      <w:r w:rsidR="00F367DC">
        <w:t xml:space="preserve">of substitutable services based on </w:t>
      </w:r>
      <w:r w:rsidR="00B251D2">
        <w:t>private patient services in public hospital</w:t>
      </w:r>
      <w:r w:rsidR="001C2E3B">
        <w:t>s</w:t>
      </w:r>
      <w:r w:rsidR="00B251D2">
        <w:t xml:space="preserve"> only.</w:t>
      </w:r>
    </w:p>
    <w:p w14:paraId="43EBEF0F" w14:textId="0352CC95" w:rsidR="00B251D2" w:rsidRDefault="00B251D2" w:rsidP="000D132D">
      <w:pPr>
        <w:pStyle w:val="CGC2025TableNote"/>
      </w:pPr>
      <w:r>
        <w:t xml:space="preserve">b </w:t>
      </w:r>
      <w:r w:rsidR="001C2E3B">
        <w:tab/>
      </w:r>
      <w:r w:rsidR="00F3753E">
        <w:t xml:space="preserve">Method 1 provides an estimate of </w:t>
      </w:r>
      <w:r w:rsidR="004A104E">
        <w:t>substitutable services based on comparable service</w:t>
      </w:r>
      <w:r w:rsidR="00935CE0">
        <w:t xml:space="preserve"> in the state and non</w:t>
      </w:r>
      <w:r w:rsidR="00935CE0">
        <w:noBreakHyphen/>
        <w:t>state sector. Method 2 provides an estimate of substitu</w:t>
      </w:r>
      <w:r w:rsidR="00133697">
        <w:t>table services based on the affordability of non</w:t>
      </w:r>
      <w:r w:rsidR="00133697">
        <w:noBreakHyphen/>
        <w:t>state services.</w:t>
      </w:r>
    </w:p>
    <w:p w14:paraId="1C06B839" w14:textId="1D7BF7CC" w:rsidR="00546B5B" w:rsidRDefault="00B4408B" w:rsidP="00546B5B">
      <w:pPr>
        <w:pStyle w:val="Heading4"/>
      </w:pPr>
      <w:r>
        <w:lastRenderedPageBreak/>
        <w:t>Commission</w:t>
      </w:r>
      <w:r w:rsidR="00546B5B">
        <w:t xml:space="preserve"> position</w:t>
      </w:r>
    </w:p>
    <w:p w14:paraId="48D61C8D" w14:textId="2E4D6A03" w:rsidR="00546B5B" w:rsidRDefault="00546B5B" w:rsidP="00D4491D">
      <w:pPr>
        <w:pStyle w:val="CGC2025ParaNumbers"/>
      </w:pPr>
      <w:r>
        <w:t xml:space="preserve">The Commission </w:t>
      </w:r>
      <w:r w:rsidR="00B4408B">
        <w:t>will</w:t>
      </w:r>
      <w:r>
        <w:t xml:space="preserve"> use the exact calculated </w:t>
      </w:r>
      <w:r w:rsidR="007C5E06">
        <w:t xml:space="preserve">‘midpoint’ </w:t>
      </w:r>
      <w:r>
        <w:t>estimates for the non</w:t>
      </w:r>
      <w:r w:rsidR="00A23775">
        <w:noBreakHyphen/>
      </w:r>
      <w:r>
        <w:t>state sector adjustment substitutability levels.</w:t>
      </w:r>
    </w:p>
    <w:p w14:paraId="59122FC1" w14:textId="77777777" w:rsidR="00546B5B" w:rsidRPr="00E21413" w:rsidRDefault="00546B5B" w:rsidP="008647EC">
      <w:pPr>
        <w:pStyle w:val="Heading3"/>
      </w:pPr>
      <w:bookmarkStart w:id="22" w:name="_Toc176348502"/>
      <w:r>
        <w:t>Non</w:t>
      </w:r>
      <w:r>
        <w:noBreakHyphen/>
        <w:t>hospital patient transport</w:t>
      </w:r>
      <w:bookmarkEnd w:id="22"/>
    </w:p>
    <w:p w14:paraId="29BED37C" w14:textId="2E13E1DC" w:rsidR="00546B5B" w:rsidRDefault="00546B5B" w:rsidP="00E6420A">
      <w:pPr>
        <w:pStyle w:val="CGC2025ParaNumbers"/>
      </w:pPr>
      <w:r>
        <w:t>In the Draft Report</w:t>
      </w:r>
      <w:r w:rsidR="0099445B">
        <w:t>,</w:t>
      </w:r>
      <w:r>
        <w:t xml:space="preserve"> the Commission said that</w:t>
      </w:r>
      <w:r w:rsidDel="00014674">
        <w:t xml:space="preserve"> </w:t>
      </w:r>
      <w:r w:rsidR="00014674">
        <w:t xml:space="preserve">there </w:t>
      </w:r>
      <w:r w:rsidR="00014674" w:rsidDel="0015312A">
        <w:t>i</w:t>
      </w:r>
      <w:r w:rsidR="00014674">
        <w:t xml:space="preserve">s </w:t>
      </w:r>
      <w:r>
        <w:t xml:space="preserve">uncertainty about the extent </w:t>
      </w:r>
      <w:r w:rsidR="00F50469">
        <w:t xml:space="preserve">to which </w:t>
      </w:r>
      <w:r>
        <w:t xml:space="preserve">activity associated with patient transport </w:t>
      </w:r>
      <w:r w:rsidR="00014674">
        <w:t xml:space="preserve">is </w:t>
      </w:r>
      <w:r>
        <w:t xml:space="preserve">included in the </w:t>
      </w:r>
      <w:r w:rsidR="00CD553C">
        <w:t xml:space="preserve">NWAU </w:t>
      </w:r>
      <w:r w:rsidR="00F83385">
        <w:t xml:space="preserve">data produced by </w:t>
      </w:r>
      <w:r w:rsidR="00D17949">
        <w:t>the Independent Health and Aged Care Pricing Authority</w:t>
      </w:r>
      <w:r w:rsidR="001C01E6">
        <w:t xml:space="preserve"> (</w:t>
      </w:r>
      <w:r w:rsidR="007161CF">
        <w:t>IHACPA)</w:t>
      </w:r>
      <w:r w:rsidR="008C69D6">
        <w:t xml:space="preserve">. It </w:t>
      </w:r>
      <w:r w:rsidR="00BF0847">
        <w:t>said</w:t>
      </w:r>
      <w:r w:rsidR="00422C29">
        <w:t xml:space="preserve"> that</w:t>
      </w:r>
      <w:r w:rsidR="00712523">
        <w:t>,</w:t>
      </w:r>
      <w:r w:rsidR="00BF0847">
        <w:t xml:space="preserve"> given this </w:t>
      </w:r>
      <w:r w:rsidR="00712523">
        <w:t>uncertainty</w:t>
      </w:r>
      <w:r w:rsidDel="008C69D6">
        <w:t>,</w:t>
      </w:r>
      <w:r>
        <w:t xml:space="preserve"> the costs associated with </w:t>
      </w:r>
      <w:bookmarkStart w:id="23" w:name="_Hlk176245769"/>
      <w:r>
        <w:t>aeromedical services and the Patient Assistance Transport Scheme</w:t>
      </w:r>
      <w:bookmarkEnd w:id="23"/>
      <w:r>
        <w:t xml:space="preserve"> </w:t>
      </w:r>
      <w:r w:rsidR="00E7697D">
        <w:t xml:space="preserve">would </w:t>
      </w:r>
      <w:r>
        <w:t xml:space="preserve">be kept separate </w:t>
      </w:r>
      <w:r w:rsidR="00D37FDB">
        <w:t>for</w:t>
      </w:r>
      <w:r w:rsidR="002C416A">
        <w:t xml:space="preserve"> the 2025</w:t>
      </w:r>
      <w:r w:rsidR="00037857">
        <w:t> </w:t>
      </w:r>
      <w:r w:rsidR="002C416A">
        <w:t xml:space="preserve">Review </w:t>
      </w:r>
      <w:r w:rsidDel="002C416A">
        <w:t xml:space="preserve">and assessed </w:t>
      </w:r>
      <w:r>
        <w:t xml:space="preserve">using the 2020 Review </w:t>
      </w:r>
      <w:r w:rsidR="002C416A">
        <w:t>approach</w:t>
      </w:r>
      <w:r>
        <w:t xml:space="preserve">. </w:t>
      </w:r>
    </w:p>
    <w:p w14:paraId="18C403C2" w14:textId="65D1A9EB" w:rsidR="00546B5B" w:rsidRDefault="00546B5B" w:rsidP="008647EC">
      <w:pPr>
        <w:pStyle w:val="CGC2025ParaNumbers"/>
      </w:pPr>
      <w:r>
        <w:t xml:space="preserve">The Commission </w:t>
      </w:r>
      <w:r w:rsidR="002C416A">
        <w:t xml:space="preserve">also </w:t>
      </w:r>
      <w:r>
        <w:t xml:space="preserve">said it </w:t>
      </w:r>
      <w:r w:rsidR="006555BC">
        <w:t xml:space="preserve">would </w:t>
      </w:r>
      <w:r>
        <w:t xml:space="preserve">continue to engage with </w:t>
      </w:r>
      <w:r w:rsidR="00FB71F2">
        <w:t>IHAC</w:t>
      </w:r>
      <w:r w:rsidR="006B4C98">
        <w:t xml:space="preserve">PA </w:t>
      </w:r>
      <w:r>
        <w:t xml:space="preserve">between reviews to determine whether an alternative approach is appropriate in </w:t>
      </w:r>
      <w:r w:rsidR="002C416A">
        <w:t xml:space="preserve">a </w:t>
      </w:r>
      <w:r>
        <w:t>future</w:t>
      </w:r>
      <w:r w:rsidR="002C416A">
        <w:t xml:space="preserve"> review</w:t>
      </w:r>
      <w:r>
        <w:t>.</w:t>
      </w:r>
    </w:p>
    <w:p w14:paraId="32D0D66F" w14:textId="77777777" w:rsidR="00546B5B" w:rsidRDefault="00546B5B" w:rsidP="008647EC">
      <w:pPr>
        <w:pStyle w:val="Heading4"/>
        <w:keepLines/>
      </w:pPr>
      <w:r>
        <w:t>State views</w:t>
      </w:r>
    </w:p>
    <w:p w14:paraId="10BF3991" w14:textId="3D722CCF" w:rsidR="00546B5B" w:rsidRDefault="00546B5B" w:rsidP="008647EC">
      <w:pPr>
        <w:pStyle w:val="CGC2025ParaNumbers"/>
        <w:keepNext/>
        <w:keepLines/>
      </w:pPr>
      <w:r>
        <w:t>Victoria said the 2025 Review should allow for method changes to remove the non</w:t>
      </w:r>
      <w:r>
        <w:noBreakHyphen/>
        <w:t xml:space="preserve">hospital patient transport category if it is clear ahead of the next review that the </w:t>
      </w:r>
      <w:r w:rsidR="00DF1489">
        <w:t>NWAU</w:t>
      </w:r>
      <w:r w:rsidR="00166893">
        <w:t xml:space="preserve"> </w:t>
      </w:r>
      <w:r>
        <w:t xml:space="preserve">data incorporate the costs associated with </w:t>
      </w:r>
      <w:r w:rsidRPr="000065EB">
        <w:t>aeromedical services and the Patient Assistance Transport Scheme</w:t>
      </w:r>
      <w:r>
        <w:t>.</w:t>
      </w:r>
    </w:p>
    <w:p w14:paraId="13102FF8" w14:textId="77777777" w:rsidR="00546B5B" w:rsidRDefault="00546B5B" w:rsidP="00546B5B">
      <w:pPr>
        <w:pStyle w:val="Heading4"/>
      </w:pPr>
      <w:r>
        <w:t>Commission response</w:t>
      </w:r>
    </w:p>
    <w:p w14:paraId="6F0CEAB9" w14:textId="0580ADAF" w:rsidR="00546B5B" w:rsidRDefault="00FB5CA2" w:rsidP="00546B5B">
      <w:pPr>
        <w:pStyle w:val="CGC2025ParaNumbers"/>
      </w:pPr>
      <w:r>
        <w:t xml:space="preserve">Since </w:t>
      </w:r>
      <w:r w:rsidR="64EC6759" w:rsidRPr="00845F49">
        <w:t>2023</w:t>
      </w:r>
      <w:r w:rsidR="006866F4">
        <w:t>,</w:t>
      </w:r>
      <w:r>
        <w:t xml:space="preserve"> </w:t>
      </w:r>
      <w:r w:rsidR="00CE14CB">
        <w:t>t</w:t>
      </w:r>
      <w:r w:rsidR="00546B5B">
        <w:t xml:space="preserve">he classification system for the National Hospital Cost Data Collection (which supports the calculation of </w:t>
      </w:r>
      <w:r w:rsidR="00AD7C21">
        <w:t>NWAU</w:t>
      </w:r>
      <w:r w:rsidR="00546B5B">
        <w:t xml:space="preserve">) </w:t>
      </w:r>
      <w:r w:rsidR="00CE14CB">
        <w:t>has</w:t>
      </w:r>
      <w:r w:rsidR="00546B5B" w:rsidDel="00CE14CB">
        <w:t xml:space="preserve"> </w:t>
      </w:r>
      <w:r w:rsidR="00CE14CB">
        <w:t xml:space="preserve">specified </w:t>
      </w:r>
      <w:r w:rsidR="00546B5B">
        <w:t>that patient transport costs for aeromedical services and the Patient Assistance Transport Scheme are in scope</w:t>
      </w:r>
      <w:r w:rsidR="002C416A">
        <w:t xml:space="preserve">. </w:t>
      </w:r>
      <w:r w:rsidR="50D3962B" w:rsidRPr="00845F49">
        <w:t>S</w:t>
      </w:r>
      <w:r w:rsidR="002C416A" w:rsidRPr="00845F49">
        <w:t>tates</w:t>
      </w:r>
      <w:r w:rsidR="002C416A">
        <w:t xml:space="preserve"> are required to</w:t>
      </w:r>
      <w:r w:rsidR="00546B5B">
        <w:t xml:space="preserve"> submit </w:t>
      </w:r>
      <w:r w:rsidR="002C416A">
        <w:t xml:space="preserve">the data on this basis </w:t>
      </w:r>
      <w:r w:rsidR="00546B5B">
        <w:t xml:space="preserve">to the </w:t>
      </w:r>
      <w:r w:rsidR="006B4C98">
        <w:t>IHACPA</w:t>
      </w:r>
      <w:r w:rsidR="00546B5B">
        <w:t xml:space="preserve">. </w:t>
      </w:r>
    </w:p>
    <w:p w14:paraId="5D95ACCC" w14:textId="1F1E271D" w:rsidR="00546B5B" w:rsidRPr="00C90B08" w:rsidRDefault="0039551F" w:rsidP="00546B5B">
      <w:pPr>
        <w:pStyle w:val="CGC2025ParaNumbers"/>
      </w:pPr>
      <w:r>
        <w:t>There is</w:t>
      </w:r>
      <w:r w:rsidR="004F6E2B">
        <w:t xml:space="preserve"> currently</w:t>
      </w:r>
      <w:r>
        <w:t xml:space="preserve"> no </w:t>
      </w:r>
      <w:r w:rsidR="00C47262">
        <w:t>indication of</w:t>
      </w:r>
      <w:r w:rsidR="00546B5B">
        <w:t xml:space="preserve"> how long it will take </w:t>
      </w:r>
      <w:r w:rsidR="00A87CD2">
        <w:t xml:space="preserve">for </w:t>
      </w:r>
      <w:r w:rsidR="00546B5B">
        <w:t>states to comply</w:t>
      </w:r>
      <w:r w:rsidR="00546B5B" w:rsidDel="001839C4">
        <w:t xml:space="preserve"> </w:t>
      </w:r>
      <w:r w:rsidR="00546B5B">
        <w:t xml:space="preserve">with this data requirement. However, the Commission agrees that if the </w:t>
      </w:r>
      <w:r w:rsidR="00461BAB">
        <w:t xml:space="preserve">NWAU </w:t>
      </w:r>
      <w:r w:rsidR="00546B5B">
        <w:t xml:space="preserve">data incorporate the costs associated with </w:t>
      </w:r>
      <w:r w:rsidR="00546B5B" w:rsidRPr="000065EB">
        <w:t>aeromedical services and the Patient Assistance Transport Scheme</w:t>
      </w:r>
      <w:r w:rsidR="00546B5B">
        <w:t>, then a separate assessment of state expenses on these programs is not required.</w:t>
      </w:r>
    </w:p>
    <w:p w14:paraId="5212F609" w14:textId="0E7ABE41" w:rsidR="00546B5B" w:rsidRDefault="007334CF" w:rsidP="00546B5B">
      <w:pPr>
        <w:pStyle w:val="Heading4"/>
      </w:pPr>
      <w:r>
        <w:t>Commission</w:t>
      </w:r>
      <w:r w:rsidR="00546B5B">
        <w:t xml:space="preserve"> position</w:t>
      </w:r>
    </w:p>
    <w:p w14:paraId="54658460" w14:textId="77777777" w:rsidR="00A263C5" w:rsidRDefault="009511E6" w:rsidP="00E75DE6">
      <w:pPr>
        <w:pStyle w:val="CGC2025ParaNumbers"/>
      </w:pPr>
      <w:r>
        <w:t>T</w:t>
      </w:r>
      <w:r w:rsidR="00546B5B">
        <w:t xml:space="preserve">he </w:t>
      </w:r>
      <w:r w:rsidR="00427D61">
        <w:t>Commission</w:t>
      </w:r>
      <w:r w:rsidR="00546B5B">
        <w:t xml:space="preserve"> will </w:t>
      </w:r>
      <w:r w:rsidR="009A09F2">
        <w:t>in</w:t>
      </w:r>
      <w:r w:rsidR="00904248">
        <w:t xml:space="preserve">corporate </w:t>
      </w:r>
      <w:r w:rsidR="00546B5B">
        <w:t xml:space="preserve">expenses associated with </w:t>
      </w:r>
      <w:r w:rsidR="00546B5B" w:rsidRPr="000065EB">
        <w:t>aeromedical services and the Patient Assistance Transport Scheme</w:t>
      </w:r>
      <w:r w:rsidR="00546B5B">
        <w:t xml:space="preserve"> </w:t>
      </w:r>
      <w:r w:rsidR="00BA5DB1">
        <w:t xml:space="preserve">in </w:t>
      </w:r>
      <w:r w:rsidR="00546B5B">
        <w:t xml:space="preserve">the admitted patient </w:t>
      </w:r>
      <w:r w:rsidR="00BA5DB1">
        <w:t xml:space="preserve">assessment before the next review if the following conditions are met. </w:t>
      </w:r>
    </w:p>
    <w:p w14:paraId="2794380F" w14:textId="7CBCDABE" w:rsidR="00A263C5" w:rsidRDefault="0007733D" w:rsidP="00A263C5">
      <w:pPr>
        <w:pStyle w:val="CGC2025Bullet1"/>
      </w:pPr>
      <w:r>
        <w:t>First,</w:t>
      </w:r>
      <w:r w:rsidR="00546B5B">
        <w:t xml:space="preserve"> </w:t>
      </w:r>
      <w:r w:rsidR="00E80186">
        <w:t xml:space="preserve">verification that </w:t>
      </w:r>
      <w:r w:rsidR="00E2691E">
        <w:t xml:space="preserve">all </w:t>
      </w:r>
      <w:r w:rsidR="00546B5B">
        <w:t xml:space="preserve">states </w:t>
      </w:r>
      <w:r w:rsidR="00CE1E26">
        <w:t xml:space="preserve">are </w:t>
      </w:r>
      <w:r w:rsidR="00546B5B">
        <w:t xml:space="preserve">providing the data that </w:t>
      </w:r>
      <w:r w:rsidR="006B4C98">
        <w:t>IHACPA</w:t>
      </w:r>
      <w:r w:rsidR="00546B5B">
        <w:t xml:space="preserve"> needs to incorporate the </w:t>
      </w:r>
      <w:r w:rsidR="00546B5B" w:rsidRPr="000065EB">
        <w:t>aeromedical services and the Patient Assistance Transport Scheme</w:t>
      </w:r>
      <w:r w:rsidR="00546B5B">
        <w:t xml:space="preserve"> activity into the </w:t>
      </w:r>
      <w:r w:rsidR="003F1DC5">
        <w:t>NWAU</w:t>
      </w:r>
      <w:r w:rsidR="00546B5B">
        <w:t>.</w:t>
      </w:r>
      <w:r w:rsidR="003F4D78">
        <w:t xml:space="preserve"> </w:t>
      </w:r>
    </w:p>
    <w:p w14:paraId="5305F0B3" w14:textId="0A91FE78" w:rsidR="00546B5B" w:rsidRDefault="0007733D" w:rsidP="00A263C5">
      <w:pPr>
        <w:pStyle w:val="CGC2025Bullet1"/>
      </w:pPr>
      <w:r>
        <w:t>Second,</w:t>
      </w:r>
      <w:r w:rsidR="003F4D78">
        <w:t xml:space="preserve"> the </w:t>
      </w:r>
      <w:r w:rsidR="00931B0F">
        <w:t xml:space="preserve">data </w:t>
      </w:r>
      <w:r w:rsidR="007A2BAF">
        <w:t xml:space="preserve">being available for all 3 years of the assessment period when any such method </w:t>
      </w:r>
      <w:r w:rsidR="00CF1711">
        <w:t>change is implemented</w:t>
      </w:r>
      <w:r w:rsidR="002E500B">
        <w:t xml:space="preserve"> in a future update</w:t>
      </w:r>
      <w:r w:rsidR="00CF1711">
        <w:t xml:space="preserve">. </w:t>
      </w:r>
    </w:p>
    <w:p w14:paraId="0919A3FA" w14:textId="6CAE6097" w:rsidR="007E1D93" w:rsidRDefault="007736B8" w:rsidP="003F1DC5">
      <w:pPr>
        <w:pStyle w:val="Heading3"/>
        <w:keepNext/>
        <w:keepLines/>
      </w:pPr>
      <w:r>
        <w:lastRenderedPageBreak/>
        <w:t>Proxy indicator of community and public health</w:t>
      </w:r>
    </w:p>
    <w:p w14:paraId="71AC82C2" w14:textId="5C22B356" w:rsidR="007736B8" w:rsidRDefault="009A285E" w:rsidP="004071A6">
      <w:pPr>
        <w:pStyle w:val="CGC2025ParaNumbers"/>
      </w:pPr>
      <w:r>
        <w:t xml:space="preserve">In the Draft Report, </w:t>
      </w:r>
      <w:r w:rsidR="00D37ADB">
        <w:t>the Commission propose</w:t>
      </w:r>
      <w:r w:rsidR="004071A6">
        <w:t>d</w:t>
      </w:r>
      <w:r w:rsidR="00D37ADB">
        <w:t xml:space="preserve"> to broaden the proxy indicator of community and public health activity to include a combination of emergency department triage category 4 and 5 plus a subset of non-admitted patient allied health services similar to community health services</w:t>
      </w:r>
      <w:r w:rsidR="004071A6">
        <w:t xml:space="preserve">. </w:t>
      </w:r>
      <w:r w:rsidR="00347493">
        <w:t xml:space="preserve">The list of allied health services included </w:t>
      </w:r>
      <w:r w:rsidR="003B175D">
        <w:t>COVID</w:t>
      </w:r>
      <w:r w:rsidR="003B175D">
        <w:noBreakHyphen/>
        <w:t xml:space="preserve">19 </w:t>
      </w:r>
      <w:r w:rsidR="00923433">
        <w:t xml:space="preserve">clinics. </w:t>
      </w:r>
    </w:p>
    <w:p w14:paraId="71F2D7B9" w14:textId="6F8D22C1" w:rsidR="00581B93" w:rsidRDefault="00186C95" w:rsidP="00581B93">
      <w:pPr>
        <w:pStyle w:val="Heading4"/>
      </w:pPr>
      <w:r>
        <w:t>S</w:t>
      </w:r>
      <w:r w:rsidR="00581B93">
        <w:t>tate views</w:t>
      </w:r>
    </w:p>
    <w:p w14:paraId="38AD2486" w14:textId="795D8F8B" w:rsidR="00581B93" w:rsidRDefault="00351988" w:rsidP="006760F7">
      <w:pPr>
        <w:pStyle w:val="CGC2025ParaNumbers"/>
      </w:pPr>
      <w:r>
        <w:t>Tasmania said th</w:t>
      </w:r>
      <w:r w:rsidR="00434864">
        <w:t>at activity of COVID</w:t>
      </w:r>
      <w:r w:rsidR="00434864">
        <w:noBreakHyphen/>
        <w:t xml:space="preserve">19 clinics should not be </w:t>
      </w:r>
      <w:r w:rsidR="00B2480D">
        <w:t xml:space="preserve">included in the proxy indicator </w:t>
      </w:r>
      <w:r w:rsidR="009F20E0">
        <w:t xml:space="preserve">for community and public health </w:t>
      </w:r>
      <w:r w:rsidR="00B2480D">
        <w:t>because th</w:t>
      </w:r>
      <w:r w:rsidR="009F20E0">
        <w:t>e</w:t>
      </w:r>
      <w:r w:rsidR="00B2480D">
        <w:t xml:space="preserve"> Commission ha</w:t>
      </w:r>
      <w:r w:rsidR="00472686">
        <w:t>s</w:t>
      </w:r>
      <w:r w:rsidR="00B2480D">
        <w:t xml:space="preserve"> proposed a separate assessment of COVID</w:t>
      </w:r>
      <w:r w:rsidR="00B2480D">
        <w:noBreakHyphen/>
        <w:t xml:space="preserve">19 </w:t>
      </w:r>
      <w:r w:rsidR="009F20E0">
        <w:t>expenses.</w:t>
      </w:r>
    </w:p>
    <w:p w14:paraId="54099927" w14:textId="26C0C3AF" w:rsidR="00764235" w:rsidRDefault="00C17EEF" w:rsidP="00C17EEF">
      <w:pPr>
        <w:pStyle w:val="Heading4"/>
      </w:pPr>
      <w:r>
        <w:t>Commission response</w:t>
      </w:r>
    </w:p>
    <w:p w14:paraId="0746CA4D" w14:textId="6786704F" w:rsidR="00376EDD" w:rsidRDefault="003C3D32" w:rsidP="00376EDD">
      <w:pPr>
        <w:pStyle w:val="CGC2025ParaNumbers"/>
      </w:pPr>
      <w:r>
        <w:t>The Commission agrees that</w:t>
      </w:r>
      <w:r w:rsidR="002378F1">
        <w:t>,</w:t>
      </w:r>
      <w:r>
        <w:t xml:space="preserve"> </w:t>
      </w:r>
      <w:r w:rsidR="00887210">
        <w:t>given COVID</w:t>
      </w:r>
      <w:r w:rsidR="002378F1">
        <w:noBreakHyphen/>
        <w:t>19 related expenses will be removed from the community and public health component</w:t>
      </w:r>
      <w:r w:rsidR="00A75A9A">
        <w:t>, the proxy indicator of activity would be improved by removing the COVID-19 non</w:t>
      </w:r>
      <w:r w:rsidR="00D86E5B">
        <w:noBreakHyphen/>
      </w:r>
      <w:r w:rsidR="00A75A9A">
        <w:t xml:space="preserve">admitted patient </w:t>
      </w:r>
      <w:r w:rsidR="00D86E5B">
        <w:t>services.</w:t>
      </w:r>
      <w:r w:rsidR="006E29BC">
        <w:rPr>
          <w:rStyle w:val="FootnoteReference"/>
        </w:rPr>
        <w:footnoteReference w:id="5"/>
      </w:r>
    </w:p>
    <w:p w14:paraId="696E0032" w14:textId="21E50FF3" w:rsidR="00A6708C" w:rsidRDefault="00A6708C" w:rsidP="00A6708C">
      <w:pPr>
        <w:pStyle w:val="Heading4"/>
      </w:pPr>
      <w:r>
        <w:t>Commission position</w:t>
      </w:r>
    </w:p>
    <w:p w14:paraId="63D1840D" w14:textId="6E8B84AB" w:rsidR="00A6708C" w:rsidRPr="00376EDD" w:rsidRDefault="005B6C91" w:rsidP="00376EDD">
      <w:pPr>
        <w:pStyle w:val="CGC2025ParaNumbers"/>
      </w:pPr>
      <w:r>
        <w:t>The Commission will exclude COVID</w:t>
      </w:r>
      <w:r>
        <w:noBreakHyphen/>
        <w:t>19 clinics from the list of non</w:t>
      </w:r>
      <w:r>
        <w:noBreakHyphen/>
        <w:t>admitted patient allied health services in the</w:t>
      </w:r>
      <w:r w:rsidR="00845396">
        <w:t xml:space="preserve"> proxy indicator </w:t>
      </w:r>
      <w:r w:rsidR="00B459AA">
        <w:t xml:space="preserve">for </w:t>
      </w:r>
      <w:r w:rsidR="00845396">
        <w:t xml:space="preserve">community and public health. Once the </w:t>
      </w:r>
      <w:r w:rsidR="00A800F4">
        <w:t>separate assessment of COVID</w:t>
      </w:r>
      <w:r w:rsidR="00A800F4">
        <w:noBreakHyphen/>
        <w:t>19 expenses ceases (2027 Update) the COVID</w:t>
      </w:r>
      <w:r w:rsidR="00A800F4">
        <w:noBreakHyphen/>
        <w:t xml:space="preserve">19 clinics will be </w:t>
      </w:r>
      <w:r w:rsidR="00252951">
        <w:t>included in the proxy indicator.</w:t>
      </w:r>
    </w:p>
    <w:p w14:paraId="4FC4F009" w14:textId="77777777" w:rsidR="006E5017" w:rsidRPr="00B454DA" w:rsidRDefault="006E5017" w:rsidP="006E5017">
      <w:pPr>
        <w:pStyle w:val="Heading3"/>
        <w:keepNext/>
        <w:keepLines/>
      </w:pPr>
      <w:bookmarkStart w:id="24" w:name="_Toc176348503"/>
      <w:r w:rsidRPr="00B454DA">
        <w:t>Discounting</w:t>
      </w:r>
    </w:p>
    <w:p w14:paraId="11F575BA" w14:textId="7CF9C381" w:rsidR="006E5017" w:rsidRPr="00B454DA" w:rsidRDefault="006E5017" w:rsidP="006E5017">
      <w:pPr>
        <w:pStyle w:val="CGC2025ParaNumbers"/>
      </w:pPr>
      <w:r w:rsidRPr="00B454DA">
        <w:t>As part of the 2025 Review, the Commission reviewed its use of discounting across assessments. This review was undertaken following the Draft Report.</w:t>
      </w:r>
      <w:r w:rsidR="008809F6" w:rsidRPr="00B454DA">
        <w:t xml:space="preserve"> </w:t>
      </w:r>
    </w:p>
    <w:p w14:paraId="488580F9" w14:textId="49B0C08E" w:rsidR="00686A3D" w:rsidRPr="00B454DA" w:rsidRDefault="007707BB" w:rsidP="00686A3D">
      <w:pPr>
        <w:pStyle w:val="CGC2025ParaNumbers"/>
      </w:pPr>
      <w:r w:rsidRPr="00B454DA">
        <w:t xml:space="preserve">For the health assessment, the Commission </w:t>
      </w:r>
      <w:r w:rsidR="000E2608" w:rsidRPr="00B454DA">
        <w:t>will apply a low discount (12.5%) to the n</w:t>
      </w:r>
      <w:r w:rsidRPr="00B454DA">
        <w:t xml:space="preserve">on-state sector adjustments for admitted patients, emergency departments, </w:t>
      </w:r>
      <w:r w:rsidR="00E4029F" w:rsidRPr="00B454DA">
        <w:t>non</w:t>
      </w:r>
      <w:r w:rsidR="0041280C" w:rsidRPr="00B454DA">
        <w:noBreakHyphen/>
      </w:r>
      <w:r w:rsidR="00E4029F" w:rsidRPr="00B454DA">
        <w:t>admitted</w:t>
      </w:r>
      <w:r w:rsidRPr="00B454DA">
        <w:t xml:space="preserve"> patients and community and public health</w:t>
      </w:r>
      <w:r w:rsidR="00187B28" w:rsidRPr="00B454DA">
        <w:t xml:space="preserve">. </w:t>
      </w:r>
      <w:r w:rsidR="00686A3D" w:rsidRPr="00B454DA">
        <w:t xml:space="preserve">The discounts </w:t>
      </w:r>
      <w:r w:rsidR="00EE346A" w:rsidRPr="00B454DA">
        <w:t>refl</w:t>
      </w:r>
      <w:r w:rsidR="000E343E" w:rsidRPr="00B454DA">
        <w:t>ect</w:t>
      </w:r>
      <w:r w:rsidR="00891ED9" w:rsidRPr="00B454DA">
        <w:t xml:space="preserve"> u</w:t>
      </w:r>
      <w:r w:rsidR="00686A3D" w:rsidRPr="00B454DA">
        <w:t>ncertainty about the reliability of data and the robustness of the methods for determining the adjustments.</w:t>
      </w:r>
    </w:p>
    <w:p w14:paraId="471C1951" w14:textId="11C07D3A" w:rsidR="007707BB" w:rsidRPr="00B454DA" w:rsidRDefault="00187B28" w:rsidP="00DC7B10">
      <w:pPr>
        <w:pStyle w:val="CGC2025ParaNumbers"/>
      </w:pPr>
      <w:r w:rsidRPr="00B454DA">
        <w:t xml:space="preserve">The </w:t>
      </w:r>
      <w:r w:rsidR="00683A58" w:rsidRPr="00B454DA">
        <w:t>Commission will retain</w:t>
      </w:r>
      <w:r w:rsidRPr="00B454DA">
        <w:t xml:space="preserve"> </w:t>
      </w:r>
      <w:r w:rsidR="006A02C8" w:rsidRPr="00B454DA">
        <w:t xml:space="preserve">the </w:t>
      </w:r>
      <w:r w:rsidR="00835A7B" w:rsidRPr="00B454DA">
        <w:t xml:space="preserve">2020 Review method </w:t>
      </w:r>
      <w:r w:rsidR="003D03BF" w:rsidRPr="00B454DA">
        <w:t xml:space="preserve">of applying a </w:t>
      </w:r>
      <w:r w:rsidR="00EA1718" w:rsidRPr="00B454DA">
        <w:t>low discount</w:t>
      </w:r>
      <w:r w:rsidR="007D2F17" w:rsidRPr="00B454DA">
        <w:t xml:space="preserve"> to</w:t>
      </w:r>
      <w:r w:rsidR="00891ED9" w:rsidRPr="00B454DA">
        <w:t xml:space="preserve"> </w:t>
      </w:r>
      <w:r w:rsidR="00F864F8" w:rsidRPr="00B454DA">
        <w:t xml:space="preserve">the community and public health </w:t>
      </w:r>
      <w:r w:rsidR="00E61C47" w:rsidRPr="00B454DA">
        <w:t>socio</w:t>
      </w:r>
      <w:r w:rsidR="00E61C47" w:rsidRPr="00B454DA">
        <w:noBreakHyphen/>
        <w:t xml:space="preserve">demographic </w:t>
      </w:r>
      <w:r w:rsidR="00FB79A5" w:rsidRPr="00B454DA">
        <w:t xml:space="preserve">composition </w:t>
      </w:r>
      <w:r w:rsidR="00F864F8" w:rsidRPr="00B454DA">
        <w:t>assessment</w:t>
      </w:r>
      <w:r w:rsidR="00897529" w:rsidRPr="00B454DA">
        <w:t xml:space="preserve">. </w:t>
      </w:r>
      <w:r w:rsidR="00DC7B10" w:rsidRPr="00B454DA">
        <w:t>Reliance on a proxy measure of activity for a significant share of community and public health expenses justifies a continuation of a discount.</w:t>
      </w:r>
      <w:r w:rsidR="005C63A1" w:rsidRPr="00B454DA">
        <w:t xml:space="preserve"> </w:t>
      </w:r>
      <w:r w:rsidR="0012782C" w:rsidRPr="00B454DA">
        <w:t>The discount</w:t>
      </w:r>
      <w:r w:rsidR="005C63A1" w:rsidRPr="00B454DA">
        <w:t xml:space="preserve"> </w:t>
      </w:r>
      <w:r w:rsidR="007D2F17" w:rsidRPr="00B454DA">
        <w:t xml:space="preserve">will </w:t>
      </w:r>
      <w:r w:rsidR="00363518" w:rsidRPr="00B454DA">
        <w:t xml:space="preserve">not </w:t>
      </w:r>
      <w:r w:rsidR="00AE5C53" w:rsidRPr="00B454DA">
        <w:t xml:space="preserve">apply to the </w:t>
      </w:r>
      <w:r w:rsidR="000D52D7" w:rsidRPr="00B454DA">
        <w:t xml:space="preserve">assessment of </w:t>
      </w:r>
      <w:r w:rsidR="00067ACE" w:rsidRPr="00B454DA">
        <w:t>ambulatory community mental health</w:t>
      </w:r>
      <w:r w:rsidR="00011B7A" w:rsidRPr="00B454DA">
        <w:t xml:space="preserve"> expenses</w:t>
      </w:r>
      <w:r w:rsidR="00B12556" w:rsidRPr="00B454DA">
        <w:t xml:space="preserve"> w</w:t>
      </w:r>
      <w:r w:rsidR="00CF10DE" w:rsidRPr="00B454DA">
        <w:t>here</w:t>
      </w:r>
      <w:r w:rsidR="00B12556" w:rsidRPr="00B454DA">
        <w:t xml:space="preserve"> a direct measure of activity is used</w:t>
      </w:r>
      <w:r w:rsidR="00011B7A" w:rsidRPr="00B454DA">
        <w:t>.</w:t>
      </w:r>
    </w:p>
    <w:p w14:paraId="7F0808BD" w14:textId="4217466C" w:rsidR="00546B5B" w:rsidRDefault="00A2713F" w:rsidP="008E1875">
      <w:pPr>
        <w:pStyle w:val="Heading3"/>
        <w:keepNext/>
        <w:keepLines/>
      </w:pPr>
      <w:r>
        <w:lastRenderedPageBreak/>
        <w:t>Indicative i</w:t>
      </w:r>
      <w:r w:rsidR="00292FAC">
        <w:t xml:space="preserve">mpact on GST distribution of changes </w:t>
      </w:r>
      <w:r w:rsidR="00EB67F3">
        <w:t xml:space="preserve">since the Draft Report </w:t>
      </w:r>
      <w:r w:rsidR="00292FAC">
        <w:t>in the health assessment</w:t>
      </w:r>
      <w:bookmarkEnd w:id="24"/>
    </w:p>
    <w:p w14:paraId="57DD4909" w14:textId="796D8C3A" w:rsidR="001941EF" w:rsidRPr="00304827" w:rsidRDefault="001941EF" w:rsidP="00C333F8">
      <w:pPr>
        <w:pStyle w:val="CGC2025ParaNumbers"/>
      </w:pPr>
      <w:r w:rsidRPr="00304827">
        <w:t xml:space="preserve">Table </w:t>
      </w:r>
      <w:r w:rsidR="00BD08CE" w:rsidRPr="00304827">
        <w:t>3</w:t>
      </w:r>
      <w:r w:rsidRPr="00304827">
        <w:t xml:space="preserve"> shows the change from the 2020 Review method to the </w:t>
      </w:r>
      <w:r w:rsidR="00DA1AD7" w:rsidRPr="00304827">
        <w:t xml:space="preserve">proposed </w:t>
      </w:r>
      <w:r w:rsidRPr="00304827">
        <w:t>2025</w:t>
      </w:r>
      <w:r w:rsidR="00A5450E" w:rsidRPr="00304827">
        <w:t> </w:t>
      </w:r>
      <w:r w:rsidRPr="00304827">
        <w:t>Review method</w:t>
      </w:r>
      <w:r w:rsidR="00C84953" w:rsidRPr="00304827">
        <w:t xml:space="preserve"> </w:t>
      </w:r>
      <w:r w:rsidR="004848A8" w:rsidRPr="00304827">
        <w:t xml:space="preserve">for </w:t>
      </w:r>
      <w:r w:rsidR="007E6C31" w:rsidRPr="00304827">
        <w:t xml:space="preserve">those elements of the health assessment </w:t>
      </w:r>
      <w:r w:rsidR="00DD3513" w:rsidRPr="00304827">
        <w:t>where change</w:t>
      </w:r>
      <w:r w:rsidR="00044698" w:rsidRPr="00304827">
        <w:t>s</w:t>
      </w:r>
      <w:r w:rsidR="00DD3513" w:rsidRPr="00304827">
        <w:t xml:space="preserve"> have </w:t>
      </w:r>
      <w:r w:rsidR="00377410" w:rsidRPr="00304827">
        <w:t>been made</w:t>
      </w:r>
      <w:r w:rsidR="009B6260" w:rsidRPr="00304827">
        <w:t xml:space="preserve"> since the Draft</w:t>
      </w:r>
      <w:r w:rsidR="007E6C31" w:rsidRPr="00304827">
        <w:t xml:space="preserve"> </w:t>
      </w:r>
      <w:r w:rsidR="009B6260" w:rsidRPr="00304827">
        <w:t>Report</w:t>
      </w:r>
      <w:r w:rsidRPr="00304827">
        <w:t>.</w:t>
      </w:r>
      <w:r w:rsidR="00C673B6" w:rsidRPr="00304827">
        <w:t xml:space="preserve"> It </w:t>
      </w:r>
      <w:r w:rsidR="008F21E2" w:rsidRPr="00304827">
        <w:t>includes</w:t>
      </w:r>
      <w:r w:rsidR="00C673B6" w:rsidRPr="00304827">
        <w:t xml:space="preserve"> the </w:t>
      </w:r>
      <w:r w:rsidR="008F21E2" w:rsidRPr="00304827">
        <w:t xml:space="preserve">combined </w:t>
      </w:r>
      <w:r w:rsidR="00C673B6" w:rsidRPr="00304827">
        <w:t xml:space="preserve">impact of the changes </w:t>
      </w:r>
      <w:r w:rsidR="00B20434" w:rsidRPr="00304827">
        <w:t xml:space="preserve">outlined in the Draft Report and the changes outlined in this paper. </w:t>
      </w:r>
    </w:p>
    <w:p w14:paraId="152653A4" w14:textId="4678403A" w:rsidR="00FE4A4B" w:rsidRPr="00863CA4" w:rsidRDefault="002F5293" w:rsidP="00C9294C">
      <w:pPr>
        <w:pStyle w:val="CGC2025ParaNumbers"/>
      </w:pPr>
      <w:r w:rsidRPr="00304827">
        <w:t xml:space="preserve">The Commission decision outlined in the Draft Report </w:t>
      </w:r>
      <w:r w:rsidR="00476E11">
        <w:t xml:space="preserve">was </w:t>
      </w:r>
      <w:r w:rsidRPr="00304827">
        <w:t xml:space="preserve">to broaden </w:t>
      </w:r>
      <w:r w:rsidR="00B15A80" w:rsidRPr="00304827">
        <w:t xml:space="preserve">the proxy indicator of community and public health activity </w:t>
      </w:r>
      <w:r w:rsidR="00B30C72">
        <w:t xml:space="preserve">to include </w:t>
      </w:r>
      <w:r w:rsidR="005E1E18" w:rsidRPr="005E1E18">
        <w:t xml:space="preserve">a subset of </w:t>
      </w:r>
      <w:r w:rsidR="004642C9">
        <w:br/>
      </w:r>
      <w:r w:rsidR="005E1E18" w:rsidRPr="005E1E18">
        <w:t>non-admitted patient allied health services</w:t>
      </w:r>
      <w:r w:rsidR="005E1E18">
        <w:t xml:space="preserve">, in addition to emergency department triage category 4 and 5 services. </w:t>
      </w:r>
      <w:r w:rsidR="00812853">
        <w:t xml:space="preserve">This </w:t>
      </w:r>
      <w:r w:rsidR="00B15A80" w:rsidRPr="00863CA4">
        <w:t>result</w:t>
      </w:r>
      <w:r w:rsidR="00812853">
        <w:t>ed</w:t>
      </w:r>
      <w:r w:rsidR="00B15A80" w:rsidRPr="00863CA4">
        <w:t xml:space="preserve"> in higher assessed spending needs compared </w:t>
      </w:r>
      <w:r w:rsidR="005972A5">
        <w:t>with</w:t>
      </w:r>
      <w:r w:rsidR="00B15A80" w:rsidRPr="00863CA4">
        <w:t xml:space="preserve"> the 2020 Review method for states with relatively larger shares of their population in less remote areas or in higher socio-economic status cohorts, or with relatively larger shares of non-Indigenous or younger people. </w:t>
      </w:r>
      <w:r w:rsidR="008762ED">
        <w:t>Following the Draft</w:t>
      </w:r>
      <w:r w:rsidR="00685559">
        <w:t> </w:t>
      </w:r>
      <w:r w:rsidR="008762ED">
        <w:t xml:space="preserve">Report, </w:t>
      </w:r>
      <w:r w:rsidR="00EF6E86">
        <w:t>the Commission has deci</w:t>
      </w:r>
      <w:r w:rsidR="00E76306">
        <w:t>d</w:t>
      </w:r>
      <w:r w:rsidR="00EF6E86">
        <w:t xml:space="preserve">ed </w:t>
      </w:r>
      <w:r w:rsidR="00A37219">
        <w:t xml:space="preserve">to </w:t>
      </w:r>
      <w:r w:rsidR="00A37219" w:rsidRPr="005D5B72">
        <w:t>exclude</w:t>
      </w:r>
      <w:r w:rsidR="005D5B72" w:rsidRPr="005D5B72">
        <w:t xml:space="preserve"> COVID‑19 clinics from the list of non‑admitted patient allied health services</w:t>
      </w:r>
      <w:r w:rsidR="00DB3204">
        <w:t xml:space="preserve"> used in the proxy indicator</w:t>
      </w:r>
      <w:r w:rsidR="005D5B72" w:rsidRPr="005D5B72">
        <w:t>.</w:t>
      </w:r>
      <w:r w:rsidR="005D5B72">
        <w:t xml:space="preserve"> </w:t>
      </w:r>
      <w:r w:rsidR="00FC5523">
        <w:t xml:space="preserve">The net </w:t>
      </w:r>
      <w:r w:rsidR="00B86208">
        <w:t>effect of the</w:t>
      </w:r>
      <w:r w:rsidR="0044633E">
        <w:t>se</w:t>
      </w:r>
      <w:r w:rsidR="00B86208">
        <w:t xml:space="preserve"> </w:t>
      </w:r>
      <w:r w:rsidR="00DB3204">
        <w:t xml:space="preserve">2 </w:t>
      </w:r>
      <w:r w:rsidR="00B86208">
        <w:t xml:space="preserve">changes </w:t>
      </w:r>
      <w:r w:rsidR="00E86B0E">
        <w:t xml:space="preserve">on GST distribution compared </w:t>
      </w:r>
      <w:r w:rsidR="004D3A32">
        <w:t>with</w:t>
      </w:r>
      <w:r w:rsidR="00E86B0E">
        <w:t xml:space="preserve"> 2020 Review method are shown in Table 3 (see Community health use indicator).</w:t>
      </w:r>
    </w:p>
    <w:p w14:paraId="473BA720" w14:textId="6004918E" w:rsidR="00E24E7B" w:rsidRPr="00863CA4" w:rsidRDefault="006F11C3" w:rsidP="00D513BB">
      <w:pPr>
        <w:pStyle w:val="CGC2025ParaNumbers"/>
      </w:pPr>
      <w:r w:rsidRPr="00863CA4">
        <w:t>Using the actual distribution of Commonwealth grants to First Nations community</w:t>
      </w:r>
      <w:r w:rsidR="00C04BEE">
        <w:noBreakHyphen/>
      </w:r>
      <w:r w:rsidRPr="00863CA4">
        <w:t>controlled health services as the estimate of non-state sector expense needs</w:t>
      </w:r>
      <w:r w:rsidRPr="00863CA4" w:rsidDel="006F11C3">
        <w:t xml:space="preserve"> </w:t>
      </w:r>
      <w:r w:rsidR="00E913A1" w:rsidRPr="00863CA4">
        <w:t xml:space="preserve">results in higher assessed expenses for states that had been assessed to receive grants </w:t>
      </w:r>
      <w:r w:rsidR="00EC68A6" w:rsidRPr="00863CA4">
        <w:t>higher than</w:t>
      </w:r>
      <w:r w:rsidR="00E913A1" w:rsidRPr="00863CA4">
        <w:t xml:space="preserve"> their </w:t>
      </w:r>
      <w:r w:rsidR="00EC68A6" w:rsidRPr="00863CA4">
        <w:t xml:space="preserve">assessed </w:t>
      </w:r>
      <w:r w:rsidR="00E913A1" w:rsidRPr="00863CA4">
        <w:t>needs under the 2020 Review method</w:t>
      </w:r>
      <w:r w:rsidR="00D35975" w:rsidRPr="00863CA4">
        <w:t>, and vice versa</w:t>
      </w:r>
      <w:r w:rsidR="00E913A1" w:rsidRPr="00863CA4">
        <w:t xml:space="preserve">. </w:t>
      </w:r>
    </w:p>
    <w:p w14:paraId="29BB9607" w14:textId="6C18FDA8" w:rsidR="00E913A1" w:rsidRDefault="006542B2" w:rsidP="00C9294C">
      <w:pPr>
        <w:pStyle w:val="CGC2025ParaNumbers"/>
      </w:pPr>
      <w:r>
        <w:t xml:space="preserve">Following </w:t>
      </w:r>
      <w:r w:rsidR="00E80AA5">
        <w:t>the Draft Report</w:t>
      </w:r>
      <w:r>
        <w:t xml:space="preserve">, the Commission has decided </w:t>
      </w:r>
      <w:r w:rsidR="00E80AA5">
        <w:t xml:space="preserve">to </w:t>
      </w:r>
      <w:r w:rsidR="007439C4">
        <w:t>use exact figures</w:t>
      </w:r>
      <w:r w:rsidR="0039653A">
        <w:t>,</w:t>
      </w:r>
      <w:r w:rsidR="007439C4">
        <w:t xml:space="preserve"> rather than </w:t>
      </w:r>
      <w:r w:rsidR="0039653A">
        <w:t xml:space="preserve">rounded </w:t>
      </w:r>
      <w:r w:rsidR="007439C4">
        <w:t>figures</w:t>
      </w:r>
      <w:r w:rsidR="0039653A">
        <w:t>, for the estimates of</w:t>
      </w:r>
      <w:r w:rsidR="007439C4">
        <w:t xml:space="preserve"> </w:t>
      </w:r>
      <w:r w:rsidR="0039653A">
        <w:t>non</w:t>
      </w:r>
      <w:r w:rsidR="0039653A">
        <w:noBreakHyphen/>
        <w:t>state sector substitutability levels.</w:t>
      </w:r>
      <w:r w:rsidR="007439C4">
        <w:t xml:space="preserve"> Using the exact figures i</w:t>
      </w:r>
      <w:r w:rsidR="00E913A1" w:rsidRPr="00863CA4">
        <w:t>ncreases the non-state sector substitutability levels for the admitted patient and community and public health adjustments</w:t>
      </w:r>
      <w:r w:rsidR="00187C0E">
        <w:t xml:space="preserve"> which, in turn, </w:t>
      </w:r>
      <w:r w:rsidR="00E913A1" w:rsidRPr="00863CA4">
        <w:t>increases the influence of the</w:t>
      </w:r>
      <w:r w:rsidR="007A5F58" w:rsidRPr="00863CA4">
        <w:t>se</w:t>
      </w:r>
      <w:r w:rsidR="00A66B31" w:rsidRPr="00863CA4">
        <w:t xml:space="preserve"> non</w:t>
      </w:r>
      <w:r w:rsidR="00972405" w:rsidRPr="00863CA4">
        <w:t>-</w:t>
      </w:r>
      <w:r w:rsidR="00A66B31" w:rsidRPr="00863CA4">
        <w:t>state sector</w:t>
      </w:r>
      <w:r w:rsidR="00E913A1" w:rsidRPr="00863CA4">
        <w:t xml:space="preserve"> adjustments on </w:t>
      </w:r>
      <w:r w:rsidR="0053188F">
        <w:t>GST</w:t>
      </w:r>
      <w:r w:rsidR="0053188F" w:rsidRPr="00863CA4">
        <w:t xml:space="preserve"> </w:t>
      </w:r>
      <w:r w:rsidR="00E913A1" w:rsidRPr="00863CA4">
        <w:t xml:space="preserve">distribution. </w:t>
      </w:r>
      <w:r w:rsidR="00664AAD">
        <w:t xml:space="preserve">Using exact figures </w:t>
      </w:r>
      <w:r w:rsidR="0008241B">
        <w:t>reduce</w:t>
      </w:r>
      <w:r w:rsidR="00B55BC3">
        <w:t>s</w:t>
      </w:r>
      <w:r w:rsidR="00A86D68">
        <w:t xml:space="preserve"> </w:t>
      </w:r>
      <w:r w:rsidR="00A86D68" w:rsidRPr="00863CA4">
        <w:t>the non</w:t>
      </w:r>
      <w:r w:rsidR="00A86D68" w:rsidRPr="00863CA4">
        <w:noBreakHyphen/>
        <w:t>state sector substitutability levels</w:t>
      </w:r>
      <w:r w:rsidR="00313A77">
        <w:t xml:space="preserve"> for</w:t>
      </w:r>
      <w:r w:rsidR="00A86D68" w:rsidRPr="00863CA4">
        <w:t xml:space="preserve"> </w:t>
      </w:r>
      <w:r w:rsidR="00313A77" w:rsidRPr="00863CA4">
        <w:t>the emergency department and non</w:t>
      </w:r>
      <w:r w:rsidR="00313A77" w:rsidRPr="00863CA4">
        <w:noBreakHyphen/>
        <w:t>admitted patient adjustments</w:t>
      </w:r>
      <w:r w:rsidR="003B7C93">
        <w:t xml:space="preserve"> which </w:t>
      </w:r>
      <w:r w:rsidR="002F5845">
        <w:t>reduces</w:t>
      </w:r>
      <w:r w:rsidR="00AD2E3B">
        <w:t xml:space="preserve"> t</w:t>
      </w:r>
      <w:r w:rsidR="00E913A1" w:rsidRPr="00863CA4">
        <w:t xml:space="preserve">he influence of </w:t>
      </w:r>
      <w:r w:rsidR="000769BD">
        <w:t>these non</w:t>
      </w:r>
      <w:r w:rsidR="000769BD">
        <w:noBreakHyphen/>
        <w:t xml:space="preserve">state sector adjustments </w:t>
      </w:r>
      <w:r w:rsidR="00E913A1" w:rsidRPr="00863CA4">
        <w:t xml:space="preserve">on GST </w:t>
      </w:r>
      <w:r w:rsidR="004642C9" w:rsidRPr="00863CA4">
        <w:t>distribution.</w:t>
      </w:r>
      <w:r w:rsidR="00E15C0E" w:rsidRPr="00863CA4">
        <w:t xml:space="preserve"> </w:t>
      </w:r>
    </w:p>
    <w:p w14:paraId="625FBC8B" w14:textId="6C9A2700" w:rsidR="004D5525" w:rsidRPr="00863CA4" w:rsidRDefault="00002687" w:rsidP="00C9294C">
      <w:pPr>
        <w:pStyle w:val="CGC2025ParaNumbers"/>
      </w:pPr>
      <w:r>
        <w:t xml:space="preserve">The </w:t>
      </w:r>
      <w:r w:rsidR="00686C2E">
        <w:t xml:space="preserve">GST impacts </w:t>
      </w:r>
      <w:r w:rsidR="00A74422">
        <w:t xml:space="preserve">from </w:t>
      </w:r>
      <w:r w:rsidR="00346AFD">
        <w:t xml:space="preserve">changes associated with </w:t>
      </w:r>
      <w:r w:rsidR="00426B8D" w:rsidRPr="00426B8D">
        <w:t>Commonwealth grants to First</w:t>
      </w:r>
      <w:r w:rsidR="004642C9">
        <w:t> </w:t>
      </w:r>
      <w:r w:rsidR="00426B8D" w:rsidRPr="00426B8D">
        <w:t>Nations community</w:t>
      </w:r>
      <w:r w:rsidR="00426B8D">
        <w:noBreakHyphen/>
      </w:r>
      <w:r w:rsidR="00426B8D" w:rsidRPr="00426B8D">
        <w:t>controlled health services</w:t>
      </w:r>
      <w:r w:rsidR="00426B8D">
        <w:t xml:space="preserve"> and </w:t>
      </w:r>
      <w:r w:rsidR="0009394A">
        <w:t>non</w:t>
      </w:r>
      <w:r w:rsidR="0009394A">
        <w:noBreakHyphen/>
        <w:t xml:space="preserve">state sector </w:t>
      </w:r>
      <w:r w:rsidR="003A7F68">
        <w:t xml:space="preserve">substitutability levels are </w:t>
      </w:r>
      <w:r w:rsidR="00F62CA5">
        <w:t xml:space="preserve">combined in </w:t>
      </w:r>
      <w:r w:rsidR="00F12E9B">
        <w:t>Table 3 (Changes to non</w:t>
      </w:r>
      <w:r w:rsidR="00F12E9B">
        <w:noBreakHyphen/>
        <w:t>state sector adjustment)</w:t>
      </w:r>
      <w:r w:rsidR="00BB1439">
        <w:t>.</w:t>
      </w:r>
    </w:p>
    <w:p w14:paraId="3F098F25" w14:textId="1187A5DA" w:rsidR="00DA7CF5" w:rsidRPr="00863CA4" w:rsidRDefault="00DA7CF5" w:rsidP="00D513BB">
      <w:pPr>
        <w:pStyle w:val="CGC2025ParaNumbers"/>
      </w:pPr>
      <w:r w:rsidRPr="00863CA4">
        <w:t xml:space="preserve">Applying a </w:t>
      </w:r>
      <w:r w:rsidR="00B72878">
        <w:t>12.5%</w:t>
      </w:r>
      <w:r w:rsidRPr="00863CA4">
        <w:t xml:space="preserve"> discount to the non-state sector adjustments reduces the influence of these adjustments on the distribution of GST.</w:t>
      </w:r>
    </w:p>
    <w:p w14:paraId="05E9A9AD" w14:textId="1AD46A63" w:rsidR="00A928A4" w:rsidRPr="00863CA4" w:rsidRDefault="002434C1" w:rsidP="00D513BB">
      <w:pPr>
        <w:pStyle w:val="CGC2025ParaNumbers"/>
      </w:pPr>
      <w:r w:rsidRPr="00863CA4">
        <w:t xml:space="preserve">The </w:t>
      </w:r>
      <w:r w:rsidR="004953C9" w:rsidRPr="00863CA4">
        <w:t>admitted patient</w:t>
      </w:r>
      <w:r w:rsidR="00C75A58" w:rsidRPr="00863CA4">
        <w:t xml:space="preserve"> non</w:t>
      </w:r>
      <w:r w:rsidR="00B55BB9" w:rsidRPr="00863CA4">
        <w:t>-</w:t>
      </w:r>
      <w:r w:rsidR="00C75A58" w:rsidRPr="00863CA4">
        <w:t xml:space="preserve">state sector indicator </w:t>
      </w:r>
      <w:r w:rsidRPr="00863CA4">
        <w:t>has been made consistent with the 2020 Review method</w:t>
      </w:r>
      <w:r w:rsidR="007B49AC" w:rsidRPr="00863CA4">
        <w:t xml:space="preserve"> and so</w:t>
      </w:r>
      <w:r w:rsidRPr="00863CA4">
        <w:t xml:space="preserve"> there are no GST impacts</w:t>
      </w:r>
      <w:r w:rsidR="00775FF9" w:rsidRPr="00863CA4">
        <w:t xml:space="preserve"> of this change</w:t>
      </w:r>
      <w:r w:rsidR="00227A0D" w:rsidRPr="00863CA4">
        <w:t xml:space="preserve"> since the Draft Report</w:t>
      </w:r>
      <w:r w:rsidR="007B49AC" w:rsidRPr="00863CA4">
        <w:t>.</w:t>
      </w:r>
    </w:p>
    <w:p w14:paraId="14A27D8D" w14:textId="08C20D0B" w:rsidR="0027388F" w:rsidRDefault="007C1E60" w:rsidP="00854641">
      <w:pPr>
        <w:pStyle w:val="CGC2025Caption"/>
        <w:keepNext/>
        <w:keepLines/>
        <w:widowControl w:val="0"/>
        <w:ind w:left="1440" w:hanging="1440"/>
      </w:pPr>
      <w:r w:rsidRPr="00863CA4">
        <w:lastRenderedPageBreak/>
        <w:t xml:space="preserve">Table </w:t>
      </w:r>
      <w:r w:rsidR="00BD08CE" w:rsidRPr="00863CA4">
        <w:t>3</w:t>
      </w:r>
      <w:r w:rsidRPr="00863CA4">
        <w:tab/>
        <w:t xml:space="preserve">Indicative impact on GST distribution of </w:t>
      </w:r>
      <w:r w:rsidR="00EF6E97" w:rsidRPr="00863CA4">
        <w:t xml:space="preserve">2025 Review method </w:t>
      </w:r>
      <w:r w:rsidRPr="00863CA4">
        <w:t>changes to the health assessment, 2024</w:t>
      </w:r>
      <w:r w:rsidR="00D92EFF" w:rsidRPr="00863CA4">
        <w:t>–</w:t>
      </w:r>
      <w:r w:rsidRPr="00863CA4">
        <w:t>25</w:t>
      </w:r>
      <w:r w:rsidRPr="003608BB">
        <w:t xml:space="preserve"> </w:t>
      </w:r>
    </w:p>
    <w:tbl>
      <w:tblPr>
        <w:tblW w:w="9040" w:type="dxa"/>
        <w:tblLook w:val="04A0" w:firstRow="1" w:lastRow="0" w:firstColumn="1" w:lastColumn="0" w:noHBand="0" w:noVBand="1"/>
      </w:tblPr>
      <w:tblGrid>
        <w:gridCol w:w="3268"/>
        <w:gridCol w:w="640"/>
        <w:gridCol w:w="639"/>
        <w:gridCol w:w="639"/>
        <w:gridCol w:w="639"/>
        <w:gridCol w:w="639"/>
        <w:gridCol w:w="639"/>
        <w:gridCol w:w="639"/>
        <w:gridCol w:w="639"/>
        <w:gridCol w:w="659"/>
      </w:tblGrid>
      <w:tr w:rsidR="00D52C03" w:rsidRPr="00D52C03" w14:paraId="46ED2D58" w14:textId="77777777" w:rsidTr="00D52C03">
        <w:trPr>
          <w:trHeight w:val="552"/>
        </w:trPr>
        <w:tc>
          <w:tcPr>
            <w:tcW w:w="3280" w:type="dxa"/>
            <w:tcBorders>
              <w:top w:val="nil"/>
              <w:left w:val="nil"/>
              <w:bottom w:val="nil"/>
              <w:right w:val="nil"/>
            </w:tcBorders>
            <w:shd w:val="clear" w:color="000000" w:fill="006991"/>
            <w:vAlign w:val="center"/>
            <w:hideMark/>
          </w:tcPr>
          <w:p w14:paraId="243CA639" w14:textId="77777777" w:rsidR="00D52C03" w:rsidRPr="00D52C03" w:rsidRDefault="00D52C03" w:rsidP="00D52C03">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5" w:name="_Toc176348504"/>
            <w:r w:rsidRPr="00D52C03">
              <w:rPr>
                <w:rFonts w:ascii="Open Sans Semibold" w:eastAsia="Times New Roman" w:hAnsi="Open Sans Semibold" w:cs="Open Sans Semibold"/>
                <w:color w:val="FFFFFF"/>
                <w:sz w:val="16"/>
                <w:szCs w:val="16"/>
                <w:lang w:eastAsia="en-AU"/>
              </w:rPr>
              <w:t> </w:t>
            </w:r>
          </w:p>
        </w:tc>
        <w:tc>
          <w:tcPr>
            <w:tcW w:w="640" w:type="dxa"/>
            <w:tcBorders>
              <w:top w:val="nil"/>
              <w:left w:val="nil"/>
              <w:bottom w:val="nil"/>
              <w:right w:val="nil"/>
            </w:tcBorders>
            <w:shd w:val="clear" w:color="000000" w:fill="006991"/>
            <w:vAlign w:val="center"/>
            <w:hideMark/>
          </w:tcPr>
          <w:p w14:paraId="45C197F2"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NSW</w:t>
            </w:r>
          </w:p>
        </w:tc>
        <w:tc>
          <w:tcPr>
            <w:tcW w:w="640" w:type="dxa"/>
            <w:tcBorders>
              <w:top w:val="nil"/>
              <w:left w:val="nil"/>
              <w:bottom w:val="nil"/>
              <w:right w:val="nil"/>
            </w:tcBorders>
            <w:shd w:val="clear" w:color="000000" w:fill="006991"/>
            <w:vAlign w:val="center"/>
            <w:hideMark/>
          </w:tcPr>
          <w:p w14:paraId="2EEF0471"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Vic</w:t>
            </w:r>
          </w:p>
        </w:tc>
        <w:tc>
          <w:tcPr>
            <w:tcW w:w="640" w:type="dxa"/>
            <w:tcBorders>
              <w:top w:val="nil"/>
              <w:left w:val="nil"/>
              <w:bottom w:val="nil"/>
              <w:right w:val="nil"/>
            </w:tcBorders>
            <w:shd w:val="clear" w:color="000000" w:fill="006991"/>
            <w:vAlign w:val="center"/>
            <w:hideMark/>
          </w:tcPr>
          <w:p w14:paraId="228A419D"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Qld</w:t>
            </w:r>
          </w:p>
        </w:tc>
        <w:tc>
          <w:tcPr>
            <w:tcW w:w="640" w:type="dxa"/>
            <w:tcBorders>
              <w:top w:val="nil"/>
              <w:left w:val="nil"/>
              <w:bottom w:val="nil"/>
              <w:right w:val="nil"/>
            </w:tcBorders>
            <w:shd w:val="clear" w:color="000000" w:fill="006991"/>
            <w:vAlign w:val="center"/>
            <w:hideMark/>
          </w:tcPr>
          <w:p w14:paraId="2D03E05B"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WA</w:t>
            </w:r>
          </w:p>
        </w:tc>
        <w:tc>
          <w:tcPr>
            <w:tcW w:w="640" w:type="dxa"/>
            <w:tcBorders>
              <w:top w:val="nil"/>
              <w:left w:val="nil"/>
              <w:bottom w:val="nil"/>
              <w:right w:val="nil"/>
            </w:tcBorders>
            <w:shd w:val="clear" w:color="000000" w:fill="006991"/>
            <w:vAlign w:val="center"/>
            <w:hideMark/>
          </w:tcPr>
          <w:p w14:paraId="08C2BF01"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SA</w:t>
            </w:r>
          </w:p>
        </w:tc>
        <w:tc>
          <w:tcPr>
            <w:tcW w:w="640" w:type="dxa"/>
            <w:tcBorders>
              <w:top w:val="nil"/>
              <w:left w:val="nil"/>
              <w:bottom w:val="nil"/>
              <w:right w:val="nil"/>
            </w:tcBorders>
            <w:shd w:val="clear" w:color="000000" w:fill="006991"/>
            <w:vAlign w:val="center"/>
            <w:hideMark/>
          </w:tcPr>
          <w:p w14:paraId="322648D4"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Tas</w:t>
            </w:r>
          </w:p>
        </w:tc>
        <w:tc>
          <w:tcPr>
            <w:tcW w:w="640" w:type="dxa"/>
            <w:tcBorders>
              <w:top w:val="nil"/>
              <w:left w:val="nil"/>
              <w:bottom w:val="nil"/>
              <w:right w:val="nil"/>
            </w:tcBorders>
            <w:shd w:val="clear" w:color="000000" w:fill="006991"/>
            <w:vAlign w:val="center"/>
            <w:hideMark/>
          </w:tcPr>
          <w:p w14:paraId="01C4C117"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ACT</w:t>
            </w:r>
          </w:p>
        </w:tc>
        <w:tc>
          <w:tcPr>
            <w:tcW w:w="640" w:type="dxa"/>
            <w:tcBorders>
              <w:top w:val="nil"/>
              <w:left w:val="nil"/>
              <w:bottom w:val="nil"/>
              <w:right w:val="nil"/>
            </w:tcBorders>
            <w:shd w:val="clear" w:color="000000" w:fill="006991"/>
            <w:vAlign w:val="center"/>
            <w:hideMark/>
          </w:tcPr>
          <w:p w14:paraId="74303B30"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NT</w:t>
            </w:r>
          </w:p>
        </w:tc>
        <w:tc>
          <w:tcPr>
            <w:tcW w:w="640" w:type="dxa"/>
            <w:tcBorders>
              <w:top w:val="nil"/>
              <w:left w:val="nil"/>
              <w:bottom w:val="nil"/>
              <w:right w:val="nil"/>
            </w:tcBorders>
            <w:shd w:val="clear" w:color="000000" w:fill="006991"/>
            <w:vAlign w:val="center"/>
            <w:hideMark/>
          </w:tcPr>
          <w:p w14:paraId="795B843E"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2C03">
              <w:rPr>
                <w:rFonts w:ascii="Open Sans Semibold" w:eastAsia="Times New Roman" w:hAnsi="Open Sans Semibold" w:cs="Open Sans Semibold"/>
                <w:color w:val="FFFFFF"/>
                <w:sz w:val="16"/>
                <w:szCs w:val="16"/>
                <w:lang w:eastAsia="en-AU"/>
              </w:rPr>
              <w:t>Total effect</w:t>
            </w:r>
          </w:p>
        </w:tc>
      </w:tr>
      <w:tr w:rsidR="00D52C03" w:rsidRPr="00D52C03" w14:paraId="3F3CB9C9" w14:textId="77777777" w:rsidTr="00D52C03">
        <w:trPr>
          <w:trHeight w:val="259"/>
        </w:trPr>
        <w:tc>
          <w:tcPr>
            <w:tcW w:w="3280" w:type="dxa"/>
            <w:tcBorders>
              <w:top w:val="single" w:sz="4" w:space="0" w:color="ADD6EA"/>
              <w:left w:val="nil"/>
              <w:bottom w:val="nil"/>
              <w:right w:val="nil"/>
            </w:tcBorders>
            <w:shd w:val="clear" w:color="000000" w:fill="B6D5E4"/>
            <w:vAlign w:val="bottom"/>
            <w:hideMark/>
          </w:tcPr>
          <w:p w14:paraId="13F15553" w14:textId="77777777" w:rsidR="00D52C03" w:rsidRPr="00D52C03" w:rsidRDefault="00D52C03" w:rsidP="00D52C03">
            <w:pPr>
              <w:tabs>
                <w:tab w:val="clear" w:pos="567"/>
              </w:tabs>
              <w:spacing w:before="0" w:line="240" w:lineRule="auto"/>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 </w:t>
            </w:r>
          </w:p>
        </w:tc>
        <w:tc>
          <w:tcPr>
            <w:tcW w:w="640" w:type="dxa"/>
            <w:tcBorders>
              <w:top w:val="single" w:sz="4" w:space="0" w:color="ADD6EA"/>
              <w:left w:val="nil"/>
              <w:bottom w:val="nil"/>
              <w:right w:val="nil"/>
            </w:tcBorders>
            <w:shd w:val="clear" w:color="000000" w:fill="B6D5E4"/>
            <w:vAlign w:val="bottom"/>
            <w:hideMark/>
          </w:tcPr>
          <w:p w14:paraId="2C630827"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vAlign w:val="bottom"/>
            <w:hideMark/>
          </w:tcPr>
          <w:p w14:paraId="6E3C8014"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vAlign w:val="bottom"/>
            <w:hideMark/>
          </w:tcPr>
          <w:p w14:paraId="220A7D26"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vAlign w:val="bottom"/>
            <w:hideMark/>
          </w:tcPr>
          <w:p w14:paraId="076FD447"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vAlign w:val="bottom"/>
            <w:hideMark/>
          </w:tcPr>
          <w:p w14:paraId="682F677B"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vAlign w:val="bottom"/>
            <w:hideMark/>
          </w:tcPr>
          <w:p w14:paraId="7DA1C2A8"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vAlign w:val="bottom"/>
            <w:hideMark/>
          </w:tcPr>
          <w:p w14:paraId="41B5933A"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vAlign w:val="bottom"/>
            <w:hideMark/>
          </w:tcPr>
          <w:p w14:paraId="6DDDFCFF"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vAlign w:val="bottom"/>
            <w:hideMark/>
          </w:tcPr>
          <w:p w14:paraId="783FB62C"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$m</w:t>
            </w:r>
          </w:p>
        </w:tc>
      </w:tr>
      <w:tr w:rsidR="00D52C03" w:rsidRPr="00D52C03" w14:paraId="3ACEA0BA" w14:textId="77777777" w:rsidTr="00D52C03">
        <w:trPr>
          <w:trHeight w:val="319"/>
        </w:trPr>
        <w:tc>
          <w:tcPr>
            <w:tcW w:w="3280" w:type="dxa"/>
            <w:tcBorders>
              <w:top w:val="single" w:sz="4" w:space="0" w:color="ADD6EA"/>
              <w:left w:val="nil"/>
              <w:bottom w:val="nil"/>
              <w:right w:val="nil"/>
            </w:tcBorders>
            <w:shd w:val="clear" w:color="000000" w:fill="FFFFFF"/>
            <w:vAlign w:val="bottom"/>
            <w:hideMark/>
          </w:tcPr>
          <w:p w14:paraId="17B01AFB" w14:textId="77777777" w:rsidR="00D52C03" w:rsidRPr="00D52C03" w:rsidRDefault="00D52C03" w:rsidP="00D52C03">
            <w:pPr>
              <w:tabs>
                <w:tab w:val="clear" w:pos="567"/>
              </w:tabs>
              <w:spacing w:before="0" w:line="240" w:lineRule="auto"/>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Community health use indicator</w:t>
            </w:r>
          </w:p>
        </w:tc>
        <w:tc>
          <w:tcPr>
            <w:tcW w:w="640" w:type="dxa"/>
            <w:tcBorders>
              <w:top w:val="single" w:sz="4" w:space="0" w:color="ADD6EA"/>
              <w:left w:val="nil"/>
              <w:bottom w:val="nil"/>
              <w:right w:val="nil"/>
            </w:tcBorders>
            <w:shd w:val="clear" w:color="000000" w:fill="FFFFFF"/>
            <w:vAlign w:val="bottom"/>
            <w:hideMark/>
          </w:tcPr>
          <w:p w14:paraId="5A07C32F"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47</w:t>
            </w:r>
          </w:p>
        </w:tc>
        <w:tc>
          <w:tcPr>
            <w:tcW w:w="640" w:type="dxa"/>
            <w:tcBorders>
              <w:top w:val="single" w:sz="4" w:space="0" w:color="ADD6EA"/>
              <w:left w:val="nil"/>
              <w:bottom w:val="nil"/>
              <w:right w:val="nil"/>
            </w:tcBorders>
            <w:shd w:val="clear" w:color="000000" w:fill="FFFFFF"/>
            <w:vAlign w:val="bottom"/>
            <w:hideMark/>
          </w:tcPr>
          <w:p w14:paraId="76D7BE28"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43</w:t>
            </w:r>
          </w:p>
        </w:tc>
        <w:tc>
          <w:tcPr>
            <w:tcW w:w="640" w:type="dxa"/>
            <w:tcBorders>
              <w:top w:val="single" w:sz="4" w:space="0" w:color="ADD6EA"/>
              <w:left w:val="nil"/>
              <w:bottom w:val="nil"/>
              <w:right w:val="nil"/>
            </w:tcBorders>
            <w:shd w:val="clear" w:color="000000" w:fill="FFFFFF"/>
            <w:vAlign w:val="bottom"/>
            <w:hideMark/>
          </w:tcPr>
          <w:p w14:paraId="4DA70DCD"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-22</w:t>
            </w:r>
          </w:p>
        </w:tc>
        <w:tc>
          <w:tcPr>
            <w:tcW w:w="640" w:type="dxa"/>
            <w:tcBorders>
              <w:top w:val="single" w:sz="4" w:space="0" w:color="ADD6EA"/>
              <w:left w:val="nil"/>
              <w:bottom w:val="nil"/>
              <w:right w:val="nil"/>
            </w:tcBorders>
            <w:shd w:val="clear" w:color="000000" w:fill="FFFFFF"/>
            <w:vAlign w:val="bottom"/>
            <w:hideMark/>
          </w:tcPr>
          <w:p w14:paraId="1CC94253"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-23</w:t>
            </w:r>
          </w:p>
        </w:tc>
        <w:tc>
          <w:tcPr>
            <w:tcW w:w="640" w:type="dxa"/>
            <w:tcBorders>
              <w:top w:val="single" w:sz="4" w:space="0" w:color="ADD6EA"/>
              <w:left w:val="nil"/>
              <w:bottom w:val="nil"/>
              <w:right w:val="nil"/>
            </w:tcBorders>
            <w:shd w:val="clear" w:color="000000" w:fill="FFFFFF"/>
            <w:vAlign w:val="bottom"/>
            <w:hideMark/>
          </w:tcPr>
          <w:p w14:paraId="70021D40"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-3</w:t>
            </w:r>
          </w:p>
        </w:tc>
        <w:tc>
          <w:tcPr>
            <w:tcW w:w="640" w:type="dxa"/>
            <w:tcBorders>
              <w:top w:val="single" w:sz="4" w:space="0" w:color="ADD6EA"/>
              <w:left w:val="nil"/>
              <w:bottom w:val="nil"/>
              <w:right w:val="nil"/>
            </w:tcBorders>
            <w:shd w:val="clear" w:color="000000" w:fill="FFFFFF"/>
            <w:vAlign w:val="bottom"/>
            <w:hideMark/>
          </w:tcPr>
          <w:p w14:paraId="1C291BCF"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-12</w:t>
            </w:r>
          </w:p>
        </w:tc>
        <w:tc>
          <w:tcPr>
            <w:tcW w:w="640" w:type="dxa"/>
            <w:tcBorders>
              <w:top w:val="single" w:sz="4" w:space="0" w:color="ADD6EA"/>
              <w:left w:val="nil"/>
              <w:bottom w:val="nil"/>
              <w:right w:val="nil"/>
            </w:tcBorders>
            <w:shd w:val="clear" w:color="000000" w:fill="FFFFFF"/>
            <w:vAlign w:val="bottom"/>
            <w:hideMark/>
          </w:tcPr>
          <w:p w14:paraId="701C9BE7"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5</w:t>
            </w:r>
          </w:p>
        </w:tc>
        <w:tc>
          <w:tcPr>
            <w:tcW w:w="640" w:type="dxa"/>
            <w:tcBorders>
              <w:top w:val="single" w:sz="4" w:space="0" w:color="ADD6EA"/>
              <w:left w:val="nil"/>
              <w:bottom w:val="nil"/>
              <w:right w:val="nil"/>
            </w:tcBorders>
            <w:shd w:val="clear" w:color="000000" w:fill="FFFFFF"/>
            <w:vAlign w:val="bottom"/>
            <w:hideMark/>
          </w:tcPr>
          <w:p w14:paraId="1495E69B"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-34</w:t>
            </w:r>
          </w:p>
        </w:tc>
        <w:tc>
          <w:tcPr>
            <w:tcW w:w="640" w:type="dxa"/>
            <w:tcBorders>
              <w:top w:val="single" w:sz="4" w:space="0" w:color="ADD6EA"/>
              <w:left w:val="nil"/>
              <w:bottom w:val="nil"/>
              <w:right w:val="nil"/>
            </w:tcBorders>
            <w:shd w:val="clear" w:color="000000" w:fill="FFFFFF"/>
            <w:vAlign w:val="bottom"/>
            <w:hideMark/>
          </w:tcPr>
          <w:p w14:paraId="55BC7B2F"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95</w:t>
            </w:r>
          </w:p>
        </w:tc>
      </w:tr>
      <w:tr w:rsidR="00D52C03" w:rsidRPr="00D52C03" w14:paraId="7DEF83E1" w14:textId="77777777" w:rsidTr="00D52C03">
        <w:trPr>
          <w:trHeight w:val="319"/>
        </w:trPr>
        <w:tc>
          <w:tcPr>
            <w:tcW w:w="3280" w:type="dxa"/>
            <w:tcBorders>
              <w:top w:val="single" w:sz="4" w:space="0" w:color="ADD6EA"/>
              <w:left w:val="nil"/>
              <w:bottom w:val="nil"/>
              <w:right w:val="nil"/>
            </w:tcBorders>
            <w:shd w:val="clear" w:color="000000" w:fill="FFFFFF"/>
            <w:vAlign w:val="bottom"/>
            <w:hideMark/>
          </w:tcPr>
          <w:p w14:paraId="23F8D391" w14:textId="77777777" w:rsidR="00D52C03" w:rsidRPr="00D52C03" w:rsidRDefault="00D52C03" w:rsidP="00D52C03">
            <w:pPr>
              <w:tabs>
                <w:tab w:val="clear" w:pos="567"/>
              </w:tabs>
              <w:spacing w:before="0" w:line="240" w:lineRule="auto"/>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Discounting of non-state sector adjustment</w:t>
            </w:r>
          </w:p>
        </w:tc>
        <w:tc>
          <w:tcPr>
            <w:tcW w:w="640" w:type="dxa"/>
            <w:tcBorders>
              <w:top w:val="single" w:sz="4" w:space="0" w:color="ADD6EA"/>
              <w:left w:val="nil"/>
              <w:bottom w:val="nil"/>
              <w:right w:val="nil"/>
            </w:tcBorders>
            <w:shd w:val="clear" w:color="000000" w:fill="FFFFFF"/>
            <w:vAlign w:val="bottom"/>
            <w:hideMark/>
          </w:tcPr>
          <w:p w14:paraId="1BD92CE8"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46</w:t>
            </w:r>
          </w:p>
        </w:tc>
        <w:tc>
          <w:tcPr>
            <w:tcW w:w="640" w:type="dxa"/>
            <w:tcBorders>
              <w:top w:val="single" w:sz="4" w:space="0" w:color="ADD6EA"/>
              <w:left w:val="nil"/>
              <w:bottom w:val="nil"/>
              <w:right w:val="nil"/>
            </w:tcBorders>
            <w:shd w:val="clear" w:color="000000" w:fill="FFFFFF"/>
            <w:vAlign w:val="bottom"/>
            <w:hideMark/>
          </w:tcPr>
          <w:p w14:paraId="759C81D7"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-23</w:t>
            </w:r>
          </w:p>
        </w:tc>
        <w:tc>
          <w:tcPr>
            <w:tcW w:w="640" w:type="dxa"/>
            <w:tcBorders>
              <w:top w:val="single" w:sz="4" w:space="0" w:color="ADD6EA"/>
              <w:left w:val="nil"/>
              <w:bottom w:val="nil"/>
              <w:right w:val="nil"/>
            </w:tcBorders>
            <w:shd w:val="clear" w:color="000000" w:fill="FFFFFF"/>
            <w:vAlign w:val="bottom"/>
            <w:hideMark/>
          </w:tcPr>
          <w:p w14:paraId="102E12D7"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48</w:t>
            </w:r>
          </w:p>
        </w:tc>
        <w:tc>
          <w:tcPr>
            <w:tcW w:w="640" w:type="dxa"/>
            <w:tcBorders>
              <w:top w:val="single" w:sz="4" w:space="0" w:color="ADD6EA"/>
              <w:left w:val="nil"/>
              <w:bottom w:val="nil"/>
              <w:right w:val="nil"/>
            </w:tcBorders>
            <w:shd w:val="clear" w:color="000000" w:fill="FFFFFF"/>
            <w:vAlign w:val="bottom"/>
            <w:hideMark/>
          </w:tcPr>
          <w:p w14:paraId="52956DCA"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-43</w:t>
            </w:r>
          </w:p>
        </w:tc>
        <w:tc>
          <w:tcPr>
            <w:tcW w:w="640" w:type="dxa"/>
            <w:tcBorders>
              <w:top w:val="single" w:sz="4" w:space="0" w:color="ADD6EA"/>
              <w:left w:val="nil"/>
              <w:bottom w:val="nil"/>
              <w:right w:val="nil"/>
            </w:tcBorders>
            <w:shd w:val="clear" w:color="000000" w:fill="FFFFFF"/>
            <w:vAlign w:val="bottom"/>
            <w:hideMark/>
          </w:tcPr>
          <w:p w14:paraId="49A1B440"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-7</w:t>
            </w:r>
          </w:p>
        </w:tc>
        <w:tc>
          <w:tcPr>
            <w:tcW w:w="640" w:type="dxa"/>
            <w:tcBorders>
              <w:top w:val="single" w:sz="4" w:space="0" w:color="ADD6EA"/>
              <w:left w:val="nil"/>
              <w:bottom w:val="nil"/>
              <w:right w:val="nil"/>
            </w:tcBorders>
            <w:shd w:val="clear" w:color="000000" w:fill="FFFFFF"/>
            <w:vAlign w:val="bottom"/>
            <w:hideMark/>
          </w:tcPr>
          <w:p w14:paraId="5B8CDB3B"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0</w:t>
            </w:r>
          </w:p>
        </w:tc>
        <w:tc>
          <w:tcPr>
            <w:tcW w:w="640" w:type="dxa"/>
            <w:tcBorders>
              <w:top w:val="single" w:sz="4" w:space="0" w:color="ADD6EA"/>
              <w:left w:val="nil"/>
              <w:bottom w:val="nil"/>
              <w:right w:val="nil"/>
            </w:tcBorders>
            <w:shd w:val="clear" w:color="000000" w:fill="FFFFFF"/>
            <w:vAlign w:val="bottom"/>
            <w:hideMark/>
          </w:tcPr>
          <w:p w14:paraId="45C35A6C"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-21</w:t>
            </w:r>
          </w:p>
        </w:tc>
        <w:tc>
          <w:tcPr>
            <w:tcW w:w="640" w:type="dxa"/>
            <w:tcBorders>
              <w:top w:val="single" w:sz="4" w:space="0" w:color="ADD6EA"/>
              <w:left w:val="nil"/>
              <w:bottom w:val="nil"/>
              <w:right w:val="nil"/>
            </w:tcBorders>
            <w:shd w:val="clear" w:color="000000" w:fill="FFFFFF"/>
            <w:vAlign w:val="bottom"/>
            <w:hideMark/>
          </w:tcPr>
          <w:p w14:paraId="7270C1F7"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w:t>
            </w:r>
          </w:p>
        </w:tc>
        <w:tc>
          <w:tcPr>
            <w:tcW w:w="640" w:type="dxa"/>
            <w:tcBorders>
              <w:top w:val="single" w:sz="4" w:space="0" w:color="ADD6EA"/>
              <w:left w:val="nil"/>
              <w:bottom w:val="nil"/>
              <w:right w:val="nil"/>
            </w:tcBorders>
            <w:shd w:val="clear" w:color="000000" w:fill="FFFFFF"/>
            <w:vAlign w:val="bottom"/>
            <w:hideMark/>
          </w:tcPr>
          <w:p w14:paraId="6ACE0DAD"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95</w:t>
            </w:r>
          </w:p>
        </w:tc>
      </w:tr>
      <w:tr w:rsidR="00D52C03" w:rsidRPr="00D52C03" w14:paraId="057E470A" w14:textId="77777777" w:rsidTr="00D52C03">
        <w:trPr>
          <w:trHeight w:val="319"/>
        </w:trPr>
        <w:tc>
          <w:tcPr>
            <w:tcW w:w="3280" w:type="dxa"/>
            <w:tcBorders>
              <w:top w:val="single" w:sz="4" w:space="0" w:color="ADD6EA"/>
              <w:left w:val="nil"/>
              <w:bottom w:val="nil"/>
              <w:right w:val="nil"/>
            </w:tcBorders>
            <w:shd w:val="clear" w:color="000000" w:fill="FFFFFF"/>
            <w:vAlign w:val="bottom"/>
            <w:hideMark/>
          </w:tcPr>
          <w:p w14:paraId="68A34D71" w14:textId="77777777" w:rsidR="00D52C03" w:rsidRPr="00D52C03" w:rsidRDefault="00D52C03" w:rsidP="00D52C03">
            <w:pPr>
              <w:tabs>
                <w:tab w:val="clear" w:pos="567"/>
              </w:tabs>
              <w:spacing w:before="0" w:line="240" w:lineRule="auto"/>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Changes to non-state sector adjustment</w:t>
            </w:r>
          </w:p>
        </w:tc>
        <w:tc>
          <w:tcPr>
            <w:tcW w:w="640" w:type="dxa"/>
            <w:tcBorders>
              <w:top w:val="single" w:sz="4" w:space="0" w:color="ADD6EA"/>
              <w:left w:val="nil"/>
              <w:bottom w:val="nil"/>
              <w:right w:val="nil"/>
            </w:tcBorders>
            <w:shd w:val="clear" w:color="000000" w:fill="FFFFFF"/>
            <w:vAlign w:val="bottom"/>
            <w:hideMark/>
          </w:tcPr>
          <w:p w14:paraId="5BDEC7E2"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-100</w:t>
            </w:r>
          </w:p>
        </w:tc>
        <w:tc>
          <w:tcPr>
            <w:tcW w:w="640" w:type="dxa"/>
            <w:tcBorders>
              <w:top w:val="single" w:sz="4" w:space="0" w:color="ADD6EA"/>
              <w:left w:val="nil"/>
              <w:bottom w:val="nil"/>
              <w:right w:val="nil"/>
            </w:tcBorders>
            <w:shd w:val="clear" w:color="000000" w:fill="FFFFFF"/>
            <w:vAlign w:val="bottom"/>
            <w:hideMark/>
          </w:tcPr>
          <w:p w14:paraId="0CA70F28"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65</w:t>
            </w:r>
          </w:p>
        </w:tc>
        <w:tc>
          <w:tcPr>
            <w:tcW w:w="640" w:type="dxa"/>
            <w:tcBorders>
              <w:top w:val="single" w:sz="4" w:space="0" w:color="ADD6EA"/>
              <w:left w:val="nil"/>
              <w:bottom w:val="nil"/>
              <w:right w:val="nil"/>
            </w:tcBorders>
            <w:shd w:val="clear" w:color="000000" w:fill="FFFFFF"/>
            <w:vAlign w:val="bottom"/>
            <w:hideMark/>
          </w:tcPr>
          <w:p w14:paraId="7FFD3424"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-110</w:t>
            </w:r>
          </w:p>
        </w:tc>
        <w:tc>
          <w:tcPr>
            <w:tcW w:w="640" w:type="dxa"/>
            <w:tcBorders>
              <w:top w:val="single" w:sz="4" w:space="0" w:color="ADD6EA"/>
              <w:left w:val="nil"/>
              <w:bottom w:val="nil"/>
              <w:right w:val="nil"/>
            </w:tcBorders>
            <w:shd w:val="clear" w:color="000000" w:fill="FFFFFF"/>
            <w:vAlign w:val="bottom"/>
            <w:hideMark/>
          </w:tcPr>
          <w:p w14:paraId="2FC63547"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45</w:t>
            </w:r>
          </w:p>
        </w:tc>
        <w:tc>
          <w:tcPr>
            <w:tcW w:w="640" w:type="dxa"/>
            <w:tcBorders>
              <w:top w:val="single" w:sz="4" w:space="0" w:color="ADD6EA"/>
              <w:left w:val="nil"/>
              <w:bottom w:val="nil"/>
              <w:right w:val="nil"/>
            </w:tcBorders>
            <w:shd w:val="clear" w:color="000000" w:fill="FFFFFF"/>
            <w:vAlign w:val="bottom"/>
            <w:hideMark/>
          </w:tcPr>
          <w:p w14:paraId="61F6A35B"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7</w:t>
            </w:r>
          </w:p>
        </w:tc>
        <w:tc>
          <w:tcPr>
            <w:tcW w:w="640" w:type="dxa"/>
            <w:tcBorders>
              <w:top w:val="single" w:sz="4" w:space="0" w:color="ADD6EA"/>
              <w:left w:val="nil"/>
              <w:bottom w:val="nil"/>
              <w:right w:val="nil"/>
            </w:tcBorders>
            <w:shd w:val="clear" w:color="000000" w:fill="FFFFFF"/>
            <w:vAlign w:val="bottom"/>
            <w:hideMark/>
          </w:tcPr>
          <w:p w14:paraId="4DE5CD99"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-11</w:t>
            </w:r>
          </w:p>
        </w:tc>
        <w:tc>
          <w:tcPr>
            <w:tcW w:w="640" w:type="dxa"/>
            <w:tcBorders>
              <w:top w:val="single" w:sz="4" w:space="0" w:color="ADD6EA"/>
              <w:left w:val="nil"/>
              <w:bottom w:val="nil"/>
              <w:right w:val="nil"/>
            </w:tcBorders>
            <w:shd w:val="clear" w:color="000000" w:fill="FFFFFF"/>
            <w:vAlign w:val="bottom"/>
            <w:hideMark/>
          </w:tcPr>
          <w:p w14:paraId="040D43DF"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30</w:t>
            </w:r>
          </w:p>
        </w:tc>
        <w:tc>
          <w:tcPr>
            <w:tcW w:w="640" w:type="dxa"/>
            <w:tcBorders>
              <w:top w:val="single" w:sz="4" w:space="0" w:color="ADD6EA"/>
              <w:left w:val="nil"/>
              <w:bottom w:val="nil"/>
              <w:right w:val="nil"/>
            </w:tcBorders>
            <w:shd w:val="clear" w:color="000000" w:fill="FFFFFF"/>
            <w:vAlign w:val="bottom"/>
            <w:hideMark/>
          </w:tcPr>
          <w:p w14:paraId="0BF17AF6"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73</w:t>
            </w:r>
          </w:p>
        </w:tc>
        <w:tc>
          <w:tcPr>
            <w:tcW w:w="640" w:type="dxa"/>
            <w:tcBorders>
              <w:top w:val="single" w:sz="4" w:space="0" w:color="ADD6EA"/>
              <w:left w:val="nil"/>
              <w:bottom w:val="nil"/>
              <w:right w:val="nil"/>
            </w:tcBorders>
            <w:shd w:val="clear" w:color="000000" w:fill="FFFFFF"/>
            <w:vAlign w:val="bottom"/>
            <w:hideMark/>
          </w:tcPr>
          <w:p w14:paraId="4A06E4A4"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221</w:t>
            </w:r>
          </w:p>
        </w:tc>
      </w:tr>
      <w:tr w:rsidR="00D52C03" w:rsidRPr="00D52C03" w14:paraId="71C2340F" w14:textId="77777777" w:rsidTr="00D52C03">
        <w:trPr>
          <w:trHeight w:val="259"/>
        </w:trPr>
        <w:tc>
          <w:tcPr>
            <w:tcW w:w="3280" w:type="dxa"/>
            <w:tcBorders>
              <w:top w:val="single" w:sz="4" w:space="0" w:color="ADD6EA"/>
              <w:left w:val="nil"/>
              <w:bottom w:val="nil"/>
              <w:right w:val="nil"/>
            </w:tcBorders>
            <w:shd w:val="clear" w:color="000000" w:fill="B6D5E4"/>
            <w:vAlign w:val="bottom"/>
            <w:hideMark/>
          </w:tcPr>
          <w:p w14:paraId="58780DD8" w14:textId="77777777" w:rsidR="00D52C03" w:rsidRPr="00D52C03" w:rsidRDefault="00D52C03" w:rsidP="00D52C03">
            <w:pPr>
              <w:tabs>
                <w:tab w:val="clear" w:pos="567"/>
              </w:tabs>
              <w:spacing w:before="0" w:line="240" w:lineRule="auto"/>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 </w:t>
            </w:r>
          </w:p>
        </w:tc>
        <w:tc>
          <w:tcPr>
            <w:tcW w:w="640" w:type="dxa"/>
            <w:tcBorders>
              <w:top w:val="single" w:sz="4" w:space="0" w:color="ADD6EA"/>
              <w:left w:val="nil"/>
              <w:bottom w:val="nil"/>
              <w:right w:val="nil"/>
            </w:tcBorders>
            <w:shd w:val="clear" w:color="000000" w:fill="B6D5E4"/>
            <w:vAlign w:val="bottom"/>
            <w:hideMark/>
          </w:tcPr>
          <w:p w14:paraId="10B7EEB0"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c>
          <w:tcPr>
            <w:tcW w:w="640" w:type="dxa"/>
            <w:tcBorders>
              <w:top w:val="single" w:sz="4" w:space="0" w:color="ADD6EA"/>
              <w:left w:val="nil"/>
              <w:bottom w:val="nil"/>
              <w:right w:val="nil"/>
            </w:tcBorders>
            <w:shd w:val="clear" w:color="000000" w:fill="B6D5E4"/>
            <w:vAlign w:val="bottom"/>
            <w:hideMark/>
          </w:tcPr>
          <w:p w14:paraId="7B4C99E5"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c>
          <w:tcPr>
            <w:tcW w:w="640" w:type="dxa"/>
            <w:tcBorders>
              <w:top w:val="single" w:sz="4" w:space="0" w:color="ADD6EA"/>
              <w:left w:val="nil"/>
              <w:bottom w:val="nil"/>
              <w:right w:val="nil"/>
            </w:tcBorders>
            <w:shd w:val="clear" w:color="000000" w:fill="B6D5E4"/>
            <w:vAlign w:val="bottom"/>
            <w:hideMark/>
          </w:tcPr>
          <w:p w14:paraId="44B8DCBA"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c>
          <w:tcPr>
            <w:tcW w:w="640" w:type="dxa"/>
            <w:tcBorders>
              <w:top w:val="single" w:sz="4" w:space="0" w:color="ADD6EA"/>
              <w:left w:val="nil"/>
              <w:bottom w:val="nil"/>
              <w:right w:val="nil"/>
            </w:tcBorders>
            <w:shd w:val="clear" w:color="000000" w:fill="B6D5E4"/>
            <w:vAlign w:val="bottom"/>
            <w:hideMark/>
          </w:tcPr>
          <w:p w14:paraId="02F8B333"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c>
          <w:tcPr>
            <w:tcW w:w="640" w:type="dxa"/>
            <w:tcBorders>
              <w:top w:val="single" w:sz="4" w:space="0" w:color="ADD6EA"/>
              <w:left w:val="nil"/>
              <w:bottom w:val="nil"/>
              <w:right w:val="nil"/>
            </w:tcBorders>
            <w:shd w:val="clear" w:color="000000" w:fill="B6D5E4"/>
            <w:vAlign w:val="bottom"/>
            <w:hideMark/>
          </w:tcPr>
          <w:p w14:paraId="19FF6706"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c>
          <w:tcPr>
            <w:tcW w:w="640" w:type="dxa"/>
            <w:tcBorders>
              <w:top w:val="single" w:sz="4" w:space="0" w:color="ADD6EA"/>
              <w:left w:val="nil"/>
              <w:bottom w:val="nil"/>
              <w:right w:val="nil"/>
            </w:tcBorders>
            <w:shd w:val="clear" w:color="000000" w:fill="B6D5E4"/>
            <w:vAlign w:val="bottom"/>
            <w:hideMark/>
          </w:tcPr>
          <w:p w14:paraId="76200D32"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c>
          <w:tcPr>
            <w:tcW w:w="640" w:type="dxa"/>
            <w:tcBorders>
              <w:top w:val="single" w:sz="4" w:space="0" w:color="ADD6EA"/>
              <w:left w:val="nil"/>
              <w:bottom w:val="nil"/>
              <w:right w:val="nil"/>
            </w:tcBorders>
            <w:shd w:val="clear" w:color="000000" w:fill="B6D5E4"/>
            <w:vAlign w:val="bottom"/>
            <w:hideMark/>
          </w:tcPr>
          <w:p w14:paraId="46A73AF6"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c>
          <w:tcPr>
            <w:tcW w:w="640" w:type="dxa"/>
            <w:tcBorders>
              <w:top w:val="single" w:sz="4" w:space="0" w:color="ADD6EA"/>
              <w:left w:val="nil"/>
              <w:bottom w:val="nil"/>
              <w:right w:val="nil"/>
            </w:tcBorders>
            <w:shd w:val="clear" w:color="000000" w:fill="B6D5E4"/>
            <w:vAlign w:val="bottom"/>
            <w:hideMark/>
          </w:tcPr>
          <w:p w14:paraId="188DDCB1"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c>
          <w:tcPr>
            <w:tcW w:w="640" w:type="dxa"/>
            <w:tcBorders>
              <w:top w:val="single" w:sz="4" w:space="0" w:color="ADD6EA"/>
              <w:left w:val="nil"/>
              <w:bottom w:val="nil"/>
              <w:right w:val="nil"/>
            </w:tcBorders>
            <w:shd w:val="clear" w:color="000000" w:fill="B6D5E4"/>
            <w:vAlign w:val="bottom"/>
            <w:hideMark/>
          </w:tcPr>
          <w:p w14:paraId="1558264E" w14:textId="77777777" w:rsidR="00D52C03" w:rsidRPr="00D52C03" w:rsidRDefault="00D52C03" w:rsidP="00D52C0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2C03">
              <w:rPr>
                <w:rFonts w:ascii="Open Sans Semibold" w:eastAsia="Times New Roman" w:hAnsi="Open Sans Semibold" w:cs="Open Sans Semibold"/>
                <w:color w:val="000000"/>
                <w:sz w:val="16"/>
                <w:szCs w:val="16"/>
                <w:lang w:eastAsia="en-AU"/>
              </w:rPr>
              <w:t>$pc</w:t>
            </w:r>
          </w:p>
        </w:tc>
      </w:tr>
      <w:tr w:rsidR="00D52C03" w:rsidRPr="00D52C03" w14:paraId="16CD3E17" w14:textId="77777777" w:rsidTr="00D52C03">
        <w:trPr>
          <w:trHeight w:val="319"/>
        </w:trPr>
        <w:tc>
          <w:tcPr>
            <w:tcW w:w="3280" w:type="dxa"/>
            <w:tcBorders>
              <w:top w:val="single" w:sz="4" w:space="0" w:color="ADD6EA"/>
              <w:left w:val="nil"/>
              <w:bottom w:val="nil"/>
              <w:right w:val="nil"/>
            </w:tcBorders>
            <w:shd w:val="clear" w:color="000000" w:fill="FFFFFF"/>
            <w:vAlign w:val="bottom"/>
            <w:hideMark/>
          </w:tcPr>
          <w:p w14:paraId="4254065B" w14:textId="77777777" w:rsidR="00D52C03" w:rsidRPr="00D52C03" w:rsidRDefault="00D52C03" w:rsidP="00D52C03">
            <w:pPr>
              <w:tabs>
                <w:tab w:val="clear" w:pos="567"/>
              </w:tabs>
              <w:spacing w:before="0" w:line="240" w:lineRule="auto"/>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Community health use indicator</w:t>
            </w:r>
          </w:p>
        </w:tc>
        <w:tc>
          <w:tcPr>
            <w:tcW w:w="640" w:type="dxa"/>
            <w:tcBorders>
              <w:top w:val="single" w:sz="4" w:space="0" w:color="ADD6EA"/>
              <w:left w:val="nil"/>
              <w:bottom w:val="nil"/>
              <w:right w:val="nil"/>
            </w:tcBorders>
            <w:shd w:val="clear" w:color="000000" w:fill="FFFFFF"/>
            <w:vAlign w:val="bottom"/>
            <w:hideMark/>
          </w:tcPr>
          <w:p w14:paraId="2C84A1E8"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5</w:t>
            </w:r>
          </w:p>
        </w:tc>
        <w:tc>
          <w:tcPr>
            <w:tcW w:w="640" w:type="dxa"/>
            <w:tcBorders>
              <w:top w:val="single" w:sz="4" w:space="0" w:color="ADD6EA"/>
              <w:left w:val="nil"/>
              <w:bottom w:val="nil"/>
              <w:right w:val="nil"/>
            </w:tcBorders>
            <w:shd w:val="clear" w:color="000000" w:fill="FFFFFF"/>
            <w:vAlign w:val="bottom"/>
            <w:hideMark/>
          </w:tcPr>
          <w:p w14:paraId="77441ABE"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6</w:t>
            </w:r>
          </w:p>
        </w:tc>
        <w:tc>
          <w:tcPr>
            <w:tcW w:w="640" w:type="dxa"/>
            <w:tcBorders>
              <w:top w:val="single" w:sz="4" w:space="0" w:color="ADD6EA"/>
              <w:left w:val="nil"/>
              <w:bottom w:val="nil"/>
              <w:right w:val="nil"/>
            </w:tcBorders>
            <w:shd w:val="clear" w:color="000000" w:fill="FFFFFF"/>
            <w:vAlign w:val="bottom"/>
            <w:hideMark/>
          </w:tcPr>
          <w:p w14:paraId="0AC2E695"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w:t>
            </w:r>
          </w:p>
        </w:tc>
        <w:tc>
          <w:tcPr>
            <w:tcW w:w="640" w:type="dxa"/>
            <w:tcBorders>
              <w:top w:val="single" w:sz="4" w:space="0" w:color="ADD6EA"/>
              <w:left w:val="nil"/>
              <w:bottom w:val="nil"/>
              <w:right w:val="nil"/>
            </w:tcBorders>
            <w:shd w:val="clear" w:color="000000" w:fill="FFFFFF"/>
            <w:vAlign w:val="bottom"/>
            <w:hideMark/>
          </w:tcPr>
          <w:p w14:paraId="7214A9D5"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-8</w:t>
            </w:r>
          </w:p>
        </w:tc>
        <w:tc>
          <w:tcPr>
            <w:tcW w:w="640" w:type="dxa"/>
            <w:tcBorders>
              <w:top w:val="single" w:sz="4" w:space="0" w:color="ADD6EA"/>
              <w:left w:val="nil"/>
              <w:bottom w:val="nil"/>
              <w:right w:val="nil"/>
            </w:tcBorders>
            <w:shd w:val="clear" w:color="000000" w:fill="FFFFFF"/>
            <w:vAlign w:val="bottom"/>
            <w:hideMark/>
          </w:tcPr>
          <w:p w14:paraId="1DC44A11"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w:t>
            </w:r>
          </w:p>
        </w:tc>
        <w:tc>
          <w:tcPr>
            <w:tcW w:w="640" w:type="dxa"/>
            <w:tcBorders>
              <w:top w:val="single" w:sz="4" w:space="0" w:color="ADD6EA"/>
              <w:left w:val="nil"/>
              <w:bottom w:val="nil"/>
              <w:right w:val="nil"/>
            </w:tcBorders>
            <w:shd w:val="clear" w:color="000000" w:fill="FFFFFF"/>
            <w:vAlign w:val="bottom"/>
            <w:hideMark/>
          </w:tcPr>
          <w:p w14:paraId="0E5A210E"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-21</w:t>
            </w:r>
          </w:p>
        </w:tc>
        <w:tc>
          <w:tcPr>
            <w:tcW w:w="640" w:type="dxa"/>
            <w:tcBorders>
              <w:top w:val="single" w:sz="4" w:space="0" w:color="ADD6EA"/>
              <w:left w:val="nil"/>
              <w:bottom w:val="nil"/>
              <w:right w:val="nil"/>
            </w:tcBorders>
            <w:shd w:val="clear" w:color="000000" w:fill="FFFFFF"/>
            <w:vAlign w:val="bottom"/>
            <w:hideMark/>
          </w:tcPr>
          <w:p w14:paraId="32B2D660"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11</w:t>
            </w:r>
          </w:p>
        </w:tc>
        <w:tc>
          <w:tcPr>
            <w:tcW w:w="640" w:type="dxa"/>
            <w:tcBorders>
              <w:top w:val="single" w:sz="4" w:space="0" w:color="ADD6EA"/>
              <w:left w:val="nil"/>
              <w:bottom w:val="nil"/>
              <w:right w:val="nil"/>
            </w:tcBorders>
            <w:shd w:val="clear" w:color="000000" w:fill="FFFFFF"/>
            <w:vAlign w:val="bottom"/>
            <w:hideMark/>
          </w:tcPr>
          <w:p w14:paraId="11D6F4DF"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-134</w:t>
            </w:r>
          </w:p>
        </w:tc>
        <w:tc>
          <w:tcPr>
            <w:tcW w:w="640" w:type="dxa"/>
            <w:tcBorders>
              <w:top w:val="single" w:sz="4" w:space="0" w:color="ADD6EA"/>
              <w:left w:val="nil"/>
              <w:bottom w:val="nil"/>
              <w:right w:val="nil"/>
            </w:tcBorders>
            <w:shd w:val="clear" w:color="000000" w:fill="FFFFFF"/>
            <w:vAlign w:val="bottom"/>
            <w:hideMark/>
          </w:tcPr>
          <w:p w14:paraId="7E7CDA3C"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3</w:t>
            </w:r>
          </w:p>
        </w:tc>
      </w:tr>
      <w:tr w:rsidR="00D52C03" w:rsidRPr="00D52C03" w14:paraId="035E9988" w14:textId="77777777" w:rsidTr="001D0AE5">
        <w:trPr>
          <w:trHeight w:val="319"/>
        </w:trPr>
        <w:tc>
          <w:tcPr>
            <w:tcW w:w="3280" w:type="dxa"/>
            <w:tcBorders>
              <w:top w:val="single" w:sz="4" w:space="0" w:color="ADD6EA"/>
              <w:left w:val="nil"/>
              <w:bottom w:val="single" w:sz="4" w:space="0" w:color="ADD6EA"/>
              <w:right w:val="nil"/>
            </w:tcBorders>
            <w:shd w:val="clear" w:color="000000" w:fill="FFFFFF"/>
            <w:vAlign w:val="bottom"/>
            <w:hideMark/>
          </w:tcPr>
          <w:p w14:paraId="5AD3A96F" w14:textId="77777777" w:rsidR="00D52C03" w:rsidRPr="00D52C03" w:rsidRDefault="00D52C03" w:rsidP="00D52C03">
            <w:pPr>
              <w:tabs>
                <w:tab w:val="clear" w:pos="567"/>
              </w:tabs>
              <w:spacing w:before="0" w:line="240" w:lineRule="auto"/>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Discounting of non-state sector adjustment</w:t>
            </w:r>
          </w:p>
        </w:tc>
        <w:tc>
          <w:tcPr>
            <w:tcW w:w="640" w:type="dxa"/>
            <w:tcBorders>
              <w:top w:val="single" w:sz="4" w:space="0" w:color="ADD6EA"/>
              <w:left w:val="nil"/>
              <w:bottom w:val="single" w:sz="4" w:space="0" w:color="ADD6EA"/>
              <w:right w:val="nil"/>
            </w:tcBorders>
            <w:shd w:val="clear" w:color="000000" w:fill="FFFFFF"/>
            <w:vAlign w:val="bottom"/>
            <w:hideMark/>
          </w:tcPr>
          <w:p w14:paraId="0517E031"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5</w:t>
            </w:r>
          </w:p>
        </w:tc>
        <w:tc>
          <w:tcPr>
            <w:tcW w:w="640" w:type="dxa"/>
            <w:tcBorders>
              <w:top w:val="single" w:sz="4" w:space="0" w:color="ADD6EA"/>
              <w:left w:val="nil"/>
              <w:bottom w:val="single" w:sz="4" w:space="0" w:color="ADD6EA"/>
              <w:right w:val="nil"/>
            </w:tcBorders>
            <w:shd w:val="clear" w:color="000000" w:fill="FFFFFF"/>
            <w:vAlign w:val="bottom"/>
            <w:hideMark/>
          </w:tcPr>
          <w:p w14:paraId="00007B9D"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-3</w:t>
            </w:r>
          </w:p>
        </w:tc>
        <w:tc>
          <w:tcPr>
            <w:tcW w:w="640" w:type="dxa"/>
            <w:tcBorders>
              <w:top w:val="single" w:sz="4" w:space="0" w:color="ADD6EA"/>
              <w:left w:val="nil"/>
              <w:bottom w:val="single" w:sz="4" w:space="0" w:color="ADD6EA"/>
              <w:right w:val="nil"/>
            </w:tcBorders>
            <w:shd w:val="clear" w:color="000000" w:fill="FFFFFF"/>
            <w:vAlign w:val="bottom"/>
            <w:hideMark/>
          </w:tcPr>
          <w:p w14:paraId="2D92F846"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9</w:t>
            </w:r>
          </w:p>
        </w:tc>
        <w:tc>
          <w:tcPr>
            <w:tcW w:w="640" w:type="dxa"/>
            <w:tcBorders>
              <w:top w:val="single" w:sz="4" w:space="0" w:color="ADD6EA"/>
              <w:left w:val="nil"/>
              <w:bottom w:val="single" w:sz="4" w:space="0" w:color="ADD6EA"/>
              <w:right w:val="nil"/>
            </w:tcBorders>
            <w:shd w:val="clear" w:color="000000" w:fill="FFFFFF"/>
            <w:vAlign w:val="bottom"/>
            <w:hideMark/>
          </w:tcPr>
          <w:p w14:paraId="7A4B5EC8"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-15</w:t>
            </w:r>
          </w:p>
        </w:tc>
        <w:tc>
          <w:tcPr>
            <w:tcW w:w="640" w:type="dxa"/>
            <w:tcBorders>
              <w:top w:val="single" w:sz="4" w:space="0" w:color="ADD6EA"/>
              <w:left w:val="nil"/>
              <w:bottom w:val="single" w:sz="4" w:space="0" w:color="ADD6EA"/>
              <w:right w:val="nil"/>
            </w:tcBorders>
            <w:shd w:val="clear" w:color="000000" w:fill="FFFFFF"/>
            <w:vAlign w:val="bottom"/>
            <w:hideMark/>
          </w:tcPr>
          <w:p w14:paraId="388025FA"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w:t>
            </w:r>
          </w:p>
        </w:tc>
        <w:tc>
          <w:tcPr>
            <w:tcW w:w="640" w:type="dxa"/>
            <w:tcBorders>
              <w:top w:val="single" w:sz="4" w:space="0" w:color="ADD6EA"/>
              <w:left w:val="nil"/>
              <w:bottom w:val="single" w:sz="4" w:space="0" w:color="ADD6EA"/>
              <w:right w:val="nil"/>
            </w:tcBorders>
            <w:shd w:val="clear" w:color="000000" w:fill="FFFFFF"/>
            <w:vAlign w:val="bottom"/>
            <w:hideMark/>
          </w:tcPr>
          <w:p w14:paraId="273DC376"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w:t>
            </w:r>
          </w:p>
        </w:tc>
        <w:tc>
          <w:tcPr>
            <w:tcW w:w="640" w:type="dxa"/>
            <w:tcBorders>
              <w:top w:val="single" w:sz="4" w:space="0" w:color="ADD6EA"/>
              <w:left w:val="nil"/>
              <w:bottom w:val="single" w:sz="4" w:space="0" w:color="ADD6EA"/>
              <w:right w:val="nil"/>
            </w:tcBorders>
            <w:shd w:val="clear" w:color="000000" w:fill="FFFFFF"/>
            <w:vAlign w:val="bottom"/>
            <w:hideMark/>
          </w:tcPr>
          <w:p w14:paraId="07803EF7"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-45</w:t>
            </w:r>
          </w:p>
        </w:tc>
        <w:tc>
          <w:tcPr>
            <w:tcW w:w="640" w:type="dxa"/>
            <w:tcBorders>
              <w:top w:val="single" w:sz="4" w:space="0" w:color="ADD6EA"/>
              <w:left w:val="nil"/>
              <w:bottom w:val="single" w:sz="4" w:space="0" w:color="ADD6EA"/>
              <w:right w:val="nil"/>
            </w:tcBorders>
            <w:shd w:val="clear" w:color="000000" w:fill="FFFFFF"/>
            <w:vAlign w:val="bottom"/>
            <w:hideMark/>
          </w:tcPr>
          <w:p w14:paraId="5DFC4CF1"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-3</w:t>
            </w:r>
          </w:p>
        </w:tc>
        <w:tc>
          <w:tcPr>
            <w:tcW w:w="640" w:type="dxa"/>
            <w:tcBorders>
              <w:top w:val="single" w:sz="4" w:space="0" w:color="ADD6EA"/>
              <w:left w:val="nil"/>
              <w:bottom w:val="single" w:sz="4" w:space="0" w:color="ADD6EA"/>
              <w:right w:val="nil"/>
            </w:tcBorders>
            <w:shd w:val="clear" w:color="000000" w:fill="FFFFFF"/>
            <w:vAlign w:val="bottom"/>
            <w:hideMark/>
          </w:tcPr>
          <w:p w14:paraId="332090C5"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3</w:t>
            </w:r>
          </w:p>
        </w:tc>
      </w:tr>
      <w:tr w:rsidR="00D52C03" w:rsidRPr="00D52C03" w14:paraId="3A8CBAFF" w14:textId="77777777" w:rsidTr="001D0AE5">
        <w:trPr>
          <w:trHeight w:val="319"/>
        </w:trPr>
        <w:tc>
          <w:tcPr>
            <w:tcW w:w="3280" w:type="dxa"/>
            <w:tcBorders>
              <w:top w:val="single" w:sz="4" w:space="0" w:color="ADD6EA"/>
              <w:left w:val="nil"/>
              <w:bottom w:val="single" w:sz="4" w:space="0" w:color="ADD6EA"/>
              <w:right w:val="nil"/>
            </w:tcBorders>
            <w:shd w:val="clear" w:color="000000" w:fill="FFFFFF"/>
            <w:vAlign w:val="bottom"/>
            <w:hideMark/>
          </w:tcPr>
          <w:p w14:paraId="5F34A037" w14:textId="77777777" w:rsidR="00D52C03" w:rsidRPr="00D52C03" w:rsidRDefault="00D52C03" w:rsidP="00D52C03">
            <w:pPr>
              <w:tabs>
                <w:tab w:val="clear" w:pos="567"/>
              </w:tabs>
              <w:spacing w:before="0" w:line="240" w:lineRule="auto"/>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Changes to non-state sector adjustment</w:t>
            </w:r>
          </w:p>
        </w:tc>
        <w:tc>
          <w:tcPr>
            <w:tcW w:w="640" w:type="dxa"/>
            <w:tcBorders>
              <w:top w:val="single" w:sz="4" w:space="0" w:color="ADD6EA"/>
              <w:left w:val="nil"/>
              <w:bottom w:val="single" w:sz="4" w:space="0" w:color="ADD6EA"/>
              <w:right w:val="nil"/>
            </w:tcBorders>
            <w:shd w:val="clear" w:color="000000" w:fill="FFFFFF"/>
            <w:vAlign w:val="bottom"/>
            <w:hideMark/>
          </w:tcPr>
          <w:p w14:paraId="00F34576"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-12</w:t>
            </w:r>
          </w:p>
        </w:tc>
        <w:tc>
          <w:tcPr>
            <w:tcW w:w="640" w:type="dxa"/>
            <w:tcBorders>
              <w:top w:val="single" w:sz="4" w:space="0" w:color="ADD6EA"/>
              <w:left w:val="nil"/>
              <w:bottom w:val="single" w:sz="4" w:space="0" w:color="ADD6EA"/>
              <w:right w:val="nil"/>
            </w:tcBorders>
            <w:shd w:val="clear" w:color="000000" w:fill="FFFFFF"/>
            <w:vAlign w:val="bottom"/>
            <w:hideMark/>
          </w:tcPr>
          <w:p w14:paraId="0FBC6D6D"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9</w:t>
            </w:r>
          </w:p>
        </w:tc>
        <w:tc>
          <w:tcPr>
            <w:tcW w:w="640" w:type="dxa"/>
            <w:tcBorders>
              <w:top w:val="single" w:sz="4" w:space="0" w:color="ADD6EA"/>
              <w:left w:val="nil"/>
              <w:bottom w:val="single" w:sz="4" w:space="0" w:color="ADD6EA"/>
              <w:right w:val="nil"/>
            </w:tcBorders>
            <w:shd w:val="clear" w:color="000000" w:fill="FFFFFF"/>
            <w:vAlign w:val="bottom"/>
            <w:hideMark/>
          </w:tcPr>
          <w:p w14:paraId="4ABEB2DC"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-20</w:t>
            </w:r>
          </w:p>
        </w:tc>
        <w:tc>
          <w:tcPr>
            <w:tcW w:w="640" w:type="dxa"/>
            <w:tcBorders>
              <w:top w:val="single" w:sz="4" w:space="0" w:color="ADD6EA"/>
              <w:left w:val="nil"/>
              <w:bottom w:val="single" w:sz="4" w:space="0" w:color="ADD6EA"/>
              <w:right w:val="nil"/>
            </w:tcBorders>
            <w:shd w:val="clear" w:color="000000" w:fill="FFFFFF"/>
            <w:vAlign w:val="bottom"/>
            <w:hideMark/>
          </w:tcPr>
          <w:p w14:paraId="10E0731C"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15</w:t>
            </w:r>
          </w:p>
        </w:tc>
        <w:tc>
          <w:tcPr>
            <w:tcW w:w="640" w:type="dxa"/>
            <w:tcBorders>
              <w:top w:val="single" w:sz="4" w:space="0" w:color="ADD6EA"/>
              <w:left w:val="nil"/>
              <w:bottom w:val="single" w:sz="4" w:space="0" w:color="ADD6EA"/>
              <w:right w:val="nil"/>
            </w:tcBorders>
            <w:shd w:val="clear" w:color="000000" w:fill="FFFFFF"/>
            <w:vAlign w:val="bottom"/>
            <w:hideMark/>
          </w:tcPr>
          <w:p w14:paraId="0DACB86A"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4</w:t>
            </w:r>
          </w:p>
        </w:tc>
        <w:tc>
          <w:tcPr>
            <w:tcW w:w="640" w:type="dxa"/>
            <w:tcBorders>
              <w:top w:val="single" w:sz="4" w:space="0" w:color="ADD6EA"/>
              <w:left w:val="nil"/>
              <w:bottom w:val="single" w:sz="4" w:space="0" w:color="ADD6EA"/>
              <w:right w:val="nil"/>
            </w:tcBorders>
            <w:shd w:val="clear" w:color="000000" w:fill="FFFFFF"/>
            <w:vAlign w:val="bottom"/>
            <w:hideMark/>
          </w:tcPr>
          <w:p w14:paraId="362B79AC"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-18</w:t>
            </w:r>
          </w:p>
        </w:tc>
        <w:tc>
          <w:tcPr>
            <w:tcW w:w="640" w:type="dxa"/>
            <w:tcBorders>
              <w:top w:val="single" w:sz="4" w:space="0" w:color="ADD6EA"/>
              <w:left w:val="nil"/>
              <w:bottom w:val="single" w:sz="4" w:space="0" w:color="ADD6EA"/>
              <w:right w:val="nil"/>
            </w:tcBorders>
            <w:shd w:val="clear" w:color="000000" w:fill="FFFFFF"/>
            <w:vAlign w:val="bottom"/>
            <w:hideMark/>
          </w:tcPr>
          <w:p w14:paraId="3CE79A0B"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63</w:t>
            </w:r>
          </w:p>
        </w:tc>
        <w:tc>
          <w:tcPr>
            <w:tcW w:w="640" w:type="dxa"/>
            <w:tcBorders>
              <w:top w:val="single" w:sz="4" w:space="0" w:color="ADD6EA"/>
              <w:left w:val="nil"/>
              <w:bottom w:val="single" w:sz="4" w:space="0" w:color="ADD6EA"/>
              <w:right w:val="nil"/>
            </w:tcBorders>
            <w:shd w:val="clear" w:color="000000" w:fill="FFFFFF"/>
            <w:vAlign w:val="bottom"/>
            <w:hideMark/>
          </w:tcPr>
          <w:p w14:paraId="1C0D7AAE"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285</w:t>
            </w:r>
          </w:p>
        </w:tc>
        <w:tc>
          <w:tcPr>
            <w:tcW w:w="640" w:type="dxa"/>
            <w:tcBorders>
              <w:top w:val="single" w:sz="4" w:space="0" w:color="ADD6EA"/>
              <w:left w:val="nil"/>
              <w:bottom w:val="single" w:sz="4" w:space="0" w:color="ADD6EA"/>
              <w:right w:val="nil"/>
            </w:tcBorders>
            <w:shd w:val="clear" w:color="000000" w:fill="FFFFFF"/>
            <w:vAlign w:val="bottom"/>
            <w:hideMark/>
          </w:tcPr>
          <w:p w14:paraId="4C282127" w14:textId="77777777" w:rsidR="00D52C03" w:rsidRPr="00D52C03" w:rsidRDefault="00D52C03" w:rsidP="00D52C0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52C03">
              <w:rPr>
                <w:rFonts w:ascii="Open Sans Light" w:eastAsia="Times New Roman" w:hAnsi="Open Sans Light" w:cs="Open Sans Light"/>
                <w:color w:val="000000"/>
                <w:sz w:val="16"/>
                <w:szCs w:val="16"/>
                <w:lang w:eastAsia="en-AU"/>
              </w:rPr>
              <w:t>8</w:t>
            </w:r>
          </w:p>
        </w:tc>
      </w:tr>
    </w:tbl>
    <w:p w14:paraId="6A20BC87" w14:textId="25D85FA5" w:rsidR="00214CC8" w:rsidRDefault="00214CC8" w:rsidP="00C92516">
      <w:pPr>
        <w:pStyle w:val="Heading2"/>
        <w:keepNext/>
        <w:keepLines/>
      </w:pPr>
      <w:r>
        <w:t>Housing</w:t>
      </w:r>
      <w:bookmarkEnd w:id="25"/>
    </w:p>
    <w:p w14:paraId="549F54B6" w14:textId="52F904B7" w:rsidR="00292FAC" w:rsidRPr="005A27F1" w:rsidRDefault="18DEF42B" w:rsidP="00C92516">
      <w:pPr>
        <w:pStyle w:val="Heading3"/>
        <w:keepNext/>
        <w:keepLines/>
      </w:pPr>
      <w:bookmarkStart w:id="26" w:name="_Toc176348506"/>
      <w:r>
        <w:t>A</w:t>
      </w:r>
      <w:bookmarkEnd w:id="26"/>
      <w:r w:rsidR="18C233DA">
        <w:t>dditional costs due to above</w:t>
      </w:r>
      <w:r w:rsidR="00C473DC">
        <w:t>-</w:t>
      </w:r>
      <w:r w:rsidR="18C233DA">
        <w:t xml:space="preserve">average overcrowding  </w:t>
      </w:r>
    </w:p>
    <w:p w14:paraId="7F81B928" w14:textId="77E25D96" w:rsidR="00292FAC" w:rsidRDefault="00292FAC" w:rsidP="00C92516">
      <w:pPr>
        <w:pStyle w:val="CGC2025ParaNumbers"/>
        <w:keepNext/>
        <w:keepLines/>
      </w:pPr>
      <w:r>
        <w:t>In the Draft Report, the Commission proposed chang</w:t>
      </w:r>
      <w:r w:rsidR="000E19CD">
        <w:t>ing</w:t>
      </w:r>
      <w:r>
        <w:t xml:space="preserve"> the housing assessment to an individual-based assessment rather than the household</w:t>
      </w:r>
      <w:r>
        <w:noBreakHyphen/>
        <w:t>based assessment from the 2020 Review. This was in response to concerns raised by the Northern</w:t>
      </w:r>
      <w:r w:rsidR="009A684C">
        <w:t> </w:t>
      </w:r>
      <w:r>
        <w:t>Territory that the assessment did not appropriately assess expense needs in states with above</w:t>
      </w:r>
      <w:r>
        <w:noBreakHyphen/>
        <w:t>average overcrowding.</w:t>
      </w:r>
    </w:p>
    <w:p w14:paraId="2EA93B14" w14:textId="77777777" w:rsidR="00292FAC" w:rsidRDefault="00292FAC" w:rsidP="00292FAC">
      <w:pPr>
        <w:pStyle w:val="Heading4"/>
      </w:pPr>
      <w:r>
        <w:t>State views</w:t>
      </w:r>
    </w:p>
    <w:p w14:paraId="2D4C385F" w14:textId="0834F00C" w:rsidR="00292FAC" w:rsidRDefault="00292FAC" w:rsidP="00292FAC">
      <w:pPr>
        <w:pStyle w:val="CGC2025ParaNumbers"/>
      </w:pPr>
      <w:r>
        <w:t>In response to the Commission’s consultation paper on housing, the Northern</w:t>
      </w:r>
      <w:r w:rsidR="00E53412">
        <w:t> </w:t>
      </w:r>
      <w:r>
        <w:t xml:space="preserve">Territory said the assessment should be changed because the </w:t>
      </w:r>
      <w:r w:rsidR="00287EC0">
        <w:t xml:space="preserve">2020 Review </w:t>
      </w:r>
      <w:r>
        <w:t>method reduce</w:t>
      </w:r>
      <w:r w:rsidR="00287EC0">
        <w:t>d</w:t>
      </w:r>
      <w:r>
        <w:t xml:space="preserve"> assessed housing </w:t>
      </w:r>
      <w:r w:rsidR="00075274">
        <w:t xml:space="preserve">expenses </w:t>
      </w:r>
      <w:r>
        <w:t>in states with above-average overcrowding. The Northern Territory said because the national average use rates are applied to each state’s total households, a state with lower housing per capita</w:t>
      </w:r>
      <w:r w:rsidR="00BA1CF6">
        <w:t xml:space="preserve"> </w:t>
      </w:r>
      <w:r w:rsidR="004372F5">
        <w:t>due to above</w:t>
      </w:r>
      <w:r w:rsidR="004372F5">
        <w:noBreakHyphen/>
        <w:t>average</w:t>
      </w:r>
      <w:r>
        <w:t xml:space="preserve"> overcrowding</w:t>
      </w:r>
      <w:r w:rsidDel="00CB6C8C">
        <w:t xml:space="preserve"> </w:t>
      </w:r>
      <w:r>
        <w:t xml:space="preserve">is apportioned less funding per capita. </w:t>
      </w:r>
    </w:p>
    <w:p w14:paraId="601B60A3" w14:textId="4E7BE5AD" w:rsidR="00292FAC" w:rsidRPr="006878FB" w:rsidRDefault="00DB4097" w:rsidP="002845B8">
      <w:pPr>
        <w:pStyle w:val="CGC2025ParaNumbers"/>
      </w:pPr>
      <w:r>
        <w:t xml:space="preserve">While states accepted the conceptual case that </w:t>
      </w:r>
      <w:r w:rsidR="00497174">
        <w:t>overcrowding results in additional costs,</w:t>
      </w:r>
      <w:r w:rsidR="00292FAC" w:rsidDel="00497174">
        <w:t xml:space="preserve"> </w:t>
      </w:r>
      <w:r w:rsidR="00497174">
        <w:t xml:space="preserve">most </w:t>
      </w:r>
      <w:r w:rsidR="00292FAC">
        <w:t>states did not support an individual</w:t>
      </w:r>
      <w:r w:rsidR="00292FAC">
        <w:noBreakHyphen/>
        <w:t xml:space="preserve">based method as proposed in the Draft Report. </w:t>
      </w:r>
      <w:r w:rsidR="004119D4">
        <w:t xml:space="preserve">Western Australia and the </w:t>
      </w:r>
      <w:r w:rsidR="00B76DBA">
        <w:t>Northern</w:t>
      </w:r>
      <w:r w:rsidR="004119D4">
        <w:t xml:space="preserve"> </w:t>
      </w:r>
      <w:r w:rsidR="00B76DBA">
        <w:t>Territory</w:t>
      </w:r>
      <w:r w:rsidR="004119D4">
        <w:t xml:space="preserve"> </w:t>
      </w:r>
      <w:r w:rsidR="00B76DBA">
        <w:t xml:space="preserve">supported the </w:t>
      </w:r>
      <w:r w:rsidR="00E003D1">
        <w:t>app</w:t>
      </w:r>
      <w:r w:rsidR="00E51190">
        <w:t>roach</w:t>
      </w:r>
      <w:r w:rsidR="00090ACA">
        <w:t xml:space="preserve">. </w:t>
      </w:r>
      <w:r w:rsidR="00561BC4">
        <w:t xml:space="preserve">Other states </w:t>
      </w:r>
      <w:r w:rsidR="00292FAC">
        <w:t xml:space="preserve">said it does not reflect what states do </w:t>
      </w:r>
      <w:r w:rsidR="00AD2D0C">
        <w:t>(</w:t>
      </w:r>
      <w:r w:rsidR="00292FAC">
        <w:t>because states provide social housing to households, not individuals</w:t>
      </w:r>
      <w:r w:rsidR="00AD2D0C">
        <w:t>)</w:t>
      </w:r>
      <w:r w:rsidR="00EC5A68">
        <w:t>.</w:t>
      </w:r>
      <w:r w:rsidR="00292FAC" w:rsidRPr="006878FB">
        <w:t xml:space="preserve"> They also said social housing expenses do not increase in a linear way as household size increase</w:t>
      </w:r>
      <w:r w:rsidR="009302FE">
        <w:t>s</w:t>
      </w:r>
      <w:r w:rsidR="00292FAC" w:rsidRPr="006878FB">
        <w:t>, as implied by the individual</w:t>
      </w:r>
      <w:r w:rsidR="00292FAC" w:rsidRPr="006878FB">
        <w:noBreakHyphen/>
        <w:t xml:space="preserve">based approach. </w:t>
      </w:r>
    </w:p>
    <w:p w14:paraId="15573C09" w14:textId="142DC4FB" w:rsidR="00292FAC" w:rsidRPr="00DF3A85" w:rsidRDefault="00292FAC" w:rsidP="00292FAC">
      <w:pPr>
        <w:pStyle w:val="CGC2025ParaNumbers"/>
      </w:pPr>
      <w:r w:rsidRPr="00DF3A85">
        <w:t>New South Wales said an above</w:t>
      </w:r>
      <w:r w:rsidR="00D87440">
        <w:t>-</w:t>
      </w:r>
      <w:r w:rsidRPr="00DF3A85">
        <w:t xml:space="preserve">average sized household is not necessarily overcrowded. It said the Commission’s solution to the problem identified by the Northern Territory had conflated the issue of household undercount with social housing overcrowding. </w:t>
      </w:r>
      <w:r w:rsidR="00E25797" w:rsidRPr="00DF3A85">
        <w:t>It</w:t>
      </w:r>
      <w:r w:rsidRPr="00DF3A85">
        <w:t xml:space="preserve"> said the Commission should consider options for </w:t>
      </w:r>
      <w:r w:rsidRPr="00DF3A85">
        <w:lastRenderedPageBreak/>
        <w:t xml:space="preserve">recognising a potential cost weight for household size, though any cost weight </w:t>
      </w:r>
      <w:r w:rsidR="003503A2">
        <w:t xml:space="preserve">needs to be </w:t>
      </w:r>
      <w:r w:rsidRPr="00DF3A85">
        <w:t>supported by data.</w:t>
      </w:r>
    </w:p>
    <w:p w14:paraId="4EA6F18C" w14:textId="4DA9D188" w:rsidR="00292FAC" w:rsidRPr="00DF3A85" w:rsidRDefault="00BD6364" w:rsidP="00292FAC">
      <w:pPr>
        <w:pStyle w:val="CGC2025ParaNumbers"/>
      </w:pPr>
      <w:r w:rsidRPr="00D316FB">
        <w:t xml:space="preserve">In addition, </w:t>
      </w:r>
      <w:r w:rsidR="00292FAC" w:rsidRPr="00DF3A85">
        <w:t>New South Wales and Victoria presented data on the increasing share of single</w:t>
      </w:r>
      <w:r w:rsidR="00292FAC" w:rsidRPr="00DF3A85">
        <w:noBreakHyphen/>
        <w:t xml:space="preserve">person households </w:t>
      </w:r>
      <w:r w:rsidR="00AF4D19">
        <w:t xml:space="preserve">in social housing </w:t>
      </w:r>
      <w:r w:rsidR="00292FAC" w:rsidRPr="00DF3A85">
        <w:t>and referenced analysis that showed single</w:t>
      </w:r>
      <w:r w:rsidR="00292FAC" w:rsidRPr="00DF3A85">
        <w:noBreakHyphen/>
        <w:t xml:space="preserve">person households incur higher costs for tenant-related service requests and other property maintenance and repair requests. </w:t>
      </w:r>
      <w:r w:rsidR="00C60EF9" w:rsidRPr="00DF3A85">
        <w:t>They said t</w:t>
      </w:r>
      <w:r w:rsidR="00292FAC" w:rsidRPr="00DF3A85">
        <w:t>hese additional costs relate to the complex needs of tenants and complex needs are found at a disproportionately high rate amongst single person households.</w:t>
      </w:r>
    </w:p>
    <w:p w14:paraId="758D5E40" w14:textId="27DC5836" w:rsidR="00292FAC" w:rsidRPr="00DF3A85" w:rsidRDefault="00292FAC" w:rsidP="00292FAC">
      <w:pPr>
        <w:pStyle w:val="CGC2025ParaNumbers"/>
      </w:pPr>
      <w:r w:rsidRPr="00DF3A85">
        <w:t xml:space="preserve">Victoria said a move to an individual-based assessment is unnecessary as existing drivers in the housing assessment (for example, remoteness) are already appropriate proxies for overcrowding. Victoria also said larger households pay more in rent, resulting in higher revenue for the service provider. </w:t>
      </w:r>
      <w:r w:rsidR="00204586" w:rsidRPr="00DF3A85">
        <w:t>It said i</w:t>
      </w:r>
      <w:r w:rsidRPr="00DF3A85">
        <w:t>n most cases, this offsets any additional costs associated with extra tenants.</w:t>
      </w:r>
    </w:p>
    <w:p w14:paraId="336345E8" w14:textId="76CADC69" w:rsidR="009A678C" w:rsidRPr="00DF3A85" w:rsidRDefault="009A678C" w:rsidP="009A678C">
      <w:pPr>
        <w:pStyle w:val="CGC2025ParaNumbers"/>
      </w:pPr>
      <w:r w:rsidRPr="00DF3A85">
        <w:t>Queensland said it accepts that there is a conceptual case that a household approach does not adequately reflect the costs of addressing overcrowding, but it d</w:t>
      </w:r>
      <w:r w:rsidR="00BA1A25">
        <w:t>id</w:t>
      </w:r>
      <w:r w:rsidRPr="00DF3A85">
        <w:t xml:space="preserve"> not support the method change. It said that further changes add to the complexity in an assessment which already has a very small impact o</w:t>
      </w:r>
      <w:r w:rsidR="005B229A">
        <w:t>n</w:t>
      </w:r>
      <w:r w:rsidRPr="00DF3A85">
        <w:t xml:space="preserve"> GST distribution.</w:t>
      </w:r>
    </w:p>
    <w:p w14:paraId="4B65A7A6" w14:textId="42E0B857" w:rsidR="00292FAC" w:rsidRPr="00D316FB" w:rsidRDefault="00292FAC" w:rsidP="00D316FB">
      <w:pPr>
        <w:pStyle w:val="CGC2025ParaNumbers"/>
      </w:pPr>
      <w:r w:rsidRPr="00D316FB">
        <w:t xml:space="preserve">South Australia said that the additional </w:t>
      </w:r>
      <w:r w:rsidR="008E0726" w:rsidRPr="00D316FB">
        <w:t xml:space="preserve">costs </w:t>
      </w:r>
      <w:r w:rsidR="00497B09" w:rsidRPr="00D316FB">
        <w:t xml:space="preserve">faced by </w:t>
      </w:r>
      <w:r w:rsidRPr="00D316FB">
        <w:t xml:space="preserve">the Northern Territory (i.e. beyond what it needs to spend to provide the average standard of services) should be addressed and funded outside the horizontal fiscal equalisation system. </w:t>
      </w:r>
      <w:r w:rsidR="00A74D17">
        <w:t>It</w:t>
      </w:r>
      <w:r w:rsidR="00C72938" w:rsidRPr="00D316FB">
        <w:t xml:space="preserve"> said this </w:t>
      </w:r>
      <w:r w:rsidRPr="00D316FB">
        <w:t xml:space="preserve">reflects that the objective of horizontal fiscal equalisation is to provide states with the capacity to provide the same standard of services. </w:t>
      </w:r>
      <w:r w:rsidR="00F9282B" w:rsidRPr="00D316FB">
        <w:t>It said a</w:t>
      </w:r>
      <w:r w:rsidRPr="00D316FB">
        <w:t xml:space="preserve">ddressing overcrowding in the Northern Territory’s remote </w:t>
      </w:r>
      <w:r w:rsidR="00D07F75" w:rsidRPr="00D316FB">
        <w:t xml:space="preserve">First Nations </w:t>
      </w:r>
      <w:r w:rsidRPr="00D316FB">
        <w:t>communities would require a higher</w:t>
      </w:r>
      <w:r w:rsidR="002F5B1F">
        <w:noBreakHyphen/>
      </w:r>
      <w:r w:rsidRPr="00D316FB">
        <w:t>than</w:t>
      </w:r>
      <w:r w:rsidR="002F5B1F">
        <w:noBreakHyphen/>
      </w:r>
      <w:r w:rsidRPr="00D316FB">
        <w:t>average standard of service, which is beyond the scope of horizontal fiscal equalisation.</w:t>
      </w:r>
    </w:p>
    <w:p w14:paraId="5D88257D" w14:textId="592E0B96" w:rsidR="00292FAC" w:rsidRDefault="00292FAC" w:rsidP="00D316FB">
      <w:pPr>
        <w:pStyle w:val="CGC2025ParaNumbers"/>
      </w:pPr>
      <w:r w:rsidRPr="00DF3A85">
        <w:t xml:space="preserve">Victoria said the change to an </w:t>
      </w:r>
      <w:r w:rsidR="00DF3A85" w:rsidRPr="00DF3A85">
        <w:t>individual-based</w:t>
      </w:r>
      <w:r w:rsidRPr="00DF3A85">
        <w:t xml:space="preserve"> assessment would result in a change in GST distribution disproportionate to the size of the overcrowding problem. Victoria said it did not consider sufficient consultation had been conducted with states, given the magnitude of this change. South Australia and Tasmania suggested the issue should be considered further as part of the forward work program.</w:t>
      </w:r>
    </w:p>
    <w:p w14:paraId="7741BDDE" w14:textId="5286AA33" w:rsidR="00DB481E" w:rsidRPr="00DF3A85" w:rsidRDefault="00DB481E" w:rsidP="00665A0C">
      <w:pPr>
        <w:pStyle w:val="CGC2025ParaNumbers"/>
      </w:pPr>
      <w:r>
        <w:t xml:space="preserve">In its </w:t>
      </w:r>
      <w:r w:rsidR="00D66C73">
        <w:t>sup</w:t>
      </w:r>
      <w:r w:rsidR="004A5CBC">
        <w:t>plementary submission to the Draft Report, the Northern Territory</w:t>
      </w:r>
      <w:r w:rsidR="009F283B">
        <w:t xml:space="preserve"> re</w:t>
      </w:r>
      <w:r w:rsidR="005E2DBB">
        <w:t>iterated its support</w:t>
      </w:r>
      <w:r w:rsidR="00F03DA7">
        <w:t xml:space="preserve"> for </w:t>
      </w:r>
      <w:r w:rsidR="00EB3521">
        <w:t>a</w:t>
      </w:r>
      <w:r w:rsidR="00291E84">
        <w:t>n</w:t>
      </w:r>
      <w:r w:rsidR="00EB3521">
        <w:t xml:space="preserve"> </w:t>
      </w:r>
      <w:r w:rsidR="00CC16B0">
        <w:t>individual</w:t>
      </w:r>
      <w:r w:rsidR="006137E1">
        <w:noBreakHyphen/>
        <w:t xml:space="preserve">based </w:t>
      </w:r>
      <w:r w:rsidR="00E670BE">
        <w:t>housing assessment</w:t>
      </w:r>
      <w:r w:rsidR="00E4758B">
        <w:t xml:space="preserve">. It said </w:t>
      </w:r>
      <w:r w:rsidR="00246A45" w:rsidRPr="00246A45">
        <w:t xml:space="preserve">the purpose of </w:t>
      </w:r>
      <w:r w:rsidR="00087186">
        <w:t xml:space="preserve">horizontal </w:t>
      </w:r>
      <w:r w:rsidR="00246A45" w:rsidRPr="00246A45">
        <w:t xml:space="preserve">fiscal equalisation is to provide states with </w:t>
      </w:r>
      <w:r w:rsidR="005A3435">
        <w:t xml:space="preserve">the </w:t>
      </w:r>
      <w:r w:rsidR="00246A45" w:rsidRPr="00246A45">
        <w:t>fiscal capacity to deliver an average standard of services to persons</w:t>
      </w:r>
      <w:r w:rsidR="00754F4D">
        <w:t xml:space="preserve">. </w:t>
      </w:r>
      <w:r w:rsidR="008E6543">
        <w:t>It said a</w:t>
      </w:r>
      <w:r w:rsidR="00665A0C" w:rsidRPr="00665A0C">
        <w:t xml:space="preserve"> household approach would only be reasonable where overcrowding and non</w:t>
      </w:r>
      <w:r w:rsidR="00012DD7">
        <w:noBreakHyphen/>
      </w:r>
      <w:r w:rsidR="00665A0C" w:rsidRPr="00665A0C">
        <w:t xml:space="preserve">state </w:t>
      </w:r>
      <w:r w:rsidR="00012DD7">
        <w:t xml:space="preserve">housing </w:t>
      </w:r>
      <w:r w:rsidR="00665A0C" w:rsidRPr="00665A0C">
        <w:t>stock per</w:t>
      </w:r>
      <w:r w:rsidR="00FE4750">
        <w:t> </w:t>
      </w:r>
      <w:r w:rsidR="00665A0C" w:rsidRPr="00665A0C">
        <w:t>capita rates are equivalent between states and regions in states</w:t>
      </w:r>
      <w:r w:rsidR="00F970F8">
        <w:t>.</w:t>
      </w:r>
    </w:p>
    <w:p w14:paraId="220963DD" w14:textId="0A1B45D8" w:rsidR="00292FAC" w:rsidRDefault="00292FAC" w:rsidP="002845B8">
      <w:pPr>
        <w:pStyle w:val="Heading4"/>
        <w:keepLines/>
      </w:pPr>
      <w:r>
        <w:lastRenderedPageBreak/>
        <w:t>Commission response</w:t>
      </w:r>
    </w:p>
    <w:p w14:paraId="5D48D606" w14:textId="438CC719" w:rsidR="00292FAC" w:rsidRPr="00791FB8" w:rsidRDefault="004A09FA" w:rsidP="002845B8">
      <w:pPr>
        <w:pStyle w:val="CGC2025ParaNumbers"/>
        <w:keepNext/>
        <w:keepLines/>
      </w:pPr>
      <w:r>
        <w:t xml:space="preserve">The Commission accepts the conceptual case that overcrowding results in higher costs and that there is evidence that </w:t>
      </w:r>
      <w:r w:rsidR="0022200C">
        <w:t xml:space="preserve">the </w:t>
      </w:r>
      <w:r>
        <w:t xml:space="preserve">extent of overcrowding is materially different between states. </w:t>
      </w:r>
      <w:r w:rsidR="00292FAC">
        <w:t>In light of the comments from the Northern Territory, t</w:t>
      </w:r>
      <w:r w:rsidR="00292FAC" w:rsidRPr="00791FB8">
        <w:t xml:space="preserve">he Commission </w:t>
      </w:r>
      <w:r w:rsidR="00292FAC" w:rsidRPr="005636CA">
        <w:t>was</w:t>
      </w:r>
      <w:r w:rsidR="00292FAC" w:rsidRPr="00791FB8">
        <w:t xml:space="preserve"> concerned that the 2020 Review housing method </w:t>
      </w:r>
      <w:r w:rsidR="00292FAC">
        <w:t>was not adequately taking account of above</w:t>
      </w:r>
      <w:r w:rsidR="00292FAC">
        <w:noBreakHyphen/>
        <w:t xml:space="preserve">average overcrowding in </w:t>
      </w:r>
      <w:r w:rsidR="00292FAC" w:rsidRPr="00791FB8">
        <w:t>social housing</w:t>
      </w:r>
      <w:r w:rsidR="00AE2029">
        <w:t xml:space="preserve"> and the impact this has on costs</w:t>
      </w:r>
      <w:r w:rsidR="00292FAC">
        <w:t xml:space="preserve">. </w:t>
      </w:r>
    </w:p>
    <w:p w14:paraId="4E477B9F" w14:textId="574F17F9" w:rsidR="00292FAC" w:rsidRDefault="00292FAC" w:rsidP="00292FAC">
      <w:pPr>
        <w:pStyle w:val="CGC2025ParaNumbers"/>
      </w:pPr>
      <w:r>
        <w:t xml:space="preserve">The 2020 Review method apportions national average per household expenses </w:t>
      </w:r>
      <w:r w:rsidR="00D949BF">
        <w:t xml:space="preserve">and revenues </w:t>
      </w:r>
      <w:r>
        <w:t>by socio</w:t>
      </w:r>
      <w:r>
        <w:noBreakHyphen/>
        <w:t>demographic group to states based on the number of households state</w:t>
      </w:r>
      <w:r w:rsidR="00C34DFE">
        <w:t>s</w:t>
      </w:r>
      <w:r>
        <w:t xml:space="preserve"> ha</w:t>
      </w:r>
      <w:r w:rsidR="00C34DFE">
        <w:t>ve</w:t>
      </w:r>
      <w:r>
        <w:t xml:space="preserve"> in each socio</w:t>
      </w:r>
      <w:r>
        <w:noBreakHyphen/>
        <w:t>demographic group. However, there are some socio</w:t>
      </w:r>
      <w:r>
        <w:noBreakHyphen/>
        <w:t>demographic groups where a state’s share of households in the group differs substantially from its share of individuals. In particular, in very remote areas of the Northern Territory, its share of national households is significantly less than its share of individuals. This indicates that average household size in very remote areas of the Northern Territory is much larger than the national average. This appears to be due largely to the above</w:t>
      </w:r>
      <w:r w:rsidR="0073470F">
        <w:t>-</w:t>
      </w:r>
      <w:r>
        <w:t>average household size of low income First Nations households (</w:t>
      </w:r>
      <w:r w:rsidR="00036F2D">
        <w:t>Figure 6</w:t>
      </w:r>
      <w:r>
        <w:t>).</w:t>
      </w:r>
    </w:p>
    <w:p w14:paraId="6D113F0D" w14:textId="6160D5CA" w:rsidR="00F90785" w:rsidRDefault="00F90785" w:rsidP="00DC6A83">
      <w:pPr>
        <w:pStyle w:val="CGC2025ParaNumbers"/>
      </w:pPr>
      <w:r w:rsidRPr="00F90785">
        <w:t>Remote First Nations communities generally lack a private housing market. This reflects tenure issues, limited income earning opportunities and high housing construction costs. These are factors that states have limited ability to influence. Residents of these communities (other than government service providers that have housing provided) are completely dependent on social housing for accommodation. This has resulted in above-average overcrowding in remote First Nations communities.</w:t>
      </w:r>
    </w:p>
    <w:p w14:paraId="275E5BA1" w14:textId="1FA1FA55" w:rsidR="00292FAC" w:rsidRDefault="00292FAC" w:rsidP="00D316FB">
      <w:pPr>
        <w:pStyle w:val="CGC2025Caption"/>
        <w:keepNext/>
        <w:keepLines/>
        <w:ind w:left="1440" w:hanging="1440"/>
      </w:pPr>
      <w:bookmarkStart w:id="27" w:name="_Ref175554455"/>
      <w:r>
        <w:t>Figure</w:t>
      </w:r>
      <w:r w:rsidR="00750734">
        <w:t xml:space="preserve"> 6</w:t>
      </w:r>
      <w:bookmarkEnd w:id="27"/>
      <w:r>
        <w:tab/>
        <w:t>Share of population and households, Northern Territory and average household size in very remote areas by socio-demographic group, 2021.</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625"/>
      </w:tblGrid>
      <w:tr w:rsidR="0009652A" w14:paraId="793361CA" w14:textId="77777777" w:rsidTr="00A61BDC">
        <w:tc>
          <w:tcPr>
            <w:tcW w:w="4914" w:type="dxa"/>
          </w:tcPr>
          <w:p w14:paraId="689B9335" w14:textId="4E06EADF" w:rsidR="00292FAC" w:rsidRDefault="001B047A" w:rsidP="00F62E84">
            <w:pPr>
              <w:pStyle w:val="CGC2025Caption"/>
              <w:keepNext/>
              <w:keepLines/>
            </w:pPr>
            <w:r w:rsidRPr="001B047A">
              <w:rPr>
                <w:noProof/>
              </w:rPr>
              <w:drawing>
                <wp:inline distT="0" distB="0" distL="0" distR="0" wp14:anchorId="74D1DFEE" wp14:editId="575E78B2">
                  <wp:extent cx="2700000" cy="1944000"/>
                  <wp:effectExtent l="0" t="0" r="5715" b="0"/>
                  <wp:docPr id="11403332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00" cy="1944000"/>
                          </a:xfrm>
                          <a:prstGeom prst="rect">
                            <a:avLst/>
                          </a:prstGeom>
                          <a:noFill/>
                          <a:ln>
                            <a:noFill/>
                          </a:ln>
                        </pic:spPr>
                      </pic:pic>
                    </a:graphicData>
                  </a:graphic>
                </wp:inline>
              </w:drawing>
            </w:r>
          </w:p>
        </w:tc>
        <w:tc>
          <w:tcPr>
            <w:tcW w:w="4107" w:type="dxa"/>
          </w:tcPr>
          <w:p w14:paraId="35B4EEA1" w14:textId="75FBD7E0" w:rsidR="00292FAC" w:rsidRDefault="00C26E70" w:rsidP="00186AD0">
            <w:pPr>
              <w:pStyle w:val="CGC2025Caption"/>
              <w:keepNext/>
              <w:keepLines/>
            </w:pPr>
            <w:r w:rsidRPr="00C26E70">
              <w:rPr>
                <w:noProof/>
              </w:rPr>
              <w:drawing>
                <wp:inline distT="0" distB="0" distL="0" distR="0" wp14:anchorId="28835005" wp14:editId="4625F49C">
                  <wp:extent cx="2846567" cy="1943100"/>
                  <wp:effectExtent l="0" t="0" r="0" b="0"/>
                  <wp:docPr id="70075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80" cy="1970209"/>
                          </a:xfrm>
                          <a:prstGeom prst="rect">
                            <a:avLst/>
                          </a:prstGeom>
                          <a:noFill/>
                          <a:ln>
                            <a:noFill/>
                          </a:ln>
                        </pic:spPr>
                      </pic:pic>
                    </a:graphicData>
                  </a:graphic>
                </wp:inline>
              </w:drawing>
            </w:r>
          </w:p>
        </w:tc>
      </w:tr>
    </w:tbl>
    <w:p w14:paraId="433B7147" w14:textId="77777777" w:rsidR="00292FAC" w:rsidRDefault="00292FAC" w:rsidP="00292FAC">
      <w:pPr>
        <w:pStyle w:val="CGC2025TableNote"/>
      </w:pPr>
      <w:r>
        <w:t xml:space="preserve">Source: ABS 2021 Census. </w:t>
      </w:r>
    </w:p>
    <w:p w14:paraId="695745E7" w14:textId="29A553E8" w:rsidR="00292FAC" w:rsidRPr="00D316FB" w:rsidRDefault="00A47673" w:rsidP="002845B8">
      <w:pPr>
        <w:pStyle w:val="CGC2025ParaNumbers"/>
        <w:keepNext/>
        <w:keepLines/>
      </w:pPr>
      <w:r w:rsidRPr="00D316FB">
        <w:lastRenderedPageBreak/>
        <w:t>O</w:t>
      </w:r>
      <w:r w:rsidR="00292FAC" w:rsidRPr="00D316FB">
        <w:t>vercrowding</w:t>
      </w:r>
      <w:r w:rsidR="001D3CFA">
        <w:t xml:space="preserve"> </w:t>
      </w:r>
      <w:r w:rsidR="001D3CFA" w:rsidRPr="00A65A6B">
        <w:t>in remote and very remote</w:t>
      </w:r>
      <w:r w:rsidR="00961C15" w:rsidRPr="00A65A6B">
        <w:t xml:space="preserve"> areas</w:t>
      </w:r>
      <w:r w:rsidR="00292FAC" w:rsidRPr="00D316FB">
        <w:t xml:space="preserve"> </w:t>
      </w:r>
      <w:r w:rsidRPr="00D316FB">
        <w:t xml:space="preserve">is </w:t>
      </w:r>
      <w:r w:rsidR="00E4568A" w:rsidRPr="00A65A6B">
        <w:t>higher</w:t>
      </w:r>
      <w:r w:rsidRPr="00D316FB">
        <w:t xml:space="preserve"> in</w:t>
      </w:r>
      <w:r w:rsidR="00292FAC" w:rsidRPr="00D316FB">
        <w:t xml:space="preserve"> </w:t>
      </w:r>
      <w:r w:rsidR="00F84CD4" w:rsidRPr="00D316FB">
        <w:t xml:space="preserve">the </w:t>
      </w:r>
      <w:r w:rsidR="00292FAC" w:rsidRPr="00D316FB">
        <w:t>Northe</w:t>
      </w:r>
      <w:r w:rsidR="00434E34">
        <w:t>r</w:t>
      </w:r>
      <w:r w:rsidR="00292FAC" w:rsidRPr="00D316FB">
        <w:t xml:space="preserve">n Territory than in other states. </w:t>
      </w:r>
      <w:r w:rsidRPr="00D316FB">
        <w:t xml:space="preserve">The Commission agrees with South Australia that </w:t>
      </w:r>
      <w:r w:rsidR="005D7704" w:rsidRPr="00D316FB">
        <w:t>to</w:t>
      </w:r>
      <w:r w:rsidR="00292FAC" w:rsidRPr="00D316FB" w:rsidDel="00A47673">
        <w:t xml:space="preserve"> </w:t>
      </w:r>
      <w:r w:rsidR="00292FAC" w:rsidRPr="00D316FB">
        <w:t xml:space="preserve">the extent that this relates </w:t>
      </w:r>
      <w:r w:rsidR="00292FAC" w:rsidRPr="00D316FB" w:rsidDel="00A47673">
        <w:t xml:space="preserve">to the relative undersupply of social housing that it </w:t>
      </w:r>
      <w:r w:rsidR="00292FAC" w:rsidRPr="00D316FB">
        <w:t>inherited from the Commonwealth at the time of self</w:t>
      </w:r>
      <w:r w:rsidR="00292FAC" w:rsidRPr="00D316FB">
        <w:noBreakHyphen/>
        <w:t>government, this should be addressed outside the horizontal fiscal equalisation system. However, there are other factors leading to the high levels of overcrowding in remote First Nations communities in the Northern Territory, as mentioned earlier, which should be taken into account when assessing GST needs.</w:t>
      </w:r>
    </w:p>
    <w:p w14:paraId="542199B1" w14:textId="5C8D01D5" w:rsidR="00292FAC" w:rsidRPr="00450214" w:rsidRDefault="00292FAC" w:rsidP="00292FAC">
      <w:pPr>
        <w:pStyle w:val="CGC2025ParaNumbers"/>
      </w:pPr>
      <w:r w:rsidRPr="00450214">
        <w:t>Table </w:t>
      </w:r>
      <w:r w:rsidR="00497A66">
        <w:t>4</w:t>
      </w:r>
      <w:r w:rsidR="009A684C">
        <w:t xml:space="preserve"> </w:t>
      </w:r>
      <w:r>
        <w:t>and Tables </w:t>
      </w:r>
      <w:r w:rsidR="00497A66">
        <w:t>7</w:t>
      </w:r>
      <w:r w:rsidR="00F34202">
        <w:t xml:space="preserve"> </w:t>
      </w:r>
      <w:r>
        <w:t xml:space="preserve">to </w:t>
      </w:r>
      <w:r w:rsidR="00F34202">
        <w:t>1</w:t>
      </w:r>
      <w:r w:rsidR="00497A66">
        <w:t>1</w:t>
      </w:r>
      <w:r w:rsidR="00F34202" w:rsidRPr="00450214">
        <w:t xml:space="preserve"> </w:t>
      </w:r>
      <w:r w:rsidRPr="00450214">
        <w:t>show that the</w:t>
      </w:r>
      <w:r>
        <w:t xml:space="preserve"> highest rates of severe overcrowding are in </w:t>
      </w:r>
      <w:r w:rsidRPr="00450214">
        <w:t>low</w:t>
      </w:r>
      <w:r w:rsidRPr="00450214">
        <w:noBreakHyphen/>
        <w:t>income First Nations households in very remote areas</w:t>
      </w:r>
      <w:r>
        <w:t>.</w:t>
      </w:r>
      <w:r w:rsidR="00E207B1">
        <w:rPr>
          <w:rStyle w:val="FootnoteReference"/>
        </w:rPr>
        <w:footnoteReference w:id="6"/>
      </w:r>
      <w:r w:rsidRPr="00450214">
        <w:t xml:space="preserve"> </w:t>
      </w:r>
      <w:r>
        <w:t xml:space="preserve">The rates of severe overcrowding in the </w:t>
      </w:r>
      <w:r w:rsidRPr="00450214">
        <w:t>Northe</w:t>
      </w:r>
      <w:r w:rsidR="006674CC">
        <w:t>r</w:t>
      </w:r>
      <w:r w:rsidRPr="00450214">
        <w:t xml:space="preserve">n Territory </w:t>
      </w:r>
      <w:r>
        <w:t>in this socio</w:t>
      </w:r>
      <w:r>
        <w:noBreakHyphen/>
        <w:t>demographic group are</w:t>
      </w:r>
      <w:r w:rsidRPr="00450214">
        <w:t xml:space="preserve"> much higher compared </w:t>
      </w:r>
      <w:r w:rsidR="00902652">
        <w:t>with</w:t>
      </w:r>
      <w:r w:rsidRPr="00450214">
        <w:t xml:space="preserve"> </w:t>
      </w:r>
      <w:r w:rsidR="00B72E9E">
        <w:t xml:space="preserve">the same group in </w:t>
      </w:r>
      <w:r w:rsidRPr="00450214">
        <w:t>other states.</w:t>
      </w:r>
    </w:p>
    <w:p w14:paraId="2811EEEC" w14:textId="7471205D" w:rsidR="00292FAC" w:rsidRDefault="00292FAC" w:rsidP="00D316FB">
      <w:pPr>
        <w:pStyle w:val="CGC2025Caption"/>
        <w:keepNext/>
        <w:keepLines/>
        <w:ind w:left="1440" w:hanging="1440"/>
      </w:pPr>
      <w:r>
        <w:t xml:space="preserve">Table </w:t>
      </w:r>
      <w:r w:rsidR="00497A66">
        <w:t>4</w:t>
      </w:r>
      <w:r>
        <w:tab/>
        <w:t>Rates of severe overcrowding very remote areas, by socio</w:t>
      </w:r>
      <w:r w:rsidR="004B4895">
        <w:t>-</w:t>
      </w:r>
      <w:r>
        <w:t>economic group and state, 2021</w:t>
      </w:r>
    </w:p>
    <w:tbl>
      <w:tblPr>
        <w:tblW w:w="8920" w:type="dxa"/>
        <w:tblLook w:val="04A0" w:firstRow="1" w:lastRow="0" w:firstColumn="1" w:lastColumn="0" w:noHBand="0" w:noVBand="1"/>
      </w:tblPr>
      <w:tblGrid>
        <w:gridCol w:w="2360"/>
        <w:gridCol w:w="820"/>
        <w:gridCol w:w="820"/>
        <w:gridCol w:w="820"/>
        <w:gridCol w:w="820"/>
        <w:gridCol w:w="820"/>
        <w:gridCol w:w="820"/>
        <w:gridCol w:w="820"/>
        <w:gridCol w:w="820"/>
      </w:tblGrid>
      <w:tr w:rsidR="00292FAC" w:rsidRPr="008C5C40" w14:paraId="67546664" w14:textId="77777777">
        <w:trPr>
          <w:trHeight w:val="379"/>
        </w:trPr>
        <w:tc>
          <w:tcPr>
            <w:tcW w:w="2360" w:type="dxa"/>
            <w:tcBorders>
              <w:top w:val="nil"/>
              <w:left w:val="nil"/>
              <w:bottom w:val="nil"/>
              <w:right w:val="nil"/>
            </w:tcBorders>
            <w:shd w:val="clear" w:color="000000" w:fill="006991"/>
            <w:vAlign w:val="center"/>
            <w:hideMark/>
          </w:tcPr>
          <w:p w14:paraId="5307A27C" w14:textId="77777777" w:rsidR="00292FAC" w:rsidRPr="008C5C40" w:rsidRDefault="00292FAC" w:rsidP="00D316FB">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820" w:type="dxa"/>
            <w:tcBorders>
              <w:top w:val="nil"/>
              <w:left w:val="nil"/>
              <w:bottom w:val="nil"/>
              <w:right w:val="nil"/>
            </w:tcBorders>
            <w:shd w:val="clear" w:color="000000" w:fill="006991"/>
            <w:vAlign w:val="center"/>
            <w:hideMark/>
          </w:tcPr>
          <w:p w14:paraId="66F14536" w14:textId="77777777" w:rsidR="00292FAC" w:rsidRPr="008C5C40" w:rsidRDefault="00292FAC" w:rsidP="00D316F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50F92479" w14:textId="77777777" w:rsidR="00292FAC" w:rsidRPr="008C5C40" w:rsidRDefault="00292FAC" w:rsidP="00D316F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00F91977" w14:textId="77777777" w:rsidR="00292FAC" w:rsidRPr="008C5C40" w:rsidRDefault="00292FAC" w:rsidP="00D316F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6F52A618" w14:textId="77777777" w:rsidR="00292FAC" w:rsidRPr="008C5C40" w:rsidRDefault="00292FAC" w:rsidP="00D316F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50BAEBF1" w14:textId="77777777" w:rsidR="00292FAC" w:rsidRPr="008C5C40" w:rsidRDefault="00292FAC" w:rsidP="00D316F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2DFA6048" w14:textId="77777777" w:rsidR="00292FAC" w:rsidRPr="008C5C40" w:rsidRDefault="00292FAC" w:rsidP="00D316F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794C7AED" w14:textId="77777777" w:rsidR="00292FAC" w:rsidRPr="008C5C40" w:rsidRDefault="00292FAC" w:rsidP="00D316F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0614CEF6" w14:textId="77777777" w:rsidR="00292FAC" w:rsidRPr="008C5C40" w:rsidRDefault="00292FAC" w:rsidP="00D316F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NT</w:t>
            </w:r>
          </w:p>
        </w:tc>
      </w:tr>
      <w:tr w:rsidR="00292FAC" w:rsidRPr="008C5C40" w14:paraId="6C5EE3C3" w14:textId="77777777">
        <w:trPr>
          <w:trHeight w:val="319"/>
        </w:trPr>
        <w:tc>
          <w:tcPr>
            <w:tcW w:w="2360" w:type="dxa"/>
            <w:tcBorders>
              <w:top w:val="single" w:sz="4" w:space="0" w:color="ADD6EA"/>
              <w:left w:val="nil"/>
              <w:bottom w:val="nil"/>
              <w:right w:val="nil"/>
            </w:tcBorders>
            <w:shd w:val="clear" w:color="000000" w:fill="FFFFFF"/>
            <w:vAlign w:val="bottom"/>
            <w:hideMark/>
          </w:tcPr>
          <w:p w14:paraId="2BE8FEEB" w14:textId="77777777" w:rsidR="00292FAC" w:rsidRPr="008C5C40" w:rsidRDefault="00292FAC" w:rsidP="00D316FB">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Low-income/First Nations</w:t>
            </w:r>
          </w:p>
        </w:tc>
        <w:tc>
          <w:tcPr>
            <w:tcW w:w="820" w:type="dxa"/>
            <w:tcBorders>
              <w:top w:val="single" w:sz="4" w:space="0" w:color="ADD6EA"/>
              <w:left w:val="nil"/>
              <w:bottom w:val="nil"/>
              <w:right w:val="nil"/>
            </w:tcBorders>
            <w:shd w:val="clear" w:color="000000" w:fill="FFFFFF"/>
            <w:vAlign w:val="bottom"/>
            <w:hideMark/>
          </w:tcPr>
          <w:p w14:paraId="24884920"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B6A1C9B"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50D820D4"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1.7%</w:t>
            </w:r>
          </w:p>
        </w:tc>
        <w:tc>
          <w:tcPr>
            <w:tcW w:w="820" w:type="dxa"/>
            <w:tcBorders>
              <w:top w:val="single" w:sz="4" w:space="0" w:color="ADD6EA"/>
              <w:left w:val="nil"/>
              <w:bottom w:val="nil"/>
              <w:right w:val="nil"/>
            </w:tcBorders>
            <w:shd w:val="clear" w:color="000000" w:fill="FFFFFF"/>
            <w:vAlign w:val="bottom"/>
            <w:hideMark/>
          </w:tcPr>
          <w:p w14:paraId="0E70398A"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2.6%</w:t>
            </w:r>
          </w:p>
        </w:tc>
        <w:tc>
          <w:tcPr>
            <w:tcW w:w="820" w:type="dxa"/>
            <w:tcBorders>
              <w:top w:val="single" w:sz="4" w:space="0" w:color="ADD6EA"/>
              <w:left w:val="nil"/>
              <w:bottom w:val="nil"/>
              <w:right w:val="nil"/>
            </w:tcBorders>
            <w:shd w:val="clear" w:color="000000" w:fill="FFFFFF"/>
            <w:vAlign w:val="bottom"/>
            <w:hideMark/>
          </w:tcPr>
          <w:p w14:paraId="025C126B"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2.1%</w:t>
            </w:r>
          </w:p>
        </w:tc>
        <w:tc>
          <w:tcPr>
            <w:tcW w:w="820" w:type="dxa"/>
            <w:tcBorders>
              <w:top w:val="single" w:sz="4" w:space="0" w:color="ADD6EA"/>
              <w:left w:val="nil"/>
              <w:bottom w:val="nil"/>
              <w:right w:val="nil"/>
            </w:tcBorders>
            <w:shd w:val="clear" w:color="000000" w:fill="FFFFFF"/>
            <w:vAlign w:val="bottom"/>
            <w:hideMark/>
          </w:tcPr>
          <w:p w14:paraId="213B3797"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7D04F7B"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0D86184C"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14.0%</w:t>
            </w:r>
          </w:p>
        </w:tc>
      </w:tr>
      <w:tr w:rsidR="00292FAC" w:rsidRPr="008C5C40" w14:paraId="713DDE26" w14:textId="77777777">
        <w:trPr>
          <w:trHeight w:val="319"/>
        </w:trPr>
        <w:tc>
          <w:tcPr>
            <w:tcW w:w="2360" w:type="dxa"/>
            <w:tcBorders>
              <w:top w:val="single" w:sz="4" w:space="0" w:color="ADD6EA"/>
              <w:left w:val="nil"/>
              <w:bottom w:val="nil"/>
              <w:right w:val="nil"/>
            </w:tcBorders>
            <w:shd w:val="clear" w:color="000000" w:fill="FFFFFF"/>
            <w:vAlign w:val="bottom"/>
            <w:hideMark/>
          </w:tcPr>
          <w:p w14:paraId="0F54ACF9" w14:textId="77777777" w:rsidR="00292FAC" w:rsidRPr="008C5C40" w:rsidRDefault="00292FAC" w:rsidP="00D316FB">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Low-income/non-Indigenous</w:t>
            </w:r>
          </w:p>
        </w:tc>
        <w:tc>
          <w:tcPr>
            <w:tcW w:w="820" w:type="dxa"/>
            <w:tcBorders>
              <w:top w:val="single" w:sz="4" w:space="0" w:color="ADD6EA"/>
              <w:left w:val="nil"/>
              <w:bottom w:val="nil"/>
              <w:right w:val="nil"/>
            </w:tcBorders>
            <w:shd w:val="clear" w:color="000000" w:fill="FFFFFF"/>
            <w:vAlign w:val="bottom"/>
            <w:hideMark/>
          </w:tcPr>
          <w:p w14:paraId="3E7C8D1F"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4B3EAEBC"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3EC23F49"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3D0296F5"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0.3%</w:t>
            </w:r>
          </w:p>
        </w:tc>
        <w:tc>
          <w:tcPr>
            <w:tcW w:w="820" w:type="dxa"/>
            <w:tcBorders>
              <w:top w:val="single" w:sz="4" w:space="0" w:color="ADD6EA"/>
              <w:left w:val="nil"/>
              <w:bottom w:val="nil"/>
              <w:right w:val="nil"/>
            </w:tcBorders>
            <w:shd w:val="clear" w:color="000000" w:fill="FFFFFF"/>
            <w:vAlign w:val="bottom"/>
            <w:hideMark/>
          </w:tcPr>
          <w:p w14:paraId="2765FAC4"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0E51E8CE"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75CD1C4"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3EE84F7A"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r>
      <w:tr w:rsidR="00292FAC" w:rsidRPr="008C5C40" w14:paraId="43DF43CD" w14:textId="77777777">
        <w:trPr>
          <w:trHeight w:val="319"/>
        </w:trPr>
        <w:tc>
          <w:tcPr>
            <w:tcW w:w="2360" w:type="dxa"/>
            <w:tcBorders>
              <w:top w:val="single" w:sz="4" w:space="0" w:color="ADD6EA"/>
              <w:left w:val="nil"/>
              <w:bottom w:val="nil"/>
              <w:right w:val="nil"/>
            </w:tcBorders>
            <w:shd w:val="clear" w:color="000000" w:fill="FFFFFF"/>
            <w:vAlign w:val="bottom"/>
            <w:hideMark/>
          </w:tcPr>
          <w:p w14:paraId="6D80480B" w14:textId="77777777" w:rsidR="00292FAC" w:rsidRPr="008C5C40" w:rsidRDefault="00292FAC" w:rsidP="00D316FB">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High income/First Nations</w:t>
            </w:r>
          </w:p>
        </w:tc>
        <w:tc>
          <w:tcPr>
            <w:tcW w:w="820" w:type="dxa"/>
            <w:tcBorders>
              <w:top w:val="single" w:sz="4" w:space="0" w:color="ADD6EA"/>
              <w:left w:val="nil"/>
              <w:bottom w:val="nil"/>
              <w:right w:val="nil"/>
            </w:tcBorders>
            <w:shd w:val="clear" w:color="000000" w:fill="FFFFFF"/>
            <w:vAlign w:val="bottom"/>
            <w:hideMark/>
          </w:tcPr>
          <w:p w14:paraId="6D58D218"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0380C58E"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7E277C2C"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0.8%</w:t>
            </w:r>
          </w:p>
        </w:tc>
        <w:tc>
          <w:tcPr>
            <w:tcW w:w="820" w:type="dxa"/>
            <w:tcBorders>
              <w:top w:val="single" w:sz="4" w:space="0" w:color="ADD6EA"/>
              <w:left w:val="nil"/>
              <w:bottom w:val="nil"/>
              <w:right w:val="nil"/>
            </w:tcBorders>
            <w:shd w:val="clear" w:color="000000" w:fill="FFFFFF"/>
            <w:vAlign w:val="bottom"/>
            <w:hideMark/>
          </w:tcPr>
          <w:p w14:paraId="4BD3AEE7"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0.7%</w:t>
            </w:r>
          </w:p>
        </w:tc>
        <w:tc>
          <w:tcPr>
            <w:tcW w:w="820" w:type="dxa"/>
            <w:tcBorders>
              <w:top w:val="single" w:sz="4" w:space="0" w:color="ADD6EA"/>
              <w:left w:val="nil"/>
              <w:bottom w:val="nil"/>
              <w:right w:val="nil"/>
            </w:tcBorders>
            <w:shd w:val="clear" w:color="000000" w:fill="FFFFFF"/>
            <w:vAlign w:val="bottom"/>
            <w:hideMark/>
          </w:tcPr>
          <w:p w14:paraId="12E9A4C5"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2862CCAB"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1529150"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079D9810"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3.0%</w:t>
            </w:r>
          </w:p>
        </w:tc>
      </w:tr>
      <w:tr w:rsidR="00292FAC" w:rsidRPr="008C5C40" w14:paraId="547BF9D2" w14:textId="77777777">
        <w:trPr>
          <w:trHeight w:val="319"/>
        </w:trPr>
        <w:tc>
          <w:tcPr>
            <w:tcW w:w="2360" w:type="dxa"/>
            <w:tcBorders>
              <w:top w:val="single" w:sz="4" w:space="0" w:color="ADD6EA"/>
              <w:left w:val="nil"/>
              <w:bottom w:val="single" w:sz="4" w:space="0" w:color="ADD6EA"/>
              <w:right w:val="nil"/>
            </w:tcBorders>
            <w:shd w:val="clear" w:color="000000" w:fill="FFFFFF"/>
            <w:vAlign w:val="bottom"/>
            <w:hideMark/>
          </w:tcPr>
          <w:p w14:paraId="6738ECD5" w14:textId="77777777" w:rsidR="00292FAC" w:rsidRPr="008C5C40" w:rsidRDefault="00292FAC" w:rsidP="00D316FB">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High income/non-Indigenous</w:t>
            </w:r>
          </w:p>
        </w:tc>
        <w:tc>
          <w:tcPr>
            <w:tcW w:w="820" w:type="dxa"/>
            <w:tcBorders>
              <w:top w:val="single" w:sz="4" w:space="0" w:color="ADD6EA"/>
              <w:left w:val="nil"/>
              <w:bottom w:val="single" w:sz="4" w:space="0" w:color="ADD6EA"/>
              <w:right w:val="nil"/>
            </w:tcBorders>
            <w:shd w:val="clear" w:color="000000" w:fill="FFFFFF"/>
            <w:vAlign w:val="bottom"/>
            <w:hideMark/>
          </w:tcPr>
          <w:p w14:paraId="0DE28DA9"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47613D8C"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FFFFFF"/>
            <w:vAlign w:val="bottom"/>
            <w:hideMark/>
          </w:tcPr>
          <w:p w14:paraId="788303B1"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5531835A"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single" w:sz="4" w:space="0" w:color="ADD6EA"/>
              <w:right w:val="nil"/>
            </w:tcBorders>
            <w:shd w:val="clear" w:color="000000" w:fill="FFFFFF"/>
            <w:vAlign w:val="bottom"/>
            <w:hideMark/>
          </w:tcPr>
          <w:p w14:paraId="6788FCD1"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0D57D810"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7E089422"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FFFFFF"/>
            <w:vAlign w:val="bottom"/>
            <w:hideMark/>
          </w:tcPr>
          <w:p w14:paraId="2A27D0A4" w14:textId="77777777" w:rsidR="00292FAC" w:rsidRPr="008C5C40" w:rsidRDefault="00292FAC" w:rsidP="00D316FB">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0.1%</w:t>
            </w:r>
          </w:p>
        </w:tc>
      </w:tr>
    </w:tbl>
    <w:p w14:paraId="332BC9C0" w14:textId="30CDECBF" w:rsidR="00292FAC" w:rsidRPr="00201858" w:rsidRDefault="00292FAC" w:rsidP="00D316FB">
      <w:pPr>
        <w:pStyle w:val="CGC2025TableNote"/>
        <w:keepNext/>
        <w:keepLines/>
        <w:ind w:left="0" w:firstLine="0"/>
      </w:pPr>
      <w:r>
        <w:t xml:space="preserve"> </w:t>
      </w:r>
      <w:r w:rsidRPr="00201858">
        <w:t>Source: ABS 2021 Census</w:t>
      </w:r>
      <w:r w:rsidR="00393B68">
        <w:t>.</w:t>
      </w:r>
    </w:p>
    <w:p w14:paraId="31E7AA23" w14:textId="716EAFCC" w:rsidR="00292FAC" w:rsidRDefault="00292FAC" w:rsidP="00292FAC">
      <w:pPr>
        <w:pStyle w:val="CGC2025ParaNumbers"/>
      </w:pPr>
      <w:r>
        <w:t xml:space="preserve">The 2020 Review method does not adequately take account of </w:t>
      </w:r>
      <w:r w:rsidR="00821E13">
        <w:t>overcrowding</w:t>
      </w:r>
      <w:r w:rsidRPr="00254D40">
        <w:t xml:space="preserve"> in remote First Nation</w:t>
      </w:r>
      <w:r w:rsidR="00CD1E8F">
        <w:t>s</w:t>
      </w:r>
      <w:r w:rsidRPr="00254D40">
        <w:t xml:space="preserve"> communities</w:t>
      </w:r>
      <w:r w:rsidR="00BF4880">
        <w:t>.</w:t>
      </w:r>
    </w:p>
    <w:p w14:paraId="5CE7CA46" w14:textId="0CD506A4" w:rsidR="00292FAC" w:rsidRPr="00D316FB" w:rsidRDefault="00292FAC" w:rsidP="00292FAC">
      <w:pPr>
        <w:pStyle w:val="CGC2025Bullet1"/>
      </w:pPr>
      <w:r w:rsidRPr="00D316FB">
        <w:t xml:space="preserve">The 2020 Review method includes a First Nations cost weight, which is intended to account for the difference in costs in servicing First Nations social housing compared </w:t>
      </w:r>
      <w:r w:rsidR="00891DE1">
        <w:t>with</w:t>
      </w:r>
      <w:r w:rsidRPr="00D316FB">
        <w:t xml:space="preserve"> mainstream social housing. These additional costs </w:t>
      </w:r>
      <w:r w:rsidR="007B63C1" w:rsidRPr="00D316FB">
        <w:t>may</w:t>
      </w:r>
      <w:r w:rsidR="00AF65C6" w:rsidRPr="00D316FB">
        <w:t xml:space="preserve"> </w:t>
      </w:r>
      <w:r w:rsidRPr="00D316FB">
        <w:t xml:space="preserve">include those resulting from overcrowding </w:t>
      </w:r>
      <w:r w:rsidRPr="00D316FB" w:rsidDel="00CF0974">
        <w:t>and high mobility,</w:t>
      </w:r>
      <w:r w:rsidRPr="00D316FB">
        <w:t xml:space="preserve"> but other factors could also be increasing costs. </w:t>
      </w:r>
      <w:r w:rsidRPr="00D316FB" w:rsidDel="008D6896">
        <w:t>However,</w:t>
      </w:r>
      <w:r w:rsidRPr="00D316FB">
        <w:t xml:space="preserve"> this national average cost weight is apportioned across states based on their count of First Nations households. If this household count is underestimated due to overcrowding, states will not receive the GST they need.</w:t>
      </w:r>
    </w:p>
    <w:p w14:paraId="293BDE58" w14:textId="77777777" w:rsidR="00292FAC" w:rsidRDefault="00292FAC" w:rsidP="000F448D">
      <w:pPr>
        <w:pStyle w:val="CGC2025Bullet1"/>
        <w:keepNext/>
        <w:keepLines/>
        <w:ind w:left="924" w:hanging="357"/>
      </w:pPr>
      <w:r w:rsidRPr="00FF23CA">
        <w:t>The 2020 Review</w:t>
      </w:r>
      <w:r>
        <w:t xml:space="preserve"> method also includes a regional cost gradient. This is intended to account for the additional costs of providing the same level of similar services as remoteness increases. It does not account for the cost of additional services that may need to be provided for overcrowded social housing.</w:t>
      </w:r>
    </w:p>
    <w:p w14:paraId="78CD998D" w14:textId="0EFF7F54" w:rsidR="00292FAC" w:rsidRDefault="002732CA" w:rsidP="00292FAC">
      <w:pPr>
        <w:pStyle w:val="CGC2025Bullet1"/>
      </w:pPr>
      <w:r>
        <w:t>O</w:t>
      </w:r>
      <w:r w:rsidR="00705A3B">
        <w:t>n the other hand</w:t>
      </w:r>
      <w:r w:rsidR="00292FAC">
        <w:t>, if larger public housing households pay more rent, the revenue component of the 2020 Review method would capture this and assess states with above</w:t>
      </w:r>
      <w:r w:rsidR="00292FAC">
        <w:noBreakHyphen/>
        <w:t>average overcrowding to have the capacity to collect less revenue than they actually do.</w:t>
      </w:r>
    </w:p>
    <w:p w14:paraId="0288B049" w14:textId="335E197F" w:rsidR="00292FAC" w:rsidRDefault="00292FAC" w:rsidP="002845B8">
      <w:pPr>
        <w:pStyle w:val="CGC2025ParaNumbers"/>
        <w:keepNext/>
        <w:keepLines/>
      </w:pPr>
      <w:r>
        <w:lastRenderedPageBreak/>
        <w:t xml:space="preserve">The Commission </w:t>
      </w:r>
      <w:r w:rsidR="00904EBB">
        <w:t xml:space="preserve">agrees with those states </w:t>
      </w:r>
      <w:r w:rsidR="008C197B">
        <w:t xml:space="preserve">that indicated </w:t>
      </w:r>
      <w:r>
        <w:t xml:space="preserve">it would be preferable to retain a method that more closely aligns with </w:t>
      </w:r>
      <w:r w:rsidRPr="00B53CA0">
        <w:t>what states do</w:t>
      </w:r>
      <w:r>
        <w:t xml:space="preserve">, which is to provide services to households rather than individuals. In addition, the Commission </w:t>
      </w:r>
      <w:r w:rsidR="00A77A13">
        <w:t xml:space="preserve">recognises </w:t>
      </w:r>
      <w:r>
        <w:t>that social housing expenses do not necessarily increase in a linear way as household size increases and there are a range of factors that affect the recurrent costs associated with social housing households.</w:t>
      </w:r>
    </w:p>
    <w:p w14:paraId="50DF8FF3" w14:textId="20EFE14C" w:rsidR="00292FAC" w:rsidRDefault="00292FAC" w:rsidP="00292FAC">
      <w:pPr>
        <w:pStyle w:val="CGC2025ParaNumbers"/>
      </w:pPr>
      <w:r>
        <w:t xml:space="preserve">However, the Commission </w:t>
      </w:r>
      <w:r w:rsidR="00DB2FBD">
        <w:t xml:space="preserve">has a different view </w:t>
      </w:r>
      <w:r w:rsidR="00A11093">
        <w:t>with respect to</w:t>
      </w:r>
      <w:r>
        <w:t xml:space="preserve"> some of the other arguments raised by states</w:t>
      </w:r>
      <w:r w:rsidR="00BD01ED">
        <w:t>.</w:t>
      </w:r>
    </w:p>
    <w:p w14:paraId="2BA2364C" w14:textId="2870969E" w:rsidR="00292FAC" w:rsidRPr="00BA030C" w:rsidRDefault="005B4B4D" w:rsidP="00292FAC">
      <w:pPr>
        <w:pStyle w:val="CGC2025Bullet1"/>
      </w:pPr>
      <w:r>
        <w:t xml:space="preserve">Two states said </w:t>
      </w:r>
      <w:r w:rsidR="00292FAC">
        <w:t>that the assessment needed to account for the increasing number of s</w:t>
      </w:r>
      <w:r w:rsidR="00292FAC" w:rsidRPr="00BA030C">
        <w:t>ingle person households in social housing</w:t>
      </w:r>
      <w:r w:rsidR="00676FD6">
        <w:t>,</w:t>
      </w:r>
      <w:r w:rsidR="00292FAC" w:rsidRPr="00BA030C">
        <w:t xml:space="preserve"> </w:t>
      </w:r>
      <w:r w:rsidR="00292FAC">
        <w:t xml:space="preserve">which can be relatively </w:t>
      </w:r>
      <w:r w:rsidR="00292FAC" w:rsidRPr="00BA030C">
        <w:t xml:space="preserve">expensive to </w:t>
      </w:r>
      <w:r w:rsidR="00292FAC">
        <w:t>service.</w:t>
      </w:r>
      <w:r w:rsidR="00292FAC" w:rsidRPr="00BA030C">
        <w:t xml:space="preserve"> </w:t>
      </w:r>
      <w:r w:rsidR="00292FAC">
        <w:t>However, state shares of single person households in social housing are relatively uniform, with the Northern Territory the only outlier (</w:t>
      </w:r>
      <w:r w:rsidR="00A414DD">
        <w:t>Table </w:t>
      </w:r>
      <w:r w:rsidR="00497A66">
        <w:t>5</w:t>
      </w:r>
      <w:r w:rsidR="00682B8A">
        <w:t>)</w:t>
      </w:r>
      <w:r w:rsidR="00292FAC">
        <w:t>. If this holds across socio</w:t>
      </w:r>
      <w:r w:rsidR="00292FAC">
        <w:noBreakHyphen/>
        <w:t xml:space="preserve">demographic groups, then </w:t>
      </w:r>
      <w:r w:rsidR="00527F7D">
        <w:t>in</w:t>
      </w:r>
      <w:r w:rsidR="00292FAC">
        <w:t>cluding a cost weight for single person households would not significantly impact GST distribution.</w:t>
      </w:r>
      <w:r w:rsidR="00292FAC">
        <w:rPr>
          <w:rStyle w:val="FootnoteReference"/>
        </w:rPr>
        <w:footnoteReference w:id="7"/>
      </w:r>
    </w:p>
    <w:p w14:paraId="0909C400" w14:textId="5AF73D18" w:rsidR="00292FAC" w:rsidRPr="00DF3002" w:rsidRDefault="00292FAC" w:rsidP="00292FAC">
      <w:pPr>
        <w:pStyle w:val="CGC2025Bullet1"/>
      </w:pPr>
      <w:r w:rsidRPr="00DF3002">
        <w:t xml:space="preserve">The revenue component of the </w:t>
      </w:r>
      <w:r w:rsidR="00A309CD">
        <w:t>proposed</w:t>
      </w:r>
      <w:r w:rsidRPr="00DF3002">
        <w:t xml:space="preserve"> individual</w:t>
      </w:r>
      <w:r w:rsidRPr="00DF3002">
        <w:noBreakHyphen/>
        <w:t>based approach took account of larger public housing households paying more rent. The Northern Territory was assessed to have a revenue raising capacity around twice that for which it was assessed to have under the 2020 Review household</w:t>
      </w:r>
      <w:r w:rsidRPr="00DF3002">
        <w:noBreakHyphen/>
        <w:t xml:space="preserve">based approach. </w:t>
      </w:r>
      <w:r w:rsidR="001D32EF" w:rsidRPr="002A21CC">
        <w:t>S</w:t>
      </w:r>
      <w:r w:rsidRPr="002A21CC">
        <w:t xml:space="preserve">tates other than </w:t>
      </w:r>
      <w:r w:rsidR="008A2AEC" w:rsidRPr="002A21CC">
        <w:t xml:space="preserve">Queensland and </w:t>
      </w:r>
      <w:r w:rsidRPr="002A21CC">
        <w:t>Western Australia were assessed to have reduced revenue raising capacity</w:t>
      </w:r>
      <w:r w:rsidRPr="00DF3002">
        <w:t>.</w:t>
      </w:r>
    </w:p>
    <w:p w14:paraId="56B0E4ED" w14:textId="2CA86569" w:rsidR="00292FAC" w:rsidRDefault="00292FAC" w:rsidP="00A55319">
      <w:pPr>
        <w:pStyle w:val="CGC2025Caption"/>
      </w:pPr>
      <w:bookmarkStart w:id="28" w:name="_Ref175649408"/>
      <w:r>
        <w:t xml:space="preserve">Table </w:t>
      </w:r>
      <w:bookmarkEnd w:id="28"/>
      <w:r w:rsidR="00497A66">
        <w:t>5</w:t>
      </w:r>
      <w:r>
        <w:tab/>
        <w:t>Share of single person households in social housing by state, June 2023</w:t>
      </w:r>
    </w:p>
    <w:tbl>
      <w:tblPr>
        <w:tblW w:w="8902" w:type="dxa"/>
        <w:tblLook w:val="04A0" w:firstRow="1" w:lastRow="0" w:firstColumn="1" w:lastColumn="0" w:noHBand="0" w:noVBand="1"/>
      </w:tblPr>
      <w:tblGrid>
        <w:gridCol w:w="1843"/>
        <w:gridCol w:w="822"/>
        <w:gridCol w:w="891"/>
        <w:gridCol w:w="891"/>
        <w:gridCol w:w="891"/>
        <w:gridCol w:w="891"/>
        <w:gridCol w:w="891"/>
        <w:gridCol w:w="891"/>
        <w:gridCol w:w="891"/>
      </w:tblGrid>
      <w:tr w:rsidR="00292FAC" w:rsidRPr="00E27D3D" w14:paraId="3EB2B7FA" w14:textId="77777777">
        <w:trPr>
          <w:trHeight w:val="379"/>
        </w:trPr>
        <w:tc>
          <w:tcPr>
            <w:tcW w:w="1843" w:type="dxa"/>
            <w:tcBorders>
              <w:top w:val="nil"/>
              <w:left w:val="nil"/>
              <w:bottom w:val="nil"/>
              <w:right w:val="nil"/>
            </w:tcBorders>
            <w:shd w:val="clear" w:color="000000" w:fill="006991"/>
            <w:vAlign w:val="center"/>
            <w:hideMark/>
          </w:tcPr>
          <w:p w14:paraId="5B4B4963" w14:textId="77777777" w:rsidR="00292FAC" w:rsidRPr="00E27D3D" w:rsidRDefault="00292FAC">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822" w:type="dxa"/>
            <w:tcBorders>
              <w:top w:val="nil"/>
              <w:left w:val="nil"/>
              <w:bottom w:val="nil"/>
              <w:right w:val="nil"/>
            </w:tcBorders>
            <w:shd w:val="clear" w:color="000000" w:fill="006991"/>
            <w:vAlign w:val="center"/>
            <w:hideMark/>
          </w:tcPr>
          <w:p w14:paraId="724B4D61" w14:textId="77777777" w:rsidR="00292FAC" w:rsidRPr="00E27D3D"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7D3D">
              <w:rPr>
                <w:rFonts w:ascii="Open Sans Semibold" w:eastAsia="Times New Roman" w:hAnsi="Open Sans Semibold" w:cs="Open Sans Semibold"/>
                <w:color w:val="FFFFFF"/>
                <w:sz w:val="16"/>
                <w:szCs w:val="16"/>
                <w:lang w:eastAsia="en-AU"/>
              </w:rPr>
              <w:t>NSW</w:t>
            </w:r>
          </w:p>
        </w:tc>
        <w:tc>
          <w:tcPr>
            <w:tcW w:w="891" w:type="dxa"/>
            <w:tcBorders>
              <w:top w:val="nil"/>
              <w:left w:val="nil"/>
              <w:bottom w:val="nil"/>
              <w:right w:val="nil"/>
            </w:tcBorders>
            <w:shd w:val="clear" w:color="000000" w:fill="006991"/>
            <w:vAlign w:val="center"/>
            <w:hideMark/>
          </w:tcPr>
          <w:p w14:paraId="4DE46A17" w14:textId="77777777" w:rsidR="00292FAC" w:rsidRPr="00E27D3D"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7D3D">
              <w:rPr>
                <w:rFonts w:ascii="Open Sans Semibold" w:eastAsia="Times New Roman" w:hAnsi="Open Sans Semibold" w:cs="Open Sans Semibold"/>
                <w:color w:val="FFFFFF"/>
                <w:sz w:val="16"/>
                <w:szCs w:val="16"/>
                <w:lang w:eastAsia="en-AU"/>
              </w:rPr>
              <w:t>Vic</w:t>
            </w:r>
          </w:p>
        </w:tc>
        <w:tc>
          <w:tcPr>
            <w:tcW w:w="891" w:type="dxa"/>
            <w:tcBorders>
              <w:top w:val="nil"/>
              <w:left w:val="nil"/>
              <w:bottom w:val="nil"/>
              <w:right w:val="nil"/>
            </w:tcBorders>
            <w:shd w:val="clear" w:color="000000" w:fill="006991"/>
            <w:vAlign w:val="center"/>
            <w:hideMark/>
          </w:tcPr>
          <w:p w14:paraId="4EC6C4E7" w14:textId="77777777" w:rsidR="00292FAC" w:rsidRPr="00E27D3D"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7D3D">
              <w:rPr>
                <w:rFonts w:ascii="Open Sans Semibold" w:eastAsia="Times New Roman" w:hAnsi="Open Sans Semibold" w:cs="Open Sans Semibold"/>
                <w:color w:val="FFFFFF"/>
                <w:sz w:val="16"/>
                <w:szCs w:val="16"/>
                <w:lang w:eastAsia="en-AU"/>
              </w:rPr>
              <w:t>Qld</w:t>
            </w:r>
          </w:p>
        </w:tc>
        <w:tc>
          <w:tcPr>
            <w:tcW w:w="891" w:type="dxa"/>
            <w:tcBorders>
              <w:top w:val="nil"/>
              <w:left w:val="nil"/>
              <w:bottom w:val="nil"/>
              <w:right w:val="nil"/>
            </w:tcBorders>
            <w:shd w:val="clear" w:color="000000" w:fill="006991"/>
            <w:vAlign w:val="center"/>
            <w:hideMark/>
          </w:tcPr>
          <w:p w14:paraId="3A7CB5DF" w14:textId="77777777" w:rsidR="00292FAC" w:rsidRPr="00E27D3D"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7D3D">
              <w:rPr>
                <w:rFonts w:ascii="Open Sans Semibold" w:eastAsia="Times New Roman" w:hAnsi="Open Sans Semibold" w:cs="Open Sans Semibold"/>
                <w:color w:val="FFFFFF"/>
                <w:sz w:val="16"/>
                <w:szCs w:val="16"/>
                <w:lang w:eastAsia="en-AU"/>
              </w:rPr>
              <w:t>WA</w:t>
            </w:r>
          </w:p>
        </w:tc>
        <w:tc>
          <w:tcPr>
            <w:tcW w:w="891" w:type="dxa"/>
            <w:tcBorders>
              <w:top w:val="nil"/>
              <w:left w:val="nil"/>
              <w:bottom w:val="nil"/>
              <w:right w:val="nil"/>
            </w:tcBorders>
            <w:shd w:val="clear" w:color="000000" w:fill="006991"/>
            <w:vAlign w:val="center"/>
            <w:hideMark/>
          </w:tcPr>
          <w:p w14:paraId="5D5A11B0" w14:textId="77777777" w:rsidR="00292FAC" w:rsidRPr="00E27D3D"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7D3D">
              <w:rPr>
                <w:rFonts w:ascii="Open Sans Semibold" w:eastAsia="Times New Roman" w:hAnsi="Open Sans Semibold" w:cs="Open Sans Semibold"/>
                <w:color w:val="FFFFFF"/>
                <w:sz w:val="16"/>
                <w:szCs w:val="16"/>
                <w:lang w:eastAsia="en-AU"/>
              </w:rPr>
              <w:t>SA</w:t>
            </w:r>
          </w:p>
        </w:tc>
        <w:tc>
          <w:tcPr>
            <w:tcW w:w="891" w:type="dxa"/>
            <w:tcBorders>
              <w:top w:val="nil"/>
              <w:left w:val="nil"/>
              <w:bottom w:val="nil"/>
              <w:right w:val="nil"/>
            </w:tcBorders>
            <w:shd w:val="clear" w:color="000000" w:fill="006991"/>
            <w:vAlign w:val="center"/>
            <w:hideMark/>
          </w:tcPr>
          <w:p w14:paraId="6365796F" w14:textId="77777777" w:rsidR="00292FAC" w:rsidRPr="00E27D3D"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7D3D">
              <w:rPr>
                <w:rFonts w:ascii="Open Sans Semibold" w:eastAsia="Times New Roman" w:hAnsi="Open Sans Semibold" w:cs="Open Sans Semibold"/>
                <w:color w:val="FFFFFF"/>
                <w:sz w:val="16"/>
                <w:szCs w:val="16"/>
                <w:lang w:eastAsia="en-AU"/>
              </w:rPr>
              <w:t>Tas</w:t>
            </w:r>
          </w:p>
        </w:tc>
        <w:tc>
          <w:tcPr>
            <w:tcW w:w="891" w:type="dxa"/>
            <w:tcBorders>
              <w:top w:val="nil"/>
              <w:left w:val="nil"/>
              <w:bottom w:val="nil"/>
              <w:right w:val="nil"/>
            </w:tcBorders>
            <w:shd w:val="clear" w:color="000000" w:fill="006991"/>
            <w:vAlign w:val="center"/>
            <w:hideMark/>
          </w:tcPr>
          <w:p w14:paraId="46F071C3" w14:textId="77777777" w:rsidR="00292FAC" w:rsidRPr="00E27D3D"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7D3D">
              <w:rPr>
                <w:rFonts w:ascii="Open Sans Semibold" w:eastAsia="Times New Roman" w:hAnsi="Open Sans Semibold" w:cs="Open Sans Semibold"/>
                <w:color w:val="FFFFFF"/>
                <w:sz w:val="16"/>
                <w:szCs w:val="16"/>
                <w:lang w:eastAsia="en-AU"/>
              </w:rPr>
              <w:t>ACT</w:t>
            </w:r>
          </w:p>
        </w:tc>
        <w:tc>
          <w:tcPr>
            <w:tcW w:w="891" w:type="dxa"/>
            <w:tcBorders>
              <w:top w:val="nil"/>
              <w:left w:val="nil"/>
              <w:bottom w:val="nil"/>
              <w:right w:val="nil"/>
            </w:tcBorders>
            <w:shd w:val="clear" w:color="000000" w:fill="006991"/>
            <w:vAlign w:val="center"/>
            <w:hideMark/>
          </w:tcPr>
          <w:p w14:paraId="114928E6" w14:textId="77777777" w:rsidR="00292FAC" w:rsidRPr="00E27D3D"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7D3D">
              <w:rPr>
                <w:rFonts w:ascii="Open Sans Semibold" w:eastAsia="Times New Roman" w:hAnsi="Open Sans Semibold" w:cs="Open Sans Semibold"/>
                <w:color w:val="FFFFFF"/>
                <w:sz w:val="16"/>
                <w:szCs w:val="16"/>
                <w:lang w:eastAsia="en-AU"/>
              </w:rPr>
              <w:t>NT</w:t>
            </w:r>
          </w:p>
        </w:tc>
      </w:tr>
      <w:tr w:rsidR="00292FAC" w:rsidRPr="00E27D3D" w14:paraId="1C42866F" w14:textId="77777777">
        <w:trPr>
          <w:trHeight w:val="525"/>
        </w:trPr>
        <w:tc>
          <w:tcPr>
            <w:tcW w:w="1843" w:type="dxa"/>
            <w:tcBorders>
              <w:top w:val="single" w:sz="4" w:space="0" w:color="ADD6EA"/>
              <w:left w:val="nil"/>
              <w:bottom w:val="single" w:sz="4" w:space="0" w:color="ADD6EA"/>
              <w:right w:val="nil"/>
            </w:tcBorders>
            <w:shd w:val="clear" w:color="000000" w:fill="FFFFFF"/>
            <w:vAlign w:val="bottom"/>
            <w:hideMark/>
          </w:tcPr>
          <w:p w14:paraId="6948C30A" w14:textId="77777777" w:rsidR="00292FAC" w:rsidRPr="00E27D3D" w:rsidRDefault="00292FAC">
            <w:pPr>
              <w:tabs>
                <w:tab w:val="clear" w:pos="567"/>
              </w:tabs>
              <w:spacing w:before="0" w:line="240" w:lineRule="auto"/>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Share of single person households (%)</w:t>
            </w:r>
          </w:p>
        </w:tc>
        <w:tc>
          <w:tcPr>
            <w:tcW w:w="822" w:type="dxa"/>
            <w:tcBorders>
              <w:top w:val="single" w:sz="4" w:space="0" w:color="ADD6EA"/>
              <w:left w:val="nil"/>
              <w:bottom w:val="single" w:sz="4" w:space="0" w:color="ADD6EA"/>
              <w:right w:val="nil"/>
            </w:tcBorders>
            <w:shd w:val="clear" w:color="000000" w:fill="FFFFFF"/>
            <w:vAlign w:val="bottom"/>
            <w:hideMark/>
          </w:tcPr>
          <w:p w14:paraId="276F52F1" w14:textId="77777777" w:rsidR="00292FAC" w:rsidRPr="00E27D3D"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59</w:t>
            </w:r>
          </w:p>
        </w:tc>
        <w:tc>
          <w:tcPr>
            <w:tcW w:w="891" w:type="dxa"/>
            <w:tcBorders>
              <w:top w:val="single" w:sz="4" w:space="0" w:color="ADD6EA"/>
              <w:left w:val="nil"/>
              <w:bottom w:val="single" w:sz="4" w:space="0" w:color="ADD6EA"/>
              <w:right w:val="nil"/>
            </w:tcBorders>
            <w:shd w:val="clear" w:color="000000" w:fill="FFFFFF"/>
            <w:vAlign w:val="bottom"/>
            <w:hideMark/>
          </w:tcPr>
          <w:p w14:paraId="74CDA823" w14:textId="77777777" w:rsidR="00292FAC" w:rsidRPr="00E27D3D"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60</w:t>
            </w:r>
          </w:p>
        </w:tc>
        <w:tc>
          <w:tcPr>
            <w:tcW w:w="891" w:type="dxa"/>
            <w:tcBorders>
              <w:top w:val="single" w:sz="4" w:space="0" w:color="ADD6EA"/>
              <w:left w:val="nil"/>
              <w:bottom w:val="single" w:sz="4" w:space="0" w:color="ADD6EA"/>
              <w:right w:val="nil"/>
            </w:tcBorders>
            <w:shd w:val="clear" w:color="000000" w:fill="FFFFFF"/>
            <w:vAlign w:val="bottom"/>
            <w:hideMark/>
          </w:tcPr>
          <w:p w14:paraId="10B83696" w14:textId="77777777" w:rsidR="00292FAC" w:rsidRPr="00E27D3D"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54</w:t>
            </w:r>
          </w:p>
        </w:tc>
        <w:tc>
          <w:tcPr>
            <w:tcW w:w="891" w:type="dxa"/>
            <w:tcBorders>
              <w:top w:val="single" w:sz="4" w:space="0" w:color="ADD6EA"/>
              <w:left w:val="nil"/>
              <w:bottom w:val="single" w:sz="4" w:space="0" w:color="ADD6EA"/>
              <w:right w:val="nil"/>
            </w:tcBorders>
            <w:shd w:val="clear" w:color="000000" w:fill="FFFFFF"/>
            <w:vAlign w:val="bottom"/>
            <w:hideMark/>
          </w:tcPr>
          <w:p w14:paraId="0612D351" w14:textId="77777777" w:rsidR="00292FAC" w:rsidRPr="00E27D3D"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55</w:t>
            </w:r>
          </w:p>
        </w:tc>
        <w:tc>
          <w:tcPr>
            <w:tcW w:w="891" w:type="dxa"/>
            <w:tcBorders>
              <w:top w:val="single" w:sz="4" w:space="0" w:color="ADD6EA"/>
              <w:left w:val="nil"/>
              <w:bottom w:val="single" w:sz="4" w:space="0" w:color="ADD6EA"/>
              <w:right w:val="nil"/>
            </w:tcBorders>
            <w:shd w:val="clear" w:color="000000" w:fill="FFFFFF"/>
            <w:vAlign w:val="bottom"/>
            <w:hideMark/>
          </w:tcPr>
          <w:p w14:paraId="1B416E18" w14:textId="77777777" w:rsidR="00292FAC" w:rsidRPr="00E27D3D"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63</w:t>
            </w:r>
          </w:p>
        </w:tc>
        <w:tc>
          <w:tcPr>
            <w:tcW w:w="891" w:type="dxa"/>
            <w:tcBorders>
              <w:top w:val="single" w:sz="4" w:space="0" w:color="ADD6EA"/>
              <w:left w:val="nil"/>
              <w:bottom w:val="single" w:sz="4" w:space="0" w:color="ADD6EA"/>
              <w:right w:val="nil"/>
            </w:tcBorders>
            <w:shd w:val="clear" w:color="000000" w:fill="FFFFFF"/>
            <w:vAlign w:val="bottom"/>
            <w:hideMark/>
          </w:tcPr>
          <w:p w14:paraId="382953E1" w14:textId="77777777" w:rsidR="00292FAC" w:rsidRPr="00E27D3D"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56</w:t>
            </w:r>
          </w:p>
        </w:tc>
        <w:tc>
          <w:tcPr>
            <w:tcW w:w="891" w:type="dxa"/>
            <w:tcBorders>
              <w:top w:val="single" w:sz="4" w:space="0" w:color="ADD6EA"/>
              <w:left w:val="nil"/>
              <w:bottom w:val="single" w:sz="4" w:space="0" w:color="ADD6EA"/>
              <w:right w:val="nil"/>
            </w:tcBorders>
            <w:shd w:val="clear" w:color="000000" w:fill="FFFFFF"/>
            <w:vAlign w:val="bottom"/>
            <w:hideMark/>
          </w:tcPr>
          <w:p w14:paraId="2483AB51" w14:textId="77777777" w:rsidR="00292FAC" w:rsidRPr="00E27D3D"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55</w:t>
            </w:r>
          </w:p>
        </w:tc>
        <w:tc>
          <w:tcPr>
            <w:tcW w:w="891" w:type="dxa"/>
            <w:tcBorders>
              <w:top w:val="single" w:sz="4" w:space="0" w:color="ADD6EA"/>
              <w:left w:val="nil"/>
              <w:bottom w:val="single" w:sz="4" w:space="0" w:color="ADD6EA"/>
              <w:right w:val="nil"/>
            </w:tcBorders>
            <w:shd w:val="clear" w:color="000000" w:fill="FFFFFF"/>
            <w:vAlign w:val="bottom"/>
            <w:hideMark/>
          </w:tcPr>
          <w:p w14:paraId="6A500E53" w14:textId="77777777" w:rsidR="00292FAC" w:rsidRPr="00E27D3D"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27D3D">
              <w:rPr>
                <w:rFonts w:ascii="Open Sans Light" w:eastAsia="Times New Roman" w:hAnsi="Open Sans Light" w:cs="Open Sans Light"/>
                <w:color w:val="000000"/>
                <w:sz w:val="16"/>
                <w:szCs w:val="16"/>
                <w:lang w:eastAsia="en-AU"/>
              </w:rPr>
              <w:t>25</w:t>
            </w:r>
          </w:p>
        </w:tc>
      </w:tr>
    </w:tbl>
    <w:p w14:paraId="3F2C029A" w14:textId="71518284" w:rsidR="00292FAC" w:rsidRDefault="00292FAC" w:rsidP="00292FAC">
      <w:pPr>
        <w:pStyle w:val="CGC2025TableNote"/>
        <w:ind w:left="0" w:firstLine="0"/>
      </w:pPr>
      <w:r>
        <w:t xml:space="preserve"> Source: Housing assistance in Australia 2024, </w:t>
      </w:r>
      <w:r w:rsidR="00665470">
        <w:t>s</w:t>
      </w:r>
      <w:r>
        <w:t xml:space="preserve">ocial housing households, </w:t>
      </w:r>
      <w:r w:rsidR="00A02718">
        <w:t>AIHW</w:t>
      </w:r>
      <w:r w:rsidR="00FC1CCA">
        <w:t>.</w:t>
      </w:r>
    </w:p>
    <w:p w14:paraId="166CA337" w14:textId="78616978" w:rsidR="00292FAC" w:rsidRDefault="00292FAC" w:rsidP="00292FAC">
      <w:pPr>
        <w:pStyle w:val="CGC2025ParaNumbers"/>
      </w:pPr>
      <w:r>
        <w:t xml:space="preserve">The Commission examined </w:t>
      </w:r>
      <w:r w:rsidR="00333F15">
        <w:t xml:space="preserve">2 </w:t>
      </w:r>
      <w:r>
        <w:t xml:space="preserve">options in light of the comments made by states in response to the Draft Report. </w:t>
      </w:r>
    </w:p>
    <w:p w14:paraId="60BE4394" w14:textId="77777777" w:rsidR="00292FAC" w:rsidRDefault="00292FAC" w:rsidP="000F448D">
      <w:pPr>
        <w:pStyle w:val="Heading5"/>
        <w:keepLines/>
      </w:pPr>
      <w:r>
        <w:t>Average household</w:t>
      </w:r>
      <w:r>
        <w:noBreakHyphen/>
        <w:t>size approach</w:t>
      </w:r>
    </w:p>
    <w:p w14:paraId="7E33735B" w14:textId="29D481DF" w:rsidR="00292FAC" w:rsidRDefault="00292FAC" w:rsidP="000F448D">
      <w:pPr>
        <w:pStyle w:val="CGC2025ParaNumbers"/>
        <w:keepLines/>
      </w:pPr>
      <w:r>
        <w:t>The housing assessment, like most socio</w:t>
      </w:r>
      <w:r>
        <w:noBreakHyphen/>
        <w:t xml:space="preserve">demographic assessments, has </w:t>
      </w:r>
      <w:r w:rsidR="00105B1F">
        <w:t>2</w:t>
      </w:r>
      <w:r w:rsidR="00092F9D">
        <w:t> </w:t>
      </w:r>
      <w:r>
        <w:t>fundamental steps. Step 1 involves the calculation of national average spending (per</w:t>
      </w:r>
      <w:r w:rsidR="004F2823">
        <w:t> </w:t>
      </w:r>
      <w:r>
        <w:t>capita or per household) by socio</w:t>
      </w:r>
      <w:r>
        <w:noBreakHyphen/>
        <w:t>demographic group. Step 2 involves the apportionment of national average spending to states based on the number of people or households they have in each socio</w:t>
      </w:r>
      <w:r>
        <w:noBreakHyphen/>
        <w:t>demographic group. This gives state assessed expenses</w:t>
      </w:r>
      <w:r w:rsidR="00A169E7">
        <w:t xml:space="preserve"> by socio</w:t>
      </w:r>
      <w:r w:rsidR="00A169E7">
        <w:noBreakHyphen/>
        <w:t>demographic group</w:t>
      </w:r>
      <w:r>
        <w:t xml:space="preserve">. </w:t>
      </w:r>
    </w:p>
    <w:p w14:paraId="16DD6E29" w14:textId="4189E446" w:rsidR="00292FAC" w:rsidRDefault="00292FAC" w:rsidP="00292FAC">
      <w:pPr>
        <w:pStyle w:val="CGC2025ParaNumbers"/>
      </w:pPr>
      <w:r>
        <w:t xml:space="preserve">The </w:t>
      </w:r>
      <w:r w:rsidRPr="00FC1CCA">
        <w:t>average household size</w:t>
      </w:r>
      <w:r>
        <w:t xml:space="preserve"> method is household</w:t>
      </w:r>
      <w:r w:rsidR="001521C6">
        <w:t xml:space="preserve"> </w:t>
      </w:r>
      <w:r>
        <w:t>based. Therefore, step 1 involves the same calculation as the 2020 Review method and produces the same estimates for national average spending per household.</w:t>
      </w:r>
    </w:p>
    <w:p w14:paraId="47D7D75D" w14:textId="1C44A9A1" w:rsidR="00292FAC" w:rsidRDefault="00292FAC" w:rsidP="003615DC">
      <w:pPr>
        <w:pStyle w:val="CGC2025ParaNumbers"/>
        <w:keepNext/>
        <w:keepLines/>
      </w:pPr>
      <w:r>
        <w:lastRenderedPageBreak/>
        <w:t>Step 2 involves a different approach to apportioning expenses to states. Rather than using census</w:t>
      </w:r>
      <w:r>
        <w:noBreakHyphen/>
        <w:t xml:space="preserve">based household counts, a household count is </w:t>
      </w:r>
      <w:r w:rsidR="000432D9">
        <w:t>derived</w:t>
      </w:r>
      <w:r>
        <w:t xml:space="preserve"> for each socio</w:t>
      </w:r>
      <w:r>
        <w:noBreakHyphen/>
        <w:t>demographic group in each state based on the national average household size in each socio</w:t>
      </w:r>
      <w:r>
        <w:noBreakHyphen/>
        <w:t>demographic group.</w:t>
      </w:r>
      <w:r w:rsidR="00924825">
        <w:t xml:space="preserve"> Th</w:t>
      </w:r>
      <w:r w:rsidR="001C5CCA">
        <w:t xml:space="preserve">at </w:t>
      </w:r>
      <w:r w:rsidR="00924825">
        <w:t>is</w:t>
      </w:r>
      <w:r w:rsidR="001C5CCA">
        <w:t>:</w:t>
      </w:r>
      <w:r w:rsidR="00924825">
        <w:t xml:space="preserve"> </w:t>
      </w:r>
    </w:p>
    <w:p w14:paraId="5BF12AA9" w14:textId="34948288" w:rsidR="001C5CCA" w:rsidRDefault="00292FAC" w:rsidP="00D316FB">
      <w:pPr>
        <w:pStyle w:val="CGC2025ParaNumbers"/>
        <w:numPr>
          <w:ilvl w:val="0"/>
          <w:numId w:val="0"/>
        </w:numPr>
        <w:spacing w:after="0"/>
        <w:ind w:left="1287" w:firstLine="153"/>
        <w:rPr>
          <w:i/>
          <w:iCs/>
          <w:vertAlign w:val="subscript"/>
        </w:rPr>
      </w:pPr>
      <w:bookmarkStart w:id="29" w:name="_Hlk176448155"/>
      <w:r w:rsidRPr="00F562DC">
        <w:rPr>
          <w:i/>
          <w:iCs/>
        </w:rPr>
        <w:t>N</w:t>
      </w:r>
      <w:r w:rsidR="00F15192">
        <w:rPr>
          <w:i/>
          <w:iCs/>
        </w:rPr>
        <w:t>umber</w:t>
      </w:r>
      <w:r w:rsidRPr="00F562DC">
        <w:rPr>
          <w:i/>
          <w:iCs/>
        </w:rPr>
        <w:t xml:space="preserve"> </w:t>
      </w:r>
      <w:bookmarkEnd w:id="29"/>
      <w:r w:rsidRPr="00F562DC">
        <w:rPr>
          <w:i/>
          <w:iCs/>
        </w:rPr>
        <w:t xml:space="preserve">of households </w:t>
      </w:r>
      <w:r w:rsidR="002F17B1">
        <w:rPr>
          <w:i/>
          <w:iCs/>
        </w:rPr>
        <w:t xml:space="preserve">by </w:t>
      </w:r>
      <w:r w:rsidR="002F17B1">
        <w:t>socio</w:t>
      </w:r>
      <w:r w:rsidR="002F17B1">
        <w:noBreakHyphen/>
        <w:t xml:space="preserve">demographic group </w:t>
      </w:r>
    </w:p>
    <w:p w14:paraId="2F6F893A" w14:textId="40606F54" w:rsidR="001C5CCA" w:rsidRDefault="00F15192" w:rsidP="00D316FB">
      <w:pPr>
        <w:pStyle w:val="CGC2025ParaNumbers"/>
        <w:numPr>
          <w:ilvl w:val="0"/>
          <w:numId w:val="0"/>
        </w:numPr>
        <w:spacing w:before="0" w:after="0"/>
        <w:ind w:left="2007" w:firstLine="153"/>
        <w:rPr>
          <w:i/>
          <w:iCs/>
        </w:rPr>
      </w:pPr>
      <w:r w:rsidRPr="009269C2">
        <w:rPr>
          <w:i/>
        </w:rPr>
        <w:t xml:space="preserve">Equals </w:t>
      </w:r>
    </w:p>
    <w:p w14:paraId="081F89AB" w14:textId="4E9BADC6" w:rsidR="00F15192" w:rsidRDefault="00F15192" w:rsidP="00D316FB">
      <w:pPr>
        <w:pStyle w:val="CGC2025ParaNumbers"/>
        <w:numPr>
          <w:ilvl w:val="0"/>
          <w:numId w:val="0"/>
        </w:numPr>
        <w:spacing w:before="0" w:after="0"/>
        <w:ind w:left="1287" w:firstLine="153"/>
      </w:pPr>
      <w:r w:rsidRPr="00F562DC">
        <w:rPr>
          <w:i/>
          <w:iCs/>
        </w:rPr>
        <w:t>N</w:t>
      </w:r>
      <w:r>
        <w:rPr>
          <w:i/>
          <w:iCs/>
        </w:rPr>
        <w:t>umber</w:t>
      </w:r>
      <w:r w:rsidRPr="00F562DC">
        <w:rPr>
          <w:i/>
          <w:iCs/>
        </w:rPr>
        <w:t xml:space="preserve"> </w:t>
      </w:r>
      <w:r w:rsidR="00292FAC" w:rsidRPr="00F562DC">
        <w:rPr>
          <w:i/>
          <w:iCs/>
        </w:rPr>
        <w:t xml:space="preserve">of individuals </w:t>
      </w:r>
      <w:r>
        <w:rPr>
          <w:i/>
          <w:iCs/>
        </w:rPr>
        <w:t xml:space="preserve">by </w:t>
      </w:r>
      <w:r>
        <w:t>socio</w:t>
      </w:r>
      <w:r>
        <w:noBreakHyphen/>
        <w:t xml:space="preserve">demographic group </w:t>
      </w:r>
    </w:p>
    <w:p w14:paraId="15D603A8" w14:textId="0608FDD1" w:rsidR="001C5CCA" w:rsidRDefault="001C5CCA" w:rsidP="00D316FB">
      <w:pPr>
        <w:pStyle w:val="CGC2025ParaNumbers"/>
        <w:numPr>
          <w:ilvl w:val="0"/>
          <w:numId w:val="0"/>
        </w:numPr>
        <w:spacing w:before="0" w:after="0"/>
        <w:ind w:left="2007" w:firstLine="153"/>
        <w:rPr>
          <w:i/>
          <w:iCs/>
        </w:rPr>
      </w:pPr>
      <w:r>
        <w:rPr>
          <w:i/>
          <w:iCs/>
        </w:rPr>
        <w:t xml:space="preserve">Divided by </w:t>
      </w:r>
    </w:p>
    <w:p w14:paraId="3E6DD4AA" w14:textId="72B1DFA5" w:rsidR="00292FAC" w:rsidRPr="002B19D0" w:rsidRDefault="001C5CCA" w:rsidP="00D316FB">
      <w:pPr>
        <w:pStyle w:val="CGC2025ParaNumbers"/>
        <w:numPr>
          <w:ilvl w:val="0"/>
          <w:numId w:val="0"/>
        </w:numPr>
        <w:spacing w:before="0"/>
        <w:ind w:left="981" w:firstLine="459"/>
        <w:rPr>
          <w:i/>
          <w:iCs/>
        </w:rPr>
      </w:pPr>
      <w:r>
        <w:rPr>
          <w:i/>
          <w:iCs/>
        </w:rPr>
        <w:t>N</w:t>
      </w:r>
      <w:r w:rsidR="00292FAC" w:rsidRPr="00F562DC">
        <w:rPr>
          <w:i/>
          <w:iCs/>
        </w:rPr>
        <w:t xml:space="preserve">ational average household size </w:t>
      </w:r>
      <w:r w:rsidR="00F15192">
        <w:rPr>
          <w:i/>
          <w:iCs/>
        </w:rPr>
        <w:t xml:space="preserve">by </w:t>
      </w:r>
      <w:r w:rsidR="00F15192">
        <w:t>socio</w:t>
      </w:r>
      <w:r w:rsidR="00F15192">
        <w:noBreakHyphen/>
        <w:t xml:space="preserve">demographic group </w:t>
      </w:r>
    </w:p>
    <w:p w14:paraId="2CFFE319" w14:textId="645B2763" w:rsidR="00CF2013" w:rsidRDefault="00292FAC" w:rsidP="00B31CA1">
      <w:pPr>
        <w:pStyle w:val="CGC2025ParaNumbers"/>
      </w:pPr>
      <w:r>
        <w:t xml:space="preserve">This approach results in states with households that on average are above the national average size having higher assessed social housing expenses and revenue. </w:t>
      </w:r>
      <w:r w:rsidR="00641B22">
        <w:t>Fig</w:t>
      </w:r>
      <w:r w:rsidR="00387A4B">
        <w:t>ure 7</w:t>
      </w:r>
      <w:r>
        <w:t xml:space="preserve"> show</w:t>
      </w:r>
      <w:r w:rsidR="009C6B0E">
        <w:t>s</w:t>
      </w:r>
      <w:r>
        <w:t xml:space="preserve"> how average household size varies within socio</w:t>
      </w:r>
      <w:r>
        <w:noBreakHyphen/>
        <w:t>demographic groups between states.</w:t>
      </w:r>
    </w:p>
    <w:p w14:paraId="6EB113C9" w14:textId="7E735B54" w:rsidR="00292FAC" w:rsidRPr="00A55319" w:rsidRDefault="00292FAC" w:rsidP="00AC4801">
      <w:pPr>
        <w:pStyle w:val="CGC2025Caption"/>
        <w:keepNext/>
      </w:pPr>
      <w:bookmarkStart w:id="30" w:name="_Ref175664346"/>
      <w:r w:rsidRPr="00A55319">
        <w:t xml:space="preserve">Figure </w:t>
      </w:r>
      <w:bookmarkEnd w:id="30"/>
      <w:r w:rsidR="00641B22">
        <w:t>7</w:t>
      </w:r>
      <w:r w:rsidRPr="00A55319">
        <w:tab/>
        <w:t>Average household size by socio</w:t>
      </w:r>
      <w:r w:rsidRPr="00A55319">
        <w:noBreakHyphen/>
        <w:t>demographic group, 2022</w:t>
      </w:r>
      <w:r w:rsidR="00A64974">
        <w:t>–</w:t>
      </w:r>
      <w:r w:rsidRPr="00A55319">
        <w:t>23</w:t>
      </w:r>
    </w:p>
    <w:tbl>
      <w:tblPr>
        <w:tblStyle w:val="TableGrid"/>
        <w:tblW w:w="9073" w:type="dxa"/>
        <w:tblInd w:w="-147" w:type="dxa"/>
        <w:tblLayout w:type="fixed"/>
        <w:tblLook w:val="04A0" w:firstRow="1" w:lastRow="0" w:firstColumn="1" w:lastColumn="0" w:noHBand="0" w:noVBand="1"/>
      </w:tblPr>
      <w:tblGrid>
        <w:gridCol w:w="4678"/>
        <w:gridCol w:w="4395"/>
      </w:tblGrid>
      <w:tr w:rsidR="00D44DFB" w14:paraId="61C2BE1C" w14:textId="77777777" w:rsidTr="00B56A68">
        <w:tc>
          <w:tcPr>
            <w:tcW w:w="4678" w:type="dxa"/>
            <w:tcBorders>
              <w:top w:val="nil"/>
              <w:left w:val="nil"/>
              <w:bottom w:val="nil"/>
              <w:right w:val="nil"/>
            </w:tcBorders>
          </w:tcPr>
          <w:p w14:paraId="2F3523CE" w14:textId="2E042157" w:rsidR="00292FAC" w:rsidRDefault="00103D72" w:rsidP="00AC4801">
            <w:pPr>
              <w:pStyle w:val="CGC2025ParaNumbers"/>
              <w:keepNext/>
              <w:keepLines/>
              <w:numPr>
                <w:ilvl w:val="0"/>
                <w:numId w:val="0"/>
              </w:numPr>
              <w:spacing w:before="0"/>
            </w:pPr>
            <w:r w:rsidRPr="00103D72">
              <w:rPr>
                <w:noProof/>
              </w:rPr>
              <w:drawing>
                <wp:inline distT="0" distB="0" distL="0" distR="0" wp14:anchorId="04C821C8" wp14:editId="4A1E2A3C">
                  <wp:extent cx="2830830" cy="1924215"/>
                  <wp:effectExtent l="0" t="0" r="7620" b="0"/>
                  <wp:docPr id="1995131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5768" cy="1927571"/>
                          </a:xfrm>
                          <a:prstGeom prst="rect">
                            <a:avLst/>
                          </a:prstGeom>
                          <a:noFill/>
                          <a:ln>
                            <a:noFill/>
                          </a:ln>
                        </pic:spPr>
                      </pic:pic>
                    </a:graphicData>
                  </a:graphic>
                </wp:inline>
              </w:drawing>
            </w:r>
          </w:p>
        </w:tc>
        <w:tc>
          <w:tcPr>
            <w:tcW w:w="4395" w:type="dxa"/>
            <w:tcBorders>
              <w:top w:val="nil"/>
              <w:left w:val="nil"/>
              <w:bottom w:val="nil"/>
              <w:right w:val="nil"/>
            </w:tcBorders>
          </w:tcPr>
          <w:p w14:paraId="5B72E4DC" w14:textId="71D6FF6A" w:rsidR="00292FAC" w:rsidRDefault="0023617E" w:rsidP="00AC4801">
            <w:pPr>
              <w:pStyle w:val="CGC2025ParaNumbers"/>
              <w:keepNext/>
              <w:keepLines/>
              <w:numPr>
                <w:ilvl w:val="0"/>
                <w:numId w:val="0"/>
              </w:numPr>
              <w:spacing w:before="0"/>
            </w:pPr>
            <w:r w:rsidRPr="0023617E">
              <w:rPr>
                <w:noProof/>
              </w:rPr>
              <w:drawing>
                <wp:inline distT="0" distB="0" distL="0" distR="0" wp14:anchorId="12437885" wp14:editId="4A1841D7">
                  <wp:extent cx="2719705" cy="1906905"/>
                  <wp:effectExtent l="0" t="0" r="4445" b="0"/>
                  <wp:docPr id="921532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7767" cy="1919569"/>
                          </a:xfrm>
                          <a:prstGeom prst="rect">
                            <a:avLst/>
                          </a:prstGeom>
                          <a:noFill/>
                          <a:ln>
                            <a:noFill/>
                          </a:ln>
                        </pic:spPr>
                      </pic:pic>
                    </a:graphicData>
                  </a:graphic>
                </wp:inline>
              </w:drawing>
            </w:r>
          </w:p>
        </w:tc>
      </w:tr>
      <w:tr w:rsidR="00D44DFB" w14:paraId="67A78F20" w14:textId="77777777" w:rsidTr="00B56A68">
        <w:tc>
          <w:tcPr>
            <w:tcW w:w="4678" w:type="dxa"/>
            <w:tcBorders>
              <w:top w:val="nil"/>
              <w:left w:val="nil"/>
              <w:bottom w:val="nil"/>
              <w:right w:val="nil"/>
            </w:tcBorders>
          </w:tcPr>
          <w:p w14:paraId="46EB1872" w14:textId="3C06863D" w:rsidR="00292FAC" w:rsidRDefault="00AC76E7" w:rsidP="00AC4801">
            <w:pPr>
              <w:pStyle w:val="CGC2025ParaNumbers"/>
              <w:keepNext/>
              <w:keepLines/>
              <w:numPr>
                <w:ilvl w:val="0"/>
                <w:numId w:val="0"/>
              </w:numPr>
              <w:spacing w:before="0"/>
            </w:pPr>
            <w:r w:rsidRPr="00AC76E7">
              <w:rPr>
                <w:noProof/>
              </w:rPr>
              <w:drawing>
                <wp:inline distT="0" distB="0" distL="0" distR="0" wp14:anchorId="33DB1997" wp14:editId="68BD2A24">
                  <wp:extent cx="2830830" cy="1812925"/>
                  <wp:effectExtent l="0" t="0" r="7620" b="0"/>
                  <wp:docPr id="1118446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0830" cy="1812925"/>
                          </a:xfrm>
                          <a:prstGeom prst="rect">
                            <a:avLst/>
                          </a:prstGeom>
                          <a:noFill/>
                          <a:ln>
                            <a:noFill/>
                          </a:ln>
                        </pic:spPr>
                      </pic:pic>
                    </a:graphicData>
                  </a:graphic>
                </wp:inline>
              </w:drawing>
            </w:r>
          </w:p>
        </w:tc>
        <w:tc>
          <w:tcPr>
            <w:tcW w:w="4395" w:type="dxa"/>
            <w:tcBorders>
              <w:top w:val="nil"/>
              <w:left w:val="nil"/>
              <w:bottom w:val="nil"/>
              <w:right w:val="nil"/>
            </w:tcBorders>
          </w:tcPr>
          <w:p w14:paraId="0D0082D3" w14:textId="410E9CE3" w:rsidR="00292FAC" w:rsidRDefault="008A046F" w:rsidP="00AC4801">
            <w:pPr>
              <w:pStyle w:val="CGC2025ParaNumbers"/>
              <w:keepNext/>
              <w:keepLines/>
              <w:numPr>
                <w:ilvl w:val="0"/>
                <w:numId w:val="0"/>
              </w:numPr>
              <w:spacing w:before="0"/>
            </w:pPr>
            <w:r w:rsidRPr="008A046F">
              <w:rPr>
                <w:noProof/>
              </w:rPr>
              <w:drawing>
                <wp:inline distT="0" distB="0" distL="0" distR="0" wp14:anchorId="09DC5AFB" wp14:editId="684632E0">
                  <wp:extent cx="2718999" cy="1812925"/>
                  <wp:effectExtent l="0" t="0" r="5715" b="0"/>
                  <wp:docPr id="1543525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9508" cy="1819932"/>
                          </a:xfrm>
                          <a:prstGeom prst="rect">
                            <a:avLst/>
                          </a:prstGeom>
                          <a:noFill/>
                          <a:ln>
                            <a:noFill/>
                          </a:ln>
                        </pic:spPr>
                      </pic:pic>
                    </a:graphicData>
                  </a:graphic>
                </wp:inline>
              </w:drawing>
            </w:r>
          </w:p>
        </w:tc>
      </w:tr>
    </w:tbl>
    <w:p w14:paraId="222A9A7D" w14:textId="665D105B" w:rsidR="00292FAC" w:rsidRDefault="00292FAC" w:rsidP="002845B8">
      <w:pPr>
        <w:pStyle w:val="CGC2025TableNote"/>
      </w:pPr>
      <w:r>
        <w:t>Source: ABS, Commission calculations</w:t>
      </w:r>
      <w:r w:rsidR="00B71933">
        <w:t>.</w:t>
      </w:r>
    </w:p>
    <w:p w14:paraId="67D0D329" w14:textId="3C5273DD" w:rsidR="00B31CA1" w:rsidRDefault="00292FAC" w:rsidP="00B31CA1">
      <w:pPr>
        <w:pStyle w:val="CGC2025TableNote"/>
      </w:pPr>
      <w:r>
        <w:t xml:space="preserve">Note: Y-axis on all figures standardised to Y-axis in </w:t>
      </w:r>
      <w:r>
        <w:fldChar w:fldCharType="begin"/>
      </w:r>
      <w:r>
        <w:instrText xml:space="preserve"> REF _Ref175554455 \h </w:instrText>
      </w:r>
      <w:r>
        <w:fldChar w:fldCharType="separate"/>
      </w:r>
      <w:r w:rsidR="003F6DE4">
        <w:t>Figure 6</w:t>
      </w:r>
      <w:r>
        <w:fldChar w:fldCharType="end"/>
      </w:r>
      <w:r>
        <w:t xml:space="preserve">, </w:t>
      </w:r>
      <w:r w:rsidR="00062ACB">
        <w:t>right</w:t>
      </w:r>
      <w:r>
        <w:t xml:space="preserve"> panel (very remote areas).</w:t>
      </w:r>
    </w:p>
    <w:p w14:paraId="27FEB91B" w14:textId="6F657EAD" w:rsidR="00B31CA1" w:rsidRPr="00DC6A83" w:rsidRDefault="00B31CA1" w:rsidP="00CF2013">
      <w:pPr>
        <w:pStyle w:val="CGCNumberedPara"/>
        <w:rPr>
          <w:rFonts w:ascii="Work Sans" w:hAnsi="Work Sans"/>
          <w:sz w:val="20"/>
          <w:szCs w:val="20"/>
        </w:rPr>
      </w:pPr>
      <w:r w:rsidRPr="00DC6A83">
        <w:rPr>
          <w:rFonts w:ascii="Work Sans" w:hAnsi="Work Sans"/>
          <w:sz w:val="20"/>
          <w:szCs w:val="20"/>
        </w:rPr>
        <w:t xml:space="preserve">Around 85% of total net expenses on social housing are apportioned to states based on the share of households in the major cities, inner regional and outer regional areas. In these geographic areas, differences in average household size between states within socio-demographic groups are relatively small (compared </w:t>
      </w:r>
      <w:r w:rsidR="00166A6B">
        <w:rPr>
          <w:rFonts w:ascii="Work Sans" w:hAnsi="Work Sans"/>
          <w:sz w:val="20"/>
          <w:szCs w:val="20"/>
        </w:rPr>
        <w:t>with</w:t>
      </w:r>
      <w:r w:rsidRPr="00DC6A83">
        <w:rPr>
          <w:rFonts w:ascii="Work Sans" w:hAnsi="Work Sans"/>
          <w:sz w:val="20"/>
          <w:szCs w:val="20"/>
        </w:rPr>
        <w:t xml:space="preserve"> remote and very remote areas). Differences in GST distribution between the average household size method and the 2020 Review method are driven mainly by differences in average household size between states within socio-demographic </w:t>
      </w:r>
      <w:r w:rsidRPr="00DC6A83">
        <w:rPr>
          <w:rFonts w:ascii="Work Sans" w:hAnsi="Work Sans"/>
          <w:sz w:val="20"/>
          <w:szCs w:val="20"/>
        </w:rPr>
        <w:lastRenderedPageBreak/>
        <w:t>groups in remote and very remote areas (Table 6). These are the geographic areas where there is most variability in severe overcrowding between states within socio</w:t>
      </w:r>
      <w:r w:rsidRPr="00DC6A83">
        <w:rPr>
          <w:rFonts w:ascii="Work Sans" w:hAnsi="Work Sans"/>
          <w:sz w:val="20"/>
          <w:szCs w:val="20"/>
        </w:rPr>
        <w:noBreakHyphen/>
        <w:t>demographic groups, particularly in low income, First Nations households (Tables 7 to 11).</w:t>
      </w:r>
    </w:p>
    <w:p w14:paraId="5F40A366" w14:textId="6344F751" w:rsidR="00292FAC" w:rsidRPr="00A15AFB" w:rsidRDefault="00292FAC" w:rsidP="00CF2013">
      <w:pPr>
        <w:pStyle w:val="CGC2025Caption"/>
      </w:pPr>
      <w:r w:rsidRPr="00A15AFB">
        <w:t xml:space="preserve">Table </w:t>
      </w:r>
      <w:r w:rsidR="00EA6ABF">
        <w:t>6</w:t>
      </w:r>
      <w:r w:rsidRPr="00A15AFB">
        <w:tab/>
        <w:t>Share of assessed net expenses by state, remoteness areas</w:t>
      </w:r>
    </w:p>
    <w:tbl>
      <w:tblPr>
        <w:tblW w:w="8902" w:type="dxa"/>
        <w:tblLook w:val="04A0" w:firstRow="1" w:lastRow="0" w:firstColumn="1" w:lastColumn="0" w:noHBand="0" w:noVBand="1"/>
      </w:tblPr>
      <w:tblGrid>
        <w:gridCol w:w="2581"/>
        <w:gridCol w:w="805"/>
        <w:gridCol w:w="805"/>
        <w:gridCol w:w="805"/>
        <w:gridCol w:w="806"/>
        <w:gridCol w:w="806"/>
        <w:gridCol w:w="806"/>
        <w:gridCol w:w="806"/>
        <w:gridCol w:w="806"/>
      </w:tblGrid>
      <w:tr w:rsidR="00292FAC" w:rsidRPr="003A1314" w14:paraId="05D63A14" w14:textId="77777777">
        <w:trPr>
          <w:trHeight w:val="300"/>
        </w:trPr>
        <w:tc>
          <w:tcPr>
            <w:tcW w:w="2720" w:type="dxa"/>
            <w:tcBorders>
              <w:top w:val="nil"/>
              <w:left w:val="nil"/>
              <w:bottom w:val="nil"/>
              <w:right w:val="nil"/>
            </w:tcBorders>
            <w:shd w:val="clear" w:color="000000" w:fill="006991"/>
            <w:vAlign w:val="center"/>
            <w:hideMark/>
          </w:tcPr>
          <w:p w14:paraId="4DC95FD0"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 </w:t>
            </w:r>
          </w:p>
        </w:tc>
        <w:tc>
          <w:tcPr>
            <w:tcW w:w="840" w:type="dxa"/>
            <w:tcBorders>
              <w:top w:val="nil"/>
              <w:left w:val="nil"/>
              <w:bottom w:val="nil"/>
              <w:right w:val="nil"/>
            </w:tcBorders>
            <w:shd w:val="clear" w:color="000000" w:fill="006991"/>
            <w:vAlign w:val="center"/>
            <w:hideMark/>
          </w:tcPr>
          <w:p w14:paraId="416D8DA6"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NSW</w:t>
            </w:r>
          </w:p>
        </w:tc>
        <w:tc>
          <w:tcPr>
            <w:tcW w:w="840" w:type="dxa"/>
            <w:tcBorders>
              <w:top w:val="nil"/>
              <w:left w:val="nil"/>
              <w:bottom w:val="nil"/>
              <w:right w:val="nil"/>
            </w:tcBorders>
            <w:shd w:val="clear" w:color="000000" w:fill="006991"/>
            <w:vAlign w:val="center"/>
            <w:hideMark/>
          </w:tcPr>
          <w:p w14:paraId="22DFE00A"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Vic</w:t>
            </w:r>
          </w:p>
        </w:tc>
        <w:tc>
          <w:tcPr>
            <w:tcW w:w="840" w:type="dxa"/>
            <w:tcBorders>
              <w:top w:val="nil"/>
              <w:left w:val="nil"/>
              <w:bottom w:val="nil"/>
              <w:right w:val="nil"/>
            </w:tcBorders>
            <w:shd w:val="clear" w:color="000000" w:fill="006991"/>
            <w:vAlign w:val="center"/>
            <w:hideMark/>
          </w:tcPr>
          <w:p w14:paraId="01A2A518"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Qld</w:t>
            </w:r>
          </w:p>
        </w:tc>
        <w:tc>
          <w:tcPr>
            <w:tcW w:w="840" w:type="dxa"/>
            <w:tcBorders>
              <w:top w:val="nil"/>
              <w:left w:val="nil"/>
              <w:bottom w:val="nil"/>
              <w:right w:val="nil"/>
            </w:tcBorders>
            <w:shd w:val="clear" w:color="000000" w:fill="006991"/>
            <w:vAlign w:val="center"/>
            <w:hideMark/>
          </w:tcPr>
          <w:p w14:paraId="57A44BCE"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WA</w:t>
            </w:r>
          </w:p>
        </w:tc>
        <w:tc>
          <w:tcPr>
            <w:tcW w:w="840" w:type="dxa"/>
            <w:tcBorders>
              <w:top w:val="nil"/>
              <w:left w:val="nil"/>
              <w:bottom w:val="nil"/>
              <w:right w:val="nil"/>
            </w:tcBorders>
            <w:shd w:val="clear" w:color="000000" w:fill="006991"/>
            <w:vAlign w:val="center"/>
            <w:hideMark/>
          </w:tcPr>
          <w:p w14:paraId="54FCFF9E"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SA</w:t>
            </w:r>
          </w:p>
        </w:tc>
        <w:tc>
          <w:tcPr>
            <w:tcW w:w="840" w:type="dxa"/>
            <w:tcBorders>
              <w:top w:val="nil"/>
              <w:left w:val="nil"/>
              <w:bottom w:val="nil"/>
              <w:right w:val="nil"/>
            </w:tcBorders>
            <w:shd w:val="clear" w:color="000000" w:fill="006991"/>
            <w:vAlign w:val="center"/>
            <w:hideMark/>
          </w:tcPr>
          <w:p w14:paraId="08E73747"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Tas</w:t>
            </w:r>
          </w:p>
        </w:tc>
        <w:tc>
          <w:tcPr>
            <w:tcW w:w="840" w:type="dxa"/>
            <w:tcBorders>
              <w:top w:val="nil"/>
              <w:left w:val="nil"/>
              <w:bottom w:val="nil"/>
              <w:right w:val="nil"/>
            </w:tcBorders>
            <w:shd w:val="clear" w:color="000000" w:fill="006991"/>
            <w:vAlign w:val="center"/>
            <w:hideMark/>
          </w:tcPr>
          <w:p w14:paraId="29406155"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ACT</w:t>
            </w:r>
          </w:p>
        </w:tc>
        <w:tc>
          <w:tcPr>
            <w:tcW w:w="840" w:type="dxa"/>
            <w:tcBorders>
              <w:top w:val="nil"/>
              <w:left w:val="nil"/>
              <w:bottom w:val="nil"/>
              <w:right w:val="nil"/>
            </w:tcBorders>
            <w:shd w:val="clear" w:color="000000" w:fill="006991"/>
            <w:vAlign w:val="center"/>
            <w:hideMark/>
          </w:tcPr>
          <w:p w14:paraId="25E2B8BF"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A1314">
              <w:rPr>
                <w:rFonts w:ascii="Open Sans Semibold" w:eastAsia="Times New Roman" w:hAnsi="Open Sans Semibold" w:cs="Open Sans Semibold"/>
                <w:color w:val="FFFFFF"/>
                <w:sz w:val="16"/>
                <w:szCs w:val="16"/>
                <w:lang w:eastAsia="en-AU"/>
              </w:rPr>
              <w:t>NT</w:t>
            </w:r>
          </w:p>
        </w:tc>
      </w:tr>
      <w:tr w:rsidR="00292FAC" w:rsidRPr="003A1314" w14:paraId="101A3ABB" w14:textId="77777777">
        <w:trPr>
          <w:trHeight w:val="290"/>
        </w:trPr>
        <w:tc>
          <w:tcPr>
            <w:tcW w:w="2720" w:type="dxa"/>
            <w:tcBorders>
              <w:top w:val="single" w:sz="8" w:space="0" w:color="ADD6EA"/>
              <w:left w:val="nil"/>
              <w:bottom w:val="nil"/>
              <w:right w:val="nil"/>
            </w:tcBorders>
            <w:shd w:val="clear" w:color="000000" w:fill="B6D5E4"/>
            <w:noWrap/>
            <w:vAlign w:val="center"/>
            <w:hideMark/>
          </w:tcPr>
          <w:p w14:paraId="067EB7B5"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xml:space="preserve">R2020 method </w:t>
            </w:r>
          </w:p>
        </w:tc>
        <w:tc>
          <w:tcPr>
            <w:tcW w:w="840" w:type="dxa"/>
            <w:tcBorders>
              <w:top w:val="single" w:sz="8" w:space="0" w:color="ADD6EA"/>
              <w:left w:val="nil"/>
              <w:bottom w:val="nil"/>
              <w:right w:val="nil"/>
            </w:tcBorders>
            <w:shd w:val="clear" w:color="000000" w:fill="B6D5E4"/>
            <w:noWrap/>
            <w:vAlign w:val="center"/>
            <w:hideMark/>
          </w:tcPr>
          <w:p w14:paraId="465A5533"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nil"/>
              <w:right w:val="nil"/>
            </w:tcBorders>
            <w:shd w:val="clear" w:color="000000" w:fill="B6D5E4"/>
            <w:noWrap/>
            <w:vAlign w:val="center"/>
            <w:hideMark/>
          </w:tcPr>
          <w:p w14:paraId="12835315"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nil"/>
              <w:right w:val="nil"/>
            </w:tcBorders>
            <w:shd w:val="clear" w:color="000000" w:fill="B6D5E4"/>
            <w:noWrap/>
            <w:vAlign w:val="center"/>
            <w:hideMark/>
          </w:tcPr>
          <w:p w14:paraId="53170007"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nil"/>
              <w:right w:val="nil"/>
            </w:tcBorders>
            <w:shd w:val="clear" w:color="000000" w:fill="B6D5E4"/>
            <w:noWrap/>
            <w:vAlign w:val="center"/>
            <w:hideMark/>
          </w:tcPr>
          <w:p w14:paraId="3468FD9C"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nil"/>
              <w:right w:val="nil"/>
            </w:tcBorders>
            <w:shd w:val="clear" w:color="000000" w:fill="B6D5E4"/>
            <w:noWrap/>
            <w:vAlign w:val="center"/>
            <w:hideMark/>
          </w:tcPr>
          <w:p w14:paraId="3AD6272F"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nil"/>
              <w:right w:val="nil"/>
            </w:tcBorders>
            <w:shd w:val="clear" w:color="000000" w:fill="B6D5E4"/>
            <w:noWrap/>
            <w:vAlign w:val="center"/>
            <w:hideMark/>
          </w:tcPr>
          <w:p w14:paraId="44AA03ED"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nil"/>
              <w:right w:val="nil"/>
            </w:tcBorders>
            <w:shd w:val="clear" w:color="000000" w:fill="B6D5E4"/>
            <w:noWrap/>
            <w:vAlign w:val="center"/>
            <w:hideMark/>
          </w:tcPr>
          <w:p w14:paraId="49656A5F"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nil"/>
              <w:right w:val="nil"/>
            </w:tcBorders>
            <w:shd w:val="clear" w:color="000000" w:fill="B6D5E4"/>
            <w:noWrap/>
            <w:vAlign w:val="center"/>
            <w:hideMark/>
          </w:tcPr>
          <w:p w14:paraId="52AE9F18"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r>
      <w:tr w:rsidR="00292FAC" w:rsidRPr="003A1314" w14:paraId="5226A810" w14:textId="77777777">
        <w:trPr>
          <w:trHeight w:val="290"/>
        </w:trPr>
        <w:tc>
          <w:tcPr>
            <w:tcW w:w="2720" w:type="dxa"/>
            <w:tcBorders>
              <w:top w:val="nil"/>
              <w:left w:val="nil"/>
              <w:bottom w:val="nil"/>
              <w:right w:val="nil"/>
            </w:tcBorders>
            <w:shd w:val="clear" w:color="000000" w:fill="D6E7F0"/>
            <w:vAlign w:val="center"/>
            <w:hideMark/>
          </w:tcPr>
          <w:p w14:paraId="594BD7B2"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nil"/>
              <w:left w:val="nil"/>
              <w:bottom w:val="nil"/>
              <w:right w:val="nil"/>
            </w:tcBorders>
            <w:shd w:val="clear" w:color="000000" w:fill="D6E7F0"/>
            <w:vAlign w:val="bottom"/>
            <w:hideMark/>
          </w:tcPr>
          <w:p w14:paraId="4D9EB79B"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5CF69D62"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7C009DE7"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3EB696F0"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7DC93DF0"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2C5A2EB4"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1ABE7574"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17AC9040"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r>
      <w:tr w:rsidR="00292FAC" w:rsidRPr="003A1314" w14:paraId="7E4A9D39" w14:textId="77777777">
        <w:trPr>
          <w:trHeight w:val="290"/>
        </w:trPr>
        <w:tc>
          <w:tcPr>
            <w:tcW w:w="2720" w:type="dxa"/>
            <w:tcBorders>
              <w:top w:val="single" w:sz="4" w:space="0" w:color="ADD6EA"/>
              <w:left w:val="nil"/>
              <w:bottom w:val="nil"/>
              <w:right w:val="nil"/>
            </w:tcBorders>
            <w:shd w:val="clear" w:color="000000" w:fill="FFFFFF"/>
            <w:vAlign w:val="bottom"/>
            <w:hideMark/>
          </w:tcPr>
          <w:p w14:paraId="300A4C39"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Major cities</w:t>
            </w:r>
          </w:p>
        </w:tc>
        <w:tc>
          <w:tcPr>
            <w:tcW w:w="840" w:type="dxa"/>
            <w:tcBorders>
              <w:top w:val="single" w:sz="4" w:space="0" w:color="ADD6EA"/>
              <w:left w:val="nil"/>
              <w:bottom w:val="nil"/>
              <w:right w:val="nil"/>
            </w:tcBorders>
            <w:shd w:val="clear" w:color="000000" w:fill="FFFFFF"/>
            <w:vAlign w:val="bottom"/>
            <w:hideMark/>
          </w:tcPr>
          <w:p w14:paraId="161AFB74"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32</w:t>
            </w:r>
          </w:p>
        </w:tc>
        <w:tc>
          <w:tcPr>
            <w:tcW w:w="840" w:type="dxa"/>
            <w:tcBorders>
              <w:top w:val="single" w:sz="4" w:space="0" w:color="ADD6EA"/>
              <w:left w:val="nil"/>
              <w:bottom w:val="nil"/>
              <w:right w:val="nil"/>
            </w:tcBorders>
            <w:shd w:val="clear" w:color="000000" w:fill="FFFFFF"/>
            <w:vAlign w:val="bottom"/>
            <w:hideMark/>
          </w:tcPr>
          <w:p w14:paraId="242D5554"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26</w:t>
            </w:r>
          </w:p>
        </w:tc>
        <w:tc>
          <w:tcPr>
            <w:tcW w:w="840" w:type="dxa"/>
            <w:tcBorders>
              <w:top w:val="single" w:sz="4" w:space="0" w:color="ADD6EA"/>
              <w:left w:val="nil"/>
              <w:bottom w:val="nil"/>
              <w:right w:val="nil"/>
            </w:tcBorders>
            <w:shd w:val="clear" w:color="000000" w:fill="FFFFFF"/>
            <w:vAlign w:val="bottom"/>
            <w:hideMark/>
          </w:tcPr>
          <w:p w14:paraId="7A2F363A"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19</w:t>
            </w:r>
          </w:p>
        </w:tc>
        <w:tc>
          <w:tcPr>
            <w:tcW w:w="840" w:type="dxa"/>
            <w:tcBorders>
              <w:top w:val="single" w:sz="4" w:space="0" w:color="ADD6EA"/>
              <w:left w:val="nil"/>
              <w:bottom w:val="nil"/>
              <w:right w:val="nil"/>
            </w:tcBorders>
            <w:shd w:val="clear" w:color="000000" w:fill="FFFFFF"/>
            <w:vAlign w:val="bottom"/>
            <w:hideMark/>
          </w:tcPr>
          <w:p w14:paraId="0040508D"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12</w:t>
            </w:r>
          </w:p>
        </w:tc>
        <w:tc>
          <w:tcPr>
            <w:tcW w:w="840" w:type="dxa"/>
            <w:tcBorders>
              <w:top w:val="single" w:sz="4" w:space="0" w:color="ADD6EA"/>
              <w:left w:val="nil"/>
              <w:bottom w:val="nil"/>
              <w:right w:val="nil"/>
            </w:tcBorders>
            <w:shd w:val="clear" w:color="000000" w:fill="FFFFFF"/>
            <w:vAlign w:val="bottom"/>
            <w:hideMark/>
          </w:tcPr>
          <w:p w14:paraId="3E5EDFE7"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58C080FA"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6C20D9C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w:t>
            </w:r>
          </w:p>
        </w:tc>
        <w:tc>
          <w:tcPr>
            <w:tcW w:w="840" w:type="dxa"/>
            <w:tcBorders>
              <w:top w:val="single" w:sz="4" w:space="0" w:color="ADD6EA"/>
              <w:left w:val="nil"/>
              <w:bottom w:val="nil"/>
              <w:right w:val="nil"/>
            </w:tcBorders>
            <w:shd w:val="clear" w:color="000000" w:fill="FFFFFF"/>
            <w:vAlign w:val="bottom"/>
            <w:hideMark/>
          </w:tcPr>
          <w:p w14:paraId="4350654A"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r>
      <w:tr w:rsidR="00292FAC" w:rsidRPr="003A1314" w14:paraId="464B29F1" w14:textId="77777777">
        <w:trPr>
          <w:trHeight w:val="290"/>
        </w:trPr>
        <w:tc>
          <w:tcPr>
            <w:tcW w:w="2720" w:type="dxa"/>
            <w:tcBorders>
              <w:top w:val="single" w:sz="4" w:space="0" w:color="ADD6EA"/>
              <w:left w:val="nil"/>
              <w:bottom w:val="nil"/>
              <w:right w:val="nil"/>
            </w:tcBorders>
            <w:shd w:val="clear" w:color="000000" w:fill="FFFFFF"/>
            <w:vAlign w:val="bottom"/>
            <w:hideMark/>
          </w:tcPr>
          <w:p w14:paraId="0F7E8FA4"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Inner regional</w:t>
            </w:r>
          </w:p>
        </w:tc>
        <w:tc>
          <w:tcPr>
            <w:tcW w:w="840" w:type="dxa"/>
            <w:tcBorders>
              <w:top w:val="single" w:sz="4" w:space="0" w:color="ADD6EA"/>
              <w:left w:val="nil"/>
              <w:bottom w:val="nil"/>
              <w:right w:val="nil"/>
            </w:tcBorders>
            <w:shd w:val="clear" w:color="000000" w:fill="FFFFFF"/>
            <w:vAlign w:val="bottom"/>
            <w:hideMark/>
          </w:tcPr>
          <w:p w14:paraId="05594AD7"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35</w:t>
            </w:r>
          </w:p>
        </w:tc>
        <w:tc>
          <w:tcPr>
            <w:tcW w:w="840" w:type="dxa"/>
            <w:tcBorders>
              <w:top w:val="single" w:sz="4" w:space="0" w:color="ADD6EA"/>
              <w:left w:val="nil"/>
              <w:bottom w:val="nil"/>
              <w:right w:val="nil"/>
            </w:tcBorders>
            <w:shd w:val="clear" w:color="000000" w:fill="FFFFFF"/>
            <w:vAlign w:val="bottom"/>
            <w:hideMark/>
          </w:tcPr>
          <w:p w14:paraId="4D98DFCA"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24</w:t>
            </w:r>
          </w:p>
        </w:tc>
        <w:tc>
          <w:tcPr>
            <w:tcW w:w="840" w:type="dxa"/>
            <w:tcBorders>
              <w:top w:val="single" w:sz="4" w:space="0" w:color="ADD6EA"/>
              <w:left w:val="nil"/>
              <w:bottom w:val="nil"/>
              <w:right w:val="nil"/>
            </w:tcBorders>
            <w:shd w:val="clear" w:color="000000" w:fill="FFFFFF"/>
            <w:vAlign w:val="bottom"/>
            <w:hideMark/>
          </w:tcPr>
          <w:p w14:paraId="7CCE1F5F"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24</w:t>
            </w:r>
          </w:p>
        </w:tc>
        <w:tc>
          <w:tcPr>
            <w:tcW w:w="840" w:type="dxa"/>
            <w:tcBorders>
              <w:top w:val="single" w:sz="4" w:space="0" w:color="ADD6EA"/>
              <w:left w:val="nil"/>
              <w:bottom w:val="nil"/>
              <w:right w:val="nil"/>
            </w:tcBorders>
            <w:shd w:val="clear" w:color="000000" w:fill="FFFFFF"/>
            <w:vAlign w:val="bottom"/>
            <w:hideMark/>
          </w:tcPr>
          <w:p w14:paraId="0A967B4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5</w:t>
            </w:r>
          </w:p>
        </w:tc>
        <w:tc>
          <w:tcPr>
            <w:tcW w:w="840" w:type="dxa"/>
            <w:tcBorders>
              <w:top w:val="single" w:sz="4" w:space="0" w:color="ADD6EA"/>
              <w:left w:val="nil"/>
              <w:bottom w:val="nil"/>
              <w:right w:val="nil"/>
            </w:tcBorders>
            <w:shd w:val="clear" w:color="000000" w:fill="FFFFFF"/>
            <w:vAlign w:val="bottom"/>
            <w:hideMark/>
          </w:tcPr>
          <w:p w14:paraId="4A04C8C8"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5</w:t>
            </w:r>
          </w:p>
        </w:tc>
        <w:tc>
          <w:tcPr>
            <w:tcW w:w="840" w:type="dxa"/>
            <w:tcBorders>
              <w:top w:val="single" w:sz="4" w:space="0" w:color="ADD6EA"/>
              <w:left w:val="nil"/>
              <w:bottom w:val="nil"/>
              <w:right w:val="nil"/>
            </w:tcBorders>
            <w:shd w:val="clear" w:color="000000" w:fill="FFFFFF"/>
            <w:vAlign w:val="bottom"/>
            <w:hideMark/>
          </w:tcPr>
          <w:p w14:paraId="34978702"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8</w:t>
            </w:r>
          </w:p>
        </w:tc>
        <w:tc>
          <w:tcPr>
            <w:tcW w:w="840" w:type="dxa"/>
            <w:tcBorders>
              <w:top w:val="single" w:sz="4" w:space="0" w:color="ADD6EA"/>
              <w:left w:val="nil"/>
              <w:bottom w:val="nil"/>
              <w:right w:val="nil"/>
            </w:tcBorders>
            <w:shd w:val="clear" w:color="000000" w:fill="FFFFFF"/>
            <w:vAlign w:val="bottom"/>
            <w:hideMark/>
          </w:tcPr>
          <w:p w14:paraId="34233636"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45E39154"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r>
      <w:tr w:rsidR="00292FAC" w:rsidRPr="003A1314" w14:paraId="404BCDEE" w14:textId="77777777">
        <w:trPr>
          <w:trHeight w:val="290"/>
        </w:trPr>
        <w:tc>
          <w:tcPr>
            <w:tcW w:w="2720" w:type="dxa"/>
            <w:tcBorders>
              <w:top w:val="single" w:sz="4" w:space="0" w:color="ADD6EA"/>
              <w:left w:val="nil"/>
              <w:bottom w:val="nil"/>
              <w:right w:val="nil"/>
            </w:tcBorders>
            <w:shd w:val="clear" w:color="000000" w:fill="FFFFFF"/>
            <w:vAlign w:val="bottom"/>
            <w:hideMark/>
          </w:tcPr>
          <w:p w14:paraId="4C94E801"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 xml:space="preserve">Outer regional </w:t>
            </w:r>
          </w:p>
        </w:tc>
        <w:tc>
          <w:tcPr>
            <w:tcW w:w="840" w:type="dxa"/>
            <w:tcBorders>
              <w:top w:val="single" w:sz="4" w:space="0" w:color="ADD6EA"/>
              <w:left w:val="nil"/>
              <w:bottom w:val="nil"/>
              <w:right w:val="nil"/>
            </w:tcBorders>
            <w:shd w:val="clear" w:color="000000" w:fill="FFFFFF"/>
            <w:vAlign w:val="bottom"/>
            <w:hideMark/>
          </w:tcPr>
          <w:p w14:paraId="079545F5"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24</w:t>
            </w:r>
          </w:p>
        </w:tc>
        <w:tc>
          <w:tcPr>
            <w:tcW w:w="840" w:type="dxa"/>
            <w:tcBorders>
              <w:top w:val="single" w:sz="4" w:space="0" w:color="ADD6EA"/>
              <w:left w:val="nil"/>
              <w:bottom w:val="nil"/>
              <w:right w:val="nil"/>
            </w:tcBorders>
            <w:shd w:val="clear" w:color="000000" w:fill="FFFFFF"/>
            <w:vAlign w:val="bottom"/>
            <w:hideMark/>
          </w:tcPr>
          <w:p w14:paraId="04A98872"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11</w:t>
            </w:r>
          </w:p>
        </w:tc>
        <w:tc>
          <w:tcPr>
            <w:tcW w:w="840" w:type="dxa"/>
            <w:tcBorders>
              <w:top w:val="single" w:sz="4" w:space="0" w:color="ADD6EA"/>
              <w:left w:val="nil"/>
              <w:bottom w:val="nil"/>
              <w:right w:val="nil"/>
            </w:tcBorders>
            <w:shd w:val="clear" w:color="000000" w:fill="FFFFFF"/>
            <w:vAlign w:val="bottom"/>
            <w:hideMark/>
          </w:tcPr>
          <w:p w14:paraId="76E438FB"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32</w:t>
            </w:r>
          </w:p>
        </w:tc>
        <w:tc>
          <w:tcPr>
            <w:tcW w:w="840" w:type="dxa"/>
            <w:tcBorders>
              <w:top w:val="single" w:sz="4" w:space="0" w:color="ADD6EA"/>
              <w:left w:val="nil"/>
              <w:bottom w:val="nil"/>
              <w:right w:val="nil"/>
            </w:tcBorders>
            <w:shd w:val="clear" w:color="000000" w:fill="FFFFFF"/>
            <w:vAlign w:val="bottom"/>
            <w:hideMark/>
          </w:tcPr>
          <w:p w14:paraId="2C6ADE89"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1AE7F03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4EF7E5B1"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1733A479"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33398263"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6</w:t>
            </w:r>
          </w:p>
        </w:tc>
      </w:tr>
      <w:tr w:rsidR="00292FAC" w:rsidRPr="003A1314" w14:paraId="376E7E52" w14:textId="77777777">
        <w:trPr>
          <w:trHeight w:val="290"/>
        </w:trPr>
        <w:tc>
          <w:tcPr>
            <w:tcW w:w="2720" w:type="dxa"/>
            <w:tcBorders>
              <w:top w:val="single" w:sz="4" w:space="0" w:color="ADD6EA"/>
              <w:left w:val="nil"/>
              <w:bottom w:val="nil"/>
              <w:right w:val="nil"/>
            </w:tcBorders>
            <w:shd w:val="clear" w:color="000000" w:fill="FFFFFF"/>
            <w:vAlign w:val="bottom"/>
            <w:hideMark/>
          </w:tcPr>
          <w:p w14:paraId="3728059E"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 xml:space="preserve">Remote </w:t>
            </w:r>
          </w:p>
        </w:tc>
        <w:tc>
          <w:tcPr>
            <w:tcW w:w="840" w:type="dxa"/>
            <w:tcBorders>
              <w:top w:val="single" w:sz="4" w:space="0" w:color="ADD6EA"/>
              <w:left w:val="nil"/>
              <w:bottom w:val="nil"/>
              <w:right w:val="nil"/>
            </w:tcBorders>
            <w:shd w:val="clear" w:color="000000" w:fill="FFFFFF"/>
            <w:vAlign w:val="bottom"/>
            <w:hideMark/>
          </w:tcPr>
          <w:p w14:paraId="156C564B"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12</w:t>
            </w:r>
          </w:p>
        </w:tc>
        <w:tc>
          <w:tcPr>
            <w:tcW w:w="840" w:type="dxa"/>
            <w:tcBorders>
              <w:top w:val="single" w:sz="4" w:space="0" w:color="ADD6EA"/>
              <w:left w:val="nil"/>
              <w:bottom w:val="nil"/>
              <w:right w:val="nil"/>
            </w:tcBorders>
            <w:shd w:val="clear" w:color="000000" w:fill="FFFFFF"/>
            <w:vAlign w:val="bottom"/>
            <w:hideMark/>
          </w:tcPr>
          <w:p w14:paraId="78373131"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w:t>
            </w:r>
          </w:p>
        </w:tc>
        <w:tc>
          <w:tcPr>
            <w:tcW w:w="840" w:type="dxa"/>
            <w:tcBorders>
              <w:top w:val="single" w:sz="4" w:space="0" w:color="ADD6EA"/>
              <w:left w:val="nil"/>
              <w:bottom w:val="nil"/>
              <w:right w:val="nil"/>
            </w:tcBorders>
            <w:shd w:val="clear" w:color="000000" w:fill="FFFFFF"/>
            <w:vAlign w:val="bottom"/>
            <w:hideMark/>
          </w:tcPr>
          <w:p w14:paraId="78671C9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26</w:t>
            </w:r>
          </w:p>
        </w:tc>
        <w:tc>
          <w:tcPr>
            <w:tcW w:w="840" w:type="dxa"/>
            <w:tcBorders>
              <w:top w:val="single" w:sz="4" w:space="0" w:color="ADD6EA"/>
              <w:left w:val="nil"/>
              <w:bottom w:val="nil"/>
              <w:right w:val="nil"/>
            </w:tcBorders>
            <w:shd w:val="clear" w:color="000000" w:fill="FFFFFF"/>
            <w:vAlign w:val="bottom"/>
            <w:hideMark/>
          </w:tcPr>
          <w:p w14:paraId="26C17799"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25</w:t>
            </w:r>
          </w:p>
        </w:tc>
        <w:tc>
          <w:tcPr>
            <w:tcW w:w="840" w:type="dxa"/>
            <w:tcBorders>
              <w:top w:val="single" w:sz="4" w:space="0" w:color="ADD6EA"/>
              <w:left w:val="nil"/>
              <w:bottom w:val="nil"/>
              <w:right w:val="nil"/>
            </w:tcBorders>
            <w:shd w:val="clear" w:color="000000" w:fill="FFFFFF"/>
            <w:vAlign w:val="bottom"/>
            <w:hideMark/>
          </w:tcPr>
          <w:p w14:paraId="6715E3D9"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4DD2EFA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w:t>
            </w:r>
          </w:p>
        </w:tc>
        <w:tc>
          <w:tcPr>
            <w:tcW w:w="840" w:type="dxa"/>
            <w:tcBorders>
              <w:top w:val="single" w:sz="4" w:space="0" w:color="ADD6EA"/>
              <w:left w:val="nil"/>
              <w:bottom w:val="nil"/>
              <w:right w:val="nil"/>
            </w:tcBorders>
            <w:shd w:val="clear" w:color="000000" w:fill="FFFFFF"/>
            <w:vAlign w:val="bottom"/>
            <w:hideMark/>
          </w:tcPr>
          <w:p w14:paraId="30416C48"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58E3D4FB"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25</w:t>
            </w:r>
          </w:p>
        </w:tc>
      </w:tr>
      <w:tr w:rsidR="00292FAC" w:rsidRPr="003A1314" w14:paraId="5924D8D8" w14:textId="77777777">
        <w:trPr>
          <w:trHeight w:val="300"/>
        </w:trPr>
        <w:tc>
          <w:tcPr>
            <w:tcW w:w="2720" w:type="dxa"/>
            <w:tcBorders>
              <w:top w:val="single" w:sz="4" w:space="0" w:color="ADD6EA"/>
              <w:left w:val="nil"/>
              <w:bottom w:val="nil"/>
              <w:right w:val="nil"/>
            </w:tcBorders>
            <w:shd w:val="clear" w:color="000000" w:fill="FFFFFF"/>
            <w:vAlign w:val="bottom"/>
            <w:hideMark/>
          </w:tcPr>
          <w:p w14:paraId="24F0E12A"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 xml:space="preserve">Very remote </w:t>
            </w:r>
          </w:p>
        </w:tc>
        <w:tc>
          <w:tcPr>
            <w:tcW w:w="840" w:type="dxa"/>
            <w:tcBorders>
              <w:top w:val="single" w:sz="4" w:space="0" w:color="ADD6EA"/>
              <w:left w:val="nil"/>
              <w:bottom w:val="nil"/>
              <w:right w:val="nil"/>
            </w:tcBorders>
            <w:shd w:val="clear" w:color="000000" w:fill="FFFFFF"/>
            <w:vAlign w:val="bottom"/>
            <w:hideMark/>
          </w:tcPr>
          <w:p w14:paraId="47FAC5C6"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w:t>
            </w:r>
          </w:p>
        </w:tc>
        <w:tc>
          <w:tcPr>
            <w:tcW w:w="840" w:type="dxa"/>
            <w:tcBorders>
              <w:top w:val="single" w:sz="4" w:space="0" w:color="ADD6EA"/>
              <w:left w:val="nil"/>
              <w:bottom w:val="nil"/>
              <w:right w:val="nil"/>
            </w:tcBorders>
            <w:shd w:val="clear" w:color="000000" w:fill="FFFFFF"/>
            <w:vAlign w:val="bottom"/>
            <w:hideMark/>
          </w:tcPr>
          <w:p w14:paraId="7A821BA3"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6C6B2CD4"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28</w:t>
            </w:r>
          </w:p>
        </w:tc>
        <w:tc>
          <w:tcPr>
            <w:tcW w:w="840" w:type="dxa"/>
            <w:tcBorders>
              <w:top w:val="single" w:sz="4" w:space="0" w:color="ADD6EA"/>
              <w:left w:val="nil"/>
              <w:bottom w:val="nil"/>
              <w:right w:val="nil"/>
            </w:tcBorders>
            <w:shd w:val="clear" w:color="000000" w:fill="FFFFFF"/>
            <w:vAlign w:val="bottom"/>
            <w:hideMark/>
          </w:tcPr>
          <w:p w14:paraId="66A3C184"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32</w:t>
            </w:r>
          </w:p>
        </w:tc>
        <w:tc>
          <w:tcPr>
            <w:tcW w:w="840" w:type="dxa"/>
            <w:tcBorders>
              <w:top w:val="single" w:sz="4" w:space="0" w:color="ADD6EA"/>
              <w:left w:val="nil"/>
              <w:bottom w:val="nil"/>
              <w:right w:val="nil"/>
            </w:tcBorders>
            <w:shd w:val="clear" w:color="000000" w:fill="FFFFFF"/>
            <w:vAlign w:val="bottom"/>
            <w:hideMark/>
          </w:tcPr>
          <w:p w14:paraId="3343D293"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6</w:t>
            </w:r>
          </w:p>
        </w:tc>
        <w:tc>
          <w:tcPr>
            <w:tcW w:w="840" w:type="dxa"/>
            <w:tcBorders>
              <w:top w:val="single" w:sz="4" w:space="0" w:color="ADD6EA"/>
              <w:left w:val="nil"/>
              <w:bottom w:val="nil"/>
              <w:right w:val="nil"/>
            </w:tcBorders>
            <w:shd w:val="clear" w:color="000000" w:fill="FFFFFF"/>
            <w:vAlign w:val="bottom"/>
            <w:hideMark/>
          </w:tcPr>
          <w:p w14:paraId="4BF22147"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w:t>
            </w:r>
          </w:p>
        </w:tc>
        <w:tc>
          <w:tcPr>
            <w:tcW w:w="840" w:type="dxa"/>
            <w:tcBorders>
              <w:top w:val="single" w:sz="4" w:space="0" w:color="ADD6EA"/>
              <w:left w:val="nil"/>
              <w:bottom w:val="nil"/>
              <w:right w:val="nil"/>
            </w:tcBorders>
            <w:shd w:val="clear" w:color="000000" w:fill="FFFFFF"/>
            <w:vAlign w:val="bottom"/>
            <w:hideMark/>
          </w:tcPr>
          <w:p w14:paraId="22F36C66"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6F924318"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31</w:t>
            </w:r>
          </w:p>
        </w:tc>
      </w:tr>
      <w:tr w:rsidR="00292FAC" w:rsidRPr="003A1314" w14:paraId="34DAC710" w14:textId="77777777">
        <w:trPr>
          <w:trHeight w:val="300"/>
        </w:trPr>
        <w:tc>
          <w:tcPr>
            <w:tcW w:w="2720" w:type="dxa"/>
            <w:tcBorders>
              <w:top w:val="single" w:sz="8" w:space="0" w:color="ADD6EA"/>
              <w:left w:val="nil"/>
              <w:bottom w:val="single" w:sz="8" w:space="0" w:color="ADD6EA"/>
              <w:right w:val="nil"/>
            </w:tcBorders>
            <w:shd w:val="clear" w:color="000000" w:fill="B6D5E4"/>
            <w:noWrap/>
            <w:vAlign w:val="center"/>
            <w:hideMark/>
          </w:tcPr>
          <w:p w14:paraId="759FAA50"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xml:space="preserve">Household size method </w:t>
            </w:r>
          </w:p>
        </w:tc>
        <w:tc>
          <w:tcPr>
            <w:tcW w:w="840" w:type="dxa"/>
            <w:tcBorders>
              <w:top w:val="single" w:sz="8" w:space="0" w:color="ADD6EA"/>
              <w:left w:val="nil"/>
              <w:bottom w:val="single" w:sz="8" w:space="0" w:color="ADD6EA"/>
              <w:right w:val="nil"/>
            </w:tcBorders>
            <w:shd w:val="clear" w:color="000000" w:fill="B6D5E4"/>
            <w:noWrap/>
            <w:vAlign w:val="center"/>
            <w:hideMark/>
          </w:tcPr>
          <w:p w14:paraId="0955A2B9"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single" w:sz="8" w:space="0" w:color="ADD6EA"/>
              <w:right w:val="nil"/>
            </w:tcBorders>
            <w:shd w:val="clear" w:color="000000" w:fill="B6D5E4"/>
            <w:noWrap/>
            <w:vAlign w:val="center"/>
            <w:hideMark/>
          </w:tcPr>
          <w:p w14:paraId="355036CD"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single" w:sz="8" w:space="0" w:color="ADD6EA"/>
              <w:right w:val="nil"/>
            </w:tcBorders>
            <w:shd w:val="clear" w:color="000000" w:fill="B6D5E4"/>
            <w:noWrap/>
            <w:vAlign w:val="center"/>
            <w:hideMark/>
          </w:tcPr>
          <w:p w14:paraId="615314A9"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single" w:sz="8" w:space="0" w:color="ADD6EA"/>
              <w:right w:val="nil"/>
            </w:tcBorders>
            <w:shd w:val="clear" w:color="000000" w:fill="B6D5E4"/>
            <w:noWrap/>
            <w:vAlign w:val="center"/>
            <w:hideMark/>
          </w:tcPr>
          <w:p w14:paraId="4B4C8E75"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single" w:sz="8" w:space="0" w:color="ADD6EA"/>
              <w:right w:val="nil"/>
            </w:tcBorders>
            <w:shd w:val="clear" w:color="000000" w:fill="B6D5E4"/>
            <w:noWrap/>
            <w:vAlign w:val="center"/>
            <w:hideMark/>
          </w:tcPr>
          <w:p w14:paraId="5301EA08"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single" w:sz="8" w:space="0" w:color="ADD6EA"/>
              <w:right w:val="nil"/>
            </w:tcBorders>
            <w:shd w:val="clear" w:color="000000" w:fill="B6D5E4"/>
            <w:noWrap/>
            <w:vAlign w:val="center"/>
            <w:hideMark/>
          </w:tcPr>
          <w:p w14:paraId="0B7C1258"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single" w:sz="8" w:space="0" w:color="ADD6EA"/>
              <w:right w:val="nil"/>
            </w:tcBorders>
            <w:shd w:val="clear" w:color="000000" w:fill="B6D5E4"/>
            <w:noWrap/>
            <w:vAlign w:val="center"/>
            <w:hideMark/>
          </w:tcPr>
          <w:p w14:paraId="31D880DA"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single" w:sz="8" w:space="0" w:color="ADD6EA"/>
              <w:left w:val="nil"/>
              <w:bottom w:val="single" w:sz="8" w:space="0" w:color="ADD6EA"/>
              <w:right w:val="nil"/>
            </w:tcBorders>
            <w:shd w:val="clear" w:color="000000" w:fill="B6D5E4"/>
            <w:noWrap/>
            <w:vAlign w:val="center"/>
            <w:hideMark/>
          </w:tcPr>
          <w:p w14:paraId="59D3FE97"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r>
      <w:tr w:rsidR="00292FAC" w:rsidRPr="003A1314" w14:paraId="5B01D75D" w14:textId="77777777">
        <w:trPr>
          <w:trHeight w:val="290"/>
        </w:trPr>
        <w:tc>
          <w:tcPr>
            <w:tcW w:w="2720" w:type="dxa"/>
            <w:tcBorders>
              <w:top w:val="nil"/>
              <w:left w:val="nil"/>
              <w:bottom w:val="nil"/>
              <w:right w:val="nil"/>
            </w:tcBorders>
            <w:shd w:val="clear" w:color="000000" w:fill="D6E7F0"/>
            <w:vAlign w:val="center"/>
            <w:hideMark/>
          </w:tcPr>
          <w:p w14:paraId="48139358" w14:textId="77777777" w:rsidR="00292FAC" w:rsidRPr="003A1314" w:rsidRDefault="00292FAC" w:rsidP="00CF2013">
            <w:pPr>
              <w:tabs>
                <w:tab w:val="clear" w:pos="567"/>
              </w:tabs>
              <w:spacing w:before="0" w:line="240" w:lineRule="auto"/>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 </w:t>
            </w:r>
          </w:p>
        </w:tc>
        <w:tc>
          <w:tcPr>
            <w:tcW w:w="840" w:type="dxa"/>
            <w:tcBorders>
              <w:top w:val="nil"/>
              <w:left w:val="nil"/>
              <w:bottom w:val="nil"/>
              <w:right w:val="nil"/>
            </w:tcBorders>
            <w:shd w:val="clear" w:color="000000" w:fill="D6E7F0"/>
            <w:vAlign w:val="bottom"/>
            <w:hideMark/>
          </w:tcPr>
          <w:p w14:paraId="32086B57"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080AB051"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1D1AC063"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265348D8"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641E46C1"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788D5478"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60EE712F"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c>
          <w:tcPr>
            <w:tcW w:w="840" w:type="dxa"/>
            <w:tcBorders>
              <w:top w:val="nil"/>
              <w:left w:val="nil"/>
              <w:bottom w:val="nil"/>
              <w:right w:val="nil"/>
            </w:tcBorders>
            <w:shd w:val="clear" w:color="000000" w:fill="D6E7F0"/>
            <w:vAlign w:val="bottom"/>
            <w:hideMark/>
          </w:tcPr>
          <w:p w14:paraId="36790000" w14:textId="77777777" w:rsidR="00292FAC" w:rsidRPr="003A1314" w:rsidRDefault="00292FAC" w:rsidP="00CF201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A1314">
              <w:rPr>
                <w:rFonts w:ascii="Open Sans Semibold" w:eastAsia="Times New Roman" w:hAnsi="Open Sans Semibold" w:cs="Open Sans Semibold"/>
                <w:color w:val="000000"/>
                <w:sz w:val="16"/>
                <w:szCs w:val="16"/>
                <w:lang w:eastAsia="en-AU"/>
              </w:rPr>
              <w:t>%</w:t>
            </w:r>
          </w:p>
        </w:tc>
      </w:tr>
      <w:tr w:rsidR="00292FAC" w:rsidRPr="003A1314" w14:paraId="6D363FD1" w14:textId="77777777">
        <w:trPr>
          <w:trHeight w:val="290"/>
        </w:trPr>
        <w:tc>
          <w:tcPr>
            <w:tcW w:w="2720" w:type="dxa"/>
            <w:tcBorders>
              <w:top w:val="single" w:sz="4" w:space="0" w:color="ADD6EA"/>
              <w:left w:val="nil"/>
              <w:bottom w:val="nil"/>
              <w:right w:val="nil"/>
            </w:tcBorders>
            <w:shd w:val="clear" w:color="000000" w:fill="FFFFFF"/>
            <w:vAlign w:val="bottom"/>
            <w:hideMark/>
          </w:tcPr>
          <w:p w14:paraId="70B0030B"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Major cities</w:t>
            </w:r>
          </w:p>
        </w:tc>
        <w:tc>
          <w:tcPr>
            <w:tcW w:w="840" w:type="dxa"/>
            <w:tcBorders>
              <w:top w:val="single" w:sz="4" w:space="0" w:color="ADD6EA"/>
              <w:left w:val="nil"/>
              <w:bottom w:val="nil"/>
              <w:right w:val="nil"/>
            </w:tcBorders>
            <w:shd w:val="clear" w:color="000000" w:fill="FFFFFF"/>
            <w:vAlign w:val="bottom"/>
            <w:hideMark/>
          </w:tcPr>
          <w:p w14:paraId="2B71AB4B"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33</w:t>
            </w:r>
          </w:p>
        </w:tc>
        <w:tc>
          <w:tcPr>
            <w:tcW w:w="840" w:type="dxa"/>
            <w:tcBorders>
              <w:top w:val="single" w:sz="4" w:space="0" w:color="ADD6EA"/>
              <w:left w:val="nil"/>
              <w:bottom w:val="nil"/>
              <w:right w:val="nil"/>
            </w:tcBorders>
            <w:shd w:val="clear" w:color="000000" w:fill="FFFFFF"/>
            <w:vAlign w:val="bottom"/>
            <w:hideMark/>
          </w:tcPr>
          <w:p w14:paraId="42C51E1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26</w:t>
            </w:r>
          </w:p>
        </w:tc>
        <w:tc>
          <w:tcPr>
            <w:tcW w:w="840" w:type="dxa"/>
            <w:tcBorders>
              <w:top w:val="single" w:sz="4" w:space="0" w:color="ADD6EA"/>
              <w:left w:val="nil"/>
              <w:bottom w:val="nil"/>
              <w:right w:val="nil"/>
            </w:tcBorders>
            <w:shd w:val="clear" w:color="000000" w:fill="FFFFFF"/>
            <w:vAlign w:val="bottom"/>
            <w:hideMark/>
          </w:tcPr>
          <w:p w14:paraId="1F20E50D"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19</w:t>
            </w:r>
          </w:p>
        </w:tc>
        <w:tc>
          <w:tcPr>
            <w:tcW w:w="840" w:type="dxa"/>
            <w:tcBorders>
              <w:top w:val="single" w:sz="4" w:space="0" w:color="ADD6EA"/>
              <w:left w:val="nil"/>
              <w:bottom w:val="nil"/>
              <w:right w:val="nil"/>
            </w:tcBorders>
            <w:shd w:val="clear" w:color="000000" w:fill="FFFFFF"/>
            <w:vAlign w:val="bottom"/>
            <w:hideMark/>
          </w:tcPr>
          <w:p w14:paraId="4BFFE522"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12</w:t>
            </w:r>
          </w:p>
        </w:tc>
        <w:tc>
          <w:tcPr>
            <w:tcW w:w="840" w:type="dxa"/>
            <w:tcBorders>
              <w:top w:val="single" w:sz="4" w:space="0" w:color="ADD6EA"/>
              <w:left w:val="nil"/>
              <w:bottom w:val="nil"/>
              <w:right w:val="nil"/>
            </w:tcBorders>
            <w:shd w:val="clear" w:color="000000" w:fill="FFFFFF"/>
            <w:vAlign w:val="bottom"/>
            <w:hideMark/>
          </w:tcPr>
          <w:p w14:paraId="33063925"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10CB1A95"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5AC78D4F"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w:t>
            </w:r>
          </w:p>
        </w:tc>
        <w:tc>
          <w:tcPr>
            <w:tcW w:w="840" w:type="dxa"/>
            <w:tcBorders>
              <w:top w:val="single" w:sz="4" w:space="0" w:color="ADD6EA"/>
              <w:left w:val="nil"/>
              <w:bottom w:val="nil"/>
              <w:right w:val="nil"/>
            </w:tcBorders>
            <w:shd w:val="clear" w:color="000000" w:fill="FFFFFF"/>
            <w:vAlign w:val="bottom"/>
            <w:hideMark/>
          </w:tcPr>
          <w:p w14:paraId="3484FEF8"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r>
      <w:tr w:rsidR="00292FAC" w:rsidRPr="003A1314" w14:paraId="37D35B9E" w14:textId="77777777">
        <w:trPr>
          <w:trHeight w:val="290"/>
        </w:trPr>
        <w:tc>
          <w:tcPr>
            <w:tcW w:w="2720" w:type="dxa"/>
            <w:tcBorders>
              <w:top w:val="single" w:sz="4" w:space="0" w:color="ADD6EA"/>
              <w:left w:val="nil"/>
              <w:bottom w:val="nil"/>
              <w:right w:val="nil"/>
            </w:tcBorders>
            <w:shd w:val="clear" w:color="000000" w:fill="FFFFFF"/>
            <w:vAlign w:val="bottom"/>
            <w:hideMark/>
          </w:tcPr>
          <w:p w14:paraId="553B18F4"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Inner regional</w:t>
            </w:r>
          </w:p>
        </w:tc>
        <w:tc>
          <w:tcPr>
            <w:tcW w:w="840" w:type="dxa"/>
            <w:tcBorders>
              <w:top w:val="single" w:sz="4" w:space="0" w:color="ADD6EA"/>
              <w:left w:val="nil"/>
              <w:bottom w:val="nil"/>
              <w:right w:val="nil"/>
            </w:tcBorders>
            <w:shd w:val="clear" w:color="000000" w:fill="FFFFFF"/>
            <w:vAlign w:val="bottom"/>
            <w:hideMark/>
          </w:tcPr>
          <w:p w14:paraId="5739355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35</w:t>
            </w:r>
          </w:p>
        </w:tc>
        <w:tc>
          <w:tcPr>
            <w:tcW w:w="840" w:type="dxa"/>
            <w:tcBorders>
              <w:top w:val="single" w:sz="4" w:space="0" w:color="ADD6EA"/>
              <w:left w:val="nil"/>
              <w:bottom w:val="nil"/>
              <w:right w:val="nil"/>
            </w:tcBorders>
            <w:shd w:val="clear" w:color="000000" w:fill="FFFFFF"/>
            <w:vAlign w:val="bottom"/>
            <w:hideMark/>
          </w:tcPr>
          <w:p w14:paraId="48C0F9C4"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23</w:t>
            </w:r>
          </w:p>
        </w:tc>
        <w:tc>
          <w:tcPr>
            <w:tcW w:w="840" w:type="dxa"/>
            <w:tcBorders>
              <w:top w:val="single" w:sz="4" w:space="0" w:color="ADD6EA"/>
              <w:left w:val="nil"/>
              <w:bottom w:val="nil"/>
              <w:right w:val="nil"/>
            </w:tcBorders>
            <w:shd w:val="clear" w:color="000000" w:fill="FFFFFF"/>
            <w:vAlign w:val="bottom"/>
            <w:hideMark/>
          </w:tcPr>
          <w:p w14:paraId="2E3AAAE6"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24</w:t>
            </w:r>
          </w:p>
        </w:tc>
        <w:tc>
          <w:tcPr>
            <w:tcW w:w="840" w:type="dxa"/>
            <w:tcBorders>
              <w:top w:val="single" w:sz="4" w:space="0" w:color="ADD6EA"/>
              <w:left w:val="nil"/>
              <w:bottom w:val="nil"/>
              <w:right w:val="nil"/>
            </w:tcBorders>
            <w:shd w:val="clear" w:color="000000" w:fill="FFFFFF"/>
            <w:vAlign w:val="bottom"/>
            <w:hideMark/>
          </w:tcPr>
          <w:p w14:paraId="1BBAF31A"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5</w:t>
            </w:r>
          </w:p>
        </w:tc>
        <w:tc>
          <w:tcPr>
            <w:tcW w:w="840" w:type="dxa"/>
            <w:tcBorders>
              <w:top w:val="single" w:sz="4" w:space="0" w:color="ADD6EA"/>
              <w:left w:val="nil"/>
              <w:bottom w:val="nil"/>
              <w:right w:val="nil"/>
            </w:tcBorders>
            <w:shd w:val="clear" w:color="000000" w:fill="FFFFFF"/>
            <w:vAlign w:val="bottom"/>
            <w:hideMark/>
          </w:tcPr>
          <w:p w14:paraId="6E0CF31A"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5</w:t>
            </w:r>
          </w:p>
        </w:tc>
        <w:tc>
          <w:tcPr>
            <w:tcW w:w="840" w:type="dxa"/>
            <w:tcBorders>
              <w:top w:val="single" w:sz="4" w:space="0" w:color="ADD6EA"/>
              <w:left w:val="nil"/>
              <w:bottom w:val="nil"/>
              <w:right w:val="nil"/>
            </w:tcBorders>
            <w:shd w:val="clear" w:color="000000" w:fill="FFFFFF"/>
            <w:vAlign w:val="bottom"/>
            <w:hideMark/>
          </w:tcPr>
          <w:p w14:paraId="01D7114E"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8</w:t>
            </w:r>
          </w:p>
        </w:tc>
        <w:tc>
          <w:tcPr>
            <w:tcW w:w="840" w:type="dxa"/>
            <w:tcBorders>
              <w:top w:val="single" w:sz="4" w:space="0" w:color="ADD6EA"/>
              <w:left w:val="nil"/>
              <w:bottom w:val="nil"/>
              <w:right w:val="nil"/>
            </w:tcBorders>
            <w:shd w:val="clear" w:color="000000" w:fill="FFFFFF"/>
            <w:vAlign w:val="bottom"/>
            <w:hideMark/>
          </w:tcPr>
          <w:p w14:paraId="32BF7D55"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7737EED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r>
      <w:tr w:rsidR="00292FAC" w:rsidRPr="003A1314" w14:paraId="6AF75597" w14:textId="77777777">
        <w:trPr>
          <w:trHeight w:val="290"/>
        </w:trPr>
        <w:tc>
          <w:tcPr>
            <w:tcW w:w="2720" w:type="dxa"/>
            <w:tcBorders>
              <w:top w:val="single" w:sz="4" w:space="0" w:color="ADD6EA"/>
              <w:left w:val="nil"/>
              <w:bottom w:val="nil"/>
              <w:right w:val="nil"/>
            </w:tcBorders>
            <w:shd w:val="clear" w:color="000000" w:fill="FFFFFF"/>
            <w:vAlign w:val="bottom"/>
            <w:hideMark/>
          </w:tcPr>
          <w:p w14:paraId="426E933E"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Outer regional</w:t>
            </w:r>
          </w:p>
        </w:tc>
        <w:tc>
          <w:tcPr>
            <w:tcW w:w="840" w:type="dxa"/>
            <w:tcBorders>
              <w:top w:val="single" w:sz="4" w:space="0" w:color="ADD6EA"/>
              <w:left w:val="nil"/>
              <w:bottom w:val="nil"/>
              <w:right w:val="nil"/>
            </w:tcBorders>
            <w:shd w:val="clear" w:color="000000" w:fill="FFFFFF"/>
            <w:vAlign w:val="bottom"/>
            <w:hideMark/>
          </w:tcPr>
          <w:p w14:paraId="27137902"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24</w:t>
            </w:r>
          </w:p>
        </w:tc>
        <w:tc>
          <w:tcPr>
            <w:tcW w:w="840" w:type="dxa"/>
            <w:tcBorders>
              <w:top w:val="single" w:sz="4" w:space="0" w:color="ADD6EA"/>
              <w:left w:val="nil"/>
              <w:bottom w:val="nil"/>
              <w:right w:val="nil"/>
            </w:tcBorders>
            <w:shd w:val="clear" w:color="000000" w:fill="FFFFFF"/>
            <w:vAlign w:val="bottom"/>
            <w:hideMark/>
          </w:tcPr>
          <w:p w14:paraId="31160025"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10</w:t>
            </w:r>
          </w:p>
        </w:tc>
        <w:tc>
          <w:tcPr>
            <w:tcW w:w="840" w:type="dxa"/>
            <w:tcBorders>
              <w:top w:val="single" w:sz="4" w:space="0" w:color="ADD6EA"/>
              <w:left w:val="nil"/>
              <w:bottom w:val="nil"/>
              <w:right w:val="nil"/>
            </w:tcBorders>
            <w:shd w:val="clear" w:color="000000" w:fill="FFFFFF"/>
            <w:vAlign w:val="bottom"/>
            <w:hideMark/>
          </w:tcPr>
          <w:p w14:paraId="34104AAF"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34</w:t>
            </w:r>
          </w:p>
        </w:tc>
        <w:tc>
          <w:tcPr>
            <w:tcW w:w="840" w:type="dxa"/>
            <w:tcBorders>
              <w:top w:val="single" w:sz="4" w:space="0" w:color="ADD6EA"/>
              <w:left w:val="nil"/>
              <w:bottom w:val="nil"/>
              <w:right w:val="nil"/>
            </w:tcBorders>
            <w:shd w:val="clear" w:color="000000" w:fill="FFFFFF"/>
            <w:vAlign w:val="bottom"/>
            <w:hideMark/>
          </w:tcPr>
          <w:p w14:paraId="700DDAB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5E8D6338"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71243E2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9</w:t>
            </w:r>
          </w:p>
        </w:tc>
        <w:tc>
          <w:tcPr>
            <w:tcW w:w="840" w:type="dxa"/>
            <w:tcBorders>
              <w:top w:val="single" w:sz="4" w:space="0" w:color="ADD6EA"/>
              <w:left w:val="nil"/>
              <w:bottom w:val="nil"/>
              <w:right w:val="nil"/>
            </w:tcBorders>
            <w:shd w:val="clear" w:color="000000" w:fill="FFFFFF"/>
            <w:vAlign w:val="bottom"/>
            <w:hideMark/>
          </w:tcPr>
          <w:p w14:paraId="16720E3B"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3098A4CF"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6</w:t>
            </w:r>
          </w:p>
        </w:tc>
      </w:tr>
      <w:tr w:rsidR="00292FAC" w:rsidRPr="003A1314" w14:paraId="3379E71F" w14:textId="77777777">
        <w:trPr>
          <w:trHeight w:val="290"/>
        </w:trPr>
        <w:tc>
          <w:tcPr>
            <w:tcW w:w="2720" w:type="dxa"/>
            <w:tcBorders>
              <w:top w:val="single" w:sz="4" w:space="0" w:color="ADD6EA"/>
              <w:left w:val="nil"/>
              <w:bottom w:val="nil"/>
              <w:right w:val="nil"/>
            </w:tcBorders>
            <w:shd w:val="clear" w:color="000000" w:fill="FFFFFF"/>
            <w:vAlign w:val="bottom"/>
            <w:hideMark/>
          </w:tcPr>
          <w:p w14:paraId="2D9B6B22"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 xml:space="preserve">Remote </w:t>
            </w:r>
          </w:p>
        </w:tc>
        <w:tc>
          <w:tcPr>
            <w:tcW w:w="840" w:type="dxa"/>
            <w:tcBorders>
              <w:top w:val="single" w:sz="4" w:space="0" w:color="ADD6EA"/>
              <w:left w:val="nil"/>
              <w:bottom w:val="nil"/>
              <w:right w:val="nil"/>
            </w:tcBorders>
            <w:shd w:val="clear" w:color="000000" w:fill="FFFFFF"/>
            <w:vAlign w:val="bottom"/>
            <w:hideMark/>
          </w:tcPr>
          <w:p w14:paraId="3E69B2C5"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10</w:t>
            </w:r>
          </w:p>
        </w:tc>
        <w:tc>
          <w:tcPr>
            <w:tcW w:w="840" w:type="dxa"/>
            <w:tcBorders>
              <w:top w:val="single" w:sz="4" w:space="0" w:color="ADD6EA"/>
              <w:left w:val="nil"/>
              <w:bottom w:val="nil"/>
              <w:right w:val="nil"/>
            </w:tcBorders>
            <w:shd w:val="clear" w:color="000000" w:fill="FFFFFF"/>
            <w:vAlign w:val="bottom"/>
            <w:hideMark/>
          </w:tcPr>
          <w:p w14:paraId="77FC0AFA"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1</w:t>
            </w:r>
          </w:p>
        </w:tc>
        <w:tc>
          <w:tcPr>
            <w:tcW w:w="840" w:type="dxa"/>
            <w:tcBorders>
              <w:top w:val="single" w:sz="4" w:space="0" w:color="ADD6EA"/>
              <w:left w:val="nil"/>
              <w:bottom w:val="nil"/>
              <w:right w:val="nil"/>
            </w:tcBorders>
            <w:shd w:val="clear" w:color="000000" w:fill="FFFFFF"/>
            <w:vAlign w:val="bottom"/>
            <w:hideMark/>
          </w:tcPr>
          <w:p w14:paraId="1B3E09BD"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25</w:t>
            </w:r>
          </w:p>
        </w:tc>
        <w:tc>
          <w:tcPr>
            <w:tcW w:w="840" w:type="dxa"/>
            <w:tcBorders>
              <w:top w:val="single" w:sz="4" w:space="0" w:color="ADD6EA"/>
              <w:left w:val="nil"/>
              <w:bottom w:val="nil"/>
              <w:right w:val="nil"/>
            </w:tcBorders>
            <w:shd w:val="clear" w:color="000000" w:fill="FFFFFF"/>
            <w:vAlign w:val="bottom"/>
            <w:hideMark/>
          </w:tcPr>
          <w:p w14:paraId="3608674F"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24</w:t>
            </w:r>
          </w:p>
        </w:tc>
        <w:tc>
          <w:tcPr>
            <w:tcW w:w="840" w:type="dxa"/>
            <w:tcBorders>
              <w:top w:val="single" w:sz="4" w:space="0" w:color="ADD6EA"/>
              <w:left w:val="nil"/>
              <w:bottom w:val="nil"/>
              <w:right w:val="nil"/>
            </w:tcBorders>
            <w:shd w:val="clear" w:color="000000" w:fill="FFFFFF"/>
            <w:vAlign w:val="bottom"/>
            <w:hideMark/>
          </w:tcPr>
          <w:p w14:paraId="7B701EC2"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8</w:t>
            </w:r>
          </w:p>
        </w:tc>
        <w:tc>
          <w:tcPr>
            <w:tcW w:w="840" w:type="dxa"/>
            <w:tcBorders>
              <w:top w:val="single" w:sz="4" w:space="0" w:color="ADD6EA"/>
              <w:left w:val="nil"/>
              <w:bottom w:val="nil"/>
              <w:right w:val="nil"/>
            </w:tcBorders>
            <w:shd w:val="clear" w:color="000000" w:fill="FFFFFF"/>
            <w:vAlign w:val="bottom"/>
            <w:hideMark/>
          </w:tcPr>
          <w:p w14:paraId="1758E93F"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w:t>
            </w:r>
          </w:p>
        </w:tc>
        <w:tc>
          <w:tcPr>
            <w:tcW w:w="840" w:type="dxa"/>
            <w:tcBorders>
              <w:top w:val="single" w:sz="4" w:space="0" w:color="ADD6EA"/>
              <w:left w:val="nil"/>
              <w:bottom w:val="nil"/>
              <w:right w:val="nil"/>
            </w:tcBorders>
            <w:shd w:val="clear" w:color="000000" w:fill="FFFFFF"/>
            <w:vAlign w:val="bottom"/>
            <w:hideMark/>
          </w:tcPr>
          <w:p w14:paraId="48F8D799"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nil"/>
              <w:right w:val="nil"/>
            </w:tcBorders>
            <w:shd w:val="clear" w:color="000000" w:fill="FFFFFF"/>
            <w:vAlign w:val="bottom"/>
            <w:hideMark/>
          </w:tcPr>
          <w:p w14:paraId="0D73EDE3"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30</w:t>
            </w:r>
          </w:p>
        </w:tc>
      </w:tr>
      <w:tr w:rsidR="00292FAC" w:rsidRPr="003A1314" w14:paraId="38E9D8C1" w14:textId="77777777">
        <w:trPr>
          <w:trHeight w:val="290"/>
        </w:trPr>
        <w:tc>
          <w:tcPr>
            <w:tcW w:w="2720" w:type="dxa"/>
            <w:tcBorders>
              <w:top w:val="single" w:sz="4" w:space="0" w:color="ADD6EA"/>
              <w:left w:val="nil"/>
              <w:bottom w:val="single" w:sz="4" w:space="0" w:color="ADD6EA"/>
              <w:right w:val="nil"/>
            </w:tcBorders>
            <w:shd w:val="clear" w:color="000000" w:fill="FFFFFF"/>
            <w:vAlign w:val="bottom"/>
            <w:hideMark/>
          </w:tcPr>
          <w:p w14:paraId="66A458F1" w14:textId="77777777" w:rsidR="00292FAC" w:rsidRPr="003A1314" w:rsidRDefault="00292FAC" w:rsidP="00CF2013">
            <w:pPr>
              <w:tabs>
                <w:tab w:val="clear" w:pos="567"/>
              </w:tabs>
              <w:spacing w:before="0" w:line="240" w:lineRule="auto"/>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Very remote</w:t>
            </w:r>
          </w:p>
        </w:tc>
        <w:tc>
          <w:tcPr>
            <w:tcW w:w="840" w:type="dxa"/>
            <w:tcBorders>
              <w:top w:val="single" w:sz="4" w:space="0" w:color="ADD6EA"/>
              <w:left w:val="nil"/>
              <w:bottom w:val="single" w:sz="4" w:space="0" w:color="ADD6EA"/>
              <w:right w:val="nil"/>
            </w:tcBorders>
            <w:shd w:val="clear" w:color="000000" w:fill="FFFFFF"/>
            <w:vAlign w:val="bottom"/>
            <w:hideMark/>
          </w:tcPr>
          <w:p w14:paraId="49F4F6B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w:t>
            </w:r>
          </w:p>
        </w:tc>
        <w:tc>
          <w:tcPr>
            <w:tcW w:w="840" w:type="dxa"/>
            <w:tcBorders>
              <w:top w:val="single" w:sz="4" w:space="0" w:color="ADD6EA"/>
              <w:left w:val="nil"/>
              <w:bottom w:val="single" w:sz="4" w:space="0" w:color="ADD6EA"/>
              <w:right w:val="nil"/>
            </w:tcBorders>
            <w:shd w:val="clear" w:color="000000" w:fill="FFFFFF"/>
            <w:vAlign w:val="bottom"/>
            <w:hideMark/>
          </w:tcPr>
          <w:p w14:paraId="55AA5453"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single" w:sz="4" w:space="0" w:color="ADD6EA"/>
              <w:right w:val="nil"/>
            </w:tcBorders>
            <w:shd w:val="clear" w:color="000000" w:fill="FFFFFF"/>
            <w:vAlign w:val="bottom"/>
            <w:hideMark/>
          </w:tcPr>
          <w:p w14:paraId="0271DFAE"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24</w:t>
            </w:r>
          </w:p>
        </w:tc>
        <w:tc>
          <w:tcPr>
            <w:tcW w:w="840" w:type="dxa"/>
            <w:tcBorders>
              <w:top w:val="single" w:sz="4" w:space="0" w:color="ADD6EA"/>
              <w:left w:val="nil"/>
              <w:bottom w:val="single" w:sz="4" w:space="0" w:color="ADD6EA"/>
              <w:right w:val="nil"/>
            </w:tcBorders>
            <w:shd w:val="clear" w:color="000000" w:fill="FFFFFF"/>
            <w:vAlign w:val="bottom"/>
            <w:hideMark/>
          </w:tcPr>
          <w:p w14:paraId="659EBC6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28</w:t>
            </w:r>
          </w:p>
        </w:tc>
        <w:tc>
          <w:tcPr>
            <w:tcW w:w="840" w:type="dxa"/>
            <w:tcBorders>
              <w:top w:val="single" w:sz="4" w:space="0" w:color="ADD6EA"/>
              <w:left w:val="nil"/>
              <w:bottom w:val="single" w:sz="4" w:space="0" w:color="ADD6EA"/>
              <w:right w:val="nil"/>
            </w:tcBorders>
            <w:shd w:val="clear" w:color="000000" w:fill="FFFFFF"/>
            <w:vAlign w:val="bottom"/>
            <w:hideMark/>
          </w:tcPr>
          <w:p w14:paraId="15AF6D81"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5</w:t>
            </w:r>
          </w:p>
        </w:tc>
        <w:tc>
          <w:tcPr>
            <w:tcW w:w="840" w:type="dxa"/>
            <w:tcBorders>
              <w:top w:val="single" w:sz="4" w:space="0" w:color="ADD6EA"/>
              <w:left w:val="nil"/>
              <w:bottom w:val="single" w:sz="4" w:space="0" w:color="ADD6EA"/>
              <w:right w:val="nil"/>
            </w:tcBorders>
            <w:shd w:val="clear" w:color="000000" w:fill="FFFFFF"/>
            <w:vAlign w:val="bottom"/>
            <w:hideMark/>
          </w:tcPr>
          <w:p w14:paraId="0608B86C"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single" w:sz="4" w:space="0" w:color="ADD6EA"/>
              <w:right w:val="nil"/>
            </w:tcBorders>
            <w:shd w:val="clear" w:color="000000" w:fill="FFFFFF"/>
            <w:vAlign w:val="bottom"/>
            <w:hideMark/>
          </w:tcPr>
          <w:p w14:paraId="1797B073"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0</w:t>
            </w:r>
          </w:p>
        </w:tc>
        <w:tc>
          <w:tcPr>
            <w:tcW w:w="840" w:type="dxa"/>
            <w:tcBorders>
              <w:top w:val="single" w:sz="4" w:space="0" w:color="ADD6EA"/>
              <w:left w:val="nil"/>
              <w:bottom w:val="single" w:sz="4" w:space="0" w:color="ADD6EA"/>
              <w:right w:val="nil"/>
            </w:tcBorders>
            <w:shd w:val="clear" w:color="000000" w:fill="FFFFFF"/>
            <w:vAlign w:val="bottom"/>
            <w:hideMark/>
          </w:tcPr>
          <w:p w14:paraId="3158DB82" w14:textId="77777777" w:rsidR="00292FAC" w:rsidRPr="003A1314" w:rsidRDefault="00292FAC" w:rsidP="00CF201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A1314">
              <w:rPr>
                <w:rFonts w:ascii="Open Sans Light" w:eastAsia="Times New Roman" w:hAnsi="Open Sans Light" w:cs="Open Sans Light"/>
                <w:color w:val="000000"/>
                <w:sz w:val="16"/>
                <w:szCs w:val="16"/>
                <w:lang w:eastAsia="en-AU"/>
              </w:rPr>
              <w:t>40</w:t>
            </w:r>
          </w:p>
        </w:tc>
      </w:tr>
    </w:tbl>
    <w:p w14:paraId="24FFB5BC" w14:textId="77777777" w:rsidR="00292FAC" w:rsidRDefault="00292FAC" w:rsidP="00CF2013">
      <w:pPr>
        <w:pStyle w:val="Heading5"/>
        <w:keepNext w:val="0"/>
        <w:spacing w:before="240"/>
      </w:pPr>
      <w:r>
        <w:t>State-based cost weight for overcrowded houses</w:t>
      </w:r>
    </w:p>
    <w:p w14:paraId="00EBA978" w14:textId="09801DA8" w:rsidR="00292FAC" w:rsidRDefault="00292FAC" w:rsidP="00CF2013">
      <w:pPr>
        <w:pStyle w:val="CGC2025ParaNumbers"/>
      </w:pPr>
      <w:r>
        <w:t>The Commission</w:t>
      </w:r>
      <w:r w:rsidDel="005E4F17">
        <w:t xml:space="preserve"> </w:t>
      </w:r>
      <w:r>
        <w:t>also explored an option of introducing a state</w:t>
      </w:r>
      <w:r>
        <w:noBreakHyphen/>
        <w:t xml:space="preserve">based </w:t>
      </w:r>
      <w:r w:rsidDel="00936ADB">
        <w:t xml:space="preserve">cost </w:t>
      </w:r>
      <w:r>
        <w:t>weight to the 2020 Review household</w:t>
      </w:r>
      <w:r>
        <w:noBreakHyphen/>
        <w:t>based method to better assess GST needs for states with above</w:t>
      </w:r>
      <w:r w:rsidR="00182495">
        <w:t>-</w:t>
      </w:r>
      <w:r>
        <w:t>average overcrowding rates.</w:t>
      </w:r>
    </w:p>
    <w:p w14:paraId="6BD10E99" w14:textId="65EE84D5" w:rsidR="00292FAC" w:rsidRDefault="00292FAC" w:rsidP="00B31CA1">
      <w:pPr>
        <w:pStyle w:val="CGC2025ParaNumbers"/>
      </w:pPr>
      <w:r>
        <w:t>The following tables show how severe overcrowding rates differ within socio</w:t>
      </w:r>
      <w:r w:rsidR="002C5C04">
        <w:noBreakHyphen/>
      </w:r>
      <w:r>
        <w:t xml:space="preserve">demographic group by state. </w:t>
      </w:r>
      <w:r w:rsidR="00F44ACB">
        <w:t xml:space="preserve">The highest rates of severe overcrowding are in low income First Nations households in very remote areas in the Northen Territory. </w:t>
      </w:r>
      <w:r w:rsidR="00B254E5">
        <w:t xml:space="preserve">These </w:t>
      </w:r>
      <w:r>
        <w:t xml:space="preserve">data could be used to identify differences in state overcrowding rates. However, </w:t>
      </w:r>
      <w:r w:rsidR="001800B2">
        <w:t>if a cost weight were to be developed</w:t>
      </w:r>
      <w:r w:rsidR="405A4FEA">
        <w:t>,</w:t>
      </w:r>
      <w:r w:rsidR="001800B2">
        <w:t xml:space="preserve"> </w:t>
      </w:r>
      <w:r>
        <w:t xml:space="preserve">separate expense data would be needed to quantify a cost weight to apply to severely overcrowded dwellings. </w:t>
      </w:r>
    </w:p>
    <w:p w14:paraId="4E29F1A7" w14:textId="18B809E2" w:rsidR="00292FAC" w:rsidRDefault="00292FAC" w:rsidP="001C75D8">
      <w:pPr>
        <w:pStyle w:val="CGC2025Caption"/>
        <w:ind w:left="1440" w:hanging="1440"/>
      </w:pPr>
      <w:bookmarkStart w:id="31" w:name="_Hlk175666978"/>
      <w:r>
        <w:t xml:space="preserve">Table </w:t>
      </w:r>
      <w:r w:rsidR="00EA6ABF">
        <w:t>7</w:t>
      </w:r>
      <w:r>
        <w:tab/>
        <w:t>Rates of severe overcrowding major cities, by socio</w:t>
      </w:r>
      <w:r>
        <w:noBreakHyphen/>
        <w:t>demographic group and state, 2021</w:t>
      </w:r>
    </w:p>
    <w:bookmarkEnd w:id="31"/>
    <w:tbl>
      <w:tblPr>
        <w:tblW w:w="8920" w:type="dxa"/>
        <w:tblLook w:val="04A0" w:firstRow="1" w:lastRow="0" w:firstColumn="1" w:lastColumn="0" w:noHBand="0" w:noVBand="1"/>
      </w:tblPr>
      <w:tblGrid>
        <w:gridCol w:w="2360"/>
        <w:gridCol w:w="820"/>
        <w:gridCol w:w="820"/>
        <w:gridCol w:w="820"/>
        <w:gridCol w:w="820"/>
        <w:gridCol w:w="820"/>
        <w:gridCol w:w="820"/>
        <w:gridCol w:w="820"/>
        <w:gridCol w:w="820"/>
      </w:tblGrid>
      <w:tr w:rsidR="00292FAC" w:rsidRPr="00F34024" w14:paraId="63594D7A" w14:textId="77777777">
        <w:trPr>
          <w:trHeight w:val="379"/>
        </w:trPr>
        <w:tc>
          <w:tcPr>
            <w:tcW w:w="2360" w:type="dxa"/>
            <w:tcBorders>
              <w:top w:val="nil"/>
              <w:left w:val="nil"/>
              <w:bottom w:val="nil"/>
              <w:right w:val="nil"/>
            </w:tcBorders>
            <w:shd w:val="clear" w:color="000000" w:fill="006991"/>
            <w:vAlign w:val="center"/>
            <w:hideMark/>
          </w:tcPr>
          <w:p w14:paraId="3A28729A" w14:textId="77777777" w:rsidR="00292FAC" w:rsidRPr="00F34024" w:rsidRDefault="00292FAC" w:rsidP="001C75D8">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820" w:type="dxa"/>
            <w:tcBorders>
              <w:top w:val="nil"/>
              <w:left w:val="nil"/>
              <w:bottom w:val="nil"/>
              <w:right w:val="nil"/>
            </w:tcBorders>
            <w:shd w:val="clear" w:color="000000" w:fill="006991"/>
            <w:vAlign w:val="center"/>
            <w:hideMark/>
          </w:tcPr>
          <w:p w14:paraId="3CC15D1B" w14:textId="77777777" w:rsidR="00292FAC" w:rsidRPr="00F34024" w:rsidRDefault="00292FAC" w:rsidP="001C75D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34024">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611DA282" w14:textId="77777777" w:rsidR="00292FAC" w:rsidRPr="00F34024" w:rsidRDefault="00292FAC" w:rsidP="001C75D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34024">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48F03CED" w14:textId="77777777" w:rsidR="00292FAC" w:rsidRPr="00F34024" w:rsidRDefault="00292FAC" w:rsidP="001C75D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34024">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435E38EC" w14:textId="77777777" w:rsidR="00292FAC" w:rsidRPr="00F34024" w:rsidRDefault="00292FAC" w:rsidP="001C75D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34024">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10BA93FF" w14:textId="77777777" w:rsidR="00292FAC" w:rsidRPr="00F34024" w:rsidRDefault="00292FAC" w:rsidP="001C75D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34024">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60CC6471" w14:textId="77777777" w:rsidR="00292FAC" w:rsidRPr="00F34024" w:rsidRDefault="00292FAC" w:rsidP="001C75D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34024">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1C3635D8" w14:textId="77777777" w:rsidR="00292FAC" w:rsidRPr="00F34024" w:rsidRDefault="00292FAC" w:rsidP="001C75D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34024">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66BC5D6F" w14:textId="77777777" w:rsidR="00292FAC" w:rsidRPr="00F34024" w:rsidRDefault="00292FAC" w:rsidP="001C75D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34024">
              <w:rPr>
                <w:rFonts w:ascii="Open Sans Semibold" w:eastAsia="Times New Roman" w:hAnsi="Open Sans Semibold" w:cs="Open Sans Semibold"/>
                <w:color w:val="FFFFFF"/>
                <w:sz w:val="16"/>
                <w:szCs w:val="16"/>
                <w:lang w:eastAsia="en-AU"/>
              </w:rPr>
              <w:t>NT</w:t>
            </w:r>
          </w:p>
        </w:tc>
      </w:tr>
      <w:tr w:rsidR="00292FAC" w:rsidRPr="00F34024" w14:paraId="392EC249" w14:textId="77777777">
        <w:trPr>
          <w:trHeight w:val="319"/>
        </w:trPr>
        <w:tc>
          <w:tcPr>
            <w:tcW w:w="2360" w:type="dxa"/>
            <w:tcBorders>
              <w:top w:val="single" w:sz="4" w:space="0" w:color="ADD6EA"/>
              <w:left w:val="nil"/>
              <w:bottom w:val="nil"/>
              <w:right w:val="nil"/>
            </w:tcBorders>
            <w:shd w:val="clear" w:color="000000" w:fill="FFFFFF"/>
            <w:vAlign w:val="bottom"/>
            <w:hideMark/>
          </w:tcPr>
          <w:p w14:paraId="73FE3F92" w14:textId="77777777" w:rsidR="00292FAC" w:rsidRPr="00F34024" w:rsidRDefault="00292FAC" w:rsidP="001C75D8">
            <w:pPr>
              <w:tabs>
                <w:tab w:val="clear" w:pos="567"/>
              </w:tabs>
              <w:spacing w:before="0" w:line="240" w:lineRule="auto"/>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Low-income/First Nations</w:t>
            </w:r>
          </w:p>
        </w:tc>
        <w:tc>
          <w:tcPr>
            <w:tcW w:w="820" w:type="dxa"/>
            <w:tcBorders>
              <w:top w:val="single" w:sz="4" w:space="0" w:color="ADD6EA"/>
              <w:left w:val="nil"/>
              <w:bottom w:val="nil"/>
              <w:right w:val="nil"/>
            </w:tcBorders>
            <w:shd w:val="clear" w:color="000000" w:fill="FFFFFF"/>
            <w:vAlign w:val="bottom"/>
            <w:hideMark/>
          </w:tcPr>
          <w:p w14:paraId="7BD9C6B6"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6CA92BED"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31070E06"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0.2%</w:t>
            </w:r>
          </w:p>
        </w:tc>
        <w:tc>
          <w:tcPr>
            <w:tcW w:w="820" w:type="dxa"/>
            <w:tcBorders>
              <w:top w:val="single" w:sz="4" w:space="0" w:color="ADD6EA"/>
              <w:left w:val="nil"/>
              <w:bottom w:val="nil"/>
              <w:right w:val="nil"/>
            </w:tcBorders>
            <w:shd w:val="clear" w:color="000000" w:fill="FFFFFF"/>
            <w:vAlign w:val="bottom"/>
            <w:hideMark/>
          </w:tcPr>
          <w:p w14:paraId="76B1B772"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0.3%</w:t>
            </w:r>
          </w:p>
        </w:tc>
        <w:tc>
          <w:tcPr>
            <w:tcW w:w="820" w:type="dxa"/>
            <w:tcBorders>
              <w:top w:val="single" w:sz="4" w:space="0" w:color="ADD6EA"/>
              <w:left w:val="nil"/>
              <w:bottom w:val="nil"/>
              <w:right w:val="nil"/>
            </w:tcBorders>
            <w:shd w:val="clear" w:color="000000" w:fill="FFFFFF"/>
            <w:vAlign w:val="bottom"/>
            <w:hideMark/>
          </w:tcPr>
          <w:p w14:paraId="1AD78441"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0.2%</w:t>
            </w:r>
          </w:p>
        </w:tc>
        <w:tc>
          <w:tcPr>
            <w:tcW w:w="820" w:type="dxa"/>
            <w:tcBorders>
              <w:top w:val="single" w:sz="4" w:space="0" w:color="ADD6EA"/>
              <w:left w:val="nil"/>
              <w:bottom w:val="nil"/>
              <w:right w:val="nil"/>
            </w:tcBorders>
            <w:shd w:val="clear" w:color="000000" w:fill="FFFFFF"/>
            <w:vAlign w:val="bottom"/>
            <w:hideMark/>
          </w:tcPr>
          <w:p w14:paraId="58F9848F"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775F3EB5"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0.4%</w:t>
            </w:r>
          </w:p>
        </w:tc>
        <w:tc>
          <w:tcPr>
            <w:tcW w:w="820" w:type="dxa"/>
            <w:tcBorders>
              <w:top w:val="single" w:sz="4" w:space="0" w:color="ADD6EA"/>
              <w:left w:val="nil"/>
              <w:bottom w:val="nil"/>
              <w:right w:val="nil"/>
            </w:tcBorders>
            <w:shd w:val="clear" w:color="000000" w:fill="FFFFFF"/>
            <w:vAlign w:val="bottom"/>
            <w:hideMark/>
          </w:tcPr>
          <w:p w14:paraId="1BF5A103"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w:t>
            </w:r>
          </w:p>
        </w:tc>
      </w:tr>
      <w:tr w:rsidR="00292FAC" w:rsidRPr="00F34024" w14:paraId="26A7E108" w14:textId="77777777">
        <w:trPr>
          <w:trHeight w:val="319"/>
        </w:trPr>
        <w:tc>
          <w:tcPr>
            <w:tcW w:w="2360" w:type="dxa"/>
            <w:tcBorders>
              <w:top w:val="single" w:sz="4" w:space="0" w:color="ADD6EA"/>
              <w:left w:val="nil"/>
              <w:bottom w:val="nil"/>
              <w:right w:val="nil"/>
            </w:tcBorders>
            <w:shd w:val="clear" w:color="000000" w:fill="FFFFFF"/>
            <w:vAlign w:val="bottom"/>
            <w:hideMark/>
          </w:tcPr>
          <w:p w14:paraId="51E04E53" w14:textId="77777777" w:rsidR="00292FAC" w:rsidRPr="00F34024" w:rsidRDefault="00292FAC" w:rsidP="001C75D8">
            <w:pPr>
              <w:tabs>
                <w:tab w:val="clear" w:pos="567"/>
              </w:tabs>
              <w:spacing w:before="0" w:line="240" w:lineRule="auto"/>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Low-income/non-Indigenous</w:t>
            </w:r>
          </w:p>
        </w:tc>
        <w:tc>
          <w:tcPr>
            <w:tcW w:w="820" w:type="dxa"/>
            <w:tcBorders>
              <w:top w:val="single" w:sz="4" w:space="0" w:color="ADD6EA"/>
              <w:left w:val="nil"/>
              <w:bottom w:val="nil"/>
              <w:right w:val="nil"/>
            </w:tcBorders>
            <w:shd w:val="clear" w:color="000000" w:fill="FFFFFF"/>
            <w:vAlign w:val="bottom"/>
            <w:hideMark/>
          </w:tcPr>
          <w:p w14:paraId="25299DE5"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489B2891"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03701C5E"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EFD05E1"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4BD790BC"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27D849D9"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2F95E399"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24492F4A"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w:t>
            </w:r>
          </w:p>
        </w:tc>
      </w:tr>
      <w:tr w:rsidR="00292FAC" w:rsidRPr="00F34024" w14:paraId="48B04A3E" w14:textId="77777777">
        <w:trPr>
          <w:trHeight w:val="319"/>
        </w:trPr>
        <w:tc>
          <w:tcPr>
            <w:tcW w:w="2360" w:type="dxa"/>
            <w:tcBorders>
              <w:top w:val="single" w:sz="4" w:space="0" w:color="ADD6EA"/>
              <w:left w:val="nil"/>
              <w:bottom w:val="nil"/>
              <w:right w:val="nil"/>
            </w:tcBorders>
            <w:shd w:val="clear" w:color="000000" w:fill="FFFFFF"/>
            <w:vAlign w:val="bottom"/>
            <w:hideMark/>
          </w:tcPr>
          <w:p w14:paraId="1170BDC3" w14:textId="77777777" w:rsidR="00292FAC" w:rsidRPr="00F34024" w:rsidRDefault="00292FAC" w:rsidP="001C75D8">
            <w:pPr>
              <w:tabs>
                <w:tab w:val="clear" w:pos="567"/>
              </w:tabs>
              <w:spacing w:before="0" w:line="240" w:lineRule="auto"/>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High income/First Nations</w:t>
            </w:r>
          </w:p>
        </w:tc>
        <w:tc>
          <w:tcPr>
            <w:tcW w:w="820" w:type="dxa"/>
            <w:tcBorders>
              <w:top w:val="single" w:sz="4" w:space="0" w:color="ADD6EA"/>
              <w:left w:val="nil"/>
              <w:bottom w:val="nil"/>
              <w:right w:val="nil"/>
            </w:tcBorders>
            <w:shd w:val="clear" w:color="000000" w:fill="FFFFFF"/>
            <w:vAlign w:val="bottom"/>
            <w:hideMark/>
          </w:tcPr>
          <w:p w14:paraId="2D2C8AC1"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20D3C856"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77B943E3"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196E4198"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35D72DE0"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B07B30F"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116D0145"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DD67E19"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w:t>
            </w:r>
          </w:p>
        </w:tc>
      </w:tr>
      <w:tr w:rsidR="00292FAC" w:rsidRPr="00F34024" w14:paraId="63D847F0" w14:textId="77777777">
        <w:trPr>
          <w:trHeight w:val="319"/>
        </w:trPr>
        <w:tc>
          <w:tcPr>
            <w:tcW w:w="2360" w:type="dxa"/>
            <w:tcBorders>
              <w:top w:val="single" w:sz="4" w:space="0" w:color="ADD6EA"/>
              <w:left w:val="nil"/>
              <w:bottom w:val="single" w:sz="4" w:space="0" w:color="ADD6EA"/>
              <w:right w:val="nil"/>
            </w:tcBorders>
            <w:shd w:val="clear" w:color="000000" w:fill="FFFFFF"/>
            <w:vAlign w:val="bottom"/>
            <w:hideMark/>
          </w:tcPr>
          <w:p w14:paraId="2E1CF91A" w14:textId="77777777" w:rsidR="00292FAC" w:rsidRPr="00F34024" w:rsidRDefault="00292FAC" w:rsidP="001C75D8">
            <w:pPr>
              <w:tabs>
                <w:tab w:val="clear" w:pos="567"/>
              </w:tabs>
              <w:spacing w:before="0" w:line="240" w:lineRule="auto"/>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High income/non-Indigenous</w:t>
            </w:r>
          </w:p>
        </w:tc>
        <w:tc>
          <w:tcPr>
            <w:tcW w:w="820" w:type="dxa"/>
            <w:tcBorders>
              <w:top w:val="single" w:sz="4" w:space="0" w:color="ADD6EA"/>
              <w:left w:val="nil"/>
              <w:bottom w:val="single" w:sz="4" w:space="0" w:color="ADD6EA"/>
              <w:right w:val="nil"/>
            </w:tcBorders>
            <w:shd w:val="clear" w:color="000000" w:fill="FFFFFF"/>
            <w:vAlign w:val="bottom"/>
            <w:hideMark/>
          </w:tcPr>
          <w:p w14:paraId="288D2659"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single" w:sz="4" w:space="0" w:color="ADD6EA"/>
              <w:right w:val="nil"/>
            </w:tcBorders>
            <w:shd w:val="clear" w:color="000000" w:fill="FFFFFF"/>
            <w:vAlign w:val="bottom"/>
            <w:hideMark/>
          </w:tcPr>
          <w:p w14:paraId="4A04FE3F"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3C9A8F87"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10810351"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4068E2AA"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12CC5BFE"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FFFFFF"/>
            <w:vAlign w:val="bottom"/>
            <w:hideMark/>
          </w:tcPr>
          <w:p w14:paraId="44F1D6A5"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0CC45AB3" w14:textId="77777777" w:rsidR="00292FAC" w:rsidRPr="00F34024" w:rsidRDefault="00292FAC" w:rsidP="001C75D8">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34024">
              <w:rPr>
                <w:rFonts w:ascii="Open Sans Light" w:eastAsia="Times New Roman" w:hAnsi="Open Sans Light" w:cs="Open Sans Light"/>
                <w:color w:val="000000"/>
                <w:sz w:val="16"/>
                <w:szCs w:val="16"/>
                <w:lang w:eastAsia="en-AU"/>
              </w:rPr>
              <w:t>-</w:t>
            </w:r>
          </w:p>
        </w:tc>
      </w:tr>
    </w:tbl>
    <w:p w14:paraId="7B4CA3E4" w14:textId="6EBA40B1" w:rsidR="00292FAC" w:rsidRDefault="00292FAC" w:rsidP="001C75D8">
      <w:pPr>
        <w:pStyle w:val="CGC2025TableNote"/>
      </w:pPr>
      <w:r>
        <w:t>Source: ABS 2021 Census</w:t>
      </w:r>
      <w:r w:rsidR="00AA0813">
        <w:t>.</w:t>
      </w:r>
    </w:p>
    <w:p w14:paraId="46385CA3" w14:textId="64A90710" w:rsidR="00292FAC" w:rsidRDefault="00292FAC" w:rsidP="005E7A3C">
      <w:pPr>
        <w:pStyle w:val="CGC2025Caption"/>
        <w:keepNext/>
        <w:ind w:left="1440" w:hanging="1440"/>
      </w:pPr>
      <w:r>
        <w:lastRenderedPageBreak/>
        <w:t xml:space="preserve">Table </w:t>
      </w:r>
      <w:r w:rsidR="00EA6ABF">
        <w:t>8</w:t>
      </w:r>
      <w:r>
        <w:tab/>
      </w:r>
      <w:r w:rsidR="00B25E57">
        <w:t xml:space="preserve">Rates </w:t>
      </w:r>
      <w:r>
        <w:t>of severe overcrowding inner regional, by socio</w:t>
      </w:r>
      <w:r>
        <w:noBreakHyphen/>
        <w:t>demographic group and state, 2021</w:t>
      </w:r>
    </w:p>
    <w:tbl>
      <w:tblPr>
        <w:tblW w:w="8920" w:type="dxa"/>
        <w:tblLook w:val="04A0" w:firstRow="1" w:lastRow="0" w:firstColumn="1" w:lastColumn="0" w:noHBand="0" w:noVBand="1"/>
      </w:tblPr>
      <w:tblGrid>
        <w:gridCol w:w="2360"/>
        <w:gridCol w:w="820"/>
        <w:gridCol w:w="820"/>
        <w:gridCol w:w="820"/>
        <w:gridCol w:w="820"/>
        <w:gridCol w:w="820"/>
        <w:gridCol w:w="820"/>
        <w:gridCol w:w="820"/>
        <w:gridCol w:w="820"/>
      </w:tblGrid>
      <w:tr w:rsidR="00292FAC" w:rsidRPr="009869CA" w14:paraId="66805C37" w14:textId="77777777">
        <w:trPr>
          <w:trHeight w:val="379"/>
        </w:trPr>
        <w:tc>
          <w:tcPr>
            <w:tcW w:w="2360" w:type="dxa"/>
            <w:tcBorders>
              <w:top w:val="nil"/>
              <w:left w:val="nil"/>
              <w:bottom w:val="nil"/>
              <w:right w:val="nil"/>
            </w:tcBorders>
            <w:shd w:val="clear" w:color="000000" w:fill="006991"/>
            <w:vAlign w:val="center"/>
            <w:hideMark/>
          </w:tcPr>
          <w:p w14:paraId="7B46A7F6" w14:textId="77777777" w:rsidR="00292FAC" w:rsidRPr="009869CA" w:rsidRDefault="00292FAC">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820" w:type="dxa"/>
            <w:tcBorders>
              <w:top w:val="nil"/>
              <w:left w:val="nil"/>
              <w:bottom w:val="nil"/>
              <w:right w:val="nil"/>
            </w:tcBorders>
            <w:shd w:val="clear" w:color="000000" w:fill="006991"/>
            <w:vAlign w:val="center"/>
            <w:hideMark/>
          </w:tcPr>
          <w:p w14:paraId="60A684E5" w14:textId="77777777" w:rsidR="00292FAC" w:rsidRPr="009869CA" w:rsidRDefault="00292FAC">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869CA">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6F454132" w14:textId="77777777" w:rsidR="00292FAC" w:rsidRPr="009869CA" w:rsidRDefault="00292FAC">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869CA">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4EE30C9B" w14:textId="77777777" w:rsidR="00292FAC" w:rsidRPr="009869CA" w:rsidRDefault="00292FAC">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869CA">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77677072" w14:textId="77777777" w:rsidR="00292FAC" w:rsidRPr="009869CA" w:rsidRDefault="00292FAC">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869CA">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5651B2F5" w14:textId="77777777" w:rsidR="00292FAC" w:rsidRPr="009869CA" w:rsidRDefault="00292FAC">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869CA">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174B506D" w14:textId="77777777" w:rsidR="00292FAC" w:rsidRPr="009869CA" w:rsidRDefault="00292FAC">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869CA">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3F591CE5" w14:textId="77777777" w:rsidR="00292FAC" w:rsidRPr="009869CA" w:rsidRDefault="00292FAC">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869CA">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58B658FA" w14:textId="77777777" w:rsidR="00292FAC" w:rsidRPr="009869CA" w:rsidRDefault="00292FAC">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869CA">
              <w:rPr>
                <w:rFonts w:ascii="Open Sans Semibold" w:eastAsia="Times New Roman" w:hAnsi="Open Sans Semibold" w:cs="Open Sans Semibold"/>
                <w:color w:val="FFFFFF"/>
                <w:sz w:val="16"/>
                <w:szCs w:val="16"/>
                <w:lang w:eastAsia="en-AU"/>
              </w:rPr>
              <w:t>NT</w:t>
            </w:r>
          </w:p>
        </w:tc>
      </w:tr>
      <w:tr w:rsidR="00292FAC" w:rsidRPr="009869CA" w14:paraId="120001EA" w14:textId="77777777">
        <w:trPr>
          <w:trHeight w:val="319"/>
        </w:trPr>
        <w:tc>
          <w:tcPr>
            <w:tcW w:w="2360" w:type="dxa"/>
            <w:tcBorders>
              <w:top w:val="single" w:sz="4" w:space="0" w:color="ADD6EA"/>
              <w:left w:val="nil"/>
              <w:bottom w:val="nil"/>
              <w:right w:val="nil"/>
            </w:tcBorders>
            <w:shd w:val="clear" w:color="000000" w:fill="FFFFFF"/>
            <w:vAlign w:val="bottom"/>
            <w:hideMark/>
          </w:tcPr>
          <w:p w14:paraId="655E8B4F" w14:textId="77777777" w:rsidR="00292FAC" w:rsidRPr="009869CA" w:rsidRDefault="00292FAC">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Low-income/First Nations</w:t>
            </w:r>
          </w:p>
        </w:tc>
        <w:tc>
          <w:tcPr>
            <w:tcW w:w="820" w:type="dxa"/>
            <w:tcBorders>
              <w:top w:val="single" w:sz="4" w:space="0" w:color="ADD6EA"/>
              <w:left w:val="nil"/>
              <w:bottom w:val="nil"/>
              <w:right w:val="nil"/>
            </w:tcBorders>
            <w:shd w:val="clear" w:color="000000" w:fill="FFFFFF"/>
            <w:vAlign w:val="bottom"/>
            <w:hideMark/>
          </w:tcPr>
          <w:p w14:paraId="77135406"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3B8B73D3"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6FE7330D"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0.3%</w:t>
            </w:r>
          </w:p>
        </w:tc>
        <w:tc>
          <w:tcPr>
            <w:tcW w:w="820" w:type="dxa"/>
            <w:tcBorders>
              <w:top w:val="single" w:sz="4" w:space="0" w:color="ADD6EA"/>
              <w:left w:val="nil"/>
              <w:bottom w:val="nil"/>
              <w:right w:val="nil"/>
            </w:tcBorders>
            <w:shd w:val="clear" w:color="000000" w:fill="FFFFFF"/>
            <w:vAlign w:val="bottom"/>
            <w:hideMark/>
          </w:tcPr>
          <w:p w14:paraId="139E6BEB"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3F9EC2F4"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48A9E767"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391F2F50"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C66E22E"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w:t>
            </w:r>
          </w:p>
        </w:tc>
      </w:tr>
      <w:tr w:rsidR="00292FAC" w:rsidRPr="009869CA" w14:paraId="1D844B90" w14:textId="77777777">
        <w:trPr>
          <w:trHeight w:val="319"/>
        </w:trPr>
        <w:tc>
          <w:tcPr>
            <w:tcW w:w="2360" w:type="dxa"/>
            <w:tcBorders>
              <w:top w:val="single" w:sz="4" w:space="0" w:color="ADD6EA"/>
              <w:left w:val="nil"/>
              <w:bottom w:val="nil"/>
              <w:right w:val="nil"/>
            </w:tcBorders>
            <w:shd w:val="clear" w:color="000000" w:fill="FFFFFF"/>
            <w:vAlign w:val="bottom"/>
            <w:hideMark/>
          </w:tcPr>
          <w:p w14:paraId="25562395" w14:textId="77777777" w:rsidR="00292FAC" w:rsidRPr="009869CA" w:rsidRDefault="00292FAC">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Low-income/non-Indigenous</w:t>
            </w:r>
          </w:p>
        </w:tc>
        <w:tc>
          <w:tcPr>
            <w:tcW w:w="820" w:type="dxa"/>
            <w:tcBorders>
              <w:top w:val="single" w:sz="4" w:space="0" w:color="ADD6EA"/>
              <w:left w:val="nil"/>
              <w:bottom w:val="nil"/>
              <w:right w:val="nil"/>
            </w:tcBorders>
            <w:shd w:val="clear" w:color="000000" w:fill="FFFFFF"/>
            <w:vAlign w:val="bottom"/>
            <w:hideMark/>
          </w:tcPr>
          <w:p w14:paraId="749FE018"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3464F82C"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209188C7"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0A38F723"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466DC013"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B6E61E1"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4ADF1CB"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3021D8BB"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w:t>
            </w:r>
          </w:p>
        </w:tc>
      </w:tr>
      <w:tr w:rsidR="00292FAC" w:rsidRPr="009869CA" w14:paraId="5F3FAAA2" w14:textId="77777777">
        <w:trPr>
          <w:trHeight w:val="319"/>
        </w:trPr>
        <w:tc>
          <w:tcPr>
            <w:tcW w:w="2360" w:type="dxa"/>
            <w:tcBorders>
              <w:top w:val="single" w:sz="4" w:space="0" w:color="ADD6EA"/>
              <w:left w:val="nil"/>
              <w:bottom w:val="nil"/>
              <w:right w:val="nil"/>
            </w:tcBorders>
            <w:shd w:val="clear" w:color="000000" w:fill="FFFFFF"/>
            <w:vAlign w:val="bottom"/>
            <w:hideMark/>
          </w:tcPr>
          <w:p w14:paraId="77538DAE" w14:textId="77777777" w:rsidR="00292FAC" w:rsidRPr="009869CA" w:rsidRDefault="00292FAC">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High income/First Nations</w:t>
            </w:r>
          </w:p>
        </w:tc>
        <w:tc>
          <w:tcPr>
            <w:tcW w:w="820" w:type="dxa"/>
            <w:tcBorders>
              <w:top w:val="single" w:sz="4" w:space="0" w:color="ADD6EA"/>
              <w:left w:val="nil"/>
              <w:bottom w:val="nil"/>
              <w:right w:val="nil"/>
            </w:tcBorders>
            <w:shd w:val="clear" w:color="000000" w:fill="FFFFFF"/>
            <w:vAlign w:val="bottom"/>
            <w:hideMark/>
          </w:tcPr>
          <w:p w14:paraId="5B6F3928"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54F09191"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2C0D3FF1"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135AD958"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F50C1D0"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8280EEB"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33D13CB7"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D130F52"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w:t>
            </w:r>
          </w:p>
        </w:tc>
      </w:tr>
      <w:tr w:rsidR="00292FAC" w:rsidRPr="009869CA" w14:paraId="7A905376" w14:textId="77777777">
        <w:trPr>
          <w:trHeight w:val="319"/>
        </w:trPr>
        <w:tc>
          <w:tcPr>
            <w:tcW w:w="2360" w:type="dxa"/>
            <w:tcBorders>
              <w:top w:val="single" w:sz="4" w:space="0" w:color="ADD6EA"/>
              <w:left w:val="nil"/>
              <w:bottom w:val="single" w:sz="4" w:space="0" w:color="ADD6EA"/>
              <w:right w:val="nil"/>
            </w:tcBorders>
            <w:shd w:val="clear" w:color="000000" w:fill="FFFFFF"/>
            <w:vAlign w:val="bottom"/>
            <w:hideMark/>
          </w:tcPr>
          <w:p w14:paraId="2881EDC8" w14:textId="77777777" w:rsidR="00292FAC" w:rsidRPr="009869CA" w:rsidRDefault="00292FAC">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High income/non-Indigenous</w:t>
            </w:r>
          </w:p>
        </w:tc>
        <w:tc>
          <w:tcPr>
            <w:tcW w:w="820" w:type="dxa"/>
            <w:tcBorders>
              <w:top w:val="single" w:sz="4" w:space="0" w:color="ADD6EA"/>
              <w:left w:val="nil"/>
              <w:bottom w:val="single" w:sz="4" w:space="0" w:color="ADD6EA"/>
              <w:right w:val="nil"/>
            </w:tcBorders>
            <w:shd w:val="clear" w:color="000000" w:fill="FFFFFF"/>
            <w:vAlign w:val="bottom"/>
            <w:hideMark/>
          </w:tcPr>
          <w:p w14:paraId="1B8BDED6"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5FF06EAA"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25D24F12"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10301AD1"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20817D06"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22A61264"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581C5D8B"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533D87D2" w14:textId="77777777" w:rsidR="00292FAC" w:rsidRPr="009869CA" w:rsidRDefault="00292FAC">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9869CA">
              <w:rPr>
                <w:rFonts w:ascii="Open Sans Light" w:eastAsia="Times New Roman" w:hAnsi="Open Sans Light" w:cs="Open Sans Light"/>
                <w:color w:val="000000"/>
                <w:sz w:val="16"/>
                <w:szCs w:val="16"/>
                <w:lang w:eastAsia="en-AU"/>
              </w:rPr>
              <w:t>-</w:t>
            </w:r>
          </w:p>
        </w:tc>
      </w:tr>
    </w:tbl>
    <w:p w14:paraId="0DDEBD59" w14:textId="5A48D61B" w:rsidR="00292FAC" w:rsidRDefault="00292FAC" w:rsidP="00292FAC">
      <w:pPr>
        <w:pStyle w:val="CGC2025TableNote"/>
      </w:pPr>
      <w:r>
        <w:t>Source: ABS 2021 Census</w:t>
      </w:r>
      <w:r w:rsidR="0010478B">
        <w:t>.</w:t>
      </w:r>
    </w:p>
    <w:p w14:paraId="3512ACF7" w14:textId="413E3F92" w:rsidR="00292FAC" w:rsidRDefault="00292FAC" w:rsidP="005E7A3C">
      <w:pPr>
        <w:pStyle w:val="CGC2025Caption"/>
        <w:ind w:left="1440" w:hanging="1440"/>
      </w:pPr>
      <w:r>
        <w:t xml:space="preserve">Table </w:t>
      </w:r>
      <w:r w:rsidR="00EA6ABF">
        <w:t>9</w:t>
      </w:r>
      <w:r>
        <w:tab/>
        <w:t>Rates of severe overcrowding outer regional, by socio</w:t>
      </w:r>
      <w:r>
        <w:noBreakHyphen/>
        <w:t>demographic group and state, 2021</w:t>
      </w:r>
    </w:p>
    <w:tbl>
      <w:tblPr>
        <w:tblW w:w="8920" w:type="dxa"/>
        <w:tblLook w:val="04A0" w:firstRow="1" w:lastRow="0" w:firstColumn="1" w:lastColumn="0" w:noHBand="0" w:noVBand="1"/>
      </w:tblPr>
      <w:tblGrid>
        <w:gridCol w:w="2360"/>
        <w:gridCol w:w="820"/>
        <w:gridCol w:w="820"/>
        <w:gridCol w:w="820"/>
        <w:gridCol w:w="820"/>
        <w:gridCol w:w="820"/>
        <w:gridCol w:w="820"/>
        <w:gridCol w:w="820"/>
        <w:gridCol w:w="820"/>
      </w:tblGrid>
      <w:tr w:rsidR="00292FAC" w:rsidRPr="00462A39" w14:paraId="134C0043" w14:textId="77777777">
        <w:trPr>
          <w:trHeight w:val="379"/>
        </w:trPr>
        <w:tc>
          <w:tcPr>
            <w:tcW w:w="2360" w:type="dxa"/>
            <w:tcBorders>
              <w:top w:val="nil"/>
              <w:left w:val="nil"/>
              <w:bottom w:val="nil"/>
              <w:right w:val="nil"/>
            </w:tcBorders>
            <w:shd w:val="clear" w:color="000000" w:fill="006991"/>
            <w:vAlign w:val="center"/>
            <w:hideMark/>
          </w:tcPr>
          <w:p w14:paraId="28824AF6" w14:textId="77777777" w:rsidR="00292FAC" w:rsidRPr="00462A39" w:rsidRDefault="00292FAC">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820" w:type="dxa"/>
            <w:tcBorders>
              <w:top w:val="nil"/>
              <w:left w:val="nil"/>
              <w:bottom w:val="nil"/>
              <w:right w:val="nil"/>
            </w:tcBorders>
            <w:shd w:val="clear" w:color="000000" w:fill="006991"/>
            <w:vAlign w:val="center"/>
            <w:hideMark/>
          </w:tcPr>
          <w:p w14:paraId="298280EE" w14:textId="77777777" w:rsidR="00292FAC" w:rsidRPr="00462A39"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62A39">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0E9901D5" w14:textId="77777777" w:rsidR="00292FAC" w:rsidRPr="00462A39"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62A39">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1EE7F3EA" w14:textId="77777777" w:rsidR="00292FAC" w:rsidRPr="00462A39"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62A39">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43851FF0" w14:textId="77777777" w:rsidR="00292FAC" w:rsidRPr="00462A39"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62A39">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65272269" w14:textId="77777777" w:rsidR="00292FAC" w:rsidRPr="00462A39"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62A39">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29600963" w14:textId="77777777" w:rsidR="00292FAC" w:rsidRPr="00462A39"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62A39">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6454DC60" w14:textId="77777777" w:rsidR="00292FAC" w:rsidRPr="00462A39"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62A39">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26973EAB" w14:textId="77777777" w:rsidR="00292FAC" w:rsidRPr="00462A39" w:rsidRDefault="00292FA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62A39">
              <w:rPr>
                <w:rFonts w:ascii="Open Sans Semibold" w:eastAsia="Times New Roman" w:hAnsi="Open Sans Semibold" w:cs="Open Sans Semibold"/>
                <w:color w:val="FFFFFF"/>
                <w:sz w:val="16"/>
                <w:szCs w:val="16"/>
                <w:lang w:eastAsia="en-AU"/>
              </w:rPr>
              <w:t>NT</w:t>
            </w:r>
          </w:p>
        </w:tc>
      </w:tr>
      <w:tr w:rsidR="00292FAC" w:rsidRPr="00462A39" w14:paraId="5BA60CA1" w14:textId="77777777">
        <w:trPr>
          <w:trHeight w:val="319"/>
        </w:trPr>
        <w:tc>
          <w:tcPr>
            <w:tcW w:w="2360" w:type="dxa"/>
            <w:tcBorders>
              <w:top w:val="single" w:sz="4" w:space="0" w:color="ADD6EA"/>
              <w:left w:val="nil"/>
              <w:bottom w:val="nil"/>
              <w:right w:val="nil"/>
            </w:tcBorders>
            <w:shd w:val="clear" w:color="000000" w:fill="FFFFFF"/>
            <w:vAlign w:val="bottom"/>
            <w:hideMark/>
          </w:tcPr>
          <w:p w14:paraId="65B2D185" w14:textId="77777777" w:rsidR="00292FAC" w:rsidRPr="00462A39" w:rsidRDefault="00292FAC">
            <w:pPr>
              <w:tabs>
                <w:tab w:val="clear" w:pos="567"/>
              </w:tabs>
              <w:spacing w:before="0" w:line="240" w:lineRule="auto"/>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Low-income/First Nations</w:t>
            </w:r>
          </w:p>
        </w:tc>
        <w:tc>
          <w:tcPr>
            <w:tcW w:w="820" w:type="dxa"/>
            <w:tcBorders>
              <w:top w:val="single" w:sz="4" w:space="0" w:color="ADD6EA"/>
              <w:left w:val="nil"/>
              <w:bottom w:val="nil"/>
              <w:right w:val="nil"/>
            </w:tcBorders>
            <w:shd w:val="clear" w:color="000000" w:fill="FFFFFF"/>
            <w:vAlign w:val="bottom"/>
            <w:hideMark/>
          </w:tcPr>
          <w:p w14:paraId="181CCA96"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2394AC38"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99F9E03"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0.6%</w:t>
            </w:r>
          </w:p>
        </w:tc>
        <w:tc>
          <w:tcPr>
            <w:tcW w:w="820" w:type="dxa"/>
            <w:tcBorders>
              <w:top w:val="single" w:sz="4" w:space="0" w:color="ADD6EA"/>
              <w:left w:val="nil"/>
              <w:bottom w:val="nil"/>
              <w:right w:val="nil"/>
            </w:tcBorders>
            <w:shd w:val="clear" w:color="000000" w:fill="FFFFFF"/>
            <w:vAlign w:val="bottom"/>
            <w:hideMark/>
          </w:tcPr>
          <w:p w14:paraId="1B7D9F60"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0.5%</w:t>
            </w:r>
          </w:p>
        </w:tc>
        <w:tc>
          <w:tcPr>
            <w:tcW w:w="820" w:type="dxa"/>
            <w:tcBorders>
              <w:top w:val="single" w:sz="4" w:space="0" w:color="ADD6EA"/>
              <w:left w:val="nil"/>
              <w:bottom w:val="nil"/>
              <w:right w:val="nil"/>
            </w:tcBorders>
            <w:shd w:val="clear" w:color="000000" w:fill="FFFFFF"/>
            <w:vAlign w:val="bottom"/>
            <w:hideMark/>
          </w:tcPr>
          <w:p w14:paraId="3D57E7E3"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0.4%</w:t>
            </w:r>
          </w:p>
        </w:tc>
        <w:tc>
          <w:tcPr>
            <w:tcW w:w="820" w:type="dxa"/>
            <w:tcBorders>
              <w:top w:val="single" w:sz="4" w:space="0" w:color="ADD6EA"/>
              <w:left w:val="nil"/>
              <w:bottom w:val="nil"/>
              <w:right w:val="nil"/>
            </w:tcBorders>
            <w:shd w:val="clear" w:color="000000" w:fill="FFFFFF"/>
            <w:vAlign w:val="bottom"/>
            <w:hideMark/>
          </w:tcPr>
          <w:p w14:paraId="7067CA46"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8C7E553"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07B591C6"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0.5%</w:t>
            </w:r>
          </w:p>
        </w:tc>
      </w:tr>
      <w:tr w:rsidR="00292FAC" w:rsidRPr="00462A39" w14:paraId="005A2794" w14:textId="77777777">
        <w:trPr>
          <w:trHeight w:val="319"/>
        </w:trPr>
        <w:tc>
          <w:tcPr>
            <w:tcW w:w="2360" w:type="dxa"/>
            <w:tcBorders>
              <w:top w:val="single" w:sz="4" w:space="0" w:color="ADD6EA"/>
              <w:left w:val="nil"/>
              <w:bottom w:val="nil"/>
              <w:right w:val="nil"/>
            </w:tcBorders>
            <w:shd w:val="clear" w:color="000000" w:fill="FFFFFF"/>
            <w:vAlign w:val="bottom"/>
            <w:hideMark/>
          </w:tcPr>
          <w:p w14:paraId="0C3F6312" w14:textId="77777777" w:rsidR="00292FAC" w:rsidRPr="00462A39" w:rsidRDefault="00292FAC">
            <w:pPr>
              <w:tabs>
                <w:tab w:val="clear" w:pos="567"/>
              </w:tabs>
              <w:spacing w:before="0" w:line="240" w:lineRule="auto"/>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Low-income/non-Indigenous</w:t>
            </w:r>
          </w:p>
        </w:tc>
        <w:tc>
          <w:tcPr>
            <w:tcW w:w="820" w:type="dxa"/>
            <w:tcBorders>
              <w:top w:val="single" w:sz="4" w:space="0" w:color="ADD6EA"/>
              <w:left w:val="nil"/>
              <w:bottom w:val="nil"/>
              <w:right w:val="nil"/>
            </w:tcBorders>
            <w:shd w:val="clear" w:color="000000" w:fill="FFFFFF"/>
            <w:vAlign w:val="bottom"/>
            <w:hideMark/>
          </w:tcPr>
          <w:p w14:paraId="76C85033"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DB9AA3C"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6C4CDC9"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71779F3"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3AAE48A1"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4B250ACD"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671C2ACB"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3EA2A329"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r>
      <w:tr w:rsidR="00292FAC" w:rsidRPr="00462A39" w14:paraId="6082EA3D" w14:textId="77777777">
        <w:trPr>
          <w:trHeight w:val="319"/>
        </w:trPr>
        <w:tc>
          <w:tcPr>
            <w:tcW w:w="2360" w:type="dxa"/>
            <w:tcBorders>
              <w:top w:val="single" w:sz="4" w:space="0" w:color="ADD6EA"/>
              <w:left w:val="nil"/>
              <w:bottom w:val="nil"/>
              <w:right w:val="nil"/>
            </w:tcBorders>
            <w:shd w:val="clear" w:color="000000" w:fill="FFFFFF"/>
            <w:vAlign w:val="bottom"/>
            <w:hideMark/>
          </w:tcPr>
          <w:p w14:paraId="1DACF76A" w14:textId="77777777" w:rsidR="00292FAC" w:rsidRPr="00462A39" w:rsidRDefault="00292FAC">
            <w:pPr>
              <w:tabs>
                <w:tab w:val="clear" w:pos="567"/>
              </w:tabs>
              <w:spacing w:before="0" w:line="240" w:lineRule="auto"/>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High income/First Nations</w:t>
            </w:r>
          </w:p>
        </w:tc>
        <w:tc>
          <w:tcPr>
            <w:tcW w:w="820" w:type="dxa"/>
            <w:tcBorders>
              <w:top w:val="single" w:sz="4" w:space="0" w:color="ADD6EA"/>
              <w:left w:val="nil"/>
              <w:bottom w:val="nil"/>
              <w:right w:val="nil"/>
            </w:tcBorders>
            <w:shd w:val="clear" w:color="000000" w:fill="FFFFFF"/>
            <w:vAlign w:val="bottom"/>
            <w:hideMark/>
          </w:tcPr>
          <w:p w14:paraId="0F9C5C27"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7C880055"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0881B79D"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0.2%</w:t>
            </w:r>
          </w:p>
        </w:tc>
        <w:tc>
          <w:tcPr>
            <w:tcW w:w="820" w:type="dxa"/>
            <w:tcBorders>
              <w:top w:val="single" w:sz="4" w:space="0" w:color="ADD6EA"/>
              <w:left w:val="nil"/>
              <w:bottom w:val="nil"/>
              <w:right w:val="nil"/>
            </w:tcBorders>
            <w:shd w:val="clear" w:color="000000" w:fill="FFFFFF"/>
            <w:vAlign w:val="bottom"/>
            <w:hideMark/>
          </w:tcPr>
          <w:p w14:paraId="736DC9E3"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0.2%</w:t>
            </w:r>
          </w:p>
        </w:tc>
        <w:tc>
          <w:tcPr>
            <w:tcW w:w="820" w:type="dxa"/>
            <w:tcBorders>
              <w:top w:val="single" w:sz="4" w:space="0" w:color="ADD6EA"/>
              <w:left w:val="nil"/>
              <w:bottom w:val="nil"/>
              <w:right w:val="nil"/>
            </w:tcBorders>
            <w:shd w:val="clear" w:color="000000" w:fill="FFFFFF"/>
            <w:vAlign w:val="bottom"/>
            <w:hideMark/>
          </w:tcPr>
          <w:p w14:paraId="55E71116"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C874A24"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0D34160E"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223EDBCC"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0.1%</w:t>
            </w:r>
          </w:p>
        </w:tc>
      </w:tr>
      <w:tr w:rsidR="00292FAC" w:rsidRPr="00462A39" w14:paraId="5CBF3081" w14:textId="77777777">
        <w:trPr>
          <w:trHeight w:val="319"/>
        </w:trPr>
        <w:tc>
          <w:tcPr>
            <w:tcW w:w="2360" w:type="dxa"/>
            <w:tcBorders>
              <w:top w:val="single" w:sz="4" w:space="0" w:color="ADD6EA"/>
              <w:left w:val="nil"/>
              <w:bottom w:val="single" w:sz="4" w:space="0" w:color="ADD6EA"/>
              <w:right w:val="nil"/>
            </w:tcBorders>
            <w:shd w:val="clear" w:color="000000" w:fill="FFFFFF"/>
            <w:vAlign w:val="bottom"/>
            <w:hideMark/>
          </w:tcPr>
          <w:p w14:paraId="19610ACB" w14:textId="77777777" w:rsidR="00292FAC" w:rsidRPr="00462A39" w:rsidRDefault="00292FAC">
            <w:pPr>
              <w:tabs>
                <w:tab w:val="clear" w:pos="567"/>
              </w:tabs>
              <w:spacing w:before="0" w:line="240" w:lineRule="auto"/>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High income/non-Indigenous</w:t>
            </w:r>
          </w:p>
        </w:tc>
        <w:tc>
          <w:tcPr>
            <w:tcW w:w="820" w:type="dxa"/>
            <w:tcBorders>
              <w:top w:val="single" w:sz="4" w:space="0" w:color="ADD6EA"/>
              <w:left w:val="nil"/>
              <w:bottom w:val="single" w:sz="4" w:space="0" w:color="ADD6EA"/>
              <w:right w:val="nil"/>
            </w:tcBorders>
            <w:shd w:val="clear" w:color="000000" w:fill="FFFFFF"/>
            <w:vAlign w:val="bottom"/>
            <w:hideMark/>
          </w:tcPr>
          <w:p w14:paraId="3AE7BF0D"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67991D21"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77FF58CC"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19FE73D6"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51AE979B"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31FAFE5C"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04FCDC3A"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FFFFFF"/>
            <w:vAlign w:val="bottom"/>
            <w:hideMark/>
          </w:tcPr>
          <w:p w14:paraId="73995783" w14:textId="77777777" w:rsidR="00292FAC" w:rsidRPr="00462A39" w:rsidRDefault="00292FA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62A39">
              <w:rPr>
                <w:rFonts w:ascii="Open Sans Light" w:eastAsia="Times New Roman" w:hAnsi="Open Sans Light" w:cs="Open Sans Light"/>
                <w:color w:val="000000"/>
                <w:sz w:val="16"/>
                <w:szCs w:val="16"/>
                <w:lang w:eastAsia="en-AU"/>
              </w:rPr>
              <w:t>0.0%</w:t>
            </w:r>
          </w:p>
        </w:tc>
      </w:tr>
    </w:tbl>
    <w:p w14:paraId="2DB49EB4" w14:textId="21F61A5C" w:rsidR="00292FAC" w:rsidRDefault="00292FAC" w:rsidP="00292FAC">
      <w:pPr>
        <w:pStyle w:val="CGC2025TableNote"/>
        <w:ind w:left="0" w:firstLine="0"/>
      </w:pPr>
      <w:r>
        <w:t xml:space="preserve"> Source: ABS 2021 Census</w:t>
      </w:r>
      <w:r w:rsidR="0010478B">
        <w:t>.</w:t>
      </w:r>
    </w:p>
    <w:p w14:paraId="05393111" w14:textId="4C5D82D6" w:rsidR="00292FAC" w:rsidRDefault="00292FAC" w:rsidP="009C5685">
      <w:pPr>
        <w:pStyle w:val="CGC2025Caption"/>
        <w:ind w:left="1440" w:hanging="1440"/>
      </w:pPr>
      <w:bookmarkStart w:id="32" w:name="_Hlk175667059"/>
      <w:r>
        <w:t xml:space="preserve">Table </w:t>
      </w:r>
      <w:r w:rsidR="009A684C">
        <w:t>1</w:t>
      </w:r>
      <w:r w:rsidR="00EA6ABF">
        <w:t>0</w:t>
      </w:r>
      <w:r>
        <w:tab/>
        <w:t>Rates of severe overcrowding remote areas, by socio</w:t>
      </w:r>
      <w:r>
        <w:noBreakHyphen/>
        <w:t>demographic group and state, 2021</w:t>
      </w:r>
    </w:p>
    <w:bookmarkEnd w:id="32"/>
    <w:tbl>
      <w:tblPr>
        <w:tblW w:w="8920" w:type="dxa"/>
        <w:tblLook w:val="04A0" w:firstRow="1" w:lastRow="0" w:firstColumn="1" w:lastColumn="0" w:noHBand="0" w:noVBand="1"/>
      </w:tblPr>
      <w:tblGrid>
        <w:gridCol w:w="2360"/>
        <w:gridCol w:w="820"/>
        <w:gridCol w:w="820"/>
        <w:gridCol w:w="820"/>
        <w:gridCol w:w="820"/>
        <w:gridCol w:w="820"/>
        <w:gridCol w:w="820"/>
        <w:gridCol w:w="820"/>
        <w:gridCol w:w="820"/>
      </w:tblGrid>
      <w:tr w:rsidR="00292FAC" w:rsidRPr="00430840" w14:paraId="4999DF5E" w14:textId="77777777">
        <w:trPr>
          <w:trHeight w:val="379"/>
        </w:trPr>
        <w:tc>
          <w:tcPr>
            <w:tcW w:w="2360" w:type="dxa"/>
            <w:tcBorders>
              <w:top w:val="nil"/>
              <w:left w:val="nil"/>
              <w:bottom w:val="nil"/>
              <w:right w:val="nil"/>
            </w:tcBorders>
            <w:shd w:val="clear" w:color="000000" w:fill="006991"/>
            <w:vAlign w:val="center"/>
            <w:hideMark/>
          </w:tcPr>
          <w:p w14:paraId="7E1C0C33" w14:textId="77777777" w:rsidR="00292FAC" w:rsidRPr="00430840" w:rsidRDefault="00292FAC" w:rsidP="009C5685">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820" w:type="dxa"/>
            <w:tcBorders>
              <w:top w:val="nil"/>
              <w:left w:val="nil"/>
              <w:bottom w:val="nil"/>
              <w:right w:val="nil"/>
            </w:tcBorders>
            <w:shd w:val="clear" w:color="000000" w:fill="006991"/>
            <w:vAlign w:val="center"/>
            <w:hideMark/>
          </w:tcPr>
          <w:p w14:paraId="150CF51E" w14:textId="77777777" w:rsidR="00292FAC" w:rsidRPr="00430840" w:rsidRDefault="00292FAC" w:rsidP="009C56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0840">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2D244BA7" w14:textId="77777777" w:rsidR="00292FAC" w:rsidRPr="00430840" w:rsidRDefault="00292FAC" w:rsidP="009C56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0840">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647711A5" w14:textId="77777777" w:rsidR="00292FAC" w:rsidRPr="00430840" w:rsidRDefault="00292FAC" w:rsidP="009C56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0840">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46ECC7D3" w14:textId="77777777" w:rsidR="00292FAC" w:rsidRPr="00430840" w:rsidRDefault="00292FAC" w:rsidP="009C56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0840">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04BABE2D" w14:textId="77777777" w:rsidR="00292FAC" w:rsidRPr="00430840" w:rsidRDefault="00292FAC" w:rsidP="009C56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0840">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0B1E73A2" w14:textId="77777777" w:rsidR="00292FAC" w:rsidRPr="00430840" w:rsidRDefault="00292FAC" w:rsidP="009C56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0840">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2A46B291" w14:textId="77777777" w:rsidR="00292FAC" w:rsidRPr="00430840" w:rsidRDefault="00292FAC" w:rsidP="009C56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0840">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753D3EA9" w14:textId="77777777" w:rsidR="00292FAC" w:rsidRPr="00430840" w:rsidRDefault="00292FAC" w:rsidP="009C56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0840">
              <w:rPr>
                <w:rFonts w:ascii="Open Sans Semibold" w:eastAsia="Times New Roman" w:hAnsi="Open Sans Semibold" w:cs="Open Sans Semibold"/>
                <w:color w:val="FFFFFF"/>
                <w:sz w:val="16"/>
                <w:szCs w:val="16"/>
                <w:lang w:eastAsia="en-AU"/>
              </w:rPr>
              <w:t>NT</w:t>
            </w:r>
          </w:p>
        </w:tc>
      </w:tr>
      <w:tr w:rsidR="00292FAC" w:rsidRPr="00430840" w14:paraId="37A55EF1" w14:textId="77777777">
        <w:trPr>
          <w:trHeight w:val="319"/>
        </w:trPr>
        <w:tc>
          <w:tcPr>
            <w:tcW w:w="2360" w:type="dxa"/>
            <w:tcBorders>
              <w:top w:val="single" w:sz="4" w:space="0" w:color="ADD6EA"/>
              <w:left w:val="nil"/>
              <w:bottom w:val="nil"/>
              <w:right w:val="nil"/>
            </w:tcBorders>
            <w:shd w:val="clear" w:color="000000" w:fill="FFFFFF"/>
            <w:vAlign w:val="bottom"/>
            <w:hideMark/>
          </w:tcPr>
          <w:p w14:paraId="2F1AEA4C" w14:textId="77777777" w:rsidR="00292FAC" w:rsidRPr="00430840" w:rsidRDefault="00292FAC" w:rsidP="009C5685">
            <w:pPr>
              <w:tabs>
                <w:tab w:val="clear" w:pos="567"/>
              </w:tabs>
              <w:spacing w:before="0" w:line="240" w:lineRule="auto"/>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Low-income/First Nations</w:t>
            </w:r>
          </w:p>
        </w:tc>
        <w:tc>
          <w:tcPr>
            <w:tcW w:w="820" w:type="dxa"/>
            <w:tcBorders>
              <w:top w:val="single" w:sz="4" w:space="0" w:color="ADD6EA"/>
              <w:left w:val="nil"/>
              <w:bottom w:val="nil"/>
              <w:right w:val="nil"/>
            </w:tcBorders>
            <w:shd w:val="clear" w:color="000000" w:fill="FFFFFF"/>
            <w:vAlign w:val="bottom"/>
            <w:hideMark/>
          </w:tcPr>
          <w:p w14:paraId="369B3496"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B3D2333"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37C4B05"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1.3%</w:t>
            </w:r>
          </w:p>
        </w:tc>
        <w:tc>
          <w:tcPr>
            <w:tcW w:w="820" w:type="dxa"/>
            <w:tcBorders>
              <w:top w:val="single" w:sz="4" w:space="0" w:color="ADD6EA"/>
              <w:left w:val="nil"/>
              <w:bottom w:val="nil"/>
              <w:right w:val="nil"/>
            </w:tcBorders>
            <w:shd w:val="clear" w:color="000000" w:fill="FFFFFF"/>
            <w:vAlign w:val="bottom"/>
            <w:hideMark/>
          </w:tcPr>
          <w:p w14:paraId="0256E373"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0.3%</w:t>
            </w:r>
          </w:p>
        </w:tc>
        <w:tc>
          <w:tcPr>
            <w:tcW w:w="820" w:type="dxa"/>
            <w:tcBorders>
              <w:top w:val="single" w:sz="4" w:space="0" w:color="ADD6EA"/>
              <w:left w:val="nil"/>
              <w:bottom w:val="nil"/>
              <w:right w:val="nil"/>
            </w:tcBorders>
            <w:shd w:val="clear" w:color="000000" w:fill="FFFFFF"/>
            <w:vAlign w:val="bottom"/>
            <w:hideMark/>
          </w:tcPr>
          <w:p w14:paraId="5A606427"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3EEF20E9"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6CE54F8"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649EB57D"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4.9%</w:t>
            </w:r>
          </w:p>
        </w:tc>
      </w:tr>
      <w:tr w:rsidR="00292FAC" w:rsidRPr="00430840" w14:paraId="6A24BEBD" w14:textId="77777777">
        <w:trPr>
          <w:trHeight w:val="319"/>
        </w:trPr>
        <w:tc>
          <w:tcPr>
            <w:tcW w:w="2360" w:type="dxa"/>
            <w:tcBorders>
              <w:top w:val="single" w:sz="4" w:space="0" w:color="ADD6EA"/>
              <w:left w:val="nil"/>
              <w:bottom w:val="nil"/>
              <w:right w:val="nil"/>
            </w:tcBorders>
            <w:shd w:val="clear" w:color="000000" w:fill="FFFFFF"/>
            <w:vAlign w:val="bottom"/>
            <w:hideMark/>
          </w:tcPr>
          <w:p w14:paraId="5E3817EB" w14:textId="77777777" w:rsidR="00292FAC" w:rsidRPr="00430840" w:rsidRDefault="00292FAC" w:rsidP="009C5685">
            <w:pPr>
              <w:tabs>
                <w:tab w:val="clear" w:pos="567"/>
              </w:tabs>
              <w:spacing w:before="0" w:line="240" w:lineRule="auto"/>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Low-income/non-Indigenous</w:t>
            </w:r>
          </w:p>
        </w:tc>
        <w:tc>
          <w:tcPr>
            <w:tcW w:w="820" w:type="dxa"/>
            <w:tcBorders>
              <w:top w:val="single" w:sz="4" w:space="0" w:color="ADD6EA"/>
              <w:left w:val="nil"/>
              <w:bottom w:val="nil"/>
              <w:right w:val="nil"/>
            </w:tcBorders>
            <w:shd w:val="clear" w:color="000000" w:fill="FFFFFF"/>
            <w:vAlign w:val="bottom"/>
            <w:hideMark/>
          </w:tcPr>
          <w:p w14:paraId="28FA8071"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2D1E425F"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CE50FBF"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nil"/>
              <w:right w:val="nil"/>
            </w:tcBorders>
            <w:shd w:val="clear" w:color="000000" w:fill="FFFFFF"/>
            <w:vAlign w:val="bottom"/>
            <w:hideMark/>
          </w:tcPr>
          <w:p w14:paraId="7A9A1F66"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05B38691"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33E1B8D"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0B3D6E1"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5E47235E"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r>
      <w:tr w:rsidR="00292FAC" w:rsidRPr="00430840" w14:paraId="4293C709" w14:textId="77777777">
        <w:trPr>
          <w:trHeight w:val="319"/>
        </w:trPr>
        <w:tc>
          <w:tcPr>
            <w:tcW w:w="2360" w:type="dxa"/>
            <w:tcBorders>
              <w:top w:val="single" w:sz="4" w:space="0" w:color="ADD6EA"/>
              <w:left w:val="nil"/>
              <w:bottom w:val="nil"/>
              <w:right w:val="nil"/>
            </w:tcBorders>
            <w:shd w:val="clear" w:color="000000" w:fill="FFFFFF"/>
            <w:vAlign w:val="bottom"/>
            <w:hideMark/>
          </w:tcPr>
          <w:p w14:paraId="1EB64097" w14:textId="77777777" w:rsidR="00292FAC" w:rsidRPr="00430840" w:rsidRDefault="00292FAC" w:rsidP="009C5685">
            <w:pPr>
              <w:tabs>
                <w:tab w:val="clear" w:pos="567"/>
              </w:tabs>
              <w:spacing w:before="0" w:line="240" w:lineRule="auto"/>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High income/First Nations</w:t>
            </w:r>
          </w:p>
        </w:tc>
        <w:tc>
          <w:tcPr>
            <w:tcW w:w="820" w:type="dxa"/>
            <w:tcBorders>
              <w:top w:val="single" w:sz="4" w:space="0" w:color="ADD6EA"/>
              <w:left w:val="nil"/>
              <w:bottom w:val="nil"/>
              <w:right w:val="nil"/>
            </w:tcBorders>
            <w:shd w:val="clear" w:color="000000" w:fill="FFFFFF"/>
            <w:vAlign w:val="bottom"/>
            <w:hideMark/>
          </w:tcPr>
          <w:p w14:paraId="50D891DC"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F6076D2"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2BB1E38"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0.4%</w:t>
            </w:r>
          </w:p>
        </w:tc>
        <w:tc>
          <w:tcPr>
            <w:tcW w:w="820" w:type="dxa"/>
            <w:tcBorders>
              <w:top w:val="single" w:sz="4" w:space="0" w:color="ADD6EA"/>
              <w:left w:val="nil"/>
              <w:bottom w:val="nil"/>
              <w:right w:val="nil"/>
            </w:tcBorders>
            <w:shd w:val="clear" w:color="000000" w:fill="FFFFFF"/>
            <w:vAlign w:val="bottom"/>
            <w:hideMark/>
          </w:tcPr>
          <w:p w14:paraId="6F833291"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0.3%</w:t>
            </w:r>
          </w:p>
        </w:tc>
        <w:tc>
          <w:tcPr>
            <w:tcW w:w="820" w:type="dxa"/>
            <w:tcBorders>
              <w:top w:val="single" w:sz="4" w:space="0" w:color="ADD6EA"/>
              <w:left w:val="nil"/>
              <w:bottom w:val="nil"/>
              <w:right w:val="nil"/>
            </w:tcBorders>
            <w:shd w:val="clear" w:color="000000" w:fill="FFFFFF"/>
            <w:vAlign w:val="bottom"/>
            <w:hideMark/>
          </w:tcPr>
          <w:p w14:paraId="1737D7EB"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46313EF"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8008F30"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48821CB2"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0.6%</w:t>
            </w:r>
          </w:p>
        </w:tc>
      </w:tr>
      <w:tr w:rsidR="00292FAC" w:rsidRPr="00430840" w14:paraId="62C20C36" w14:textId="77777777">
        <w:trPr>
          <w:trHeight w:val="319"/>
        </w:trPr>
        <w:tc>
          <w:tcPr>
            <w:tcW w:w="2360" w:type="dxa"/>
            <w:tcBorders>
              <w:top w:val="single" w:sz="4" w:space="0" w:color="ADD6EA"/>
              <w:left w:val="nil"/>
              <w:bottom w:val="single" w:sz="4" w:space="0" w:color="ADD6EA"/>
              <w:right w:val="nil"/>
            </w:tcBorders>
            <w:shd w:val="clear" w:color="000000" w:fill="FFFFFF"/>
            <w:vAlign w:val="bottom"/>
            <w:hideMark/>
          </w:tcPr>
          <w:p w14:paraId="3A476D1A" w14:textId="77777777" w:rsidR="00292FAC" w:rsidRPr="00430840" w:rsidRDefault="00292FAC" w:rsidP="009C5685">
            <w:pPr>
              <w:tabs>
                <w:tab w:val="clear" w:pos="567"/>
              </w:tabs>
              <w:spacing w:before="0" w:line="240" w:lineRule="auto"/>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High income/non-Indigenous</w:t>
            </w:r>
          </w:p>
        </w:tc>
        <w:tc>
          <w:tcPr>
            <w:tcW w:w="820" w:type="dxa"/>
            <w:tcBorders>
              <w:top w:val="single" w:sz="4" w:space="0" w:color="ADD6EA"/>
              <w:left w:val="nil"/>
              <w:bottom w:val="single" w:sz="4" w:space="0" w:color="ADD6EA"/>
              <w:right w:val="nil"/>
            </w:tcBorders>
            <w:shd w:val="clear" w:color="000000" w:fill="FFFFFF"/>
            <w:vAlign w:val="bottom"/>
            <w:hideMark/>
          </w:tcPr>
          <w:p w14:paraId="61314733"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3A8557AE"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2881741F"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09508ECD"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7282F129"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246AB5EC"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2CD1D44F"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FFFFFF"/>
            <w:vAlign w:val="bottom"/>
            <w:hideMark/>
          </w:tcPr>
          <w:p w14:paraId="08CAAFAC" w14:textId="77777777" w:rsidR="00292FAC" w:rsidRPr="00430840" w:rsidRDefault="00292FAC" w:rsidP="009C56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30840">
              <w:rPr>
                <w:rFonts w:ascii="Open Sans Light" w:eastAsia="Times New Roman" w:hAnsi="Open Sans Light" w:cs="Open Sans Light"/>
                <w:color w:val="000000"/>
                <w:sz w:val="16"/>
                <w:szCs w:val="16"/>
                <w:lang w:eastAsia="en-AU"/>
              </w:rPr>
              <w:t>0.0%</w:t>
            </w:r>
          </w:p>
        </w:tc>
      </w:tr>
    </w:tbl>
    <w:p w14:paraId="495B4C55" w14:textId="36A650B9" w:rsidR="00292FAC" w:rsidRDefault="00292FAC" w:rsidP="009C5685">
      <w:pPr>
        <w:pStyle w:val="CGC2025TableNote"/>
        <w:ind w:left="0" w:firstLine="0"/>
      </w:pPr>
      <w:r>
        <w:t>Source: ABS 2021 Census</w:t>
      </w:r>
      <w:r w:rsidR="0010478B">
        <w:t>.</w:t>
      </w:r>
    </w:p>
    <w:p w14:paraId="4E8C351D" w14:textId="1F9C4F3F" w:rsidR="00292FAC" w:rsidRDefault="00292FAC" w:rsidP="005A0702">
      <w:pPr>
        <w:pStyle w:val="CGC2025Caption"/>
        <w:keepNext/>
        <w:keepLines/>
        <w:ind w:left="1440" w:hanging="1440"/>
      </w:pPr>
      <w:r>
        <w:t xml:space="preserve">Table </w:t>
      </w:r>
      <w:r w:rsidR="009A684C">
        <w:t>1</w:t>
      </w:r>
      <w:r w:rsidR="00EA6ABF">
        <w:t>1</w:t>
      </w:r>
      <w:r>
        <w:tab/>
        <w:t>Rates of severe overcrowding very remote areas, by socio</w:t>
      </w:r>
      <w:r>
        <w:noBreakHyphen/>
        <w:t>demographic group and state, 2021</w:t>
      </w:r>
    </w:p>
    <w:tbl>
      <w:tblPr>
        <w:tblW w:w="8920" w:type="dxa"/>
        <w:tblLook w:val="04A0" w:firstRow="1" w:lastRow="0" w:firstColumn="1" w:lastColumn="0" w:noHBand="0" w:noVBand="1"/>
      </w:tblPr>
      <w:tblGrid>
        <w:gridCol w:w="2360"/>
        <w:gridCol w:w="820"/>
        <w:gridCol w:w="820"/>
        <w:gridCol w:w="820"/>
        <w:gridCol w:w="820"/>
        <w:gridCol w:w="820"/>
        <w:gridCol w:w="820"/>
        <w:gridCol w:w="820"/>
        <w:gridCol w:w="820"/>
      </w:tblGrid>
      <w:tr w:rsidR="00292FAC" w:rsidRPr="008C5C40" w14:paraId="05A464CC" w14:textId="77777777">
        <w:trPr>
          <w:trHeight w:val="379"/>
        </w:trPr>
        <w:tc>
          <w:tcPr>
            <w:tcW w:w="2360" w:type="dxa"/>
            <w:tcBorders>
              <w:top w:val="nil"/>
              <w:left w:val="nil"/>
              <w:bottom w:val="nil"/>
              <w:right w:val="nil"/>
            </w:tcBorders>
            <w:shd w:val="clear" w:color="000000" w:fill="006991"/>
            <w:vAlign w:val="center"/>
            <w:hideMark/>
          </w:tcPr>
          <w:p w14:paraId="73DE8A60" w14:textId="77777777" w:rsidR="00292FAC" w:rsidRPr="008C5C40" w:rsidRDefault="00292FAC" w:rsidP="005A0702">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820" w:type="dxa"/>
            <w:tcBorders>
              <w:top w:val="nil"/>
              <w:left w:val="nil"/>
              <w:bottom w:val="nil"/>
              <w:right w:val="nil"/>
            </w:tcBorders>
            <w:shd w:val="clear" w:color="000000" w:fill="006991"/>
            <w:vAlign w:val="center"/>
            <w:hideMark/>
          </w:tcPr>
          <w:p w14:paraId="3B6F73D8" w14:textId="77777777" w:rsidR="00292FAC" w:rsidRPr="008C5C40" w:rsidRDefault="00292FAC" w:rsidP="005A070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3DBBFFC2" w14:textId="77777777" w:rsidR="00292FAC" w:rsidRPr="008C5C40" w:rsidRDefault="00292FAC" w:rsidP="005A070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704F8A98" w14:textId="77777777" w:rsidR="00292FAC" w:rsidRPr="008C5C40" w:rsidRDefault="00292FAC" w:rsidP="005A070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3684D03F" w14:textId="77777777" w:rsidR="00292FAC" w:rsidRPr="008C5C40" w:rsidRDefault="00292FAC" w:rsidP="005A070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2035D170" w14:textId="77777777" w:rsidR="00292FAC" w:rsidRPr="008C5C40" w:rsidRDefault="00292FAC" w:rsidP="005A070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4BB07347" w14:textId="77777777" w:rsidR="00292FAC" w:rsidRPr="008C5C40" w:rsidRDefault="00292FAC" w:rsidP="005A070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4B435078" w14:textId="77777777" w:rsidR="00292FAC" w:rsidRPr="008C5C40" w:rsidRDefault="00292FAC" w:rsidP="005A070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7072F816" w14:textId="77777777" w:rsidR="00292FAC" w:rsidRPr="008C5C40" w:rsidRDefault="00292FAC" w:rsidP="005A070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5C40">
              <w:rPr>
                <w:rFonts w:ascii="Open Sans Semibold" w:eastAsia="Times New Roman" w:hAnsi="Open Sans Semibold" w:cs="Open Sans Semibold"/>
                <w:color w:val="FFFFFF"/>
                <w:sz w:val="16"/>
                <w:szCs w:val="16"/>
                <w:lang w:eastAsia="en-AU"/>
              </w:rPr>
              <w:t>NT</w:t>
            </w:r>
          </w:p>
        </w:tc>
      </w:tr>
      <w:tr w:rsidR="00292FAC" w:rsidRPr="008C5C40" w14:paraId="51526DDE" w14:textId="77777777">
        <w:trPr>
          <w:trHeight w:val="319"/>
        </w:trPr>
        <w:tc>
          <w:tcPr>
            <w:tcW w:w="2360" w:type="dxa"/>
            <w:tcBorders>
              <w:top w:val="single" w:sz="4" w:space="0" w:color="ADD6EA"/>
              <w:left w:val="nil"/>
              <w:bottom w:val="nil"/>
              <w:right w:val="nil"/>
            </w:tcBorders>
            <w:shd w:val="clear" w:color="000000" w:fill="FFFFFF"/>
            <w:vAlign w:val="bottom"/>
            <w:hideMark/>
          </w:tcPr>
          <w:p w14:paraId="0EBBA2E1" w14:textId="77777777" w:rsidR="00292FAC" w:rsidRPr="008C5C40" w:rsidRDefault="00292FAC" w:rsidP="005A0702">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Low-income/First Nations</w:t>
            </w:r>
          </w:p>
        </w:tc>
        <w:tc>
          <w:tcPr>
            <w:tcW w:w="820" w:type="dxa"/>
            <w:tcBorders>
              <w:top w:val="single" w:sz="4" w:space="0" w:color="ADD6EA"/>
              <w:left w:val="nil"/>
              <w:bottom w:val="nil"/>
              <w:right w:val="nil"/>
            </w:tcBorders>
            <w:shd w:val="clear" w:color="000000" w:fill="FFFFFF"/>
            <w:vAlign w:val="bottom"/>
            <w:hideMark/>
          </w:tcPr>
          <w:p w14:paraId="4F645121"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6892C17"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676D44AC"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1.7%</w:t>
            </w:r>
          </w:p>
        </w:tc>
        <w:tc>
          <w:tcPr>
            <w:tcW w:w="820" w:type="dxa"/>
            <w:tcBorders>
              <w:top w:val="single" w:sz="4" w:space="0" w:color="ADD6EA"/>
              <w:left w:val="nil"/>
              <w:bottom w:val="nil"/>
              <w:right w:val="nil"/>
            </w:tcBorders>
            <w:shd w:val="clear" w:color="000000" w:fill="FFFFFF"/>
            <w:vAlign w:val="bottom"/>
            <w:hideMark/>
          </w:tcPr>
          <w:p w14:paraId="65F05DEA"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2.6%</w:t>
            </w:r>
          </w:p>
        </w:tc>
        <w:tc>
          <w:tcPr>
            <w:tcW w:w="820" w:type="dxa"/>
            <w:tcBorders>
              <w:top w:val="single" w:sz="4" w:space="0" w:color="ADD6EA"/>
              <w:left w:val="nil"/>
              <w:bottom w:val="nil"/>
              <w:right w:val="nil"/>
            </w:tcBorders>
            <w:shd w:val="clear" w:color="000000" w:fill="FFFFFF"/>
            <w:vAlign w:val="bottom"/>
            <w:hideMark/>
          </w:tcPr>
          <w:p w14:paraId="514FB545"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2.1%</w:t>
            </w:r>
          </w:p>
        </w:tc>
        <w:tc>
          <w:tcPr>
            <w:tcW w:w="820" w:type="dxa"/>
            <w:tcBorders>
              <w:top w:val="single" w:sz="4" w:space="0" w:color="ADD6EA"/>
              <w:left w:val="nil"/>
              <w:bottom w:val="nil"/>
              <w:right w:val="nil"/>
            </w:tcBorders>
            <w:shd w:val="clear" w:color="000000" w:fill="FFFFFF"/>
            <w:vAlign w:val="bottom"/>
            <w:hideMark/>
          </w:tcPr>
          <w:p w14:paraId="79E9FB0B"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2050D32D"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57C23AB1"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14.0%</w:t>
            </w:r>
          </w:p>
        </w:tc>
      </w:tr>
      <w:tr w:rsidR="00292FAC" w:rsidRPr="008C5C40" w14:paraId="475E4D9F" w14:textId="77777777">
        <w:trPr>
          <w:trHeight w:val="319"/>
        </w:trPr>
        <w:tc>
          <w:tcPr>
            <w:tcW w:w="2360" w:type="dxa"/>
            <w:tcBorders>
              <w:top w:val="single" w:sz="4" w:space="0" w:color="ADD6EA"/>
              <w:left w:val="nil"/>
              <w:bottom w:val="nil"/>
              <w:right w:val="nil"/>
            </w:tcBorders>
            <w:shd w:val="clear" w:color="000000" w:fill="FFFFFF"/>
            <w:vAlign w:val="bottom"/>
            <w:hideMark/>
          </w:tcPr>
          <w:p w14:paraId="624DC81F" w14:textId="77777777" w:rsidR="00292FAC" w:rsidRPr="008C5C40" w:rsidRDefault="00292FAC" w:rsidP="005A0702">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Low-income/non-Indigenous</w:t>
            </w:r>
          </w:p>
        </w:tc>
        <w:tc>
          <w:tcPr>
            <w:tcW w:w="820" w:type="dxa"/>
            <w:tcBorders>
              <w:top w:val="single" w:sz="4" w:space="0" w:color="ADD6EA"/>
              <w:left w:val="nil"/>
              <w:bottom w:val="nil"/>
              <w:right w:val="nil"/>
            </w:tcBorders>
            <w:shd w:val="clear" w:color="000000" w:fill="FFFFFF"/>
            <w:vAlign w:val="bottom"/>
            <w:hideMark/>
          </w:tcPr>
          <w:p w14:paraId="5D032B5F"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5DA3BABE"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6D40060E"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4C352AAA"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0.3%</w:t>
            </w:r>
          </w:p>
        </w:tc>
        <w:tc>
          <w:tcPr>
            <w:tcW w:w="820" w:type="dxa"/>
            <w:tcBorders>
              <w:top w:val="single" w:sz="4" w:space="0" w:color="ADD6EA"/>
              <w:left w:val="nil"/>
              <w:bottom w:val="nil"/>
              <w:right w:val="nil"/>
            </w:tcBorders>
            <w:shd w:val="clear" w:color="000000" w:fill="FFFFFF"/>
            <w:vAlign w:val="bottom"/>
            <w:hideMark/>
          </w:tcPr>
          <w:p w14:paraId="2EB2A509"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1672059E"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2F4E2C7B"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650D395B"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r>
      <w:tr w:rsidR="00292FAC" w:rsidRPr="008C5C40" w14:paraId="06D5BB19" w14:textId="77777777">
        <w:trPr>
          <w:trHeight w:val="319"/>
        </w:trPr>
        <w:tc>
          <w:tcPr>
            <w:tcW w:w="2360" w:type="dxa"/>
            <w:tcBorders>
              <w:top w:val="single" w:sz="4" w:space="0" w:color="ADD6EA"/>
              <w:left w:val="nil"/>
              <w:bottom w:val="nil"/>
              <w:right w:val="nil"/>
            </w:tcBorders>
            <w:shd w:val="clear" w:color="000000" w:fill="FFFFFF"/>
            <w:vAlign w:val="bottom"/>
            <w:hideMark/>
          </w:tcPr>
          <w:p w14:paraId="07D4A661" w14:textId="77777777" w:rsidR="00292FAC" w:rsidRPr="008C5C40" w:rsidRDefault="00292FAC" w:rsidP="005A0702">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High income/First Nations</w:t>
            </w:r>
          </w:p>
        </w:tc>
        <w:tc>
          <w:tcPr>
            <w:tcW w:w="820" w:type="dxa"/>
            <w:tcBorders>
              <w:top w:val="single" w:sz="4" w:space="0" w:color="ADD6EA"/>
              <w:left w:val="nil"/>
              <w:bottom w:val="nil"/>
              <w:right w:val="nil"/>
            </w:tcBorders>
            <w:shd w:val="clear" w:color="000000" w:fill="FFFFFF"/>
            <w:vAlign w:val="bottom"/>
            <w:hideMark/>
          </w:tcPr>
          <w:p w14:paraId="03FF9402"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EDDD01D"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1E85DC01"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0.8%</w:t>
            </w:r>
          </w:p>
        </w:tc>
        <w:tc>
          <w:tcPr>
            <w:tcW w:w="820" w:type="dxa"/>
            <w:tcBorders>
              <w:top w:val="single" w:sz="4" w:space="0" w:color="ADD6EA"/>
              <w:left w:val="nil"/>
              <w:bottom w:val="nil"/>
              <w:right w:val="nil"/>
            </w:tcBorders>
            <w:shd w:val="clear" w:color="000000" w:fill="FFFFFF"/>
            <w:vAlign w:val="bottom"/>
            <w:hideMark/>
          </w:tcPr>
          <w:p w14:paraId="1055C265"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0.7%</w:t>
            </w:r>
          </w:p>
        </w:tc>
        <w:tc>
          <w:tcPr>
            <w:tcW w:w="820" w:type="dxa"/>
            <w:tcBorders>
              <w:top w:val="single" w:sz="4" w:space="0" w:color="ADD6EA"/>
              <w:left w:val="nil"/>
              <w:bottom w:val="nil"/>
              <w:right w:val="nil"/>
            </w:tcBorders>
            <w:shd w:val="clear" w:color="000000" w:fill="FFFFFF"/>
            <w:vAlign w:val="bottom"/>
            <w:hideMark/>
          </w:tcPr>
          <w:p w14:paraId="450F60BA"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79FE96B5"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nil"/>
              <w:right w:val="nil"/>
            </w:tcBorders>
            <w:shd w:val="clear" w:color="000000" w:fill="FFFFFF"/>
            <w:vAlign w:val="bottom"/>
            <w:hideMark/>
          </w:tcPr>
          <w:p w14:paraId="36E8A779"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nil"/>
              <w:right w:val="nil"/>
            </w:tcBorders>
            <w:shd w:val="clear" w:color="000000" w:fill="FFFFFF"/>
            <w:vAlign w:val="bottom"/>
            <w:hideMark/>
          </w:tcPr>
          <w:p w14:paraId="166DA167"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3.0%</w:t>
            </w:r>
          </w:p>
        </w:tc>
      </w:tr>
      <w:tr w:rsidR="00292FAC" w:rsidRPr="008C5C40" w14:paraId="30704B5D" w14:textId="77777777">
        <w:trPr>
          <w:trHeight w:val="319"/>
        </w:trPr>
        <w:tc>
          <w:tcPr>
            <w:tcW w:w="2360" w:type="dxa"/>
            <w:tcBorders>
              <w:top w:val="single" w:sz="4" w:space="0" w:color="ADD6EA"/>
              <w:left w:val="nil"/>
              <w:bottom w:val="single" w:sz="4" w:space="0" w:color="ADD6EA"/>
              <w:right w:val="nil"/>
            </w:tcBorders>
            <w:shd w:val="clear" w:color="000000" w:fill="FFFFFF"/>
            <w:vAlign w:val="bottom"/>
            <w:hideMark/>
          </w:tcPr>
          <w:p w14:paraId="507756EB" w14:textId="77777777" w:rsidR="00292FAC" w:rsidRPr="008C5C40" w:rsidRDefault="00292FAC" w:rsidP="005A0702">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High income/non-Indigenous</w:t>
            </w:r>
          </w:p>
        </w:tc>
        <w:tc>
          <w:tcPr>
            <w:tcW w:w="820" w:type="dxa"/>
            <w:tcBorders>
              <w:top w:val="single" w:sz="4" w:space="0" w:color="ADD6EA"/>
              <w:left w:val="nil"/>
              <w:bottom w:val="single" w:sz="4" w:space="0" w:color="ADD6EA"/>
              <w:right w:val="nil"/>
            </w:tcBorders>
            <w:shd w:val="clear" w:color="000000" w:fill="FFFFFF"/>
            <w:vAlign w:val="bottom"/>
            <w:hideMark/>
          </w:tcPr>
          <w:p w14:paraId="0D4E4EFD"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1038FCAE"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FFFFFF"/>
            <w:vAlign w:val="bottom"/>
            <w:hideMark/>
          </w:tcPr>
          <w:p w14:paraId="75425E99"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0E34070D"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0.1%</w:t>
            </w:r>
          </w:p>
        </w:tc>
        <w:tc>
          <w:tcPr>
            <w:tcW w:w="820" w:type="dxa"/>
            <w:tcBorders>
              <w:top w:val="single" w:sz="4" w:space="0" w:color="ADD6EA"/>
              <w:left w:val="nil"/>
              <w:bottom w:val="single" w:sz="4" w:space="0" w:color="ADD6EA"/>
              <w:right w:val="nil"/>
            </w:tcBorders>
            <w:shd w:val="clear" w:color="000000" w:fill="FFFFFF"/>
            <w:vAlign w:val="bottom"/>
            <w:hideMark/>
          </w:tcPr>
          <w:p w14:paraId="7CFF2DC0"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648B0925"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0.0%</w:t>
            </w:r>
          </w:p>
        </w:tc>
        <w:tc>
          <w:tcPr>
            <w:tcW w:w="820" w:type="dxa"/>
            <w:tcBorders>
              <w:top w:val="single" w:sz="4" w:space="0" w:color="ADD6EA"/>
              <w:left w:val="nil"/>
              <w:bottom w:val="single" w:sz="4" w:space="0" w:color="ADD6EA"/>
              <w:right w:val="nil"/>
            </w:tcBorders>
            <w:shd w:val="clear" w:color="000000" w:fill="FFFFFF"/>
            <w:vAlign w:val="bottom"/>
            <w:hideMark/>
          </w:tcPr>
          <w:p w14:paraId="44EACDF2"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FFFFFF"/>
            <w:vAlign w:val="bottom"/>
            <w:hideMark/>
          </w:tcPr>
          <w:p w14:paraId="7EEBA044" w14:textId="77777777" w:rsidR="00292FAC" w:rsidRPr="008C5C40" w:rsidRDefault="00292FAC" w:rsidP="005A0702">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8C5C40">
              <w:rPr>
                <w:rFonts w:ascii="Open Sans Light" w:eastAsia="Times New Roman" w:hAnsi="Open Sans Light" w:cs="Open Sans Light"/>
                <w:color w:val="000000"/>
                <w:sz w:val="16"/>
                <w:szCs w:val="16"/>
                <w:lang w:eastAsia="en-AU"/>
              </w:rPr>
              <w:t>0.1%</w:t>
            </w:r>
          </w:p>
        </w:tc>
      </w:tr>
    </w:tbl>
    <w:p w14:paraId="5F07EF99" w14:textId="14BFC2E3" w:rsidR="00292FAC" w:rsidRDefault="00292FAC" w:rsidP="005A0702">
      <w:pPr>
        <w:pStyle w:val="CGC2025TableNote"/>
        <w:keepNext/>
        <w:keepLines/>
        <w:ind w:left="0" w:firstLine="0"/>
      </w:pPr>
      <w:r>
        <w:t xml:space="preserve"> Source: ABS 2021 Census</w:t>
      </w:r>
      <w:r w:rsidR="0010478B">
        <w:t>.</w:t>
      </w:r>
    </w:p>
    <w:p w14:paraId="4E7F9EFE" w14:textId="21255DC6" w:rsidR="00292FAC" w:rsidRDefault="00292FAC" w:rsidP="00292FAC">
      <w:pPr>
        <w:pStyle w:val="Heading4"/>
      </w:pPr>
      <w:r>
        <w:t>C</w:t>
      </w:r>
      <w:r w:rsidR="00AE14FF">
        <w:t xml:space="preserve">ommission </w:t>
      </w:r>
      <w:r>
        <w:t>position</w:t>
      </w:r>
    </w:p>
    <w:p w14:paraId="11034B05" w14:textId="6B6D9DDA" w:rsidR="00292FAC" w:rsidRDefault="005F1090" w:rsidP="00292FAC">
      <w:pPr>
        <w:pStyle w:val="CGC2025ParaNumbers"/>
      </w:pPr>
      <w:r>
        <w:t xml:space="preserve">Rather than changing the housing assessment to an individual-based assessment </w:t>
      </w:r>
      <w:r w:rsidR="00DB33DD">
        <w:t>as proposed in the Draft Report, t</w:t>
      </w:r>
      <w:r w:rsidR="00292FAC">
        <w:t xml:space="preserve">he Commission </w:t>
      </w:r>
      <w:r w:rsidR="00AE14FF">
        <w:t xml:space="preserve">will </w:t>
      </w:r>
      <w:r w:rsidR="00292FAC">
        <w:t xml:space="preserve">assess net expenses for social housing </w:t>
      </w:r>
      <w:r w:rsidR="00CE6E32">
        <w:t>on</w:t>
      </w:r>
      <w:r w:rsidR="00292FAC">
        <w:t xml:space="preserve"> an average household size</w:t>
      </w:r>
      <w:r w:rsidR="00292FAC">
        <w:noBreakHyphen/>
        <w:t>based approach. This represents a pragmatic approach</w:t>
      </w:r>
      <w:r w:rsidR="00E92586">
        <w:t>,</w:t>
      </w:r>
      <w:r w:rsidR="00292FAC">
        <w:t xml:space="preserve"> which better reflects what states do while balancing the need to address the </w:t>
      </w:r>
      <w:r w:rsidR="00292FAC" w:rsidDel="00B254E5">
        <w:t>most significant problems</w:t>
      </w:r>
      <w:r w:rsidR="00292FAC">
        <w:t xml:space="preserve"> with the 2020 Review method </w:t>
      </w:r>
      <w:r w:rsidR="00292FAC" w:rsidDel="00B254E5">
        <w:t xml:space="preserve">regarding </w:t>
      </w:r>
      <w:r w:rsidR="00292FAC">
        <w:t>differences in</w:t>
      </w:r>
      <w:r w:rsidR="004662FD">
        <w:t xml:space="preserve"> </w:t>
      </w:r>
      <w:r w:rsidR="00292FAC">
        <w:t>severe overcrowding</w:t>
      </w:r>
      <w:r w:rsidR="00292FAC" w:rsidDel="004662FD">
        <w:t xml:space="preserve"> between states</w:t>
      </w:r>
      <w:r w:rsidR="00292FAC">
        <w:t>.</w:t>
      </w:r>
    </w:p>
    <w:p w14:paraId="4661C300" w14:textId="65601262" w:rsidR="00292FAC" w:rsidRDefault="00292FAC" w:rsidP="003615DC">
      <w:pPr>
        <w:pStyle w:val="CGC2025ParaNumbers"/>
        <w:keepNext/>
        <w:keepLines/>
      </w:pPr>
      <w:r>
        <w:lastRenderedPageBreak/>
        <w:t>The Commission recognises that this approach</w:t>
      </w:r>
      <w:r w:rsidR="00421E4D">
        <w:t xml:space="preserve"> is based on a number of assumptions</w:t>
      </w:r>
      <w:r>
        <w:t>. Average household size is being used as a proxy for overcrowding. This assumes average household size only differs across states within socio</w:t>
      </w:r>
      <w:r>
        <w:noBreakHyphen/>
        <w:t>demographic groups as a result of above</w:t>
      </w:r>
      <w:r>
        <w:noBreakHyphen/>
        <w:t>average overcrowding or above</w:t>
      </w:r>
      <w:r>
        <w:noBreakHyphen/>
        <w:t xml:space="preserve">average underutilisation. However, state average household size </w:t>
      </w:r>
      <w:r w:rsidRPr="004704EF">
        <w:t>could vary between states due to differences in the age structure or ethnic mix of state populations or differences in access to affordable housing.</w:t>
      </w:r>
      <w:r>
        <w:t xml:space="preserve"> </w:t>
      </w:r>
    </w:p>
    <w:p w14:paraId="2F82BC14" w14:textId="7B0654D3" w:rsidR="00292FAC" w:rsidRDefault="00292FAC" w:rsidP="00292FAC">
      <w:pPr>
        <w:pStyle w:val="CGC2025ParaNumbers"/>
      </w:pPr>
      <w:r>
        <w:t>Also, average expenses per social housing household can vary due to reasons other than overcrowding rates, such as an above</w:t>
      </w:r>
      <w:r>
        <w:noBreakHyphen/>
        <w:t>average prevalence of high</w:t>
      </w:r>
      <w:r>
        <w:noBreakHyphen/>
        <w:t>cost tenants.</w:t>
      </w:r>
    </w:p>
    <w:p w14:paraId="45762661" w14:textId="5E4689CC" w:rsidR="00292FAC" w:rsidRPr="000768AB" w:rsidRDefault="00292FAC" w:rsidP="00292FAC">
      <w:pPr>
        <w:pStyle w:val="CGC2025ParaNumbers"/>
      </w:pPr>
      <w:r w:rsidRPr="000768AB">
        <w:t>On balance, the Commission considers the average household size approach provides a better assessment of spending needs than the 2020 Review method.</w:t>
      </w:r>
      <w:r w:rsidR="00D05ACA">
        <w:t xml:space="preserve"> In</w:t>
      </w:r>
      <w:r w:rsidRPr="000768AB">
        <w:t xml:space="preserve"> preparation for the next review, the Commission will undertake further work to determine if there are alternative ways to more accurately </w:t>
      </w:r>
      <w:r w:rsidR="003B6721">
        <w:t xml:space="preserve">measure the impact </w:t>
      </w:r>
      <w:r w:rsidR="0030162F">
        <w:t>on</w:t>
      </w:r>
      <w:r w:rsidR="003B6721">
        <w:t xml:space="preserve"> </w:t>
      </w:r>
      <w:r w:rsidR="0030162F">
        <w:t>expenses</w:t>
      </w:r>
      <w:r w:rsidR="003B6721">
        <w:t xml:space="preserve"> of</w:t>
      </w:r>
      <w:r w:rsidR="003B6721" w:rsidRPr="000768AB">
        <w:t xml:space="preserve"> </w:t>
      </w:r>
      <w:r w:rsidRPr="000768AB">
        <w:t>differences in severe overcrowding between</w:t>
      </w:r>
      <w:r>
        <w:t xml:space="preserve"> </w:t>
      </w:r>
      <w:r w:rsidRPr="000768AB">
        <w:t>states.</w:t>
      </w:r>
    </w:p>
    <w:p w14:paraId="2C9D8EB7" w14:textId="25543FBD" w:rsidR="00292FAC" w:rsidRDefault="00A2713F" w:rsidP="000F448D">
      <w:pPr>
        <w:pStyle w:val="Heading3"/>
        <w:keepNext/>
        <w:keepLines/>
      </w:pPr>
      <w:bookmarkStart w:id="33" w:name="_Toc176348507"/>
      <w:bookmarkStart w:id="34" w:name="_Hlk179462638"/>
      <w:r>
        <w:t>Indicative i</w:t>
      </w:r>
      <w:r w:rsidR="00292FAC">
        <w:t xml:space="preserve">mpact on GST distribution of changes </w:t>
      </w:r>
      <w:r w:rsidR="00EB67F3">
        <w:t xml:space="preserve">since the Draft Report </w:t>
      </w:r>
      <w:r w:rsidR="00292FAC">
        <w:t>in the housing assessment</w:t>
      </w:r>
      <w:bookmarkEnd w:id="33"/>
    </w:p>
    <w:p w14:paraId="78B2865A" w14:textId="77777777" w:rsidR="001946F3" w:rsidRPr="004312D4" w:rsidRDefault="00292FAC" w:rsidP="00292FAC">
      <w:pPr>
        <w:pStyle w:val="CGC2025ParaNumbers"/>
      </w:pPr>
      <w:r w:rsidRPr="004312D4">
        <w:t>The average household size approach results in changes to both the recurrent and investment assessment for social housing</w:t>
      </w:r>
      <w:r w:rsidR="00897444" w:rsidRPr="004312D4">
        <w:t xml:space="preserve">. </w:t>
      </w:r>
    </w:p>
    <w:p w14:paraId="68E9AB6C" w14:textId="4A4238C6" w:rsidR="001946F3" w:rsidRPr="004312D4" w:rsidRDefault="00897444" w:rsidP="001946F3">
      <w:pPr>
        <w:pStyle w:val="CGC2025ParaNumbers"/>
      </w:pPr>
      <w:r w:rsidRPr="004312D4">
        <w:t xml:space="preserve">The recurrent </w:t>
      </w:r>
      <w:r w:rsidR="00357072" w:rsidRPr="004312D4">
        <w:t xml:space="preserve">impact is </w:t>
      </w:r>
      <w:r w:rsidR="00D10A6D" w:rsidRPr="004312D4">
        <w:t xml:space="preserve">shown in </w:t>
      </w:r>
      <w:r w:rsidR="00292FAC" w:rsidRPr="004312D4">
        <w:t xml:space="preserve">Table </w:t>
      </w:r>
      <w:r w:rsidR="00A8259B" w:rsidRPr="004312D4">
        <w:t>1</w:t>
      </w:r>
      <w:r w:rsidR="00EA6ABF">
        <w:t>2</w:t>
      </w:r>
      <w:r w:rsidR="00D10A6D" w:rsidRPr="004312D4">
        <w:t xml:space="preserve">. </w:t>
      </w:r>
      <w:r w:rsidR="00BB1669">
        <w:t xml:space="preserve">States </w:t>
      </w:r>
      <w:r w:rsidR="00022F90">
        <w:t xml:space="preserve">with </w:t>
      </w:r>
      <w:r w:rsidR="005A6C71">
        <w:t>above</w:t>
      </w:r>
      <w:r w:rsidR="00FB28A9">
        <w:t>-</w:t>
      </w:r>
      <w:r w:rsidR="001946F3" w:rsidRPr="001946F3">
        <w:t>average household size</w:t>
      </w:r>
      <w:r w:rsidR="00BB1669" w:rsidRPr="00BB1669">
        <w:t xml:space="preserve"> </w:t>
      </w:r>
      <w:r w:rsidR="006A5EAC">
        <w:t xml:space="preserve">receive an </w:t>
      </w:r>
      <w:r w:rsidR="00035CF4">
        <w:t>increase</w:t>
      </w:r>
      <w:r w:rsidR="00BB1669" w:rsidRPr="001946F3">
        <w:t xml:space="preserve"> in GST distribution </w:t>
      </w:r>
      <w:r w:rsidR="00035CF4">
        <w:t xml:space="preserve">compared </w:t>
      </w:r>
      <w:r w:rsidR="00FB5933">
        <w:t>with</w:t>
      </w:r>
      <w:r w:rsidR="00035CF4">
        <w:t xml:space="preserve"> the</w:t>
      </w:r>
      <w:r w:rsidR="00BB1669" w:rsidRPr="001946F3">
        <w:t xml:space="preserve"> 2020 Review method</w:t>
      </w:r>
      <w:r w:rsidR="00376E0C">
        <w:t>.</w:t>
      </w:r>
    </w:p>
    <w:p w14:paraId="21CEA637" w14:textId="275796AB" w:rsidR="00292FAC" w:rsidRPr="004312D4" w:rsidRDefault="00D10A6D" w:rsidP="00292FAC">
      <w:pPr>
        <w:pStyle w:val="CGC2025ParaNumbers"/>
      </w:pPr>
      <w:r w:rsidRPr="004312D4">
        <w:t xml:space="preserve">The </w:t>
      </w:r>
      <w:r w:rsidR="006D4CD3" w:rsidRPr="004312D4">
        <w:rPr>
          <w:rStyle w:val="ui-provider"/>
        </w:rPr>
        <w:t>change</w:t>
      </w:r>
      <w:r w:rsidR="003A5985" w:rsidRPr="004312D4">
        <w:rPr>
          <w:rStyle w:val="ui-provider"/>
        </w:rPr>
        <w:t xml:space="preserve"> </w:t>
      </w:r>
      <w:r w:rsidR="00DA0740">
        <w:rPr>
          <w:rStyle w:val="ui-provider"/>
        </w:rPr>
        <w:t xml:space="preserve">to the use of average household size </w:t>
      </w:r>
      <w:r w:rsidR="00987B46">
        <w:rPr>
          <w:rStyle w:val="ui-provider"/>
        </w:rPr>
        <w:t>also impacts</w:t>
      </w:r>
      <w:r w:rsidR="006D4CD3" w:rsidRPr="004312D4">
        <w:rPr>
          <w:rStyle w:val="ui-provider"/>
        </w:rPr>
        <w:t xml:space="preserve"> the </w:t>
      </w:r>
      <w:r w:rsidR="005E4D49">
        <w:rPr>
          <w:rStyle w:val="ui-provider"/>
        </w:rPr>
        <w:t xml:space="preserve">housing </w:t>
      </w:r>
      <w:r w:rsidR="006D4CD3" w:rsidRPr="004312D4">
        <w:rPr>
          <w:rStyle w:val="ui-provider"/>
        </w:rPr>
        <w:t>investment assessment</w:t>
      </w:r>
      <w:r w:rsidR="00422816">
        <w:rPr>
          <w:rStyle w:val="ui-provider"/>
        </w:rPr>
        <w:t>.</w:t>
      </w:r>
      <w:r w:rsidR="006D4CD3" w:rsidRPr="004312D4">
        <w:rPr>
          <w:rStyle w:val="ui-provider"/>
        </w:rPr>
        <w:t xml:space="preserve"> </w:t>
      </w:r>
      <w:r w:rsidR="00987B46">
        <w:rPr>
          <w:rStyle w:val="ui-provider"/>
        </w:rPr>
        <w:t>T</w:t>
      </w:r>
      <w:r w:rsidR="001D2DBB" w:rsidRPr="004312D4">
        <w:rPr>
          <w:rStyle w:val="ui-provider"/>
        </w:rPr>
        <w:t xml:space="preserve">he largest impact was for </w:t>
      </w:r>
      <w:r w:rsidR="003A5985" w:rsidRPr="004312D4">
        <w:rPr>
          <w:rStyle w:val="ui-provider"/>
        </w:rPr>
        <w:t>the N</w:t>
      </w:r>
      <w:r w:rsidR="006D4CD3" w:rsidRPr="004312D4">
        <w:rPr>
          <w:rStyle w:val="ui-provider"/>
        </w:rPr>
        <w:t>orther</w:t>
      </w:r>
      <w:r w:rsidR="001D2DBB" w:rsidRPr="004312D4">
        <w:rPr>
          <w:rStyle w:val="ui-provider"/>
        </w:rPr>
        <w:t>n Territory</w:t>
      </w:r>
      <w:r w:rsidR="003A5985" w:rsidRPr="004312D4">
        <w:rPr>
          <w:rStyle w:val="ui-provider"/>
        </w:rPr>
        <w:t xml:space="preserve"> at $10</w:t>
      </w:r>
      <w:r w:rsidR="0069179F">
        <w:rPr>
          <w:rStyle w:val="ui-provider"/>
        </w:rPr>
        <w:t> </w:t>
      </w:r>
      <w:r w:rsidR="003A5985" w:rsidRPr="004312D4">
        <w:rPr>
          <w:rStyle w:val="ui-provider"/>
        </w:rPr>
        <w:t>per</w:t>
      </w:r>
      <w:r w:rsidR="0069179F">
        <w:rPr>
          <w:rStyle w:val="ui-provider"/>
        </w:rPr>
        <w:t> </w:t>
      </w:r>
      <w:r w:rsidR="003A5985" w:rsidRPr="004312D4">
        <w:rPr>
          <w:rStyle w:val="ui-provider"/>
        </w:rPr>
        <w:t>capita</w:t>
      </w:r>
      <w:r w:rsidR="00292FAC" w:rsidRPr="004312D4">
        <w:t xml:space="preserve">. </w:t>
      </w:r>
    </w:p>
    <w:p w14:paraId="51209469" w14:textId="177B0FA1" w:rsidR="00292FAC" w:rsidRPr="00AE1670" w:rsidRDefault="00292FAC" w:rsidP="001C75D8">
      <w:pPr>
        <w:pStyle w:val="CGC2025Caption"/>
        <w:ind w:left="1440" w:hanging="1440"/>
      </w:pPr>
      <w:r w:rsidRPr="004312D4">
        <w:t xml:space="preserve">Table </w:t>
      </w:r>
      <w:r w:rsidR="009A684C" w:rsidRPr="004312D4">
        <w:t>1</w:t>
      </w:r>
      <w:r w:rsidR="00EA6ABF">
        <w:t>2</w:t>
      </w:r>
      <w:r w:rsidRPr="004312D4">
        <w:tab/>
        <w:t xml:space="preserve">Indicative impact on GST distribution of </w:t>
      </w:r>
      <w:r w:rsidR="00B62550" w:rsidRPr="004312D4">
        <w:t xml:space="preserve">2025 Review method </w:t>
      </w:r>
      <w:r w:rsidR="00CD37C0" w:rsidRPr="004312D4">
        <w:t xml:space="preserve">changes in the </w:t>
      </w:r>
      <w:r w:rsidR="009E6380">
        <w:t xml:space="preserve">recurrent </w:t>
      </w:r>
      <w:r w:rsidR="00CD37C0" w:rsidRPr="004312D4">
        <w:t>housing assessment</w:t>
      </w:r>
      <w:r w:rsidRPr="004312D4">
        <w:t>, 2024</w:t>
      </w:r>
      <w:r w:rsidR="001F2E38" w:rsidRPr="004312D4">
        <w:t>–</w:t>
      </w:r>
      <w:r w:rsidRPr="004312D4">
        <w:t>25</w:t>
      </w:r>
      <w:r w:rsidRPr="00AE1670">
        <w:t xml:space="preserve"> </w:t>
      </w:r>
    </w:p>
    <w:tbl>
      <w:tblPr>
        <w:tblW w:w="8920" w:type="dxa"/>
        <w:tblLook w:val="04A0" w:firstRow="1" w:lastRow="0" w:firstColumn="1" w:lastColumn="0" w:noHBand="0" w:noVBand="1"/>
      </w:tblPr>
      <w:tblGrid>
        <w:gridCol w:w="1000"/>
        <w:gridCol w:w="820"/>
        <w:gridCol w:w="820"/>
        <w:gridCol w:w="820"/>
        <w:gridCol w:w="820"/>
        <w:gridCol w:w="820"/>
        <w:gridCol w:w="820"/>
        <w:gridCol w:w="820"/>
        <w:gridCol w:w="820"/>
        <w:gridCol w:w="1360"/>
      </w:tblGrid>
      <w:tr w:rsidR="00693541" w:rsidRPr="00693541" w14:paraId="277E7E89" w14:textId="77777777" w:rsidTr="00693541">
        <w:trPr>
          <w:trHeight w:val="319"/>
        </w:trPr>
        <w:tc>
          <w:tcPr>
            <w:tcW w:w="1000" w:type="dxa"/>
            <w:tcBorders>
              <w:top w:val="nil"/>
              <w:left w:val="nil"/>
              <w:bottom w:val="nil"/>
              <w:right w:val="nil"/>
            </w:tcBorders>
            <w:shd w:val="clear" w:color="000000" w:fill="006991"/>
            <w:vAlign w:val="center"/>
            <w:hideMark/>
          </w:tcPr>
          <w:bookmarkEnd w:id="34"/>
          <w:p w14:paraId="772D2A5A" w14:textId="77777777" w:rsidR="00693541" w:rsidRPr="00693541" w:rsidRDefault="00693541" w:rsidP="00693541">
            <w:pPr>
              <w:tabs>
                <w:tab w:val="clear" w:pos="567"/>
              </w:tabs>
              <w:spacing w:before="0" w:line="240" w:lineRule="auto"/>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 </w:t>
            </w:r>
          </w:p>
        </w:tc>
        <w:tc>
          <w:tcPr>
            <w:tcW w:w="820" w:type="dxa"/>
            <w:tcBorders>
              <w:top w:val="nil"/>
              <w:left w:val="nil"/>
              <w:bottom w:val="nil"/>
              <w:right w:val="nil"/>
            </w:tcBorders>
            <w:shd w:val="clear" w:color="000000" w:fill="006991"/>
            <w:vAlign w:val="center"/>
            <w:hideMark/>
          </w:tcPr>
          <w:p w14:paraId="1ABEB562"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21413FA7"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5F33B558"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5DC0DC57"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4AD1DA9C"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6FBC66D0"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29C13918"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74B80730"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NT</w:t>
            </w:r>
          </w:p>
        </w:tc>
        <w:tc>
          <w:tcPr>
            <w:tcW w:w="1360" w:type="dxa"/>
            <w:tcBorders>
              <w:top w:val="nil"/>
              <w:left w:val="nil"/>
              <w:bottom w:val="nil"/>
              <w:right w:val="nil"/>
            </w:tcBorders>
            <w:shd w:val="clear" w:color="000000" w:fill="006991"/>
            <w:vAlign w:val="center"/>
            <w:hideMark/>
          </w:tcPr>
          <w:p w14:paraId="52F8A27D"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3541">
              <w:rPr>
                <w:rFonts w:ascii="Open Sans Semibold" w:eastAsia="Times New Roman" w:hAnsi="Open Sans Semibold" w:cs="Open Sans Semibold"/>
                <w:color w:val="FFFFFF"/>
                <w:sz w:val="16"/>
                <w:szCs w:val="16"/>
                <w:lang w:eastAsia="en-AU"/>
              </w:rPr>
              <w:t>Total effect</w:t>
            </w:r>
          </w:p>
        </w:tc>
      </w:tr>
      <w:tr w:rsidR="00693541" w:rsidRPr="00693541" w14:paraId="0B1E7454" w14:textId="77777777" w:rsidTr="00693541">
        <w:trPr>
          <w:trHeight w:val="259"/>
        </w:trPr>
        <w:tc>
          <w:tcPr>
            <w:tcW w:w="1000" w:type="dxa"/>
            <w:tcBorders>
              <w:top w:val="single" w:sz="4" w:space="0" w:color="ADD6EA"/>
              <w:left w:val="nil"/>
              <w:bottom w:val="nil"/>
              <w:right w:val="nil"/>
            </w:tcBorders>
            <w:shd w:val="clear" w:color="000000" w:fill="B6D5E4"/>
            <w:vAlign w:val="bottom"/>
            <w:hideMark/>
          </w:tcPr>
          <w:p w14:paraId="3AC9218A" w14:textId="77777777" w:rsidR="00693541" w:rsidRPr="00693541" w:rsidRDefault="00693541" w:rsidP="00693541">
            <w:pPr>
              <w:tabs>
                <w:tab w:val="clear" w:pos="567"/>
              </w:tabs>
              <w:spacing w:before="0" w:line="240" w:lineRule="auto"/>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 </w:t>
            </w:r>
          </w:p>
        </w:tc>
        <w:tc>
          <w:tcPr>
            <w:tcW w:w="820" w:type="dxa"/>
            <w:tcBorders>
              <w:top w:val="single" w:sz="4" w:space="0" w:color="ADD6EA"/>
              <w:left w:val="nil"/>
              <w:bottom w:val="nil"/>
              <w:right w:val="nil"/>
            </w:tcBorders>
            <w:shd w:val="clear" w:color="000000" w:fill="B6D5E4"/>
            <w:vAlign w:val="bottom"/>
            <w:hideMark/>
          </w:tcPr>
          <w:p w14:paraId="511887D2"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vAlign w:val="bottom"/>
            <w:hideMark/>
          </w:tcPr>
          <w:p w14:paraId="351F5137"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vAlign w:val="bottom"/>
            <w:hideMark/>
          </w:tcPr>
          <w:p w14:paraId="0D7B813A"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vAlign w:val="bottom"/>
            <w:hideMark/>
          </w:tcPr>
          <w:p w14:paraId="5619442B"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vAlign w:val="bottom"/>
            <w:hideMark/>
          </w:tcPr>
          <w:p w14:paraId="22590502"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vAlign w:val="bottom"/>
            <w:hideMark/>
          </w:tcPr>
          <w:p w14:paraId="4C21D9F8"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vAlign w:val="bottom"/>
            <w:hideMark/>
          </w:tcPr>
          <w:p w14:paraId="49B3DA6E"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vAlign w:val="bottom"/>
            <w:hideMark/>
          </w:tcPr>
          <w:p w14:paraId="13CF97EA"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c>
          <w:tcPr>
            <w:tcW w:w="1360" w:type="dxa"/>
            <w:tcBorders>
              <w:top w:val="single" w:sz="4" w:space="0" w:color="ADD6EA"/>
              <w:left w:val="nil"/>
              <w:bottom w:val="nil"/>
              <w:right w:val="nil"/>
            </w:tcBorders>
            <w:shd w:val="clear" w:color="000000" w:fill="B6D5E4"/>
            <w:vAlign w:val="bottom"/>
            <w:hideMark/>
          </w:tcPr>
          <w:p w14:paraId="1E039958" w14:textId="77777777" w:rsidR="00693541" w:rsidRPr="00693541" w:rsidRDefault="00693541" w:rsidP="006935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93541">
              <w:rPr>
                <w:rFonts w:ascii="Open Sans Semibold" w:eastAsia="Times New Roman" w:hAnsi="Open Sans Semibold" w:cs="Open Sans Semibold"/>
                <w:color w:val="000000"/>
                <w:sz w:val="16"/>
                <w:szCs w:val="16"/>
                <w:lang w:eastAsia="en-AU"/>
              </w:rPr>
              <w:t>$m</w:t>
            </w:r>
          </w:p>
        </w:tc>
      </w:tr>
      <w:tr w:rsidR="00693541" w:rsidRPr="00693541" w14:paraId="72720DF5" w14:textId="77777777" w:rsidTr="000B7F11">
        <w:trPr>
          <w:trHeight w:val="319"/>
        </w:trPr>
        <w:tc>
          <w:tcPr>
            <w:tcW w:w="1000" w:type="dxa"/>
            <w:tcBorders>
              <w:top w:val="single" w:sz="4" w:space="0" w:color="ADD6EA"/>
              <w:left w:val="nil"/>
              <w:bottom w:val="single" w:sz="4" w:space="0" w:color="ADD6EA"/>
              <w:right w:val="nil"/>
            </w:tcBorders>
            <w:shd w:val="clear" w:color="000000" w:fill="FFFFFF"/>
            <w:vAlign w:val="bottom"/>
            <w:hideMark/>
          </w:tcPr>
          <w:p w14:paraId="2A616633" w14:textId="77777777" w:rsidR="00693541" w:rsidRPr="00693541" w:rsidRDefault="00693541" w:rsidP="00693541">
            <w:pPr>
              <w:tabs>
                <w:tab w:val="clear" w:pos="567"/>
              </w:tabs>
              <w:spacing w:before="0" w:line="240" w:lineRule="auto"/>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$m</w:t>
            </w:r>
          </w:p>
        </w:tc>
        <w:tc>
          <w:tcPr>
            <w:tcW w:w="820" w:type="dxa"/>
            <w:tcBorders>
              <w:top w:val="single" w:sz="4" w:space="0" w:color="ADD6EA"/>
              <w:left w:val="nil"/>
              <w:bottom w:val="single" w:sz="4" w:space="0" w:color="ADD6EA"/>
              <w:right w:val="nil"/>
            </w:tcBorders>
            <w:shd w:val="clear" w:color="000000" w:fill="FFFFFF"/>
            <w:vAlign w:val="bottom"/>
            <w:hideMark/>
          </w:tcPr>
          <w:p w14:paraId="759A8864"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15</w:t>
            </w:r>
          </w:p>
        </w:tc>
        <w:tc>
          <w:tcPr>
            <w:tcW w:w="820" w:type="dxa"/>
            <w:tcBorders>
              <w:top w:val="single" w:sz="4" w:space="0" w:color="ADD6EA"/>
              <w:left w:val="nil"/>
              <w:bottom w:val="single" w:sz="4" w:space="0" w:color="ADD6EA"/>
              <w:right w:val="nil"/>
            </w:tcBorders>
            <w:shd w:val="clear" w:color="000000" w:fill="FFFFFF"/>
            <w:vAlign w:val="bottom"/>
            <w:hideMark/>
          </w:tcPr>
          <w:p w14:paraId="446F6AAD"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-11</w:t>
            </w:r>
          </w:p>
        </w:tc>
        <w:tc>
          <w:tcPr>
            <w:tcW w:w="820" w:type="dxa"/>
            <w:tcBorders>
              <w:top w:val="single" w:sz="4" w:space="0" w:color="ADD6EA"/>
              <w:left w:val="nil"/>
              <w:bottom w:val="single" w:sz="4" w:space="0" w:color="ADD6EA"/>
              <w:right w:val="nil"/>
            </w:tcBorders>
            <w:shd w:val="clear" w:color="000000" w:fill="FFFFFF"/>
            <w:vAlign w:val="bottom"/>
            <w:hideMark/>
          </w:tcPr>
          <w:p w14:paraId="015C3C8D"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1</w:t>
            </w:r>
          </w:p>
        </w:tc>
        <w:tc>
          <w:tcPr>
            <w:tcW w:w="820" w:type="dxa"/>
            <w:tcBorders>
              <w:top w:val="single" w:sz="4" w:space="0" w:color="ADD6EA"/>
              <w:left w:val="nil"/>
              <w:bottom w:val="single" w:sz="4" w:space="0" w:color="ADD6EA"/>
              <w:right w:val="nil"/>
            </w:tcBorders>
            <w:shd w:val="clear" w:color="000000" w:fill="FFFFFF"/>
            <w:vAlign w:val="bottom"/>
            <w:hideMark/>
          </w:tcPr>
          <w:p w14:paraId="4A8BAE8F"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-27</w:t>
            </w:r>
          </w:p>
        </w:tc>
        <w:tc>
          <w:tcPr>
            <w:tcW w:w="820" w:type="dxa"/>
            <w:tcBorders>
              <w:top w:val="single" w:sz="4" w:space="0" w:color="ADD6EA"/>
              <w:left w:val="nil"/>
              <w:bottom w:val="single" w:sz="4" w:space="0" w:color="ADD6EA"/>
              <w:right w:val="nil"/>
            </w:tcBorders>
            <w:shd w:val="clear" w:color="000000" w:fill="FFFFFF"/>
            <w:vAlign w:val="bottom"/>
            <w:hideMark/>
          </w:tcPr>
          <w:p w14:paraId="6BB48CC6"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-13</w:t>
            </w:r>
          </w:p>
        </w:tc>
        <w:tc>
          <w:tcPr>
            <w:tcW w:w="820" w:type="dxa"/>
            <w:tcBorders>
              <w:top w:val="single" w:sz="4" w:space="0" w:color="ADD6EA"/>
              <w:left w:val="nil"/>
              <w:bottom w:val="single" w:sz="4" w:space="0" w:color="ADD6EA"/>
              <w:right w:val="nil"/>
            </w:tcBorders>
            <w:shd w:val="clear" w:color="000000" w:fill="FFFFFF"/>
            <w:vAlign w:val="bottom"/>
            <w:hideMark/>
          </w:tcPr>
          <w:p w14:paraId="088971A8"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-1</w:t>
            </w:r>
          </w:p>
        </w:tc>
        <w:tc>
          <w:tcPr>
            <w:tcW w:w="820" w:type="dxa"/>
            <w:tcBorders>
              <w:top w:val="single" w:sz="4" w:space="0" w:color="ADD6EA"/>
              <w:left w:val="nil"/>
              <w:bottom w:val="single" w:sz="4" w:space="0" w:color="ADD6EA"/>
              <w:right w:val="nil"/>
            </w:tcBorders>
            <w:shd w:val="clear" w:color="000000" w:fill="FFFFFF"/>
            <w:vAlign w:val="bottom"/>
            <w:hideMark/>
          </w:tcPr>
          <w:p w14:paraId="1BD9F8E6"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-1</w:t>
            </w:r>
          </w:p>
        </w:tc>
        <w:tc>
          <w:tcPr>
            <w:tcW w:w="820" w:type="dxa"/>
            <w:tcBorders>
              <w:top w:val="single" w:sz="4" w:space="0" w:color="ADD6EA"/>
              <w:left w:val="nil"/>
              <w:bottom w:val="single" w:sz="4" w:space="0" w:color="ADD6EA"/>
              <w:right w:val="nil"/>
            </w:tcBorders>
            <w:shd w:val="clear" w:color="000000" w:fill="FFFFFF"/>
            <w:vAlign w:val="bottom"/>
            <w:hideMark/>
          </w:tcPr>
          <w:p w14:paraId="142E523E"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37</w:t>
            </w:r>
          </w:p>
        </w:tc>
        <w:tc>
          <w:tcPr>
            <w:tcW w:w="1360" w:type="dxa"/>
            <w:tcBorders>
              <w:top w:val="single" w:sz="4" w:space="0" w:color="ADD6EA"/>
              <w:left w:val="nil"/>
              <w:bottom w:val="single" w:sz="4" w:space="0" w:color="ADD6EA"/>
              <w:right w:val="nil"/>
            </w:tcBorders>
            <w:shd w:val="clear" w:color="000000" w:fill="FFFFFF"/>
            <w:vAlign w:val="bottom"/>
            <w:hideMark/>
          </w:tcPr>
          <w:p w14:paraId="5015E153"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53</w:t>
            </w:r>
          </w:p>
        </w:tc>
      </w:tr>
      <w:tr w:rsidR="00693541" w:rsidRPr="00693541" w14:paraId="5100670B" w14:textId="77777777" w:rsidTr="000B7F11">
        <w:trPr>
          <w:trHeight w:val="319"/>
        </w:trPr>
        <w:tc>
          <w:tcPr>
            <w:tcW w:w="1000" w:type="dxa"/>
            <w:tcBorders>
              <w:top w:val="single" w:sz="4" w:space="0" w:color="ADD6EA"/>
              <w:left w:val="nil"/>
              <w:bottom w:val="single" w:sz="4" w:space="0" w:color="ADD6EA"/>
              <w:right w:val="nil"/>
            </w:tcBorders>
            <w:shd w:val="clear" w:color="000000" w:fill="FFFFFF"/>
            <w:vAlign w:val="bottom"/>
            <w:hideMark/>
          </w:tcPr>
          <w:p w14:paraId="1C8E63EC" w14:textId="77777777" w:rsidR="00693541" w:rsidRPr="00693541" w:rsidRDefault="00693541" w:rsidP="00693541">
            <w:pPr>
              <w:tabs>
                <w:tab w:val="clear" w:pos="567"/>
              </w:tabs>
              <w:spacing w:before="0" w:line="240" w:lineRule="auto"/>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$pc</w:t>
            </w:r>
          </w:p>
        </w:tc>
        <w:tc>
          <w:tcPr>
            <w:tcW w:w="820" w:type="dxa"/>
            <w:tcBorders>
              <w:top w:val="single" w:sz="4" w:space="0" w:color="ADD6EA"/>
              <w:left w:val="nil"/>
              <w:bottom w:val="single" w:sz="4" w:space="0" w:color="ADD6EA"/>
              <w:right w:val="nil"/>
            </w:tcBorders>
            <w:shd w:val="clear" w:color="000000" w:fill="FFFFFF"/>
            <w:vAlign w:val="bottom"/>
            <w:hideMark/>
          </w:tcPr>
          <w:p w14:paraId="1D9C0836"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2</w:t>
            </w:r>
          </w:p>
        </w:tc>
        <w:tc>
          <w:tcPr>
            <w:tcW w:w="820" w:type="dxa"/>
            <w:tcBorders>
              <w:top w:val="single" w:sz="4" w:space="0" w:color="ADD6EA"/>
              <w:left w:val="nil"/>
              <w:bottom w:val="single" w:sz="4" w:space="0" w:color="ADD6EA"/>
              <w:right w:val="nil"/>
            </w:tcBorders>
            <w:shd w:val="clear" w:color="000000" w:fill="FFFFFF"/>
            <w:vAlign w:val="bottom"/>
            <w:hideMark/>
          </w:tcPr>
          <w:p w14:paraId="05F3D14B"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-2</w:t>
            </w:r>
          </w:p>
        </w:tc>
        <w:tc>
          <w:tcPr>
            <w:tcW w:w="820" w:type="dxa"/>
            <w:tcBorders>
              <w:top w:val="single" w:sz="4" w:space="0" w:color="ADD6EA"/>
              <w:left w:val="nil"/>
              <w:bottom w:val="single" w:sz="4" w:space="0" w:color="ADD6EA"/>
              <w:right w:val="nil"/>
            </w:tcBorders>
            <w:shd w:val="clear" w:color="000000" w:fill="FFFFFF"/>
            <w:vAlign w:val="bottom"/>
            <w:hideMark/>
          </w:tcPr>
          <w:p w14:paraId="75B0DD45"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0</w:t>
            </w:r>
          </w:p>
        </w:tc>
        <w:tc>
          <w:tcPr>
            <w:tcW w:w="820" w:type="dxa"/>
            <w:tcBorders>
              <w:top w:val="single" w:sz="4" w:space="0" w:color="ADD6EA"/>
              <w:left w:val="nil"/>
              <w:bottom w:val="single" w:sz="4" w:space="0" w:color="ADD6EA"/>
              <w:right w:val="nil"/>
            </w:tcBorders>
            <w:shd w:val="clear" w:color="000000" w:fill="FFFFFF"/>
            <w:vAlign w:val="bottom"/>
            <w:hideMark/>
          </w:tcPr>
          <w:p w14:paraId="1D2594A8"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-9</w:t>
            </w:r>
          </w:p>
        </w:tc>
        <w:tc>
          <w:tcPr>
            <w:tcW w:w="820" w:type="dxa"/>
            <w:tcBorders>
              <w:top w:val="single" w:sz="4" w:space="0" w:color="ADD6EA"/>
              <w:left w:val="nil"/>
              <w:bottom w:val="single" w:sz="4" w:space="0" w:color="ADD6EA"/>
              <w:right w:val="nil"/>
            </w:tcBorders>
            <w:shd w:val="clear" w:color="000000" w:fill="FFFFFF"/>
            <w:vAlign w:val="bottom"/>
            <w:hideMark/>
          </w:tcPr>
          <w:p w14:paraId="45C4BCC9"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-7</w:t>
            </w:r>
          </w:p>
        </w:tc>
        <w:tc>
          <w:tcPr>
            <w:tcW w:w="820" w:type="dxa"/>
            <w:tcBorders>
              <w:top w:val="single" w:sz="4" w:space="0" w:color="ADD6EA"/>
              <w:left w:val="nil"/>
              <w:bottom w:val="single" w:sz="4" w:space="0" w:color="ADD6EA"/>
              <w:right w:val="nil"/>
            </w:tcBorders>
            <w:shd w:val="clear" w:color="000000" w:fill="FFFFFF"/>
            <w:vAlign w:val="bottom"/>
            <w:hideMark/>
          </w:tcPr>
          <w:p w14:paraId="278B3700"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-2</w:t>
            </w:r>
          </w:p>
        </w:tc>
        <w:tc>
          <w:tcPr>
            <w:tcW w:w="820" w:type="dxa"/>
            <w:tcBorders>
              <w:top w:val="single" w:sz="4" w:space="0" w:color="ADD6EA"/>
              <w:left w:val="nil"/>
              <w:bottom w:val="single" w:sz="4" w:space="0" w:color="ADD6EA"/>
              <w:right w:val="nil"/>
            </w:tcBorders>
            <w:shd w:val="clear" w:color="000000" w:fill="FFFFFF"/>
            <w:vAlign w:val="bottom"/>
            <w:hideMark/>
          </w:tcPr>
          <w:p w14:paraId="22C9B585"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-2</w:t>
            </w:r>
          </w:p>
        </w:tc>
        <w:tc>
          <w:tcPr>
            <w:tcW w:w="820" w:type="dxa"/>
            <w:tcBorders>
              <w:top w:val="single" w:sz="4" w:space="0" w:color="ADD6EA"/>
              <w:left w:val="nil"/>
              <w:bottom w:val="single" w:sz="4" w:space="0" w:color="ADD6EA"/>
              <w:right w:val="nil"/>
            </w:tcBorders>
            <w:shd w:val="clear" w:color="000000" w:fill="FFFFFF"/>
            <w:vAlign w:val="bottom"/>
            <w:hideMark/>
          </w:tcPr>
          <w:p w14:paraId="2F4583D6"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144</w:t>
            </w:r>
          </w:p>
        </w:tc>
        <w:tc>
          <w:tcPr>
            <w:tcW w:w="1360" w:type="dxa"/>
            <w:tcBorders>
              <w:top w:val="single" w:sz="4" w:space="0" w:color="ADD6EA"/>
              <w:left w:val="nil"/>
              <w:bottom w:val="single" w:sz="4" w:space="0" w:color="ADD6EA"/>
              <w:right w:val="nil"/>
            </w:tcBorders>
            <w:shd w:val="clear" w:color="000000" w:fill="FFFFFF"/>
            <w:vAlign w:val="bottom"/>
            <w:hideMark/>
          </w:tcPr>
          <w:p w14:paraId="18DF7E63" w14:textId="77777777" w:rsidR="00693541" w:rsidRPr="00693541" w:rsidRDefault="00693541" w:rsidP="0069354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93541">
              <w:rPr>
                <w:rFonts w:ascii="Open Sans Light" w:eastAsia="Times New Roman" w:hAnsi="Open Sans Light" w:cs="Open Sans Light"/>
                <w:color w:val="000000"/>
                <w:sz w:val="16"/>
                <w:szCs w:val="16"/>
                <w:lang w:eastAsia="en-AU"/>
              </w:rPr>
              <w:t>2</w:t>
            </w:r>
          </w:p>
        </w:tc>
      </w:tr>
    </w:tbl>
    <w:p w14:paraId="48C7267B" w14:textId="71B453C1" w:rsidR="0016634B" w:rsidRDefault="0005430B" w:rsidP="004115C2">
      <w:pPr>
        <w:pStyle w:val="Heading2"/>
      </w:pPr>
      <w:r w:rsidRPr="009B4EC8">
        <w:t>Health i</w:t>
      </w:r>
      <w:r w:rsidR="0016634B" w:rsidRPr="009B4EC8">
        <w:t xml:space="preserve">nvestment </w:t>
      </w:r>
    </w:p>
    <w:p w14:paraId="64681779" w14:textId="5B6FA826" w:rsidR="00F83865" w:rsidRPr="00C74010" w:rsidRDefault="007A2A32" w:rsidP="00F83865">
      <w:pPr>
        <w:pStyle w:val="CGC2025ParaNumbers"/>
      </w:pPr>
      <w:r>
        <w:t xml:space="preserve">The Commission uses </w:t>
      </w:r>
      <w:r w:rsidR="00A46320">
        <w:t>states’</w:t>
      </w:r>
      <w:r>
        <w:t xml:space="preserve"> assessed needs for recurrent heal</w:t>
      </w:r>
      <w:r w:rsidR="00B8089E">
        <w:t xml:space="preserve">th expenses </w:t>
      </w:r>
      <w:r w:rsidR="00B30E9C">
        <w:t xml:space="preserve">when </w:t>
      </w:r>
      <w:r w:rsidR="00CA4813">
        <w:t>determin</w:t>
      </w:r>
      <w:r w:rsidR="00B30E9C">
        <w:t>ing</w:t>
      </w:r>
      <w:r w:rsidR="00CA4813">
        <w:t xml:space="preserve"> </w:t>
      </w:r>
      <w:r w:rsidR="0084674A">
        <w:t xml:space="preserve">their assessed needs for </w:t>
      </w:r>
      <w:r w:rsidR="00CA3032">
        <w:t xml:space="preserve">health infrastructure. </w:t>
      </w:r>
      <w:r w:rsidR="00460A7B" w:rsidRPr="00C74010">
        <w:t>In</w:t>
      </w:r>
      <w:r w:rsidR="00460A7B">
        <w:t xml:space="preserve"> the </w:t>
      </w:r>
      <w:r w:rsidR="000F3821">
        <w:t xml:space="preserve">Draft Report, the Commission </w:t>
      </w:r>
      <w:r w:rsidR="00460A7B">
        <w:t xml:space="preserve">proposed to include </w:t>
      </w:r>
      <w:r w:rsidR="004B6772">
        <w:t>all health expenses</w:t>
      </w:r>
      <w:r w:rsidR="00460A7B">
        <w:t xml:space="preserve"> in </w:t>
      </w:r>
      <w:r w:rsidR="00522367">
        <w:t xml:space="preserve">its </w:t>
      </w:r>
      <w:r w:rsidR="00C91D04">
        <w:t>calculations</w:t>
      </w:r>
      <w:r w:rsidR="00522367">
        <w:t xml:space="preserve"> of state </w:t>
      </w:r>
      <w:r w:rsidR="00D50EA8">
        <w:t xml:space="preserve">health investment needs. </w:t>
      </w:r>
      <w:r w:rsidR="004161C5">
        <w:t>Due to a proposed method change</w:t>
      </w:r>
      <w:r w:rsidR="00CF391F">
        <w:t xml:space="preserve"> in recurrent expenses</w:t>
      </w:r>
      <w:r w:rsidR="004161C5">
        <w:t xml:space="preserve">, this would include </w:t>
      </w:r>
      <w:r w:rsidR="004161C5" w:rsidRPr="00C74010">
        <w:t xml:space="preserve">COVID-19 </w:t>
      </w:r>
      <w:r w:rsidR="004161C5">
        <w:t xml:space="preserve">health </w:t>
      </w:r>
      <w:r w:rsidR="004161C5" w:rsidRPr="00C74010">
        <w:t>expenses</w:t>
      </w:r>
      <w:r w:rsidR="004161C5">
        <w:t>.</w:t>
      </w:r>
    </w:p>
    <w:p w14:paraId="0C563946" w14:textId="39E2B80C" w:rsidR="008403E4" w:rsidRDefault="008403E4" w:rsidP="008403E4">
      <w:pPr>
        <w:pStyle w:val="Heading4"/>
      </w:pPr>
      <w:r>
        <w:lastRenderedPageBreak/>
        <w:t>State views</w:t>
      </w:r>
    </w:p>
    <w:p w14:paraId="61640546" w14:textId="532EA6D5" w:rsidR="00A23CA0" w:rsidRPr="009B4EC8" w:rsidRDefault="00105DF8">
      <w:pPr>
        <w:pStyle w:val="CGC2025ParaNumbers"/>
      </w:pPr>
      <w:r>
        <w:t xml:space="preserve">In a </w:t>
      </w:r>
      <w:r w:rsidR="00E5739D">
        <w:t>supplementary</w:t>
      </w:r>
      <w:r>
        <w:t xml:space="preserve"> submission</w:t>
      </w:r>
      <w:r w:rsidR="0067517B">
        <w:t xml:space="preserve"> following the Draft Report</w:t>
      </w:r>
      <w:r>
        <w:t xml:space="preserve">, </w:t>
      </w:r>
      <w:r w:rsidR="008403E4" w:rsidRPr="009B4EC8">
        <w:t xml:space="preserve">Victoria </w:t>
      </w:r>
      <w:r w:rsidR="00A23CA0" w:rsidRPr="009B4EC8" w:rsidDel="00000A2B">
        <w:t>s</w:t>
      </w:r>
      <w:r w:rsidR="00A23CA0" w:rsidRPr="009B4EC8" w:rsidDel="00BA7AC2">
        <w:t>aid</w:t>
      </w:r>
      <w:r w:rsidR="00A23CA0" w:rsidRPr="009B4EC8">
        <w:t xml:space="preserve"> that, as COVID-19 </w:t>
      </w:r>
      <w:r w:rsidR="00A23CA0">
        <w:t>expenses</w:t>
      </w:r>
      <w:r w:rsidR="00A23CA0" w:rsidRPr="009B4EC8">
        <w:t xml:space="preserve"> had not been incorporated </w:t>
      </w:r>
      <w:r w:rsidR="00A23CA0">
        <w:t xml:space="preserve">by the Commission </w:t>
      </w:r>
      <w:r w:rsidR="00A23CA0" w:rsidRPr="009B4EC8">
        <w:t xml:space="preserve">into the </w:t>
      </w:r>
      <w:r w:rsidR="00A23CA0">
        <w:t>assessment of</w:t>
      </w:r>
      <w:r w:rsidR="00A23CA0" w:rsidRPr="009B4EC8">
        <w:t xml:space="preserve"> investment needs as spending increased, it would be inappropriate to incorporate </w:t>
      </w:r>
      <w:r w:rsidR="009B13D9">
        <w:t xml:space="preserve">them </w:t>
      </w:r>
      <w:r w:rsidR="00A23CA0" w:rsidRPr="009B4EC8">
        <w:t>as</w:t>
      </w:r>
      <w:r w:rsidR="006D72F8">
        <w:t xml:space="preserve"> </w:t>
      </w:r>
      <w:r w:rsidR="00A23CA0">
        <w:t>expense</w:t>
      </w:r>
      <w:r w:rsidR="006D72F8">
        <w:t>s</w:t>
      </w:r>
      <w:r w:rsidR="00A23CA0" w:rsidRPr="009B4EC8">
        <w:t xml:space="preserve"> decrease.   </w:t>
      </w:r>
    </w:p>
    <w:p w14:paraId="1E85389A" w14:textId="15426819" w:rsidR="00444498" w:rsidRDefault="008403E4">
      <w:pPr>
        <w:pStyle w:val="CGC2025ParaNumbers"/>
      </w:pPr>
      <w:r>
        <w:t>Victoria</w:t>
      </w:r>
      <w:r w:rsidR="008B7693">
        <w:t xml:space="preserve"> </w:t>
      </w:r>
      <w:r w:rsidR="00A73B43" w:rsidRPr="009B4EC8">
        <w:t>also</w:t>
      </w:r>
      <w:r>
        <w:t xml:space="preserve"> </w:t>
      </w:r>
      <w:r w:rsidR="00276675">
        <w:t xml:space="preserve">said that </w:t>
      </w:r>
      <w:r w:rsidR="00D85FD4">
        <w:t>the COVID-19 response was much less capital</w:t>
      </w:r>
      <w:r w:rsidR="006119FD">
        <w:t xml:space="preserve"> </w:t>
      </w:r>
      <w:r w:rsidR="00D85FD4">
        <w:t xml:space="preserve">intensive than other aspects of health. To the extent it required capital, it largely </w:t>
      </w:r>
      <w:r w:rsidR="009D46D7">
        <w:t>used</w:t>
      </w:r>
      <w:r w:rsidR="00DE592D">
        <w:t xml:space="preserve"> infrastructure from other purposes</w:t>
      </w:r>
      <w:r w:rsidR="00476A62">
        <w:t xml:space="preserve"> </w:t>
      </w:r>
      <w:r w:rsidR="005A4E64" w:rsidRPr="009B4EC8">
        <w:t>that</w:t>
      </w:r>
      <w:r w:rsidR="00476A62">
        <w:t xml:space="preserve"> </w:t>
      </w:r>
      <w:r w:rsidR="00684111" w:rsidRPr="009B4EC8">
        <w:t>w</w:t>
      </w:r>
      <w:r w:rsidR="00684111">
        <w:t>as</w:t>
      </w:r>
      <w:r w:rsidR="00684111" w:rsidRPr="009B4EC8">
        <w:t xml:space="preserve"> </w:t>
      </w:r>
      <w:r w:rsidR="00A87B1E">
        <w:t xml:space="preserve">temporarily </w:t>
      </w:r>
      <w:r w:rsidR="00476A62">
        <w:t>put on hold. The use of this infrastructure did not change the long</w:t>
      </w:r>
      <w:r w:rsidR="00471073">
        <w:t>-</w:t>
      </w:r>
      <w:r w:rsidR="00476A62">
        <w:t xml:space="preserve">term needs for infrastructure in the state. </w:t>
      </w:r>
    </w:p>
    <w:p w14:paraId="4CDDD5F6" w14:textId="77777777" w:rsidR="008403E4" w:rsidRDefault="008403E4" w:rsidP="008403E4">
      <w:pPr>
        <w:pStyle w:val="Heading4"/>
      </w:pPr>
      <w:r>
        <w:t>Commission response</w:t>
      </w:r>
    </w:p>
    <w:p w14:paraId="02EADA73" w14:textId="6FC7C2E3" w:rsidR="00C241D0" w:rsidRDefault="0041017D" w:rsidP="00C241D0">
      <w:pPr>
        <w:pStyle w:val="CGC2025ParaNumbers"/>
      </w:pPr>
      <w:r w:rsidRPr="009B4EC8">
        <w:t xml:space="preserve">The Commission agrees that </w:t>
      </w:r>
      <w:r w:rsidR="0056255E">
        <w:t xml:space="preserve">including </w:t>
      </w:r>
      <w:r w:rsidRPr="009B4EC8">
        <w:t xml:space="preserve">COVID-19 related </w:t>
      </w:r>
      <w:r w:rsidR="00F643B6">
        <w:t>expenses</w:t>
      </w:r>
      <w:r w:rsidR="00F643B6" w:rsidRPr="009B4EC8">
        <w:t xml:space="preserve"> </w:t>
      </w:r>
      <w:r w:rsidR="00A73FA8">
        <w:t>in</w:t>
      </w:r>
      <w:r w:rsidR="00C241D0">
        <w:t xml:space="preserve"> the health component of the investment assessment </w:t>
      </w:r>
      <w:r w:rsidR="00A73FA8">
        <w:t xml:space="preserve">would </w:t>
      </w:r>
      <w:r w:rsidR="00C241D0">
        <w:t>result in an anomalous outcome.</w:t>
      </w:r>
      <w:r w:rsidR="007F6C77">
        <w:t xml:space="preserve"> </w:t>
      </w:r>
    </w:p>
    <w:p w14:paraId="1342256C" w14:textId="6E8E98B9" w:rsidR="009D7392" w:rsidRDefault="008C0FAF" w:rsidP="0041017D">
      <w:pPr>
        <w:pStyle w:val="CGC2025ParaNumbers"/>
      </w:pPr>
      <w:r>
        <w:t>A</w:t>
      </w:r>
      <w:r w:rsidR="0041017D" w:rsidRPr="009B4EC8">
        <w:t>s this assessment was not used in previous updates when Victoria</w:t>
      </w:r>
      <w:r w:rsidR="00374DD8">
        <w:t>’s</w:t>
      </w:r>
      <w:r w:rsidR="00815D66">
        <w:t xml:space="preserve"> </w:t>
      </w:r>
      <w:r w:rsidR="0041017D" w:rsidRPr="009B4EC8">
        <w:t xml:space="preserve">share was increasing, it would be inappropriate to include COVID-19 </w:t>
      </w:r>
      <w:r w:rsidR="00F643B6">
        <w:t>expenses</w:t>
      </w:r>
      <w:r w:rsidR="00F643B6" w:rsidRPr="009B4EC8">
        <w:t xml:space="preserve"> </w:t>
      </w:r>
      <w:r w:rsidR="0041017D" w:rsidRPr="009B4EC8">
        <w:t>in the assessment of capital needs as it</w:t>
      </w:r>
      <w:r w:rsidR="006F04A6">
        <w:t>s share</w:t>
      </w:r>
      <w:r w:rsidR="0041017D" w:rsidRPr="009B4EC8">
        <w:t xml:space="preserve"> decreases. </w:t>
      </w:r>
    </w:p>
    <w:p w14:paraId="450101EE" w14:textId="65935882" w:rsidR="00C14145" w:rsidRDefault="00567B69" w:rsidP="0041017D">
      <w:pPr>
        <w:pStyle w:val="CGC2025ParaNumbers"/>
      </w:pPr>
      <w:r>
        <w:t>Using Victoria as an example, t</w:t>
      </w:r>
      <w:r w:rsidR="00BB4D2B" w:rsidRPr="009B4EC8">
        <w:t>his is illustrated in Figure </w:t>
      </w:r>
      <w:r w:rsidR="00CA7A58">
        <w:t>8</w:t>
      </w:r>
      <w:r w:rsidR="0071452F">
        <w:t xml:space="preserve">. </w:t>
      </w:r>
      <w:r w:rsidR="00BA157C">
        <w:t xml:space="preserve">Following </w:t>
      </w:r>
      <w:r w:rsidR="00184584" w:rsidRPr="009B4EC8">
        <w:t>the dashed line</w:t>
      </w:r>
      <w:r w:rsidR="00BA157C">
        <w:t xml:space="preserve"> would</w:t>
      </w:r>
      <w:r w:rsidR="007C45AA">
        <w:t xml:space="preserve"> ensure the consistent treatment of </w:t>
      </w:r>
      <w:r w:rsidR="009F02D5">
        <w:t>COVID-1</w:t>
      </w:r>
      <w:r w:rsidR="00C14145">
        <w:t xml:space="preserve">9 spending </w:t>
      </w:r>
      <w:r w:rsidR="00653AF5">
        <w:t>as far as</w:t>
      </w:r>
      <w:r w:rsidR="002F567D">
        <w:t xml:space="preserve"> the investment assessment</w:t>
      </w:r>
      <w:r w:rsidR="00653AF5">
        <w:t xml:space="preserve"> is concerned</w:t>
      </w:r>
      <w:r w:rsidR="00255D75">
        <w:t xml:space="preserve"> (exclusion)</w:t>
      </w:r>
      <w:r w:rsidR="002F567D">
        <w:t>.</w:t>
      </w:r>
      <w:r w:rsidR="00D16A42">
        <w:t xml:space="preserve"> </w:t>
      </w:r>
      <w:r w:rsidR="00B03EA2">
        <w:t xml:space="preserve">It </w:t>
      </w:r>
      <w:r w:rsidR="00D63464">
        <w:t xml:space="preserve">would </w:t>
      </w:r>
      <w:r w:rsidR="00B03EA2">
        <w:t xml:space="preserve">avoid a situation where Victoria </w:t>
      </w:r>
      <w:r w:rsidR="00755175">
        <w:t xml:space="preserve">is assumed to have </w:t>
      </w:r>
      <w:r w:rsidR="00C866EF">
        <w:t xml:space="preserve">been assessed </w:t>
      </w:r>
      <w:r w:rsidR="00FC6E64">
        <w:t xml:space="preserve">for </w:t>
      </w:r>
      <w:r w:rsidR="009A00E0">
        <w:t>higher investment needs than it was actually assessed for.</w:t>
      </w:r>
      <w:r w:rsidR="00EF260E">
        <w:t xml:space="preserve"> This issue</w:t>
      </w:r>
      <w:r w:rsidR="00BA0BBD">
        <w:t xml:space="preserve"> </w:t>
      </w:r>
      <w:r w:rsidR="00066B53">
        <w:t>is also relevant, to a lesser extent, for New</w:t>
      </w:r>
      <w:r w:rsidR="00012DAC">
        <w:t> </w:t>
      </w:r>
      <w:r w:rsidR="00066B53">
        <w:t>South</w:t>
      </w:r>
      <w:r w:rsidR="00012DAC">
        <w:t> </w:t>
      </w:r>
      <w:r w:rsidR="00066B53">
        <w:t>Wales.</w:t>
      </w:r>
    </w:p>
    <w:p w14:paraId="22B12F79" w14:textId="37337470" w:rsidR="0041017D" w:rsidRPr="002323C8" w:rsidRDefault="0041017D" w:rsidP="00B31CA1">
      <w:pPr>
        <w:pStyle w:val="CGC2025Caption"/>
      </w:pPr>
      <w:bookmarkStart w:id="35" w:name="_Ref179283196"/>
      <w:r>
        <w:t xml:space="preserve">Figure </w:t>
      </w:r>
      <w:bookmarkEnd w:id="35"/>
      <w:r w:rsidR="004E5E35">
        <w:t>8</w:t>
      </w:r>
      <w:r>
        <w:tab/>
        <w:t xml:space="preserve">Victoria’s share of assessed health infrastructure </w:t>
      </w:r>
    </w:p>
    <w:p w14:paraId="027705E2" w14:textId="569A7CCB" w:rsidR="0041017D" w:rsidRPr="00536476" w:rsidRDefault="00F9663B" w:rsidP="00B31CA1">
      <w:pPr>
        <w:pStyle w:val="Caption"/>
        <w:keepNext w:val="0"/>
        <w:keepLines w:val="0"/>
        <w:rPr>
          <w:highlight w:val="yellow"/>
        </w:rPr>
      </w:pPr>
      <w:r w:rsidRPr="00CF2013">
        <w:rPr>
          <w:noProof/>
        </w:rPr>
        <w:drawing>
          <wp:inline distT="0" distB="0" distL="0" distR="0" wp14:anchorId="6319CC7F" wp14:editId="10C3A4B1">
            <wp:extent cx="5686425" cy="3571875"/>
            <wp:effectExtent l="0" t="0" r="9525" b="9525"/>
            <wp:docPr id="859907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3571875"/>
                    </a:xfrm>
                    <a:prstGeom prst="rect">
                      <a:avLst/>
                    </a:prstGeom>
                    <a:noFill/>
                    <a:ln>
                      <a:noFill/>
                    </a:ln>
                  </pic:spPr>
                </pic:pic>
              </a:graphicData>
            </a:graphic>
          </wp:inline>
        </w:drawing>
      </w:r>
    </w:p>
    <w:p w14:paraId="6D702041" w14:textId="0E8AACF0" w:rsidR="008403E4" w:rsidRDefault="008403E4" w:rsidP="008403E4">
      <w:pPr>
        <w:pStyle w:val="Heading4"/>
      </w:pPr>
      <w:r>
        <w:lastRenderedPageBreak/>
        <w:t>Commission position</w:t>
      </w:r>
    </w:p>
    <w:p w14:paraId="75EFFFC5" w14:textId="50432658" w:rsidR="00AD7107" w:rsidRDefault="00DB77D6" w:rsidP="00E32552">
      <w:pPr>
        <w:pStyle w:val="CGC2025ParaNumbers"/>
      </w:pPr>
      <w:r w:rsidRPr="003A6320">
        <w:t xml:space="preserve">The Commission </w:t>
      </w:r>
      <w:r w:rsidR="008831BC" w:rsidRPr="003A6320">
        <w:t xml:space="preserve">will </w:t>
      </w:r>
      <w:r w:rsidR="00CD0971" w:rsidRPr="003A6320">
        <w:t xml:space="preserve">exclude </w:t>
      </w:r>
      <w:r w:rsidR="006131E9" w:rsidRPr="006131E9">
        <w:t xml:space="preserve">COVID-19 </w:t>
      </w:r>
      <w:r w:rsidR="00A64D22">
        <w:t>expenses</w:t>
      </w:r>
      <w:r w:rsidR="00A64D22" w:rsidRPr="003A6320">
        <w:t xml:space="preserve"> </w:t>
      </w:r>
      <w:r w:rsidR="00CD0971" w:rsidRPr="003A6320">
        <w:t xml:space="preserve">in the </w:t>
      </w:r>
      <w:r w:rsidR="006131E9" w:rsidRPr="006131E9">
        <w:t xml:space="preserve">health </w:t>
      </w:r>
      <w:r w:rsidR="00CD0971" w:rsidRPr="003A6320">
        <w:t xml:space="preserve">component </w:t>
      </w:r>
      <w:r w:rsidR="005B0A4E" w:rsidRPr="003A6320">
        <w:t xml:space="preserve">of the </w:t>
      </w:r>
      <w:r w:rsidR="006131E9" w:rsidRPr="006131E9">
        <w:t xml:space="preserve">investment </w:t>
      </w:r>
      <w:r w:rsidR="005B0A4E" w:rsidRPr="003A6320">
        <w:t>assessment</w:t>
      </w:r>
      <w:r w:rsidR="00775E03" w:rsidRPr="003A6320">
        <w:t xml:space="preserve">. </w:t>
      </w:r>
    </w:p>
    <w:p w14:paraId="2EAE35E7" w14:textId="27318CBA" w:rsidR="00823371" w:rsidRPr="00823371" w:rsidRDefault="00AD7107" w:rsidP="00E32552">
      <w:pPr>
        <w:pStyle w:val="Heading3"/>
        <w:keepNext/>
        <w:keepLines/>
      </w:pPr>
      <w:r>
        <w:t xml:space="preserve">Indicative impact on GST distribution of changes </w:t>
      </w:r>
      <w:r w:rsidR="00F02DFE">
        <w:t xml:space="preserve">since the Draft Report </w:t>
      </w:r>
      <w:r>
        <w:t>in assessment</w:t>
      </w:r>
      <w:r w:rsidR="002A606F">
        <w:t xml:space="preserve"> of health investment for COVID-19</w:t>
      </w:r>
    </w:p>
    <w:p w14:paraId="5C29EB1C" w14:textId="56BF7344" w:rsidR="004C3A18" w:rsidRPr="00C05586" w:rsidRDefault="00AD63A8" w:rsidP="00C60628">
      <w:pPr>
        <w:pStyle w:val="CGC2025ParaNumbers"/>
      </w:pPr>
      <w:bookmarkStart w:id="36" w:name="_Hlk181274996"/>
      <w:r w:rsidRPr="00C05586">
        <w:t xml:space="preserve">In both the 2024 Update and the 2025 Review, spending on COVID-19 is not used </w:t>
      </w:r>
      <w:r w:rsidR="0098389C" w:rsidRPr="00C05586">
        <w:t xml:space="preserve">in the </w:t>
      </w:r>
      <w:r w:rsidR="00C914D8" w:rsidRPr="00C05586">
        <w:t>calculation</w:t>
      </w:r>
      <w:r w:rsidR="004C3A18" w:rsidRPr="00C05586">
        <w:t xml:space="preserve"> of </w:t>
      </w:r>
      <w:r w:rsidR="00C914D8" w:rsidRPr="00C05586">
        <w:t>health investment needs. Therefore</w:t>
      </w:r>
      <w:r w:rsidR="004C3A18" w:rsidRPr="00C05586">
        <w:t xml:space="preserve">, there is no </w:t>
      </w:r>
      <w:r w:rsidR="00C62AC1" w:rsidRPr="00C05586">
        <w:t xml:space="preserve">associated </w:t>
      </w:r>
      <w:r w:rsidR="004C3A18" w:rsidRPr="00C05586">
        <w:t>change in the GST distribution between the 2024 Update and the 2025 Review.</w:t>
      </w:r>
    </w:p>
    <w:bookmarkEnd w:id="36"/>
    <w:p w14:paraId="23B432D2" w14:textId="239B1D23" w:rsidR="004115C2" w:rsidRPr="00147911" w:rsidRDefault="004115C2" w:rsidP="004115C2">
      <w:pPr>
        <w:pStyle w:val="Heading2"/>
      </w:pPr>
      <w:r w:rsidRPr="00147911">
        <w:t>Roads</w:t>
      </w:r>
      <w:r w:rsidR="003D0656" w:rsidRPr="00147911">
        <w:t xml:space="preserve"> </w:t>
      </w:r>
    </w:p>
    <w:p w14:paraId="5BFADD04" w14:textId="7C84037D" w:rsidR="0097016D" w:rsidRPr="00147911" w:rsidRDefault="0097016D" w:rsidP="0097016D">
      <w:pPr>
        <w:pStyle w:val="Heading3"/>
      </w:pPr>
      <w:r w:rsidRPr="00147911">
        <w:t>R</w:t>
      </w:r>
      <w:r w:rsidR="008B7A8C" w:rsidRPr="00147911">
        <w:t>ural r</w:t>
      </w:r>
      <w:r w:rsidRPr="00147911">
        <w:t xml:space="preserve">oads to </w:t>
      </w:r>
      <w:r w:rsidR="002044BA" w:rsidRPr="00147911">
        <w:t>mines, gas wells, ports and national parks</w:t>
      </w:r>
    </w:p>
    <w:p w14:paraId="01E87BB9" w14:textId="7F5518F2" w:rsidR="0097016D" w:rsidRPr="00147911" w:rsidRDefault="008B7A8C" w:rsidP="00B940CB">
      <w:pPr>
        <w:pStyle w:val="CGC2025ParaNumbers"/>
      </w:pPr>
      <w:r w:rsidRPr="00147911">
        <w:t>In the Draft Report, t</w:t>
      </w:r>
      <w:r w:rsidR="00B940CB" w:rsidRPr="00147911">
        <w:t xml:space="preserve">he Commission </w:t>
      </w:r>
      <w:r w:rsidR="00737CC1" w:rsidRPr="00147911">
        <w:t>proposed</w:t>
      </w:r>
      <w:r w:rsidR="00B940CB" w:rsidRPr="00147911">
        <w:t xml:space="preserve"> to exclude routes to mines, gas wells, ports and national parks. Removing these routes would </w:t>
      </w:r>
      <w:r w:rsidR="00C157A6" w:rsidRPr="00147911">
        <w:t xml:space="preserve">reduce </w:t>
      </w:r>
      <w:r w:rsidR="00B940CB" w:rsidRPr="00147911">
        <w:t>the rural road network by 43,000 lane kilometres, or 13%.</w:t>
      </w:r>
    </w:p>
    <w:p w14:paraId="6D61142E" w14:textId="718E7FA7" w:rsidR="008B7A8C" w:rsidRPr="00147911" w:rsidRDefault="008B7A8C" w:rsidP="008B7A8C">
      <w:pPr>
        <w:pStyle w:val="Heading4"/>
      </w:pPr>
      <w:r w:rsidRPr="00147911">
        <w:t>State views</w:t>
      </w:r>
    </w:p>
    <w:p w14:paraId="6EE70F05" w14:textId="0DC84F9D" w:rsidR="00545AF3" w:rsidRPr="00147911" w:rsidRDefault="00545AF3" w:rsidP="00166E33">
      <w:pPr>
        <w:pStyle w:val="CGC2025ParaNumbers"/>
        <w:tabs>
          <w:tab w:val="clear" w:pos="567"/>
        </w:tabs>
      </w:pPr>
      <w:r w:rsidRPr="00147911">
        <w:t>Some states supported removing routes to mines, gas wells, ports and national parks</w:t>
      </w:r>
      <w:r w:rsidR="00660CC9" w:rsidRPr="00147911">
        <w:t xml:space="preserve">. </w:t>
      </w:r>
      <w:r w:rsidRPr="00147911">
        <w:t>New South Wales</w:t>
      </w:r>
      <w:r w:rsidR="00813A63" w:rsidRPr="00147911">
        <w:t xml:space="preserve"> </w:t>
      </w:r>
      <w:r w:rsidR="00166E33" w:rsidRPr="00147911">
        <w:t xml:space="preserve">said </w:t>
      </w:r>
      <w:r w:rsidRPr="00147911">
        <w:t xml:space="preserve">these </w:t>
      </w:r>
      <w:r w:rsidR="00166E33" w:rsidRPr="00147911">
        <w:t xml:space="preserve">routes </w:t>
      </w:r>
      <w:r w:rsidRPr="00147911">
        <w:t>are often the responsibility of the private sector or local governments</w:t>
      </w:r>
      <w:r w:rsidR="00414785" w:rsidRPr="00147911">
        <w:t xml:space="preserve">, and </w:t>
      </w:r>
      <w:r w:rsidRPr="00147911">
        <w:t>roads to national parks are also often maintained at a lower standard to other state roads.</w:t>
      </w:r>
    </w:p>
    <w:p w14:paraId="7E4AF5A8" w14:textId="77777777" w:rsidR="003D22D0" w:rsidRPr="00147911" w:rsidRDefault="00545AF3" w:rsidP="003D22D0">
      <w:pPr>
        <w:pStyle w:val="CGC2025ParaNumbers"/>
        <w:tabs>
          <w:tab w:val="clear" w:pos="567"/>
        </w:tabs>
      </w:pPr>
      <w:r w:rsidRPr="00147911">
        <w:t xml:space="preserve">Queensland, Western Australia and South Australia disagreed with removing </w:t>
      </w:r>
      <w:r w:rsidR="003D22D0" w:rsidRPr="00147911">
        <w:t>these routes</w:t>
      </w:r>
      <w:r w:rsidRPr="00147911">
        <w:t>. Queensland said its routes to national parks were maintained at a similar standard to intra-urban state-type roads. Queensland also recommended including routes to all protected areas such as Indigenous Protected Areas, state forests and nature refuges. It preferred all routes within these areas and within national parks to be included in the network.</w:t>
      </w:r>
    </w:p>
    <w:p w14:paraId="2D680322" w14:textId="38105876" w:rsidR="007E2455" w:rsidRPr="00147911" w:rsidRDefault="00545AF3" w:rsidP="003D22D0">
      <w:pPr>
        <w:pStyle w:val="CGC2025ParaNumbers"/>
        <w:tabs>
          <w:tab w:val="clear" w:pos="567"/>
        </w:tabs>
      </w:pPr>
      <w:r w:rsidRPr="00147911">
        <w:t>Western Australia said there was not sufficient evidence that roads to national parks were maintained at a lower standard and did not support removing roads to mines without sufficient information on their private ownership.</w:t>
      </w:r>
    </w:p>
    <w:p w14:paraId="7B7AA5F4" w14:textId="77777777" w:rsidR="003D22D0" w:rsidRPr="00147911" w:rsidRDefault="003D22D0" w:rsidP="003D22D0">
      <w:pPr>
        <w:pStyle w:val="Heading4"/>
      </w:pPr>
      <w:r w:rsidRPr="00147911">
        <w:t>Commission response</w:t>
      </w:r>
    </w:p>
    <w:p w14:paraId="3E9A5197" w14:textId="600B5EEE" w:rsidR="00A6383A" w:rsidRPr="00147911" w:rsidRDefault="00A6383A" w:rsidP="00A6383A">
      <w:pPr>
        <w:pStyle w:val="CGC2025ParaNumbers"/>
        <w:tabs>
          <w:tab w:val="clear" w:pos="567"/>
        </w:tabs>
      </w:pPr>
      <w:r w:rsidRPr="00147911">
        <w:t xml:space="preserve">Of the routes to ports, mines, national parks and gas wells in the </w:t>
      </w:r>
      <w:r w:rsidR="00D50359" w:rsidRPr="00147911">
        <w:t xml:space="preserve">assessed </w:t>
      </w:r>
      <w:r w:rsidRPr="00147911">
        <w:t>rural road network, 52% are sealed, which is less than the 83% of sealed rural roads between towns (</w:t>
      </w:r>
      <w:r w:rsidR="0078647C" w:rsidRPr="00147911">
        <w:t>Table 1</w:t>
      </w:r>
      <w:r w:rsidR="00EA6ABF">
        <w:t>3</w:t>
      </w:r>
      <w:r w:rsidRPr="00147911">
        <w:t>).</w:t>
      </w:r>
    </w:p>
    <w:p w14:paraId="4138DD0E" w14:textId="1F77D414" w:rsidR="00A6383A" w:rsidRPr="00AF748C" w:rsidRDefault="00AF00B7" w:rsidP="00AF00B7">
      <w:pPr>
        <w:pStyle w:val="CGC2025Caption"/>
        <w:keepNext/>
        <w:keepLines/>
      </w:pPr>
      <w:bookmarkStart w:id="37" w:name="_Ref179985890"/>
      <w:r w:rsidRPr="00147911">
        <w:lastRenderedPageBreak/>
        <w:t xml:space="preserve">Table </w:t>
      </w:r>
      <w:bookmarkEnd w:id="37"/>
      <w:r w:rsidR="00A41A0F" w:rsidRPr="00147911">
        <w:t>1</w:t>
      </w:r>
      <w:r w:rsidR="00EA6ABF">
        <w:t>3</w:t>
      </w:r>
      <w:r w:rsidR="00A6383A" w:rsidRPr="00147911">
        <w:tab/>
        <w:t>Proportion of sealed roads on the rural road network</w:t>
      </w:r>
    </w:p>
    <w:tbl>
      <w:tblPr>
        <w:tblW w:w="8902" w:type="dxa"/>
        <w:tblLook w:val="04A0" w:firstRow="1" w:lastRow="0" w:firstColumn="1" w:lastColumn="0" w:noHBand="0" w:noVBand="1"/>
      </w:tblPr>
      <w:tblGrid>
        <w:gridCol w:w="2422"/>
        <w:gridCol w:w="686"/>
        <w:gridCol w:w="722"/>
        <w:gridCol w:w="727"/>
        <w:gridCol w:w="726"/>
        <w:gridCol w:w="630"/>
        <w:gridCol w:w="726"/>
        <w:gridCol w:w="642"/>
        <w:gridCol w:w="633"/>
        <w:gridCol w:w="988"/>
      </w:tblGrid>
      <w:tr w:rsidR="00A6383A" w:rsidRPr="00C45B35" w14:paraId="088F34EB" w14:textId="77777777" w:rsidTr="00537A7B">
        <w:trPr>
          <w:trHeight w:val="379"/>
        </w:trPr>
        <w:tc>
          <w:tcPr>
            <w:tcW w:w="2640" w:type="dxa"/>
            <w:tcBorders>
              <w:top w:val="nil"/>
              <w:left w:val="nil"/>
              <w:bottom w:val="nil"/>
              <w:right w:val="nil"/>
            </w:tcBorders>
            <w:shd w:val="clear" w:color="000000" w:fill="006991"/>
            <w:vAlign w:val="center"/>
            <w:hideMark/>
          </w:tcPr>
          <w:p w14:paraId="3D853BB3" w14:textId="77777777" w:rsidR="00A6383A" w:rsidRPr="00C45B35" w:rsidRDefault="00A6383A" w:rsidP="00AF00B7">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3B502528"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0CAE554A"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170A9EA0"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vAlign w:val="center"/>
            <w:hideMark/>
          </w:tcPr>
          <w:p w14:paraId="0D741015"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WA</w:t>
            </w:r>
          </w:p>
        </w:tc>
        <w:tc>
          <w:tcPr>
            <w:tcW w:w="660" w:type="dxa"/>
            <w:tcBorders>
              <w:top w:val="nil"/>
              <w:left w:val="nil"/>
              <w:bottom w:val="nil"/>
              <w:right w:val="nil"/>
            </w:tcBorders>
            <w:shd w:val="clear" w:color="000000" w:fill="006991"/>
            <w:vAlign w:val="center"/>
            <w:hideMark/>
          </w:tcPr>
          <w:p w14:paraId="3899B2B2"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SA</w:t>
            </w:r>
          </w:p>
        </w:tc>
        <w:tc>
          <w:tcPr>
            <w:tcW w:w="760" w:type="dxa"/>
            <w:tcBorders>
              <w:top w:val="nil"/>
              <w:left w:val="nil"/>
              <w:bottom w:val="nil"/>
              <w:right w:val="nil"/>
            </w:tcBorders>
            <w:shd w:val="clear" w:color="000000" w:fill="006991"/>
            <w:vAlign w:val="center"/>
            <w:hideMark/>
          </w:tcPr>
          <w:p w14:paraId="7B6931EC"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Tas</w:t>
            </w:r>
          </w:p>
        </w:tc>
        <w:tc>
          <w:tcPr>
            <w:tcW w:w="660" w:type="dxa"/>
            <w:tcBorders>
              <w:top w:val="nil"/>
              <w:left w:val="nil"/>
              <w:bottom w:val="nil"/>
              <w:right w:val="nil"/>
            </w:tcBorders>
            <w:shd w:val="clear" w:color="000000" w:fill="006991"/>
            <w:vAlign w:val="center"/>
            <w:hideMark/>
          </w:tcPr>
          <w:p w14:paraId="0DAD3415"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ACT</w:t>
            </w:r>
          </w:p>
        </w:tc>
        <w:tc>
          <w:tcPr>
            <w:tcW w:w="660" w:type="dxa"/>
            <w:tcBorders>
              <w:top w:val="nil"/>
              <w:left w:val="nil"/>
              <w:bottom w:val="nil"/>
              <w:right w:val="nil"/>
            </w:tcBorders>
            <w:shd w:val="clear" w:color="000000" w:fill="006991"/>
            <w:vAlign w:val="center"/>
            <w:hideMark/>
          </w:tcPr>
          <w:p w14:paraId="48B3BB28"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NT</w:t>
            </w:r>
          </w:p>
        </w:tc>
        <w:tc>
          <w:tcPr>
            <w:tcW w:w="1040" w:type="dxa"/>
            <w:tcBorders>
              <w:top w:val="nil"/>
              <w:left w:val="nil"/>
              <w:bottom w:val="nil"/>
              <w:right w:val="nil"/>
            </w:tcBorders>
            <w:shd w:val="clear" w:color="000000" w:fill="006991"/>
            <w:vAlign w:val="center"/>
            <w:hideMark/>
          </w:tcPr>
          <w:p w14:paraId="321FC9D8"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B35">
              <w:rPr>
                <w:rFonts w:ascii="Open Sans Semibold" w:eastAsia="Times New Roman" w:hAnsi="Open Sans Semibold" w:cs="Open Sans Semibold"/>
                <w:color w:val="FFFFFF"/>
                <w:sz w:val="16"/>
                <w:szCs w:val="16"/>
                <w:lang w:eastAsia="en-AU"/>
              </w:rPr>
              <w:t>Total</w:t>
            </w:r>
          </w:p>
        </w:tc>
      </w:tr>
      <w:tr w:rsidR="00A6383A" w:rsidRPr="00C45B35" w14:paraId="09839DC6" w14:textId="77777777" w:rsidTr="00537A7B">
        <w:trPr>
          <w:trHeight w:val="259"/>
        </w:trPr>
        <w:tc>
          <w:tcPr>
            <w:tcW w:w="2640" w:type="dxa"/>
            <w:tcBorders>
              <w:top w:val="single" w:sz="4" w:space="0" w:color="ADD6EA"/>
              <w:left w:val="nil"/>
              <w:bottom w:val="nil"/>
              <w:right w:val="nil"/>
            </w:tcBorders>
            <w:shd w:val="clear" w:color="000000" w:fill="B6D5E4"/>
            <w:vAlign w:val="bottom"/>
            <w:hideMark/>
          </w:tcPr>
          <w:p w14:paraId="78EDDFDA" w14:textId="77777777" w:rsidR="00A6383A" w:rsidRPr="00C45B35" w:rsidRDefault="00A6383A" w:rsidP="00AF00B7">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vAlign w:val="bottom"/>
            <w:hideMark/>
          </w:tcPr>
          <w:p w14:paraId="58B1AF25"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c>
          <w:tcPr>
            <w:tcW w:w="760" w:type="dxa"/>
            <w:tcBorders>
              <w:top w:val="single" w:sz="4" w:space="0" w:color="ADD6EA"/>
              <w:left w:val="nil"/>
              <w:bottom w:val="nil"/>
              <w:right w:val="nil"/>
            </w:tcBorders>
            <w:shd w:val="clear" w:color="000000" w:fill="B6D5E4"/>
            <w:vAlign w:val="bottom"/>
            <w:hideMark/>
          </w:tcPr>
          <w:p w14:paraId="33990F82"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c>
          <w:tcPr>
            <w:tcW w:w="760" w:type="dxa"/>
            <w:tcBorders>
              <w:top w:val="single" w:sz="4" w:space="0" w:color="ADD6EA"/>
              <w:left w:val="nil"/>
              <w:bottom w:val="nil"/>
              <w:right w:val="nil"/>
            </w:tcBorders>
            <w:shd w:val="clear" w:color="000000" w:fill="B6D5E4"/>
            <w:vAlign w:val="bottom"/>
            <w:hideMark/>
          </w:tcPr>
          <w:p w14:paraId="11F4CBBD"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c>
          <w:tcPr>
            <w:tcW w:w="760" w:type="dxa"/>
            <w:tcBorders>
              <w:top w:val="single" w:sz="4" w:space="0" w:color="ADD6EA"/>
              <w:left w:val="nil"/>
              <w:bottom w:val="nil"/>
              <w:right w:val="nil"/>
            </w:tcBorders>
            <w:shd w:val="clear" w:color="000000" w:fill="B6D5E4"/>
            <w:vAlign w:val="bottom"/>
            <w:hideMark/>
          </w:tcPr>
          <w:p w14:paraId="7738DF82"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c>
          <w:tcPr>
            <w:tcW w:w="660" w:type="dxa"/>
            <w:tcBorders>
              <w:top w:val="single" w:sz="4" w:space="0" w:color="ADD6EA"/>
              <w:left w:val="nil"/>
              <w:bottom w:val="nil"/>
              <w:right w:val="nil"/>
            </w:tcBorders>
            <w:shd w:val="clear" w:color="000000" w:fill="B6D5E4"/>
            <w:vAlign w:val="bottom"/>
            <w:hideMark/>
          </w:tcPr>
          <w:p w14:paraId="5BE373DD"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c>
          <w:tcPr>
            <w:tcW w:w="760" w:type="dxa"/>
            <w:tcBorders>
              <w:top w:val="single" w:sz="4" w:space="0" w:color="ADD6EA"/>
              <w:left w:val="nil"/>
              <w:bottom w:val="nil"/>
              <w:right w:val="nil"/>
            </w:tcBorders>
            <w:shd w:val="clear" w:color="000000" w:fill="B6D5E4"/>
            <w:vAlign w:val="bottom"/>
            <w:hideMark/>
          </w:tcPr>
          <w:p w14:paraId="3FE0C605"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c>
          <w:tcPr>
            <w:tcW w:w="660" w:type="dxa"/>
            <w:tcBorders>
              <w:top w:val="single" w:sz="4" w:space="0" w:color="ADD6EA"/>
              <w:left w:val="nil"/>
              <w:bottom w:val="nil"/>
              <w:right w:val="nil"/>
            </w:tcBorders>
            <w:shd w:val="clear" w:color="000000" w:fill="B6D5E4"/>
            <w:vAlign w:val="bottom"/>
            <w:hideMark/>
          </w:tcPr>
          <w:p w14:paraId="2D197466"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c>
          <w:tcPr>
            <w:tcW w:w="660" w:type="dxa"/>
            <w:tcBorders>
              <w:top w:val="single" w:sz="4" w:space="0" w:color="ADD6EA"/>
              <w:left w:val="nil"/>
              <w:bottom w:val="nil"/>
              <w:right w:val="nil"/>
            </w:tcBorders>
            <w:shd w:val="clear" w:color="000000" w:fill="B6D5E4"/>
            <w:vAlign w:val="bottom"/>
            <w:hideMark/>
          </w:tcPr>
          <w:p w14:paraId="44934AF1"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c>
          <w:tcPr>
            <w:tcW w:w="1040" w:type="dxa"/>
            <w:tcBorders>
              <w:top w:val="single" w:sz="4" w:space="0" w:color="ADD6EA"/>
              <w:left w:val="nil"/>
              <w:bottom w:val="nil"/>
              <w:right w:val="nil"/>
            </w:tcBorders>
            <w:shd w:val="clear" w:color="000000" w:fill="B6D5E4"/>
            <w:vAlign w:val="bottom"/>
            <w:hideMark/>
          </w:tcPr>
          <w:p w14:paraId="61AEC9E1" w14:textId="77777777" w:rsidR="00A6383A" w:rsidRPr="00C45B35" w:rsidRDefault="00A6383A" w:rsidP="00AF00B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45B35">
              <w:rPr>
                <w:rFonts w:ascii="Open Sans Semibold" w:eastAsia="Times New Roman" w:hAnsi="Open Sans Semibold" w:cs="Open Sans Semibold"/>
                <w:color w:val="000000"/>
                <w:sz w:val="16"/>
                <w:szCs w:val="16"/>
                <w:lang w:eastAsia="en-AU"/>
              </w:rPr>
              <w:t>%</w:t>
            </w:r>
          </w:p>
        </w:tc>
      </w:tr>
      <w:tr w:rsidR="00A6383A" w:rsidRPr="00C45B35" w14:paraId="6841D132" w14:textId="77777777" w:rsidTr="00537A7B">
        <w:trPr>
          <w:trHeight w:val="552"/>
        </w:trPr>
        <w:tc>
          <w:tcPr>
            <w:tcW w:w="2640" w:type="dxa"/>
            <w:tcBorders>
              <w:top w:val="single" w:sz="4" w:space="0" w:color="ADD6EA"/>
              <w:left w:val="nil"/>
              <w:bottom w:val="nil"/>
              <w:right w:val="nil"/>
            </w:tcBorders>
            <w:shd w:val="clear" w:color="000000" w:fill="FFFFFF"/>
            <w:vAlign w:val="bottom"/>
            <w:hideMark/>
          </w:tcPr>
          <w:p w14:paraId="19487106" w14:textId="77777777" w:rsidR="00A6383A" w:rsidRPr="00E75E5D" w:rsidRDefault="00A6383A" w:rsidP="00AF00B7">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Roads to ports, mines, national parks and gas wells</w:t>
            </w:r>
          </w:p>
        </w:tc>
        <w:tc>
          <w:tcPr>
            <w:tcW w:w="700" w:type="dxa"/>
            <w:tcBorders>
              <w:top w:val="single" w:sz="4" w:space="0" w:color="ADD6EA"/>
              <w:left w:val="nil"/>
              <w:bottom w:val="nil"/>
              <w:right w:val="nil"/>
            </w:tcBorders>
            <w:shd w:val="clear" w:color="000000" w:fill="FFFFFF"/>
            <w:vAlign w:val="bottom"/>
            <w:hideMark/>
          </w:tcPr>
          <w:p w14:paraId="0B24C096"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40</w:t>
            </w:r>
          </w:p>
        </w:tc>
        <w:tc>
          <w:tcPr>
            <w:tcW w:w="760" w:type="dxa"/>
            <w:tcBorders>
              <w:top w:val="single" w:sz="4" w:space="0" w:color="ADD6EA"/>
              <w:left w:val="nil"/>
              <w:bottom w:val="nil"/>
              <w:right w:val="nil"/>
            </w:tcBorders>
            <w:shd w:val="clear" w:color="000000" w:fill="FFFFFF"/>
            <w:vAlign w:val="bottom"/>
            <w:hideMark/>
          </w:tcPr>
          <w:p w14:paraId="1BFCDFF5"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61</w:t>
            </w:r>
          </w:p>
        </w:tc>
        <w:tc>
          <w:tcPr>
            <w:tcW w:w="760" w:type="dxa"/>
            <w:tcBorders>
              <w:top w:val="single" w:sz="4" w:space="0" w:color="ADD6EA"/>
              <w:left w:val="nil"/>
              <w:bottom w:val="nil"/>
              <w:right w:val="nil"/>
            </w:tcBorders>
            <w:shd w:val="clear" w:color="000000" w:fill="FFFFFF"/>
            <w:vAlign w:val="bottom"/>
            <w:hideMark/>
          </w:tcPr>
          <w:p w14:paraId="4F288CF3"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76</w:t>
            </w:r>
          </w:p>
        </w:tc>
        <w:tc>
          <w:tcPr>
            <w:tcW w:w="760" w:type="dxa"/>
            <w:tcBorders>
              <w:top w:val="single" w:sz="4" w:space="0" w:color="ADD6EA"/>
              <w:left w:val="nil"/>
              <w:bottom w:val="nil"/>
              <w:right w:val="nil"/>
            </w:tcBorders>
            <w:shd w:val="clear" w:color="000000" w:fill="FFFFFF"/>
            <w:vAlign w:val="bottom"/>
            <w:hideMark/>
          </w:tcPr>
          <w:p w14:paraId="61B42309"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36</w:t>
            </w:r>
          </w:p>
        </w:tc>
        <w:tc>
          <w:tcPr>
            <w:tcW w:w="660" w:type="dxa"/>
            <w:tcBorders>
              <w:top w:val="single" w:sz="4" w:space="0" w:color="ADD6EA"/>
              <w:left w:val="nil"/>
              <w:bottom w:val="nil"/>
              <w:right w:val="nil"/>
            </w:tcBorders>
            <w:shd w:val="clear" w:color="000000" w:fill="FFFFFF"/>
            <w:vAlign w:val="bottom"/>
            <w:hideMark/>
          </w:tcPr>
          <w:p w14:paraId="56B10B87"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27</w:t>
            </w:r>
          </w:p>
        </w:tc>
        <w:tc>
          <w:tcPr>
            <w:tcW w:w="760" w:type="dxa"/>
            <w:tcBorders>
              <w:top w:val="single" w:sz="4" w:space="0" w:color="ADD6EA"/>
              <w:left w:val="nil"/>
              <w:bottom w:val="nil"/>
              <w:right w:val="nil"/>
            </w:tcBorders>
            <w:shd w:val="clear" w:color="000000" w:fill="FFFFFF"/>
            <w:vAlign w:val="bottom"/>
            <w:hideMark/>
          </w:tcPr>
          <w:p w14:paraId="61140C2A"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44</w:t>
            </w:r>
          </w:p>
        </w:tc>
        <w:tc>
          <w:tcPr>
            <w:tcW w:w="660" w:type="dxa"/>
            <w:tcBorders>
              <w:top w:val="single" w:sz="4" w:space="0" w:color="ADD6EA"/>
              <w:left w:val="nil"/>
              <w:bottom w:val="nil"/>
              <w:right w:val="nil"/>
            </w:tcBorders>
            <w:shd w:val="clear" w:color="000000" w:fill="FFFFFF"/>
            <w:vAlign w:val="bottom"/>
            <w:hideMark/>
          </w:tcPr>
          <w:p w14:paraId="59238418"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69</w:t>
            </w:r>
          </w:p>
        </w:tc>
        <w:tc>
          <w:tcPr>
            <w:tcW w:w="660" w:type="dxa"/>
            <w:tcBorders>
              <w:top w:val="single" w:sz="4" w:space="0" w:color="ADD6EA"/>
              <w:left w:val="nil"/>
              <w:bottom w:val="nil"/>
              <w:right w:val="nil"/>
            </w:tcBorders>
            <w:shd w:val="clear" w:color="000000" w:fill="FFFFFF"/>
            <w:vAlign w:val="bottom"/>
            <w:hideMark/>
          </w:tcPr>
          <w:p w14:paraId="428F6895"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32</w:t>
            </w:r>
          </w:p>
        </w:tc>
        <w:tc>
          <w:tcPr>
            <w:tcW w:w="1040" w:type="dxa"/>
            <w:tcBorders>
              <w:top w:val="single" w:sz="4" w:space="0" w:color="ADD6EA"/>
              <w:left w:val="nil"/>
              <w:bottom w:val="nil"/>
              <w:right w:val="nil"/>
            </w:tcBorders>
            <w:shd w:val="clear" w:color="000000" w:fill="FFFFFF"/>
            <w:vAlign w:val="bottom"/>
            <w:hideMark/>
          </w:tcPr>
          <w:p w14:paraId="12ABEA22"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52</w:t>
            </w:r>
          </w:p>
        </w:tc>
      </w:tr>
      <w:tr w:rsidR="00A6383A" w:rsidRPr="00C45B35" w14:paraId="3EC19A45" w14:textId="77777777" w:rsidTr="00537A7B">
        <w:trPr>
          <w:trHeight w:val="319"/>
        </w:trPr>
        <w:tc>
          <w:tcPr>
            <w:tcW w:w="2640" w:type="dxa"/>
            <w:tcBorders>
              <w:top w:val="single" w:sz="4" w:space="0" w:color="ADD6EA"/>
              <w:left w:val="nil"/>
              <w:bottom w:val="single" w:sz="4" w:space="0" w:color="ADD6EA"/>
              <w:right w:val="nil"/>
            </w:tcBorders>
            <w:shd w:val="clear" w:color="000000" w:fill="FFFFFF"/>
            <w:vAlign w:val="bottom"/>
            <w:hideMark/>
          </w:tcPr>
          <w:p w14:paraId="400369DE" w14:textId="77777777" w:rsidR="00A6383A" w:rsidRPr="00E75E5D" w:rsidRDefault="00A6383A" w:rsidP="00AF00B7">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Rural roads between towns</w:t>
            </w:r>
          </w:p>
        </w:tc>
        <w:tc>
          <w:tcPr>
            <w:tcW w:w="700" w:type="dxa"/>
            <w:tcBorders>
              <w:top w:val="single" w:sz="4" w:space="0" w:color="ADD6EA"/>
              <w:left w:val="nil"/>
              <w:bottom w:val="single" w:sz="4" w:space="0" w:color="ADD6EA"/>
              <w:right w:val="nil"/>
            </w:tcBorders>
            <w:shd w:val="clear" w:color="000000" w:fill="FFFFFF"/>
            <w:vAlign w:val="bottom"/>
            <w:hideMark/>
          </w:tcPr>
          <w:p w14:paraId="5E014968"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86</w:t>
            </w:r>
          </w:p>
        </w:tc>
        <w:tc>
          <w:tcPr>
            <w:tcW w:w="760" w:type="dxa"/>
            <w:tcBorders>
              <w:top w:val="single" w:sz="4" w:space="0" w:color="ADD6EA"/>
              <w:left w:val="nil"/>
              <w:bottom w:val="single" w:sz="4" w:space="0" w:color="ADD6EA"/>
              <w:right w:val="nil"/>
            </w:tcBorders>
            <w:shd w:val="clear" w:color="000000" w:fill="FFFFFF"/>
            <w:vAlign w:val="bottom"/>
            <w:hideMark/>
          </w:tcPr>
          <w:p w14:paraId="7269F9DD"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92</w:t>
            </w:r>
          </w:p>
        </w:tc>
        <w:tc>
          <w:tcPr>
            <w:tcW w:w="760" w:type="dxa"/>
            <w:tcBorders>
              <w:top w:val="single" w:sz="4" w:space="0" w:color="ADD6EA"/>
              <w:left w:val="nil"/>
              <w:bottom w:val="single" w:sz="4" w:space="0" w:color="ADD6EA"/>
              <w:right w:val="nil"/>
            </w:tcBorders>
            <w:shd w:val="clear" w:color="000000" w:fill="FFFFFF"/>
            <w:vAlign w:val="bottom"/>
            <w:hideMark/>
          </w:tcPr>
          <w:p w14:paraId="66A38061"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95</w:t>
            </w:r>
          </w:p>
        </w:tc>
        <w:tc>
          <w:tcPr>
            <w:tcW w:w="760" w:type="dxa"/>
            <w:tcBorders>
              <w:top w:val="single" w:sz="4" w:space="0" w:color="ADD6EA"/>
              <w:left w:val="nil"/>
              <w:bottom w:val="single" w:sz="4" w:space="0" w:color="ADD6EA"/>
              <w:right w:val="nil"/>
            </w:tcBorders>
            <w:shd w:val="clear" w:color="000000" w:fill="FFFFFF"/>
            <w:vAlign w:val="bottom"/>
            <w:hideMark/>
          </w:tcPr>
          <w:p w14:paraId="2980F510"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76</w:t>
            </w:r>
          </w:p>
        </w:tc>
        <w:tc>
          <w:tcPr>
            <w:tcW w:w="660" w:type="dxa"/>
            <w:tcBorders>
              <w:top w:val="single" w:sz="4" w:space="0" w:color="ADD6EA"/>
              <w:left w:val="nil"/>
              <w:bottom w:val="single" w:sz="4" w:space="0" w:color="ADD6EA"/>
              <w:right w:val="nil"/>
            </w:tcBorders>
            <w:shd w:val="clear" w:color="000000" w:fill="FFFFFF"/>
            <w:vAlign w:val="bottom"/>
            <w:hideMark/>
          </w:tcPr>
          <w:p w14:paraId="534628E6"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79</w:t>
            </w:r>
          </w:p>
        </w:tc>
        <w:tc>
          <w:tcPr>
            <w:tcW w:w="760" w:type="dxa"/>
            <w:tcBorders>
              <w:top w:val="single" w:sz="4" w:space="0" w:color="ADD6EA"/>
              <w:left w:val="nil"/>
              <w:bottom w:val="single" w:sz="4" w:space="0" w:color="ADD6EA"/>
              <w:right w:val="nil"/>
            </w:tcBorders>
            <w:shd w:val="clear" w:color="000000" w:fill="FFFFFF"/>
            <w:vAlign w:val="bottom"/>
            <w:hideMark/>
          </w:tcPr>
          <w:p w14:paraId="459BE156"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91</w:t>
            </w:r>
          </w:p>
        </w:tc>
        <w:tc>
          <w:tcPr>
            <w:tcW w:w="660" w:type="dxa"/>
            <w:tcBorders>
              <w:top w:val="single" w:sz="4" w:space="0" w:color="ADD6EA"/>
              <w:left w:val="nil"/>
              <w:bottom w:val="single" w:sz="4" w:space="0" w:color="ADD6EA"/>
              <w:right w:val="nil"/>
            </w:tcBorders>
            <w:shd w:val="clear" w:color="000000" w:fill="FFFFFF"/>
            <w:vAlign w:val="bottom"/>
            <w:hideMark/>
          </w:tcPr>
          <w:p w14:paraId="08207BA9"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98</w:t>
            </w:r>
          </w:p>
        </w:tc>
        <w:tc>
          <w:tcPr>
            <w:tcW w:w="660" w:type="dxa"/>
            <w:tcBorders>
              <w:top w:val="single" w:sz="4" w:space="0" w:color="ADD6EA"/>
              <w:left w:val="nil"/>
              <w:bottom w:val="single" w:sz="4" w:space="0" w:color="ADD6EA"/>
              <w:right w:val="nil"/>
            </w:tcBorders>
            <w:shd w:val="clear" w:color="000000" w:fill="FFFFFF"/>
            <w:vAlign w:val="bottom"/>
            <w:hideMark/>
          </w:tcPr>
          <w:p w14:paraId="6134A695"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45</w:t>
            </w:r>
          </w:p>
        </w:tc>
        <w:tc>
          <w:tcPr>
            <w:tcW w:w="1040" w:type="dxa"/>
            <w:tcBorders>
              <w:top w:val="single" w:sz="4" w:space="0" w:color="ADD6EA"/>
              <w:left w:val="nil"/>
              <w:bottom w:val="single" w:sz="4" w:space="0" w:color="ADD6EA"/>
              <w:right w:val="nil"/>
            </w:tcBorders>
            <w:shd w:val="clear" w:color="000000" w:fill="FFFFFF"/>
            <w:vAlign w:val="bottom"/>
            <w:hideMark/>
          </w:tcPr>
          <w:p w14:paraId="3BE79811" w14:textId="77777777" w:rsidR="00A6383A" w:rsidRPr="00E75E5D" w:rsidRDefault="00A6383A" w:rsidP="00AF00B7">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E75E5D">
              <w:rPr>
                <w:rFonts w:ascii="Open Sans Light" w:eastAsia="Times New Roman" w:hAnsi="Open Sans Light" w:cs="Open Sans Light"/>
                <w:color w:val="000000"/>
                <w:sz w:val="16"/>
                <w:szCs w:val="16"/>
                <w:lang w:eastAsia="en-AU"/>
              </w:rPr>
              <w:t>83</w:t>
            </w:r>
          </w:p>
        </w:tc>
      </w:tr>
    </w:tbl>
    <w:p w14:paraId="24481798" w14:textId="77777777" w:rsidR="00A6383A" w:rsidRPr="00AF748C" w:rsidRDefault="00A6383A" w:rsidP="00AF00B7">
      <w:pPr>
        <w:pStyle w:val="CGC2025TableNote"/>
        <w:keepNext/>
        <w:keepLines/>
      </w:pPr>
      <w:r w:rsidRPr="00AF748C">
        <w:t>Source:</w:t>
      </w:r>
      <w:r w:rsidRPr="00AF748C">
        <w:tab/>
        <w:t xml:space="preserve">Commission calculation and Geoscience Australia, </w:t>
      </w:r>
      <w:hyperlink r:id="rId40" w:history="1">
        <w:r w:rsidRPr="00AF748C">
          <w:rPr>
            <w:rStyle w:val="Hyperlink"/>
          </w:rPr>
          <w:t>National Roads</w:t>
        </w:r>
      </w:hyperlink>
      <w:r w:rsidRPr="00AF748C">
        <w:t xml:space="preserve"> [ESRI ARC geodatabase file format], Digital Atlas website, 2023, accessed 27 July 2023.</w:t>
      </w:r>
    </w:p>
    <w:p w14:paraId="0329E035" w14:textId="2D2D17CC" w:rsidR="00D144AB" w:rsidRPr="00D944C0" w:rsidRDefault="00532173" w:rsidP="009262E6">
      <w:pPr>
        <w:pStyle w:val="CGC2025ParaNumbers"/>
        <w:tabs>
          <w:tab w:val="clear" w:pos="567"/>
        </w:tabs>
      </w:pPr>
      <w:r w:rsidRPr="00D944C0">
        <w:t>In proposing the removal of roads</w:t>
      </w:r>
      <w:r w:rsidR="008F0215" w:rsidRPr="00D944C0">
        <w:t xml:space="preserve"> </w:t>
      </w:r>
      <w:r w:rsidR="007C5455" w:rsidRPr="00D944C0">
        <w:t xml:space="preserve">to </w:t>
      </w:r>
      <w:r w:rsidR="008F0215" w:rsidRPr="00D944C0">
        <w:t>mines, gas wells, ports and national parks</w:t>
      </w:r>
      <w:r w:rsidR="00D144AB" w:rsidRPr="00D944C0">
        <w:t xml:space="preserve">, the Commission noted </w:t>
      </w:r>
      <w:r w:rsidR="00607C98" w:rsidRPr="00D944C0">
        <w:t>the potential to simplify the model, recognis</w:t>
      </w:r>
      <w:r w:rsidR="00B22462" w:rsidRPr="00D944C0">
        <w:t>ing</w:t>
      </w:r>
      <w:r w:rsidR="00607C98" w:rsidRPr="00D944C0">
        <w:t xml:space="preserve"> the </w:t>
      </w:r>
      <w:r w:rsidR="00287A58" w:rsidRPr="00D944C0">
        <w:t xml:space="preserve">prospect of the private sector </w:t>
      </w:r>
      <w:r w:rsidR="0092104B" w:rsidRPr="00D944C0">
        <w:t>contributing to costs</w:t>
      </w:r>
      <w:r w:rsidR="00005545" w:rsidRPr="00D944C0">
        <w:t>,</w:t>
      </w:r>
      <w:r w:rsidR="0092104B" w:rsidRPr="00D944C0">
        <w:t xml:space="preserve"> and </w:t>
      </w:r>
      <w:r w:rsidR="00B14E94" w:rsidRPr="00D944C0">
        <w:t xml:space="preserve">also </w:t>
      </w:r>
      <w:r w:rsidR="00554BC1" w:rsidRPr="00D944C0">
        <w:t>recognis</w:t>
      </w:r>
      <w:r w:rsidR="00B14E94" w:rsidRPr="00D944C0">
        <w:t>ing</w:t>
      </w:r>
      <w:r w:rsidR="00554BC1" w:rsidRPr="00D944C0">
        <w:t xml:space="preserve"> </w:t>
      </w:r>
      <w:r w:rsidR="00787C9E" w:rsidRPr="00D944C0">
        <w:t>the lower likelihood of this type of road being sealed.</w:t>
      </w:r>
    </w:p>
    <w:p w14:paraId="40A5435B" w14:textId="64DF55B7" w:rsidR="00D054DC" w:rsidRPr="00D944C0" w:rsidRDefault="005574CF" w:rsidP="008C1313">
      <w:pPr>
        <w:pStyle w:val="CGC2025ParaNumbers"/>
        <w:tabs>
          <w:tab w:val="clear" w:pos="567"/>
        </w:tabs>
      </w:pPr>
      <w:r w:rsidRPr="00D944C0">
        <w:t>However</w:t>
      </w:r>
      <w:r w:rsidR="0013330D" w:rsidRPr="00D944C0">
        <w:t xml:space="preserve">, </w:t>
      </w:r>
      <w:r w:rsidR="00A563AF" w:rsidRPr="00D944C0">
        <w:t>more than</w:t>
      </w:r>
      <w:r w:rsidR="00732258" w:rsidRPr="00D944C0">
        <w:t xml:space="preserve"> half of these roads are sealed</w:t>
      </w:r>
      <w:r w:rsidR="00A33E3E" w:rsidRPr="00D944C0">
        <w:t xml:space="preserve">, and there may be reasons outside a state’s control to have such roads. </w:t>
      </w:r>
      <w:r w:rsidR="00D370F3" w:rsidRPr="00D944C0">
        <w:t>In addition, t</w:t>
      </w:r>
      <w:r w:rsidR="00A33E3E" w:rsidRPr="00D944C0">
        <w:t xml:space="preserve">he Commission does not have </w:t>
      </w:r>
      <w:r w:rsidR="004E0A86" w:rsidRPr="00D944C0">
        <w:t>information on private funding of roads to mines.</w:t>
      </w:r>
      <w:r w:rsidR="00065A86" w:rsidRPr="00D944C0" w:rsidDel="00065A86">
        <w:t xml:space="preserve"> </w:t>
      </w:r>
    </w:p>
    <w:p w14:paraId="4ADBF7F3" w14:textId="59F10A1F" w:rsidR="00B43504" w:rsidRPr="00D944C0" w:rsidRDefault="001356F1">
      <w:pPr>
        <w:pStyle w:val="CGC2025ParaNumbers"/>
        <w:tabs>
          <w:tab w:val="clear" w:pos="567"/>
        </w:tabs>
      </w:pPr>
      <w:r w:rsidRPr="00D944C0">
        <w:t xml:space="preserve">On balance, </w:t>
      </w:r>
      <w:r w:rsidR="00B87882" w:rsidRPr="00D944C0">
        <w:t>t</w:t>
      </w:r>
      <w:r w:rsidR="00A6383A" w:rsidRPr="00D944C0">
        <w:t xml:space="preserve">he Commission </w:t>
      </w:r>
      <w:r w:rsidR="00101F3C">
        <w:t>will</w:t>
      </w:r>
      <w:r w:rsidR="00A6383A" w:rsidRPr="00D944C0">
        <w:t xml:space="preserve"> retain the routes to mines, gas wells, ports and national parks in the rural roads assessment</w:t>
      </w:r>
      <w:r w:rsidR="00305642" w:rsidRPr="00D944C0">
        <w:t xml:space="preserve"> as there is ins</w:t>
      </w:r>
      <w:r w:rsidR="009457E0" w:rsidRPr="00D944C0">
        <w:t>ufficient evidence to remove them</w:t>
      </w:r>
      <w:r w:rsidR="00A6383A" w:rsidRPr="00D944C0">
        <w:t>.</w:t>
      </w:r>
      <w:r w:rsidR="003C4A3D" w:rsidRPr="00D944C0">
        <w:t xml:space="preserve"> </w:t>
      </w:r>
    </w:p>
    <w:p w14:paraId="21D874E8" w14:textId="30FB77B0" w:rsidR="003D22D0" w:rsidRPr="00D944C0" w:rsidRDefault="003D22D0" w:rsidP="003D22D0">
      <w:pPr>
        <w:pStyle w:val="Heading4"/>
      </w:pPr>
      <w:r w:rsidRPr="00D944C0">
        <w:t>Commission position</w:t>
      </w:r>
    </w:p>
    <w:p w14:paraId="01609EEC" w14:textId="5333D694" w:rsidR="002E1C50" w:rsidRPr="001B0B4C" w:rsidRDefault="00744835" w:rsidP="001B0B4C">
      <w:pPr>
        <w:pStyle w:val="CGC2025ParaNumbers"/>
      </w:pPr>
      <w:r w:rsidRPr="00D944C0">
        <w:t xml:space="preserve">The Commission will retain the 2020 Review method for </w:t>
      </w:r>
      <w:r w:rsidR="008903B9" w:rsidRPr="00D944C0">
        <w:t xml:space="preserve">assessing </w:t>
      </w:r>
      <w:r w:rsidRPr="00D944C0">
        <w:t xml:space="preserve">rural road </w:t>
      </w:r>
      <w:r w:rsidR="008903B9" w:rsidRPr="00D944C0">
        <w:t>length</w:t>
      </w:r>
      <w:r w:rsidRPr="00D944C0">
        <w:t xml:space="preserve">, </w:t>
      </w:r>
      <w:r w:rsidR="00E31CA3" w:rsidRPr="00D944C0">
        <w:t>and include</w:t>
      </w:r>
      <w:r w:rsidRPr="00D944C0">
        <w:t xml:space="preserve"> routes to mines, national parks, gas wells and ports.</w:t>
      </w:r>
    </w:p>
    <w:p w14:paraId="3E3BE086" w14:textId="5F880CD1" w:rsidR="005843E7" w:rsidRPr="00C05586" w:rsidRDefault="005843E7" w:rsidP="001F12CD">
      <w:pPr>
        <w:pStyle w:val="Heading3"/>
      </w:pPr>
      <w:r w:rsidRPr="00C05586">
        <w:t xml:space="preserve">Indicative impact on GST distribution of changes </w:t>
      </w:r>
      <w:r w:rsidR="00F02DFE" w:rsidRPr="00C05586">
        <w:t xml:space="preserve">since the Draft Report </w:t>
      </w:r>
      <w:r w:rsidRPr="00C05586">
        <w:t xml:space="preserve">in </w:t>
      </w:r>
      <w:r w:rsidR="00F02DFE" w:rsidRPr="00C05586">
        <w:t>the</w:t>
      </w:r>
      <w:r w:rsidRPr="00C05586">
        <w:t xml:space="preserve"> assessment of </w:t>
      </w:r>
      <w:r w:rsidR="001C30D0" w:rsidRPr="00C05586">
        <w:t>roads</w:t>
      </w:r>
      <w:r w:rsidR="00B84967" w:rsidRPr="00C05586">
        <w:t xml:space="preserve"> </w:t>
      </w:r>
    </w:p>
    <w:p w14:paraId="6354F844" w14:textId="5C72571D" w:rsidR="00E923A8" w:rsidRPr="00C05586" w:rsidRDefault="00461ECC" w:rsidP="001F12CD">
      <w:pPr>
        <w:pStyle w:val="CGC2025ParaNumbers"/>
      </w:pPr>
      <w:r w:rsidRPr="00C05586">
        <w:t>In both th</w:t>
      </w:r>
      <w:r w:rsidR="007E3DD4" w:rsidRPr="00C05586">
        <w:t>e 2024 Update and the 2025 Review,</w:t>
      </w:r>
      <w:r w:rsidR="008231FD" w:rsidRPr="00C05586">
        <w:t xml:space="preserve"> ro</w:t>
      </w:r>
      <w:r w:rsidR="001A3B87" w:rsidRPr="00C05586">
        <w:t>utes</w:t>
      </w:r>
      <w:r w:rsidR="008231FD" w:rsidRPr="00C05586">
        <w:t xml:space="preserve"> to mines</w:t>
      </w:r>
      <w:r w:rsidR="001A3B87" w:rsidRPr="00C05586">
        <w:t>,</w:t>
      </w:r>
      <w:r w:rsidR="008231FD" w:rsidRPr="00C05586">
        <w:t xml:space="preserve"> gas wells, ports and national parks </w:t>
      </w:r>
      <w:r w:rsidR="007E3DD4" w:rsidRPr="00C05586">
        <w:t xml:space="preserve">are included </w:t>
      </w:r>
      <w:r w:rsidR="008231FD" w:rsidRPr="00C05586">
        <w:t>in the rural road</w:t>
      </w:r>
      <w:r w:rsidR="00A141CA" w:rsidRPr="00C05586">
        <w:t xml:space="preserve"> length</w:t>
      </w:r>
      <w:r w:rsidR="008231FD" w:rsidRPr="00C05586">
        <w:t xml:space="preserve"> assessment</w:t>
      </w:r>
      <w:r w:rsidR="007E3DD4" w:rsidRPr="00C05586">
        <w:t>. As such</w:t>
      </w:r>
      <w:r w:rsidR="008231FD" w:rsidRPr="00C05586">
        <w:t xml:space="preserve">, </w:t>
      </w:r>
      <w:r w:rsidR="00E923A8" w:rsidRPr="00C05586">
        <w:t>there is no change in the GST distribution between the 2024 Update and the 2025 Review</w:t>
      </w:r>
      <w:r w:rsidR="001D21A7" w:rsidRPr="00C05586">
        <w:t xml:space="preserve"> associated with </w:t>
      </w:r>
      <w:r w:rsidR="008C3E51" w:rsidRPr="00C05586">
        <w:t>assessed rural road leng</w:t>
      </w:r>
      <w:r w:rsidR="006206B7" w:rsidRPr="00C05586">
        <w:t>th</w:t>
      </w:r>
      <w:r w:rsidR="001D21A7" w:rsidRPr="00C05586">
        <w:t>.</w:t>
      </w:r>
      <w:r w:rsidR="00E923A8" w:rsidRPr="00C05586">
        <w:t xml:space="preserve"> </w:t>
      </w:r>
    </w:p>
    <w:p w14:paraId="4397009A" w14:textId="5D217440" w:rsidR="00343F36" w:rsidRDefault="00343F36" w:rsidP="001F12CD">
      <w:pPr>
        <w:pStyle w:val="Heading2"/>
      </w:pPr>
      <w:bookmarkStart w:id="38" w:name="_Hlk181621039"/>
      <w:r>
        <w:t>Discounting</w:t>
      </w:r>
    </w:p>
    <w:p w14:paraId="12FEEED6" w14:textId="7C7E7939" w:rsidR="00343F36" w:rsidRDefault="00343F36" w:rsidP="001F12CD">
      <w:pPr>
        <w:pStyle w:val="CGC2025ParaNumbers"/>
      </w:pPr>
      <w:r w:rsidRPr="00280A09">
        <w:t>As part of the 2025 Review, the Commission review</w:t>
      </w:r>
      <w:r w:rsidR="00157F3C">
        <w:t>ed</w:t>
      </w:r>
      <w:r w:rsidRPr="00280A09">
        <w:t xml:space="preserve"> its use of discounting across assessments.</w:t>
      </w:r>
      <w:r>
        <w:rPr>
          <w:rStyle w:val="FootnoteReference"/>
        </w:rPr>
        <w:footnoteReference w:id="8"/>
      </w:r>
      <w:r>
        <w:t xml:space="preserve"> This review was undertaken following the Draft</w:t>
      </w:r>
      <w:r w:rsidR="001C372D">
        <w:t> </w:t>
      </w:r>
      <w:r>
        <w:t xml:space="preserve">Report. </w:t>
      </w:r>
    </w:p>
    <w:bookmarkEnd w:id="38"/>
    <w:p w14:paraId="591D47E1" w14:textId="77777777" w:rsidR="00343F36" w:rsidRDefault="00343F36" w:rsidP="00343F36">
      <w:pPr>
        <w:pStyle w:val="Heading4"/>
      </w:pPr>
      <w:r>
        <w:t>Commission response</w:t>
      </w:r>
    </w:p>
    <w:p w14:paraId="535B6F29" w14:textId="75F93E2D" w:rsidR="00343F36" w:rsidRDefault="00343F36" w:rsidP="003615DC">
      <w:pPr>
        <w:pStyle w:val="CGC2025ParaNumbers"/>
      </w:pPr>
      <w:r>
        <w:t xml:space="preserve">With reference to the framework outlined in the </w:t>
      </w:r>
      <w:hyperlink r:id="rId41">
        <w:r w:rsidRPr="35C13417">
          <w:rPr>
            <w:rStyle w:val="Hyperlink"/>
          </w:rPr>
          <w:t>Commission’s position paper on fiscal equalisation, supporting principles and assessment guidelines</w:t>
        </w:r>
      </w:hyperlink>
      <w:r>
        <w:t xml:space="preserve">, the Commission has reviewed </w:t>
      </w:r>
      <w:r w:rsidR="00A81F77">
        <w:t>consistency in the</w:t>
      </w:r>
      <w:r>
        <w:t xml:space="preserve"> use of discounting in the 2025 Review</w:t>
      </w:r>
      <w:r w:rsidR="009B71C8">
        <w:t>.</w:t>
      </w:r>
      <w:r>
        <w:t xml:space="preserve"> The </w:t>
      </w:r>
      <w:r>
        <w:lastRenderedPageBreak/>
        <w:t xml:space="preserve">Commission </w:t>
      </w:r>
      <w:r w:rsidR="005E59EA">
        <w:t xml:space="preserve">assessed </w:t>
      </w:r>
      <w:r>
        <w:t xml:space="preserve">state proposals for new discounts </w:t>
      </w:r>
      <w:r w:rsidR="00055B0B">
        <w:t xml:space="preserve">and amendments to existing discounts </w:t>
      </w:r>
      <w:r>
        <w:t xml:space="preserve">against its framework. </w:t>
      </w:r>
      <w:r w:rsidR="00C144FE">
        <w:t xml:space="preserve">The </w:t>
      </w:r>
      <w:r w:rsidR="00EE226E">
        <w:t xml:space="preserve">review focussed on ensuring that discounts were applied </w:t>
      </w:r>
      <w:r w:rsidR="00857847">
        <w:t xml:space="preserve">where the Commission has concerns about the underlying data </w:t>
      </w:r>
      <w:r w:rsidR="003E6557">
        <w:t>or the assessment method</w:t>
      </w:r>
      <w:r w:rsidR="007E7718">
        <w:t xml:space="preserve">, and the size of the discount </w:t>
      </w:r>
      <w:r w:rsidR="0011278F">
        <w:t>reflected the degree of concern</w:t>
      </w:r>
      <w:r w:rsidR="00895110">
        <w:t xml:space="preserve"> with</w:t>
      </w:r>
      <w:r w:rsidR="0011278F">
        <w:t xml:space="preserve"> the data or assessment method</w:t>
      </w:r>
      <w:r w:rsidR="003E6557">
        <w:t>.</w:t>
      </w:r>
      <w:r w:rsidR="007E7718">
        <w:t xml:space="preserve"> </w:t>
      </w:r>
    </w:p>
    <w:p w14:paraId="47335CDA" w14:textId="1D1BE61C" w:rsidR="00343F36" w:rsidRDefault="00343F36" w:rsidP="00F9047D">
      <w:pPr>
        <w:pStyle w:val="CGC2025ParaNumbers"/>
        <w:keepNext/>
        <w:keepLines/>
      </w:pPr>
      <w:r w:rsidRPr="00280A09">
        <w:t xml:space="preserve">Table </w:t>
      </w:r>
      <w:r w:rsidR="00D80492">
        <w:t>1</w:t>
      </w:r>
      <w:r w:rsidR="00EA6ABF">
        <w:t>4</w:t>
      </w:r>
      <w:r w:rsidR="00D80492" w:rsidRPr="00280A09">
        <w:t xml:space="preserve"> </w:t>
      </w:r>
      <w:r w:rsidRPr="00280A09">
        <w:t>indicates the assessments where the Commission intends to apply a discount to an assessment in the 2025 Review</w:t>
      </w:r>
      <w:r>
        <w:t>, including the rationale for the discount and its level</w:t>
      </w:r>
      <w:r w:rsidRPr="00280A09">
        <w:t>.</w:t>
      </w:r>
      <w:r>
        <w:t xml:space="preserve"> </w:t>
      </w:r>
    </w:p>
    <w:p w14:paraId="187DF2E9" w14:textId="7DD7E828" w:rsidR="00343F36" w:rsidRPr="00955FF7" w:rsidRDefault="00343F36" w:rsidP="00F9047D">
      <w:pPr>
        <w:pStyle w:val="CGC2025ParaNumbers"/>
        <w:keepNext/>
        <w:keepLines/>
      </w:pPr>
      <w:r w:rsidRPr="00955FF7">
        <w:t xml:space="preserve">More detail on individual discounts, and consideration of state proposals regarding discounts, will be provided in the </w:t>
      </w:r>
      <w:r w:rsidR="00380D7B" w:rsidRPr="0042175D">
        <w:t>review</w:t>
      </w:r>
      <w:r w:rsidR="00B44D0F" w:rsidRPr="0042175D">
        <w:t>’</w:t>
      </w:r>
      <w:r w:rsidR="00380D7B" w:rsidRPr="0042175D">
        <w:t>s</w:t>
      </w:r>
      <w:r w:rsidR="00B7244D" w:rsidRPr="0042175D">
        <w:rPr>
          <w:i/>
        </w:rPr>
        <w:t xml:space="preserve"> </w:t>
      </w:r>
      <w:r w:rsidR="0000261F" w:rsidRPr="00B317A7">
        <w:rPr>
          <w:iCs/>
        </w:rPr>
        <w:t>f</w:t>
      </w:r>
      <w:r w:rsidR="00B7244D" w:rsidRPr="00B317A7">
        <w:rPr>
          <w:iCs/>
        </w:rPr>
        <w:t xml:space="preserve">inal </w:t>
      </w:r>
      <w:r w:rsidR="0000261F" w:rsidRPr="00B317A7">
        <w:rPr>
          <w:iCs/>
        </w:rPr>
        <w:t>r</w:t>
      </w:r>
      <w:r w:rsidR="00B7244D" w:rsidRPr="00B317A7">
        <w:rPr>
          <w:iCs/>
        </w:rPr>
        <w:t>eport.</w:t>
      </w:r>
      <w:r w:rsidR="00B7244D" w:rsidRPr="00F9047D">
        <w:rPr>
          <w:i/>
          <w:iCs/>
        </w:rPr>
        <w:t xml:space="preserve"> </w:t>
      </w:r>
    </w:p>
    <w:p w14:paraId="32DC94B6" w14:textId="77777777" w:rsidR="00343F36" w:rsidRPr="00280A09" w:rsidRDefault="00343F36" w:rsidP="00343F36">
      <w:pPr>
        <w:pStyle w:val="CGC2025ParaNumbers"/>
      </w:pPr>
      <w:r w:rsidRPr="00280A09">
        <w:t>The Commission is satisfied</w:t>
      </w:r>
      <w:r>
        <w:t xml:space="preserve"> </w:t>
      </w:r>
      <w:r w:rsidRPr="00280A09">
        <w:t>that its application of discounts</w:t>
      </w:r>
      <w:r>
        <w:t xml:space="preserve"> and their levels are consistent with</w:t>
      </w:r>
      <w:r w:rsidRPr="00280A09">
        <w:t xml:space="preserve"> its framework. </w:t>
      </w:r>
    </w:p>
    <w:p w14:paraId="5341C935" w14:textId="04D0815F" w:rsidR="00343F36" w:rsidRPr="008E74A0" w:rsidRDefault="00343F36" w:rsidP="00A077E7">
      <w:pPr>
        <w:pStyle w:val="CGC2025Caption"/>
        <w:keepNext/>
        <w:keepLines/>
      </w:pPr>
      <w:r w:rsidRPr="008E74A0">
        <w:t xml:space="preserve">Table </w:t>
      </w:r>
      <w:r w:rsidR="00D80492" w:rsidRPr="008E74A0">
        <w:t>1</w:t>
      </w:r>
      <w:r w:rsidR="00EA6ABF">
        <w:t>4</w:t>
      </w:r>
      <w:r>
        <w:tab/>
      </w:r>
      <w:r w:rsidRPr="008E74A0">
        <w:t xml:space="preserve">Discounts in the 2025 Review </w:t>
      </w:r>
    </w:p>
    <w:tbl>
      <w:tblPr>
        <w:tblStyle w:val="TableGrid"/>
        <w:tblW w:w="89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2408"/>
        <w:gridCol w:w="4042"/>
        <w:gridCol w:w="1356"/>
      </w:tblGrid>
      <w:tr w:rsidR="00343F36" w14:paraId="03B17D19" w14:textId="77777777" w:rsidTr="00101BBB">
        <w:trPr>
          <w:trHeight w:val="374"/>
        </w:trPr>
        <w:tc>
          <w:tcPr>
            <w:tcW w:w="1136" w:type="dxa"/>
            <w:tcBorders>
              <w:top w:val="nil"/>
              <w:bottom w:val="nil"/>
            </w:tcBorders>
            <w:shd w:val="clear" w:color="auto" w:fill="006991"/>
          </w:tcPr>
          <w:p w14:paraId="1DD0CDD9" w14:textId="77777777" w:rsidR="00343F36" w:rsidRPr="00264CF9" w:rsidRDefault="00343F36" w:rsidP="00F02DFE">
            <w:pPr>
              <w:keepNext/>
              <w:keepLines/>
              <w:rPr>
                <w:rFonts w:ascii="Open Sans Semibold" w:hAnsi="Open Sans Semibold" w:cs="Open Sans Semibold"/>
                <w:color w:val="FFFFFF" w:themeColor="background1"/>
                <w:sz w:val="16"/>
                <w:szCs w:val="16"/>
              </w:rPr>
            </w:pPr>
            <w:r w:rsidRPr="00264CF9">
              <w:rPr>
                <w:rFonts w:ascii="Open Sans Semibold" w:hAnsi="Open Sans Semibold" w:cs="Open Sans Semibold"/>
                <w:color w:val="FFFFFF" w:themeColor="background1"/>
                <w:sz w:val="16"/>
                <w:szCs w:val="16"/>
              </w:rPr>
              <w:t>Assessment</w:t>
            </w:r>
          </w:p>
        </w:tc>
        <w:tc>
          <w:tcPr>
            <w:tcW w:w="2408" w:type="dxa"/>
            <w:tcBorders>
              <w:top w:val="nil"/>
              <w:bottom w:val="nil"/>
            </w:tcBorders>
            <w:shd w:val="clear" w:color="auto" w:fill="006991"/>
          </w:tcPr>
          <w:p w14:paraId="6E75BE45" w14:textId="77777777" w:rsidR="00343F36" w:rsidRPr="00264CF9" w:rsidRDefault="00343F36" w:rsidP="00F02DFE">
            <w:pPr>
              <w:keepNext/>
              <w:keepLines/>
              <w:rPr>
                <w:rFonts w:ascii="Open Sans Semibold" w:hAnsi="Open Sans Semibold" w:cs="Open Sans Semibold"/>
                <w:color w:val="FFFFFF" w:themeColor="background1"/>
                <w:sz w:val="16"/>
                <w:szCs w:val="16"/>
              </w:rPr>
            </w:pPr>
            <w:r w:rsidRPr="00264CF9">
              <w:rPr>
                <w:rFonts w:ascii="Open Sans Semibold" w:hAnsi="Open Sans Semibold" w:cs="Open Sans Semibold"/>
                <w:color w:val="FFFFFF" w:themeColor="background1"/>
                <w:sz w:val="16"/>
                <w:szCs w:val="16"/>
              </w:rPr>
              <w:t>Component</w:t>
            </w:r>
          </w:p>
        </w:tc>
        <w:tc>
          <w:tcPr>
            <w:tcW w:w="4042" w:type="dxa"/>
            <w:tcBorders>
              <w:top w:val="nil"/>
              <w:bottom w:val="nil"/>
            </w:tcBorders>
            <w:shd w:val="clear" w:color="auto" w:fill="006991"/>
          </w:tcPr>
          <w:p w14:paraId="36113F00" w14:textId="77777777" w:rsidR="00343F36" w:rsidRPr="00264CF9" w:rsidRDefault="00343F36" w:rsidP="00F02DFE">
            <w:pPr>
              <w:keepNext/>
              <w:keepLines/>
              <w:rPr>
                <w:rFonts w:ascii="Open Sans Semibold" w:hAnsi="Open Sans Semibold" w:cs="Open Sans Semibold"/>
                <w:color w:val="FFFFFF" w:themeColor="background1"/>
                <w:sz w:val="16"/>
                <w:szCs w:val="16"/>
              </w:rPr>
            </w:pPr>
            <w:r w:rsidRPr="00264CF9">
              <w:rPr>
                <w:rFonts w:ascii="Open Sans Semibold" w:hAnsi="Open Sans Semibold" w:cs="Open Sans Semibold"/>
                <w:color w:val="FFFFFF" w:themeColor="background1"/>
                <w:sz w:val="16"/>
                <w:szCs w:val="16"/>
              </w:rPr>
              <w:t>Rationale</w:t>
            </w:r>
          </w:p>
        </w:tc>
        <w:tc>
          <w:tcPr>
            <w:tcW w:w="1356" w:type="dxa"/>
            <w:tcBorders>
              <w:top w:val="nil"/>
              <w:bottom w:val="nil"/>
            </w:tcBorders>
            <w:shd w:val="clear" w:color="auto" w:fill="006991"/>
          </w:tcPr>
          <w:p w14:paraId="4EAAA60F" w14:textId="77777777" w:rsidR="00343F36" w:rsidRPr="00264CF9" w:rsidRDefault="00343F36" w:rsidP="00F02DFE">
            <w:pPr>
              <w:keepNext/>
              <w:keepLines/>
              <w:jc w:val="right"/>
              <w:rPr>
                <w:rFonts w:ascii="Open Sans Semibold" w:hAnsi="Open Sans Semibold" w:cs="Open Sans Semibold"/>
                <w:color w:val="FFFFFF" w:themeColor="background1"/>
                <w:sz w:val="16"/>
                <w:szCs w:val="16"/>
              </w:rPr>
            </w:pPr>
            <w:r w:rsidRPr="00264CF9">
              <w:rPr>
                <w:rFonts w:ascii="Open Sans Semibold" w:hAnsi="Open Sans Semibold" w:cs="Open Sans Semibold"/>
                <w:color w:val="FFFFFF" w:themeColor="background1"/>
                <w:sz w:val="16"/>
                <w:szCs w:val="16"/>
              </w:rPr>
              <w:t>Level of discount</w:t>
            </w:r>
          </w:p>
        </w:tc>
      </w:tr>
      <w:tr w:rsidR="00343F36" w14:paraId="5AFCFA49" w14:textId="77777777" w:rsidTr="00101BBB">
        <w:tc>
          <w:tcPr>
            <w:tcW w:w="1136" w:type="dxa"/>
            <w:tcBorders>
              <w:top w:val="nil"/>
              <w:bottom w:val="single" w:sz="4" w:space="0" w:color="ADD6EA"/>
            </w:tcBorders>
          </w:tcPr>
          <w:p w14:paraId="4B18CDEC"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Land tax</w:t>
            </w:r>
          </w:p>
        </w:tc>
        <w:tc>
          <w:tcPr>
            <w:tcW w:w="2408" w:type="dxa"/>
            <w:tcBorders>
              <w:top w:val="nil"/>
              <w:bottom w:val="single" w:sz="4" w:space="0" w:color="ADD6EA"/>
            </w:tcBorders>
          </w:tcPr>
          <w:p w14:paraId="11A0A629"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Whole assessment</w:t>
            </w:r>
          </w:p>
        </w:tc>
        <w:tc>
          <w:tcPr>
            <w:tcW w:w="4042" w:type="dxa"/>
            <w:tcBorders>
              <w:top w:val="nil"/>
              <w:bottom w:val="single" w:sz="4" w:space="0" w:color="ADD6EA"/>
            </w:tcBorders>
          </w:tcPr>
          <w:p w14:paraId="5B133B0D"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Uncertainty about the reliability and comparability of taxable land value data.</w:t>
            </w:r>
          </w:p>
        </w:tc>
        <w:tc>
          <w:tcPr>
            <w:tcW w:w="1356" w:type="dxa"/>
            <w:tcBorders>
              <w:top w:val="nil"/>
              <w:bottom w:val="single" w:sz="4" w:space="0" w:color="ADD6EA"/>
            </w:tcBorders>
          </w:tcPr>
          <w:p w14:paraId="0BCD387E" w14:textId="77777777" w:rsidR="00343F36" w:rsidRPr="006A293B" w:rsidRDefault="00343F36" w:rsidP="00F02DFE">
            <w:pPr>
              <w:keepNext/>
              <w:keepLines/>
              <w:jc w:val="right"/>
              <w:rPr>
                <w:rFonts w:ascii="Open Sans Light" w:hAnsi="Open Sans Light" w:cs="Open Sans Light"/>
                <w:sz w:val="16"/>
                <w:szCs w:val="16"/>
              </w:rPr>
            </w:pPr>
            <w:r w:rsidRPr="006A293B">
              <w:rPr>
                <w:rFonts w:ascii="Open Sans Light" w:hAnsi="Open Sans Light" w:cs="Open Sans Light"/>
                <w:sz w:val="16"/>
                <w:szCs w:val="16"/>
              </w:rPr>
              <w:t>12.5%</w:t>
            </w:r>
          </w:p>
        </w:tc>
      </w:tr>
      <w:tr w:rsidR="00343F36" w14:paraId="0EC012FB" w14:textId="77777777" w:rsidTr="00101BBB">
        <w:tc>
          <w:tcPr>
            <w:tcW w:w="1136" w:type="dxa"/>
            <w:tcBorders>
              <w:top w:val="single" w:sz="4" w:space="0" w:color="ADD6EA"/>
              <w:bottom w:val="single" w:sz="4" w:space="0" w:color="ADD6EA"/>
            </w:tcBorders>
          </w:tcPr>
          <w:p w14:paraId="361AAB6C"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Health</w:t>
            </w:r>
          </w:p>
        </w:tc>
        <w:tc>
          <w:tcPr>
            <w:tcW w:w="2408" w:type="dxa"/>
            <w:tcBorders>
              <w:top w:val="single" w:sz="4" w:space="0" w:color="ADD6EA"/>
              <w:bottom w:val="single" w:sz="4" w:space="0" w:color="ADD6EA"/>
            </w:tcBorders>
          </w:tcPr>
          <w:p w14:paraId="382F0D1A" w14:textId="7C2A8308"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 xml:space="preserve">Community health </w:t>
            </w:r>
            <w:r w:rsidR="00CC1F92">
              <w:rPr>
                <w:rFonts w:ascii="Open Sans Light" w:hAnsi="Open Sans Light" w:cs="Open Sans Light"/>
                <w:sz w:val="16"/>
                <w:szCs w:val="16"/>
              </w:rPr>
              <w:br/>
            </w:r>
            <w:r w:rsidRPr="006A293B">
              <w:rPr>
                <w:rFonts w:ascii="Open Sans Light" w:hAnsi="Open Sans Light" w:cs="Open Sans Light"/>
                <w:sz w:val="16"/>
                <w:szCs w:val="16"/>
              </w:rPr>
              <w:t>socio-demographic</w:t>
            </w:r>
          </w:p>
        </w:tc>
        <w:tc>
          <w:tcPr>
            <w:tcW w:w="4042" w:type="dxa"/>
            <w:tcBorders>
              <w:top w:val="single" w:sz="4" w:space="0" w:color="ADD6EA"/>
              <w:bottom w:val="single" w:sz="4" w:space="0" w:color="ADD6EA"/>
            </w:tcBorders>
          </w:tcPr>
          <w:p w14:paraId="00166123"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Reliance on a proxy measure of activity for a significant share of community and public health expenses.</w:t>
            </w:r>
          </w:p>
        </w:tc>
        <w:tc>
          <w:tcPr>
            <w:tcW w:w="1356" w:type="dxa"/>
            <w:tcBorders>
              <w:top w:val="single" w:sz="4" w:space="0" w:color="ADD6EA"/>
              <w:bottom w:val="single" w:sz="4" w:space="0" w:color="ADD6EA"/>
            </w:tcBorders>
          </w:tcPr>
          <w:p w14:paraId="75992226" w14:textId="77777777" w:rsidR="00343F36" w:rsidRPr="006A293B" w:rsidRDefault="00343F36" w:rsidP="00F02DFE">
            <w:pPr>
              <w:keepNext/>
              <w:keepLines/>
              <w:jc w:val="right"/>
              <w:rPr>
                <w:rFonts w:ascii="Open Sans Light" w:hAnsi="Open Sans Light" w:cs="Open Sans Light"/>
                <w:sz w:val="16"/>
                <w:szCs w:val="16"/>
              </w:rPr>
            </w:pPr>
            <w:r w:rsidRPr="006A293B">
              <w:rPr>
                <w:rFonts w:ascii="Open Sans Light" w:hAnsi="Open Sans Light" w:cs="Open Sans Light"/>
                <w:sz w:val="16"/>
                <w:szCs w:val="16"/>
              </w:rPr>
              <w:t>12.5%</w:t>
            </w:r>
          </w:p>
        </w:tc>
      </w:tr>
      <w:tr w:rsidR="00343F36" w14:paraId="26A278D5" w14:textId="77777777" w:rsidTr="00101BBB">
        <w:tc>
          <w:tcPr>
            <w:tcW w:w="1136" w:type="dxa"/>
            <w:tcBorders>
              <w:top w:val="single" w:sz="4" w:space="0" w:color="ADD6EA"/>
              <w:bottom w:val="single" w:sz="4" w:space="0" w:color="ADD6EA"/>
            </w:tcBorders>
          </w:tcPr>
          <w:p w14:paraId="71799ACE" w14:textId="77777777" w:rsidR="00343F36"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Health</w:t>
            </w:r>
          </w:p>
          <w:p w14:paraId="79A4DC28" w14:textId="0528A312" w:rsidR="00343F36" w:rsidRPr="006A293B" w:rsidRDefault="0088326D" w:rsidP="00F02DFE">
            <w:pPr>
              <w:keepNext/>
              <w:keepLines/>
              <w:rPr>
                <w:rFonts w:ascii="Open Sans Light" w:hAnsi="Open Sans Light" w:cs="Open Sans Light"/>
                <w:sz w:val="16"/>
                <w:szCs w:val="16"/>
              </w:rPr>
            </w:pPr>
            <w:r>
              <w:rPr>
                <w:rFonts w:ascii="Open Sans Light" w:hAnsi="Open Sans Light" w:cs="Open Sans Light"/>
                <w:sz w:val="16"/>
                <w:szCs w:val="16"/>
              </w:rPr>
              <w:t>(new</w:t>
            </w:r>
            <w:r w:rsidR="00565DE1">
              <w:rPr>
                <w:rFonts w:ascii="Open Sans Light" w:hAnsi="Open Sans Light" w:cs="Open Sans Light"/>
                <w:sz w:val="16"/>
                <w:szCs w:val="16"/>
              </w:rPr>
              <w:t xml:space="preserve"> discount</w:t>
            </w:r>
            <w:r>
              <w:rPr>
                <w:rFonts w:ascii="Open Sans Light" w:hAnsi="Open Sans Light" w:cs="Open Sans Light"/>
                <w:sz w:val="16"/>
                <w:szCs w:val="16"/>
              </w:rPr>
              <w:t>)</w:t>
            </w:r>
          </w:p>
        </w:tc>
        <w:tc>
          <w:tcPr>
            <w:tcW w:w="2408" w:type="dxa"/>
            <w:tcBorders>
              <w:top w:val="single" w:sz="4" w:space="0" w:color="ADD6EA"/>
              <w:bottom w:val="single" w:sz="4" w:space="0" w:color="ADD6EA"/>
            </w:tcBorders>
          </w:tcPr>
          <w:p w14:paraId="449ED47B" w14:textId="03ED8CF5" w:rsidR="00343F36" w:rsidRPr="006A293B" w:rsidRDefault="00343F36" w:rsidP="00F02DFE">
            <w:pPr>
              <w:keepNext/>
              <w:keepLines/>
              <w:rPr>
                <w:rFonts w:ascii="Open Sans Light" w:hAnsi="Open Sans Light" w:cs="Open Sans Light"/>
                <w:sz w:val="16"/>
                <w:szCs w:val="16"/>
              </w:rPr>
            </w:pPr>
            <w:bookmarkStart w:id="39" w:name="_Hlk181623766"/>
            <w:r w:rsidRPr="006A293B">
              <w:rPr>
                <w:rFonts w:ascii="Open Sans Light" w:hAnsi="Open Sans Light" w:cs="Open Sans Light"/>
                <w:sz w:val="16"/>
                <w:szCs w:val="16"/>
              </w:rPr>
              <w:t>Non-state sector adjustments</w:t>
            </w:r>
            <w:r w:rsidR="007C7990">
              <w:rPr>
                <w:rFonts w:ascii="Open Sans Light" w:hAnsi="Open Sans Light" w:cs="Open Sans Light"/>
                <w:sz w:val="16"/>
                <w:szCs w:val="16"/>
              </w:rPr>
              <w:t xml:space="preserve"> for</w:t>
            </w:r>
            <w:r w:rsidR="004023C9">
              <w:rPr>
                <w:rFonts w:ascii="Open Sans Light" w:hAnsi="Open Sans Light" w:cs="Open Sans Light"/>
                <w:sz w:val="16"/>
                <w:szCs w:val="16"/>
              </w:rPr>
              <w:t xml:space="preserve"> </w:t>
            </w:r>
            <w:r w:rsidR="00742A6A">
              <w:rPr>
                <w:rFonts w:ascii="Open Sans Light" w:hAnsi="Open Sans Light" w:cs="Open Sans Light"/>
                <w:sz w:val="16"/>
                <w:szCs w:val="16"/>
              </w:rPr>
              <w:t>admitted patients,</w:t>
            </w:r>
            <w:r w:rsidR="000F61A6">
              <w:rPr>
                <w:rFonts w:ascii="Open Sans Light" w:hAnsi="Open Sans Light" w:cs="Open Sans Light"/>
                <w:sz w:val="16"/>
                <w:szCs w:val="16"/>
              </w:rPr>
              <w:t xml:space="preserve"> emergency departments, non</w:t>
            </w:r>
            <w:r w:rsidR="00C51786">
              <w:rPr>
                <w:rFonts w:ascii="Open Sans Light" w:hAnsi="Open Sans Light" w:cs="Open Sans Light"/>
                <w:sz w:val="16"/>
                <w:szCs w:val="16"/>
              </w:rPr>
              <w:noBreakHyphen/>
            </w:r>
            <w:r w:rsidR="000F61A6">
              <w:rPr>
                <w:rFonts w:ascii="Open Sans Light" w:hAnsi="Open Sans Light" w:cs="Open Sans Light"/>
                <w:sz w:val="16"/>
                <w:szCs w:val="16"/>
              </w:rPr>
              <w:t>admitted patients</w:t>
            </w:r>
            <w:r w:rsidR="00604410">
              <w:rPr>
                <w:rFonts w:ascii="Open Sans Light" w:hAnsi="Open Sans Light" w:cs="Open Sans Light"/>
                <w:sz w:val="16"/>
                <w:szCs w:val="16"/>
              </w:rPr>
              <w:t xml:space="preserve"> </w:t>
            </w:r>
            <w:r w:rsidR="009A7AF5">
              <w:rPr>
                <w:rFonts w:ascii="Open Sans Light" w:hAnsi="Open Sans Light" w:cs="Open Sans Light"/>
                <w:sz w:val="16"/>
                <w:szCs w:val="16"/>
              </w:rPr>
              <w:t>and community</w:t>
            </w:r>
            <w:r w:rsidR="0067540F">
              <w:rPr>
                <w:rFonts w:ascii="Open Sans Light" w:hAnsi="Open Sans Light" w:cs="Open Sans Light"/>
                <w:sz w:val="16"/>
                <w:szCs w:val="16"/>
              </w:rPr>
              <w:t xml:space="preserve"> and public health</w:t>
            </w:r>
            <w:bookmarkEnd w:id="39"/>
          </w:p>
        </w:tc>
        <w:tc>
          <w:tcPr>
            <w:tcW w:w="4042" w:type="dxa"/>
            <w:tcBorders>
              <w:top w:val="single" w:sz="4" w:space="0" w:color="ADD6EA"/>
              <w:bottom w:val="single" w:sz="4" w:space="0" w:color="ADD6EA"/>
            </w:tcBorders>
          </w:tcPr>
          <w:p w14:paraId="1C4A4688" w14:textId="77777777" w:rsidR="00343F36" w:rsidRPr="006A293B" w:rsidRDefault="00343F36" w:rsidP="00F02DFE">
            <w:pPr>
              <w:keepNext/>
              <w:keepLines/>
              <w:rPr>
                <w:rFonts w:ascii="Open Sans Light" w:hAnsi="Open Sans Light" w:cs="Open Sans Light"/>
                <w:sz w:val="16"/>
                <w:szCs w:val="16"/>
              </w:rPr>
            </w:pPr>
            <w:bookmarkStart w:id="40" w:name="_Hlk181623971"/>
            <w:r w:rsidRPr="006A293B">
              <w:rPr>
                <w:rFonts w:ascii="Open Sans Light" w:hAnsi="Open Sans Light" w:cs="Open Sans Light"/>
                <w:sz w:val="16"/>
                <w:szCs w:val="16"/>
              </w:rPr>
              <w:t xml:space="preserve">Uncertainty </w:t>
            </w:r>
            <w:r>
              <w:rPr>
                <w:rFonts w:ascii="Open Sans Light" w:hAnsi="Open Sans Light" w:cs="Open Sans Light"/>
                <w:sz w:val="16"/>
                <w:szCs w:val="16"/>
              </w:rPr>
              <w:t>about</w:t>
            </w:r>
            <w:r w:rsidRPr="006A293B">
              <w:rPr>
                <w:rFonts w:ascii="Open Sans Light" w:hAnsi="Open Sans Light" w:cs="Open Sans Light"/>
                <w:sz w:val="16"/>
                <w:szCs w:val="16"/>
              </w:rPr>
              <w:t xml:space="preserve"> the reliability of data and the robustness of the methods for determining the adjustments.</w:t>
            </w:r>
            <w:bookmarkEnd w:id="40"/>
          </w:p>
        </w:tc>
        <w:tc>
          <w:tcPr>
            <w:tcW w:w="1356" w:type="dxa"/>
            <w:tcBorders>
              <w:top w:val="single" w:sz="4" w:space="0" w:color="ADD6EA"/>
              <w:bottom w:val="single" w:sz="4" w:space="0" w:color="ADD6EA"/>
            </w:tcBorders>
          </w:tcPr>
          <w:p w14:paraId="68808CB2" w14:textId="77777777" w:rsidR="00343F36" w:rsidRPr="006A293B" w:rsidRDefault="00343F36" w:rsidP="00F02DFE">
            <w:pPr>
              <w:keepNext/>
              <w:keepLines/>
              <w:jc w:val="right"/>
              <w:rPr>
                <w:rFonts w:ascii="Open Sans Light" w:hAnsi="Open Sans Light" w:cs="Open Sans Light"/>
                <w:sz w:val="16"/>
                <w:szCs w:val="16"/>
              </w:rPr>
            </w:pPr>
            <w:r w:rsidRPr="006A293B">
              <w:rPr>
                <w:rFonts w:ascii="Open Sans Light" w:hAnsi="Open Sans Light" w:cs="Open Sans Light"/>
                <w:sz w:val="16"/>
                <w:szCs w:val="16"/>
              </w:rPr>
              <w:t>12.5%</w:t>
            </w:r>
          </w:p>
        </w:tc>
      </w:tr>
      <w:tr w:rsidR="00343F36" w14:paraId="5DC5844A" w14:textId="77777777" w:rsidTr="00101BBB">
        <w:tc>
          <w:tcPr>
            <w:tcW w:w="1136" w:type="dxa"/>
            <w:tcBorders>
              <w:top w:val="single" w:sz="4" w:space="0" w:color="ADD6EA"/>
              <w:bottom w:val="single" w:sz="4" w:space="0" w:color="ADD6EA"/>
            </w:tcBorders>
          </w:tcPr>
          <w:p w14:paraId="20A8EB6D" w14:textId="77777777" w:rsidR="00343F36"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Roads</w:t>
            </w:r>
          </w:p>
          <w:p w14:paraId="420259FF" w14:textId="0B5C7796" w:rsidR="00343F36" w:rsidRPr="006A293B" w:rsidRDefault="00565DE1" w:rsidP="00F02DFE">
            <w:pPr>
              <w:keepNext/>
              <w:keepLines/>
              <w:rPr>
                <w:rFonts w:ascii="Open Sans Light" w:hAnsi="Open Sans Light" w:cs="Open Sans Light"/>
                <w:sz w:val="16"/>
                <w:szCs w:val="16"/>
              </w:rPr>
            </w:pPr>
            <w:r>
              <w:rPr>
                <w:rFonts w:ascii="Open Sans Light" w:hAnsi="Open Sans Light" w:cs="Open Sans Light"/>
                <w:sz w:val="16"/>
                <w:szCs w:val="16"/>
              </w:rPr>
              <w:t>(new discount)</w:t>
            </w:r>
          </w:p>
        </w:tc>
        <w:tc>
          <w:tcPr>
            <w:tcW w:w="2408" w:type="dxa"/>
            <w:tcBorders>
              <w:top w:val="single" w:sz="4" w:space="0" w:color="ADD6EA"/>
              <w:bottom w:val="single" w:sz="4" w:space="0" w:color="ADD6EA"/>
            </w:tcBorders>
          </w:tcPr>
          <w:p w14:paraId="6F436493"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Whole assessment</w:t>
            </w:r>
          </w:p>
        </w:tc>
        <w:tc>
          <w:tcPr>
            <w:tcW w:w="4042" w:type="dxa"/>
            <w:tcBorders>
              <w:top w:val="single" w:sz="4" w:space="0" w:color="ADD6EA"/>
              <w:bottom w:val="single" w:sz="4" w:space="0" w:color="ADD6EA"/>
            </w:tcBorders>
          </w:tcPr>
          <w:p w14:paraId="07764C8C"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 xml:space="preserve">Uncertainty </w:t>
            </w:r>
            <w:r>
              <w:rPr>
                <w:rFonts w:ascii="Open Sans Light" w:hAnsi="Open Sans Light" w:cs="Open Sans Light"/>
                <w:sz w:val="16"/>
                <w:szCs w:val="16"/>
              </w:rPr>
              <w:t>about</w:t>
            </w:r>
            <w:r w:rsidRPr="006A293B">
              <w:rPr>
                <w:rFonts w:ascii="Open Sans Light" w:hAnsi="Open Sans Light" w:cs="Open Sans Light"/>
                <w:sz w:val="16"/>
                <w:szCs w:val="16"/>
              </w:rPr>
              <w:t xml:space="preserve"> the reliability of data included in several aspects of the assessment, including the reliability of the rural road synthetic network as a proxy measure of what states do. </w:t>
            </w:r>
          </w:p>
        </w:tc>
        <w:tc>
          <w:tcPr>
            <w:tcW w:w="1356" w:type="dxa"/>
            <w:tcBorders>
              <w:top w:val="single" w:sz="4" w:space="0" w:color="ADD6EA"/>
              <w:bottom w:val="single" w:sz="4" w:space="0" w:color="ADD6EA"/>
            </w:tcBorders>
          </w:tcPr>
          <w:p w14:paraId="60635520" w14:textId="77777777" w:rsidR="00343F36" w:rsidRPr="006A293B" w:rsidRDefault="00343F36" w:rsidP="00F02DFE">
            <w:pPr>
              <w:keepNext/>
              <w:keepLines/>
              <w:jc w:val="right"/>
              <w:rPr>
                <w:rFonts w:ascii="Open Sans Light" w:hAnsi="Open Sans Light" w:cs="Open Sans Light"/>
                <w:sz w:val="16"/>
                <w:szCs w:val="16"/>
              </w:rPr>
            </w:pPr>
            <w:r w:rsidRPr="006A293B">
              <w:rPr>
                <w:rFonts w:ascii="Open Sans Light" w:hAnsi="Open Sans Light" w:cs="Open Sans Light"/>
                <w:sz w:val="16"/>
                <w:szCs w:val="16"/>
              </w:rPr>
              <w:t>12.5%</w:t>
            </w:r>
          </w:p>
        </w:tc>
      </w:tr>
      <w:tr w:rsidR="00343F36" w14:paraId="244820C2" w14:textId="77777777" w:rsidTr="00101BBB">
        <w:tc>
          <w:tcPr>
            <w:tcW w:w="1136" w:type="dxa"/>
            <w:tcBorders>
              <w:top w:val="single" w:sz="4" w:space="0" w:color="ADD6EA"/>
              <w:bottom w:val="single" w:sz="4" w:space="0" w:color="ADD6EA"/>
            </w:tcBorders>
          </w:tcPr>
          <w:p w14:paraId="7D70F8A6"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Wage costs</w:t>
            </w:r>
          </w:p>
        </w:tc>
        <w:tc>
          <w:tcPr>
            <w:tcW w:w="2408" w:type="dxa"/>
            <w:tcBorders>
              <w:top w:val="single" w:sz="4" w:space="0" w:color="ADD6EA"/>
              <w:bottom w:val="single" w:sz="4" w:space="0" w:color="ADD6EA"/>
            </w:tcBorders>
          </w:tcPr>
          <w:p w14:paraId="71FFFC7A" w14:textId="77777777" w:rsidR="00343F36" w:rsidRPr="006A293B" w:rsidRDefault="00343F36" w:rsidP="00F02DFE">
            <w:pPr>
              <w:keepNext/>
              <w:keepLines/>
              <w:rPr>
                <w:rFonts w:ascii="Open Sans Light" w:hAnsi="Open Sans Light" w:cs="Open Sans Light"/>
                <w:sz w:val="16"/>
                <w:szCs w:val="16"/>
              </w:rPr>
            </w:pPr>
            <w:r w:rsidRPr="006A293B">
              <w:rPr>
                <w:rFonts w:ascii="Open Sans Light" w:hAnsi="Open Sans Light" w:cs="Open Sans Light"/>
                <w:sz w:val="16"/>
                <w:szCs w:val="16"/>
              </w:rPr>
              <w:t>A range of category assessments</w:t>
            </w:r>
          </w:p>
        </w:tc>
        <w:tc>
          <w:tcPr>
            <w:tcW w:w="4042" w:type="dxa"/>
            <w:tcBorders>
              <w:top w:val="single" w:sz="4" w:space="0" w:color="ADD6EA"/>
              <w:bottom w:val="single" w:sz="4" w:space="0" w:color="ADD6EA"/>
            </w:tcBorders>
          </w:tcPr>
          <w:p w14:paraId="0485BE0C" w14:textId="51093750" w:rsidR="00343F36" w:rsidRPr="006A293B" w:rsidRDefault="00343F36" w:rsidP="00F02DFE">
            <w:pPr>
              <w:keepNext/>
              <w:keepLines/>
              <w:rPr>
                <w:rFonts w:ascii="Open Sans Light" w:hAnsi="Open Sans Light" w:cs="Open Sans Light"/>
                <w:sz w:val="16"/>
                <w:szCs w:val="16"/>
              </w:rPr>
            </w:pPr>
            <w:r>
              <w:rPr>
                <w:rFonts w:ascii="Open Sans Light" w:hAnsi="Open Sans Light" w:cs="Open Sans Light"/>
                <w:sz w:val="16"/>
                <w:szCs w:val="16"/>
              </w:rPr>
              <w:t xml:space="preserve">Reliance on </w:t>
            </w:r>
            <w:r w:rsidRPr="006A293B">
              <w:rPr>
                <w:rFonts w:ascii="Open Sans Light" w:hAnsi="Open Sans Light" w:cs="Open Sans Light"/>
                <w:sz w:val="16"/>
                <w:szCs w:val="16"/>
              </w:rPr>
              <w:t xml:space="preserve">private sector wages as a proxy </w:t>
            </w:r>
            <w:r>
              <w:rPr>
                <w:rFonts w:ascii="Open Sans Light" w:hAnsi="Open Sans Light" w:cs="Open Sans Light"/>
                <w:sz w:val="16"/>
                <w:szCs w:val="16"/>
              </w:rPr>
              <w:t xml:space="preserve">measure </w:t>
            </w:r>
            <w:r w:rsidRPr="006A293B">
              <w:rPr>
                <w:rFonts w:ascii="Open Sans Light" w:hAnsi="Open Sans Light" w:cs="Open Sans Light"/>
                <w:sz w:val="16"/>
                <w:szCs w:val="16"/>
              </w:rPr>
              <w:t xml:space="preserve">for public sector wage pressures, and </w:t>
            </w:r>
            <w:r>
              <w:rPr>
                <w:rFonts w:ascii="Open Sans Light" w:hAnsi="Open Sans Light" w:cs="Open Sans Light"/>
                <w:sz w:val="16"/>
                <w:szCs w:val="16"/>
              </w:rPr>
              <w:t xml:space="preserve">uncertainty about </w:t>
            </w:r>
            <w:r w:rsidRPr="006A293B">
              <w:rPr>
                <w:rFonts w:ascii="Open Sans Light" w:hAnsi="Open Sans Light" w:cs="Open Sans Light"/>
                <w:sz w:val="16"/>
                <w:szCs w:val="16"/>
              </w:rPr>
              <w:t xml:space="preserve">the capacity of the model to control for all differences in employee productivity.  </w:t>
            </w:r>
          </w:p>
        </w:tc>
        <w:tc>
          <w:tcPr>
            <w:tcW w:w="1356" w:type="dxa"/>
            <w:tcBorders>
              <w:top w:val="single" w:sz="4" w:space="0" w:color="ADD6EA"/>
              <w:bottom w:val="single" w:sz="4" w:space="0" w:color="ADD6EA"/>
            </w:tcBorders>
          </w:tcPr>
          <w:p w14:paraId="19D8913A" w14:textId="77777777" w:rsidR="00343F36" w:rsidRPr="006A293B" w:rsidRDefault="00343F36" w:rsidP="00F02DFE">
            <w:pPr>
              <w:keepNext/>
              <w:keepLines/>
              <w:jc w:val="right"/>
              <w:rPr>
                <w:rFonts w:ascii="Open Sans Light" w:hAnsi="Open Sans Light" w:cs="Open Sans Light"/>
                <w:sz w:val="16"/>
                <w:szCs w:val="16"/>
              </w:rPr>
            </w:pPr>
            <w:r w:rsidRPr="006A293B">
              <w:rPr>
                <w:rFonts w:ascii="Open Sans Light" w:hAnsi="Open Sans Light" w:cs="Open Sans Light"/>
                <w:sz w:val="16"/>
                <w:szCs w:val="16"/>
              </w:rPr>
              <w:t>12.5%</w:t>
            </w:r>
          </w:p>
        </w:tc>
      </w:tr>
      <w:tr w:rsidR="00343F36" w14:paraId="433611C5" w14:textId="77777777" w:rsidTr="00101BBB">
        <w:tc>
          <w:tcPr>
            <w:tcW w:w="1136" w:type="dxa"/>
            <w:tcBorders>
              <w:top w:val="single" w:sz="4" w:space="0" w:color="ADD6EA"/>
              <w:bottom w:val="single" w:sz="4" w:space="0" w:color="ADD6EA"/>
            </w:tcBorders>
          </w:tcPr>
          <w:p w14:paraId="7E1D7F46" w14:textId="77777777" w:rsidR="00343F36" w:rsidRPr="001035E1" w:rsidRDefault="00343F36" w:rsidP="00F02DFE">
            <w:pPr>
              <w:keepNext/>
              <w:keepLines/>
              <w:rPr>
                <w:rFonts w:ascii="Open Sans Light" w:hAnsi="Open Sans Light" w:cs="Open Sans Light"/>
                <w:sz w:val="16"/>
                <w:szCs w:val="16"/>
              </w:rPr>
            </w:pPr>
            <w:r w:rsidRPr="001035E1">
              <w:rPr>
                <w:rFonts w:ascii="Open Sans Light" w:hAnsi="Open Sans Light" w:cs="Open Sans Light"/>
                <w:sz w:val="16"/>
                <w:szCs w:val="16"/>
              </w:rPr>
              <w:t>Geography</w:t>
            </w:r>
          </w:p>
        </w:tc>
        <w:tc>
          <w:tcPr>
            <w:tcW w:w="2408" w:type="dxa"/>
            <w:tcBorders>
              <w:top w:val="single" w:sz="4" w:space="0" w:color="ADD6EA"/>
              <w:bottom w:val="single" w:sz="4" w:space="0" w:color="ADD6EA"/>
            </w:tcBorders>
          </w:tcPr>
          <w:p w14:paraId="4CA8A79A" w14:textId="77777777" w:rsidR="00343F36" w:rsidRPr="001035E1" w:rsidRDefault="00343F36" w:rsidP="00F02DFE">
            <w:pPr>
              <w:keepNext/>
              <w:keepLines/>
              <w:rPr>
                <w:rFonts w:ascii="Open Sans Light" w:hAnsi="Open Sans Light" w:cs="Open Sans Light"/>
                <w:sz w:val="16"/>
                <w:szCs w:val="16"/>
              </w:rPr>
            </w:pPr>
            <w:r w:rsidRPr="001035E1">
              <w:rPr>
                <w:rFonts w:ascii="Open Sans Light" w:hAnsi="Open Sans Light" w:cs="Open Sans Light"/>
                <w:sz w:val="16"/>
                <w:szCs w:val="16"/>
              </w:rPr>
              <w:t>Regional costs general gradient, applied to a range of category assessments</w:t>
            </w:r>
          </w:p>
        </w:tc>
        <w:tc>
          <w:tcPr>
            <w:tcW w:w="4042" w:type="dxa"/>
            <w:tcBorders>
              <w:top w:val="single" w:sz="4" w:space="0" w:color="ADD6EA"/>
              <w:bottom w:val="single" w:sz="4" w:space="0" w:color="ADD6EA"/>
            </w:tcBorders>
          </w:tcPr>
          <w:p w14:paraId="7D328C7E" w14:textId="77777777" w:rsidR="00343F36" w:rsidRPr="001035E1" w:rsidRDefault="00343F36" w:rsidP="00F02DFE">
            <w:pPr>
              <w:keepNext/>
              <w:keepLines/>
              <w:rPr>
                <w:rFonts w:ascii="Open Sans Light" w:hAnsi="Open Sans Light" w:cs="Open Sans Light"/>
                <w:sz w:val="16"/>
                <w:szCs w:val="16"/>
              </w:rPr>
            </w:pPr>
            <w:r w:rsidRPr="001035E1">
              <w:rPr>
                <w:rFonts w:ascii="Open Sans Light" w:hAnsi="Open Sans Light" w:cs="Open Sans Light"/>
                <w:sz w:val="16"/>
                <w:szCs w:val="16"/>
              </w:rPr>
              <w:t>Uncertainty around the reliability of the gradient</w:t>
            </w:r>
            <w:r>
              <w:rPr>
                <w:rFonts w:ascii="Open Sans Light" w:hAnsi="Open Sans Light" w:cs="Open Sans Light"/>
                <w:sz w:val="16"/>
                <w:szCs w:val="16"/>
              </w:rPr>
              <w:t>,</w:t>
            </w:r>
            <w:r w:rsidRPr="001035E1">
              <w:rPr>
                <w:rFonts w:ascii="Open Sans Light" w:hAnsi="Open Sans Light" w:cs="Open Sans Light"/>
                <w:sz w:val="16"/>
                <w:szCs w:val="16"/>
              </w:rPr>
              <w:t xml:space="preserve"> given it is applied where a gradient cannot be directly measured.</w:t>
            </w:r>
          </w:p>
        </w:tc>
        <w:tc>
          <w:tcPr>
            <w:tcW w:w="1356" w:type="dxa"/>
            <w:tcBorders>
              <w:top w:val="single" w:sz="4" w:space="0" w:color="ADD6EA"/>
              <w:bottom w:val="single" w:sz="4" w:space="0" w:color="ADD6EA"/>
            </w:tcBorders>
          </w:tcPr>
          <w:p w14:paraId="1744BDE7" w14:textId="77777777" w:rsidR="00343F36" w:rsidRPr="001035E1" w:rsidRDefault="00343F36" w:rsidP="00F02DFE">
            <w:pPr>
              <w:keepNext/>
              <w:keepLines/>
              <w:jc w:val="right"/>
              <w:rPr>
                <w:rFonts w:ascii="Open Sans Light" w:hAnsi="Open Sans Light" w:cs="Open Sans Light"/>
                <w:sz w:val="16"/>
                <w:szCs w:val="16"/>
              </w:rPr>
            </w:pPr>
            <w:r w:rsidRPr="001035E1">
              <w:rPr>
                <w:rFonts w:ascii="Open Sans Light" w:hAnsi="Open Sans Light" w:cs="Open Sans Light"/>
                <w:sz w:val="16"/>
                <w:szCs w:val="16"/>
              </w:rPr>
              <w:t>25%</w:t>
            </w:r>
          </w:p>
        </w:tc>
      </w:tr>
    </w:tbl>
    <w:p w14:paraId="0C549E04" w14:textId="77777777" w:rsidR="00343F36" w:rsidRDefault="00343F36" w:rsidP="00F02DFE">
      <w:pPr>
        <w:pStyle w:val="Footer"/>
        <w:keepNext/>
        <w:keepLines/>
      </w:pPr>
    </w:p>
    <w:p w14:paraId="132B5C50" w14:textId="77777777" w:rsidR="003A3D30" w:rsidRDefault="003A3D30" w:rsidP="003A3D30">
      <w:pPr>
        <w:pStyle w:val="Heading4"/>
        <w:keepLines/>
      </w:pPr>
      <w:r>
        <w:t>Commission position</w:t>
      </w:r>
    </w:p>
    <w:p w14:paraId="253EC510" w14:textId="7AF0D24B" w:rsidR="00343F36" w:rsidRPr="00B700C4" w:rsidRDefault="003A3D30" w:rsidP="00860256">
      <w:pPr>
        <w:pStyle w:val="CGCNumberedPara"/>
        <w:rPr>
          <w:rFonts w:ascii="Work Sans" w:hAnsi="Work Sans"/>
          <w:sz w:val="20"/>
          <w:szCs w:val="20"/>
        </w:rPr>
      </w:pPr>
      <w:r w:rsidRPr="00B700C4">
        <w:rPr>
          <w:rFonts w:ascii="Work Sans" w:hAnsi="Work Sans"/>
          <w:sz w:val="20"/>
          <w:szCs w:val="20"/>
        </w:rPr>
        <w:t>The Commission will retain the 4 discounts from the 2020 Review at the same levels. New discounts will be applied for the whole of the roads assessment and for the non-state sector adjustments in the health assessment.</w:t>
      </w:r>
      <w:r w:rsidR="009C6442" w:rsidRPr="00B700C4">
        <w:rPr>
          <w:rFonts w:ascii="Work Sans" w:hAnsi="Work Sans"/>
          <w:sz w:val="20"/>
          <w:szCs w:val="20"/>
        </w:rPr>
        <w:t xml:space="preserve"> </w:t>
      </w:r>
      <w:r w:rsidR="00D4201C" w:rsidRPr="00B700C4">
        <w:rPr>
          <w:rFonts w:ascii="Work Sans" w:hAnsi="Work Sans"/>
          <w:sz w:val="20"/>
          <w:szCs w:val="20"/>
        </w:rPr>
        <w:t xml:space="preserve">The discount for the </w:t>
      </w:r>
      <w:r w:rsidR="002C2F8B" w:rsidRPr="00B700C4">
        <w:rPr>
          <w:rFonts w:ascii="Work Sans" w:hAnsi="Work Sans"/>
          <w:sz w:val="20"/>
          <w:szCs w:val="20"/>
        </w:rPr>
        <w:t>non</w:t>
      </w:r>
      <w:r w:rsidR="002C2F8B" w:rsidRPr="00B700C4">
        <w:rPr>
          <w:rFonts w:ascii="Work Sans" w:hAnsi="Work Sans"/>
          <w:sz w:val="20"/>
          <w:szCs w:val="20"/>
        </w:rPr>
        <w:noBreakHyphen/>
        <w:t>state sector adjustments is a change since the Draft Report</w:t>
      </w:r>
      <w:r w:rsidR="00B700C4" w:rsidRPr="00B700C4">
        <w:rPr>
          <w:rFonts w:ascii="Work Sans" w:hAnsi="Work Sans"/>
          <w:sz w:val="20"/>
          <w:szCs w:val="20"/>
        </w:rPr>
        <w:t>.</w:t>
      </w:r>
    </w:p>
    <w:p w14:paraId="7E1C05A2" w14:textId="408D2E7D" w:rsidR="00EF0F51" w:rsidRDefault="00EF0F51" w:rsidP="003615DC">
      <w:pPr>
        <w:pStyle w:val="Heading1"/>
        <w:keepNext/>
        <w:keepLines/>
      </w:pPr>
      <w:r>
        <w:lastRenderedPageBreak/>
        <w:t>Minor method changes</w:t>
      </w:r>
    </w:p>
    <w:p w14:paraId="45B682AC" w14:textId="2F21AEE5" w:rsidR="008B341C" w:rsidRPr="008B341C" w:rsidRDefault="008B341C" w:rsidP="003615DC">
      <w:pPr>
        <w:pStyle w:val="Heading2"/>
        <w:keepNext/>
        <w:keepLines/>
      </w:pPr>
      <w:r>
        <w:t>Welfare</w:t>
      </w:r>
    </w:p>
    <w:p w14:paraId="3D9A1C84" w14:textId="77777777" w:rsidR="00FE7611" w:rsidRDefault="00FE7611" w:rsidP="00B049E7">
      <w:pPr>
        <w:pStyle w:val="Heading3"/>
      </w:pPr>
      <w:r>
        <w:t>Alternative method for determining spending on homelessness services when states do not provide data</w:t>
      </w:r>
    </w:p>
    <w:p w14:paraId="5C44C95F" w14:textId="30C5A579" w:rsidR="00FE7611" w:rsidRPr="00D05ACA" w:rsidRDefault="0023169C" w:rsidP="00B049E7">
      <w:pPr>
        <w:pStyle w:val="CGCNumberedPara"/>
        <w:rPr>
          <w:rFonts w:ascii="Work Sans" w:hAnsi="Work Sans"/>
          <w:sz w:val="20"/>
          <w:szCs w:val="20"/>
        </w:rPr>
      </w:pPr>
      <w:r>
        <w:rPr>
          <w:rFonts w:ascii="Work Sans" w:hAnsi="Work Sans"/>
          <w:sz w:val="20"/>
          <w:szCs w:val="20"/>
        </w:rPr>
        <w:t xml:space="preserve">In the Draft Report, </w:t>
      </w:r>
      <w:r w:rsidR="00B76DC8">
        <w:rPr>
          <w:rFonts w:ascii="Work Sans" w:hAnsi="Work Sans"/>
          <w:sz w:val="20"/>
          <w:szCs w:val="20"/>
        </w:rPr>
        <w:t>the</w:t>
      </w:r>
      <w:r w:rsidR="00FE7611" w:rsidRPr="00D05ACA">
        <w:rPr>
          <w:rFonts w:ascii="Work Sans" w:hAnsi="Work Sans"/>
          <w:sz w:val="20"/>
          <w:szCs w:val="20"/>
        </w:rPr>
        <w:t xml:space="preserve"> Commission proposed to collect data from the states on their annual homelessness services spending allocated to </w:t>
      </w:r>
      <w:r w:rsidR="00300E7E">
        <w:rPr>
          <w:rFonts w:ascii="Work Sans" w:hAnsi="Work Sans"/>
          <w:sz w:val="20"/>
          <w:szCs w:val="20"/>
        </w:rPr>
        <w:t xml:space="preserve">the ABS </w:t>
      </w:r>
      <w:r w:rsidR="00FE7611" w:rsidRPr="00D05ACA">
        <w:rPr>
          <w:rFonts w:ascii="Work Sans" w:hAnsi="Work Sans"/>
          <w:sz w:val="20"/>
          <w:szCs w:val="20"/>
        </w:rPr>
        <w:t>Classifications of Functions of Government (COFOG-A) to facilitate the new homelessness services assessment. However, not all states were able to identify the necessary state spending by COFOG-A classification.</w:t>
      </w:r>
    </w:p>
    <w:p w14:paraId="55EE1E0C" w14:textId="01D2F400" w:rsidR="00FE7611" w:rsidRPr="00955FF7" w:rsidRDefault="00FE7611" w:rsidP="00495F4B">
      <w:pPr>
        <w:pStyle w:val="CGC2025ParaNumbers"/>
        <w:keepLines/>
      </w:pPr>
      <w:r w:rsidRPr="00955FF7" w:rsidDel="00A05B77">
        <w:t xml:space="preserve">As a result, </w:t>
      </w:r>
      <w:bookmarkStart w:id="41" w:name="_Hlk178932816"/>
      <w:r w:rsidRPr="00955FF7">
        <w:t xml:space="preserve">where states were not able to provide homelessness services expense data, </w:t>
      </w:r>
      <w:bookmarkEnd w:id="41"/>
      <w:r w:rsidRPr="00955FF7">
        <w:t>the Commission proposed to use state homelessness service expenses reported in the Productivity Commission</w:t>
      </w:r>
      <w:r w:rsidR="00CF2284">
        <w:t>’s</w:t>
      </w:r>
      <w:r w:rsidRPr="00955FF7">
        <w:t xml:space="preserve"> </w:t>
      </w:r>
      <w:r w:rsidR="00CF2284" w:rsidRPr="00955FF7">
        <w:t xml:space="preserve">annual </w:t>
      </w:r>
      <w:r w:rsidRPr="00243D9C">
        <w:rPr>
          <w:i/>
          <w:iCs/>
        </w:rPr>
        <w:t>Report on Government Services</w:t>
      </w:r>
      <w:r w:rsidRPr="00955FF7">
        <w:t>.</w:t>
      </w:r>
      <w:r w:rsidRPr="00955FF7">
        <w:rPr>
          <w:rStyle w:val="FootnoteReference"/>
        </w:rPr>
        <w:footnoteReference w:id="9"/>
      </w:r>
      <w:r w:rsidRPr="00955FF7">
        <w:t xml:space="preserve"> </w:t>
      </w:r>
      <w:r w:rsidR="00D11E96" w:rsidRPr="004D7AEA">
        <w:t>In addition, w</w:t>
      </w:r>
      <w:r w:rsidR="009B1CA1" w:rsidRPr="004D7AEA">
        <w:t xml:space="preserve">here </w:t>
      </w:r>
      <w:r w:rsidR="00472E70" w:rsidRPr="004D7AEA">
        <w:t>states were not able to provide disaggregated data</w:t>
      </w:r>
      <w:r w:rsidR="009B1CA1" w:rsidRPr="004D7AEA">
        <w:t>, t</w:t>
      </w:r>
      <w:r w:rsidRPr="004D7AEA">
        <w:t xml:space="preserve">he </w:t>
      </w:r>
      <w:r w:rsidR="00D11E96" w:rsidRPr="004D7AEA">
        <w:t>Commission proposed</w:t>
      </w:r>
      <w:r w:rsidRPr="004D7AEA">
        <w:t xml:space="preserve"> to estimate the </w:t>
      </w:r>
      <w:r w:rsidR="009751E3" w:rsidRPr="004D7AEA">
        <w:t xml:space="preserve">proportion </w:t>
      </w:r>
      <w:r w:rsidRPr="004D7AEA">
        <w:t xml:space="preserve">of state </w:t>
      </w:r>
      <w:r w:rsidR="00FB22EC" w:rsidRPr="004D7AEA">
        <w:t xml:space="preserve">homelessness services expenses </w:t>
      </w:r>
      <w:r w:rsidR="007D004A" w:rsidRPr="004D7AEA">
        <w:t>in</w:t>
      </w:r>
      <w:r w:rsidRPr="004D7AEA">
        <w:t xml:space="preserve"> the housing and welfare </w:t>
      </w:r>
      <w:r w:rsidR="00663691" w:rsidRPr="004D7AEA">
        <w:t>categories</w:t>
      </w:r>
      <w:r w:rsidRPr="004D7AEA">
        <w:t xml:space="preserve"> using a 50</w:t>
      </w:r>
      <w:r w:rsidR="00CF2284">
        <w:t>:</w:t>
      </w:r>
      <w:r w:rsidRPr="004D7AEA">
        <w:t>50 split</w:t>
      </w:r>
      <w:r w:rsidR="00472E70" w:rsidRPr="00955FF7">
        <w:t>.</w:t>
      </w:r>
    </w:p>
    <w:p w14:paraId="2B0398B7" w14:textId="77777777" w:rsidR="00FE7611" w:rsidRPr="00F67945" w:rsidRDefault="00FE7611" w:rsidP="00F30F8C">
      <w:pPr>
        <w:pStyle w:val="Heading4"/>
        <w:keepLines/>
      </w:pPr>
      <w:r w:rsidRPr="00602F08">
        <w:t>State views</w:t>
      </w:r>
    </w:p>
    <w:p w14:paraId="44065C9A" w14:textId="0E43499E" w:rsidR="00FE7611" w:rsidRDefault="00FE7611" w:rsidP="00F30F8C">
      <w:pPr>
        <w:pStyle w:val="CGC2025ParaNumbers"/>
        <w:keepNext/>
        <w:keepLines/>
      </w:pPr>
      <w:r>
        <w:t>Victoria and the ACT did not support</w:t>
      </w:r>
      <w:r w:rsidRPr="00F67945">
        <w:t xml:space="preserve"> the proposal</w:t>
      </w:r>
      <w:r>
        <w:t>, considering it arbitrary</w:t>
      </w:r>
      <w:r w:rsidRPr="00F67945">
        <w:t>.</w:t>
      </w:r>
      <w:r>
        <w:t xml:space="preserve"> New South Wales requested clarity on the reason for the proposed 50</w:t>
      </w:r>
      <w:r w:rsidR="00632C22">
        <w:t>:</w:t>
      </w:r>
      <w:r>
        <w:t>50 split and asked about alternative approaches including a weighted average of the state reported data received by the Commission.</w:t>
      </w:r>
    </w:p>
    <w:p w14:paraId="431B5BA8" w14:textId="77777777" w:rsidR="00FE7611" w:rsidRDefault="00FE7611" w:rsidP="00FE7611">
      <w:pPr>
        <w:pStyle w:val="Heading4"/>
      </w:pPr>
      <w:r w:rsidRPr="00602F08">
        <w:t>Commission response</w:t>
      </w:r>
    </w:p>
    <w:p w14:paraId="0B982276" w14:textId="3DDF2D1F" w:rsidR="00FE7611" w:rsidRDefault="00FE7611" w:rsidP="00FE7611">
      <w:pPr>
        <w:pStyle w:val="CGC2025ParaNumbers"/>
      </w:pPr>
      <w:r>
        <w:t xml:space="preserve">The Commission agrees that there are alternative methods of determining the share of total homelessness spending in </w:t>
      </w:r>
      <w:r w:rsidR="00FF2197">
        <w:t>the Commission’s</w:t>
      </w:r>
      <w:r>
        <w:t xml:space="preserve"> categor</w:t>
      </w:r>
      <w:r w:rsidR="00FF2197">
        <w:t xml:space="preserve">y </w:t>
      </w:r>
      <w:r w:rsidR="00EC676C">
        <w:t>assessments for</w:t>
      </w:r>
      <w:r>
        <w:t xml:space="preserve"> states that do not provide the disaggregated data.</w:t>
      </w:r>
    </w:p>
    <w:p w14:paraId="5D6773FA" w14:textId="6437E799" w:rsidR="0046163F" w:rsidRPr="0046163F" w:rsidRDefault="0046163F" w:rsidP="00DA21DB">
      <w:pPr>
        <w:pStyle w:val="CGC2025ParaNumbers"/>
      </w:pPr>
      <w:r>
        <w:t xml:space="preserve">The Commission </w:t>
      </w:r>
      <w:r w:rsidR="00E834AA">
        <w:t>proposes to</w:t>
      </w:r>
      <w:r>
        <w:t xml:space="preserve"> use </w:t>
      </w:r>
      <w:r w:rsidRPr="0046163F">
        <w:t xml:space="preserve">data reported by states, </w:t>
      </w:r>
      <w:r>
        <w:t>to</w:t>
      </w:r>
      <w:r w:rsidRPr="0046163F">
        <w:t xml:space="preserve"> estimate the average share of state </w:t>
      </w:r>
      <w:r w:rsidR="00EA2932">
        <w:t xml:space="preserve">homelessness </w:t>
      </w:r>
      <w:r w:rsidRPr="0046163F">
        <w:t xml:space="preserve">spending reported in </w:t>
      </w:r>
      <w:r w:rsidR="00C8758D">
        <w:t>each</w:t>
      </w:r>
      <w:r w:rsidRPr="0046163F">
        <w:t xml:space="preserve"> </w:t>
      </w:r>
      <w:r w:rsidR="7F0E3D00">
        <w:t>COFOG-A code</w:t>
      </w:r>
      <w:r w:rsidRPr="0046163F">
        <w:t xml:space="preserve">. The average </w:t>
      </w:r>
      <w:r>
        <w:t>share</w:t>
      </w:r>
      <w:r w:rsidR="002374AC">
        <w:t>s</w:t>
      </w:r>
      <w:r w:rsidRPr="0046163F">
        <w:t xml:space="preserve"> </w:t>
      </w:r>
      <w:r w:rsidR="00AA4380">
        <w:t>w</w:t>
      </w:r>
      <w:r>
        <w:t>ould</w:t>
      </w:r>
      <w:r w:rsidRPr="0046163F">
        <w:t xml:space="preserve"> then be applied to annually reported homelessness services spending for non</w:t>
      </w:r>
      <w:r w:rsidR="00DD4A56">
        <w:noBreakHyphen/>
      </w:r>
      <w:r w:rsidRPr="0046163F">
        <w:t xml:space="preserve">reporting states from the Productivity Commission’s </w:t>
      </w:r>
      <w:r w:rsidRPr="00243D9C">
        <w:rPr>
          <w:i/>
          <w:iCs/>
        </w:rPr>
        <w:t>Report on Government Services</w:t>
      </w:r>
      <w:r w:rsidRPr="0046163F">
        <w:t xml:space="preserve">. This </w:t>
      </w:r>
      <w:r>
        <w:t xml:space="preserve">would </w:t>
      </w:r>
      <w:r w:rsidRPr="0046163F">
        <w:t xml:space="preserve">provide an estimate of </w:t>
      </w:r>
      <w:r w:rsidR="002374AC">
        <w:t>state homelessness expenses</w:t>
      </w:r>
      <w:r w:rsidR="006E3B00">
        <w:t xml:space="preserve"> by </w:t>
      </w:r>
      <w:r w:rsidR="00381CE3">
        <w:t>COFOG</w:t>
      </w:r>
      <w:r w:rsidR="003C08AC">
        <w:noBreakHyphen/>
      </w:r>
      <w:r w:rsidR="00381CE3">
        <w:t>A code</w:t>
      </w:r>
      <w:r w:rsidR="006E3B00">
        <w:t xml:space="preserve"> to </w:t>
      </w:r>
      <w:r w:rsidR="00C02C80">
        <w:t>facilitate</w:t>
      </w:r>
      <w:r w:rsidR="00F37259">
        <w:t xml:space="preserve"> </w:t>
      </w:r>
      <w:r w:rsidR="006E3B00">
        <w:t xml:space="preserve">a data adjustment to </w:t>
      </w:r>
      <w:r w:rsidR="009D1C40">
        <w:t>move relevant spending to</w:t>
      </w:r>
      <w:r w:rsidR="006E3B00">
        <w:t xml:space="preserve"> the </w:t>
      </w:r>
      <w:r w:rsidR="00A046FE">
        <w:t>proposed homelessness services component</w:t>
      </w:r>
      <w:r w:rsidR="00C02C80">
        <w:t xml:space="preserve"> </w:t>
      </w:r>
      <w:r w:rsidR="00684D3A">
        <w:t>in the</w:t>
      </w:r>
      <w:r w:rsidR="009D1C40">
        <w:t xml:space="preserve"> welfare category</w:t>
      </w:r>
      <w:r w:rsidRPr="0046163F">
        <w:t>.</w:t>
      </w:r>
    </w:p>
    <w:p w14:paraId="58702579" w14:textId="4503EEFE" w:rsidR="005057DC" w:rsidRDefault="00280B9C" w:rsidP="00FE7611">
      <w:pPr>
        <w:pStyle w:val="CGC2025ParaNumbers"/>
      </w:pPr>
      <w:r>
        <w:t>The Commission</w:t>
      </w:r>
      <w:r w:rsidR="005057DC">
        <w:t xml:space="preserve"> notes that the average of state spending method is </w:t>
      </w:r>
      <w:r w:rsidR="005C0483">
        <w:t>the</w:t>
      </w:r>
      <w:r w:rsidR="006E4DBA">
        <w:t xml:space="preserve"> same approach</w:t>
      </w:r>
      <w:r w:rsidR="005057DC">
        <w:t xml:space="preserve"> used to separate business regulation and development in the services to industry assessment.</w:t>
      </w:r>
    </w:p>
    <w:p w14:paraId="666EC7F4" w14:textId="6106E455" w:rsidR="00FE7611" w:rsidRDefault="00065D8A" w:rsidP="00FE7611">
      <w:pPr>
        <w:pStyle w:val="Heading4"/>
      </w:pPr>
      <w:r>
        <w:lastRenderedPageBreak/>
        <w:t>Commission</w:t>
      </w:r>
      <w:r w:rsidR="00FE7611" w:rsidRPr="00C36AF0">
        <w:t xml:space="preserve"> position</w:t>
      </w:r>
    </w:p>
    <w:p w14:paraId="061D8306" w14:textId="67033347" w:rsidR="00FE7611" w:rsidRDefault="00FE7611" w:rsidP="00EC676C">
      <w:pPr>
        <w:pStyle w:val="CGC2025ParaNumbers"/>
      </w:pPr>
      <w:r>
        <w:t xml:space="preserve">The Commission </w:t>
      </w:r>
      <w:r w:rsidR="00200BA3">
        <w:t>will</w:t>
      </w:r>
      <w:r>
        <w:t xml:space="preserve"> adopt the average of state spending method to classify data on homelessness spending from the Productivity Commission’s </w:t>
      </w:r>
      <w:r w:rsidRPr="00591113">
        <w:rPr>
          <w:i/>
          <w:iCs/>
        </w:rPr>
        <w:t>Report on Government Services</w:t>
      </w:r>
      <w:r>
        <w:t xml:space="preserve"> into the housing and welfare categories. This method is preferred because it removes the need for Commission judgement</w:t>
      </w:r>
      <w:r w:rsidR="00EE5B0A">
        <w:t xml:space="preserve"> and </w:t>
      </w:r>
      <w:r w:rsidR="0093003D">
        <w:t xml:space="preserve">the </w:t>
      </w:r>
      <w:r w:rsidR="00005015">
        <w:t>Productivity</w:t>
      </w:r>
      <w:r w:rsidR="004F59DB">
        <w:t xml:space="preserve"> </w:t>
      </w:r>
      <w:r w:rsidR="00005015">
        <w:t>Commission</w:t>
      </w:r>
      <w:r w:rsidR="008B52F7">
        <w:t xml:space="preserve"> collects the data using a consistent definition of </w:t>
      </w:r>
      <w:r w:rsidR="002421B8">
        <w:t>homelessness services expenses across states</w:t>
      </w:r>
      <w:r>
        <w:t>.</w:t>
      </w:r>
    </w:p>
    <w:p w14:paraId="353838C0" w14:textId="77777777" w:rsidR="00FE7611" w:rsidRDefault="00FE7611" w:rsidP="00FE7611">
      <w:pPr>
        <w:pStyle w:val="CGC2025ParaNumbers"/>
      </w:pPr>
      <w:r>
        <w:t>The component weights will be updated annually in response to the Commission’s annual request for homelessness services spending to the states.</w:t>
      </w:r>
    </w:p>
    <w:p w14:paraId="346E3BF7" w14:textId="77777777" w:rsidR="0056028A" w:rsidRDefault="0056028A" w:rsidP="007409AC">
      <w:pPr>
        <w:pStyle w:val="Heading2"/>
      </w:pPr>
      <w:bookmarkStart w:id="42" w:name="_Toc176348520"/>
      <w:r>
        <w:t>Transport</w:t>
      </w:r>
    </w:p>
    <w:p w14:paraId="03FF436F" w14:textId="77777777" w:rsidR="0056028A" w:rsidRDefault="0056028A" w:rsidP="0056028A">
      <w:pPr>
        <w:pStyle w:val="Heading3"/>
      </w:pPr>
      <w:r w:rsidRPr="00362267">
        <w:t>Allocation of expenses between urban and non-urban transport (V/Line)</w:t>
      </w:r>
    </w:p>
    <w:p w14:paraId="72CA9E7C" w14:textId="6308B5E7" w:rsidR="0056028A" w:rsidRDefault="0023169C" w:rsidP="006A53D3">
      <w:pPr>
        <w:pStyle w:val="CGC2025ParaNumbers"/>
      </w:pPr>
      <w:r>
        <w:t>In the Draft Report</w:t>
      </w:r>
      <w:r w:rsidR="00FA1028">
        <w:t xml:space="preserve"> and </w:t>
      </w:r>
      <w:r w:rsidR="00E80960">
        <w:t xml:space="preserve">transport </w:t>
      </w:r>
      <w:r w:rsidR="00FA1028">
        <w:t>addendum</w:t>
      </w:r>
      <w:r>
        <w:t xml:space="preserve">, </w:t>
      </w:r>
      <w:r w:rsidR="00544E1A">
        <w:t xml:space="preserve">the Commission </w:t>
      </w:r>
      <w:r w:rsidR="003B7A9A">
        <w:t xml:space="preserve">did not </w:t>
      </w:r>
      <w:r w:rsidR="00544E1A">
        <w:t>propose</w:t>
      </w:r>
      <w:r w:rsidR="003B7A9A">
        <w:t xml:space="preserve"> </w:t>
      </w:r>
      <w:r w:rsidR="005D1710">
        <w:t xml:space="preserve">any change to the </w:t>
      </w:r>
      <w:r w:rsidR="00AF3662">
        <w:t>percentage of</w:t>
      </w:r>
      <w:r w:rsidR="006A1BB3">
        <w:t xml:space="preserve"> V</w:t>
      </w:r>
      <w:r w:rsidR="005D1710">
        <w:t>/</w:t>
      </w:r>
      <w:r w:rsidR="00F94E11">
        <w:t xml:space="preserve">Line expenses </w:t>
      </w:r>
      <w:r w:rsidR="00AF3662">
        <w:t xml:space="preserve">allocated </w:t>
      </w:r>
      <w:r w:rsidR="00F94E11">
        <w:t xml:space="preserve">between </w:t>
      </w:r>
      <w:r w:rsidR="00503060">
        <w:t>urban</w:t>
      </w:r>
      <w:r w:rsidR="00F94E11">
        <w:t xml:space="preserve"> and non</w:t>
      </w:r>
      <w:r w:rsidR="00020FEB">
        <w:noBreakHyphen/>
      </w:r>
      <w:r w:rsidR="00503060">
        <w:t>urban components.</w:t>
      </w:r>
      <w:r w:rsidR="0056028A" w:rsidRPr="000E2F15">
        <w:t xml:space="preserve"> </w:t>
      </w:r>
    </w:p>
    <w:p w14:paraId="622EFED8" w14:textId="77777777" w:rsidR="0056028A" w:rsidRDefault="0056028A" w:rsidP="00F30F8C">
      <w:pPr>
        <w:pStyle w:val="Heading4"/>
        <w:keepLines/>
      </w:pPr>
      <w:r>
        <w:t>State views</w:t>
      </w:r>
    </w:p>
    <w:p w14:paraId="3FF391CA" w14:textId="4433D433" w:rsidR="0056028A" w:rsidRDefault="00503060" w:rsidP="00633B9A">
      <w:pPr>
        <w:pStyle w:val="CGC2025ParaNumbers"/>
      </w:pPr>
      <w:r w:rsidRPr="00503060">
        <w:t xml:space="preserve">Victoria said a greater percentage of V/Line expenses should be allocated to the urban transport component. </w:t>
      </w:r>
      <w:r w:rsidR="0056028A">
        <w:t xml:space="preserve">Victoria sought a </w:t>
      </w:r>
      <w:r w:rsidR="009A40DE">
        <w:t xml:space="preserve">larger </w:t>
      </w:r>
      <w:r w:rsidR="0056028A">
        <w:t>adjustment to account for intra</w:t>
      </w:r>
      <w:r w:rsidR="00AE6836">
        <w:noBreakHyphen/>
      </w:r>
      <w:r w:rsidR="0056028A">
        <w:t xml:space="preserve">urban V/Line travel. </w:t>
      </w:r>
      <w:r w:rsidR="0056028A" w:rsidRPr="00A328FA">
        <w:t>Analysis by Victoria</w:t>
      </w:r>
      <w:r w:rsidR="0056028A">
        <w:t>,</w:t>
      </w:r>
      <w:r w:rsidR="0056028A" w:rsidRPr="00A328FA">
        <w:t xml:space="preserve"> using weighted passenger kilometres</w:t>
      </w:r>
      <w:r w:rsidR="0056028A">
        <w:t>,</w:t>
      </w:r>
      <w:r w:rsidR="0056028A" w:rsidRPr="00A328FA">
        <w:t xml:space="preserve"> indicated that 20</w:t>
      </w:r>
      <w:r w:rsidR="0056028A">
        <w:t>.2%</w:t>
      </w:r>
      <w:r w:rsidR="0056028A" w:rsidRPr="00A328FA">
        <w:t xml:space="preserve"> of V/Line expenses related to urban transport.</w:t>
      </w:r>
    </w:p>
    <w:p w14:paraId="7E2CCCBE" w14:textId="77777777" w:rsidR="0056028A" w:rsidRPr="00F120D9" w:rsidRDefault="0056028A" w:rsidP="00A14649">
      <w:pPr>
        <w:pStyle w:val="CGC2025ParaNumbers"/>
        <w:keepLines/>
      </w:pPr>
      <w:r>
        <w:t>Queensland accepted that a portion of V/Line expenses should be allocated between urban and non-urban transport. Queensland recommended that similar adjustments should also be made to the New South Wales and Queensland regional train lines. Queensland considered that since it is possible to use these regional train services to travel within an urban area, a proportion of the spending should be allocated to the urban transport component.</w:t>
      </w:r>
      <w:r>
        <w:rPr>
          <w:rStyle w:val="FootnoteReference"/>
        </w:rPr>
        <w:footnoteReference w:id="10"/>
      </w:r>
    </w:p>
    <w:p w14:paraId="17B7977A" w14:textId="77777777" w:rsidR="0056028A" w:rsidRDefault="0056028A" w:rsidP="0056028A">
      <w:pPr>
        <w:pStyle w:val="Heading4"/>
      </w:pPr>
      <w:r>
        <w:t>Commission response</w:t>
      </w:r>
    </w:p>
    <w:p w14:paraId="793ADFEF" w14:textId="2A2B9411" w:rsidR="0056028A" w:rsidRDefault="0056028A" w:rsidP="0056028A">
      <w:pPr>
        <w:pStyle w:val="CGC2025ParaNumbers"/>
      </w:pPr>
      <w:r>
        <w:t>The Commission</w:t>
      </w:r>
      <w:r w:rsidR="00C16BF7">
        <w:t xml:space="preserve">’s position </w:t>
      </w:r>
      <w:r w:rsidR="00224CEC">
        <w:t>takes into account</w:t>
      </w:r>
      <w:r>
        <w:t xml:space="preserve"> the evidence provided by Victoria, which disaggregated V/Line trips occurring within an urban area weighted by the relative kilometres travelled by these passengers. This analysis indicated that 20.2% of total weighted patronage on V/line services occurred within a </w:t>
      </w:r>
      <w:r w:rsidR="00FA1028">
        <w:t>significant urban area</w:t>
      </w:r>
      <w:r>
        <w:t>. The Commission examined the data provided and concluded this was a reasonable method of calculating inter-urban V/Line travel.</w:t>
      </w:r>
    </w:p>
    <w:p w14:paraId="62ADD200" w14:textId="65C934C4" w:rsidR="0056028A" w:rsidRPr="00251C6C" w:rsidRDefault="0056028A" w:rsidP="0056028A">
      <w:pPr>
        <w:pStyle w:val="CGC2025ParaNumbers"/>
      </w:pPr>
      <w:r>
        <w:lastRenderedPageBreak/>
        <w:t xml:space="preserve">The Commission aims to ensure that expenses are allocated to the correct component based on the definitions of urban and non-urban travel. The Commission will request total weighted patronage data from Queensland and New South Wales to determine if the </w:t>
      </w:r>
      <w:r w:rsidR="00604144">
        <w:t xml:space="preserve">2020 Review </w:t>
      </w:r>
      <w:r>
        <w:t>method of allocating their regional train expenses between the components is suitable. This decision will be made in an update following the 2025 Review following the receipt of additional state data.</w:t>
      </w:r>
    </w:p>
    <w:p w14:paraId="415E45B5" w14:textId="1AF636C2" w:rsidR="0056028A" w:rsidRPr="00E21413" w:rsidRDefault="00D1349A" w:rsidP="0056028A">
      <w:pPr>
        <w:pStyle w:val="Heading4"/>
      </w:pPr>
      <w:r>
        <w:t>Commission position</w:t>
      </w:r>
    </w:p>
    <w:p w14:paraId="4DF06243" w14:textId="58680755" w:rsidR="0056028A" w:rsidRPr="00F67945" w:rsidRDefault="0056028A" w:rsidP="007409AC">
      <w:pPr>
        <w:pStyle w:val="CGC2025ParaNumbers"/>
        <w:tabs>
          <w:tab w:val="clear" w:pos="567"/>
        </w:tabs>
      </w:pPr>
      <w:r>
        <w:t>The Commission will allocate 20.2% of V/Line expenses to urban transport.</w:t>
      </w:r>
    </w:p>
    <w:p w14:paraId="31C183C1" w14:textId="30DD2E8A" w:rsidR="00B4286B" w:rsidRDefault="00B4286B" w:rsidP="0056028A">
      <w:pPr>
        <w:pStyle w:val="Heading2"/>
        <w:keepNext/>
        <w:keepLines/>
      </w:pPr>
      <w:r>
        <w:t>Geography</w:t>
      </w:r>
      <w:bookmarkEnd w:id="42"/>
    </w:p>
    <w:p w14:paraId="67E84832" w14:textId="71318C04" w:rsidR="00B4286B" w:rsidRDefault="00B4286B" w:rsidP="00B4286B">
      <w:pPr>
        <w:pStyle w:val="Heading3"/>
      </w:pPr>
      <w:bookmarkStart w:id="43" w:name="_Toc176348522"/>
      <w:r>
        <w:t>Data used in the calculation of the general</w:t>
      </w:r>
      <w:r w:rsidR="00872DD5">
        <w:t xml:space="preserve"> regional cost</w:t>
      </w:r>
      <w:r>
        <w:t xml:space="preserve"> gradient</w:t>
      </w:r>
      <w:bookmarkEnd w:id="43"/>
      <w:r>
        <w:t xml:space="preserve"> </w:t>
      </w:r>
    </w:p>
    <w:p w14:paraId="55269222" w14:textId="6D7F2D13" w:rsidR="00B4286B" w:rsidRDefault="00354910" w:rsidP="00B4286B">
      <w:pPr>
        <w:pStyle w:val="CGC2025ParaNumbers"/>
      </w:pPr>
      <w:r>
        <w:t>In the Draft Report, t</w:t>
      </w:r>
      <w:r w:rsidR="00B4286B">
        <w:t xml:space="preserve">he Commission proposed to calculate the general regional cost gradient as the weighted average of the gradient calculated for 9 different components, including water subsidies and electricity subsidies. </w:t>
      </w:r>
    </w:p>
    <w:p w14:paraId="43C118BD" w14:textId="77777777" w:rsidR="00B4286B" w:rsidRDefault="00B4286B" w:rsidP="003C5825">
      <w:pPr>
        <w:pStyle w:val="Heading4"/>
        <w:keepLines/>
      </w:pPr>
      <w:r>
        <w:t>State views</w:t>
      </w:r>
    </w:p>
    <w:p w14:paraId="61DEE433" w14:textId="5051CA58" w:rsidR="00B4286B" w:rsidRDefault="00B4286B" w:rsidP="003C5825">
      <w:pPr>
        <w:pStyle w:val="CGC2025ParaNumbers"/>
        <w:keepNext/>
        <w:keepLines/>
      </w:pPr>
      <w:r>
        <w:t>In response to the Commission's proposal, some states said the regional cost gradient</w:t>
      </w:r>
      <w:r w:rsidR="00E875F7">
        <w:t>s</w:t>
      </w:r>
      <w:r>
        <w:t xml:space="preserve"> for water subsidies and electricity subsidies were based on very incomplete data. They noted that the water subsidies gradient could not be updated in the 2025</w:t>
      </w:r>
      <w:r w:rsidR="003C5825">
        <w:t> </w:t>
      </w:r>
      <w:r>
        <w:t>Review and was based on old data. They said these gradients were significant outliers</w:t>
      </w:r>
      <w:r w:rsidR="009E38A3">
        <w:t xml:space="preserve"> compared </w:t>
      </w:r>
      <w:r w:rsidR="00516982">
        <w:t>with</w:t>
      </w:r>
      <w:r w:rsidR="009E38A3">
        <w:t xml:space="preserve"> other gradient </w:t>
      </w:r>
      <w:r w:rsidR="005D307D">
        <w:t xml:space="preserve">cost </w:t>
      </w:r>
      <w:r w:rsidR="009E38A3">
        <w:t>measures</w:t>
      </w:r>
      <w:r>
        <w:t xml:space="preserve">, with an increase in costs considerably higher than observed for any other service. </w:t>
      </w:r>
    </w:p>
    <w:p w14:paraId="3EE554B1" w14:textId="77777777" w:rsidR="00B4286B" w:rsidRDefault="00B4286B" w:rsidP="00B4286B">
      <w:pPr>
        <w:pStyle w:val="Heading4"/>
      </w:pPr>
      <w:r>
        <w:t>Commission response</w:t>
      </w:r>
    </w:p>
    <w:p w14:paraId="7EEECDCF" w14:textId="77777777" w:rsidR="00B4286B" w:rsidRDefault="00B4286B" w:rsidP="00B4286B">
      <w:pPr>
        <w:pStyle w:val="CGC2025ParaNumbers"/>
      </w:pPr>
      <w:r>
        <w:t>The measured cost per capita of electricity subsidies is 3 times more in very remote areas than remote areas. This reflects not just the higher cost in very remote areas, but also the higher proportion of the population receiving subsidies. The regional costs assessment is only intended to capture difference in cost, not use.</w:t>
      </w:r>
    </w:p>
    <w:p w14:paraId="2A5A714A" w14:textId="5EF92D05" w:rsidR="00B4286B" w:rsidRPr="00251C6C" w:rsidRDefault="00B4286B" w:rsidP="00B4286B">
      <w:pPr>
        <w:pStyle w:val="CGC2025ParaNumbers"/>
      </w:pPr>
      <w:r>
        <w:t xml:space="preserve">Water subsidies are paid to a very small subset of small communities, with specific attributes. Using water subsidies as part of the general </w:t>
      </w:r>
      <w:r w:rsidR="00A03B0F">
        <w:t>regional cost</w:t>
      </w:r>
      <w:r w:rsidR="00663B73">
        <w:t xml:space="preserve"> </w:t>
      </w:r>
      <w:r>
        <w:t xml:space="preserve">gradient would effectively assume that this small subset of communities is representative of the entire population in the respective remoteness area. In addition, water subsidies data are based on complete data for only 2 states, and data have not been updated for the 2025 Review. </w:t>
      </w:r>
    </w:p>
    <w:p w14:paraId="6AB8FDB8" w14:textId="77777777" w:rsidR="00B4286B" w:rsidRPr="00E21413" w:rsidRDefault="00B4286B" w:rsidP="008C16C5">
      <w:pPr>
        <w:pStyle w:val="Heading4"/>
        <w:keepLines/>
      </w:pPr>
      <w:r>
        <w:lastRenderedPageBreak/>
        <w:t>Commission position</w:t>
      </w:r>
    </w:p>
    <w:p w14:paraId="55EA73E1" w14:textId="47143698" w:rsidR="00B4286B" w:rsidRDefault="002026C3" w:rsidP="008C16C5">
      <w:pPr>
        <w:pStyle w:val="CGC2025ParaNumbers"/>
        <w:keepNext/>
        <w:keepLines/>
      </w:pPr>
      <w:r>
        <w:t>Given limitations with the data, t</w:t>
      </w:r>
      <w:r w:rsidR="00B4286B">
        <w:t xml:space="preserve">he Commission will not include the gradients calculated for water or electricity subsidies in </w:t>
      </w:r>
      <w:r w:rsidR="004124D2">
        <w:t>the</w:t>
      </w:r>
      <w:r w:rsidR="00B4286B">
        <w:t xml:space="preserve"> general </w:t>
      </w:r>
      <w:r w:rsidR="004124D2">
        <w:t xml:space="preserve">regional </w:t>
      </w:r>
      <w:r w:rsidR="00807D83">
        <w:t xml:space="preserve">cost </w:t>
      </w:r>
      <w:r w:rsidR="00B4286B">
        <w:t>gradient. It will calculate th</w:t>
      </w:r>
      <w:r w:rsidR="00663B73">
        <w:t>is</w:t>
      </w:r>
      <w:r w:rsidR="00B4286B">
        <w:t xml:space="preserve"> gradient as the weighted average of gradients for:</w:t>
      </w:r>
    </w:p>
    <w:p w14:paraId="1E6C5821" w14:textId="77777777" w:rsidR="00B4286B" w:rsidRDefault="00B4286B" w:rsidP="008C16C5">
      <w:pPr>
        <w:pStyle w:val="BulletPoints"/>
        <w:keepNext/>
        <w:keepLines/>
      </w:pPr>
      <w:r>
        <w:t>state funding of government schools</w:t>
      </w:r>
    </w:p>
    <w:p w14:paraId="3D7DB837" w14:textId="77777777" w:rsidR="00B4286B" w:rsidRDefault="00B4286B" w:rsidP="008C16C5">
      <w:pPr>
        <w:pStyle w:val="BulletPoints"/>
        <w:keepNext/>
        <w:keepLines/>
      </w:pPr>
      <w:r>
        <w:t>post-secondary education</w:t>
      </w:r>
    </w:p>
    <w:p w14:paraId="1B10E1BC" w14:textId="77777777" w:rsidR="00B4286B" w:rsidRDefault="00B4286B" w:rsidP="008C16C5">
      <w:pPr>
        <w:pStyle w:val="BulletPoints"/>
        <w:keepNext/>
        <w:keepLines/>
      </w:pPr>
      <w:r>
        <w:t>admitted patients</w:t>
      </w:r>
    </w:p>
    <w:p w14:paraId="71B0B545" w14:textId="77777777" w:rsidR="00B4286B" w:rsidRDefault="00B4286B" w:rsidP="008C16C5">
      <w:pPr>
        <w:pStyle w:val="BulletPoints"/>
        <w:keepNext/>
        <w:keepLines/>
      </w:pPr>
      <w:r>
        <w:t>emergency departments</w:t>
      </w:r>
    </w:p>
    <w:p w14:paraId="23271F50" w14:textId="77777777" w:rsidR="00B4286B" w:rsidRDefault="00B4286B" w:rsidP="008C16C5">
      <w:pPr>
        <w:pStyle w:val="BulletPoints"/>
        <w:keepNext/>
        <w:keepLines/>
      </w:pPr>
      <w:r>
        <w:t>non-admitted patients</w:t>
      </w:r>
    </w:p>
    <w:p w14:paraId="2EE914A8" w14:textId="77777777" w:rsidR="00B4286B" w:rsidRDefault="00B4286B" w:rsidP="008C16C5">
      <w:pPr>
        <w:pStyle w:val="BulletPoints"/>
        <w:keepNext/>
        <w:keepLines/>
      </w:pPr>
      <w:r>
        <w:t>criminal courts</w:t>
      </w:r>
    </w:p>
    <w:p w14:paraId="3ECA4DA5" w14:textId="77777777" w:rsidR="00B4286B" w:rsidRDefault="00B4286B" w:rsidP="008C16C5">
      <w:pPr>
        <w:pStyle w:val="BulletPoints"/>
        <w:keepNext/>
        <w:keepLines/>
      </w:pPr>
      <w:r>
        <w:t>prisons</w:t>
      </w:r>
    </w:p>
    <w:p w14:paraId="1646E27C" w14:textId="4FDE6368" w:rsidR="001C5494" w:rsidRDefault="00B4286B" w:rsidP="008C16C5">
      <w:pPr>
        <w:pStyle w:val="BulletPoints"/>
        <w:keepNext/>
        <w:keepLines/>
      </w:pPr>
      <w:r>
        <w:t xml:space="preserve">Rawlinsons cost of construction. </w:t>
      </w:r>
      <w:bookmarkEnd w:id="0"/>
      <w:bookmarkEnd w:id="1"/>
      <w:bookmarkEnd w:id="2"/>
    </w:p>
    <w:p w14:paraId="748CA1F7" w14:textId="77777777" w:rsidR="001C5494" w:rsidRDefault="001C5494" w:rsidP="003A34E1"/>
    <w:sectPr w:rsidR="001C5494" w:rsidSect="008449B8">
      <w:footerReference w:type="first" r:id="rId42"/>
      <w:pgSz w:w="11906" w:h="16838" w:code="9"/>
      <w:pgMar w:top="1440" w:right="1440" w:bottom="1440" w:left="1440" w:header="720" w:footer="11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4D85B" w14:textId="77777777" w:rsidR="00284481" w:rsidRDefault="00284481" w:rsidP="00027AB4">
      <w:r>
        <w:separator/>
      </w:r>
    </w:p>
    <w:p w14:paraId="04FCEB50" w14:textId="77777777" w:rsidR="00284481" w:rsidRDefault="00284481" w:rsidP="00027AB4"/>
  </w:endnote>
  <w:endnote w:type="continuationSeparator" w:id="0">
    <w:p w14:paraId="13A3B175" w14:textId="77777777" w:rsidR="00284481" w:rsidRDefault="00284481" w:rsidP="00027AB4">
      <w:r>
        <w:continuationSeparator/>
      </w:r>
    </w:p>
    <w:p w14:paraId="09DB9A37" w14:textId="77777777" w:rsidR="00284481" w:rsidRDefault="00284481" w:rsidP="00027AB4"/>
  </w:endnote>
  <w:endnote w:type="continuationNotice" w:id="1">
    <w:p w14:paraId="54DC8BCD" w14:textId="77777777" w:rsidR="00284481" w:rsidRDefault="00284481" w:rsidP="00027AB4"/>
    <w:p w14:paraId="2BEC0F24" w14:textId="77777777" w:rsidR="00284481" w:rsidRDefault="00284481" w:rsidP="00027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panose1 w:val="020B0306030504020204"/>
    <w:charset w:val="00"/>
    <w:family w:val="swiss"/>
    <w:pitch w:val="variable"/>
    <w:sig w:usb0="E00002EF" w:usb1="4000205B" w:usb2="00000028" w:usb3="00000000" w:csb0="0000019F" w:csb1="00000000"/>
  </w:font>
  <w:font w:name="Work Sans">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altName w:val="Segoe UI"/>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Work Sans SemiBold">
    <w:charset w:val="00"/>
    <w:family w:val="auto"/>
    <w:pitch w:val="variable"/>
    <w:sig w:usb0="A00000FF" w:usb1="5000E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2D57" w14:textId="1F8ECDE7" w:rsidR="005B6B61" w:rsidRPr="00D549B5" w:rsidRDefault="00000000" w:rsidP="00D549B5">
    <w:pPr>
      <w:pStyle w:val="Footer"/>
      <w:jc w:val="left"/>
      <w:rPr>
        <w:rFonts w:ascii="Open Sans" w:hAnsi="Open Sans" w:cs="Open Sans"/>
        <w:b w:val="0"/>
        <w:bCs/>
        <w:color w:val="auto"/>
        <w:sz w:val="14"/>
        <w:szCs w:val="14"/>
      </w:rPr>
    </w:pPr>
    <w:sdt>
      <w:sdtPr>
        <w:id w:val="-1196684187"/>
        <w:docPartObj>
          <w:docPartGallery w:val="Page Numbers (Bottom of Page)"/>
          <w:docPartUnique/>
        </w:docPartObj>
      </w:sdtPr>
      <w:sdtEndPr>
        <w:rPr>
          <w:rFonts w:ascii="Open Sans" w:hAnsi="Open Sans" w:cs="Open Sans"/>
          <w:b w:val="0"/>
          <w:noProof/>
          <w:color w:val="auto"/>
          <w:sz w:val="14"/>
          <w:szCs w:val="14"/>
        </w:rPr>
      </w:sdtEndPr>
      <w:sdtContent>
        <w:r w:rsidR="00E70B96" w:rsidRPr="00E70B96">
          <w:rPr>
            <w:rFonts w:ascii="Open Sans Semibold" w:hAnsi="Open Sans Semibold" w:cs="Open Sans Semibold"/>
            <w:b w:val="0"/>
            <w:bCs/>
            <w:color w:val="006991"/>
            <w:sz w:val="14"/>
            <w:szCs w:val="14"/>
          </w:rPr>
          <w:t>Commonwealth Grants Commission</w:t>
        </w:r>
        <w:r w:rsidR="00E70B96" w:rsidRPr="00E70B96">
          <w:rPr>
            <w:rFonts w:ascii="Work Sans" w:hAnsi="Work Sans"/>
            <w:b w:val="0"/>
            <w:bCs/>
            <w:color w:val="auto"/>
            <w:sz w:val="14"/>
            <w:szCs w:val="14"/>
          </w:rPr>
          <w:t xml:space="preserve"> </w:t>
        </w:r>
        <w:r w:rsidR="00E70B96" w:rsidRPr="00E70B96">
          <w:rPr>
            <w:rFonts w:ascii="Open Sans" w:hAnsi="Open Sans" w:cs="Open Sans"/>
            <w:b w:val="0"/>
            <w:bCs/>
            <w:color w:val="auto"/>
            <w:sz w:val="14"/>
            <w:szCs w:val="14"/>
          </w:rPr>
          <w:t xml:space="preserve">2025 Methodology Review </w:t>
        </w:r>
        <w:r w:rsidR="00D30E2E">
          <w:rPr>
            <w:rFonts w:ascii="Open Sans" w:hAnsi="Open Sans" w:cs="Open Sans"/>
            <w:b w:val="0"/>
            <w:bCs/>
            <w:color w:val="auto"/>
            <w:sz w:val="14"/>
            <w:szCs w:val="14"/>
          </w:rPr>
          <w:t>–</w:t>
        </w:r>
        <w:r w:rsidR="00E70B96" w:rsidRPr="00E70B96">
          <w:rPr>
            <w:rFonts w:ascii="Open Sans" w:hAnsi="Open Sans" w:cs="Open Sans"/>
            <w:b w:val="0"/>
            <w:bCs/>
            <w:color w:val="auto"/>
            <w:sz w:val="14"/>
            <w:szCs w:val="14"/>
          </w:rPr>
          <w:t xml:space="preserve"> </w:t>
        </w:r>
        <w:r w:rsidR="003D679B">
          <w:rPr>
            <w:rFonts w:ascii="Open Sans" w:hAnsi="Open Sans" w:cs="Open Sans"/>
            <w:b w:val="0"/>
            <w:bCs/>
            <w:color w:val="auto"/>
            <w:sz w:val="14"/>
            <w:szCs w:val="14"/>
          </w:rPr>
          <w:t xml:space="preserve">Significant </w:t>
        </w:r>
        <w:r w:rsidR="009867E6">
          <w:rPr>
            <w:rFonts w:ascii="Open Sans" w:hAnsi="Open Sans" w:cs="Open Sans"/>
            <w:b w:val="0"/>
            <w:bCs/>
            <w:color w:val="auto"/>
            <w:sz w:val="14"/>
            <w:szCs w:val="14"/>
          </w:rPr>
          <w:t>changes</w:t>
        </w:r>
        <w:r w:rsidR="003D679B">
          <w:rPr>
            <w:rFonts w:ascii="Open Sans" w:hAnsi="Open Sans" w:cs="Open Sans"/>
            <w:b w:val="0"/>
            <w:bCs/>
            <w:color w:val="auto"/>
            <w:sz w:val="14"/>
            <w:szCs w:val="14"/>
          </w:rPr>
          <w:t xml:space="preserve"> since the Draft Report</w:t>
        </w:r>
        <w:r w:rsidR="00E70B96">
          <w:rPr>
            <w:rFonts w:ascii="Open Sans" w:hAnsi="Open Sans" w:cs="Open Sans"/>
            <w:b w:val="0"/>
            <w:bCs/>
            <w:color w:val="auto"/>
            <w:sz w:val="14"/>
            <w:szCs w:val="14"/>
          </w:rPr>
          <w:tab/>
        </w:r>
        <w:r w:rsidR="005B6B61" w:rsidRPr="00D549B5">
          <w:rPr>
            <w:rFonts w:ascii="Open Sans" w:hAnsi="Open Sans" w:cs="Open Sans"/>
            <w:b w:val="0"/>
            <w:bCs/>
            <w:color w:val="auto"/>
            <w:sz w:val="14"/>
            <w:szCs w:val="14"/>
          </w:rPr>
          <w:fldChar w:fldCharType="begin"/>
        </w:r>
        <w:r w:rsidR="005B6B61" w:rsidRPr="00D549B5">
          <w:rPr>
            <w:rFonts w:ascii="Open Sans" w:hAnsi="Open Sans" w:cs="Open Sans"/>
            <w:b w:val="0"/>
            <w:bCs/>
            <w:color w:val="auto"/>
            <w:sz w:val="14"/>
            <w:szCs w:val="14"/>
          </w:rPr>
          <w:instrText xml:space="preserve"> PAGE   \* MERGEFORMAT </w:instrText>
        </w:r>
        <w:r w:rsidR="005B6B61" w:rsidRPr="00D549B5">
          <w:rPr>
            <w:rFonts w:ascii="Open Sans" w:hAnsi="Open Sans" w:cs="Open Sans"/>
            <w:b w:val="0"/>
            <w:bCs/>
            <w:color w:val="auto"/>
            <w:sz w:val="14"/>
            <w:szCs w:val="14"/>
          </w:rPr>
          <w:fldChar w:fldCharType="separate"/>
        </w:r>
        <w:r w:rsidR="005B6B61" w:rsidRPr="00D549B5">
          <w:rPr>
            <w:rFonts w:ascii="Open Sans" w:hAnsi="Open Sans" w:cs="Open Sans"/>
            <w:b w:val="0"/>
            <w:bCs/>
            <w:noProof/>
            <w:color w:val="auto"/>
            <w:sz w:val="14"/>
            <w:szCs w:val="14"/>
          </w:rPr>
          <w:t>2</w:t>
        </w:r>
        <w:r w:rsidR="005B6B61" w:rsidRPr="00D549B5">
          <w:rPr>
            <w:rFonts w:ascii="Open Sans" w:hAnsi="Open Sans" w:cs="Open Sans"/>
            <w:b w:val="0"/>
            <w:bCs/>
            <w:noProof/>
            <w:color w:val="auto"/>
            <w:sz w:val="14"/>
            <w:szCs w:val="14"/>
          </w:rPr>
          <w:fldChar w:fldCharType="end"/>
        </w:r>
      </w:sdtContent>
    </w:sdt>
  </w:p>
  <w:p w14:paraId="2742424A" w14:textId="77777777" w:rsidR="00C66676" w:rsidRDefault="00C66676" w:rsidP="00027A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416D" w14:textId="78142386" w:rsidR="008449B8" w:rsidRDefault="008449B8" w:rsidP="008449B8">
    <w:pPr>
      <w:pStyle w:val="Footer"/>
      <w:jc w:val="left"/>
      <w:rPr>
        <w:rFonts w:ascii="Open Sans" w:hAnsi="Open Sans" w:cs="Open Sans"/>
        <w:b w:val="0"/>
        <w:bCs/>
        <w:color w:val="auto"/>
        <w:sz w:val="14"/>
        <w:szCs w:val="14"/>
      </w:rPr>
    </w:pPr>
    <w:r w:rsidRPr="00E70B96">
      <w:rPr>
        <w:rFonts w:ascii="Open Sans Semibold" w:hAnsi="Open Sans Semibold" w:cs="Open Sans Semibold"/>
        <w:b w:val="0"/>
        <w:bCs/>
        <w:color w:val="006991"/>
        <w:sz w:val="14"/>
        <w:szCs w:val="14"/>
      </w:rPr>
      <w:t>Commonwealth Grants Commission</w:t>
    </w:r>
    <w:r w:rsidRPr="00E70B96">
      <w:rPr>
        <w:rFonts w:ascii="Work Sans" w:hAnsi="Work Sans"/>
        <w:b w:val="0"/>
        <w:bCs/>
        <w:color w:val="auto"/>
        <w:sz w:val="14"/>
        <w:szCs w:val="14"/>
      </w:rPr>
      <w:t xml:space="preserve"> </w:t>
    </w:r>
    <w:r w:rsidRPr="00E70B96">
      <w:rPr>
        <w:rFonts w:ascii="Open Sans" w:hAnsi="Open Sans" w:cs="Open Sans"/>
        <w:b w:val="0"/>
        <w:bCs/>
        <w:color w:val="auto"/>
        <w:sz w:val="14"/>
        <w:szCs w:val="14"/>
      </w:rPr>
      <w:t xml:space="preserve">2025 Methodology Review </w:t>
    </w:r>
    <w:r>
      <w:rPr>
        <w:rFonts w:ascii="Open Sans" w:hAnsi="Open Sans" w:cs="Open Sans"/>
        <w:b w:val="0"/>
        <w:bCs/>
        <w:color w:val="auto"/>
        <w:sz w:val="14"/>
        <w:szCs w:val="14"/>
      </w:rPr>
      <w:t>–</w:t>
    </w:r>
    <w:r w:rsidRPr="00E70B96">
      <w:rPr>
        <w:rFonts w:ascii="Open Sans" w:hAnsi="Open Sans" w:cs="Open Sans"/>
        <w:b w:val="0"/>
        <w:bCs/>
        <w:color w:val="auto"/>
        <w:sz w:val="14"/>
        <w:szCs w:val="14"/>
      </w:rPr>
      <w:t xml:space="preserve"> </w:t>
    </w:r>
    <w:r>
      <w:rPr>
        <w:rFonts w:ascii="Open Sans" w:hAnsi="Open Sans" w:cs="Open Sans"/>
        <w:b w:val="0"/>
        <w:bCs/>
        <w:color w:val="auto"/>
        <w:sz w:val="14"/>
        <w:szCs w:val="14"/>
      </w:rPr>
      <w:t>Significant changes since the Draft Report</w:t>
    </w:r>
  </w:p>
  <w:p w14:paraId="66EEB8F0" w14:textId="77777777" w:rsidR="008449B8" w:rsidRDefault="008449B8" w:rsidP="008449B8">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8DC5" w14:textId="77777777" w:rsidR="008449B8" w:rsidRPr="00D549B5" w:rsidRDefault="00000000" w:rsidP="008449B8">
    <w:pPr>
      <w:pStyle w:val="Footer"/>
      <w:jc w:val="left"/>
      <w:rPr>
        <w:rFonts w:ascii="Open Sans" w:hAnsi="Open Sans" w:cs="Open Sans"/>
        <w:b w:val="0"/>
        <w:bCs/>
        <w:color w:val="auto"/>
        <w:sz w:val="14"/>
        <w:szCs w:val="14"/>
      </w:rPr>
    </w:pPr>
    <w:sdt>
      <w:sdtPr>
        <w:id w:val="-1458867964"/>
        <w:docPartObj>
          <w:docPartGallery w:val="Page Numbers (Bottom of Page)"/>
          <w:docPartUnique/>
        </w:docPartObj>
      </w:sdtPr>
      <w:sdtEndPr>
        <w:rPr>
          <w:rFonts w:ascii="Open Sans" w:hAnsi="Open Sans" w:cs="Open Sans"/>
          <w:b w:val="0"/>
          <w:noProof/>
          <w:color w:val="auto"/>
          <w:sz w:val="14"/>
          <w:szCs w:val="14"/>
        </w:rPr>
      </w:sdtEndPr>
      <w:sdtContent>
        <w:r w:rsidR="008449B8" w:rsidRPr="00E70B96">
          <w:rPr>
            <w:rFonts w:ascii="Open Sans Semibold" w:hAnsi="Open Sans Semibold" w:cs="Open Sans Semibold"/>
            <w:b w:val="0"/>
            <w:bCs/>
            <w:color w:val="006991"/>
            <w:sz w:val="14"/>
            <w:szCs w:val="14"/>
          </w:rPr>
          <w:t>Commonwealth Grants Commission</w:t>
        </w:r>
        <w:r w:rsidR="008449B8" w:rsidRPr="00E70B96">
          <w:rPr>
            <w:rFonts w:ascii="Work Sans" w:hAnsi="Work Sans"/>
            <w:b w:val="0"/>
            <w:bCs/>
            <w:color w:val="auto"/>
            <w:sz w:val="14"/>
            <w:szCs w:val="14"/>
          </w:rPr>
          <w:t xml:space="preserve"> </w:t>
        </w:r>
        <w:r w:rsidR="008449B8" w:rsidRPr="00E70B96">
          <w:rPr>
            <w:rFonts w:ascii="Open Sans" w:hAnsi="Open Sans" w:cs="Open Sans"/>
            <w:b w:val="0"/>
            <w:bCs/>
            <w:color w:val="auto"/>
            <w:sz w:val="14"/>
            <w:szCs w:val="14"/>
          </w:rPr>
          <w:t xml:space="preserve">2025 Methodology Review </w:t>
        </w:r>
        <w:r w:rsidR="008449B8">
          <w:rPr>
            <w:rFonts w:ascii="Open Sans" w:hAnsi="Open Sans" w:cs="Open Sans"/>
            <w:b w:val="0"/>
            <w:bCs/>
            <w:color w:val="auto"/>
            <w:sz w:val="14"/>
            <w:szCs w:val="14"/>
          </w:rPr>
          <w:t>–</w:t>
        </w:r>
        <w:r w:rsidR="008449B8" w:rsidRPr="00E70B96">
          <w:rPr>
            <w:rFonts w:ascii="Open Sans" w:hAnsi="Open Sans" w:cs="Open Sans"/>
            <w:b w:val="0"/>
            <w:bCs/>
            <w:color w:val="auto"/>
            <w:sz w:val="14"/>
            <w:szCs w:val="14"/>
          </w:rPr>
          <w:t xml:space="preserve"> </w:t>
        </w:r>
        <w:r w:rsidR="008449B8">
          <w:rPr>
            <w:rFonts w:ascii="Open Sans" w:hAnsi="Open Sans" w:cs="Open Sans"/>
            <w:b w:val="0"/>
            <w:bCs/>
            <w:color w:val="auto"/>
            <w:sz w:val="14"/>
            <w:szCs w:val="14"/>
          </w:rPr>
          <w:t>Significant changes since the Draft Report</w:t>
        </w:r>
        <w:r w:rsidR="008449B8">
          <w:rPr>
            <w:rFonts w:ascii="Open Sans" w:hAnsi="Open Sans" w:cs="Open Sans"/>
            <w:b w:val="0"/>
            <w:bCs/>
            <w:color w:val="auto"/>
            <w:sz w:val="14"/>
            <w:szCs w:val="14"/>
          </w:rPr>
          <w:tab/>
        </w:r>
        <w:r w:rsidR="008449B8" w:rsidRPr="00D549B5">
          <w:rPr>
            <w:rFonts w:ascii="Open Sans" w:hAnsi="Open Sans" w:cs="Open Sans"/>
            <w:b w:val="0"/>
            <w:bCs/>
            <w:color w:val="auto"/>
            <w:sz w:val="14"/>
            <w:szCs w:val="14"/>
          </w:rPr>
          <w:fldChar w:fldCharType="begin"/>
        </w:r>
        <w:r w:rsidR="008449B8" w:rsidRPr="00D549B5">
          <w:rPr>
            <w:rFonts w:ascii="Open Sans" w:hAnsi="Open Sans" w:cs="Open Sans"/>
            <w:b w:val="0"/>
            <w:bCs/>
            <w:color w:val="auto"/>
            <w:sz w:val="14"/>
            <w:szCs w:val="14"/>
          </w:rPr>
          <w:instrText xml:space="preserve"> PAGE   \* MERGEFORMAT </w:instrText>
        </w:r>
        <w:r w:rsidR="008449B8" w:rsidRPr="00D549B5">
          <w:rPr>
            <w:rFonts w:ascii="Open Sans" w:hAnsi="Open Sans" w:cs="Open Sans"/>
            <w:b w:val="0"/>
            <w:bCs/>
            <w:color w:val="auto"/>
            <w:sz w:val="14"/>
            <w:szCs w:val="14"/>
          </w:rPr>
          <w:fldChar w:fldCharType="separate"/>
        </w:r>
        <w:r w:rsidR="008449B8">
          <w:rPr>
            <w:rFonts w:ascii="Open Sans" w:hAnsi="Open Sans" w:cs="Open Sans"/>
            <w:b w:val="0"/>
            <w:bCs/>
            <w:sz w:val="14"/>
            <w:szCs w:val="14"/>
          </w:rPr>
          <w:t>4</w:t>
        </w:r>
        <w:r w:rsidR="008449B8" w:rsidRPr="00D549B5">
          <w:rPr>
            <w:rFonts w:ascii="Open Sans" w:hAnsi="Open Sans" w:cs="Open Sans"/>
            <w:b w:val="0"/>
            <w:bCs/>
            <w:noProof/>
            <w:color w:val="auto"/>
            <w:sz w:val="14"/>
            <w:szCs w:val="14"/>
          </w:rPr>
          <w:fldChar w:fldCharType="end"/>
        </w:r>
      </w:sdtContent>
    </w:sdt>
  </w:p>
  <w:p w14:paraId="66619F0A" w14:textId="77777777" w:rsidR="008449B8" w:rsidRDefault="008449B8" w:rsidP="008449B8">
    <w:pPr>
      <w:pStyle w:val="Footer"/>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13A40" w14:textId="77777777" w:rsidR="00284481" w:rsidRDefault="00284481" w:rsidP="00027AB4">
      <w:r w:rsidRPr="001C1AC5">
        <w:separator/>
      </w:r>
    </w:p>
  </w:footnote>
  <w:footnote w:type="continuationSeparator" w:id="0">
    <w:p w14:paraId="5E2AF2E1" w14:textId="77777777" w:rsidR="00284481" w:rsidRDefault="00284481" w:rsidP="00027AB4">
      <w:r>
        <w:continuationSeparator/>
      </w:r>
    </w:p>
    <w:p w14:paraId="30B4841F" w14:textId="77777777" w:rsidR="00284481" w:rsidRDefault="00284481" w:rsidP="00027AB4"/>
  </w:footnote>
  <w:footnote w:type="continuationNotice" w:id="1">
    <w:p w14:paraId="058CFF9E" w14:textId="77777777" w:rsidR="00284481" w:rsidRDefault="00284481" w:rsidP="00027AB4"/>
    <w:p w14:paraId="0D36FC9C" w14:textId="77777777" w:rsidR="00284481" w:rsidRDefault="00284481" w:rsidP="00027AB4"/>
  </w:footnote>
  <w:footnote w:id="2">
    <w:p w14:paraId="17E69927" w14:textId="4EAA1040" w:rsidR="00350016" w:rsidRDefault="00350016">
      <w:pPr>
        <w:pStyle w:val="FootnoteText"/>
      </w:pPr>
      <w:r>
        <w:rPr>
          <w:rStyle w:val="FootnoteReference"/>
        </w:rPr>
        <w:footnoteRef/>
      </w:r>
      <w:r>
        <w:t xml:space="preserve"> </w:t>
      </w:r>
      <w:r w:rsidR="00C4328D">
        <w:t xml:space="preserve">Revenue from stamp duty on motor vehicle transfers was assessed equal per capita in </w:t>
      </w:r>
      <w:r w:rsidR="00C27ED3">
        <w:t>o</w:t>
      </w:r>
      <w:r w:rsidR="00C4328D">
        <w:t>ther revenue in the 2020 Review.</w:t>
      </w:r>
    </w:p>
  </w:footnote>
  <w:footnote w:id="3">
    <w:p w14:paraId="41F1DF91" w14:textId="6636BAC3" w:rsidR="002E52AB" w:rsidRDefault="002E52AB">
      <w:pPr>
        <w:pStyle w:val="FootnoteText"/>
      </w:pPr>
      <w:r>
        <w:rPr>
          <w:rStyle w:val="FootnoteReference"/>
        </w:rPr>
        <w:footnoteRef/>
      </w:r>
      <w:r>
        <w:t xml:space="preserve">  </w:t>
      </w:r>
      <w:r w:rsidRPr="00726808">
        <w:t xml:space="preserve">Models that use both </w:t>
      </w:r>
      <w:r w:rsidR="00542809" w:rsidRPr="00726808">
        <w:t xml:space="preserve">indicators </w:t>
      </w:r>
      <w:r w:rsidR="00BE1335" w:rsidRPr="00726808">
        <w:t>have a negative coefficient for one of them</w:t>
      </w:r>
      <w:r w:rsidR="009C6847" w:rsidRPr="00726808">
        <w:t xml:space="preserve"> (implying funding </w:t>
      </w:r>
      <w:r w:rsidR="004A6D54" w:rsidRPr="00726808">
        <w:t>per</w:t>
      </w:r>
      <w:r w:rsidR="00783EBD">
        <w:t xml:space="preserve"> </w:t>
      </w:r>
      <w:r w:rsidR="004A6D54" w:rsidRPr="00726808">
        <w:t xml:space="preserve">student </w:t>
      </w:r>
      <w:r w:rsidR="00E95FC7" w:rsidRPr="00726808">
        <w:t>reduces as</w:t>
      </w:r>
      <w:r w:rsidR="009C6847" w:rsidRPr="00726808">
        <w:t xml:space="preserve"> disadvantage </w:t>
      </w:r>
      <w:r w:rsidR="00E95FC7" w:rsidRPr="00726808">
        <w:t>increases</w:t>
      </w:r>
      <w:r w:rsidR="00612007" w:rsidRPr="00726808">
        <w:t>)</w:t>
      </w:r>
      <w:r w:rsidR="00111097" w:rsidRPr="00726808">
        <w:t>.</w:t>
      </w:r>
      <w:r w:rsidR="00612007" w:rsidRPr="00726808">
        <w:t xml:space="preserve"> </w:t>
      </w:r>
      <w:r w:rsidR="009C6847">
        <w:t xml:space="preserve">The Commission accepts the conceptual case that </w:t>
      </w:r>
      <w:r w:rsidR="00F43E92">
        <w:t>disadvantage</w:t>
      </w:r>
      <w:r w:rsidR="00DF768D">
        <w:t>d</w:t>
      </w:r>
      <w:r w:rsidR="00F43E92">
        <w:t xml:space="preserve"> students attract a higher level of funding</w:t>
      </w:r>
      <w:r w:rsidR="00BB6F0C">
        <w:t>.</w:t>
      </w:r>
      <w:r w:rsidR="00F43E92">
        <w:t xml:space="preserve"> </w:t>
      </w:r>
      <w:r w:rsidR="00BB6F0C">
        <w:t>T</w:t>
      </w:r>
      <w:r w:rsidR="00F43E92">
        <w:t xml:space="preserve">here is evidence to support this </w:t>
      </w:r>
      <w:r w:rsidR="00BB6F0C">
        <w:t xml:space="preserve">conceptual </w:t>
      </w:r>
      <w:r w:rsidR="00F43E92">
        <w:t>case</w:t>
      </w:r>
      <w:r w:rsidR="00393CD1">
        <w:t xml:space="preserve"> </w:t>
      </w:r>
      <w:r w:rsidR="00CF6C41">
        <w:t xml:space="preserve">including from </w:t>
      </w:r>
      <w:r w:rsidR="00DF1CBE">
        <w:t>state</w:t>
      </w:r>
      <w:r w:rsidR="00393CD1">
        <w:t xml:space="preserve"> </w:t>
      </w:r>
      <w:r w:rsidR="00DF1CBE">
        <w:t>funding arrangements.</w:t>
      </w:r>
      <w:r w:rsidR="00FE5D67">
        <w:t xml:space="preserve"> </w:t>
      </w:r>
      <w:r w:rsidR="00D579B5">
        <w:t>The Commission</w:t>
      </w:r>
      <w:r w:rsidR="000D69C1">
        <w:t xml:space="preserve"> therefore considers that a negative </w:t>
      </w:r>
      <w:r w:rsidR="00A82D2C">
        <w:t xml:space="preserve">coefficient for one of </w:t>
      </w:r>
      <w:r w:rsidR="00000210">
        <w:t>the indicators i</w:t>
      </w:r>
      <w:r w:rsidR="00A82D2C">
        <w:t>s not rel</w:t>
      </w:r>
      <w:r w:rsidR="00B706FE">
        <w:t>ia</w:t>
      </w:r>
      <w:r w:rsidR="00000210">
        <w:t>ble</w:t>
      </w:r>
      <w:r w:rsidR="00612007">
        <w:t>.</w:t>
      </w:r>
      <w:r w:rsidR="00F43E92">
        <w:t xml:space="preserve"> </w:t>
      </w:r>
    </w:p>
  </w:footnote>
  <w:footnote w:id="4">
    <w:p w14:paraId="01EC7A1F" w14:textId="5F9250F9" w:rsidR="00DF2E87" w:rsidRDefault="00DF2E87">
      <w:pPr>
        <w:pStyle w:val="FootnoteText"/>
      </w:pPr>
      <w:r>
        <w:rPr>
          <w:rStyle w:val="FootnoteReference"/>
        </w:rPr>
        <w:footnoteRef/>
      </w:r>
      <w:r w:rsidR="00FA5814">
        <w:t xml:space="preserve"> Department of Health</w:t>
      </w:r>
      <w:r w:rsidR="00941F80">
        <w:t xml:space="preserve"> (DoH)</w:t>
      </w:r>
      <w:r w:rsidR="00EC2F4C">
        <w:t xml:space="preserve">, </w:t>
      </w:r>
      <w:hyperlink r:id="rId1" w:history="1">
        <w:r w:rsidR="00EC78CB" w:rsidRPr="000D3E05">
          <w:rPr>
            <w:rStyle w:val="Hyperlink"/>
          </w:rPr>
          <w:t>Indigenous Australians’ Health Programme Primary Health Care Funding Model Technical Factsheet</w:t>
        </w:r>
      </w:hyperlink>
      <w:r w:rsidR="00977422">
        <w:t>,</w:t>
      </w:r>
      <w:r w:rsidR="00FA43F4">
        <w:t xml:space="preserve"> </w:t>
      </w:r>
      <w:r w:rsidR="00941F80">
        <w:t>DoH</w:t>
      </w:r>
      <w:r w:rsidR="00FA43F4">
        <w:t xml:space="preserve">, Australian Government, </w:t>
      </w:r>
      <w:r w:rsidR="00717EE4">
        <w:t>2019,</w:t>
      </w:r>
      <w:r w:rsidR="00977422">
        <w:t xml:space="preserve"> accessed on 28 October </w:t>
      </w:r>
      <w:r w:rsidR="00B714EC">
        <w:t>2024</w:t>
      </w:r>
      <w:r w:rsidR="003A3E87">
        <w:t>.</w:t>
      </w:r>
    </w:p>
  </w:footnote>
  <w:footnote w:id="5">
    <w:p w14:paraId="2B8F8481" w14:textId="2712B861" w:rsidR="006E29BC" w:rsidRDefault="006E29BC">
      <w:pPr>
        <w:pStyle w:val="FootnoteText"/>
      </w:pPr>
      <w:r>
        <w:rPr>
          <w:rStyle w:val="FootnoteReference"/>
        </w:rPr>
        <w:footnoteRef/>
      </w:r>
      <w:r>
        <w:t xml:space="preserve"> </w:t>
      </w:r>
      <w:r w:rsidR="00FB15C2">
        <w:tab/>
      </w:r>
      <w:r w:rsidR="0022139C">
        <w:t xml:space="preserve">The </w:t>
      </w:r>
      <w:r w:rsidR="00797DAF">
        <w:t xml:space="preserve">non-admitted patient </w:t>
      </w:r>
      <w:r w:rsidR="00D35AE9">
        <w:t>NWAU</w:t>
      </w:r>
      <w:r w:rsidR="00B12E64">
        <w:t xml:space="preserve"> data</w:t>
      </w:r>
      <w:r w:rsidR="0037624A">
        <w:t xml:space="preserve"> </w:t>
      </w:r>
      <w:r w:rsidR="0093161B">
        <w:t xml:space="preserve">available to the Commission </w:t>
      </w:r>
      <w:r w:rsidR="00DE33EE">
        <w:t>are</w:t>
      </w:r>
      <w:r w:rsidR="0093161B">
        <w:t xml:space="preserve"> disaggregated by </w:t>
      </w:r>
      <w:r w:rsidR="004266CB">
        <w:t>the Tier 2 classification</w:t>
      </w:r>
      <w:r w:rsidR="00B51D48">
        <w:t xml:space="preserve">. The Tier 2 classification </w:t>
      </w:r>
      <w:r w:rsidR="00EE7AA8">
        <w:t>has disti</w:t>
      </w:r>
      <w:r w:rsidR="004D7A74">
        <w:t>n</w:t>
      </w:r>
      <w:r w:rsidR="00EE7AA8">
        <w:t>ct codes for COVID</w:t>
      </w:r>
      <w:r w:rsidR="005114F9">
        <w:t>-19</w:t>
      </w:r>
      <w:r w:rsidR="00EE7AA8">
        <w:t xml:space="preserve"> related services</w:t>
      </w:r>
      <w:r w:rsidR="00786D8B">
        <w:t xml:space="preserve"> so those can be taken out. </w:t>
      </w:r>
      <w:r w:rsidR="009E6768">
        <w:t xml:space="preserve">The situation is different for </w:t>
      </w:r>
      <w:r w:rsidR="00C0357B">
        <w:t xml:space="preserve">admitted patient </w:t>
      </w:r>
      <w:r w:rsidR="00CA6388">
        <w:t xml:space="preserve">NWAU </w:t>
      </w:r>
      <w:r w:rsidR="00E33E2D">
        <w:t>data</w:t>
      </w:r>
      <w:r w:rsidR="00695CC4">
        <w:t xml:space="preserve"> that </w:t>
      </w:r>
      <w:r w:rsidR="00006E8D">
        <w:t>are based</w:t>
      </w:r>
      <w:r w:rsidR="00E33E2D">
        <w:t xml:space="preserve"> on the </w:t>
      </w:r>
      <w:r w:rsidR="005114F9">
        <w:t xml:space="preserve">Diagnostic </w:t>
      </w:r>
      <w:r w:rsidR="00E33E2D">
        <w:t>R</w:t>
      </w:r>
      <w:r w:rsidR="005114F9">
        <w:t xml:space="preserve">elated </w:t>
      </w:r>
      <w:r w:rsidR="00E33E2D">
        <w:t>G</w:t>
      </w:r>
      <w:r w:rsidR="005114F9">
        <w:t>roup</w:t>
      </w:r>
      <w:r w:rsidR="00E33E2D">
        <w:t xml:space="preserve"> classification</w:t>
      </w:r>
      <w:r w:rsidR="00695CC4">
        <w:t xml:space="preserve">. The </w:t>
      </w:r>
      <w:r w:rsidR="005114F9">
        <w:t xml:space="preserve">Diagnostic </w:t>
      </w:r>
      <w:r w:rsidR="00695CC4">
        <w:t>R</w:t>
      </w:r>
      <w:r w:rsidR="005114F9">
        <w:t xml:space="preserve">elated </w:t>
      </w:r>
      <w:r w:rsidR="00695CC4">
        <w:t>G</w:t>
      </w:r>
      <w:r w:rsidR="005114F9">
        <w:t>roup</w:t>
      </w:r>
      <w:r w:rsidR="00695CC4">
        <w:t xml:space="preserve"> classification </w:t>
      </w:r>
      <w:r w:rsidR="006028F6">
        <w:t xml:space="preserve">does not have </w:t>
      </w:r>
      <w:r w:rsidR="001913AA">
        <w:t>distinct codes for COVID</w:t>
      </w:r>
      <w:r w:rsidR="005114F9">
        <w:t>-19</w:t>
      </w:r>
      <w:r w:rsidR="001913AA">
        <w:t xml:space="preserve"> related services</w:t>
      </w:r>
      <w:r w:rsidR="00695CC4">
        <w:t xml:space="preserve"> so i</w:t>
      </w:r>
      <w:r w:rsidR="00FE57D9">
        <w:t>t</w:t>
      </w:r>
      <w:r w:rsidR="00912A23">
        <w:t xml:space="preserve"> would not be </w:t>
      </w:r>
      <w:r w:rsidR="009E159F">
        <w:t xml:space="preserve">possible </w:t>
      </w:r>
      <w:r w:rsidR="00912A23">
        <w:t xml:space="preserve">to exclude </w:t>
      </w:r>
      <w:r w:rsidR="00190451">
        <w:t>COVID</w:t>
      </w:r>
      <w:r w:rsidR="005114F9">
        <w:t>-19</w:t>
      </w:r>
      <w:r w:rsidR="00190451">
        <w:t xml:space="preserve"> related</w:t>
      </w:r>
      <w:r w:rsidR="0040421C">
        <w:t xml:space="preserve"> services </w:t>
      </w:r>
      <w:r w:rsidR="00F82324">
        <w:t>from admitted patient</w:t>
      </w:r>
      <w:r w:rsidR="002F6DFF">
        <w:t xml:space="preserve"> activity</w:t>
      </w:r>
      <w:r w:rsidR="009E159F">
        <w:t xml:space="preserve"> </w:t>
      </w:r>
      <w:r w:rsidR="003E5CEF">
        <w:t xml:space="preserve">based on </w:t>
      </w:r>
      <w:r w:rsidR="005114F9">
        <w:t xml:space="preserve">Diagnostic </w:t>
      </w:r>
      <w:r w:rsidR="00621FF0">
        <w:t>R</w:t>
      </w:r>
      <w:r w:rsidR="005114F9">
        <w:t xml:space="preserve">elated </w:t>
      </w:r>
      <w:r w:rsidR="00621FF0">
        <w:t>G</w:t>
      </w:r>
      <w:r w:rsidR="005114F9">
        <w:t>roup</w:t>
      </w:r>
      <w:r w:rsidR="002B5E84">
        <w:t>.</w:t>
      </w:r>
    </w:p>
  </w:footnote>
  <w:footnote w:id="6">
    <w:p w14:paraId="01FA8D1D" w14:textId="07FBA637" w:rsidR="00E207B1" w:rsidRDefault="00E207B1" w:rsidP="00E207B1">
      <w:pPr>
        <w:pStyle w:val="FootnoteText"/>
      </w:pPr>
      <w:r w:rsidRPr="00297E07">
        <w:footnoteRef/>
      </w:r>
      <w:r>
        <w:t xml:space="preserve"> A severely overcrowded </w:t>
      </w:r>
      <w:r w:rsidRPr="00297E07">
        <w:t>dwelling is one which requires 4 or more extra bedrooms to accommodate the people who usually live there. See</w:t>
      </w:r>
      <w:r w:rsidR="00CF2FFC">
        <w:t xml:space="preserve"> ABS, </w:t>
      </w:r>
      <w:hyperlink r:id="rId2" w:history="1">
        <w:r w:rsidR="00CF2FFC" w:rsidRPr="00553BC4">
          <w:rPr>
            <w:rStyle w:val="Hyperlink"/>
          </w:rPr>
          <w:t>Factsheet: Overcrowding</w:t>
        </w:r>
      </w:hyperlink>
      <w:r w:rsidR="00CF2FFC">
        <w:t xml:space="preserve">, ABS </w:t>
      </w:r>
      <w:r w:rsidR="00683E9D">
        <w:t xml:space="preserve">website, </w:t>
      </w:r>
      <w:r w:rsidR="00BB6688">
        <w:t xml:space="preserve">2012, accessed </w:t>
      </w:r>
      <w:r w:rsidR="00875F86">
        <w:t>25</w:t>
      </w:r>
      <w:r w:rsidRPr="00297E07">
        <w:t xml:space="preserve"> </w:t>
      </w:r>
      <w:r w:rsidR="00875F86">
        <w:t>October 2024.</w:t>
      </w:r>
    </w:p>
  </w:footnote>
  <w:footnote w:id="7">
    <w:p w14:paraId="5D168078" w14:textId="0B3498B3" w:rsidR="00292FAC" w:rsidRDefault="00292FAC" w:rsidP="00292FAC">
      <w:pPr>
        <w:pStyle w:val="FootnoteText"/>
      </w:pPr>
      <w:r>
        <w:rPr>
          <w:rStyle w:val="FootnoteReference"/>
        </w:rPr>
        <w:footnoteRef/>
      </w:r>
      <w:r>
        <w:t xml:space="preserve"> The Commission consulted states on including a cost weight for social housing tenants that were high</w:t>
      </w:r>
      <w:r w:rsidR="000F6C7D">
        <w:t xml:space="preserve"> </w:t>
      </w:r>
      <w:r>
        <w:t>cost because of a disability or long</w:t>
      </w:r>
      <w:r>
        <w:noBreakHyphen/>
        <w:t>term health condition but reliable data w</w:t>
      </w:r>
      <w:r w:rsidR="00DF3666">
        <w:t>ere</w:t>
      </w:r>
      <w:r>
        <w:t xml:space="preserve"> not available.</w:t>
      </w:r>
    </w:p>
  </w:footnote>
  <w:footnote w:id="8">
    <w:p w14:paraId="1EE1CF47" w14:textId="61357B00" w:rsidR="00343F36" w:rsidRDefault="00343F36" w:rsidP="00343F36">
      <w:pPr>
        <w:pStyle w:val="FootnoteText"/>
      </w:pPr>
      <w:r>
        <w:rPr>
          <w:rStyle w:val="FootnoteReference"/>
        </w:rPr>
        <w:footnoteRef/>
      </w:r>
      <w:r>
        <w:t xml:space="preserve"> </w:t>
      </w:r>
      <w:r w:rsidR="00CF597F">
        <w:tab/>
      </w:r>
      <w:r>
        <w:rPr>
          <w:szCs w:val="14"/>
        </w:rPr>
        <w:t xml:space="preserve">Commonwealth Grants Commission (CGC), </w:t>
      </w:r>
      <w:hyperlink r:id="rId3" w:history="1">
        <w:r w:rsidRPr="006E2B50">
          <w:rPr>
            <w:rStyle w:val="Hyperlink"/>
          </w:rPr>
          <w:t>2025 Methodology Review – Commission’s position fiscal equalisation, supporting principles and assessment guidelines</w:t>
        </w:r>
      </w:hyperlink>
      <w:r>
        <w:t>, CGC, Australian Government, 2024.</w:t>
      </w:r>
    </w:p>
  </w:footnote>
  <w:footnote w:id="9">
    <w:p w14:paraId="747A64E0" w14:textId="40D6554C" w:rsidR="00FE7611" w:rsidRDefault="00FE7611" w:rsidP="00FE7611">
      <w:pPr>
        <w:pStyle w:val="FootnoteText"/>
      </w:pPr>
      <w:r>
        <w:rPr>
          <w:rStyle w:val="FootnoteReference"/>
        </w:rPr>
        <w:footnoteRef/>
      </w:r>
      <w:r>
        <w:t xml:space="preserve"> </w:t>
      </w:r>
      <w:r w:rsidR="007347B9">
        <w:t xml:space="preserve">Productivity </w:t>
      </w:r>
      <w:r>
        <w:t>C</w:t>
      </w:r>
      <w:r w:rsidR="007347B9">
        <w:t>ommission</w:t>
      </w:r>
      <w:r w:rsidR="0017034F">
        <w:t xml:space="preserve"> (PC)</w:t>
      </w:r>
      <w:r>
        <w:t xml:space="preserve">, </w:t>
      </w:r>
      <w:hyperlink r:id="rId4" w:history="1">
        <w:r w:rsidRPr="00126F46">
          <w:rPr>
            <w:rStyle w:val="Hyperlink"/>
          </w:rPr>
          <w:t>Report on Government Services</w:t>
        </w:r>
      </w:hyperlink>
      <w:r>
        <w:t xml:space="preserve">, </w:t>
      </w:r>
      <w:r w:rsidR="0017034F">
        <w:t>PC</w:t>
      </w:r>
      <w:r>
        <w:t xml:space="preserve">, </w:t>
      </w:r>
      <w:r w:rsidR="00711C3D">
        <w:t xml:space="preserve">2024, </w:t>
      </w:r>
      <w:r>
        <w:t>accessed 26 August 2024.</w:t>
      </w:r>
    </w:p>
  </w:footnote>
  <w:footnote w:id="10">
    <w:p w14:paraId="0ADA2777" w14:textId="77777777" w:rsidR="0056028A" w:rsidRDefault="0056028A" w:rsidP="0056028A">
      <w:pPr>
        <w:pStyle w:val="FootnoteText"/>
      </w:pPr>
      <w:r>
        <w:rPr>
          <w:rStyle w:val="FootnoteReference"/>
        </w:rPr>
        <w:footnoteRef/>
      </w:r>
      <w:r>
        <w:t xml:space="preserve"> The Commission’s definition of urban transport is based on the ability to use public transport services to travel within an urban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5C7E" w14:textId="00F2BEB0" w:rsidR="00E22658" w:rsidRDefault="00000000">
    <w:pPr>
      <w:pStyle w:val="Header"/>
    </w:pPr>
    <w:r>
      <w:rPr>
        <w:noProof/>
      </w:rPr>
      <w:pict w14:anchorId="363A9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878532" o:spid="_x0000_s1026" type="#_x0000_t136" style="position:absolute;left:0;text-align:left;margin-left:0;margin-top:0;width:556.75pt;height:79.5pt;rotation:315;z-index:-251658235;mso-position-horizontal:center;mso-position-horizontal-relative:margin;mso-position-vertical:center;mso-position-vertical-relative:margin" o:allowincell="f" fillcolor="silver" stroked="f">
          <v:fill opacity=".5"/>
          <v:textpath style="font-family:&quot;Work San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61E1" w14:textId="3CC1F933" w:rsidR="007120AE" w:rsidRDefault="007120AE" w:rsidP="007120AE">
    <w:pPr>
      <w:tabs>
        <w:tab w:val="clear" w:pos="567"/>
      </w:tabs>
      <w:spacing w:before="0" w:line="240" w:lineRule="auto"/>
      <w:jc w:val="center"/>
    </w:pPr>
  </w:p>
  <w:p w14:paraId="03BBDAF5" w14:textId="77777777" w:rsidR="00B57C0C" w:rsidRDefault="00B57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CE47" w14:textId="3EC45FD4" w:rsidR="007120AE" w:rsidRDefault="008449B8" w:rsidP="003E0A3A">
    <w:pPr>
      <w:tabs>
        <w:tab w:val="clear" w:pos="567"/>
      </w:tabs>
      <w:spacing w:before="0" w:line="240" w:lineRule="auto"/>
    </w:pPr>
    <w:r>
      <w:rPr>
        <w:noProof/>
      </w:rPr>
      <mc:AlternateContent>
        <mc:Choice Requires="wps">
          <w:drawing>
            <wp:anchor distT="0" distB="0" distL="114300" distR="114300" simplePos="0" relativeHeight="251662342" behindDoc="0" locked="0" layoutInCell="1" allowOverlap="1" wp14:anchorId="647A161C" wp14:editId="4F7F207F">
              <wp:simplePos x="0" y="0"/>
              <wp:positionH relativeFrom="margin">
                <wp:posOffset>-51435</wp:posOffset>
              </wp:positionH>
              <wp:positionV relativeFrom="paragraph">
                <wp:posOffset>1682115</wp:posOffset>
              </wp:positionV>
              <wp:extent cx="5730240" cy="4096385"/>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240" cy="4096385"/>
                      </a:xfrm>
                      <a:prstGeom prst="rect">
                        <a:avLst/>
                      </a:prstGeom>
                      <a:noFill/>
                      <a:ln w="6350">
                        <a:noFill/>
                      </a:ln>
                    </wps:spPr>
                    <wps:txbx>
                      <w:txbxContent>
                        <w:p w14:paraId="6ACBC132" w14:textId="77777777" w:rsidR="008449B8" w:rsidRDefault="008449B8" w:rsidP="008449B8">
                          <w:pPr>
                            <w:spacing w:before="0" w:line="240" w:lineRule="auto"/>
                            <w:jc w:val="center"/>
                            <w:rPr>
                              <w:rFonts w:cs="Open Sans Semibold"/>
                              <w:b/>
                              <w:color w:val="FFFFFF"/>
                              <w:sz w:val="72"/>
                              <w:szCs w:val="72"/>
                            </w:rPr>
                          </w:pPr>
                        </w:p>
                        <w:p w14:paraId="25BF88DC" w14:textId="77777777" w:rsidR="008449B8" w:rsidRDefault="008449B8" w:rsidP="008449B8">
                          <w:pPr>
                            <w:spacing w:before="0" w:line="240" w:lineRule="auto"/>
                            <w:jc w:val="center"/>
                            <w:rPr>
                              <w:rFonts w:cs="Open Sans Semibold"/>
                              <w:b/>
                              <w:color w:val="FFFFFF"/>
                              <w:sz w:val="72"/>
                              <w:szCs w:val="72"/>
                            </w:rPr>
                          </w:pPr>
                        </w:p>
                        <w:p w14:paraId="3FF236C4" w14:textId="77777777" w:rsidR="008449B8" w:rsidRPr="00422626" w:rsidRDefault="008449B8" w:rsidP="008449B8">
                          <w:pPr>
                            <w:spacing w:before="0" w:line="240" w:lineRule="auto"/>
                            <w:jc w:val="center"/>
                            <w:rPr>
                              <w:rFonts w:cs="Open Sans Semibold"/>
                              <w:b/>
                              <w:color w:val="FFFFFF"/>
                              <w:sz w:val="64"/>
                              <w:szCs w:val="64"/>
                            </w:rPr>
                          </w:pPr>
                          <w:r w:rsidRPr="00422626">
                            <w:rPr>
                              <w:rFonts w:cs="Open Sans Semibold"/>
                              <w:b/>
                              <w:color w:val="FFFFFF"/>
                              <w:sz w:val="64"/>
                              <w:szCs w:val="64"/>
                            </w:rPr>
                            <w:t>2025 Methodology Review</w:t>
                          </w:r>
                          <w:r w:rsidRPr="00422626">
                            <w:rPr>
                              <w:rFonts w:cs="Open Sans Semibold"/>
                              <w:b/>
                              <w:color w:val="FFFFFF"/>
                              <w:sz w:val="64"/>
                              <w:szCs w:val="64"/>
                            </w:rPr>
                            <w:br/>
                          </w:r>
                          <w:r w:rsidRPr="00422626">
                            <w:rPr>
                              <w:rFonts w:cs="Open Sans Semibold"/>
                              <w:b/>
                              <w:color w:val="FFFFFF"/>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A161C" id="_x0000_t202" coordsize="21600,21600" o:spt="202" path="m,l,21600r21600,l21600,xe">
              <v:stroke joinstyle="miter"/>
              <v:path gradientshapeok="t" o:connecttype="rect"/>
            </v:shapetype>
            <v:shape id="Text Box 10" o:spid="_x0000_s1027" type="#_x0000_t202" alt="&quot;&quot;" style="position:absolute;margin-left:-4.05pt;margin-top:132.45pt;width:451.2pt;height:322.55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" filled="f" stroked="f" strokeweight=".5pt">
              <v:textbox>
                <w:txbxContent>
                  <w:p w14:paraId="6ACBC132" w14:textId="77777777" w:rsidR="008449B8" w:rsidRDefault="008449B8" w:rsidP="008449B8">
                    <w:pPr>
                      <w:spacing w:before="0" w:line="240" w:lineRule="auto"/>
                      <w:jc w:val="center"/>
                      <w:rPr>
                        <w:rFonts w:cs="Open Sans Semibold"/>
                        <w:b/>
                        <w:color w:val="FFFFFF"/>
                        <w:sz w:val="72"/>
                        <w:szCs w:val="72"/>
                      </w:rPr>
                    </w:pPr>
                  </w:p>
                  <w:p w14:paraId="25BF88DC" w14:textId="77777777" w:rsidR="008449B8" w:rsidRDefault="008449B8" w:rsidP="008449B8">
                    <w:pPr>
                      <w:spacing w:before="0" w:line="240" w:lineRule="auto"/>
                      <w:jc w:val="center"/>
                      <w:rPr>
                        <w:rFonts w:cs="Open Sans Semibold"/>
                        <w:b/>
                        <w:color w:val="FFFFFF"/>
                        <w:sz w:val="72"/>
                        <w:szCs w:val="72"/>
                      </w:rPr>
                    </w:pPr>
                  </w:p>
                  <w:p w14:paraId="3FF236C4" w14:textId="77777777" w:rsidR="008449B8" w:rsidRPr="00422626" w:rsidRDefault="008449B8" w:rsidP="008449B8">
                    <w:pPr>
                      <w:spacing w:before="0" w:line="240" w:lineRule="auto"/>
                      <w:jc w:val="center"/>
                      <w:rPr>
                        <w:rFonts w:cs="Open Sans Semibold"/>
                        <w:b/>
                        <w:color w:val="FFFFFF"/>
                        <w:sz w:val="64"/>
                        <w:szCs w:val="64"/>
                      </w:rPr>
                    </w:pPr>
                    <w:r w:rsidRPr="00422626">
                      <w:rPr>
                        <w:rFonts w:cs="Open Sans Semibold"/>
                        <w:b/>
                        <w:color w:val="FFFFFF"/>
                        <w:sz w:val="64"/>
                        <w:szCs w:val="64"/>
                      </w:rPr>
                      <w:t>2025 Methodology Review</w:t>
                    </w:r>
                    <w:r w:rsidRPr="00422626">
                      <w:rPr>
                        <w:rFonts w:cs="Open Sans Semibold"/>
                        <w:b/>
                        <w:color w:val="FFFFFF"/>
                        <w:sz w:val="64"/>
                        <w:szCs w:val="64"/>
                      </w:rPr>
                      <w:br/>
                    </w:r>
                    <w:r w:rsidRPr="00422626">
                      <w:rPr>
                        <w:rFonts w:cs="Open Sans Semibold"/>
                        <w:b/>
                        <w:color w:val="FFFFFF"/>
                        <w:sz w:val="64"/>
                        <w:szCs w:val="64"/>
                      </w:rPr>
                      <w:br/>
                    </w:r>
                  </w:p>
                </w:txbxContent>
              </v:textbox>
              <w10:wrap anchorx="margin"/>
            </v:shape>
          </w:pict>
        </mc:Fallback>
      </mc:AlternateContent>
    </w:r>
    <w:r>
      <w:rPr>
        <w:noProof/>
      </w:rPr>
      <w:drawing>
        <wp:anchor distT="0" distB="0" distL="114300" distR="114300" simplePos="0" relativeHeight="251663366" behindDoc="0" locked="0" layoutInCell="1" allowOverlap="1" wp14:anchorId="6964B825" wp14:editId="3891E15B">
          <wp:simplePos x="0" y="0"/>
          <wp:positionH relativeFrom="margin">
            <wp:posOffset>-98425</wp:posOffset>
          </wp:positionH>
          <wp:positionV relativeFrom="margin">
            <wp:posOffset>18415</wp:posOffset>
          </wp:positionV>
          <wp:extent cx="2519680" cy="474345"/>
          <wp:effectExtent l="0" t="0" r="0" b="1905"/>
          <wp:wrapNone/>
          <wp:docPr id="1545242474" name="Picture 1545242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9680" cy="4743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90" behindDoc="0" locked="0" layoutInCell="1" allowOverlap="1" wp14:anchorId="14932C93" wp14:editId="6722AE9E">
              <wp:simplePos x="0" y="0"/>
              <wp:positionH relativeFrom="margin">
                <wp:posOffset>154940</wp:posOffset>
              </wp:positionH>
              <wp:positionV relativeFrom="paragraph">
                <wp:posOffset>5374640</wp:posOffset>
              </wp:positionV>
              <wp:extent cx="5444490" cy="2381250"/>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4490" cy="2381250"/>
                      </a:xfrm>
                      <a:prstGeom prst="rect">
                        <a:avLst/>
                      </a:prstGeom>
                      <a:noFill/>
                      <a:ln w="6350">
                        <a:noFill/>
                      </a:ln>
                    </wps:spPr>
                    <wps:txbx>
                      <w:txbxContent>
                        <w:p w14:paraId="4A2BC4AF" w14:textId="77777777" w:rsidR="008449B8" w:rsidRDefault="008449B8" w:rsidP="008449B8">
                          <w:pPr>
                            <w:spacing w:before="0" w:line="240" w:lineRule="auto"/>
                            <w:jc w:val="center"/>
                            <w:rPr>
                              <w:rFonts w:cs="Open Sans Semibold"/>
                              <w:bCs/>
                              <w:color w:val="FFFFFF"/>
                              <w:sz w:val="56"/>
                              <w:szCs w:val="56"/>
                            </w:rPr>
                          </w:pPr>
                        </w:p>
                        <w:p w14:paraId="0C25525B" w14:textId="77777777" w:rsidR="008449B8" w:rsidRPr="00F7761F" w:rsidRDefault="008449B8" w:rsidP="008449B8">
                          <w:pPr>
                            <w:spacing w:before="0" w:line="240" w:lineRule="auto"/>
                            <w:jc w:val="center"/>
                            <w:rPr>
                              <w:rFonts w:cs="Open Sans Semibold"/>
                              <w:bCs/>
                              <w:color w:val="FFFFFF"/>
                              <w:sz w:val="56"/>
                              <w:szCs w:val="56"/>
                            </w:rPr>
                          </w:pPr>
                          <w:r>
                            <w:rPr>
                              <w:rFonts w:cs="Open Sans Semibold"/>
                              <w:bCs/>
                              <w:color w:val="FFFFFF"/>
                              <w:sz w:val="56"/>
                              <w:szCs w:val="56"/>
                            </w:rPr>
                            <w:t>Significant changes since the Draft Report</w:t>
                          </w:r>
                        </w:p>
                        <w:p w14:paraId="0ED52C4D" w14:textId="77777777" w:rsidR="008449B8" w:rsidRDefault="008449B8" w:rsidP="008449B8">
                          <w:pPr>
                            <w:spacing w:before="0" w:line="240" w:lineRule="auto"/>
                            <w:jc w:val="center"/>
                            <w:rPr>
                              <w:rFonts w:cs="Open Sans Semibold"/>
                              <w:bCs/>
                              <w:color w:val="FFFFFF"/>
                              <w:sz w:val="32"/>
                              <w:szCs w:val="32"/>
                            </w:rPr>
                          </w:pPr>
                        </w:p>
                        <w:p w14:paraId="23114524" w14:textId="77777777" w:rsidR="008449B8" w:rsidRPr="006C19B1" w:rsidRDefault="008449B8" w:rsidP="008449B8">
                          <w:pPr>
                            <w:spacing w:before="0" w:line="240" w:lineRule="auto"/>
                            <w:jc w:val="center"/>
                            <w:rPr>
                              <w:rFonts w:cs="Open Sans Semibold"/>
                              <w:bCs/>
                              <w:color w:val="FFFFFF"/>
                              <w:sz w:val="32"/>
                              <w:szCs w:val="32"/>
                            </w:rPr>
                          </w:pPr>
                          <w:r>
                            <w:rPr>
                              <w:rFonts w:cs="Open Sans Semibold"/>
                              <w:bCs/>
                              <w:color w:val="FFFFFF"/>
                              <w:sz w:val="32"/>
                              <w:szCs w:val="32"/>
                            </w:rPr>
                            <w:t>November</w:t>
                          </w:r>
                          <w:r w:rsidRPr="006C19B1">
                            <w:rPr>
                              <w:rFonts w:cs="Open Sans Semibold"/>
                              <w:bCs/>
                              <w:color w:val="FFFFFF"/>
                              <w:sz w:val="32"/>
                              <w:szCs w:val="32"/>
                            </w:rPr>
                            <w:t xml:space="preserve"> 202</w:t>
                          </w:r>
                          <w:r>
                            <w:rPr>
                              <w:rFonts w:cs="Open Sans Semibold"/>
                              <w:bCs/>
                              <w:color w:val="FFFFFF"/>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2C93" id="Text Box 37" o:spid="_x0000_s1028" type="#_x0000_t202" alt="&quot;&quot;" style="position:absolute;margin-left:12.2pt;margin-top:423.2pt;width:428.7pt;height:187.5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" filled="f" stroked="f" strokeweight=".5pt">
              <v:textbox>
                <w:txbxContent>
                  <w:p w14:paraId="4A2BC4AF" w14:textId="77777777" w:rsidR="008449B8" w:rsidRDefault="008449B8" w:rsidP="008449B8">
                    <w:pPr>
                      <w:spacing w:before="0" w:line="240" w:lineRule="auto"/>
                      <w:jc w:val="center"/>
                      <w:rPr>
                        <w:rFonts w:cs="Open Sans Semibold"/>
                        <w:bCs/>
                        <w:color w:val="FFFFFF"/>
                        <w:sz w:val="56"/>
                        <w:szCs w:val="56"/>
                      </w:rPr>
                    </w:pPr>
                  </w:p>
                  <w:p w14:paraId="0C25525B" w14:textId="77777777" w:rsidR="008449B8" w:rsidRPr="00F7761F" w:rsidRDefault="008449B8" w:rsidP="008449B8">
                    <w:pPr>
                      <w:spacing w:before="0" w:line="240" w:lineRule="auto"/>
                      <w:jc w:val="center"/>
                      <w:rPr>
                        <w:rFonts w:cs="Open Sans Semibold"/>
                        <w:bCs/>
                        <w:color w:val="FFFFFF"/>
                        <w:sz w:val="56"/>
                        <w:szCs w:val="56"/>
                      </w:rPr>
                    </w:pPr>
                    <w:r>
                      <w:rPr>
                        <w:rFonts w:cs="Open Sans Semibold"/>
                        <w:bCs/>
                        <w:color w:val="FFFFFF"/>
                        <w:sz w:val="56"/>
                        <w:szCs w:val="56"/>
                      </w:rPr>
                      <w:t>Significant changes since the Draft Report</w:t>
                    </w:r>
                  </w:p>
                  <w:p w14:paraId="0ED52C4D" w14:textId="77777777" w:rsidR="008449B8" w:rsidRDefault="008449B8" w:rsidP="008449B8">
                    <w:pPr>
                      <w:spacing w:before="0" w:line="240" w:lineRule="auto"/>
                      <w:jc w:val="center"/>
                      <w:rPr>
                        <w:rFonts w:cs="Open Sans Semibold"/>
                        <w:bCs/>
                        <w:color w:val="FFFFFF"/>
                        <w:sz w:val="32"/>
                        <w:szCs w:val="32"/>
                      </w:rPr>
                    </w:pPr>
                  </w:p>
                  <w:p w14:paraId="23114524" w14:textId="77777777" w:rsidR="008449B8" w:rsidRPr="006C19B1" w:rsidRDefault="008449B8" w:rsidP="008449B8">
                    <w:pPr>
                      <w:spacing w:before="0" w:line="240" w:lineRule="auto"/>
                      <w:jc w:val="center"/>
                      <w:rPr>
                        <w:rFonts w:cs="Open Sans Semibold"/>
                        <w:bCs/>
                        <w:color w:val="FFFFFF"/>
                        <w:sz w:val="32"/>
                        <w:szCs w:val="32"/>
                      </w:rPr>
                    </w:pPr>
                    <w:r>
                      <w:rPr>
                        <w:rFonts w:cs="Open Sans Semibold"/>
                        <w:bCs/>
                        <w:color w:val="FFFFFF"/>
                        <w:sz w:val="32"/>
                        <w:szCs w:val="32"/>
                      </w:rPr>
                      <w:t>November</w:t>
                    </w:r>
                    <w:r w:rsidRPr="006C19B1">
                      <w:rPr>
                        <w:rFonts w:cs="Open Sans Semibold"/>
                        <w:bCs/>
                        <w:color w:val="FFFFFF"/>
                        <w:sz w:val="32"/>
                        <w:szCs w:val="32"/>
                      </w:rPr>
                      <w:t xml:space="preserve"> 202</w:t>
                    </w:r>
                    <w:r>
                      <w:rPr>
                        <w:rFonts w:cs="Open Sans Semibold"/>
                        <w:bCs/>
                        <w:color w:val="FFFFFF"/>
                        <w:sz w:val="32"/>
                        <w:szCs w:val="32"/>
                      </w:rPr>
                      <w:t>4</w:t>
                    </w:r>
                  </w:p>
                </w:txbxContent>
              </v:textbox>
              <w10:wrap anchorx="margin"/>
            </v:shape>
          </w:pict>
        </mc:Fallback>
      </mc:AlternateContent>
    </w:r>
    <w:r>
      <w:rPr>
        <w:noProof/>
      </w:rPr>
      <w:drawing>
        <wp:anchor distT="0" distB="0" distL="114300" distR="114300" simplePos="0" relativeHeight="251665414" behindDoc="1" locked="0" layoutInCell="1" allowOverlap="1" wp14:anchorId="42EFF636" wp14:editId="5F4EA527">
          <wp:simplePos x="0" y="0"/>
          <wp:positionH relativeFrom="margin">
            <wp:posOffset>-1003300</wp:posOffset>
          </wp:positionH>
          <wp:positionV relativeFrom="paragraph">
            <wp:posOffset>-457200</wp:posOffset>
          </wp:positionV>
          <wp:extent cx="7725600" cy="10922400"/>
          <wp:effectExtent l="0" t="0" r="8890" b="0"/>
          <wp:wrapNone/>
          <wp:docPr id="1362654795" name="Picture 1362654795"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3F80B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878531" o:spid="_x0000_s1025" type="#_x0000_t136" style="position:absolute;margin-left:0;margin-top:0;width:556.75pt;height:79.5pt;rotation:315;z-index:-251658236;mso-position-horizontal:center;mso-position-horizontal-relative:margin;mso-position-vertical:center;mso-position-vertical-relative:margin" o:allowincell="f" fillcolor="silver" stroked="f">
          <v:fill opacity=".5"/>
          <v:textpath style="font-family:&quot;Work Sans&quot;;font-size:1pt" string="Under Embargo"/>
          <w10:wrap anchorx="margin" anchory="margin"/>
        </v:shape>
      </w:pict>
    </w:r>
    <w:r w:rsidR="000D23BC" w:rsidRPr="000D23BC">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F639" w14:textId="6507ED26" w:rsidR="008449B8" w:rsidRDefault="008449B8" w:rsidP="003E0A3A">
    <w:pPr>
      <w:tabs>
        <w:tab w:val="clear" w:pos="567"/>
      </w:tabs>
      <w:spacing w:before="0" w:line="240" w:lineRule="auto"/>
    </w:pPr>
    <w:r w:rsidRPr="000D23BC">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6314" w:hanging="360"/>
      </w:pPr>
      <w:rPr>
        <w:rFonts w:hint="default"/>
      </w:rPr>
    </w:lvl>
    <w:lvl w:ilvl="1" w:tplc="0C090019" w:tentative="1">
      <w:start w:val="1"/>
      <w:numFmt w:val="lowerLetter"/>
      <w:lvlText w:val="%2."/>
      <w:lvlJc w:val="left"/>
      <w:pPr>
        <w:ind w:left="7034" w:hanging="360"/>
      </w:pPr>
    </w:lvl>
    <w:lvl w:ilvl="2" w:tplc="0C09001B" w:tentative="1">
      <w:start w:val="1"/>
      <w:numFmt w:val="lowerRoman"/>
      <w:lvlText w:val="%3."/>
      <w:lvlJc w:val="right"/>
      <w:pPr>
        <w:ind w:left="7754" w:hanging="180"/>
      </w:pPr>
    </w:lvl>
    <w:lvl w:ilvl="3" w:tplc="0C09000F" w:tentative="1">
      <w:start w:val="1"/>
      <w:numFmt w:val="decimal"/>
      <w:lvlText w:val="%4."/>
      <w:lvlJc w:val="left"/>
      <w:pPr>
        <w:ind w:left="8474" w:hanging="360"/>
      </w:pPr>
    </w:lvl>
    <w:lvl w:ilvl="4" w:tplc="0C090019" w:tentative="1">
      <w:start w:val="1"/>
      <w:numFmt w:val="lowerLetter"/>
      <w:lvlText w:val="%5."/>
      <w:lvlJc w:val="left"/>
      <w:pPr>
        <w:ind w:left="9194" w:hanging="360"/>
      </w:pPr>
    </w:lvl>
    <w:lvl w:ilvl="5" w:tplc="0C09001B" w:tentative="1">
      <w:start w:val="1"/>
      <w:numFmt w:val="lowerRoman"/>
      <w:lvlText w:val="%6."/>
      <w:lvlJc w:val="right"/>
      <w:pPr>
        <w:ind w:left="9914" w:hanging="180"/>
      </w:pPr>
    </w:lvl>
    <w:lvl w:ilvl="6" w:tplc="0C09000F" w:tentative="1">
      <w:start w:val="1"/>
      <w:numFmt w:val="decimal"/>
      <w:lvlText w:val="%7."/>
      <w:lvlJc w:val="left"/>
      <w:pPr>
        <w:ind w:left="10634" w:hanging="360"/>
      </w:pPr>
    </w:lvl>
    <w:lvl w:ilvl="7" w:tplc="0C090019" w:tentative="1">
      <w:start w:val="1"/>
      <w:numFmt w:val="lowerLetter"/>
      <w:lvlText w:val="%8."/>
      <w:lvlJc w:val="left"/>
      <w:pPr>
        <w:ind w:left="11354" w:hanging="360"/>
      </w:pPr>
    </w:lvl>
    <w:lvl w:ilvl="8" w:tplc="0C09001B" w:tentative="1">
      <w:start w:val="1"/>
      <w:numFmt w:val="lowerRoman"/>
      <w:lvlText w:val="%9."/>
      <w:lvlJc w:val="right"/>
      <w:pPr>
        <w:ind w:left="12074" w:hanging="180"/>
      </w:pPr>
    </w:lvl>
  </w:abstractNum>
  <w:abstractNum w:abstractNumId="1" w15:restartNumberingAfterBreak="0">
    <w:nsid w:val="153D7BB4"/>
    <w:multiLevelType w:val="multilevel"/>
    <w:tmpl w:val="254084B6"/>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5"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366FAE"/>
    <w:multiLevelType w:val="multilevel"/>
    <w:tmpl w:val="33221A26"/>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7" w15:restartNumberingAfterBreak="0">
    <w:nsid w:val="305A2F29"/>
    <w:multiLevelType w:val="hybridMultilevel"/>
    <w:tmpl w:val="9BDA636C"/>
    <w:lvl w:ilvl="0" w:tplc="A61AAA14">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C983792"/>
    <w:multiLevelType w:val="hybridMultilevel"/>
    <w:tmpl w:val="08921DA4"/>
    <w:lvl w:ilvl="0" w:tplc="9FC498FA">
      <w:start w:val="1"/>
      <w:numFmt w:val="bullet"/>
      <w:pStyle w:val="ListBullet"/>
      <w:lvlText w:val=""/>
      <w:lvlJc w:val="left"/>
      <w:pPr>
        <w:ind w:left="425" w:hanging="283"/>
      </w:pPr>
      <w:rPr>
        <w:rFonts w:ascii="Symbol" w:hAnsi="Symbol" w:hint="default"/>
        <w:color w:val="auto"/>
        <w:sz w:val="14"/>
        <w:szCs w:val="14"/>
      </w:rPr>
    </w:lvl>
    <w:lvl w:ilvl="1" w:tplc="A9745DB0">
      <w:start w:val="1"/>
      <w:numFmt w:val="bullet"/>
      <w:lvlText w:val="●"/>
      <w:lvlJc w:val="left"/>
      <w:rPr>
        <w:rFonts w:ascii="Arial" w:hAnsi="Arial" w:hint="default"/>
        <w:color w:val="A29062"/>
        <w:sz w:val="16"/>
      </w:rPr>
    </w:lvl>
    <w:lvl w:ilvl="2" w:tplc="9C7CAFC6">
      <w:start w:val="1"/>
      <w:numFmt w:val="bullet"/>
      <w:lvlText w:val="●"/>
      <w:lvlJc w:val="left"/>
      <w:rPr>
        <w:rFonts w:ascii="Arial" w:hAnsi="Arial" w:hint="default"/>
        <w:color w:val="A29062"/>
        <w:sz w:val="16"/>
      </w:rPr>
    </w:lvl>
    <w:lvl w:ilvl="3" w:tplc="D5C0CA04">
      <w:start w:val="1"/>
      <w:numFmt w:val="bullet"/>
      <w:lvlText w:val="●"/>
      <w:lvlJc w:val="left"/>
      <w:rPr>
        <w:rFonts w:ascii="Arial" w:hAnsi="Arial" w:hint="default"/>
        <w:color w:val="A29062"/>
        <w:sz w:val="16"/>
      </w:rPr>
    </w:lvl>
    <w:lvl w:ilvl="4" w:tplc="7B341962">
      <w:start w:val="1"/>
      <w:numFmt w:val="bullet"/>
      <w:lvlText w:val="●"/>
      <w:lvlJc w:val="left"/>
      <w:rPr>
        <w:rFonts w:ascii="Arial" w:hAnsi="Arial" w:hint="default"/>
        <w:color w:val="A29062"/>
        <w:sz w:val="16"/>
      </w:rPr>
    </w:lvl>
    <w:lvl w:ilvl="5" w:tplc="23AE4486">
      <w:start w:val="1"/>
      <w:numFmt w:val="bullet"/>
      <w:lvlText w:val="●"/>
      <w:lvlJc w:val="left"/>
      <w:rPr>
        <w:rFonts w:ascii="Arial" w:hAnsi="Arial" w:hint="default"/>
        <w:color w:val="A29062"/>
        <w:sz w:val="16"/>
      </w:rPr>
    </w:lvl>
    <w:lvl w:ilvl="6" w:tplc="5D5E3762">
      <w:start w:val="1"/>
      <w:numFmt w:val="bullet"/>
      <w:lvlText w:val="●"/>
      <w:lvlJc w:val="left"/>
      <w:rPr>
        <w:rFonts w:ascii="Arial" w:hAnsi="Arial" w:hint="default"/>
        <w:color w:val="A29062"/>
        <w:sz w:val="16"/>
      </w:rPr>
    </w:lvl>
    <w:lvl w:ilvl="7" w:tplc="2B188FA2">
      <w:start w:val="1"/>
      <w:numFmt w:val="bullet"/>
      <w:lvlText w:val="●"/>
      <w:lvlJc w:val="left"/>
      <w:rPr>
        <w:rFonts w:ascii="Arial" w:hAnsi="Arial" w:hint="default"/>
        <w:color w:val="A29062"/>
        <w:sz w:val="16"/>
      </w:rPr>
    </w:lvl>
    <w:lvl w:ilvl="8" w:tplc="DD407036">
      <w:start w:val="1"/>
      <w:numFmt w:val="bullet"/>
      <w:lvlText w:val="●"/>
      <w:lvlJc w:val="left"/>
      <w:rPr>
        <w:rFonts w:ascii="Arial" w:hAnsi="Arial" w:hint="default"/>
        <w:color w:val="A29062"/>
        <w:sz w:val="16"/>
      </w:rPr>
    </w:lvl>
  </w:abstractNum>
  <w:abstractNum w:abstractNumId="10"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27C6A46"/>
    <w:multiLevelType w:val="multilevel"/>
    <w:tmpl w:val="27206854"/>
    <w:lvl w:ilvl="0">
      <w:start w:val="1"/>
      <w:numFmt w:val="decimal"/>
      <w:pStyle w:val="BodyCopyWorkSans10"/>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3"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4" w15:restartNumberingAfterBreak="0">
    <w:nsid w:val="74D554F9"/>
    <w:multiLevelType w:val="hybridMultilevel"/>
    <w:tmpl w:val="E2F6BCEA"/>
    <w:lvl w:ilvl="0" w:tplc="65920C2E">
      <w:start w:val="1"/>
      <w:numFmt w:val="bullet"/>
      <w:pStyle w:val="BulletPoints"/>
      <w:lvlText w:val=""/>
      <w:lvlJc w:val="left"/>
      <w:pPr>
        <w:ind w:left="1200" w:hanging="360"/>
      </w:pPr>
      <w:rPr>
        <w:rFonts w:ascii="Symbol" w:hAnsi="Symbol" w:hint="default"/>
      </w:rPr>
    </w:lvl>
    <w:lvl w:ilvl="1" w:tplc="0C090003">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15"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49357354">
    <w:abstractNumId w:val="4"/>
  </w:num>
  <w:num w:numId="2" w16cid:durableId="1003897054">
    <w:abstractNumId w:val="15"/>
  </w:num>
  <w:num w:numId="3" w16cid:durableId="1334529044">
    <w:abstractNumId w:val="3"/>
  </w:num>
  <w:num w:numId="4" w16cid:durableId="1514761234">
    <w:abstractNumId w:val="2"/>
  </w:num>
  <w:num w:numId="5" w16cid:durableId="920797300">
    <w:abstractNumId w:val="0"/>
  </w:num>
  <w:num w:numId="6" w16cid:durableId="1807814447">
    <w:abstractNumId w:val="12"/>
  </w:num>
  <w:num w:numId="7" w16cid:durableId="801770153">
    <w:abstractNumId w:val="7"/>
  </w:num>
  <w:num w:numId="8" w16cid:durableId="1737627722">
    <w:abstractNumId w:val="13"/>
  </w:num>
  <w:num w:numId="9" w16cid:durableId="176697617">
    <w:abstractNumId w:val="1"/>
  </w:num>
  <w:num w:numId="10" w16cid:durableId="1408111535">
    <w:abstractNumId w:val="8"/>
  </w:num>
  <w:num w:numId="11" w16cid:durableId="2080126907">
    <w:abstractNumId w:val="10"/>
  </w:num>
  <w:num w:numId="12" w16cid:durableId="58332428">
    <w:abstractNumId w:val="5"/>
  </w:num>
  <w:num w:numId="13" w16cid:durableId="522092457">
    <w:abstractNumId w:val="11"/>
  </w:num>
  <w:num w:numId="14" w16cid:durableId="367995155">
    <w:abstractNumId w:val="9"/>
  </w:num>
  <w:num w:numId="15" w16cid:durableId="545072451">
    <w:abstractNumId w:val="14"/>
  </w:num>
  <w:num w:numId="16" w16cid:durableId="1925605910">
    <w:abstractNumId w:val="6"/>
  </w:num>
  <w:num w:numId="17" w16cid:durableId="1296445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403049">
    <w:abstractNumId w:val="1"/>
  </w:num>
  <w:num w:numId="19" w16cid:durableId="161629525">
    <w:abstractNumId w:val="1"/>
  </w:num>
  <w:num w:numId="20" w16cid:durableId="1719478513">
    <w:abstractNumId w:val="1"/>
  </w:num>
  <w:num w:numId="21" w16cid:durableId="790321838">
    <w:abstractNumId w:val="3"/>
  </w:num>
  <w:num w:numId="22" w16cid:durableId="144633983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980"/>
    <w:rsid w:val="00000210"/>
    <w:rsid w:val="00000218"/>
    <w:rsid w:val="00000227"/>
    <w:rsid w:val="000002B2"/>
    <w:rsid w:val="000003D2"/>
    <w:rsid w:val="000004B3"/>
    <w:rsid w:val="0000054D"/>
    <w:rsid w:val="000005AA"/>
    <w:rsid w:val="000005CA"/>
    <w:rsid w:val="00000A2B"/>
    <w:rsid w:val="00000A67"/>
    <w:rsid w:val="00000AB2"/>
    <w:rsid w:val="00000B8B"/>
    <w:rsid w:val="00000C48"/>
    <w:rsid w:val="00000C9F"/>
    <w:rsid w:val="00000FC9"/>
    <w:rsid w:val="00001078"/>
    <w:rsid w:val="000010A8"/>
    <w:rsid w:val="00001163"/>
    <w:rsid w:val="000014F2"/>
    <w:rsid w:val="00001882"/>
    <w:rsid w:val="000018E8"/>
    <w:rsid w:val="000019C0"/>
    <w:rsid w:val="00001A5A"/>
    <w:rsid w:val="00001D6F"/>
    <w:rsid w:val="00001DA2"/>
    <w:rsid w:val="00001E57"/>
    <w:rsid w:val="00001E8B"/>
    <w:rsid w:val="00001FE2"/>
    <w:rsid w:val="00002144"/>
    <w:rsid w:val="0000224D"/>
    <w:rsid w:val="00002356"/>
    <w:rsid w:val="000023D4"/>
    <w:rsid w:val="0000249B"/>
    <w:rsid w:val="000024E2"/>
    <w:rsid w:val="000025E6"/>
    <w:rsid w:val="0000261F"/>
    <w:rsid w:val="00002687"/>
    <w:rsid w:val="00002923"/>
    <w:rsid w:val="00002B1C"/>
    <w:rsid w:val="00002C83"/>
    <w:rsid w:val="00002F86"/>
    <w:rsid w:val="000031C6"/>
    <w:rsid w:val="000032B9"/>
    <w:rsid w:val="000035DD"/>
    <w:rsid w:val="00003660"/>
    <w:rsid w:val="000036D8"/>
    <w:rsid w:val="000037BC"/>
    <w:rsid w:val="00003E77"/>
    <w:rsid w:val="00003E89"/>
    <w:rsid w:val="00003F28"/>
    <w:rsid w:val="000042F1"/>
    <w:rsid w:val="0000437E"/>
    <w:rsid w:val="000043F9"/>
    <w:rsid w:val="000045DE"/>
    <w:rsid w:val="000046FB"/>
    <w:rsid w:val="00004719"/>
    <w:rsid w:val="0000485A"/>
    <w:rsid w:val="00004C67"/>
    <w:rsid w:val="00004C79"/>
    <w:rsid w:val="00004EED"/>
    <w:rsid w:val="00004F5B"/>
    <w:rsid w:val="00005015"/>
    <w:rsid w:val="0000502A"/>
    <w:rsid w:val="00005041"/>
    <w:rsid w:val="000053F8"/>
    <w:rsid w:val="0000543F"/>
    <w:rsid w:val="0000549D"/>
    <w:rsid w:val="00005545"/>
    <w:rsid w:val="00005668"/>
    <w:rsid w:val="0000567C"/>
    <w:rsid w:val="00005869"/>
    <w:rsid w:val="00005BA4"/>
    <w:rsid w:val="00005D00"/>
    <w:rsid w:val="00005EE9"/>
    <w:rsid w:val="00005EEE"/>
    <w:rsid w:val="0000607F"/>
    <w:rsid w:val="0000618C"/>
    <w:rsid w:val="00006208"/>
    <w:rsid w:val="0000628E"/>
    <w:rsid w:val="0000648D"/>
    <w:rsid w:val="000065F5"/>
    <w:rsid w:val="00006781"/>
    <w:rsid w:val="00006959"/>
    <w:rsid w:val="0000696D"/>
    <w:rsid w:val="00006B78"/>
    <w:rsid w:val="00006C9A"/>
    <w:rsid w:val="00006D7D"/>
    <w:rsid w:val="00006E30"/>
    <w:rsid w:val="00006E44"/>
    <w:rsid w:val="00006E8D"/>
    <w:rsid w:val="00006F3D"/>
    <w:rsid w:val="00007562"/>
    <w:rsid w:val="0000774D"/>
    <w:rsid w:val="00007899"/>
    <w:rsid w:val="00007A11"/>
    <w:rsid w:val="00007AB8"/>
    <w:rsid w:val="00007BFD"/>
    <w:rsid w:val="00007E33"/>
    <w:rsid w:val="00007F69"/>
    <w:rsid w:val="00007FD5"/>
    <w:rsid w:val="00010053"/>
    <w:rsid w:val="0001030A"/>
    <w:rsid w:val="00010503"/>
    <w:rsid w:val="0001054D"/>
    <w:rsid w:val="000105A1"/>
    <w:rsid w:val="00010711"/>
    <w:rsid w:val="00010794"/>
    <w:rsid w:val="000109A4"/>
    <w:rsid w:val="000109AB"/>
    <w:rsid w:val="00010B3F"/>
    <w:rsid w:val="00010B75"/>
    <w:rsid w:val="00010CBA"/>
    <w:rsid w:val="00010CEC"/>
    <w:rsid w:val="00010F5B"/>
    <w:rsid w:val="0001105C"/>
    <w:rsid w:val="000110D1"/>
    <w:rsid w:val="000112B2"/>
    <w:rsid w:val="000114FE"/>
    <w:rsid w:val="00011823"/>
    <w:rsid w:val="000118BB"/>
    <w:rsid w:val="00011B7A"/>
    <w:rsid w:val="00011BB3"/>
    <w:rsid w:val="00011C73"/>
    <w:rsid w:val="00011D1A"/>
    <w:rsid w:val="00011DA8"/>
    <w:rsid w:val="00011F7D"/>
    <w:rsid w:val="000120A6"/>
    <w:rsid w:val="0001218F"/>
    <w:rsid w:val="000126C8"/>
    <w:rsid w:val="00012AC0"/>
    <w:rsid w:val="00012B03"/>
    <w:rsid w:val="00012B67"/>
    <w:rsid w:val="00012BD1"/>
    <w:rsid w:val="00012C1C"/>
    <w:rsid w:val="00012C74"/>
    <w:rsid w:val="00012CD5"/>
    <w:rsid w:val="00012DAC"/>
    <w:rsid w:val="00012DD7"/>
    <w:rsid w:val="00013824"/>
    <w:rsid w:val="0001399A"/>
    <w:rsid w:val="00013B63"/>
    <w:rsid w:val="00013B73"/>
    <w:rsid w:val="000140A9"/>
    <w:rsid w:val="000141E3"/>
    <w:rsid w:val="00014520"/>
    <w:rsid w:val="00014674"/>
    <w:rsid w:val="00014864"/>
    <w:rsid w:val="000148C5"/>
    <w:rsid w:val="0001491F"/>
    <w:rsid w:val="00014A8F"/>
    <w:rsid w:val="00014A92"/>
    <w:rsid w:val="00014CB0"/>
    <w:rsid w:val="00015068"/>
    <w:rsid w:val="000150BF"/>
    <w:rsid w:val="00015283"/>
    <w:rsid w:val="00015500"/>
    <w:rsid w:val="000156B2"/>
    <w:rsid w:val="00015818"/>
    <w:rsid w:val="00015832"/>
    <w:rsid w:val="000159F3"/>
    <w:rsid w:val="00015A97"/>
    <w:rsid w:val="00015C57"/>
    <w:rsid w:val="00015C5B"/>
    <w:rsid w:val="00015D0B"/>
    <w:rsid w:val="00015ED7"/>
    <w:rsid w:val="000161D3"/>
    <w:rsid w:val="000162E7"/>
    <w:rsid w:val="0001698B"/>
    <w:rsid w:val="00016A7B"/>
    <w:rsid w:val="00016AC5"/>
    <w:rsid w:val="00016C62"/>
    <w:rsid w:val="00016FE0"/>
    <w:rsid w:val="00016FE9"/>
    <w:rsid w:val="0001756E"/>
    <w:rsid w:val="00017640"/>
    <w:rsid w:val="000176D7"/>
    <w:rsid w:val="0001770B"/>
    <w:rsid w:val="000178EF"/>
    <w:rsid w:val="0001797D"/>
    <w:rsid w:val="00017E5B"/>
    <w:rsid w:val="00017E79"/>
    <w:rsid w:val="00017EB6"/>
    <w:rsid w:val="00020022"/>
    <w:rsid w:val="0002028A"/>
    <w:rsid w:val="0002041C"/>
    <w:rsid w:val="0002049D"/>
    <w:rsid w:val="000204C9"/>
    <w:rsid w:val="0002051A"/>
    <w:rsid w:val="00020607"/>
    <w:rsid w:val="00020799"/>
    <w:rsid w:val="00020D21"/>
    <w:rsid w:val="00020DAE"/>
    <w:rsid w:val="00020DE8"/>
    <w:rsid w:val="00020EA3"/>
    <w:rsid w:val="00020FB6"/>
    <w:rsid w:val="00020FC2"/>
    <w:rsid w:val="00020FCF"/>
    <w:rsid w:val="00020FEB"/>
    <w:rsid w:val="0002115F"/>
    <w:rsid w:val="0002134B"/>
    <w:rsid w:val="00021727"/>
    <w:rsid w:val="00021827"/>
    <w:rsid w:val="00021B5B"/>
    <w:rsid w:val="00021C7A"/>
    <w:rsid w:val="00021E88"/>
    <w:rsid w:val="00022179"/>
    <w:rsid w:val="00022422"/>
    <w:rsid w:val="000224AC"/>
    <w:rsid w:val="00022752"/>
    <w:rsid w:val="00022A72"/>
    <w:rsid w:val="00022BB9"/>
    <w:rsid w:val="00022C1B"/>
    <w:rsid w:val="00022CE0"/>
    <w:rsid w:val="00022EA9"/>
    <w:rsid w:val="00022F3D"/>
    <w:rsid w:val="00022F90"/>
    <w:rsid w:val="00023068"/>
    <w:rsid w:val="00023137"/>
    <w:rsid w:val="00023303"/>
    <w:rsid w:val="000234DC"/>
    <w:rsid w:val="000238B5"/>
    <w:rsid w:val="00023AE6"/>
    <w:rsid w:val="00023B03"/>
    <w:rsid w:val="00023BDB"/>
    <w:rsid w:val="00024069"/>
    <w:rsid w:val="000246BA"/>
    <w:rsid w:val="000246EB"/>
    <w:rsid w:val="000246F6"/>
    <w:rsid w:val="00024745"/>
    <w:rsid w:val="00024A4B"/>
    <w:rsid w:val="00024C95"/>
    <w:rsid w:val="00024CD0"/>
    <w:rsid w:val="00024D5F"/>
    <w:rsid w:val="00025184"/>
    <w:rsid w:val="000251CC"/>
    <w:rsid w:val="00025214"/>
    <w:rsid w:val="00025242"/>
    <w:rsid w:val="000255EA"/>
    <w:rsid w:val="000256A4"/>
    <w:rsid w:val="000256F9"/>
    <w:rsid w:val="00025790"/>
    <w:rsid w:val="000257D0"/>
    <w:rsid w:val="00025A78"/>
    <w:rsid w:val="00025B1F"/>
    <w:rsid w:val="00025CB3"/>
    <w:rsid w:val="00025D17"/>
    <w:rsid w:val="00025E94"/>
    <w:rsid w:val="000261E7"/>
    <w:rsid w:val="00026260"/>
    <w:rsid w:val="000265A4"/>
    <w:rsid w:val="000265E0"/>
    <w:rsid w:val="000266E5"/>
    <w:rsid w:val="00026734"/>
    <w:rsid w:val="00026838"/>
    <w:rsid w:val="00026896"/>
    <w:rsid w:val="000268E0"/>
    <w:rsid w:val="00026A1A"/>
    <w:rsid w:val="00026AD6"/>
    <w:rsid w:val="00026E43"/>
    <w:rsid w:val="00026E62"/>
    <w:rsid w:val="00026E7B"/>
    <w:rsid w:val="000273C6"/>
    <w:rsid w:val="0002746A"/>
    <w:rsid w:val="000274F7"/>
    <w:rsid w:val="00027557"/>
    <w:rsid w:val="00027894"/>
    <w:rsid w:val="00027AB4"/>
    <w:rsid w:val="00027ABE"/>
    <w:rsid w:val="00027BEB"/>
    <w:rsid w:val="00027C12"/>
    <w:rsid w:val="00027CEB"/>
    <w:rsid w:val="00027DBF"/>
    <w:rsid w:val="00027DEB"/>
    <w:rsid w:val="00027DEC"/>
    <w:rsid w:val="00030098"/>
    <w:rsid w:val="000300BF"/>
    <w:rsid w:val="00030205"/>
    <w:rsid w:val="00030497"/>
    <w:rsid w:val="00030516"/>
    <w:rsid w:val="0003051B"/>
    <w:rsid w:val="00030595"/>
    <w:rsid w:val="00030629"/>
    <w:rsid w:val="00030C7C"/>
    <w:rsid w:val="00030E66"/>
    <w:rsid w:val="00030EC8"/>
    <w:rsid w:val="0003105D"/>
    <w:rsid w:val="000311E2"/>
    <w:rsid w:val="0003122F"/>
    <w:rsid w:val="00031246"/>
    <w:rsid w:val="0003126E"/>
    <w:rsid w:val="000312FF"/>
    <w:rsid w:val="0003144D"/>
    <w:rsid w:val="00031497"/>
    <w:rsid w:val="00031648"/>
    <w:rsid w:val="0003193D"/>
    <w:rsid w:val="00031AFE"/>
    <w:rsid w:val="00031B76"/>
    <w:rsid w:val="00031CF4"/>
    <w:rsid w:val="00031D6D"/>
    <w:rsid w:val="00031F44"/>
    <w:rsid w:val="00032105"/>
    <w:rsid w:val="00032318"/>
    <w:rsid w:val="00032428"/>
    <w:rsid w:val="00032544"/>
    <w:rsid w:val="000326F5"/>
    <w:rsid w:val="000327F7"/>
    <w:rsid w:val="00032856"/>
    <w:rsid w:val="000328A8"/>
    <w:rsid w:val="00032D4B"/>
    <w:rsid w:val="00032F41"/>
    <w:rsid w:val="00033294"/>
    <w:rsid w:val="00033347"/>
    <w:rsid w:val="000335BE"/>
    <w:rsid w:val="000335E4"/>
    <w:rsid w:val="00033648"/>
    <w:rsid w:val="000338C9"/>
    <w:rsid w:val="00033A71"/>
    <w:rsid w:val="00033B81"/>
    <w:rsid w:val="00033C0D"/>
    <w:rsid w:val="0003409C"/>
    <w:rsid w:val="000340D0"/>
    <w:rsid w:val="000340E8"/>
    <w:rsid w:val="000341CE"/>
    <w:rsid w:val="00034535"/>
    <w:rsid w:val="00034622"/>
    <w:rsid w:val="0003462A"/>
    <w:rsid w:val="0003471F"/>
    <w:rsid w:val="00034770"/>
    <w:rsid w:val="00034825"/>
    <w:rsid w:val="00034916"/>
    <w:rsid w:val="00034A6B"/>
    <w:rsid w:val="00034DBB"/>
    <w:rsid w:val="00034F08"/>
    <w:rsid w:val="00034F57"/>
    <w:rsid w:val="00034F65"/>
    <w:rsid w:val="0003500A"/>
    <w:rsid w:val="00035104"/>
    <w:rsid w:val="000355D9"/>
    <w:rsid w:val="000357B6"/>
    <w:rsid w:val="00035831"/>
    <w:rsid w:val="00035ABA"/>
    <w:rsid w:val="00035CF4"/>
    <w:rsid w:val="000360DE"/>
    <w:rsid w:val="00036213"/>
    <w:rsid w:val="00036223"/>
    <w:rsid w:val="000363C5"/>
    <w:rsid w:val="000364E9"/>
    <w:rsid w:val="00036563"/>
    <w:rsid w:val="000368AB"/>
    <w:rsid w:val="00036A3B"/>
    <w:rsid w:val="00036C51"/>
    <w:rsid w:val="00036C69"/>
    <w:rsid w:val="00036EF4"/>
    <w:rsid w:val="00036F1C"/>
    <w:rsid w:val="00036F2D"/>
    <w:rsid w:val="000370C8"/>
    <w:rsid w:val="00037224"/>
    <w:rsid w:val="000372BA"/>
    <w:rsid w:val="00037491"/>
    <w:rsid w:val="0003751E"/>
    <w:rsid w:val="000375E1"/>
    <w:rsid w:val="000375FF"/>
    <w:rsid w:val="000376CF"/>
    <w:rsid w:val="0003772D"/>
    <w:rsid w:val="00037857"/>
    <w:rsid w:val="000378F7"/>
    <w:rsid w:val="00037926"/>
    <w:rsid w:val="00037C0A"/>
    <w:rsid w:val="0004001F"/>
    <w:rsid w:val="00040135"/>
    <w:rsid w:val="00040571"/>
    <w:rsid w:val="00040600"/>
    <w:rsid w:val="00040601"/>
    <w:rsid w:val="00040785"/>
    <w:rsid w:val="00040A52"/>
    <w:rsid w:val="00040C05"/>
    <w:rsid w:val="00040CCA"/>
    <w:rsid w:val="00040D48"/>
    <w:rsid w:val="00040F27"/>
    <w:rsid w:val="0004108E"/>
    <w:rsid w:val="000410C8"/>
    <w:rsid w:val="0004123E"/>
    <w:rsid w:val="00041299"/>
    <w:rsid w:val="000412DB"/>
    <w:rsid w:val="000414F8"/>
    <w:rsid w:val="00041748"/>
    <w:rsid w:val="00041E1B"/>
    <w:rsid w:val="00041E84"/>
    <w:rsid w:val="000421AA"/>
    <w:rsid w:val="0004233B"/>
    <w:rsid w:val="000424EA"/>
    <w:rsid w:val="0004258C"/>
    <w:rsid w:val="00042738"/>
    <w:rsid w:val="00042CD7"/>
    <w:rsid w:val="0004309C"/>
    <w:rsid w:val="00043200"/>
    <w:rsid w:val="000432D9"/>
    <w:rsid w:val="0004331D"/>
    <w:rsid w:val="00043332"/>
    <w:rsid w:val="00043395"/>
    <w:rsid w:val="000437A7"/>
    <w:rsid w:val="00043800"/>
    <w:rsid w:val="00043875"/>
    <w:rsid w:val="00043B5D"/>
    <w:rsid w:val="00043C27"/>
    <w:rsid w:val="00043CFE"/>
    <w:rsid w:val="00043FB7"/>
    <w:rsid w:val="00044058"/>
    <w:rsid w:val="0004412C"/>
    <w:rsid w:val="000442AA"/>
    <w:rsid w:val="000442ED"/>
    <w:rsid w:val="00044479"/>
    <w:rsid w:val="00044548"/>
    <w:rsid w:val="0004456B"/>
    <w:rsid w:val="00044698"/>
    <w:rsid w:val="00044801"/>
    <w:rsid w:val="00044B3A"/>
    <w:rsid w:val="00044D74"/>
    <w:rsid w:val="0004502E"/>
    <w:rsid w:val="00045052"/>
    <w:rsid w:val="0004517B"/>
    <w:rsid w:val="000451DA"/>
    <w:rsid w:val="00045395"/>
    <w:rsid w:val="00045677"/>
    <w:rsid w:val="0004569D"/>
    <w:rsid w:val="00045757"/>
    <w:rsid w:val="0004587F"/>
    <w:rsid w:val="00045965"/>
    <w:rsid w:val="00045A77"/>
    <w:rsid w:val="00045B8F"/>
    <w:rsid w:val="00045C0E"/>
    <w:rsid w:val="00045C11"/>
    <w:rsid w:val="00045C96"/>
    <w:rsid w:val="00045DFF"/>
    <w:rsid w:val="00045EB2"/>
    <w:rsid w:val="00045F80"/>
    <w:rsid w:val="00045F82"/>
    <w:rsid w:val="000460FC"/>
    <w:rsid w:val="000462BE"/>
    <w:rsid w:val="00046397"/>
    <w:rsid w:val="000465BD"/>
    <w:rsid w:val="00046859"/>
    <w:rsid w:val="00046B06"/>
    <w:rsid w:val="00046B95"/>
    <w:rsid w:val="00046DD9"/>
    <w:rsid w:val="00046EEF"/>
    <w:rsid w:val="00046F5C"/>
    <w:rsid w:val="000470A2"/>
    <w:rsid w:val="000473BF"/>
    <w:rsid w:val="00047690"/>
    <w:rsid w:val="00047856"/>
    <w:rsid w:val="00047951"/>
    <w:rsid w:val="00047AB0"/>
    <w:rsid w:val="00047DF1"/>
    <w:rsid w:val="00047E5A"/>
    <w:rsid w:val="00047F0E"/>
    <w:rsid w:val="0005017B"/>
    <w:rsid w:val="000506D4"/>
    <w:rsid w:val="000508D3"/>
    <w:rsid w:val="00050917"/>
    <w:rsid w:val="00050BC0"/>
    <w:rsid w:val="00050CFC"/>
    <w:rsid w:val="00050E60"/>
    <w:rsid w:val="00050E9A"/>
    <w:rsid w:val="00051114"/>
    <w:rsid w:val="000511A6"/>
    <w:rsid w:val="00051640"/>
    <w:rsid w:val="00051647"/>
    <w:rsid w:val="000518E1"/>
    <w:rsid w:val="000518ED"/>
    <w:rsid w:val="00051AFE"/>
    <w:rsid w:val="00051B92"/>
    <w:rsid w:val="00051F3C"/>
    <w:rsid w:val="000521F0"/>
    <w:rsid w:val="000523FE"/>
    <w:rsid w:val="000525F5"/>
    <w:rsid w:val="00052A1C"/>
    <w:rsid w:val="00052DA0"/>
    <w:rsid w:val="00052F61"/>
    <w:rsid w:val="00052FA8"/>
    <w:rsid w:val="00053480"/>
    <w:rsid w:val="00053512"/>
    <w:rsid w:val="00053525"/>
    <w:rsid w:val="00053581"/>
    <w:rsid w:val="0005377C"/>
    <w:rsid w:val="0005381C"/>
    <w:rsid w:val="00053843"/>
    <w:rsid w:val="000538BE"/>
    <w:rsid w:val="00053B4A"/>
    <w:rsid w:val="00053C36"/>
    <w:rsid w:val="00053F80"/>
    <w:rsid w:val="00054010"/>
    <w:rsid w:val="0005405D"/>
    <w:rsid w:val="000540CC"/>
    <w:rsid w:val="0005410D"/>
    <w:rsid w:val="00054309"/>
    <w:rsid w:val="0005430B"/>
    <w:rsid w:val="00054311"/>
    <w:rsid w:val="0005450F"/>
    <w:rsid w:val="0005451C"/>
    <w:rsid w:val="000545CA"/>
    <w:rsid w:val="00054A70"/>
    <w:rsid w:val="00054DEB"/>
    <w:rsid w:val="00054E0E"/>
    <w:rsid w:val="000554BF"/>
    <w:rsid w:val="00055539"/>
    <w:rsid w:val="000555DB"/>
    <w:rsid w:val="0005583A"/>
    <w:rsid w:val="0005594B"/>
    <w:rsid w:val="00055A2D"/>
    <w:rsid w:val="00055A51"/>
    <w:rsid w:val="00055B0B"/>
    <w:rsid w:val="00055EC7"/>
    <w:rsid w:val="00056371"/>
    <w:rsid w:val="00056373"/>
    <w:rsid w:val="000564D5"/>
    <w:rsid w:val="00056922"/>
    <w:rsid w:val="0005696F"/>
    <w:rsid w:val="000569CD"/>
    <w:rsid w:val="00056E89"/>
    <w:rsid w:val="00056ED9"/>
    <w:rsid w:val="00057344"/>
    <w:rsid w:val="00057762"/>
    <w:rsid w:val="0005782D"/>
    <w:rsid w:val="00057AED"/>
    <w:rsid w:val="00057B3B"/>
    <w:rsid w:val="00057C3A"/>
    <w:rsid w:val="00057D13"/>
    <w:rsid w:val="00060099"/>
    <w:rsid w:val="00060304"/>
    <w:rsid w:val="00060346"/>
    <w:rsid w:val="000604C7"/>
    <w:rsid w:val="0006050F"/>
    <w:rsid w:val="00060724"/>
    <w:rsid w:val="000607C2"/>
    <w:rsid w:val="000607DD"/>
    <w:rsid w:val="00060A30"/>
    <w:rsid w:val="00060A59"/>
    <w:rsid w:val="00060CA5"/>
    <w:rsid w:val="0006104A"/>
    <w:rsid w:val="00061111"/>
    <w:rsid w:val="00061233"/>
    <w:rsid w:val="000612A9"/>
    <w:rsid w:val="00061358"/>
    <w:rsid w:val="00061535"/>
    <w:rsid w:val="0006177C"/>
    <w:rsid w:val="00061933"/>
    <w:rsid w:val="00061993"/>
    <w:rsid w:val="00061B4E"/>
    <w:rsid w:val="00061B8C"/>
    <w:rsid w:val="00061F3A"/>
    <w:rsid w:val="000621FA"/>
    <w:rsid w:val="0006223E"/>
    <w:rsid w:val="0006225B"/>
    <w:rsid w:val="00062330"/>
    <w:rsid w:val="000624BB"/>
    <w:rsid w:val="00062A6F"/>
    <w:rsid w:val="00062ACB"/>
    <w:rsid w:val="00062C57"/>
    <w:rsid w:val="00062D1B"/>
    <w:rsid w:val="00062D2F"/>
    <w:rsid w:val="00062D47"/>
    <w:rsid w:val="00062E88"/>
    <w:rsid w:val="00062EE9"/>
    <w:rsid w:val="0006339A"/>
    <w:rsid w:val="000633E8"/>
    <w:rsid w:val="00063437"/>
    <w:rsid w:val="0006366E"/>
    <w:rsid w:val="00063A91"/>
    <w:rsid w:val="00063CFC"/>
    <w:rsid w:val="00063DE2"/>
    <w:rsid w:val="000641EB"/>
    <w:rsid w:val="00064299"/>
    <w:rsid w:val="00064323"/>
    <w:rsid w:val="00064557"/>
    <w:rsid w:val="000648E8"/>
    <w:rsid w:val="00064971"/>
    <w:rsid w:val="00064A05"/>
    <w:rsid w:val="00064CE5"/>
    <w:rsid w:val="00064FD0"/>
    <w:rsid w:val="000650C8"/>
    <w:rsid w:val="0006519E"/>
    <w:rsid w:val="000651D2"/>
    <w:rsid w:val="00065303"/>
    <w:rsid w:val="000653F5"/>
    <w:rsid w:val="000654FE"/>
    <w:rsid w:val="0006561E"/>
    <w:rsid w:val="000656B7"/>
    <w:rsid w:val="000656EC"/>
    <w:rsid w:val="000656EE"/>
    <w:rsid w:val="000657A7"/>
    <w:rsid w:val="000658AF"/>
    <w:rsid w:val="000658C4"/>
    <w:rsid w:val="00065A86"/>
    <w:rsid w:val="00065BF3"/>
    <w:rsid w:val="00065D07"/>
    <w:rsid w:val="00065D8A"/>
    <w:rsid w:val="00066204"/>
    <w:rsid w:val="0006629F"/>
    <w:rsid w:val="000665AB"/>
    <w:rsid w:val="000665B5"/>
    <w:rsid w:val="00066651"/>
    <w:rsid w:val="00066988"/>
    <w:rsid w:val="00066B53"/>
    <w:rsid w:val="00066C63"/>
    <w:rsid w:val="00066D82"/>
    <w:rsid w:val="00066E63"/>
    <w:rsid w:val="00066F8C"/>
    <w:rsid w:val="00066FC9"/>
    <w:rsid w:val="00067015"/>
    <w:rsid w:val="000679BC"/>
    <w:rsid w:val="00067A0A"/>
    <w:rsid w:val="00067ACE"/>
    <w:rsid w:val="00067B47"/>
    <w:rsid w:val="00067D1C"/>
    <w:rsid w:val="000702C3"/>
    <w:rsid w:val="000705D4"/>
    <w:rsid w:val="000709BB"/>
    <w:rsid w:val="00070AE7"/>
    <w:rsid w:val="00070B45"/>
    <w:rsid w:val="00070C4F"/>
    <w:rsid w:val="00070C5D"/>
    <w:rsid w:val="00070E19"/>
    <w:rsid w:val="00070EA5"/>
    <w:rsid w:val="00070FD5"/>
    <w:rsid w:val="0007102B"/>
    <w:rsid w:val="00071178"/>
    <w:rsid w:val="0007176E"/>
    <w:rsid w:val="0007185D"/>
    <w:rsid w:val="0007194D"/>
    <w:rsid w:val="0007195B"/>
    <w:rsid w:val="00071BAB"/>
    <w:rsid w:val="00071DC3"/>
    <w:rsid w:val="00071EF7"/>
    <w:rsid w:val="00071F1E"/>
    <w:rsid w:val="00071FDB"/>
    <w:rsid w:val="00072137"/>
    <w:rsid w:val="000722B8"/>
    <w:rsid w:val="00072373"/>
    <w:rsid w:val="000724A4"/>
    <w:rsid w:val="00072844"/>
    <w:rsid w:val="00072CBE"/>
    <w:rsid w:val="000730C4"/>
    <w:rsid w:val="0007310A"/>
    <w:rsid w:val="000731C5"/>
    <w:rsid w:val="0007335C"/>
    <w:rsid w:val="000733D6"/>
    <w:rsid w:val="000735A9"/>
    <w:rsid w:val="000735C1"/>
    <w:rsid w:val="0007360C"/>
    <w:rsid w:val="000738EB"/>
    <w:rsid w:val="00073944"/>
    <w:rsid w:val="00073BF5"/>
    <w:rsid w:val="00073D9D"/>
    <w:rsid w:val="00073DAE"/>
    <w:rsid w:val="00073E21"/>
    <w:rsid w:val="00073E84"/>
    <w:rsid w:val="00073E85"/>
    <w:rsid w:val="00073E92"/>
    <w:rsid w:val="00074212"/>
    <w:rsid w:val="0007425F"/>
    <w:rsid w:val="000745BF"/>
    <w:rsid w:val="00074764"/>
    <w:rsid w:val="000747C2"/>
    <w:rsid w:val="00074A3B"/>
    <w:rsid w:val="00074F5A"/>
    <w:rsid w:val="00075051"/>
    <w:rsid w:val="00075084"/>
    <w:rsid w:val="000750C0"/>
    <w:rsid w:val="000750E2"/>
    <w:rsid w:val="00075274"/>
    <w:rsid w:val="00075593"/>
    <w:rsid w:val="0007561A"/>
    <w:rsid w:val="0007570F"/>
    <w:rsid w:val="00075752"/>
    <w:rsid w:val="0007582F"/>
    <w:rsid w:val="00075932"/>
    <w:rsid w:val="00075A1E"/>
    <w:rsid w:val="00075A9F"/>
    <w:rsid w:val="00076065"/>
    <w:rsid w:val="00076282"/>
    <w:rsid w:val="00076328"/>
    <w:rsid w:val="00076387"/>
    <w:rsid w:val="00076434"/>
    <w:rsid w:val="00076832"/>
    <w:rsid w:val="000769BD"/>
    <w:rsid w:val="00076C95"/>
    <w:rsid w:val="00076D6E"/>
    <w:rsid w:val="00076DA5"/>
    <w:rsid w:val="00076E0C"/>
    <w:rsid w:val="00076E1C"/>
    <w:rsid w:val="000772B1"/>
    <w:rsid w:val="0007733D"/>
    <w:rsid w:val="00077347"/>
    <w:rsid w:val="000773FA"/>
    <w:rsid w:val="00077653"/>
    <w:rsid w:val="000777C3"/>
    <w:rsid w:val="000779AB"/>
    <w:rsid w:val="000779DC"/>
    <w:rsid w:val="00077AAF"/>
    <w:rsid w:val="00077ADE"/>
    <w:rsid w:val="00077BDD"/>
    <w:rsid w:val="00077D42"/>
    <w:rsid w:val="00080439"/>
    <w:rsid w:val="00080587"/>
    <w:rsid w:val="000805A7"/>
    <w:rsid w:val="00080625"/>
    <w:rsid w:val="00080895"/>
    <w:rsid w:val="00080BB8"/>
    <w:rsid w:val="00081022"/>
    <w:rsid w:val="00081112"/>
    <w:rsid w:val="000812ED"/>
    <w:rsid w:val="0008159F"/>
    <w:rsid w:val="00081636"/>
    <w:rsid w:val="00081696"/>
    <w:rsid w:val="000816E0"/>
    <w:rsid w:val="00081905"/>
    <w:rsid w:val="000819A8"/>
    <w:rsid w:val="00081A71"/>
    <w:rsid w:val="00081AE5"/>
    <w:rsid w:val="00081C63"/>
    <w:rsid w:val="00081E45"/>
    <w:rsid w:val="00081F57"/>
    <w:rsid w:val="00081F67"/>
    <w:rsid w:val="00081FAD"/>
    <w:rsid w:val="00081FE8"/>
    <w:rsid w:val="0008208B"/>
    <w:rsid w:val="00082090"/>
    <w:rsid w:val="00082291"/>
    <w:rsid w:val="00082356"/>
    <w:rsid w:val="0008241B"/>
    <w:rsid w:val="00082469"/>
    <w:rsid w:val="00082971"/>
    <w:rsid w:val="00082DEF"/>
    <w:rsid w:val="00083022"/>
    <w:rsid w:val="0008311F"/>
    <w:rsid w:val="00083414"/>
    <w:rsid w:val="00083837"/>
    <w:rsid w:val="00083842"/>
    <w:rsid w:val="000839BB"/>
    <w:rsid w:val="00083B06"/>
    <w:rsid w:val="000840C3"/>
    <w:rsid w:val="00084184"/>
    <w:rsid w:val="00084494"/>
    <w:rsid w:val="0008456B"/>
    <w:rsid w:val="0008470A"/>
    <w:rsid w:val="000847BF"/>
    <w:rsid w:val="000847CB"/>
    <w:rsid w:val="00084C05"/>
    <w:rsid w:val="00084D4C"/>
    <w:rsid w:val="00084EE0"/>
    <w:rsid w:val="000853CC"/>
    <w:rsid w:val="000855F4"/>
    <w:rsid w:val="00085729"/>
    <w:rsid w:val="000858EC"/>
    <w:rsid w:val="00085D0E"/>
    <w:rsid w:val="00085D58"/>
    <w:rsid w:val="00085EA1"/>
    <w:rsid w:val="00086045"/>
    <w:rsid w:val="000861D4"/>
    <w:rsid w:val="000861D9"/>
    <w:rsid w:val="00086344"/>
    <w:rsid w:val="000864CF"/>
    <w:rsid w:val="00086510"/>
    <w:rsid w:val="0008677E"/>
    <w:rsid w:val="000867DC"/>
    <w:rsid w:val="0008688B"/>
    <w:rsid w:val="0008692E"/>
    <w:rsid w:val="000869E1"/>
    <w:rsid w:val="000869F6"/>
    <w:rsid w:val="00086A18"/>
    <w:rsid w:val="00086A5C"/>
    <w:rsid w:val="00086A5E"/>
    <w:rsid w:val="00086B04"/>
    <w:rsid w:val="00086C42"/>
    <w:rsid w:val="00086E69"/>
    <w:rsid w:val="00086EBC"/>
    <w:rsid w:val="0008713E"/>
    <w:rsid w:val="00087186"/>
    <w:rsid w:val="00087591"/>
    <w:rsid w:val="0008779D"/>
    <w:rsid w:val="00087DDF"/>
    <w:rsid w:val="00087F7D"/>
    <w:rsid w:val="00087FC4"/>
    <w:rsid w:val="00090362"/>
    <w:rsid w:val="000906F6"/>
    <w:rsid w:val="000906FD"/>
    <w:rsid w:val="00090764"/>
    <w:rsid w:val="00090ACA"/>
    <w:rsid w:val="00090B48"/>
    <w:rsid w:val="00090DBA"/>
    <w:rsid w:val="000910A4"/>
    <w:rsid w:val="000910DA"/>
    <w:rsid w:val="00091AD2"/>
    <w:rsid w:val="00091C4F"/>
    <w:rsid w:val="00091D6E"/>
    <w:rsid w:val="00091F16"/>
    <w:rsid w:val="0009258B"/>
    <w:rsid w:val="000925D1"/>
    <w:rsid w:val="00092896"/>
    <w:rsid w:val="000928AF"/>
    <w:rsid w:val="000928EF"/>
    <w:rsid w:val="00092C9F"/>
    <w:rsid w:val="00092F9D"/>
    <w:rsid w:val="00093188"/>
    <w:rsid w:val="00093603"/>
    <w:rsid w:val="00093796"/>
    <w:rsid w:val="00093910"/>
    <w:rsid w:val="0009394A"/>
    <w:rsid w:val="000939CA"/>
    <w:rsid w:val="000939EF"/>
    <w:rsid w:val="00093A46"/>
    <w:rsid w:val="00093B14"/>
    <w:rsid w:val="00093E22"/>
    <w:rsid w:val="00093E4A"/>
    <w:rsid w:val="00093F11"/>
    <w:rsid w:val="00093FDF"/>
    <w:rsid w:val="00094010"/>
    <w:rsid w:val="0009418F"/>
    <w:rsid w:val="0009423C"/>
    <w:rsid w:val="000943A8"/>
    <w:rsid w:val="000944FD"/>
    <w:rsid w:val="00094531"/>
    <w:rsid w:val="00094676"/>
    <w:rsid w:val="000947B0"/>
    <w:rsid w:val="00094881"/>
    <w:rsid w:val="000949A8"/>
    <w:rsid w:val="00094CEB"/>
    <w:rsid w:val="00094F56"/>
    <w:rsid w:val="000950A8"/>
    <w:rsid w:val="0009531C"/>
    <w:rsid w:val="00095380"/>
    <w:rsid w:val="000953D3"/>
    <w:rsid w:val="0009567D"/>
    <w:rsid w:val="0009569E"/>
    <w:rsid w:val="00096257"/>
    <w:rsid w:val="000963F4"/>
    <w:rsid w:val="0009650F"/>
    <w:rsid w:val="0009652A"/>
    <w:rsid w:val="00096609"/>
    <w:rsid w:val="00096616"/>
    <w:rsid w:val="00096896"/>
    <w:rsid w:val="0009693D"/>
    <w:rsid w:val="00096A17"/>
    <w:rsid w:val="00096C06"/>
    <w:rsid w:val="00096C31"/>
    <w:rsid w:val="00096CF1"/>
    <w:rsid w:val="00096E12"/>
    <w:rsid w:val="00096E4E"/>
    <w:rsid w:val="000970BA"/>
    <w:rsid w:val="00097119"/>
    <w:rsid w:val="00097192"/>
    <w:rsid w:val="00097196"/>
    <w:rsid w:val="00097313"/>
    <w:rsid w:val="00097502"/>
    <w:rsid w:val="00097626"/>
    <w:rsid w:val="00097790"/>
    <w:rsid w:val="00097A4E"/>
    <w:rsid w:val="00097C9C"/>
    <w:rsid w:val="00097CF0"/>
    <w:rsid w:val="00097D78"/>
    <w:rsid w:val="00097F09"/>
    <w:rsid w:val="000A011D"/>
    <w:rsid w:val="000A0205"/>
    <w:rsid w:val="000A074F"/>
    <w:rsid w:val="000A07C9"/>
    <w:rsid w:val="000A09ED"/>
    <w:rsid w:val="000A0A07"/>
    <w:rsid w:val="000A0B1B"/>
    <w:rsid w:val="000A0C33"/>
    <w:rsid w:val="000A0D9F"/>
    <w:rsid w:val="000A0F64"/>
    <w:rsid w:val="000A1142"/>
    <w:rsid w:val="000A1243"/>
    <w:rsid w:val="000A17C5"/>
    <w:rsid w:val="000A17F1"/>
    <w:rsid w:val="000A1B09"/>
    <w:rsid w:val="000A1DED"/>
    <w:rsid w:val="000A2395"/>
    <w:rsid w:val="000A2672"/>
    <w:rsid w:val="000A2E24"/>
    <w:rsid w:val="000A3130"/>
    <w:rsid w:val="000A3164"/>
    <w:rsid w:val="000A319A"/>
    <w:rsid w:val="000A31F3"/>
    <w:rsid w:val="000A32DD"/>
    <w:rsid w:val="000A336C"/>
    <w:rsid w:val="000A346F"/>
    <w:rsid w:val="000A37D5"/>
    <w:rsid w:val="000A3898"/>
    <w:rsid w:val="000A3AD4"/>
    <w:rsid w:val="000A3C00"/>
    <w:rsid w:val="000A3C20"/>
    <w:rsid w:val="000A3C2F"/>
    <w:rsid w:val="000A3C46"/>
    <w:rsid w:val="000A4201"/>
    <w:rsid w:val="000A422F"/>
    <w:rsid w:val="000A4232"/>
    <w:rsid w:val="000A46B2"/>
    <w:rsid w:val="000A4734"/>
    <w:rsid w:val="000A487A"/>
    <w:rsid w:val="000A4AC0"/>
    <w:rsid w:val="000A4BE5"/>
    <w:rsid w:val="000A4C21"/>
    <w:rsid w:val="000A52A1"/>
    <w:rsid w:val="000A539A"/>
    <w:rsid w:val="000A5809"/>
    <w:rsid w:val="000A5824"/>
    <w:rsid w:val="000A584A"/>
    <w:rsid w:val="000A5DB9"/>
    <w:rsid w:val="000A5E3E"/>
    <w:rsid w:val="000A5FE6"/>
    <w:rsid w:val="000A61D9"/>
    <w:rsid w:val="000A6328"/>
    <w:rsid w:val="000A633D"/>
    <w:rsid w:val="000A6389"/>
    <w:rsid w:val="000A6392"/>
    <w:rsid w:val="000A646A"/>
    <w:rsid w:val="000A67E0"/>
    <w:rsid w:val="000A6922"/>
    <w:rsid w:val="000A6E21"/>
    <w:rsid w:val="000A74C3"/>
    <w:rsid w:val="000A756F"/>
    <w:rsid w:val="000A7AA9"/>
    <w:rsid w:val="000A7C5E"/>
    <w:rsid w:val="000A7E55"/>
    <w:rsid w:val="000A7E96"/>
    <w:rsid w:val="000B008A"/>
    <w:rsid w:val="000B0145"/>
    <w:rsid w:val="000B08F0"/>
    <w:rsid w:val="000B0920"/>
    <w:rsid w:val="000B0A18"/>
    <w:rsid w:val="000B0A33"/>
    <w:rsid w:val="000B0ACA"/>
    <w:rsid w:val="000B0D24"/>
    <w:rsid w:val="000B0DE2"/>
    <w:rsid w:val="000B1440"/>
    <w:rsid w:val="000B1699"/>
    <w:rsid w:val="000B16CB"/>
    <w:rsid w:val="000B18BA"/>
    <w:rsid w:val="000B1905"/>
    <w:rsid w:val="000B1C9F"/>
    <w:rsid w:val="000B1D12"/>
    <w:rsid w:val="000B1F14"/>
    <w:rsid w:val="000B2042"/>
    <w:rsid w:val="000B2490"/>
    <w:rsid w:val="000B2765"/>
    <w:rsid w:val="000B286B"/>
    <w:rsid w:val="000B2942"/>
    <w:rsid w:val="000B2944"/>
    <w:rsid w:val="000B29D4"/>
    <w:rsid w:val="000B2AF2"/>
    <w:rsid w:val="000B2CFB"/>
    <w:rsid w:val="000B2DCD"/>
    <w:rsid w:val="000B2DFA"/>
    <w:rsid w:val="000B2E2A"/>
    <w:rsid w:val="000B2E54"/>
    <w:rsid w:val="000B2F0F"/>
    <w:rsid w:val="000B2FBB"/>
    <w:rsid w:val="000B3097"/>
    <w:rsid w:val="000B3557"/>
    <w:rsid w:val="000B3623"/>
    <w:rsid w:val="000B3AFF"/>
    <w:rsid w:val="000B3BB2"/>
    <w:rsid w:val="000B3DC4"/>
    <w:rsid w:val="000B3F0A"/>
    <w:rsid w:val="000B3F3E"/>
    <w:rsid w:val="000B4179"/>
    <w:rsid w:val="000B42A9"/>
    <w:rsid w:val="000B43EF"/>
    <w:rsid w:val="000B442C"/>
    <w:rsid w:val="000B478A"/>
    <w:rsid w:val="000B4935"/>
    <w:rsid w:val="000B4B5E"/>
    <w:rsid w:val="000B4D8F"/>
    <w:rsid w:val="000B4EDC"/>
    <w:rsid w:val="000B4FDE"/>
    <w:rsid w:val="000B5042"/>
    <w:rsid w:val="000B5164"/>
    <w:rsid w:val="000B51B1"/>
    <w:rsid w:val="000B5227"/>
    <w:rsid w:val="000B526A"/>
    <w:rsid w:val="000B5284"/>
    <w:rsid w:val="000B52CE"/>
    <w:rsid w:val="000B53C0"/>
    <w:rsid w:val="000B53FD"/>
    <w:rsid w:val="000B5456"/>
    <w:rsid w:val="000B5581"/>
    <w:rsid w:val="000B56FE"/>
    <w:rsid w:val="000B5744"/>
    <w:rsid w:val="000B58D4"/>
    <w:rsid w:val="000B58F5"/>
    <w:rsid w:val="000B5B36"/>
    <w:rsid w:val="000B5BBA"/>
    <w:rsid w:val="000B5C2D"/>
    <w:rsid w:val="000B5C2F"/>
    <w:rsid w:val="000B6052"/>
    <w:rsid w:val="000B61DE"/>
    <w:rsid w:val="000B63CD"/>
    <w:rsid w:val="000B64E3"/>
    <w:rsid w:val="000B6532"/>
    <w:rsid w:val="000B6816"/>
    <w:rsid w:val="000B689B"/>
    <w:rsid w:val="000B68D8"/>
    <w:rsid w:val="000B6B0C"/>
    <w:rsid w:val="000B71B2"/>
    <w:rsid w:val="000B7246"/>
    <w:rsid w:val="000B73C6"/>
    <w:rsid w:val="000B75F8"/>
    <w:rsid w:val="000B7685"/>
    <w:rsid w:val="000B7728"/>
    <w:rsid w:val="000B7869"/>
    <w:rsid w:val="000B7CB8"/>
    <w:rsid w:val="000B7DA7"/>
    <w:rsid w:val="000B7DC3"/>
    <w:rsid w:val="000B7E61"/>
    <w:rsid w:val="000B7EDF"/>
    <w:rsid w:val="000B7F11"/>
    <w:rsid w:val="000B7F93"/>
    <w:rsid w:val="000C0036"/>
    <w:rsid w:val="000C0090"/>
    <w:rsid w:val="000C0203"/>
    <w:rsid w:val="000C04A8"/>
    <w:rsid w:val="000C06A4"/>
    <w:rsid w:val="000C0BBD"/>
    <w:rsid w:val="000C0D28"/>
    <w:rsid w:val="000C0F3A"/>
    <w:rsid w:val="000C0FAC"/>
    <w:rsid w:val="000C107C"/>
    <w:rsid w:val="000C112D"/>
    <w:rsid w:val="000C1132"/>
    <w:rsid w:val="000C1231"/>
    <w:rsid w:val="000C1575"/>
    <w:rsid w:val="000C1748"/>
    <w:rsid w:val="000C175A"/>
    <w:rsid w:val="000C1A73"/>
    <w:rsid w:val="000C1D4F"/>
    <w:rsid w:val="000C1F18"/>
    <w:rsid w:val="000C203A"/>
    <w:rsid w:val="000C28AC"/>
    <w:rsid w:val="000C2987"/>
    <w:rsid w:val="000C2A52"/>
    <w:rsid w:val="000C2EA9"/>
    <w:rsid w:val="000C30CF"/>
    <w:rsid w:val="000C32BB"/>
    <w:rsid w:val="000C32CA"/>
    <w:rsid w:val="000C352A"/>
    <w:rsid w:val="000C354C"/>
    <w:rsid w:val="000C37DB"/>
    <w:rsid w:val="000C3927"/>
    <w:rsid w:val="000C3B22"/>
    <w:rsid w:val="000C3C28"/>
    <w:rsid w:val="000C3C9D"/>
    <w:rsid w:val="000C4063"/>
    <w:rsid w:val="000C415C"/>
    <w:rsid w:val="000C4868"/>
    <w:rsid w:val="000C4AD7"/>
    <w:rsid w:val="000C4BB7"/>
    <w:rsid w:val="000C4DFC"/>
    <w:rsid w:val="000C50B3"/>
    <w:rsid w:val="000C50E1"/>
    <w:rsid w:val="000C5349"/>
    <w:rsid w:val="000C53E9"/>
    <w:rsid w:val="000C5486"/>
    <w:rsid w:val="000C5677"/>
    <w:rsid w:val="000C5EBD"/>
    <w:rsid w:val="000C5FF7"/>
    <w:rsid w:val="000C604F"/>
    <w:rsid w:val="000C6936"/>
    <w:rsid w:val="000C6985"/>
    <w:rsid w:val="000C6E9F"/>
    <w:rsid w:val="000C6F51"/>
    <w:rsid w:val="000C7171"/>
    <w:rsid w:val="000C7651"/>
    <w:rsid w:val="000C76AB"/>
    <w:rsid w:val="000C76F8"/>
    <w:rsid w:val="000C776D"/>
    <w:rsid w:val="000C77E4"/>
    <w:rsid w:val="000C782D"/>
    <w:rsid w:val="000C7A6F"/>
    <w:rsid w:val="000C7A7C"/>
    <w:rsid w:val="000C7AE7"/>
    <w:rsid w:val="000C7DA9"/>
    <w:rsid w:val="000C7F62"/>
    <w:rsid w:val="000D00AF"/>
    <w:rsid w:val="000D0115"/>
    <w:rsid w:val="000D0149"/>
    <w:rsid w:val="000D01AA"/>
    <w:rsid w:val="000D0482"/>
    <w:rsid w:val="000D050F"/>
    <w:rsid w:val="000D0570"/>
    <w:rsid w:val="000D073A"/>
    <w:rsid w:val="000D0962"/>
    <w:rsid w:val="000D0A79"/>
    <w:rsid w:val="000D0A89"/>
    <w:rsid w:val="000D0ACF"/>
    <w:rsid w:val="000D0B77"/>
    <w:rsid w:val="000D0BB6"/>
    <w:rsid w:val="000D0C8D"/>
    <w:rsid w:val="000D0E0A"/>
    <w:rsid w:val="000D1046"/>
    <w:rsid w:val="000D114E"/>
    <w:rsid w:val="000D132D"/>
    <w:rsid w:val="000D1354"/>
    <w:rsid w:val="000D13EF"/>
    <w:rsid w:val="000D149C"/>
    <w:rsid w:val="000D15A0"/>
    <w:rsid w:val="000D16A1"/>
    <w:rsid w:val="000D18F6"/>
    <w:rsid w:val="000D1DEA"/>
    <w:rsid w:val="000D1EA8"/>
    <w:rsid w:val="000D2088"/>
    <w:rsid w:val="000D20CE"/>
    <w:rsid w:val="000D224A"/>
    <w:rsid w:val="000D2311"/>
    <w:rsid w:val="000D23BC"/>
    <w:rsid w:val="000D25E3"/>
    <w:rsid w:val="000D27F5"/>
    <w:rsid w:val="000D2879"/>
    <w:rsid w:val="000D2A5E"/>
    <w:rsid w:val="000D2D5C"/>
    <w:rsid w:val="000D2DF5"/>
    <w:rsid w:val="000D3182"/>
    <w:rsid w:val="000D3378"/>
    <w:rsid w:val="000D34AB"/>
    <w:rsid w:val="000D3531"/>
    <w:rsid w:val="000D355C"/>
    <w:rsid w:val="000D366D"/>
    <w:rsid w:val="000D375A"/>
    <w:rsid w:val="000D37C2"/>
    <w:rsid w:val="000D37E7"/>
    <w:rsid w:val="000D3BC1"/>
    <w:rsid w:val="000D3CC1"/>
    <w:rsid w:val="000D3E05"/>
    <w:rsid w:val="000D4063"/>
    <w:rsid w:val="000D4101"/>
    <w:rsid w:val="000D4178"/>
    <w:rsid w:val="000D41C2"/>
    <w:rsid w:val="000D41CA"/>
    <w:rsid w:val="000D4206"/>
    <w:rsid w:val="000D42C3"/>
    <w:rsid w:val="000D4342"/>
    <w:rsid w:val="000D43B8"/>
    <w:rsid w:val="000D4457"/>
    <w:rsid w:val="000D462C"/>
    <w:rsid w:val="000D46A9"/>
    <w:rsid w:val="000D46FB"/>
    <w:rsid w:val="000D4788"/>
    <w:rsid w:val="000D48FF"/>
    <w:rsid w:val="000D4F75"/>
    <w:rsid w:val="000D5261"/>
    <w:rsid w:val="000D52D7"/>
    <w:rsid w:val="000D533D"/>
    <w:rsid w:val="000D535B"/>
    <w:rsid w:val="000D55D3"/>
    <w:rsid w:val="000D5667"/>
    <w:rsid w:val="000D571F"/>
    <w:rsid w:val="000D57A8"/>
    <w:rsid w:val="000D57ED"/>
    <w:rsid w:val="000D5B5D"/>
    <w:rsid w:val="000D5C58"/>
    <w:rsid w:val="000D5CBC"/>
    <w:rsid w:val="000D5EDA"/>
    <w:rsid w:val="000D5EF7"/>
    <w:rsid w:val="000D6533"/>
    <w:rsid w:val="000D65F5"/>
    <w:rsid w:val="000D69C1"/>
    <w:rsid w:val="000D6C93"/>
    <w:rsid w:val="000D6CE7"/>
    <w:rsid w:val="000D6D30"/>
    <w:rsid w:val="000D70AE"/>
    <w:rsid w:val="000D70D7"/>
    <w:rsid w:val="000D71A7"/>
    <w:rsid w:val="000D743C"/>
    <w:rsid w:val="000D7634"/>
    <w:rsid w:val="000D763B"/>
    <w:rsid w:val="000D772C"/>
    <w:rsid w:val="000D7790"/>
    <w:rsid w:val="000D784B"/>
    <w:rsid w:val="000D7ADD"/>
    <w:rsid w:val="000D7C54"/>
    <w:rsid w:val="000D7E36"/>
    <w:rsid w:val="000D7FCD"/>
    <w:rsid w:val="000E01FA"/>
    <w:rsid w:val="000E0210"/>
    <w:rsid w:val="000E0454"/>
    <w:rsid w:val="000E065F"/>
    <w:rsid w:val="000E0A98"/>
    <w:rsid w:val="000E0B7E"/>
    <w:rsid w:val="000E0BE6"/>
    <w:rsid w:val="000E0CB1"/>
    <w:rsid w:val="000E1007"/>
    <w:rsid w:val="000E11FC"/>
    <w:rsid w:val="000E1350"/>
    <w:rsid w:val="000E1757"/>
    <w:rsid w:val="000E1767"/>
    <w:rsid w:val="000E17A7"/>
    <w:rsid w:val="000E1897"/>
    <w:rsid w:val="000E1940"/>
    <w:rsid w:val="000E1979"/>
    <w:rsid w:val="000E19CD"/>
    <w:rsid w:val="000E1A53"/>
    <w:rsid w:val="000E1B78"/>
    <w:rsid w:val="000E1D27"/>
    <w:rsid w:val="000E1FDB"/>
    <w:rsid w:val="000E20CF"/>
    <w:rsid w:val="000E20EE"/>
    <w:rsid w:val="000E2268"/>
    <w:rsid w:val="000E2608"/>
    <w:rsid w:val="000E26C1"/>
    <w:rsid w:val="000E2917"/>
    <w:rsid w:val="000E2C69"/>
    <w:rsid w:val="000E2CF8"/>
    <w:rsid w:val="000E2D92"/>
    <w:rsid w:val="000E2FBE"/>
    <w:rsid w:val="000E3109"/>
    <w:rsid w:val="000E311B"/>
    <w:rsid w:val="000E343E"/>
    <w:rsid w:val="000E34D8"/>
    <w:rsid w:val="000E3592"/>
    <w:rsid w:val="000E35A0"/>
    <w:rsid w:val="000E3868"/>
    <w:rsid w:val="000E38BA"/>
    <w:rsid w:val="000E38F9"/>
    <w:rsid w:val="000E3BE1"/>
    <w:rsid w:val="000E3D68"/>
    <w:rsid w:val="000E3E15"/>
    <w:rsid w:val="000E3EB3"/>
    <w:rsid w:val="000E3EBC"/>
    <w:rsid w:val="000E41D5"/>
    <w:rsid w:val="000E423E"/>
    <w:rsid w:val="000E47B0"/>
    <w:rsid w:val="000E4926"/>
    <w:rsid w:val="000E4990"/>
    <w:rsid w:val="000E49C6"/>
    <w:rsid w:val="000E4EBC"/>
    <w:rsid w:val="000E4FF4"/>
    <w:rsid w:val="000E5031"/>
    <w:rsid w:val="000E50ED"/>
    <w:rsid w:val="000E5125"/>
    <w:rsid w:val="000E5394"/>
    <w:rsid w:val="000E5404"/>
    <w:rsid w:val="000E5972"/>
    <w:rsid w:val="000E5C21"/>
    <w:rsid w:val="000E5EBB"/>
    <w:rsid w:val="000E5F30"/>
    <w:rsid w:val="000E5F4C"/>
    <w:rsid w:val="000E6071"/>
    <w:rsid w:val="000E6391"/>
    <w:rsid w:val="000E63B0"/>
    <w:rsid w:val="000E653B"/>
    <w:rsid w:val="000E66DE"/>
    <w:rsid w:val="000E6756"/>
    <w:rsid w:val="000E6774"/>
    <w:rsid w:val="000E6AA5"/>
    <w:rsid w:val="000E6DE0"/>
    <w:rsid w:val="000E7041"/>
    <w:rsid w:val="000E72B7"/>
    <w:rsid w:val="000E72C4"/>
    <w:rsid w:val="000E73BC"/>
    <w:rsid w:val="000E7658"/>
    <w:rsid w:val="000E76A4"/>
    <w:rsid w:val="000E77D1"/>
    <w:rsid w:val="000E795F"/>
    <w:rsid w:val="000E798E"/>
    <w:rsid w:val="000E79F2"/>
    <w:rsid w:val="000E7B89"/>
    <w:rsid w:val="000E7BAB"/>
    <w:rsid w:val="000E7D26"/>
    <w:rsid w:val="000E7E74"/>
    <w:rsid w:val="000E7F56"/>
    <w:rsid w:val="000F0293"/>
    <w:rsid w:val="000F03DA"/>
    <w:rsid w:val="000F0401"/>
    <w:rsid w:val="000F0674"/>
    <w:rsid w:val="000F0879"/>
    <w:rsid w:val="000F0AC1"/>
    <w:rsid w:val="000F0B55"/>
    <w:rsid w:val="000F0B61"/>
    <w:rsid w:val="000F0FE0"/>
    <w:rsid w:val="000F10D6"/>
    <w:rsid w:val="000F111C"/>
    <w:rsid w:val="000F11C8"/>
    <w:rsid w:val="000F1305"/>
    <w:rsid w:val="000F1981"/>
    <w:rsid w:val="000F19C5"/>
    <w:rsid w:val="000F1CDA"/>
    <w:rsid w:val="000F1D99"/>
    <w:rsid w:val="000F1DA7"/>
    <w:rsid w:val="000F1EE5"/>
    <w:rsid w:val="000F1FBC"/>
    <w:rsid w:val="000F2118"/>
    <w:rsid w:val="000F21C8"/>
    <w:rsid w:val="000F232B"/>
    <w:rsid w:val="000F274D"/>
    <w:rsid w:val="000F28B5"/>
    <w:rsid w:val="000F29FF"/>
    <w:rsid w:val="000F2BFF"/>
    <w:rsid w:val="000F2F0E"/>
    <w:rsid w:val="000F2F8D"/>
    <w:rsid w:val="000F3314"/>
    <w:rsid w:val="000F3412"/>
    <w:rsid w:val="000F34D6"/>
    <w:rsid w:val="000F357C"/>
    <w:rsid w:val="000F3632"/>
    <w:rsid w:val="000F3821"/>
    <w:rsid w:val="000F38A4"/>
    <w:rsid w:val="000F39B3"/>
    <w:rsid w:val="000F3CBF"/>
    <w:rsid w:val="000F3E10"/>
    <w:rsid w:val="000F3F6A"/>
    <w:rsid w:val="000F414B"/>
    <w:rsid w:val="000F416C"/>
    <w:rsid w:val="000F448D"/>
    <w:rsid w:val="000F44AD"/>
    <w:rsid w:val="000F4860"/>
    <w:rsid w:val="000F48E6"/>
    <w:rsid w:val="000F4A6F"/>
    <w:rsid w:val="000F4B28"/>
    <w:rsid w:val="000F4CBD"/>
    <w:rsid w:val="000F4E93"/>
    <w:rsid w:val="000F5142"/>
    <w:rsid w:val="000F5200"/>
    <w:rsid w:val="000F5498"/>
    <w:rsid w:val="000F58BC"/>
    <w:rsid w:val="000F594B"/>
    <w:rsid w:val="000F594C"/>
    <w:rsid w:val="000F5C72"/>
    <w:rsid w:val="000F5DA2"/>
    <w:rsid w:val="000F5DA3"/>
    <w:rsid w:val="000F5E36"/>
    <w:rsid w:val="000F5F7F"/>
    <w:rsid w:val="000F616F"/>
    <w:rsid w:val="000F61A6"/>
    <w:rsid w:val="000F61DB"/>
    <w:rsid w:val="000F62A6"/>
    <w:rsid w:val="000F649F"/>
    <w:rsid w:val="000F64C4"/>
    <w:rsid w:val="000F6700"/>
    <w:rsid w:val="000F67FD"/>
    <w:rsid w:val="000F6ABA"/>
    <w:rsid w:val="000F6C7D"/>
    <w:rsid w:val="000F6DEF"/>
    <w:rsid w:val="000F73CE"/>
    <w:rsid w:val="000F7487"/>
    <w:rsid w:val="000F7558"/>
    <w:rsid w:val="000F7631"/>
    <w:rsid w:val="000F7694"/>
    <w:rsid w:val="000F7787"/>
    <w:rsid w:val="000F7A0D"/>
    <w:rsid w:val="000F7A2D"/>
    <w:rsid w:val="000F7A3C"/>
    <w:rsid w:val="000F7F5B"/>
    <w:rsid w:val="000F7FFD"/>
    <w:rsid w:val="001002D2"/>
    <w:rsid w:val="00100409"/>
    <w:rsid w:val="00100583"/>
    <w:rsid w:val="0010076D"/>
    <w:rsid w:val="00100B04"/>
    <w:rsid w:val="00100D9F"/>
    <w:rsid w:val="00100E6F"/>
    <w:rsid w:val="001012EE"/>
    <w:rsid w:val="001013AF"/>
    <w:rsid w:val="001013EE"/>
    <w:rsid w:val="0010173F"/>
    <w:rsid w:val="001017E3"/>
    <w:rsid w:val="001018A6"/>
    <w:rsid w:val="00101980"/>
    <w:rsid w:val="001019C8"/>
    <w:rsid w:val="00101BBB"/>
    <w:rsid w:val="00101C90"/>
    <w:rsid w:val="00101F3C"/>
    <w:rsid w:val="00101F87"/>
    <w:rsid w:val="00101FFB"/>
    <w:rsid w:val="00102135"/>
    <w:rsid w:val="001021D7"/>
    <w:rsid w:val="00102335"/>
    <w:rsid w:val="00102AFD"/>
    <w:rsid w:val="00102B29"/>
    <w:rsid w:val="00102BE0"/>
    <w:rsid w:val="00102E52"/>
    <w:rsid w:val="00102F76"/>
    <w:rsid w:val="00102FEB"/>
    <w:rsid w:val="0010320A"/>
    <w:rsid w:val="00103339"/>
    <w:rsid w:val="00103352"/>
    <w:rsid w:val="001033A9"/>
    <w:rsid w:val="001034E3"/>
    <w:rsid w:val="00103510"/>
    <w:rsid w:val="001035E1"/>
    <w:rsid w:val="001039C2"/>
    <w:rsid w:val="00103B00"/>
    <w:rsid w:val="00103BCB"/>
    <w:rsid w:val="00103C7F"/>
    <w:rsid w:val="00103CBC"/>
    <w:rsid w:val="00103D72"/>
    <w:rsid w:val="00103DFF"/>
    <w:rsid w:val="00103E6E"/>
    <w:rsid w:val="00103F1C"/>
    <w:rsid w:val="001040AD"/>
    <w:rsid w:val="0010422B"/>
    <w:rsid w:val="001042CE"/>
    <w:rsid w:val="0010478B"/>
    <w:rsid w:val="00104960"/>
    <w:rsid w:val="00104A05"/>
    <w:rsid w:val="00104AFB"/>
    <w:rsid w:val="00104B51"/>
    <w:rsid w:val="00104EDD"/>
    <w:rsid w:val="00104F75"/>
    <w:rsid w:val="00104F8A"/>
    <w:rsid w:val="0010501A"/>
    <w:rsid w:val="00105029"/>
    <w:rsid w:val="00105180"/>
    <w:rsid w:val="001053D9"/>
    <w:rsid w:val="0010566F"/>
    <w:rsid w:val="0010567A"/>
    <w:rsid w:val="0010575A"/>
    <w:rsid w:val="001058AD"/>
    <w:rsid w:val="00105A17"/>
    <w:rsid w:val="00105B1F"/>
    <w:rsid w:val="00105C56"/>
    <w:rsid w:val="00105DF8"/>
    <w:rsid w:val="001060B0"/>
    <w:rsid w:val="001064A4"/>
    <w:rsid w:val="001067C8"/>
    <w:rsid w:val="00106826"/>
    <w:rsid w:val="00106B1B"/>
    <w:rsid w:val="00106C97"/>
    <w:rsid w:val="00106CB2"/>
    <w:rsid w:val="00106CB9"/>
    <w:rsid w:val="00106CEE"/>
    <w:rsid w:val="00106E06"/>
    <w:rsid w:val="00106F2D"/>
    <w:rsid w:val="00107052"/>
    <w:rsid w:val="0010739F"/>
    <w:rsid w:val="001074FE"/>
    <w:rsid w:val="00107696"/>
    <w:rsid w:val="0010776E"/>
    <w:rsid w:val="001077B2"/>
    <w:rsid w:val="0010786C"/>
    <w:rsid w:val="0010799C"/>
    <w:rsid w:val="00107B24"/>
    <w:rsid w:val="00107B43"/>
    <w:rsid w:val="00107C99"/>
    <w:rsid w:val="00107CF8"/>
    <w:rsid w:val="00107E1C"/>
    <w:rsid w:val="00107E52"/>
    <w:rsid w:val="0011031C"/>
    <w:rsid w:val="001103B6"/>
    <w:rsid w:val="00110417"/>
    <w:rsid w:val="00110639"/>
    <w:rsid w:val="001107F1"/>
    <w:rsid w:val="00110996"/>
    <w:rsid w:val="00110AC6"/>
    <w:rsid w:val="00110CF0"/>
    <w:rsid w:val="00110DAC"/>
    <w:rsid w:val="00110DC5"/>
    <w:rsid w:val="00111097"/>
    <w:rsid w:val="001113E1"/>
    <w:rsid w:val="0011178C"/>
    <w:rsid w:val="00111ABA"/>
    <w:rsid w:val="00111AE7"/>
    <w:rsid w:val="00111EC2"/>
    <w:rsid w:val="00112062"/>
    <w:rsid w:val="0011209E"/>
    <w:rsid w:val="001120B0"/>
    <w:rsid w:val="001121D0"/>
    <w:rsid w:val="0011243C"/>
    <w:rsid w:val="001125AB"/>
    <w:rsid w:val="001125E7"/>
    <w:rsid w:val="0011278F"/>
    <w:rsid w:val="00112965"/>
    <w:rsid w:val="00112988"/>
    <w:rsid w:val="001129BD"/>
    <w:rsid w:val="00112A57"/>
    <w:rsid w:val="00112B59"/>
    <w:rsid w:val="00112C7A"/>
    <w:rsid w:val="00112CF0"/>
    <w:rsid w:val="00112E1E"/>
    <w:rsid w:val="0011323F"/>
    <w:rsid w:val="00113339"/>
    <w:rsid w:val="00113552"/>
    <w:rsid w:val="001136C6"/>
    <w:rsid w:val="0011380C"/>
    <w:rsid w:val="00113AC1"/>
    <w:rsid w:val="00113B5D"/>
    <w:rsid w:val="00113B85"/>
    <w:rsid w:val="00113BAE"/>
    <w:rsid w:val="00113BBF"/>
    <w:rsid w:val="00113BD0"/>
    <w:rsid w:val="0011408D"/>
    <w:rsid w:val="0011424A"/>
    <w:rsid w:val="0011428D"/>
    <w:rsid w:val="00114450"/>
    <w:rsid w:val="00114669"/>
    <w:rsid w:val="001146E5"/>
    <w:rsid w:val="00114CEB"/>
    <w:rsid w:val="00114D9B"/>
    <w:rsid w:val="00114DA1"/>
    <w:rsid w:val="00114EA0"/>
    <w:rsid w:val="00114F65"/>
    <w:rsid w:val="0011519F"/>
    <w:rsid w:val="00115672"/>
    <w:rsid w:val="001157AB"/>
    <w:rsid w:val="0011584D"/>
    <w:rsid w:val="0011585E"/>
    <w:rsid w:val="00115ADE"/>
    <w:rsid w:val="00115C9E"/>
    <w:rsid w:val="00116062"/>
    <w:rsid w:val="00116702"/>
    <w:rsid w:val="0011699D"/>
    <w:rsid w:val="00116CFA"/>
    <w:rsid w:val="00116D3E"/>
    <w:rsid w:val="00116D47"/>
    <w:rsid w:val="00116EE4"/>
    <w:rsid w:val="00116FD4"/>
    <w:rsid w:val="0011713A"/>
    <w:rsid w:val="0011729F"/>
    <w:rsid w:val="001172BD"/>
    <w:rsid w:val="001172C7"/>
    <w:rsid w:val="00117308"/>
    <w:rsid w:val="00117523"/>
    <w:rsid w:val="0011758D"/>
    <w:rsid w:val="00117645"/>
    <w:rsid w:val="001176F0"/>
    <w:rsid w:val="001178E4"/>
    <w:rsid w:val="001179B4"/>
    <w:rsid w:val="00117AA2"/>
    <w:rsid w:val="00117BF8"/>
    <w:rsid w:val="00117CFD"/>
    <w:rsid w:val="0012020C"/>
    <w:rsid w:val="00120804"/>
    <w:rsid w:val="0012083C"/>
    <w:rsid w:val="0012092C"/>
    <w:rsid w:val="00120A72"/>
    <w:rsid w:val="00120B1E"/>
    <w:rsid w:val="001211AB"/>
    <w:rsid w:val="001214BE"/>
    <w:rsid w:val="001218B8"/>
    <w:rsid w:val="0012197D"/>
    <w:rsid w:val="00121A0E"/>
    <w:rsid w:val="00121A72"/>
    <w:rsid w:val="00121C27"/>
    <w:rsid w:val="00121F79"/>
    <w:rsid w:val="00122050"/>
    <w:rsid w:val="001220B7"/>
    <w:rsid w:val="001221F3"/>
    <w:rsid w:val="0012234F"/>
    <w:rsid w:val="00122370"/>
    <w:rsid w:val="00122457"/>
    <w:rsid w:val="00122459"/>
    <w:rsid w:val="00122499"/>
    <w:rsid w:val="00122526"/>
    <w:rsid w:val="00122774"/>
    <w:rsid w:val="001231E3"/>
    <w:rsid w:val="00123292"/>
    <w:rsid w:val="001232A2"/>
    <w:rsid w:val="00123325"/>
    <w:rsid w:val="0012340B"/>
    <w:rsid w:val="00123A30"/>
    <w:rsid w:val="00123BC6"/>
    <w:rsid w:val="00123DA3"/>
    <w:rsid w:val="0012421F"/>
    <w:rsid w:val="00124632"/>
    <w:rsid w:val="00124730"/>
    <w:rsid w:val="00124826"/>
    <w:rsid w:val="00124B73"/>
    <w:rsid w:val="00124BBE"/>
    <w:rsid w:val="00124C6A"/>
    <w:rsid w:val="00124ED1"/>
    <w:rsid w:val="001253A4"/>
    <w:rsid w:val="0012542D"/>
    <w:rsid w:val="0012561A"/>
    <w:rsid w:val="00125806"/>
    <w:rsid w:val="00125871"/>
    <w:rsid w:val="001258C3"/>
    <w:rsid w:val="001258EF"/>
    <w:rsid w:val="00125B33"/>
    <w:rsid w:val="001260AF"/>
    <w:rsid w:val="001260B6"/>
    <w:rsid w:val="001260E3"/>
    <w:rsid w:val="00126201"/>
    <w:rsid w:val="001263ED"/>
    <w:rsid w:val="001266EE"/>
    <w:rsid w:val="00126AD1"/>
    <w:rsid w:val="00126BC3"/>
    <w:rsid w:val="00126C65"/>
    <w:rsid w:val="00126FB4"/>
    <w:rsid w:val="00126FF9"/>
    <w:rsid w:val="001270F0"/>
    <w:rsid w:val="001272E6"/>
    <w:rsid w:val="00127527"/>
    <w:rsid w:val="00127687"/>
    <w:rsid w:val="001277C7"/>
    <w:rsid w:val="0012782C"/>
    <w:rsid w:val="001279B5"/>
    <w:rsid w:val="00127A5A"/>
    <w:rsid w:val="00127B6A"/>
    <w:rsid w:val="00127C8B"/>
    <w:rsid w:val="00127E95"/>
    <w:rsid w:val="00130303"/>
    <w:rsid w:val="001307A8"/>
    <w:rsid w:val="00130DCA"/>
    <w:rsid w:val="00130EBE"/>
    <w:rsid w:val="00130FFC"/>
    <w:rsid w:val="00131005"/>
    <w:rsid w:val="001312CB"/>
    <w:rsid w:val="001312E1"/>
    <w:rsid w:val="001314B8"/>
    <w:rsid w:val="0013180D"/>
    <w:rsid w:val="00131A5B"/>
    <w:rsid w:val="00131BAD"/>
    <w:rsid w:val="00131D5F"/>
    <w:rsid w:val="00131E41"/>
    <w:rsid w:val="001322AF"/>
    <w:rsid w:val="001322BE"/>
    <w:rsid w:val="001322D2"/>
    <w:rsid w:val="0013243F"/>
    <w:rsid w:val="00132441"/>
    <w:rsid w:val="00132503"/>
    <w:rsid w:val="001325CA"/>
    <w:rsid w:val="001325F6"/>
    <w:rsid w:val="00132AE9"/>
    <w:rsid w:val="00132E05"/>
    <w:rsid w:val="00132E0B"/>
    <w:rsid w:val="0013304F"/>
    <w:rsid w:val="001330C1"/>
    <w:rsid w:val="0013321F"/>
    <w:rsid w:val="00133235"/>
    <w:rsid w:val="00133263"/>
    <w:rsid w:val="001332AE"/>
    <w:rsid w:val="0013330D"/>
    <w:rsid w:val="001333AD"/>
    <w:rsid w:val="001333F9"/>
    <w:rsid w:val="0013355A"/>
    <w:rsid w:val="00133697"/>
    <w:rsid w:val="00133C48"/>
    <w:rsid w:val="00133C76"/>
    <w:rsid w:val="00133C81"/>
    <w:rsid w:val="00133ED8"/>
    <w:rsid w:val="00133F08"/>
    <w:rsid w:val="00133F5D"/>
    <w:rsid w:val="00134056"/>
    <w:rsid w:val="00134146"/>
    <w:rsid w:val="0013415C"/>
    <w:rsid w:val="00134222"/>
    <w:rsid w:val="00134471"/>
    <w:rsid w:val="001346A2"/>
    <w:rsid w:val="0013474C"/>
    <w:rsid w:val="001347D3"/>
    <w:rsid w:val="00134847"/>
    <w:rsid w:val="0013497E"/>
    <w:rsid w:val="001349D1"/>
    <w:rsid w:val="00134E63"/>
    <w:rsid w:val="00134FA3"/>
    <w:rsid w:val="00135080"/>
    <w:rsid w:val="0013515E"/>
    <w:rsid w:val="00135186"/>
    <w:rsid w:val="001351C6"/>
    <w:rsid w:val="001351F1"/>
    <w:rsid w:val="001356C7"/>
    <w:rsid w:val="001356F1"/>
    <w:rsid w:val="00135CF9"/>
    <w:rsid w:val="0013601E"/>
    <w:rsid w:val="0013623B"/>
    <w:rsid w:val="00136269"/>
    <w:rsid w:val="00136497"/>
    <w:rsid w:val="00136591"/>
    <w:rsid w:val="001365AF"/>
    <w:rsid w:val="001369BF"/>
    <w:rsid w:val="00136BF2"/>
    <w:rsid w:val="00136CDD"/>
    <w:rsid w:val="00136E06"/>
    <w:rsid w:val="00136F29"/>
    <w:rsid w:val="00136F66"/>
    <w:rsid w:val="00136F6F"/>
    <w:rsid w:val="0013707F"/>
    <w:rsid w:val="001370EE"/>
    <w:rsid w:val="00137294"/>
    <w:rsid w:val="0013772F"/>
    <w:rsid w:val="0013785D"/>
    <w:rsid w:val="00137D90"/>
    <w:rsid w:val="00137DC9"/>
    <w:rsid w:val="001404DD"/>
    <w:rsid w:val="00140A49"/>
    <w:rsid w:val="00140D09"/>
    <w:rsid w:val="00140E6F"/>
    <w:rsid w:val="001413B3"/>
    <w:rsid w:val="001413F8"/>
    <w:rsid w:val="00141481"/>
    <w:rsid w:val="001414E0"/>
    <w:rsid w:val="001415A7"/>
    <w:rsid w:val="001417D6"/>
    <w:rsid w:val="001419CD"/>
    <w:rsid w:val="00141A54"/>
    <w:rsid w:val="00141BD1"/>
    <w:rsid w:val="00142146"/>
    <w:rsid w:val="001423B0"/>
    <w:rsid w:val="0014243D"/>
    <w:rsid w:val="00142455"/>
    <w:rsid w:val="0014259D"/>
    <w:rsid w:val="001426C9"/>
    <w:rsid w:val="00142B1B"/>
    <w:rsid w:val="00142B1D"/>
    <w:rsid w:val="00142B21"/>
    <w:rsid w:val="00142B86"/>
    <w:rsid w:val="00142C41"/>
    <w:rsid w:val="00142DB7"/>
    <w:rsid w:val="001431A0"/>
    <w:rsid w:val="001431B6"/>
    <w:rsid w:val="00143228"/>
    <w:rsid w:val="0014324C"/>
    <w:rsid w:val="00143353"/>
    <w:rsid w:val="00143598"/>
    <w:rsid w:val="001435F9"/>
    <w:rsid w:val="00143819"/>
    <w:rsid w:val="001438E0"/>
    <w:rsid w:val="00143936"/>
    <w:rsid w:val="00143AC8"/>
    <w:rsid w:val="00143B25"/>
    <w:rsid w:val="00143CFA"/>
    <w:rsid w:val="00143D52"/>
    <w:rsid w:val="00143E0E"/>
    <w:rsid w:val="00143E71"/>
    <w:rsid w:val="00143F85"/>
    <w:rsid w:val="00143FFB"/>
    <w:rsid w:val="00144119"/>
    <w:rsid w:val="001441DA"/>
    <w:rsid w:val="001443FD"/>
    <w:rsid w:val="00144892"/>
    <w:rsid w:val="00144A22"/>
    <w:rsid w:val="00144C8A"/>
    <w:rsid w:val="00145055"/>
    <w:rsid w:val="0014519F"/>
    <w:rsid w:val="00145272"/>
    <w:rsid w:val="00145505"/>
    <w:rsid w:val="001455CC"/>
    <w:rsid w:val="00145604"/>
    <w:rsid w:val="00145C42"/>
    <w:rsid w:val="00146087"/>
    <w:rsid w:val="0014616B"/>
    <w:rsid w:val="00146577"/>
    <w:rsid w:val="00146627"/>
    <w:rsid w:val="00146889"/>
    <w:rsid w:val="001469A0"/>
    <w:rsid w:val="00146C78"/>
    <w:rsid w:val="00146F23"/>
    <w:rsid w:val="00147115"/>
    <w:rsid w:val="001471DD"/>
    <w:rsid w:val="0014740D"/>
    <w:rsid w:val="00147461"/>
    <w:rsid w:val="00147701"/>
    <w:rsid w:val="0014774D"/>
    <w:rsid w:val="001477CE"/>
    <w:rsid w:val="0014784F"/>
    <w:rsid w:val="001478AD"/>
    <w:rsid w:val="00147911"/>
    <w:rsid w:val="00147A63"/>
    <w:rsid w:val="00147BCC"/>
    <w:rsid w:val="00147F4D"/>
    <w:rsid w:val="00150005"/>
    <w:rsid w:val="001500AD"/>
    <w:rsid w:val="0015028C"/>
    <w:rsid w:val="0015040C"/>
    <w:rsid w:val="00150559"/>
    <w:rsid w:val="001507E4"/>
    <w:rsid w:val="00150874"/>
    <w:rsid w:val="00150965"/>
    <w:rsid w:val="001509FB"/>
    <w:rsid w:val="00150B55"/>
    <w:rsid w:val="00150B89"/>
    <w:rsid w:val="00150C35"/>
    <w:rsid w:val="00150D36"/>
    <w:rsid w:val="00150DFC"/>
    <w:rsid w:val="00150ECB"/>
    <w:rsid w:val="00150F75"/>
    <w:rsid w:val="00150F7F"/>
    <w:rsid w:val="00151316"/>
    <w:rsid w:val="0015167D"/>
    <w:rsid w:val="001517E0"/>
    <w:rsid w:val="00151932"/>
    <w:rsid w:val="001519C2"/>
    <w:rsid w:val="001519C7"/>
    <w:rsid w:val="00151B00"/>
    <w:rsid w:val="00151DFB"/>
    <w:rsid w:val="00151E43"/>
    <w:rsid w:val="00151F9B"/>
    <w:rsid w:val="0015207B"/>
    <w:rsid w:val="001520AF"/>
    <w:rsid w:val="00152123"/>
    <w:rsid w:val="001521C6"/>
    <w:rsid w:val="0015233A"/>
    <w:rsid w:val="001524DF"/>
    <w:rsid w:val="001525DA"/>
    <w:rsid w:val="00152611"/>
    <w:rsid w:val="00152807"/>
    <w:rsid w:val="00152BE0"/>
    <w:rsid w:val="00152C3D"/>
    <w:rsid w:val="00152ED6"/>
    <w:rsid w:val="00152FED"/>
    <w:rsid w:val="0015312A"/>
    <w:rsid w:val="001532AB"/>
    <w:rsid w:val="00153369"/>
    <w:rsid w:val="0015337F"/>
    <w:rsid w:val="0015386A"/>
    <w:rsid w:val="0015387B"/>
    <w:rsid w:val="00153AA7"/>
    <w:rsid w:val="00153C4C"/>
    <w:rsid w:val="00153CA7"/>
    <w:rsid w:val="00153D48"/>
    <w:rsid w:val="001541C7"/>
    <w:rsid w:val="001544A2"/>
    <w:rsid w:val="00154A2E"/>
    <w:rsid w:val="00154A35"/>
    <w:rsid w:val="00154A9A"/>
    <w:rsid w:val="00154B46"/>
    <w:rsid w:val="00154C1D"/>
    <w:rsid w:val="00154C8C"/>
    <w:rsid w:val="00154EC3"/>
    <w:rsid w:val="001550A3"/>
    <w:rsid w:val="0015510B"/>
    <w:rsid w:val="00155469"/>
    <w:rsid w:val="0015546F"/>
    <w:rsid w:val="00155492"/>
    <w:rsid w:val="00155689"/>
    <w:rsid w:val="00155746"/>
    <w:rsid w:val="00155837"/>
    <w:rsid w:val="00155A23"/>
    <w:rsid w:val="00155C46"/>
    <w:rsid w:val="00155EAF"/>
    <w:rsid w:val="00155F7F"/>
    <w:rsid w:val="0015600B"/>
    <w:rsid w:val="001563BF"/>
    <w:rsid w:val="00156419"/>
    <w:rsid w:val="00156720"/>
    <w:rsid w:val="0015686A"/>
    <w:rsid w:val="00156888"/>
    <w:rsid w:val="001569C1"/>
    <w:rsid w:val="00156C80"/>
    <w:rsid w:val="00156C92"/>
    <w:rsid w:val="0015717D"/>
    <w:rsid w:val="00157282"/>
    <w:rsid w:val="0015742B"/>
    <w:rsid w:val="001574A7"/>
    <w:rsid w:val="0015776C"/>
    <w:rsid w:val="0015782D"/>
    <w:rsid w:val="001579DC"/>
    <w:rsid w:val="00157AD5"/>
    <w:rsid w:val="00157AE9"/>
    <w:rsid w:val="00157BA5"/>
    <w:rsid w:val="00157C9A"/>
    <w:rsid w:val="00157CEB"/>
    <w:rsid w:val="00157CF6"/>
    <w:rsid w:val="00157F02"/>
    <w:rsid w:val="00157F3C"/>
    <w:rsid w:val="00160015"/>
    <w:rsid w:val="001600AC"/>
    <w:rsid w:val="00160229"/>
    <w:rsid w:val="00160341"/>
    <w:rsid w:val="00160346"/>
    <w:rsid w:val="001604D5"/>
    <w:rsid w:val="001605EB"/>
    <w:rsid w:val="00160877"/>
    <w:rsid w:val="00160CB5"/>
    <w:rsid w:val="00160CCE"/>
    <w:rsid w:val="00160E85"/>
    <w:rsid w:val="00160EA4"/>
    <w:rsid w:val="0016108C"/>
    <w:rsid w:val="001610AC"/>
    <w:rsid w:val="00161117"/>
    <w:rsid w:val="00161126"/>
    <w:rsid w:val="0016127D"/>
    <w:rsid w:val="00161391"/>
    <w:rsid w:val="00161616"/>
    <w:rsid w:val="001619D0"/>
    <w:rsid w:val="00161DCE"/>
    <w:rsid w:val="00161F94"/>
    <w:rsid w:val="001620CB"/>
    <w:rsid w:val="001625EC"/>
    <w:rsid w:val="00162780"/>
    <w:rsid w:val="0016282B"/>
    <w:rsid w:val="001628DA"/>
    <w:rsid w:val="00162970"/>
    <w:rsid w:val="00162999"/>
    <w:rsid w:val="00162D15"/>
    <w:rsid w:val="00162E8C"/>
    <w:rsid w:val="00163060"/>
    <w:rsid w:val="001631F3"/>
    <w:rsid w:val="00163404"/>
    <w:rsid w:val="00163983"/>
    <w:rsid w:val="00163BB4"/>
    <w:rsid w:val="00163E35"/>
    <w:rsid w:val="00164202"/>
    <w:rsid w:val="00164417"/>
    <w:rsid w:val="0016461B"/>
    <w:rsid w:val="00164B4B"/>
    <w:rsid w:val="00164CCA"/>
    <w:rsid w:val="00164D7A"/>
    <w:rsid w:val="00164ECE"/>
    <w:rsid w:val="00164FD0"/>
    <w:rsid w:val="001650EF"/>
    <w:rsid w:val="0016510E"/>
    <w:rsid w:val="00165214"/>
    <w:rsid w:val="00165230"/>
    <w:rsid w:val="001652C2"/>
    <w:rsid w:val="00165315"/>
    <w:rsid w:val="0016534B"/>
    <w:rsid w:val="001654B0"/>
    <w:rsid w:val="00165564"/>
    <w:rsid w:val="001657CF"/>
    <w:rsid w:val="001657FE"/>
    <w:rsid w:val="00165907"/>
    <w:rsid w:val="00165B7C"/>
    <w:rsid w:val="00165DA5"/>
    <w:rsid w:val="00165DC0"/>
    <w:rsid w:val="00165FF0"/>
    <w:rsid w:val="0016606A"/>
    <w:rsid w:val="00166098"/>
    <w:rsid w:val="001660AA"/>
    <w:rsid w:val="0016621B"/>
    <w:rsid w:val="0016634B"/>
    <w:rsid w:val="00166371"/>
    <w:rsid w:val="001664F1"/>
    <w:rsid w:val="001667AD"/>
    <w:rsid w:val="0016688E"/>
    <w:rsid w:val="00166893"/>
    <w:rsid w:val="0016689D"/>
    <w:rsid w:val="00166A6B"/>
    <w:rsid w:val="00166BE5"/>
    <w:rsid w:val="00166E24"/>
    <w:rsid w:val="00166E33"/>
    <w:rsid w:val="00166F83"/>
    <w:rsid w:val="00167169"/>
    <w:rsid w:val="0016723A"/>
    <w:rsid w:val="001672D1"/>
    <w:rsid w:val="00167335"/>
    <w:rsid w:val="001674FA"/>
    <w:rsid w:val="00167799"/>
    <w:rsid w:val="0016792B"/>
    <w:rsid w:val="00167AA3"/>
    <w:rsid w:val="00167B1C"/>
    <w:rsid w:val="00167C7D"/>
    <w:rsid w:val="00167D01"/>
    <w:rsid w:val="00167D6E"/>
    <w:rsid w:val="00167EFB"/>
    <w:rsid w:val="00167FC0"/>
    <w:rsid w:val="00167FF3"/>
    <w:rsid w:val="00170100"/>
    <w:rsid w:val="0017034B"/>
    <w:rsid w:val="0017034F"/>
    <w:rsid w:val="001704CF"/>
    <w:rsid w:val="001706E6"/>
    <w:rsid w:val="0017088C"/>
    <w:rsid w:val="00170D51"/>
    <w:rsid w:val="00170DC9"/>
    <w:rsid w:val="00170E66"/>
    <w:rsid w:val="00170FAF"/>
    <w:rsid w:val="0017104D"/>
    <w:rsid w:val="00171293"/>
    <w:rsid w:val="00171335"/>
    <w:rsid w:val="00171491"/>
    <w:rsid w:val="0017164B"/>
    <w:rsid w:val="00171719"/>
    <w:rsid w:val="0017181D"/>
    <w:rsid w:val="0017182F"/>
    <w:rsid w:val="00171A05"/>
    <w:rsid w:val="00171A72"/>
    <w:rsid w:val="00171D48"/>
    <w:rsid w:val="00172109"/>
    <w:rsid w:val="0017225E"/>
    <w:rsid w:val="001725BB"/>
    <w:rsid w:val="0017279D"/>
    <w:rsid w:val="00172995"/>
    <w:rsid w:val="00172D2D"/>
    <w:rsid w:val="00172E17"/>
    <w:rsid w:val="00172E28"/>
    <w:rsid w:val="00172EC4"/>
    <w:rsid w:val="00172F3A"/>
    <w:rsid w:val="00172FC4"/>
    <w:rsid w:val="001730A3"/>
    <w:rsid w:val="001730FD"/>
    <w:rsid w:val="0017311D"/>
    <w:rsid w:val="001731B1"/>
    <w:rsid w:val="001735B1"/>
    <w:rsid w:val="00173715"/>
    <w:rsid w:val="00173798"/>
    <w:rsid w:val="001738FB"/>
    <w:rsid w:val="00173BE6"/>
    <w:rsid w:val="00173DA5"/>
    <w:rsid w:val="00173DC5"/>
    <w:rsid w:val="00173E72"/>
    <w:rsid w:val="00173E9E"/>
    <w:rsid w:val="00173F9C"/>
    <w:rsid w:val="001740BD"/>
    <w:rsid w:val="001741B0"/>
    <w:rsid w:val="001743A2"/>
    <w:rsid w:val="00174762"/>
    <w:rsid w:val="0017488A"/>
    <w:rsid w:val="00174AB0"/>
    <w:rsid w:val="00174BCA"/>
    <w:rsid w:val="00174CCA"/>
    <w:rsid w:val="00175152"/>
    <w:rsid w:val="00175209"/>
    <w:rsid w:val="0017522B"/>
    <w:rsid w:val="0017572D"/>
    <w:rsid w:val="001757ED"/>
    <w:rsid w:val="00175854"/>
    <w:rsid w:val="001758B5"/>
    <w:rsid w:val="00175AA2"/>
    <w:rsid w:val="00175ACB"/>
    <w:rsid w:val="00175C8F"/>
    <w:rsid w:val="0017607B"/>
    <w:rsid w:val="001760FF"/>
    <w:rsid w:val="0017612F"/>
    <w:rsid w:val="0017621B"/>
    <w:rsid w:val="0017645D"/>
    <w:rsid w:val="001764A0"/>
    <w:rsid w:val="00176738"/>
    <w:rsid w:val="00176E42"/>
    <w:rsid w:val="00176E9A"/>
    <w:rsid w:val="00176EE8"/>
    <w:rsid w:val="00176F37"/>
    <w:rsid w:val="00177207"/>
    <w:rsid w:val="00177353"/>
    <w:rsid w:val="001773BD"/>
    <w:rsid w:val="0017742D"/>
    <w:rsid w:val="001775AD"/>
    <w:rsid w:val="001776B6"/>
    <w:rsid w:val="0017771D"/>
    <w:rsid w:val="001777D5"/>
    <w:rsid w:val="001777E9"/>
    <w:rsid w:val="00177850"/>
    <w:rsid w:val="001778D0"/>
    <w:rsid w:val="00177B6B"/>
    <w:rsid w:val="00177D12"/>
    <w:rsid w:val="00177DCB"/>
    <w:rsid w:val="001800B2"/>
    <w:rsid w:val="00180109"/>
    <w:rsid w:val="00180144"/>
    <w:rsid w:val="0018054F"/>
    <w:rsid w:val="001807C0"/>
    <w:rsid w:val="0018089F"/>
    <w:rsid w:val="00180935"/>
    <w:rsid w:val="00180A23"/>
    <w:rsid w:val="00180AD0"/>
    <w:rsid w:val="00180B1C"/>
    <w:rsid w:val="00180B76"/>
    <w:rsid w:val="00180BE8"/>
    <w:rsid w:val="00180D19"/>
    <w:rsid w:val="00180E96"/>
    <w:rsid w:val="00181034"/>
    <w:rsid w:val="001811DE"/>
    <w:rsid w:val="001811F3"/>
    <w:rsid w:val="00181584"/>
    <w:rsid w:val="001815AE"/>
    <w:rsid w:val="001815BC"/>
    <w:rsid w:val="001817CC"/>
    <w:rsid w:val="001818CC"/>
    <w:rsid w:val="00181B3E"/>
    <w:rsid w:val="00181B43"/>
    <w:rsid w:val="00181D7B"/>
    <w:rsid w:val="00182170"/>
    <w:rsid w:val="001821D1"/>
    <w:rsid w:val="0018247B"/>
    <w:rsid w:val="00182487"/>
    <w:rsid w:val="00182495"/>
    <w:rsid w:val="001825AA"/>
    <w:rsid w:val="001826CB"/>
    <w:rsid w:val="001827AC"/>
    <w:rsid w:val="00182899"/>
    <w:rsid w:val="0018298F"/>
    <w:rsid w:val="00182B1F"/>
    <w:rsid w:val="00182E39"/>
    <w:rsid w:val="00182EC0"/>
    <w:rsid w:val="00183085"/>
    <w:rsid w:val="001831E8"/>
    <w:rsid w:val="001832B0"/>
    <w:rsid w:val="00183329"/>
    <w:rsid w:val="0018349C"/>
    <w:rsid w:val="00183562"/>
    <w:rsid w:val="00183576"/>
    <w:rsid w:val="00183649"/>
    <w:rsid w:val="00183781"/>
    <w:rsid w:val="00183970"/>
    <w:rsid w:val="001839C4"/>
    <w:rsid w:val="00183AC0"/>
    <w:rsid w:val="00183C19"/>
    <w:rsid w:val="0018406C"/>
    <w:rsid w:val="001840DC"/>
    <w:rsid w:val="001843C4"/>
    <w:rsid w:val="00184519"/>
    <w:rsid w:val="00184522"/>
    <w:rsid w:val="00184584"/>
    <w:rsid w:val="001845F7"/>
    <w:rsid w:val="00184635"/>
    <w:rsid w:val="00184A7E"/>
    <w:rsid w:val="00184A83"/>
    <w:rsid w:val="00185037"/>
    <w:rsid w:val="0018537D"/>
    <w:rsid w:val="001853A5"/>
    <w:rsid w:val="00185419"/>
    <w:rsid w:val="00185A8A"/>
    <w:rsid w:val="00185B70"/>
    <w:rsid w:val="00185CFE"/>
    <w:rsid w:val="00185E36"/>
    <w:rsid w:val="001862DA"/>
    <w:rsid w:val="0018630F"/>
    <w:rsid w:val="001864D8"/>
    <w:rsid w:val="001866D1"/>
    <w:rsid w:val="001868A3"/>
    <w:rsid w:val="00186A8A"/>
    <w:rsid w:val="00186AD0"/>
    <w:rsid w:val="00186C95"/>
    <w:rsid w:val="00186CE4"/>
    <w:rsid w:val="00186D3B"/>
    <w:rsid w:val="00186D41"/>
    <w:rsid w:val="00186E13"/>
    <w:rsid w:val="00186EB8"/>
    <w:rsid w:val="00187138"/>
    <w:rsid w:val="00187145"/>
    <w:rsid w:val="001874F4"/>
    <w:rsid w:val="00187613"/>
    <w:rsid w:val="00187B28"/>
    <w:rsid w:val="00187C0E"/>
    <w:rsid w:val="00187DA4"/>
    <w:rsid w:val="0019024D"/>
    <w:rsid w:val="00190451"/>
    <w:rsid w:val="001904D5"/>
    <w:rsid w:val="00190CBC"/>
    <w:rsid w:val="00190E7D"/>
    <w:rsid w:val="00190EBD"/>
    <w:rsid w:val="00191019"/>
    <w:rsid w:val="0019104D"/>
    <w:rsid w:val="001912DA"/>
    <w:rsid w:val="001913AA"/>
    <w:rsid w:val="001913F8"/>
    <w:rsid w:val="00191778"/>
    <w:rsid w:val="0019179B"/>
    <w:rsid w:val="00191A77"/>
    <w:rsid w:val="00191B62"/>
    <w:rsid w:val="00191DB3"/>
    <w:rsid w:val="00191FD5"/>
    <w:rsid w:val="001921ED"/>
    <w:rsid w:val="00192214"/>
    <w:rsid w:val="001923ED"/>
    <w:rsid w:val="001924E5"/>
    <w:rsid w:val="0019282C"/>
    <w:rsid w:val="001929B4"/>
    <w:rsid w:val="00192B90"/>
    <w:rsid w:val="00192BFE"/>
    <w:rsid w:val="00192D0D"/>
    <w:rsid w:val="00193260"/>
    <w:rsid w:val="00193421"/>
    <w:rsid w:val="00193613"/>
    <w:rsid w:val="00193686"/>
    <w:rsid w:val="0019374B"/>
    <w:rsid w:val="00193A90"/>
    <w:rsid w:val="00193AAF"/>
    <w:rsid w:val="00193B10"/>
    <w:rsid w:val="00193EE3"/>
    <w:rsid w:val="00194098"/>
    <w:rsid w:val="00194141"/>
    <w:rsid w:val="001941EF"/>
    <w:rsid w:val="001943B1"/>
    <w:rsid w:val="00194643"/>
    <w:rsid w:val="001946F3"/>
    <w:rsid w:val="00194994"/>
    <w:rsid w:val="00194995"/>
    <w:rsid w:val="00194BB4"/>
    <w:rsid w:val="00194E8C"/>
    <w:rsid w:val="00194FBD"/>
    <w:rsid w:val="00194FCC"/>
    <w:rsid w:val="00195189"/>
    <w:rsid w:val="00195476"/>
    <w:rsid w:val="00195825"/>
    <w:rsid w:val="00195C82"/>
    <w:rsid w:val="00195CD2"/>
    <w:rsid w:val="00196167"/>
    <w:rsid w:val="0019620C"/>
    <w:rsid w:val="00196300"/>
    <w:rsid w:val="001964F6"/>
    <w:rsid w:val="00196526"/>
    <w:rsid w:val="00196559"/>
    <w:rsid w:val="00196594"/>
    <w:rsid w:val="00196636"/>
    <w:rsid w:val="00196661"/>
    <w:rsid w:val="00196963"/>
    <w:rsid w:val="00196B80"/>
    <w:rsid w:val="00196B93"/>
    <w:rsid w:val="00196BA3"/>
    <w:rsid w:val="00196C49"/>
    <w:rsid w:val="00196E4E"/>
    <w:rsid w:val="00196EAA"/>
    <w:rsid w:val="001970F9"/>
    <w:rsid w:val="00197350"/>
    <w:rsid w:val="00197384"/>
    <w:rsid w:val="0019749D"/>
    <w:rsid w:val="00197BC3"/>
    <w:rsid w:val="00197DCD"/>
    <w:rsid w:val="001A021C"/>
    <w:rsid w:val="001A064C"/>
    <w:rsid w:val="001A0968"/>
    <w:rsid w:val="001A0BAB"/>
    <w:rsid w:val="001A0F0C"/>
    <w:rsid w:val="001A1720"/>
    <w:rsid w:val="001A188D"/>
    <w:rsid w:val="001A192B"/>
    <w:rsid w:val="001A1A0F"/>
    <w:rsid w:val="001A2109"/>
    <w:rsid w:val="001A2340"/>
    <w:rsid w:val="001A2466"/>
    <w:rsid w:val="001A253B"/>
    <w:rsid w:val="001A2571"/>
    <w:rsid w:val="001A26F5"/>
    <w:rsid w:val="001A27E6"/>
    <w:rsid w:val="001A2A96"/>
    <w:rsid w:val="001A2CFB"/>
    <w:rsid w:val="001A2DDC"/>
    <w:rsid w:val="001A2F36"/>
    <w:rsid w:val="001A2F39"/>
    <w:rsid w:val="001A30DE"/>
    <w:rsid w:val="001A3119"/>
    <w:rsid w:val="001A31B6"/>
    <w:rsid w:val="001A3356"/>
    <w:rsid w:val="001A365A"/>
    <w:rsid w:val="001A36D1"/>
    <w:rsid w:val="001A372B"/>
    <w:rsid w:val="001A3736"/>
    <w:rsid w:val="001A3771"/>
    <w:rsid w:val="001A38FA"/>
    <w:rsid w:val="001A3991"/>
    <w:rsid w:val="001A3B87"/>
    <w:rsid w:val="001A4336"/>
    <w:rsid w:val="001A44DE"/>
    <w:rsid w:val="001A457D"/>
    <w:rsid w:val="001A473E"/>
    <w:rsid w:val="001A4780"/>
    <w:rsid w:val="001A47D2"/>
    <w:rsid w:val="001A497A"/>
    <w:rsid w:val="001A4BA3"/>
    <w:rsid w:val="001A4CCB"/>
    <w:rsid w:val="001A4EA1"/>
    <w:rsid w:val="001A4EB6"/>
    <w:rsid w:val="001A5068"/>
    <w:rsid w:val="001A5419"/>
    <w:rsid w:val="001A56C9"/>
    <w:rsid w:val="001A5705"/>
    <w:rsid w:val="001A585E"/>
    <w:rsid w:val="001A587D"/>
    <w:rsid w:val="001A58B7"/>
    <w:rsid w:val="001A592C"/>
    <w:rsid w:val="001A5CEE"/>
    <w:rsid w:val="001A5D64"/>
    <w:rsid w:val="001A620B"/>
    <w:rsid w:val="001A63F2"/>
    <w:rsid w:val="001A6496"/>
    <w:rsid w:val="001A6575"/>
    <w:rsid w:val="001A6E6B"/>
    <w:rsid w:val="001A6ED3"/>
    <w:rsid w:val="001A6F1C"/>
    <w:rsid w:val="001A7119"/>
    <w:rsid w:val="001A71B0"/>
    <w:rsid w:val="001A7346"/>
    <w:rsid w:val="001A7386"/>
    <w:rsid w:val="001A751B"/>
    <w:rsid w:val="001A75AD"/>
    <w:rsid w:val="001A7971"/>
    <w:rsid w:val="001A7B28"/>
    <w:rsid w:val="001A7BFE"/>
    <w:rsid w:val="001A7E01"/>
    <w:rsid w:val="001A7E15"/>
    <w:rsid w:val="001A7E31"/>
    <w:rsid w:val="001A7ECF"/>
    <w:rsid w:val="001A7FFD"/>
    <w:rsid w:val="001B0110"/>
    <w:rsid w:val="001B043F"/>
    <w:rsid w:val="001B047A"/>
    <w:rsid w:val="001B0511"/>
    <w:rsid w:val="001B090D"/>
    <w:rsid w:val="001B09E3"/>
    <w:rsid w:val="001B0AC4"/>
    <w:rsid w:val="001B0B33"/>
    <w:rsid w:val="001B0B4C"/>
    <w:rsid w:val="001B0B62"/>
    <w:rsid w:val="001B0C0A"/>
    <w:rsid w:val="001B0DC5"/>
    <w:rsid w:val="001B0F33"/>
    <w:rsid w:val="001B1032"/>
    <w:rsid w:val="001B105E"/>
    <w:rsid w:val="001B10FE"/>
    <w:rsid w:val="001B1324"/>
    <w:rsid w:val="001B134A"/>
    <w:rsid w:val="001B139F"/>
    <w:rsid w:val="001B14FE"/>
    <w:rsid w:val="001B1670"/>
    <w:rsid w:val="001B1729"/>
    <w:rsid w:val="001B1B2B"/>
    <w:rsid w:val="001B1CB3"/>
    <w:rsid w:val="001B1CBD"/>
    <w:rsid w:val="001B1EE8"/>
    <w:rsid w:val="001B1FAD"/>
    <w:rsid w:val="001B1FCC"/>
    <w:rsid w:val="001B2418"/>
    <w:rsid w:val="001B277C"/>
    <w:rsid w:val="001B2A28"/>
    <w:rsid w:val="001B3048"/>
    <w:rsid w:val="001B316C"/>
    <w:rsid w:val="001B335B"/>
    <w:rsid w:val="001B366B"/>
    <w:rsid w:val="001B36ED"/>
    <w:rsid w:val="001B38D3"/>
    <w:rsid w:val="001B3961"/>
    <w:rsid w:val="001B3A50"/>
    <w:rsid w:val="001B3CB2"/>
    <w:rsid w:val="001B40CB"/>
    <w:rsid w:val="001B40E7"/>
    <w:rsid w:val="001B4223"/>
    <w:rsid w:val="001B42D4"/>
    <w:rsid w:val="001B42E4"/>
    <w:rsid w:val="001B436F"/>
    <w:rsid w:val="001B4766"/>
    <w:rsid w:val="001B4C13"/>
    <w:rsid w:val="001B4E90"/>
    <w:rsid w:val="001B4F42"/>
    <w:rsid w:val="001B4FB0"/>
    <w:rsid w:val="001B525B"/>
    <w:rsid w:val="001B5291"/>
    <w:rsid w:val="001B5450"/>
    <w:rsid w:val="001B55E5"/>
    <w:rsid w:val="001B563F"/>
    <w:rsid w:val="001B571B"/>
    <w:rsid w:val="001B582D"/>
    <w:rsid w:val="001B5890"/>
    <w:rsid w:val="001B59A9"/>
    <w:rsid w:val="001B5C8D"/>
    <w:rsid w:val="001B5D3A"/>
    <w:rsid w:val="001B5D41"/>
    <w:rsid w:val="001B5EB0"/>
    <w:rsid w:val="001B6030"/>
    <w:rsid w:val="001B60AB"/>
    <w:rsid w:val="001B6421"/>
    <w:rsid w:val="001B6541"/>
    <w:rsid w:val="001B6591"/>
    <w:rsid w:val="001B65B7"/>
    <w:rsid w:val="001B6751"/>
    <w:rsid w:val="001B691A"/>
    <w:rsid w:val="001B696E"/>
    <w:rsid w:val="001B6A56"/>
    <w:rsid w:val="001B7191"/>
    <w:rsid w:val="001B71B9"/>
    <w:rsid w:val="001B7243"/>
    <w:rsid w:val="001B7490"/>
    <w:rsid w:val="001B7513"/>
    <w:rsid w:val="001B764B"/>
    <w:rsid w:val="001B76A8"/>
    <w:rsid w:val="001B782D"/>
    <w:rsid w:val="001B7B31"/>
    <w:rsid w:val="001B7C98"/>
    <w:rsid w:val="001C00F2"/>
    <w:rsid w:val="001C01E6"/>
    <w:rsid w:val="001C054B"/>
    <w:rsid w:val="001C05BE"/>
    <w:rsid w:val="001C05EF"/>
    <w:rsid w:val="001C0963"/>
    <w:rsid w:val="001C09D9"/>
    <w:rsid w:val="001C0A0A"/>
    <w:rsid w:val="001C102F"/>
    <w:rsid w:val="001C1121"/>
    <w:rsid w:val="001C121C"/>
    <w:rsid w:val="001C13DF"/>
    <w:rsid w:val="001C14C7"/>
    <w:rsid w:val="001C14EA"/>
    <w:rsid w:val="001C18A6"/>
    <w:rsid w:val="001C1A14"/>
    <w:rsid w:val="001C1AC5"/>
    <w:rsid w:val="001C1DE7"/>
    <w:rsid w:val="001C1E40"/>
    <w:rsid w:val="001C202D"/>
    <w:rsid w:val="001C20D6"/>
    <w:rsid w:val="001C21A2"/>
    <w:rsid w:val="001C22BD"/>
    <w:rsid w:val="001C22F8"/>
    <w:rsid w:val="001C23C3"/>
    <w:rsid w:val="001C23F9"/>
    <w:rsid w:val="001C24B2"/>
    <w:rsid w:val="001C24DB"/>
    <w:rsid w:val="001C24F4"/>
    <w:rsid w:val="001C271D"/>
    <w:rsid w:val="001C27DA"/>
    <w:rsid w:val="001C288C"/>
    <w:rsid w:val="001C2A03"/>
    <w:rsid w:val="001C2E3B"/>
    <w:rsid w:val="001C30D0"/>
    <w:rsid w:val="001C30D2"/>
    <w:rsid w:val="001C372D"/>
    <w:rsid w:val="001C38E6"/>
    <w:rsid w:val="001C39E8"/>
    <w:rsid w:val="001C3A22"/>
    <w:rsid w:val="001C3BC6"/>
    <w:rsid w:val="001C3C62"/>
    <w:rsid w:val="001C3CD8"/>
    <w:rsid w:val="001C3D25"/>
    <w:rsid w:val="001C3D31"/>
    <w:rsid w:val="001C3D3F"/>
    <w:rsid w:val="001C3ED3"/>
    <w:rsid w:val="001C3F63"/>
    <w:rsid w:val="001C44E0"/>
    <w:rsid w:val="001C4553"/>
    <w:rsid w:val="001C4619"/>
    <w:rsid w:val="001C4623"/>
    <w:rsid w:val="001C4632"/>
    <w:rsid w:val="001C469B"/>
    <w:rsid w:val="001C46F4"/>
    <w:rsid w:val="001C48C6"/>
    <w:rsid w:val="001C4A0B"/>
    <w:rsid w:val="001C4B75"/>
    <w:rsid w:val="001C4C45"/>
    <w:rsid w:val="001C4C8C"/>
    <w:rsid w:val="001C4DA4"/>
    <w:rsid w:val="001C504B"/>
    <w:rsid w:val="001C5245"/>
    <w:rsid w:val="001C532B"/>
    <w:rsid w:val="001C5494"/>
    <w:rsid w:val="001C54F5"/>
    <w:rsid w:val="001C559E"/>
    <w:rsid w:val="001C55F6"/>
    <w:rsid w:val="001C564A"/>
    <w:rsid w:val="001C564E"/>
    <w:rsid w:val="001C5979"/>
    <w:rsid w:val="001C599C"/>
    <w:rsid w:val="001C5B83"/>
    <w:rsid w:val="001C5CCA"/>
    <w:rsid w:val="001C5D2D"/>
    <w:rsid w:val="001C5D8B"/>
    <w:rsid w:val="001C5DE6"/>
    <w:rsid w:val="001C5F72"/>
    <w:rsid w:val="001C6086"/>
    <w:rsid w:val="001C60E6"/>
    <w:rsid w:val="001C61BF"/>
    <w:rsid w:val="001C6252"/>
    <w:rsid w:val="001C62AE"/>
    <w:rsid w:val="001C62B4"/>
    <w:rsid w:val="001C6311"/>
    <w:rsid w:val="001C64B9"/>
    <w:rsid w:val="001C6504"/>
    <w:rsid w:val="001C6726"/>
    <w:rsid w:val="001C6747"/>
    <w:rsid w:val="001C6758"/>
    <w:rsid w:val="001C6762"/>
    <w:rsid w:val="001C681D"/>
    <w:rsid w:val="001C69B9"/>
    <w:rsid w:val="001C6A71"/>
    <w:rsid w:val="001C6BFC"/>
    <w:rsid w:val="001C6CD5"/>
    <w:rsid w:val="001C6E5E"/>
    <w:rsid w:val="001C71AA"/>
    <w:rsid w:val="001C73F8"/>
    <w:rsid w:val="001C75AB"/>
    <w:rsid w:val="001C75B2"/>
    <w:rsid w:val="001C75BD"/>
    <w:rsid w:val="001C75D8"/>
    <w:rsid w:val="001C7686"/>
    <w:rsid w:val="001C76B1"/>
    <w:rsid w:val="001C776C"/>
    <w:rsid w:val="001C77E1"/>
    <w:rsid w:val="001C79DA"/>
    <w:rsid w:val="001C7A88"/>
    <w:rsid w:val="001C7ABB"/>
    <w:rsid w:val="001C7C88"/>
    <w:rsid w:val="001C7F04"/>
    <w:rsid w:val="001C7F9B"/>
    <w:rsid w:val="001D007C"/>
    <w:rsid w:val="001D02EA"/>
    <w:rsid w:val="001D0412"/>
    <w:rsid w:val="001D06B3"/>
    <w:rsid w:val="001D0926"/>
    <w:rsid w:val="001D0A2E"/>
    <w:rsid w:val="001D0A38"/>
    <w:rsid w:val="001D0A3D"/>
    <w:rsid w:val="001D0AE5"/>
    <w:rsid w:val="001D0BC1"/>
    <w:rsid w:val="001D0CC0"/>
    <w:rsid w:val="001D0D93"/>
    <w:rsid w:val="001D0DBF"/>
    <w:rsid w:val="001D0E21"/>
    <w:rsid w:val="001D112B"/>
    <w:rsid w:val="001D11B3"/>
    <w:rsid w:val="001D15FD"/>
    <w:rsid w:val="001D197C"/>
    <w:rsid w:val="001D1982"/>
    <w:rsid w:val="001D19A8"/>
    <w:rsid w:val="001D19AF"/>
    <w:rsid w:val="001D1B24"/>
    <w:rsid w:val="001D208D"/>
    <w:rsid w:val="001D21A7"/>
    <w:rsid w:val="001D240E"/>
    <w:rsid w:val="001D2417"/>
    <w:rsid w:val="001D26ED"/>
    <w:rsid w:val="001D283C"/>
    <w:rsid w:val="001D28B3"/>
    <w:rsid w:val="001D29ED"/>
    <w:rsid w:val="001D2D33"/>
    <w:rsid w:val="001D2DBB"/>
    <w:rsid w:val="001D2F00"/>
    <w:rsid w:val="001D32EF"/>
    <w:rsid w:val="001D33AD"/>
    <w:rsid w:val="001D3850"/>
    <w:rsid w:val="001D3CFA"/>
    <w:rsid w:val="001D3D79"/>
    <w:rsid w:val="001D3DFF"/>
    <w:rsid w:val="001D43CD"/>
    <w:rsid w:val="001D4479"/>
    <w:rsid w:val="001D48DA"/>
    <w:rsid w:val="001D4BC5"/>
    <w:rsid w:val="001D4E2F"/>
    <w:rsid w:val="001D5133"/>
    <w:rsid w:val="001D5257"/>
    <w:rsid w:val="001D5280"/>
    <w:rsid w:val="001D53F4"/>
    <w:rsid w:val="001D57CB"/>
    <w:rsid w:val="001D5963"/>
    <w:rsid w:val="001D59BE"/>
    <w:rsid w:val="001D59F6"/>
    <w:rsid w:val="001D5CAD"/>
    <w:rsid w:val="001D5D71"/>
    <w:rsid w:val="001D62F5"/>
    <w:rsid w:val="001D638B"/>
    <w:rsid w:val="001D6488"/>
    <w:rsid w:val="001D66A2"/>
    <w:rsid w:val="001D66B1"/>
    <w:rsid w:val="001D686B"/>
    <w:rsid w:val="001D6CCE"/>
    <w:rsid w:val="001D6DFA"/>
    <w:rsid w:val="001D6EFA"/>
    <w:rsid w:val="001D6F43"/>
    <w:rsid w:val="001D705F"/>
    <w:rsid w:val="001D7159"/>
    <w:rsid w:val="001D729B"/>
    <w:rsid w:val="001D737A"/>
    <w:rsid w:val="001D74F1"/>
    <w:rsid w:val="001D7743"/>
    <w:rsid w:val="001D7798"/>
    <w:rsid w:val="001D79A7"/>
    <w:rsid w:val="001D79EF"/>
    <w:rsid w:val="001D7E70"/>
    <w:rsid w:val="001E004B"/>
    <w:rsid w:val="001E00AC"/>
    <w:rsid w:val="001E00F0"/>
    <w:rsid w:val="001E0259"/>
    <w:rsid w:val="001E04CE"/>
    <w:rsid w:val="001E0741"/>
    <w:rsid w:val="001E0769"/>
    <w:rsid w:val="001E0916"/>
    <w:rsid w:val="001E0CE2"/>
    <w:rsid w:val="001E0EDD"/>
    <w:rsid w:val="001E14A7"/>
    <w:rsid w:val="001E1901"/>
    <w:rsid w:val="001E19D3"/>
    <w:rsid w:val="001E1F97"/>
    <w:rsid w:val="001E1FEC"/>
    <w:rsid w:val="001E2321"/>
    <w:rsid w:val="001E23D1"/>
    <w:rsid w:val="001E2428"/>
    <w:rsid w:val="001E252F"/>
    <w:rsid w:val="001E25D2"/>
    <w:rsid w:val="001E268E"/>
    <w:rsid w:val="001E26BD"/>
    <w:rsid w:val="001E2908"/>
    <w:rsid w:val="001E2A8E"/>
    <w:rsid w:val="001E2B64"/>
    <w:rsid w:val="001E2DA7"/>
    <w:rsid w:val="001E2E4F"/>
    <w:rsid w:val="001E2FA9"/>
    <w:rsid w:val="001E38A8"/>
    <w:rsid w:val="001E3982"/>
    <w:rsid w:val="001E3B2E"/>
    <w:rsid w:val="001E3EEE"/>
    <w:rsid w:val="001E3F69"/>
    <w:rsid w:val="001E4193"/>
    <w:rsid w:val="001E4663"/>
    <w:rsid w:val="001E46B0"/>
    <w:rsid w:val="001E4856"/>
    <w:rsid w:val="001E4A00"/>
    <w:rsid w:val="001E4BA3"/>
    <w:rsid w:val="001E51B8"/>
    <w:rsid w:val="001E53CD"/>
    <w:rsid w:val="001E53DD"/>
    <w:rsid w:val="001E5701"/>
    <w:rsid w:val="001E580B"/>
    <w:rsid w:val="001E589E"/>
    <w:rsid w:val="001E5BBB"/>
    <w:rsid w:val="001E5F64"/>
    <w:rsid w:val="001E60FB"/>
    <w:rsid w:val="001E6180"/>
    <w:rsid w:val="001E630A"/>
    <w:rsid w:val="001E6380"/>
    <w:rsid w:val="001E674B"/>
    <w:rsid w:val="001E6864"/>
    <w:rsid w:val="001E68FC"/>
    <w:rsid w:val="001E6A33"/>
    <w:rsid w:val="001E6B7E"/>
    <w:rsid w:val="001E6C2D"/>
    <w:rsid w:val="001E6D8E"/>
    <w:rsid w:val="001E6F5F"/>
    <w:rsid w:val="001E712B"/>
    <w:rsid w:val="001E714A"/>
    <w:rsid w:val="001E72B6"/>
    <w:rsid w:val="001E7396"/>
    <w:rsid w:val="001E7480"/>
    <w:rsid w:val="001E7569"/>
    <w:rsid w:val="001E76D9"/>
    <w:rsid w:val="001E7804"/>
    <w:rsid w:val="001E79B5"/>
    <w:rsid w:val="001E7A8C"/>
    <w:rsid w:val="001E7F25"/>
    <w:rsid w:val="001E7FE4"/>
    <w:rsid w:val="001F0766"/>
    <w:rsid w:val="001F0BE6"/>
    <w:rsid w:val="001F0C39"/>
    <w:rsid w:val="001F0CE0"/>
    <w:rsid w:val="001F0D55"/>
    <w:rsid w:val="001F0EE5"/>
    <w:rsid w:val="001F111D"/>
    <w:rsid w:val="001F120D"/>
    <w:rsid w:val="001F12CD"/>
    <w:rsid w:val="001F1555"/>
    <w:rsid w:val="001F16FB"/>
    <w:rsid w:val="001F1761"/>
    <w:rsid w:val="001F1844"/>
    <w:rsid w:val="001F1A09"/>
    <w:rsid w:val="001F1BC4"/>
    <w:rsid w:val="001F1C3E"/>
    <w:rsid w:val="001F1ECA"/>
    <w:rsid w:val="001F2045"/>
    <w:rsid w:val="001F20C4"/>
    <w:rsid w:val="001F2178"/>
    <w:rsid w:val="001F22AC"/>
    <w:rsid w:val="001F22CC"/>
    <w:rsid w:val="001F2489"/>
    <w:rsid w:val="001F25E0"/>
    <w:rsid w:val="001F2A62"/>
    <w:rsid w:val="001F2B1C"/>
    <w:rsid w:val="001F2B6F"/>
    <w:rsid w:val="001F2D9D"/>
    <w:rsid w:val="001F2DF7"/>
    <w:rsid w:val="001F2E38"/>
    <w:rsid w:val="001F2E99"/>
    <w:rsid w:val="001F3025"/>
    <w:rsid w:val="001F307D"/>
    <w:rsid w:val="001F3828"/>
    <w:rsid w:val="001F3BB3"/>
    <w:rsid w:val="001F3C5F"/>
    <w:rsid w:val="001F3FB1"/>
    <w:rsid w:val="001F452B"/>
    <w:rsid w:val="001F458A"/>
    <w:rsid w:val="001F45FF"/>
    <w:rsid w:val="001F4835"/>
    <w:rsid w:val="001F49F3"/>
    <w:rsid w:val="001F4B1F"/>
    <w:rsid w:val="001F4F5A"/>
    <w:rsid w:val="001F505C"/>
    <w:rsid w:val="001F5236"/>
    <w:rsid w:val="001F52CB"/>
    <w:rsid w:val="001F5330"/>
    <w:rsid w:val="001F5602"/>
    <w:rsid w:val="001F56A6"/>
    <w:rsid w:val="001F588D"/>
    <w:rsid w:val="001F5A03"/>
    <w:rsid w:val="001F5A2C"/>
    <w:rsid w:val="001F5A4B"/>
    <w:rsid w:val="001F5AE9"/>
    <w:rsid w:val="001F5B24"/>
    <w:rsid w:val="001F5C1D"/>
    <w:rsid w:val="001F5D8D"/>
    <w:rsid w:val="001F5F15"/>
    <w:rsid w:val="001F607C"/>
    <w:rsid w:val="001F61D9"/>
    <w:rsid w:val="001F61FE"/>
    <w:rsid w:val="001F6278"/>
    <w:rsid w:val="001F646B"/>
    <w:rsid w:val="001F646F"/>
    <w:rsid w:val="001F6641"/>
    <w:rsid w:val="001F66DE"/>
    <w:rsid w:val="001F68BC"/>
    <w:rsid w:val="001F6A0F"/>
    <w:rsid w:val="001F6C87"/>
    <w:rsid w:val="001F6EC5"/>
    <w:rsid w:val="001F705D"/>
    <w:rsid w:val="001F709C"/>
    <w:rsid w:val="001F7143"/>
    <w:rsid w:val="001F7246"/>
    <w:rsid w:val="001F73E3"/>
    <w:rsid w:val="001F77A6"/>
    <w:rsid w:val="001F7971"/>
    <w:rsid w:val="001F7ACA"/>
    <w:rsid w:val="001F7CEE"/>
    <w:rsid w:val="001F7D00"/>
    <w:rsid w:val="00200366"/>
    <w:rsid w:val="0020066A"/>
    <w:rsid w:val="00200807"/>
    <w:rsid w:val="00200A6B"/>
    <w:rsid w:val="00200B74"/>
    <w:rsid w:val="00200BA3"/>
    <w:rsid w:val="00200BDE"/>
    <w:rsid w:val="00200CAC"/>
    <w:rsid w:val="00200D92"/>
    <w:rsid w:val="002014E7"/>
    <w:rsid w:val="00201DD7"/>
    <w:rsid w:val="00201DE7"/>
    <w:rsid w:val="00202046"/>
    <w:rsid w:val="002023C8"/>
    <w:rsid w:val="00202576"/>
    <w:rsid w:val="00202699"/>
    <w:rsid w:val="002026C3"/>
    <w:rsid w:val="00202757"/>
    <w:rsid w:val="00202966"/>
    <w:rsid w:val="00202A9E"/>
    <w:rsid w:val="00202AA8"/>
    <w:rsid w:val="00202BFA"/>
    <w:rsid w:val="00202D81"/>
    <w:rsid w:val="00202DC0"/>
    <w:rsid w:val="00202E6B"/>
    <w:rsid w:val="00202E80"/>
    <w:rsid w:val="00202EB6"/>
    <w:rsid w:val="00202FC4"/>
    <w:rsid w:val="002030E2"/>
    <w:rsid w:val="00203112"/>
    <w:rsid w:val="00203383"/>
    <w:rsid w:val="002033A6"/>
    <w:rsid w:val="002036C9"/>
    <w:rsid w:val="0020374D"/>
    <w:rsid w:val="0020380D"/>
    <w:rsid w:val="00203A3B"/>
    <w:rsid w:val="00203B02"/>
    <w:rsid w:val="00203BF5"/>
    <w:rsid w:val="00203E97"/>
    <w:rsid w:val="00203F82"/>
    <w:rsid w:val="00203FB3"/>
    <w:rsid w:val="00204026"/>
    <w:rsid w:val="0020405F"/>
    <w:rsid w:val="0020408E"/>
    <w:rsid w:val="002044BA"/>
    <w:rsid w:val="0020455C"/>
    <w:rsid w:val="00204586"/>
    <w:rsid w:val="002045A5"/>
    <w:rsid w:val="002048BC"/>
    <w:rsid w:val="00204945"/>
    <w:rsid w:val="002050C7"/>
    <w:rsid w:val="002050D6"/>
    <w:rsid w:val="002051EE"/>
    <w:rsid w:val="00205507"/>
    <w:rsid w:val="002055CC"/>
    <w:rsid w:val="00205642"/>
    <w:rsid w:val="00205644"/>
    <w:rsid w:val="00205822"/>
    <w:rsid w:val="00205A9F"/>
    <w:rsid w:val="00205AAE"/>
    <w:rsid w:val="00205B0E"/>
    <w:rsid w:val="00205B1F"/>
    <w:rsid w:val="00205BE3"/>
    <w:rsid w:val="00205BE9"/>
    <w:rsid w:val="00205DB7"/>
    <w:rsid w:val="00205DD8"/>
    <w:rsid w:val="00205FEA"/>
    <w:rsid w:val="002061B1"/>
    <w:rsid w:val="002061CA"/>
    <w:rsid w:val="0020634B"/>
    <w:rsid w:val="00206734"/>
    <w:rsid w:val="0020689C"/>
    <w:rsid w:val="00206929"/>
    <w:rsid w:val="002069BC"/>
    <w:rsid w:val="00206BE5"/>
    <w:rsid w:val="00206E13"/>
    <w:rsid w:val="00206F7F"/>
    <w:rsid w:val="0020700D"/>
    <w:rsid w:val="0020718C"/>
    <w:rsid w:val="00207205"/>
    <w:rsid w:val="00207223"/>
    <w:rsid w:val="002072D5"/>
    <w:rsid w:val="00207404"/>
    <w:rsid w:val="00207408"/>
    <w:rsid w:val="00207526"/>
    <w:rsid w:val="0020762E"/>
    <w:rsid w:val="0020765F"/>
    <w:rsid w:val="0020778D"/>
    <w:rsid w:val="00207899"/>
    <w:rsid w:val="002078E1"/>
    <w:rsid w:val="0021000D"/>
    <w:rsid w:val="0021029E"/>
    <w:rsid w:val="0021033E"/>
    <w:rsid w:val="002103C3"/>
    <w:rsid w:val="00210479"/>
    <w:rsid w:val="00210582"/>
    <w:rsid w:val="00210679"/>
    <w:rsid w:val="00210901"/>
    <w:rsid w:val="00210942"/>
    <w:rsid w:val="00210954"/>
    <w:rsid w:val="00210A6F"/>
    <w:rsid w:val="00210A9C"/>
    <w:rsid w:val="00210D6E"/>
    <w:rsid w:val="00210D9C"/>
    <w:rsid w:val="00210DCC"/>
    <w:rsid w:val="00210DCD"/>
    <w:rsid w:val="002110DE"/>
    <w:rsid w:val="002111A2"/>
    <w:rsid w:val="002111D4"/>
    <w:rsid w:val="00211557"/>
    <w:rsid w:val="00211652"/>
    <w:rsid w:val="0021198D"/>
    <w:rsid w:val="002119BF"/>
    <w:rsid w:val="00211A4C"/>
    <w:rsid w:val="00211B36"/>
    <w:rsid w:val="00211C52"/>
    <w:rsid w:val="00211D3D"/>
    <w:rsid w:val="00211F19"/>
    <w:rsid w:val="0021217B"/>
    <w:rsid w:val="0021225B"/>
    <w:rsid w:val="002126B2"/>
    <w:rsid w:val="00212948"/>
    <w:rsid w:val="002129F2"/>
    <w:rsid w:val="00212BFF"/>
    <w:rsid w:val="00212FA9"/>
    <w:rsid w:val="0021308A"/>
    <w:rsid w:val="00213294"/>
    <w:rsid w:val="0021334D"/>
    <w:rsid w:val="002133EF"/>
    <w:rsid w:val="002134A1"/>
    <w:rsid w:val="002135EB"/>
    <w:rsid w:val="0021366E"/>
    <w:rsid w:val="00213A9B"/>
    <w:rsid w:val="00213E70"/>
    <w:rsid w:val="00213E74"/>
    <w:rsid w:val="00213E83"/>
    <w:rsid w:val="00213EB7"/>
    <w:rsid w:val="00213EF3"/>
    <w:rsid w:val="00214036"/>
    <w:rsid w:val="00214402"/>
    <w:rsid w:val="002145B9"/>
    <w:rsid w:val="002148F6"/>
    <w:rsid w:val="00214929"/>
    <w:rsid w:val="00214BD4"/>
    <w:rsid w:val="00214CC8"/>
    <w:rsid w:val="00214FFF"/>
    <w:rsid w:val="0021501A"/>
    <w:rsid w:val="0021508A"/>
    <w:rsid w:val="00215101"/>
    <w:rsid w:val="002151CB"/>
    <w:rsid w:val="00215404"/>
    <w:rsid w:val="00215468"/>
    <w:rsid w:val="002156B1"/>
    <w:rsid w:val="002158F7"/>
    <w:rsid w:val="00215AAF"/>
    <w:rsid w:val="00215F8B"/>
    <w:rsid w:val="002160B3"/>
    <w:rsid w:val="002160BB"/>
    <w:rsid w:val="00216238"/>
    <w:rsid w:val="0021623A"/>
    <w:rsid w:val="002163C8"/>
    <w:rsid w:val="002165D3"/>
    <w:rsid w:val="00216771"/>
    <w:rsid w:val="002167D5"/>
    <w:rsid w:val="002167E4"/>
    <w:rsid w:val="0021687C"/>
    <w:rsid w:val="0021697C"/>
    <w:rsid w:val="00216AAA"/>
    <w:rsid w:val="00216B5B"/>
    <w:rsid w:val="00216FB7"/>
    <w:rsid w:val="00217423"/>
    <w:rsid w:val="002176B9"/>
    <w:rsid w:val="00217839"/>
    <w:rsid w:val="002178C8"/>
    <w:rsid w:val="00217BBD"/>
    <w:rsid w:val="00217BF3"/>
    <w:rsid w:val="00217F80"/>
    <w:rsid w:val="00220196"/>
    <w:rsid w:val="0022041F"/>
    <w:rsid w:val="0022067E"/>
    <w:rsid w:val="00220771"/>
    <w:rsid w:val="0022077F"/>
    <w:rsid w:val="002208DA"/>
    <w:rsid w:val="00221197"/>
    <w:rsid w:val="0022139C"/>
    <w:rsid w:val="002215BF"/>
    <w:rsid w:val="00221756"/>
    <w:rsid w:val="0022195B"/>
    <w:rsid w:val="00221981"/>
    <w:rsid w:val="00221A26"/>
    <w:rsid w:val="00221B1E"/>
    <w:rsid w:val="00221B39"/>
    <w:rsid w:val="00221F19"/>
    <w:rsid w:val="00221FEB"/>
    <w:rsid w:val="0022200C"/>
    <w:rsid w:val="0022224C"/>
    <w:rsid w:val="00222392"/>
    <w:rsid w:val="002223C1"/>
    <w:rsid w:val="00222490"/>
    <w:rsid w:val="002224C1"/>
    <w:rsid w:val="0022276C"/>
    <w:rsid w:val="00222775"/>
    <w:rsid w:val="002228B2"/>
    <w:rsid w:val="00222BF9"/>
    <w:rsid w:val="00222D4A"/>
    <w:rsid w:val="00222E6D"/>
    <w:rsid w:val="00222FB2"/>
    <w:rsid w:val="0022327C"/>
    <w:rsid w:val="002233C4"/>
    <w:rsid w:val="0022389B"/>
    <w:rsid w:val="00223C3B"/>
    <w:rsid w:val="002240C5"/>
    <w:rsid w:val="002241F0"/>
    <w:rsid w:val="0022428F"/>
    <w:rsid w:val="002244A6"/>
    <w:rsid w:val="0022463E"/>
    <w:rsid w:val="002246AF"/>
    <w:rsid w:val="00224A5D"/>
    <w:rsid w:val="00224CEC"/>
    <w:rsid w:val="002254E6"/>
    <w:rsid w:val="002256E4"/>
    <w:rsid w:val="00225781"/>
    <w:rsid w:val="00225A3B"/>
    <w:rsid w:val="00225A8C"/>
    <w:rsid w:val="00225BD8"/>
    <w:rsid w:val="00225C15"/>
    <w:rsid w:val="00225CFE"/>
    <w:rsid w:val="00226081"/>
    <w:rsid w:val="00226325"/>
    <w:rsid w:val="002263A4"/>
    <w:rsid w:val="002264E2"/>
    <w:rsid w:val="00226814"/>
    <w:rsid w:val="00226826"/>
    <w:rsid w:val="00226AAC"/>
    <w:rsid w:val="00226AF7"/>
    <w:rsid w:val="00226C92"/>
    <w:rsid w:val="00226CF3"/>
    <w:rsid w:val="00226E15"/>
    <w:rsid w:val="00227660"/>
    <w:rsid w:val="002276A5"/>
    <w:rsid w:val="002277B0"/>
    <w:rsid w:val="00227A0D"/>
    <w:rsid w:val="00227A32"/>
    <w:rsid w:val="00227B27"/>
    <w:rsid w:val="00227B4A"/>
    <w:rsid w:val="00227CDE"/>
    <w:rsid w:val="00227FDC"/>
    <w:rsid w:val="002302EE"/>
    <w:rsid w:val="002306F4"/>
    <w:rsid w:val="002307D2"/>
    <w:rsid w:val="00230817"/>
    <w:rsid w:val="0023081D"/>
    <w:rsid w:val="00230A9B"/>
    <w:rsid w:val="00230B6F"/>
    <w:rsid w:val="00230DCC"/>
    <w:rsid w:val="00230F31"/>
    <w:rsid w:val="00230FA0"/>
    <w:rsid w:val="00230FE7"/>
    <w:rsid w:val="00231224"/>
    <w:rsid w:val="00231417"/>
    <w:rsid w:val="002314E8"/>
    <w:rsid w:val="00231611"/>
    <w:rsid w:val="0023169C"/>
    <w:rsid w:val="002317CA"/>
    <w:rsid w:val="00231818"/>
    <w:rsid w:val="00231960"/>
    <w:rsid w:val="00231C44"/>
    <w:rsid w:val="00231E84"/>
    <w:rsid w:val="00231F26"/>
    <w:rsid w:val="00231F91"/>
    <w:rsid w:val="00232368"/>
    <w:rsid w:val="0023239F"/>
    <w:rsid w:val="002323BA"/>
    <w:rsid w:val="002323C8"/>
    <w:rsid w:val="002324E3"/>
    <w:rsid w:val="002326C4"/>
    <w:rsid w:val="0023289A"/>
    <w:rsid w:val="00232917"/>
    <w:rsid w:val="002329A8"/>
    <w:rsid w:val="002329E5"/>
    <w:rsid w:val="00232A44"/>
    <w:rsid w:val="00232A49"/>
    <w:rsid w:val="00232A66"/>
    <w:rsid w:val="00232FEC"/>
    <w:rsid w:val="00233276"/>
    <w:rsid w:val="0023329C"/>
    <w:rsid w:val="00233355"/>
    <w:rsid w:val="00233586"/>
    <w:rsid w:val="00233808"/>
    <w:rsid w:val="00233868"/>
    <w:rsid w:val="0023387F"/>
    <w:rsid w:val="00233A9A"/>
    <w:rsid w:val="00233BC0"/>
    <w:rsid w:val="00233C1F"/>
    <w:rsid w:val="00233D92"/>
    <w:rsid w:val="00233EAA"/>
    <w:rsid w:val="00233FBB"/>
    <w:rsid w:val="00233FF1"/>
    <w:rsid w:val="0023401D"/>
    <w:rsid w:val="002343EA"/>
    <w:rsid w:val="002346D1"/>
    <w:rsid w:val="002348F1"/>
    <w:rsid w:val="00234B4F"/>
    <w:rsid w:val="00234E70"/>
    <w:rsid w:val="0023511A"/>
    <w:rsid w:val="0023513A"/>
    <w:rsid w:val="0023527A"/>
    <w:rsid w:val="002353D8"/>
    <w:rsid w:val="00235412"/>
    <w:rsid w:val="00235A17"/>
    <w:rsid w:val="00235F4B"/>
    <w:rsid w:val="0023617E"/>
    <w:rsid w:val="002361FF"/>
    <w:rsid w:val="00236244"/>
    <w:rsid w:val="00236656"/>
    <w:rsid w:val="0023669A"/>
    <w:rsid w:val="00236715"/>
    <w:rsid w:val="00236C69"/>
    <w:rsid w:val="00236CAC"/>
    <w:rsid w:val="00236DC0"/>
    <w:rsid w:val="00236E96"/>
    <w:rsid w:val="00236EE9"/>
    <w:rsid w:val="00236F4C"/>
    <w:rsid w:val="0023723C"/>
    <w:rsid w:val="00237355"/>
    <w:rsid w:val="002373A2"/>
    <w:rsid w:val="002374AC"/>
    <w:rsid w:val="0023759B"/>
    <w:rsid w:val="002378F1"/>
    <w:rsid w:val="00237983"/>
    <w:rsid w:val="00237A0A"/>
    <w:rsid w:val="00237A83"/>
    <w:rsid w:val="00237B39"/>
    <w:rsid w:val="00237CCC"/>
    <w:rsid w:val="00237EAC"/>
    <w:rsid w:val="00237EB8"/>
    <w:rsid w:val="00237F0C"/>
    <w:rsid w:val="00237F0E"/>
    <w:rsid w:val="002402F3"/>
    <w:rsid w:val="00240461"/>
    <w:rsid w:val="002407CC"/>
    <w:rsid w:val="00240813"/>
    <w:rsid w:val="002409E3"/>
    <w:rsid w:val="00240C87"/>
    <w:rsid w:val="00240E34"/>
    <w:rsid w:val="00240E95"/>
    <w:rsid w:val="002410C2"/>
    <w:rsid w:val="0024113D"/>
    <w:rsid w:val="002411C6"/>
    <w:rsid w:val="002411DE"/>
    <w:rsid w:val="00241394"/>
    <w:rsid w:val="002413D5"/>
    <w:rsid w:val="002415CE"/>
    <w:rsid w:val="002419C0"/>
    <w:rsid w:val="00241D13"/>
    <w:rsid w:val="00241DD4"/>
    <w:rsid w:val="002421B8"/>
    <w:rsid w:val="00242311"/>
    <w:rsid w:val="0024232E"/>
    <w:rsid w:val="00242355"/>
    <w:rsid w:val="00242517"/>
    <w:rsid w:val="0024260B"/>
    <w:rsid w:val="00242867"/>
    <w:rsid w:val="002428AF"/>
    <w:rsid w:val="0024291E"/>
    <w:rsid w:val="00243270"/>
    <w:rsid w:val="00243446"/>
    <w:rsid w:val="002434C1"/>
    <w:rsid w:val="0024367A"/>
    <w:rsid w:val="0024380A"/>
    <w:rsid w:val="00243811"/>
    <w:rsid w:val="002438DA"/>
    <w:rsid w:val="002439B0"/>
    <w:rsid w:val="00243BD2"/>
    <w:rsid w:val="00243D31"/>
    <w:rsid w:val="00243D63"/>
    <w:rsid w:val="00243D9C"/>
    <w:rsid w:val="0024401F"/>
    <w:rsid w:val="002442E1"/>
    <w:rsid w:val="00244430"/>
    <w:rsid w:val="00244667"/>
    <w:rsid w:val="00244685"/>
    <w:rsid w:val="002447E9"/>
    <w:rsid w:val="002447FC"/>
    <w:rsid w:val="002448A6"/>
    <w:rsid w:val="002449E2"/>
    <w:rsid w:val="00244A56"/>
    <w:rsid w:val="00244B85"/>
    <w:rsid w:val="00244C8A"/>
    <w:rsid w:val="00244CB9"/>
    <w:rsid w:val="00244EE7"/>
    <w:rsid w:val="0024525C"/>
    <w:rsid w:val="002453BE"/>
    <w:rsid w:val="0024541F"/>
    <w:rsid w:val="002455C3"/>
    <w:rsid w:val="0024569B"/>
    <w:rsid w:val="00245A3F"/>
    <w:rsid w:val="00245B1C"/>
    <w:rsid w:val="00245DD7"/>
    <w:rsid w:val="00245DFD"/>
    <w:rsid w:val="00245FCE"/>
    <w:rsid w:val="00245FE1"/>
    <w:rsid w:val="0024615D"/>
    <w:rsid w:val="002464B0"/>
    <w:rsid w:val="00246567"/>
    <w:rsid w:val="00246686"/>
    <w:rsid w:val="002466A5"/>
    <w:rsid w:val="002468A2"/>
    <w:rsid w:val="00246967"/>
    <w:rsid w:val="00246A45"/>
    <w:rsid w:val="00246D25"/>
    <w:rsid w:val="00246D69"/>
    <w:rsid w:val="00247177"/>
    <w:rsid w:val="002471EB"/>
    <w:rsid w:val="00247264"/>
    <w:rsid w:val="002472DC"/>
    <w:rsid w:val="0024735B"/>
    <w:rsid w:val="0024736E"/>
    <w:rsid w:val="002473F5"/>
    <w:rsid w:val="002478EE"/>
    <w:rsid w:val="0024799C"/>
    <w:rsid w:val="00247B4D"/>
    <w:rsid w:val="00247B8C"/>
    <w:rsid w:val="00247F02"/>
    <w:rsid w:val="00250386"/>
    <w:rsid w:val="002505AD"/>
    <w:rsid w:val="002508C1"/>
    <w:rsid w:val="00250A38"/>
    <w:rsid w:val="00250BFD"/>
    <w:rsid w:val="00250C60"/>
    <w:rsid w:val="0025106D"/>
    <w:rsid w:val="002513AE"/>
    <w:rsid w:val="00251536"/>
    <w:rsid w:val="00251635"/>
    <w:rsid w:val="0025191A"/>
    <w:rsid w:val="00251CAD"/>
    <w:rsid w:val="00251CFF"/>
    <w:rsid w:val="00251D14"/>
    <w:rsid w:val="00251D45"/>
    <w:rsid w:val="00251F8D"/>
    <w:rsid w:val="00251FB0"/>
    <w:rsid w:val="0025212F"/>
    <w:rsid w:val="002521E1"/>
    <w:rsid w:val="0025236B"/>
    <w:rsid w:val="0025278E"/>
    <w:rsid w:val="002527A2"/>
    <w:rsid w:val="00252951"/>
    <w:rsid w:val="00252AA7"/>
    <w:rsid w:val="00252D91"/>
    <w:rsid w:val="0025300B"/>
    <w:rsid w:val="0025309F"/>
    <w:rsid w:val="002530F3"/>
    <w:rsid w:val="00253459"/>
    <w:rsid w:val="002535CE"/>
    <w:rsid w:val="00253724"/>
    <w:rsid w:val="00253747"/>
    <w:rsid w:val="00254114"/>
    <w:rsid w:val="00254247"/>
    <w:rsid w:val="002542B2"/>
    <w:rsid w:val="0025447C"/>
    <w:rsid w:val="00254681"/>
    <w:rsid w:val="002546CE"/>
    <w:rsid w:val="0025470A"/>
    <w:rsid w:val="00254B08"/>
    <w:rsid w:val="00254B81"/>
    <w:rsid w:val="00254C96"/>
    <w:rsid w:val="002552DA"/>
    <w:rsid w:val="00255399"/>
    <w:rsid w:val="00255428"/>
    <w:rsid w:val="002559B3"/>
    <w:rsid w:val="00255A84"/>
    <w:rsid w:val="00255B5A"/>
    <w:rsid w:val="00255B8A"/>
    <w:rsid w:val="00255D75"/>
    <w:rsid w:val="00255F7F"/>
    <w:rsid w:val="00256777"/>
    <w:rsid w:val="00256795"/>
    <w:rsid w:val="0025684E"/>
    <w:rsid w:val="00256877"/>
    <w:rsid w:val="0025698E"/>
    <w:rsid w:val="002569CA"/>
    <w:rsid w:val="00256AD0"/>
    <w:rsid w:val="00256AEA"/>
    <w:rsid w:val="00256BA1"/>
    <w:rsid w:val="00256CC4"/>
    <w:rsid w:val="00256DB3"/>
    <w:rsid w:val="00256E0E"/>
    <w:rsid w:val="002572C1"/>
    <w:rsid w:val="002574AF"/>
    <w:rsid w:val="002578EB"/>
    <w:rsid w:val="002579AB"/>
    <w:rsid w:val="00257AAA"/>
    <w:rsid w:val="00257B2C"/>
    <w:rsid w:val="00257C41"/>
    <w:rsid w:val="00257CE6"/>
    <w:rsid w:val="00257D0F"/>
    <w:rsid w:val="00257DA8"/>
    <w:rsid w:val="002600F1"/>
    <w:rsid w:val="00260339"/>
    <w:rsid w:val="00260448"/>
    <w:rsid w:val="0026088F"/>
    <w:rsid w:val="00260A32"/>
    <w:rsid w:val="00260B21"/>
    <w:rsid w:val="00260BA6"/>
    <w:rsid w:val="00260BAD"/>
    <w:rsid w:val="00260C35"/>
    <w:rsid w:val="00260ECA"/>
    <w:rsid w:val="00260FC7"/>
    <w:rsid w:val="0026114B"/>
    <w:rsid w:val="0026115B"/>
    <w:rsid w:val="0026117D"/>
    <w:rsid w:val="0026123A"/>
    <w:rsid w:val="00261391"/>
    <w:rsid w:val="00261451"/>
    <w:rsid w:val="0026169D"/>
    <w:rsid w:val="00261730"/>
    <w:rsid w:val="002617B2"/>
    <w:rsid w:val="00261972"/>
    <w:rsid w:val="00261A81"/>
    <w:rsid w:val="00261CF1"/>
    <w:rsid w:val="00261D54"/>
    <w:rsid w:val="00261DA5"/>
    <w:rsid w:val="00261EFE"/>
    <w:rsid w:val="0026216E"/>
    <w:rsid w:val="002624EF"/>
    <w:rsid w:val="0026273F"/>
    <w:rsid w:val="002627EC"/>
    <w:rsid w:val="00262869"/>
    <w:rsid w:val="002628F6"/>
    <w:rsid w:val="00262DCF"/>
    <w:rsid w:val="00262F77"/>
    <w:rsid w:val="00262FB2"/>
    <w:rsid w:val="00263208"/>
    <w:rsid w:val="00263237"/>
    <w:rsid w:val="002634EA"/>
    <w:rsid w:val="00263594"/>
    <w:rsid w:val="002637CF"/>
    <w:rsid w:val="00263AF8"/>
    <w:rsid w:val="00263B0D"/>
    <w:rsid w:val="00263CBF"/>
    <w:rsid w:val="00263CD1"/>
    <w:rsid w:val="00263D8A"/>
    <w:rsid w:val="00263DE4"/>
    <w:rsid w:val="00263F55"/>
    <w:rsid w:val="00263FB2"/>
    <w:rsid w:val="00263FDA"/>
    <w:rsid w:val="00264007"/>
    <w:rsid w:val="0026400B"/>
    <w:rsid w:val="0026411D"/>
    <w:rsid w:val="00264244"/>
    <w:rsid w:val="002643EC"/>
    <w:rsid w:val="002644A0"/>
    <w:rsid w:val="00264576"/>
    <w:rsid w:val="00264598"/>
    <w:rsid w:val="002645C7"/>
    <w:rsid w:val="002646FE"/>
    <w:rsid w:val="002648EE"/>
    <w:rsid w:val="00264A68"/>
    <w:rsid w:val="00264B3D"/>
    <w:rsid w:val="00264C1F"/>
    <w:rsid w:val="00264C55"/>
    <w:rsid w:val="00264CF9"/>
    <w:rsid w:val="00264E85"/>
    <w:rsid w:val="00264FD6"/>
    <w:rsid w:val="00265461"/>
    <w:rsid w:val="00265585"/>
    <w:rsid w:val="002656C7"/>
    <w:rsid w:val="0026588B"/>
    <w:rsid w:val="00265AC3"/>
    <w:rsid w:val="00265B3B"/>
    <w:rsid w:val="00265B89"/>
    <w:rsid w:val="00265BFC"/>
    <w:rsid w:val="00265D3C"/>
    <w:rsid w:val="00265DEB"/>
    <w:rsid w:val="00265FD7"/>
    <w:rsid w:val="00266028"/>
    <w:rsid w:val="0026629C"/>
    <w:rsid w:val="00266589"/>
    <w:rsid w:val="0026699D"/>
    <w:rsid w:val="002669AC"/>
    <w:rsid w:val="00266D29"/>
    <w:rsid w:val="00266E9A"/>
    <w:rsid w:val="002671A2"/>
    <w:rsid w:val="0026722A"/>
    <w:rsid w:val="00267496"/>
    <w:rsid w:val="00267A08"/>
    <w:rsid w:val="00267A28"/>
    <w:rsid w:val="00267A7C"/>
    <w:rsid w:val="00267B57"/>
    <w:rsid w:val="00267BB2"/>
    <w:rsid w:val="00267C40"/>
    <w:rsid w:val="00267F66"/>
    <w:rsid w:val="00270169"/>
    <w:rsid w:val="0027023B"/>
    <w:rsid w:val="002702D2"/>
    <w:rsid w:val="00270340"/>
    <w:rsid w:val="00270370"/>
    <w:rsid w:val="002708A2"/>
    <w:rsid w:val="00270A67"/>
    <w:rsid w:val="00270D08"/>
    <w:rsid w:val="00270E19"/>
    <w:rsid w:val="00270FEE"/>
    <w:rsid w:val="00271116"/>
    <w:rsid w:val="00271331"/>
    <w:rsid w:val="00271469"/>
    <w:rsid w:val="0027170E"/>
    <w:rsid w:val="002719D3"/>
    <w:rsid w:val="00271B04"/>
    <w:rsid w:val="00271B4D"/>
    <w:rsid w:val="00271C9A"/>
    <w:rsid w:val="00271CA6"/>
    <w:rsid w:val="00271EA1"/>
    <w:rsid w:val="00272002"/>
    <w:rsid w:val="00272164"/>
    <w:rsid w:val="00272270"/>
    <w:rsid w:val="002723AB"/>
    <w:rsid w:val="00272499"/>
    <w:rsid w:val="00272623"/>
    <w:rsid w:val="00272781"/>
    <w:rsid w:val="0027285F"/>
    <w:rsid w:val="00272960"/>
    <w:rsid w:val="00272A65"/>
    <w:rsid w:val="00272AAE"/>
    <w:rsid w:val="00272DBE"/>
    <w:rsid w:val="00272E8F"/>
    <w:rsid w:val="00272FA2"/>
    <w:rsid w:val="0027304A"/>
    <w:rsid w:val="0027304D"/>
    <w:rsid w:val="002730F2"/>
    <w:rsid w:val="00273102"/>
    <w:rsid w:val="002732CA"/>
    <w:rsid w:val="00273413"/>
    <w:rsid w:val="0027349A"/>
    <w:rsid w:val="00273835"/>
    <w:rsid w:val="0027388F"/>
    <w:rsid w:val="0027391C"/>
    <w:rsid w:val="00273CB2"/>
    <w:rsid w:val="00273CF0"/>
    <w:rsid w:val="00273DDF"/>
    <w:rsid w:val="00273ED0"/>
    <w:rsid w:val="00274016"/>
    <w:rsid w:val="002742FE"/>
    <w:rsid w:val="00274A88"/>
    <w:rsid w:val="00274C4D"/>
    <w:rsid w:val="00274EFA"/>
    <w:rsid w:val="00275025"/>
    <w:rsid w:val="0027545E"/>
    <w:rsid w:val="002757FC"/>
    <w:rsid w:val="00275858"/>
    <w:rsid w:val="002758B0"/>
    <w:rsid w:val="0027596A"/>
    <w:rsid w:val="002759C0"/>
    <w:rsid w:val="00275B68"/>
    <w:rsid w:val="00275C43"/>
    <w:rsid w:val="00275CB5"/>
    <w:rsid w:val="00275D7A"/>
    <w:rsid w:val="00275ED3"/>
    <w:rsid w:val="00275F9E"/>
    <w:rsid w:val="002761BD"/>
    <w:rsid w:val="0027652E"/>
    <w:rsid w:val="00276675"/>
    <w:rsid w:val="0027671A"/>
    <w:rsid w:val="00276884"/>
    <w:rsid w:val="002772AF"/>
    <w:rsid w:val="00277366"/>
    <w:rsid w:val="00277473"/>
    <w:rsid w:val="00277482"/>
    <w:rsid w:val="0027780B"/>
    <w:rsid w:val="00277961"/>
    <w:rsid w:val="00277A37"/>
    <w:rsid w:val="00277A86"/>
    <w:rsid w:val="00277AD6"/>
    <w:rsid w:val="00277D95"/>
    <w:rsid w:val="00277DEF"/>
    <w:rsid w:val="00277EE7"/>
    <w:rsid w:val="00277FB5"/>
    <w:rsid w:val="002801A2"/>
    <w:rsid w:val="002802B9"/>
    <w:rsid w:val="00280435"/>
    <w:rsid w:val="00280B6C"/>
    <w:rsid w:val="00280B9C"/>
    <w:rsid w:val="00280CBA"/>
    <w:rsid w:val="00280D5B"/>
    <w:rsid w:val="00280E6B"/>
    <w:rsid w:val="00280EA4"/>
    <w:rsid w:val="00280FD3"/>
    <w:rsid w:val="00281007"/>
    <w:rsid w:val="00281190"/>
    <w:rsid w:val="002811B7"/>
    <w:rsid w:val="00281364"/>
    <w:rsid w:val="0028138E"/>
    <w:rsid w:val="002814D0"/>
    <w:rsid w:val="002814EF"/>
    <w:rsid w:val="0028161C"/>
    <w:rsid w:val="00281800"/>
    <w:rsid w:val="00281819"/>
    <w:rsid w:val="00281983"/>
    <w:rsid w:val="00281DA0"/>
    <w:rsid w:val="00281E05"/>
    <w:rsid w:val="00281E0D"/>
    <w:rsid w:val="002820E4"/>
    <w:rsid w:val="002822C7"/>
    <w:rsid w:val="002822CD"/>
    <w:rsid w:val="00282372"/>
    <w:rsid w:val="002825F0"/>
    <w:rsid w:val="002827F9"/>
    <w:rsid w:val="00282B87"/>
    <w:rsid w:val="00282BAE"/>
    <w:rsid w:val="00282C17"/>
    <w:rsid w:val="00282D05"/>
    <w:rsid w:val="00282DAC"/>
    <w:rsid w:val="00282EE5"/>
    <w:rsid w:val="002832B6"/>
    <w:rsid w:val="0028338E"/>
    <w:rsid w:val="002834A9"/>
    <w:rsid w:val="002834B9"/>
    <w:rsid w:val="002834C9"/>
    <w:rsid w:val="002835A6"/>
    <w:rsid w:val="00283703"/>
    <w:rsid w:val="002837C2"/>
    <w:rsid w:val="0028389C"/>
    <w:rsid w:val="0028399A"/>
    <w:rsid w:val="002839FB"/>
    <w:rsid w:val="00283A59"/>
    <w:rsid w:val="00283BB4"/>
    <w:rsid w:val="00283D4E"/>
    <w:rsid w:val="00283EA5"/>
    <w:rsid w:val="00284036"/>
    <w:rsid w:val="00284162"/>
    <w:rsid w:val="002841BF"/>
    <w:rsid w:val="002842A5"/>
    <w:rsid w:val="0028442B"/>
    <w:rsid w:val="00284481"/>
    <w:rsid w:val="002844AC"/>
    <w:rsid w:val="002844FA"/>
    <w:rsid w:val="002845B8"/>
    <w:rsid w:val="002845EA"/>
    <w:rsid w:val="002848C8"/>
    <w:rsid w:val="00284B22"/>
    <w:rsid w:val="00284DB6"/>
    <w:rsid w:val="00285160"/>
    <w:rsid w:val="0028523A"/>
    <w:rsid w:val="002852BE"/>
    <w:rsid w:val="00285309"/>
    <w:rsid w:val="0028551B"/>
    <w:rsid w:val="0028568F"/>
    <w:rsid w:val="0028576A"/>
    <w:rsid w:val="00285A8C"/>
    <w:rsid w:val="00285AC3"/>
    <w:rsid w:val="00285D98"/>
    <w:rsid w:val="00285DF6"/>
    <w:rsid w:val="00286154"/>
    <w:rsid w:val="00286197"/>
    <w:rsid w:val="0028670B"/>
    <w:rsid w:val="00286799"/>
    <w:rsid w:val="00286894"/>
    <w:rsid w:val="00286B1C"/>
    <w:rsid w:val="00286C7F"/>
    <w:rsid w:val="00286DCB"/>
    <w:rsid w:val="00286EBE"/>
    <w:rsid w:val="00286FB0"/>
    <w:rsid w:val="0028718B"/>
    <w:rsid w:val="00287629"/>
    <w:rsid w:val="00287655"/>
    <w:rsid w:val="00287699"/>
    <w:rsid w:val="0028783E"/>
    <w:rsid w:val="0028794F"/>
    <w:rsid w:val="00287A58"/>
    <w:rsid w:val="00287D66"/>
    <w:rsid w:val="00287EC0"/>
    <w:rsid w:val="00287FBA"/>
    <w:rsid w:val="0029008E"/>
    <w:rsid w:val="00290275"/>
    <w:rsid w:val="00290588"/>
    <w:rsid w:val="002907BC"/>
    <w:rsid w:val="00290981"/>
    <w:rsid w:val="00290B2A"/>
    <w:rsid w:val="00290B40"/>
    <w:rsid w:val="00290ED2"/>
    <w:rsid w:val="00290F8B"/>
    <w:rsid w:val="002910FC"/>
    <w:rsid w:val="00291209"/>
    <w:rsid w:val="002919DB"/>
    <w:rsid w:val="00291CB7"/>
    <w:rsid w:val="00291E84"/>
    <w:rsid w:val="002920C7"/>
    <w:rsid w:val="00292228"/>
    <w:rsid w:val="00292789"/>
    <w:rsid w:val="002929D8"/>
    <w:rsid w:val="00292B9F"/>
    <w:rsid w:val="00292D56"/>
    <w:rsid w:val="00292EBB"/>
    <w:rsid w:val="00292FAC"/>
    <w:rsid w:val="00293109"/>
    <w:rsid w:val="00293647"/>
    <w:rsid w:val="0029378C"/>
    <w:rsid w:val="0029384D"/>
    <w:rsid w:val="00293B3F"/>
    <w:rsid w:val="00293BC6"/>
    <w:rsid w:val="00293C63"/>
    <w:rsid w:val="00293C64"/>
    <w:rsid w:val="00293F3D"/>
    <w:rsid w:val="0029411F"/>
    <w:rsid w:val="002947C7"/>
    <w:rsid w:val="002948F5"/>
    <w:rsid w:val="00294921"/>
    <w:rsid w:val="00294A58"/>
    <w:rsid w:val="00294B3A"/>
    <w:rsid w:val="00294B49"/>
    <w:rsid w:val="00294D2F"/>
    <w:rsid w:val="00294EE4"/>
    <w:rsid w:val="00294F7E"/>
    <w:rsid w:val="00295274"/>
    <w:rsid w:val="00295506"/>
    <w:rsid w:val="002958DE"/>
    <w:rsid w:val="00295AB2"/>
    <w:rsid w:val="00295B70"/>
    <w:rsid w:val="00295C17"/>
    <w:rsid w:val="00295C1B"/>
    <w:rsid w:val="00295EEF"/>
    <w:rsid w:val="00296045"/>
    <w:rsid w:val="002960A6"/>
    <w:rsid w:val="002963DD"/>
    <w:rsid w:val="00296485"/>
    <w:rsid w:val="0029648D"/>
    <w:rsid w:val="00296908"/>
    <w:rsid w:val="00296D18"/>
    <w:rsid w:val="00296DD3"/>
    <w:rsid w:val="00296F47"/>
    <w:rsid w:val="0029701C"/>
    <w:rsid w:val="00297061"/>
    <w:rsid w:val="0029725D"/>
    <w:rsid w:val="00297289"/>
    <w:rsid w:val="002974FF"/>
    <w:rsid w:val="00297514"/>
    <w:rsid w:val="00297883"/>
    <w:rsid w:val="0029799C"/>
    <w:rsid w:val="00297B35"/>
    <w:rsid w:val="00297ECD"/>
    <w:rsid w:val="002A0349"/>
    <w:rsid w:val="002A04E2"/>
    <w:rsid w:val="002A058E"/>
    <w:rsid w:val="002A06E7"/>
    <w:rsid w:val="002A0B5F"/>
    <w:rsid w:val="002A0E02"/>
    <w:rsid w:val="002A0E50"/>
    <w:rsid w:val="002A0E79"/>
    <w:rsid w:val="002A0E94"/>
    <w:rsid w:val="002A1219"/>
    <w:rsid w:val="002A1263"/>
    <w:rsid w:val="002A1521"/>
    <w:rsid w:val="002A185C"/>
    <w:rsid w:val="002A18FE"/>
    <w:rsid w:val="002A197E"/>
    <w:rsid w:val="002A19F7"/>
    <w:rsid w:val="002A1FB9"/>
    <w:rsid w:val="002A20DB"/>
    <w:rsid w:val="002A21CC"/>
    <w:rsid w:val="002A2283"/>
    <w:rsid w:val="002A2364"/>
    <w:rsid w:val="002A2596"/>
    <w:rsid w:val="002A268E"/>
    <w:rsid w:val="002A2732"/>
    <w:rsid w:val="002A283D"/>
    <w:rsid w:val="002A28D1"/>
    <w:rsid w:val="002A2A08"/>
    <w:rsid w:val="002A2B37"/>
    <w:rsid w:val="002A2BC4"/>
    <w:rsid w:val="002A2D62"/>
    <w:rsid w:val="002A2D93"/>
    <w:rsid w:val="002A2DDA"/>
    <w:rsid w:val="002A300A"/>
    <w:rsid w:val="002A31FA"/>
    <w:rsid w:val="002A32BE"/>
    <w:rsid w:val="002A339E"/>
    <w:rsid w:val="002A33A2"/>
    <w:rsid w:val="002A33FC"/>
    <w:rsid w:val="002A3418"/>
    <w:rsid w:val="002A35A5"/>
    <w:rsid w:val="002A375F"/>
    <w:rsid w:val="002A3860"/>
    <w:rsid w:val="002A39BE"/>
    <w:rsid w:val="002A3A32"/>
    <w:rsid w:val="002A3BC3"/>
    <w:rsid w:val="002A3EF5"/>
    <w:rsid w:val="002A3FF6"/>
    <w:rsid w:val="002A4053"/>
    <w:rsid w:val="002A4113"/>
    <w:rsid w:val="002A4132"/>
    <w:rsid w:val="002A4266"/>
    <w:rsid w:val="002A4405"/>
    <w:rsid w:val="002A449A"/>
    <w:rsid w:val="002A44A0"/>
    <w:rsid w:val="002A45B1"/>
    <w:rsid w:val="002A46C8"/>
    <w:rsid w:val="002A47DF"/>
    <w:rsid w:val="002A48C2"/>
    <w:rsid w:val="002A496E"/>
    <w:rsid w:val="002A4CE9"/>
    <w:rsid w:val="002A4E42"/>
    <w:rsid w:val="002A5379"/>
    <w:rsid w:val="002A53AE"/>
    <w:rsid w:val="002A54FD"/>
    <w:rsid w:val="002A556F"/>
    <w:rsid w:val="002A566D"/>
    <w:rsid w:val="002A5758"/>
    <w:rsid w:val="002A598E"/>
    <w:rsid w:val="002A5A95"/>
    <w:rsid w:val="002A5B79"/>
    <w:rsid w:val="002A606F"/>
    <w:rsid w:val="002A61A5"/>
    <w:rsid w:val="002A61B1"/>
    <w:rsid w:val="002A6234"/>
    <w:rsid w:val="002A648D"/>
    <w:rsid w:val="002A6700"/>
    <w:rsid w:val="002A670B"/>
    <w:rsid w:val="002A698F"/>
    <w:rsid w:val="002A7199"/>
    <w:rsid w:val="002A76ED"/>
    <w:rsid w:val="002A77C3"/>
    <w:rsid w:val="002A77D3"/>
    <w:rsid w:val="002A7942"/>
    <w:rsid w:val="002A79D9"/>
    <w:rsid w:val="002A7BAF"/>
    <w:rsid w:val="002A7BBD"/>
    <w:rsid w:val="002B03FA"/>
    <w:rsid w:val="002B05A8"/>
    <w:rsid w:val="002B05AE"/>
    <w:rsid w:val="002B074F"/>
    <w:rsid w:val="002B0855"/>
    <w:rsid w:val="002B0D6E"/>
    <w:rsid w:val="002B0DA7"/>
    <w:rsid w:val="002B10B0"/>
    <w:rsid w:val="002B10DC"/>
    <w:rsid w:val="002B1225"/>
    <w:rsid w:val="002B12FC"/>
    <w:rsid w:val="002B1437"/>
    <w:rsid w:val="002B14DB"/>
    <w:rsid w:val="002B169C"/>
    <w:rsid w:val="002B16AE"/>
    <w:rsid w:val="002B17C9"/>
    <w:rsid w:val="002B17EA"/>
    <w:rsid w:val="002B1838"/>
    <w:rsid w:val="002B1BED"/>
    <w:rsid w:val="002B1E9F"/>
    <w:rsid w:val="002B1F89"/>
    <w:rsid w:val="002B21BB"/>
    <w:rsid w:val="002B22D9"/>
    <w:rsid w:val="002B22F5"/>
    <w:rsid w:val="002B25F8"/>
    <w:rsid w:val="002B274C"/>
    <w:rsid w:val="002B2868"/>
    <w:rsid w:val="002B289A"/>
    <w:rsid w:val="002B2934"/>
    <w:rsid w:val="002B2DCC"/>
    <w:rsid w:val="002B2E9F"/>
    <w:rsid w:val="002B2F77"/>
    <w:rsid w:val="002B3511"/>
    <w:rsid w:val="002B3529"/>
    <w:rsid w:val="002B3596"/>
    <w:rsid w:val="002B35F4"/>
    <w:rsid w:val="002B37D3"/>
    <w:rsid w:val="002B3C1E"/>
    <w:rsid w:val="002B3DD4"/>
    <w:rsid w:val="002B4065"/>
    <w:rsid w:val="002B43B3"/>
    <w:rsid w:val="002B4618"/>
    <w:rsid w:val="002B4E37"/>
    <w:rsid w:val="002B4FAD"/>
    <w:rsid w:val="002B52F0"/>
    <w:rsid w:val="002B538D"/>
    <w:rsid w:val="002B56E1"/>
    <w:rsid w:val="002B5B61"/>
    <w:rsid w:val="002B5CA1"/>
    <w:rsid w:val="002B5E5C"/>
    <w:rsid w:val="002B5E84"/>
    <w:rsid w:val="002B6031"/>
    <w:rsid w:val="002B64DC"/>
    <w:rsid w:val="002B6699"/>
    <w:rsid w:val="002B66E0"/>
    <w:rsid w:val="002B6716"/>
    <w:rsid w:val="002B6806"/>
    <w:rsid w:val="002B6AF6"/>
    <w:rsid w:val="002B6CEC"/>
    <w:rsid w:val="002B6DCA"/>
    <w:rsid w:val="002B6EFD"/>
    <w:rsid w:val="002B6F33"/>
    <w:rsid w:val="002B79F0"/>
    <w:rsid w:val="002B7B8A"/>
    <w:rsid w:val="002B7BDB"/>
    <w:rsid w:val="002B7C96"/>
    <w:rsid w:val="002B7F31"/>
    <w:rsid w:val="002B7F3E"/>
    <w:rsid w:val="002C00F5"/>
    <w:rsid w:val="002C0166"/>
    <w:rsid w:val="002C0240"/>
    <w:rsid w:val="002C047C"/>
    <w:rsid w:val="002C059A"/>
    <w:rsid w:val="002C05D9"/>
    <w:rsid w:val="002C06B5"/>
    <w:rsid w:val="002C06DD"/>
    <w:rsid w:val="002C0CCC"/>
    <w:rsid w:val="002C0CD7"/>
    <w:rsid w:val="002C0D7B"/>
    <w:rsid w:val="002C0D99"/>
    <w:rsid w:val="002C0D9E"/>
    <w:rsid w:val="002C1159"/>
    <w:rsid w:val="002C117E"/>
    <w:rsid w:val="002C11BC"/>
    <w:rsid w:val="002C11D6"/>
    <w:rsid w:val="002C143E"/>
    <w:rsid w:val="002C1443"/>
    <w:rsid w:val="002C14E8"/>
    <w:rsid w:val="002C14F1"/>
    <w:rsid w:val="002C1587"/>
    <w:rsid w:val="002C1BC8"/>
    <w:rsid w:val="002C1BEA"/>
    <w:rsid w:val="002C1CBF"/>
    <w:rsid w:val="002C1D9C"/>
    <w:rsid w:val="002C1E4A"/>
    <w:rsid w:val="002C1EFA"/>
    <w:rsid w:val="002C1FB1"/>
    <w:rsid w:val="002C2021"/>
    <w:rsid w:val="002C20ED"/>
    <w:rsid w:val="002C22C5"/>
    <w:rsid w:val="002C23EC"/>
    <w:rsid w:val="002C27A3"/>
    <w:rsid w:val="002C2806"/>
    <w:rsid w:val="002C28A5"/>
    <w:rsid w:val="002C28AD"/>
    <w:rsid w:val="002C2BD3"/>
    <w:rsid w:val="002C2BEB"/>
    <w:rsid w:val="002C2C98"/>
    <w:rsid w:val="002C2D3B"/>
    <w:rsid w:val="002C2F7C"/>
    <w:rsid w:val="002C2F8B"/>
    <w:rsid w:val="002C301D"/>
    <w:rsid w:val="002C30A4"/>
    <w:rsid w:val="002C31C9"/>
    <w:rsid w:val="002C34B2"/>
    <w:rsid w:val="002C366F"/>
    <w:rsid w:val="002C36D0"/>
    <w:rsid w:val="002C3861"/>
    <w:rsid w:val="002C3894"/>
    <w:rsid w:val="002C3B24"/>
    <w:rsid w:val="002C3D9B"/>
    <w:rsid w:val="002C3E6A"/>
    <w:rsid w:val="002C3EB4"/>
    <w:rsid w:val="002C40EF"/>
    <w:rsid w:val="002C416A"/>
    <w:rsid w:val="002C4345"/>
    <w:rsid w:val="002C488D"/>
    <w:rsid w:val="002C4A1D"/>
    <w:rsid w:val="002C4A81"/>
    <w:rsid w:val="002C4B78"/>
    <w:rsid w:val="002C4B93"/>
    <w:rsid w:val="002C4CA9"/>
    <w:rsid w:val="002C4CB2"/>
    <w:rsid w:val="002C4DE7"/>
    <w:rsid w:val="002C5453"/>
    <w:rsid w:val="002C55D1"/>
    <w:rsid w:val="002C57BD"/>
    <w:rsid w:val="002C57F9"/>
    <w:rsid w:val="002C59AE"/>
    <w:rsid w:val="002C5A5C"/>
    <w:rsid w:val="002C5BFE"/>
    <w:rsid w:val="002C5C04"/>
    <w:rsid w:val="002C5F7B"/>
    <w:rsid w:val="002C6027"/>
    <w:rsid w:val="002C61D9"/>
    <w:rsid w:val="002C64CF"/>
    <w:rsid w:val="002C64DA"/>
    <w:rsid w:val="002C64F8"/>
    <w:rsid w:val="002C65FA"/>
    <w:rsid w:val="002C6686"/>
    <w:rsid w:val="002C66B5"/>
    <w:rsid w:val="002C68E5"/>
    <w:rsid w:val="002C6FBE"/>
    <w:rsid w:val="002C7016"/>
    <w:rsid w:val="002C704A"/>
    <w:rsid w:val="002C70A3"/>
    <w:rsid w:val="002C7123"/>
    <w:rsid w:val="002C7170"/>
    <w:rsid w:val="002C726B"/>
    <w:rsid w:val="002C7301"/>
    <w:rsid w:val="002C748D"/>
    <w:rsid w:val="002C755F"/>
    <w:rsid w:val="002C75E6"/>
    <w:rsid w:val="002C7614"/>
    <w:rsid w:val="002C7C0A"/>
    <w:rsid w:val="002C7C9C"/>
    <w:rsid w:val="002C7FF4"/>
    <w:rsid w:val="002D04C5"/>
    <w:rsid w:val="002D059D"/>
    <w:rsid w:val="002D05F2"/>
    <w:rsid w:val="002D0632"/>
    <w:rsid w:val="002D06E8"/>
    <w:rsid w:val="002D0727"/>
    <w:rsid w:val="002D0983"/>
    <w:rsid w:val="002D0A1C"/>
    <w:rsid w:val="002D100C"/>
    <w:rsid w:val="002D14F3"/>
    <w:rsid w:val="002D1933"/>
    <w:rsid w:val="002D1B36"/>
    <w:rsid w:val="002D1B96"/>
    <w:rsid w:val="002D1F95"/>
    <w:rsid w:val="002D1FE4"/>
    <w:rsid w:val="002D2270"/>
    <w:rsid w:val="002D2806"/>
    <w:rsid w:val="002D28D3"/>
    <w:rsid w:val="002D2971"/>
    <w:rsid w:val="002D2A0A"/>
    <w:rsid w:val="002D2AAF"/>
    <w:rsid w:val="002D2C51"/>
    <w:rsid w:val="002D2E4C"/>
    <w:rsid w:val="002D2EC4"/>
    <w:rsid w:val="002D319A"/>
    <w:rsid w:val="002D32AF"/>
    <w:rsid w:val="002D3306"/>
    <w:rsid w:val="002D3568"/>
    <w:rsid w:val="002D37C1"/>
    <w:rsid w:val="002D3AFC"/>
    <w:rsid w:val="002D3D42"/>
    <w:rsid w:val="002D3E11"/>
    <w:rsid w:val="002D3E91"/>
    <w:rsid w:val="002D3E99"/>
    <w:rsid w:val="002D4074"/>
    <w:rsid w:val="002D42F1"/>
    <w:rsid w:val="002D42FE"/>
    <w:rsid w:val="002D4487"/>
    <w:rsid w:val="002D477A"/>
    <w:rsid w:val="002D4830"/>
    <w:rsid w:val="002D48FD"/>
    <w:rsid w:val="002D4960"/>
    <w:rsid w:val="002D4A0A"/>
    <w:rsid w:val="002D4A43"/>
    <w:rsid w:val="002D5041"/>
    <w:rsid w:val="002D5279"/>
    <w:rsid w:val="002D52BF"/>
    <w:rsid w:val="002D5E0A"/>
    <w:rsid w:val="002D607F"/>
    <w:rsid w:val="002D60C9"/>
    <w:rsid w:val="002D6192"/>
    <w:rsid w:val="002D65B4"/>
    <w:rsid w:val="002D6672"/>
    <w:rsid w:val="002D66B5"/>
    <w:rsid w:val="002D68CE"/>
    <w:rsid w:val="002D6972"/>
    <w:rsid w:val="002D699C"/>
    <w:rsid w:val="002D6CFD"/>
    <w:rsid w:val="002D6D06"/>
    <w:rsid w:val="002D7233"/>
    <w:rsid w:val="002D756F"/>
    <w:rsid w:val="002D7AD9"/>
    <w:rsid w:val="002D7C30"/>
    <w:rsid w:val="002E01C3"/>
    <w:rsid w:val="002E0315"/>
    <w:rsid w:val="002E034F"/>
    <w:rsid w:val="002E0403"/>
    <w:rsid w:val="002E077C"/>
    <w:rsid w:val="002E0903"/>
    <w:rsid w:val="002E09DE"/>
    <w:rsid w:val="002E0C71"/>
    <w:rsid w:val="002E0D26"/>
    <w:rsid w:val="002E0D5D"/>
    <w:rsid w:val="002E0D8B"/>
    <w:rsid w:val="002E10FA"/>
    <w:rsid w:val="002E12D6"/>
    <w:rsid w:val="002E13EC"/>
    <w:rsid w:val="002E14CE"/>
    <w:rsid w:val="002E18CC"/>
    <w:rsid w:val="002E1951"/>
    <w:rsid w:val="002E1A58"/>
    <w:rsid w:val="002E1B91"/>
    <w:rsid w:val="002E1C50"/>
    <w:rsid w:val="002E21D1"/>
    <w:rsid w:val="002E229D"/>
    <w:rsid w:val="002E2569"/>
    <w:rsid w:val="002E25A8"/>
    <w:rsid w:val="002E2754"/>
    <w:rsid w:val="002E279A"/>
    <w:rsid w:val="002E2BE7"/>
    <w:rsid w:val="002E2E82"/>
    <w:rsid w:val="002E3150"/>
    <w:rsid w:val="002E323E"/>
    <w:rsid w:val="002E34CF"/>
    <w:rsid w:val="002E360C"/>
    <w:rsid w:val="002E3832"/>
    <w:rsid w:val="002E399E"/>
    <w:rsid w:val="002E3B08"/>
    <w:rsid w:val="002E3CD8"/>
    <w:rsid w:val="002E3CE5"/>
    <w:rsid w:val="002E3EEB"/>
    <w:rsid w:val="002E3F76"/>
    <w:rsid w:val="002E3FEA"/>
    <w:rsid w:val="002E4118"/>
    <w:rsid w:val="002E41F3"/>
    <w:rsid w:val="002E42BB"/>
    <w:rsid w:val="002E4505"/>
    <w:rsid w:val="002E4516"/>
    <w:rsid w:val="002E4519"/>
    <w:rsid w:val="002E45F1"/>
    <w:rsid w:val="002E4635"/>
    <w:rsid w:val="002E500B"/>
    <w:rsid w:val="002E5038"/>
    <w:rsid w:val="002E518D"/>
    <w:rsid w:val="002E52AB"/>
    <w:rsid w:val="002E533C"/>
    <w:rsid w:val="002E557C"/>
    <w:rsid w:val="002E5627"/>
    <w:rsid w:val="002E5BB9"/>
    <w:rsid w:val="002E5BCC"/>
    <w:rsid w:val="002E5C8B"/>
    <w:rsid w:val="002E5F67"/>
    <w:rsid w:val="002E6064"/>
    <w:rsid w:val="002E6112"/>
    <w:rsid w:val="002E6116"/>
    <w:rsid w:val="002E6743"/>
    <w:rsid w:val="002E67CE"/>
    <w:rsid w:val="002E67D9"/>
    <w:rsid w:val="002E67E6"/>
    <w:rsid w:val="002E67FC"/>
    <w:rsid w:val="002E6854"/>
    <w:rsid w:val="002E69B3"/>
    <w:rsid w:val="002E6DBB"/>
    <w:rsid w:val="002E6E7C"/>
    <w:rsid w:val="002E6F72"/>
    <w:rsid w:val="002E7090"/>
    <w:rsid w:val="002E71B1"/>
    <w:rsid w:val="002E72DF"/>
    <w:rsid w:val="002E7411"/>
    <w:rsid w:val="002E7549"/>
    <w:rsid w:val="002E7569"/>
    <w:rsid w:val="002E7920"/>
    <w:rsid w:val="002E7B0D"/>
    <w:rsid w:val="002E7F32"/>
    <w:rsid w:val="002F0225"/>
    <w:rsid w:val="002F04DE"/>
    <w:rsid w:val="002F0515"/>
    <w:rsid w:val="002F089E"/>
    <w:rsid w:val="002F0990"/>
    <w:rsid w:val="002F0A1C"/>
    <w:rsid w:val="002F0A2B"/>
    <w:rsid w:val="002F0B9F"/>
    <w:rsid w:val="002F0D1B"/>
    <w:rsid w:val="002F0F46"/>
    <w:rsid w:val="002F121E"/>
    <w:rsid w:val="002F14D0"/>
    <w:rsid w:val="002F14DC"/>
    <w:rsid w:val="002F1524"/>
    <w:rsid w:val="002F17B1"/>
    <w:rsid w:val="002F17FE"/>
    <w:rsid w:val="002F190D"/>
    <w:rsid w:val="002F196B"/>
    <w:rsid w:val="002F19C3"/>
    <w:rsid w:val="002F1A3E"/>
    <w:rsid w:val="002F1CD3"/>
    <w:rsid w:val="002F1D51"/>
    <w:rsid w:val="002F1E10"/>
    <w:rsid w:val="002F1E43"/>
    <w:rsid w:val="002F1EA4"/>
    <w:rsid w:val="002F21D8"/>
    <w:rsid w:val="002F2431"/>
    <w:rsid w:val="002F24B0"/>
    <w:rsid w:val="002F2552"/>
    <w:rsid w:val="002F279C"/>
    <w:rsid w:val="002F283F"/>
    <w:rsid w:val="002F28B7"/>
    <w:rsid w:val="002F2BB2"/>
    <w:rsid w:val="002F33A6"/>
    <w:rsid w:val="002F3A93"/>
    <w:rsid w:val="002F3ADA"/>
    <w:rsid w:val="002F3AFA"/>
    <w:rsid w:val="002F3D3A"/>
    <w:rsid w:val="002F4355"/>
    <w:rsid w:val="002F4444"/>
    <w:rsid w:val="002F4777"/>
    <w:rsid w:val="002F4BEA"/>
    <w:rsid w:val="002F4DDE"/>
    <w:rsid w:val="002F4F49"/>
    <w:rsid w:val="002F513E"/>
    <w:rsid w:val="002F5293"/>
    <w:rsid w:val="002F5491"/>
    <w:rsid w:val="002F54B6"/>
    <w:rsid w:val="002F5629"/>
    <w:rsid w:val="002F5674"/>
    <w:rsid w:val="002F567D"/>
    <w:rsid w:val="002F5845"/>
    <w:rsid w:val="002F5A98"/>
    <w:rsid w:val="002F5AB1"/>
    <w:rsid w:val="002F5B1F"/>
    <w:rsid w:val="002F5BF7"/>
    <w:rsid w:val="002F5D65"/>
    <w:rsid w:val="002F5DA5"/>
    <w:rsid w:val="002F5ECD"/>
    <w:rsid w:val="002F64FB"/>
    <w:rsid w:val="002F65E5"/>
    <w:rsid w:val="002F6772"/>
    <w:rsid w:val="002F6829"/>
    <w:rsid w:val="002F6A37"/>
    <w:rsid w:val="002F6A6F"/>
    <w:rsid w:val="002F6B24"/>
    <w:rsid w:val="002F6D8A"/>
    <w:rsid w:val="002F6DFF"/>
    <w:rsid w:val="002F6E27"/>
    <w:rsid w:val="002F6E28"/>
    <w:rsid w:val="002F70BA"/>
    <w:rsid w:val="002F724E"/>
    <w:rsid w:val="002F725F"/>
    <w:rsid w:val="002F72CE"/>
    <w:rsid w:val="002F7941"/>
    <w:rsid w:val="002F79F0"/>
    <w:rsid w:val="002F7A88"/>
    <w:rsid w:val="002F7A99"/>
    <w:rsid w:val="002F7C08"/>
    <w:rsid w:val="002F7CEC"/>
    <w:rsid w:val="002F7E68"/>
    <w:rsid w:val="002F7F86"/>
    <w:rsid w:val="00300560"/>
    <w:rsid w:val="00300794"/>
    <w:rsid w:val="003007DE"/>
    <w:rsid w:val="00300A82"/>
    <w:rsid w:val="00300A84"/>
    <w:rsid w:val="00300C9E"/>
    <w:rsid w:val="00300E39"/>
    <w:rsid w:val="00300E7E"/>
    <w:rsid w:val="00300F95"/>
    <w:rsid w:val="0030101C"/>
    <w:rsid w:val="00301073"/>
    <w:rsid w:val="0030107F"/>
    <w:rsid w:val="003011A6"/>
    <w:rsid w:val="003013EF"/>
    <w:rsid w:val="003015AE"/>
    <w:rsid w:val="0030162F"/>
    <w:rsid w:val="003016AA"/>
    <w:rsid w:val="00301BA5"/>
    <w:rsid w:val="00301C68"/>
    <w:rsid w:val="00301EEF"/>
    <w:rsid w:val="00302128"/>
    <w:rsid w:val="00302201"/>
    <w:rsid w:val="00302306"/>
    <w:rsid w:val="00302376"/>
    <w:rsid w:val="003023C2"/>
    <w:rsid w:val="003024FE"/>
    <w:rsid w:val="0030294F"/>
    <w:rsid w:val="00302C23"/>
    <w:rsid w:val="00302E5E"/>
    <w:rsid w:val="00302EA1"/>
    <w:rsid w:val="00302EC9"/>
    <w:rsid w:val="003031EB"/>
    <w:rsid w:val="00303249"/>
    <w:rsid w:val="00303479"/>
    <w:rsid w:val="00303569"/>
    <w:rsid w:val="003038DB"/>
    <w:rsid w:val="003039C3"/>
    <w:rsid w:val="00303BC0"/>
    <w:rsid w:val="00303BC3"/>
    <w:rsid w:val="00303D58"/>
    <w:rsid w:val="00303D69"/>
    <w:rsid w:val="00303FA3"/>
    <w:rsid w:val="003040BE"/>
    <w:rsid w:val="0030415A"/>
    <w:rsid w:val="00304433"/>
    <w:rsid w:val="0030448D"/>
    <w:rsid w:val="0030458D"/>
    <w:rsid w:val="00304827"/>
    <w:rsid w:val="003048B8"/>
    <w:rsid w:val="003048C9"/>
    <w:rsid w:val="00304C8F"/>
    <w:rsid w:val="00304D19"/>
    <w:rsid w:val="00304D4E"/>
    <w:rsid w:val="00304F3C"/>
    <w:rsid w:val="00304FF8"/>
    <w:rsid w:val="00305098"/>
    <w:rsid w:val="0030511E"/>
    <w:rsid w:val="003053C8"/>
    <w:rsid w:val="00305642"/>
    <w:rsid w:val="00305688"/>
    <w:rsid w:val="00305711"/>
    <w:rsid w:val="003057CF"/>
    <w:rsid w:val="0030589C"/>
    <w:rsid w:val="00305A44"/>
    <w:rsid w:val="00305B31"/>
    <w:rsid w:val="00305BCF"/>
    <w:rsid w:val="00305D80"/>
    <w:rsid w:val="00305E8D"/>
    <w:rsid w:val="0030615E"/>
    <w:rsid w:val="003061A4"/>
    <w:rsid w:val="003061AA"/>
    <w:rsid w:val="00306302"/>
    <w:rsid w:val="003063E0"/>
    <w:rsid w:val="003066E9"/>
    <w:rsid w:val="00306D6D"/>
    <w:rsid w:val="00306DA0"/>
    <w:rsid w:val="00306E35"/>
    <w:rsid w:val="00306F46"/>
    <w:rsid w:val="00306FB7"/>
    <w:rsid w:val="00307448"/>
    <w:rsid w:val="0030775C"/>
    <w:rsid w:val="003079B4"/>
    <w:rsid w:val="00307C55"/>
    <w:rsid w:val="00307D23"/>
    <w:rsid w:val="00307DEF"/>
    <w:rsid w:val="00307F59"/>
    <w:rsid w:val="0031003B"/>
    <w:rsid w:val="00310138"/>
    <w:rsid w:val="00310195"/>
    <w:rsid w:val="0031027B"/>
    <w:rsid w:val="0031037A"/>
    <w:rsid w:val="003104AF"/>
    <w:rsid w:val="003105A3"/>
    <w:rsid w:val="0031075C"/>
    <w:rsid w:val="003107E5"/>
    <w:rsid w:val="00310B8F"/>
    <w:rsid w:val="00310B95"/>
    <w:rsid w:val="00310DE6"/>
    <w:rsid w:val="00310EA5"/>
    <w:rsid w:val="00310FC1"/>
    <w:rsid w:val="0031115B"/>
    <w:rsid w:val="00311163"/>
    <w:rsid w:val="00311590"/>
    <w:rsid w:val="003115AC"/>
    <w:rsid w:val="003119A7"/>
    <w:rsid w:val="00311B09"/>
    <w:rsid w:val="00311D33"/>
    <w:rsid w:val="00311EE1"/>
    <w:rsid w:val="0031200F"/>
    <w:rsid w:val="0031208A"/>
    <w:rsid w:val="00312404"/>
    <w:rsid w:val="003124E7"/>
    <w:rsid w:val="00312601"/>
    <w:rsid w:val="003126CA"/>
    <w:rsid w:val="003127C5"/>
    <w:rsid w:val="0031298C"/>
    <w:rsid w:val="00313247"/>
    <w:rsid w:val="00313664"/>
    <w:rsid w:val="00313754"/>
    <w:rsid w:val="0031380E"/>
    <w:rsid w:val="003138A6"/>
    <w:rsid w:val="00313958"/>
    <w:rsid w:val="00313A77"/>
    <w:rsid w:val="00313B78"/>
    <w:rsid w:val="00313C9A"/>
    <w:rsid w:val="00313D2C"/>
    <w:rsid w:val="00313DD4"/>
    <w:rsid w:val="0031400E"/>
    <w:rsid w:val="0031424C"/>
    <w:rsid w:val="00314361"/>
    <w:rsid w:val="003143BF"/>
    <w:rsid w:val="00314475"/>
    <w:rsid w:val="003145E0"/>
    <w:rsid w:val="00314676"/>
    <w:rsid w:val="00314678"/>
    <w:rsid w:val="0031468B"/>
    <w:rsid w:val="003147D8"/>
    <w:rsid w:val="0031486F"/>
    <w:rsid w:val="003148C5"/>
    <w:rsid w:val="00314A3D"/>
    <w:rsid w:val="00314F90"/>
    <w:rsid w:val="00315238"/>
    <w:rsid w:val="00315247"/>
    <w:rsid w:val="003153B1"/>
    <w:rsid w:val="00315731"/>
    <w:rsid w:val="003159A1"/>
    <w:rsid w:val="00315C58"/>
    <w:rsid w:val="00315C6A"/>
    <w:rsid w:val="00315D4B"/>
    <w:rsid w:val="00315F85"/>
    <w:rsid w:val="003160A5"/>
    <w:rsid w:val="0031617F"/>
    <w:rsid w:val="003162E5"/>
    <w:rsid w:val="00316769"/>
    <w:rsid w:val="00317046"/>
    <w:rsid w:val="00317101"/>
    <w:rsid w:val="003171E4"/>
    <w:rsid w:val="003172B7"/>
    <w:rsid w:val="0031746A"/>
    <w:rsid w:val="003174BA"/>
    <w:rsid w:val="003175DC"/>
    <w:rsid w:val="00317601"/>
    <w:rsid w:val="003177D6"/>
    <w:rsid w:val="0032006F"/>
    <w:rsid w:val="003201A1"/>
    <w:rsid w:val="00320747"/>
    <w:rsid w:val="0032080F"/>
    <w:rsid w:val="00320832"/>
    <w:rsid w:val="003208C4"/>
    <w:rsid w:val="00320FD1"/>
    <w:rsid w:val="00321109"/>
    <w:rsid w:val="0032124F"/>
    <w:rsid w:val="00321560"/>
    <w:rsid w:val="00321615"/>
    <w:rsid w:val="00321690"/>
    <w:rsid w:val="00321758"/>
    <w:rsid w:val="00321823"/>
    <w:rsid w:val="00321A2A"/>
    <w:rsid w:val="00321B3B"/>
    <w:rsid w:val="00321BDA"/>
    <w:rsid w:val="00321F5F"/>
    <w:rsid w:val="003220A5"/>
    <w:rsid w:val="003222DA"/>
    <w:rsid w:val="003222E5"/>
    <w:rsid w:val="003226B9"/>
    <w:rsid w:val="0032283D"/>
    <w:rsid w:val="00322E12"/>
    <w:rsid w:val="0032322E"/>
    <w:rsid w:val="0032324A"/>
    <w:rsid w:val="0032347E"/>
    <w:rsid w:val="0032358B"/>
    <w:rsid w:val="00323654"/>
    <w:rsid w:val="00323887"/>
    <w:rsid w:val="00323899"/>
    <w:rsid w:val="003238F4"/>
    <w:rsid w:val="0032395B"/>
    <w:rsid w:val="00323A57"/>
    <w:rsid w:val="00323C5E"/>
    <w:rsid w:val="00323D94"/>
    <w:rsid w:val="00323FB6"/>
    <w:rsid w:val="00323FC4"/>
    <w:rsid w:val="00324205"/>
    <w:rsid w:val="003242BF"/>
    <w:rsid w:val="003243D1"/>
    <w:rsid w:val="00324452"/>
    <w:rsid w:val="0032454A"/>
    <w:rsid w:val="003248B8"/>
    <w:rsid w:val="00324BDB"/>
    <w:rsid w:val="00324BF1"/>
    <w:rsid w:val="00324D77"/>
    <w:rsid w:val="0032547A"/>
    <w:rsid w:val="00325669"/>
    <w:rsid w:val="00325692"/>
    <w:rsid w:val="003256EE"/>
    <w:rsid w:val="003257A7"/>
    <w:rsid w:val="00325820"/>
    <w:rsid w:val="00325841"/>
    <w:rsid w:val="0032584E"/>
    <w:rsid w:val="003259D7"/>
    <w:rsid w:val="00325A22"/>
    <w:rsid w:val="00325D58"/>
    <w:rsid w:val="00325EC5"/>
    <w:rsid w:val="00325F1D"/>
    <w:rsid w:val="00325F84"/>
    <w:rsid w:val="00326371"/>
    <w:rsid w:val="00326451"/>
    <w:rsid w:val="003268C7"/>
    <w:rsid w:val="00326914"/>
    <w:rsid w:val="00326956"/>
    <w:rsid w:val="00326B3B"/>
    <w:rsid w:val="00326F2C"/>
    <w:rsid w:val="0032704C"/>
    <w:rsid w:val="0032709A"/>
    <w:rsid w:val="00327249"/>
    <w:rsid w:val="00327426"/>
    <w:rsid w:val="00327581"/>
    <w:rsid w:val="003277A1"/>
    <w:rsid w:val="003277AE"/>
    <w:rsid w:val="00327A1E"/>
    <w:rsid w:val="00327AAD"/>
    <w:rsid w:val="00327B6A"/>
    <w:rsid w:val="00327BD3"/>
    <w:rsid w:val="00327CAA"/>
    <w:rsid w:val="00327DC4"/>
    <w:rsid w:val="00327DD3"/>
    <w:rsid w:val="00327DE9"/>
    <w:rsid w:val="00327EB4"/>
    <w:rsid w:val="00327F5E"/>
    <w:rsid w:val="003300E9"/>
    <w:rsid w:val="003301B3"/>
    <w:rsid w:val="003301B6"/>
    <w:rsid w:val="0033033D"/>
    <w:rsid w:val="00330372"/>
    <w:rsid w:val="00330385"/>
    <w:rsid w:val="003303CC"/>
    <w:rsid w:val="003308D8"/>
    <w:rsid w:val="00330F54"/>
    <w:rsid w:val="0033102E"/>
    <w:rsid w:val="003311E6"/>
    <w:rsid w:val="0033120E"/>
    <w:rsid w:val="0033137B"/>
    <w:rsid w:val="00331380"/>
    <w:rsid w:val="00331401"/>
    <w:rsid w:val="003315F5"/>
    <w:rsid w:val="003319AA"/>
    <w:rsid w:val="00331BCB"/>
    <w:rsid w:val="00331CEE"/>
    <w:rsid w:val="00331DE9"/>
    <w:rsid w:val="00332344"/>
    <w:rsid w:val="00332372"/>
    <w:rsid w:val="00332604"/>
    <w:rsid w:val="00332827"/>
    <w:rsid w:val="0033289C"/>
    <w:rsid w:val="00332B43"/>
    <w:rsid w:val="00332CF5"/>
    <w:rsid w:val="00332ED9"/>
    <w:rsid w:val="00332F18"/>
    <w:rsid w:val="00332F67"/>
    <w:rsid w:val="003330EC"/>
    <w:rsid w:val="003330F7"/>
    <w:rsid w:val="0033312E"/>
    <w:rsid w:val="003331C7"/>
    <w:rsid w:val="00333234"/>
    <w:rsid w:val="0033379D"/>
    <w:rsid w:val="00333822"/>
    <w:rsid w:val="003339EC"/>
    <w:rsid w:val="00333B1F"/>
    <w:rsid w:val="00333B20"/>
    <w:rsid w:val="00333CC8"/>
    <w:rsid w:val="00333DDD"/>
    <w:rsid w:val="00333DEC"/>
    <w:rsid w:val="00333F15"/>
    <w:rsid w:val="00333FD1"/>
    <w:rsid w:val="003340B2"/>
    <w:rsid w:val="003340BC"/>
    <w:rsid w:val="0033414E"/>
    <w:rsid w:val="003343B5"/>
    <w:rsid w:val="003345F8"/>
    <w:rsid w:val="00334901"/>
    <w:rsid w:val="00334A8E"/>
    <w:rsid w:val="00334A9A"/>
    <w:rsid w:val="00334EBE"/>
    <w:rsid w:val="003351AE"/>
    <w:rsid w:val="003351D8"/>
    <w:rsid w:val="0033521A"/>
    <w:rsid w:val="00335370"/>
    <w:rsid w:val="003353FE"/>
    <w:rsid w:val="00335690"/>
    <w:rsid w:val="003356B3"/>
    <w:rsid w:val="00335706"/>
    <w:rsid w:val="0033572C"/>
    <w:rsid w:val="0033577C"/>
    <w:rsid w:val="0033583D"/>
    <w:rsid w:val="0033595A"/>
    <w:rsid w:val="00335BD2"/>
    <w:rsid w:val="00335C9D"/>
    <w:rsid w:val="00335ED1"/>
    <w:rsid w:val="0033608B"/>
    <w:rsid w:val="003363D7"/>
    <w:rsid w:val="0033660C"/>
    <w:rsid w:val="00336779"/>
    <w:rsid w:val="00336C06"/>
    <w:rsid w:val="00336C4F"/>
    <w:rsid w:val="00336FBD"/>
    <w:rsid w:val="0033722F"/>
    <w:rsid w:val="0033753A"/>
    <w:rsid w:val="00337808"/>
    <w:rsid w:val="00337905"/>
    <w:rsid w:val="00337EF8"/>
    <w:rsid w:val="003402AB"/>
    <w:rsid w:val="0034048D"/>
    <w:rsid w:val="003407E4"/>
    <w:rsid w:val="0034081B"/>
    <w:rsid w:val="003408F4"/>
    <w:rsid w:val="00340936"/>
    <w:rsid w:val="00340C0A"/>
    <w:rsid w:val="003410E5"/>
    <w:rsid w:val="00341296"/>
    <w:rsid w:val="00341298"/>
    <w:rsid w:val="003413E0"/>
    <w:rsid w:val="00341557"/>
    <w:rsid w:val="003416A0"/>
    <w:rsid w:val="00341833"/>
    <w:rsid w:val="00341A29"/>
    <w:rsid w:val="00341ED7"/>
    <w:rsid w:val="003423C7"/>
    <w:rsid w:val="003423DE"/>
    <w:rsid w:val="003424A0"/>
    <w:rsid w:val="003425DF"/>
    <w:rsid w:val="00342763"/>
    <w:rsid w:val="00342803"/>
    <w:rsid w:val="00342841"/>
    <w:rsid w:val="003428BA"/>
    <w:rsid w:val="003429B2"/>
    <w:rsid w:val="00342A60"/>
    <w:rsid w:val="00342CBB"/>
    <w:rsid w:val="00342DDC"/>
    <w:rsid w:val="00342FBC"/>
    <w:rsid w:val="00343370"/>
    <w:rsid w:val="0034343B"/>
    <w:rsid w:val="00343452"/>
    <w:rsid w:val="00343510"/>
    <w:rsid w:val="0034358F"/>
    <w:rsid w:val="0034375A"/>
    <w:rsid w:val="0034379D"/>
    <w:rsid w:val="003439F6"/>
    <w:rsid w:val="00343CB0"/>
    <w:rsid w:val="00343DED"/>
    <w:rsid w:val="00343E5D"/>
    <w:rsid w:val="00343E69"/>
    <w:rsid w:val="00343F36"/>
    <w:rsid w:val="0034410F"/>
    <w:rsid w:val="00344182"/>
    <w:rsid w:val="00344359"/>
    <w:rsid w:val="00344774"/>
    <w:rsid w:val="00344983"/>
    <w:rsid w:val="00344A10"/>
    <w:rsid w:val="00344A29"/>
    <w:rsid w:val="00344B7A"/>
    <w:rsid w:val="00345131"/>
    <w:rsid w:val="003453B7"/>
    <w:rsid w:val="00345529"/>
    <w:rsid w:val="00345553"/>
    <w:rsid w:val="003455E0"/>
    <w:rsid w:val="003456D8"/>
    <w:rsid w:val="00345ECF"/>
    <w:rsid w:val="00345F2B"/>
    <w:rsid w:val="00345FC5"/>
    <w:rsid w:val="003460C1"/>
    <w:rsid w:val="00346192"/>
    <w:rsid w:val="003463D1"/>
    <w:rsid w:val="003463D8"/>
    <w:rsid w:val="0034646D"/>
    <w:rsid w:val="0034648B"/>
    <w:rsid w:val="0034655D"/>
    <w:rsid w:val="00346639"/>
    <w:rsid w:val="00346939"/>
    <w:rsid w:val="00346AFD"/>
    <w:rsid w:val="00346C66"/>
    <w:rsid w:val="0034714F"/>
    <w:rsid w:val="00347424"/>
    <w:rsid w:val="00347493"/>
    <w:rsid w:val="00347774"/>
    <w:rsid w:val="003477AD"/>
    <w:rsid w:val="003477F4"/>
    <w:rsid w:val="003478E8"/>
    <w:rsid w:val="0034797B"/>
    <w:rsid w:val="00347B69"/>
    <w:rsid w:val="00347BE5"/>
    <w:rsid w:val="00347D85"/>
    <w:rsid w:val="00347ED0"/>
    <w:rsid w:val="00350016"/>
    <w:rsid w:val="003501CD"/>
    <w:rsid w:val="003502C4"/>
    <w:rsid w:val="003503A2"/>
    <w:rsid w:val="003507DD"/>
    <w:rsid w:val="00350B03"/>
    <w:rsid w:val="00350C0E"/>
    <w:rsid w:val="00350C95"/>
    <w:rsid w:val="00350DCB"/>
    <w:rsid w:val="00350ECC"/>
    <w:rsid w:val="00351124"/>
    <w:rsid w:val="00351176"/>
    <w:rsid w:val="00351347"/>
    <w:rsid w:val="00351605"/>
    <w:rsid w:val="00351632"/>
    <w:rsid w:val="0035167A"/>
    <w:rsid w:val="00351831"/>
    <w:rsid w:val="00351988"/>
    <w:rsid w:val="0035220A"/>
    <w:rsid w:val="003522E0"/>
    <w:rsid w:val="00352363"/>
    <w:rsid w:val="00352559"/>
    <w:rsid w:val="00352603"/>
    <w:rsid w:val="0035267F"/>
    <w:rsid w:val="0035284A"/>
    <w:rsid w:val="003528FC"/>
    <w:rsid w:val="00352B39"/>
    <w:rsid w:val="00352B55"/>
    <w:rsid w:val="003530FE"/>
    <w:rsid w:val="0035327F"/>
    <w:rsid w:val="0035377D"/>
    <w:rsid w:val="00353918"/>
    <w:rsid w:val="00353E1F"/>
    <w:rsid w:val="00354135"/>
    <w:rsid w:val="00354193"/>
    <w:rsid w:val="003547F2"/>
    <w:rsid w:val="003547FA"/>
    <w:rsid w:val="003548FE"/>
    <w:rsid w:val="00354910"/>
    <w:rsid w:val="0035493B"/>
    <w:rsid w:val="00354A90"/>
    <w:rsid w:val="00354DF2"/>
    <w:rsid w:val="00354E09"/>
    <w:rsid w:val="00354F0A"/>
    <w:rsid w:val="003550A4"/>
    <w:rsid w:val="003550BA"/>
    <w:rsid w:val="00355171"/>
    <w:rsid w:val="0035537A"/>
    <w:rsid w:val="0035548E"/>
    <w:rsid w:val="003554D2"/>
    <w:rsid w:val="003554E5"/>
    <w:rsid w:val="0035580D"/>
    <w:rsid w:val="0035588D"/>
    <w:rsid w:val="00355985"/>
    <w:rsid w:val="00355B7A"/>
    <w:rsid w:val="00355D0B"/>
    <w:rsid w:val="00355DC0"/>
    <w:rsid w:val="00356013"/>
    <w:rsid w:val="00356140"/>
    <w:rsid w:val="003563D9"/>
    <w:rsid w:val="003565E0"/>
    <w:rsid w:val="00356887"/>
    <w:rsid w:val="00356915"/>
    <w:rsid w:val="00356AF0"/>
    <w:rsid w:val="00356DA1"/>
    <w:rsid w:val="00356E41"/>
    <w:rsid w:val="00356E54"/>
    <w:rsid w:val="00356E75"/>
    <w:rsid w:val="00356F02"/>
    <w:rsid w:val="00357072"/>
    <w:rsid w:val="003570A3"/>
    <w:rsid w:val="00357608"/>
    <w:rsid w:val="0035766F"/>
    <w:rsid w:val="00357819"/>
    <w:rsid w:val="0035781A"/>
    <w:rsid w:val="0035797B"/>
    <w:rsid w:val="00357B00"/>
    <w:rsid w:val="00357B39"/>
    <w:rsid w:val="00357CB5"/>
    <w:rsid w:val="00357E8C"/>
    <w:rsid w:val="003600B2"/>
    <w:rsid w:val="003602DC"/>
    <w:rsid w:val="00360301"/>
    <w:rsid w:val="0036040E"/>
    <w:rsid w:val="00360486"/>
    <w:rsid w:val="00360517"/>
    <w:rsid w:val="00360532"/>
    <w:rsid w:val="003608BB"/>
    <w:rsid w:val="00360926"/>
    <w:rsid w:val="0036098D"/>
    <w:rsid w:val="00360B1B"/>
    <w:rsid w:val="00360B57"/>
    <w:rsid w:val="00360EB5"/>
    <w:rsid w:val="00360F43"/>
    <w:rsid w:val="0036139D"/>
    <w:rsid w:val="00361532"/>
    <w:rsid w:val="003615DC"/>
    <w:rsid w:val="003619E6"/>
    <w:rsid w:val="00361A0A"/>
    <w:rsid w:val="00361D06"/>
    <w:rsid w:val="00361D3F"/>
    <w:rsid w:val="00361F69"/>
    <w:rsid w:val="0036214E"/>
    <w:rsid w:val="0036219A"/>
    <w:rsid w:val="00362326"/>
    <w:rsid w:val="0036233D"/>
    <w:rsid w:val="003623F5"/>
    <w:rsid w:val="003623F7"/>
    <w:rsid w:val="00362660"/>
    <w:rsid w:val="00362927"/>
    <w:rsid w:val="00362ADE"/>
    <w:rsid w:val="00362BD5"/>
    <w:rsid w:val="00362CFE"/>
    <w:rsid w:val="00362F16"/>
    <w:rsid w:val="00362F7F"/>
    <w:rsid w:val="00362FD3"/>
    <w:rsid w:val="003630CD"/>
    <w:rsid w:val="0036330D"/>
    <w:rsid w:val="0036332F"/>
    <w:rsid w:val="00363518"/>
    <w:rsid w:val="00363678"/>
    <w:rsid w:val="003638C3"/>
    <w:rsid w:val="0036397A"/>
    <w:rsid w:val="003639FB"/>
    <w:rsid w:val="00363A60"/>
    <w:rsid w:val="00363BF7"/>
    <w:rsid w:val="00363CE6"/>
    <w:rsid w:val="00363D4C"/>
    <w:rsid w:val="00363E2A"/>
    <w:rsid w:val="0036407C"/>
    <w:rsid w:val="003641FF"/>
    <w:rsid w:val="00364264"/>
    <w:rsid w:val="003648C6"/>
    <w:rsid w:val="00364A39"/>
    <w:rsid w:val="00364D9D"/>
    <w:rsid w:val="00364DCA"/>
    <w:rsid w:val="00365066"/>
    <w:rsid w:val="003650F3"/>
    <w:rsid w:val="003652B9"/>
    <w:rsid w:val="00365C53"/>
    <w:rsid w:val="00365D2F"/>
    <w:rsid w:val="0036601F"/>
    <w:rsid w:val="0036605F"/>
    <w:rsid w:val="0036633A"/>
    <w:rsid w:val="0036648D"/>
    <w:rsid w:val="0036682B"/>
    <w:rsid w:val="003668A7"/>
    <w:rsid w:val="0036695B"/>
    <w:rsid w:val="00366FCD"/>
    <w:rsid w:val="0036713C"/>
    <w:rsid w:val="003678EB"/>
    <w:rsid w:val="0036795F"/>
    <w:rsid w:val="00367B88"/>
    <w:rsid w:val="00367D93"/>
    <w:rsid w:val="00370121"/>
    <w:rsid w:val="00370307"/>
    <w:rsid w:val="0037035D"/>
    <w:rsid w:val="00370821"/>
    <w:rsid w:val="003709A2"/>
    <w:rsid w:val="00370A18"/>
    <w:rsid w:val="00370A48"/>
    <w:rsid w:val="00370AA1"/>
    <w:rsid w:val="00370D1A"/>
    <w:rsid w:val="00370F40"/>
    <w:rsid w:val="003710ED"/>
    <w:rsid w:val="0037144F"/>
    <w:rsid w:val="003716B7"/>
    <w:rsid w:val="003717D0"/>
    <w:rsid w:val="00371D3A"/>
    <w:rsid w:val="003720EE"/>
    <w:rsid w:val="00372219"/>
    <w:rsid w:val="00372263"/>
    <w:rsid w:val="003723D1"/>
    <w:rsid w:val="0037240B"/>
    <w:rsid w:val="003724F5"/>
    <w:rsid w:val="0037252A"/>
    <w:rsid w:val="003725AA"/>
    <w:rsid w:val="003728BF"/>
    <w:rsid w:val="00372A5B"/>
    <w:rsid w:val="00372D27"/>
    <w:rsid w:val="00372FDC"/>
    <w:rsid w:val="00373036"/>
    <w:rsid w:val="00373089"/>
    <w:rsid w:val="00373288"/>
    <w:rsid w:val="00373491"/>
    <w:rsid w:val="00373572"/>
    <w:rsid w:val="003735EB"/>
    <w:rsid w:val="00373766"/>
    <w:rsid w:val="00373778"/>
    <w:rsid w:val="003739DD"/>
    <w:rsid w:val="00373A9E"/>
    <w:rsid w:val="003741A2"/>
    <w:rsid w:val="00374329"/>
    <w:rsid w:val="00374419"/>
    <w:rsid w:val="00374452"/>
    <w:rsid w:val="00374513"/>
    <w:rsid w:val="00374616"/>
    <w:rsid w:val="003746BF"/>
    <w:rsid w:val="00374808"/>
    <w:rsid w:val="00374885"/>
    <w:rsid w:val="00374AC8"/>
    <w:rsid w:val="00374BF4"/>
    <w:rsid w:val="00374C3F"/>
    <w:rsid w:val="00374C44"/>
    <w:rsid w:val="00374CF9"/>
    <w:rsid w:val="00374D75"/>
    <w:rsid w:val="00374DC6"/>
    <w:rsid w:val="00374DD8"/>
    <w:rsid w:val="0037526B"/>
    <w:rsid w:val="003752CB"/>
    <w:rsid w:val="003752F8"/>
    <w:rsid w:val="003753CE"/>
    <w:rsid w:val="0037548A"/>
    <w:rsid w:val="00375781"/>
    <w:rsid w:val="00375A73"/>
    <w:rsid w:val="00375AFE"/>
    <w:rsid w:val="00375B3F"/>
    <w:rsid w:val="00375B49"/>
    <w:rsid w:val="00375C3D"/>
    <w:rsid w:val="00375E08"/>
    <w:rsid w:val="00375EA8"/>
    <w:rsid w:val="0037624A"/>
    <w:rsid w:val="003767DD"/>
    <w:rsid w:val="00376892"/>
    <w:rsid w:val="00376C72"/>
    <w:rsid w:val="00376CEC"/>
    <w:rsid w:val="00376E0C"/>
    <w:rsid w:val="00376E67"/>
    <w:rsid w:val="00376EDD"/>
    <w:rsid w:val="00376F2E"/>
    <w:rsid w:val="00376F6B"/>
    <w:rsid w:val="00376FC7"/>
    <w:rsid w:val="0037738C"/>
    <w:rsid w:val="00377410"/>
    <w:rsid w:val="00377B39"/>
    <w:rsid w:val="00377CAD"/>
    <w:rsid w:val="00377D9A"/>
    <w:rsid w:val="00377E4F"/>
    <w:rsid w:val="00377F68"/>
    <w:rsid w:val="00377FEF"/>
    <w:rsid w:val="0038016E"/>
    <w:rsid w:val="003801D9"/>
    <w:rsid w:val="0038023D"/>
    <w:rsid w:val="0038025A"/>
    <w:rsid w:val="00380265"/>
    <w:rsid w:val="00380364"/>
    <w:rsid w:val="0038047C"/>
    <w:rsid w:val="00380513"/>
    <w:rsid w:val="00380746"/>
    <w:rsid w:val="00380B0B"/>
    <w:rsid w:val="00380BB9"/>
    <w:rsid w:val="00380D7B"/>
    <w:rsid w:val="00380D7D"/>
    <w:rsid w:val="00380E94"/>
    <w:rsid w:val="00381256"/>
    <w:rsid w:val="0038126C"/>
    <w:rsid w:val="003813B0"/>
    <w:rsid w:val="0038147F"/>
    <w:rsid w:val="003814BB"/>
    <w:rsid w:val="00381562"/>
    <w:rsid w:val="003815D1"/>
    <w:rsid w:val="00381750"/>
    <w:rsid w:val="00381B81"/>
    <w:rsid w:val="00381CE3"/>
    <w:rsid w:val="003821A0"/>
    <w:rsid w:val="00382266"/>
    <w:rsid w:val="0038227B"/>
    <w:rsid w:val="0038233B"/>
    <w:rsid w:val="0038235E"/>
    <w:rsid w:val="003823C2"/>
    <w:rsid w:val="003823F0"/>
    <w:rsid w:val="00382A53"/>
    <w:rsid w:val="00382AE5"/>
    <w:rsid w:val="00382B0C"/>
    <w:rsid w:val="00382D5B"/>
    <w:rsid w:val="00382F47"/>
    <w:rsid w:val="00382F5F"/>
    <w:rsid w:val="00382FE3"/>
    <w:rsid w:val="00383170"/>
    <w:rsid w:val="003833B5"/>
    <w:rsid w:val="00383502"/>
    <w:rsid w:val="0038352D"/>
    <w:rsid w:val="003835C4"/>
    <w:rsid w:val="003835FF"/>
    <w:rsid w:val="003839A5"/>
    <w:rsid w:val="00383A0C"/>
    <w:rsid w:val="00383BB0"/>
    <w:rsid w:val="00383BF4"/>
    <w:rsid w:val="00383D2F"/>
    <w:rsid w:val="00383F09"/>
    <w:rsid w:val="00384584"/>
    <w:rsid w:val="003847ED"/>
    <w:rsid w:val="00384A04"/>
    <w:rsid w:val="00384ADE"/>
    <w:rsid w:val="00384B73"/>
    <w:rsid w:val="00384DB9"/>
    <w:rsid w:val="00384E9F"/>
    <w:rsid w:val="00384FC5"/>
    <w:rsid w:val="0038558F"/>
    <w:rsid w:val="003855AD"/>
    <w:rsid w:val="003856BD"/>
    <w:rsid w:val="00385959"/>
    <w:rsid w:val="00385B33"/>
    <w:rsid w:val="00385E54"/>
    <w:rsid w:val="003860B6"/>
    <w:rsid w:val="00386337"/>
    <w:rsid w:val="003866CB"/>
    <w:rsid w:val="00386A89"/>
    <w:rsid w:val="00386BB6"/>
    <w:rsid w:val="00386DDB"/>
    <w:rsid w:val="00386E49"/>
    <w:rsid w:val="00387553"/>
    <w:rsid w:val="00387650"/>
    <w:rsid w:val="0038792E"/>
    <w:rsid w:val="0038797A"/>
    <w:rsid w:val="00387A4A"/>
    <w:rsid w:val="00387A4B"/>
    <w:rsid w:val="00387F80"/>
    <w:rsid w:val="00387FB9"/>
    <w:rsid w:val="003905C9"/>
    <w:rsid w:val="00390692"/>
    <w:rsid w:val="0039098B"/>
    <w:rsid w:val="00390C2C"/>
    <w:rsid w:val="00390EC8"/>
    <w:rsid w:val="00390F55"/>
    <w:rsid w:val="00391050"/>
    <w:rsid w:val="00391078"/>
    <w:rsid w:val="003910ED"/>
    <w:rsid w:val="0039121A"/>
    <w:rsid w:val="003916C0"/>
    <w:rsid w:val="003918F9"/>
    <w:rsid w:val="00391AC4"/>
    <w:rsid w:val="00391EF7"/>
    <w:rsid w:val="0039208E"/>
    <w:rsid w:val="003921CD"/>
    <w:rsid w:val="00392270"/>
    <w:rsid w:val="003929D2"/>
    <w:rsid w:val="00392BC2"/>
    <w:rsid w:val="00392CCA"/>
    <w:rsid w:val="00393029"/>
    <w:rsid w:val="00393752"/>
    <w:rsid w:val="003937B2"/>
    <w:rsid w:val="0039398E"/>
    <w:rsid w:val="00393A35"/>
    <w:rsid w:val="00393ACF"/>
    <w:rsid w:val="00393AD7"/>
    <w:rsid w:val="00393B68"/>
    <w:rsid w:val="00393BD7"/>
    <w:rsid w:val="00393C08"/>
    <w:rsid w:val="00393CD1"/>
    <w:rsid w:val="00393E3E"/>
    <w:rsid w:val="00393EBE"/>
    <w:rsid w:val="00393F81"/>
    <w:rsid w:val="00393FA5"/>
    <w:rsid w:val="0039406E"/>
    <w:rsid w:val="0039411F"/>
    <w:rsid w:val="0039413F"/>
    <w:rsid w:val="003941BF"/>
    <w:rsid w:val="003941DA"/>
    <w:rsid w:val="003943CF"/>
    <w:rsid w:val="003946B9"/>
    <w:rsid w:val="003948D3"/>
    <w:rsid w:val="00394AA2"/>
    <w:rsid w:val="00394B51"/>
    <w:rsid w:val="00394C6F"/>
    <w:rsid w:val="00394D87"/>
    <w:rsid w:val="00395289"/>
    <w:rsid w:val="003952B8"/>
    <w:rsid w:val="003953BE"/>
    <w:rsid w:val="0039544C"/>
    <w:rsid w:val="0039551F"/>
    <w:rsid w:val="003955E0"/>
    <w:rsid w:val="003956FC"/>
    <w:rsid w:val="003957BB"/>
    <w:rsid w:val="00395CB9"/>
    <w:rsid w:val="00395CCC"/>
    <w:rsid w:val="003962CD"/>
    <w:rsid w:val="003963FF"/>
    <w:rsid w:val="0039653A"/>
    <w:rsid w:val="003965C0"/>
    <w:rsid w:val="00396894"/>
    <w:rsid w:val="00396935"/>
    <w:rsid w:val="00396997"/>
    <w:rsid w:val="00396A16"/>
    <w:rsid w:val="00396A3C"/>
    <w:rsid w:val="00396A4C"/>
    <w:rsid w:val="00396B13"/>
    <w:rsid w:val="00396BFE"/>
    <w:rsid w:val="00397196"/>
    <w:rsid w:val="003971A6"/>
    <w:rsid w:val="0039730E"/>
    <w:rsid w:val="0039743E"/>
    <w:rsid w:val="003974D0"/>
    <w:rsid w:val="00397652"/>
    <w:rsid w:val="003976FE"/>
    <w:rsid w:val="0039799C"/>
    <w:rsid w:val="00397A8D"/>
    <w:rsid w:val="00397CAC"/>
    <w:rsid w:val="00397D16"/>
    <w:rsid w:val="00397D4C"/>
    <w:rsid w:val="00397E25"/>
    <w:rsid w:val="003A025E"/>
    <w:rsid w:val="003A0403"/>
    <w:rsid w:val="003A05A3"/>
    <w:rsid w:val="003A083A"/>
    <w:rsid w:val="003A0B6D"/>
    <w:rsid w:val="003A0BDD"/>
    <w:rsid w:val="003A0CF8"/>
    <w:rsid w:val="003A0D0B"/>
    <w:rsid w:val="003A113A"/>
    <w:rsid w:val="003A1301"/>
    <w:rsid w:val="003A1395"/>
    <w:rsid w:val="003A1665"/>
    <w:rsid w:val="003A18E6"/>
    <w:rsid w:val="003A1B16"/>
    <w:rsid w:val="003A1BE7"/>
    <w:rsid w:val="003A1C9F"/>
    <w:rsid w:val="003A1EE5"/>
    <w:rsid w:val="003A1F02"/>
    <w:rsid w:val="003A21B4"/>
    <w:rsid w:val="003A27BB"/>
    <w:rsid w:val="003A280A"/>
    <w:rsid w:val="003A2957"/>
    <w:rsid w:val="003A297C"/>
    <w:rsid w:val="003A2A1D"/>
    <w:rsid w:val="003A2B8C"/>
    <w:rsid w:val="003A2DC8"/>
    <w:rsid w:val="003A2F6D"/>
    <w:rsid w:val="003A2FE5"/>
    <w:rsid w:val="003A31F5"/>
    <w:rsid w:val="003A34E1"/>
    <w:rsid w:val="003A35D6"/>
    <w:rsid w:val="003A367A"/>
    <w:rsid w:val="003A38DA"/>
    <w:rsid w:val="003A3BF8"/>
    <w:rsid w:val="003A3C4A"/>
    <w:rsid w:val="003A3D30"/>
    <w:rsid w:val="003A3D57"/>
    <w:rsid w:val="003A3E87"/>
    <w:rsid w:val="003A3FDE"/>
    <w:rsid w:val="003A3FF6"/>
    <w:rsid w:val="003A43CA"/>
    <w:rsid w:val="003A4473"/>
    <w:rsid w:val="003A4699"/>
    <w:rsid w:val="003A4780"/>
    <w:rsid w:val="003A47EE"/>
    <w:rsid w:val="003A4C06"/>
    <w:rsid w:val="003A4E51"/>
    <w:rsid w:val="003A4FAA"/>
    <w:rsid w:val="003A5077"/>
    <w:rsid w:val="003A50B5"/>
    <w:rsid w:val="003A53CD"/>
    <w:rsid w:val="003A5496"/>
    <w:rsid w:val="003A5614"/>
    <w:rsid w:val="003A568C"/>
    <w:rsid w:val="003A568E"/>
    <w:rsid w:val="003A56A1"/>
    <w:rsid w:val="003A5725"/>
    <w:rsid w:val="003A57D0"/>
    <w:rsid w:val="003A5834"/>
    <w:rsid w:val="003A58B3"/>
    <w:rsid w:val="003A5985"/>
    <w:rsid w:val="003A5A40"/>
    <w:rsid w:val="003A5BAE"/>
    <w:rsid w:val="003A5BC5"/>
    <w:rsid w:val="003A5BF6"/>
    <w:rsid w:val="003A5C3D"/>
    <w:rsid w:val="003A5C82"/>
    <w:rsid w:val="003A5CF2"/>
    <w:rsid w:val="003A5D19"/>
    <w:rsid w:val="003A5E39"/>
    <w:rsid w:val="003A5E3F"/>
    <w:rsid w:val="003A5E4A"/>
    <w:rsid w:val="003A5F4E"/>
    <w:rsid w:val="003A60A1"/>
    <w:rsid w:val="003A6320"/>
    <w:rsid w:val="003A67DB"/>
    <w:rsid w:val="003A68A9"/>
    <w:rsid w:val="003A6A4E"/>
    <w:rsid w:val="003A6DDA"/>
    <w:rsid w:val="003A7239"/>
    <w:rsid w:val="003A72FF"/>
    <w:rsid w:val="003A7820"/>
    <w:rsid w:val="003A782B"/>
    <w:rsid w:val="003A79A6"/>
    <w:rsid w:val="003A7D14"/>
    <w:rsid w:val="003A7F68"/>
    <w:rsid w:val="003B0146"/>
    <w:rsid w:val="003B03BF"/>
    <w:rsid w:val="003B05BF"/>
    <w:rsid w:val="003B05DC"/>
    <w:rsid w:val="003B0703"/>
    <w:rsid w:val="003B0AA3"/>
    <w:rsid w:val="003B0DA5"/>
    <w:rsid w:val="003B0E9B"/>
    <w:rsid w:val="003B11FA"/>
    <w:rsid w:val="003B1322"/>
    <w:rsid w:val="003B14BC"/>
    <w:rsid w:val="003B1620"/>
    <w:rsid w:val="003B1661"/>
    <w:rsid w:val="003B175D"/>
    <w:rsid w:val="003B1919"/>
    <w:rsid w:val="003B1A87"/>
    <w:rsid w:val="003B1FB1"/>
    <w:rsid w:val="003B2091"/>
    <w:rsid w:val="003B2354"/>
    <w:rsid w:val="003B26BD"/>
    <w:rsid w:val="003B26C1"/>
    <w:rsid w:val="003B2929"/>
    <w:rsid w:val="003B2A09"/>
    <w:rsid w:val="003B2B29"/>
    <w:rsid w:val="003B2BC5"/>
    <w:rsid w:val="003B2E0D"/>
    <w:rsid w:val="003B2E43"/>
    <w:rsid w:val="003B2FCF"/>
    <w:rsid w:val="003B3128"/>
    <w:rsid w:val="003B317B"/>
    <w:rsid w:val="003B31D1"/>
    <w:rsid w:val="003B32B6"/>
    <w:rsid w:val="003B32D3"/>
    <w:rsid w:val="003B367D"/>
    <w:rsid w:val="003B36FE"/>
    <w:rsid w:val="003B38C6"/>
    <w:rsid w:val="003B3B05"/>
    <w:rsid w:val="003B3EC4"/>
    <w:rsid w:val="003B3FD2"/>
    <w:rsid w:val="003B4059"/>
    <w:rsid w:val="003B4407"/>
    <w:rsid w:val="003B440E"/>
    <w:rsid w:val="003B453B"/>
    <w:rsid w:val="003B4835"/>
    <w:rsid w:val="003B4B9A"/>
    <w:rsid w:val="003B4E77"/>
    <w:rsid w:val="003B50B3"/>
    <w:rsid w:val="003B51D0"/>
    <w:rsid w:val="003B5254"/>
    <w:rsid w:val="003B533E"/>
    <w:rsid w:val="003B5372"/>
    <w:rsid w:val="003B5427"/>
    <w:rsid w:val="003B5664"/>
    <w:rsid w:val="003B5747"/>
    <w:rsid w:val="003B57D9"/>
    <w:rsid w:val="003B580F"/>
    <w:rsid w:val="003B5BF2"/>
    <w:rsid w:val="003B5CF5"/>
    <w:rsid w:val="003B5F2B"/>
    <w:rsid w:val="003B60DD"/>
    <w:rsid w:val="003B6230"/>
    <w:rsid w:val="003B63DD"/>
    <w:rsid w:val="003B642F"/>
    <w:rsid w:val="003B6597"/>
    <w:rsid w:val="003B6641"/>
    <w:rsid w:val="003B6721"/>
    <w:rsid w:val="003B673D"/>
    <w:rsid w:val="003B67E7"/>
    <w:rsid w:val="003B6A7F"/>
    <w:rsid w:val="003B6C43"/>
    <w:rsid w:val="003B7032"/>
    <w:rsid w:val="003B70CD"/>
    <w:rsid w:val="003B730A"/>
    <w:rsid w:val="003B7384"/>
    <w:rsid w:val="003B751C"/>
    <w:rsid w:val="003B7635"/>
    <w:rsid w:val="003B77EE"/>
    <w:rsid w:val="003B7840"/>
    <w:rsid w:val="003B79CC"/>
    <w:rsid w:val="003B7A9A"/>
    <w:rsid w:val="003B7AF0"/>
    <w:rsid w:val="003B7C93"/>
    <w:rsid w:val="003B7CC3"/>
    <w:rsid w:val="003B7EB5"/>
    <w:rsid w:val="003B7F41"/>
    <w:rsid w:val="003C0183"/>
    <w:rsid w:val="003C0883"/>
    <w:rsid w:val="003C08AC"/>
    <w:rsid w:val="003C0B0E"/>
    <w:rsid w:val="003C0B7C"/>
    <w:rsid w:val="003C0E9A"/>
    <w:rsid w:val="003C1054"/>
    <w:rsid w:val="003C1612"/>
    <w:rsid w:val="003C175D"/>
    <w:rsid w:val="003C1CFB"/>
    <w:rsid w:val="003C21C3"/>
    <w:rsid w:val="003C2577"/>
    <w:rsid w:val="003C270D"/>
    <w:rsid w:val="003C28FB"/>
    <w:rsid w:val="003C2BBD"/>
    <w:rsid w:val="003C2E12"/>
    <w:rsid w:val="003C2F75"/>
    <w:rsid w:val="003C2F98"/>
    <w:rsid w:val="003C323D"/>
    <w:rsid w:val="003C32A6"/>
    <w:rsid w:val="003C32EB"/>
    <w:rsid w:val="003C3379"/>
    <w:rsid w:val="003C3665"/>
    <w:rsid w:val="003C3AE8"/>
    <w:rsid w:val="003C3BB5"/>
    <w:rsid w:val="003C3D32"/>
    <w:rsid w:val="003C3D9F"/>
    <w:rsid w:val="003C3E77"/>
    <w:rsid w:val="003C3E86"/>
    <w:rsid w:val="003C4066"/>
    <w:rsid w:val="003C40E2"/>
    <w:rsid w:val="003C4264"/>
    <w:rsid w:val="003C43EC"/>
    <w:rsid w:val="003C4448"/>
    <w:rsid w:val="003C46AD"/>
    <w:rsid w:val="003C4A3D"/>
    <w:rsid w:val="003C4B72"/>
    <w:rsid w:val="003C4BE0"/>
    <w:rsid w:val="003C4D1E"/>
    <w:rsid w:val="003C4E99"/>
    <w:rsid w:val="003C529F"/>
    <w:rsid w:val="003C56BD"/>
    <w:rsid w:val="003C57B3"/>
    <w:rsid w:val="003C5825"/>
    <w:rsid w:val="003C5832"/>
    <w:rsid w:val="003C5E82"/>
    <w:rsid w:val="003C5FB5"/>
    <w:rsid w:val="003C5FC9"/>
    <w:rsid w:val="003C6014"/>
    <w:rsid w:val="003C61B7"/>
    <w:rsid w:val="003C61FB"/>
    <w:rsid w:val="003C63D3"/>
    <w:rsid w:val="003C646F"/>
    <w:rsid w:val="003C6481"/>
    <w:rsid w:val="003C6821"/>
    <w:rsid w:val="003C69BD"/>
    <w:rsid w:val="003C6A9D"/>
    <w:rsid w:val="003C6C60"/>
    <w:rsid w:val="003C6C69"/>
    <w:rsid w:val="003C6D6F"/>
    <w:rsid w:val="003C6E43"/>
    <w:rsid w:val="003C6F19"/>
    <w:rsid w:val="003C7449"/>
    <w:rsid w:val="003C7455"/>
    <w:rsid w:val="003C747D"/>
    <w:rsid w:val="003C7690"/>
    <w:rsid w:val="003C7778"/>
    <w:rsid w:val="003C7ACA"/>
    <w:rsid w:val="003C7AF1"/>
    <w:rsid w:val="003C7B13"/>
    <w:rsid w:val="003C7BE5"/>
    <w:rsid w:val="003D0022"/>
    <w:rsid w:val="003D0231"/>
    <w:rsid w:val="003D03BF"/>
    <w:rsid w:val="003D0656"/>
    <w:rsid w:val="003D0B52"/>
    <w:rsid w:val="003D0BED"/>
    <w:rsid w:val="003D1093"/>
    <w:rsid w:val="003D11B8"/>
    <w:rsid w:val="003D11E6"/>
    <w:rsid w:val="003D12D3"/>
    <w:rsid w:val="003D1332"/>
    <w:rsid w:val="003D1448"/>
    <w:rsid w:val="003D15C3"/>
    <w:rsid w:val="003D1621"/>
    <w:rsid w:val="003D17AF"/>
    <w:rsid w:val="003D1AC3"/>
    <w:rsid w:val="003D1ADC"/>
    <w:rsid w:val="003D1B4B"/>
    <w:rsid w:val="003D1BB5"/>
    <w:rsid w:val="003D1C60"/>
    <w:rsid w:val="003D1D95"/>
    <w:rsid w:val="003D1EA8"/>
    <w:rsid w:val="003D1EEC"/>
    <w:rsid w:val="003D1EF2"/>
    <w:rsid w:val="003D1F44"/>
    <w:rsid w:val="003D1F56"/>
    <w:rsid w:val="003D22D0"/>
    <w:rsid w:val="003D22D2"/>
    <w:rsid w:val="003D27ED"/>
    <w:rsid w:val="003D2B00"/>
    <w:rsid w:val="003D2C7E"/>
    <w:rsid w:val="003D325E"/>
    <w:rsid w:val="003D3314"/>
    <w:rsid w:val="003D33E2"/>
    <w:rsid w:val="003D343A"/>
    <w:rsid w:val="003D3537"/>
    <w:rsid w:val="003D35E6"/>
    <w:rsid w:val="003D3667"/>
    <w:rsid w:val="003D3A06"/>
    <w:rsid w:val="003D3C05"/>
    <w:rsid w:val="003D3CB2"/>
    <w:rsid w:val="003D3D91"/>
    <w:rsid w:val="003D3EC2"/>
    <w:rsid w:val="003D407D"/>
    <w:rsid w:val="003D4708"/>
    <w:rsid w:val="003D472C"/>
    <w:rsid w:val="003D477A"/>
    <w:rsid w:val="003D4D3C"/>
    <w:rsid w:val="003D4D86"/>
    <w:rsid w:val="003D5469"/>
    <w:rsid w:val="003D5847"/>
    <w:rsid w:val="003D597E"/>
    <w:rsid w:val="003D5B7A"/>
    <w:rsid w:val="003D5B9D"/>
    <w:rsid w:val="003D5EEE"/>
    <w:rsid w:val="003D614C"/>
    <w:rsid w:val="003D619A"/>
    <w:rsid w:val="003D63D3"/>
    <w:rsid w:val="003D6556"/>
    <w:rsid w:val="003D6603"/>
    <w:rsid w:val="003D6701"/>
    <w:rsid w:val="003D679B"/>
    <w:rsid w:val="003D6993"/>
    <w:rsid w:val="003D6B68"/>
    <w:rsid w:val="003D6C22"/>
    <w:rsid w:val="003D6D90"/>
    <w:rsid w:val="003D6F66"/>
    <w:rsid w:val="003D7078"/>
    <w:rsid w:val="003D71CF"/>
    <w:rsid w:val="003D758E"/>
    <w:rsid w:val="003D7767"/>
    <w:rsid w:val="003D79D2"/>
    <w:rsid w:val="003D7B4D"/>
    <w:rsid w:val="003D7BD1"/>
    <w:rsid w:val="003D7C86"/>
    <w:rsid w:val="003D7CF9"/>
    <w:rsid w:val="003D7FB1"/>
    <w:rsid w:val="003E01B9"/>
    <w:rsid w:val="003E0352"/>
    <w:rsid w:val="003E0577"/>
    <w:rsid w:val="003E05BD"/>
    <w:rsid w:val="003E0845"/>
    <w:rsid w:val="003E0976"/>
    <w:rsid w:val="003E0A15"/>
    <w:rsid w:val="003E0A3A"/>
    <w:rsid w:val="003E0C71"/>
    <w:rsid w:val="003E0C99"/>
    <w:rsid w:val="003E0E01"/>
    <w:rsid w:val="003E13F3"/>
    <w:rsid w:val="003E14BE"/>
    <w:rsid w:val="003E17FE"/>
    <w:rsid w:val="003E182D"/>
    <w:rsid w:val="003E1937"/>
    <w:rsid w:val="003E1A67"/>
    <w:rsid w:val="003E1AFB"/>
    <w:rsid w:val="003E1D66"/>
    <w:rsid w:val="003E1D6B"/>
    <w:rsid w:val="003E213F"/>
    <w:rsid w:val="003E2431"/>
    <w:rsid w:val="003E265D"/>
    <w:rsid w:val="003E2668"/>
    <w:rsid w:val="003E26B2"/>
    <w:rsid w:val="003E2831"/>
    <w:rsid w:val="003E2A56"/>
    <w:rsid w:val="003E2B86"/>
    <w:rsid w:val="003E2F4E"/>
    <w:rsid w:val="003E3016"/>
    <w:rsid w:val="003E3046"/>
    <w:rsid w:val="003E313A"/>
    <w:rsid w:val="003E3205"/>
    <w:rsid w:val="003E3248"/>
    <w:rsid w:val="003E32E1"/>
    <w:rsid w:val="003E32FE"/>
    <w:rsid w:val="003E345C"/>
    <w:rsid w:val="003E3615"/>
    <w:rsid w:val="003E399E"/>
    <w:rsid w:val="003E3AEF"/>
    <w:rsid w:val="003E3B96"/>
    <w:rsid w:val="003E3C04"/>
    <w:rsid w:val="003E3C5B"/>
    <w:rsid w:val="003E3F41"/>
    <w:rsid w:val="003E41D8"/>
    <w:rsid w:val="003E450B"/>
    <w:rsid w:val="003E4542"/>
    <w:rsid w:val="003E490D"/>
    <w:rsid w:val="003E49E8"/>
    <w:rsid w:val="003E4AB2"/>
    <w:rsid w:val="003E4D12"/>
    <w:rsid w:val="003E4D1C"/>
    <w:rsid w:val="003E5092"/>
    <w:rsid w:val="003E50A1"/>
    <w:rsid w:val="003E5127"/>
    <w:rsid w:val="003E536E"/>
    <w:rsid w:val="003E542F"/>
    <w:rsid w:val="003E569A"/>
    <w:rsid w:val="003E592F"/>
    <w:rsid w:val="003E5A18"/>
    <w:rsid w:val="003E5AB5"/>
    <w:rsid w:val="003E5B04"/>
    <w:rsid w:val="003E5B82"/>
    <w:rsid w:val="003E5C34"/>
    <w:rsid w:val="003E5C4C"/>
    <w:rsid w:val="003E5C79"/>
    <w:rsid w:val="003E5CED"/>
    <w:rsid w:val="003E5CEF"/>
    <w:rsid w:val="003E5D0E"/>
    <w:rsid w:val="003E5F33"/>
    <w:rsid w:val="003E64AF"/>
    <w:rsid w:val="003E6557"/>
    <w:rsid w:val="003E6615"/>
    <w:rsid w:val="003E694D"/>
    <w:rsid w:val="003E6CD0"/>
    <w:rsid w:val="003E74C3"/>
    <w:rsid w:val="003E7788"/>
    <w:rsid w:val="003E79F9"/>
    <w:rsid w:val="003E7ABA"/>
    <w:rsid w:val="003E7C34"/>
    <w:rsid w:val="003E7CC5"/>
    <w:rsid w:val="003E7D73"/>
    <w:rsid w:val="003E7FF4"/>
    <w:rsid w:val="003F0341"/>
    <w:rsid w:val="003F0396"/>
    <w:rsid w:val="003F059C"/>
    <w:rsid w:val="003F06E0"/>
    <w:rsid w:val="003F076E"/>
    <w:rsid w:val="003F083C"/>
    <w:rsid w:val="003F08C4"/>
    <w:rsid w:val="003F0949"/>
    <w:rsid w:val="003F0C38"/>
    <w:rsid w:val="003F0C77"/>
    <w:rsid w:val="003F0D7C"/>
    <w:rsid w:val="003F1100"/>
    <w:rsid w:val="003F1223"/>
    <w:rsid w:val="003F12E9"/>
    <w:rsid w:val="003F13FF"/>
    <w:rsid w:val="003F177A"/>
    <w:rsid w:val="003F18E4"/>
    <w:rsid w:val="003F1A45"/>
    <w:rsid w:val="003F1A78"/>
    <w:rsid w:val="003F1AB9"/>
    <w:rsid w:val="003F1B46"/>
    <w:rsid w:val="003F1BBE"/>
    <w:rsid w:val="003F1C13"/>
    <w:rsid w:val="003F1DC5"/>
    <w:rsid w:val="003F1FD6"/>
    <w:rsid w:val="003F2031"/>
    <w:rsid w:val="003F2136"/>
    <w:rsid w:val="003F21CC"/>
    <w:rsid w:val="003F2416"/>
    <w:rsid w:val="003F24A5"/>
    <w:rsid w:val="003F25AC"/>
    <w:rsid w:val="003F2648"/>
    <w:rsid w:val="003F26FE"/>
    <w:rsid w:val="003F28E8"/>
    <w:rsid w:val="003F2A44"/>
    <w:rsid w:val="003F2ABB"/>
    <w:rsid w:val="003F2C11"/>
    <w:rsid w:val="003F301F"/>
    <w:rsid w:val="003F323F"/>
    <w:rsid w:val="003F3377"/>
    <w:rsid w:val="003F33B7"/>
    <w:rsid w:val="003F349D"/>
    <w:rsid w:val="003F35A1"/>
    <w:rsid w:val="003F37FD"/>
    <w:rsid w:val="003F3854"/>
    <w:rsid w:val="003F385E"/>
    <w:rsid w:val="003F38DA"/>
    <w:rsid w:val="003F39AE"/>
    <w:rsid w:val="003F3A52"/>
    <w:rsid w:val="003F3B29"/>
    <w:rsid w:val="003F3C20"/>
    <w:rsid w:val="003F3EF1"/>
    <w:rsid w:val="003F41D5"/>
    <w:rsid w:val="003F4296"/>
    <w:rsid w:val="003F45B2"/>
    <w:rsid w:val="003F464C"/>
    <w:rsid w:val="003F4679"/>
    <w:rsid w:val="003F4B62"/>
    <w:rsid w:val="003F4D0A"/>
    <w:rsid w:val="003F4D78"/>
    <w:rsid w:val="003F5328"/>
    <w:rsid w:val="003F53FB"/>
    <w:rsid w:val="003F59F4"/>
    <w:rsid w:val="003F5B16"/>
    <w:rsid w:val="003F5CC5"/>
    <w:rsid w:val="003F5CD7"/>
    <w:rsid w:val="003F5CD8"/>
    <w:rsid w:val="003F5FDD"/>
    <w:rsid w:val="003F6086"/>
    <w:rsid w:val="003F60B1"/>
    <w:rsid w:val="003F60E1"/>
    <w:rsid w:val="003F6174"/>
    <w:rsid w:val="003F62DD"/>
    <w:rsid w:val="003F637E"/>
    <w:rsid w:val="003F648C"/>
    <w:rsid w:val="003F6633"/>
    <w:rsid w:val="003F6676"/>
    <w:rsid w:val="003F66FD"/>
    <w:rsid w:val="003F672A"/>
    <w:rsid w:val="003F68F5"/>
    <w:rsid w:val="003F6AAC"/>
    <w:rsid w:val="003F6DE4"/>
    <w:rsid w:val="003F6FBF"/>
    <w:rsid w:val="003F7000"/>
    <w:rsid w:val="003F757E"/>
    <w:rsid w:val="003F75D3"/>
    <w:rsid w:val="003F764A"/>
    <w:rsid w:val="003F78C8"/>
    <w:rsid w:val="003F79DA"/>
    <w:rsid w:val="003F7A53"/>
    <w:rsid w:val="003F7EFA"/>
    <w:rsid w:val="003F7F1F"/>
    <w:rsid w:val="003F7F49"/>
    <w:rsid w:val="004001AE"/>
    <w:rsid w:val="0040032A"/>
    <w:rsid w:val="0040033C"/>
    <w:rsid w:val="00400365"/>
    <w:rsid w:val="00400494"/>
    <w:rsid w:val="004004F6"/>
    <w:rsid w:val="0040058E"/>
    <w:rsid w:val="00400601"/>
    <w:rsid w:val="0040078F"/>
    <w:rsid w:val="00400D19"/>
    <w:rsid w:val="004010AA"/>
    <w:rsid w:val="004015C7"/>
    <w:rsid w:val="00401622"/>
    <w:rsid w:val="004017DF"/>
    <w:rsid w:val="00401A68"/>
    <w:rsid w:val="00401B69"/>
    <w:rsid w:val="00401DBF"/>
    <w:rsid w:val="00402064"/>
    <w:rsid w:val="00402082"/>
    <w:rsid w:val="004020B0"/>
    <w:rsid w:val="004020C4"/>
    <w:rsid w:val="0040214B"/>
    <w:rsid w:val="00402280"/>
    <w:rsid w:val="004023C9"/>
    <w:rsid w:val="00402480"/>
    <w:rsid w:val="00402537"/>
    <w:rsid w:val="004026EA"/>
    <w:rsid w:val="00402A79"/>
    <w:rsid w:val="00402B37"/>
    <w:rsid w:val="00402BA1"/>
    <w:rsid w:val="00402C3E"/>
    <w:rsid w:val="00402C48"/>
    <w:rsid w:val="00402D64"/>
    <w:rsid w:val="00402DC6"/>
    <w:rsid w:val="00403138"/>
    <w:rsid w:val="0040313C"/>
    <w:rsid w:val="004033DF"/>
    <w:rsid w:val="0040351E"/>
    <w:rsid w:val="004036D5"/>
    <w:rsid w:val="00403882"/>
    <w:rsid w:val="0040391C"/>
    <w:rsid w:val="00403A03"/>
    <w:rsid w:val="004040A5"/>
    <w:rsid w:val="0040421C"/>
    <w:rsid w:val="004042F5"/>
    <w:rsid w:val="004048E5"/>
    <w:rsid w:val="00404D94"/>
    <w:rsid w:val="00404DCD"/>
    <w:rsid w:val="0040548B"/>
    <w:rsid w:val="004054A8"/>
    <w:rsid w:val="00405533"/>
    <w:rsid w:val="00405572"/>
    <w:rsid w:val="004055FB"/>
    <w:rsid w:val="00405662"/>
    <w:rsid w:val="00405AE6"/>
    <w:rsid w:val="00405CF1"/>
    <w:rsid w:val="00405EA9"/>
    <w:rsid w:val="00406025"/>
    <w:rsid w:val="00406056"/>
    <w:rsid w:val="00406145"/>
    <w:rsid w:val="0040646D"/>
    <w:rsid w:val="00406500"/>
    <w:rsid w:val="0040667E"/>
    <w:rsid w:val="00406981"/>
    <w:rsid w:val="00406A86"/>
    <w:rsid w:val="00406AC1"/>
    <w:rsid w:val="00406BF8"/>
    <w:rsid w:val="00406CB1"/>
    <w:rsid w:val="00406EE6"/>
    <w:rsid w:val="00406FFC"/>
    <w:rsid w:val="004071A6"/>
    <w:rsid w:val="00407267"/>
    <w:rsid w:val="004073CA"/>
    <w:rsid w:val="00407441"/>
    <w:rsid w:val="004077D6"/>
    <w:rsid w:val="004077E6"/>
    <w:rsid w:val="0040780E"/>
    <w:rsid w:val="00407867"/>
    <w:rsid w:val="004079C1"/>
    <w:rsid w:val="00407C0D"/>
    <w:rsid w:val="0041017D"/>
    <w:rsid w:val="004101C4"/>
    <w:rsid w:val="004102C9"/>
    <w:rsid w:val="00410327"/>
    <w:rsid w:val="004104BE"/>
    <w:rsid w:val="0041069A"/>
    <w:rsid w:val="004107A8"/>
    <w:rsid w:val="00410883"/>
    <w:rsid w:val="00410A5C"/>
    <w:rsid w:val="00410C9B"/>
    <w:rsid w:val="00411033"/>
    <w:rsid w:val="00411317"/>
    <w:rsid w:val="004115C2"/>
    <w:rsid w:val="004115E1"/>
    <w:rsid w:val="004116F3"/>
    <w:rsid w:val="004117A8"/>
    <w:rsid w:val="004119D4"/>
    <w:rsid w:val="00411A53"/>
    <w:rsid w:val="00411B75"/>
    <w:rsid w:val="00411BEF"/>
    <w:rsid w:val="00411F5D"/>
    <w:rsid w:val="00412128"/>
    <w:rsid w:val="004121E7"/>
    <w:rsid w:val="00412423"/>
    <w:rsid w:val="004124D2"/>
    <w:rsid w:val="00412553"/>
    <w:rsid w:val="0041280C"/>
    <w:rsid w:val="00412BEA"/>
    <w:rsid w:val="00412D32"/>
    <w:rsid w:val="00412EA5"/>
    <w:rsid w:val="0041312D"/>
    <w:rsid w:val="00413353"/>
    <w:rsid w:val="00413360"/>
    <w:rsid w:val="0041343A"/>
    <w:rsid w:val="004137B8"/>
    <w:rsid w:val="004137CA"/>
    <w:rsid w:val="00413987"/>
    <w:rsid w:val="00413A2A"/>
    <w:rsid w:val="00413C9A"/>
    <w:rsid w:val="004140AD"/>
    <w:rsid w:val="00414149"/>
    <w:rsid w:val="00414334"/>
    <w:rsid w:val="00414492"/>
    <w:rsid w:val="004144BC"/>
    <w:rsid w:val="00414627"/>
    <w:rsid w:val="00414665"/>
    <w:rsid w:val="00414673"/>
    <w:rsid w:val="0041473B"/>
    <w:rsid w:val="00414753"/>
    <w:rsid w:val="00414785"/>
    <w:rsid w:val="0041478B"/>
    <w:rsid w:val="00414875"/>
    <w:rsid w:val="00414A66"/>
    <w:rsid w:val="00414B30"/>
    <w:rsid w:val="00414C6B"/>
    <w:rsid w:val="00414E51"/>
    <w:rsid w:val="00414E5C"/>
    <w:rsid w:val="0041517D"/>
    <w:rsid w:val="004151EC"/>
    <w:rsid w:val="004152D6"/>
    <w:rsid w:val="0041533D"/>
    <w:rsid w:val="00415613"/>
    <w:rsid w:val="00415BC8"/>
    <w:rsid w:val="00415C34"/>
    <w:rsid w:val="00415C58"/>
    <w:rsid w:val="00415D9B"/>
    <w:rsid w:val="00415FD4"/>
    <w:rsid w:val="00416093"/>
    <w:rsid w:val="004161C5"/>
    <w:rsid w:val="004162D3"/>
    <w:rsid w:val="00416512"/>
    <w:rsid w:val="004167C7"/>
    <w:rsid w:val="004167DB"/>
    <w:rsid w:val="004168D5"/>
    <w:rsid w:val="00416CA7"/>
    <w:rsid w:val="00416CC7"/>
    <w:rsid w:val="00416D3C"/>
    <w:rsid w:val="00416E86"/>
    <w:rsid w:val="00417008"/>
    <w:rsid w:val="00417052"/>
    <w:rsid w:val="0041723F"/>
    <w:rsid w:val="00417347"/>
    <w:rsid w:val="004173A0"/>
    <w:rsid w:val="0041747D"/>
    <w:rsid w:val="004175FD"/>
    <w:rsid w:val="0041760B"/>
    <w:rsid w:val="00417665"/>
    <w:rsid w:val="00417676"/>
    <w:rsid w:val="00417775"/>
    <w:rsid w:val="004179E2"/>
    <w:rsid w:val="00417E60"/>
    <w:rsid w:val="00417F38"/>
    <w:rsid w:val="004202E1"/>
    <w:rsid w:val="004203D7"/>
    <w:rsid w:val="004203EF"/>
    <w:rsid w:val="00420435"/>
    <w:rsid w:val="0042070E"/>
    <w:rsid w:val="0042094B"/>
    <w:rsid w:val="00420F04"/>
    <w:rsid w:val="00420F2E"/>
    <w:rsid w:val="00420F7D"/>
    <w:rsid w:val="00420FCA"/>
    <w:rsid w:val="004210BA"/>
    <w:rsid w:val="004211C3"/>
    <w:rsid w:val="00421349"/>
    <w:rsid w:val="004213A2"/>
    <w:rsid w:val="004213A6"/>
    <w:rsid w:val="00421468"/>
    <w:rsid w:val="004214FC"/>
    <w:rsid w:val="00421686"/>
    <w:rsid w:val="0042175D"/>
    <w:rsid w:val="00421870"/>
    <w:rsid w:val="00421AF8"/>
    <w:rsid w:val="00421B21"/>
    <w:rsid w:val="00421D74"/>
    <w:rsid w:val="00421E4D"/>
    <w:rsid w:val="00421E8F"/>
    <w:rsid w:val="00422471"/>
    <w:rsid w:val="0042256A"/>
    <w:rsid w:val="004225C8"/>
    <w:rsid w:val="00422626"/>
    <w:rsid w:val="00422816"/>
    <w:rsid w:val="004228C6"/>
    <w:rsid w:val="0042295B"/>
    <w:rsid w:val="00422A2C"/>
    <w:rsid w:val="00422A41"/>
    <w:rsid w:val="00422AF3"/>
    <w:rsid w:val="00422BA4"/>
    <w:rsid w:val="00422C29"/>
    <w:rsid w:val="00422D03"/>
    <w:rsid w:val="00423099"/>
    <w:rsid w:val="0042347C"/>
    <w:rsid w:val="00423B2A"/>
    <w:rsid w:val="00423CBD"/>
    <w:rsid w:val="004240A9"/>
    <w:rsid w:val="004241CE"/>
    <w:rsid w:val="00424200"/>
    <w:rsid w:val="00424564"/>
    <w:rsid w:val="004247F9"/>
    <w:rsid w:val="00424D0A"/>
    <w:rsid w:val="00424E79"/>
    <w:rsid w:val="00424FA9"/>
    <w:rsid w:val="00424FEF"/>
    <w:rsid w:val="004250FC"/>
    <w:rsid w:val="00425239"/>
    <w:rsid w:val="0042558E"/>
    <w:rsid w:val="00425A1C"/>
    <w:rsid w:val="00425B48"/>
    <w:rsid w:val="00425BA1"/>
    <w:rsid w:val="00425CB4"/>
    <w:rsid w:val="00425CCC"/>
    <w:rsid w:val="00425CCF"/>
    <w:rsid w:val="00426178"/>
    <w:rsid w:val="004263F3"/>
    <w:rsid w:val="0042661C"/>
    <w:rsid w:val="0042661F"/>
    <w:rsid w:val="00426656"/>
    <w:rsid w:val="004266CB"/>
    <w:rsid w:val="00426823"/>
    <w:rsid w:val="00426916"/>
    <w:rsid w:val="00426B0F"/>
    <w:rsid w:val="00426B60"/>
    <w:rsid w:val="00426B8D"/>
    <w:rsid w:val="00426C92"/>
    <w:rsid w:val="00427043"/>
    <w:rsid w:val="0042718E"/>
    <w:rsid w:val="00427271"/>
    <w:rsid w:val="004274B3"/>
    <w:rsid w:val="004274E5"/>
    <w:rsid w:val="00427771"/>
    <w:rsid w:val="00427808"/>
    <w:rsid w:val="00427D61"/>
    <w:rsid w:val="00427F27"/>
    <w:rsid w:val="0043009C"/>
    <w:rsid w:val="00430294"/>
    <w:rsid w:val="004303AB"/>
    <w:rsid w:val="0043044F"/>
    <w:rsid w:val="0043062E"/>
    <w:rsid w:val="00430734"/>
    <w:rsid w:val="00430769"/>
    <w:rsid w:val="0043076A"/>
    <w:rsid w:val="00430828"/>
    <w:rsid w:val="004308D5"/>
    <w:rsid w:val="00430BDD"/>
    <w:rsid w:val="00430E16"/>
    <w:rsid w:val="0043113F"/>
    <w:rsid w:val="004311BF"/>
    <w:rsid w:val="004312D4"/>
    <w:rsid w:val="00431785"/>
    <w:rsid w:val="00431B17"/>
    <w:rsid w:val="00431B89"/>
    <w:rsid w:val="00431C9B"/>
    <w:rsid w:val="00432048"/>
    <w:rsid w:val="00432112"/>
    <w:rsid w:val="00432231"/>
    <w:rsid w:val="004323EB"/>
    <w:rsid w:val="004324F9"/>
    <w:rsid w:val="00432540"/>
    <w:rsid w:val="00432560"/>
    <w:rsid w:val="004329B4"/>
    <w:rsid w:val="004329CF"/>
    <w:rsid w:val="00432B2A"/>
    <w:rsid w:val="00432C2D"/>
    <w:rsid w:val="00432D72"/>
    <w:rsid w:val="00432D78"/>
    <w:rsid w:val="00432E48"/>
    <w:rsid w:val="00432ED2"/>
    <w:rsid w:val="00432F22"/>
    <w:rsid w:val="004331A5"/>
    <w:rsid w:val="004331E2"/>
    <w:rsid w:val="004332B3"/>
    <w:rsid w:val="00433469"/>
    <w:rsid w:val="00433529"/>
    <w:rsid w:val="0043361D"/>
    <w:rsid w:val="0043362C"/>
    <w:rsid w:val="00433C2A"/>
    <w:rsid w:val="00433F36"/>
    <w:rsid w:val="00433FC4"/>
    <w:rsid w:val="00433FEE"/>
    <w:rsid w:val="00434166"/>
    <w:rsid w:val="004344BF"/>
    <w:rsid w:val="00434513"/>
    <w:rsid w:val="0043452F"/>
    <w:rsid w:val="00434660"/>
    <w:rsid w:val="00434763"/>
    <w:rsid w:val="00434864"/>
    <w:rsid w:val="00434B15"/>
    <w:rsid w:val="00434B64"/>
    <w:rsid w:val="00434C50"/>
    <w:rsid w:val="00434E34"/>
    <w:rsid w:val="00435357"/>
    <w:rsid w:val="0043588E"/>
    <w:rsid w:val="00435A59"/>
    <w:rsid w:val="00435CB8"/>
    <w:rsid w:val="00435E7A"/>
    <w:rsid w:val="00436217"/>
    <w:rsid w:val="00436227"/>
    <w:rsid w:val="0043632B"/>
    <w:rsid w:val="00436624"/>
    <w:rsid w:val="00436E6C"/>
    <w:rsid w:val="00436FC8"/>
    <w:rsid w:val="00437057"/>
    <w:rsid w:val="00437135"/>
    <w:rsid w:val="004371D4"/>
    <w:rsid w:val="004372F5"/>
    <w:rsid w:val="004375B3"/>
    <w:rsid w:val="00437B99"/>
    <w:rsid w:val="00437D28"/>
    <w:rsid w:val="0044016F"/>
    <w:rsid w:val="00440360"/>
    <w:rsid w:val="004403F7"/>
    <w:rsid w:val="0044044D"/>
    <w:rsid w:val="0044052A"/>
    <w:rsid w:val="004408BF"/>
    <w:rsid w:val="00440C8C"/>
    <w:rsid w:val="00440CBC"/>
    <w:rsid w:val="00440FA8"/>
    <w:rsid w:val="00441186"/>
    <w:rsid w:val="004412FA"/>
    <w:rsid w:val="004412FE"/>
    <w:rsid w:val="0044167F"/>
    <w:rsid w:val="004417B4"/>
    <w:rsid w:val="004418E1"/>
    <w:rsid w:val="00441CBC"/>
    <w:rsid w:val="00441F98"/>
    <w:rsid w:val="0044207C"/>
    <w:rsid w:val="00442442"/>
    <w:rsid w:val="00442E15"/>
    <w:rsid w:val="00442E9B"/>
    <w:rsid w:val="00442EE4"/>
    <w:rsid w:val="0044317D"/>
    <w:rsid w:val="00443453"/>
    <w:rsid w:val="00443518"/>
    <w:rsid w:val="004438AB"/>
    <w:rsid w:val="004438E4"/>
    <w:rsid w:val="00443AAD"/>
    <w:rsid w:val="00443B64"/>
    <w:rsid w:val="00443B94"/>
    <w:rsid w:val="00443E1F"/>
    <w:rsid w:val="00443E7A"/>
    <w:rsid w:val="00443EC1"/>
    <w:rsid w:val="0044403E"/>
    <w:rsid w:val="004441D6"/>
    <w:rsid w:val="00444240"/>
    <w:rsid w:val="0044429D"/>
    <w:rsid w:val="0044432A"/>
    <w:rsid w:val="004443E1"/>
    <w:rsid w:val="00444498"/>
    <w:rsid w:val="004444CE"/>
    <w:rsid w:val="0044459E"/>
    <w:rsid w:val="0044495A"/>
    <w:rsid w:val="00444DBC"/>
    <w:rsid w:val="00444E7A"/>
    <w:rsid w:val="00444E90"/>
    <w:rsid w:val="0044509B"/>
    <w:rsid w:val="0044511B"/>
    <w:rsid w:val="004454CA"/>
    <w:rsid w:val="004454DF"/>
    <w:rsid w:val="004454EE"/>
    <w:rsid w:val="0044566E"/>
    <w:rsid w:val="004458A9"/>
    <w:rsid w:val="00446009"/>
    <w:rsid w:val="0044633E"/>
    <w:rsid w:val="00446428"/>
    <w:rsid w:val="00446990"/>
    <w:rsid w:val="00446A96"/>
    <w:rsid w:val="00446C68"/>
    <w:rsid w:val="00446D05"/>
    <w:rsid w:val="00446EDF"/>
    <w:rsid w:val="00446F26"/>
    <w:rsid w:val="00447348"/>
    <w:rsid w:val="0044756C"/>
    <w:rsid w:val="00447666"/>
    <w:rsid w:val="00447725"/>
    <w:rsid w:val="004477FF"/>
    <w:rsid w:val="00447AC9"/>
    <w:rsid w:val="00447CE7"/>
    <w:rsid w:val="00447D1A"/>
    <w:rsid w:val="00447D60"/>
    <w:rsid w:val="00447EDA"/>
    <w:rsid w:val="004501C2"/>
    <w:rsid w:val="004502B2"/>
    <w:rsid w:val="00450353"/>
    <w:rsid w:val="00450452"/>
    <w:rsid w:val="0045047E"/>
    <w:rsid w:val="004504E9"/>
    <w:rsid w:val="00450B57"/>
    <w:rsid w:val="00450CD9"/>
    <w:rsid w:val="00450D2E"/>
    <w:rsid w:val="00450E7C"/>
    <w:rsid w:val="00451065"/>
    <w:rsid w:val="00451433"/>
    <w:rsid w:val="0045168B"/>
    <w:rsid w:val="00451970"/>
    <w:rsid w:val="00451A08"/>
    <w:rsid w:val="00451E80"/>
    <w:rsid w:val="00451F6A"/>
    <w:rsid w:val="0045205A"/>
    <w:rsid w:val="004522AA"/>
    <w:rsid w:val="00452434"/>
    <w:rsid w:val="004525AD"/>
    <w:rsid w:val="00452631"/>
    <w:rsid w:val="00452999"/>
    <w:rsid w:val="00452EAE"/>
    <w:rsid w:val="00452EC3"/>
    <w:rsid w:val="00452EF2"/>
    <w:rsid w:val="00452FEC"/>
    <w:rsid w:val="004530A0"/>
    <w:rsid w:val="00453264"/>
    <w:rsid w:val="0045350E"/>
    <w:rsid w:val="0045374B"/>
    <w:rsid w:val="00453BC0"/>
    <w:rsid w:val="00453C6C"/>
    <w:rsid w:val="0045402E"/>
    <w:rsid w:val="004540C6"/>
    <w:rsid w:val="004542C8"/>
    <w:rsid w:val="00454A2F"/>
    <w:rsid w:val="00454AB9"/>
    <w:rsid w:val="00454F78"/>
    <w:rsid w:val="004551F2"/>
    <w:rsid w:val="0045521A"/>
    <w:rsid w:val="0045526D"/>
    <w:rsid w:val="00455597"/>
    <w:rsid w:val="00455861"/>
    <w:rsid w:val="00455871"/>
    <w:rsid w:val="0045588C"/>
    <w:rsid w:val="00456013"/>
    <w:rsid w:val="00456084"/>
    <w:rsid w:val="00456226"/>
    <w:rsid w:val="0045628F"/>
    <w:rsid w:val="004562B8"/>
    <w:rsid w:val="004562E1"/>
    <w:rsid w:val="0045650E"/>
    <w:rsid w:val="004568D7"/>
    <w:rsid w:val="00456AF8"/>
    <w:rsid w:val="00456B54"/>
    <w:rsid w:val="00456C01"/>
    <w:rsid w:val="00456E0B"/>
    <w:rsid w:val="004570FF"/>
    <w:rsid w:val="004571B9"/>
    <w:rsid w:val="004574E7"/>
    <w:rsid w:val="0045751F"/>
    <w:rsid w:val="00457597"/>
    <w:rsid w:val="004575B3"/>
    <w:rsid w:val="00457629"/>
    <w:rsid w:val="00457981"/>
    <w:rsid w:val="00457990"/>
    <w:rsid w:val="00457BFB"/>
    <w:rsid w:val="00457C7C"/>
    <w:rsid w:val="00457FCA"/>
    <w:rsid w:val="00460114"/>
    <w:rsid w:val="004603DF"/>
    <w:rsid w:val="004608DA"/>
    <w:rsid w:val="00460915"/>
    <w:rsid w:val="00460A7B"/>
    <w:rsid w:val="00460C27"/>
    <w:rsid w:val="00460ED3"/>
    <w:rsid w:val="00460EEA"/>
    <w:rsid w:val="00461322"/>
    <w:rsid w:val="0046147A"/>
    <w:rsid w:val="0046163F"/>
    <w:rsid w:val="0046167C"/>
    <w:rsid w:val="0046173E"/>
    <w:rsid w:val="0046174C"/>
    <w:rsid w:val="0046191D"/>
    <w:rsid w:val="00461948"/>
    <w:rsid w:val="00461BAB"/>
    <w:rsid w:val="00461CDE"/>
    <w:rsid w:val="00461ECC"/>
    <w:rsid w:val="00462036"/>
    <w:rsid w:val="00462117"/>
    <w:rsid w:val="0046222A"/>
    <w:rsid w:val="00462617"/>
    <w:rsid w:val="00462914"/>
    <w:rsid w:val="00462A10"/>
    <w:rsid w:val="00462A7E"/>
    <w:rsid w:val="00462B54"/>
    <w:rsid w:val="00462D81"/>
    <w:rsid w:val="00463064"/>
    <w:rsid w:val="00463134"/>
    <w:rsid w:val="0046334D"/>
    <w:rsid w:val="004633A5"/>
    <w:rsid w:val="004636C5"/>
    <w:rsid w:val="004637AF"/>
    <w:rsid w:val="00463861"/>
    <w:rsid w:val="004639CF"/>
    <w:rsid w:val="004639EE"/>
    <w:rsid w:val="00463DB5"/>
    <w:rsid w:val="00463E99"/>
    <w:rsid w:val="004640FD"/>
    <w:rsid w:val="00464118"/>
    <w:rsid w:val="00464155"/>
    <w:rsid w:val="004642C9"/>
    <w:rsid w:val="004643ED"/>
    <w:rsid w:val="00464468"/>
    <w:rsid w:val="0046466B"/>
    <w:rsid w:val="004649B4"/>
    <w:rsid w:val="004649CD"/>
    <w:rsid w:val="00464C37"/>
    <w:rsid w:val="00464E92"/>
    <w:rsid w:val="00465032"/>
    <w:rsid w:val="00465172"/>
    <w:rsid w:val="00465183"/>
    <w:rsid w:val="0046529B"/>
    <w:rsid w:val="00465385"/>
    <w:rsid w:val="0046558A"/>
    <w:rsid w:val="004656CF"/>
    <w:rsid w:val="00465B0E"/>
    <w:rsid w:val="00465D65"/>
    <w:rsid w:val="00465E91"/>
    <w:rsid w:val="00465EC7"/>
    <w:rsid w:val="00465FF1"/>
    <w:rsid w:val="00466113"/>
    <w:rsid w:val="004662FD"/>
    <w:rsid w:val="00466460"/>
    <w:rsid w:val="0046658A"/>
    <w:rsid w:val="00466750"/>
    <w:rsid w:val="00466805"/>
    <w:rsid w:val="0046685B"/>
    <w:rsid w:val="00466950"/>
    <w:rsid w:val="0046699F"/>
    <w:rsid w:val="00466FC4"/>
    <w:rsid w:val="004670A0"/>
    <w:rsid w:val="00467116"/>
    <w:rsid w:val="0046770A"/>
    <w:rsid w:val="0046776B"/>
    <w:rsid w:val="004677D7"/>
    <w:rsid w:val="00467A5C"/>
    <w:rsid w:val="00467ABD"/>
    <w:rsid w:val="00467C17"/>
    <w:rsid w:val="00467E2B"/>
    <w:rsid w:val="00470253"/>
    <w:rsid w:val="0047042A"/>
    <w:rsid w:val="0047052A"/>
    <w:rsid w:val="004709CA"/>
    <w:rsid w:val="00470B62"/>
    <w:rsid w:val="00470BAE"/>
    <w:rsid w:val="00470BEB"/>
    <w:rsid w:val="00471073"/>
    <w:rsid w:val="004713C1"/>
    <w:rsid w:val="00471411"/>
    <w:rsid w:val="00471956"/>
    <w:rsid w:val="00471D36"/>
    <w:rsid w:val="00471DEC"/>
    <w:rsid w:val="00471DFD"/>
    <w:rsid w:val="0047233E"/>
    <w:rsid w:val="00472461"/>
    <w:rsid w:val="004724BE"/>
    <w:rsid w:val="00472686"/>
    <w:rsid w:val="004727AD"/>
    <w:rsid w:val="00472A90"/>
    <w:rsid w:val="00472B98"/>
    <w:rsid w:val="00472DEE"/>
    <w:rsid w:val="00472E70"/>
    <w:rsid w:val="00472FC5"/>
    <w:rsid w:val="0047310C"/>
    <w:rsid w:val="00473141"/>
    <w:rsid w:val="004732CA"/>
    <w:rsid w:val="00473714"/>
    <w:rsid w:val="004739DF"/>
    <w:rsid w:val="00473C3D"/>
    <w:rsid w:val="00473EBA"/>
    <w:rsid w:val="00474240"/>
    <w:rsid w:val="00474445"/>
    <w:rsid w:val="004744A6"/>
    <w:rsid w:val="0047451E"/>
    <w:rsid w:val="00474550"/>
    <w:rsid w:val="004745A2"/>
    <w:rsid w:val="0047475B"/>
    <w:rsid w:val="00474801"/>
    <w:rsid w:val="00474835"/>
    <w:rsid w:val="00474855"/>
    <w:rsid w:val="00474AB6"/>
    <w:rsid w:val="00474EA2"/>
    <w:rsid w:val="00475021"/>
    <w:rsid w:val="00475562"/>
    <w:rsid w:val="004759EC"/>
    <w:rsid w:val="00475AD1"/>
    <w:rsid w:val="00475B95"/>
    <w:rsid w:val="00475BFE"/>
    <w:rsid w:val="00475C23"/>
    <w:rsid w:val="00475C50"/>
    <w:rsid w:val="00475DB4"/>
    <w:rsid w:val="00475DDB"/>
    <w:rsid w:val="00475FBD"/>
    <w:rsid w:val="004762F3"/>
    <w:rsid w:val="0047654D"/>
    <w:rsid w:val="004767BA"/>
    <w:rsid w:val="00476A62"/>
    <w:rsid w:val="00476AC7"/>
    <w:rsid w:val="00476C06"/>
    <w:rsid w:val="00476E11"/>
    <w:rsid w:val="00476FFB"/>
    <w:rsid w:val="00477042"/>
    <w:rsid w:val="0047711B"/>
    <w:rsid w:val="00477404"/>
    <w:rsid w:val="00477483"/>
    <w:rsid w:val="00477612"/>
    <w:rsid w:val="00477A0E"/>
    <w:rsid w:val="00477A41"/>
    <w:rsid w:val="00477B93"/>
    <w:rsid w:val="00477C42"/>
    <w:rsid w:val="00477FEA"/>
    <w:rsid w:val="00480065"/>
    <w:rsid w:val="00480518"/>
    <w:rsid w:val="00480562"/>
    <w:rsid w:val="00480564"/>
    <w:rsid w:val="004808B8"/>
    <w:rsid w:val="0048091B"/>
    <w:rsid w:val="004809B8"/>
    <w:rsid w:val="00480A66"/>
    <w:rsid w:val="00480DD9"/>
    <w:rsid w:val="00480E23"/>
    <w:rsid w:val="0048107D"/>
    <w:rsid w:val="0048119A"/>
    <w:rsid w:val="00481697"/>
    <w:rsid w:val="00481708"/>
    <w:rsid w:val="004817E9"/>
    <w:rsid w:val="0048198A"/>
    <w:rsid w:val="00481B00"/>
    <w:rsid w:val="00481CFE"/>
    <w:rsid w:val="00481D63"/>
    <w:rsid w:val="00481E29"/>
    <w:rsid w:val="00481F10"/>
    <w:rsid w:val="004820FA"/>
    <w:rsid w:val="004821B9"/>
    <w:rsid w:val="004824F0"/>
    <w:rsid w:val="00482505"/>
    <w:rsid w:val="00482758"/>
    <w:rsid w:val="00482D63"/>
    <w:rsid w:val="004831E1"/>
    <w:rsid w:val="00483217"/>
    <w:rsid w:val="0048347E"/>
    <w:rsid w:val="00483534"/>
    <w:rsid w:val="00483668"/>
    <w:rsid w:val="0048397D"/>
    <w:rsid w:val="00483A69"/>
    <w:rsid w:val="00483D40"/>
    <w:rsid w:val="00483D7D"/>
    <w:rsid w:val="004840D6"/>
    <w:rsid w:val="0048449F"/>
    <w:rsid w:val="00484509"/>
    <w:rsid w:val="004845C3"/>
    <w:rsid w:val="00484747"/>
    <w:rsid w:val="004847D1"/>
    <w:rsid w:val="004848A8"/>
    <w:rsid w:val="00484A2A"/>
    <w:rsid w:val="00484A38"/>
    <w:rsid w:val="00484A96"/>
    <w:rsid w:val="00484AA6"/>
    <w:rsid w:val="00484B57"/>
    <w:rsid w:val="00484CFB"/>
    <w:rsid w:val="00484D05"/>
    <w:rsid w:val="00485301"/>
    <w:rsid w:val="00485601"/>
    <w:rsid w:val="00485612"/>
    <w:rsid w:val="004856C7"/>
    <w:rsid w:val="00485731"/>
    <w:rsid w:val="00485878"/>
    <w:rsid w:val="004858AE"/>
    <w:rsid w:val="00485A0F"/>
    <w:rsid w:val="00485B73"/>
    <w:rsid w:val="00485DD4"/>
    <w:rsid w:val="00485F13"/>
    <w:rsid w:val="00486029"/>
    <w:rsid w:val="00486093"/>
    <w:rsid w:val="0048632D"/>
    <w:rsid w:val="00486476"/>
    <w:rsid w:val="004866C2"/>
    <w:rsid w:val="00486762"/>
    <w:rsid w:val="004868BE"/>
    <w:rsid w:val="00486E2E"/>
    <w:rsid w:val="00487002"/>
    <w:rsid w:val="0048701F"/>
    <w:rsid w:val="00487183"/>
    <w:rsid w:val="00487498"/>
    <w:rsid w:val="004875BC"/>
    <w:rsid w:val="004879EC"/>
    <w:rsid w:val="00487A1E"/>
    <w:rsid w:val="00487AAA"/>
    <w:rsid w:val="00487AFC"/>
    <w:rsid w:val="00487D40"/>
    <w:rsid w:val="004902A7"/>
    <w:rsid w:val="004902E9"/>
    <w:rsid w:val="0049063F"/>
    <w:rsid w:val="0049069F"/>
    <w:rsid w:val="00490742"/>
    <w:rsid w:val="004908BF"/>
    <w:rsid w:val="00490902"/>
    <w:rsid w:val="00490A31"/>
    <w:rsid w:val="004910A6"/>
    <w:rsid w:val="004911E2"/>
    <w:rsid w:val="004914F2"/>
    <w:rsid w:val="00491575"/>
    <w:rsid w:val="004916CB"/>
    <w:rsid w:val="00491718"/>
    <w:rsid w:val="00491721"/>
    <w:rsid w:val="004917CD"/>
    <w:rsid w:val="0049183D"/>
    <w:rsid w:val="00491880"/>
    <w:rsid w:val="0049198B"/>
    <w:rsid w:val="00491D88"/>
    <w:rsid w:val="00491DDD"/>
    <w:rsid w:val="00491F79"/>
    <w:rsid w:val="00491FDF"/>
    <w:rsid w:val="00492271"/>
    <w:rsid w:val="004924C1"/>
    <w:rsid w:val="004925BF"/>
    <w:rsid w:val="004926AE"/>
    <w:rsid w:val="0049270C"/>
    <w:rsid w:val="004927D8"/>
    <w:rsid w:val="004928B3"/>
    <w:rsid w:val="004928BF"/>
    <w:rsid w:val="0049297E"/>
    <w:rsid w:val="00492F15"/>
    <w:rsid w:val="00492F18"/>
    <w:rsid w:val="00493021"/>
    <w:rsid w:val="00493159"/>
    <w:rsid w:val="00493277"/>
    <w:rsid w:val="004935ED"/>
    <w:rsid w:val="00493631"/>
    <w:rsid w:val="00493718"/>
    <w:rsid w:val="0049374D"/>
    <w:rsid w:val="00493BE7"/>
    <w:rsid w:val="00493CF0"/>
    <w:rsid w:val="004940E2"/>
    <w:rsid w:val="004942B5"/>
    <w:rsid w:val="004943E1"/>
    <w:rsid w:val="0049459C"/>
    <w:rsid w:val="00494708"/>
    <w:rsid w:val="004947E4"/>
    <w:rsid w:val="00494A0E"/>
    <w:rsid w:val="00494B99"/>
    <w:rsid w:val="00494C4A"/>
    <w:rsid w:val="00494DA3"/>
    <w:rsid w:val="00494E80"/>
    <w:rsid w:val="0049508D"/>
    <w:rsid w:val="004953C9"/>
    <w:rsid w:val="0049542C"/>
    <w:rsid w:val="004954A6"/>
    <w:rsid w:val="004954B0"/>
    <w:rsid w:val="004957EF"/>
    <w:rsid w:val="004958AC"/>
    <w:rsid w:val="00495B2F"/>
    <w:rsid w:val="00495E89"/>
    <w:rsid w:val="00495F4B"/>
    <w:rsid w:val="00495FD4"/>
    <w:rsid w:val="0049605C"/>
    <w:rsid w:val="004960CE"/>
    <w:rsid w:val="00496250"/>
    <w:rsid w:val="004965C1"/>
    <w:rsid w:val="004965F7"/>
    <w:rsid w:val="00496605"/>
    <w:rsid w:val="004966F6"/>
    <w:rsid w:val="0049687E"/>
    <w:rsid w:val="004969AF"/>
    <w:rsid w:val="00496C99"/>
    <w:rsid w:val="00496C9B"/>
    <w:rsid w:val="00496DA4"/>
    <w:rsid w:val="00497081"/>
    <w:rsid w:val="004970F8"/>
    <w:rsid w:val="00497174"/>
    <w:rsid w:val="0049736B"/>
    <w:rsid w:val="00497382"/>
    <w:rsid w:val="00497552"/>
    <w:rsid w:val="004975AD"/>
    <w:rsid w:val="00497707"/>
    <w:rsid w:val="00497950"/>
    <w:rsid w:val="00497A66"/>
    <w:rsid w:val="00497B09"/>
    <w:rsid w:val="00497BFA"/>
    <w:rsid w:val="00497E23"/>
    <w:rsid w:val="00497FBF"/>
    <w:rsid w:val="004A04F8"/>
    <w:rsid w:val="004A053D"/>
    <w:rsid w:val="004A06F9"/>
    <w:rsid w:val="004A0741"/>
    <w:rsid w:val="004A083C"/>
    <w:rsid w:val="004A09FA"/>
    <w:rsid w:val="004A0F3D"/>
    <w:rsid w:val="004A104E"/>
    <w:rsid w:val="004A13D6"/>
    <w:rsid w:val="004A151B"/>
    <w:rsid w:val="004A15F1"/>
    <w:rsid w:val="004A1635"/>
    <w:rsid w:val="004A1CF5"/>
    <w:rsid w:val="004A1D47"/>
    <w:rsid w:val="004A1E7A"/>
    <w:rsid w:val="004A1EE8"/>
    <w:rsid w:val="004A1FCC"/>
    <w:rsid w:val="004A204E"/>
    <w:rsid w:val="004A2175"/>
    <w:rsid w:val="004A2565"/>
    <w:rsid w:val="004A2635"/>
    <w:rsid w:val="004A267A"/>
    <w:rsid w:val="004A27C8"/>
    <w:rsid w:val="004A2928"/>
    <w:rsid w:val="004A29BD"/>
    <w:rsid w:val="004A2AE7"/>
    <w:rsid w:val="004A2B62"/>
    <w:rsid w:val="004A2C67"/>
    <w:rsid w:val="004A2F18"/>
    <w:rsid w:val="004A2FFD"/>
    <w:rsid w:val="004A30B8"/>
    <w:rsid w:val="004A3183"/>
    <w:rsid w:val="004A325C"/>
    <w:rsid w:val="004A341D"/>
    <w:rsid w:val="004A3873"/>
    <w:rsid w:val="004A39C9"/>
    <w:rsid w:val="004A3B78"/>
    <w:rsid w:val="004A3C56"/>
    <w:rsid w:val="004A3D54"/>
    <w:rsid w:val="004A3FF1"/>
    <w:rsid w:val="004A4036"/>
    <w:rsid w:val="004A407B"/>
    <w:rsid w:val="004A40B0"/>
    <w:rsid w:val="004A41FB"/>
    <w:rsid w:val="004A4309"/>
    <w:rsid w:val="004A4502"/>
    <w:rsid w:val="004A46E0"/>
    <w:rsid w:val="004A46FF"/>
    <w:rsid w:val="004A4782"/>
    <w:rsid w:val="004A4A56"/>
    <w:rsid w:val="004A4BFA"/>
    <w:rsid w:val="004A4C79"/>
    <w:rsid w:val="004A4CBD"/>
    <w:rsid w:val="004A4D86"/>
    <w:rsid w:val="004A4FB6"/>
    <w:rsid w:val="004A503C"/>
    <w:rsid w:val="004A5566"/>
    <w:rsid w:val="004A56B1"/>
    <w:rsid w:val="004A5A65"/>
    <w:rsid w:val="004A5BA2"/>
    <w:rsid w:val="004A5CBC"/>
    <w:rsid w:val="004A5F9D"/>
    <w:rsid w:val="004A60AA"/>
    <w:rsid w:val="004A6101"/>
    <w:rsid w:val="004A6166"/>
    <w:rsid w:val="004A616E"/>
    <w:rsid w:val="004A63E5"/>
    <w:rsid w:val="004A657E"/>
    <w:rsid w:val="004A66FC"/>
    <w:rsid w:val="004A67E9"/>
    <w:rsid w:val="004A687D"/>
    <w:rsid w:val="004A6896"/>
    <w:rsid w:val="004A69B4"/>
    <w:rsid w:val="004A6B13"/>
    <w:rsid w:val="004A6C8B"/>
    <w:rsid w:val="004A6D54"/>
    <w:rsid w:val="004A6DB6"/>
    <w:rsid w:val="004A7048"/>
    <w:rsid w:val="004A7057"/>
    <w:rsid w:val="004A70F7"/>
    <w:rsid w:val="004A7200"/>
    <w:rsid w:val="004A72E5"/>
    <w:rsid w:val="004A73A0"/>
    <w:rsid w:val="004A742E"/>
    <w:rsid w:val="004A7616"/>
    <w:rsid w:val="004A77AC"/>
    <w:rsid w:val="004A7B16"/>
    <w:rsid w:val="004A7B5E"/>
    <w:rsid w:val="004A7BCF"/>
    <w:rsid w:val="004A7DEC"/>
    <w:rsid w:val="004A7EFC"/>
    <w:rsid w:val="004B0498"/>
    <w:rsid w:val="004B0514"/>
    <w:rsid w:val="004B0542"/>
    <w:rsid w:val="004B08D8"/>
    <w:rsid w:val="004B0A0A"/>
    <w:rsid w:val="004B0A9E"/>
    <w:rsid w:val="004B0B7E"/>
    <w:rsid w:val="004B0D70"/>
    <w:rsid w:val="004B102D"/>
    <w:rsid w:val="004B1065"/>
    <w:rsid w:val="004B1088"/>
    <w:rsid w:val="004B1125"/>
    <w:rsid w:val="004B12F1"/>
    <w:rsid w:val="004B1378"/>
    <w:rsid w:val="004B14A3"/>
    <w:rsid w:val="004B1765"/>
    <w:rsid w:val="004B1BCD"/>
    <w:rsid w:val="004B1C4B"/>
    <w:rsid w:val="004B1DA3"/>
    <w:rsid w:val="004B1EB8"/>
    <w:rsid w:val="004B1F04"/>
    <w:rsid w:val="004B1F05"/>
    <w:rsid w:val="004B208D"/>
    <w:rsid w:val="004B2392"/>
    <w:rsid w:val="004B2722"/>
    <w:rsid w:val="004B279D"/>
    <w:rsid w:val="004B27C1"/>
    <w:rsid w:val="004B2891"/>
    <w:rsid w:val="004B2C16"/>
    <w:rsid w:val="004B2C60"/>
    <w:rsid w:val="004B2D06"/>
    <w:rsid w:val="004B2D30"/>
    <w:rsid w:val="004B323A"/>
    <w:rsid w:val="004B3318"/>
    <w:rsid w:val="004B3641"/>
    <w:rsid w:val="004B370E"/>
    <w:rsid w:val="004B37D3"/>
    <w:rsid w:val="004B3804"/>
    <w:rsid w:val="004B3A57"/>
    <w:rsid w:val="004B3B67"/>
    <w:rsid w:val="004B3BF2"/>
    <w:rsid w:val="004B3DF5"/>
    <w:rsid w:val="004B3E57"/>
    <w:rsid w:val="004B3F79"/>
    <w:rsid w:val="004B3F7E"/>
    <w:rsid w:val="004B401D"/>
    <w:rsid w:val="004B4507"/>
    <w:rsid w:val="004B46BB"/>
    <w:rsid w:val="004B4895"/>
    <w:rsid w:val="004B4928"/>
    <w:rsid w:val="004B4938"/>
    <w:rsid w:val="004B545E"/>
    <w:rsid w:val="004B5625"/>
    <w:rsid w:val="004B5679"/>
    <w:rsid w:val="004B591A"/>
    <w:rsid w:val="004B5A2A"/>
    <w:rsid w:val="004B5C07"/>
    <w:rsid w:val="004B60CB"/>
    <w:rsid w:val="004B6104"/>
    <w:rsid w:val="004B6230"/>
    <w:rsid w:val="004B6368"/>
    <w:rsid w:val="004B6673"/>
    <w:rsid w:val="004B6772"/>
    <w:rsid w:val="004B6784"/>
    <w:rsid w:val="004B6837"/>
    <w:rsid w:val="004B6AE7"/>
    <w:rsid w:val="004B6BAA"/>
    <w:rsid w:val="004B6E81"/>
    <w:rsid w:val="004B6E89"/>
    <w:rsid w:val="004B7591"/>
    <w:rsid w:val="004B764B"/>
    <w:rsid w:val="004B7652"/>
    <w:rsid w:val="004B7B02"/>
    <w:rsid w:val="004B7B95"/>
    <w:rsid w:val="004C00ED"/>
    <w:rsid w:val="004C0309"/>
    <w:rsid w:val="004C0650"/>
    <w:rsid w:val="004C0711"/>
    <w:rsid w:val="004C07D9"/>
    <w:rsid w:val="004C0DE4"/>
    <w:rsid w:val="004C10FE"/>
    <w:rsid w:val="004C12D1"/>
    <w:rsid w:val="004C14AA"/>
    <w:rsid w:val="004C15D7"/>
    <w:rsid w:val="004C186E"/>
    <w:rsid w:val="004C1CB5"/>
    <w:rsid w:val="004C1F9C"/>
    <w:rsid w:val="004C1FD9"/>
    <w:rsid w:val="004C2313"/>
    <w:rsid w:val="004C2590"/>
    <w:rsid w:val="004C280B"/>
    <w:rsid w:val="004C29CF"/>
    <w:rsid w:val="004C2C94"/>
    <w:rsid w:val="004C2CD6"/>
    <w:rsid w:val="004C2DEE"/>
    <w:rsid w:val="004C2EC9"/>
    <w:rsid w:val="004C2F58"/>
    <w:rsid w:val="004C30EF"/>
    <w:rsid w:val="004C31A3"/>
    <w:rsid w:val="004C357F"/>
    <w:rsid w:val="004C37DA"/>
    <w:rsid w:val="004C3A18"/>
    <w:rsid w:val="004C3B79"/>
    <w:rsid w:val="004C3E7F"/>
    <w:rsid w:val="004C3EA2"/>
    <w:rsid w:val="004C4088"/>
    <w:rsid w:val="004C484D"/>
    <w:rsid w:val="004C4C21"/>
    <w:rsid w:val="004C4CBE"/>
    <w:rsid w:val="004C4D6D"/>
    <w:rsid w:val="004C4F0B"/>
    <w:rsid w:val="004C507A"/>
    <w:rsid w:val="004C50F1"/>
    <w:rsid w:val="004C5141"/>
    <w:rsid w:val="004C5197"/>
    <w:rsid w:val="004C55D1"/>
    <w:rsid w:val="004C5665"/>
    <w:rsid w:val="004C5BC4"/>
    <w:rsid w:val="004C5C5F"/>
    <w:rsid w:val="004C5F4F"/>
    <w:rsid w:val="004C5FF9"/>
    <w:rsid w:val="004C63BB"/>
    <w:rsid w:val="004C6416"/>
    <w:rsid w:val="004C641F"/>
    <w:rsid w:val="004C6639"/>
    <w:rsid w:val="004C6784"/>
    <w:rsid w:val="004C6876"/>
    <w:rsid w:val="004C6A42"/>
    <w:rsid w:val="004C72AD"/>
    <w:rsid w:val="004C7657"/>
    <w:rsid w:val="004C7986"/>
    <w:rsid w:val="004C79E5"/>
    <w:rsid w:val="004C79EA"/>
    <w:rsid w:val="004C7C95"/>
    <w:rsid w:val="004C7D58"/>
    <w:rsid w:val="004C7F10"/>
    <w:rsid w:val="004D045D"/>
    <w:rsid w:val="004D075D"/>
    <w:rsid w:val="004D0783"/>
    <w:rsid w:val="004D07EB"/>
    <w:rsid w:val="004D0A49"/>
    <w:rsid w:val="004D0A9D"/>
    <w:rsid w:val="004D0ADD"/>
    <w:rsid w:val="004D0B88"/>
    <w:rsid w:val="004D0C27"/>
    <w:rsid w:val="004D0C78"/>
    <w:rsid w:val="004D0D0C"/>
    <w:rsid w:val="004D0D2B"/>
    <w:rsid w:val="004D0D5C"/>
    <w:rsid w:val="004D0DFB"/>
    <w:rsid w:val="004D105B"/>
    <w:rsid w:val="004D1130"/>
    <w:rsid w:val="004D16E9"/>
    <w:rsid w:val="004D1709"/>
    <w:rsid w:val="004D17C2"/>
    <w:rsid w:val="004D1A0B"/>
    <w:rsid w:val="004D1AB3"/>
    <w:rsid w:val="004D1C82"/>
    <w:rsid w:val="004D1FC6"/>
    <w:rsid w:val="004D210D"/>
    <w:rsid w:val="004D228F"/>
    <w:rsid w:val="004D22D6"/>
    <w:rsid w:val="004D26D1"/>
    <w:rsid w:val="004D2819"/>
    <w:rsid w:val="004D281A"/>
    <w:rsid w:val="004D29BD"/>
    <w:rsid w:val="004D2B47"/>
    <w:rsid w:val="004D2B7A"/>
    <w:rsid w:val="004D2BB1"/>
    <w:rsid w:val="004D2C13"/>
    <w:rsid w:val="004D2D50"/>
    <w:rsid w:val="004D2E82"/>
    <w:rsid w:val="004D2F55"/>
    <w:rsid w:val="004D2FB0"/>
    <w:rsid w:val="004D3041"/>
    <w:rsid w:val="004D31E0"/>
    <w:rsid w:val="004D3280"/>
    <w:rsid w:val="004D3287"/>
    <w:rsid w:val="004D34A9"/>
    <w:rsid w:val="004D3571"/>
    <w:rsid w:val="004D379C"/>
    <w:rsid w:val="004D37B3"/>
    <w:rsid w:val="004D3A32"/>
    <w:rsid w:val="004D3B6C"/>
    <w:rsid w:val="004D3CA2"/>
    <w:rsid w:val="004D3DFC"/>
    <w:rsid w:val="004D3E66"/>
    <w:rsid w:val="004D3E8A"/>
    <w:rsid w:val="004D3F61"/>
    <w:rsid w:val="004D479B"/>
    <w:rsid w:val="004D48FD"/>
    <w:rsid w:val="004D4CF4"/>
    <w:rsid w:val="004D4E8E"/>
    <w:rsid w:val="004D51E5"/>
    <w:rsid w:val="004D5435"/>
    <w:rsid w:val="004D5525"/>
    <w:rsid w:val="004D55D1"/>
    <w:rsid w:val="004D56AB"/>
    <w:rsid w:val="004D5898"/>
    <w:rsid w:val="004D5D52"/>
    <w:rsid w:val="004D5EB0"/>
    <w:rsid w:val="004D5FAB"/>
    <w:rsid w:val="004D6148"/>
    <w:rsid w:val="004D644B"/>
    <w:rsid w:val="004D6797"/>
    <w:rsid w:val="004D683B"/>
    <w:rsid w:val="004D68F3"/>
    <w:rsid w:val="004D6912"/>
    <w:rsid w:val="004D693C"/>
    <w:rsid w:val="004D6D92"/>
    <w:rsid w:val="004D6EF5"/>
    <w:rsid w:val="004D7100"/>
    <w:rsid w:val="004D7660"/>
    <w:rsid w:val="004D76E1"/>
    <w:rsid w:val="004D7A74"/>
    <w:rsid w:val="004D7A9F"/>
    <w:rsid w:val="004D7AEA"/>
    <w:rsid w:val="004D7B0D"/>
    <w:rsid w:val="004D7BAD"/>
    <w:rsid w:val="004D7BFF"/>
    <w:rsid w:val="004D7C5A"/>
    <w:rsid w:val="004D7D68"/>
    <w:rsid w:val="004D7E55"/>
    <w:rsid w:val="004D7FD1"/>
    <w:rsid w:val="004E0313"/>
    <w:rsid w:val="004E041E"/>
    <w:rsid w:val="004E0697"/>
    <w:rsid w:val="004E06C8"/>
    <w:rsid w:val="004E094F"/>
    <w:rsid w:val="004E0A86"/>
    <w:rsid w:val="004E0ABE"/>
    <w:rsid w:val="004E0B48"/>
    <w:rsid w:val="004E0D6E"/>
    <w:rsid w:val="004E0EC3"/>
    <w:rsid w:val="004E0ED0"/>
    <w:rsid w:val="004E10E4"/>
    <w:rsid w:val="004E1357"/>
    <w:rsid w:val="004E136C"/>
    <w:rsid w:val="004E13D4"/>
    <w:rsid w:val="004E17E4"/>
    <w:rsid w:val="004E186D"/>
    <w:rsid w:val="004E1DD3"/>
    <w:rsid w:val="004E1F5D"/>
    <w:rsid w:val="004E2272"/>
    <w:rsid w:val="004E2587"/>
    <w:rsid w:val="004E2673"/>
    <w:rsid w:val="004E2685"/>
    <w:rsid w:val="004E269F"/>
    <w:rsid w:val="004E2879"/>
    <w:rsid w:val="004E2897"/>
    <w:rsid w:val="004E2D3A"/>
    <w:rsid w:val="004E2F42"/>
    <w:rsid w:val="004E330F"/>
    <w:rsid w:val="004E3324"/>
    <w:rsid w:val="004E38DC"/>
    <w:rsid w:val="004E3A95"/>
    <w:rsid w:val="004E3B79"/>
    <w:rsid w:val="004E3CF0"/>
    <w:rsid w:val="004E3DCA"/>
    <w:rsid w:val="004E401B"/>
    <w:rsid w:val="004E406C"/>
    <w:rsid w:val="004E420A"/>
    <w:rsid w:val="004E4370"/>
    <w:rsid w:val="004E44F6"/>
    <w:rsid w:val="004E4501"/>
    <w:rsid w:val="004E4537"/>
    <w:rsid w:val="004E477E"/>
    <w:rsid w:val="004E4825"/>
    <w:rsid w:val="004E4899"/>
    <w:rsid w:val="004E4A56"/>
    <w:rsid w:val="004E4AAD"/>
    <w:rsid w:val="004E4F6D"/>
    <w:rsid w:val="004E506C"/>
    <w:rsid w:val="004E513E"/>
    <w:rsid w:val="004E55D2"/>
    <w:rsid w:val="004E5634"/>
    <w:rsid w:val="004E5668"/>
    <w:rsid w:val="004E59E1"/>
    <w:rsid w:val="004E5C2D"/>
    <w:rsid w:val="004E5E35"/>
    <w:rsid w:val="004E6046"/>
    <w:rsid w:val="004E6073"/>
    <w:rsid w:val="004E6318"/>
    <w:rsid w:val="004E6499"/>
    <w:rsid w:val="004E64A0"/>
    <w:rsid w:val="004E6719"/>
    <w:rsid w:val="004E6A6F"/>
    <w:rsid w:val="004E6B7D"/>
    <w:rsid w:val="004E6C65"/>
    <w:rsid w:val="004E6CC1"/>
    <w:rsid w:val="004E6DD8"/>
    <w:rsid w:val="004E7076"/>
    <w:rsid w:val="004E7104"/>
    <w:rsid w:val="004E72D9"/>
    <w:rsid w:val="004E74C9"/>
    <w:rsid w:val="004E7517"/>
    <w:rsid w:val="004E7519"/>
    <w:rsid w:val="004E769A"/>
    <w:rsid w:val="004E7916"/>
    <w:rsid w:val="004E795E"/>
    <w:rsid w:val="004E7A57"/>
    <w:rsid w:val="004E7AA7"/>
    <w:rsid w:val="004E7AEB"/>
    <w:rsid w:val="004E7BD7"/>
    <w:rsid w:val="004E7C01"/>
    <w:rsid w:val="004E7CFC"/>
    <w:rsid w:val="004F03D5"/>
    <w:rsid w:val="004F03F3"/>
    <w:rsid w:val="004F0684"/>
    <w:rsid w:val="004F06A5"/>
    <w:rsid w:val="004F07A1"/>
    <w:rsid w:val="004F0CC9"/>
    <w:rsid w:val="004F0E9C"/>
    <w:rsid w:val="004F0F2D"/>
    <w:rsid w:val="004F10B0"/>
    <w:rsid w:val="004F1173"/>
    <w:rsid w:val="004F1469"/>
    <w:rsid w:val="004F148C"/>
    <w:rsid w:val="004F1597"/>
    <w:rsid w:val="004F173D"/>
    <w:rsid w:val="004F1ACF"/>
    <w:rsid w:val="004F1BA7"/>
    <w:rsid w:val="004F254F"/>
    <w:rsid w:val="004F2823"/>
    <w:rsid w:val="004F2873"/>
    <w:rsid w:val="004F2A15"/>
    <w:rsid w:val="004F2C66"/>
    <w:rsid w:val="004F2CB7"/>
    <w:rsid w:val="004F2D0A"/>
    <w:rsid w:val="004F2F39"/>
    <w:rsid w:val="004F2F52"/>
    <w:rsid w:val="004F3156"/>
    <w:rsid w:val="004F31AE"/>
    <w:rsid w:val="004F32DC"/>
    <w:rsid w:val="004F341F"/>
    <w:rsid w:val="004F383C"/>
    <w:rsid w:val="004F38FF"/>
    <w:rsid w:val="004F3A1F"/>
    <w:rsid w:val="004F3A8E"/>
    <w:rsid w:val="004F3B60"/>
    <w:rsid w:val="004F3B6A"/>
    <w:rsid w:val="004F3CB6"/>
    <w:rsid w:val="004F3F7A"/>
    <w:rsid w:val="004F411B"/>
    <w:rsid w:val="004F4388"/>
    <w:rsid w:val="004F4440"/>
    <w:rsid w:val="004F47F2"/>
    <w:rsid w:val="004F490D"/>
    <w:rsid w:val="004F491F"/>
    <w:rsid w:val="004F4A13"/>
    <w:rsid w:val="004F4A20"/>
    <w:rsid w:val="004F4CBC"/>
    <w:rsid w:val="004F4E01"/>
    <w:rsid w:val="004F4FEB"/>
    <w:rsid w:val="004F502A"/>
    <w:rsid w:val="004F5114"/>
    <w:rsid w:val="004F5169"/>
    <w:rsid w:val="004F53E2"/>
    <w:rsid w:val="004F5615"/>
    <w:rsid w:val="004F585C"/>
    <w:rsid w:val="004F58D3"/>
    <w:rsid w:val="004F59DB"/>
    <w:rsid w:val="004F5CEF"/>
    <w:rsid w:val="004F5D2B"/>
    <w:rsid w:val="004F5D35"/>
    <w:rsid w:val="004F5EA1"/>
    <w:rsid w:val="004F5F48"/>
    <w:rsid w:val="004F5FF6"/>
    <w:rsid w:val="004F60CF"/>
    <w:rsid w:val="004F6230"/>
    <w:rsid w:val="004F628E"/>
    <w:rsid w:val="004F633F"/>
    <w:rsid w:val="004F6439"/>
    <w:rsid w:val="004F646C"/>
    <w:rsid w:val="004F65C1"/>
    <w:rsid w:val="004F6745"/>
    <w:rsid w:val="004F6794"/>
    <w:rsid w:val="004F6A8A"/>
    <w:rsid w:val="004F6BFD"/>
    <w:rsid w:val="004F6E2B"/>
    <w:rsid w:val="004F72B7"/>
    <w:rsid w:val="004F72E9"/>
    <w:rsid w:val="004F7509"/>
    <w:rsid w:val="004F750C"/>
    <w:rsid w:val="004F7531"/>
    <w:rsid w:val="004F768D"/>
    <w:rsid w:val="004F7A2D"/>
    <w:rsid w:val="004F7B57"/>
    <w:rsid w:val="004F7BAA"/>
    <w:rsid w:val="004F7D16"/>
    <w:rsid w:val="004F7F2F"/>
    <w:rsid w:val="004F7F4D"/>
    <w:rsid w:val="0050005E"/>
    <w:rsid w:val="00500136"/>
    <w:rsid w:val="00500160"/>
    <w:rsid w:val="005003BB"/>
    <w:rsid w:val="00500540"/>
    <w:rsid w:val="00500586"/>
    <w:rsid w:val="005007BA"/>
    <w:rsid w:val="00500A3C"/>
    <w:rsid w:val="00500ACD"/>
    <w:rsid w:val="00500C3C"/>
    <w:rsid w:val="00500D49"/>
    <w:rsid w:val="00500E9B"/>
    <w:rsid w:val="00500F1E"/>
    <w:rsid w:val="00500FA5"/>
    <w:rsid w:val="00500FC1"/>
    <w:rsid w:val="00500FCE"/>
    <w:rsid w:val="005010DC"/>
    <w:rsid w:val="00501138"/>
    <w:rsid w:val="0050114A"/>
    <w:rsid w:val="00501181"/>
    <w:rsid w:val="005012C0"/>
    <w:rsid w:val="005015C6"/>
    <w:rsid w:val="005017F8"/>
    <w:rsid w:val="005019D2"/>
    <w:rsid w:val="00501A5D"/>
    <w:rsid w:val="00501AAB"/>
    <w:rsid w:val="00501C81"/>
    <w:rsid w:val="00501CE2"/>
    <w:rsid w:val="00501CF6"/>
    <w:rsid w:val="00501F21"/>
    <w:rsid w:val="00501F68"/>
    <w:rsid w:val="00501F6F"/>
    <w:rsid w:val="00501FFE"/>
    <w:rsid w:val="00502499"/>
    <w:rsid w:val="005027AD"/>
    <w:rsid w:val="005027D2"/>
    <w:rsid w:val="005028EA"/>
    <w:rsid w:val="00502A82"/>
    <w:rsid w:val="00502B0F"/>
    <w:rsid w:val="00502C17"/>
    <w:rsid w:val="00502C52"/>
    <w:rsid w:val="00502D79"/>
    <w:rsid w:val="00503060"/>
    <w:rsid w:val="005031D7"/>
    <w:rsid w:val="0050323E"/>
    <w:rsid w:val="00503344"/>
    <w:rsid w:val="0050359F"/>
    <w:rsid w:val="00503634"/>
    <w:rsid w:val="00503797"/>
    <w:rsid w:val="005037F6"/>
    <w:rsid w:val="0050390F"/>
    <w:rsid w:val="00503988"/>
    <w:rsid w:val="00503994"/>
    <w:rsid w:val="00503A82"/>
    <w:rsid w:val="00503AB4"/>
    <w:rsid w:val="00503C46"/>
    <w:rsid w:val="00503CCD"/>
    <w:rsid w:val="00503CE1"/>
    <w:rsid w:val="00503E82"/>
    <w:rsid w:val="00503F4A"/>
    <w:rsid w:val="00504061"/>
    <w:rsid w:val="00504370"/>
    <w:rsid w:val="0050462E"/>
    <w:rsid w:val="00504A0B"/>
    <w:rsid w:val="00504B27"/>
    <w:rsid w:val="00504BE0"/>
    <w:rsid w:val="00504BF2"/>
    <w:rsid w:val="00504DB4"/>
    <w:rsid w:val="00504DE0"/>
    <w:rsid w:val="00504E91"/>
    <w:rsid w:val="00504EFF"/>
    <w:rsid w:val="00504F2E"/>
    <w:rsid w:val="00504F9F"/>
    <w:rsid w:val="005050FC"/>
    <w:rsid w:val="00505176"/>
    <w:rsid w:val="00505210"/>
    <w:rsid w:val="005055AE"/>
    <w:rsid w:val="005057DC"/>
    <w:rsid w:val="005059BA"/>
    <w:rsid w:val="00505BAE"/>
    <w:rsid w:val="00505CF0"/>
    <w:rsid w:val="00505E22"/>
    <w:rsid w:val="005060F6"/>
    <w:rsid w:val="00506114"/>
    <w:rsid w:val="0050614A"/>
    <w:rsid w:val="005062FE"/>
    <w:rsid w:val="0050632A"/>
    <w:rsid w:val="0050639D"/>
    <w:rsid w:val="005067D4"/>
    <w:rsid w:val="00506956"/>
    <w:rsid w:val="0050695D"/>
    <w:rsid w:val="00506973"/>
    <w:rsid w:val="005069BD"/>
    <w:rsid w:val="00506C7D"/>
    <w:rsid w:val="00506F90"/>
    <w:rsid w:val="00506FF4"/>
    <w:rsid w:val="0050707B"/>
    <w:rsid w:val="0050711D"/>
    <w:rsid w:val="00507243"/>
    <w:rsid w:val="005074E8"/>
    <w:rsid w:val="005074EE"/>
    <w:rsid w:val="0050753C"/>
    <w:rsid w:val="00507759"/>
    <w:rsid w:val="00507998"/>
    <w:rsid w:val="00507B89"/>
    <w:rsid w:val="00510158"/>
    <w:rsid w:val="00510370"/>
    <w:rsid w:val="005105DA"/>
    <w:rsid w:val="005108FA"/>
    <w:rsid w:val="00510925"/>
    <w:rsid w:val="00510A2F"/>
    <w:rsid w:val="00510A82"/>
    <w:rsid w:val="00510EA6"/>
    <w:rsid w:val="00510FDF"/>
    <w:rsid w:val="00511106"/>
    <w:rsid w:val="00511267"/>
    <w:rsid w:val="00511280"/>
    <w:rsid w:val="005114F9"/>
    <w:rsid w:val="00511662"/>
    <w:rsid w:val="00511758"/>
    <w:rsid w:val="005117F7"/>
    <w:rsid w:val="005118AA"/>
    <w:rsid w:val="005118F9"/>
    <w:rsid w:val="00511901"/>
    <w:rsid w:val="00511A48"/>
    <w:rsid w:val="00511C48"/>
    <w:rsid w:val="00511CA0"/>
    <w:rsid w:val="00511CE8"/>
    <w:rsid w:val="00511D3F"/>
    <w:rsid w:val="00511D63"/>
    <w:rsid w:val="00511DB8"/>
    <w:rsid w:val="00511DD6"/>
    <w:rsid w:val="00512025"/>
    <w:rsid w:val="00512122"/>
    <w:rsid w:val="0051216F"/>
    <w:rsid w:val="0051255C"/>
    <w:rsid w:val="0051258D"/>
    <w:rsid w:val="005127C1"/>
    <w:rsid w:val="00512892"/>
    <w:rsid w:val="0051299B"/>
    <w:rsid w:val="00512BD8"/>
    <w:rsid w:val="00512CC3"/>
    <w:rsid w:val="00512D61"/>
    <w:rsid w:val="005132D2"/>
    <w:rsid w:val="0051339F"/>
    <w:rsid w:val="00513419"/>
    <w:rsid w:val="00513553"/>
    <w:rsid w:val="00513588"/>
    <w:rsid w:val="0051384D"/>
    <w:rsid w:val="005138B1"/>
    <w:rsid w:val="00513DC4"/>
    <w:rsid w:val="00513DC7"/>
    <w:rsid w:val="00513E6D"/>
    <w:rsid w:val="00513EBA"/>
    <w:rsid w:val="00513F21"/>
    <w:rsid w:val="00514161"/>
    <w:rsid w:val="00514415"/>
    <w:rsid w:val="0051441E"/>
    <w:rsid w:val="00514559"/>
    <w:rsid w:val="00514685"/>
    <w:rsid w:val="005147F9"/>
    <w:rsid w:val="00514A33"/>
    <w:rsid w:val="00514B23"/>
    <w:rsid w:val="00514DED"/>
    <w:rsid w:val="00514EE8"/>
    <w:rsid w:val="00515026"/>
    <w:rsid w:val="00515380"/>
    <w:rsid w:val="005153F3"/>
    <w:rsid w:val="0051549E"/>
    <w:rsid w:val="005155DD"/>
    <w:rsid w:val="005155F1"/>
    <w:rsid w:val="00515B60"/>
    <w:rsid w:val="00515DC1"/>
    <w:rsid w:val="00515DDC"/>
    <w:rsid w:val="00515ED5"/>
    <w:rsid w:val="00516077"/>
    <w:rsid w:val="00516118"/>
    <w:rsid w:val="0051639F"/>
    <w:rsid w:val="005164F0"/>
    <w:rsid w:val="0051657D"/>
    <w:rsid w:val="00516898"/>
    <w:rsid w:val="00516928"/>
    <w:rsid w:val="00516982"/>
    <w:rsid w:val="00516C18"/>
    <w:rsid w:val="00516C6F"/>
    <w:rsid w:val="00516C9F"/>
    <w:rsid w:val="005171AA"/>
    <w:rsid w:val="005171F2"/>
    <w:rsid w:val="005176CA"/>
    <w:rsid w:val="0051783F"/>
    <w:rsid w:val="00517A05"/>
    <w:rsid w:val="00517A74"/>
    <w:rsid w:val="00517B22"/>
    <w:rsid w:val="00517B7E"/>
    <w:rsid w:val="00517D7C"/>
    <w:rsid w:val="00520091"/>
    <w:rsid w:val="00520200"/>
    <w:rsid w:val="00520495"/>
    <w:rsid w:val="005204A1"/>
    <w:rsid w:val="00520530"/>
    <w:rsid w:val="005206F3"/>
    <w:rsid w:val="0052079F"/>
    <w:rsid w:val="005207B8"/>
    <w:rsid w:val="00520A6D"/>
    <w:rsid w:val="00520BAF"/>
    <w:rsid w:val="00520D09"/>
    <w:rsid w:val="00520E18"/>
    <w:rsid w:val="00520FCA"/>
    <w:rsid w:val="00520FFC"/>
    <w:rsid w:val="005210C5"/>
    <w:rsid w:val="0052116B"/>
    <w:rsid w:val="00521244"/>
    <w:rsid w:val="005213EB"/>
    <w:rsid w:val="00521758"/>
    <w:rsid w:val="0052193D"/>
    <w:rsid w:val="00521B71"/>
    <w:rsid w:val="00521E65"/>
    <w:rsid w:val="00521F7D"/>
    <w:rsid w:val="005222DD"/>
    <w:rsid w:val="00522367"/>
    <w:rsid w:val="00522660"/>
    <w:rsid w:val="005226CA"/>
    <w:rsid w:val="005227A8"/>
    <w:rsid w:val="00522967"/>
    <w:rsid w:val="00522B31"/>
    <w:rsid w:val="0052300A"/>
    <w:rsid w:val="005235D1"/>
    <w:rsid w:val="005236C0"/>
    <w:rsid w:val="005237D6"/>
    <w:rsid w:val="005239AE"/>
    <w:rsid w:val="00523BFE"/>
    <w:rsid w:val="00523C69"/>
    <w:rsid w:val="00523C7A"/>
    <w:rsid w:val="00523DCF"/>
    <w:rsid w:val="00523EC8"/>
    <w:rsid w:val="0052412B"/>
    <w:rsid w:val="00524457"/>
    <w:rsid w:val="0052445F"/>
    <w:rsid w:val="005244E9"/>
    <w:rsid w:val="00524722"/>
    <w:rsid w:val="00524879"/>
    <w:rsid w:val="00524A7D"/>
    <w:rsid w:val="00524DD9"/>
    <w:rsid w:val="00524E4E"/>
    <w:rsid w:val="00524FBE"/>
    <w:rsid w:val="00525017"/>
    <w:rsid w:val="005251DB"/>
    <w:rsid w:val="0052521F"/>
    <w:rsid w:val="00525268"/>
    <w:rsid w:val="00525367"/>
    <w:rsid w:val="005253CA"/>
    <w:rsid w:val="005253FC"/>
    <w:rsid w:val="005256A7"/>
    <w:rsid w:val="005259C4"/>
    <w:rsid w:val="00525ACA"/>
    <w:rsid w:val="00525B2F"/>
    <w:rsid w:val="00525EF1"/>
    <w:rsid w:val="0052604A"/>
    <w:rsid w:val="005260A1"/>
    <w:rsid w:val="005260B6"/>
    <w:rsid w:val="005260FD"/>
    <w:rsid w:val="0052638F"/>
    <w:rsid w:val="00526495"/>
    <w:rsid w:val="005269C5"/>
    <w:rsid w:val="00526FE7"/>
    <w:rsid w:val="00527084"/>
    <w:rsid w:val="005270FC"/>
    <w:rsid w:val="00527280"/>
    <w:rsid w:val="005272B6"/>
    <w:rsid w:val="0052733F"/>
    <w:rsid w:val="005273F7"/>
    <w:rsid w:val="00527486"/>
    <w:rsid w:val="005274AA"/>
    <w:rsid w:val="0052773D"/>
    <w:rsid w:val="00527841"/>
    <w:rsid w:val="005279AE"/>
    <w:rsid w:val="00527D3C"/>
    <w:rsid w:val="00527F6D"/>
    <w:rsid w:val="00527F7D"/>
    <w:rsid w:val="0053068F"/>
    <w:rsid w:val="005306D7"/>
    <w:rsid w:val="00530736"/>
    <w:rsid w:val="00530C32"/>
    <w:rsid w:val="00530DB1"/>
    <w:rsid w:val="005310D7"/>
    <w:rsid w:val="005312A7"/>
    <w:rsid w:val="005313E4"/>
    <w:rsid w:val="00531658"/>
    <w:rsid w:val="005316FE"/>
    <w:rsid w:val="0053188F"/>
    <w:rsid w:val="0053189D"/>
    <w:rsid w:val="00531A10"/>
    <w:rsid w:val="00531AEA"/>
    <w:rsid w:val="00531B3F"/>
    <w:rsid w:val="00531FA2"/>
    <w:rsid w:val="00532173"/>
    <w:rsid w:val="005322DE"/>
    <w:rsid w:val="0053244A"/>
    <w:rsid w:val="00532494"/>
    <w:rsid w:val="005324B5"/>
    <w:rsid w:val="0053263C"/>
    <w:rsid w:val="005329A5"/>
    <w:rsid w:val="00532B13"/>
    <w:rsid w:val="00532BCF"/>
    <w:rsid w:val="00532CB2"/>
    <w:rsid w:val="00532D10"/>
    <w:rsid w:val="00532FD6"/>
    <w:rsid w:val="00533149"/>
    <w:rsid w:val="005332A6"/>
    <w:rsid w:val="005332BB"/>
    <w:rsid w:val="005336BE"/>
    <w:rsid w:val="0053371D"/>
    <w:rsid w:val="005338DA"/>
    <w:rsid w:val="00533B84"/>
    <w:rsid w:val="00533DBC"/>
    <w:rsid w:val="0053402D"/>
    <w:rsid w:val="0053426B"/>
    <w:rsid w:val="00534410"/>
    <w:rsid w:val="00534554"/>
    <w:rsid w:val="00534589"/>
    <w:rsid w:val="00534593"/>
    <w:rsid w:val="005346D0"/>
    <w:rsid w:val="0053498F"/>
    <w:rsid w:val="00534A1C"/>
    <w:rsid w:val="00534ABC"/>
    <w:rsid w:val="00534D30"/>
    <w:rsid w:val="00534D7D"/>
    <w:rsid w:val="00534EF6"/>
    <w:rsid w:val="00534F9F"/>
    <w:rsid w:val="0053502F"/>
    <w:rsid w:val="0053505A"/>
    <w:rsid w:val="00535080"/>
    <w:rsid w:val="005350DC"/>
    <w:rsid w:val="0053521E"/>
    <w:rsid w:val="00535241"/>
    <w:rsid w:val="00535252"/>
    <w:rsid w:val="0053539E"/>
    <w:rsid w:val="00535408"/>
    <w:rsid w:val="00535500"/>
    <w:rsid w:val="0053567D"/>
    <w:rsid w:val="0053581F"/>
    <w:rsid w:val="0053598E"/>
    <w:rsid w:val="00535AAD"/>
    <w:rsid w:val="00535C83"/>
    <w:rsid w:val="00535CB4"/>
    <w:rsid w:val="00535CC5"/>
    <w:rsid w:val="00535D36"/>
    <w:rsid w:val="00535DFF"/>
    <w:rsid w:val="00536010"/>
    <w:rsid w:val="0053606A"/>
    <w:rsid w:val="0053610E"/>
    <w:rsid w:val="00536237"/>
    <w:rsid w:val="005363AE"/>
    <w:rsid w:val="005364DC"/>
    <w:rsid w:val="005365B8"/>
    <w:rsid w:val="005365C8"/>
    <w:rsid w:val="00536896"/>
    <w:rsid w:val="00536984"/>
    <w:rsid w:val="00536AD5"/>
    <w:rsid w:val="00536E0D"/>
    <w:rsid w:val="00536F4A"/>
    <w:rsid w:val="00537146"/>
    <w:rsid w:val="005371B3"/>
    <w:rsid w:val="00537669"/>
    <w:rsid w:val="00537904"/>
    <w:rsid w:val="00537925"/>
    <w:rsid w:val="005379AB"/>
    <w:rsid w:val="00537A77"/>
    <w:rsid w:val="00537A7B"/>
    <w:rsid w:val="00537A7E"/>
    <w:rsid w:val="00537C63"/>
    <w:rsid w:val="00537CD3"/>
    <w:rsid w:val="00540310"/>
    <w:rsid w:val="005403D6"/>
    <w:rsid w:val="00540632"/>
    <w:rsid w:val="005408E1"/>
    <w:rsid w:val="00540EB6"/>
    <w:rsid w:val="00540F9D"/>
    <w:rsid w:val="005410F2"/>
    <w:rsid w:val="00541461"/>
    <w:rsid w:val="005414A1"/>
    <w:rsid w:val="0054154D"/>
    <w:rsid w:val="00541902"/>
    <w:rsid w:val="00541A14"/>
    <w:rsid w:val="00541B08"/>
    <w:rsid w:val="00541C95"/>
    <w:rsid w:val="00541FD1"/>
    <w:rsid w:val="005420F8"/>
    <w:rsid w:val="0054211F"/>
    <w:rsid w:val="005422EE"/>
    <w:rsid w:val="00542401"/>
    <w:rsid w:val="00542584"/>
    <w:rsid w:val="0054258F"/>
    <w:rsid w:val="005426CA"/>
    <w:rsid w:val="00542809"/>
    <w:rsid w:val="00542C7E"/>
    <w:rsid w:val="00542D62"/>
    <w:rsid w:val="00542E34"/>
    <w:rsid w:val="00543219"/>
    <w:rsid w:val="00543273"/>
    <w:rsid w:val="005432C3"/>
    <w:rsid w:val="00543462"/>
    <w:rsid w:val="005435F4"/>
    <w:rsid w:val="00543782"/>
    <w:rsid w:val="00543834"/>
    <w:rsid w:val="0054390B"/>
    <w:rsid w:val="00543A5B"/>
    <w:rsid w:val="00543A65"/>
    <w:rsid w:val="00543DEA"/>
    <w:rsid w:val="00543F9C"/>
    <w:rsid w:val="005441D6"/>
    <w:rsid w:val="00544300"/>
    <w:rsid w:val="0054434E"/>
    <w:rsid w:val="005445DA"/>
    <w:rsid w:val="00544774"/>
    <w:rsid w:val="00544BF1"/>
    <w:rsid w:val="00544BF4"/>
    <w:rsid w:val="00544E1A"/>
    <w:rsid w:val="00544EB7"/>
    <w:rsid w:val="0054512C"/>
    <w:rsid w:val="005451B6"/>
    <w:rsid w:val="00545290"/>
    <w:rsid w:val="0054542C"/>
    <w:rsid w:val="005454C4"/>
    <w:rsid w:val="00545574"/>
    <w:rsid w:val="00545AF3"/>
    <w:rsid w:val="00545C42"/>
    <w:rsid w:val="00545D06"/>
    <w:rsid w:val="00545DB7"/>
    <w:rsid w:val="00545DDB"/>
    <w:rsid w:val="00545F2D"/>
    <w:rsid w:val="00546188"/>
    <w:rsid w:val="005461AA"/>
    <w:rsid w:val="005462D0"/>
    <w:rsid w:val="0054686C"/>
    <w:rsid w:val="00546AD0"/>
    <w:rsid w:val="00546B5B"/>
    <w:rsid w:val="00546B7C"/>
    <w:rsid w:val="00546C79"/>
    <w:rsid w:val="00546D39"/>
    <w:rsid w:val="00546F85"/>
    <w:rsid w:val="005472F3"/>
    <w:rsid w:val="00547374"/>
    <w:rsid w:val="00547492"/>
    <w:rsid w:val="005474EB"/>
    <w:rsid w:val="0054757C"/>
    <w:rsid w:val="00547A88"/>
    <w:rsid w:val="00547AED"/>
    <w:rsid w:val="00547DFE"/>
    <w:rsid w:val="00547F98"/>
    <w:rsid w:val="0055000A"/>
    <w:rsid w:val="00550346"/>
    <w:rsid w:val="0055036C"/>
    <w:rsid w:val="0055047F"/>
    <w:rsid w:val="005505AB"/>
    <w:rsid w:val="005506C1"/>
    <w:rsid w:val="0055087D"/>
    <w:rsid w:val="0055094F"/>
    <w:rsid w:val="00550AB0"/>
    <w:rsid w:val="00550C54"/>
    <w:rsid w:val="00550C5E"/>
    <w:rsid w:val="00550CBF"/>
    <w:rsid w:val="00550D47"/>
    <w:rsid w:val="00550D48"/>
    <w:rsid w:val="00550E84"/>
    <w:rsid w:val="00550FD1"/>
    <w:rsid w:val="00550FD3"/>
    <w:rsid w:val="005510C3"/>
    <w:rsid w:val="00551368"/>
    <w:rsid w:val="005513AC"/>
    <w:rsid w:val="005513F6"/>
    <w:rsid w:val="0055141A"/>
    <w:rsid w:val="00551759"/>
    <w:rsid w:val="00551B40"/>
    <w:rsid w:val="00551C7D"/>
    <w:rsid w:val="00551EE4"/>
    <w:rsid w:val="005524B0"/>
    <w:rsid w:val="00552B0F"/>
    <w:rsid w:val="00552BB8"/>
    <w:rsid w:val="00552C3B"/>
    <w:rsid w:val="00552CD2"/>
    <w:rsid w:val="00552F7C"/>
    <w:rsid w:val="00552F81"/>
    <w:rsid w:val="00552FC6"/>
    <w:rsid w:val="00552FCC"/>
    <w:rsid w:val="0055311C"/>
    <w:rsid w:val="005531C3"/>
    <w:rsid w:val="00553387"/>
    <w:rsid w:val="0055344F"/>
    <w:rsid w:val="005534DB"/>
    <w:rsid w:val="00553893"/>
    <w:rsid w:val="005539FA"/>
    <w:rsid w:val="00553A58"/>
    <w:rsid w:val="00553BC4"/>
    <w:rsid w:val="00553CC8"/>
    <w:rsid w:val="00553D16"/>
    <w:rsid w:val="00553DFB"/>
    <w:rsid w:val="00553F80"/>
    <w:rsid w:val="005540C5"/>
    <w:rsid w:val="00554139"/>
    <w:rsid w:val="005541DD"/>
    <w:rsid w:val="00554293"/>
    <w:rsid w:val="00554316"/>
    <w:rsid w:val="0055436D"/>
    <w:rsid w:val="0055443D"/>
    <w:rsid w:val="00554894"/>
    <w:rsid w:val="00554A84"/>
    <w:rsid w:val="00554B06"/>
    <w:rsid w:val="00554BC1"/>
    <w:rsid w:val="00554D86"/>
    <w:rsid w:val="00554F08"/>
    <w:rsid w:val="00554FFD"/>
    <w:rsid w:val="0055542C"/>
    <w:rsid w:val="0055547C"/>
    <w:rsid w:val="005555DB"/>
    <w:rsid w:val="005556B6"/>
    <w:rsid w:val="00555829"/>
    <w:rsid w:val="0055584F"/>
    <w:rsid w:val="00555873"/>
    <w:rsid w:val="0055587F"/>
    <w:rsid w:val="00555975"/>
    <w:rsid w:val="00555AE0"/>
    <w:rsid w:val="00555AEC"/>
    <w:rsid w:val="00555B16"/>
    <w:rsid w:val="00555E4B"/>
    <w:rsid w:val="00555F09"/>
    <w:rsid w:val="00556028"/>
    <w:rsid w:val="00556411"/>
    <w:rsid w:val="005567DA"/>
    <w:rsid w:val="00556CA2"/>
    <w:rsid w:val="00556EFB"/>
    <w:rsid w:val="00556F40"/>
    <w:rsid w:val="00556F9C"/>
    <w:rsid w:val="00557296"/>
    <w:rsid w:val="005574CF"/>
    <w:rsid w:val="005575FA"/>
    <w:rsid w:val="005577B0"/>
    <w:rsid w:val="00557B39"/>
    <w:rsid w:val="00557C5C"/>
    <w:rsid w:val="00557EED"/>
    <w:rsid w:val="005600C6"/>
    <w:rsid w:val="005600E9"/>
    <w:rsid w:val="00560103"/>
    <w:rsid w:val="0056013B"/>
    <w:rsid w:val="00560192"/>
    <w:rsid w:val="0056028A"/>
    <w:rsid w:val="00560426"/>
    <w:rsid w:val="005604EB"/>
    <w:rsid w:val="00560894"/>
    <w:rsid w:val="00560C70"/>
    <w:rsid w:val="00560CC1"/>
    <w:rsid w:val="005611EC"/>
    <w:rsid w:val="00561241"/>
    <w:rsid w:val="00561830"/>
    <w:rsid w:val="00561AB3"/>
    <w:rsid w:val="00561BC4"/>
    <w:rsid w:val="00561EB4"/>
    <w:rsid w:val="00562084"/>
    <w:rsid w:val="0056220F"/>
    <w:rsid w:val="005623EA"/>
    <w:rsid w:val="0056255E"/>
    <w:rsid w:val="005626AD"/>
    <w:rsid w:val="00562729"/>
    <w:rsid w:val="00562EA1"/>
    <w:rsid w:val="00562F48"/>
    <w:rsid w:val="00562F4F"/>
    <w:rsid w:val="005630B7"/>
    <w:rsid w:val="00563113"/>
    <w:rsid w:val="0056324D"/>
    <w:rsid w:val="005632E4"/>
    <w:rsid w:val="005634BE"/>
    <w:rsid w:val="0056375B"/>
    <w:rsid w:val="00563DF2"/>
    <w:rsid w:val="00563E71"/>
    <w:rsid w:val="00563E82"/>
    <w:rsid w:val="00563F6E"/>
    <w:rsid w:val="0056425A"/>
    <w:rsid w:val="00564369"/>
    <w:rsid w:val="005645EF"/>
    <w:rsid w:val="00564A9B"/>
    <w:rsid w:val="00564B82"/>
    <w:rsid w:val="00564C58"/>
    <w:rsid w:val="00564CBA"/>
    <w:rsid w:val="00564FE4"/>
    <w:rsid w:val="00565019"/>
    <w:rsid w:val="00565071"/>
    <w:rsid w:val="00565111"/>
    <w:rsid w:val="00565333"/>
    <w:rsid w:val="00565389"/>
    <w:rsid w:val="005654F8"/>
    <w:rsid w:val="0056574F"/>
    <w:rsid w:val="005658BD"/>
    <w:rsid w:val="00565A06"/>
    <w:rsid w:val="00565AA0"/>
    <w:rsid w:val="00565AEA"/>
    <w:rsid w:val="00565B57"/>
    <w:rsid w:val="00565BB7"/>
    <w:rsid w:val="00565CFE"/>
    <w:rsid w:val="00565D2C"/>
    <w:rsid w:val="00565DA4"/>
    <w:rsid w:val="00565DB9"/>
    <w:rsid w:val="00565DE1"/>
    <w:rsid w:val="00565E7E"/>
    <w:rsid w:val="005661C7"/>
    <w:rsid w:val="0056644C"/>
    <w:rsid w:val="00566581"/>
    <w:rsid w:val="005666E0"/>
    <w:rsid w:val="005667D6"/>
    <w:rsid w:val="00566973"/>
    <w:rsid w:val="005669B7"/>
    <w:rsid w:val="005669BC"/>
    <w:rsid w:val="00566AD4"/>
    <w:rsid w:val="00566D15"/>
    <w:rsid w:val="00567154"/>
    <w:rsid w:val="00567401"/>
    <w:rsid w:val="0056750E"/>
    <w:rsid w:val="00567562"/>
    <w:rsid w:val="005675DF"/>
    <w:rsid w:val="005678B2"/>
    <w:rsid w:val="00567928"/>
    <w:rsid w:val="005679ED"/>
    <w:rsid w:val="00567A19"/>
    <w:rsid w:val="00567A4A"/>
    <w:rsid w:val="00567A4C"/>
    <w:rsid w:val="00567B35"/>
    <w:rsid w:val="00567B69"/>
    <w:rsid w:val="00567BDA"/>
    <w:rsid w:val="00567BE3"/>
    <w:rsid w:val="00567DE1"/>
    <w:rsid w:val="005701E7"/>
    <w:rsid w:val="0057021D"/>
    <w:rsid w:val="0057076C"/>
    <w:rsid w:val="005709D6"/>
    <w:rsid w:val="00570A86"/>
    <w:rsid w:val="00570DF4"/>
    <w:rsid w:val="00570ED9"/>
    <w:rsid w:val="00570EED"/>
    <w:rsid w:val="00570F18"/>
    <w:rsid w:val="00570F30"/>
    <w:rsid w:val="00570F39"/>
    <w:rsid w:val="00571030"/>
    <w:rsid w:val="0057107A"/>
    <w:rsid w:val="00571164"/>
    <w:rsid w:val="0057141A"/>
    <w:rsid w:val="005714C3"/>
    <w:rsid w:val="005716F1"/>
    <w:rsid w:val="005716FC"/>
    <w:rsid w:val="005717EB"/>
    <w:rsid w:val="005717F7"/>
    <w:rsid w:val="005718EE"/>
    <w:rsid w:val="00571962"/>
    <w:rsid w:val="0057198F"/>
    <w:rsid w:val="00571B80"/>
    <w:rsid w:val="00571B94"/>
    <w:rsid w:val="00571BD2"/>
    <w:rsid w:val="00571D2A"/>
    <w:rsid w:val="00571EAB"/>
    <w:rsid w:val="00571F9E"/>
    <w:rsid w:val="00571FE8"/>
    <w:rsid w:val="005723C9"/>
    <w:rsid w:val="00572546"/>
    <w:rsid w:val="005725E3"/>
    <w:rsid w:val="0057260F"/>
    <w:rsid w:val="005727BD"/>
    <w:rsid w:val="00572C2A"/>
    <w:rsid w:val="00572DFB"/>
    <w:rsid w:val="00572E48"/>
    <w:rsid w:val="00572E62"/>
    <w:rsid w:val="00572EF2"/>
    <w:rsid w:val="00573587"/>
    <w:rsid w:val="005735C6"/>
    <w:rsid w:val="00573876"/>
    <w:rsid w:val="005738B5"/>
    <w:rsid w:val="00573B54"/>
    <w:rsid w:val="00573E50"/>
    <w:rsid w:val="00573EB5"/>
    <w:rsid w:val="00573F56"/>
    <w:rsid w:val="005744F6"/>
    <w:rsid w:val="00574B37"/>
    <w:rsid w:val="00575183"/>
    <w:rsid w:val="0057518E"/>
    <w:rsid w:val="005754D6"/>
    <w:rsid w:val="005754ED"/>
    <w:rsid w:val="0057554D"/>
    <w:rsid w:val="005756FC"/>
    <w:rsid w:val="00575A3E"/>
    <w:rsid w:val="00575AE0"/>
    <w:rsid w:val="00575B15"/>
    <w:rsid w:val="00575B53"/>
    <w:rsid w:val="00575CAC"/>
    <w:rsid w:val="00575CE4"/>
    <w:rsid w:val="00575D75"/>
    <w:rsid w:val="00575DEF"/>
    <w:rsid w:val="00575F16"/>
    <w:rsid w:val="005764E9"/>
    <w:rsid w:val="00576C5F"/>
    <w:rsid w:val="00577004"/>
    <w:rsid w:val="0057711B"/>
    <w:rsid w:val="005771F0"/>
    <w:rsid w:val="0057740D"/>
    <w:rsid w:val="005774BA"/>
    <w:rsid w:val="00577761"/>
    <w:rsid w:val="005778C8"/>
    <w:rsid w:val="005778EF"/>
    <w:rsid w:val="00577A25"/>
    <w:rsid w:val="00577A43"/>
    <w:rsid w:val="00577A7F"/>
    <w:rsid w:val="00577C33"/>
    <w:rsid w:val="00577C9C"/>
    <w:rsid w:val="0058013F"/>
    <w:rsid w:val="005801A4"/>
    <w:rsid w:val="0058038A"/>
    <w:rsid w:val="00580439"/>
    <w:rsid w:val="00580792"/>
    <w:rsid w:val="00580A06"/>
    <w:rsid w:val="00580DA3"/>
    <w:rsid w:val="00580DC2"/>
    <w:rsid w:val="0058131B"/>
    <w:rsid w:val="0058156E"/>
    <w:rsid w:val="005816FA"/>
    <w:rsid w:val="005818C7"/>
    <w:rsid w:val="00581AD0"/>
    <w:rsid w:val="00581B93"/>
    <w:rsid w:val="00581BE9"/>
    <w:rsid w:val="00581D0D"/>
    <w:rsid w:val="00581F35"/>
    <w:rsid w:val="00582087"/>
    <w:rsid w:val="0058211D"/>
    <w:rsid w:val="005822B5"/>
    <w:rsid w:val="0058248A"/>
    <w:rsid w:val="005826EA"/>
    <w:rsid w:val="00582772"/>
    <w:rsid w:val="00582BE2"/>
    <w:rsid w:val="005834F6"/>
    <w:rsid w:val="0058358D"/>
    <w:rsid w:val="0058385F"/>
    <w:rsid w:val="00583A33"/>
    <w:rsid w:val="00583AF8"/>
    <w:rsid w:val="00583C07"/>
    <w:rsid w:val="00583C35"/>
    <w:rsid w:val="00583CA8"/>
    <w:rsid w:val="00583DAA"/>
    <w:rsid w:val="00583E24"/>
    <w:rsid w:val="00583F94"/>
    <w:rsid w:val="0058420C"/>
    <w:rsid w:val="005843E7"/>
    <w:rsid w:val="0058442C"/>
    <w:rsid w:val="0058453E"/>
    <w:rsid w:val="00584619"/>
    <w:rsid w:val="00584BE4"/>
    <w:rsid w:val="00584BFC"/>
    <w:rsid w:val="00584D93"/>
    <w:rsid w:val="00585076"/>
    <w:rsid w:val="005852F7"/>
    <w:rsid w:val="00585387"/>
    <w:rsid w:val="005853E2"/>
    <w:rsid w:val="00585461"/>
    <w:rsid w:val="0058546C"/>
    <w:rsid w:val="005854C4"/>
    <w:rsid w:val="00585626"/>
    <w:rsid w:val="0058572F"/>
    <w:rsid w:val="00585838"/>
    <w:rsid w:val="00585A79"/>
    <w:rsid w:val="00585D6F"/>
    <w:rsid w:val="005860AF"/>
    <w:rsid w:val="00586112"/>
    <w:rsid w:val="005864EA"/>
    <w:rsid w:val="005867AD"/>
    <w:rsid w:val="005867D2"/>
    <w:rsid w:val="0058682E"/>
    <w:rsid w:val="0058687D"/>
    <w:rsid w:val="005869CB"/>
    <w:rsid w:val="00586C82"/>
    <w:rsid w:val="00586DF1"/>
    <w:rsid w:val="00586F7A"/>
    <w:rsid w:val="005870E2"/>
    <w:rsid w:val="005871C7"/>
    <w:rsid w:val="0058724E"/>
    <w:rsid w:val="005875A5"/>
    <w:rsid w:val="00587876"/>
    <w:rsid w:val="0058798E"/>
    <w:rsid w:val="005879E6"/>
    <w:rsid w:val="005879F2"/>
    <w:rsid w:val="00587F94"/>
    <w:rsid w:val="0059013D"/>
    <w:rsid w:val="00590428"/>
    <w:rsid w:val="00590557"/>
    <w:rsid w:val="00590781"/>
    <w:rsid w:val="00590822"/>
    <w:rsid w:val="00590862"/>
    <w:rsid w:val="005909A8"/>
    <w:rsid w:val="00590ABB"/>
    <w:rsid w:val="00590D4E"/>
    <w:rsid w:val="00590E3D"/>
    <w:rsid w:val="00590F00"/>
    <w:rsid w:val="005910E0"/>
    <w:rsid w:val="00591113"/>
    <w:rsid w:val="005911DB"/>
    <w:rsid w:val="005913B7"/>
    <w:rsid w:val="00591808"/>
    <w:rsid w:val="005918A3"/>
    <w:rsid w:val="00591A3F"/>
    <w:rsid w:val="00591C16"/>
    <w:rsid w:val="00591DC5"/>
    <w:rsid w:val="00591E79"/>
    <w:rsid w:val="00592024"/>
    <w:rsid w:val="005922FB"/>
    <w:rsid w:val="005925B8"/>
    <w:rsid w:val="00592808"/>
    <w:rsid w:val="00592950"/>
    <w:rsid w:val="00592A0D"/>
    <w:rsid w:val="00592A8E"/>
    <w:rsid w:val="00592B45"/>
    <w:rsid w:val="00593400"/>
    <w:rsid w:val="005934D4"/>
    <w:rsid w:val="005937DE"/>
    <w:rsid w:val="005939FE"/>
    <w:rsid w:val="00593D17"/>
    <w:rsid w:val="00593FA4"/>
    <w:rsid w:val="00594376"/>
    <w:rsid w:val="0059443B"/>
    <w:rsid w:val="005944B6"/>
    <w:rsid w:val="005948D2"/>
    <w:rsid w:val="00594928"/>
    <w:rsid w:val="00594A61"/>
    <w:rsid w:val="00594B91"/>
    <w:rsid w:val="00594C46"/>
    <w:rsid w:val="00594F1D"/>
    <w:rsid w:val="00594F6F"/>
    <w:rsid w:val="00595025"/>
    <w:rsid w:val="00595312"/>
    <w:rsid w:val="005953AD"/>
    <w:rsid w:val="00595696"/>
    <w:rsid w:val="005956B6"/>
    <w:rsid w:val="005956E3"/>
    <w:rsid w:val="0059581C"/>
    <w:rsid w:val="00595894"/>
    <w:rsid w:val="00595996"/>
    <w:rsid w:val="005959DF"/>
    <w:rsid w:val="00595EC6"/>
    <w:rsid w:val="00596054"/>
    <w:rsid w:val="00596062"/>
    <w:rsid w:val="00596154"/>
    <w:rsid w:val="005963CC"/>
    <w:rsid w:val="00596611"/>
    <w:rsid w:val="00596831"/>
    <w:rsid w:val="00596841"/>
    <w:rsid w:val="00596861"/>
    <w:rsid w:val="00596C67"/>
    <w:rsid w:val="00596C9B"/>
    <w:rsid w:val="00596D1E"/>
    <w:rsid w:val="00596E19"/>
    <w:rsid w:val="00596E80"/>
    <w:rsid w:val="005971C5"/>
    <w:rsid w:val="005972A5"/>
    <w:rsid w:val="00597587"/>
    <w:rsid w:val="00597680"/>
    <w:rsid w:val="0059773F"/>
    <w:rsid w:val="005978AA"/>
    <w:rsid w:val="0059794D"/>
    <w:rsid w:val="00597AA8"/>
    <w:rsid w:val="00597D95"/>
    <w:rsid w:val="00597DE0"/>
    <w:rsid w:val="00597E7B"/>
    <w:rsid w:val="005A01BB"/>
    <w:rsid w:val="005A02D7"/>
    <w:rsid w:val="005A03E9"/>
    <w:rsid w:val="005A04C5"/>
    <w:rsid w:val="005A0702"/>
    <w:rsid w:val="005A07F1"/>
    <w:rsid w:val="005A0A1C"/>
    <w:rsid w:val="005A0A62"/>
    <w:rsid w:val="005A0E45"/>
    <w:rsid w:val="005A1113"/>
    <w:rsid w:val="005A12A6"/>
    <w:rsid w:val="005A1335"/>
    <w:rsid w:val="005A1369"/>
    <w:rsid w:val="005A16FB"/>
    <w:rsid w:val="005A1864"/>
    <w:rsid w:val="005A1967"/>
    <w:rsid w:val="005A1986"/>
    <w:rsid w:val="005A1B1B"/>
    <w:rsid w:val="005A1C71"/>
    <w:rsid w:val="005A1CC1"/>
    <w:rsid w:val="005A1D7A"/>
    <w:rsid w:val="005A1E36"/>
    <w:rsid w:val="005A2049"/>
    <w:rsid w:val="005A241E"/>
    <w:rsid w:val="005A2543"/>
    <w:rsid w:val="005A27FB"/>
    <w:rsid w:val="005A28B4"/>
    <w:rsid w:val="005A2CC6"/>
    <w:rsid w:val="005A2EE0"/>
    <w:rsid w:val="005A2FEF"/>
    <w:rsid w:val="005A3315"/>
    <w:rsid w:val="005A3435"/>
    <w:rsid w:val="005A3499"/>
    <w:rsid w:val="005A38AA"/>
    <w:rsid w:val="005A3982"/>
    <w:rsid w:val="005A3A9F"/>
    <w:rsid w:val="005A3B88"/>
    <w:rsid w:val="005A3C3C"/>
    <w:rsid w:val="005A3C9B"/>
    <w:rsid w:val="005A3D48"/>
    <w:rsid w:val="005A3E4B"/>
    <w:rsid w:val="005A4150"/>
    <w:rsid w:val="005A418F"/>
    <w:rsid w:val="005A42E5"/>
    <w:rsid w:val="005A440E"/>
    <w:rsid w:val="005A46A3"/>
    <w:rsid w:val="005A46F6"/>
    <w:rsid w:val="005A472C"/>
    <w:rsid w:val="005A4869"/>
    <w:rsid w:val="005A4897"/>
    <w:rsid w:val="005A4A43"/>
    <w:rsid w:val="005A4C3D"/>
    <w:rsid w:val="005A4C76"/>
    <w:rsid w:val="005A4E64"/>
    <w:rsid w:val="005A4FA3"/>
    <w:rsid w:val="005A5183"/>
    <w:rsid w:val="005A51A0"/>
    <w:rsid w:val="005A5325"/>
    <w:rsid w:val="005A5557"/>
    <w:rsid w:val="005A573A"/>
    <w:rsid w:val="005A594E"/>
    <w:rsid w:val="005A5AC3"/>
    <w:rsid w:val="005A5D1F"/>
    <w:rsid w:val="005A5D20"/>
    <w:rsid w:val="005A61A7"/>
    <w:rsid w:val="005A61F3"/>
    <w:rsid w:val="005A627D"/>
    <w:rsid w:val="005A66B5"/>
    <w:rsid w:val="005A66C1"/>
    <w:rsid w:val="005A69E8"/>
    <w:rsid w:val="005A6B6F"/>
    <w:rsid w:val="005A6C71"/>
    <w:rsid w:val="005A6F17"/>
    <w:rsid w:val="005A6F61"/>
    <w:rsid w:val="005A6F92"/>
    <w:rsid w:val="005A6FA8"/>
    <w:rsid w:val="005A6FED"/>
    <w:rsid w:val="005A70E5"/>
    <w:rsid w:val="005A71ED"/>
    <w:rsid w:val="005A71EF"/>
    <w:rsid w:val="005A7323"/>
    <w:rsid w:val="005A7433"/>
    <w:rsid w:val="005A777A"/>
    <w:rsid w:val="005A78B2"/>
    <w:rsid w:val="005A7A57"/>
    <w:rsid w:val="005A7AA4"/>
    <w:rsid w:val="005A7AA5"/>
    <w:rsid w:val="005A7CC4"/>
    <w:rsid w:val="005A7D37"/>
    <w:rsid w:val="005A7DD4"/>
    <w:rsid w:val="005B003A"/>
    <w:rsid w:val="005B03B1"/>
    <w:rsid w:val="005B05E7"/>
    <w:rsid w:val="005B0A4E"/>
    <w:rsid w:val="005B0AE8"/>
    <w:rsid w:val="005B0B39"/>
    <w:rsid w:val="005B0E0E"/>
    <w:rsid w:val="005B10EF"/>
    <w:rsid w:val="005B125D"/>
    <w:rsid w:val="005B13CE"/>
    <w:rsid w:val="005B13E4"/>
    <w:rsid w:val="005B1466"/>
    <w:rsid w:val="005B14CE"/>
    <w:rsid w:val="005B166A"/>
    <w:rsid w:val="005B19A8"/>
    <w:rsid w:val="005B1A25"/>
    <w:rsid w:val="005B1B3E"/>
    <w:rsid w:val="005B1BC4"/>
    <w:rsid w:val="005B1D40"/>
    <w:rsid w:val="005B1D50"/>
    <w:rsid w:val="005B2100"/>
    <w:rsid w:val="005B229A"/>
    <w:rsid w:val="005B2662"/>
    <w:rsid w:val="005B2836"/>
    <w:rsid w:val="005B2C40"/>
    <w:rsid w:val="005B2D3D"/>
    <w:rsid w:val="005B2F20"/>
    <w:rsid w:val="005B3067"/>
    <w:rsid w:val="005B338A"/>
    <w:rsid w:val="005B3829"/>
    <w:rsid w:val="005B3B14"/>
    <w:rsid w:val="005B3C66"/>
    <w:rsid w:val="005B3D11"/>
    <w:rsid w:val="005B3E4D"/>
    <w:rsid w:val="005B3F26"/>
    <w:rsid w:val="005B3F38"/>
    <w:rsid w:val="005B411C"/>
    <w:rsid w:val="005B42AF"/>
    <w:rsid w:val="005B4908"/>
    <w:rsid w:val="005B4A79"/>
    <w:rsid w:val="005B4AB0"/>
    <w:rsid w:val="005B4B4D"/>
    <w:rsid w:val="005B4BA3"/>
    <w:rsid w:val="005B4E4D"/>
    <w:rsid w:val="005B4EE9"/>
    <w:rsid w:val="005B535F"/>
    <w:rsid w:val="005B540D"/>
    <w:rsid w:val="005B5538"/>
    <w:rsid w:val="005B5C21"/>
    <w:rsid w:val="005B5C9F"/>
    <w:rsid w:val="005B5D5F"/>
    <w:rsid w:val="005B5D97"/>
    <w:rsid w:val="005B5E1E"/>
    <w:rsid w:val="005B60A4"/>
    <w:rsid w:val="005B63CD"/>
    <w:rsid w:val="005B6661"/>
    <w:rsid w:val="005B668D"/>
    <w:rsid w:val="005B6894"/>
    <w:rsid w:val="005B6B61"/>
    <w:rsid w:val="005B6C18"/>
    <w:rsid w:val="005B6C91"/>
    <w:rsid w:val="005B6E5D"/>
    <w:rsid w:val="005B6ED8"/>
    <w:rsid w:val="005B6F74"/>
    <w:rsid w:val="005B6FEC"/>
    <w:rsid w:val="005B6FF5"/>
    <w:rsid w:val="005B7121"/>
    <w:rsid w:val="005B7243"/>
    <w:rsid w:val="005B7367"/>
    <w:rsid w:val="005B779C"/>
    <w:rsid w:val="005B7B2E"/>
    <w:rsid w:val="005B7B47"/>
    <w:rsid w:val="005B7C9F"/>
    <w:rsid w:val="005C01A8"/>
    <w:rsid w:val="005C03F4"/>
    <w:rsid w:val="005C0406"/>
    <w:rsid w:val="005C0483"/>
    <w:rsid w:val="005C0535"/>
    <w:rsid w:val="005C05E8"/>
    <w:rsid w:val="005C060D"/>
    <w:rsid w:val="005C06F8"/>
    <w:rsid w:val="005C072C"/>
    <w:rsid w:val="005C0976"/>
    <w:rsid w:val="005C0A3C"/>
    <w:rsid w:val="005C0A40"/>
    <w:rsid w:val="005C0E15"/>
    <w:rsid w:val="005C0EAD"/>
    <w:rsid w:val="005C1023"/>
    <w:rsid w:val="005C1239"/>
    <w:rsid w:val="005C12D5"/>
    <w:rsid w:val="005C1370"/>
    <w:rsid w:val="005C1384"/>
    <w:rsid w:val="005C13B2"/>
    <w:rsid w:val="005C158B"/>
    <w:rsid w:val="005C15F0"/>
    <w:rsid w:val="005C162F"/>
    <w:rsid w:val="005C17A1"/>
    <w:rsid w:val="005C1815"/>
    <w:rsid w:val="005C1830"/>
    <w:rsid w:val="005C1AEC"/>
    <w:rsid w:val="005C1D15"/>
    <w:rsid w:val="005C1FC1"/>
    <w:rsid w:val="005C2522"/>
    <w:rsid w:val="005C265A"/>
    <w:rsid w:val="005C27E3"/>
    <w:rsid w:val="005C2CC5"/>
    <w:rsid w:val="005C2F74"/>
    <w:rsid w:val="005C2F76"/>
    <w:rsid w:val="005C2F8B"/>
    <w:rsid w:val="005C31A9"/>
    <w:rsid w:val="005C33AA"/>
    <w:rsid w:val="005C33B0"/>
    <w:rsid w:val="005C3438"/>
    <w:rsid w:val="005C37B7"/>
    <w:rsid w:val="005C37CB"/>
    <w:rsid w:val="005C3A2F"/>
    <w:rsid w:val="005C3BE8"/>
    <w:rsid w:val="005C3CBB"/>
    <w:rsid w:val="005C3EF8"/>
    <w:rsid w:val="005C3FE3"/>
    <w:rsid w:val="005C419D"/>
    <w:rsid w:val="005C43CC"/>
    <w:rsid w:val="005C454F"/>
    <w:rsid w:val="005C459C"/>
    <w:rsid w:val="005C45BC"/>
    <w:rsid w:val="005C4641"/>
    <w:rsid w:val="005C475A"/>
    <w:rsid w:val="005C47D6"/>
    <w:rsid w:val="005C4A1E"/>
    <w:rsid w:val="005C4C21"/>
    <w:rsid w:val="005C4D89"/>
    <w:rsid w:val="005C533C"/>
    <w:rsid w:val="005C53B8"/>
    <w:rsid w:val="005C565E"/>
    <w:rsid w:val="005C579D"/>
    <w:rsid w:val="005C5934"/>
    <w:rsid w:val="005C596E"/>
    <w:rsid w:val="005C5AB2"/>
    <w:rsid w:val="005C5C03"/>
    <w:rsid w:val="005C5C95"/>
    <w:rsid w:val="005C5CBB"/>
    <w:rsid w:val="005C6004"/>
    <w:rsid w:val="005C60B4"/>
    <w:rsid w:val="005C614F"/>
    <w:rsid w:val="005C63A1"/>
    <w:rsid w:val="005C66D4"/>
    <w:rsid w:val="005C678A"/>
    <w:rsid w:val="005C6AA8"/>
    <w:rsid w:val="005C6AF9"/>
    <w:rsid w:val="005C6C33"/>
    <w:rsid w:val="005C7079"/>
    <w:rsid w:val="005C70B0"/>
    <w:rsid w:val="005C71FB"/>
    <w:rsid w:val="005C74C5"/>
    <w:rsid w:val="005C76CC"/>
    <w:rsid w:val="005C7775"/>
    <w:rsid w:val="005C791C"/>
    <w:rsid w:val="005C7A13"/>
    <w:rsid w:val="005C7B93"/>
    <w:rsid w:val="005C7FCF"/>
    <w:rsid w:val="005D0072"/>
    <w:rsid w:val="005D02FB"/>
    <w:rsid w:val="005D0563"/>
    <w:rsid w:val="005D05BF"/>
    <w:rsid w:val="005D1174"/>
    <w:rsid w:val="005D1287"/>
    <w:rsid w:val="005D1345"/>
    <w:rsid w:val="005D1457"/>
    <w:rsid w:val="005D14B9"/>
    <w:rsid w:val="005D1634"/>
    <w:rsid w:val="005D1710"/>
    <w:rsid w:val="005D183B"/>
    <w:rsid w:val="005D198C"/>
    <w:rsid w:val="005D1A0A"/>
    <w:rsid w:val="005D1A65"/>
    <w:rsid w:val="005D1A83"/>
    <w:rsid w:val="005D1A9F"/>
    <w:rsid w:val="005D1AC2"/>
    <w:rsid w:val="005D1C71"/>
    <w:rsid w:val="005D1CDA"/>
    <w:rsid w:val="005D1D91"/>
    <w:rsid w:val="005D1E3B"/>
    <w:rsid w:val="005D200D"/>
    <w:rsid w:val="005D2260"/>
    <w:rsid w:val="005D27E1"/>
    <w:rsid w:val="005D27FA"/>
    <w:rsid w:val="005D28CC"/>
    <w:rsid w:val="005D292F"/>
    <w:rsid w:val="005D2986"/>
    <w:rsid w:val="005D2A87"/>
    <w:rsid w:val="005D2C62"/>
    <w:rsid w:val="005D2F61"/>
    <w:rsid w:val="005D307D"/>
    <w:rsid w:val="005D313A"/>
    <w:rsid w:val="005D3264"/>
    <w:rsid w:val="005D3397"/>
    <w:rsid w:val="005D3439"/>
    <w:rsid w:val="005D34EA"/>
    <w:rsid w:val="005D368B"/>
    <w:rsid w:val="005D3875"/>
    <w:rsid w:val="005D3919"/>
    <w:rsid w:val="005D3B60"/>
    <w:rsid w:val="005D3E8E"/>
    <w:rsid w:val="005D40A9"/>
    <w:rsid w:val="005D42BD"/>
    <w:rsid w:val="005D4539"/>
    <w:rsid w:val="005D45B5"/>
    <w:rsid w:val="005D4636"/>
    <w:rsid w:val="005D4661"/>
    <w:rsid w:val="005D4913"/>
    <w:rsid w:val="005D49D3"/>
    <w:rsid w:val="005D4A22"/>
    <w:rsid w:val="005D4C57"/>
    <w:rsid w:val="005D4FE1"/>
    <w:rsid w:val="005D5075"/>
    <w:rsid w:val="005D50C0"/>
    <w:rsid w:val="005D52FA"/>
    <w:rsid w:val="005D5403"/>
    <w:rsid w:val="005D560D"/>
    <w:rsid w:val="005D5A14"/>
    <w:rsid w:val="005D5B72"/>
    <w:rsid w:val="005D5F8C"/>
    <w:rsid w:val="005D600F"/>
    <w:rsid w:val="005D6013"/>
    <w:rsid w:val="005D65D0"/>
    <w:rsid w:val="005D6612"/>
    <w:rsid w:val="005D66F5"/>
    <w:rsid w:val="005D697E"/>
    <w:rsid w:val="005D6AFC"/>
    <w:rsid w:val="005D6B3D"/>
    <w:rsid w:val="005D6D32"/>
    <w:rsid w:val="005D6DE0"/>
    <w:rsid w:val="005D6EB6"/>
    <w:rsid w:val="005D6EFC"/>
    <w:rsid w:val="005D7088"/>
    <w:rsid w:val="005D70E4"/>
    <w:rsid w:val="005D76AE"/>
    <w:rsid w:val="005D76DE"/>
    <w:rsid w:val="005D7704"/>
    <w:rsid w:val="005D7713"/>
    <w:rsid w:val="005D777B"/>
    <w:rsid w:val="005D77DE"/>
    <w:rsid w:val="005D7901"/>
    <w:rsid w:val="005D7D29"/>
    <w:rsid w:val="005D7EBF"/>
    <w:rsid w:val="005D7FC0"/>
    <w:rsid w:val="005E0220"/>
    <w:rsid w:val="005E04E1"/>
    <w:rsid w:val="005E05A1"/>
    <w:rsid w:val="005E09E4"/>
    <w:rsid w:val="005E0B70"/>
    <w:rsid w:val="005E0BB4"/>
    <w:rsid w:val="005E0D09"/>
    <w:rsid w:val="005E0D78"/>
    <w:rsid w:val="005E0FF4"/>
    <w:rsid w:val="005E1270"/>
    <w:rsid w:val="005E134D"/>
    <w:rsid w:val="005E138C"/>
    <w:rsid w:val="005E1726"/>
    <w:rsid w:val="005E1A81"/>
    <w:rsid w:val="005E1B50"/>
    <w:rsid w:val="005E1E18"/>
    <w:rsid w:val="005E1E5B"/>
    <w:rsid w:val="005E1E5D"/>
    <w:rsid w:val="005E1F16"/>
    <w:rsid w:val="005E206E"/>
    <w:rsid w:val="005E20E5"/>
    <w:rsid w:val="005E2115"/>
    <w:rsid w:val="005E22D0"/>
    <w:rsid w:val="005E235A"/>
    <w:rsid w:val="005E237A"/>
    <w:rsid w:val="005E2513"/>
    <w:rsid w:val="005E25C0"/>
    <w:rsid w:val="005E266F"/>
    <w:rsid w:val="005E27F7"/>
    <w:rsid w:val="005E2BCF"/>
    <w:rsid w:val="005E2D0A"/>
    <w:rsid w:val="005E2D6F"/>
    <w:rsid w:val="005E2DBB"/>
    <w:rsid w:val="005E2E89"/>
    <w:rsid w:val="005E2F59"/>
    <w:rsid w:val="005E2FA1"/>
    <w:rsid w:val="005E3139"/>
    <w:rsid w:val="005E35E3"/>
    <w:rsid w:val="005E38DD"/>
    <w:rsid w:val="005E38DE"/>
    <w:rsid w:val="005E3B4C"/>
    <w:rsid w:val="005E3D5D"/>
    <w:rsid w:val="005E3F34"/>
    <w:rsid w:val="005E4114"/>
    <w:rsid w:val="005E421C"/>
    <w:rsid w:val="005E4241"/>
    <w:rsid w:val="005E48B0"/>
    <w:rsid w:val="005E49F1"/>
    <w:rsid w:val="005E49FE"/>
    <w:rsid w:val="005E4B2C"/>
    <w:rsid w:val="005E4BA5"/>
    <w:rsid w:val="005E4C44"/>
    <w:rsid w:val="005E4D49"/>
    <w:rsid w:val="005E4EF0"/>
    <w:rsid w:val="005E4F17"/>
    <w:rsid w:val="005E4F1C"/>
    <w:rsid w:val="005E5096"/>
    <w:rsid w:val="005E50E8"/>
    <w:rsid w:val="005E53F6"/>
    <w:rsid w:val="005E5734"/>
    <w:rsid w:val="005E5741"/>
    <w:rsid w:val="005E5845"/>
    <w:rsid w:val="005E5918"/>
    <w:rsid w:val="005E5926"/>
    <w:rsid w:val="005E597B"/>
    <w:rsid w:val="005E59EA"/>
    <w:rsid w:val="005E5C5D"/>
    <w:rsid w:val="005E5D6C"/>
    <w:rsid w:val="005E5EC3"/>
    <w:rsid w:val="005E5EE4"/>
    <w:rsid w:val="005E5F53"/>
    <w:rsid w:val="005E5FF2"/>
    <w:rsid w:val="005E602B"/>
    <w:rsid w:val="005E611F"/>
    <w:rsid w:val="005E6150"/>
    <w:rsid w:val="005E61B6"/>
    <w:rsid w:val="005E6487"/>
    <w:rsid w:val="005E651F"/>
    <w:rsid w:val="005E6590"/>
    <w:rsid w:val="005E661B"/>
    <w:rsid w:val="005E664C"/>
    <w:rsid w:val="005E66C8"/>
    <w:rsid w:val="005E6932"/>
    <w:rsid w:val="005E6971"/>
    <w:rsid w:val="005E6A41"/>
    <w:rsid w:val="005E6B54"/>
    <w:rsid w:val="005E6B8A"/>
    <w:rsid w:val="005E6D4E"/>
    <w:rsid w:val="005E73CE"/>
    <w:rsid w:val="005E77E3"/>
    <w:rsid w:val="005E7A3C"/>
    <w:rsid w:val="005E7B48"/>
    <w:rsid w:val="005E7BB5"/>
    <w:rsid w:val="005F0061"/>
    <w:rsid w:val="005F0616"/>
    <w:rsid w:val="005F0727"/>
    <w:rsid w:val="005F07DC"/>
    <w:rsid w:val="005F0C34"/>
    <w:rsid w:val="005F0EAB"/>
    <w:rsid w:val="005F0FB4"/>
    <w:rsid w:val="005F1090"/>
    <w:rsid w:val="005F11CA"/>
    <w:rsid w:val="005F13BD"/>
    <w:rsid w:val="005F1467"/>
    <w:rsid w:val="005F16E7"/>
    <w:rsid w:val="005F17C6"/>
    <w:rsid w:val="005F1859"/>
    <w:rsid w:val="005F18BB"/>
    <w:rsid w:val="005F1A8D"/>
    <w:rsid w:val="005F1AC8"/>
    <w:rsid w:val="005F1B25"/>
    <w:rsid w:val="005F1FD3"/>
    <w:rsid w:val="005F20DB"/>
    <w:rsid w:val="005F21AF"/>
    <w:rsid w:val="005F21FB"/>
    <w:rsid w:val="005F22BE"/>
    <w:rsid w:val="005F2378"/>
    <w:rsid w:val="005F249C"/>
    <w:rsid w:val="005F24FE"/>
    <w:rsid w:val="005F2519"/>
    <w:rsid w:val="005F257C"/>
    <w:rsid w:val="005F25E2"/>
    <w:rsid w:val="005F260A"/>
    <w:rsid w:val="005F27E3"/>
    <w:rsid w:val="005F29E8"/>
    <w:rsid w:val="005F2B4F"/>
    <w:rsid w:val="005F2BF7"/>
    <w:rsid w:val="005F2CCD"/>
    <w:rsid w:val="005F2D85"/>
    <w:rsid w:val="005F347F"/>
    <w:rsid w:val="005F35AA"/>
    <w:rsid w:val="005F3727"/>
    <w:rsid w:val="005F388B"/>
    <w:rsid w:val="005F38CE"/>
    <w:rsid w:val="005F3AD9"/>
    <w:rsid w:val="005F3BA2"/>
    <w:rsid w:val="005F3CC3"/>
    <w:rsid w:val="005F3DAC"/>
    <w:rsid w:val="005F40DE"/>
    <w:rsid w:val="005F4229"/>
    <w:rsid w:val="005F43C1"/>
    <w:rsid w:val="005F4421"/>
    <w:rsid w:val="005F4927"/>
    <w:rsid w:val="005F49F4"/>
    <w:rsid w:val="005F4AA3"/>
    <w:rsid w:val="005F4ABD"/>
    <w:rsid w:val="005F4B7D"/>
    <w:rsid w:val="005F4D34"/>
    <w:rsid w:val="005F4DB6"/>
    <w:rsid w:val="005F4E65"/>
    <w:rsid w:val="005F4F77"/>
    <w:rsid w:val="005F52B0"/>
    <w:rsid w:val="005F532D"/>
    <w:rsid w:val="005F557D"/>
    <w:rsid w:val="005F56F3"/>
    <w:rsid w:val="005F59E5"/>
    <w:rsid w:val="005F5A0F"/>
    <w:rsid w:val="005F5E43"/>
    <w:rsid w:val="005F5EDF"/>
    <w:rsid w:val="005F6035"/>
    <w:rsid w:val="005F61C5"/>
    <w:rsid w:val="005F6216"/>
    <w:rsid w:val="005F6265"/>
    <w:rsid w:val="005F63AB"/>
    <w:rsid w:val="005F63D8"/>
    <w:rsid w:val="005F64FB"/>
    <w:rsid w:val="005F650F"/>
    <w:rsid w:val="005F67EC"/>
    <w:rsid w:val="005F6898"/>
    <w:rsid w:val="005F69B2"/>
    <w:rsid w:val="005F6A3F"/>
    <w:rsid w:val="005F6BBB"/>
    <w:rsid w:val="005F6BBD"/>
    <w:rsid w:val="005F6C20"/>
    <w:rsid w:val="005F6C45"/>
    <w:rsid w:val="005F71EC"/>
    <w:rsid w:val="005F7230"/>
    <w:rsid w:val="005F72C9"/>
    <w:rsid w:val="005F7464"/>
    <w:rsid w:val="005F789F"/>
    <w:rsid w:val="005F78E9"/>
    <w:rsid w:val="005F7914"/>
    <w:rsid w:val="005F7F2C"/>
    <w:rsid w:val="006000CD"/>
    <w:rsid w:val="006000FB"/>
    <w:rsid w:val="0060017C"/>
    <w:rsid w:val="00600265"/>
    <w:rsid w:val="0060050B"/>
    <w:rsid w:val="006006E4"/>
    <w:rsid w:val="00600754"/>
    <w:rsid w:val="006007A4"/>
    <w:rsid w:val="006008EF"/>
    <w:rsid w:val="006009CC"/>
    <w:rsid w:val="006009CE"/>
    <w:rsid w:val="00600B5E"/>
    <w:rsid w:val="00600D88"/>
    <w:rsid w:val="00600E2B"/>
    <w:rsid w:val="00600E8B"/>
    <w:rsid w:val="00600FB6"/>
    <w:rsid w:val="00600FDF"/>
    <w:rsid w:val="0060119A"/>
    <w:rsid w:val="006011AE"/>
    <w:rsid w:val="006012DF"/>
    <w:rsid w:val="00601771"/>
    <w:rsid w:val="006017AC"/>
    <w:rsid w:val="006020E6"/>
    <w:rsid w:val="006022C1"/>
    <w:rsid w:val="006022D0"/>
    <w:rsid w:val="0060251E"/>
    <w:rsid w:val="006025B9"/>
    <w:rsid w:val="006026C9"/>
    <w:rsid w:val="006028F6"/>
    <w:rsid w:val="00602A68"/>
    <w:rsid w:val="00602B0A"/>
    <w:rsid w:val="00602C95"/>
    <w:rsid w:val="00602DDE"/>
    <w:rsid w:val="00602E0C"/>
    <w:rsid w:val="00602E1A"/>
    <w:rsid w:val="00602E5B"/>
    <w:rsid w:val="00602F08"/>
    <w:rsid w:val="006030BB"/>
    <w:rsid w:val="0060339B"/>
    <w:rsid w:val="00603552"/>
    <w:rsid w:val="00603662"/>
    <w:rsid w:val="006038F3"/>
    <w:rsid w:val="00603A24"/>
    <w:rsid w:val="00603BBC"/>
    <w:rsid w:val="00604116"/>
    <w:rsid w:val="00604144"/>
    <w:rsid w:val="00604335"/>
    <w:rsid w:val="0060434F"/>
    <w:rsid w:val="00604410"/>
    <w:rsid w:val="006045B3"/>
    <w:rsid w:val="006046E4"/>
    <w:rsid w:val="00604BC5"/>
    <w:rsid w:val="00604C71"/>
    <w:rsid w:val="00604D85"/>
    <w:rsid w:val="00604EA7"/>
    <w:rsid w:val="00605037"/>
    <w:rsid w:val="00605628"/>
    <w:rsid w:val="0060577C"/>
    <w:rsid w:val="006058B4"/>
    <w:rsid w:val="006059B6"/>
    <w:rsid w:val="006059FB"/>
    <w:rsid w:val="00605E04"/>
    <w:rsid w:val="00605E0D"/>
    <w:rsid w:val="00605F18"/>
    <w:rsid w:val="00605FFE"/>
    <w:rsid w:val="0060623E"/>
    <w:rsid w:val="006063F2"/>
    <w:rsid w:val="006063F8"/>
    <w:rsid w:val="006064DD"/>
    <w:rsid w:val="0060650C"/>
    <w:rsid w:val="00606559"/>
    <w:rsid w:val="00606B37"/>
    <w:rsid w:val="00606D74"/>
    <w:rsid w:val="00606FC1"/>
    <w:rsid w:val="00606FF6"/>
    <w:rsid w:val="00607189"/>
    <w:rsid w:val="00607252"/>
    <w:rsid w:val="006072E1"/>
    <w:rsid w:val="00607624"/>
    <w:rsid w:val="00607901"/>
    <w:rsid w:val="00607A57"/>
    <w:rsid w:val="00607A78"/>
    <w:rsid w:val="00607C2E"/>
    <w:rsid w:val="00607C98"/>
    <w:rsid w:val="00607D1A"/>
    <w:rsid w:val="00607D2C"/>
    <w:rsid w:val="00610137"/>
    <w:rsid w:val="0061038C"/>
    <w:rsid w:val="006106C1"/>
    <w:rsid w:val="006106DE"/>
    <w:rsid w:val="006106F4"/>
    <w:rsid w:val="00610AF5"/>
    <w:rsid w:val="00610B28"/>
    <w:rsid w:val="00610D30"/>
    <w:rsid w:val="00610F52"/>
    <w:rsid w:val="00611121"/>
    <w:rsid w:val="006111E4"/>
    <w:rsid w:val="0061124A"/>
    <w:rsid w:val="006112D0"/>
    <w:rsid w:val="006114F2"/>
    <w:rsid w:val="0061167D"/>
    <w:rsid w:val="0061169D"/>
    <w:rsid w:val="00611737"/>
    <w:rsid w:val="00611752"/>
    <w:rsid w:val="00611868"/>
    <w:rsid w:val="006118AB"/>
    <w:rsid w:val="006119FD"/>
    <w:rsid w:val="00611B07"/>
    <w:rsid w:val="00611C1D"/>
    <w:rsid w:val="00611C60"/>
    <w:rsid w:val="00611C8C"/>
    <w:rsid w:val="00611DCA"/>
    <w:rsid w:val="00611F0D"/>
    <w:rsid w:val="00611FE1"/>
    <w:rsid w:val="00612007"/>
    <w:rsid w:val="00612019"/>
    <w:rsid w:val="00612029"/>
    <w:rsid w:val="00612097"/>
    <w:rsid w:val="00612388"/>
    <w:rsid w:val="006124AB"/>
    <w:rsid w:val="006125D3"/>
    <w:rsid w:val="00612874"/>
    <w:rsid w:val="0061288A"/>
    <w:rsid w:val="00612904"/>
    <w:rsid w:val="00612969"/>
    <w:rsid w:val="006129ED"/>
    <w:rsid w:val="00612A1A"/>
    <w:rsid w:val="00612C71"/>
    <w:rsid w:val="00612CC0"/>
    <w:rsid w:val="00612E32"/>
    <w:rsid w:val="00612EBC"/>
    <w:rsid w:val="00612F56"/>
    <w:rsid w:val="00612F7A"/>
    <w:rsid w:val="00612FDD"/>
    <w:rsid w:val="006131E9"/>
    <w:rsid w:val="006132FD"/>
    <w:rsid w:val="006133A6"/>
    <w:rsid w:val="0061341F"/>
    <w:rsid w:val="006134CA"/>
    <w:rsid w:val="006136FB"/>
    <w:rsid w:val="006137E1"/>
    <w:rsid w:val="00613846"/>
    <w:rsid w:val="0061399C"/>
    <w:rsid w:val="00613D28"/>
    <w:rsid w:val="00613ECE"/>
    <w:rsid w:val="00613FB2"/>
    <w:rsid w:val="0061401F"/>
    <w:rsid w:val="006140BA"/>
    <w:rsid w:val="00614256"/>
    <w:rsid w:val="006142B4"/>
    <w:rsid w:val="006144D2"/>
    <w:rsid w:val="0061461E"/>
    <w:rsid w:val="00614646"/>
    <w:rsid w:val="006146A3"/>
    <w:rsid w:val="006146EA"/>
    <w:rsid w:val="006148C3"/>
    <w:rsid w:val="0061494C"/>
    <w:rsid w:val="00614B35"/>
    <w:rsid w:val="00614DE8"/>
    <w:rsid w:val="00614F25"/>
    <w:rsid w:val="00615185"/>
    <w:rsid w:val="006152C6"/>
    <w:rsid w:val="006152D6"/>
    <w:rsid w:val="006154EE"/>
    <w:rsid w:val="00615608"/>
    <w:rsid w:val="00615A35"/>
    <w:rsid w:val="00615A8D"/>
    <w:rsid w:val="00615D95"/>
    <w:rsid w:val="006162B9"/>
    <w:rsid w:val="006165A9"/>
    <w:rsid w:val="00616755"/>
    <w:rsid w:val="006168A7"/>
    <w:rsid w:val="00616AD7"/>
    <w:rsid w:val="00616B8C"/>
    <w:rsid w:val="00616BC0"/>
    <w:rsid w:val="00617108"/>
    <w:rsid w:val="00617211"/>
    <w:rsid w:val="00617264"/>
    <w:rsid w:val="006173F6"/>
    <w:rsid w:val="0061750E"/>
    <w:rsid w:val="006175A7"/>
    <w:rsid w:val="00617652"/>
    <w:rsid w:val="00617677"/>
    <w:rsid w:val="00617848"/>
    <w:rsid w:val="0061784D"/>
    <w:rsid w:val="00617B8B"/>
    <w:rsid w:val="00617C18"/>
    <w:rsid w:val="00617C50"/>
    <w:rsid w:val="00617C57"/>
    <w:rsid w:val="00617F79"/>
    <w:rsid w:val="00617FC5"/>
    <w:rsid w:val="0062016A"/>
    <w:rsid w:val="00620231"/>
    <w:rsid w:val="00620467"/>
    <w:rsid w:val="006206B7"/>
    <w:rsid w:val="006207B2"/>
    <w:rsid w:val="006207ED"/>
    <w:rsid w:val="00620AA0"/>
    <w:rsid w:val="00620AFF"/>
    <w:rsid w:val="00620B23"/>
    <w:rsid w:val="00620B98"/>
    <w:rsid w:val="00620D25"/>
    <w:rsid w:val="00620D2E"/>
    <w:rsid w:val="006210BB"/>
    <w:rsid w:val="0062140E"/>
    <w:rsid w:val="006215F9"/>
    <w:rsid w:val="006216E3"/>
    <w:rsid w:val="006217C1"/>
    <w:rsid w:val="006217CC"/>
    <w:rsid w:val="00621EBD"/>
    <w:rsid w:val="00621FD7"/>
    <w:rsid w:val="00621FF0"/>
    <w:rsid w:val="006220BB"/>
    <w:rsid w:val="00622143"/>
    <w:rsid w:val="00622388"/>
    <w:rsid w:val="00622669"/>
    <w:rsid w:val="00622787"/>
    <w:rsid w:val="0062286A"/>
    <w:rsid w:val="00622B1A"/>
    <w:rsid w:val="00622BE7"/>
    <w:rsid w:val="00622E0B"/>
    <w:rsid w:val="00622EFD"/>
    <w:rsid w:val="00622FE1"/>
    <w:rsid w:val="006230E8"/>
    <w:rsid w:val="0062325B"/>
    <w:rsid w:val="0062334D"/>
    <w:rsid w:val="00623438"/>
    <w:rsid w:val="006237DE"/>
    <w:rsid w:val="00623960"/>
    <w:rsid w:val="006239FD"/>
    <w:rsid w:val="00623C87"/>
    <w:rsid w:val="006240FF"/>
    <w:rsid w:val="0062416C"/>
    <w:rsid w:val="006241BC"/>
    <w:rsid w:val="00624270"/>
    <w:rsid w:val="00624281"/>
    <w:rsid w:val="00624430"/>
    <w:rsid w:val="00624470"/>
    <w:rsid w:val="00624510"/>
    <w:rsid w:val="0062459D"/>
    <w:rsid w:val="00624602"/>
    <w:rsid w:val="00624729"/>
    <w:rsid w:val="00624791"/>
    <w:rsid w:val="0062488E"/>
    <w:rsid w:val="006249B1"/>
    <w:rsid w:val="006249BD"/>
    <w:rsid w:val="00624C16"/>
    <w:rsid w:val="00624CAC"/>
    <w:rsid w:val="00624F4E"/>
    <w:rsid w:val="00624F7C"/>
    <w:rsid w:val="00625160"/>
    <w:rsid w:val="006253B7"/>
    <w:rsid w:val="00625612"/>
    <w:rsid w:val="00625649"/>
    <w:rsid w:val="00625805"/>
    <w:rsid w:val="00625904"/>
    <w:rsid w:val="00625C1A"/>
    <w:rsid w:val="00625C77"/>
    <w:rsid w:val="00625CE5"/>
    <w:rsid w:val="00625DC3"/>
    <w:rsid w:val="00625EE9"/>
    <w:rsid w:val="00625EF0"/>
    <w:rsid w:val="00625FF0"/>
    <w:rsid w:val="00626071"/>
    <w:rsid w:val="006260FB"/>
    <w:rsid w:val="0062617E"/>
    <w:rsid w:val="00626216"/>
    <w:rsid w:val="0062635A"/>
    <w:rsid w:val="00626647"/>
    <w:rsid w:val="00626652"/>
    <w:rsid w:val="006267B7"/>
    <w:rsid w:val="006267E9"/>
    <w:rsid w:val="00626905"/>
    <w:rsid w:val="00626915"/>
    <w:rsid w:val="0062696E"/>
    <w:rsid w:val="00626C37"/>
    <w:rsid w:val="00626C39"/>
    <w:rsid w:val="00626F07"/>
    <w:rsid w:val="00626FCF"/>
    <w:rsid w:val="0062707D"/>
    <w:rsid w:val="006270D2"/>
    <w:rsid w:val="00627360"/>
    <w:rsid w:val="00627365"/>
    <w:rsid w:val="006273BE"/>
    <w:rsid w:val="006273C0"/>
    <w:rsid w:val="006273DB"/>
    <w:rsid w:val="006274F5"/>
    <w:rsid w:val="00627937"/>
    <w:rsid w:val="00627FFC"/>
    <w:rsid w:val="006301E6"/>
    <w:rsid w:val="006301F9"/>
    <w:rsid w:val="00630256"/>
    <w:rsid w:val="0063071F"/>
    <w:rsid w:val="0063075D"/>
    <w:rsid w:val="006309D8"/>
    <w:rsid w:val="00630C5E"/>
    <w:rsid w:val="00630CFB"/>
    <w:rsid w:val="00630FF9"/>
    <w:rsid w:val="0063128C"/>
    <w:rsid w:val="006312DE"/>
    <w:rsid w:val="00631655"/>
    <w:rsid w:val="00631719"/>
    <w:rsid w:val="006317F9"/>
    <w:rsid w:val="00631846"/>
    <w:rsid w:val="00631873"/>
    <w:rsid w:val="00631891"/>
    <w:rsid w:val="006318C0"/>
    <w:rsid w:val="00631A4C"/>
    <w:rsid w:val="00631BCE"/>
    <w:rsid w:val="00631E00"/>
    <w:rsid w:val="00631E43"/>
    <w:rsid w:val="00631EDF"/>
    <w:rsid w:val="006320DB"/>
    <w:rsid w:val="00632111"/>
    <w:rsid w:val="00632459"/>
    <w:rsid w:val="00632487"/>
    <w:rsid w:val="00632506"/>
    <w:rsid w:val="0063251C"/>
    <w:rsid w:val="006326A5"/>
    <w:rsid w:val="006326DF"/>
    <w:rsid w:val="0063273A"/>
    <w:rsid w:val="006327CF"/>
    <w:rsid w:val="00632ACD"/>
    <w:rsid w:val="00632B0E"/>
    <w:rsid w:val="00632C22"/>
    <w:rsid w:val="00632C76"/>
    <w:rsid w:val="00632E50"/>
    <w:rsid w:val="00632FD8"/>
    <w:rsid w:val="00633336"/>
    <w:rsid w:val="006336B2"/>
    <w:rsid w:val="00633705"/>
    <w:rsid w:val="00633B9A"/>
    <w:rsid w:val="00633C36"/>
    <w:rsid w:val="00633C83"/>
    <w:rsid w:val="00633FB6"/>
    <w:rsid w:val="00633FC5"/>
    <w:rsid w:val="0063402A"/>
    <w:rsid w:val="006341A9"/>
    <w:rsid w:val="0063426D"/>
    <w:rsid w:val="006342B9"/>
    <w:rsid w:val="0063440B"/>
    <w:rsid w:val="0063461D"/>
    <w:rsid w:val="00634624"/>
    <w:rsid w:val="00634677"/>
    <w:rsid w:val="006347C9"/>
    <w:rsid w:val="006347E7"/>
    <w:rsid w:val="006347F4"/>
    <w:rsid w:val="00634826"/>
    <w:rsid w:val="006348F7"/>
    <w:rsid w:val="00634A7D"/>
    <w:rsid w:val="00634AA9"/>
    <w:rsid w:val="00634B42"/>
    <w:rsid w:val="00634BE7"/>
    <w:rsid w:val="00634D4F"/>
    <w:rsid w:val="00634D53"/>
    <w:rsid w:val="00635025"/>
    <w:rsid w:val="00635027"/>
    <w:rsid w:val="006352AB"/>
    <w:rsid w:val="00635560"/>
    <w:rsid w:val="006355C4"/>
    <w:rsid w:val="00635B53"/>
    <w:rsid w:val="00635C14"/>
    <w:rsid w:val="00635CB0"/>
    <w:rsid w:val="00635EA4"/>
    <w:rsid w:val="00636486"/>
    <w:rsid w:val="0063660C"/>
    <w:rsid w:val="00636664"/>
    <w:rsid w:val="00636694"/>
    <w:rsid w:val="00636B52"/>
    <w:rsid w:val="00636E7D"/>
    <w:rsid w:val="00636EBB"/>
    <w:rsid w:val="00636FCE"/>
    <w:rsid w:val="00637170"/>
    <w:rsid w:val="00637208"/>
    <w:rsid w:val="0063736B"/>
    <w:rsid w:val="006374E0"/>
    <w:rsid w:val="00637764"/>
    <w:rsid w:val="006377A0"/>
    <w:rsid w:val="00637B5B"/>
    <w:rsid w:val="00637C38"/>
    <w:rsid w:val="00637CBA"/>
    <w:rsid w:val="00637F64"/>
    <w:rsid w:val="00637FE0"/>
    <w:rsid w:val="00640576"/>
    <w:rsid w:val="0064059A"/>
    <w:rsid w:val="0064061B"/>
    <w:rsid w:val="00640962"/>
    <w:rsid w:val="00640AC5"/>
    <w:rsid w:val="00640B98"/>
    <w:rsid w:val="00640C59"/>
    <w:rsid w:val="00640CF8"/>
    <w:rsid w:val="00640EBA"/>
    <w:rsid w:val="0064109E"/>
    <w:rsid w:val="006411B6"/>
    <w:rsid w:val="0064126C"/>
    <w:rsid w:val="006413AA"/>
    <w:rsid w:val="006416D2"/>
    <w:rsid w:val="00641A83"/>
    <w:rsid w:val="00641B22"/>
    <w:rsid w:val="00641D62"/>
    <w:rsid w:val="00641D96"/>
    <w:rsid w:val="006420D1"/>
    <w:rsid w:val="00642207"/>
    <w:rsid w:val="006422A6"/>
    <w:rsid w:val="006423AA"/>
    <w:rsid w:val="006423F9"/>
    <w:rsid w:val="006426AA"/>
    <w:rsid w:val="006426D6"/>
    <w:rsid w:val="006429BD"/>
    <w:rsid w:val="00642E37"/>
    <w:rsid w:val="00642EBD"/>
    <w:rsid w:val="00642F08"/>
    <w:rsid w:val="00642F20"/>
    <w:rsid w:val="0064319B"/>
    <w:rsid w:val="00643704"/>
    <w:rsid w:val="006437A7"/>
    <w:rsid w:val="00643AF4"/>
    <w:rsid w:val="00643C8E"/>
    <w:rsid w:val="00643E35"/>
    <w:rsid w:val="00643F55"/>
    <w:rsid w:val="00644178"/>
    <w:rsid w:val="006441F6"/>
    <w:rsid w:val="0064422A"/>
    <w:rsid w:val="006445B1"/>
    <w:rsid w:val="00644A7B"/>
    <w:rsid w:val="00644B8F"/>
    <w:rsid w:val="00644C85"/>
    <w:rsid w:val="00644D3A"/>
    <w:rsid w:val="00644DE9"/>
    <w:rsid w:val="00644FC4"/>
    <w:rsid w:val="0064516B"/>
    <w:rsid w:val="0064518B"/>
    <w:rsid w:val="00645207"/>
    <w:rsid w:val="0064523F"/>
    <w:rsid w:val="006455AF"/>
    <w:rsid w:val="00645BDE"/>
    <w:rsid w:val="00645D31"/>
    <w:rsid w:val="00645DAF"/>
    <w:rsid w:val="00645E59"/>
    <w:rsid w:val="00645F49"/>
    <w:rsid w:val="00645F5B"/>
    <w:rsid w:val="006462C1"/>
    <w:rsid w:val="0064654E"/>
    <w:rsid w:val="006465C3"/>
    <w:rsid w:val="006465E5"/>
    <w:rsid w:val="0064669D"/>
    <w:rsid w:val="00646A8A"/>
    <w:rsid w:val="00646C5D"/>
    <w:rsid w:val="00646C6F"/>
    <w:rsid w:val="00646E7E"/>
    <w:rsid w:val="00647005"/>
    <w:rsid w:val="006470C4"/>
    <w:rsid w:val="00647163"/>
    <w:rsid w:val="0064720C"/>
    <w:rsid w:val="0064722E"/>
    <w:rsid w:val="0064735E"/>
    <w:rsid w:val="006478DF"/>
    <w:rsid w:val="00647980"/>
    <w:rsid w:val="00647A7F"/>
    <w:rsid w:val="00647AD3"/>
    <w:rsid w:val="00647E22"/>
    <w:rsid w:val="00647E26"/>
    <w:rsid w:val="0065010A"/>
    <w:rsid w:val="006502FF"/>
    <w:rsid w:val="00650784"/>
    <w:rsid w:val="00650941"/>
    <w:rsid w:val="00650A9D"/>
    <w:rsid w:val="00650ABE"/>
    <w:rsid w:val="00650B4A"/>
    <w:rsid w:val="00650C1F"/>
    <w:rsid w:val="00650C28"/>
    <w:rsid w:val="00650D27"/>
    <w:rsid w:val="00650E6D"/>
    <w:rsid w:val="006510C1"/>
    <w:rsid w:val="006510CE"/>
    <w:rsid w:val="006511A3"/>
    <w:rsid w:val="006512D6"/>
    <w:rsid w:val="0065137A"/>
    <w:rsid w:val="006513B9"/>
    <w:rsid w:val="006514C0"/>
    <w:rsid w:val="00651627"/>
    <w:rsid w:val="00651812"/>
    <w:rsid w:val="006518AD"/>
    <w:rsid w:val="0065196B"/>
    <w:rsid w:val="00651A50"/>
    <w:rsid w:val="00651BBB"/>
    <w:rsid w:val="00651C59"/>
    <w:rsid w:val="00651CDA"/>
    <w:rsid w:val="00651D74"/>
    <w:rsid w:val="00651EA0"/>
    <w:rsid w:val="00652880"/>
    <w:rsid w:val="00652C3A"/>
    <w:rsid w:val="00652DB7"/>
    <w:rsid w:val="00652FCE"/>
    <w:rsid w:val="0065394F"/>
    <w:rsid w:val="00653A97"/>
    <w:rsid w:val="00653AF5"/>
    <w:rsid w:val="00653B1B"/>
    <w:rsid w:val="00653D81"/>
    <w:rsid w:val="00653EDC"/>
    <w:rsid w:val="006541F5"/>
    <w:rsid w:val="00654240"/>
    <w:rsid w:val="006542B2"/>
    <w:rsid w:val="006543A9"/>
    <w:rsid w:val="006543BA"/>
    <w:rsid w:val="00654926"/>
    <w:rsid w:val="00654980"/>
    <w:rsid w:val="00654D72"/>
    <w:rsid w:val="00654F8A"/>
    <w:rsid w:val="0065505B"/>
    <w:rsid w:val="006552B9"/>
    <w:rsid w:val="006553F3"/>
    <w:rsid w:val="006555BC"/>
    <w:rsid w:val="00655640"/>
    <w:rsid w:val="006556D1"/>
    <w:rsid w:val="006556D9"/>
    <w:rsid w:val="006557D4"/>
    <w:rsid w:val="00655AEE"/>
    <w:rsid w:val="00655BB2"/>
    <w:rsid w:val="00655FFA"/>
    <w:rsid w:val="00656061"/>
    <w:rsid w:val="0065607A"/>
    <w:rsid w:val="006564CB"/>
    <w:rsid w:val="006565F7"/>
    <w:rsid w:val="00656681"/>
    <w:rsid w:val="006566BF"/>
    <w:rsid w:val="0065673A"/>
    <w:rsid w:val="00656A8E"/>
    <w:rsid w:val="00656CDB"/>
    <w:rsid w:val="00656D8A"/>
    <w:rsid w:val="00656DA0"/>
    <w:rsid w:val="00657026"/>
    <w:rsid w:val="00657123"/>
    <w:rsid w:val="00657189"/>
    <w:rsid w:val="0065724E"/>
    <w:rsid w:val="00657375"/>
    <w:rsid w:val="0065754B"/>
    <w:rsid w:val="0065763E"/>
    <w:rsid w:val="006576EC"/>
    <w:rsid w:val="00657A62"/>
    <w:rsid w:val="00657D98"/>
    <w:rsid w:val="00657F50"/>
    <w:rsid w:val="00657F8F"/>
    <w:rsid w:val="00657F90"/>
    <w:rsid w:val="0066008B"/>
    <w:rsid w:val="006600DB"/>
    <w:rsid w:val="006603A0"/>
    <w:rsid w:val="0066068B"/>
    <w:rsid w:val="00660973"/>
    <w:rsid w:val="00660B67"/>
    <w:rsid w:val="00660CC9"/>
    <w:rsid w:val="00660E61"/>
    <w:rsid w:val="00661091"/>
    <w:rsid w:val="006613C0"/>
    <w:rsid w:val="0066175B"/>
    <w:rsid w:val="00661789"/>
    <w:rsid w:val="00661928"/>
    <w:rsid w:val="0066194E"/>
    <w:rsid w:val="00661BCB"/>
    <w:rsid w:val="00661C46"/>
    <w:rsid w:val="0066202F"/>
    <w:rsid w:val="00662177"/>
    <w:rsid w:val="0066225C"/>
    <w:rsid w:val="006622A8"/>
    <w:rsid w:val="006622D3"/>
    <w:rsid w:val="00662358"/>
    <w:rsid w:val="006626BE"/>
    <w:rsid w:val="006627E2"/>
    <w:rsid w:val="006627F3"/>
    <w:rsid w:val="00662C22"/>
    <w:rsid w:val="00662C5B"/>
    <w:rsid w:val="00662DD1"/>
    <w:rsid w:val="006630FC"/>
    <w:rsid w:val="00663147"/>
    <w:rsid w:val="00663344"/>
    <w:rsid w:val="00663405"/>
    <w:rsid w:val="00663691"/>
    <w:rsid w:val="006638AD"/>
    <w:rsid w:val="00663ADA"/>
    <w:rsid w:val="00663B73"/>
    <w:rsid w:val="00663C32"/>
    <w:rsid w:val="00663C93"/>
    <w:rsid w:val="00663CFB"/>
    <w:rsid w:val="00663D45"/>
    <w:rsid w:val="00663DFB"/>
    <w:rsid w:val="00663EDA"/>
    <w:rsid w:val="00663F5C"/>
    <w:rsid w:val="00664162"/>
    <w:rsid w:val="00664416"/>
    <w:rsid w:val="006644E1"/>
    <w:rsid w:val="006645EC"/>
    <w:rsid w:val="00664642"/>
    <w:rsid w:val="00664674"/>
    <w:rsid w:val="00664AAD"/>
    <w:rsid w:val="00664C0C"/>
    <w:rsid w:val="00664C5D"/>
    <w:rsid w:val="00664FD0"/>
    <w:rsid w:val="0066506E"/>
    <w:rsid w:val="006652D3"/>
    <w:rsid w:val="00665314"/>
    <w:rsid w:val="0066540D"/>
    <w:rsid w:val="00665470"/>
    <w:rsid w:val="006654AB"/>
    <w:rsid w:val="0066552E"/>
    <w:rsid w:val="00665888"/>
    <w:rsid w:val="00665A0C"/>
    <w:rsid w:val="00665B16"/>
    <w:rsid w:val="00665D8A"/>
    <w:rsid w:val="00665DF7"/>
    <w:rsid w:val="00665F89"/>
    <w:rsid w:val="00665FCD"/>
    <w:rsid w:val="006661F7"/>
    <w:rsid w:val="00666718"/>
    <w:rsid w:val="00666B4F"/>
    <w:rsid w:val="00666CBE"/>
    <w:rsid w:val="00666EEF"/>
    <w:rsid w:val="00667409"/>
    <w:rsid w:val="006674CC"/>
    <w:rsid w:val="00667724"/>
    <w:rsid w:val="00667B59"/>
    <w:rsid w:val="00667BC6"/>
    <w:rsid w:val="00667C3E"/>
    <w:rsid w:val="00667CF3"/>
    <w:rsid w:val="00667D4B"/>
    <w:rsid w:val="00667F94"/>
    <w:rsid w:val="0067016B"/>
    <w:rsid w:val="00670380"/>
    <w:rsid w:val="0067050A"/>
    <w:rsid w:val="006705D5"/>
    <w:rsid w:val="006706B5"/>
    <w:rsid w:val="00670722"/>
    <w:rsid w:val="00670A44"/>
    <w:rsid w:val="00670C07"/>
    <w:rsid w:val="00670C1C"/>
    <w:rsid w:val="00670F72"/>
    <w:rsid w:val="00670F81"/>
    <w:rsid w:val="00671047"/>
    <w:rsid w:val="00671351"/>
    <w:rsid w:val="0067158A"/>
    <w:rsid w:val="0067167E"/>
    <w:rsid w:val="006716AB"/>
    <w:rsid w:val="00671707"/>
    <w:rsid w:val="00671738"/>
    <w:rsid w:val="006719B2"/>
    <w:rsid w:val="006719EC"/>
    <w:rsid w:val="00671A08"/>
    <w:rsid w:val="00671A9E"/>
    <w:rsid w:val="00671BBC"/>
    <w:rsid w:val="00671FF4"/>
    <w:rsid w:val="0067203A"/>
    <w:rsid w:val="006720D4"/>
    <w:rsid w:val="00672601"/>
    <w:rsid w:val="006726DC"/>
    <w:rsid w:val="0067288B"/>
    <w:rsid w:val="00672967"/>
    <w:rsid w:val="00672A4A"/>
    <w:rsid w:val="00672C20"/>
    <w:rsid w:val="00672C45"/>
    <w:rsid w:val="00672F79"/>
    <w:rsid w:val="00673033"/>
    <w:rsid w:val="0067314E"/>
    <w:rsid w:val="0067319C"/>
    <w:rsid w:val="0067351A"/>
    <w:rsid w:val="00673719"/>
    <w:rsid w:val="00673CBB"/>
    <w:rsid w:val="00673CF9"/>
    <w:rsid w:val="00673DC1"/>
    <w:rsid w:val="00673E75"/>
    <w:rsid w:val="00673E83"/>
    <w:rsid w:val="00673F42"/>
    <w:rsid w:val="00674042"/>
    <w:rsid w:val="0067434E"/>
    <w:rsid w:val="006744B2"/>
    <w:rsid w:val="0067455C"/>
    <w:rsid w:val="006749C5"/>
    <w:rsid w:val="00674D58"/>
    <w:rsid w:val="0067517B"/>
    <w:rsid w:val="00675293"/>
    <w:rsid w:val="0067540F"/>
    <w:rsid w:val="0067557C"/>
    <w:rsid w:val="006758C9"/>
    <w:rsid w:val="00675A5F"/>
    <w:rsid w:val="00675D22"/>
    <w:rsid w:val="00675D7F"/>
    <w:rsid w:val="006760F7"/>
    <w:rsid w:val="006764BC"/>
    <w:rsid w:val="006769C4"/>
    <w:rsid w:val="00676A32"/>
    <w:rsid w:val="00676ACB"/>
    <w:rsid w:val="00676C6F"/>
    <w:rsid w:val="00676EB6"/>
    <w:rsid w:val="00676FD6"/>
    <w:rsid w:val="006772A2"/>
    <w:rsid w:val="00677456"/>
    <w:rsid w:val="006774B0"/>
    <w:rsid w:val="00677627"/>
    <w:rsid w:val="006776C7"/>
    <w:rsid w:val="00677743"/>
    <w:rsid w:val="00677748"/>
    <w:rsid w:val="006777B2"/>
    <w:rsid w:val="006778E6"/>
    <w:rsid w:val="00677A3A"/>
    <w:rsid w:val="00677A67"/>
    <w:rsid w:val="00677A87"/>
    <w:rsid w:val="00677BD5"/>
    <w:rsid w:val="00677CD8"/>
    <w:rsid w:val="00677E3C"/>
    <w:rsid w:val="006800A0"/>
    <w:rsid w:val="0068025E"/>
    <w:rsid w:val="0068051B"/>
    <w:rsid w:val="006805D9"/>
    <w:rsid w:val="00680912"/>
    <w:rsid w:val="00680BAA"/>
    <w:rsid w:val="00680C23"/>
    <w:rsid w:val="00680CE5"/>
    <w:rsid w:val="00680E8B"/>
    <w:rsid w:val="00680FCD"/>
    <w:rsid w:val="00681500"/>
    <w:rsid w:val="0068150F"/>
    <w:rsid w:val="00681703"/>
    <w:rsid w:val="006818D0"/>
    <w:rsid w:val="006819A3"/>
    <w:rsid w:val="00681CB7"/>
    <w:rsid w:val="00681D51"/>
    <w:rsid w:val="00681E2F"/>
    <w:rsid w:val="00682129"/>
    <w:rsid w:val="0068266C"/>
    <w:rsid w:val="006827AE"/>
    <w:rsid w:val="00682859"/>
    <w:rsid w:val="00682B8A"/>
    <w:rsid w:val="00682BED"/>
    <w:rsid w:val="00682C54"/>
    <w:rsid w:val="00682E55"/>
    <w:rsid w:val="00682F03"/>
    <w:rsid w:val="00682F5A"/>
    <w:rsid w:val="0068340E"/>
    <w:rsid w:val="00683528"/>
    <w:rsid w:val="006836CB"/>
    <w:rsid w:val="00683722"/>
    <w:rsid w:val="00683A3B"/>
    <w:rsid w:val="00683A58"/>
    <w:rsid w:val="00683C18"/>
    <w:rsid w:val="00683C6E"/>
    <w:rsid w:val="00683D2F"/>
    <w:rsid w:val="00683E9D"/>
    <w:rsid w:val="00683EDA"/>
    <w:rsid w:val="00684044"/>
    <w:rsid w:val="006840B2"/>
    <w:rsid w:val="00684111"/>
    <w:rsid w:val="006843CD"/>
    <w:rsid w:val="006843F6"/>
    <w:rsid w:val="00684519"/>
    <w:rsid w:val="0068491F"/>
    <w:rsid w:val="00684A40"/>
    <w:rsid w:val="00684D3A"/>
    <w:rsid w:val="00684F4C"/>
    <w:rsid w:val="00685126"/>
    <w:rsid w:val="006851A2"/>
    <w:rsid w:val="00685367"/>
    <w:rsid w:val="00685494"/>
    <w:rsid w:val="006854BF"/>
    <w:rsid w:val="00685559"/>
    <w:rsid w:val="0068562C"/>
    <w:rsid w:val="0068563E"/>
    <w:rsid w:val="00685AD5"/>
    <w:rsid w:val="00685DE4"/>
    <w:rsid w:val="00685E1A"/>
    <w:rsid w:val="00685E8D"/>
    <w:rsid w:val="00685EE3"/>
    <w:rsid w:val="00686118"/>
    <w:rsid w:val="00686163"/>
    <w:rsid w:val="006861C0"/>
    <w:rsid w:val="00686596"/>
    <w:rsid w:val="006865C6"/>
    <w:rsid w:val="006866F4"/>
    <w:rsid w:val="006867A9"/>
    <w:rsid w:val="00686A3D"/>
    <w:rsid w:val="00686C2E"/>
    <w:rsid w:val="00686C9B"/>
    <w:rsid w:val="00686CC2"/>
    <w:rsid w:val="00686ED1"/>
    <w:rsid w:val="00686F00"/>
    <w:rsid w:val="0068726B"/>
    <w:rsid w:val="006878FB"/>
    <w:rsid w:val="00687C97"/>
    <w:rsid w:val="00687D16"/>
    <w:rsid w:val="00687D37"/>
    <w:rsid w:val="00687D5A"/>
    <w:rsid w:val="00690171"/>
    <w:rsid w:val="006901C3"/>
    <w:rsid w:val="00690324"/>
    <w:rsid w:val="006903C0"/>
    <w:rsid w:val="006904C2"/>
    <w:rsid w:val="006904DD"/>
    <w:rsid w:val="00690524"/>
    <w:rsid w:val="00690843"/>
    <w:rsid w:val="00690894"/>
    <w:rsid w:val="006908F4"/>
    <w:rsid w:val="00690C0A"/>
    <w:rsid w:val="00690E35"/>
    <w:rsid w:val="00690E71"/>
    <w:rsid w:val="006911C8"/>
    <w:rsid w:val="00691305"/>
    <w:rsid w:val="00691459"/>
    <w:rsid w:val="0069168F"/>
    <w:rsid w:val="006916E8"/>
    <w:rsid w:val="0069179F"/>
    <w:rsid w:val="00691905"/>
    <w:rsid w:val="00691924"/>
    <w:rsid w:val="00691A71"/>
    <w:rsid w:val="00692076"/>
    <w:rsid w:val="006923A2"/>
    <w:rsid w:val="006926F3"/>
    <w:rsid w:val="00692737"/>
    <w:rsid w:val="00692821"/>
    <w:rsid w:val="006929FD"/>
    <w:rsid w:val="00692D12"/>
    <w:rsid w:val="00693137"/>
    <w:rsid w:val="006932FC"/>
    <w:rsid w:val="00693507"/>
    <w:rsid w:val="0069352E"/>
    <w:rsid w:val="00693531"/>
    <w:rsid w:val="00693541"/>
    <w:rsid w:val="006936DB"/>
    <w:rsid w:val="00693842"/>
    <w:rsid w:val="00693874"/>
    <w:rsid w:val="00693888"/>
    <w:rsid w:val="0069389C"/>
    <w:rsid w:val="006939D2"/>
    <w:rsid w:val="006939D3"/>
    <w:rsid w:val="00693C87"/>
    <w:rsid w:val="00693D3E"/>
    <w:rsid w:val="00694054"/>
    <w:rsid w:val="0069457A"/>
    <w:rsid w:val="006949A7"/>
    <w:rsid w:val="00694B65"/>
    <w:rsid w:val="00694C69"/>
    <w:rsid w:val="00694D53"/>
    <w:rsid w:val="00694E58"/>
    <w:rsid w:val="00694FD4"/>
    <w:rsid w:val="0069503A"/>
    <w:rsid w:val="006951CE"/>
    <w:rsid w:val="006951E5"/>
    <w:rsid w:val="006951FF"/>
    <w:rsid w:val="00695342"/>
    <w:rsid w:val="00695480"/>
    <w:rsid w:val="006955D8"/>
    <w:rsid w:val="00695621"/>
    <w:rsid w:val="00695723"/>
    <w:rsid w:val="006958A8"/>
    <w:rsid w:val="00695B5A"/>
    <w:rsid w:val="00695CC4"/>
    <w:rsid w:val="00695D1E"/>
    <w:rsid w:val="00695FCA"/>
    <w:rsid w:val="00696103"/>
    <w:rsid w:val="00696335"/>
    <w:rsid w:val="006964B9"/>
    <w:rsid w:val="00696A4D"/>
    <w:rsid w:val="00696C70"/>
    <w:rsid w:val="00696CFF"/>
    <w:rsid w:val="00696EDD"/>
    <w:rsid w:val="006974A4"/>
    <w:rsid w:val="006974BF"/>
    <w:rsid w:val="00697624"/>
    <w:rsid w:val="006978D1"/>
    <w:rsid w:val="00697AC9"/>
    <w:rsid w:val="00697D19"/>
    <w:rsid w:val="00697DE0"/>
    <w:rsid w:val="00697EBB"/>
    <w:rsid w:val="00697F5A"/>
    <w:rsid w:val="006A0052"/>
    <w:rsid w:val="006A02C8"/>
    <w:rsid w:val="006A0397"/>
    <w:rsid w:val="006A04D4"/>
    <w:rsid w:val="006A04E8"/>
    <w:rsid w:val="006A05C7"/>
    <w:rsid w:val="006A063E"/>
    <w:rsid w:val="006A07BB"/>
    <w:rsid w:val="006A08CA"/>
    <w:rsid w:val="006A0B08"/>
    <w:rsid w:val="006A0E43"/>
    <w:rsid w:val="006A0FEF"/>
    <w:rsid w:val="006A102D"/>
    <w:rsid w:val="006A11E4"/>
    <w:rsid w:val="006A1354"/>
    <w:rsid w:val="006A1464"/>
    <w:rsid w:val="006A14E6"/>
    <w:rsid w:val="006A15CF"/>
    <w:rsid w:val="006A16B8"/>
    <w:rsid w:val="006A16F0"/>
    <w:rsid w:val="006A1BB3"/>
    <w:rsid w:val="006A1D2B"/>
    <w:rsid w:val="006A1E3C"/>
    <w:rsid w:val="006A20A4"/>
    <w:rsid w:val="006A2808"/>
    <w:rsid w:val="006A293B"/>
    <w:rsid w:val="006A2947"/>
    <w:rsid w:val="006A29FF"/>
    <w:rsid w:val="006A2AB9"/>
    <w:rsid w:val="006A2ACB"/>
    <w:rsid w:val="006A2CF1"/>
    <w:rsid w:val="006A2DB4"/>
    <w:rsid w:val="006A305D"/>
    <w:rsid w:val="006A34CD"/>
    <w:rsid w:val="006A350E"/>
    <w:rsid w:val="006A3A94"/>
    <w:rsid w:val="006A414D"/>
    <w:rsid w:val="006A41F8"/>
    <w:rsid w:val="006A4290"/>
    <w:rsid w:val="006A42A5"/>
    <w:rsid w:val="006A445E"/>
    <w:rsid w:val="006A446C"/>
    <w:rsid w:val="006A451E"/>
    <w:rsid w:val="006A45BB"/>
    <w:rsid w:val="006A47E1"/>
    <w:rsid w:val="006A4E52"/>
    <w:rsid w:val="006A4FC8"/>
    <w:rsid w:val="006A50F1"/>
    <w:rsid w:val="006A517B"/>
    <w:rsid w:val="006A5215"/>
    <w:rsid w:val="006A535E"/>
    <w:rsid w:val="006A53D3"/>
    <w:rsid w:val="006A54A8"/>
    <w:rsid w:val="006A55E1"/>
    <w:rsid w:val="006A5796"/>
    <w:rsid w:val="006A57BC"/>
    <w:rsid w:val="006A5BB6"/>
    <w:rsid w:val="006A5EAC"/>
    <w:rsid w:val="006A6031"/>
    <w:rsid w:val="006A603D"/>
    <w:rsid w:val="006A607B"/>
    <w:rsid w:val="006A61EC"/>
    <w:rsid w:val="006A6296"/>
    <w:rsid w:val="006A6418"/>
    <w:rsid w:val="006A66FE"/>
    <w:rsid w:val="006A684B"/>
    <w:rsid w:val="006A6A87"/>
    <w:rsid w:val="006A6BC2"/>
    <w:rsid w:val="006A6C7E"/>
    <w:rsid w:val="006A6DD4"/>
    <w:rsid w:val="006A6E27"/>
    <w:rsid w:val="006A6E78"/>
    <w:rsid w:val="006A6EAC"/>
    <w:rsid w:val="006A6FB8"/>
    <w:rsid w:val="006A70AA"/>
    <w:rsid w:val="006A70CC"/>
    <w:rsid w:val="006A72B0"/>
    <w:rsid w:val="006A74E5"/>
    <w:rsid w:val="006A7515"/>
    <w:rsid w:val="006A7569"/>
    <w:rsid w:val="006A75D9"/>
    <w:rsid w:val="006A7819"/>
    <w:rsid w:val="006A78EC"/>
    <w:rsid w:val="006A7918"/>
    <w:rsid w:val="006A7AB4"/>
    <w:rsid w:val="006A7BED"/>
    <w:rsid w:val="006A7E05"/>
    <w:rsid w:val="006B01AB"/>
    <w:rsid w:val="006B01DA"/>
    <w:rsid w:val="006B02C4"/>
    <w:rsid w:val="006B03CB"/>
    <w:rsid w:val="006B04FE"/>
    <w:rsid w:val="006B055B"/>
    <w:rsid w:val="006B05D4"/>
    <w:rsid w:val="006B069A"/>
    <w:rsid w:val="006B075C"/>
    <w:rsid w:val="006B0856"/>
    <w:rsid w:val="006B0894"/>
    <w:rsid w:val="006B12DE"/>
    <w:rsid w:val="006B1328"/>
    <w:rsid w:val="006B13AF"/>
    <w:rsid w:val="006B17C6"/>
    <w:rsid w:val="006B18C5"/>
    <w:rsid w:val="006B1932"/>
    <w:rsid w:val="006B1B85"/>
    <w:rsid w:val="006B1CE4"/>
    <w:rsid w:val="006B1F47"/>
    <w:rsid w:val="006B1FDA"/>
    <w:rsid w:val="006B26A3"/>
    <w:rsid w:val="006B28D2"/>
    <w:rsid w:val="006B2BE0"/>
    <w:rsid w:val="006B2E3A"/>
    <w:rsid w:val="006B3137"/>
    <w:rsid w:val="006B332D"/>
    <w:rsid w:val="006B33CD"/>
    <w:rsid w:val="006B3556"/>
    <w:rsid w:val="006B36AE"/>
    <w:rsid w:val="006B3980"/>
    <w:rsid w:val="006B3CEE"/>
    <w:rsid w:val="006B3CF7"/>
    <w:rsid w:val="006B3E4D"/>
    <w:rsid w:val="006B3E5A"/>
    <w:rsid w:val="006B417B"/>
    <w:rsid w:val="006B43AA"/>
    <w:rsid w:val="006B4449"/>
    <w:rsid w:val="006B461C"/>
    <w:rsid w:val="006B474F"/>
    <w:rsid w:val="006B47BF"/>
    <w:rsid w:val="006B4A1A"/>
    <w:rsid w:val="006B4C0C"/>
    <w:rsid w:val="006B4C98"/>
    <w:rsid w:val="006B4EAB"/>
    <w:rsid w:val="006B5091"/>
    <w:rsid w:val="006B50B8"/>
    <w:rsid w:val="006B50F9"/>
    <w:rsid w:val="006B514B"/>
    <w:rsid w:val="006B5756"/>
    <w:rsid w:val="006B5A61"/>
    <w:rsid w:val="006B5C4C"/>
    <w:rsid w:val="006B5CDD"/>
    <w:rsid w:val="006B5D76"/>
    <w:rsid w:val="006B5D79"/>
    <w:rsid w:val="006B5FBC"/>
    <w:rsid w:val="006B6008"/>
    <w:rsid w:val="006B617D"/>
    <w:rsid w:val="006B62C5"/>
    <w:rsid w:val="006B6447"/>
    <w:rsid w:val="006B64E8"/>
    <w:rsid w:val="006B64FE"/>
    <w:rsid w:val="006B654C"/>
    <w:rsid w:val="006B6AEF"/>
    <w:rsid w:val="006B6DA1"/>
    <w:rsid w:val="006B7030"/>
    <w:rsid w:val="006B70B5"/>
    <w:rsid w:val="006B7237"/>
    <w:rsid w:val="006B76C2"/>
    <w:rsid w:val="006B7868"/>
    <w:rsid w:val="006B7877"/>
    <w:rsid w:val="006B79D0"/>
    <w:rsid w:val="006B7CBC"/>
    <w:rsid w:val="006C0049"/>
    <w:rsid w:val="006C019A"/>
    <w:rsid w:val="006C02CD"/>
    <w:rsid w:val="006C0562"/>
    <w:rsid w:val="006C058B"/>
    <w:rsid w:val="006C06A9"/>
    <w:rsid w:val="006C0CF4"/>
    <w:rsid w:val="006C0D10"/>
    <w:rsid w:val="006C132E"/>
    <w:rsid w:val="006C13A3"/>
    <w:rsid w:val="006C13ED"/>
    <w:rsid w:val="006C146E"/>
    <w:rsid w:val="006C157B"/>
    <w:rsid w:val="006C178B"/>
    <w:rsid w:val="006C1822"/>
    <w:rsid w:val="006C1830"/>
    <w:rsid w:val="006C19FE"/>
    <w:rsid w:val="006C1A6E"/>
    <w:rsid w:val="006C1D89"/>
    <w:rsid w:val="006C1DCD"/>
    <w:rsid w:val="006C1E2F"/>
    <w:rsid w:val="006C21F1"/>
    <w:rsid w:val="006C25A6"/>
    <w:rsid w:val="006C26BB"/>
    <w:rsid w:val="006C28C1"/>
    <w:rsid w:val="006C2A52"/>
    <w:rsid w:val="006C2ABA"/>
    <w:rsid w:val="006C2B59"/>
    <w:rsid w:val="006C2C86"/>
    <w:rsid w:val="006C2C8B"/>
    <w:rsid w:val="006C2D1A"/>
    <w:rsid w:val="006C3001"/>
    <w:rsid w:val="006C30F0"/>
    <w:rsid w:val="006C34A1"/>
    <w:rsid w:val="006C3686"/>
    <w:rsid w:val="006C38EF"/>
    <w:rsid w:val="006C3B07"/>
    <w:rsid w:val="006C3BCF"/>
    <w:rsid w:val="006C3BEF"/>
    <w:rsid w:val="006C3D14"/>
    <w:rsid w:val="006C3EBC"/>
    <w:rsid w:val="006C4043"/>
    <w:rsid w:val="006C40A7"/>
    <w:rsid w:val="006C41C1"/>
    <w:rsid w:val="006C41ED"/>
    <w:rsid w:val="006C43FB"/>
    <w:rsid w:val="006C4436"/>
    <w:rsid w:val="006C456F"/>
    <w:rsid w:val="006C47A8"/>
    <w:rsid w:val="006C4950"/>
    <w:rsid w:val="006C49AF"/>
    <w:rsid w:val="006C4F0A"/>
    <w:rsid w:val="006C5095"/>
    <w:rsid w:val="006C5156"/>
    <w:rsid w:val="006C518F"/>
    <w:rsid w:val="006C52B9"/>
    <w:rsid w:val="006C559A"/>
    <w:rsid w:val="006C5884"/>
    <w:rsid w:val="006C58B5"/>
    <w:rsid w:val="006C58E3"/>
    <w:rsid w:val="006C5A8D"/>
    <w:rsid w:val="006C5A98"/>
    <w:rsid w:val="006C5BBD"/>
    <w:rsid w:val="006C5CDD"/>
    <w:rsid w:val="006C5D0C"/>
    <w:rsid w:val="006C60CF"/>
    <w:rsid w:val="006C6346"/>
    <w:rsid w:val="006C63AC"/>
    <w:rsid w:val="006C6798"/>
    <w:rsid w:val="006C6B82"/>
    <w:rsid w:val="006C6C85"/>
    <w:rsid w:val="006C6ED1"/>
    <w:rsid w:val="006C6F68"/>
    <w:rsid w:val="006C719B"/>
    <w:rsid w:val="006C744D"/>
    <w:rsid w:val="006C75A0"/>
    <w:rsid w:val="006C77FA"/>
    <w:rsid w:val="006C7D60"/>
    <w:rsid w:val="006C7FA3"/>
    <w:rsid w:val="006C7FB8"/>
    <w:rsid w:val="006C7FF1"/>
    <w:rsid w:val="006D02AA"/>
    <w:rsid w:val="006D0AD7"/>
    <w:rsid w:val="006D0B1F"/>
    <w:rsid w:val="006D0F89"/>
    <w:rsid w:val="006D13C4"/>
    <w:rsid w:val="006D18CC"/>
    <w:rsid w:val="006D1A50"/>
    <w:rsid w:val="006D1ABB"/>
    <w:rsid w:val="006D1DFE"/>
    <w:rsid w:val="006D1F55"/>
    <w:rsid w:val="006D20A4"/>
    <w:rsid w:val="006D214C"/>
    <w:rsid w:val="006D246F"/>
    <w:rsid w:val="006D2560"/>
    <w:rsid w:val="006D2A8B"/>
    <w:rsid w:val="006D2E85"/>
    <w:rsid w:val="006D2F28"/>
    <w:rsid w:val="006D3132"/>
    <w:rsid w:val="006D328B"/>
    <w:rsid w:val="006D32D4"/>
    <w:rsid w:val="006D3620"/>
    <w:rsid w:val="006D364E"/>
    <w:rsid w:val="006D3674"/>
    <w:rsid w:val="006D381A"/>
    <w:rsid w:val="006D38F5"/>
    <w:rsid w:val="006D3DAC"/>
    <w:rsid w:val="006D41CE"/>
    <w:rsid w:val="006D41FE"/>
    <w:rsid w:val="006D460E"/>
    <w:rsid w:val="006D472A"/>
    <w:rsid w:val="006D4CA2"/>
    <w:rsid w:val="006D4CD3"/>
    <w:rsid w:val="006D4E7C"/>
    <w:rsid w:val="006D4EFD"/>
    <w:rsid w:val="006D5176"/>
    <w:rsid w:val="006D5201"/>
    <w:rsid w:val="006D5313"/>
    <w:rsid w:val="006D535C"/>
    <w:rsid w:val="006D5489"/>
    <w:rsid w:val="006D5510"/>
    <w:rsid w:val="006D55C0"/>
    <w:rsid w:val="006D55D6"/>
    <w:rsid w:val="006D55D7"/>
    <w:rsid w:val="006D5758"/>
    <w:rsid w:val="006D5820"/>
    <w:rsid w:val="006D5886"/>
    <w:rsid w:val="006D5895"/>
    <w:rsid w:val="006D589A"/>
    <w:rsid w:val="006D5F9A"/>
    <w:rsid w:val="006D5FF4"/>
    <w:rsid w:val="006D6703"/>
    <w:rsid w:val="006D673F"/>
    <w:rsid w:val="006D6944"/>
    <w:rsid w:val="006D6989"/>
    <w:rsid w:val="006D6B4A"/>
    <w:rsid w:val="006D6C23"/>
    <w:rsid w:val="006D6F24"/>
    <w:rsid w:val="006D72F8"/>
    <w:rsid w:val="006D73FC"/>
    <w:rsid w:val="006D74ED"/>
    <w:rsid w:val="006D77C0"/>
    <w:rsid w:val="006D789D"/>
    <w:rsid w:val="006D78EB"/>
    <w:rsid w:val="006D791B"/>
    <w:rsid w:val="006D7C35"/>
    <w:rsid w:val="006D7C6D"/>
    <w:rsid w:val="006E02BE"/>
    <w:rsid w:val="006E058C"/>
    <w:rsid w:val="006E076A"/>
    <w:rsid w:val="006E07BD"/>
    <w:rsid w:val="006E0922"/>
    <w:rsid w:val="006E0B0D"/>
    <w:rsid w:val="006E0BA8"/>
    <w:rsid w:val="006E0ED9"/>
    <w:rsid w:val="006E0EF4"/>
    <w:rsid w:val="006E0F5D"/>
    <w:rsid w:val="006E0FA4"/>
    <w:rsid w:val="006E121D"/>
    <w:rsid w:val="006E13A6"/>
    <w:rsid w:val="006E13C3"/>
    <w:rsid w:val="006E1629"/>
    <w:rsid w:val="006E16F2"/>
    <w:rsid w:val="006E1B0F"/>
    <w:rsid w:val="006E2008"/>
    <w:rsid w:val="006E21C3"/>
    <w:rsid w:val="006E2427"/>
    <w:rsid w:val="006E2429"/>
    <w:rsid w:val="006E24A5"/>
    <w:rsid w:val="006E2656"/>
    <w:rsid w:val="006E28EB"/>
    <w:rsid w:val="006E28FF"/>
    <w:rsid w:val="006E29BC"/>
    <w:rsid w:val="006E2B50"/>
    <w:rsid w:val="006E2BB3"/>
    <w:rsid w:val="006E2D40"/>
    <w:rsid w:val="006E32BE"/>
    <w:rsid w:val="006E3848"/>
    <w:rsid w:val="006E38A2"/>
    <w:rsid w:val="006E3B00"/>
    <w:rsid w:val="006E3B7A"/>
    <w:rsid w:val="006E3BE7"/>
    <w:rsid w:val="006E3BFD"/>
    <w:rsid w:val="006E3D01"/>
    <w:rsid w:val="006E3DA4"/>
    <w:rsid w:val="006E4021"/>
    <w:rsid w:val="006E402D"/>
    <w:rsid w:val="006E42CD"/>
    <w:rsid w:val="006E4654"/>
    <w:rsid w:val="006E4690"/>
    <w:rsid w:val="006E48EE"/>
    <w:rsid w:val="006E4A3B"/>
    <w:rsid w:val="006E4A43"/>
    <w:rsid w:val="006E4B4C"/>
    <w:rsid w:val="006E4CA5"/>
    <w:rsid w:val="006E4D99"/>
    <w:rsid w:val="006E4DBA"/>
    <w:rsid w:val="006E4F2D"/>
    <w:rsid w:val="006E5017"/>
    <w:rsid w:val="006E501D"/>
    <w:rsid w:val="006E50E1"/>
    <w:rsid w:val="006E5147"/>
    <w:rsid w:val="006E51E0"/>
    <w:rsid w:val="006E5269"/>
    <w:rsid w:val="006E5323"/>
    <w:rsid w:val="006E5567"/>
    <w:rsid w:val="006E587A"/>
    <w:rsid w:val="006E5934"/>
    <w:rsid w:val="006E5BC2"/>
    <w:rsid w:val="006E5BDC"/>
    <w:rsid w:val="006E5D74"/>
    <w:rsid w:val="006E5D94"/>
    <w:rsid w:val="006E5F40"/>
    <w:rsid w:val="006E5F44"/>
    <w:rsid w:val="006E654B"/>
    <w:rsid w:val="006E6702"/>
    <w:rsid w:val="006E6779"/>
    <w:rsid w:val="006E6BC2"/>
    <w:rsid w:val="006E6CE7"/>
    <w:rsid w:val="006E7169"/>
    <w:rsid w:val="006E7418"/>
    <w:rsid w:val="006E744A"/>
    <w:rsid w:val="006E77A5"/>
    <w:rsid w:val="006E77BB"/>
    <w:rsid w:val="006E780C"/>
    <w:rsid w:val="006E7851"/>
    <w:rsid w:val="006E7A3D"/>
    <w:rsid w:val="006E7B9A"/>
    <w:rsid w:val="006E7BD2"/>
    <w:rsid w:val="006E7C55"/>
    <w:rsid w:val="006E7CB3"/>
    <w:rsid w:val="006E7EF3"/>
    <w:rsid w:val="006E7FB6"/>
    <w:rsid w:val="006F020F"/>
    <w:rsid w:val="006F04A6"/>
    <w:rsid w:val="006F057A"/>
    <w:rsid w:val="006F05E1"/>
    <w:rsid w:val="006F061C"/>
    <w:rsid w:val="006F072F"/>
    <w:rsid w:val="006F07D7"/>
    <w:rsid w:val="006F0800"/>
    <w:rsid w:val="006F08FA"/>
    <w:rsid w:val="006F0A2F"/>
    <w:rsid w:val="006F0A30"/>
    <w:rsid w:val="006F0C53"/>
    <w:rsid w:val="006F0E38"/>
    <w:rsid w:val="006F1024"/>
    <w:rsid w:val="006F11C3"/>
    <w:rsid w:val="006F123A"/>
    <w:rsid w:val="006F129F"/>
    <w:rsid w:val="006F13E0"/>
    <w:rsid w:val="006F1488"/>
    <w:rsid w:val="006F152E"/>
    <w:rsid w:val="006F15A5"/>
    <w:rsid w:val="006F18D6"/>
    <w:rsid w:val="006F18E5"/>
    <w:rsid w:val="006F1AAC"/>
    <w:rsid w:val="006F1B3F"/>
    <w:rsid w:val="006F1F36"/>
    <w:rsid w:val="006F2232"/>
    <w:rsid w:val="006F2290"/>
    <w:rsid w:val="006F26B4"/>
    <w:rsid w:val="006F2A0D"/>
    <w:rsid w:val="006F2A1C"/>
    <w:rsid w:val="006F2AE1"/>
    <w:rsid w:val="006F2D0A"/>
    <w:rsid w:val="006F2D7F"/>
    <w:rsid w:val="006F2ED5"/>
    <w:rsid w:val="006F2F79"/>
    <w:rsid w:val="006F319D"/>
    <w:rsid w:val="006F321C"/>
    <w:rsid w:val="006F33AD"/>
    <w:rsid w:val="006F34DA"/>
    <w:rsid w:val="006F3549"/>
    <w:rsid w:val="006F37BE"/>
    <w:rsid w:val="006F3ABE"/>
    <w:rsid w:val="006F3B99"/>
    <w:rsid w:val="006F3C1F"/>
    <w:rsid w:val="006F3F93"/>
    <w:rsid w:val="006F41F0"/>
    <w:rsid w:val="006F448A"/>
    <w:rsid w:val="006F45A4"/>
    <w:rsid w:val="006F474D"/>
    <w:rsid w:val="006F4A77"/>
    <w:rsid w:val="006F4C65"/>
    <w:rsid w:val="006F4CC9"/>
    <w:rsid w:val="006F4EF2"/>
    <w:rsid w:val="006F4FB4"/>
    <w:rsid w:val="006F4FB8"/>
    <w:rsid w:val="006F563C"/>
    <w:rsid w:val="006F5A17"/>
    <w:rsid w:val="006F5A7C"/>
    <w:rsid w:val="006F5CC2"/>
    <w:rsid w:val="006F5DC2"/>
    <w:rsid w:val="006F5DE7"/>
    <w:rsid w:val="006F5E9C"/>
    <w:rsid w:val="006F5F89"/>
    <w:rsid w:val="006F6182"/>
    <w:rsid w:val="006F6303"/>
    <w:rsid w:val="006F6316"/>
    <w:rsid w:val="006F63BA"/>
    <w:rsid w:val="006F65A2"/>
    <w:rsid w:val="006F67DF"/>
    <w:rsid w:val="006F6885"/>
    <w:rsid w:val="006F6967"/>
    <w:rsid w:val="006F6B42"/>
    <w:rsid w:val="006F6C31"/>
    <w:rsid w:val="006F6D4A"/>
    <w:rsid w:val="006F6EF1"/>
    <w:rsid w:val="006F6FBE"/>
    <w:rsid w:val="006F7223"/>
    <w:rsid w:val="006F7253"/>
    <w:rsid w:val="006F74B5"/>
    <w:rsid w:val="006F7A56"/>
    <w:rsid w:val="006F7DEF"/>
    <w:rsid w:val="00700005"/>
    <w:rsid w:val="007000C3"/>
    <w:rsid w:val="007001D1"/>
    <w:rsid w:val="007006A9"/>
    <w:rsid w:val="00700A81"/>
    <w:rsid w:val="00700B21"/>
    <w:rsid w:val="00700CF2"/>
    <w:rsid w:val="00700F78"/>
    <w:rsid w:val="007011CC"/>
    <w:rsid w:val="00701272"/>
    <w:rsid w:val="00701322"/>
    <w:rsid w:val="0070150E"/>
    <w:rsid w:val="007016DD"/>
    <w:rsid w:val="00701735"/>
    <w:rsid w:val="00701746"/>
    <w:rsid w:val="00701808"/>
    <w:rsid w:val="00701A51"/>
    <w:rsid w:val="00701A56"/>
    <w:rsid w:val="00701CAA"/>
    <w:rsid w:val="00701CC3"/>
    <w:rsid w:val="00701DF9"/>
    <w:rsid w:val="00702381"/>
    <w:rsid w:val="007024FB"/>
    <w:rsid w:val="00702577"/>
    <w:rsid w:val="0070257B"/>
    <w:rsid w:val="00702664"/>
    <w:rsid w:val="007026B9"/>
    <w:rsid w:val="00702776"/>
    <w:rsid w:val="00702D8B"/>
    <w:rsid w:val="00702E4F"/>
    <w:rsid w:val="00702F8D"/>
    <w:rsid w:val="00703238"/>
    <w:rsid w:val="00703253"/>
    <w:rsid w:val="007032EF"/>
    <w:rsid w:val="00703373"/>
    <w:rsid w:val="0070365A"/>
    <w:rsid w:val="007037C9"/>
    <w:rsid w:val="00703F05"/>
    <w:rsid w:val="00704068"/>
    <w:rsid w:val="007041C3"/>
    <w:rsid w:val="007042A6"/>
    <w:rsid w:val="007043D6"/>
    <w:rsid w:val="0070451D"/>
    <w:rsid w:val="00704788"/>
    <w:rsid w:val="007047EB"/>
    <w:rsid w:val="007048E7"/>
    <w:rsid w:val="00704B66"/>
    <w:rsid w:val="00704C5B"/>
    <w:rsid w:val="00705212"/>
    <w:rsid w:val="007055E4"/>
    <w:rsid w:val="007058E6"/>
    <w:rsid w:val="00705A3B"/>
    <w:rsid w:val="00705DB8"/>
    <w:rsid w:val="00705F50"/>
    <w:rsid w:val="00705F7F"/>
    <w:rsid w:val="007061F3"/>
    <w:rsid w:val="00706203"/>
    <w:rsid w:val="0070625C"/>
    <w:rsid w:val="007066F3"/>
    <w:rsid w:val="00706912"/>
    <w:rsid w:val="00706929"/>
    <w:rsid w:val="00706A83"/>
    <w:rsid w:val="00706AC6"/>
    <w:rsid w:val="00706C8C"/>
    <w:rsid w:val="00706DD1"/>
    <w:rsid w:val="0070730E"/>
    <w:rsid w:val="00707426"/>
    <w:rsid w:val="0070746A"/>
    <w:rsid w:val="0070748A"/>
    <w:rsid w:val="007075B5"/>
    <w:rsid w:val="007076A2"/>
    <w:rsid w:val="00707A4C"/>
    <w:rsid w:val="00707A98"/>
    <w:rsid w:val="00707B2A"/>
    <w:rsid w:val="00707BB9"/>
    <w:rsid w:val="00707C4C"/>
    <w:rsid w:val="00707C7C"/>
    <w:rsid w:val="00707C88"/>
    <w:rsid w:val="00707CB8"/>
    <w:rsid w:val="00707E5B"/>
    <w:rsid w:val="00707FE1"/>
    <w:rsid w:val="00710278"/>
    <w:rsid w:val="00710349"/>
    <w:rsid w:val="0071035A"/>
    <w:rsid w:val="0071049B"/>
    <w:rsid w:val="00710E62"/>
    <w:rsid w:val="00711005"/>
    <w:rsid w:val="00711161"/>
    <w:rsid w:val="00711398"/>
    <w:rsid w:val="00711412"/>
    <w:rsid w:val="00711738"/>
    <w:rsid w:val="0071179B"/>
    <w:rsid w:val="007117EA"/>
    <w:rsid w:val="00711891"/>
    <w:rsid w:val="00711C3D"/>
    <w:rsid w:val="00711C71"/>
    <w:rsid w:val="00711D57"/>
    <w:rsid w:val="00711E4F"/>
    <w:rsid w:val="00711EB8"/>
    <w:rsid w:val="007120AE"/>
    <w:rsid w:val="007120D8"/>
    <w:rsid w:val="0071239A"/>
    <w:rsid w:val="00712523"/>
    <w:rsid w:val="00712696"/>
    <w:rsid w:val="00712ACA"/>
    <w:rsid w:val="00712BE0"/>
    <w:rsid w:val="00712CD6"/>
    <w:rsid w:val="00712DCF"/>
    <w:rsid w:val="00713225"/>
    <w:rsid w:val="0071331A"/>
    <w:rsid w:val="007135BE"/>
    <w:rsid w:val="00713624"/>
    <w:rsid w:val="00713AE3"/>
    <w:rsid w:val="00713B79"/>
    <w:rsid w:val="00713BB3"/>
    <w:rsid w:val="007140E8"/>
    <w:rsid w:val="00714176"/>
    <w:rsid w:val="007141F4"/>
    <w:rsid w:val="007142CD"/>
    <w:rsid w:val="0071452F"/>
    <w:rsid w:val="00714972"/>
    <w:rsid w:val="00714D9C"/>
    <w:rsid w:val="00714F97"/>
    <w:rsid w:val="00715222"/>
    <w:rsid w:val="0071529D"/>
    <w:rsid w:val="0071548F"/>
    <w:rsid w:val="00715492"/>
    <w:rsid w:val="007154CB"/>
    <w:rsid w:val="00715525"/>
    <w:rsid w:val="00715605"/>
    <w:rsid w:val="007159A3"/>
    <w:rsid w:val="00715B92"/>
    <w:rsid w:val="00715DB6"/>
    <w:rsid w:val="00715E75"/>
    <w:rsid w:val="00716007"/>
    <w:rsid w:val="0071601B"/>
    <w:rsid w:val="0071605B"/>
    <w:rsid w:val="007161CF"/>
    <w:rsid w:val="0071628E"/>
    <w:rsid w:val="00716336"/>
    <w:rsid w:val="00716681"/>
    <w:rsid w:val="0071682C"/>
    <w:rsid w:val="00716FE6"/>
    <w:rsid w:val="00717070"/>
    <w:rsid w:val="0071717E"/>
    <w:rsid w:val="007171E9"/>
    <w:rsid w:val="00717303"/>
    <w:rsid w:val="007175A7"/>
    <w:rsid w:val="00717B3E"/>
    <w:rsid w:val="00717EE4"/>
    <w:rsid w:val="00720041"/>
    <w:rsid w:val="00720232"/>
    <w:rsid w:val="0072024A"/>
    <w:rsid w:val="00720432"/>
    <w:rsid w:val="007205E1"/>
    <w:rsid w:val="007206B5"/>
    <w:rsid w:val="007207EC"/>
    <w:rsid w:val="0072095F"/>
    <w:rsid w:val="00720DAF"/>
    <w:rsid w:val="00720EA2"/>
    <w:rsid w:val="0072108E"/>
    <w:rsid w:val="007210B6"/>
    <w:rsid w:val="00721386"/>
    <w:rsid w:val="0072159C"/>
    <w:rsid w:val="007215E5"/>
    <w:rsid w:val="0072165E"/>
    <w:rsid w:val="007216B7"/>
    <w:rsid w:val="00721767"/>
    <w:rsid w:val="0072179B"/>
    <w:rsid w:val="00721826"/>
    <w:rsid w:val="00721A20"/>
    <w:rsid w:val="00721A3E"/>
    <w:rsid w:val="00721C77"/>
    <w:rsid w:val="0072211B"/>
    <w:rsid w:val="007223D1"/>
    <w:rsid w:val="007224BC"/>
    <w:rsid w:val="007228EC"/>
    <w:rsid w:val="0072292C"/>
    <w:rsid w:val="0072299A"/>
    <w:rsid w:val="007229F6"/>
    <w:rsid w:val="00722B70"/>
    <w:rsid w:val="00722BF1"/>
    <w:rsid w:val="00722D6F"/>
    <w:rsid w:val="00723062"/>
    <w:rsid w:val="007231DD"/>
    <w:rsid w:val="00723561"/>
    <w:rsid w:val="00723770"/>
    <w:rsid w:val="00723BCF"/>
    <w:rsid w:val="007241BE"/>
    <w:rsid w:val="007241E9"/>
    <w:rsid w:val="00724279"/>
    <w:rsid w:val="0072447B"/>
    <w:rsid w:val="007245A7"/>
    <w:rsid w:val="00724693"/>
    <w:rsid w:val="00724786"/>
    <w:rsid w:val="00724825"/>
    <w:rsid w:val="00724996"/>
    <w:rsid w:val="00724B6E"/>
    <w:rsid w:val="00724F65"/>
    <w:rsid w:val="00725013"/>
    <w:rsid w:val="0072512A"/>
    <w:rsid w:val="007251A9"/>
    <w:rsid w:val="00725249"/>
    <w:rsid w:val="00725356"/>
    <w:rsid w:val="00725966"/>
    <w:rsid w:val="00725EBC"/>
    <w:rsid w:val="00725F2F"/>
    <w:rsid w:val="00726101"/>
    <w:rsid w:val="007261CF"/>
    <w:rsid w:val="00726213"/>
    <w:rsid w:val="007262B6"/>
    <w:rsid w:val="00726384"/>
    <w:rsid w:val="007264B1"/>
    <w:rsid w:val="007265B4"/>
    <w:rsid w:val="00726808"/>
    <w:rsid w:val="00726AE2"/>
    <w:rsid w:val="00726C80"/>
    <w:rsid w:val="00726F11"/>
    <w:rsid w:val="00726FDC"/>
    <w:rsid w:val="007274F6"/>
    <w:rsid w:val="00727529"/>
    <w:rsid w:val="00727930"/>
    <w:rsid w:val="00727AAD"/>
    <w:rsid w:val="00727DEB"/>
    <w:rsid w:val="00727E9A"/>
    <w:rsid w:val="0073014C"/>
    <w:rsid w:val="00730382"/>
    <w:rsid w:val="0073047E"/>
    <w:rsid w:val="007304C7"/>
    <w:rsid w:val="0073072C"/>
    <w:rsid w:val="007307E1"/>
    <w:rsid w:val="007308ED"/>
    <w:rsid w:val="00730EEA"/>
    <w:rsid w:val="00730F04"/>
    <w:rsid w:val="00730F49"/>
    <w:rsid w:val="007312F9"/>
    <w:rsid w:val="0073130B"/>
    <w:rsid w:val="00731419"/>
    <w:rsid w:val="00731769"/>
    <w:rsid w:val="007319F8"/>
    <w:rsid w:val="00731BD7"/>
    <w:rsid w:val="00731EE6"/>
    <w:rsid w:val="0073211A"/>
    <w:rsid w:val="00732258"/>
    <w:rsid w:val="00732487"/>
    <w:rsid w:val="00732565"/>
    <w:rsid w:val="007326EA"/>
    <w:rsid w:val="0073271E"/>
    <w:rsid w:val="00732838"/>
    <w:rsid w:val="00732C26"/>
    <w:rsid w:val="00732C2F"/>
    <w:rsid w:val="00732D7D"/>
    <w:rsid w:val="00733023"/>
    <w:rsid w:val="00733081"/>
    <w:rsid w:val="0073347A"/>
    <w:rsid w:val="007334CF"/>
    <w:rsid w:val="00733527"/>
    <w:rsid w:val="0073356D"/>
    <w:rsid w:val="0073359C"/>
    <w:rsid w:val="007336E5"/>
    <w:rsid w:val="00733744"/>
    <w:rsid w:val="0073377B"/>
    <w:rsid w:val="00733E86"/>
    <w:rsid w:val="00733FEB"/>
    <w:rsid w:val="00734249"/>
    <w:rsid w:val="0073428A"/>
    <w:rsid w:val="007343D5"/>
    <w:rsid w:val="0073441B"/>
    <w:rsid w:val="00734420"/>
    <w:rsid w:val="007346B2"/>
    <w:rsid w:val="0073470F"/>
    <w:rsid w:val="007347B9"/>
    <w:rsid w:val="0073482D"/>
    <w:rsid w:val="00734D16"/>
    <w:rsid w:val="00734F40"/>
    <w:rsid w:val="00734FA3"/>
    <w:rsid w:val="00735025"/>
    <w:rsid w:val="007350CD"/>
    <w:rsid w:val="00735277"/>
    <w:rsid w:val="007353CF"/>
    <w:rsid w:val="007355A6"/>
    <w:rsid w:val="0073581A"/>
    <w:rsid w:val="00735C36"/>
    <w:rsid w:val="00735EBD"/>
    <w:rsid w:val="00735F43"/>
    <w:rsid w:val="00736675"/>
    <w:rsid w:val="007368D0"/>
    <w:rsid w:val="00736915"/>
    <w:rsid w:val="00736BA3"/>
    <w:rsid w:val="00736D9D"/>
    <w:rsid w:val="00736E5C"/>
    <w:rsid w:val="00736F45"/>
    <w:rsid w:val="007371C6"/>
    <w:rsid w:val="007371D7"/>
    <w:rsid w:val="007373F2"/>
    <w:rsid w:val="00737503"/>
    <w:rsid w:val="00737579"/>
    <w:rsid w:val="00737A05"/>
    <w:rsid w:val="00737CC1"/>
    <w:rsid w:val="00737E19"/>
    <w:rsid w:val="00737E76"/>
    <w:rsid w:val="00737F87"/>
    <w:rsid w:val="00740368"/>
    <w:rsid w:val="0074039D"/>
    <w:rsid w:val="00740410"/>
    <w:rsid w:val="0074061B"/>
    <w:rsid w:val="00740934"/>
    <w:rsid w:val="00740992"/>
    <w:rsid w:val="007409AC"/>
    <w:rsid w:val="00740A71"/>
    <w:rsid w:val="00740CE2"/>
    <w:rsid w:val="00740E94"/>
    <w:rsid w:val="00740FA6"/>
    <w:rsid w:val="00741167"/>
    <w:rsid w:val="0074120C"/>
    <w:rsid w:val="0074146C"/>
    <w:rsid w:val="007414DD"/>
    <w:rsid w:val="007417AB"/>
    <w:rsid w:val="00741A31"/>
    <w:rsid w:val="00741B6E"/>
    <w:rsid w:val="00741C17"/>
    <w:rsid w:val="00741F2C"/>
    <w:rsid w:val="007420C7"/>
    <w:rsid w:val="00742227"/>
    <w:rsid w:val="0074223A"/>
    <w:rsid w:val="00742241"/>
    <w:rsid w:val="007422D6"/>
    <w:rsid w:val="00742410"/>
    <w:rsid w:val="00742532"/>
    <w:rsid w:val="00742648"/>
    <w:rsid w:val="00742786"/>
    <w:rsid w:val="00742961"/>
    <w:rsid w:val="00742A6A"/>
    <w:rsid w:val="00742BC2"/>
    <w:rsid w:val="00743047"/>
    <w:rsid w:val="0074372F"/>
    <w:rsid w:val="007439C4"/>
    <w:rsid w:val="007439CC"/>
    <w:rsid w:val="00743CAC"/>
    <w:rsid w:val="00743CC3"/>
    <w:rsid w:val="00743E88"/>
    <w:rsid w:val="00743EAA"/>
    <w:rsid w:val="00743F25"/>
    <w:rsid w:val="00743FCA"/>
    <w:rsid w:val="00744015"/>
    <w:rsid w:val="00744041"/>
    <w:rsid w:val="00744062"/>
    <w:rsid w:val="0074436B"/>
    <w:rsid w:val="0074470B"/>
    <w:rsid w:val="007447AE"/>
    <w:rsid w:val="00744835"/>
    <w:rsid w:val="00744CFB"/>
    <w:rsid w:val="00744D00"/>
    <w:rsid w:val="00744E10"/>
    <w:rsid w:val="007450A5"/>
    <w:rsid w:val="007453BE"/>
    <w:rsid w:val="007453E9"/>
    <w:rsid w:val="007458D5"/>
    <w:rsid w:val="00745A17"/>
    <w:rsid w:val="00745C92"/>
    <w:rsid w:val="007460DA"/>
    <w:rsid w:val="007465E2"/>
    <w:rsid w:val="0074665F"/>
    <w:rsid w:val="00746977"/>
    <w:rsid w:val="00746C40"/>
    <w:rsid w:val="00747126"/>
    <w:rsid w:val="007472F4"/>
    <w:rsid w:val="00747453"/>
    <w:rsid w:val="007476A0"/>
    <w:rsid w:val="007477C5"/>
    <w:rsid w:val="0074792C"/>
    <w:rsid w:val="00747938"/>
    <w:rsid w:val="00747A08"/>
    <w:rsid w:val="00747CF4"/>
    <w:rsid w:val="00747FBD"/>
    <w:rsid w:val="00750145"/>
    <w:rsid w:val="007504DA"/>
    <w:rsid w:val="007506F2"/>
    <w:rsid w:val="00750734"/>
    <w:rsid w:val="00750A44"/>
    <w:rsid w:val="00750EC3"/>
    <w:rsid w:val="00750FCF"/>
    <w:rsid w:val="00750FF9"/>
    <w:rsid w:val="00751174"/>
    <w:rsid w:val="007512A9"/>
    <w:rsid w:val="007512B3"/>
    <w:rsid w:val="007512C3"/>
    <w:rsid w:val="00751386"/>
    <w:rsid w:val="00751551"/>
    <w:rsid w:val="007515D1"/>
    <w:rsid w:val="007517DA"/>
    <w:rsid w:val="007518C9"/>
    <w:rsid w:val="00751B95"/>
    <w:rsid w:val="00751F36"/>
    <w:rsid w:val="0075204A"/>
    <w:rsid w:val="00752084"/>
    <w:rsid w:val="007521C4"/>
    <w:rsid w:val="007526DC"/>
    <w:rsid w:val="00752AC4"/>
    <w:rsid w:val="00752BEB"/>
    <w:rsid w:val="00752D13"/>
    <w:rsid w:val="00752DD8"/>
    <w:rsid w:val="00752F78"/>
    <w:rsid w:val="0075312C"/>
    <w:rsid w:val="0075322B"/>
    <w:rsid w:val="007532FA"/>
    <w:rsid w:val="00753510"/>
    <w:rsid w:val="00753671"/>
    <w:rsid w:val="00753757"/>
    <w:rsid w:val="0075377A"/>
    <w:rsid w:val="00753A38"/>
    <w:rsid w:val="00753BC1"/>
    <w:rsid w:val="00753D0A"/>
    <w:rsid w:val="00753D4A"/>
    <w:rsid w:val="00754026"/>
    <w:rsid w:val="00754103"/>
    <w:rsid w:val="007541E4"/>
    <w:rsid w:val="007542CE"/>
    <w:rsid w:val="007542E8"/>
    <w:rsid w:val="0075469A"/>
    <w:rsid w:val="00754CF6"/>
    <w:rsid w:val="00754D69"/>
    <w:rsid w:val="00754F4D"/>
    <w:rsid w:val="00755175"/>
    <w:rsid w:val="00755467"/>
    <w:rsid w:val="007555C3"/>
    <w:rsid w:val="00755817"/>
    <w:rsid w:val="0075594B"/>
    <w:rsid w:val="00755A7A"/>
    <w:rsid w:val="00755B12"/>
    <w:rsid w:val="00755D93"/>
    <w:rsid w:val="00755DCB"/>
    <w:rsid w:val="00755E5C"/>
    <w:rsid w:val="00755FFE"/>
    <w:rsid w:val="0075645E"/>
    <w:rsid w:val="00756757"/>
    <w:rsid w:val="0075683D"/>
    <w:rsid w:val="0075684A"/>
    <w:rsid w:val="00756A7B"/>
    <w:rsid w:val="00756CDB"/>
    <w:rsid w:val="00756EE7"/>
    <w:rsid w:val="00756F93"/>
    <w:rsid w:val="00757021"/>
    <w:rsid w:val="00757035"/>
    <w:rsid w:val="00757186"/>
    <w:rsid w:val="00757310"/>
    <w:rsid w:val="00757666"/>
    <w:rsid w:val="0075780D"/>
    <w:rsid w:val="007578E1"/>
    <w:rsid w:val="00757A6A"/>
    <w:rsid w:val="00757CEE"/>
    <w:rsid w:val="00757CF3"/>
    <w:rsid w:val="0076006D"/>
    <w:rsid w:val="0076045C"/>
    <w:rsid w:val="00760768"/>
    <w:rsid w:val="00760791"/>
    <w:rsid w:val="00760A5B"/>
    <w:rsid w:val="00760BCC"/>
    <w:rsid w:val="00760E2D"/>
    <w:rsid w:val="00760EF8"/>
    <w:rsid w:val="0076106B"/>
    <w:rsid w:val="00761256"/>
    <w:rsid w:val="00761316"/>
    <w:rsid w:val="00761744"/>
    <w:rsid w:val="00761830"/>
    <w:rsid w:val="00761A7B"/>
    <w:rsid w:val="00761B62"/>
    <w:rsid w:val="00761EAC"/>
    <w:rsid w:val="00761FD6"/>
    <w:rsid w:val="007621FF"/>
    <w:rsid w:val="00762224"/>
    <w:rsid w:val="00762283"/>
    <w:rsid w:val="007626B8"/>
    <w:rsid w:val="007626FC"/>
    <w:rsid w:val="0076290A"/>
    <w:rsid w:val="00762AFB"/>
    <w:rsid w:val="007630F5"/>
    <w:rsid w:val="00763275"/>
    <w:rsid w:val="00763388"/>
    <w:rsid w:val="00763690"/>
    <w:rsid w:val="007637BC"/>
    <w:rsid w:val="007639D9"/>
    <w:rsid w:val="007639F7"/>
    <w:rsid w:val="007640AF"/>
    <w:rsid w:val="00764141"/>
    <w:rsid w:val="00764235"/>
    <w:rsid w:val="0076440A"/>
    <w:rsid w:val="007644F6"/>
    <w:rsid w:val="007646A0"/>
    <w:rsid w:val="007646A1"/>
    <w:rsid w:val="007646F3"/>
    <w:rsid w:val="0076475B"/>
    <w:rsid w:val="00764B31"/>
    <w:rsid w:val="00764B5D"/>
    <w:rsid w:val="00764C88"/>
    <w:rsid w:val="00764D00"/>
    <w:rsid w:val="00764E4A"/>
    <w:rsid w:val="00764FD5"/>
    <w:rsid w:val="007655A9"/>
    <w:rsid w:val="007656A1"/>
    <w:rsid w:val="007656CA"/>
    <w:rsid w:val="00765755"/>
    <w:rsid w:val="00765956"/>
    <w:rsid w:val="007659A3"/>
    <w:rsid w:val="00765A07"/>
    <w:rsid w:val="00765BA8"/>
    <w:rsid w:val="00765ECE"/>
    <w:rsid w:val="00766007"/>
    <w:rsid w:val="00766150"/>
    <w:rsid w:val="00766460"/>
    <w:rsid w:val="007664F7"/>
    <w:rsid w:val="00766765"/>
    <w:rsid w:val="00766C18"/>
    <w:rsid w:val="00766CC1"/>
    <w:rsid w:val="00766D18"/>
    <w:rsid w:val="00766D93"/>
    <w:rsid w:val="00766EB8"/>
    <w:rsid w:val="007670F8"/>
    <w:rsid w:val="00767193"/>
    <w:rsid w:val="007671E6"/>
    <w:rsid w:val="007673C8"/>
    <w:rsid w:val="00767768"/>
    <w:rsid w:val="0076784F"/>
    <w:rsid w:val="00767BF3"/>
    <w:rsid w:val="00767D26"/>
    <w:rsid w:val="00767D9C"/>
    <w:rsid w:val="00767FFC"/>
    <w:rsid w:val="007700F2"/>
    <w:rsid w:val="0077018F"/>
    <w:rsid w:val="00770502"/>
    <w:rsid w:val="007705A4"/>
    <w:rsid w:val="007706F1"/>
    <w:rsid w:val="007707BB"/>
    <w:rsid w:val="0077093A"/>
    <w:rsid w:val="00770A26"/>
    <w:rsid w:val="00770FA5"/>
    <w:rsid w:val="00770FC6"/>
    <w:rsid w:val="007712F1"/>
    <w:rsid w:val="00771608"/>
    <w:rsid w:val="0077163A"/>
    <w:rsid w:val="007717E4"/>
    <w:rsid w:val="00771BBA"/>
    <w:rsid w:val="00771C43"/>
    <w:rsid w:val="00771FB5"/>
    <w:rsid w:val="007722C9"/>
    <w:rsid w:val="0077238D"/>
    <w:rsid w:val="007723AC"/>
    <w:rsid w:val="007724A7"/>
    <w:rsid w:val="007725DD"/>
    <w:rsid w:val="0077263F"/>
    <w:rsid w:val="007726FA"/>
    <w:rsid w:val="00772916"/>
    <w:rsid w:val="00772945"/>
    <w:rsid w:val="00772A7E"/>
    <w:rsid w:val="00772ACA"/>
    <w:rsid w:val="00772CDC"/>
    <w:rsid w:val="00772F73"/>
    <w:rsid w:val="00772FB9"/>
    <w:rsid w:val="007730BE"/>
    <w:rsid w:val="007731BC"/>
    <w:rsid w:val="0077330B"/>
    <w:rsid w:val="00773328"/>
    <w:rsid w:val="0077333D"/>
    <w:rsid w:val="00773481"/>
    <w:rsid w:val="007736B8"/>
    <w:rsid w:val="00773913"/>
    <w:rsid w:val="00773970"/>
    <w:rsid w:val="00773A34"/>
    <w:rsid w:val="00773C3D"/>
    <w:rsid w:val="00773E0D"/>
    <w:rsid w:val="007741E7"/>
    <w:rsid w:val="007746ED"/>
    <w:rsid w:val="00774814"/>
    <w:rsid w:val="00774B93"/>
    <w:rsid w:val="00774D8F"/>
    <w:rsid w:val="00774EAF"/>
    <w:rsid w:val="00774FC7"/>
    <w:rsid w:val="0077506B"/>
    <w:rsid w:val="007750F6"/>
    <w:rsid w:val="00775231"/>
    <w:rsid w:val="007754C3"/>
    <w:rsid w:val="0077554D"/>
    <w:rsid w:val="00775567"/>
    <w:rsid w:val="00775645"/>
    <w:rsid w:val="007757C6"/>
    <w:rsid w:val="00775A1B"/>
    <w:rsid w:val="00775AC5"/>
    <w:rsid w:val="00775C40"/>
    <w:rsid w:val="00775C59"/>
    <w:rsid w:val="00775C99"/>
    <w:rsid w:val="00775D9D"/>
    <w:rsid w:val="00775DB7"/>
    <w:rsid w:val="00775E03"/>
    <w:rsid w:val="00775FF9"/>
    <w:rsid w:val="0077617B"/>
    <w:rsid w:val="0077629F"/>
    <w:rsid w:val="00776335"/>
    <w:rsid w:val="0077645D"/>
    <w:rsid w:val="00776542"/>
    <w:rsid w:val="00776749"/>
    <w:rsid w:val="00776811"/>
    <w:rsid w:val="0077694C"/>
    <w:rsid w:val="00776977"/>
    <w:rsid w:val="00776E2E"/>
    <w:rsid w:val="00776E34"/>
    <w:rsid w:val="00777442"/>
    <w:rsid w:val="00777451"/>
    <w:rsid w:val="00777480"/>
    <w:rsid w:val="007778D5"/>
    <w:rsid w:val="007779A3"/>
    <w:rsid w:val="00777ADC"/>
    <w:rsid w:val="00777AF0"/>
    <w:rsid w:val="00780188"/>
    <w:rsid w:val="0078019B"/>
    <w:rsid w:val="007802E7"/>
    <w:rsid w:val="007804D9"/>
    <w:rsid w:val="00780AA9"/>
    <w:rsid w:val="00780B1A"/>
    <w:rsid w:val="00780D45"/>
    <w:rsid w:val="00780EB7"/>
    <w:rsid w:val="00780F3F"/>
    <w:rsid w:val="007812D0"/>
    <w:rsid w:val="007812E7"/>
    <w:rsid w:val="00781315"/>
    <w:rsid w:val="00781397"/>
    <w:rsid w:val="007814B3"/>
    <w:rsid w:val="0078159F"/>
    <w:rsid w:val="00781615"/>
    <w:rsid w:val="0078165F"/>
    <w:rsid w:val="007819ED"/>
    <w:rsid w:val="00781A97"/>
    <w:rsid w:val="00781E7D"/>
    <w:rsid w:val="00782065"/>
    <w:rsid w:val="007821F8"/>
    <w:rsid w:val="007822EE"/>
    <w:rsid w:val="007823B2"/>
    <w:rsid w:val="00782419"/>
    <w:rsid w:val="007824BC"/>
    <w:rsid w:val="0078250C"/>
    <w:rsid w:val="00782BD1"/>
    <w:rsid w:val="00782D2D"/>
    <w:rsid w:val="00782DFC"/>
    <w:rsid w:val="00782EC4"/>
    <w:rsid w:val="00782EC5"/>
    <w:rsid w:val="00782EEE"/>
    <w:rsid w:val="00783153"/>
    <w:rsid w:val="00783599"/>
    <w:rsid w:val="00783710"/>
    <w:rsid w:val="007837FF"/>
    <w:rsid w:val="00783930"/>
    <w:rsid w:val="007839D5"/>
    <w:rsid w:val="00783A16"/>
    <w:rsid w:val="00783A74"/>
    <w:rsid w:val="00783AE5"/>
    <w:rsid w:val="00783B43"/>
    <w:rsid w:val="00783EBD"/>
    <w:rsid w:val="00783F2A"/>
    <w:rsid w:val="0078407C"/>
    <w:rsid w:val="00784447"/>
    <w:rsid w:val="0078495B"/>
    <w:rsid w:val="0078497D"/>
    <w:rsid w:val="00784AF0"/>
    <w:rsid w:val="00784B98"/>
    <w:rsid w:val="00784D45"/>
    <w:rsid w:val="00785285"/>
    <w:rsid w:val="0078539C"/>
    <w:rsid w:val="00785777"/>
    <w:rsid w:val="007858EE"/>
    <w:rsid w:val="0078590B"/>
    <w:rsid w:val="00785972"/>
    <w:rsid w:val="00785C83"/>
    <w:rsid w:val="00785E7E"/>
    <w:rsid w:val="00785F22"/>
    <w:rsid w:val="00785F60"/>
    <w:rsid w:val="007863E1"/>
    <w:rsid w:val="00786412"/>
    <w:rsid w:val="0078647C"/>
    <w:rsid w:val="007864DA"/>
    <w:rsid w:val="007865CA"/>
    <w:rsid w:val="00786D8B"/>
    <w:rsid w:val="00786ED8"/>
    <w:rsid w:val="00786EF2"/>
    <w:rsid w:val="007873FD"/>
    <w:rsid w:val="00787491"/>
    <w:rsid w:val="0078758D"/>
    <w:rsid w:val="0078759B"/>
    <w:rsid w:val="00787807"/>
    <w:rsid w:val="00787A15"/>
    <w:rsid w:val="00787C9E"/>
    <w:rsid w:val="00787CC0"/>
    <w:rsid w:val="00787CF3"/>
    <w:rsid w:val="00787D20"/>
    <w:rsid w:val="00787FD1"/>
    <w:rsid w:val="0079001F"/>
    <w:rsid w:val="007902A7"/>
    <w:rsid w:val="0079031E"/>
    <w:rsid w:val="00790362"/>
    <w:rsid w:val="007903FA"/>
    <w:rsid w:val="00790463"/>
    <w:rsid w:val="007904EA"/>
    <w:rsid w:val="00790553"/>
    <w:rsid w:val="0079065C"/>
    <w:rsid w:val="007906A9"/>
    <w:rsid w:val="00790767"/>
    <w:rsid w:val="00790833"/>
    <w:rsid w:val="00790A3B"/>
    <w:rsid w:val="00790B5F"/>
    <w:rsid w:val="0079108A"/>
    <w:rsid w:val="007910FF"/>
    <w:rsid w:val="007911B6"/>
    <w:rsid w:val="007911FD"/>
    <w:rsid w:val="0079160A"/>
    <w:rsid w:val="00791650"/>
    <w:rsid w:val="007916D6"/>
    <w:rsid w:val="00791A53"/>
    <w:rsid w:val="00791BF5"/>
    <w:rsid w:val="00792061"/>
    <w:rsid w:val="007920FE"/>
    <w:rsid w:val="00792256"/>
    <w:rsid w:val="00792373"/>
    <w:rsid w:val="00792431"/>
    <w:rsid w:val="0079278A"/>
    <w:rsid w:val="00792895"/>
    <w:rsid w:val="007930B7"/>
    <w:rsid w:val="0079312E"/>
    <w:rsid w:val="007931DF"/>
    <w:rsid w:val="00793237"/>
    <w:rsid w:val="00793541"/>
    <w:rsid w:val="007936AF"/>
    <w:rsid w:val="0079395C"/>
    <w:rsid w:val="0079398D"/>
    <w:rsid w:val="00793A58"/>
    <w:rsid w:val="00793D0C"/>
    <w:rsid w:val="007941A0"/>
    <w:rsid w:val="007942F1"/>
    <w:rsid w:val="007944E0"/>
    <w:rsid w:val="007946AA"/>
    <w:rsid w:val="007947AF"/>
    <w:rsid w:val="00794A22"/>
    <w:rsid w:val="00794A33"/>
    <w:rsid w:val="00794B98"/>
    <w:rsid w:val="00794CD0"/>
    <w:rsid w:val="00794D41"/>
    <w:rsid w:val="00794E6A"/>
    <w:rsid w:val="00794F5F"/>
    <w:rsid w:val="00794FF7"/>
    <w:rsid w:val="0079532F"/>
    <w:rsid w:val="0079539A"/>
    <w:rsid w:val="007953AE"/>
    <w:rsid w:val="007954CF"/>
    <w:rsid w:val="00795730"/>
    <w:rsid w:val="007958E5"/>
    <w:rsid w:val="0079598A"/>
    <w:rsid w:val="00795DA6"/>
    <w:rsid w:val="00795DF5"/>
    <w:rsid w:val="00795E2E"/>
    <w:rsid w:val="007962D2"/>
    <w:rsid w:val="00796410"/>
    <w:rsid w:val="007964D2"/>
    <w:rsid w:val="00796819"/>
    <w:rsid w:val="007968D7"/>
    <w:rsid w:val="0079691E"/>
    <w:rsid w:val="007969E4"/>
    <w:rsid w:val="00796A34"/>
    <w:rsid w:val="00796CD0"/>
    <w:rsid w:val="00796E5B"/>
    <w:rsid w:val="00796E96"/>
    <w:rsid w:val="00796F20"/>
    <w:rsid w:val="00796FFA"/>
    <w:rsid w:val="00797093"/>
    <w:rsid w:val="007970C0"/>
    <w:rsid w:val="0079739A"/>
    <w:rsid w:val="0079776F"/>
    <w:rsid w:val="00797CD7"/>
    <w:rsid w:val="00797D11"/>
    <w:rsid w:val="00797DAF"/>
    <w:rsid w:val="00797E20"/>
    <w:rsid w:val="007A0003"/>
    <w:rsid w:val="007A0131"/>
    <w:rsid w:val="007A04E1"/>
    <w:rsid w:val="007A0673"/>
    <w:rsid w:val="007A06CB"/>
    <w:rsid w:val="007A08CD"/>
    <w:rsid w:val="007A08CE"/>
    <w:rsid w:val="007A092C"/>
    <w:rsid w:val="007A0A24"/>
    <w:rsid w:val="007A0BC8"/>
    <w:rsid w:val="007A0F3F"/>
    <w:rsid w:val="007A1261"/>
    <w:rsid w:val="007A1312"/>
    <w:rsid w:val="007A1364"/>
    <w:rsid w:val="007A1389"/>
    <w:rsid w:val="007A1575"/>
    <w:rsid w:val="007A16FA"/>
    <w:rsid w:val="007A1785"/>
    <w:rsid w:val="007A1884"/>
    <w:rsid w:val="007A1886"/>
    <w:rsid w:val="007A1889"/>
    <w:rsid w:val="007A1939"/>
    <w:rsid w:val="007A1C52"/>
    <w:rsid w:val="007A1E55"/>
    <w:rsid w:val="007A1E90"/>
    <w:rsid w:val="007A1F2D"/>
    <w:rsid w:val="007A1FA2"/>
    <w:rsid w:val="007A2286"/>
    <w:rsid w:val="007A22A3"/>
    <w:rsid w:val="007A2485"/>
    <w:rsid w:val="007A24A0"/>
    <w:rsid w:val="007A2575"/>
    <w:rsid w:val="007A2699"/>
    <w:rsid w:val="007A2720"/>
    <w:rsid w:val="007A2769"/>
    <w:rsid w:val="007A2792"/>
    <w:rsid w:val="007A2824"/>
    <w:rsid w:val="007A28EC"/>
    <w:rsid w:val="007A2938"/>
    <w:rsid w:val="007A2A32"/>
    <w:rsid w:val="007A2AD5"/>
    <w:rsid w:val="007A2BAF"/>
    <w:rsid w:val="007A2CCB"/>
    <w:rsid w:val="007A2DB0"/>
    <w:rsid w:val="007A2E83"/>
    <w:rsid w:val="007A3061"/>
    <w:rsid w:val="007A31F7"/>
    <w:rsid w:val="007A332C"/>
    <w:rsid w:val="007A3497"/>
    <w:rsid w:val="007A34D4"/>
    <w:rsid w:val="007A35AC"/>
    <w:rsid w:val="007A37F5"/>
    <w:rsid w:val="007A3986"/>
    <w:rsid w:val="007A3B9A"/>
    <w:rsid w:val="007A3FC1"/>
    <w:rsid w:val="007A4171"/>
    <w:rsid w:val="007A41A1"/>
    <w:rsid w:val="007A41B9"/>
    <w:rsid w:val="007A4377"/>
    <w:rsid w:val="007A45F3"/>
    <w:rsid w:val="007A4637"/>
    <w:rsid w:val="007A48CA"/>
    <w:rsid w:val="007A4909"/>
    <w:rsid w:val="007A4AB2"/>
    <w:rsid w:val="007A4D9C"/>
    <w:rsid w:val="007A4E13"/>
    <w:rsid w:val="007A5027"/>
    <w:rsid w:val="007A5670"/>
    <w:rsid w:val="007A58DD"/>
    <w:rsid w:val="007A5A3E"/>
    <w:rsid w:val="007A5DEC"/>
    <w:rsid w:val="007A5E68"/>
    <w:rsid w:val="007A5F58"/>
    <w:rsid w:val="007A5FF8"/>
    <w:rsid w:val="007A602B"/>
    <w:rsid w:val="007A63C9"/>
    <w:rsid w:val="007A64DE"/>
    <w:rsid w:val="007A662C"/>
    <w:rsid w:val="007A6B3C"/>
    <w:rsid w:val="007A6BB4"/>
    <w:rsid w:val="007A6CFC"/>
    <w:rsid w:val="007A6DBA"/>
    <w:rsid w:val="007A6EC6"/>
    <w:rsid w:val="007A6F60"/>
    <w:rsid w:val="007A714A"/>
    <w:rsid w:val="007A71CE"/>
    <w:rsid w:val="007A73B1"/>
    <w:rsid w:val="007A7442"/>
    <w:rsid w:val="007A749D"/>
    <w:rsid w:val="007A7567"/>
    <w:rsid w:val="007A7825"/>
    <w:rsid w:val="007A7925"/>
    <w:rsid w:val="007A7E8C"/>
    <w:rsid w:val="007B0074"/>
    <w:rsid w:val="007B0287"/>
    <w:rsid w:val="007B03C7"/>
    <w:rsid w:val="007B08C9"/>
    <w:rsid w:val="007B0A22"/>
    <w:rsid w:val="007B0B1D"/>
    <w:rsid w:val="007B0CAC"/>
    <w:rsid w:val="007B0E20"/>
    <w:rsid w:val="007B0E63"/>
    <w:rsid w:val="007B114D"/>
    <w:rsid w:val="007B14FD"/>
    <w:rsid w:val="007B15A6"/>
    <w:rsid w:val="007B15E1"/>
    <w:rsid w:val="007B17E9"/>
    <w:rsid w:val="007B1859"/>
    <w:rsid w:val="007B18D5"/>
    <w:rsid w:val="007B19DB"/>
    <w:rsid w:val="007B1B6D"/>
    <w:rsid w:val="007B1BF7"/>
    <w:rsid w:val="007B1DA8"/>
    <w:rsid w:val="007B1EE0"/>
    <w:rsid w:val="007B1EF8"/>
    <w:rsid w:val="007B1FB5"/>
    <w:rsid w:val="007B1FE0"/>
    <w:rsid w:val="007B20A9"/>
    <w:rsid w:val="007B265A"/>
    <w:rsid w:val="007B26AB"/>
    <w:rsid w:val="007B27BE"/>
    <w:rsid w:val="007B2892"/>
    <w:rsid w:val="007B293D"/>
    <w:rsid w:val="007B2AF0"/>
    <w:rsid w:val="007B2B07"/>
    <w:rsid w:val="007B2D3D"/>
    <w:rsid w:val="007B2E72"/>
    <w:rsid w:val="007B2FD6"/>
    <w:rsid w:val="007B3002"/>
    <w:rsid w:val="007B3073"/>
    <w:rsid w:val="007B321C"/>
    <w:rsid w:val="007B3253"/>
    <w:rsid w:val="007B335B"/>
    <w:rsid w:val="007B33E5"/>
    <w:rsid w:val="007B36BF"/>
    <w:rsid w:val="007B39B2"/>
    <w:rsid w:val="007B3A38"/>
    <w:rsid w:val="007B3BCF"/>
    <w:rsid w:val="007B3C14"/>
    <w:rsid w:val="007B3D0B"/>
    <w:rsid w:val="007B40FC"/>
    <w:rsid w:val="007B425B"/>
    <w:rsid w:val="007B43D1"/>
    <w:rsid w:val="007B440C"/>
    <w:rsid w:val="007B454A"/>
    <w:rsid w:val="007B4650"/>
    <w:rsid w:val="007B46A6"/>
    <w:rsid w:val="007B49AC"/>
    <w:rsid w:val="007B4A59"/>
    <w:rsid w:val="007B4D42"/>
    <w:rsid w:val="007B51AA"/>
    <w:rsid w:val="007B54F7"/>
    <w:rsid w:val="007B5502"/>
    <w:rsid w:val="007B570B"/>
    <w:rsid w:val="007B577C"/>
    <w:rsid w:val="007B598C"/>
    <w:rsid w:val="007B59D0"/>
    <w:rsid w:val="007B5A2F"/>
    <w:rsid w:val="007B5B27"/>
    <w:rsid w:val="007B5B32"/>
    <w:rsid w:val="007B5B95"/>
    <w:rsid w:val="007B5C75"/>
    <w:rsid w:val="007B5DF1"/>
    <w:rsid w:val="007B6026"/>
    <w:rsid w:val="007B610F"/>
    <w:rsid w:val="007B629E"/>
    <w:rsid w:val="007B63C1"/>
    <w:rsid w:val="007B63CF"/>
    <w:rsid w:val="007B680A"/>
    <w:rsid w:val="007B69D8"/>
    <w:rsid w:val="007B6AEE"/>
    <w:rsid w:val="007B6E74"/>
    <w:rsid w:val="007B6F53"/>
    <w:rsid w:val="007B6FD2"/>
    <w:rsid w:val="007B713D"/>
    <w:rsid w:val="007B745C"/>
    <w:rsid w:val="007B7472"/>
    <w:rsid w:val="007B74B8"/>
    <w:rsid w:val="007B7573"/>
    <w:rsid w:val="007B7782"/>
    <w:rsid w:val="007B7A13"/>
    <w:rsid w:val="007B7AAB"/>
    <w:rsid w:val="007B7FE0"/>
    <w:rsid w:val="007C0282"/>
    <w:rsid w:val="007C03BB"/>
    <w:rsid w:val="007C05AB"/>
    <w:rsid w:val="007C06B2"/>
    <w:rsid w:val="007C07FD"/>
    <w:rsid w:val="007C0D13"/>
    <w:rsid w:val="007C0E8C"/>
    <w:rsid w:val="007C0F81"/>
    <w:rsid w:val="007C112C"/>
    <w:rsid w:val="007C124F"/>
    <w:rsid w:val="007C1337"/>
    <w:rsid w:val="007C179B"/>
    <w:rsid w:val="007C1D9D"/>
    <w:rsid w:val="007C1E60"/>
    <w:rsid w:val="007C21D2"/>
    <w:rsid w:val="007C2286"/>
    <w:rsid w:val="007C229C"/>
    <w:rsid w:val="007C22AB"/>
    <w:rsid w:val="007C28CF"/>
    <w:rsid w:val="007C2941"/>
    <w:rsid w:val="007C29D7"/>
    <w:rsid w:val="007C2A75"/>
    <w:rsid w:val="007C2A9E"/>
    <w:rsid w:val="007C2B91"/>
    <w:rsid w:val="007C2FC6"/>
    <w:rsid w:val="007C3215"/>
    <w:rsid w:val="007C3418"/>
    <w:rsid w:val="007C34DE"/>
    <w:rsid w:val="007C38B5"/>
    <w:rsid w:val="007C3934"/>
    <w:rsid w:val="007C403E"/>
    <w:rsid w:val="007C404B"/>
    <w:rsid w:val="007C4187"/>
    <w:rsid w:val="007C41A0"/>
    <w:rsid w:val="007C44E4"/>
    <w:rsid w:val="007C45AA"/>
    <w:rsid w:val="007C4721"/>
    <w:rsid w:val="007C4901"/>
    <w:rsid w:val="007C4A68"/>
    <w:rsid w:val="007C4B62"/>
    <w:rsid w:val="007C4BAE"/>
    <w:rsid w:val="007C4BEE"/>
    <w:rsid w:val="007C4D5B"/>
    <w:rsid w:val="007C4D64"/>
    <w:rsid w:val="007C4D9B"/>
    <w:rsid w:val="007C4EF0"/>
    <w:rsid w:val="007C4FAE"/>
    <w:rsid w:val="007C516A"/>
    <w:rsid w:val="007C53DD"/>
    <w:rsid w:val="007C5455"/>
    <w:rsid w:val="007C559F"/>
    <w:rsid w:val="007C57C2"/>
    <w:rsid w:val="007C5808"/>
    <w:rsid w:val="007C5BA9"/>
    <w:rsid w:val="007C5D40"/>
    <w:rsid w:val="007C5E06"/>
    <w:rsid w:val="007C5E22"/>
    <w:rsid w:val="007C6208"/>
    <w:rsid w:val="007C62AC"/>
    <w:rsid w:val="007C64AC"/>
    <w:rsid w:val="007C667A"/>
    <w:rsid w:val="007C67C0"/>
    <w:rsid w:val="007C6A89"/>
    <w:rsid w:val="007C6A99"/>
    <w:rsid w:val="007C6D50"/>
    <w:rsid w:val="007C6F2E"/>
    <w:rsid w:val="007C73CF"/>
    <w:rsid w:val="007C7547"/>
    <w:rsid w:val="007C764E"/>
    <w:rsid w:val="007C7666"/>
    <w:rsid w:val="007C76CC"/>
    <w:rsid w:val="007C77C5"/>
    <w:rsid w:val="007C7990"/>
    <w:rsid w:val="007C7B24"/>
    <w:rsid w:val="007C7E37"/>
    <w:rsid w:val="007D004A"/>
    <w:rsid w:val="007D017C"/>
    <w:rsid w:val="007D01AF"/>
    <w:rsid w:val="007D044C"/>
    <w:rsid w:val="007D05F7"/>
    <w:rsid w:val="007D0B43"/>
    <w:rsid w:val="007D0BBA"/>
    <w:rsid w:val="007D104B"/>
    <w:rsid w:val="007D10C8"/>
    <w:rsid w:val="007D1269"/>
    <w:rsid w:val="007D129F"/>
    <w:rsid w:val="007D1309"/>
    <w:rsid w:val="007D1321"/>
    <w:rsid w:val="007D139A"/>
    <w:rsid w:val="007D1406"/>
    <w:rsid w:val="007D143D"/>
    <w:rsid w:val="007D143E"/>
    <w:rsid w:val="007D1720"/>
    <w:rsid w:val="007D19A0"/>
    <w:rsid w:val="007D1A53"/>
    <w:rsid w:val="007D1B2E"/>
    <w:rsid w:val="007D1D3B"/>
    <w:rsid w:val="007D1DF0"/>
    <w:rsid w:val="007D20B0"/>
    <w:rsid w:val="007D24CF"/>
    <w:rsid w:val="007D2505"/>
    <w:rsid w:val="007D2626"/>
    <w:rsid w:val="007D2A15"/>
    <w:rsid w:val="007D2B9C"/>
    <w:rsid w:val="007D2F17"/>
    <w:rsid w:val="007D303F"/>
    <w:rsid w:val="007D3165"/>
    <w:rsid w:val="007D31C1"/>
    <w:rsid w:val="007D3216"/>
    <w:rsid w:val="007D32B3"/>
    <w:rsid w:val="007D337B"/>
    <w:rsid w:val="007D3560"/>
    <w:rsid w:val="007D37E8"/>
    <w:rsid w:val="007D3A56"/>
    <w:rsid w:val="007D3B20"/>
    <w:rsid w:val="007D3D06"/>
    <w:rsid w:val="007D3DF2"/>
    <w:rsid w:val="007D4068"/>
    <w:rsid w:val="007D4085"/>
    <w:rsid w:val="007D4284"/>
    <w:rsid w:val="007D4521"/>
    <w:rsid w:val="007D4621"/>
    <w:rsid w:val="007D47A8"/>
    <w:rsid w:val="007D4982"/>
    <w:rsid w:val="007D4A07"/>
    <w:rsid w:val="007D4CB8"/>
    <w:rsid w:val="007D4CDF"/>
    <w:rsid w:val="007D4D87"/>
    <w:rsid w:val="007D4E55"/>
    <w:rsid w:val="007D4EA6"/>
    <w:rsid w:val="007D4F51"/>
    <w:rsid w:val="007D4F87"/>
    <w:rsid w:val="007D5392"/>
    <w:rsid w:val="007D54A2"/>
    <w:rsid w:val="007D5696"/>
    <w:rsid w:val="007D56D8"/>
    <w:rsid w:val="007D5787"/>
    <w:rsid w:val="007D5960"/>
    <w:rsid w:val="007D5A97"/>
    <w:rsid w:val="007D5CBC"/>
    <w:rsid w:val="007D5F52"/>
    <w:rsid w:val="007D5FDB"/>
    <w:rsid w:val="007D6002"/>
    <w:rsid w:val="007D606A"/>
    <w:rsid w:val="007D6242"/>
    <w:rsid w:val="007D65F1"/>
    <w:rsid w:val="007D65F6"/>
    <w:rsid w:val="007D67B1"/>
    <w:rsid w:val="007D6C0C"/>
    <w:rsid w:val="007D7025"/>
    <w:rsid w:val="007D7882"/>
    <w:rsid w:val="007D7C3C"/>
    <w:rsid w:val="007D7C53"/>
    <w:rsid w:val="007D7D31"/>
    <w:rsid w:val="007E006F"/>
    <w:rsid w:val="007E00ED"/>
    <w:rsid w:val="007E025A"/>
    <w:rsid w:val="007E03B5"/>
    <w:rsid w:val="007E0481"/>
    <w:rsid w:val="007E04D4"/>
    <w:rsid w:val="007E0521"/>
    <w:rsid w:val="007E05C0"/>
    <w:rsid w:val="007E078D"/>
    <w:rsid w:val="007E0BEB"/>
    <w:rsid w:val="007E0D25"/>
    <w:rsid w:val="007E114E"/>
    <w:rsid w:val="007E134D"/>
    <w:rsid w:val="007E14B4"/>
    <w:rsid w:val="007E15F0"/>
    <w:rsid w:val="007E1665"/>
    <w:rsid w:val="007E17FA"/>
    <w:rsid w:val="007E1BEE"/>
    <w:rsid w:val="007E1D1C"/>
    <w:rsid w:val="007E1D93"/>
    <w:rsid w:val="007E1F31"/>
    <w:rsid w:val="007E20CF"/>
    <w:rsid w:val="007E235C"/>
    <w:rsid w:val="007E2455"/>
    <w:rsid w:val="007E29AC"/>
    <w:rsid w:val="007E2ADC"/>
    <w:rsid w:val="007E2B82"/>
    <w:rsid w:val="007E2DD3"/>
    <w:rsid w:val="007E2F13"/>
    <w:rsid w:val="007E32A1"/>
    <w:rsid w:val="007E32BE"/>
    <w:rsid w:val="007E33B9"/>
    <w:rsid w:val="007E3460"/>
    <w:rsid w:val="007E3588"/>
    <w:rsid w:val="007E36ED"/>
    <w:rsid w:val="007E3746"/>
    <w:rsid w:val="007E378E"/>
    <w:rsid w:val="007E3A7A"/>
    <w:rsid w:val="007E3B0A"/>
    <w:rsid w:val="007E3D1C"/>
    <w:rsid w:val="007E3DD4"/>
    <w:rsid w:val="007E3F7A"/>
    <w:rsid w:val="007E41E2"/>
    <w:rsid w:val="007E42E6"/>
    <w:rsid w:val="007E46BF"/>
    <w:rsid w:val="007E4794"/>
    <w:rsid w:val="007E47DA"/>
    <w:rsid w:val="007E484D"/>
    <w:rsid w:val="007E487F"/>
    <w:rsid w:val="007E48AE"/>
    <w:rsid w:val="007E48FD"/>
    <w:rsid w:val="007E4A0D"/>
    <w:rsid w:val="007E4A2D"/>
    <w:rsid w:val="007E4B2D"/>
    <w:rsid w:val="007E4C3F"/>
    <w:rsid w:val="007E4E0E"/>
    <w:rsid w:val="007E5388"/>
    <w:rsid w:val="007E5444"/>
    <w:rsid w:val="007E54E0"/>
    <w:rsid w:val="007E57EA"/>
    <w:rsid w:val="007E587D"/>
    <w:rsid w:val="007E587E"/>
    <w:rsid w:val="007E58C0"/>
    <w:rsid w:val="007E5C2E"/>
    <w:rsid w:val="007E5CE8"/>
    <w:rsid w:val="007E5D0F"/>
    <w:rsid w:val="007E5DB2"/>
    <w:rsid w:val="007E6127"/>
    <w:rsid w:val="007E6317"/>
    <w:rsid w:val="007E63DD"/>
    <w:rsid w:val="007E6447"/>
    <w:rsid w:val="007E6757"/>
    <w:rsid w:val="007E68C0"/>
    <w:rsid w:val="007E6920"/>
    <w:rsid w:val="007E6BCA"/>
    <w:rsid w:val="007E6C31"/>
    <w:rsid w:val="007E6C5F"/>
    <w:rsid w:val="007E6D75"/>
    <w:rsid w:val="007E6D9B"/>
    <w:rsid w:val="007E6DE7"/>
    <w:rsid w:val="007E6E86"/>
    <w:rsid w:val="007E7124"/>
    <w:rsid w:val="007E71E9"/>
    <w:rsid w:val="007E732D"/>
    <w:rsid w:val="007E74E3"/>
    <w:rsid w:val="007E76CB"/>
    <w:rsid w:val="007E7718"/>
    <w:rsid w:val="007E7721"/>
    <w:rsid w:val="007E788A"/>
    <w:rsid w:val="007E797B"/>
    <w:rsid w:val="007E7A5A"/>
    <w:rsid w:val="007E7B1C"/>
    <w:rsid w:val="007E7B3E"/>
    <w:rsid w:val="007E7C5C"/>
    <w:rsid w:val="007E7CB2"/>
    <w:rsid w:val="007E7CE1"/>
    <w:rsid w:val="007E7CF2"/>
    <w:rsid w:val="007F0076"/>
    <w:rsid w:val="007F010B"/>
    <w:rsid w:val="007F0232"/>
    <w:rsid w:val="007F02B2"/>
    <w:rsid w:val="007F02C7"/>
    <w:rsid w:val="007F032B"/>
    <w:rsid w:val="007F06C6"/>
    <w:rsid w:val="007F088C"/>
    <w:rsid w:val="007F0A99"/>
    <w:rsid w:val="007F0C5D"/>
    <w:rsid w:val="007F0C92"/>
    <w:rsid w:val="007F0CBE"/>
    <w:rsid w:val="007F0DE2"/>
    <w:rsid w:val="007F10CC"/>
    <w:rsid w:val="007F125E"/>
    <w:rsid w:val="007F12E0"/>
    <w:rsid w:val="007F147F"/>
    <w:rsid w:val="007F160D"/>
    <w:rsid w:val="007F1873"/>
    <w:rsid w:val="007F1BFB"/>
    <w:rsid w:val="007F1D06"/>
    <w:rsid w:val="007F1D18"/>
    <w:rsid w:val="007F1DA3"/>
    <w:rsid w:val="007F1DF4"/>
    <w:rsid w:val="007F1ECD"/>
    <w:rsid w:val="007F222B"/>
    <w:rsid w:val="007F25BE"/>
    <w:rsid w:val="007F2969"/>
    <w:rsid w:val="007F2C54"/>
    <w:rsid w:val="007F2C72"/>
    <w:rsid w:val="007F2EB2"/>
    <w:rsid w:val="007F2F7E"/>
    <w:rsid w:val="007F3034"/>
    <w:rsid w:val="007F344C"/>
    <w:rsid w:val="007F348C"/>
    <w:rsid w:val="007F35C3"/>
    <w:rsid w:val="007F3745"/>
    <w:rsid w:val="007F3C83"/>
    <w:rsid w:val="007F42FB"/>
    <w:rsid w:val="007F4C2B"/>
    <w:rsid w:val="007F4C58"/>
    <w:rsid w:val="007F4D90"/>
    <w:rsid w:val="007F4F4C"/>
    <w:rsid w:val="007F500A"/>
    <w:rsid w:val="007F503E"/>
    <w:rsid w:val="007F5287"/>
    <w:rsid w:val="007F52F9"/>
    <w:rsid w:val="007F5357"/>
    <w:rsid w:val="007F53D9"/>
    <w:rsid w:val="007F5799"/>
    <w:rsid w:val="007F58D0"/>
    <w:rsid w:val="007F5A11"/>
    <w:rsid w:val="007F5BF1"/>
    <w:rsid w:val="007F5D8F"/>
    <w:rsid w:val="007F62F3"/>
    <w:rsid w:val="007F6305"/>
    <w:rsid w:val="007F651C"/>
    <w:rsid w:val="007F66F4"/>
    <w:rsid w:val="007F6741"/>
    <w:rsid w:val="007F68DC"/>
    <w:rsid w:val="007F68DF"/>
    <w:rsid w:val="007F6B28"/>
    <w:rsid w:val="007F6B51"/>
    <w:rsid w:val="007F6BE1"/>
    <w:rsid w:val="007F6C77"/>
    <w:rsid w:val="007F6D51"/>
    <w:rsid w:val="007F6D6C"/>
    <w:rsid w:val="007F6E95"/>
    <w:rsid w:val="007F6F73"/>
    <w:rsid w:val="007F70B9"/>
    <w:rsid w:val="007F7137"/>
    <w:rsid w:val="007F723D"/>
    <w:rsid w:val="007F72AE"/>
    <w:rsid w:val="007F73BA"/>
    <w:rsid w:val="007F7444"/>
    <w:rsid w:val="007F7626"/>
    <w:rsid w:val="007F7713"/>
    <w:rsid w:val="007F7A75"/>
    <w:rsid w:val="007F7AF4"/>
    <w:rsid w:val="007F7C48"/>
    <w:rsid w:val="007F7D89"/>
    <w:rsid w:val="007F7DF2"/>
    <w:rsid w:val="007F7ECC"/>
    <w:rsid w:val="007F7F28"/>
    <w:rsid w:val="0080006E"/>
    <w:rsid w:val="008000E9"/>
    <w:rsid w:val="00800462"/>
    <w:rsid w:val="0080048C"/>
    <w:rsid w:val="0080055E"/>
    <w:rsid w:val="0080066F"/>
    <w:rsid w:val="008007C4"/>
    <w:rsid w:val="00800892"/>
    <w:rsid w:val="00800E62"/>
    <w:rsid w:val="00800F35"/>
    <w:rsid w:val="008010AC"/>
    <w:rsid w:val="008010D7"/>
    <w:rsid w:val="0080122A"/>
    <w:rsid w:val="0080128D"/>
    <w:rsid w:val="008013AD"/>
    <w:rsid w:val="0080145D"/>
    <w:rsid w:val="0080147D"/>
    <w:rsid w:val="008015A0"/>
    <w:rsid w:val="008016CA"/>
    <w:rsid w:val="008017B6"/>
    <w:rsid w:val="00801857"/>
    <w:rsid w:val="00801D37"/>
    <w:rsid w:val="00801DB0"/>
    <w:rsid w:val="00801E0F"/>
    <w:rsid w:val="00802140"/>
    <w:rsid w:val="0080257D"/>
    <w:rsid w:val="00802A65"/>
    <w:rsid w:val="00802DF1"/>
    <w:rsid w:val="008030AC"/>
    <w:rsid w:val="00803432"/>
    <w:rsid w:val="00803443"/>
    <w:rsid w:val="00803542"/>
    <w:rsid w:val="008036C0"/>
    <w:rsid w:val="00803CCA"/>
    <w:rsid w:val="00804131"/>
    <w:rsid w:val="00804144"/>
    <w:rsid w:val="008041DE"/>
    <w:rsid w:val="0080450E"/>
    <w:rsid w:val="00804530"/>
    <w:rsid w:val="008045D9"/>
    <w:rsid w:val="008046EC"/>
    <w:rsid w:val="00804867"/>
    <w:rsid w:val="008048F5"/>
    <w:rsid w:val="00804A6F"/>
    <w:rsid w:val="00804B1E"/>
    <w:rsid w:val="00804D52"/>
    <w:rsid w:val="00804E9E"/>
    <w:rsid w:val="00805159"/>
    <w:rsid w:val="0080516A"/>
    <w:rsid w:val="008052D3"/>
    <w:rsid w:val="008053BE"/>
    <w:rsid w:val="00805748"/>
    <w:rsid w:val="00805930"/>
    <w:rsid w:val="00805B5D"/>
    <w:rsid w:val="00805CD0"/>
    <w:rsid w:val="00805D9C"/>
    <w:rsid w:val="008061D6"/>
    <w:rsid w:val="008062D1"/>
    <w:rsid w:val="0080646D"/>
    <w:rsid w:val="0080651B"/>
    <w:rsid w:val="00806654"/>
    <w:rsid w:val="0080680D"/>
    <w:rsid w:val="00806B8B"/>
    <w:rsid w:val="00806C69"/>
    <w:rsid w:val="00806FFB"/>
    <w:rsid w:val="008070A6"/>
    <w:rsid w:val="00807138"/>
    <w:rsid w:val="00807150"/>
    <w:rsid w:val="00807558"/>
    <w:rsid w:val="00807576"/>
    <w:rsid w:val="0080786A"/>
    <w:rsid w:val="00807AA3"/>
    <w:rsid w:val="00807B07"/>
    <w:rsid w:val="00807C42"/>
    <w:rsid w:val="00807D83"/>
    <w:rsid w:val="00807F10"/>
    <w:rsid w:val="00810139"/>
    <w:rsid w:val="0081027D"/>
    <w:rsid w:val="00810552"/>
    <w:rsid w:val="008105B3"/>
    <w:rsid w:val="00810612"/>
    <w:rsid w:val="00810AA7"/>
    <w:rsid w:val="00810B64"/>
    <w:rsid w:val="00810C9D"/>
    <w:rsid w:val="008111CF"/>
    <w:rsid w:val="00811980"/>
    <w:rsid w:val="00811CEA"/>
    <w:rsid w:val="00811D79"/>
    <w:rsid w:val="00812277"/>
    <w:rsid w:val="00812364"/>
    <w:rsid w:val="0081236E"/>
    <w:rsid w:val="0081239A"/>
    <w:rsid w:val="00812561"/>
    <w:rsid w:val="008127A0"/>
    <w:rsid w:val="008127F9"/>
    <w:rsid w:val="00812853"/>
    <w:rsid w:val="00812A4B"/>
    <w:rsid w:val="00812C05"/>
    <w:rsid w:val="00812DF0"/>
    <w:rsid w:val="00812F1A"/>
    <w:rsid w:val="00812FA4"/>
    <w:rsid w:val="00813037"/>
    <w:rsid w:val="008130B3"/>
    <w:rsid w:val="008130C4"/>
    <w:rsid w:val="0081322A"/>
    <w:rsid w:val="00813665"/>
    <w:rsid w:val="00813678"/>
    <w:rsid w:val="0081367C"/>
    <w:rsid w:val="008137B6"/>
    <w:rsid w:val="0081398E"/>
    <w:rsid w:val="00813A02"/>
    <w:rsid w:val="00813A63"/>
    <w:rsid w:val="00813B8D"/>
    <w:rsid w:val="00813C26"/>
    <w:rsid w:val="00813DC9"/>
    <w:rsid w:val="00813E36"/>
    <w:rsid w:val="00814145"/>
    <w:rsid w:val="0081423C"/>
    <w:rsid w:val="008144B7"/>
    <w:rsid w:val="00814693"/>
    <w:rsid w:val="00814746"/>
    <w:rsid w:val="008148C2"/>
    <w:rsid w:val="00814B7D"/>
    <w:rsid w:val="00814D2B"/>
    <w:rsid w:val="00814D2C"/>
    <w:rsid w:val="00814F93"/>
    <w:rsid w:val="00814FFC"/>
    <w:rsid w:val="00815055"/>
    <w:rsid w:val="008151CC"/>
    <w:rsid w:val="0081521F"/>
    <w:rsid w:val="008153C9"/>
    <w:rsid w:val="00815617"/>
    <w:rsid w:val="0081568E"/>
    <w:rsid w:val="00815B15"/>
    <w:rsid w:val="00815D66"/>
    <w:rsid w:val="00815E12"/>
    <w:rsid w:val="00815FFD"/>
    <w:rsid w:val="008162AB"/>
    <w:rsid w:val="008163FF"/>
    <w:rsid w:val="00816437"/>
    <w:rsid w:val="008164EB"/>
    <w:rsid w:val="0081654F"/>
    <w:rsid w:val="00816560"/>
    <w:rsid w:val="008169C0"/>
    <w:rsid w:val="008169DD"/>
    <w:rsid w:val="008169E7"/>
    <w:rsid w:val="00816D0F"/>
    <w:rsid w:val="00816DE7"/>
    <w:rsid w:val="00816E7C"/>
    <w:rsid w:val="0081717A"/>
    <w:rsid w:val="00817181"/>
    <w:rsid w:val="0081766B"/>
    <w:rsid w:val="00817A08"/>
    <w:rsid w:val="00817A68"/>
    <w:rsid w:val="00820071"/>
    <w:rsid w:val="008200C4"/>
    <w:rsid w:val="008201C3"/>
    <w:rsid w:val="00820281"/>
    <w:rsid w:val="008203C0"/>
    <w:rsid w:val="0082053F"/>
    <w:rsid w:val="00820695"/>
    <w:rsid w:val="008208C1"/>
    <w:rsid w:val="00820B5E"/>
    <w:rsid w:val="00820BB1"/>
    <w:rsid w:val="00820BC4"/>
    <w:rsid w:val="0082130E"/>
    <w:rsid w:val="00821334"/>
    <w:rsid w:val="00821398"/>
    <w:rsid w:val="00821747"/>
    <w:rsid w:val="008217A2"/>
    <w:rsid w:val="00821947"/>
    <w:rsid w:val="00821C6A"/>
    <w:rsid w:val="00821D1F"/>
    <w:rsid w:val="00821E13"/>
    <w:rsid w:val="00821EE3"/>
    <w:rsid w:val="00822048"/>
    <w:rsid w:val="008220DB"/>
    <w:rsid w:val="00822189"/>
    <w:rsid w:val="0082232B"/>
    <w:rsid w:val="0082253F"/>
    <w:rsid w:val="00822754"/>
    <w:rsid w:val="008227FB"/>
    <w:rsid w:val="00822C19"/>
    <w:rsid w:val="00822C58"/>
    <w:rsid w:val="00822D0B"/>
    <w:rsid w:val="00822D69"/>
    <w:rsid w:val="00822D96"/>
    <w:rsid w:val="0082315A"/>
    <w:rsid w:val="008231FD"/>
    <w:rsid w:val="00823371"/>
    <w:rsid w:val="0082345C"/>
    <w:rsid w:val="008234BE"/>
    <w:rsid w:val="0082353F"/>
    <w:rsid w:val="008235C6"/>
    <w:rsid w:val="00823611"/>
    <w:rsid w:val="00823A23"/>
    <w:rsid w:val="00823AEB"/>
    <w:rsid w:val="00823C1E"/>
    <w:rsid w:val="00823C4B"/>
    <w:rsid w:val="00823C87"/>
    <w:rsid w:val="00823E03"/>
    <w:rsid w:val="00823E43"/>
    <w:rsid w:val="00823E45"/>
    <w:rsid w:val="00823ED5"/>
    <w:rsid w:val="00823F22"/>
    <w:rsid w:val="00823FEA"/>
    <w:rsid w:val="00823FEC"/>
    <w:rsid w:val="0082492B"/>
    <w:rsid w:val="008249A1"/>
    <w:rsid w:val="00824A85"/>
    <w:rsid w:val="00824BC3"/>
    <w:rsid w:val="00824E21"/>
    <w:rsid w:val="00824F80"/>
    <w:rsid w:val="00824FA3"/>
    <w:rsid w:val="008252C7"/>
    <w:rsid w:val="008253BF"/>
    <w:rsid w:val="008256B0"/>
    <w:rsid w:val="00825933"/>
    <w:rsid w:val="00825B4A"/>
    <w:rsid w:val="00825B63"/>
    <w:rsid w:val="00825D2A"/>
    <w:rsid w:val="0082604B"/>
    <w:rsid w:val="00826220"/>
    <w:rsid w:val="008262D8"/>
    <w:rsid w:val="008263B2"/>
    <w:rsid w:val="008264F4"/>
    <w:rsid w:val="00826747"/>
    <w:rsid w:val="0082674C"/>
    <w:rsid w:val="008267DA"/>
    <w:rsid w:val="00826C83"/>
    <w:rsid w:val="00826D47"/>
    <w:rsid w:val="00826DDA"/>
    <w:rsid w:val="00826DF5"/>
    <w:rsid w:val="00826E77"/>
    <w:rsid w:val="0082716F"/>
    <w:rsid w:val="00827368"/>
    <w:rsid w:val="008274CD"/>
    <w:rsid w:val="008275FE"/>
    <w:rsid w:val="00827AAC"/>
    <w:rsid w:val="00827C77"/>
    <w:rsid w:val="00827C83"/>
    <w:rsid w:val="00827D49"/>
    <w:rsid w:val="00827D6E"/>
    <w:rsid w:val="00827DC0"/>
    <w:rsid w:val="00827DEF"/>
    <w:rsid w:val="00827F0B"/>
    <w:rsid w:val="00827F65"/>
    <w:rsid w:val="00827FB8"/>
    <w:rsid w:val="00830040"/>
    <w:rsid w:val="0083010F"/>
    <w:rsid w:val="008302B7"/>
    <w:rsid w:val="00830320"/>
    <w:rsid w:val="00830340"/>
    <w:rsid w:val="008303A5"/>
    <w:rsid w:val="00830737"/>
    <w:rsid w:val="008307A8"/>
    <w:rsid w:val="00830A36"/>
    <w:rsid w:val="00830F45"/>
    <w:rsid w:val="0083115E"/>
    <w:rsid w:val="00831279"/>
    <w:rsid w:val="008314BA"/>
    <w:rsid w:val="00831864"/>
    <w:rsid w:val="00831B6E"/>
    <w:rsid w:val="00831FC2"/>
    <w:rsid w:val="00831FFA"/>
    <w:rsid w:val="008324C3"/>
    <w:rsid w:val="0083256E"/>
    <w:rsid w:val="0083269B"/>
    <w:rsid w:val="00832B42"/>
    <w:rsid w:val="00832BB0"/>
    <w:rsid w:val="00832D79"/>
    <w:rsid w:val="00832F98"/>
    <w:rsid w:val="00833026"/>
    <w:rsid w:val="008330FE"/>
    <w:rsid w:val="008331B0"/>
    <w:rsid w:val="008333AF"/>
    <w:rsid w:val="00833665"/>
    <w:rsid w:val="008337D2"/>
    <w:rsid w:val="008338C6"/>
    <w:rsid w:val="0083397C"/>
    <w:rsid w:val="00833B23"/>
    <w:rsid w:val="00833CAD"/>
    <w:rsid w:val="00833DDB"/>
    <w:rsid w:val="00833E6F"/>
    <w:rsid w:val="00833F3F"/>
    <w:rsid w:val="00834055"/>
    <w:rsid w:val="0083407F"/>
    <w:rsid w:val="00834085"/>
    <w:rsid w:val="0083438F"/>
    <w:rsid w:val="00834401"/>
    <w:rsid w:val="00834429"/>
    <w:rsid w:val="00834608"/>
    <w:rsid w:val="008346F0"/>
    <w:rsid w:val="008349B6"/>
    <w:rsid w:val="00834C38"/>
    <w:rsid w:val="00834C54"/>
    <w:rsid w:val="0083508E"/>
    <w:rsid w:val="0083523D"/>
    <w:rsid w:val="008353AC"/>
    <w:rsid w:val="008355F4"/>
    <w:rsid w:val="0083582D"/>
    <w:rsid w:val="00835A7B"/>
    <w:rsid w:val="00835B07"/>
    <w:rsid w:val="00835DB6"/>
    <w:rsid w:val="00835DDA"/>
    <w:rsid w:val="00835EB5"/>
    <w:rsid w:val="00835F1F"/>
    <w:rsid w:val="00835F6A"/>
    <w:rsid w:val="0083608A"/>
    <w:rsid w:val="00836102"/>
    <w:rsid w:val="0083632F"/>
    <w:rsid w:val="0083639B"/>
    <w:rsid w:val="008363DE"/>
    <w:rsid w:val="0083681C"/>
    <w:rsid w:val="00836BC4"/>
    <w:rsid w:val="00836D98"/>
    <w:rsid w:val="00836EDA"/>
    <w:rsid w:val="00837835"/>
    <w:rsid w:val="0083793B"/>
    <w:rsid w:val="00837AA4"/>
    <w:rsid w:val="00837C51"/>
    <w:rsid w:val="00837CFC"/>
    <w:rsid w:val="00840166"/>
    <w:rsid w:val="0084018D"/>
    <w:rsid w:val="008403E4"/>
    <w:rsid w:val="00840868"/>
    <w:rsid w:val="00840A83"/>
    <w:rsid w:val="00840CA5"/>
    <w:rsid w:val="00840DF8"/>
    <w:rsid w:val="00840E34"/>
    <w:rsid w:val="00841309"/>
    <w:rsid w:val="00841418"/>
    <w:rsid w:val="00841425"/>
    <w:rsid w:val="00841533"/>
    <w:rsid w:val="008419BF"/>
    <w:rsid w:val="00841B13"/>
    <w:rsid w:val="00841C0F"/>
    <w:rsid w:val="00841E3A"/>
    <w:rsid w:val="00841E92"/>
    <w:rsid w:val="0084200E"/>
    <w:rsid w:val="00842045"/>
    <w:rsid w:val="0084272E"/>
    <w:rsid w:val="00842AB6"/>
    <w:rsid w:val="00842B08"/>
    <w:rsid w:val="00842E09"/>
    <w:rsid w:val="00842EB9"/>
    <w:rsid w:val="00843016"/>
    <w:rsid w:val="0084307C"/>
    <w:rsid w:val="0084325E"/>
    <w:rsid w:val="0084347C"/>
    <w:rsid w:val="00843577"/>
    <w:rsid w:val="00843715"/>
    <w:rsid w:val="0084378D"/>
    <w:rsid w:val="00843881"/>
    <w:rsid w:val="00843DA2"/>
    <w:rsid w:val="00843E6F"/>
    <w:rsid w:val="008441C3"/>
    <w:rsid w:val="008441CE"/>
    <w:rsid w:val="008443E7"/>
    <w:rsid w:val="008444F0"/>
    <w:rsid w:val="00844890"/>
    <w:rsid w:val="008448FB"/>
    <w:rsid w:val="008449B8"/>
    <w:rsid w:val="00844A90"/>
    <w:rsid w:val="00844ACC"/>
    <w:rsid w:val="00844D57"/>
    <w:rsid w:val="00844D9A"/>
    <w:rsid w:val="00844E29"/>
    <w:rsid w:val="00844E7A"/>
    <w:rsid w:val="00844F83"/>
    <w:rsid w:val="00845093"/>
    <w:rsid w:val="0084524A"/>
    <w:rsid w:val="00845396"/>
    <w:rsid w:val="0084539A"/>
    <w:rsid w:val="00845487"/>
    <w:rsid w:val="00845499"/>
    <w:rsid w:val="008456CE"/>
    <w:rsid w:val="00845881"/>
    <w:rsid w:val="008459AA"/>
    <w:rsid w:val="00845AAC"/>
    <w:rsid w:val="00845B24"/>
    <w:rsid w:val="00845F49"/>
    <w:rsid w:val="00846051"/>
    <w:rsid w:val="008460D6"/>
    <w:rsid w:val="008462F9"/>
    <w:rsid w:val="00846477"/>
    <w:rsid w:val="0084674A"/>
    <w:rsid w:val="008467D1"/>
    <w:rsid w:val="008467FC"/>
    <w:rsid w:val="00846AFB"/>
    <w:rsid w:val="00846B03"/>
    <w:rsid w:val="00846C00"/>
    <w:rsid w:val="00846E05"/>
    <w:rsid w:val="00846E07"/>
    <w:rsid w:val="00846E25"/>
    <w:rsid w:val="00846E4A"/>
    <w:rsid w:val="0084777D"/>
    <w:rsid w:val="008479BB"/>
    <w:rsid w:val="00847C2B"/>
    <w:rsid w:val="00847D87"/>
    <w:rsid w:val="00850128"/>
    <w:rsid w:val="008503D0"/>
    <w:rsid w:val="00850581"/>
    <w:rsid w:val="008506CE"/>
    <w:rsid w:val="008506E1"/>
    <w:rsid w:val="00850832"/>
    <w:rsid w:val="00851046"/>
    <w:rsid w:val="00851100"/>
    <w:rsid w:val="00851111"/>
    <w:rsid w:val="0085127C"/>
    <w:rsid w:val="0085146A"/>
    <w:rsid w:val="0085147D"/>
    <w:rsid w:val="008514F8"/>
    <w:rsid w:val="00851654"/>
    <w:rsid w:val="00851756"/>
    <w:rsid w:val="008517B4"/>
    <w:rsid w:val="0085190F"/>
    <w:rsid w:val="008519A3"/>
    <w:rsid w:val="00851AF5"/>
    <w:rsid w:val="00851C99"/>
    <w:rsid w:val="00851DAA"/>
    <w:rsid w:val="00851DD1"/>
    <w:rsid w:val="00851E3A"/>
    <w:rsid w:val="00851EA9"/>
    <w:rsid w:val="00851F5F"/>
    <w:rsid w:val="00851FB5"/>
    <w:rsid w:val="008521DB"/>
    <w:rsid w:val="008522A4"/>
    <w:rsid w:val="008522D5"/>
    <w:rsid w:val="008523B5"/>
    <w:rsid w:val="008524CF"/>
    <w:rsid w:val="00852677"/>
    <w:rsid w:val="008526C3"/>
    <w:rsid w:val="00852766"/>
    <w:rsid w:val="008527D1"/>
    <w:rsid w:val="00852A40"/>
    <w:rsid w:val="00852AA3"/>
    <w:rsid w:val="00852B97"/>
    <w:rsid w:val="00852DB9"/>
    <w:rsid w:val="00852E18"/>
    <w:rsid w:val="00852EC6"/>
    <w:rsid w:val="008533EE"/>
    <w:rsid w:val="00853560"/>
    <w:rsid w:val="008535E2"/>
    <w:rsid w:val="00853790"/>
    <w:rsid w:val="008537A3"/>
    <w:rsid w:val="00853BF6"/>
    <w:rsid w:val="0085404C"/>
    <w:rsid w:val="008540F0"/>
    <w:rsid w:val="0085419C"/>
    <w:rsid w:val="008541C3"/>
    <w:rsid w:val="008542DB"/>
    <w:rsid w:val="00854332"/>
    <w:rsid w:val="00854361"/>
    <w:rsid w:val="008543AB"/>
    <w:rsid w:val="00854641"/>
    <w:rsid w:val="00854658"/>
    <w:rsid w:val="00854670"/>
    <w:rsid w:val="00854724"/>
    <w:rsid w:val="00854DAA"/>
    <w:rsid w:val="00854F3D"/>
    <w:rsid w:val="0085501E"/>
    <w:rsid w:val="008550CB"/>
    <w:rsid w:val="0085516C"/>
    <w:rsid w:val="00855513"/>
    <w:rsid w:val="00855761"/>
    <w:rsid w:val="008558D7"/>
    <w:rsid w:val="00855B60"/>
    <w:rsid w:val="00855D92"/>
    <w:rsid w:val="00855E0B"/>
    <w:rsid w:val="00855F5C"/>
    <w:rsid w:val="00855FD4"/>
    <w:rsid w:val="008560B9"/>
    <w:rsid w:val="008561E8"/>
    <w:rsid w:val="00856A20"/>
    <w:rsid w:val="00856A3B"/>
    <w:rsid w:val="00856A5C"/>
    <w:rsid w:val="00856BBD"/>
    <w:rsid w:val="00856D81"/>
    <w:rsid w:val="008570DB"/>
    <w:rsid w:val="0085710F"/>
    <w:rsid w:val="0085718B"/>
    <w:rsid w:val="008573A8"/>
    <w:rsid w:val="008573EE"/>
    <w:rsid w:val="00857632"/>
    <w:rsid w:val="00857810"/>
    <w:rsid w:val="00857847"/>
    <w:rsid w:val="00857897"/>
    <w:rsid w:val="008578F0"/>
    <w:rsid w:val="00857A69"/>
    <w:rsid w:val="00857AC9"/>
    <w:rsid w:val="00857B31"/>
    <w:rsid w:val="008600B7"/>
    <w:rsid w:val="00860256"/>
    <w:rsid w:val="008602CD"/>
    <w:rsid w:val="008603CB"/>
    <w:rsid w:val="008605AA"/>
    <w:rsid w:val="00860793"/>
    <w:rsid w:val="008608A3"/>
    <w:rsid w:val="0086092E"/>
    <w:rsid w:val="00860A09"/>
    <w:rsid w:val="00860A48"/>
    <w:rsid w:val="00860B4C"/>
    <w:rsid w:val="00860D6C"/>
    <w:rsid w:val="008612B7"/>
    <w:rsid w:val="0086169D"/>
    <w:rsid w:val="0086171B"/>
    <w:rsid w:val="00861B3D"/>
    <w:rsid w:val="00861B8D"/>
    <w:rsid w:val="008620EC"/>
    <w:rsid w:val="00862196"/>
    <w:rsid w:val="008622FB"/>
    <w:rsid w:val="0086242C"/>
    <w:rsid w:val="008626B9"/>
    <w:rsid w:val="008626D0"/>
    <w:rsid w:val="008626E1"/>
    <w:rsid w:val="00862721"/>
    <w:rsid w:val="00862856"/>
    <w:rsid w:val="0086287C"/>
    <w:rsid w:val="008628C0"/>
    <w:rsid w:val="008628F4"/>
    <w:rsid w:val="008629FE"/>
    <w:rsid w:val="00862A9D"/>
    <w:rsid w:val="00862BB2"/>
    <w:rsid w:val="00862F22"/>
    <w:rsid w:val="0086362C"/>
    <w:rsid w:val="008637F8"/>
    <w:rsid w:val="0086382B"/>
    <w:rsid w:val="0086396F"/>
    <w:rsid w:val="00863A17"/>
    <w:rsid w:val="00863B8D"/>
    <w:rsid w:val="00863CA4"/>
    <w:rsid w:val="00863FF0"/>
    <w:rsid w:val="008642E8"/>
    <w:rsid w:val="0086447F"/>
    <w:rsid w:val="00864757"/>
    <w:rsid w:val="008647A3"/>
    <w:rsid w:val="008647DE"/>
    <w:rsid w:val="008647EC"/>
    <w:rsid w:val="00864A8A"/>
    <w:rsid w:val="00864B05"/>
    <w:rsid w:val="00864B95"/>
    <w:rsid w:val="00864DEB"/>
    <w:rsid w:val="00864E48"/>
    <w:rsid w:val="0086504F"/>
    <w:rsid w:val="008652F4"/>
    <w:rsid w:val="00865456"/>
    <w:rsid w:val="0086549E"/>
    <w:rsid w:val="008656A2"/>
    <w:rsid w:val="00865737"/>
    <w:rsid w:val="008657C5"/>
    <w:rsid w:val="008657FD"/>
    <w:rsid w:val="00865E72"/>
    <w:rsid w:val="00865F33"/>
    <w:rsid w:val="00866020"/>
    <w:rsid w:val="00866142"/>
    <w:rsid w:val="00866277"/>
    <w:rsid w:val="0086631B"/>
    <w:rsid w:val="008663AF"/>
    <w:rsid w:val="00866562"/>
    <w:rsid w:val="0086663F"/>
    <w:rsid w:val="00866788"/>
    <w:rsid w:val="008667B8"/>
    <w:rsid w:val="008668F6"/>
    <w:rsid w:val="00866A85"/>
    <w:rsid w:val="00866B2E"/>
    <w:rsid w:val="00866BDD"/>
    <w:rsid w:val="00866D0C"/>
    <w:rsid w:val="00866EA4"/>
    <w:rsid w:val="00866EFA"/>
    <w:rsid w:val="00867003"/>
    <w:rsid w:val="0086718A"/>
    <w:rsid w:val="00867488"/>
    <w:rsid w:val="00867C61"/>
    <w:rsid w:val="00867D1C"/>
    <w:rsid w:val="00867DA2"/>
    <w:rsid w:val="00870113"/>
    <w:rsid w:val="00870122"/>
    <w:rsid w:val="008705D6"/>
    <w:rsid w:val="008707EE"/>
    <w:rsid w:val="00870BFB"/>
    <w:rsid w:val="00870C2B"/>
    <w:rsid w:val="00870C86"/>
    <w:rsid w:val="00870DDC"/>
    <w:rsid w:val="00871188"/>
    <w:rsid w:val="00871267"/>
    <w:rsid w:val="008712E0"/>
    <w:rsid w:val="008713BA"/>
    <w:rsid w:val="0087172C"/>
    <w:rsid w:val="00871936"/>
    <w:rsid w:val="008719DA"/>
    <w:rsid w:val="00871C23"/>
    <w:rsid w:val="00871C35"/>
    <w:rsid w:val="00871C8A"/>
    <w:rsid w:val="00871C95"/>
    <w:rsid w:val="00871DDA"/>
    <w:rsid w:val="00871F10"/>
    <w:rsid w:val="00871FF2"/>
    <w:rsid w:val="00872175"/>
    <w:rsid w:val="0087227C"/>
    <w:rsid w:val="00872295"/>
    <w:rsid w:val="00872371"/>
    <w:rsid w:val="008723B7"/>
    <w:rsid w:val="0087249F"/>
    <w:rsid w:val="008724A9"/>
    <w:rsid w:val="00872735"/>
    <w:rsid w:val="008727F1"/>
    <w:rsid w:val="00872A31"/>
    <w:rsid w:val="00872D1E"/>
    <w:rsid w:val="00872D4F"/>
    <w:rsid w:val="00872DD5"/>
    <w:rsid w:val="00872E5A"/>
    <w:rsid w:val="00872F98"/>
    <w:rsid w:val="008731C9"/>
    <w:rsid w:val="0087344E"/>
    <w:rsid w:val="00873620"/>
    <w:rsid w:val="008736CE"/>
    <w:rsid w:val="008739B8"/>
    <w:rsid w:val="008739CF"/>
    <w:rsid w:val="00873BDE"/>
    <w:rsid w:val="00873C67"/>
    <w:rsid w:val="00873CA6"/>
    <w:rsid w:val="00873EDC"/>
    <w:rsid w:val="00873EFF"/>
    <w:rsid w:val="00873FBC"/>
    <w:rsid w:val="00874159"/>
    <w:rsid w:val="008741C6"/>
    <w:rsid w:val="008745BF"/>
    <w:rsid w:val="008747A6"/>
    <w:rsid w:val="008748BB"/>
    <w:rsid w:val="00874ABD"/>
    <w:rsid w:val="00874B8A"/>
    <w:rsid w:val="00874DB0"/>
    <w:rsid w:val="00874E64"/>
    <w:rsid w:val="00874F29"/>
    <w:rsid w:val="00875029"/>
    <w:rsid w:val="008751D9"/>
    <w:rsid w:val="0087545D"/>
    <w:rsid w:val="008755E3"/>
    <w:rsid w:val="008756BC"/>
    <w:rsid w:val="00875846"/>
    <w:rsid w:val="00875A5A"/>
    <w:rsid w:val="00875A72"/>
    <w:rsid w:val="00875F10"/>
    <w:rsid w:val="00875F86"/>
    <w:rsid w:val="00875FE2"/>
    <w:rsid w:val="008760EF"/>
    <w:rsid w:val="0087610B"/>
    <w:rsid w:val="008762AE"/>
    <w:rsid w:val="008762ED"/>
    <w:rsid w:val="00876445"/>
    <w:rsid w:val="00876567"/>
    <w:rsid w:val="008765FF"/>
    <w:rsid w:val="0087677A"/>
    <w:rsid w:val="0087693A"/>
    <w:rsid w:val="008769DB"/>
    <w:rsid w:val="00876B8D"/>
    <w:rsid w:val="00876B96"/>
    <w:rsid w:val="00876BFF"/>
    <w:rsid w:val="00876F19"/>
    <w:rsid w:val="00877051"/>
    <w:rsid w:val="008771EA"/>
    <w:rsid w:val="00877277"/>
    <w:rsid w:val="008773A1"/>
    <w:rsid w:val="00877727"/>
    <w:rsid w:val="00877A91"/>
    <w:rsid w:val="00877B1A"/>
    <w:rsid w:val="00877C12"/>
    <w:rsid w:val="00877E7E"/>
    <w:rsid w:val="00877E9C"/>
    <w:rsid w:val="008800AA"/>
    <w:rsid w:val="008800D3"/>
    <w:rsid w:val="00880159"/>
    <w:rsid w:val="008809F6"/>
    <w:rsid w:val="00880BE1"/>
    <w:rsid w:val="00880C56"/>
    <w:rsid w:val="00880D7A"/>
    <w:rsid w:val="00880D8E"/>
    <w:rsid w:val="00880F1A"/>
    <w:rsid w:val="00880F6C"/>
    <w:rsid w:val="0088105D"/>
    <w:rsid w:val="008812AB"/>
    <w:rsid w:val="008812C3"/>
    <w:rsid w:val="0088141F"/>
    <w:rsid w:val="00881449"/>
    <w:rsid w:val="008816A8"/>
    <w:rsid w:val="0088190C"/>
    <w:rsid w:val="00881A51"/>
    <w:rsid w:val="00881ADB"/>
    <w:rsid w:val="00881AF7"/>
    <w:rsid w:val="00881B11"/>
    <w:rsid w:val="00881B16"/>
    <w:rsid w:val="00881C85"/>
    <w:rsid w:val="00881DA2"/>
    <w:rsid w:val="00881EDA"/>
    <w:rsid w:val="00882095"/>
    <w:rsid w:val="008820D7"/>
    <w:rsid w:val="00882181"/>
    <w:rsid w:val="008822E0"/>
    <w:rsid w:val="0088236F"/>
    <w:rsid w:val="00882748"/>
    <w:rsid w:val="00882A1B"/>
    <w:rsid w:val="00882D12"/>
    <w:rsid w:val="00882D4D"/>
    <w:rsid w:val="00882F68"/>
    <w:rsid w:val="00882FA6"/>
    <w:rsid w:val="008831BC"/>
    <w:rsid w:val="008831D1"/>
    <w:rsid w:val="0088326D"/>
    <w:rsid w:val="008833E5"/>
    <w:rsid w:val="0088349F"/>
    <w:rsid w:val="00883B56"/>
    <w:rsid w:val="00883CA4"/>
    <w:rsid w:val="00883E2B"/>
    <w:rsid w:val="00883EC1"/>
    <w:rsid w:val="008841C5"/>
    <w:rsid w:val="00884784"/>
    <w:rsid w:val="00884846"/>
    <w:rsid w:val="00884EA2"/>
    <w:rsid w:val="00884FF8"/>
    <w:rsid w:val="008850F4"/>
    <w:rsid w:val="00885258"/>
    <w:rsid w:val="00885289"/>
    <w:rsid w:val="008853B4"/>
    <w:rsid w:val="008853C7"/>
    <w:rsid w:val="008853ED"/>
    <w:rsid w:val="008854ED"/>
    <w:rsid w:val="00885825"/>
    <w:rsid w:val="00885B9B"/>
    <w:rsid w:val="00885E58"/>
    <w:rsid w:val="00886030"/>
    <w:rsid w:val="00886250"/>
    <w:rsid w:val="00886257"/>
    <w:rsid w:val="0088625F"/>
    <w:rsid w:val="0088626A"/>
    <w:rsid w:val="00886501"/>
    <w:rsid w:val="00886531"/>
    <w:rsid w:val="008868EA"/>
    <w:rsid w:val="00886A3E"/>
    <w:rsid w:val="00886CDD"/>
    <w:rsid w:val="00886E11"/>
    <w:rsid w:val="00886F36"/>
    <w:rsid w:val="00886F38"/>
    <w:rsid w:val="00886FA9"/>
    <w:rsid w:val="00886FF6"/>
    <w:rsid w:val="00887210"/>
    <w:rsid w:val="00887462"/>
    <w:rsid w:val="0088786A"/>
    <w:rsid w:val="00887874"/>
    <w:rsid w:val="008878A4"/>
    <w:rsid w:val="008878DD"/>
    <w:rsid w:val="008879A9"/>
    <w:rsid w:val="00887A37"/>
    <w:rsid w:val="00887E1E"/>
    <w:rsid w:val="00887FA9"/>
    <w:rsid w:val="00887FD8"/>
    <w:rsid w:val="008903B9"/>
    <w:rsid w:val="00890628"/>
    <w:rsid w:val="0089063A"/>
    <w:rsid w:val="008908F1"/>
    <w:rsid w:val="008909D0"/>
    <w:rsid w:val="00890D03"/>
    <w:rsid w:val="00891097"/>
    <w:rsid w:val="008910C6"/>
    <w:rsid w:val="008911C8"/>
    <w:rsid w:val="008912E9"/>
    <w:rsid w:val="008914FB"/>
    <w:rsid w:val="00891562"/>
    <w:rsid w:val="008915B6"/>
    <w:rsid w:val="008917FF"/>
    <w:rsid w:val="008918D2"/>
    <w:rsid w:val="00891927"/>
    <w:rsid w:val="008919A4"/>
    <w:rsid w:val="00891B91"/>
    <w:rsid w:val="00891D47"/>
    <w:rsid w:val="00891DD9"/>
    <w:rsid w:val="00891DE1"/>
    <w:rsid w:val="00891ED9"/>
    <w:rsid w:val="0089214D"/>
    <w:rsid w:val="008922AD"/>
    <w:rsid w:val="00892859"/>
    <w:rsid w:val="00892B2D"/>
    <w:rsid w:val="00892E03"/>
    <w:rsid w:val="00892FA3"/>
    <w:rsid w:val="008930C7"/>
    <w:rsid w:val="0089314A"/>
    <w:rsid w:val="0089325A"/>
    <w:rsid w:val="00893519"/>
    <w:rsid w:val="008935DB"/>
    <w:rsid w:val="00893C0D"/>
    <w:rsid w:val="00893D72"/>
    <w:rsid w:val="00894081"/>
    <w:rsid w:val="008940B7"/>
    <w:rsid w:val="00894125"/>
    <w:rsid w:val="00894143"/>
    <w:rsid w:val="00894151"/>
    <w:rsid w:val="0089435A"/>
    <w:rsid w:val="0089467F"/>
    <w:rsid w:val="00894781"/>
    <w:rsid w:val="0089485F"/>
    <w:rsid w:val="00894A50"/>
    <w:rsid w:val="00894BDA"/>
    <w:rsid w:val="00894CFA"/>
    <w:rsid w:val="00894E3A"/>
    <w:rsid w:val="008950EF"/>
    <w:rsid w:val="00895110"/>
    <w:rsid w:val="008954F9"/>
    <w:rsid w:val="00895508"/>
    <w:rsid w:val="0089560F"/>
    <w:rsid w:val="00895653"/>
    <w:rsid w:val="00895773"/>
    <w:rsid w:val="008957DD"/>
    <w:rsid w:val="00895A38"/>
    <w:rsid w:val="00895B38"/>
    <w:rsid w:val="00895F06"/>
    <w:rsid w:val="0089638B"/>
    <w:rsid w:val="00896449"/>
    <w:rsid w:val="008964E5"/>
    <w:rsid w:val="008965FA"/>
    <w:rsid w:val="008966FB"/>
    <w:rsid w:val="00897194"/>
    <w:rsid w:val="0089724F"/>
    <w:rsid w:val="00897444"/>
    <w:rsid w:val="00897529"/>
    <w:rsid w:val="0089754C"/>
    <w:rsid w:val="00897B5E"/>
    <w:rsid w:val="00897BC6"/>
    <w:rsid w:val="00897D1F"/>
    <w:rsid w:val="00897D8B"/>
    <w:rsid w:val="00897DC3"/>
    <w:rsid w:val="008A002A"/>
    <w:rsid w:val="008A0143"/>
    <w:rsid w:val="008A014D"/>
    <w:rsid w:val="008A02EC"/>
    <w:rsid w:val="008A0469"/>
    <w:rsid w:val="008A046F"/>
    <w:rsid w:val="008A052B"/>
    <w:rsid w:val="008A056F"/>
    <w:rsid w:val="008A086F"/>
    <w:rsid w:val="008A0E11"/>
    <w:rsid w:val="008A1146"/>
    <w:rsid w:val="008A1191"/>
    <w:rsid w:val="008A12ED"/>
    <w:rsid w:val="008A1477"/>
    <w:rsid w:val="008A152A"/>
    <w:rsid w:val="008A1597"/>
    <w:rsid w:val="008A15C2"/>
    <w:rsid w:val="008A1B0F"/>
    <w:rsid w:val="008A1D76"/>
    <w:rsid w:val="008A1DCE"/>
    <w:rsid w:val="008A1DF7"/>
    <w:rsid w:val="008A20DA"/>
    <w:rsid w:val="008A21C0"/>
    <w:rsid w:val="008A25BD"/>
    <w:rsid w:val="008A2753"/>
    <w:rsid w:val="008A28B1"/>
    <w:rsid w:val="008A298B"/>
    <w:rsid w:val="008A2AEC"/>
    <w:rsid w:val="008A2B7E"/>
    <w:rsid w:val="008A2D0B"/>
    <w:rsid w:val="008A2D18"/>
    <w:rsid w:val="008A2D48"/>
    <w:rsid w:val="008A3076"/>
    <w:rsid w:val="008A3081"/>
    <w:rsid w:val="008A3163"/>
    <w:rsid w:val="008A36C1"/>
    <w:rsid w:val="008A3795"/>
    <w:rsid w:val="008A39FE"/>
    <w:rsid w:val="008A3AA2"/>
    <w:rsid w:val="008A3CC1"/>
    <w:rsid w:val="008A3CC4"/>
    <w:rsid w:val="008A3D7D"/>
    <w:rsid w:val="008A3D97"/>
    <w:rsid w:val="008A3DAB"/>
    <w:rsid w:val="008A3F55"/>
    <w:rsid w:val="008A4019"/>
    <w:rsid w:val="008A4310"/>
    <w:rsid w:val="008A436D"/>
    <w:rsid w:val="008A4424"/>
    <w:rsid w:val="008A4500"/>
    <w:rsid w:val="008A4B8B"/>
    <w:rsid w:val="008A4D27"/>
    <w:rsid w:val="008A4DC3"/>
    <w:rsid w:val="008A4E16"/>
    <w:rsid w:val="008A525C"/>
    <w:rsid w:val="008A534C"/>
    <w:rsid w:val="008A53EF"/>
    <w:rsid w:val="008A5413"/>
    <w:rsid w:val="008A5616"/>
    <w:rsid w:val="008A581A"/>
    <w:rsid w:val="008A590D"/>
    <w:rsid w:val="008A5C30"/>
    <w:rsid w:val="008A5E02"/>
    <w:rsid w:val="008A5E6E"/>
    <w:rsid w:val="008A5EC6"/>
    <w:rsid w:val="008A5F9D"/>
    <w:rsid w:val="008A5FB5"/>
    <w:rsid w:val="008A5FB6"/>
    <w:rsid w:val="008A612D"/>
    <w:rsid w:val="008A6285"/>
    <w:rsid w:val="008A6323"/>
    <w:rsid w:val="008A6395"/>
    <w:rsid w:val="008A654D"/>
    <w:rsid w:val="008A678D"/>
    <w:rsid w:val="008A6962"/>
    <w:rsid w:val="008A6AEB"/>
    <w:rsid w:val="008A6B2C"/>
    <w:rsid w:val="008A6B43"/>
    <w:rsid w:val="008A6B9C"/>
    <w:rsid w:val="008A6BA6"/>
    <w:rsid w:val="008A6D56"/>
    <w:rsid w:val="008A6D58"/>
    <w:rsid w:val="008A6F9B"/>
    <w:rsid w:val="008A71FC"/>
    <w:rsid w:val="008A73C5"/>
    <w:rsid w:val="008A74B5"/>
    <w:rsid w:val="008A7878"/>
    <w:rsid w:val="008A7B9E"/>
    <w:rsid w:val="008A7C16"/>
    <w:rsid w:val="008A7CA8"/>
    <w:rsid w:val="008A7EA5"/>
    <w:rsid w:val="008A7FE2"/>
    <w:rsid w:val="008B0164"/>
    <w:rsid w:val="008B0254"/>
    <w:rsid w:val="008B044E"/>
    <w:rsid w:val="008B047E"/>
    <w:rsid w:val="008B0526"/>
    <w:rsid w:val="008B066A"/>
    <w:rsid w:val="008B0750"/>
    <w:rsid w:val="008B0D6C"/>
    <w:rsid w:val="008B0E29"/>
    <w:rsid w:val="008B0E99"/>
    <w:rsid w:val="008B0F41"/>
    <w:rsid w:val="008B1126"/>
    <w:rsid w:val="008B199C"/>
    <w:rsid w:val="008B1ABF"/>
    <w:rsid w:val="008B1F63"/>
    <w:rsid w:val="008B1F85"/>
    <w:rsid w:val="008B20C2"/>
    <w:rsid w:val="008B20E3"/>
    <w:rsid w:val="008B22E8"/>
    <w:rsid w:val="008B233D"/>
    <w:rsid w:val="008B259C"/>
    <w:rsid w:val="008B261F"/>
    <w:rsid w:val="008B2636"/>
    <w:rsid w:val="008B2B14"/>
    <w:rsid w:val="008B2BEE"/>
    <w:rsid w:val="008B30E8"/>
    <w:rsid w:val="008B341C"/>
    <w:rsid w:val="008B34DB"/>
    <w:rsid w:val="008B3612"/>
    <w:rsid w:val="008B367E"/>
    <w:rsid w:val="008B3745"/>
    <w:rsid w:val="008B3750"/>
    <w:rsid w:val="008B3A45"/>
    <w:rsid w:val="008B3C5E"/>
    <w:rsid w:val="008B3D4A"/>
    <w:rsid w:val="008B3FE1"/>
    <w:rsid w:val="008B4026"/>
    <w:rsid w:val="008B406E"/>
    <w:rsid w:val="008B4093"/>
    <w:rsid w:val="008B40F2"/>
    <w:rsid w:val="008B4255"/>
    <w:rsid w:val="008B4280"/>
    <w:rsid w:val="008B44A6"/>
    <w:rsid w:val="008B4595"/>
    <w:rsid w:val="008B517F"/>
    <w:rsid w:val="008B51C9"/>
    <w:rsid w:val="008B52F7"/>
    <w:rsid w:val="008B5488"/>
    <w:rsid w:val="008B54CB"/>
    <w:rsid w:val="008B56A3"/>
    <w:rsid w:val="008B56FF"/>
    <w:rsid w:val="008B5C8F"/>
    <w:rsid w:val="008B5DD6"/>
    <w:rsid w:val="008B5F16"/>
    <w:rsid w:val="008B5F7B"/>
    <w:rsid w:val="008B614E"/>
    <w:rsid w:val="008B64F8"/>
    <w:rsid w:val="008B6B1E"/>
    <w:rsid w:val="008B6BCE"/>
    <w:rsid w:val="008B6D95"/>
    <w:rsid w:val="008B6F7C"/>
    <w:rsid w:val="008B7183"/>
    <w:rsid w:val="008B7451"/>
    <w:rsid w:val="008B7693"/>
    <w:rsid w:val="008B7722"/>
    <w:rsid w:val="008B77CE"/>
    <w:rsid w:val="008B7868"/>
    <w:rsid w:val="008B786F"/>
    <w:rsid w:val="008B792C"/>
    <w:rsid w:val="008B7A00"/>
    <w:rsid w:val="008B7A8C"/>
    <w:rsid w:val="008B7B8E"/>
    <w:rsid w:val="008B7BF0"/>
    <w:rsid w:val="008B7BFB"/>
    <w:rsid w:val="008B7DBB"/>
    <w:rsid w:val="008B7EAB"/>
    <w:rsid w:val="008B7EED"/>
    <w:rsid w:val="008B7F9A"/>
    <w:rsid w:val="008B7F9F"/>
    <w:rsid w:val="008C0029"/>
    <w:rsid w:val="008C004A"/>
    <w:rsid w:val="008C0127"/>
    <w:rsid w:val="008C02BE"/>
    <w:rsid w:val="008C02E7"/>
    <w:rsid w:val="008C034D"/>
    <w:rsid w:val="008C0475"/>
    <w:rsid w:val="008C0488"/>
    <w:rsid w:val="008C0779"/>
    <w:rsid w:val="008C07BF"/>
    <w:rsid w:val="008C07DA"/>
    <w:rsid w:val="008C093A"/>
    <w:rsid w:val="008C0AFA"/>
    <w:rsid w:val="008C0B17"/>
    <w:rsid w:val="008C0CB9"/>
    <w:rsid w:val="008C0DAB"/>
    <w:rsid w:val="008C0E5C"/>
    <w:rsid w:val="008C0FAF"/>
    <w:rsid w:val="008C122A"/>
    <w:rsid w:val="008C12CF"/>
    <w:rsid w:val="008C1313"/>
    <w:rsid w:val="008C16C5"/>
    <w:rsid w:val="008C184B"/>
    <w:rsid w:val="008C18BC"/>
    <w:rsid w:val="008C18C2"/>
    <w:rsid w:val="008C197B"/>
    <w:rsid w:val="008C1ADE"/>
    <w:rsid w:val="008C1B45"/>
    <w:rsid w:val="008C1D32"/>
    <w:rsid w:val="008C1E2C"/>
    <w:rsid w:val="008C2352"/>
    <w:rsid w:val="008C2357"/>
    <w:rsid w:val="008C235E"/>
    <w:rsid w:val="008C26ED"/>
    <w:rsid w:val="008C28D0"/>
    <w:rsid w:val="008C2901"/>
    <w:rsid w:val="008C2ADD"/>
    <w:rsid w:val="008C2BB5"/>
    <w:rsid w:val="008C2C43"/>
    <w:rsid w:val="008C2DEE"/>
    <w:rsid w:val="008C32F2"/>
    <w:rsid w:val="008C343F"/>
    <w:rsid w:val="008C36BD"/>
    <w:rsid w:val="008C3788"/>
    <w:rsid w:val="008C39E1"/>
    <w:rsid w:val="008C3ACD"/>
    <w:rsid w:val="008C3B3A"/>
    <w:rsid w:val="008C3BD9"/>
    <w:rsid w:val="008C3C63"/>
    <w:rsid w:val="008C3E51"/>
    <w:rsid w:val="008C4206"/>
    <w:rsid w:val="008C43E2"/>
    <w:rsid w:val="008C4581"/>
    <w:rsid w:val="008C4669"/>
    <w:rsid w:val="008C4719"/>
    <w:rsid w:val="008C489E"/>
    <w:rsid w:val="008C490B"/>
    <w:rsid w:val="008C4D18"/>
    <w:rsid w:val="008C4FA9"/>
    <w:rsid w:val="008C504D"/>
    <w:rsid w:val="008C5109"/>
    <w:rsid w:val="008C5231"/>
    <w:rsid w:val="008C55E3"/>
    <w:rsid w:val="008C5940"/>
    <w:rsid w:val="008C59DF"/>
    <w:rsid w:val="008C5D76"/>
    <w:rsid w:val="008C5EE3"/>
    <w:rsid w:val="008C677F"/>
    <w:rsid w:val="008C67AD"/>
    <w:rsid w:val="008C6829"/>
    <w:rsid w:val="008C69D6"/>
    <w:rsid w:val="008C6B32"/>
    <w:rsid w:val="008C6D3E"/>
    <w:rsid w:val="008C6E40"/>
    <w:rsid w:val="008C6F52"/>
    <w:rsid w:val="008C7126"/>
    <w:rsid w:val="008C7138"/>
    <w:rsid w:val="008C732E"/>
    <w:rsid w:val="008C73B9"/>
    <w:rsid w:val="008C7584"/>
    <w:rsid w:val="008C765A"/>
    <w:rsid w:val="008C7668"/>
    <w:rsid w:val="008C7782"/>
    <w:rsid w:val="008C79A1"/>
    <w:rsid w:val="008C7A0C"/>
    <w:rsid w:val="008C7ACB"/>
    <w:rsid w:val="008C7C57"/>
    <w:rsid w:val="008C7DCE"/>
    <w:rsid w:val="008D0369"/>
    <w:rsid w:val="008D0428"/>
    <w:rsid w:val="008D0519"/>
    <w:rsid w:val="008D0532"/>
    <w:rsid w:val="008D059C"/>
    <w:rsid w:val="008D08D4"/>
    <w:rsid w:val="008D0902"/>
    <w:rsid w:val="008D0A57"/>
    <w:rsid w:val="008D0A99"/>
    <w:rsid w:val="008D0B43"/>
    <w:rsid w:val="008D0C92"/>
    <w:rsid w:val="008D0ED4"/>
    <w:rsid w:val="008D0F48"/>
    <w:rsid w:val="008D100D"/>
    <w:rsid w:val="008D1040"/>
    <w:rsid w:val="008D1373"/>
    <w:rsid w:val="008D1497"/>
    <w:rsid w:val="008D15C2"/>
    <w:rsid w:val="008D15D2"/>
    <w:rsid w:val="008D1C1A"/>
    <w:rsid w:val="008D1C75"/>
    <w:rsid w:val="008D1E7C"/>
    <w:rsid w:val="008D1FB9"/>
    <w:rsid w:val="008D2099"/>
    <w:rsid w:val="008D20F6"/>
    <w:rsid w:val="008D248E"/>
    <w:rsid w:val="008D264B"/>
    <w:rsid w:val="008D27D8"/>
    <w:rsid w:val="008D283F"/>
    <w:rsid w:val="008D28B7"/>
    <w:rsid w:val="008D2D85"/>
    <w:rsid w:val="008D3117"/>
    <w:rsid w:val="008D3269"/>
    <w:rsid w:val="008D32FC"/>
    <w:rsid w:val="008D335A"/>
    <w:rsid w:val="008D348B"/>
    <w:rsid w:val="008D37D7"/>
    <w:rsid w:val="008D39C6"/>
    <w:rsid w:val="008D39F9"/>
    <w:rsid w:val="008D3C94"/>
    <w:rsid w:val="008D4269"/>
    <w:rsid w:val="008D44B6"/>
    <w:rsid w:val="008D44BA"/>
    <w:rsid w:val="008D451A"/>
    <w:rsid w:val="008D4629"/>
    <w:rsid w:val="008D4658"/>
    <w:rsid w:val="008D46DC"/>
    <w:rsid w:val="008D46EE"/>
    <w:rsid w:val="008D480C"/>
    <w:rsid w:val="008D48A8"/>
    <w:rsid w:val="008D4A17"/>
    <w:rsid w:val="008D4E5B"/>
    <w:rsid w:val="008D5493"/>
    <w:rsid w:val="008D55D1"/>
    <w:rsid w:val="008D5705"/>
    <w:rsid w:val="008D5824"/>
    <w:rsid w:val="008D5FF9"/>
    <w:rsid w:val="008D635F"/>
    <w:rsid w:val="008D6600"/>
    <w:rsid w:val="008D6782"/>
    <w:rsid w:val="008D67DF"/>
    <w:rsid w:val="008D6896"/>
    <w:rsid w:val="008D68E3"/>
    <w:rsid w:val="008D6AA6"/>
    <w:rsid w:val="008D6BEC"/>
    <w:rsid w:val="008D6C04"/>
    <w:rsid w:val="008D6D34"/>
    <w:rsid w:val="008D6EFD"/>
    <w:rsid w:val="008D6F6F"/>
    <w:rsid w:val="008D72CF"/>
    <w:rsid w:val="008D7398"/>
    <w:rsid w:val="008D757A"/>
    <w:rsid w:val="008D75D2"/>
    <w:rsid w:val="008D7958"/>
    <w:rsid w:val="008D7B5B"/>
    <w:rsid w:val="008D7C0F"/>
    <w:rsid w:val="008D7CD8"/>
    <w:rsid w:val="008D7DA0"/>
    <w:rsid w:val="008D7EE9"/>
    <w:rsid w:val="008E006C"/>
    <w:rsid w:val="008E027A"/>
    <w:rsid w:val="008E04E4"/>
    <w:rsid w:val="008E0629"/>
    <w:rsid w:val="008E0726"/>
    <w:rsid w:val="008E07EB"/>
    <w:rsid w:val="008E08E0"/>
    <w:rsid w:val="008E097D"/>
    <w:rsid w:val="008E1041"/>
    <w:rsid w:val="008E10B7"/>
    <w:rsid w:val="008E14F9"/>
    <w:rsid w:val="008E1520"/>
    <w:rsid w:val="008E1619"/>
    <w:rsid w:val="008E1875"/>
    <w:rsid w:val="008E188B"/>
    <w:rsid w:val="008E1B8E"/>
    <w:rsid w:val="008E1BF5"/>
    <w:rsid w:val="008E1C87"/>
    <w:rsid w:val="008E1E7B"/>
    <w:rsid w:val="008E1FC2"/>
    <w:rsid w:val="008E2102"/>
    <w:rsid w:val="008E2136"/>
    <w:rsid w:val="008E230B"/>
    <w:rsid w:val="008E2331"/>
    <w:rsid w:val="008E2799"/>
    <w:rsid w:val="008E27A2"/>
    <w:rsid w:val="008E27F6"/>
    <w:rsid w:val="008E2B2A"/>
    <w:rsid w:val="008E2BD0"/>
    <w:rsid w:val="008E2BE4"/>
    <w:rsid w:val="008E2C92"/>
    <w:rsid w:val="008E2CBC"/>
    <w:rsid w:val="008E2D39"/>
    <w:rsid w:val="008E2D87"/>
    <w:rsid w:val="008E2E84"/>
    <w:rsid w:val="008E3191"/>
    <w:rsid w:val="008E336E"/>
    <w:rsid w:val="008E345C"/>
    <w:rsid w:val="008E3994"/>
    <w:rsid w:val="008E3B97"/>
    <w:rsid w:val="008E3ED5"/>
    <w:rsid w:val="008E3F84"/>
    <w:rsid w:val="008E41BE"/>
    <w:rsid w:val="008E4254"/>
    <w:rsid w:val="008E42C3"/>
    <w:rsid w:val="008E4395"/>
    <w:rsid w:val="008E4464"/>
    <w:rsid w:val="008E44CC"/>
    <w:rsid w:val="008E456A"/>
    <w:rsid w:val="008E4780"/>
    <w:rsid w:val="008E49F3"/>
    <w:rsid w:val="008E4A5B"/>
    <w:rsid w:val="008E4AAA"/>
    <w:rsid w:val="008E4E39"/>
    <w:rsid w:val="008E4FAE"/>
    <w:rsid w:val="008E5047"/>
    <w:rsid w:val="008E5175"/>
    <w:rsid w:val="008E5235"/>
    <w:rsid w:val="008E52E6"/>
    <w:rsid w:val="008E53A2"/>
    <w:rsid w:val="008E563B"/>
    <w:rsid w:val="008E564D"/>
    <w:rsid w:val="008E5786"/>
    <w:rsid w:val="008E5842"/>
    <w:rsid w:val="008E58F0"/>
    <w:rsid w:val="008E5B20"/>
    <w:rsid w:val="008E61BF"/>
    <w:rsid w:val="008E62D2"/>
    <w:rsid w:val="008E6543"/>
    <w:rsid w:val="008E66B3"/>
    <w:rsid w:val="008E68E5"/>
    <w:rsid w:val="008E6B4E"/>
    <w:rsid w:val="008E6B79"/>
    <w:rsid w:val="008E6BD4"/>
    <w:rsid w:val="008E6CE6"/>
    <w:rsid w:val="008E6DC0"/>
    <w:rsid w:val="008E6F10"/>
    <w:rsid w:val="008E6F40"/>
    <w:rsid w:val="008E72EE"/>
    <w:rsid w:val="008E7367"/>
    <w:rsid w:val="008E7455"/>
    <w:rsid w:val="008E7481"/>
    <w:rsid w:val="008E74A0"/>
    <w:rsid w:val="008E752E"/>
    <w:rsid w:val="008E790A"/>
    <w:rsid w:val="008E7970"/>
    <w:rsid w:val="008E7B00"/>
    <w:rsid w:val="008E7B40"/>
    <w:rsid w:val="008E7C05"/>
    <w:rsid w:val="008E7C34"/>
    <w:rsid w:val="008E7C9F"/>
    <w:rsid w:val="008E7CD0"/>
    <w:rsid w:val="008E7D30"/>
    <w:rsid w:val="008E7D61"/>
    <w:rsid w:val="008E7F4A"/>
    <w:rsid w:val="008F0146"/>
    <w:rsid w:val="008F0155"/>
    <w:rsid w:val="008F0215"/>
    <w:rsid w:val="008F0273"/>
    <w:rsid w:val="008F03A7"/>
    <w:rsid w:val="008F04EA"/>
    <w:rsid w:val="008F0AA0"/>
    <w:rsid w:val="008F0B57"/>
    <w:rsid w:val="008F0C36"/>
    <w:rsid w:val="008F0CD6"/>
    <w:rsid w:val="008F0EAF"/>
    <w:rsid w:val="008F0EB2"/>
    <w:rsid w:val="008F0FD9"/>
    <w:rsid w:val="008F1016"/>
    <w:rsid w:val="008F107F"/>
    <w:rsid w:val="008F10B3"/>
    <w:rsid w:val="008F10D9"/>
    <w:rsid w:val="008F10DD"/>
    <w:rsid w:val="008F1129"/>
    <w:rsid w:val="008F12AC"/>
    <w:rsid w:val="008F1959"/>
    <w:rsid w:val="008F1BDA"/>
    <w:rsid w:val="008F1C38"/>
    <w:rsid w:val="008F1C66"/>
    <w:rsid w:val="008F20F7"/>
    <w:rsid w:val="008F21B8"/>
    <w:rsid w:val="008F21E0"/>
    <w:rsid w:val="008F21E2"/>
    <w:rsid w:val="008F258F"/>
    <w:rsid w:val="008F27F9"/>
    <w:rsid w:val="008F2847"/>
    <w:rsid w:val="008F2880"/>
    <w:rsid w:val="008F296F"/>
    <w:rsid w:val="008F2F7D"/>
    <w:rsid w:val="008F328D"/>
    <w:rsid w:val="008F344B"/>
    <w:rsid w:val="008F344E"/>
    <w:rsid w:val="008F35D5"/>
    <w:rsid w:val="008F36E2"/>
    <w:rsid w:val="008F3720"/>
    <w:rsid w:val="008F3775"/>
    <w:rsid w:val="008F377B"/>
    <w:rsid w:val="008F3AB0"/>
    <w:rsid w:val="008F3B45"/>
    <w:rsid w:val="008F3B56"/>
    <w:rsid w:val="008F3C4B"/>
    <w:rsid w:val="008F3D94"/>
    <w:rsid w:val="008F411D"/>
    <w:rsid w:val="008F4321"/>
    <w:rsid w:val="008F4325"/>
    <w:rsid w:val="008F43F5"/>
    <w:rsid w:val="008F45B9"/>
    <w:rsid w:val="008F4823"/>
    <w:rsid w:val="008F4835"/>
    <w:rsid w:val="008F48F6"/>
    <w:rsid w:val="008F4E23"/>
    <w:rsid w:val="008F4ED4"/>
    <w:rsid w:val="008F4EE5"/>
    <w:rsid w:val="008F4EE8"/>
    <w:rsid w:val="008F4FC9"/>
    <w:rsid w:val="008F50A6"/>
    <w:rsid w:val="008F510E"/>
    <w:rsid w:val="008F51DA"/>
    <w:rsid w:val="008F53FA"/>
    <w:rsid w:val="008F56DE"/>
    <w:rsid w:val="008F574A"/>
    <w:rsid w:val="008F58DF"/>
    <w:rsid w:val="008F5BFD"/>
    <w:rsid w:val="008F5CC0"/>
    <w:rsid w:val="008F5D89"/>
    <w:rsid w:val="008F5DC1"/>
    <w:rsid w:val="008F5E4C"/>
    <w:rsid w:val="008F5F5E"/>
    <w:rsid w:val="008F5FF1"/>
    <w:rsid w:val="008F61A0"/>
    <w:rsid w:val="008F621C"/>
    <w:rsid w:val="008F6303"/>
    <w:rsid w:val="008F6423"/>
    <w:rsid w:val="008F6599"/>
    <w:rsid w:val="008F679D"/>
    <w:rsid w:val="008F67CC"/>
    <w:rsid w:val="008F6A8E"/>
    <w:rsid w:val="008F6AD6"/>
    <w:rsid w:val="008F6DDE"/>
    <w:rsid w:val="008F72DF"/>
    <w:rsid w:val="008F7D98"/>
    <w:rsid w:val="00900013"/>
    <w:rsid w:val="00900237"/>
    <w:rsid w:val="00900259"/>
    <w:rsid w:val="0090059C"/>
    <w:rsid w:val="009005D4"/>
    <w:rsid w:val="009007FC"/>
    <w:rsid w:val="009008FB"/>
    <w:rsid w:val="00900A29"/>
    <w:rsid w:val="00900A46"/>
    <w:rsid w:val="00900B47"/>
    <w:rsid w:val="00900C35"/>
    <w:rsid w:val="00900E80"/>
    <w:rsid w:val="00901012"/>
    <w:rsid w:val="009011CE"/>
    <w:rsid w:val="009017A1"/>
    <w:rsid w:val="009017D0"/>
    <w:rsid w:val="00901A0E"/>
    <w:rsid w:val="00901C05"/>
    <w:rsid w:val="00901C18"/>
    <w:rsid w:val="00901D41"/>
    <w:rsid w:val="00901D5C"/>
    <w:rsid w:val="0090252A"/>
    <w:rsid w:val="0090258C"/>
    <w:rsid w:val="009025AB"/>
    <w:rsid w:val="00902652"/>
    <w:rsid w:val="0090268F"/>
    <w:rsid w:val="00902963"/>
    <w:rsid w:val="009029E2"/>
    <w:rsid w:val="00902C00"/>
    <w:rsid w:val="00902C48"/>
    <w:rsid w:val="00902CA5"/>
    <w:rsid w:val="00902D4F"/>
    <w:rsid w:val="009030E3"/>
    <w:rsid w:val="009031DE"/>
    <w:rsid w:val="009034B9"/>
    <w:rsid w:val="00903519"/>
    <w:rsid w:val="0090375B"/>
    <w:rsid w:val="00903DB3"/>
    <w:rsid w:val="00903ECF"/>
    <w:rsid w:val="00903FB3"/>
    <w:rsid w:val="0090410D"/>
    <w:rsid w:val="009041FA"/>
    <w:rsid w:val="00904248"/>
    <w:rsid w:val="00904250"/>
    <w:rsid w:val="00904468"/>
    <w:rsid w:val="00904690"/>
    <w:rsid w:val="00904A84"/>
    <w:rsid w:val="00904B6B"/>
    <w:rsid w:val="00904C65"/>
    <w:rsid w:val="00904EBB"/>
    <w:rsid w:val="00905038"/>
    <w:rsid w:val="00905045"/>
    <w:rsid w:val="00905336"/>
    <w:rsid w:val="00905461"/>
    <w:rsid w:val="00905652"/>
    <w:rsid w:val="00905846"/>
    <w:rsid w:val="00905F9B"/>
    <w:rsid w:val="009060FF"/>
    <w:rsid w:val="0090612A"/>
    <w:rsid w:val="00906370"/>
    <w:rsid w:val="00906684"/>
    <w:rsid w:val="009066BD"/>
    <w:rsid w:val="009066DC"/>
    <w:rsid w:val="009068FE"/>
    <w:rsid w:val="00906B4D"/>
    <w:rsid w:val="00906E22"/>
    <w:rsid w:val="0090721F"/>
    <w:rsid w:val="0090728D"/>
    <w:rsid w:val="00907441"/>
    <w:rsid w:val="00907583"/>
    <w:rsid w:val="0090758F"/>
    <w:rsid w:val="0090766F"/>
    <w:rsid w:val="0090779A"/>
    <w:rsid w:val="0090780A"/>
    <w:rsid w:val="00907ABC"/>
    <w:rsid w:val="00907EAE"/>
    <w:rsid w:val="00907F04"/>
    <w:rsid w:val="00907F59"/>
    <w:rsid w:val="00907FEC"/>
    <w:rsid w:val="009101D7"/>
    <w:rsid w:val="009102B4"/>
    <w:rsid w:val="0091052B"/>
    <w:rsid w:val="00910715"/>
    <w:rsid w:val="009107FF"/>
    <w:rsid w:val="00910873"/>
    <w:rsid w:val="0091091D"/>
    <w:rsid w:val="00910E8B"/>
    <w:rsid w:val="00911327"/>
    <w:rsid w:val="00911516"/>
    <w:rsid w:val="00911E11"/>
    <w:rsid w:val="00911F7E"/>
    <w:rsid w:val="009122DB"/>
    <w:rsid w:val="00912848"/>
    <w:rsid w:val="009128B6"/>
    <w:rsid w:val="00912A23"/>
    <w:rsid w:val="00912B56"/>
    <w:rsid w:val="00912C6F"/>
    <w:rsid w:val="00912E50"/>
    <w:rsid w:val="00912E6B"/>
    <w:rsid w:val="00912FBD"/>
    <w:rsid w:val="00912FFC"/>
    <w:rsid w:val="00913053"/>
    <w:rsid w:val="009133D4"/>
    <w:rsid w:val="009133EA"/>
    <w:rsid w:val="00913525"/>
    <w:rsid w:val="009136D9"/>
    <w:rsid w:val="0091371E"/>
    <w:rsid w:val="00913865"/>
    <w:rsid w:val="009138B0"/>
    <w:rsid w:val="00913B20"/>
    <w:rsid w:val="00913F98"/>
    <w:rsid w:val="0091409B"/>
    <w:rsid w:val="009148DC"/>
    <w:rsid w:val="00914AB2"/>
    <w:rsid w:val="00914D25"/>
    <w:rsid w:val="00914D47"/>
    <w:rsid w:val="00914D48"/>
    <w:rsid w:val="00915512"/>
    <w:rsid w:val="00915766"/>
    <w:rsid w:val="00915889"/>
    <w:rsid w:val="0091592D"/>
    <w:rsid w:val="009159C8"/>
    <w:rsid w:val="00915E19"/>
    <w:rsid w:val="00915F85"/>
    <w:rsid w:val="009161D6"/>
    <w:rsid w:val="00916223"/>
    <w:rsid w:val="009163A0"/>
    <w:rsid w:val="0091645C"/>
    <w:rsid w:val="009165A9"/>
    <w:rsid w:val="0091674B"/>
    <w:rsid w:val="009167B6"/>
    <w:rsid w:val="009167DE"/>
    <w:rsid w:val="009168B7"/>
    <w:rsid w:val="009168E7"/>
    <w:rsid w:val="0091696F"/>
    <w:rsid w:val="00916B85"/>
    <w:rsid w:val="00916C99"/>
    <w:rsid w:val="00916EB8"/>
    <w:rsid w:val="00916EE9"/>
    <w:rsid w:val="00916F8A"/>
    <w:rsid w:val="00917159"/>
    <w:rsid w:val="00917210"/>
    <w:rsid w:val="00917447"/>
    <w:rsid w:val="009175A4"/>
    <w:rsid w:val="0091776E"/>
    <w:rsid w:val="00917942"/>
    <w:rsid w:val="00917C84"/>
    <w:rsid w:val="00917D6B"/>
    <w:rsid w:val="00917E56"/>
    <w:rsid w:val="00917EE4"/>
    <w:rsid w:val="009200B5"/>
    <w:rsid w:val="00920260"/>
    <w:rsid w:val="00920482"/>
    <w:rsid w:val="00920577"/>
    <w:rsid w:val="00920FCF"/>
    <w:rsid w:val="0092104B"/>
    <w:rsid w:val="0092119F"/>
    <w:rsid w:val="009218A2"/>
    <w:rsid w:val="0092191B"/>
    <w:rsid w:val="0092199D"/>
    <w:rsid w:val="00921D2D"/>
    <w:rsid w:val="00921D40"/>
    <w:rsid w:val="00921D86"/>
    <w:rsid w:val="00921F1C"/>
    <w:rsid w:val="00921FE8"/>
    <w:rsid w:val="0092236D"/>
    <w:rsid w:val="0092241F"/>
    <w:rsid w:val="0092249E"/>
    <w:rsid w:val="009224A3"/>
    <w:rsid w:val="009224B7"/>
    <w:rsid w:val="0092261B"/>
    <w:rsid w:val="00922812"/>
    <w:rsid w:val="0092298E"/>
    <w:rsid w:val="009229AE"/>
    <w:rsid w:val="00922B51"/>
    <w:rsid w:val="00922BB9"/>
    <w:rsid w:val="00922C64"/>
    <w:rsid w:val="00922E1B"/>
    <w:rsid w:val="00922E3B"/>
    <w:rsid w:val="00922FD8"/>
    <w:rsid w:val="00923078"/>
    <w:rsid w:val="009230B4"/>
    <w:rsid w:val="00923170"/>
    <w:rsid w:val="00923261"/>
    <w:rsid w:val="00923325"/>
    <w:rsid w:val="009233C3"/>
    <w:rsid w:val="009233CC"/>
    <w:rsid w:val="00923433"/>
    <w:rsid w:val="00923509"/>
    <w:rsid w:val="00923551"/>
    <w:rsid w:val="00923607"/>
    <w:rsid w:val="00923633"/>
    <w:rsid w:val="00923651"/>
    <w:rsid w:val="00923708"/>
    <w:rsid w:val="0092383E"/>
    <w:rsid w:val="00923AAF"/>
    <w:rsid w:val="00923BBE"/>
    <w:rsid w:val="00923C11"/>
    <w:rsid w:val="00923CB4"/>
    <w:rsid w:val="00923D14"/>
    <w:rsid w:val="00923EE6"/>
    <w:rsid w:val="00923F15"/>
    <w:rsid w:val="00923FA6"/>
    <w:rsid w:val="009240D8"/>
    <w:rsid w:val="009240FE"/>
    <w:rsid w:val="009240FF"/>
    <w:rsid w:val="00924105"/>
    <w:rsid w:val="009243C5"/>
    <w:rsid w:val="00924502"/>
    <w:rsid w:val="009247B0"/>
    <w:rsid w:val="00924825"/>
    <w:rsid w:val="00924AA7"/>
    <w:rsid w:val="00924AE6"/>
    <w:rsid w:val="00924E29"/>
    <w:rsid w:val="00924EC9"/>
    <w:rsid w:val="00924EF7"/>
    <w:rsid w:val="0092518C"/>
    <w:rsid w:val="0092523D"/>
    <w:rsid w:val="009253C7"/>
    <w:rsid w:val="009256C9"/>
    <w:rsid w:val="0092571D"/>
    <w:rsid w:val="0092586A"/>
    <w:rsid w:val="009258B7"/>
    <w:rsid w:val="009259B7"/>
    <w:rsid w:val="00925E50"/>
    <w:rsid w:val="00925E68"/>
    <w:rsid w:val="00925EF6"/>
    <w:rsid w:val="00925F7F"/>
    <w:rsid w:val="00925FD8"/>
    <w:rsid w:val="0092604C"/>
    <w:rsid w:val="0092606A"/>
    <w:rsid w:val="009260FB"/>
    <w:rsid w:val="009262E6"/>
    <w:rsid w:val="00926354"/>
    <w:rsid w:val="009264A6"/>
    <w:rsid w:val="009264CA"/>
    <w:rsid w:val="00926670"/>
    <w:rsid w:val="009267BE"/>
    <w:rsid w:val="009269C2"/>
    <w:rsid w:val="00926BD0"/>
    <w:rsid w:val="00926CAF"/>
    <w:rsid w:val="00926F34"/>
    <w:rsid w:val="00927038"/>
    <w:rsid w:val="0092717B"/>
    <w:rsid w:val="0092726D"/>
    <w:rsid w:val="009272EB"/>
    <w:rsid w:val="0092769C"/>
    <w:rsid w:val="0092785A"/>
    <w:rsid w:val="0092789F"/>
    <w:rsid w:val="00927A08"/>
    <w:rsid w:val="00927AA7"/>
    <w:rsid w:val="00927B96"/>
    <w:rsid w:val="00927F26"/>
    <w:rsid w:val="00927FCB"/>
    <w:rsid w:val="0093003D"/>
    <w:rsid w:val="009301C8"/>
    <w:rsid w:val="009302FE"/>
    <w:rsid w:val="009303C3"/>
    <w:rsid w:val="00930457"/>
    <w:rsid w:val="0093053C"/>
    <w:rsid w:val="0093065D"/>
    <w:rsid w:val="0093066B"/>
    <w:rsid w:val="0093069F"/>
    <w:rsid w:val="00930745"/>
    <w:rsid w:val="00930751"/>
    <w:rsid w:val="00930812"/>
    <w:rsid w:val="009308E5"/>
    <w:rsid w:val="00930948"/>
    <w:rsid w:val="00930A39"/>
    <w:rsid w:val="00930A74"/>
    <w:rsid w:val="00930AAD"/>
    <w:rsid w:val="00930BE1"/>
    <w:rsid w:val="00930E1C"/>
    <w:rsid w:val="00930E30"/>
    <w:rsid w:val="00930EA1"/>
    <w:rsid w:val="009310EB"/>
    <w:rsid w:val="00931112"/>
    <w:rsid w:val="00931338"/>
    <w:rsid w:val="0093138E"/>
    <w:rsid w:val="0093161B"/>
    <w:rsid w:val="009316A4"/>
    <w:rsid w:val="0093176E"/>
    <w:rsid w:val="00931852"/>
    <w:rsid w:val="00931A52"/>
    <w:rsid w:val="00931A67"/>
    <w:rsid w:val="00931AB6"/>
    <w:rsid w:val="00931B0F"/>
    <w:rsid w:val="00931B3D"/>
    <w:rsid w:val="00931B5E"/>
    <w:rsid w:val="00931E5C"/>
    <w:rsid w:val="00931EAF"/>
    <w:rsid w:val="00931F87"/>
    <w:rsid w:val="00932100"/>
    <w:rsid w:val="009323AE"/>
    <w:rsid w:val="0093243C"/>
    <w:rsid w:val="009324F9"/>
    <w:rsid w:val="009324FE"/>
    <w:rsid w:val="00932509"/>
    <w:rsid w:val="00932527"/>
    <w:rsid w:val="009325A3"/>
    <w:rsid w:val="00932929"/>
    <w:rsid w:val="00932983"/>
    <w:rsid w:val="009329B0"/>
    <w:rsid w:val="009329B2"/>
    <w:rsid w:val="00932A0F"/>
    <w:rsid w:val="00933289"/>
    <w:rsid w:val="009332E2"/>
    <w:rsid w:val="00933624"/>
    <w:rsid w:val="00933817"/>
    <w:rsid w:val="009338ED"/>
    <w:rsid w:val="00933A35"/>
    <w:rsid w:val="00933B0D"/>
    <w:rsid w:val="00933FE3"/>
    <w:rsid w:val="009340DA"/>
    <w:rsid w:val="009340E1"/>
    <w:rsid w:val="00934269"/>
    <w:rsid w:val="00934B9E"/>
    <w:rsid w:val="00934EAC"/>
    <w:rsid w:val="009350E4"/>
    <w:rsid w:val="00935431"/>
    <w:rsid w:val="009354E5"/>
    <w:rsid w:val="00935565"/>
    <w:rsid w:val="00935623"/>
    <w:rsid w:val="00935753"/>
    <w:rsid w:val="0093587E"/>
    <w:rsid w:val="00935886"/>
    <w:rsid w:val="00935997"/>
    <w:rsid w:val="009359DF"/>
    <w:rsid w:val="009359FB"/>
    <w:rsid w:val="00935A5A"/>
    <w:rsid w:val="00935CE0"/>
    <w:rsid w:val="00935DAD"/>
    <w:rsid w:val="00935DD3"/>
    <w:rsid w:val="00935FA6"/>
    <w:rsid w:val="0093603E"/>
    <w:rsid w:val="009360D7"/>
    <w:rsid w:val="009362C9"/>
    <w:rsid w:val="00936324"/>
    <w:rsid w:val="00936419"/>
    <w:rsid w:val="0093645F"/>
    <w:rsid w:val="00936596"/>
    <w:rsid w:val="00936715"/>
    <w:rsid w:val="00936794"/>
    <w:rsid w:val="009367AF"/>
    <w:rsid w:val="009368A0"/>
    <w:rsid w:val="00936ADB"/>
    <w:rsid w:val="00936C72"/>
    <w:rsid w:val="00936E2C"/>
    <w:rsid w:val="009370C4"/>
    <w:rsid w:val="0093743C"/>
    <w:rsid w:val="00937498"/>
    <w:rsid w:val="00937509"/>
    <w:rsid w:val="0093753F"/>
    <w:rsid w:val="009375D7"/>
    <w:rsid w:val="00937935"/>
    <w:rsid w:val="00937CD9"/>
    <w:rsid w:val="00937D0F"/>
    <w:rsid w:val="00937E54"/>
    <w:rsid w:val="00937F3B"/>
    <w:rsid w:val="00937F57"/>
    <w:rsid w:val="00940137"/>
    <w:rsid w:val="0094046D"/>
    <w:rsid w:val="009404D7"/>
    <w:rsid w:val="009405A4"/>
    <w:rsid w:val="009406B3"/>
    <w:rsid w:val="009406EE"/>
    <w:rsid w:val="009407AA"/>
    <w:rsid w:val="00940A44"/>
    <w:rsid w:val="00940AD1"/>
    <w:rsid w:val="00940C6E"/>
    <w:rsid w:val="00940D98"/>
    <w:rsid w:val="00940E50"/>
    <w:rsid w:val="00941026"/>
    <w:rsid w:val="00941326"/>
    <w:rsid w:val="0094148C"/>
    <w:rsid w:val="00941536"/>
    <w:rsid w:val="00941588"/>
    <w:rsid w:val="00941754"/>
    <w:rsid w:val="00941769"/>
    <w:rsid w:val="009417E4"/>
    <w:rsid w:val="0094187E"/>
    <w:rsid w:val="009418ED"/>
    <w:rsid w:val="00941A2B"/>
    <w:rsid w:val="00941AC3"/>
    <w:rsid w:val="00941D13"/>
    <w:rsid w:val="00941F80"/>
    <w:rsid w:val="00942058"/>
    <w:rsid w:val="0094218A"/>
    <w:rsid w:val="00942226"/>
    <w:rsid w:val="00942387"/>
    <w:rsid w:val="009423C8"/>
    <w:rsid w:val="00942477"/>
    <w:rsid w:val="00942A1E"/>
    <w:rsid w:val="00943193"/>
    <w:rsid w:val="009432B5"/>
    <w:rsid w:val="0094331B"/>
    <w:rsid w:val="0094380C"/>
    <w:rsid w:val="0094385A"/>
    <w:rsid w:val="009438FE"/>
    <w:rsid w:val="00943AD9"/>
    <w:rsid w:val="00943AE3"/>
    <w:rsid w:val="00943F16"/>
    <w:rsid w:val="009441AE"/>
    <w:rsid w:val="00944236"/>
    <w:rsid w:val="00944461"/>
    <w:rsid w:val="00944614"/>
    <w:rsid w:val="0094479D"/>
    <w:rsid w:val="009448DF"/>
    <w:rsid w:val="00944959"/>
    <w:rsid w:val="00944AF7"/>
    <w:rsid w:val="00944E7B"/>
    <w:rsid w:val="00944EAE"/>
    <w:rsid w:val="00945015"/>
    <w:rsid w:val="009450F7"/>
    <w:rsid w:val="0094517F"/>
    <w:rsid w:val="009451A4"/>
    <w:rsid w:val="009452DE"/>
    <w:rsid w:val="0094553C"/>
    <w:rsid w:val="00945609"/>
    <w:rsid w:val="00945613"/>
    <w:rsid w:val="009457B0"/>
    <w:rsid w:val="009457E0"/>
    <w:rsid w:val="00945BC7"/>
    <w:rsid w:val="00945D43"/>
    <w:rsid w:val="00945D86"/>
    <w:rsid w:val="00945EF3"/>
    <w:rsid w:val="00946019"/>
    <w:rsid w:val="0094626F"/>
    <w:rsid w:val="009462D2"/>
    <w:rsid w:val="009463EE"/>
    <w:rsid w:val="00946827"/>
    <w:rsid w:val="0094692B"/>
    <w:rsid w:val="00946A1D"/>
    <w:rsid w:val="00946BED"/>
    <w:rsid w:val="00946D60"/>
    <w:rsid w:val="00946EC4"/>
    <w:rsid w:val="009472D2"/>
    <w:rsid w:val="009476AB"/>
    <w:rsid w:val="009478D2"/>
    <w:rsid w:val="0094792F"/>
    <w:rsid w:val="009479A6"/>
    <w:rsid w:val="00947C37"/>
    <w:rsid w:val="00947E56"/>
    <w:rsid w:val="00947F42"/>
    <w:rsid w:val="00950588"/>
    <w:rsid w:val="00950934"/>
    <w:rsid w:val="00950A20"/>
    <w:rsid w:val="00950CD5"/>
    <w:rsid w:val="00950D16"/>
    <w:rsid w:val="0095118D"/>
    <w:rsid w:val="009511E6"/>
    <w:rsid w:val="0095144C"/>
    <w:rsid w:val="009515B6"/>
    <w:rsid w:val="009515F4"/>
    <w:rsid w:val="0095165B"/>
    <w:rsid w:val="0095168C"/>
    <w:rsid w:val="00951BD0"/>
    <w:rsid w:val="00951E7D"/>
    <w:rsid w:val="00951FAB"/>
    <w:rsid w:val="00952305"/>
    <w:rsid w:val="00952548"/>
    <w:rsid w:val="00952844"/>
    <w:rsid w:val="0095297E"/>
    <w:rsid w:val="00952BA9"/>
    <w:rsid w:val="00952C61"/>
    <w:rsid w:val="00952ED0"/>
    <w:rsid w:val="009531B5"/>
    <w:rsid w:val="00953499"/>
    <w:rsid w:val="00953825"/>
    <w:rsid w:val="009538C2"/>
    <w:rsid w:val="00953C63"/>
    <w:rsid w:val="00953D79"/>
    <w:rsid w:val="00953D91"/>
    <w:rsid w:val="00954003"/>
    <w:rsid w:val="00954148"/>
    <w:rsid w:val="009542ED"/>
    <w:rsid w:val="0095434A"/>
    <w:rsid w:val="0095445D"/>
    <w:rsid w:val="0095476A"/>
    <w:rsid w:val="00954939"/>
    <w:rsid w:val="0095495E"/>
    <w:rsid w:val="00954A87"/>
    <w:rsid w:val="00954BC5"/>
    <w:rsid w:val="00954BE5"/>
    <w:rsid w:val="00954E8C"/>
    <w:rsid w:val="00954FD7"/>
    <w:rsid w:val="0095508B"/>
    <w:rsid w:val="009553DD"/>
    <w:rsid w:val="0095554D"/>
    <w:rsid w:val="009558E1"/>
    <w:rsid w:val="00955943"/>
    <w:rsid w:val="0095598A"/>
    <w:rsid w:val="009559B8"/>
    <w:rsid w:val="00955ABF"/>
    <w:rsid w:val="00955AC4"/>
    <w:rsid w:val="00955DF3"/>
    <w:rsid w:val="00955FF7"/>
    <w:rsid w:val="0095623F"/>
    <w:rsid w:val="009562B8"/>
    <w:rsid w:val="0095654C"/>
    <w:rsid w:val="0095686C"/>
    <w:rsid w:val="00956C4E"/>
    <w:rsid w:val="00956C8A"/>
    <w:rsid w:val="00956FA7"/>
    <w:rsid w:val="009570B7"/>
    <w:rsid w:val="009571DC"/>
    <w:rsid w:val="009573B1"/>
    <w:rsid w:val="0095751D"/>
    <w:rsid w:val="00957569"/>
    <w:rsid w:val="00957920"/>
    <w:rsid w:val="00957A77"/>
    <w:rsid w:val="00957CC7"/>
    <w:rsid w:val="00957D5D"/>
    <w:rsid w:val="00957F9F"/>
    <w:rsid w:val="0096002A"/>
    <w:rsid w:val="009601C6"/>
    <w:rsid w:val="0096053D"/>
    <w:rsid w:val="009606E5"/>
    <w:rsid w:val="009608B3"/>
    <w:rsid w:val="00960B88"/>
    <w:rsid w:val="00960FF8"/>
    <w:rsid w:val="009613B4"/>
    <w:rsid w:val="00961623"/>
    <w:rsid w:val="00961773"/>
    <w:rsid w:val="009619B3"/>
    <w:rsid w:val="00961C15"/>
    <w:rsid w:val="00961D72"/>
    <w:rsid w:val="00961F98"/>
    <w:rsid w:val="00961F9F"/>
    <w:rsid w:val="00961FF0"/>
    <w:rsid w:val="00962174"/>
    <w:rsid w:val="00962323"/>
    <w:rsid w:val="009625AF"/>
    <w:rsid w:val="009626AC"/>
    <w:rsid w:val="00962898"/>
    <w:rsid w:val="0096297B"/>
    <w:rsid w:val="009629CB"/>
    <w:rsid w:val="00962B66"/>
    <w:rsid w:val="00962D7C"/>
    <w:rsid w:val="00962FCF"/>
    <w:rsid w:val="009630AD"/>
    <w:rsid w:val="009630BE"/>
    <w:rsid w:val="0096311A"/>
    <w:rsid w:val="00963227"/>
    <w:rsid w:val="009632C8"/>
    <w:rsid w:val="00963372"/>
    <w:rsid w:val="009633D7"/>
    <w:rsid w:val="009634A0"/>
    <w:rsid w:val="009634A1"/>
    <w:rsid w:val="009637F5"/>
    <w:rsid w:val="00963959"/>
    <w:rsid w:val="00963ACD"/>
    <w:rsid w:val="00963B85"/>
    <w:rsid w:val="00963BEC"/>
    <w:rsid w:val="00964239"/>
    <w:rsid w:val="00964723"/>
    <w:rsid w:val="00964A1C"/>
    <w:rsid w:val="00964A79"/>
    <w:rsid w:val="00964B9F"/>
    <w:rsid w:val="00964C14"/>
    <w:rsid w:val="00964C2F"/>
    <w:rsid w:val="00964C58"/>
    <w:rsid w:val="00964CF1"/>
    <w:rsid w:val="009652D5"/>
    <w:rsid w:val="00965545"/>
    <w:rsid w:val="00965A7E"/>
    <w:rsid w:val="00965C0C"/>
    <w:rsid w:val="00965D66"/>
    <w:rsid w:val="00965F48"/>
    <w:rsid w:val="009664FD"/>
    <w:rsid w:val="00966506"/>
    <w:rsid w:val="00966750"/>
    <w:rsid w:val="0096694C"/>
    <w:rsid w:val="00966B95"/>
    <w:rsid w:val="00966C16"/>
    <w:rsid w:val="00966CA9"/>
    <w:rsid w:val="00966D01"/>
    <w:rsid w:val="00966E30"/>
    <w:rsid w:val="00966F79"/>
    <w:rsid w:val="00966FB3"/>
    <w:rsid w:val="00967043"/>
    <w:rsid w:val="00967190"/>
    <w:rsid w:val="009673B1"/>
    <w:rsid w:val="009673BF"/>
    <w:rsid w:val="00967485"/>
    <w:rsid w:val="009675E4"/>
    <w:rsid w:val="0096761A"/>
    <w:rsid w:val="0096762F"/>
    <w:rsid w:val="009677F8"/>
    <w:rsid w:val="0096783E"/>
    <w:rsid w:val="00967A67"/>
    <w:rsid w:val="00967C39"/>
    <w:rsid w:val="00967D72"/>
    <w:rsid w:val="0097016D"/>
    <w:rsid w:val="0097036B"/>
    <w:rsid w:val="009704E5"/>
    <w:rsid w:val="0097054C"/>
    <w:rsid w:val="009705F1"/>
    <w:rsid w:val="009705FE"/>
    <w:rsid w:val="00970910"/>
    <w:rsid w:val="00970AB2"/>
    <w:rsid w:val="00970C46"/>
    <w:rsid w:val="00970D1A"/>
    <w:rsid w:val="00970E55"/>
    <w:rsid w:val="00970EF1"/>
    <w:rsid w:val="00970F09"/>
    <w:rsid w:val="00970F7A"/>
    <w:rsid w:val="00970F7E"/>
    <w:rsid w:val="0097100D"/>
    <w:rsid w:val="00971146"/>
    <w:rsid w:val="009712CE"/>
    <w:rsid w:val="009713E2"/>
    <w:rsid w:val="009713EB"/>
    <w:rsid w:val="009714F1"/>
    <w:rsid w:val="00971517"/>
    <w:rsid w:val="00971780"/>
    <w:rsid w:val="009717F0"/>
    <w:rsid w:val="00971858"/>
    <w:rsid w:val="009718C4"/>
    <w:rsid w:val="00971980"/>
    <w:rsid w:val="0097198B"/>
    <w:rsid w:val="00971AA1"/>
    <w:rsid w:val="00971C26"/>
    <w:rsid w:val="00971C3A"/>
    <w:rsid w:val="00971DC0"/>
    <w:rsid w:val="0097220C"/>
    <w:rsid w:val="00972278"/>
    <w:rsid w:val="009723EC"/>
    <w:rsid w:val="00972405"/>
    <w:rsid w:val="009725F2"/>
    <w:rsid w:val="00972636"/>
    <w:rsid w:val="00972847"/>
    <w:rsid w:val="00972916"/>
    <w:rsid w:val="00972A9A"/>
    <w:rsid w:val="00972AFF"/>
    <w:rsid w:val="00972B99"/>
    <w:rsid w:val="00972D66"/>
    <w:rsid w:val="00972F03"/>
    <w:rsid w:val="009730E5"/>
    <w:rsid w:val="00973136"/>
    <w:rsid w:val="00973507"/>
    <w:rsid w:val="009735F7"/>
    <w:rsid w:val="009735FB"/>
    <w:rsid w:val="0097374B"/>
    <w:rsid w:val="00973759"/>
    <w:rsid w:val="0097384A"/>
    <w:rsid w:val="0097386B"/>
    <w:rsid w:val="00973A36"/>
    <w:rsid w:val="00973C85"/>
    <w:rsid w:val="0097429B"/>
    <w:rsid w:val="009744D7"/>
    <w:rsid w:val="009746C6"/>
    <w:rsid w:val="00974981"/>
    <w:rsid w:val="009749BC"/>
    <w:rsid w:val="009749F7"/>
    <w:rsid w:val="00974A97"/>
    <w:rsid w:val="00974AD4"/>
    <w:rsid w:val="00974B74"/>
    <w:rsid w:val="00974BB4"/>
    <w:rsid w:val="0097513A"/>
    <w:rsid w:val="00975154"/>
    <w:rsid w:val="009751E3"/>
    <w:rsid w:val="009754C6"/>
    <w:rsid w:val="0097557D"/>
    <w:rsid w:val="009756FA"/>
    <w:rsid w:val="009757B3"/>
    <w:rsid w:val="00975A92"/>
    <w:rsid w:val="00975B8C"/>
    <w:rsid w:val="00975E51"/>
    <w:rsid w:val="00975FB5"/>
    <w:rsid w:val="0097600B"/>
    <w:rsid w:val="009760F1"/>
    <w:rsid w:val="009761E9"/>
    <w:rsid w:val="009765D1"/>
    <w:rsid w:val="0097691F"/>
    <w:rsid w:val="009769C3"/>
    <w:rsid w:val="00976AC7"/>
    <w:rsid w:val="00976FDC"/>
    <w:rsid w:val="00977060"/>
    <w:rsid w:val="0097713A"/>
    <w:rsid w:val="00977263"/>
    <w:rsid w:val="00977422"/>
    <w:rsid w:val="00977876"/>
    <w:rsid w:val="00977A34"/>
    <w:rsid w:val="00977D75"/>
    <w:rsid w:val="009805D2"/>
    <w:rsid w:val="009805DD"/>
    <w:rsid w:val="009809DC"/>
    <w:rsid w:val="00980A30"/>
    <w:rsid w:val="00980E93"/>
    <w:rsid w:val="00980F27"/>
    <w:rsid w:val="00981126"/>
    <w:rsid w:val="00981335"/>
    <w:rsid w:val="0098143B"/>
    <w:rsid w:val="0098193C"/>
    <w:rsid w:val="00981BF0"/>
    <w:rsid w:val="00981C05"/>
    <w:rsid w:val="00981E75"/>
    <w:rsid w:val="009820EC"/>
    <w:rsid w:val="0098212B"/>
    <w:rsid w:val="009821F9"/>
    <w:rsid w:val="00982346"/>
    <w:rsid w:val="00982435"/>
    <w:rsid w:val="00982559"/>
    <w:rsid w:val="009825C6"/>
    <w:rsid w:val="00982627"/>
    <w:rsid w:val="00982719"/>
    <w:rsid w:val="00982745"/>
    <w:rsid w:val="00982848"/>
    <w:rsid w:val="00982E02"/>
    <w:rsid w:val="00982F1F"/>
    <w:rsid w:val="00982F82"/>
    <w:rsid w:val="00983017"/>
    <w:rsid w:val="0098307E"/>
    <w:rsid w:val="00983096"/>
    <w:rsid w:val="0098338D"/>
    <w:rsid w:val="0098364F"/>
    <w:rsid w:val="0098389C"/>
    <w:rsid w:val="00983927"/>
    <w:rsid w:val="00983A0F"/>
    <w:rsid w:val="00983AA1"/>
    <w:rsid w:val="00983C31"/>
    <w:rsid w:val="00983DFB"/>
    <w:rsid w:val="00983E7E"/>
    <w:rsid w:val="00983EF1"/>
    <w:rsid w:val="00983F93"/>
    <w:rsid w:val="0098401C"/>
    <w:rsid w:val="009841C1"/>
    <w:rsid w:val="0098461A"/>
    <w:rsid w:val="00984783"/>
    <w:rsid w:val="009848A3"/>
    <w:rsid w:val="00984A1E"/>
    <w:rsid w:val="00984AA8"/>
    <w:rsid w:val="00984B7D"/>
    <w:rsid w:val="00984E1B"/>
    <w:rsid w:val="00984E8C"/>
    <w:rsid w:val="00984EDE"/>
    <w:rsid w:val="00985121"/>
    <w:rsid w:val="0098513A"/>
    <w:rsid w:val="0098586A"/>
    <w:rsid w:val="00985B2D"/>
    <w:rsid w:val="00985B37"/>
    <w:rsid w:val="00985C4D"/>
    <w:rsid w:val="00985CAC"/>
    <w:rsid w:val="00985E04"/>
    <w:rsid w:val="00985EE6"/>
    <w:rsid w:val="00986453"/>
    <w:rsid w:val="0098653B"/>
    <w:rsid w:val="009865DA"/>
    <w:rsid w:val="009866A4"/>
    <w:rsid w:val="009867E6"/>
    <w:rsid w:val="00986884"/>
    <w:rsid w:val="00986A62"/>
    <w:rsid w:val="00986D4D"/>
    <w:rsid w:val="00986DFF"/>
    <w:rsid w:val="00987008"/>
    <w:rsid w:val="00987347"/>
    <w:rsid w:val="0098742E"/>
    <w:rsid w:val="009874C8"/>
    <w:rsid w:val="009874D7"/>
    <w:rsid w:val="0098765E"/>
    <w:rsid w:val="00987979"/>
    <w:rsid w:val="00987A6D"/>
    <w:rsid w:val="00987B3F"/>
    <w:rsid w:val="00987B46"/>
    <w:rsid w:val="00987BAC"/>
    <w:rsid w:val="00987BB1"/>
    <w:rsid w:val="00987C50"/>
    <w:rsid w:val="00987E62"/>
    <w:rsid w:val="00990169"/>
    <w:rsid w:val="009902F9"/>
    <w:rsid w:val="009905FA"/>
    <w:rsid w:val="009905FF"/>
    <w:rsid w:val="00990672"/>
    <w:rsid w:val="009906D0"/>
    <w:rsid w:val="00990CF1"/>
    <w:rsid w:val="00990D2A"/>
    <w:rsid w:val="00990D40"/>
    <w:rsid w:val="00990F98"/>
    <w:rsid w:val="00991182"/>
    <w:rsid w:val="00991447"/>
    <w:rsid w:val="00991675"/>
    <w:rsid w:val="0099188A"/>
    <w:rsid w:val="00991C24"/>
    <w:rsid w:val="00991EED"/>
    <w:rsid w:val="00992008"/>
    <w:rsid w:val="00992287"/>
    <w:rsid w:val="00992816"/>
    <w:rsid w:val="009928FE"/>
    <w:rsid w:val="00992A0D"/>
    <w:rsid w:val="00992B05"/>
    <w:rsid w:val="00992B16"/>
    <w:rsid w:val="00992BBD"/>
    <w:rsid w:val="00992BC7"/>
    <w:rsid w:val="00992ED6"/>
    <w:rsid w:val="00993387"/>
    <w:rsid w:val="00993431"/>
    <w:rsid w:val="009934BD"/>
    <w:rsid w:val="00993811"/>
    <w:rsid w:val="0099392F"/>
    <w:rsid w:val="00993BD7"/>
    <w:rsid w:val="00993DAF"/>
    <w:rsid w:val="00993E84"/>
    <w:rsid w:val="00993EC9"/>
    <w:rsid w:val="00993F9C"/>
    <w:rsid w:val="00994216"/>
    <w:rsid w:val="0099445B"/>
    <w:rsid w:val="00994540"/>
    <w:rsid w:val="00994578"/>
    <w:rsid w:val="009945B4"/>
    <w:rsid w:val="009946D1"/>
    <w:rsid w:val="0099478E"/>
    <w:rsid w:val="00994924"/>
    <w:rsid w:val="0099499F"/>
    <w:rsid w:val="00994A29"/>
    <w:rsid w:val="00994B8D"/>
    <w:rsid w:val="00994E61"/>
    <w:rsid w:val="00994F2E"/>
    <w:rsid w:val="00995008"/>
    <w:rsid w:val="0099513F"/>
    <w:rsid w:val="00995563"/>
    <w:rsid w:val="00995609"/>
    <w:rsid w:val="0099566F"/>
    <w:rsid w:val="00995D8B"/>
    <w:rsid w:val="00995F67"/>
    <w:rsid w:val="0099606C"/>
    <w:rsid w:val="009960CA"/>
    <w:rsid w:val="009960E3"/>
    <w:rsid w:val="00996409"/>
    <w:rsid w:val="00996410"/>
    <w:rsid w:val="00996499"/>
    <w:rsid w:val="009965BC"/>
    <w:rsid w:val="00996750"/>
    <w:rsid w:val="00996797"/>
    <w:rsid w:val="009967E6"/>
    <w:rsid w:val="0099688B"/>
    <w:rsid w:val="0099699D"/>
    <w:rsid w:val="009969D4"/>
    <w:rsid w:val="00996A4A"/>
    <w:rsid w:val="00996ACD"/>
    <w:rsid w:val="00996B1A"/>
    <w:rsid w:val="00996BB0"/>
    <w:rsid w:val="00996BED"/>
    <w:rsid w:val="00996D00"/>
    <w:rsid w:val="00996D57"/>
    <w:rsid w:val="00996DFB"/>
    <w:rsid w:val="00996F92"/>
    <w:rsid w:val="00996FBC"/>
    <w:rsid w:val="00997220"/>
    <w:rsid w:val="00997292"/>
    <w:rsid w:val="00997334"/>
    <w:rsid w:val="00997497"/>
    <w:rsid w:val="0099752F"/>
    <w:rsid w:val="009976AA"/>
    <w:rsid w:val="00997982"/>
    <w:rsid w:val="00997B48"/>
    <w:rsid w:val="009A0014"/>
    <w:rsid w:val="009A00E0"/>
    <w:rsid w:val="009A012D"/>
    <w:rsid w:val="009A031A"/>
    <w:rsid w:val="009A0382"/>
    <w:rsid w:val="009A03DC"/>
    <w:rsid w:val="009A0481"/>
    <w:rsid w:val="009A052A"/>
    <w:rsid w:val="009A058D"/>
    <w:rsid w:val="009A0615"/>
    <w:rsid w:val="009A08A6"/>
    <w:rsid w:val="009A09F2"/>
    <w:rsid w:val="009A0C25"/>
    <w:rsid w:val="009A0DE7"/>
    <w:rsid w:val="009A0F15"/>
    <w:rsid w:val="009A0F88"/>
    <w:rsid w:val="009A0FD4"/>
    <w:rsid w:val="009A0FFF"/>
    <w:rsid w:val="009A12B7"/>
    <w:rsid w:val="009A15B6"/>
    <w:rsid w:val="009A1683"/>
    <w:rsid w:val="009A16C3"/>
    <w:rsid w:val="009A174A"/>
    <w:rsid w:val="009A17E5"/>
    <w:rsid w:val="009A189B"/>
    <w:rsid w:val="009A1993"/>
    <w:rsid w:val="009A1BF2"/>
    <w:rsid w:val="009A1FA6"/>
    <w:rsid w:val="009A1FCC"/>
    <w:rsid w:val="009A2217"/>
    <w:rsid w:val="009A228E"/>
    <w:rsid w:val="009A22C0"/>
    <w:rsid w:val="009A2480"/>
    <w:rsid w:val="009A2607"/>
    <w:rsid w:val="009A260D"/>
    <w:rsid w:val="009A2700"/>
    <w:rsid w:val="009A285E"/>
    <w:rsid w:val="009A2C6B"/>
    <w:rsid w:val="009A2C92"/>
    <w:rsid w:val="009A2D10"/>
    <w:rsid w:val="009A3215"/>
    <w:rsid w:val="009A34D9"/>
    <w:rsid w:val="009A35F7"/>
    <w:rsid w:val="009A360C"/>
    <w:rsid w:val="009A3710"/>
    <w:rsid w:val="009A3762"/>
    <w:rsid w:val="009A397A"/>
    <w:rsid w:val="009A3B9C"/>
    <w:rsid w:val="009A3D6B"/>
    <w:rsid w:val="009A4046"/>
    <w:rsid w:val="009A40DE"/>
    <w:rsid w:val="009A40E1"/>
    <w:rsid w:val="009A41A1"/>
    <w:rsid w:val="009A4301"/>
    <w:rsid w:val="009A4364"/>
    <w:rsid w:val="009A4485"/>
    <w:rsid w:val="009A48BF"/>
    <w:rsid w:val="009A4CB6"/>
    <w:rsid w:val="009A4E9A"/>
    <w:rsid w:val="009A5471"/>
    <w:rsid w:val="009A567A"/>
    <w:rsid w:val="009A5800"/>
    <w:rsid w:val="009A59C1"/>
    <w:rsid w:val="009A5CAB"/>
    <w:rsid w:val="009A61F6"/>
    <w:rsid w:val="009A671D"/>
    <w:rsid w:val="009A678C"/>
    <w:rsid w:val="009A684C"/>
    <w:rsid w:val="009A69FE"/>
    <w:rsid w:val="009A6B80"/>
    <w:rsid w:val="009A6C0C"/>
    <w:rsid w:val="009A6CF3"/>
    <w:rsid w:val="009A6D38"/>
    <w:rsid w:val="009A6FE1"/>
    <w:rsid w:val="009A716E"/>
    <w:rsid w:val="009A7199"/>
    <w:rsid w:val="009A7397"/>
    <w:rsid w:val="009A74E4"/>
    <w:rsid w:val="009A7631"/>
    <w:rsid w:val="009A76F7"/>
    <w:rsid w:val="009A7720"/>
    <w:rsid w:val="009A7999"/>
    <w:rsid w:val="009A7AF5"/>
    <w:rsid w:val="009B0134"/>
    <w:rsid w:val="009B018D"/>
    <w:rsid w:val="009B0232"/>
    <w:rsid w:val="009B049A"/>
    <w:rsid w:val="009B05D8"/>
    <w:rsid w:val="009B0655"/>
    <w:rsid w:val="009B0658"/>
    <w:rsid w:val="009B08A0"/>
    <w:rsid w:val="009B0C6B"/>
    <w:rsid w:val="009B0D1F"/>
    <w:rsid w:val="009B0E88"/>
    <w:rsid w:val="009B13D9"/>
    <w:rsid w:val="009B149B"/>
    <w:rsid w:val="009B1586"/>
    <w:rsid w:val="009B15DD"/>
    <w:rsid w:val="009B1617"/>
    <w:rsid w:val="009B170B"/>
    <w:rsid w:val="009B194D"/>
    <w:rsid w:val="009B195E"/>
    <w:rsid w:val="009B1A42"/>
    <w:rsid w:val="009B1A57"/>
    <w:rsid w:val="009B1A60"/>
    <w:rsid w:val="009B1B2D"/>
    <w:rsid w:val="009B1CA1"/>
    <w:rsid w:val="009B201D"/>
    <w:rsid w:val="009B2020"/>
    <w:rsid w:val="009B24F2"/>
    <w:rsid w:val="009B252F"/>
    <w:rsid w:val="009B2604"/>
    <w:rsid w:val="009B2670"/>
    <w:rsid w:val="009B2785"/>
    <w:rsid w:val="009B2D28"/>
    <w:rsid w:val="009B2DBA"/>
    <w:rsid w:val="009B3133"/>
    <w:rsid w:val="009B328C"/>
    <w:rsid w:val="009B3504"/>
    <w:rsid w:val="009B3638"/>
    <w:rsid w:val="009B366F"/>
    <w:rsid w:val="009B36C8"/>
    <w:rsid w:val="009B38BC"/>
    <w:rsid w:val="009B3AB0"/>
    <w:rsid w:val="009B42DD"/>
    <w:rsid w:val="009B43BF"/>
    <w:rsid w:val="009B449D"/>
    <w:rsid w:val="009B459A"/>
    <w:rsid w:val="009B4693"/>
    <w:rsid w:val="009B4695"/>
    <w:rsid w:val="009B499F"/>
    <w:rsid w:val="009B4A2D"/>
    <w:rsid w:val="009B4A90"/>
    <w:rsid w:val="009B4E62"/>
    <w:rsid w:val="009B4EC8"/>
    <w:rsid w:val="009B53C6"/>
    <w:rsid w:val="009B540B"/>
    <w:rsid w:val="009B5480"/>
    <w:rsid w:val="009B54E0"/>
    <w:rsid w:val="009B55E8"/>
    <w:rsid w:val="009B567C"/>
    <w:rsid w:val="009B56D7"/>
    <w:rsid w:val="009B56F9"/>
    <w:rsid w:val="009B591D"/>
    <w:rsid w:val="009B5A07"/>
    <w:rsid w:val="009B5BCF"/>
    <w:rsid w:val="009B5C52"/>
    <w:rsid w:val="009B5CD6"/>
    <w:rsid w:val="009B6260"/>
    <w:rsid w:val="009B64A3"/>
    <w:rsid w:val="009B64D1"/>
    <w:rsid w:val="009B6518"/>
    <w:rsid w:val="009B6542"/>
    <w:rsid w:val="009B655D"/>
    <w:rsid w:val="009B6748"/>
    <w:rsid w:val="009B6884"/>
    <w:rsid w:val="009B6BC6"/>
    <w:rsid w:val="009B6D8C"/>
    <w:rsid w:val="009B6EAB"/>
    <w:rsid w:val="009B71C8"/>
    <w:rsid w:val="009B7230"/>
    <w:rsid w:val="009B74D3"/>
    <w:rsid w:val="009B755A"/>
    <w:rsid w:val="009B757A"/>
    <w:rsid w:val="009B7753"/>
    <w:rsid w:val="009B77BF"/>
    <w:rsid w:val="009B7931"/>
    <w:rsid w:val="009B7A7C"/>
    <w:rsid w:val="009B7EB6"/>
    <w:rsid w:val="009B7EDC"/>
    <w:rsid w:val="009C05D1"/>
    <w:rsid w:val="009C065D"/>
    <w:rsid w:val="009C09C4"/>
    <w:rsid w:val="009C0D78"/>
    <w:rsid w:val="009C1307"/>
    <w:rsid w:val="009C130D"/>
    <w:rsid w:val="009C1363"/>
    <w:rsid w:val="009C14A4"/>
    <w:rsid w:val="009C16B9"/>
    <w:rsid w:val="009C18B8"/>
    <w:rsid w:val="009C1A13"/>
    <w:rsid w:val="009C1B3C"/>
    <w:rsid w:val="009C1B99"/>
    <w:rsid w:val="009C1E01"/>
    <w:rsid w:val="009C1E0B"/>
    <w:rsid w:val="009C2198"/>
    <w:rsid w:val="009C2259"/>
    <w:rsid w:val="009C2669"/>
    <w:rsid w:val="009C26C9"/>
    <w:rsid w:val="009C2864"/>
    <w:rsid w:val="009C2871"/>
    <w:rsid w:val="009C2BE4"/>
    <w:rsid w:val="009C2E2D"/>
    <w:rsid w:val="009C2EC7"/>
    <w:rsid w:val="009C2F02"/>
    <w:rsid w:val="009C3488"/>
    <w:rsid w:val="009C3770"/>
    <w:rsid w:val="009C3AD2"/>
    <w:rsid w:val="009C3CEB"/>
    <w:rsid w:val="009C3ED6"/>
    <w:rsid w:val="009C3EEF"/>
    <w:rsid w:val="009C40DA"/>
    <w:rsid w:val="009C42C6"/>
    <w:rsid w:val="009C442C"/>
    <w:rsid w:val="009C4778"/>
    <w:rsid w:val="009C4851"/>
    <w:rsid w:val="009C4884"/>
    <w:rsid w:val="009C49CE"/>
    <w:rsid w:val="009C4A9D"/>
    <w:rsid w:val="009C4AD3"/>
    <w:rsid w:val="009C4B7A"/>
    <w:rsid w:val="009C4BC6"/>
    <w:rsid w:val="009C5084"/>
    <w:rsid w:val="009C509D"/>
    <w:rsid w:val="009C50EA"/>
    <w:rsid w:val="009C5113"/>
    <w:rsid w:val="009C52A7"/>
    <w:rsid w:val="009C5421"/>
    <w:rsid w:val="009C5685"/>
    <w:rsid w:val="009C56C2"/>
    <w:rsid w:val="009C57A4"/>
    <w:rsid w:val="009C57F1"/>
    <w:rsid w:val="009C5A46"/>
    <w:rsid w:val="009C5AAD"/>
    <w:rsid w:val="009C5AFF"/>
    <w:rsid w:val="009C601F"/>
    <w:rsid w:val="009C60E9"/>
    <w:rsid w:val="009C6183"/>
    <w:rsid w:val="009C62F8"/>
    <w:rsid w:val="009C6442"/>
    <w:rsid w:val="009C64F1"/>
    <w:rsid w:val="009C6751"/>
    <w:rsid w:val="009C6847"/>
    <w:rsid w:val="009C6B0E"/>
    <w:rsid w:val="009C6C19"/>
    <w:rsid w:val="009C714C"/>
    <w:rsid w:val="009C73CB"/>
    <w:rsid w:val="009C7527"/>
    <w:rsid w:val="009C7951"/>
    <w:rsid w:val="009C7B7D"/>
    <w:rsid w:val="009C7E32"/>
    <w:rsid w:val="009D02CB"/>
    <w:rsid w:val="009D03E1"/>
    <w:rsid w:val="009D0410"/>
    <w:rsid w:val="009D057F"/>
    <w:rsid w:val="009D0581"/>
    <w:rsid w:val="009D07C3"/>
    <w:rsid w:val="009D0946"/>
    <w:rsid w:val="009D097D"/>
    <w:rsid w:val="009D09FF"/>
    <w:rsid w:val="009D0D3A"/>
    <w:rsid w:val="009D0E0F"/>
    <w:rsid w:val="009D0F03"/>
    <w:rsid w:val="009D15C6"/>
    <w:rsid w:val="009D1729"/>
    <w:rsid w:val="009D17A0"/>
    <w:rsid w:val="009D17B9"/>
    <w:rsid w:val="009D1928"/>
    <w:rsid w:val="009D1A55"/>
    <w:rsid w:val="009D1A67"/>
    <w:rsid w:val="009D1AD7"/>
    <w:rsid w:val="009D1C40"/>
    <w:rsid w:val="009D1ED1"/>
    <w:rsid w:val="009D1F69"/>
    <w:rsid w:val="009D2165"/>
    <w:rsid w:val="009D2187"/>
    <w:rsid w:val="009D233B"/>
    <w:rsid w:val="009D2362"/>
    <w:rsid w:val="009D2398"/>
    <w:rsid w:val="009D23A8"/>
    <w:rsid w:val="009D23F9"/>
    <w:rsid w:val="009D240E"/>
    <w:rsid w:val="009D24AE"/>
    <w:rsid w:val="009D2788"/>
    <w:rsid w:val="009D281E"/>
    <w:rsid w:val="009D2A6D"/>
    <w:rsid w:val="009D2D3C"/>
    <w:rsid w:val="009D2F77"/>
    <w:rsid w:val="009D322D"/>
    <w:rsid w:val="009D346C"/>
    <w:rsid w:val="009D34C2"/>
    <w:rsid w:val="009D38F7"/>
    <w:rsid w:val="009D3DD0"/>
    <w:rsid w:val="009D3EF5"/>
    <w:rsid w:val="009D406F"/>
    <w:rsid w:val="009D4263"/>
    <w:rsid w:val="009D46D7"/>
    <w:rsid w:val="009D478D"/>
    <w:rsid w:val="009D4841"/>
    <w:rsid w:val="009D4A0B"/>
    <w:rsid w:val="009D4ACE"/>
    <w:rsid w:val="009D4E4D"/>
    <w:rsid w:val="009D5037"/>
    <w:rsid w:val="009D545A"/>
    <w:rsid w:val="009D54E8"/>
    <w:rsid w:val="009D558A"/>
    <w:rsid w:val="009D5A21"/>
    <w:rsid w:val="009D5BCD"/>
    <w:rsid w:val="009D5BF0"/>
    <w:rsid w:val="009D5DFA"/>
    <w:rsid w:val="009D5E81"/>
    <w:rsid w:val="009D6321"/>
    <w:rsid w:val="009D6416"/>
    <w:rsid w:val="009D6606"/>
    <w:rsid w:val="009D669A"/>
    <w:rsid w:val="009D66CC"/>
    <w:rsid w:val="009D6ABE"/>
    <w:rsid w:val="009D6B83"/>
    <w:rsid w:val="009D6B9B"/>
    <w:rsid w:val="009D6C0E"/>
    <w:rsid w:val="009D6CDA"/>
    <w:rsid w:val="009D6D44"/>
    <w:rsid w:val="009D6FD6"/>
    <w:rsid w:val="009D7225"/>
    <w:rsid w:val="009D7330"/>
    <w:rsid w:val="009D7392"/>
    <w:rsid w:val="009D76DF"/>
    <w:rsid w:val="009D77BA"/>
    <w:rsid w:val="009D7B18"/>
    <w:rsid w:val="009D7CAA"/>
    <w:rsid w:val="009D7CC3"/>
    <w:rsid w:val="009D7D62"/>
    <w:rsid w:val="009D7EB3"/>
    <w:rsid w:val="009E00EA"/>
    <w:rsid w:val="009E01D7"/>
    <w:rsid w:val="009E02E3"/>
    <w:rsid w:val="009E037D"/>
    <w:rsid w:val="009E0593"/>
    <w:rsid w:val="009E05A9"/>
    <w:rsid w:val="009E0A35"/>
    <w:rsid w:val="009E0CAC"/>
    <w:rsid w:val="009E0CC9"/>
    <w:rsid w:val="009E0F4D"/>
    <w:rsid w:val="009E1035"/>
    <w:rsid w:val="009E10D6"/>
    <w:rsid w:val="009E11F6"/>
    <w:rsid w:val="009E159F"/>
    <w:rsid w:val="009E165F"/>
    <w:rsid w:val="009E1705"/>
    <w:rsid w:val="009E1925"/>
    <w:rsid w:val="009E19A3"/>
    <w:rsid w:val="009E1B04"/>
    <w:rsid w:val="009E1CCF"/>
    <w:rsid w:val="009E1F4C"/>
    <w:rsid w:val="009E1F85"/>
    <w:rsid w:val="009E1FBA"/>
    <w:rsid w:val="009E1FED"/>
    <w:rsid w:val="009E22FA"/>
    <w:rsid w:val="009E23F6"/>
    <w:rsid w:val="009E2D9C"/>
    <w:rsid w:val="009E2E6B"/>
    <w:rsid w:val="009E38A3"/>
    <w:rsid w:val="009E395F"/>
    <w:rsid w:val="009E3C13"/>
    <w:rsid w:val="009E3D5B"/>
    <w:rsid w:val="009E3F46"/>
    <w:rsid w:val="009E3FA9"/>
    <w:rsid w:val="009E3FE7"/>
    <w:rsid w:val="009E44DA"/>
    <w:rsid w:val="009E46F5"/>
    <w:rsid w:val="009E4744"/>
    <w:rsid w:val="009E47E0"/>
    <w:rsid w:val="009E4878"/>
    <w:rsid w:val="009E4B73"/>
    <w:rsid w:val="009E4CB5"/>
    <w:rsid w:val="009E4CBA"/>
    <w:rsid w:val="009E4EC9"/>
    <w:rsid w:val="009E4FA3"/>
    <w:rsid w:val="009E5144"/>
    <w:rsid w:val="009E5276"/>
    <w:rsid w:val="009E5542"/>
    <w:rsid w:val="009E5713"/>
    <w:rsid w:val="009E58B0"/>
    <w:rsid w:val="009E5A15"/>
    <w:rsid w:val="009E5D00"/>
    <w:rsid w:val="009E5D5A"/>
    <w:rsid w:val="009E6380"/>
    <w:rsid w:val="009E655A"/>
    <w:rsid w:val="009E6768"/>
    <w:rsid w:val="009E67C7"/>
    <w:rsid w:val="009E67D2"/>
    <w:rsid w:val="009E67F6"/>
    <w:rsid w:val="009E6876"/>
    <w:rsid w:val="009E698C"/>
    <w:rsid w:val="009E6AE3"/>
    <w:rsid w:val="009E6D30"/>
    <w:rsid w:val="009E6D9E"/>
    <w:rsid w:val="009E6DB6"/>
    <w:rsid w:val="009E7043"/>
    <w:rsid w:val="009E73FE"/>
    <w:rsid w:val="009E7663"/>
    <w:rsid w:val="009E784E"/>
    <w:rsid w:val="009E7D23"/>
    <w:rsid w:val="009E7D45"/>
    <w:rsid w:val="009E7F68"/>
    <w:rsid w:val="009F006E"/>
    <w:rsid w:val="009F00F9"/>
    <w:rsid w:val="009F0265"/>
    <w:rsid w:val="009F02D5"/>
    <w:rsid w:val="009F039C"/>
    <w:rsid w:val="009F0441"/>
    <w:rsid w:val="009F057F"/>
    <w:rsid w:val="009F0630"/>
    <w:rsid w:val="009F0984"/>
    <w:rsid w:val="009F0B36"/>
    <w:rsid w:val="009F0B42"/>
    <w:rsid w:val="009F0F20"/>
    <w:rsid w:val="009F1137"/>
    <w:rsid w:val="009F1180"/>
    <w:rsid w:val="009F164C"/>
    <w:rsid w:val="009F16A3"/>
    <w:rsid w:val="009F1710"/>
    <w:rsid w:val="009F1758"/>
    <w:rsid w:val="009F18E3"/>
    <w:rsid w:val="009F195F"/>
    <w:rsid w:val="009F1AA5"/>
    <w:rsid w:val="009F1C84"/>
    <w:rsid w:val="009F1DC3"/>
    <w:rsid w:val="009F1F0B"/>
    <w:rsid w:val="009F20E0"/>
    <w:rsid w:val="009F2114"/>
    <w:rsid w:val="009F21A5"/>
    <w:rsid w:val="009F2262"/>
    <w:rsid w:val="009F227A"/>
    <w:rsid w:val="009F2326"/>
    <w:rsid w:val="009F26E4"/>
    <w:rsid w:val="009F283B"/>
    <w:rsid w:val="009F28E2"/>
    <w:rsid w:val="009F299F"/>
    <w:rsid w:val="009F2C2D"/>
    <w:rsid w:val="009F2DBE"/>
    <w:rsid w:val="009F3315"/>
    <w:rsid w:val="009F3377"/>
    <w:rsid w:val="009F3683"/>
    <w:rsid w:val="009F3899"/>
    <w:rsid w:val="009F3BCC"/>
    <w:rsid w:val="009F3D31"/>
    <w:rsid w:val="009F3FC1"/>
    <w:rsid w:val="009F40F0"/>
    <w:rsid w:val="009F4171"/>
    <w:rsid w:val="009F42B9"/>
    <w:rsid w:val="009F42E8"/>
    <w:rsid w:val="009F441E"/>
    <w:rsid w:val="009F4583"/>
    <w:rsid w:val="009F45E0"/>
    <w:rsid w:val="009F4701"/>
    <w:rsid w:val="009F4749"/>
    <w:rsid w:val="009F47CE"/>
    <w:rsid w:val="009F49B0"/>
    <w:rsid w:val="009F4A66"/>
    <w:rsid w:val="009F4ADA"/>
    <w:rsid w:val="009F4BA8"/>
    <w:rsid w:val="009F4BFE"/>
    <w:rsid w:val="009F4ECC"/>
    <w:rsid w:val="009F55B2"/>
    <w:rsid w:val="009F5858"/>
    <w:rsid w:val="009F5A71"/>
    <w:rsid w:val="009F5ADA"/>
    <w:rsid w:val="009F5E95"/>
    <w:rsid w:val="009F5F7B"/>
    <w:rsid w:val="009F6239"/>
    <w:rsid w:val="009F6658"/>
    <w:rsid w:val="009F66B6"/>
    <w:rsid w:val="009F66BE"/>
    <w:rsid w:val="009F6846"/>
    <w:rsid w:val="009F6A0D"/>
    <w:rsid w:val="009F6AB8"/>
    <w:rsid w:val="009F6BF2"/>
    <w:rsid w:val="009F6C05"/>
    <w:rsid w:val="009F6FB2"/>
    <w:rsid w:val="009F7089"/>
    <w:rsid w:val="009F7100"/>
    <w:rsid w:val="009F7294"/>
    <w:rsid w:val="009F72D5"/>
    <w:rsid w:val="009F734C"/>
    <w:rsid w:val="009F7416"/>
    <w:rsid w:val="009F7466"/>
    <w:rsid w:val="009F746A"/>
    <w:rsid w:val="009F746E"/>
    <w:rsid w:val="009F76A9"/>
    <w:rsid w:val="009F7AEA"/>
    <w:rsid w:val="009F7C9B"/>
    <w:rsid w:val="009F7C9C"/>
    <w:rsid w:val="009F7E8C"/>
    <w:rsid w:val="009F7FB3"/>
    <w:rsid w:val="00A001B2"/>
    <w:rsid w:val="00A0062E"/>
    <w:rsid w:val="00A006B3"/>
    <w:rsid w:val="00A00B1C"/>
    <w:rsid w:val="00A00BA5"/>
    <w:rsid w:val="00A00EAF"/>
    <w:rsid w:val="00A01005"/>
    <w:rsid w:val="00A0106E"/>
    <w:rsid w:val="00A017A8"/>
    <w:rsid w:val="00A01AAD"/>
    <w:rsid w:val="00A01B15"/>
    <w:rsid w:val="00A01B35"/>
    <w:rsid w:val="00A01BA3"/>
    <w:rsid w:val="00A01EAA"/>
    <w:rsid w:val="00A024D7"/>
    <w:rsid w:val="00A02718"/>
    <w:rsid w:val="00A028E5"/>
    <w:rsid w:val="00A02B53"/>
    <w:rsid w:val="00A02B81"/>
    <w:rsid w:val="00A02F04"/>
    <w:rsid w:val="00A02FD1"/>
    <w:rsid w:val="00A02FFA"/>
    <w:rsid w:val="00A030FD"/>
    <w:rsid w:val="00A0313B"/>
    <w:rsid w:val="00A03225"/>
    <w:rsid w:val="00A03560"/>
    <w:rsid w:val="00A03595"/>
    <w:rsid w:val="00A03634"/>
    <w:rsid w:val="00A03917"/>
    <w:rsid w:val="00A03A2A"/>
    <w:rsid w:val="00A03AA8"/>
    <w:rsid w:val="00A03B0F"/>
    <w:rsid w:val="00A03D76"/>
    <w:rsid w:val="00A03F67"/>
    <w:rsid w:val="00A04089"/>
    <w:rsid w:val="00A04128"/>
    <w:rsid w:val="00A041E7"/>
    <w:rsid w:val="00A0425B"/>
    <w:rsid w:val="00A043C2"/>
    <w:rsid w:val="00A046B5"/>
    <w:rsid w:val="00A046FE"/>
    <w:rsid w:val="00A04712"/>
    <w:rsid w:val="00A04B73"/>
    <w:rsid w:val="00A04CFA"/>
    <w:rsid w:val="00A04D38"/>
    <w:rsid w:val="00A04D9F"/>
    <w:rsid w:val="00A04EFC"/>
    <w:rsid w:val="00A04FDA"/>
    <w:rsid w:val="00A05069"/>
    <w:rsid w:val="00A050D7"/>
    <w:rsid w:val="00A052C8"/>
    <w:rsid w:val="00A0534B"/>
    <w:rsid w:val="00A05837"/>
    <w:rsid w:val="00A059CA"/>
    <w:rsid w:val="00A05A1B"/>
    <w:rsid w:val="00A05B77"/>
    <w:rsid w:val="00A05E46"/>
    <w:rsid w:val="00A0638A"/>
    <w:rsid w:val="00A064D2"/>
    <w:rsid w:val="00A069D1"/>
    <w:rsid w:val="00A06A17"/>
    <w:rsid w:val="00A06D0B"/>
    <w:rsid w:val="00A06E2E"/>
    <w:rsid w:val="00A06FED"/>
    <w:rsid w:val="00A070B7"/>
    <w:rsid w:val="00A071D1"/>
    <w:rsid w:val="00A074B6"/>
    <w:rsid w:val="00A074B7"/>
    <w:rsid w:val="00A07799"/>
    <w:rsid w:val="00A077E7"/>
    <w:rsid w:val="00A07991"/>
    <w:rsid w:val="00A079A5"/>
    <w:rsid w:val="00A07ACD"/>
    <w:rsid w:val="00A07B27"/>
    <w:rsid w:val="00A07C0E"/>
    <w:rsid w:val="00A07CB4"/>
    <w:rsid w:val="00A07D86"/>
    <w:rsid w:val="00A07F1F"/>
    <w:rsid w:val="00A1008B"/>
    <w:rsid w:val="00A10167"/>
    <w:rsid w:val="00A10272"/>
    <w:rsid w:val="00A103C4"/>
    <w:rsid w:val="00A1043C"/>
    <w:rsid w:val="00A104CE"/>
    <w:rsid w:val="00A1056E"/>
    <w:rsid w:val="00A106AC"/>
    <w:rsid w:val="00A10824"/>
    <w:rsid w:val="00A1092B"/>
    <w:rsid w:val="00A109A6"/>
    <w:rsid w:val="00A10CDE"/>
    <w:rsid w:val="00A10D75"/>
    <w:rsid w:val="00A10EF0"/>
    <w:rsid w:val="00A11093"/>
    <w:rsid w:val="00A1135A"/>
    <w:rsid w:val="00A113D9"/>
    <w:rsid w:val="00A11545"/>
    <w:rsid w:val="00A11AAD"/>
    <w:rsid w:val="00A11D3C"/>
    <w:rsid w:val="00A11DDC"/>
    <w:rsid w:val="00A11EAA"/>
    <w:rsid w:val="00A1231E"/>
    <w:rsid w:val="00A1280D"/>
    <w:rsid w:val="00A1283B"/>
    <w:rsid w:val="00A12DE8"/>
    <w:rsid w:val="00A12F1D"/>
    <w:rsid w:val="00A12FE0"/>
    <w:rsid w:val="00A13377"/>
    <w:rsid w:val="00A1344C"/>
    <w:rsid w:val="00A1353D"/>
    <w:rsid w:val="00A139FC"/>
    <w:rsid w:val="00A13A89"/>
    <w:rsid w:val="00A13CDD"/>
    <w:rsid w:val="00A13DB5"/>
    <w:rsid w:val="00A13E76"/>
    <w:rsid w:val="00A1407B"/>
    <w:rsid w:val="00A141CA"/>
    <w:rsid w:val="00A143E1"/>
    <w:rsid w:val="00A143F0"/>
    <w:rsid w:val="00A14571"/>
    <w:rsid w:val="00A14598"/>
    <w:rsid w:val="00A14649"/>
    <w:rsid w:val="00A14748"/>
    <w:rsid w:val="00A147E5"/>
    <w:rsid w:val="00A14887"/>
    <w:rsid w:val="00A14DE8"/>
    <w:rsid w:val="00A150BE"/>
    <w:rsid w:val="00A15165"/>
    <w:rsid w:val="00A1522B"/>
    <w:rsid w:val="00A15246"/>
    <w:rsid w:val="00A152E5"/>
    <w:rsid w:val="00A152F1"/>
    <w:rsid w:val="00A1542A"/>
    <w:rsid w:val="00A155FD"/>
    <w:rsid w:val="00A15AFB"/>
    <w:rsid w:val="00A15BD1"/>
    <w:rsid w:val="00A15E85"/>
    <w:rsid w:val="00A15F04"/>
    <w:rsid w:val="00A15F6E"/>
    <w:rsid w:val="00A160A9"/>
    <w:rsid w:val="00A16114"/>
    <w:rsid w:val="00A16270"/>
    <w:rsid w:val="00A165E2"/>
    <w:rsid w:val="00A16746"/>
    <w:rsid w:val="00A1678E"/>
    <w:rsid w:val="00A1680D"/>
    <w:rsid w:val="00A168D9"/>
    <w:rsid w:val="00A1693D"/>
    <w:rsid w:val="00A169E7"/>
    <w:rsid w:val="00A16A45"/>
    <w:rsid w:val="00A16AEB"/>
    <w:rsid w:val="00A16CA1"/>
    <w:rsid w:val="00A16CB4"/>
    <w:rsid w:val="00A16E47"/>
    <w:rsid w:val="00A16EA7"/>
    <w:rsid w:val="00A16FBB"/>
    <w:rsid w:val="00A1716C"/>
    <w:rsid w:val="00A1749D"/>
    <w:rsid w:val="00A17623"/>
    <w:rsid w:val="00A1765A"/>
    <w:rsid w:val="00A176FF"/>
    <w:rsid w:val="00A179CA"/>
    <w:rsid w:val="00A17A6F"/>
    <w:rsid w:val="00A17CC1"/>
    <w:rsid w:val="00A17D17"/>
    <w:rsid w:val="00A20584"/>
    <w:rsid w:val="00A206FE"/>
    <w:rsid w:val="00A20AF1"/>
    <w:rsid w:val="00A20B59"/>
    <w:rsid w:val="00A21028"/>
    <w:rsid w:val="00A21102"/>
    <w:rsid w:val="00A212CF"/>
    <w:rsid w:val="00A216E0"/>
    <w:rsid w:val="00A21815"/>
    <w:rsid w:val="00A21850"/>
    <w:rsid w:val="00A2190F"/>
    <w:rsid w:val="00A21962"/>
    <w:rsid w:val="00A21B20"/>
    <w:rsid w:val="00A21D6F"/>
    <w:rsid w:val="00A21DA9"/>
    <w:rsid w:val="00A21DDD"/>
    <w:rsid w:val="00A21EDD"/>
    <w:rsid w:val="00A22037"/>
    <w:rsid w:val="00A2223E"/>
    <w:rsid w:val="00A222CC"/>
    <w:rsid w:val="00A223C5"/>
    <w:rsid w:val="00A225BF"/>
    <w:rsid w:val="00A2264A"/>
    <w:rsid w:val="00A2281B"/>
    <w:rsid w:val="00A22BA1"/>
    <w:rsid w:val="00A22EB1"/>
    <w:rsid w:val="00A22FFF"/>
    <w:rsid w:val="00A2320C"/>
    <w:rsid w:val="00A233AA"/>
    <w:rsid w:val="00A233E2"/>
    <w:rsid w:val="00A23718"/>
    <w:rsid w:val="00A23764"/>
    <w:rsid w:val="00A23775"/>
    <w:rsid w:val="00A238F3"/>
    <w:rsid w:val="00A23AB0"/>
    <w:rsid w:val="00A23CA0"/>
    <w:rsid w:val="00A23F01"/>
    <w:rsid w:val="00A23FA3"/>
    <w:rsid w:val="00A241A2"/>
    <w:rsid w:val="00A24949"/>
    <w:rsid w:val="00A24990"/>
    <w:rsid w:val="00A24AA2"/>
    <w:rsid w:val="00A2507A"/>
    <w:rsid w:val="00A25747"/>
    <w:rsid w:val="00A25CB1"/>
    <w:rsid w:val="00A25D3B"/>
    <w:rsid w:val="00A25D4B"/>
    <w:rsid w:val="00A25E63"/>
    <w:rsid w:val="00A263C5"/>
    <w:rsid w:val="00A26698"/>
    <w:rsid w:val="00A266C5"/>
    <w:rsid w:val="00A26704"/>
    <w:rsid w:val="00A26778"/>
    <w:rsid w:val="00A26B02"/>
    <w:rsid w:val="00A26B03"/>
    <w:rsid w:val="00A26C43"/>
    <w:rsid w:val="00A26D60"/>
    <w:rsid w:val="00A26D63"/>
    <w:rsid w:val="00A26E70"/>
    <w:rsid w:val="00A2712F"/>
    <w:rsid w:val="00A2713F"/>
    <w:rsid w:val="00A27303"/>
    <w:rsid w:val="00A27448"/>
    <w:rsid w:val="00A278DB"/>
    <w:rsid w:val="00A27932"/>
    <w:rsid w:val="00A27A9A"/>
    <w:rsid w:val="00A27D9E"/>
    <w:rsid w:val="00A300AF"/>
    <w:rsid w:val="00A300E5"/>
    <w:rsid w:val="00A3020D"/>
    <w:rsid w:val="00A3026A"/>
    <w:rsid w:val="00A3052D"/>
    <w:rsid w:val="00A30754"/>
    <w:rsid w:val="00A308B2"/>
    <w:rsid w:val="00A309C6"/>
    <w:rsid w:val="00A309CD"/>
    <w:rsid w:val="00A30BC0"/>
    <w:rsid w:val="00A30BC6"/>
    <w:rsid w:val="00A30C55"/>
    <w:rsid w:val="00A30D28"/>
    <w:rsid w:val="00A30F98"/>
    <w:rsid w:val="00A31139"/>
    <w:rsid w:val="00A3115A"/>
    <w:rsid w:val="00A311FD"/>
    <w:rsid w:val="00A313F8"/>
    <w:rsid w:val="00A3144A"/>
    <w:rsid w:val="00A314FE"/>
    <w:rsid w:val="00A31657"/>
    <w:rsid w:val="00A31734"/>
    <w:rsid w:val="00A31778"/>
    <w:rsid w:val="00A317A3"/>
    <w:rsid w:val="00A3187D"/>
    <w:rsid w:val="00A31BFB"/>
    <w:rsid w:val="00A31C8F"/>
    <w:rsid w:val="00A31D17"/>
    <w:rsid w:val="00A31D6A"/>
    <w:rsid w:val="00A31EA8"/>
    <w:rsid w:val="00A31F7E"/>
    <w:rsid w:val="00A320F5"/>
    <w:rsid w:val="00A32148"/>
    <w:rsid w:val="00A3227D"/>
    <w:rsid w:val="00A324CD"/>
    <w:rsid w:val="00A32559"/>
    <w:rsid w:val="00A32664"/>
    <w:rsid w:val="00A326F2"/>
    <w:rsid w:val="00A3273C"/>
    <w:rsid w:val="00A3277F"/>
    <w:rsid w:val="00A32AFC"/>
    <w:rsid w:val="00A32E4E"/>
    <w:rsid w:val="00A33019"/>
    <w:rsid w:val="00A3301F"/>
    <w:rsid w:val="00A331B4"/>
    <w:rsid w:val="00A33307"/>
    <w:rsid w:val="00A333F6"/>
    <w:rsid w:val="00A3358F"/>
    <w:rsid w:val="00A336E7"/>
    <w:rsid w:val="00A3377D"/>
    <w:rsid w:val="00A33BAE"/>
    <w:rsid w:val="00A33D3C"/>
    <w:rsid w:val="00A33D71"/>
    <w:rsid w:val="00A33E3E"/>
    <w:rsid w:val="00A33F9C"/>
    <w:rsid w:val="00A34214"/>
    <w:rsid w:val="00A3430F"/>
    <w:rsid w:val="00A3443F"/>
    <w:rsid w:val="00A34538"/>
    <w:rsid w:val="00A347CC"/>
    <w:rsid w:val="00A347E9"/>
    <w:rsid w:val="00A34882"/>
    <w:rsid w:val="00A349DD"/>
    <w:rsid w:val="00A349E0"/>
    <w:rsid w:val="00A34AF7"/>
    <w:rsid w:val="00A34D12"/>
    <w:rsid w:val="00A354E8"/>
    <w:rsid w:val="00A3551B"/>
    <w:rsid w:val="00A3553E"/>
    <w:rsid w:val="00A35750"/>
    <w:rsid w:val="00A357C1"/>
    <w:rsid w:val="00A358C4"/>
    <w:rsid w:val="00A35ACA"/>
    <w:rsid w:val="00A35B65"/>
    <w:rsid w:val="00A35F88"/>
    <w:rsid w:val="00A362F5"/>
    <w:rsid w:val="00A36400"/>
    <w:rsid w:val="00A3647F"/>
    <w:rsid w:val="00A36493"/>
    <w:rsid w:val="00A3662E"/>
    <w:rsid w:val="00A36842"/>
    <w:rsid w:val="00A368CA"/>
    <w:rsid w:val="00A36BDD"/>
    <w:rsid w:val="00A36C43"/>
    <w:rsid w:val="00A36C9C"/>
    <w:rsid w:val="00A36F7F"/>
    <w:rsid w:val="00A37219"/>
    <w:rsid w:val="00A372A5"/>
    <w:rsid w:val="00A37375"/>
    <w:rsid w:val="00A37574"/>
    <w:rsid w:val="00A37606"/>
    <w:rsid w:val="00A37A7F"/>
    <w:rsid w:val="00A37CBD"/>
    <w:rsid w:val="00A37E02"/>
    <w:rsid w:val="00A37E66"/>
    <w:rsid w:val="00A40325"/>
    <w:rsid w:val="00A40578"/>
    <w:rsid w:val="00A4089E"/>
    <w:rsid w:val="00A409FF"/>
    <w:rsid w:val="00A40C16"/>
    <w:rsid w:val="00A40C27"/>
    <w:rsid w:val="00A40DD0"/>
    <w:rsid w:val="00A40E3D"/>
    <w:rsid w:val="00A40FE5"/>
    <w:rsid w:val="00A4103C"/>
    <w:rsid w:val="00A4109C"/>
    <w:rsid w:val="00A410C4"/>
    <w:rsid w:val="00A4142B"/>
    <w:rsid w:val="00A414A9"/>
    <w:rsid w:val="00A414DD"/>
    <w:rsid w:val="00A4155F"/>
    <w:rsid w:val="00A415E6"/>
    <w:rsid w:val="00A41726"/>
    <w:rsid w:val="00A41980"/>
    <w:rsid w:val="00A41984"/>
    <w:rsid w:val="00A41A0F"/>
    <w:rsid w:val="00A41B00"/>
    <w:rsid w:val="00A41D03"/>
    <w:rsid w:val="00A42026"/>
    <w:rsid w:val="00A4217C"/>
    <w:rsid w:val="00A42463"/>
    <w:rsid w:val="00A427D6"/>
    <w:rsid w:val="00A428E1"/>
    <w:rsid w:val="00A428FB"/>
    <w:rsid w:val="00A42A68"/>
    <w:rsid w:val="00A42AF7"/>
    <w:rsid w:val="00A42AFB"/>
    <w:rsid w:val="00A42BED"/>
    <w:rsid w:val="00A42D88"/>
    <w:rsid w:val="00A42DBC"/>
    <w:rsid w:val="00A42E93"/>
    <w:rsid w:val="00A42EFE"/>
    <w:rsid w:val="00A430F7"/>
    <w:rsid w:val="00A43242"/>
    <w:rsid w:val="00A4327B"/>
    <w:rsid w:val="00A43E70"/>
    <w:rsid w:val="00A43EF4"/>
    <w:rsid w:val="00A44066"/>
    <w:rsid w:val="00A442C2"/>
    <w:rsid w:val="00A445E5"/>
    <w:rsid w:val="00A44625"/>
    <w:rsid w:val="00A449EB"/>
    <w:rsid w:val="00A44BEC"/>
    <w:rsid w:val="00A44C91"/>
    <w:rsid w:val="00A44EA7"/>
    <w:rsid w:val="00A44ED4"/>
    <w:rsid w:val="00A451A0"/>
    <w:rsid w:val="00A453D0"/>
    <w:rsid w:val="00A4542B"/>
    <w:rsid w:val="00A45834"/>
    <w:rsid w:val="00A4585C"/>
    <w:rsid w:val="00A45D10"/>
    <w:rsid w:val="00A45FF3"/>
    <w:rsid w:val="00A46320"/>
    <w:rsid w:val="00A46391"/>
    <w:rsid w:val="00A464C8"/>
    <w:rsid w:val="00A466D8"/>
    <w:rsid w:val="00A467F2"/>
    <w:rsid w:val="00A46811"/>
    <w:rsid w:val="00A46B5F"/>
    <w:rsid w:val="00A46C71"/>
    <w:rsid w:val="00A46E62"/>
    <w:rsid w:val="00A46EB6"/>
    <w:rsid w:val="00A47237"/>
    <w:rsid w:val="00A47281"/>
    <w:rsid w:val="00A4765F"/>
    <w:rsid w:val="00A47673"/>
    <w:rsid w:val="00A47868"/>
    <w:rsid w:val="00A478B9"/>
    <w:rsid w:val="00A47AE6"/>
    <w:rsid w:val="00A47B26"/>
    <w:rsid w:val="00A47BF1"/>
    <w:rsid w:val="00A47C8B"/>
    <w:rsid w:val="00A47CD5"/>
    <w:rsid w:val="00A47D63"/>
    <w:rsid w:val="00A47D99"/>
    <w:rsid w:val="00A47DC0"/>
    <w:rsid w:val="00A47ECE"/>
    <w:rsid w:val="00A50062"/>
    <w:rsid w:val="00A500D3"/>
    <w:rsid w:val="00A50328"/>
    <w:rsid w:val="00A503FB"/>
    <w:rsid w:val="00A504C0"/>
    <w:rsid w:val="00A505DE"/>
    <w:rsid w:val="00A50881"/>
    <w:rsid w:val="00A509F3"/>
    <w:rsid w:val="00A50ADC"/>
    <w:rsid w:val="00A50C14"/>
    <w:rsid w:val="00A50CDF"/>
    <w:rsid w:val="00A50D3F"/>
    <w:rsid w:val="00A50D81"/>
    <w:rsid w:val="00A50D97"/>
    <w:rsid w:val="00A50DBB"/>
    <w:rsid w:val="00A50E04"/>
    <w:rsid w:val="00A5102B"/>
    <w:rsid w:val="00A51164"/>
    <w:rsid w:val="00A511B9"/>
    <w:rsid w:val="00A512FB"/>
    <w:rsid w:val="00A51719"/>
    <w:rsid w:val="00A517BF"/>
    <w:rsid w:val="00A51818"/>
    <w:rsid w:val="00A5195D"/>
    <w:rsid w:val="00A51A3F"/>
    <w:rsid w:val="00A51ADB"/>
    <w:rsid w:val="00A52474"/>
    <w:rsid w:val="00A525F4"/>
    <w:rsid w:val="00A52857"/>
    <w:rsid w:val="00A529E8"/>
    <w:rsid w:val="00A52C21"/>
    <w:rsid w:val="00A5301B"/>
    <w:rsid w:val="00A5314F"/>
    <w:rsid w:val="00A531BB"/>
    <w:rsid w:val="00A5327C"/>
    <w:rsid w:val="00A5331B"/>
    <w:rsid w:val="00A5342C"/>
    <w:rsid w:val="00A53803"/>
    <w:rsid w:val="00A53A7F"/>
    <w:rsid w:val="00A53AE7"/>
    <w:rsid w:val="00A53B63"/>
    <w:rsid w:val="00A53BAE"/>
    <w:rsid w:val="00A53D07"/>
    <w:rsid w:val="00A53F6A"/>
    <w:rsid w:val="00A54056"/>
    <w:rsid w:val="00A54321"/>
    <w:rsid w:val="00A543D8"/>
    <w:rsid w:val="00A543E0"/>
    <w:rsid w:val="00A54439"/>
    <w:rsid w:val="00A5450E"/>
    <w:rsid w:val="00A549D3"/>
    <w:rsid w:val="00A549DA"/>
    <w:rsid w:val="00A54C02"/>
    <w:rsid w:val="00A54F8E"/>
    <w:rsid w:val="00A54FC1"/>
    <w:rsid w:val="00A5501F"/>
    <w:rsid w:val="00A55319"/>
    <w:rsid w:val="00A55399"/>
    <w:rsid w:val="00A553A3"/>
    <w:rsid w:val="00A55507"/>
    <w:rsid w:val="00A557EB"/>
    <w:rsid w:val="00A558F9"/>
    <w:rsid w:val="00A55A09"/>
    <w:rsid w:val="00A55AB7"/>
    <w:rsid w:val="00A55B2C"/>
    <w:rsid w:val="00A563AF"/>
    <w:rsid w:val="00A5688B"/>
    <w:rsid w:val="00A56A1B"/>
    <w:rsid w:val="00A56A27"/>
    <w:rsid w:val="00A56A43"/>
    <w:rsid w:val="00A56AC3"/>
    <w:rsid w:val="00A56AC6"/>
    <w:rsid w:val="00A56AC9"/>
    <w:rsid w:val="00A56C71"/>
    <w:rsid w:val="00A56D89"/>
    <w:rsid w:val="00A56ED9"/>
    <w:rsid w:val="00A5721C"/>
    <w:rsid w:val="00A57434"/>
    <w:rsid w:val="00A574FA"/>
    <w:rsid w:val="00A5775F"/>
    <w:rsid w:val="00A57EB4"/>
    <w:rsid w:val="00A60563"/>
    <w:rsid w:val="00A607CA"/>
    <w:rsid w:val="00A60A26"/>
    <w:rsid w:val="00A60BB9"/>
    <w:rsid w:val="00A60C97"/>
    <w:rsid w:val="00A60CF4"/>
    <w:rsid w:val="00A611D9"/>
    <w:rsid w:val="00A61239"/>
    <w:rsid w:val="00A613B0"/>
    <w:rsid w:val="00A61446"/>
    <w:rsid w:val="00A6146C"/>
    <w:rsid w:val="00A614EB"/>
    <w:rsid w:val="00A614EC"/>
    <w:rsid w:val="00A6165A"/>
    <w:rsid w:val="00A61705"/>
    <w:rsid w:val="00A61AC4"/>
    <w:rsid w:val="00A61BDC"/>
    <w:rsid w:val="00A61BDF"/>
    <w:rsid w:val="00A61E6C"/>
    <w:rsid w:val="00A61F47"/>
    <w:rsid w:val="00A62062"/>
    <w:rsid w:val="00A6211E"/>
    <w:rsid w:val="00A62293"/>
    <w:rsid w:val="00A62392"/>
    <w:rsid w:val="00A62552"/>
    <w:rsid w:val="00A625DE"/>
    <w:rsid w:val="00A62717"/>
    <w:rsid w:val="00A62781"/>
    <w:rsid w:val="00A627ED"/>
    <w:rsid w:val="00A627EF"/>
    <w:rsid w:val="00A628D4"/>
    <w:rsid w:val="00A62D5D"/>
    <w:rsid w:val="00A62FC9"/>
    <w:rsid w:val="00A6304E"/>
    <w:rsid w:val="00A6318B"/>
    <w:rsid w:val="00A631F7"/>
    <w:rsid w:val="00A6325A"/>
    <w:rsid w:val="00A633C9"/>
    <w:rsid w:val="00A63410"/>
    <w:rsid w:val="00A63500"/>
    <w:rsid w:val="00A6360F"/>
    <w:rsid w:val="00A6383A"/>
    <w:rsid w:val="00A63AD0"/>
    <w:rsid w:val="00A63C0C"/>
    <w:rsid w:val="00A63D22"/>
    <w:rsid w:val="00A63F85"/>
    <w:rsid w:val="00A64125"/>
    <w:rsid w:val="00A64294"/>
    <w:rsid w:val="00A64455"/>
    <w:rsid w:val="00A64769"/>
    <w:rsid w:val="00A64974"/>
    <w:rsid w:val="00A64CFA"/>
    <w:rsid w:val="00A64D22"/>
    <w:rsid w:val="00A64E89"/>
    <w:rsid w:val="00A65106"/>
    <w:rsid w:val="00A654E7"/>
    <w:rsid w:val="00A65838"/>
    <w:rsid w:val="00A6591E"/>
    <w:rsid w:val="00A65A6B"/>
    <w:rsid w:val="00A65B63"/>
    <w:rsid w:val="00A65C97"/>
    <w:rsid w:val="00A65DAD"/>
    <w:rsid w:val="00A65E23"/>
    <w:rsid w:val="00A6608F"/>
    <w:rsid w:val="00A661CC"/>
    <w:rsid w:val="00A66234"/>
    <w:rsid w:val="00A6633A"/>
    <w:rsid w:val="00A666BE"/>
    <w:rsid w:val="00A66B31"/>
    <w:rsid w:val="00A66C65"/>
    <w:rsid w:val="00A66D34"/>
    <w:rsid w:val="00A66DE4"/>
    <w:rsid w:val="00A66E39"/>
    <w:rsid w:val="00A67034"/>
    <w:rsid w:val="00A6708C"/>
    <w:rsid w:val="00A67215"/>
    <w:rsid w:val="00A67286"/>
    <w:rsid w:val="00A67738"/>
    <w:rsid w:val="00A67913"/>
    <w:rsid w:val="00A67969"/>
    <w:rsid w:val="00A67A73"/>
    <w:rsid w:val="00A67B01"/>
    <w:rsid w:val="00A67B22"/>
    <w:rsid w:val="00A67D3B"/>
    <w:rsid w:val="00A67DAB"/>
    <w:rsid w:val="00A67ED8"/>
    <w:rsid w:val="00A67FEA"/>
    <w:rsid w:val="00A70878"/>
    <w:rsid w:val="00A7092B"/>
    <w:rsid w:val="00A709C3"/>
    <w:rsid w:val="00A70A19"/>
    <w:rsid w:val="00A70B07"/>
    <w:rsid w:val="00A70C06"/>
    <w:rsid w:val="00A70D18"/>
    <w:rsid w:val="00A70EC5"/>
    <w:rsid w:val="00A70F62"/>
    <w:rsid w:val="00A7113E"/>
    <w:rsid w:val="00A71179"/>
    <w:rsid w:val="00A713D0"/>
    <w:rsid w:val="00A714B5"/>
    <w:rsid w:val="00A714FB"/>
    <w:rsid w:val="00A716BA"/>
    <w:rsid w:val="00A71A6C"/>
    <w:rsid w:val="00A71AAA"/>
    <w:rsid w:val="00A71D19"/>
    <w:rsid w:val="00A71E1C"/>
    <w:rsid w:val="00A72252"/>
    <w:rsid w:val="00A722A2"/>
    <w:rsid w:val="00A72432"/>
    <w:rsid w:val="00A72C4D"/>
    <w:rsid w:val="00A7306D"/>
    <w:rsid w:val="00A730B7"/>
    <w:rsid w:val="00A73143"/>
    <w:rsid w:val="00A73188"/>
    <w:rsid w:val="00A732EA"/>
    <w:rsid w:val="00A73704"/>
    <w:rsid w:val="00A7391E"/>
    <w:rsid w:val="00A73B43"/>
    <w:rsid w:val="00A73C52"/>
    <w:rsid w:val="00A73E86"/>
    <w:rsid w:val="00A73F8A"/>
    <w:rsid w:val="00A73FA8"/>
    <w:rsid w:val="00A73FBA"/>
    <w:rsid w:val="00A74064"/>
    <w:rsid w:val="00A74260"/>
    <w:rsid w:val="00A743F8"/>
    <w:rsid w:val="00A74422"/>
    <w:rsid w:val="00A74496"/>
    <w:rsid w:val="00A74599"/>
    <w:rsid w:val="00A7483E"/>
    <w:rsid w:val="00A748F0"/>
    <w:rsid w:val="00A74934"/>
    <w:rsid w:val="00A74B9B"/>
    <w:rsid w:val="00A74D17"/>
    <w:rsid w:val="00A74D60"/>
    <w:rsid w:val="00A74F50"/>
    <w:rsid w:val="00A750EE"/>
    <w:rsid w:val="00A750FA"/>
    <w:rsid w:val="00A752A8"/>
    <w:rsid w:val="00A753A5"/>
    <w:rsid w:val="00A75892"/>
    <w:rsid w:val="00A759D5"/>
    <w:rsid w:val="00A75A1F"/>
    <w:rsid w:val="00A75A9A"/>
    <w:rsid w:val="00A75E0A"/>
    <w:rsid w:val="00A75EDB"/>
    <w:rsid w:val="00A76049"/>
    <w:rsid w:val="00A761CA"/>
    <w:rsid w:val="00A763D7"/>
    <w:rsid w:val="00A76522"/>
    <w:rsid w:val="00A766E4"/>
    <w:rsid w:val="00A766FF"/>
    <w:rsid w:val="00A76949"/>
    <w:rsid w:val="00A769F5"/>
    <w:rsid w:val="00A76A81"/>
    <w:rsid w:val="00A76BFF"/>
    <w:rsid w:val="00A76DF4"/>
    <w:rsid w:val="00A771BD"/>
    <w:rsid w:val="00A77A13"/>
    <w:rsid w:val="00A77C21"/>
    <w:rsid w:val="00A77D6D"/>
    <w:rsid w:val="00A77F6F"/>
    <w:rsid w:val="00A800F4"/>
    <w:rsid w:val="00A80115"/>
    <w:rsid w:val="00A8014C"/>
    <w:rsid w:val="00A80788"/>
    <w:rsid w:val="00A8078F"/>
    <w:rsid w:val="00A80824"/>
    <w:rsid w:val="00A808DB"/>
    <w:rsid w:val="00A80B2C"/>
    <w:rsid w:val="00A80B3C"/>
    <w:rsid w:val="00A80BAA"/>
    <w:rsid w:val="00A80C54"/>
    <w:rsid w:val="00A80D7D"/>
    <w:rsid w:val="00A80E52"/>
    <w:rsid w:val="00A80E71"/>
    <w:rsid w:val="00A80FF2"/>
    <w:rsid w:val="00A8122F"/>
    <w:rsid w:val="00A81252"/>
    <w:rsid w:val="00A812FC"/>
    <w:rsid w:val="00A814BB"/>
    <w:rsid w:val="00A81818"/>
    <w:rsid w:val="00A81A94"/>
    <w:rsid w:val="00A81D28"/>
    <w:rsid w:val="00A81D45"/>
    <w:rsid w:val="00A81F77"/>
    <w:rsid w:val="00A8223B"/>
    <w:rsid w:val="00A823B9"/>
    <w:rsid w:val="00A82534"/>
    <w:rsid w:val="00A8259B"/>
    <w:rsid w:val="00A8259C"/>
    <w:rsid w:val="00A8279A"/>
    <w:rsid w:val="00A82878"/>
    <w:rsid w:val="00A82948"/>
    <w:rsid w:val="00A82A82"/>
    <w:rsid w:val="00A82BA1"/>
    <w:rsid w:val="00A82BE0"/>
    <w:rsid w:val="00A82C5B"/>
    <w:rsid w:val="00A82D2C"/>
    <w:rsid w:val="00A82D8E"/>
    <w:rsid w:val="00A8329D"/>
    <w:rsid w:val="00A833ED"/>
    <w:rsid w:val="00A8364E"/>
    <w:rsid w:val="00A836A4"/>
    <w:rsid w:val="00A83807"/>
    <w:rsid w:val="00A839DA"/>
    <w:rsid w:val="00A83A1D"/>
    <w:rsid w:val="00A83A8D"/>
    <w:rsid w:val="00A83ACF"/>
    <w:rsid w:val="00A83C1D"/>
    <w:rsid w:val="00A843C4"/>
    <w:rsid w:val="00A84439"/>
    <w:rsid w:val="00A844AB"/>
    <w:rsid w:val="00A84594"/>
    <w:rsid w:val="00A845F6"/>
    <w:rsid w:val="00A8462B"/>
    <w:rsid w:val="00A84756"/>
    <w:rsid w:val="00A84C0C"/>
    <w:rsid w:val="00A84D50"/>
    <w:rsid w:val="00A84E12"/>
    <w:rsid w:val="00A84FB7"/>
    <w:rsid w:val="00A85346"/>
    <w:rsid w:val="00A854F7"/>
    <w:rsid w:val="00A857A9"/>
    <w:rsid w:val="00A859FA"/>
    <w:rsid w:val="00A85B60"/>
    <w:rsid w:val="00A85D0F"/>
    <w:rsid w:val="00A85D83"/>
    <w:rsid w:val="00A85EDA"/>
    <w:rsid w:val="00A86039"/>
    <w:rsid w:val="00A860BF"/>
    <w:rsid w:val="00A860F3"/>
    <w:rsid w:val="00A8644E"/>
    <w:rsid w:val="00A86C7B"/>
    <w:rsid w:val="00A86CFD"/>
    <w:rsid w:val="00A86D68"/>
    <w:rsid w:val="00A86E00"/>
    <w:rsid w:val="00A86E2E"/>
    <w:rsid w:val="00A86E73"/>
    <w:rsid w:val="00A87150"/>
    <w:rsid w:val="00A87332"/>
    <w:rsid w:val="00A876B6"/>
    <w:rsid w:val="00A878B9"/>
    <w:rsid w:val="00A87926"/>
    <w:rsid w:val="00A8793E"/>
    <w:rsid w:val="00A87B1E"/>
    <w:rsid w:val="00A87CD2"/>
    <w:rsid w:val="00A87CF4"/>
    <w:rsid w:val="00A87DD8"/>
    <w:rsid w:val="00A87E06"/>
    <w:rsid w:val="00A87FC0"/>
    <w:rsid w:val="00A87FF6"/>
    <w:rsid w:val="00A90093"/>
    <w:rsid w:val="00A90259"/>
    <w:rsid w:val="00A90345"/>
    <w:rsid w:val="00A90503"/>
    <w:rsid w:val="00A9065D"/>
    <w:rsid w:val="00A90864"/>
    <w:rsid w:val="00A908D1"/>
    <w:rsid w:val="00A908F9"/>
    <w:rsid w:val="00A90B83"/>
    <w:rsid w:val="00A90F3D"/>
    <w:rsid w:val="00A90FAC"/>
    <w:rsid w:val="00A9108B"/>
    <w:rsid w:val="00A9119A"/>
    <w:rsid w:val="00A911AE"/>
    <w:rsid w:val="00A911F3"/>
    <w:rsid w:val="00A912E7"/>
    <w:rsid w:val="00A91567"/>
    <w:rsid w:val="00A917F7"/>
    <w:rsid w:val="00A91868"/>
    <w:rsid w:val="00A91898"/>
    <w:rsid w:val="00A918F1"/>
    <w:rsid w:val="00A91C06"/>
    <w:rsid w:val="00A91E7C"/>
    <w:rsid w:val="00A92037"/>
    <w:rsid w:val="00A921CC"/>
    <w:rsid w:val="00A921D3"/>
    <w:rsid w:val="00A927C2"/>
    <w:rsid w:val="00A9289F"/>
    <w:rsid w:val="00A928A4"/>
    <w:rsid w:val="00A92A30"/>
    <w:rsid w:val="00A93036"/>
    <w:rsid w:val="00A930D5"/>
    <w:rsid w:val="00A932A0"/>
    <w:rsid w:val="00A9342E"/>
    <w:rsid w:val="00A93463"/>
    <w:rsid w:val="00A93485"/>
    <w:rsid w:val="00A93636"/>
    <w:rsid w:val="00A93749"/>
    <w:rsid w:val="00A9396C"/>
    <w:rsid w:val="00A93DAA"/>
    <w:rsid w:val="00A93E77"/>
    <w:rsid w:val="00A93EAB"/>
    <w:rsid w:val="00A9453E"/>
    <w:rsid w:val="00A94646"/>
    <w:rsid w:val="00A949AE"/>
    <w:rsid w:val="00A94BD9"/>
    <w:rsid w:val="00A94C15"/>
    <w:rsid w:val="00A94EE3"/>
    <w:rsid w:val="00A94F3E"/>
    <w:rsid w:val="00A94F56"/>
    <w:rsid w:val="00A9501B"/>
    <w:rsid w:val="00A951CD"/>
    <w:rsid w:val="00A9522D"/>
    <w:rsid w:val="00A95236"/>
    <w:rsid w:val="00A952A3"/>
    <w:rsid w:val="00A95300"/>
    <w:rsid w:val="00A9550F"/>
    <w:rsid w:val="00A95531"/>
    <w:rsid w:val="00A955EC"/>
    <w:rsid w:val="00A956B1"/>
    <w:rsid w:val="00A95932"/>
    <w:rsid w:val="00A95A19"/>
    <w:rsid w:val="00A95D13"/>
    <w:rsid w:val="00A95DED"/>
    <w:rsid w:val="00A9612B"/>
    <w:rsid w:val="00A961DE"/>
    <w:rsid w:val="00A96221"/>
    <w:rsid w:val="00A9624C"/>
    <w:rsid w:val="00A9627A"/>
    <w:rsid w:val="00A962F1"/>
    <w:rsid w:val="00A963A7"/>
    <w:rsid w:val="00A96445"/>
    <w:rsid w:val="00A964CB"/>
    <w:rsid w:val="00A9663C"/>
    <w:rsid w:val="00A967D4"/>
    <w:rsid w:val="00A9681E"/>
    <w:rsid w:val="00A9684D"/>
    <w:rsid w:val="00A968F3"/>
    <w:rsid w:val="00A96A38"/>
    <w:rsid w:val="00A96CDB"/>
    <w:rsid w:val="00A96E4B"/>
    <w:rsid w:val="00A97428"/>
    <w:rsid w:val="00A97670"/>
    <w:rsid w:val="00A976A8"/>
    <w:rsid w:val="00A97948"/>
    <w:rsid w:val="00A97A2F"/>
    <w:rsid w:val="00A97B74"/>
    <w:rsid w:val="00A97B82"/>
    <w:rsid w:val="00A97DCB"/>
    <w:rsid w:val="00A97DEC"/>
    <w:rsid w:val="00A97E96"/>
    <w:rsid w:val="00AA007A"/>
    <w:rsid w:val="00AA013B"/>
    <w:rsid w:val="00AA0210"/>
    <w:rsid w:val="00AA0235"/>
    <w:rsid w:val="00AA0248"/>
    <w:rsid w:val="00AA0277"/>
    <w:rsid w:val="00AA02FE"/>
    <w:rsid w:val="00AA03DC"/>
    <w:rsid w:val="00AA066E"/>
    <w:rsid w:val="00AA0813"/>
    <w:rsid w:val="00AA088F"/>
    <w:rsid w:val="00AA096D"/>
    <w:rsid w:val="00AA0D6A"/>
    <w:rsid w:val="00AA0E8A"/>
    <w:rsid w:val="00AA0F69"/>
    <w:rsid w:val="00AA10AF"/>
    <w:rsid w:val="00AA11F1"/>
    <w:rsid w:val="00AA12B3"/>
    <w:rsid w:val="00AA12C5"/>
    <w:rsid w:val="00AA1810"/>
    <w:rsid w:val="00AA196E"/>
    <w:rsid w:val="00AA1AC2"/>
    <w:rsid w:val="00AA1C89"/>
    <w:rsid w:val="00AA1E89"/>
    <w:rsid w:val="00AA255D"/>
    <w:rsid w:val="00AA274B"/>
    <w:rsid w:val="00AA2A60"/>
    <w:rsid w:val="00AA2BE4"/>
    <w:rsid w:val="00AA2D52"/>
    <w:rsid w:val="00AA353F"/>
    <w:rsid w:val="00AA35B4"/>
    <w:rsid w:val="00AA3603"/>
    <w:rsid w:val="00AA3B49"/>
    <w:rsid w:val="00AA3B57"/>
    <w:rsid w:val="00AA3E14"/>
    <w:rsid w:val="00AA3FC9"/>
    <w:rsid w:val="00AA40E8"/>
    <w:rsid w:val="00AA42C3"/>
    <w:rsid w:val="00AA4380"/>
    <w:rsid w:val="00AA4388"/>
    <w:rsid w:val="00AA46F0"/>
    <w:rsid w:val="00AA48D7"/>
    <w:rsid w:val="00AA4CCC"/>
    <w:rsid w:val="00AA4DB7"/>
    <w:rsid w:val="00AA4DD2"/>
    <w:rsid w:val="00AA4E64"/>
    <w:rsid w:val="00AA4ECE"/>
    <w:rsid w:val="00AA4F40"/>
    <w:rsid w:val="00AA4F96"/>
    <w:rsid w:val="00AA5069"/>
    <w:rsid w:val="00AA53B3"/>
    <w:rsid w:val="00AA5443"/>
    <w:rsid w:val="00AA5499"/>
    <w:rsid w:val="00AA5CF6"/>
    <w:rsid w:val="00AA5F1A"/>
    <w:rsid w:val="00AA607B"/>
    <w:rsid w:val="00AA6149"/>
    <w:rsid w:val="00AA6586"/>
    <w:rsid w:val="00AA685A"/>
    <w:rsid w:val="00AA6A7D"/>
    <w:rsid w:val="00AA6C3C"/>
    <w:rsid w:val="00AA6C3F"/>
    <w:rsid w:val="00AA70FE"/>
    <w:rsid w:val="00AA718F"/>
    <w:rsid w:val="00AA7225"/>
    <w:rsid w:val="00AA730D"/>
    <w:rsid w:val="00AA7350"/>
    <w:rsid w:val="00AA7378"/>
    <w:rsid w:val="00AA73C3"/>
    <w:rsid w:val="00AA756E"/>
    <w:rsid w:val="00AA75F7"/>
    <w:rsid w:val="00AA761C"/>
    <w:rsid w:val="00AA7713"/>
    <w:rsid w:val="00AA7961"/>
    <w:rsid w:val="00AA7DB5"/>
    <w:rsid w:val="00AA7DEE"/>
    <w:rsid w:val="00AA7E3A"/>
    <w:rsid w:val="00AB0001"/>
    <w:rsid w:val="00AB067C"/>
    <w:rsid w:val="00AB073E"/>
    <w:rsid w:val="00AB0950"/>
    <w:rsid w:val="00AB0989"/>
    <w:rsid w:val="00AB0AAB"/>
    <w:rsid w:val="00AB0B61"/>
    <w:rsid w:val="00AB0D9D"/>
    <w:rsid w:val="00AB100E"/>
    <w:rsid w:val="00AB1125"/>
    <w:rsid w:val="00AB13AF"/>
    <w:rsid w:val="00AB14AE"/>
    <w:rsid w:val="00AB14D7"/>
    <w:rsid w:val="00AB164D"/>
    <w:rsid w:val="00AB16B0"/>
    <w:rsid w:val="00AB1A05"/>
    <w:rsid w:val="00AB1A13"/>
    <w:rsid w:val="00AB1D66"/>
    <w:rsid w:val="00AB21DD"/>
    <w:rsid w:val="00AB239A"/>
    <w:rsid w:val="00AB240C"/>
    <w:rsid w:val="00AB24C5"/>
    <w:rsid w:val="00AB25BF"/>
    <w:rsid w:val="00AB29E8"/>
    <w:rsid w:val="00AB2A2E"/>
    <w:rsid w:val="00AB2A48"/>
    <w:rsid w:val="00AB2E87"/>
    <w:rsid w:val="00AB3173"/>
    <w:rsid w:val="00AB31BC"/>
    <w:rsid w:val="00AB31D3"/>
    <w:rsid w:val="00AB326C"/>
    <w:rsid w:val="00AB342A"/>
    <w:rsid w:val="00AB3983"/>
    <w:rsid w:val="00AB3B6C"/>
    <w:rsid w:val="00AB3C52"/>
    <w:rsid w:val="00AB3D7C"/>
    <w:rsid w:val="00AB3F85"/>
    <w:rsid w:val="00AB3FBA"/>
    <w:rsid w:val="00AB424B"/>
    <w:rsid w:val="00AB44A4"/>
    <w:rsid w:val="00AB44C6"/>
    <w:rsid w:val="00AB47DC"/>
    <w:rsid w:val="00AB49C5"/>
    <w:rsid w:val="00AB4E3F"/>
    <w:rsid w:val="00AB4E79"/>
    <w:rsid w:val="00AB4E9F"/>
    <w:rsid w:val="00AB506E"/>
    <w:rsid w:val="00AB5130"/>
    <w:rsid w:val="00AB5145"/>
    <w:rsid w:val="00AB53F2"/>
    <w:rsid w:val="00AB5414"/>
    <w:rsid w:val="00AB5469"/>
    <w:rsid w:val="00AB5493"/>
    <w:rsid w:val="00AB54D6"/>
    <w:rsid w:val="00AB5666"/>
    <w:rsid w:val="00AB589E"/>
    <w:rsid w:val="00AB5CDF"/>
    <w:rsid w:val="00AB60E2"/>
    <w:rsid w:val="00AB63B3"/>
    <w:rsid w:val="00AB65B0"/>
    <w:rsid w:val="00AB6790"/>
    <w:rsid w:val="00AB6B3F"/>
    <w:rsid w:val="00AB6D96"/>
    <w:rsid w:val="00AB6E87"/>
    <w:rsid w:val="00AB6EEC"/>
    <w:rsid w:val="00AB6FFE"/>
    <w:rsid w:val="00AB739C"/>
    <w:rsid w:val="00AB73E0"/>
    <w:rsid w:val="00AB7837"/>
    <w:rsid w:val="00AB7A2F"/>
    <w:rsid w:val="00AB7AAC"/>
    <w:rsid w:val="00AB7F54"/>
    <w:rsid w:val="00AC00C4"/>
    <w:rsid w:val="00AC015E"/>
    <w:rsid w:val="00AC0312"/>
    <w:rsid w:val="00AC0529"/>
    <w:rsid w:val="00AC078F"/>
    <w:rsid w:val="00AC07DD"/>
    <w:rsid w:val="00AC0901"/>
    <w:rsid w:val="00AC0947"/>
    <w:rsid w:val="00AC0A1D"/>
    <w:rsid w:val="00AC0A6E"/>
    <w:rsid w:val="00AC0B0B"/>
    <w:rsid w:val="00AC0CE2"/>
    <w:rsid w:val="00AC0D2D"/>
    <w:rsid w:val="00AC0DB1"/>
    <w:rsid w:val="00AC1225"/>
    <w:rsid w:val="00AC126F"/>
    <w:rsid w:val="00AC12DB"/>
    <w:rsid w:val="00AC1736"/>
    <w:rsid w:val="00AC190C"/>
    <w:rsid w:val="00AC1C55"/>
    <w:rsid w:val="00AC1D2B"/>
    <w:rsid w:val="00AC1D32"/>
    <w:rsid w:val="00AC1E98"/>
    <w:rsid w:val="00AC1F29"/>
    <w:rsid w:val="00AC1FB2"/>
    <w:rsid w:val="00AC210F"/>
    <w:rsid w:val="00AC26CF"/>
    <w:rsid w:val="00AC27FF"/>
    <w:rsid w:val="00AC282C"/>
    <w:rsid w:val="00AC2A31"/>
    <w:rsid w:val="00AC2AD1"/>
    <w:rsid w:val="00AC2B87"/>
    <w:rsid w:val="00AC2BFA"/>
    <w:rsid w:val="00AC2CEC"/>
    <w:rsid w:val="00AC2E2E"/>
    <w:rsid w:val="00AC2F92"/>
    <w:rsid w:val="00AC3010"/>
    <w:rsid w:val="00AC30B9"/>
    <w:rsid w:val="00AC315E"/>
    <w:rsid w:val="00AC319E"/>
    <w:rsid w:val="00AC328F"/>
    <w:rsid w:val="00AC3487"/>
    <w:rsid w:val="00AC34BC"/>
    <w:rsid w:val="00AC35FD"/>
    <w:rsid w:val="00AC3613"/>
    <w:rsid w:val="00AC3685"/>
    <w:rsid w:val="00AC3764"/>
    <w:rsid w:val="00AC3829"/>
    <w:rsid w:val="00AC3918"/>
    <w:rsid w:val="00AC3C44"/>
    <w:rsid w:val="00AC3D80"/>
    <w:rsid w:val="00AC3E86"/>
    <w:rsid w:val="00AC3F70"/>
    <w:rsid w:val="00AC42ED"/>
    <w:rsid w:val="00AC446F"/>
    <w:rsid w:val="00AC4659"/>
    <w:rsid w:val="00AC4801"/>
    <w:rsid w:val="00AC48B8"/>
    <w:rsid w:val="00AC4A37"/>
    <w:rsid w:val="00AC4A3A"/>
    <w:rsid w:val="00AC4BB9"/>
    <w:rsid w:val="00AC4CC2"/>
    <w:rsid w:val="00AC50BA"/>
    <w:rsid w:val="00AC53AF"/>
    <w:rsid w:val="00AC5856"/>
    <w:rsid w:val="00AC5B1B"/>
    <w:rsid w:val="00AC5D5A"/>
    <w:rsid w:val="00AC5D6E"/>
    <w:rsid w:val="00AC624F"/>
    <w:rsid w:val="00AC6500"/>
    <w:rsid w:val="00AC68E1"/>
    <w:rsid w:val="00AC6B22"/>
    <w:rsid w:val="00AC6BCD"/>
    <w:rsid w:val="00AC6C7E"/>
    <w:rsid w:val="00AC6E1D"/>
    <w:rsid w:val="00AC6F02"/>
    <w:rsid w:val="00AC6F7A"/>
    <w:rsid w:val="00AC71D8"/>
    <w:rsid w:val="00AC73C7"/>
    <w:rsid w:val="00AC7404"/>
    <w:rsid w:val="00AC7665"/>
    <w:rsid w:val="00AC76E7"/>
    <w:rsid w:val="00AC7812"/>
    <w:rsid w:val="00AC79CC"/>
    <w:rsid w:val="00AC7A7C"/>
    <w:rsid w:val="00AC7D5E"/>
    <w:rsid w:val="00AC7D89"/>
    <w:rsid w:val="00AC7E1D"/>
    <w:rsid w:val="00AC7E48"/>
    <w:rsid w:val="00AD0326"/>
    <w:rsid w:val="00AD06BC"/>
    <w:rsid w:val="00AD086C"/>
    <w:rsid w:val="00AD096E"/>
    <w:rsid w:val="00AD09B3"/>
    <w:rsid w:val="00AD0AD7"/>
    <w:rsid w:val="00AD0B55"/>
    <w:rsid w:val="00AD0CF7"/>
    <w:rsid w:val="00AD0D65"/>
    <w:rsid w:val="00AD0E4D"/>
    <w:rsid w:val="00AD0FDD"/>
    <w:rsid w:val="00AD1030"/>
    <w:rsid w:val="00AD129A"/>
    <w:rsid w:val="00AD194A"/>
    <w:rsid w:val="00AD1C47"/>
    <w:rsid w:val="00AD21A1"/>
    <w:rsid w:val="00AD222C"/>
    <w:rsid w:val="00AD2294"/>
    <w:rsid w:val="00AD234D"/>
    <w:rsid w:val="00AD2812"/>
    <w:rsid w:val="00AD28D0"/>
    <w:rsid w:val="00AD2AA1"/>
    <w:rsid w:val="00AD2AC9"/>
    <w:rsid w:val="00AD2B73"/>
    <w:rsid w:val="00AD2BCB"/>
    <w:rsid w:val="00AD2D0C"/>
    <w:rsid w:val="00AD2E3B"/>
    <w:rsid w:val="00AD30A0"/>
    <w:rsid w:val="00AD30BE"/>
    <w:rsid w:val="00AD30DB"/>
    <w:rsid w:val="00AD30F3"/>
    <w:rsid w:val="00AD32B5"/>
    <w:rsid w:val="00AD33F4"/>
    <w:rsid w:val="00AD34F4"/>
    <w:rsid w:val="00AD3534"/>
    <w:rsid w:val="00AD353F"/>
    <w:rsid w:val="00AD386C"/>
    <w:rsid w:val="00AD38A2"/>
    <w:rsid w:val="00AD3DC5"/>
    <w:rsid w:val="00AD3E27"/>
    <w:rsid w:val="00AD3F5E"/>
    <w:rsid w:val="00AD3FC6"/>
    <w:rsid w:val="00AD452E"/>
    <w:rsid w:val="00AD4582"/>
    <w:rsid w:val="00AD4640"/>
    <w:rsid w:val="00AD47E6"/>
    <w:rsid w:val="00AD494E"/>
    <w:rsid w:val="00AD4BE5"/>
    <w:rsid w:val="00AD4E5C"/>
    <w:rsid w:val="00AD4ED4"/>
    <w:rsid w:val="00AD50AD"/>
    <w:rsid w:val="00AD5211"/>
    <w:rsid w:val="00AD5255"/>
    <w:rsid w:val="00AD583D"/>
    <w:rsid w:val="00AD5889"/>
    <w:rsid w:val="00AD5A30"/>
    <w:rsid w:val="00AD5A6E"/>
    <w:rsid w:val="00AD5B8B"/>
    <w:rsid w:val="00AD5C8D"/>
    <w:rsid w:val="00AD5EEC"/>
    <w:rsid w:val="00AD5F24"/>
    <w:rsid w:val="00AD5FB9"/>
    <w:rsid w:val="00AD5FE2"/>
    <w:rsid w:val="00AD6131"/>
    <w:rsid w:val="00AD616B"/>
    <w:rsid w:val="00AD63A8"/>
    <w:rsid w:val="00AD63FC"/>
    <w:rsid w:val="00AD64A4"/>
    <w:rsid w:val="00AD6529"/>
    <w:rsid w:val="00AD668E"/>
    <w:rsid w:val="00AD66BE"/>
    <w:rsid w:val="00AD675E"/>
    <w:rsid w:val="00AD68D3"/>
    <w:rsid w:val="00AD6AD3"/>
    <w:rsid w:val="00AD6CEE"/>
    <w:rsid w:val="00AD6D52"/>
    <w:rsid w:val="00AD6E34"/>
    <w:rsid w:val="00AD6E42"/>
    <w:rsid w:val="00AD6EBA"/>
    <w:rsid w:val="00AD6F77"/>
    <w:rsid w:val="00AD7107"/>
    <w:rsid w:val="00AD721A"/>
    <w:rsid w:val="00AD722A"/>
    <w:rsid w:val="00AD7230"/>
    <w:rsid w:val="00AD7286"/>
    <w:rsid w:val="00AD7299"/>
    <w:rsid w:val="00AD74EB"/>
    <w:rsid w:val="00AD754F"/>
    <w:rsid w:val="00AD76E7"/>
    <w:rsid w:val="00AD77EF"/>
    <w:rsid w:val="00AD79F2"/>
    <w:rsid w:val="00AD7C21"/>
    <w:rsid w:val="00AD7F4A"/>
    <w:rsid w:val="00AD7FE9"/>
    <w:rsid w:val="00AE02DD"/>
    <w:rsid w:val="00AE0356"/>
    <w:rsid w:val="00AE045C"/>
    <w:rsid w:val="00AE04BC"/>
    <w:rsid w:val="00AE0961"/>
    <w:rsid w:val="00AE09FB"/>
    <w:rsid w:val="00AE0A2D"/>
    <w:rsid w:val="00AE0B4D"/>
    <w:rsid w:val="00AE0B90"/>
    <w:rsid w:val="00AE0D29"/>
    <w:rsid w:val="00AE11AB"/>
    <w:rsid w:val="00AE11CA"/>
    <w:rsid w:val="00AE1420"/>
    <w:rsid w:val="00AE14FF"/>
    <w:rsid w:val="00AE1529"/>
    <w:rsid w:val="00AE15E1"/>
    <w:rsid w:val="00AE1670"/>
    <w:rsid w:val="00AE1743"/>
    <w:rsid w:val="00AE1B01"/>
    <w:rsid w:val="00AE1D7F"/>
    <w:rsid w:val="00AE2029"/>
    <w:rsid w:val="00AE28E0"/>
    <w:rsid w:val="00AE28E4"/>
    <w:rsid w:val="00AE2A2F"/>
    <w:rsid w:val="00AE2AF7"/>
    <w:rsid w:val="00AE2B5B"/>
    <w:rsid w:val="00AE2B72"/>
    <w:rsid w:val="00AE2F35"/>
    <w:rsid w:val="00AE309D"/>
    <w:rsid w:val="00AE30B2"/>
    <w:rsid w:val="00AE313D"/>
    <w:rsid w:val="00AE3173"/>
    <w:rsid w:val="00AE329A"/>
    <w:rsid w:val="00AE3455"/>
    <w:rsid w:val="00AE3739"/>
    <w:rsid w:val="00AE3A1E"/>
    <w:rsid w:val="00AE3AA3"/>
    <w:rsid w:val="00AE3B2F"/>
    <w:rsid w:val="00AE3C52"/>
    <w:rsid w:val="00AE3D12"/>
    <w:rsid w:val="00AE3D37"/>
    <w:rsid w:val="00AE3D8C"/>
    <w:rsid w:val="00AE3DB5"/>
    <w:rsid w:val="00AE3E29"/>
    <w:rsid w:val="00AE3E97"/>
    <w:rsid w:val="00AE4066"/>
    <w:rsid w:val="00AE4147"/>
    <w:rsid w:val="00AE4395"/>
    <w:rsid w:val="00AE4673"/>
    <w:rsid w:val="00AE48CD"/>
    <w:rsid w:val="00AE4AC3"/>
    <w:rsid w:val="00AE4CFF"/>
    <w:rsid w:val="00AE4D84"/>
    <w:rsid w:val="00AE52CD"/>
    <w:rsid w:val="00AE55BE"/>
    <w:rsid w:val="00AE578C"/>
    <w:rsid w:val="00AE5C53"/>
    <w:rsid w:val="00AE5F32"/>
    <w:rsid w:val="00AE5F4E"/>
    <w:rsid w:val="00AE623D"/>
    <w:rsid w:val="00AE6836"/>
    <w:rsid w:val="00AE6898"/>
    <w:rsid w:val="00AE68F7"/>
    <w:rsid w:val="00AE69A7"/>
    <w:rsid w:val="00AE69E3"/>
    <w:rsid w:val="00AE6BC0"/>
    <w:rsid w:val="00AE6CD0"/>
    <w:rsid w:val="00AE6DCC"/>
    <w:rsid w:val="00AE6EBA"/>
    <w:rsid w:val="00AE70A1"/>
    <w:rsid w:val="00AE734F"/>
    <w:rsid w:val="00AE743B"/>
    <w:rsid w:val="00AE7661"/>
    <w:rsid w:val="00AE7971"/>
    <w:rsid w:val="00AE7B2A"/>
    <w:rsid w:val="00AE7C65"/>
    <w:rsid w:val="00AE7F77"/>
    <w:rsid w:val="00AF00B7"/>
    <w:rsid w:val="00AF01C5"/>
    <w:rsid w:val="00AF0308"/>
    <w:rsid w:val="00AF0368"/>
    <w:rsid w:val="00AF0406"/>
    <w:rsid w:val="00AF0431"/>
    <w:rsid w:val="00AF067A"/>
    <w:rsid w:val="00AF067F"/>
    <w:rsid w:val="00AF07B2"/>
    <w:rsid w:val="00AF09C0"/>
    <w:rsid w:val="00AF0AF3"/>
    <w:rsid w:val="00AF0CC0"/>
    <w:rsid w:val="00AF0F8C"/>
    <w:rsid w:val="00AF109E"/>
    <w:rsid w:val="00AF12C6"/>
    <w:rsid w:val="00AF13E1"/>
    <w:rsid w:val="00AF176B"/>
    <w:rsid w:val="00AF18AB"/>
    <w:rsid w:val="00AF19F9"/>
    <w:rsid w:val="00AF1A2D"/>
    <w:rsid w:val="00AF1C87"/>
    <w:rsid w:val="00AF1D7C"/>
    <w:rsid w:val="00AF1D8E"/>
    <w:rsid w:val="00AF2656"/>
    <w:rsid w:val="00AF2717"/>
    <w:rsid w:val="00AF2898"/>
    <w:rsid w:val="00AF294A"/>
    <w:rsid w:val="00AF2A62"/>
    <w:rsid w:val="00AF2C0B"/>
    <w:rsid w:val="00AF2D6C"/>
    <w:rsid w:val="00AF2DBC"/>
    <w:rsid w:val="00AF2FCC"/>
    <w:rsid w:val="00AF300E"/>
    <w:rsid w:val="00AF335E"/>
    <w:rsid w:val="00AF34B4"/>
    <w:rsid w:val="00AF3662"/>
    <w:rsid w:val="00AF36C5"/>
    <w:rsid w:val="00AF3771"/>
    <w:rsid w:val="00AF381F"/>
    <w:rsid w:val="00AF3824"/>
    <w:rsid w:val="00AF3887"/>
    <w:rsid w:val="00AF3A58"/>
    <w:rsid w:val="00AF3B95"/>
    <w:rsid w:val="00AF3C42"/>
    <w:rsid w:val="00AF3CEC"/>
    <w:rsid w:val="00AF3D60"/>
    <w:rsid w:val="00AF3DFE"/>
    <w:rsid w:val="00AF3E8F"/>
    <w:rsid w:val="00AF3E98"/>
    <w:rsid w:val="00AF4019"/>
    <w:rsid w:val="00AF4170"/>
    <w:rsid w:val="00AF4D19"/>
    <w:rsid w:val="00AF4D1A"/>
    <w:rsid w:val="00AF4D2B"/>
    <w:rsid w:val="00AF4DBF"/>
    <w:rsid w:val="00AF4F41"/>
    <w:rsid w:val="00AF4FD5"/>
    <w:rsid w:val="00AF5296"/>
    <w:rsid w:val="00AF564A"/>
    <w:rsid w:val="00AF57E0"/>
    <w:rsid w:val="00AF584A"/>
    <w:rsid w:val="00AF5A7E"/>
    <w:rsid w:val="00AF5ACD"/>
    <w:rsid w:val="00AF5D6C"/>
    <w:rsid w:val="00AF6110"/>
    <w:rsid w:val="00AF6226"/>
    <w:rsid w:val="00AF63E9"/>
    <w:rsid w:val="00AF6425"/>
    <w:rsid w:val="00AF646E"/>
    <w:rsid w:val="00AF65C6"/>
    <w:rsid w:val="00AF663A"/>
    <w:rsid w:val="00AF66B3"/>
    <w:rsid w:val="00AF685D"/>
    <w:rsid w:val="00AF6AC6"/>
    <w:rsid w:val="00AF6AD6"/>
    <w:rsid w:val="00AF7095"/>
    <w:rsid w:val="00AF70D8"/>
    <w:rsid w:val="00AF70FA"/>
    <w:rsid w:val="00AF719C"/>
    <w:rsid w:val="00AF71C9"/>
    <w:rsid w:val="00AF723F"/>
    <w:rsid w:val="00AF72E9"/>
    <w:rsid w:val="00AF75D4"/>
    <w:rsid w:val="00AF7701"/>
    <w:rsid w:val="00AF796F"/>
    <w:rsid w:val="00AF7D99"/>
    <w:rsid w:val="00AF7E82"/>
    <w:rsid w:val="00AF7E8F"/>
    <w:rsid w:val="00AF7FB8"/>
    <w:rsid w:val="00B00014"/>
    <w:rsid w:val="00B001AF"/>
    <w:rsid w:val="00B001BF"/>
    <w:rsid w:val="00B00611"/>
    <w:rsid w:val="00B007F6"/>
    <w:rsid w:val="00B008C7"/>
    <w:rsid w:val="00B00E1A"/>
    <w:rsid w:val="00B00E8D"/>
    <w:rsid w:val="00B00E94"/>
    <w:rsid w:val="00B00FD0"/>
    <w:rsid w:val="00B013E3"/>
    <w:rsid w:val="00B0146A"/>
    <w:rsid w:val="00B0167B"/>
    <w:rsid w:val="00B01912"/>
    <w:rsid w:val="00B01AA6"/>
    <w:rsid w:val="00B01C6B"/>
    <w:rsid w:val="00B01CB6"/>
    <w:rsid w:val="00B01D96"/>
    <w:rsid w:val="00B01F1F"/>
    <w:rsid w:val="00B020B2"/>
    <w:rsid w:val="00B0210C"/>
    <w:rsid w:val="00B02141"/>
    <w:rsid w:val="00B02156"/>
    <w:rsid w:val="00B021C4"/>
    <w:rsid w:val="00B0251D"/>
    <w:rsid w:val="00B02B88"/>
    <w:rsid w:val="00B02BF3"/>
    <w:rsid w:val="00B02DD8"/>
    <w:rsid w:val="00B02E47"/>
    <w:rsid w:val="00B02EE3"/>
    <w:rsid w:val="00B03037"/>
    <w:rsid w:val="00B0334E"/>
    <w:rsid w:val="00B03483"/>
    <w:rsid w:val="00B03484"/>
    <w:rsid w:val="00B0368E"/>
    <w:rsid w:val="00B036D4"/>
    <w:rsid w:val="00B03719"/>
    <w:rsid w:val="00B03813"/>
    <w:rsid w:val="00B03A5A"/>
    <w:rsid w:val="00B03A82"/>
    <w:rsid w:val="00B03C8A"/>
    <w:rsid w:val="00B03CED"/>
    <w:rsid w:val="00B03EA2"/>
    <w:rsid w:val="00B04354"/>
    <w:rsid w:val="00B04534"/>
    <w:rsid w:val="00B0461C"/>
    <w:rsid w:val="00B04663"/>
    <w:rsid w:val="00B04757"/>
    <w:rsid w:val="00B0479A"/>
    <w:rsid w:val="00B047C3"/>
    <w:rsid w:val="00B048DB"/>
    <w:rsid w:val="00B049C5"/>
    <w:rsid w:val="00B049E7"/>
    <w:rsid w:val="00B04A0C"/>
    <w:rsid w:val="00B04D39"/>
    <w:rsid w:val="00B04FD7"/>
    <w:rsid w:val="00B05206"/>
    <w:rsid w:val="00B05316"/>
    <w:rsid w:val="00B05444"/>
    <w:rsid w:val="00B0561F"/>
    <w:rsid w:val="00B05686"/>
    <w:rsid w:val="00B05A2F"/>
    <w:rsid w:val="00B05A59"/>
    <w:rsid w:val="00B05A67"/>
    <w:rsid w:val="00B05C37"/>
    <w:rsid w:val="00B05CE6"/>
    <w:rsid w:val="00B05E35"/>
    <w:rsid w:val="00B06224"/>
    <w:rsid w:val="00B06540"/>
    <w:rsid w:val="00B065B9"/>
    <w:rsid w:val="00B067BF"/>
    <w:rsid w:val="00B0684A"/>
    <w:rsid w:val="00B06BA4"/>
    <w:rsid w:val="00B06BDC"/>
    <w:rsid w:val="00B06C9E"/>
    <w:rsid w:val="00B0770C"/>
    <w:rsid w:val="00B078AD"/>
    <w:rsid w:val="00B079A0"/>
    <w:rsid w:val="00B079F8"/>
    <w:rsid w:val="00B07D14"/>
    <w:rsid w:val="00B07DB8"/>
    <w:rsid w:val="00B07E49"/>
    <w:rsid w:val="00B10099"/>
    <w:rsid w:val="00B10118"/>
    <w:rsid w:val="00B101C7"/>
    <w:rsid w:val="00B101E6"/>
    <w:rsid w:val="00B10367"/>
    <w:rsid w:val="00B10737"/>
    <w:rsid w:val="00B10A5D"/>
    <w:rsid w:val="00B10AC6"/>
    <w:rsid w:val="00B10BEA"/>
    <w:rsid w:val="00B10C31"/>
    <w:rsid w:val="00B10C56"/>
    <w:rsid w:val="00B10D0C"/>
    <w:rsid w:val="00B10D51"/>
    <w:rsid w:val="00B10D6B"/>
    <w:rsid w:val="00B11706"/>
    <w:rsid w:val="00B11B7E"/>
    <w:rsid w:val="00B11BAA"/>
    <w:rsid w:val="00B11BCB"/>
    <w:rsid w:val="00B11D09"/>
    <w:rsid w:val="00B11D88"/>
    <w:rsid w:val="00B11E11"/>
    <w:rsid w:val="00B11E5A"/>
    <w:rsid w:val="00B1232A"/>
    <w:rsid w:val="00B12556"/>
    <w:rsid w:val="00B12A41"/>
    <w:rsid w:val="00B12AF2"/>
    <w:rsid w:val="00B12B6A"/>
    <w:rsid w:val="00B12C3F"/>
    <w:rsid w:val="00B12E64"/>
    <w:rsid w:val="00B12F38"/>
    <w:rsid w:val="00B13013"/>
    <w:rsid w:val="00B130FC"/>
    <w:rsid w:val="00B1325A"/>
    <w:rsid w:val="00B1372B"/>
    <w:rsid w:val="00B13775"/>
    <w:rsid w:val="00B13912"/>
    <w:rsid w:val="00B13930"/>
    <w:rsid w:val="00B13A5E"/>
    <w:rsid w:val="00B13BB6"/>
    <w:rsid w:val="00B13C2C"/>
    <w:rsid w:val="00B13C94"/>
    <w:rsid w:val="00B13D4F"/>
    <w:rsid w:val="00B13DCB"/>
    <w:rsid w:val="00B140B1"/>
    <w:rsid w:val="00B14492"/>
    <w:rsid w:val="00B146E4"/>
    <w:rsid w:val="00B14BB1"/>
    <w:rsid w:val="00B14E94"/>
    <w:rsid w:val="00B151ED"/>
    <w:rsid w:val="00B154F0"/>
    <w:rsid w:val="00B157A5"/>
    <w:rsid w:val="00B157B6"/>
    <w:rsid w:val="00B157F7"/>
    <w:rsid w:val="00B15A80"/>
    <w:rsid w:val="00B15B1B"/>
    <w:rsid w:val="00B15B7C"/>
    <w:rsid w:val="00B15BA3"/>
    <w:rsid w:val="00B15BAF"/>
    <w:rsid w:val="00B15BC6"/>
    <w:rsid w:val="00B15DFC"/>
    <w:rsid w:val="00B15ED6"/>
    <w:rsid w:val="00B15FEB"/>
    <w:rsid w:val="00B160CA"/>
    <w:rsid w:val="00B16126"/>
    <w:rsid w:val="00B16420"/>
    <w:rsid w:val="00B164E0"/>
    <w:rsid w:val="00B16A91"/>
    <w:rsid w:val="00B16BCB"/>
    <w:rsid w:val="00B16C11"/>
    <w:rsid w:val="00B16C7A"/>
    <w:rsid w:val="00B16C97"/>
    <w:rsid w:val="00B16D7F"/>
    <w:rsid w:val="00B16EDA"/>
    <w:rsid w:val="00B16F6B"/>
    <w:rsid w:val="00B17479"/>
    <w:rsid w:val="00B175EF"/>
    <w:rsid w:val="00B17695"/>
    <w:rsid w:val="00B178B1"/>
    <w:rsid w:val="00B17C62"/>
    <w:rsid w:val="00B17D28"/>
    <w:rsid w:val="00B17FBC"/>
    <w:rsid w:val="00B2002A"/>
    <w:rsid w:val="00B20434"/>
    <w:rsid w:val="00B2050F"/>
    <w:rsid w:val="00B20C13"/>
    <w:rsid w:val="00B20CCB"/>
    <w:rsid w:val="00B20E55"/>
    <w:rsid w:val="00B20F20"/>
    <w:rsid w:val="00B215D5"/>
    <w:rsid w:val="00B216F0"/>
    <w:rsid w:val="00B21AFD"/>
    <w:rsid w:val="00B21DF9"/>
    <w:rsid w:val="00B22173"/>
    <w:rsid w:val="00B221B5"/>
    <w:rsid w:val="00B2234B"/>
    <w:rsid w:val="00B223EF"/>
    <w:rsid w:val="00B22462"/>
    <w:rsid w:val="00B225D1"/>
    <w:rsid w:val="00B22759"/>
    <w:rsid w:val="00B2283A"/>
    <w:rsid w:val="00B22DBA"/>
    <w:rsid w:val="00B2324E"/>
    <w:rsid w:val="00B232FF"/>
    <w:rsid w:val="00B23310"/>
    <w:rsid w:val="00B23494"/>
    <w:rsid w:val="00B23571"/>
    <w:rsid w:val="00B23754"/>
    <w:rsid w:val="00B238E4"/>
    <w:rsid w:val="00B23A6B"/>
    <w:rsid w:val="00B23C92"/>
    <w:rsid w:val="00B23FE8"/>
    <w:rsid w:val="00B240EE"/>
    <w:rsid w:val="00B243B0"/>
    <w:rsid w:val="00B243D9"/>
    <w:rsid w:val="00B243DF"/>
    <w:rsid w:val="00B244E9"/>
    <w:rsid w:val="00B2462E"/>
    <w:rsid w:val="00B24655"/>
    <w:rsid w:val="00B24773"/>
    <w:rsid w:val="00B2480D"/>
    <w:rsid w:val="00B2484E"/>
    <w:rsid w:val="00B249FC"/>
    <w:rsid w:val="00B24AB5"/>
    <w:rsid w:val="00B24C82"/>
    <w:rsid w:val="00B24CE9"/>
    <w:rsid w:val="00B24EB8"/>
    <w:rsid w:val="00B250CD"/>
    <w:rsid w:val="00B25147"/>
    <w:rsid w:val="00B251D2"/>
    <w:rsid w:val="00B254B8"/>
    <w:rsid w:val="00B254E5"/>
    <w:rsid w:val="00B255D0"/>
    <w:rsid w:val="00B259DE"/>
    <w:rsid w:val="00B25C8C"/>
    <w:rsid w:val="00B25DBD"/>
    <w:rsid w:val="00B25E57"/>
    <w:rsid w:val="00B25E97"/>
    <w:rsid w:val="00B26000"/>
    <w:rsid w:val="00B2634D"/>
    <w:rsid w:val="00B26433"/>
    <w:rsid w:val="00B266DF"/>
    <w:rsid w:val="00B267D7"/>
    <w:rsid w:val="00B268A9"/>
    <w:rsid w:val="00B26900"/>
    <w:rsid w:val="00B26A74"/>
    <w:rsid w:val="00B26A9C"/>
    <w:rsid w:val="00B26C3C"/>
    <w:rsid w:val="00B26D2F"/>
    <w:rsid w:val="00B27212"/>
    <w:rsid w:val="00B274C7"/>
    <w:rsid w:val="00B27740"/>
    <w:rsid w:val="00B2777B"/>
    <w:rsid w:val="00B27795"/>
    <w:rsid w:val="00B27975"/>
    <w:rsid w:val="00B27CD1"/>
    <w:rsid w:val="00B27FC2"/>
    <w:rsid w:val="00B3050F"/>
    <w:rsid w:val="00B3055D"/>
    <w:rsid w:val="00B3073F"/>
    <w:rsid w:val="00B30834"/>
    <w:rsid w:val="00B309B6"/>
    <w:rsid w:val="00B30B4F"/>
    <w:rsid w:val="00B30C72"/>
    <w:rsid w:val="00B30D78"/>
    <w:rsid w:val="00B30E9C"/>
    <w:rsid w:val="00B30F4C"/>
    <w:rsid w:val="00B31035"/>
    <w:rsid w:val="00B31552"/>
    <w:rsid w:val="00B317A7"/>
    <w:rsid w:val="00B317E7"/>
    <w:rsid w:val="00B31A96"/>
    <w:rsid w:val="00B31C0F"/>
    <w:rsid w:val="00B31CA1"/>
    <w:rsid w:val="00B31F58"/>
    <w:rsid w:val="00B320BC"/>
    <w:rsid w:val="00B32153"/>
    <w:rsid w:val="00B322C5"/>
    <w:rsid w:val="00B32795"/>
    <w:rsid w:val="00B328AA"/>
    <w:rsid w:val="00B32B64"/>
    <w:rsid w:val="00B32FB1"/>
    <w:rsid w:val="00B332D7"/>
    <w:rsid w:val="00B33480"/>
    <w:rsid w:val="00B338FB"/>
    <w:rsid w:val="00B33A0F"/>
    <w:rsid w:val="00B33A57"/>
    <w:rsid w:val="00B33FC7"/>
    <w:rsid w:val="00B34083"/>
    <w:rsid w:val="00B340D6"/>
    <w:rsid w:val="00B34226"/>
    <w:rsid w:val="00B34444"/>
    <w:rsid w:val="00B34744"/>
    <w:rsid w:val="00B349B2"/>
    <w:rsid w:val="00B34BD6"/>
    <w:rsid w:val="00B34C57"/>
    <w:rsid w:val="00B34D57"/>
    <w:rsid w:val="00B34DB6"/>
    <w:rsid w:val="00B34F90"/>
    <w:rsid w:val="00B34FFF"/>
    <w:rsid w:val="00B35001"/>
    <w:rsid w:val="00B35025"/>
    <w:rsid w:val="00B35056"/>
    <w:rsid w:val="00B3514C"/>
    <w:rsid w:val="00B352E7"/>
    <w:rsid w:val="00B35392"/>
    <w:rsid w:val="00B353A0"/>
    <w:rsid w:val="00B353DC"/>
    <w:rsid w:val="00B3562D"/>
    <w:rsid w:val="00B35BC4"/>
    <w:rsid w:val="00B35CB7"/>
    <w:rsid w:val="00B35E6B"/>
    <w:rsid w:val="00B361A7"/>
    <w:rsid w:val="00B36511"/>
    <w:rsid w:val="00B3660F"/>
    <w:rsid w:val="00B36639"/>
    <w:rsid w:val="00B366CA"/>
    <w:rsid w:val="00B36704"/>
    <w:rsid w:val="00B3678D"/>
    <w:rsid w:val="00B3693B"/>
    <w:rsid w:val="00B36962"/>
    <w:rsid w:val="00B36C36"/>
    <w:rsid w:val="00B36D63"/>
    <w:rsid w:val="00B372A3"/>
    <w:rsid w:val="00B37514"/>
    <w:rsid w:val="00B376F3"/>
    <w:rsid w:val="00B37728"/>
    <w:rsid w:val="00B37935"/>
    <w:rsid w:val="00B3799E"/>
    <w:rsid w:val="00B37AE2"/>
    <w:rsid w:val="00B37B4C"/>
    <w:rsid w:val="00B37E37"/>
    <w:rsid w:val="00B37E88"/>
    <w:rsid w:val="00B37F99"/>
    <w:rsid w:val="00B400E0"/>
    <w:rsid w:val="00B40155"/>
    <w:rsid w:val="00B401E4"/>
    <w:rsid w:val="00B4020A"/>
    <w:rsid w:val="00B404C4"/>
    <w:rsid w:val="00B40949"/>
    <w:rsid w:val="00B41288"/>
    <w:rsid w:val="00B41563"/>
    <w:rsid w:val="00B415E9"/>
    <w:rsid w:val="00B41A10"/>
    <w:rsid w:val="00B41B52"/>
    <w:rsid w:val="00B42416"/>
    <w:rsid w:val="00B4286B"/>
    <w:rsid w:val="00B42908"/>
    <w:rsid w:val="00B4291E"/>
    <w:rsid w:val="00B42A27"/>
    <w:rsid w:val="00B42ADE"/>
    <w:rsid w:val="00B42BA8"/>
    <w:rsid w:val="00B42EA7"/>
    <w:rsid w:val="00B42F07"/>
    <w:rsid w:val="00B4300F"/>
    <w:rsid w:val="00B432C6"/>
    <w:rsid w:val="00B432E8"/>
    <w:rsid w:val="00B4338B"/>
    <w:rsid w:val="00B43504"/>
    <w:rsid w:val="00B43510"/>
    <w:rsid w:val="00B435E3"/>
    <w:rsid w:val="00B43827"/>
    <w:rsid w:val="00B43845"/>
    <w:rsid w:val="00B4393D"/>
    <w:rsid w:val="00B43C7F"/>
    <w:rsid w:val="00B43E60"/>
    <w:rsid w:val="00B43EEA"/>
    <w:rsid w:val="00B43F32"/>
    <w:rsid w:val="00B4408B"/>
    <w:rsid w:val="00B4413E"/>
    <w:rsid w:val="00B44205"/>
    <w:rsid w:val="00B444AF"/>
    <w:rsid w:val="00B449E9"/>
    <w:rsid w:val="00B44C94"/>
    <w:rsid w:val="00B44D0F"/>
    <w:rsid w:val="00B44F39"/>
    <w:rsid w:val="00B44F50"/>
    <w:rsid w:val="00B44F9C"/>
    <w:rsid w:val="00B450AB"/>
    <w:rsid w:val="00B450BD"/>
    <w:rsid w:val="00B4522D"/>
    <w:rsid w:val="00B45275"/>
    <w:rsid w:val="00B45328"/>
    <w:rsid w:val="00B45373"/>
    <w:rsid w:val="00B45395"/>
    <w:rsid w:val="00B4541C"/>
    <w:rsid w:val="00B454DA"/>
    <w:rsid w:val="00B4554E"/>
    <w:rsid w:val="00B45702"/>
    <w:rsid w:val="00B457E3"/>
    <w:rsid w:val="00B458E7"/>
    <w:rsid w:val="00B459AA"/>
    <w:rsid w:val="00B45C64"/>
    <w:rsid w:val="00B45C8D"/>
    <w:rsid w:val="00B45DB8"/>
    <w:rsid w:val="00B45DFF"/>
    <w:rsid w:val="00B46207"/>
    <w:rsid w:val="00B463B5"/>
    <w:rsid w:val="00B466F6"/>
    <w:rsid w:val="00B4678F"/>
    <w:rsid w:val="00B46A32"/>
    <w:rsid w:val="00B46B29"/>
    <w:rsid w:val="00B46E5E"/>
    <w:rsid w:val="00B46EF4"/>
    <w:rsid w:val="00B46FE3"/>
    <w:rsid w:val="00B47298"/>
    <w:rsid w:val="00B476B0"/>
    <w:rsid w:val="00B476E0"/>
    <w:rsid w:val="00B47896"/>
    <w:rsid w:val="00B47954"/>
    <w:rsid w:val="00B479E6"/>
    <w:rsid w:val="00B47B18"/>
    <w:rsid w:val="00B47B85"/>
    <w:rsid w:val="00B47BD1"/>
    <w:rsid w:val="00B47BF7"/>
    <w:rsid w:val="00B47C01"/>
    <w:rsid w:val="00B5023F"/>
    <w:rsid w:val="00B505F3"/>
    <w:rsid w:val="00B5067C"/>
    <w:rsid w:val="00B50765"/>
    <w:rsid w:val="00B50939"/>
    <w:rsid w:val="00B50A40"/>
    <w:rsid w:val="00B50BD8"/>
    <w:rsid w:val="00B50E9E"/>
    <w:rsid w:val="00B50FBF"/>
    <w:rsid w:val="00B51177"/>
    <w:rsid w:val="00B5138F"/>
    <w:rsid w:val="00B5152E"/>
    <w:rsid w:val="00B51B18"/>
    <w:rsid w:val="00B51B2C"/>
    <w:rsid w:val="00B51B46"/>
    <w:rsid w:val="00B51B95"/>
    <w:rsid w:val="00B51C4F"/>
    <w:rsid w:val="00B51CE6"/>
    <w:rsid w:val="00B51D48"/>
    <w:rsid w:val="00B51D59"/>
    <w:rsid w:val="00B51E1A"/>
    <w:rsid w:val="00B51FCD"/>
    <w:rsid w:val="00B5230B"/>
    <w:rsid w:val="00B5242C"/>
    <w:rsid w:val="00B5243B"/>
    <w:rsid w:val="00B528DF"/>
    <w:rsid w:val="00B529BB"/>
    <w:rsid w:val="00B529FF"/>
    <w:rsid w:val="00B52ABC"/>
    <w:rsid w:val="00B52BE4"/>
    <w:rsid w:val="00B52CE3"/>
    <w:rsid w:val="00B52E18"/>
    <w:rsid w:val="00B52FBA"/>
    <w:rsid w:val="00B533ED"/>
    <w:rsid w:val="00B5345F"/>
    <w:rsid w:val="00B53547"/>
    <w:rsid w:val="00B53597"/>
    <w:rsid w:val="00B53784"/>
    <w:rsid w:val="00B537D4"/>
    <w:rsid w:val="00B537EF"/>
    <w:rsid w:val="00B5395B"/>
    <w:rsid w:val="00B53C02"/>
    <w:rsid w:val="00B53CA0"/>
    <w:rsid w:val="00B53D70"/>
    <w:rsid w:val="00B53DEE"/>
    <w:rsid w:val="00B53E5C"/>
    <w:rsid w:val="00B54100"/>
    <w:rsid w:val="00B54690"/>
    <w:rsid w:val="00B5494B"/>
    <w:rsid w:val="00B54A2D"/>
    <w:rsid w:val="00B54B0B"/>
    <w:rsid w:val="00B54C75"/>
    <w:rsid w:val="00B54ED1"/>
    <w:rsid w:val="00B550A6"/>
    <w:rsid w:val="00B550D8"/>
    <w:rsid w:val="00B55114"/>
    <w:rsid w:val="00B5524F"/>
    <w:rsid w:val="00B55322"/>
    <w:rsid w:val="00B55378"/>
    <w:rsid w:val="00B55546"/>
    <w:rsid w:val="00B55B1F"/>
    <w:rsid w:val="00B55BA9"/>
    <w:rsid w:val="00B55BB9"/>
    <w:rsid w:val="00B55BC3"/>
    <w:rsid w:val="00B55BF9"/>
    <w:rsid w:val="00B55D3E"/>
    <w:rsid w:val="00B56500"/>
    <w:rsid w:val="00B566DF"/>
    <w:rsid w:val="00B567EA"/>
    <w:rsid w:val="00B56A68"/>
    <w:rsid w:val="00B56F38"/>
    <w:rsid w:val="00B56F6E"/>
    <w:rsid w:val="00B56F72"/>
    <w:rsid w:val="00B5711C"/>
    <w:rsid w:val="00B5717B"/>
    <w:rsid w:val="00B5725C"/>
    <w:rsid w:val="00B57642"/>
    <w:rsid w:val="00B5791A"/>
    <w:rsid w:val="00B57921"/>
    <w:rsid w:val="00B57938"/>
    <w:rsid w:val="00B57B8D"/>
    <w:rsid w:val="00B57C0C"/>
    <w:rsid w:val="00B6003E"/>
    <w:rsid w:val="00B60122"/>
    <w:rsid w:val="00B60283"/>
    <w:rsid w:val="00B6046A"/>
    <w:rsid w:val="00B608B1"/>
    <w:rsid w:val="00B60BF9"/>
    <w:rsid w:val="00B60F66"/>
    <w:rsid w:val="00B60FEA"/>
    <w:rsid w:val="00B6109F"/>
    <w:rsid w:val="00B610F4"/>
    <w:rsid w:val="00B613EC"/>
    <w:rsid w:val="00B6141E"/>
    <w:rsid w:val="00B61613"/>
    <w:rsid w:val="00B61619"/>
    <w:rsid w:val="00B61945"/>
    <w:rsid w:val="00B619F4"/>
    <w:rsid w:val="00B61A01"/>
    <w:rsid w:val="00B61A19"/>
    <w:rsid w:val="00B61F4E"/>
    <w:rsid w:val="00B61FBE"/>
    <w:rsid w:val="00B62360"/>
    <w:rsid w:val="00B6246D"/>
    <w:rsid w:val="00B62550"/>
    <w:rsid w:val="00B62590"/>
    <w:rsid w:val="00B6269B"/>
    <w:rsid w:val="00B626C0"/>
    <w:rsid w:val="00B62700"/>
    <w:rsid w:val="00B6283C"/>
    <w:rsid w:val="00B6284A"/>
    <w:rsid w:val="00B62CC0"/>
    <w:rsid w:val="00B62F20"/>
    <w:rsid w:val="00B6327D"/>
    <w:rsid w:val="00B632AD"/>
    <w:rsid w:val="00B632FF"/>
    <w:rsid w:val="00B635F7"/>
    <w:rsid w:val="00B6393A"/>
    <w:rsid w:val="00B63970"/>
    <w:rsid w:val="00B6408C"/>
    <w:rsid w:val="00B64588"/>
    <w:rsid w:val="00B646A9"/>
    <w:rsid w:val="00B64AA0"/>
    <w:rsid w:val="00B64C7F"/>
    <w:rsid w:val="00B64C92"/>
    <w:rsid w:val="00B65027"/>
    <w:rsid w:val="00B651B5"/>
    <w:rsid w:val="00B6530F"/>
    <w:rsid w:val="00B6548E"/>
    <w:rsid w:val="00B65679"/>
    <w:rsid w:val="00B65812"/>
    <w:rsid w:val="00B65AF3"/>
    <w:rsid w:val="00B65FD3"/>
    <w:rsid w:val="00B66121"/>
    <w:rsid w:val="00B6634B"/>
    <w:rsid w:val="00B66381"/>
    <w:rsid w:val="00B663F1"/>
    <w:rsid w:val="00B6641C"/>
    <w:rsid w:val="00B666CB"/>
    <w:rsid w:val="00B6684C"/>
    <w:rsid w:val="00B66B43"/>
    <w:rsid w:val="00B66DAF"/>
    <w:rsid w:val="00B670BA"/>
    <w:rsid w:val="00B67271"/>
    <w:rsid w:val="00B6729F"/>
    <w:rsid w:val="00B676E1"/>
    <w:rsid w:val="00B67AB1"/>
    <w:rsid w:val="00B67C84"/>
    <w:rsid w:val="00B67D05"/>
    <w:rsid w:val="00B7006C"/>
    <w:rsid w:val="00B700C4"/>
    <w:rsid w:val="00B70143"/>
    <w:rsid w:val="00B70308"/>
    <w:rsid w:val="00B706E2"/>
    <w:rsid w:val="00B706FE"/>
    <w:rsid w:val="00B70A46"/>
    <w:rsid w:val="00B70A8C"/>
    <w:rsid w:val="00B70DE5"/>
    <w:rsid w:val="00B70FC2"/>
    <w:rsid w:val="00B71294"/>
    <w:rsid w:val="00B713D9"/>
    <w:rsid w:val="00B7144E"/>
    <w:rsid w:val="00B714EC"/>
    <w:rsid w:val="00B71933"/>
    <w:rsid w:val="00B71CD2"/>
    <w:rsid w:val="00B720D4"/>
    <w:rsid w:val="00B721B4"/>
    <w:rsid w:val="00B7222D"/>
    <w:rsid w:val="00B7244D"/>
    <w:rsid w:val="00B7267A"/>
    <w:rsid w:val="00B72878"/>
    <w:rsid w:val="00B72988"/>
    <w:rsid w:val="00B72A4D"/>
    <w:rsid w:val="00B72D88"/>
    <w:rsid w:val="00B72E20"/>
    <w:rsid w:val="00B72E6C"/>
    <w:rsid w:val="00B72E9E"/>
    <w:rsid w:val="00B730C2"/>
    <w:rsid w:val="00B730DC"/>
    <w:rsid w:val="00B731B2"/>
    <w:rsid w:val="00B7361F"/>
    <w:rsid w:val="00B73788"/>
    <w:rsid w:val="00B73C22"/>
    <w:rsid w:val="00B742DF"/>
    <w:rsid w:val="00B74542"/>
    <w:rsid w:val="00B748A6"/>
    <w:rsid w:val="00B74BA0"/>
    <w:rsid w:val="00B74CF7"/>
    <w:rsid w:val="00B74E24"/>
    <w:rsid w:val="00B74E9A"/>
    <w:rsid w:val="00B750C6"/>
    <w:rsid w:val="00B754A4"/>
    <w:rsid w:val="00B75554"/>
    <w:rsid w:val="00B755ED"/>
    <w:rsid w:val="00B75608"/>
    <w:rsid w:val="00B75682"/>
    <w:rsid w:val="00B757F1"/>
    <w:rsid w:val="00B758C1"/>
    <w:rsid w:val="00B759AA"/>
    <w:rsid w:val="00B75B4F"/>
    <w:rsid w:val="00B75D96"/>
    <w:rsid w:val="00B75DB8"/>
    <w:rsid w:val="00B75F7D"/>
    <w:rsid w:val="00B76071"/>
    <w:rsid w:val="00B760B4"/>
    <w:rsid w:val="00B76292"/>
    <w:rsid w:val="00B768C2"/>
    <w:rsid w:val="00B769E8"/>
    <w:rsid w:val="00B76BDD"/>
    <w:rsid w:val="00B76C7B"/>
    <w:rsid w:val="00B76D3B"/>
    <w:rsid w:val="00B76DBA"/>
    <w:rsid w:val="00B76DBB"/>
    <w:rsid w:val="00B76DC8"/>
    <w:rsid w:val="00B771DA"/>
    <w:rsid w:val="00B776E3"/>
    <w:rsid w:val="00B77A40"/>
    <w:rsid w:val="00B77B49"/>
    <w:rsid w:val="00B77BBF"/>
    <w:rsid w:val="00B77D2C"/>
    <w:rsid w:val="00B77F1D"/>
    <w:rsid w:val="00B77F57"/>
    <w:rsid w:val="00B800D8"/>
    <w:rsid w:val="00B80772"/>
    <w:rsid w:val="00B8089E"/>
    <w:rsid w:val="00B808C7"/>
    <w:rsid w:val="00B80B50"/>
    <w:rsid w:val="00B80D68"/>
    <w:rsid w:val="00B812BB"/>
    <w:rsid w:val="00B81389"/>
    <w:rsid w:val="00B816D1"/>
    <w:rsid w:val="00B8176D"/>
    <w:rsid w:val="00B81919"/>
    <w:rsid w:val="00B81AA6"/>
    <w:rsid w:val="00B81C48"/>
    <w:rsid w:val="00B81D0B"/>
    <w:rsid w:val="00B81F24"/>
    <w:rsid w:val="00B8204A"/>
    <w:rsid w:val="00B8205B"/>
    <w:rsid w:val="00B8218E"/>
    <w:rsid w:val="00B823A7"/>
    <w:rsid w:val="00B8249D"/>
    <w:rsid w:val="00B82567"/>
    <w:rsid w:val="00B82627"/>
    <w:rsid w:val="00B8267F"/>
    <w:rsid w:val="00B8279D"/>
    <w:rsid w:val="00B82D02"/>
    <w:rsid w:val="00B83097"/>
    <w:rsid w:val="00B830DC"/>
    <w:rsid w:val="00B83298"/>
    <w:rsid w:val="00B83403"/>
    <w:rsid w:val="00B8358F"/>
    <w:rsid w:val="00B83842"/>
    <w:rsid w:val="00B83A4B"/>
    <w:rsid w:val="00B84232"/>
    <w:rsid w:val="00B842DF"/>
    <w:rsid w:val="00B84331"/>
    <w:rsid w:val="00B845A8"/>
    <w:rsid w:val="00B84913"/>
    <w:rsid w:val="00B84937"/>
    <w:rsid w:val="00B84967"/>
    <w:rsid w:val="00B84A8E"/>
    <w:rsid w:val="00B84B30"/>
    <w:rsid w:val="00B84B6C"/>
    <w:rsid w:val="00B84DB6"/>
    <w:rsid w:val="00B84EED"/>
    <w:rsid w:val="00B84F29"/>
    <w:rsid w:val="00B8508D"/>
    <w:rsid w:val="00B85096"/>
    <w:rsid w:val="00B851EA"/>
    <w:rsid w:val="00B85271"/>
    <w:rsid w:val="00B8528E"/>
    <w:rsid w:val="00B857F8"/>
    <w:rsid w:val="00B85A53"/>
    <w:rsid w:val="00B85D46"/>
    <w:rsid w:val="00B85FAE"/>
    <w:rsid w:val="00B85FB7"/>
    <w:rsid w:val="00B86208"/>
    <w:rsid w:val="00B8624B"/>
    <w:rsid w:val="00B86372"/>
    <w:rsid w:val="00B865D1"/>
    <w:rsid w:val="00B86650"/>
    <w:rsid w:val="00B86804"/>
    <w:rsid w:val="00B8689F"/>
    <w:rsid w:val="00B8693B"/>
    <w:rsid w:val="00B86978"/>
    <w:rsid w:val="00B86AE6"/>
    <w:rsid w:val="00B86AF9"/>
    <w:rsid w:val="00B86C13"/>
    <w:rsid w:val="00B86EA1"/>
    <w:rsid w:val="00B86F1C"/>
    <w:rsid w:val="00B86F77"/>
    <w:rsid w:val="00B87051"/>
    <w:rsid w:val="00B871F0"/>
    <w:rsid w:val="00B87403"/>
    <w:rsid w:val="00B8751C"/>
    <w:rsid w:val="00B87802"/>
    <w:rsid w:val="00B87882"/>
    <w:rsid w:val="00B878BC"/>
    <w:rsid w:val="00B87905"/>
    <w:rsid w:val="00B87934"/>
    <w:rsid w:val="00B87951"/>
    <w:rsid w:val="00B879CE"/>
    <w:rsid w:val="00B87BCE"/>
    <w:rsid w:val="00B9045F"/>
    <w:rsid w:val="00B906A7"/>
    <w:rsid w:val="00B90A0B"/>
    <w:rsid w:val="00B90AA7"/>
    <w:rsid w:val="00B90D03"/>
    <w:rsid w:val="00B9137B"/>
    <w:rsid w:val="00B91453"/>
    <w:rsid w:val="00B919A4"/>
    <w:rsid w:val="00B91A26"/>
    <w:rsid w:val="00B91CA5"/>
    <w:rsid w:val="00B91CB3"/>
    <w:rsid w:val="00B91E1A"/>
    <w:rsid w:val="00B9230F"/>
    <w:rsid w:val="00B92368"/>
    <w:rsid w:val="00B923CA"/>
    <w:rsid w:val="00B92562"/>
    <w:rsid w:val="00B925CD"/>
    <w:rsid w:val="00B926F6"/>
    <w:rsid w:val="00B92825"/>
    <w:rsid w:val="00B9283D"/>
    <w:rsid w:val="00B928D9"/>
    <w:rsid w:val="00B92B01"/>
    <w:rsid w:val="00B92B39"/>
    <w:rsid w:val="00B93311"/>
    <w:rsid w:val="00B9363B"/>
    <w:rsid w:val="00B93798"/>
    <w:rsid w:val="00B937BA"/>
    <w:rsid w:val="00B93809"/>
    <w:rsid w:val="00B938DC"/>
    <w:rsid w:val="00B93919"/>
    <w:rsid w:val="00B93AAF"/>
    <w:rsid w:val="00B93FF9"/>
    <w:rsid w:val="00B940CB"/>
    <w:rsid w:val="00B940D0"/>
    <w:rsid w:val="00B941ED"/>
    <w:rsid w:val="00B94335"/>
    <w:rsid w:val="00B943ED"/>
    <w:rsid w:val="00B944A0"/>
    <w:rsid w:val="00B94569"/>
    <w:rsid w:val="00B94879"/>
    <w:rsid w:val="00B94887"/>
    <w:rsid w:val="00B94D92"/>
    <w:rsid w:val="00B95273"/>
    <w:rsid w:val="00B95474"/>
    <w:rsid w:val="00B9575B"/>
    <w:rsid w:val="00B957B9"/>
    <w:rsid w:val="00B95866"/>
    <w:rsid w:val="00B95AD0"/>
    <w:rsid w:val="00B95AF3"/>
    <w:rsid w:val="00B95FAD"/>
    <w:rsid w:val="00B95FBC"/>
    <w:rsid w:val="00B9655A"/>
    <w:rsid w:val="00B9660A"/>
    <w:rsid w:val="00B96777"/>
    <w:rsid w:val="00B96A15"/>
    <w:rsid w:val="00B96CDE"/>
    <w:rsid w:val="00B96CF5"/>
    <w:rsid w:val="00B96E12"/>
    <w:rsid w:val="00B97087"/>
    <w:rsid w:val="00B97943"/>
    <w:rsid w:val="00B9798A"/>
    <w:rsid w:val="00B979EE"/>
    <w:rsid w:val="00B97A8A"/>
    <w:rsid w:val="00B97ACA"/>
    <w:rsid w:val="00B97AD7"/>
    <w:rsid w:val="00B97B78"/>
    <w:rsid w:val="00B97D6D"/>
    <w:rsid w:val="00B97EB0"/>
    <w:rsid w:val="00BA0002"/>
    <w:rsid w:val="00BA0033"/>
    <w:rsid w:val="00BA007C"/>
    <w:rsid w:val="00BA012A"/>
    <w:rsid w:val="00BA0152"/>
    <w:rsid w:val="00BA0345"/>
    <w:rsid w:val="00BA0789"/>
    <w:rsid w:val="00BA08F9"/>
    <w:rsid w:val="00BA0A9B"/>
    <w:rsid w:val="00BA0B59"/>
    <w:rsid w:val="00BA0BBD"/>
    <w:rsid w:val="00BA0D13"/>
    <w:rsid w:val="00BA0FC7"/>
    <w:rsid w:val="00BA1096"/>
    <w:rsid w:val="00BA11AF"/>
    <w:rsid w:val="00BA129A"/>
    <w:rsid w:val="00BA12A2"/>
    <w:rsid w:val="00BA145D"/>
    <w:rsid w:val="00BA157C"/>
    <w:rsid w:val="00BA168B"/>
    <w:rsid w:val="00BA17DE"/>
    <w:rsid w:val="00BA1810"/>
    <w:rsid w:val="00BA18C8"/>
    <w:rsid w:val="00BA1A25"/>
    <w:rsid w:val="00BA1AA5"/>
    <w:rsid w:val="00BA1C31"/>
    <w:rsid w:val="00BA1CF6"/>
    <w:rsid w:val="00BA206E"/>
    <w:rsid w:val="00BA230D"/>
    <w:rsid w:val="00BA2398"/>
    <w:rsid w:val="00BA23CC"/>
    <w:rsid w:val="00BA24E0"/>
    <w:rsid w:val="00BA24EC"/>
    <w:rsid w:val="00BA2837"/>
    <w:rsid w:val="00BA2952"/>
    <w:rsid w:val="00BA299C"/>
    <w:rsid w:val="00BA2C34"/>
    <w:rsid w:val="00BA2C95"/>
    <w:rsid w:val="00BA2D08"/>
    <w:rsid w:val="00BA2DF4"/>
    <w:rsid w:val="00BA2F1E"/>
    <w:rsid w:val="00BA2F9B"/>
    <w:rsid w:val="00BA3015"/>
    <w:rsid w:val="00BA303A"/>
    <w:rsid w:val="00BA32B2"/>
    <w:rsid w:val="00BA3359"/>
    <w:rsid w:val="00BA35C7"/>
    <w:rsid w:val="00BA3717"/>
    <w:rsid w:val="00BA386D"/>
    <w:rsid w:val="00BA38C4"/>
    <w:rsid w:val="00BA38F6"/>
    <w:rsid w:val="00BA39E8"/>
    <w:rsid w:val="00BA3CEF"/>
    <w:rsid w:val="00BA3D7A"/>
    <w:rsid w:val="00BA3DA3"/>
    <w:rsid w:val="00BA3E46"/>
    <w:rsid w:val="00BA3EB4"/>
    <w:rsid w:val="00BA40EA"/>
    <w:rsid w:val="00BA41EB"/>
    <w:rsid w:val="00BA449E"/>
    <w:rsid w:val="00BA4834"/>
    <w:rsid w:val="00BA49DF"/>
    <w:rsid w:val="00BA4ABE"/>
    <w:rsid w:val="00BA4BE3"/>
    <w:rsid w:val="00BA4C08"/>
    <w:rsid w:val="00BA4C59"/>
    <w:rsid w:val="00BA4C9E"/>
    <w:rsid w:val="00BA4EC4"/>
    <w:rsid w:val="00BA50CA"/>
    <w:rsid w:val="00BA5220"/>
    <w:rsid w:val="00BA535D"/>
    <w:rsid w:val="00BA54D6"/>
    <w:rsid w:val="00BA55A6"/>
    <w:rsid w:val="00BA56C3"/>
    <w:rsid w:val="00BA5739"/>
    <w:rsid w:val="00BA57D0"/>
    <w:rsid w:val="00BA5DB1"/>
    <w:rsid w:val="00BA5E26"/>
    <w:rsid w:val="00BA5FA6"/>
    <w:rsid w:val="00BA60C8"/>
    <w:rsid w:val="00BA618A"/>
    <w:rsid w:val="00BA659D"/>
    <w:rsid w:val="00BA65E5"/>
    <w:rsid w:val="00BA65F2"/>
    <w:rsid w:val="00BA68D1"/>
    <w:rsid w:val="00BA6C2D"/>
    <w:rsid w:val="00BA6CEE"/>
    <w:rsid w:val="00BA6F81"/>
    <w:rsid w:val="00BA70B4"/>
    <w:rsid w:val="00BA72F9"/>
    <w:rsid w:val="00BA7348"/>
    <w:rsid w:val="00BA75E4"/>
    <w:rsid w:val="00BA76A8"/>
    <w:rsid w:val="00BA78F2"/>
    <w:rsid w:val="00BA78F7"/>
    <w:rsid w:val="00BA7903"/>
    <w:rsid w:val="00BA7A62"/>
    <w:rsid w:val="00BA7AC2"/>
    <w:rsid w:val="00BA7AD5"/>
    <w:rsid w:val="00BA7D37"/>
    <w:rsid w:val="00BA7DB3"/>
    <w:rsid w:val="00BA7E74"/>
    <w:rsid w:val="00BB012B"/>
    <w:rsid w:val="00BB0386"/>
    <w:rsid w:val="00BB08F7"/>
    <w:rsid w:val="00BB09DF"/>
    <w:rsid w:val="00BB0AEB"/>
    <w:rsid w:val="00BB0C18"/>
    <w:rsid w:val="00BB0D58"/>
    <w:rsid w:val="00BB0DAB"/>
    <w:rsid w:val="00BB0F75"/>
    <w:rsid w:val="00BB11B2"/>
    <w:rsid w:val="00BB128A"/>
    <w:rsid w:val="00BB13D3"/>
    <w:rsid w:val="00BB1439"/>
    <w:rsid w:val="00BB1599"/>
    <w:rsid w:val="00BB1669"/>
    <w:rsid w:val="00BB168C"/>
    <w:rsid w:val="00BB1B43"/>
    <w:rsid w:val="00BB1B4C"/>
    <w:rsid w:val="00BB1CCD"/>
    <w:rsid w:val="00BB2028"/>
    <w:rsid w:val="00BB2046"/>
    <w:rsid w:val="00BB210A"/>
    <w:rsid w:val="00BB229B"/>
    <w:rsid w:val="00BB2514"/>
    <w:rsid w:val="00BB2631"/>
    <w:rsid w:val="00BB263E"/>
    <w:rsid w:val="00BB26D6"/>
    <w:rsid w:val="00BB28C5"/>
    <w:rsid w:val="00BB2ACB"/>
    <w:rsid w:val="00BB2B29"/>
    <w:rsid w:val="00BB2BBC"/>
    <w:rsid w:val="00BB2C58"/>
    <w:rsid w:val="00BB2CE8"/>
    <w:rsid w:val="00BB2EA7"/>
    <w:rsid w:val="00BB2F75"/>
    <w:rsid w:val="00BB3342"/>
    <w:rsid w:val="00BB3623"/>
    <w:rsid w:val="00BB3655"/>
    <w:rsid w:val="00BB36E3"/>
    <w:rsid w:val="00BB3BAC"/>
    <w:rsid w:val="00BB3D4E"/>
    <w:rsid w:val="00BB3E07"/>
    <w:rsid w:val="00BB3F0C"/>
    <w:rsid w:val="00BB3F1C"/>
    <w:rsid w:val="00BB3FC5"/>
    <w:rsid w:val="00BB4145"/>
    <w:rsid w:val="00BB4226"/>
    <w:rsid w:val="00BB4440"/>
    <w:rsid w:val="00BB4456"/>
    <w:rsid w:val="00BB4473"/>
    <w:rsid w:val="00BB4531"/>
    <w:rsid w:val="00BB4627"/>
    <w:rsid w:val="00BB468A"/>
    <w:rsid w:val="00BB48D2"/>
    <w:rsid w:val="00BB4A61"/>
    <w:rsid w:val="00BB4BCA"/>
    <w:rsid w:val="00BB4C11"/>
    <w:rsid w:val="00BB4D2B"/>
    <w:rsid w:val="00BB505E"/>
    <w:rsid w:val="00BB5175"/>
    <w:rsid w:val="00BB51E8"/>
    <w:rsid w:val="00BB551D"/>
    <w:rsid w:val="00BB57D7"/>
    <w:rsid w:val="00BB5D8E"/>
    <w:rsid w:val="00BB5E98"/>
    <w:rsid w:val="00BB60A2"/>
    <w:rsid w:val="00BB6281"/>
    <w:rsid w:val="00BB64D6"/>
    <w:rsid w:val="00BB6510"/>
    <w:rsid w:val="00BB6688"/>
    <w:rsid w:val="00BB67DA"/>
    <w:rsid w:val="00BB6B54"/>
    <w:rsid w:val="00BB6E2A"/>
    <w:rsid w:val="00BB6F0C"/>
    <w:rsid w:val="00BB702E"/>
    <w:rsid w:val="00BB72D2"/>
    <w:rsid w:val="00BB7313"/>
    <w:rsid w:val="00BB74DE"/>
    <w:rsid w:val="00BB7751"/>
    <w:rsid w:val="00BB784B"/>
    <w:rsid w:val="00BB7A3E"/>
    <w:rsid w:val="00BB7B9C"/>
    <w:rsid w:val="00BB7CA2"/>
    <w:rsid w:val="00BC06C9"/>
    <w:rsid w:val="00BC072E"/>
    <w:rsid w:val="00BC08D1"/>
    <w:rsid w:val="00BC09FB"/>
    <w:rsid w:val="00BC0A2C"/>
    <w:rsid w:val="00BC0A61"/>
    <w:rsid w:val="00BC0FB0"/>
    <w:rsid w:val="00BC14F5"/>
    <w:rsid w:val="00BC172F"/>
    <w:rsid w:val="00BC1741"/>
    <w:rsid w:val="00BC1918"/>
    <w:rsid w:val="00BC19BA"/>
    <w:rsid w:val="00BC1B14"/>
    <w:rsid w:val="00BC1BBD"/>
    <w:rsid w:val="00BC1E27"/>
    <w:rsid w:val="00BC1FA2"/>
    <w:rsid w:val="00BC2098"/>
    <w:rsid w:val="00BC20C8"/>
    <w:rsid w:val="00BC22A0"/>
    <w:rsid w:val="00BC24D8"/>
    <w:rsid w:val="00BC2605"/>
    <w:rsid w:val="00BC2790"/>
    <w:rsid w:val="00BC2803"/>
    <w:rsid w:val="00BC28D1"/>
    <w:rsid w:val="00BC2AC7"/>
    <w:rsid w:val="00BC2B3B"/>
    <w:rsid w:val="00BC2B7D"/>
    <w:rsid w:val="00BC2D8A"/>
    <w:rsid w:val="00BC2DD1"/>
    <w:rsid w:val="00BC2EFC"/>
    <w:rsid w:val="00BC3188"/>
    <w:rsid w:val="00BC31AA"/>
    <w:rsid w:val="00BC3232"/>
    <w:rsid w:val="00BC32C6"/>
    <w:rsid w:val="00BC3612"/>
    <w:rsid w:val="00BC36A7"/>
    <w:rsid w:val="00BC37EB"/>
    <w:rsid w:val="00BC39FC"/>
    <w:rsid w:val="00BC3A6A"/>
    <w:rsid w:val="00BC4008"/>
    <w:rsid w:val="00BC4198"/>
    <w:rsid w:val="00BC4579"/>
    <w:rsid w:val="00BC463D"/>
    <w:rsid w:val="00BC4661"/>
    <w:rsid w:val="00BC47AE"/>
    <w:rsid w:val="00BC49B1"/>
    <w:rsid w:val="00BC4A5B"/>
    <w:rsid w:val="00BC4ACA"/>
    <w:rsid w:val="00BC4AD0"/>
    <w:rsid w:val="00BC4AFC"/>
    <w:rsid w:val="00BC4F8B"/>
    <w:rsid w:val="00BC50B6"/>
    <w:rsid w:val="00BC517D"/>
    <w:rsid w:val="00BC53F2"/>
    <w:rsid w:val="00BC5799"/>
    <w:rsid w:val="00BC5F33"/>
    <w:rsid w:val="00BC6167"/>
    <w:rsid w:val="00BC61E8"/>
    <w:rsid w:val="00BC6254"/>
    <w:rsid w:val="00BC65C6"/>
    <w:rsid w:val="00BC676C"/>
    <w:rsid w:val="00BC695E"/>
    <w:rsid w:val="00BC6E8B"/>
    <w:rsid w:val="00BC6EBC"/>
    <w:rsid w:val="00BC7174"/>
    <w:rsid w:val="00BC71C2"/>
    <w:rsid w:val="00BC72DD"/>
    <w:rsid w:val="00BC7606"/>
    <w:rsid w:val="00BC76C8"/>
    <w:rsid w:val="00BC79D1"/>
    <w:rsid w:val="00BC7A7E"/>
    <w:rsid w:val="00BC7D96"/>
    <w:rsid w:val="00BC7DBD"/>
    <w:rsid w:val="00BC7F7F"/>
    <w:rsid w:val="00BD01BF"/>
    <w:rsid w:val="00BD01ED"/>
    <w:rsid w:val="00BD06B6"/>
    <w:rsid w:val="00BD081B"/>
    <w:rsid w:val="00BD0865"/>
    <w:rsid w:val="00BD08CE"/>
    <w:rsid w:val="00BD0B1B"/>
    <w:rsid w:val="00BD0BB6"/>
    <w:rsid w:val="00BD0CA8"/>
    <w:rsid w:val="00BD0F11"/>
    <w:rsid w:val="00BD10E6"/>
    <w:rsid w:val="00BD11D4"/>
    <w:rsid w:val="00BD13E7"/>
    <w:rsid w:val="00BD1464"/>
    <w:rsid w:val="00BD165F"/>
    <w:rsid w:val="00BD1940"/>
    <w:rsid w:val="00BD1BDE"/>
    <w:rsid w:val="00BD1BF9"/>
    <w:rsid w:val="00BD1E38"/>
    <w:rsid w:val="00BD21B0"/>
    <w:rsid w:val="00BD2410"/>
    <w:rsid w:val="00BD27B8"/>
    <w:rsid w:val="00BD2853"/>
    <w:rsid w:val="00BD2B96"/>
    <w:rsid w:val="00BD2D2C"/>
    <w:rsid w:val="00BD2E57"/>
    <w:rsid w:val="00BD2F79"/>
    <w:rsid w:val="00BD3737"/>
    <w:rsid w:val="00BD39EB"/>
    <w:rsid w:val="00BD3A3F"/>
    <w:rsid w:val="00BD3CC8"/>
    <w:rsid w:val="00BD3D24"/>
    <w:rsid w:val="00BD3DAD"/>
    <w:rsid w:val="00BD469D"/>
    <w:rsid w:val="00BD49FD"/>
    <w:rsid w:val="00BD4A85"/>
    <w:rsid w:val="00BD4B1A"/>
    <w:rsid w:val="00BD4C61"/>
    <w:rsid w:val="00BD509A"/>
    <w:rsid w:val="00BD5789"/>
    <w:rsid w:val="00BD5BD6"/>
    <w:rsid w:val="00BD5C5C"/>
    <w:rsid w:val="00BD6182"/>
    <w:rsid w:val="00BD62E0"/>
    <w:rsid w:val="00BD6334"/>
    <w:rsid w:val="00BD6364"/>
    <w:rsid w:val="00BD638C"/>
    <w:rsid w:val="00BD640F"/>
    <w:rsid w:val="00BD6551"/>
    <w:rsid w:val="00BD67FF"/>
    <w:rsid w:val="00BD6820"/>
    <w:rsid w:val="00BD6A77"/>
    <w:rsid w:val="00BD6C77"/>
    <w:rsid w:val="00BD6C86"/>
    <w:rsid w:val="00BD6D3F"/>
    <w:rsid w:val="00BD6DEB"/>
    <w:rsid w:val="00BD6E3B"/>
    <w:rsid w:val="00BD6EEE"/>
    <w:rsid w:val="00BD70A5"/>
    <w:rsid w:val="00BD73B8"/>
    <w:rsid w:val="00BD7489"/>
    <w:rsid w:val="00BD74D9"/>
    <w:rsid w:val="00BD7789"/>
    <w:rsid w:val="00BD7B2F"/>
    <w:rsid w:val="00BD7B3E"/>
    <w:rsid w:val="00BD7B95"/>
    <w:rsid w:val="00BD7C26"/>
    <w:rsid w:val="00BD7D64"/>
    <w:rsid w:val="00BD7DD8"/>
    <w:rsid w:val="00BE032B"/>
    <w:rsid w:val="00BE033B"/>
    <w:rsid w:val="00BE042E"/>
    <w:rsid w:val="00BE05DF"/>
    <w:rsid w:val="00BE0854"/>
    <w:rsid w:val="00BE0C60"/>
    <w:rsid w:val="00BE0C99"/>
    <w:rsid w:val="00BE0CA9"/>
    <w:rsid w:val="00BE0F51"/>
    <w:rsid w:val="00BE1028"/>
    <w:rsid w:val="00BE1335"/>
    <w:rsid w:val="00BE1650"/>
    <w:rsid w:val="00BE17C9"/>
    <w:rsid w:val="00BE1A61"/>
    <w:rsid w:val="00BE1E23"/>
    <w:rsid w:val="00BE1FDD"/>
    <w:rsid w:val="00BE206D"/>
    <w:rsid w:val="00BE229A"/>
    <w:rsid w:val="00BE2499"/>
    <w:rsid w:val="00BE24E5"/>
    <w:rsid w:val="00BE26B7"/>
    <w:rsid w:val="00BE27F2"/>
    <w:rsid w:val="00BE2855"/>
    <w:rsid w:val="00BE2991"/>
    <w:rsid w:val="00BE29A4"/>
    <w:rsid w:val="00BE2A93"/>
    <w:rsid w:val="00BE2ACF"/>
    <w:rsid w:val="00BE2ADB"/>
    <w:rsid w:val="00BE2FE9"/>
    <w:rsid w:val="00BE36E0"/>
    <w:rsid w:val="00BE37A6"/>
    <w:rsid w:val="00BE3834"/>
    <w:rsid w:val="00BE39B9"/>
    <w:rsid w:val="00BE3CCE"/>
    <w:rsid w:val="00BE3E6B"/>
    <w:rsid w:val="00BE409A"/>
    <w:rsid w:val="00BE4354"/>
    <w:rsid w:val="00BE436A"/>
    <w:rsid w:val="00BE464D"/>
    <w:rsid w:val="00BE4768"/>
    <w:rsid w:val="00BE48AD"/>
    <w:rsid w:val="00BE491C"/>
    <w:rsid w:val="00BE4B76"/>
    <w:rsid w:val="00BE4B81"/>
    <w:rsid w:val="00BE4C5E"/>
    <w:rsid w:val="00BE4CC7"/>
    <w:rsid w:val="00BE4D48"/>
    <w:rsid w:val="00BE4F89"/>
    <w:rsid w:val="00BE52B0"/>
    <w:rsid w:val="00BE5447"/>
    <w:rsid w:val="00BE548F"/>
    <w:rsid w:val="00BE5562"/>
    <w:rsid w:val="00BE55AE"/>
    <w:rsid w:val="00BE56CE"/>
    <w:rsid w:val="00BE58EE"/>
    <w:rsid w:val="00BE59A1"/>
    <w:rsid w:val="00BE5A5F"/>
    <w:rsid w:val="00BE5F36"/>
    <w:rsid w:val="00BE6000"/>
    <w:rsid w:val="00BE6380"/>
    <w:rsid w:val="00BE63AF"/>
    <w:rsid w:val="00BE65A9"/>
    <w:rsid w:val="00BE6A6F"/>
    <w:rsid w:val="00BE6DA1"/>
    <w:rsid w:val="00BE6EC8"/>
    <w:rsid w:val="00BE6F01"/>
    <w:rsid w:val="00BE6FA7"/>
    <w:rsid w:val="00BE71AE"/>
    <w:rsid w:val="00BE7238"/>
    <w:rsid w:val="00BE7398"/>
    <w:rsid w:val="00BE7465"/>
    <w:rsid w:val="00BE7481"/>
    <w:rsid w:val="00BE7626"/>
    <w:rsid w:val="00BE766D"/>
    <w:rsid w:val="00BE769B"/>
    <w:rsid w:val="00BE79AD"/>
    <w:rsid w:val="00BE7C40"/>
    <w:rsid w:val="00BF01CB"/>
    <w:rsid w:val="00BF02A3"/>
    <w:rsid w:val="00BF05A6"/>
    <w:rsid w:val="00BF06C9"/>
    <w:rsid w:val="00BF0847"/>
    <w:rsid w:val="00BF0BA7"/>
    <w:rsid w:val="00BF0BD7"/>
    <w:rsid w:val="00BF0C46"/>
    <w:rsid w:val="00BF0CD1"/>
    <w:rsid w:val="00BF0D9D"/>
    <w:rsid w:val="00BF0E96"/>
    <w:rsid w:val="00BF105C"/>
    <w:rsid w:val="00BF10B8"/>
    <w:rsid w:val="00BF12B7"/>
    <w:rsid w:val="00BF14D8"/>
    <w:rsid w:val="00BF157D"/>
    <w:rsid w:val="00BF1AF1"/>
    <w:rsid w:val="00BF1BD4"/>
    <w:rsid w:val="00BF1CBD"/>
    <w:rsid w:val="00BF1FD8"/>
    <w:rsid w:val="00BF20E8"/>
    <w:rsid w:val="00BF2596"/>
    <w:rsid w:val="00BF2C44"/>
    <w:rsid w:val="00BF2D81"/>
    <w:rsid w:val="00BF327F"/>
    <w:rsid w:val="00BF32C9"/>
    <w:rsid w:val="00BF337C"/>
    <w:rsid w:val="00BF362E"/>
    <w:rsid w:val="00BF3782"/>
    <w:rsid w:val="00BF38CD"/>
    <w:rsid w:val="00BF38DC"/>
    <w:rsid w:val="00BF3BCA"/>
    <w:rsid w:val="00BF3C64"/>
    <w:rsid w:val="00BF3CFB"/>
    <w:rsid w:val="00BF426F"/>
    <w:rsid w:val="00BF4284"/>
    <w:rsid w:val="00BF4534"/>
    <w:rsid w:val="00BF4595"/>
    <w:rsid w:val="00BF4598"/>
    <w:rsid w:val="00BF46E2"/>
    <w:rsid w:val="00BF4737"/>
    <w:rsid w:val="00BF475A"/>
    <w:rsid w:val="00BF4880"/>
    <w:rsid w:val="00BF48A6"/>
    <w:rsid w:val="00BF4C05"/>
    <w:rsid w:val="00BF4DAF"/>
    <w:rsid w:val="00BF54B2"/>
    <w:rsid w:val="00BF5564"/>
    <w:rsid w:val="00BF5997"/>
    <w:rsid w:val="00BF59CA"/>
    <w:rsid w:val="00BF5BDD"/>
    <w:rsid w:val="00BF5C35"/>
    <w:rsid w:val="00BF5C64"/>
    <w:rsid w:val="00BF5C7E"/>
    <w:rsid w:val="00BF5C87"/>
    <w:rsid w:val="00BF5F35"/>
    <w:rsid w:val="00BF5F3D"/>
    <w:rsid w:val="00BF5FA5"/>
    <w:rsid w:val="00BF6050"/>
    <w:rsid w:val="00BF63B6"/>
    <w:rsid w:val="00BF6441"/>
    <w:rsid w:val="00BF66EE"/>
    <w:rsid w:val="00BF6B66"/>
    <w:rsid w:val="00BF6D7E"/>
    <w:rsid w:val="00BF71A3"/>
    <w:rsid w:val="00BF71AB"/>
    <w:rsid w:val="00BF7490"/>
    <w:rsid w:val="00BF75A1"/>
    <w:rsid w:val="00BF7680"/>
    <w:rsid w:val="00BF78A3"/>
    <w:rsid w:val="00BF796C"/>
    <w:rsid w:val="00BF7A2C"/>
    <w:rsid w:val="00BF7A2E"/>
    <w:rsid w:val="00BF7A78"/>
    <w:rsid w:val="00BF7AC0"/>
    <w:rsid w:val="00BF7B38"/>
    <w:rsid w:val="00BF7B9B"/>
    <w:rsid w:val="00BF7BD3"/>
    <w:rsid w:val="00BF7E8C"/>
    <w:rsid w:val="00C0018A"/>
    <w:rsid w:val="00C001B6"/>
    <w:rsid w:val="00C002A8"/>
    <w:rsid w:val="00C0037D"/>
    <w:rsid w:val="00C003B9"/>
    <w:rsid w:val="00C00435"/>
    <w:rsid w:val="00C0059A"/>
    <w:rsid w:val="00C008E3"/>
    <w:rsid w:val="00C00905"/>
    <w:rsid w:val="00C00A7C"/>
    <w:rsid w:val="00C00E35"/>
    <w:rsid w:val="00C00ED0"/>
    <w:rsid w:val="00C0104C"/>
    <w:rsid w:val="00C0107B"/>
    <w:rsid w:val="00C01170"/>
    <w:rsid w:val="00C0156D"/>
    <w:rsid w:val="00C01684"/>
    <w:rsid w:val="00C017B6"/>
    <w:rsid w:val="00C01892"/>
    <w:rsid w:val="00C01A41"/>
    <w:rsid w:val="00C01BBB"/>
    <w:rsid w:val="00C01FD1"/>
    <w:rsid w:val="00C0203A"/>
    <w:rsid w:val="00C02082"/>
    <w:rsid w:val="00C02120"/>
    <w:rsid w:val="00C02180"/>
    <w:rsid w:val="00C0238A"/>
    <w:rsid w:val="00C024A5"/>
    <w:rsid w:val="00C02B0B"/>
    <w:rsid w:val="00C02C80"/>
    <w:rsid w:val="00C02C96"/>
    <w:rsid w:val="00C02CE1"/>
    <w:rsid w:val="00C02D1E"/>
    <w:rsid w:val="00C0314D"/>
    <w:rsid w:val="00C0331F"/>
    <w:rsid w:val="00C0345A"/>
    <w:rsid w:val="00C0357B"/>
    <w:rsid w:val="00C035B5"/>
    <w:rsid w:val="00C036AC"/>
    <w:rsid w:val="00C03865"/>
    <w:rsid w:val="00C03D5A"/>
    <w:rsid w:val="00C04006"/>
    <w:rsid w:val="00C041FE"/>
    <w:rsid w:val="00C043EB"/>
    <w:rsid w:val="00C043EC"/>
    <w:rsid w:val="00C04A19"/>
    <w:rsid w:val="00C04BEE"/>
    <w:rsid w:val="00C04E43"/>
    <w:rsid w:val="00C04FA0"/>
    <w:rsid w:val="00C05276"/>
    <w:rsid w:val="00C053EB"/>
    <w:rsid w:val="00C054A3"/>
    <w:rsid w:val="00C05586"/>
    <w:rsid w:val="00C05622"/>
    <w:rsid w:val="00C05752"/>
    <w:rsid w:val="00C0582D"/>
    <w:rsid w:val="00C05851"/>
    <w:rsid w:val="00C05ECD"/>
    <w:rsid w:val="00C0600D"/>
    <w:rsid w:val="00C06094"/>
    <w:rsid w:val="00C06241"/>
    <w:rsid w:val="00C06622"/>
    <w:rsid w:val="00C06BEC"/>
    <w:rsid w:val="00C06CDD"/>
    <w:rsid w:val="00C06E51"/>
    <w:rsid w:val="00C07297"/>
    <w:rsid w:val="00C073DB"/>
    <w:rsid w:val="00C07620"/>
    <w:rsid w:val="00C0798C"/>
    <w:rsid w:val="00C07AB6"/>
    <w:rsid w:val="00C07AC7"/>
    <w:rsid w:val="00C07ACB"/>
    <w:rsid w:val="00C102F3"/>
    <w:rsid w:val="00C1049D"/>
    <w:rsid w:val="00C105C2"/>
    <w:rsid w:val="00C106B8"/>
    <w:rsid w:val="00C10A53"/>
    <w:rsid w:val="00C10AFD"/>
    <w:rsid w:val="00C10B22"/>
    <w:rsid w:val="00C10C3F"/>
    <w:rsid w:val="00C10C52"/>
    <w:rsid w:val="00C10DC5"/>
    <w:rsid w:val="00C1117B"/>
    <w:rsid w:val="00C11185"/>
    <w:rsid w:val="00C1144A"/>
    <w:rsid w:val="00C1159F"/>
    <w:rsid w:val="00C11623"/>
    <w:rsid w:val="00C1172F"/>
    <w:rsid w:val="00C119A0"/>
    <w:rsid w:val="00C119E0"/>
    <w:rsid w:val="00C11A92"/>
    <w:rsid w:val="00C11ABD"/>
    <w:rsid w:val="00C11B1E"/>
    <w:rsid w:val="00C124E7"/>
    <w:rsid w:val="00C1271D"/>
    <w:rsid w:val="00C129D9"/>
    <w:rsid w:val="00C12F0E"/>
    <w:rsid w:val="00C13089"/>
    <w:rsid w:val="00C13363"/>
    <w:rsid w:val="00C13401"/>
    <w:rsid w:val="00C134DA"/>
    <w:rsid w:val="00C13547"/>
    <w:rsid w:val="00C13656"/>
    <w:rsid w:val="00C13861"/>
    <w:rsid w:val="00C13991"/>
    <w:rsid w:val="00C13B6F"/>
    <w:rsid w:val="00C13C06"/>
    <w:rsid w:val="00C13C90"/>
    <w:rsid w:val="00C13CF2"/>
    <w:rsid w:val="00C13E64"/>
    <w:rsid w:val="00C13E6D"/>
    <w:rsid w:val="00C13EB9"/>
    <w:rsid w:val="00C140F8"/>
    <w:rsid w:val="00C14145"/>
    <w:rsid w:val="00C144FE"/>
    <w:rsid w:val="00C146B3"/>
    <w:rsid w:val="00C14ECA"/>
    <w:rsid w:val="00C14F19"/>
    <w:rsid w:val="00C14FB2"/>
    <w:rsid w:val="00C14FE8"/>
    <w:rsid w:val="00C15205"/>
    <w:rsid w:val="00C1553A"/>
    <w:rsid w:val="00C1575F"/>
    <w:rsid w:val="00C15765"/>
    <w:rsid w:val="00C157A6"/>
    <w:rsid w:val="00C15B0C"/>
    <w:rsid w:val="00C15DE5"/>
    <w:rsid w:val="00C15EEF"/>
    <w:rsid w:val="00C15F6C"/>
    <w:rsid w:val="00C163FE"/>
    <w:rsid w:val="00C16621"/>
    <w:rsid w:val="00C1665F"/>
    <w:rsid w:val="00C16850"/>
    <w:rsid w:val="00C168CF"/>
    <w:rsid w:val="00C16912"/>
    <w:rsid w:val="00C16BF7"/>
    <w:rsid w:val="00C17007"/>
    <w:rsid w:val="00C17204"/>
    <w:rsid w:val="00C17304"/>
    <w:rsid w:val="00C1748F"/>
    <w:rsid w:val="00C1764D"/>
    <w:rsid w:val="00C17681"/>
    <w:rsid w:val="00C176AC"/>
    <w:rsid w:val="00C17CE1"/>
    <w:rsid w:val="00C17EEF"/>
    <w:rsid w:val="00C17F2A"/>
    <w:rsid w:val="00C17F99"/>
    <w:rsid w:val="00C200B9"/>
    <w:rsid w:val="00C20289"/>
    <w:rsid w:val="00C2058B"/>
    <w:rsid w:val="00C20668"/>
    <w:rsid w:val="00C208B8"/>
    <w:rsid w:val="00C209AD"/>
    <w:rsid w:val="00C20B13"/>
    <w:rsid w:val="00C20B3C"/>
    <w:rsid w:val="00C2103A"/>
    <w:rsid w:val="00C21048"/>
    <w:rsid w:val="00C21051"/>
    <w:rsid w:val="00C2164B"/>
    <w:rsid w:val="00C21DA3"/>
    <w:rsid w:val="00C21EF9"/>
    <w:rsid w:val="00C21FA7"/>
    <w:rsid w:val="00C21FE6"/>
    <w:rsid w:val="00C220E4"/>
    <w:rsid w:val="00C221C0"/>
    <w:rsid w:val="00C222A1"/>
    <w:rsid w:val="00C222F7"/>
    <w:rsid w:val="00C22397"/>
    <w:rsid w:val="00C224E3"/>
    <w:rsid w:val="00C2260B"/>
    <w:rsid w:val="00C22AAB"/>
    <w:rsid w:val="00C22D08"/>
    <w:rsid w:val="00C22D59"/>
    <w:rsid w:val="00C22ECB"/>
    <w:rsid w:val="00C23795"/>
    <w:rsid w:val="00C23826"/>
    <w:rsid w:val="00C239ED"/>
    <w:rsid w:val="00C23BB4"/>
    <w:rsid w:val="00C23DD5"/>
    <w:rsid w:val="00C23F47"/>
    <w:rsid w:val="00C23F5B"/>
    <w:rsid w:val="00C241D0"/>
    <w:rsid w:val="00C242C1"/>
    <w:rsid w:val="00C24527"/>
    <w:rsid w:val="00C24589"/>
    <w:rsid w:val="00C245B5"/>
    <w:rsid w:val="00C24707"/>
    <w:rsid w:val="00C24787"/>
    <w:rsid w:val="00C24792"/>
    <w:rsid w:val="00C24839"/>
    <w:rsid w:val="00C24A4B"/>
    <w:rsid w:val="00C24D35"/>
    <w:rsid w:val="00C2525E"/>
    <w:rsid w:val="00C25262"/>
    <w:rsid w:val="00C25520"/>
    <w:rsid w:val="00C2584D"/>
    <w:rsid w:val="00C25CC6"/>
    <w:rsid w:val="00C25F77"/>
    <w:rsid w:val="00C260A1"/>
    <w:rsid w:val="00C26147"/>
    <w:rsid w:val="00C26159"/>
    <w:rsid w:val="00C2620C"/>
    <w:rsid w:val="00C2629C"/>
    <w:rsid w:val="00C262ED"/>
    <w:rsid w:val="00C264A4"/>
    <w:rsid w:val="00C265C9"/>
    <w:rsid w:val="00C2668F"/>
    <w:rsid w:val="00C26968"/>
    <w:rsid w:val="00C269B7"/>
    <w:rsid w:val="00C26A69"/>
    <w:rsid w:val="00C26E70"/>
    <w:rsid w:val="00C27037"/>
    <w:rsid w:val="00C276A9"/>
    <w:rsid w:val="00C27713"/>
    <w:rsid w:val="00C2779B"/>
    <w:rsid w:val="00C277DA"/>
    <w:rsid w:val="00C27BA3"/>
    <w:rsid w:val="00C27BE3"/>
    <w:rsid w:val="00C27C23"/>
    <w:rsid w:val="00C27CE2"/>
    <w:rsid w:val="00C27ED3"/>
    <w:rsid w:val="00C30019"/>
    <w:rsid w:val="00C3012D"/>
    <w:rsid w:val="00C301CF"/>
    <w:rsid w:val="00C306A3"/>
    <w:rsid w:val="00C309E6"/>
    <w:rsid w:val="00C30B6D"/>
    <w:rsid w:val="00C30C05"/>
    <w:rsid w:val="00C30C46"/>
    <w:rsid w:val="00C3110C"/>
    <w:rsid w:val="00C311E2"/>
    <w:rsid w:val="00C31401"/>
    <w:rsid w:val="00C31439"/>
    <w:rsid w:val="00C31460"/>
    <w:rsid w:val="00C31808"/>
    <w:rsid w:val="00C318EC"/>
    <w:rsid w:val="00C31ACA"/>
    <w:rsid w:val="00C31D03"/>
    <w:rsid w:val="00C31D26"/>
    <w:rsid w:val="00C31E1D"/>
    <w:rsid w:val="00C31E33"/>
    <w:rsid w:val="00C32064"/>
    <w:rsid w:val="00C3223A"/>
    <w:rsid w:val="00C32752"/>
    <w:rsid w:val="00C32C77"/>
    <w:rsid w:val="00C32CA7"/>
    <w:rsid w:val="00C32E58"/>
    <w:rsid w:val="00C3303D"/>
    <w:rsid w:val="00C3304F"/>
    <w:rsid w:val="00C330B7"/>
    <w:rsid w:val="00C33183"/>
    <w:rsid w:val="00C33271"/>
    <w:rsid w:val="00C333F8"/>
    <w:rsid w:val="00C336C8"/>
    <w:rsid w:val="00C336D6"/>
    <w:rsid w:val="00C33706"/>
    <w:rsid w:val="00C33A05"/>
    <w:rsid w:val="00C33B39"/>
    <w:rsid w:val="00C33F14"/>
    <w:rsid w:val="00C341F6"/>
    <w:rsid w:val="00C34506"/>
    <w:rsid w:val="00C34524"/>
    <w:rsid w:val="00C3475A"/>
    <w:rsid w:val="00C34760"/>
    <w:rsid w:val="00C348E5"/>
    <w:rsid w:val="00C34917"/>
    <w:rsid w:val="00C34A4C"/>
    <w:rsid w:val="00C34D0A"/>
    <w:rsid w:val="00C34DFE"/>
    <w:rsid w:val="00C34EC2"/>
    <w:rsid w:val="00C35028"/>
    <w:rsid w:val="00C353F6"/>
    <w:rsid w:val="00C357EA"/>
    <w:rsid w:val="00C358C4"/>
    <w:rsid w:val="00C35941"/>
    <w:rsid w:val="00C35A08"/>
    <w:rsid w:val="00C35A3D"/>
    <w:rsid w:val="00C35BCA"/>
    <w:rsid w:val="00C35CE5"/>
    <w:rsid w:val="00C3616F"/>
    <w:rsid w:val="00C361A3"/>
    <w:rsid w:val="00C36420"/>
    <w:rsid w:val="00C36691"/>
    <w:rsid w:val="00C366C6"/>
    <w:rsid w:val="00C36A9F"/>
    <w:rsid w:val="00C36AF0"/>
    <w:rsid w:val="00C36EA4"/>
    <w:rsid w:val="00C37064"/>
    <w:rsid w:val="00C37278"/>
    <w:rsid w:val="00C374C1"/>
    <w:rsid w:val="00C37611"/>
    <w:rsid w:val="00C37666"/>
    <w:rsid w:val="00C3773C"/>
    <w:rsid w:val="00C377B9"/>
    <w:rsid w:val="00C37AF2"/>
    <w:rsid w:val="00C37B21"/>
    <w:rsid w:val="00C37B9E"/>
    <w:rsid w:val="00C37CF3"/>
    <w:rsid w:val="00C37E03"/>
    <w:rsid w:val="00C40013"/>
    <w:rsid w:val="00C40031"/>
    <w:rsid w:val="00C40150"/>
    <w:rsid w:val="00C4055A"/>
    <w:rsid w:val="00C40981"/>
    <w:rsid w:val="00C40B00"/>
    <w:rsid w:val="00C40CFB"/>
    <w:rsid w:val="00C410AB"/>
    <w:rsid w:val="00C411E9"/>
    <w:rsid w:val="00C416FD"/>
    <w:rsid w:val="00C417CC"/>
    <w:rsid w:val="00C417F5"/>
    <w:rsid w:val="00C4180D"/>
    <w:rsid w:val="00C419FC"/>
    <w:rsid w:val="00C41A61"/>
    <w:rsid w:val="00C41AFB"/>
    <w:rsid w:val="00C41C84"/>
    <w:rsid w:val="00C41DF7"/>
    <w:rsid w:val="00C41E33"/>
    <w:rsid w:val="00C41F79"/>
    <w:rsid w:val="00C422DA"/>
    <w:rsid w:val="00C424DF"/>
    <w:rsid w:val="00C42637"/>
    <w:rsid w:val="00C426CE"/>
    <w:rsid w:val="00C42727"/>
    <w:rsid w:val="00C428FF"/>
    <w:rsid w:val="00C42C84"/>
    <w:rsid w:val="00C42FAA"/>
    <w:rsid w:val="00C43051"/>
    <w:rsid w:val="00C4328D"/>
    <w:rsid w:val="00C43314"/>
    <w:rsid w:val="00C4370C"/>
    <w:rsid w:val="00C43B8E"/>
    <w:rsid w:val="00C43BCF"/>
    <w:rsid w:val="00C43EA9"/>
    <w:rsid w:val="00C44681"/>
    <w:rsid w:val="00C4473A"/>
    <w:rsid w:val="00C4495B"/>
    <w:rsid w:val="00C44A04"/>
    <w:rsid w:val="00C44BA3"/>
    <w:rsid w:val="00C44D46"/>
    <w:rsid w:val="00C44DED"/>
    <w:rsid w:val="00C45289"/>
    <w:rsid w:val="00C45481"/>
    <w:rsid w:val="00C454D9"/>
    <w:rsid w:val="00C45525"/>
    <w:rsid w:val="00C45537"/>
    <w:rsid w:val="00C4559C"/>
    <w:rsid w:val="00C45707"/>
    <w:rsid w:val="00C45779"/>
    <w:rsid w:val="00C458B7"/>
    <w:rsid w:val="00C45AA4"/>
    <w:rsid w:val="00C45C60"/>
    <w:rsid w:val="00C45C62"/>
    <w:rsid w:val="00C46277"/>
    <w:rsid w:val="00C46324"/>
    <w:rsid w:val="00C4684C"/>
    <w:rsid w:val="00C469F2"/>
    <w:rsid w:val="00C46B6F"/>
    <w:rsid w:val="00C46D29"/>
    <w:rsid w:val="00C46DC8"/>
    <w:rsid w:val="00C46E19"/>
    <w:rsid w:val="00C46E5E"/>
    <w:rsid w:val="00C4718D"/>
    <w:rsid w:val="00C471A6"/>
    <w:rsid w:val="00C47262"/>
    <w:rsid w:val="00C4731B"/>
    <w:rsid w:val="00C473DC"/>
    <w:rsid w:val="00C4741B"/>
    <w:rsid w:val="00C474C4"/>
    <w:rsid w:val="00C47541"/>
    <w:rsid w:val="00C475C7"/>
    <w:rsid w:val="00C47601"/>
    <w:rsid w:val="00C47923"/>
    <w:rsid w:val="00C47A7D"/>
    <w:rsid w:val="00C47DF2"/>
    <w:rsid w:val="00C507E0"/>
    <w:rsid w:val="00C508A4"/>
    <w:rsid w:val="00C50AAE"/>
    <w:rsid w:val="00C50D8D"/>
    <w:rsid w:val="00C50E1F"/>
    <w:rsid w:val="00C50EA5"/>
    <w:rsid w:val="00C5119C"/>
    <w:rsid w:val="00C51404"/>
    <w:rsid w:val="00C51476"/>
    <w:rsid w:val="00C51591"/>
    <w:rsid w:val="00C515B0"/>
    <w:rsid w:val="00C5161C"/>
    <w:rsid w:val="00C51702"/>
    <w:rsid w:val="00C5171D"/>
    <w:rsid w:val="00C51786"/>
    <w:rsid w:val="00C517ED"/>
    <w:rsid w:val="00C5185B"/>
    <w:rsid w:val="00C51AFB"/>
    <w:rsid w:val="00C51B08"/>
    <w:rsid w:val="00C51BA8"/>
    <w:rsid w:val="00C51C23"/>
    <w:rsid w:val="00C51C57"/>
    <w:rsid w:val="00C51DB8"/>
    <w:rsid w:val="00C51FF9"/>
    <w:rsid w:val="00C522A6"/>
    <w:rsid w:val="00C5281C"/>
    <w:rsid w:val="00C5298A"/>
    <w:rsid w:val="00C52BEA"/>
    <w:rsid w:val="00C52C27"/>
    <w:rsid w:val="00C52D34"/>
    <w:rsid w:val="00C5304F"/>
    <w:rsid w:val="00C53248"/>
    <w:rsid w:val="00C53513"/>
    <w:rsid w:val="00C53652"/>
    <w:rsid w:val="00C53730"/>
    <w:rsid w:val="00C5385A"/>
    <w:rsid w:val="00C53998"/>
    <w:rsid w:val="00C53E49"/>
    <w:rsid w:val="00C53EAC"/>
    <w:rsid w:val="00C53FFA"/>
    <w:rsid w:val="00C5401B"/>
    <w:rsid w:val="00C540B9"/>
    <w:rsid w:val="00C54398"/>
    <w:rsid w:val="00C54411"/>
    <w:rsid w:val="00C54510"/>
    <w:rsid w:val="00C54CC3"/>
    <w:rsid w:val="00C54CE1"/>
    <w:rsid w:val="00C54D6E"/>
    <w:rsid w:val="00C54EE3"/>
    <w:rsid w:val="00C54F53"/>
    <w:rsid w:val="00C550A4"/>
    <w:rsid w:val="00C552F9"/>
    <w:rsid w:val="00C553CE"/>
    <w:rsid w:val="00C554D4"/>
    <w:rsid w:val="00C554D9"/>
    <w:rsid w:val="00C557F9"/>
    <w:rsid w:val="00C560DB"/>
    <w:rsid w:val="00C562EC"/>
    <w:rsid w:val="00C564D3"/>
    <w:rsid w:val="00C56503"/>
    <w:rsid w:val="00C56532"/>
    <w:rsid w:val="00C565A9"/>
    <w:rsid w:val="00C5668A"/>
    <w:rsid w:val="00C56857"/>
    <w:rsid w:val="00C56D39"/>
    <w:rsid w:val="00C57007"/>
    <w:rsid w:val="00C57155"/>
    <w:rsid w:val="00C5715C"/>
    <w:rsid w:val="00C57392"/>
    <w:rsid w:val="00C5747D"/>
    <w:rsid w:val="00C5782D"/>
    <w:rsid w:val="00C57A92"/>
    <w:rsid w:val="00C57C0D"/>
    <w:rsid w:val="00C57E63"/>
    <w:rsid w:val="00C57F2F"/>
    <w:rsid w:val="00C6011B"/>
    <w:rsid w:val="00C60258"/>
    <w:rsid w:val="00C60628"/>
    <w:rsid w:val="00C6069B"/>
    <w:rsid w:val="00C60713"/>
    <w:rsid w:val="00C607D1"/>
    <w:rsid w:val="00C60A86"/>
    <w:rsid w:val="00C60CB5"/>
    <w:rsid w:val="00C60D11"/>
    <w:rsid w:val="00C60EF9"/>
    <w:rsid w:val="00C60F74"/>
    <w:rsid w:val="00C60FBF"/>
    <w:rsid w:val="00C6106B"/>
    <w:rsid w:val="00C61109"/>
    <w:rsid w:val="00C61324"/>
    <w:rsid w:val="00C61434"/>
    <w:rsid w:val="00C6183D"/>
    <w:rsid w:val="00C61952"/>
    <w:rsid w:val="00C619C2"/>
    <w:rsid w:val="00C61AB2"/>
    <w:rsid w:val="00C61B02"/>
    <w:rsid w:val="00C61E90"/>
    <w:rsid w:val="00C61F1C"/>
    <w:rsid w:val="00C61FD2"/>
    <w:rsid w:val="00C620D4"/>
    <w:rsid w:val="00C6222B"/>
    <w:rsid w:val="00C6276A"/>
    <w:rsid w:val="00C62798"/>
    <w:rsid w:val="00C6280C"/>
    <w:rsid w:val="00C6297B"/>
    <w:rsid w:val="00C62AB4"/>
    <w:rsid w:val="00C62AC1"/>
    <w:rsid w:val="00C62FDC"/>
    <w:rsid w:val="00C63079"/>
    <w:rsid w:val="00C630F3"/>
    <w:rsid w:val="00C631A4"/>
    <w:rsid w:val="00C636B1"/>
    <w:rsid w:val="00C638C5"/>
    <w:rsid w:val="00C639FD"/>
    <w:rsid w:val="00C63B25"/>
    <w:rsid w:val="00C63BFA"/>
    <w:rsid w:val="00C63C00"/>
    <w:rsid w:val="00C63D57"/>
    <w:rsid w:val="00C63DAA"/>
    <w:rsid w:val="00C64208"/>
    <w:rsid w:val="00C643EB"/>
    <w:rsid w:val="00C644B6"/>
    <w:rsid w:val="00C644C4"/>
    <w:rsid w:val="00C644F2"/>
    <w:rsid w:val="00C64544"/>
    <w:rsid w:val="00C645FD"/>
    <w:rsid w:val="00C647E3"/>
    <w:rsid w:val="00C64868"/>
    <w:rsid w:val="00C64B61"/>
    <w:rsid w:val="00C64BCD"/>
    <w:rsid w:val="00C64D75"/>
    <w:rsid w:val="00C64DA3"/>
    <w:rsid w:val="00C64E8C"/>
    <w:rsid w:val="00C6513D"/>
    <w:rsid w:val="00C6530E"/>
    <w:rsid w:val="00C65325"/>
    <w:rsid w:val="00C6539B"/>
    <w:rsid w:val="00C6540F"/>
    <w:rsid w:val="00C6572B"/>
    <w:rsid w:val="00C65840"/>
    <w:rsid w:val="00C65936"/>
    <w:rsid w:val="00C65D6D"/>
    <w:rsid w:val="00C65FF3"/>
    <w:rsid w:val="00C6607E"/>
    <w:rsid w:val="00C66223"/>
    <w:rsid w:val="00C6642E"/>
    <w:rsid w:val="00C66494"/>
    <w:rsid w:val="00C664AC"/>
    <w:rsid w:val="00C66676"/>
    <w:rsid w:val="00C6669A"/>
    <w:rsid w:val="00C666B9"/>
    <w:rsid w:val="00C669AF"/>
    <w:rsid w:val="00C66E98"/>
    <w:rsid w:val="00C670FC"/>
    <w:rsid w:val="00C673B6"/>
    <w:rsid w:val="00C6769A"/>
    <w:rsid w:val="00C67950"/>
    <w:rsid w:val="00C67BCE"/>
    <w:rsid w:val="00C67CC7"/>
    <w:rsid w:val="00C67CE3"/>
    <w:rsid w:val="00C67F83"/>
    <w:rsid w:val="00C70072"/>
    <w:rsid w:val="00C702A2"/>
    <w:rsid w:val="00C70370"/>
    <w:rsid w:val="00C70513"/>
    <w:rsid w:val="00C70585"/>
    <w:rsid w:val="00C70691"/>
    <w:rsid w:val="00C70975"/>
    <w:rsid w:val="00C709F0"/>
    <w:rsid w:val="00C70CF7"/>
    <w:rsid w:val="00C70FBF"/>
    <w:rsid w:val="00C70FE5"/>
    <w:rsid w:val="00C71490"/>
    <w:rsid w:val="00C71766"/>
    <w:rsid w:val="00C71783"/>
    <w:rsid w:val="00C719A2"/>
    <w:rsid w:val="00C719F5"/>
    <w:rsid w:val="00C71A56"/>
    <w:rsid w:val="00C71C75"/>
    <w:rsid w:val="00C71DC7"/>
    <w:rsid w:val="00C71F55"/>
    <w:rsid w:val="00C71F6D"/>
    <w:rsid w:val="00C72034"/>
    <w:rsid w:val="00C72165"/>
    <w:rsid w:val="00C72184"/>
    <w:rsid w:val="00C723B6"/>
    <w:rsid w:val="00C72773"/>
    <w:rsid w:val="00C72938"/>
    <w:rsid w:val="00C72A19"/>
    <w:rsid w:val="00C72B8E"/>
    <w:rsid w:val="00C72D7B"/>
    <w:rsid w:val="00C72DA2"/>
    <w:rsid w:val="00C730F2"/>
    <w:rsid w:val="00C73239"/>
    <w:rsid w:val="00C7333C"/>
    <w:rsid w:val="00C733A6"/>
    <w:rsid w:val="00C7351D"/>
    <w:rsid w:val="00C735EA"/>
    <w:rsid w:val="00C73620"/>
    <w:rsid w:val="00C73629"/>
    <w:rsid w:val="00C7370F"/>
    <w:rsid w:val="00C739B6"/>
    <w:rsid w:val="00C73AB0"/>
    <w:rsid w:val="00C73D66"/>
    <w:rsid w:val="00C73EA3"/>
    <w:rsid w:val="00C73F45"/>
    <w:rsid w:val="00C73F7A"/>
    <w:rsid w:val="00C74010"/>
    <w:rsid w:val="00C74167"/>
    <w:rsid w:val="00C741D2"/>
    <w:rsid w:val="00C74331"/>
    <w:rsid w:val="00C74422"/>
    <w:rsid w:val="00C74694"/>
    <w:rsid w:val="00C7486E"/>
    <w:rsid w:val="00C74929"/>
    <w:rsid w:val="00C74A9C"/>
    <w:rsid w:val="00C74ABF"/>
    <w:rsid w:val="00C74CEB"/>
    <w:rsid w:val="00C74D98"/>
    <w:rsid w:val="00C74F8F"/>
    <w:rsid w:val="00C75064"/>
    <w:rsid w:val="00C7528E"/>
    <w:rsid w:val="00C75357"/>
    <w:rsid w:val="00C753E7"/>
    <w:rsid w:val="00C754E3"/>
    <w:rsid w:val="00C7574B"/>
    <w:rsid w:val="00C757AE"/>
    <w:rsid w:val="00C758BD"/>
    <w:rsid w:val="00C75A58"/>
    <w:rsid w:val="00C75A6D"/>
    <w:rsid w:val="00C75CEB"/>
    <w:rsid w:val="00C75FB7"/>
    <w:rsid w:val="00C7602B"/>
    <w:rsid w:val="00C76268"/>
    <w:rsid w:val="00C7634C"/>
    <w:rsid w:val="00C76605"/>
    <w:rsid w:val="00C76624"/>
    <w:rsid w:val="00C76661"/>
    <w:rsid w:val="00C7692D"/>
    <w:rsid w:val="00C76AAF"/>
    <w:rsid w:val="00C76B12"/>
    <w:rsid w:val="00C76B5B"/>
    <w:rsid w:val="00C76BA1"/>
    <w:rsid w:val="00C76C46"/>
    <w:rsid w:val="00C76E35"/>
    <w:rsid w:val="00C77478"/>
    <w:rsid w:val="00C774A1"/>
    <w:rsid w:val="00C7757A"/>
    <w:rsid w:val="00C775A0"/>
    <w:rsid w:val="00C777BD"/>
    <w:rsid w:val="00C77857"/>
    <w:rsid w:val="00C77989"/>
    <w:rsid w:val="00C77F6E"/>
    <w:rsid w:val="00C80C41"/>
    <w:rsid w:val="00C80C6F"/>
    <w:rsid w:val="00C80CEF"/>
    <w:rsid w:val="00C80E40"/>
    <w:rsid w:val="00C80E43"/>
    <w:rsid w:val="00C80F74"/>
    <w:rsid w:val="00C81036"/>
    <w:rsid w:val="00C8106F"/>
    <w:rsid w:val="00C81120"/>
    <w:rsid w:val="00C81432"/>
    <w:rsid w:val="00C814F4"/>
    <w:rsid w:val="00C816EB"/>
    <w:rsid w:val="00C81EB7"/>
    <w:rsid w:val="00C82079"/>
    <w:rsid w:val="00C82277"/>
    <w:rsid w:val="00C82287"/>
    <w:rsid w:val="00C828B8"/>
    <w:rsid w:val="00C82994"/>
    <w:rsid w:val="00C82E07"/>
    <w:rsid w:val="00C82EC5"/>
    <w:rsid w:val="00C83041"/>
    <w:rsid w:val="00C83048"/>
    <w:rsid w:val="00C83562"/>
    <w:rsid w:val="00C838C3"/>
    <w:rsid w:val="00C83C1C"/>
    <w:rsid w:val="00C83DBC"/>
    <w:rsid w:val="00C8428F"/>
    <w:rsid w:val="00C843EC"/>
    <w:rsid w:val="00C8452A"/>
    <w:rsid w:val="00C84814"/>
    <w:rsid w:val="00C848A7"/>
    <w:rsid w:val="00C84953"/>
    <w:rsid w:val="00C849C0"/>
    <w:rsid w:val="00C84F2E"/>
    <w:rsid w:val="00C85027"/>
    <w:rsid w:val="00C85035"/>
    <w:rsid w:val="00C8511A"/>
    <w:rsid w:val="00C851F6"/>
    <w:rsid w:val="00C852DD"/>
    <w:rsid w:val="00C858FF"/>
    <w:rsid w:val="00C85A83"/>
    <w:rsid w:val="00C85AE0"/>
    <w:rsid w:val="00C85E30"/>
    <w:rsid w:val="00C864E4"/>
    <w:rsid w:val="00C86589"/>
    <w:rsid w:val="00C866EF"/>
    <w:rsid w:val="00C8678F"/>
    <w:rsid w:val="00C86833"/>
    <w:rsid w:val="00C86849"/>
    <w:rsid w:val="00C86994"/>
    <w:rsid w:val="00C869E5"/>
    <w:rsid w:val="00C86AFE"/>
    <w:rsid w:val="00C86BFA"/>
    <w:rsid w:val="00C86E47"/>
    <w:rsid w:val="00C86E8E"/>
    <w:rsid w:val="00C86F6C"/>
    <w:rsid w:val="00C8712F"/>
    <w:rsid w:val="00C8758D"/>
    <w:rsid w:val="00C876A0"/>
    <w:rsid w:val="00C8778B"/>
    <w:rsid w:val="00C877E2"/>
    <w:rsid w:val="00C878CA"/>
    <w:rsid w:val="00C87A3A"/>
    <w:rsid w:val="00C87AB0"/>
    <w:rsid w:val="00C87AF2"/>
    <w:rsid w:val="00C87B57"/>
    <w:rsid w:val="00C87FC6"/>
    <w:rsid w:val="00C900D3"/>
    <w:rsid w:val="00C908C6"/>
    <w:rsid w:val="00C90B42"/>
    <w:rsid w:val="00C90EE2"/>
    <w:rsid w:val="00C91070"/>
    <w:rsid w:val="00C91074"/>
    <w:rsid w:val="00C91084"/>
    <w:rsid w:val="00C91436"/>
    <w:rsid w:val="00C914D8"/>
    <w:rsid w:val="00C915B7"/>
    <w:rsid w:val="00C91751"/>
    <w:rsid w:val="00C917AB"/>
    <w:rsid w:val="00C9180B"/>
    <w:rsid w:val="00C9182B"/>
    <w:rsid w:val="00C91C5F"/>
    <w:rsid w:val="00C91D04"/>
    <w:rsid w:val="00C9213E"/>
    <w:rsid w:val="00C92516"/>
    <w:rsid w:val="00C9255D"/>
    <w:rsid w:val="00C92686"/>
    <w:rsid w:val="00C9294C"/>
    <w:rsid w:val="00C9296C"/>
    <w:rsid w:val="00C92977"/>
    <w:rsid w:val="00C92DFF"/>
    <w:rsid w:val="00C9304B"/>
    <w:rsid w:val="00C93276"/>
    <w:rsid w:val="00C93384"/>
    <w:rsid w:val="00C9396A"/>
    <w:rsid w:val="00C93AA5"/>
    <w:rsid w:val="00C93E60"/>
    <w:rsid w:val="00C93FD8"/>
    <w:rsid w:val="00C94170"/>
    <w:rsid w:val="00C9419A"/>
    <w:rsid w:val="00C94281"/>
    <w:rsid w:val="00C945C2"/>
    <w:rsid w:val="00C945EE"/>
    <w:rsid w:val="00C946B2"/>
    <w:rsid w:val="00C946F6"/>
    <w:rsid w:val="00C9475D"/>
    <w:rsid w:val="00C94B1E"/>
    <w:rsid w:val="00C94CF1"/>
    <w:rsid w:val="00C94F54"/>
    <w:rsid w:val="00C95056"/>
    <w:rsid w:val="00C95115"/>
    <w:rsid w:val="00C951FD"/>
    <w:rsid w:val="00C95260"/>
    <w:rsid w:val="00C952C3"/>
    <w:rsid w:val="00C9536E"/>
    <w:rsid w:val="00C95527"/>
    <w:rsid w:val="00C958B2"/>
    <w:rsid w:val="00C959AB"/>
    <w:rsid w:val="00C95A02"/>
    <w:rsid w:val="00C95A15"/>
    <w:rsid w:val="00C95A37"/>
    <w:rsid w:val="00C95A3B"/>
    <w:rsid w:val="00C95C30"/>
    <w:rsid w:val="00C95D21"/>
    <w:rsid w:val="00C95D49"/>
    <w:rsid w:val="00C961DD"/>
    <w:rsid w:val="00C962F3"/>
    <w:rsid w:val="00C963BF"/>
    <w:rsid w:val="00C96413"/>
    <w:rsid w:val="00C96516"/>
    <w:rsid w:val="00C96892"/>
    <w:rsid w:val="00C969D3"/>
    <w:rsid w:val="00C96AFA"/>
    <w:rsid w:val="00C96B25"/>
    <w:rsid w:val="00C96BBE"/>
    <w:rsid w:val="00C970A1"/>
    <w:rsid w:val="00C97397"/>
    <w:rsid w:val="00C975E6"/>
    <w:rsid w:val="00C977EE"/>
    <w:rsid w:val="00C9786B"/>
    <w:rsid w:val="00C978FE"/>
    <w:rsid w:val="00C97D48"/>
    <w:rsid w:val="00C97EAC"/>
    <w:rsid w:val="00CA03AD"/>
    <w:rsid w:val="00CA04F6"/>
    <w:rsid w:val="00CA050F"/>
    <w:rsid w:val="00CA087F"/>
    <w:rsid w:val="00CA0BBC"/>
    <w:rsid w:val="00CA0C2D"/>
    <w:rsid w:val="00CA0E9B"/>
    <w:rsid w:val="00CA10D0"/>
    <w:rsid w:val="00CA1333"/>
    <w:rsid w:val="00CA13A4"/>
    <w:rsid w:val="00CA13DE"/>
    <w:rsid w:val="00CA1458"/>
    <w:rsid w:val="00CA175E"/>
    <w:rsid w:val="00CA19A9"/>
    <w:rsid w:val="00CA1B16"/>
    <w:rsid w:val="00CA1B9A"/>
    <w:rsid w:val="00CA1C03"/>
    <w:rsid w:val="00CA1E51"/>
    <w:rsid w:val="00CA1FB3"/>
    <w:rsid w:val="00CA21A9"/>
    <w:rsid w:val="00CA2262"/>
    <w:rsid w:val="00CA239B"/>
    <w:rsid w:val="00CA28CB"/>
    <w:rsid w:val="00CA2A5E"/>
    <w:rsid w:val="00CA3032"/>
    <w:rsid w:val="00CA30C4"/>
    <w:rsid w:val="00CA3458"/>
    <w:rsid w:val="00CA3577"/>
    <w:rsid w:val="00CA371C"/>
    <w:rsid w:val="00CA37BE"/>
    <w:rsid w:val="00CA3F35"/>
    <w:rsid w:val="00CA42A0"/>
    <w:rsid w:val="00CA433B"/>
    <w:rsid w:val="00CA43F9"/>
    <w:rsid w:val="00CA4413"/>
    <w:rsid w:val="00CA4458"/>
    <w:rsid w:val="00CA45FC"/>
    <w:rsid w:val="00CA46E0"/>
    <w:rsid w:val="00CA4813"/>
    <w:rsid w:val="00CA481F"/>
    <w:rsid w:val="00CA487E"/>
    <w:rsid w:val="00CA4B4A"/>
    <w:rsid w:val="00CA4BBA"/>
    <w:rsid w:val="00CA4DD6"/>
    <w:rsid w:val="00CA5162"/>
    <w:rsid w:val="00CA516C"/>
    <w:rsid w:val="00CA5184"/>
    <w:rsid w:val="00CA52AB"/>
    <w:rsid w:val="00CA52B2"/>
    <w:rsid w:val="00CA55BA"/>
    <w:rsid w:val="00CA56C5"/>
    <w:rsid w:val="00CA59C2"/>
    <w:rsid w:val="00CA59E1"/>
    <w:rsid w:val="00CA5AF8"/>
    <w:rsid w:val="00CA5C23"/>
    <w:rsid w:val="00CA5C47"/>
    <w:rsid w:val="00CA5C82"/>
    <w:rsid w:val="00CA5D3F"/>
    <w:rsid w:val="00CA623A"/>
    <w:rsid w:val="00CA62EE"/>
    <w:rsid w:val="00CA6388"/>
    <w:rsid w:val="00CA65EF"/>
    <w:rsid w:val="00CA6647"/>
    <w:rsid w:val="00CA679A"/>
    <w:rsid w:val="00CA6931"/>
    <w:rsid w:val="00CA69E7"/>
    <w:rsid w:val="00CA7414"/>
    <w:rsid w:val="00CA74B1"/>
    <w:rsid w:val="00CA7632"/>
    <w:rsid w:val="00CA7682"/>
    <w:rsid w:val="00CA7854"/>
    <w:rsid w:val="00CA7A56"/>
    <w:rsid w:val="00CA7A58"/>
    <w:rsid w:val="00CA7A75"/>
    <w:rsid w:val="00CA7D5D"/>
    <w:rsid w:val="00CA7E03"/>
    <w:rsid w:val="00CA7F28"/>
    <w:rsid w:val="00CA7F39"/>
    <w:rsid w:val="00CB00EA"/>
    <w:rsid w:val="00CB0125"/>
    <w:rsid w:val="00CB01EF"/>
    <w:rsid w:val="00CB01F6"/>
    <w:rsid w:val="00CB0202"/>
    <w:rsid w:val="00CB029E"/>
    <w:rsid w:val="00CB0567"/>
    <w:rsid w:val="00CB0768"/>
    <w:rsid w:val="00CB0A1F"/>
    <w:rsid w:val="00CB0C2F"/>
    <w:rsid w:val="00CB0CE5"/>
    <w:rsid w:val="00CB0CE9"/>
    <w:rsid w:val="00CB0F4E"/>
    <w:rsid w:val="00CB11D0"/>
    <w:rsid w:val="00CB131F"/>
    <w:rsid w:val="00CB1320"/>
    <w:rsid w:val="00CB16C4"/>
    <w:rsid w:val="00CB1981"/>
    <w:rsid w:val="00CB1A00"/>
    <w:rsid w:val="00CB1A6B"/>
    <w:rsid w:val="00CB1D20"/>
    <w:rsid w:val="00CB20B9"/>
    <w:rsid w:val="00CB2121"/>
    <w:rsid w:val="00CB219D"/>
    <w:rsid w:val="00CB21AF"/>
    <w:rsid w:val="00CB221C"/>
    <w:rsid w:val="00CB228D"/>
    <w:rsid w:val="00CB2476"/>
    <w:rsid w:val="00CB24DD"/>
    <w:rsid w:val="00CB267B"/>
    <w:rsid w:val="00CB2B76"/>
    <w:rsid w:val="00CB2E15"/>
    <w:rsid w:val="00CB2E43"/>
    <w:rsid w:val="00CB2ECE"/>
    <w:rsid w:val="00CB3340"/>
    <w:rsid w:val="00CB33D0"/>
    <w:rsid w:val="00CB3555"/>
    <w:rsid w:val="00CB366E"/>
    <w:rsid w:val="00CB3693"/>
    <w:rsid w:val="00CB372C"/>
    <w:rsid w:val="00CB3E69"/>
    <w:rsid w:val="00CB3F6E"/>
    <w:rsid w:val="00CB4117"/>
    <w:rsid w:val="00CB434C"/>
    <w:rsid w:val="00CB439C"/>
    <w:rsid w:val="00CB452B"/>
    <w:rsid w:val="00CB4900"/>
    <w:rsid w:val="00CB4D9B"/>
    <w:rsid w:val="00CB4DC2"/>
    <w:rsid w:val="00CB4DCD"/>
    <w:rsid w:val="00CB4E4B"/>
    <w:rsid w:val="00CB4E7D"/>
    <w:rsid w:val="00CB4F2D"/>
    <w:rsid w:val="00CB5164"/>
    <w:rsid w:val="00CB5269"/>
    <w:rsid w:val="00CB53F8"/>
    <w:rsid w:val="00CB544A"/>
    <w:rsid w:val="00CB54BC"/>
    <w:rsid w:val="00CB553B"/>
    <w:rsid w:val="00CB58A0"/>
    <w:rsid w:val="00CB5A1E"/>
    <w:rsid w:val="00CB5D9C"/>
    <w:rsid w:val="00CB5DD1"/>
    <w:rsid w:val="00CB5E59"/>
    <w:rsid w:val="00CB5E98"/>
    <w:rsid w:val="00CB5FF4"/>
    <w:rsid w:val="00CB603C"/>
    <w:rsid w:val="00CB6272"/>
    <w:rsid w:val="00CB63CA"/>
    <w:rsid w:val="00CB64AB"/>
    <w:rsid w:val="00CB65A5"/>
    <w:rsid w:val="00CB682B"/>
    <w:rsid w:val="00CB6B3F"/>
    <w:rsid w:val="00CB6C8C"/>
    <w:rsid w:val="00CB6C9D"/>
    <w:rsid w:val="00CB717E"/>
    <w:rsid w:val="00CB7350"/>
    <w:rsid w:val="00CB7418"/>
    <w:rsid w:val="00CB78BB"/>
    <w:rsid w:val="00CB7915"/>
    <w:rsid w:val="00CB7A7D"/>
    <w:rsid w:val="00CB7B2E"/>
    <w:rsid w:val="00CB7C49"/>
    <w:rsid w:val="00CB7EC4"/>
    <w:rsid w:val="00CC008C"/>
    <w:rsid w:val="00CC01EB"/>
    <w:rsid w:val="00CC03FB"/>
    <w:rsid w:val="00CC0465"/>
    <w:rsid w:val="00CC05A7"/>
    <w:rsid w:val="00CC0670"/>
    <w:rsid w:val="00CC0694"/>
    <w:rsid w:val="00CC0743"/>
    <w:rsid w:val="00CC0AA8"/>
    <w:rsid w:val="00CC0BBE"/>
    <w:rsid w:val="00CC0F3C"/>
    <w:rsid w:val="00CC100B"/>
    <w:rsid w:val="00CC10E4"/>
    <w:rsid w:val="00CC1311"/>
    <w:rsid w:val="00CC149F"/>
    <w:rsid w:val="00CC15AC"/>
    <w:rsid w:val="00CC1690"/>
    <w:rsid w:val="00CC16B0"/>
    <w:rsid w:val="00CC185A"/>
    <w:rsid w:val="00CC1969"/>
    <w:rsid w:val="00CC19DE"/>
    <w:rsid w:val="00CC1A38"/>
    <w:rsid w:val="00CC1F81"/>
    <w:rsid w:val="00CC1F92"/>
    <w:rsid w:val="00CC2213"/>
    <w:rsid w:val="00CC2221"/>
    <w:rsid w:val="00CC23B3"/>
    <w:rsid w:val="00CC27FE"/>
    <w:rsid w:val="00CC285C"/>
    <w:rsid w:val="00CC2A78"/>
    <w:rsid w:val="00CC2BC8"/>
    <w:rsid w:val="00CC2D98"/>
    <w:rsid w:val="00CC2E06"/>
    <w:rsid w:val="00CC2E1C"/>
    <w:rsid w:val="00CC2FD6"/>
    <w:rsid w:val="00CC3066"/>
    <w:rsid w:val="00CC3091"/>
    <w:rsid w:val="00CC319F"/>
    <w:rsid w:val="00CC31EC"/>
    <w:rsid w:val="00CC35F5"/>
    <w:rsid w:val="00CC367D"/>
    <w:rsid w:val="00CC3681"/>
    <w:rsid w:val="00CC3899"/>
    <w:rsid w:val="00CC3A33"/>
    <w:rsid w:val="00CC3A69"/>
    <w:rsid w:val="00CC3D23"/>
    <w:rsid w:val="00CC4092"/>
    <w:rsid w:val="00CC4096"/>
    <w:rsid w:val="00CC411E"/>
    <w:rsid w:val="00CC4210"/>
    <w:rsid w:val="00CC4238"/>
    <w:rsid w:val="00CC42B7"/>
    <w:rsid w:val="00CC44F1"/>
    <w:rsid w:val="00CC44FE"/>
    <w:rsid w:val="00CC4637"/>
    <w:rsid w:val="00CC470D"/>
    <w:rsid w:val="00CC478B"/>
    <w:rsid w:val="00CC48E6"/>
    <w:rsid w:val="00CC4921"/>
    <w:rsid w:val="00CC4B3F"/>
    <w:rsid w:val="00CC4E74"/>
    <w:rsid w:val="00CC50A2"/>
    <w:rsid w:val="00CC50AA"/>
    <w:rsid w:val="00CC50DB"/>
    <w:rsid w:val="00CC5212"/>
    <w:rsid w:val="00CC52CD"/>
    <w:rsid w:val="00CC53BE"/>
    <w:rsid w:val="00CC5431"/>
    <w:rsid w:val="00CC5705"/>
    <w:rsid w:val="00CC5A38"/>
    <w:rsid w:val="00CC5AA3"/>
    <w:rsid w:val="00CC5DD7"/>
    <w:rsid w:val="00CC632B"/>
    <w:rsid w:val="00CC644D"/>
    <w:rsid w:val="00CC658D"/>
    <w:rsid w:val="00CC665A"/>
    <w:rsid w:val="00CC66D6"/>
    <w:rsid w:val="00CC67EC"/>
    <w:rsid w:val="00CC6FB8"/>
    <w:rsid w:val="00CC70A1"/>
    <w:rsid w:val="00CC718D"/>
    <w:rsid w:val="00CC7210"/>
    <w:rsid w:val="00CC74A2"/>
    <w:rsid w:val="00CC7585"/>
    <w:rsid w:val="00CC76D8"/>
    <w:rsid w:val="00CC779C"/>
    <w:rsid w:val="00CC77FB"/>
    <w:rsid w:val="00CC7A26"/>
    <w:rsid w:val="00CC7BDA"/>
    <w:rsid w:val="00CC7C4B"/>
    <w:rsid w:val="00CC7EE8"/>
    <w:rsid w:val="00CC7F36"/>
    <w:rsid w:val="00CC7FF2"/>
    <w:rsid w:val="00CD0492"/>
    <w:rsid w:val="00CD0518"/>
    <w:rsid w:val="00CD0593"/>
    <w:rsid w:val="00CD0689"/>
    <w:rsid w:val="00CD07CA"/>
    <w:rsid w:val="00CD07DE"/>
    <w:rsid w:val="00CD0971"/>
    <w:rsid w:val="00CD107A"/>
    <w:rsid w:val="00CD10A4"/>
    <w:rsid w:val="00CD1150"/>
    <w:rsid w:val="00CD1151"/>
    <w:rsid w:val="00CD1184"/>
    <w:rsid w:val="00CD118E"/>
    <w:rsid w:val="00CD1311"/>
    <w:rsid w:val="00CD146B"/>
    <w:rsid w:val="00CD14E1"/>
    <w:rsid w:val="00CD155B"/>
    <w:rsid w:val="00CD1A3E"/>
    <w:rsid w:val="00CD1B20"/>
    <w:rsid w:val="00CD1C89"/>
    <w:rsid w:val="00CD1D52"/>
    <w:rsid w:val="00CD1E8F"/>
    <w:rsid w:val="00CD1FD1"/>
    <w:rsid w:val="00CD20D4"/>
    <w:rsid w:val="00CD2187"/>
    <w:rsid w:val="00CD22D1"/>
    <w:rsid w:val="00CD23BF"/>
    <w:rsid w:val="00CD2409"/>
    <w:rsid w:val="00CD246B"/>
    <w:rsid w:val="00CD2519"/>
    <w:rsid w:val="00CD251C"/>
    <w:rsid w:val="00CD25D4"/>
    <w:rsid w:val="00CD2A99"/>
    <w:rsid w:val="00CD2AFC"/>
    <w:rsid w:val="00CD2C94"/>
    <w:rsid w:val="00CD2CDC"/>
    <w:rsid w:val="00CD2F34"/>
    <w:rsid w:val="00CD3406"/>
    <w:rsid w:val="00CD34DF"/>
    <w:rsid w:val="00CD37C0"/>
    <w:rsid w:val="00CD3B66"/>
    <w:rsid w:val="00CD3F2F"/>
    <w:rsid w:val="00CD4213"/>
    <w:rsid w:val="00CD4365"/>
    <w:rsid w:val="00CD4817"/>
    <w:rsid w:val="00CD48DF"/>
    <w:rsid w:val="00CD4CB3"/>
    <w:rsid w:val="00CD4F23"/>
    <w:rsid w:val="00CD4FC6"/>
    <w:rsid w:val="00CD520E"/>
    <w:rsid w:val="00CD5217"/>
    <w:rsid w:val="00CD5516"/>
    <w:rsid w:val="00CD553C"/>
    <w:rsid w:val="00CD5562"/>
    <w:rsid w:val="00CD558B"/>
    <w:rsid w:val="00CD55B3"/>
    <w:rsid w:val="00CD59D9"/>
    <w:rsid w:val="00CD5A05"/>
    <w:rsid w:val="00CD5AB2"/>
    <w:rsid w:val="00CD5B7D"/>
    <w:rsid w:val="00CD5D49"/>
    <w:rsid w:val="00CD5D9A"/>
    <w:rsid w:val="00CD5DCF"/>
    <w:rsid w:val="00CD5F3B"/>
    <w:rsid w:val="00CD634E"/>
    <w:rsid w:val="00CD6A58"/>
    <w:rsid w:val="00CD6ABC"/>
    <w:rsid w:val="00CD6B42"/>
    <w:rsid w:val="00CD6CC3"/>
    <w:rsid w:val="00CD6D80"/>
    <w:rsid w:val="00CD70E6"/>
    <w:rsid w:val="00CD72AD"/>
    <w:rsid w:val="00CD730E"/>
    <w:rsid w:val="00CD750A"/>
    <w:rsid w:val="00CD7855"/>
    <w:rsid w:val="00CD78FD"/>
    <w:rsid w:val="00CD7CD0"/>
    <w:rsid w:val="00CD7E16"/>
    <w:rsid w:val="00CD7EE5"/>
    <w:rsid w:val="00CD7FD7"/>
    <w:rsid w:val="00CE0097"/>
    <w:rsid w:val="00CE04A0"/>
    <w:rsid w:val="00CE04BA"/>
    <w:rsid w:val="00CE0553"/>
    <w:rsid w:val="00CE06BD"/>
    <w:rsid w:val="00CE07A2"/>
    <w:rsid w:val="00CE0855"/>
    <w:rsid w:val="00CE089B"/>
    <w:rsid w:val="00CE0B13"/>
    <w:rsid w:val="00CE0D80"/>
    <w:rsid w:val="00CE0E8D"/>
    <w:rsid w:val="00CE0FEB"/>
    <w:rsid w:val="00CE105A"/>
    <w:rsid w:val="00CE14CB"/>
    <w:rsid w:val="00CE176A"/>
    <w:rsid w:val="00CE187E"/>
    <w:rsid w:val="00CE1981"/>
    <w:rsid w:val="00CE19DF"/>
    <w:rsid w:val="00CE1A33"/>
    <w:rsid w:val="00CE1AAD"/>
    <w:rsid w:val="00CE1D4E"/>
    <w:rsid w:val="00CE1E26"/>
    <w:rsid w:val="00CE1E36"/>
    <w:rsid w:val="00CE1F8B"/>
    <w:rsid w:val="00CE23B9"/>
    <w:rsid w:val="00CE265B"/>
    <w:rsid w:val="00CE2796"/>
    <w:rsid w:val="00CE2C5B"/>
    <w:rsid w:val="00CE2E0E"/>
    <w:rsid w:val="00CE3042"/>
    <w:rsid w:val="00CE30A7"/>
    <w:rsid w:val="00CE30B0"/>
    <w:rsid w:val="00CE30E6"/>
    <w:rsid w:val="00CE333D"/>
    <w:rsid w:val="00CE341F"/>
    <w:rsid w:val="00CE345F"/>
    <w:rsid w:val="00CE34DC"/>
    <w:rsid w:val="00CE368B"/>
    <w:rsid w:val="00CE36DD"/>
    <w:rsid w:val="00CE3AEF"/>
    <w:rsid w:val="00CE3BF2"/>
    <w:rsid w:val="00CE3C0F"/>
    <w:rsid w:val="00CE3E34"/>
    <w:rsid w:val="00CE3E79"/>
    <w:rsid w:val="00CE3F11"/>
    <w:rsid w:val="00CE4389"/>
    <w:rsid w:val="00CE4A39"/>
    <w:rsid w:val="00CE4A61"/>
    <w:rsid w:val="00CE4BBB"/>
    <w:rsid w:val="00CE4D3C"/>
    <w:rsid w:val="00CE4FB0"/>
    <w:rsid w:val="00CE5899"/>
    <w:rsid w:val="00CE589E"/>
    <w:rsid w:val="00CE593A"/>
    <w:rsid w:val="00CE593C"/>
    <w:rsid w:val="00CE5A37"/>
    <w:rsid w:val="00CE5B24"/>
    <w:rsid w:val="00CE5D5F"/>
    <w:rsid w:val="00CE5E98"/>
    <w:rsid w:val="00CE5F30"/>
    <w:rsid w:val="00CE60CD"/>
    <w:rsid w:val="00CE6363"/>
    <w:rsid w:val="00CE652A"/>
    <w:rsid w:val="00CE69FC"/>
    <w:rsid w:val="00CE6B15"/>
    <w:rsid w:val="00CE6CC6"/>
    <w:rsid w:val="00CE6E32"/>
    <w:rsid w:val="00CE6E7E"/>
    <w:rsid w:val="00CE6E81"/>
    <w:rsid w:val="00CE71FD"/>
    <w:rsid w:val="00CE7256"/>
    <w:rsid w:val="00CE7549"/>
    <w:rsid w:val="00CE75FE"/>
    <w:rsid w:val="00CE775F"/>
    <w:rsid w:val="00CE788B"/>
    <w:rsid w:val="00CF0174"/>
    <w:rsid w:val="00CF0219"/>
    <w:rsid w:val="00CF04B4"/>
    <w:rsid w:val="00CF055D"/>
    <w:rsid w:val="00CF05DB"/>
    <w:rsid w:val="00CF0908"/>
    <w:rsid w:val="00CF0974"/>
    <w:rsid w:val="00CF0A13"/>
    <w:rsid w:val="00CF0B33"/>
    <w:rsid w:val="00CF0B8C"/>
    <w:rsid w:val="00CF0BE3"/>
    <w:rsid w:val="00CF0FC4"/>
    <w:rsid w:val="00CF1089"/>
    <w:rsid w:val="00CF10DE"/>
    <w:rsid w:val="00CF130B"/>
    <w:rsid w:val="00CF15BE"/>
    <w:rsid w:val="00CF1711"/>
    <w:rsid w:val="00CF181C"/>
    <w:rsid w:val="00CF1AEC"/>
    <w:rsid w:val="00CF1C79"/>
    <w:rsid w:val="00CF1D89"/>
    <w:rsid w:val="00CF2013"/>
    <w:rsid w:val="00CF2157"/>
    <w:rsid w:val="00CF223A"/>
    <w:rsid w:val="00CF2284"/>
    <w:rsid w:val="00CF26C2"/>
    <w:rsid w:val="00CF2708"/>
    <w:rsid w:val="00CF28A8"/>
    <w:rsid w:val="00CF2B27"/>
    <w:rsid w:val="00CF2C08"/>
    <w:rsid w:val="00CF2C25"/>
    <w:rsid w:val="00CF2C97"/>
    <w:rsid w:val="00CF2EE5"/>
    <w:rsid w:val="00CF2F64"/>
    <w:rsid w:val="00CF2FFC"/>
    <w:rsid w:val="00CF3013"/>
    <w:rsid w:val="00CF3104"/>
    <w:rsid w:val="00CF311A"/>
    <w:rsid w:val="00CF3359"/>
    <w:rsid w:val="00CF33B3"/>
    <w:rsid w:val="00CF3400"/>
    <w:rsid w:val="00CF34E3"/>
    <w:rsid w:val="00CF3537"/>
    <w:rsid w:val="00CF3650"/>
    <w:rsid w:val="00CF379F"/>
    <w:rsid w:val="00CF391F"/>
    <w:rsid w:val="00CF3EEB"/>
    <w:rsid w:val="00CF407D"/>
    <w:rsid w:val="00CF42DF"/>
    <w:rsid w:val="00CF4307"/>
    <w:rsid w:val="00CF447C"/>
    <w:rsid w:val="00CF4813"/>
    <w:rsid w:val="00CF4B67"/>
    <w:rsid w:val="00CF4E82"/>
    <w:rsid w:val="00CF570D"/>
    <w:rsid w:val="00CF5718"/>
    <w:rsid w:val="00CF5807"/>
    <w:rsid w:val="00CF597F"/>
    <w:rsid w:val="00CF5C80"/>
    <w:rsid w:val="00CF5CA2"/>
    <w:rsid w:val="00CF6A79"/>
    <w:rsid w:val="00CF6B6B"/>
    <w:rsid w:val="00CF6C41"/>
    <w:rsid w:val="00CF6C42"/>
    <w:rsid w:val="00CF6E1A"/>
    <w:rsid w:val="00CF6FB6"/>
    <w:rsid w:val="00CF72D0"/>
    <w:rsid w:val="00CF74E1"/>
    <w:rsid w:val="00CF7736"/>
    <w:rsid w:val="00CF774B"/>
    <w:rsid w:val="00CF7E5C"/>
    <w:rsid w:val="00CF7EDA"/>
    <w:rsid w:val="00CF7FAF"/>
    <w:rsid w:val="00D0008E"/>
    <w:rsid w:val="00D004A3"/>
    <w:rsid w:val="00D007CD"/>
    <w:rsid w:val="00D009E6"/>
    <w:rsid w:val="00D00EEC"/>
    <w:rsid w:val="00D010AE"/>
    <w:rsid w:val="00D01102"/>
    <w:rsid w:val="00D01453"/>
    <w:rsid w:val="00D015CE"/>
    <w:rsid w:val="00D0167C"/>
    <w:rsid w:val="00D018FE"/>
    <w:rsid w:val="00D01954"/>
    <w:rsid w:val="00D01D2B"/>
    <w:rsid w:val="00D01ED5"/>
    <w:rsid w:val="00D01F0B"/>
    <w:rsid w:val="00D01F51"/>
    <w:rsid w:val="00D021F0"/>
    <w:rsid w:val="00D02271"/>
    <w:rsid w:val="00D02456"/>
    <w:rsid w:val="00D026BC"/>
    <w:rsid w:val="00D02961"/>
    <w:rsid w:val="00D02AD7"/>
    <w:rsid w:val="00D02BE0"/>
    <w:rsid w:val="00D02C47"/>
    <w:rsid w:val="00D02D80"/>
    <w:rsid w:val="00D02DC7"/>
    <w:rsid w:val="00D031E2"/>
    <w:rsid w:val="00D03458"/>
    <w:rsid w:val="00D0345E"/>
    <w:rsid w:val="00D03A94"/>
    <w:rsid w:val="00D03E7A"/>
    <w:rsid w:val="00D04827"/>
    <w:rsid w:val="00D04C76"/>
    <w:rsid w:val="00D04ECA"/>
    <w:rsid w:val="00D04EFF"/>
    <w:rsid w:val="00D051A6"/>
    <w:rsid w:val="00D051E5"/>
    <w:rsid w:val="00D05245"/>
    <w:rsid w:val="00D05307"/>
    <w:rsid w:val="00D054DC"/>
    <w:rsid w:val="00D0557C"/>
    <w:rsid w:val="00D0557D"/>
    <w:rsid w:val="00D05669"/>
    <w:rsid w:val="00D05ACA"/>
    <w:rsid w:val="00D05CEE"/>
    <w:rsid w:val="00D061DA"/>
    <w:rsid w:val="00D0630F"/>
    <w:rsid w:val="00D06878"/>
    <w:rsid w:val="00D06A03"/>
    <w:rsid w:val="00D06A55"/>
    <w:rsid w:val="00D06B93"/>
    <w:rsid w:val="00D06CBF"/>
    <w:rsid w:val="00D06FAF"/>
    <w:rsid w:val="00D07112"/>
    <w:rsid w:val="00D0713C"/>
    <w:rsid w:val="00D07182"/>
    <w:rsid w:val="00D07198"/>
    <w:rsid w:val="00D071BE"/>
    <w:rsid w:val="00D0769D"/>
    <w:rsid w:val="00D078C6"/>
    <w:rsid w:val="00D07F75"/>
    <w:rsid w:val="00D07FB4"/>
    <w:rsid w:val="00D100C6"/>
    <w:rsid w:val="00D1036E"/>
    <w:rsid w:val="00D1060A"/>
    <w:rsid w:val="00D107E7"/>
    <w:rsid w:val="00D109FC"/>
    <w:rsid w:val="00D10A6D"/>
    <w:rsid w:val="00D10D0E"/>
    <w:rsid w:val="00D10E7B"/>
    <w:rsid w:val="00D10E91"/>
    <w:rsid w:val="00D10F53"/>
    <w:rsid w:val="00D1105A"/>
    <w:rsid w:val="00D1116F"/>
    <w:rsid w:val="00D1137B"/>
    <w:rsid w:val="00D114F1"/>
    <w:rsid w:val="00D11DB6"/>
    <w:rsid w:val="00D11E96"/>
    <w:rsid w:val="00D1201B"/>
    <w:rsid w:val="00D121DB"/>
    <w:rsid w:val="00D122D7"/>
    <w:rsid w:val="00D12482"/>
    <w:rsid w:val="00D124C5"/>
    <w:rsid w:val="00D12516"/>
    <w:rsid w:val="00D12700"/>
    <w:rsid w:val="00D1291A"/>
    <w:rsid w:val="00D1298F"/>
    <w:rsid w:val="00D12B13"/>
    <w:rsid w:val="00D12BB7"/>
    <w:rsid w:val="00D12FFD"/>
    <w:rsid w:val="00D13130"/>
    <w:rsid w:val="00D132A4"/>
    <w:rsid w:val="00D132D5"/>
    <w:rsid w:val="00D1349A"/>
    <w:rsid w:val="00D13621"/>
    <w:rsid w:val="00D13811"/>
    <w:rsid w:val="00D1388D"/>
    <w:rsid w:val="00D13AC1"/>
    <w:rsid w:val="00D13BDD"/>
    <w:rsid w:val="00D13E53"/>
    <w:rsid w:val="00D13EE9"/>
    <w:rsid w:val="00D13FE0"/>
    <w:rsid w:val="00D14153"/>
    <w:rsid w:val="00D1447E"/>
    <w:rsid w:val="00D144AB"/>
    <w:rsid w:val="00D1477F"/>
    <w:rsid w:val="00D14B7D"/>
    <w:rsid w:val="00D14C6D"/>
    <w:rsid w:val="00D14E84"/>
    <w:rsid w:val="00D151EA"/>
    <w:rsid w:val="00D15303"/>
    <w:rsid w:val="00D154EE"/>
    <w:rsid w:val="00D158B4"/>
    <w:rsid w:val="00D158B9"/>
    <w:rsid w:val="00D15BA2"/>
    <w:rsid w:val="00D16051"/>
    <w:rsid w:val="00D160F7"/>
    <w:rsid w:val="00D16297"/>
    <w:rsid w:val="00D16552"/>
    <w:rsid w:val="00D168DB"/>
    <w:rsid w:val="00D1694E"/>
    <w:rsid w:val="00D16A42"/>
    <w:rsid w:val="00D16A4C"/>
    <w:rsid w:val="00D16A9F"/>
    <w:rsid w:val="00D16EF2"/>
    <w:rsid w:val="00D171D1"/>
    <w:rsid w:val="00D17621"/>
    <w:rsid w:val="00D17650"/>
    <w:rsid w:val="00D17706"/>
    <w:rsid w:val="00D17788"/>
    <w:rsid w:val="00D177FB"/>
    <w:rsid w:val="00D17949"/>
    <w:rsid w:val="00D17A7D"/>
    <w:rsid w:val="00D20039"/>
    <w:rsid w:val="00D20260"/>
    <w:rsid w:val="00D20461"/>
    <w:rsid w:val="00D205A6"/>
    <w:rsid w:val="00D20B75"/>
    <w:rsid w:val="00D20E2F"/>
    <w:rsid w:val="00D20E37"/>
    <w:rsid w:val="00D20EB0"/>
    <w:rsid w:val="00D20EC5"/>
    <w:rsid w:val="00D210EF"/>
    <w:rsid w:val="00D21121"/>
    <w:rsid w:val="00D21163"/>
    <w:rsid w:val="00D21405"/>
    <w:rsid w:val="00D2148E"/>
    <w:rsid w:val="00D21557"/>
    <w:rsid w:val="00D217B6"/>
    <w:rsid w:val="00D218BB"/>
    <w:rsid w:val="00D21A4A"/>
    <w:rsid w:val="00D21A6E"/>
    <w:rsid w:val="00D21EAC"/>
    <w:rsid w:val="00D21FA8"/>
    <w:rsid w:val="00D220EF"/>
    <w:rsid w:val="00D22166"/>
    <w:rsid w:val="00D221A2"/>
    <w:rsid w:val="00D221C1"/>
    <w:rsid w:val="00D22675"/>
    <w:rsid w:val="00D228F3"/>
    <w:rsid w:val="00D229FD"/>
    <w:rsid w:val="00D22B80"/>
    <w:rsid w:val="00D22B8A"/>
    <w:rsid w:val="00D22EA8"/>
    <w:rsid w:val="00D23136"/>
    <w:rsid w:val="00D2319C"/>
    <w:rsid w:val="00D234FB"/>
    <w:rsid w:val="00D23678"/>
    <w:rsid w:val="00D236B7"/>
    <w:rsid w:val="00D2379B"/>
    <w:rsid w:val="00D237D0"/>
    <w:rsid w:val="00D237E4"/>
    <w:rsid w:val="00D239F9"/>
    <w:rsid w:val="00D23BE3"/>
    <w:rsid w:val="00D23E48"/>
    <w:rsid w:val="00D23F33"/>
    <w:rsid w:val="00D240BB"/>
    <w:rsid w:val="00D24226"/>
    <w:rsid w:val="00D244BE"/>
    <w:rsid w:val="00D244CE"/>
    <w:rsid w:val="00D24537"/>
    <w:rsid w:val="00D24632"/>
    <w:rsid w:val="00D24640"/>
    <w:rsid w:val="00D2482F"/>
    <w:rsid w:val="00D24849"/>
    <w:rsid w:val="00D24B50"/>
    <w:rsid w:val="00D24B54"/>
    <w:rsid w:val="00D25156"/>
    <w:rsid w:val="00D25352"/>
    <w:rsid w:val="00D253BC"/>
    <w:rsid w:val="00D253CC"/>
    <w:rsid w:val="00D25410"/>
    <w:rsid w:val="00D25964"/>
    <w:rsid w:val="00D25EC9"/>
    <w:rsid w:val="00D25FED"/>
    <w:rsid w:val="00D260FA"/>
    <w:rsid w:val="00D261B1"/>
    <w:rsid w:val="00D263FE"/>
    <w:rsid w:val="00D26722"/>
    <w:rsid w:val="00D267C3"/>
    <w:rsid w:val="00D268D9"/>
    <w:rsid w:val="00D2692A"/>
    <w:rsid w:val="00D26A83"/>
    <w:rsid w:val="00D26C0F"/>
    <w:rsid w:val="00D26CEB"/>
    <w:rsid w:val="00D26D2F"/>
    <w:rsid w:val="00D26F1C"/>
    <w:rsid w:val="00D26F36"/>
    <w:rsid w:val="00D27232"/>
    <w:rsid w:val="00D273C4"/>
    <w:rsid w:val="00D27559"/>
    <w:rsid w:val="00D278E5"/>
    <w:rsid w:val="00D278F4"/>
    <w:rsid w:val="00D27A1D"/>
    <w:rsid w:val="00D27B83"/>
    <w:rsid w:val="00D27D8F"/>
    <w:rsid w:val="00D27E1C"/>
    <w:rsid w:val="00D27F2D"/>
    <w:rsid w:val="00D27FFC"/>
    <w:rsid w:val="00D300E9"/>
    <w:rsid w:val="00D30103"/>
    <w:rsid w:val="00D30118"/>
    <w:rsid w:val="00D30334"/>
    <w:rsid w:val="00D3034A"/>
    <w:rsid w:val="00D303A3"/>
    <w:rsid w:val="00D304CF"/>
    <w:rsid w:val="00D305A4"/>
    <w:rsid w:val="00D305B5"/>
    <w:rsid w:val="00D3090A"/>
    <w:rsid w:val="00D30CC0"/>
    <w:rsid w:val="00D30E03"/>
    <w:rsid w:val="00D30E2E"/>
    <w:rsid w:val="00D30EDF"/>
    <w:rsid w:val="00D310AF"/>
    <w:rsid w:val="00D310F3"/>
    <w:rsid w:val="00D3111E"/>
    <w:rsid w:val="00D31221"/>
    <w:rsid w:val="00D31318"/>
    <w:rsid w:val="00D3143F"/>
    <w:rsid w:val="00D316DF"/>
    <w:rsid w:val="00D316FB"/>
    <w:rsid w:val="00D31700"/>
    <w:rsid w:val="00D317FF"/>
    <w:rsid w:val="00D31851"/>
    <w:rsid w:val="00D3185B"/>
    <w:rsid w:val="00D31DF7"/>
    <w:rsid w:val="00D31F8D"/>
    <w:rsid w:val="00D320B6"/>
    <w:rsid w:val="00D321A1"/>
    <w:rsid w:val="00D322AA"/>
    <w:rsid w:val="00D323F9"/>
    <w:rsid w:val="00D32449"/>
    <w:rsid w:val="00D32664"/>
    <w:rsid w:val="00D326D0"/>
    <w:rsid w:val="00D3271C"/>
    <w:rsid w:val="00D327EE"/>
    <w:rsid w:val="00D32814"/>
    <w:rsid w:val="00D32CDA"/>
    <w:rsid w:val="00D32D36"/>
    <w:rsid w:val="00D32EC8"/>
    <w:rsid w:val="00D32FA5"/>
    <w:rsid w:val="00D32FFC"/>
    <w:rsid w:val="00D3300B"/>
    <w:rsid w:val="00D3336A"/>
    <w:rsid w:val="00D336AD"/>
    <w:rsid w:val="00D33A51"/>
    <w:rsid w:val="00D33A9E"/>
    <w:rsid w:val="00D33C32"/>
    <w:rsid w:val="00D33E14"/>
    <w:rsid w:val="00D33EBE"/>
    <w:rsid w:val="00D34014"/>
    <w:rsid w:val="00D34058"/>
    <w:rsid w:val="00D340C8"/>
    <w:rsid w:val="00D34376"/>
    <w:rsid w:val="00D3454C"/>
    <w:rsid w:val="00D34615"/>
    <w:rsid w:val="00D34A46"/>
    <w:rsid w:val="00D34B0D"/>
    <w:rsid w:val="00D350CF"/>
    <w:rsid w:val="00D351EB"/>
    <w:rsid w:val="00D35357"/>
    <w:rsid w:val="00D353B4"/>
    <w:rsid w:val="00D35755"/>
    <w:rsid w:val="00D35975"/>
    <w:rsid w:val="00D35AE9"/>
    <w:rsid w:val="00D35C13"/>
    <w:rsid w:val="00D35D9E"/>
    <w:rsid w:val="00D35E91"/>
    <w:rsid w:val="00D35FE9"/>
    <w:rsid w:val="00D361D9"/>
    <w:rsid w:val="00D36207"/>
    <w:rsid w:val="00D3646A"/>
    <w:rsid w:val="00D36882"/>
    <w:rsid w:val="00D36CB6"/>
    <w:rsid w:val="00D36CFB"/>
    <w:rsid w:val="00D36EB7"/>
    <w:rsid w:val="00D37024"/>
    <w:rsid w:val="00D370F3"/>
    <w:rsid w:val="00D373FF"/>
    <w:rsid w:val="00D37419"/>
    <w:rsid w:val="00D374FC"/>
    <w:rsid w:val="00D375EF"/>
    <w:rsid w:val="00D37656"/>
    <w:rsid w:val="00D3779C"/>
    <w:rsid w:val="00D37A62"/>
    <w:rsid w:val="00D37ADB"/>
    <w:rsid w:val="00D37ECC"/>
    <w:rsid w:val="00D37FDB"/>
    <w:rsid w:val="00D401AB"/>
    <w:rsid w:val="00D401C6"/>
    <w:rsid w:val="00D4049E"/>
    <w:rsid w:val="00D40508"/>
    <w:rsid w:val="00D405C2"/>
    <w:rsid w:val="00D406B2"/>
    <w:rsid w:val="00D40B95"/>
    <w:rsid w:val="00D40EAE"/>
    <w:rsid w:val="00D40F15"/>
    <w:rsid w:val="00D40F8B"/>
    <w:rsid w:val="00D40FFF"/>
    <w:rsid w:val="00D4111E"/>
    <w:rsid w:val="00D411C9"/>
    <w:rsid w:val="00D41217"/>
    <w:rsid w:val="00D4139E"/>
    <w:rsid w:val="00D414C7"/>
    <w:rsid w:val="00D4154C"/>
    <w:rsid w:val="00D41A59"/>
    <w:rsid w:val="00D41B8D"/>
    <w:rsid w:val="00D41C79"/>
    <w:rsid w:val="00D41CF9"/>
    <w:rsid w:val="00D41E77"/>
    <w:rsid w:val="00D4201C"/>
    <w:rsid w:val="00D42029"/>
    <w:rsid w:val="00D422C6"/>
    <w:rsid w:val="00D4281E"/>
    <w:rsid w:val="00D429DF"/>
    <w:rsid w:val="00D42B97"/>
    <w:rsid w:val="00D42D12"/>
    <w:rsid w:val="00D42F0A"/>
    <w:rsid w:val="00D43096"/>
    <w:rsid w:val="00D4319D"/>
    <w:rsid w:val="00D43300"/>
    <w:rsid w:val="00D4334D"/>
    <w:rsid w:val="00D43370"/>
    <w:rsid w:val="00D43B19"/>
    <w:rsid w:val="00D43B5E"/>
    <w:rsid w:val="00D43BC4"/>
    <w:rsid w:val="00D43D89"/>
    <w:rsid w:val="00D43DE4"/>
    <w:rsid w:val="00D43F83"/>
    <w:rsid w:val="00D4408D"/>
    <w:rsid w:val="00D441B5"/>
    <w:rsid w:val="00D4424C"/>
    <w:rsid w:val="00D445E0"/>
    <w:rsid w:val="00D44715"/>
    <w:rsid w:val="00D4491D"/>
    <w:rsid w:val="00D44A8E"/>
    <w:rsid w:val="00D44C93"/>
    <w:rsid w:val="00D44DEF"/>
    <w:rsid w:val="00D44DFB"/>
    <w:rsid w:val="00D44F5F"/>
    <w:rsid w:val="00D44FC7"/>
    <w:rsid w:val="00D45001"/>
    <w:rsid w:val="00D45245"/>
    <w:rsid w:val="00D454DB"/>
    <w:rsid w:val="00D458E5"/>
    <w:rsid w:val="00D45A59"/>
    <w:rsid w:val="00D45A7A"/>
    <w:rsid w:val="00D45DA9"/>
    <w:rsid w:val="00D45DEB"/>
    <w:rsid w:val="00D45EEB"/>
    <w:rsid w:val="00D4610D"/>
    <w:rsid w:val="00D46324"/>
    <w:rsid w:val="00D463A2"/>
    <w:rsid w:val="00D46593"/>
    <w:rsid w:val="00D46759"/>
    <w:rsid w:val="00D46852"/>
    <w:rsid w:val="00D469D9"/>
    <w:rsid w:val="00D46AB2"/>
    <w:rsid w:val="00D46C90"/>
    <w:rsid w:val="00D46D50"/>
    <w:rsid w:val="00D471CA"/>
    <w:rsid w:val="00D471ED"/>
    <w:rsid w:val="00D472D9"/>
    <w:rsid w:val="00D47331"/>
    <w:rsid w:val="00D47815"/>
    <w:rsid w:val="00D4786B"/>
    <w:rsid w:val="00D47A4F"/>
    <w:rsid w:val="00D47D2C"/>
    <w:rsid w:val="00D500D3"/>
    <w:rsid w:val="00D501AA"/>
    <w:rsid w:val="00D501FA"/>
    <w:rsid w:val="00D50214"/>
    <w:rsid w:val="00D502C3"/>
    <w:rsid w:val="00D50344"/>
    <w:rsid w:val="00D50359"/>
    <w:rsid w:val="00D503A5"/>
    <w:rsid w:val="00D5050B"/>
    <w:rsid w:val="00D5069A"/>
    <w:rsid w:val="00D509C7"/>
    <w:rsid w:val="00D50CCD"/>
    <w:rsid w:val="00D50D2F"/>
    <w:rsid w:val="00D50EA8"/>
    <w:rsid w:val="00D5127A"/>
    <w:rsid w:val="00D513BB"/>
    <w:rsid w:val="00D51477"/>
    <w:rsid w:val="00D51647"/>
    <w:rsid w:val="00D51650"/>
    <w:rsid w:val="00D516BD"/>
    <w:rsid w:val="00D518A7"/>
    <w:rsid w:val="00D51BDC"/>
    <w:rsid w:val="00D51F0F"/>
    <w:rsid w:val="00D52283"/>
    <w:rsid w:val="00D526F8"/>
    <w:rsid w:val="00D526FD"/>
    <w:rsid w:val="00D5276E"/>
    <w:rsid w:val="00D527C8"/>
    <w:rsid w:val="00D5287C"/>
    <w:rsid w:val="00D52B7E"/>
    <w:rsid w:val="00D52BBB"/>
    <w:rsid w:val="00D52BD8"/>
    <w:rsid w:val="00D52C03"/>
    <w:rsid w:val="00D52E6A"/>
    <w:rsid w:val="00D532C0"/>
    <w:rsid w:val="00D532C2"/>
    <w:rsid w:val="00D533C7"/>
    <w:rsid w:val="00D53509"/>
    <w:rsid w:val="00D53637"/>
    <w:rsid w:val="00D5376F"/>
    <w:rsid w:val="00D5392D"/>
    <w:rsid w:val="00D53953"/>
    <w:rsid w:val="00D5396D"/>
    <w:rsid w:val="00D53A52"/>
    <w:rsid w:val="00D53BC0"/>
    <w:rsid w:val="00D53CE6"/>
    <w:rsid w:val="00D54815"/>
    <w:rsid w:val="00D54840"/>
    <w:rsid w:val="00D548A2"/>
    <w:rsid w:val="00D549B5"/>
    <w:rsid w:val="00D54B50"/>
    <w:rsid w:val="00D54E39"/>
    <w:rsid w:val="00D552EE"/>
    <w:rsid w:val="00D5538D"/>
    <w:rsid w:val="00D5567E"/>
    <w:rsid w:val="00D556DD"/>
    <w:rsid w:val="00D557F0"/>
    <w:rsid w:val="00D55928"/>
    <w:rsid w:val="00D55A53"/>
    <w:rsid w:val="00D55AF0"/>
    <w:rsid w:val="00D55F0F"/>
    <w:rsid w:val="00D56229"/>
    <w:rsid w:val="00D56357"/>
    <w:rsid w:val="00D56406"/>
    <w:rsid w:val="00D5648E"/>
    <w:rsid w:val="00D565D4"/>
    <w:rsid w:val="00D567A6"/>
    <w:rsid w:val="00D56AB8"/>
    <w:rsid w:val="00D56B70"/>
    <w:rsid w:val="00D56D62"/>
    <w:rsid w:val="00D56E1C"/>
    <w:rsid w:val="00D56F15"/>
    <w:rsid w:val="00D5713D"/>
    <w:rsid w:val="00D57180"/>
    <w:rsid w:val="00D573EC"/>
    <w:rsid w:val="00D57607"/>
    <w:rsid w:val="00D576EC"/>
    <w:rsid w:val="00D577B7"/>
    <w:rsid w:val="00D578F0"/>
    <w:rsid w:val="00D579B5"/>
    <w:rsid w:val="00D57AB1"/>
    <w:rsid w:val="00D57ADC"/>
    <w:rsid w:val="00D57B11"/>
    <w:rsid w:val="00D57C48"/>
    <w:rsid w:val="00D60157"/>
    <w:rsid w:val="00D6057B"/>
    <w:rsid w:val="00D6057C"/>
    <w:rsid w:val="00D60585"/>
    <w:rsid w:val="00D60805"/>
    <w:rsid w:val="00D60A87"/>
    <w:rsid w:val="00D60C5B"/>
    <w:rsid w:val="00D60FD5"/>
    <w:rsid w:val="00D61127"/>
    <w:rsid w:val="00D61217"/>
    <w:rsid w:val="00D614AA"/>
    <w:rsid w:val="00D614B7"/>
    <w:rsid w:val="00D6163B"/>
    <w:rsid w:val="00D616C5"/>
    <w:rsid w:val="00D6173B"/>
    <w:rsid w:val="00D61981"/>
    <w:rsid w:val="00D619DD"/>
    <w:rsid w:val="00D619FD"/>
    <w:rsid w:val="00D61B29"/>
    <w:rsid w:val="00D61B36"/>
    <w:rsid w:val="00D61D6F"/>
    <w:rsid w:val="00D6249E"/>
    <w:rsid w:val="00D628A1"/>
    <w:rsid w:val="00D62AD3"/>
    <w:rsid w:val="00D62B01"/>
    <w:rsid w:val="00D62B0B"/>
    <w:rsid w:val="00D62B34"/>
    <w:rsid w:val="00D62B9A"/>
    <w:rsid w:val="00D62D93"/>
    <w:rsid w:val="00D62DB6"/>
    <w:rsid w:val="00D62F1E"/>
    <w:rsid w:val="00D62F7C"/>
    <w:rsid w:val="00D6308C"/>
    <w:rsid w:val="00D633AA"/>
    <w:rsid w:val="00D63447"/>
    <w:rsid w:val="00D63464"/>
    <w:rsid w:val="00D6347A"/>
    <w:rsid w:val="00D63553"/>
    <w:rsid w:val="00D6356D"/>
    <w:rsid w:val="00D635CE"/>
    <w:rsid w:val="00D636B3"/>
    <w:rsid w:val="00D636D3"/>
    <w:rsid w:val="00D636E4"/>
    <w:rsid w:val="00D63800"/>
    <w:rsid w:val="00D63934"/>
    <w:rsid w:val="00D63B98"/>
    <w:rsid w:val="00D63E85"/>
    <w:rsid w:val="00D64059"/>
    <w:rsid w:val="00D6428D"/>
    <w:rsid w:val="00D6437F"/>
    <w:rsid w:val="00D644C2"/>
    <w:rsid w:val="00D645D6"/>
    <w:rsid w:val="00D64667"/>
    <w:rsid w:val="00D64833"/>
    <w:rsid w:val="00D648C7"/>
    <w:rsid w:val="00D6491C"/>
    <w:rsid w:val="00D64A14"/>
    <w:rsid w:val="00D64ADC"/>
    <w:rsid w:val="00D64C60"/>
    <w:rsid w:val="00D64E8C"/>
    <w:rsid w:val="00D64EBC"/>
    <w:rsid w:val="00D65425"/>
    <w:rsid w:val="00D6553D"/>
    <w:rsid w:val="00D65589"/>
    <w:rsid w:val="00D655E5"/>
    <w:rsid w:val="00D656EB"/>
    <w:rsid w:val="00D65728"/>
    <w:rsid w:val="00D65737"/>
    <w:rsid w:val="00D65D96"/>
    <w:rsid w:val="00D65E59"/>
    <w:rsid w:val="00D65F20"/>
    <w:rsid w:val="00D65F69"/>
    <w:rsid w:val="00D66181"/>
    <w:rsid w:val="00D66317"/>
    <w:rsid w:val="00D665DD"/>
    <w:rsid w:val="00D66737"/>
    <w:rsid w:val="00D6686E"/>
    <w:rsid w:val="00D66BA4"/>
    <w:rsid w:val="00D66C73"/>
    <w:rsid w:val="00D66CFF"/>
    <w:rsid w:val="00D66DA4"/>
    <w:rsid w:val="00D66E6F"/>
    <w:rsid w:val="00D67345"/>
    <w:rsid w:val="00D675C7"/>
    <w:rsid w:val="00D67641"/>
    <w:rsid w:val="00D676F2"/>
    <w:rsid w:val="00D679FD"/>
    <w:rsid w:val="00D67BE2"/>
    <w:rsid w:val="00D67C2B"/>
    <w:rsid w:val="00D70092"/>
    <w:rsid w:val="00D70120"/>
    <w:rsid w:val="00D701E8"/>
    <w:rsid w:val="00D70222"/>
    <w:rsid w:val="00D703B9"/>
    <w:rsid w:val="00D706C6"/>
    <w:rsid w:val="00D70757"/>
    <w:rsid w:val="00D707A9"/>
    <w:rsid w:val="00D708E9"/>
    <w:rsid w:val="00D70A94"/>
    <w:rsid w:val="00D70B2B"/>
    <w:rsid w:val="00D70E5A"/>
    <w:rsid w:val="00D71026"/>
    <w:rsid w:val="00D710A0"/>
    <w:rsid w:val="00D71120"/>
    <w:rsid w:val="00D7149A"/>
    <w:rsid w:val="00D71528"/>
    <w:rsid w:val="00D71590"/>
    <w:rsid w:val="00D715B2"/>
    <w:rsid w:val="00D71908"/>
    <w:rsid w:val="00D71CBC"/>
    <w:rsid w:val="00D720DF"/>
    <w:rsid w:val="00D721E0"/>
    <w:rsid w:val="00D7250F"/>
    <w:rsid w:val="00D72544"/>
    <w:rsid w:val="00D725BF"/>
    <w:rsid w:val="00D72650"/>
    <w:rsid w:val="00D72662"/>
    <w:rsid w:val="00D729A4"/>
    <w:rsid w:val="00D72A83"/>
    <w:rsid w:val="00D72BF1"/>
    <w:rsid w:val="00D72CBF"/>
    <w:rsid w:val="00D72D10"/>
    <w:rsid w:val="00D72F28"/>
    <w:rsid w:val="00D72F77"/>
    <w:rsid w:val="00D72FDC"/>
    <w:rsid w:val="00D730B0"/>
    <w:rsid w:val="00D7310C"/>
    <w:rsid w:val="00D732C2"/>
    <w:rsid w:val="00D73385"/>
    <w:rsid w:val="00D73556"/>
    <w:rsid w:val="00D73744"/>
    <w:rsid w:val="00D7378F"/>
    <w:rsid w:val="00D73A7B"/>
    <w:rsid w:val="00D73EEF"/>
    <w:rsid w:val="00D7401F"/>
    <w:rsid w:val="00D74031"/>
    <w:rsid w:val="00D74244"/>
    <w:rsid w:val="00D7434B"/>
    <w:rsid w:val="00D74713"/>
    <w:rsid w:val="00D749C1"/>
    <w:rsid w:val="00D74A0A"/>
    <w:rsid w:val="00D74D67"/>
    <w:rsid w:val="00D7506D"/>
    <w:rsid w:val="00D7551F"/>
    <w:rsid w:val="00D755DF"/>
    <w:rsid w:val="00D7563F"/>
    <w:rsid w:val="00D75672"/>
    <w:rsid w:val="00D75B70"/>
    <w:rsid w:val="00D75F33"/>
    <w:rsid w:val="00D7609B"/>
    <w:rsid w:val="00D760BF"/>
    <w:rsid w:val="00D76269"/>
    <w:rsid w:val="00D765A0"/>
    <w:rsid w:val="00D76684"/>
    <w:rsid w:val="00D766AA"/>
    <w:rsid w:val="00D76809"/>
    <w:rsid w:val="00D768DE"/>
    <w:rsid w:val="00D76998"/>
    <w:rsid w:val="00D76AB5"/>
    <w:rsid w:val="00D76DAC"/>
    <w:rsid w:val="00D771FD"/>
    <w:rsid w:val="00D77782"/>
    <w:rsid w:val="00D7781E"/>
    <w:rsid w:val="00D77830"/>
    <w:rsid w:val="00D77877"/>
    <w:rsid w:val="00D7796D"/>
    <w:rsid w:val="00D77972"/>
    <w:rsid w:val="00D77B98"/>
    <w:rsid w:val="00D77FDB"/>
    <w:rsid w:val="00D77FF2"/>
    <w:rsid w:val="00D800F7"/>
    <w:rsid w:val="00D8024C"/>
    <w:rsid w:val="00D80280"/>
    <w:rsid w:val="00D80492"/>
    <w:rsid w:val="00D80619"/>
    <w:rsid w:val="00D80855"/>
    <w:rsid w:val="00D80B1A"/>
    <w:rsid w:val="00D80C06"/>
    <w:rsid w:val="00D8111F"/>
    <w:rsid w:val="00D812C7"/>
    <w:rsid w:val="00D81868"/>
    <w:rsid w:val="00D81B18"/>
    <w:rsid w:val="00D81C5A"/>
    <w:rsid w:val="00D81C8E"/>
    <w:rsid w:val="00D81F03"/>
    <w:rsid w:val="00D82187"/>
    <w:rsid w:val="00D82253"/>
    <w:rsid w:val="00D822AA"/>
    <w:rsid w:val="00D82654"/>
    <w:rsid w:val="00D82666"/>
    <w:rsid w:val="00D82683"/>
    <w:rsid w:val="00D82692"/>
    <w:rsid w:val="00D82D4C"/>
    <w:rsid w:val="00D82D70"/>
    <w:rsid w:val="00D831DB"/>
    <w:rsid w:val="00D8327F"/>
    <w:rsid w:val="00D83541"/>
    <w:rsid w:val="00D836EA"/>
    <w:rsid w:val="00D836F8"/>
    <w:rsid w:val="00D83768"/>
    <w:rsid w:val="00D83915"/>
    <w:rsid w:val="00D83B1A"/>
    <w:rsid w:val="00D83C0C"/>
    <w:rsid w:val="00D83D3A"/>
    <w:rsid w:val="00D840DD"/>
    <w:rsid w:val="00D8435E"/>
    <w:rsid w:val="00D8466B"/>
    <w:rsid w:val="00D8487E"/>
    <w:rsid w:val="00D84B4D"/>
    <w:rsid w:val="00D84D05"/>
    <w:rsid w:val="00D84F3B"/>
    <w:rsid w:val="00D84F41"/>
    <w:rsid w:val="00D84F82"/>
    <w:rsid w:val="00D8501A"/>
    <w:rsid w:val="00D850C7"/>
    <w:rsid w:val="00D85673"/>
    <w:rsid w:val="00D856AF"/>
    <w:rsid w:val="00D857C3"/>
    <w:rsid w:val="00D85BD4"/>
    <w:rsid w:val="00D85C7E"/>
    <w:rsid w:val="00D85E15"/>
    <w:rsid w:val="00D85F1D"/>
    <w:rsid w:val="00D85F51"/>
    <w:rsid w:val="00D85FD4"/>
    <w:rsid w:val="00D861B8"/>
    <w:rsid w:val="00D86281"/>
    <w:rsid w:val="00D86421"/>
    <w:rsid w:val="00D865F5"/>
    <w:rsid w:val="00D866A4"/>
    <w:rsid w:val="00D86757"/>
    <w:rsid w:val="00D86BB5"/>
    <w:rsid w:val="00D86BED"/>
    <w:rsid w:val="00D86E5B"/>
    <w:rsid w:val="00D86F9B"/>
    <w:rsid w:val="00D86FED"/>
    <w:rsid w:val="00D87207"/>
    <w:rsid w:val="00D872D9"/>
    <w:rsid w:val="00D873DC"/>
    <w:rsid w:val="00D87440"/>
    <w:rsid w:val="00D87453"/>
    <w:rsid w:val="00D876F5"/>
    <w:rsid w:val="00D8794E"/>
    <w:rsid w:val="00D87C14"/>
    <w:rsid w:val="00D87D4F"/>
    <w:rsid w:val="00D901AD"/>
    <w:rsid w:val="00D9027C"/>
    <w:rsid w:val="00D903DE"/>
    <w:rsid w:val="00D904A0"/>
    <w:rsid w:val="00D906D9"/>
    <w:rsid w:val="00D907B6"/>
    <w:rsid w:val="00D909C3"/>
    <w:rsid w:val="00D90C8D"/>
    <w:rsid w:val="00D91390"/>
    <w:rsid w:val="00D91540"/>
    <w:rsid w:val="00D91768"/>
    <w:rsid w:val="00D91790"/>
    <w:rsid w:val="00D9188C"/>
    <w:rsid w:val="00D91B26"/>
    <w:rsid w:val="00D91B3E"/>
    <w:rsid w:val="00D91F6E"/>
    <w:rsid w:val="00D92127"/>
    <w:rsid w:val="00D92148"/>
    <w:rsid w:val="00D9223B"/>
    <w:rsid w:val="00D922E4"/>
    <w:rsid w:val="00D92599"/>
    <w:rsid w:val="00D927AC"/>
    <w:rsid w:val="00D92832"/>
    <w:rsid w:val="00D92A3A"/>
    <w:rsid w:val="00D92D38"/>
    <w:rsid w:val="00D92D5C"/>
    <w:rsid w:val="00D92D83"/>
    <w:rsid w:val="00D92E65"/>
    <w:rsid w:val="00D92EFF"/>
    <w:rsid w:val="00D93198"/>
    <w:rsid w:val="00D933E9"/>
    <w:rsid w:val="00D9351A"/>
    <w:rsid w:val="00D9355C"/>
    <w:rsid w:val="00D939A2"/>
    <w:rsid w:val="00D93A16"/>
    <w:rsid w:val="00D93AA1"/>
    <w:rsid w:val="00D93B28"/>
    <w:rsid w:val="00D93B89"/>
    <w:rsid w:val="00D93C1B"/>
    <w:rsid w:val="00D93CD5"/>
    <w:rsid w:val="00D93D55"/>
    <w:rsid w:val="00D93DB0"/>
    <w:rsid w:val="00D93E19"/>
    <w:rsid w:val="00D94187"/>
    <w:rsid w:val="00D9435F"/>
    <w:rsid w:val="00D943F2"/>
    <w:rsid w:val="00D944C0"/>
    <w:rsid w:val="00D945AB"/>
    <w:rsid w:val="00D94807"/>
    <w:rsid w:val="00D9496D"/>
    <w:rsid w:val="00D949BF"/>
    <w:rsid w:val="00D94E21"/>
    <w:rsid w:val="00D94E30"/>
    <w:rsid w:val="00D94E49"/>
    <w:rsid w:val="00D9500A"/>
    <w:rsid w:val="00D9524C"/>
    <w:rsid w:val="00D95577"/>
    <w:rsid w:val="00D95666"/>
    <w:rsid w:val="00D961B1"/>
    <w:rsid w:val="00D96238"/>
    <w:rsid w:val="00D96288"/>
    <w:rsid w:val="00D96356"/>
    <w:rsid w:val="00D96699"/>
    <w:rsid w:val="00D967C7"/>
    <w:rsid w:val="00D967EA"/>
    <w:rsid w:val="00D96820"/>
    <w:rsid w:val="00D968C0"/>
    <w:rsid w:val="00D96B5A"/>
    <w:rsid w:val="00D96CBC"/>
    <w:rsid w:val="00D96DBC"/>
    <w:rsid w:val="00D96DCC"/>
    <w:rsid w:val="00D96E5E"/>
    <w:rsid w:val="00D96E5F"/>
    <w:rsid w:val="00D96ED8"/>
    <w:rsid w:val="00D9724E"/>
    <w:rsid w:val="00D97252"/>
    <w:rsid w:val="00D973A8"/>
    <w:rsid w:val="00D975AB"/>
    <w:rsid w:val="00D97BEF"/>
    <w:rsid w:val="00D97CAF"/>
    <w:rsid w:val="00D97F9A"/>
    <w:rsid w:val="00DA004C"/>
    <w:rsid w:val="00DA015C"/>
    <w:rsid w:val="00DA05D8"/>
    <w:rsid w:val="00DA0648"/>
    <w:rsid w:val="00DA0740"/>
    <w:rsid w:val="00DA0768"/>
    <w:rsid w:val="00DA076C"/>
    <w:rsid w:val="00DA0954"/>
    <w:rsid w:val="00DA0E91"/>
    <w:rsid w:val="00DA0F8E"/>
    <w:rsid w:val="00DA13A3"/>
    <w:rsid w:val="00DA161A"/>
    <w:rsid w:val="00DA1AD7"/>
    <w:rsid w:val="00DA1CD0"/>
    <w:rsid w:val="00DA20A3"/>
    <w:rsid w:val="00DA21DB"/>
    <w:rsid w:val="00DA2220"/>
    <w:rsid w:val="00DA242A"/>
    <w:rsid w:val="00DA25D6"/>
    <w:rsid w:val="00DA281D"/>
    <w:rsid w:val="00DA2886"/>
    <w:rsid w:val="00DA28B7"/>
    <w:rsid w:val="00DA2B1A"/>
    <w:rsid w:val="00DA2BBD"/>
    <w:rsid w:val="00DA2C18"/>
    <w:rsid w:val="00DA2DE2"/>
    <w:rsid w:val="00DA317D"/>
    <w:rsid w:val="00DA3240"/>
    <w:rsid w:val="00DA32A5"/>
    <w:rsid w:val="00DA3413"/>
    <w:rsid w:val="00DA3494"/>
    <w:rsid w:val="00DA3633"/>
    <w:rsid w:val="00DA3A39"/>
    <w:rsid w:val="00DA3CA0"/>
    <w:rsid w:val="00DA3CB4"/>
    <w:rsid w:val="00DA3E2F"/>
    <w:rsid w:val="00DA3EEE"/>
    <w:rsid w:val="00DA3F86"/>
    <w:rsid w:val="00DA4039"/>
    <w:rsid w:val="00DA423D"/>
    <w:rsid w:val="00DA4258"/>
    <w:rsid w:val="00DA42D8"/>
    <w:rsid w:val="00DA4339"/>
    <w:rsid w:val="00DA43A0"/>
    <w:rsid w:val="00DA4411"/>
    <w:rsid w:val="00DA4657"/>
    <w:rsid w:val="00DA46CD"/>
    <w:rsid w:val="00DA475F"/>
    <w:rsid w:val="00DA4818"/>
    <w:rsid w:val="00DA4839"/>
    <w:rsid w:val="00DA4850"/>
    <w:rsid w:val="00DA4888"/>
    <w:rsid w:val="00DA4968"/>
    <w:rsid w:val="00DA4AF9"/>
    <w:rsid w:val="00DA4E7E"/>
    <w:rsid w:val="00DA4F7F"/>
    <w:rsid w:val="00DA50E9"/>
    <w:rsid w:val="00DA54C9"/>
    <w:rsid w:val="00DA564A"/>
    <w:rsid w:val="00DA58B4"/>
    <w:rsid w:val="00DA590B"/>
    <w:rsid w:val="00DA593F"/>
    <w:rsid w:val="00DA5A94"/>
    <w:rsid w:val="00DA5AAB"/>
    <w:rsid w:val="00DA5DB5"/>
    <w:rsid w:val="00DA625E"/>
    <w:rsid w:val="00DA62C3"/>
    <w:rsid w:val="00DA6514"/>
    <w:rsid w:val="00DA65DF"/>
    <w:rsid w:val="00DA6824"/>
    <w:rsid w:val="00DA685D"/>
    <w:rsid w:val="00DA6A04"/>
    <w:rsid w:val="00DA6A3D"/>
    <w:rsid w:val="00DA6AF9"/>
    <w:rsid w:val="00DA6C16"/>
    <w:rsid w:val="00DA7011"/>
    <w:rsid w:val="00DA70B4"/>
    <w:rsid w:val="00DA7122"/>
    <w:rsid w:val="00DA7191"/>
    <w:rsid w:val="00DA72D6"/>
    <w:rsid w:val="00DA74B8"/>
    <w:rsid w:val="00DA752A"/>
    <w:rsid w:val="00DA7597"/>
    <w:rsid w:val="00DA7634"/>
    <w:rsid w:val="00DA7727"/>
    <w:rsid w:val="00DA7863"/>
    <w:rsid w:val="00DA7953"/>
    <w:rsid w:val="00DA79D0"/>
    <w:rsid w:val="00DA7A46"/>
    <w:rsid w:val="00DA7A60"/>
    <w:rsid w:val="00DA7C81"/>
    <w:rsid w:val="00DA7CF5"/>
    <w:rsid w:val="00DA7EFD"/>
    <w:rsid w:val="00DA7F1B"/>
    <w:rsid w:val="00DB0066"/>
    <w:rsid w:val="00DB012F"/>
    <w:rsid w:val="00DB015E"/>
    <w:rsid w:val="00DB031B"/>
    <w:rsid w:val="00DB0324"/>
    <w:rsid w:val="00DB039A"/>
    <w:rsid w:val="00DB041E"/>
    <w:rsid w:val="00DB05B7"/>
    <w:rsid w:val="00DB05BD"/>
    <w:rsid w:val="00DB061A"/>
    <w:rsid w:val="00DB0867"/>
    <w:rsid w:val="00DB0987"/>
    <w:rsid w:val="00DB0AEA"/>
    <w:rsid w:val="00DB0C54"/>
    <w:rsid w:val="00DB0E12"/>
    <w:rsid w:val="00DB1044"/>
    <w:rsid w:val="00DB1144"/>
    <w:rsid w:val="00DB12FB"/>
    <w:rsid w:val="00DB14EB"/>
    <w:rsid w:val="00DB1B3E"/>
    <w:rsid w:val="00DB1B4A"/>
    <w:rsid w:val="00DB1B87"/>
    <w:rsid w:val="00DB1C73"/>
    <w:rsid w:val="00DB1FCF"/>
    <w:rsid w:val="00DB2077"/>
    <w:rsid w:val="00DB2176"/>
    <w:rsid w:val="00DB2355"/>
    <w:rsid w:val="00DB2611"/>
    <w:rsid w:val="00DB26B1"/>
    <w:rsid w:val="00DB2914"/>
    <w:rsid w:val="00DB2CF9"/>
    <w:rsid w:val="00DB2E6D"/>
    <w:rsid w:val="00DB2E7C"/>
    <w:rsid w:val="00DB2FBD"/>
    <w:rsid w:val="00DB316D"/>
    <w:rsid w:val="00DB3204"/>
    <w:rsid w:val="00DB33DD"/>
    <w:rsid w:val="00DB35FF"/>
    <w:rsid w:val="00DB3845"/>
    <w:rsid w:val="00DB3859"/>
    <w:rsid w:val="00DB38DC"/>
    <w:rsid w:val="00DB3BB4"/>
    <w:rsid w:val="00DB3BFA"/>
    <w:rsid w:val="00DB3EA6"/>
    <w:rsid w:val="00DB4097"/>
    <w:rsid w:val="00DB40E4"/>
    <w:rsid w:val="00DB43B7"/>
    <w:rsid w:val="00DB4403"/>
    <w:rsid w:val="00DB4460"/>
    <w:rsid w:val="00DB44B8"/>
    <w:rsid w:val="00DB45AB"/>
    <w:rsid w:val="00DB470E"/>
    <w:rsid w:val="00DB4717"/>
    <w:rsid w:val="00DB481E"/>
    <w:rsid w:val="00DB4BA9"/>
    <w:rsid w:val="00DB4D7C"/>
    <w:rsid w:val="00DB4EF3"/>
    <w:rsid w:val="00DB4F47"/>
    <w:rsid w:val="00DB50A6"/>
    <w:rsid w:val="00DB5415"/>
    <w:rsid w:val="00DB541B"/>
    <w:rsid w:val="00DB5620"/>
    <w:rsid w:val="00DB56A2"/>
    <w:rsid w:val="00DB5777"/>
    <w:rsid w:val="00DB5889"/>
    <w:rsid w:val="00DB5A70"/>
    <w:rsid w:val="00DB5AEC"/>
    <w:rsid w:val="00DB5B8E"/>
    <w:rsid w:val="00DB5F6C"/>
    <w:rsid w:val="00DB6223"/>
    <w:rsid w:val="00DB6699"/>
    <w:rsid w:val="00DB6A0F"/>
    <w:rsid w:val="00DB6AF1"/>
    <w:rsid w:val="00DB6F15"/>
    <w:rsid w:val="00DB705C"/>
    <w:rsid w:val="00DB7223"/>
    <w:rsid w:val="00DB74B3"/>
    <w:rsid w:val="00DB762B"/>
    <w:rsid w:val="00DB77D6"/>
    <w:rsid w:val="00DB7A2E"/>
    <w:rsid w:val="00DB7B85"/>
    <w:rsid w:val="00DB7CF1"/>
    <w:rsid w:val="00DB7E27"/>
    <w:rsid w:val="00DB7FDD"/>
    <w:rsid w:val="00DC0015"/>
    <w:rsid w:val="00DC023A"/>
    <w:rsid w:val="00DC033F"/>
    <w:rsid w:val="00DC0533"/>
    <w:rsid w:val="00DC07A1"/>
    <w:rsid w:val="00DC08AE"/>
    <w:rsid w:val="00DC0BBE"/>
    <w:rsid w:val="00DC0BFE"/>
    <w:rsid w:val="00DC0DB1"/>
    <w:rsid w:val="00DC0F02"/>
    <w:rsid w:val="00DC0F8D"/>
    <w:rsid w:val="00DC1170"/>
    <w:rsid w:val="00DC129F"/>
    <w:rsid w:val="00DC1325"/>
    <w:rsid w:val="00DC158D"/>
    <w:rsid w:val="00DC1EAA"/>
    <w:rsid w:val="00DC1FBF"/>
    <w:rsid w:val="00DC2132"/>
    <w:rsid w:val="00DC2284"/>
    <w:rsid w:val="00DC2483"/>
    <w:rsid w:val="00DC24F1"/>
    <w:rsid w:val="00DC2956"/>
    <w:rsid w:val="00DC2D04"/>
    <w:rsid w:val="00DC2D52"/>
    <w:rsid w:val="00DC2D8F"/>
    <w:rsid w:val="00DC2DED"/>
    <w:rsid w:val="00DC2E98"/>
    <w:rsid w:val="00DC2EB4"/>
    <w:rsid w:val="00DC30EE"/>
    <w:rsid w:val="00DC34F2"/>
    <w:rsid w:val="00DC3632"/>
    <w:rsid w:val="00DC3718"/>
    <w:rsid w:val="00DC38AC"/>
    <w:rsid w:val="00DC38DA"/>
    <w:rsid w:val="00DC3B6B"/>
    <w:rsid w:val="00DC3C50"/>
    <w:rsid w:val="00DC3CA4"/>
    <w:rsid w:val="00DC3E6E"/>
    <w:rsid w:val="00DC3E76"/>
    <w:rsid w:val="00DC40D2"/>
    <w:rsid w:val="00DC410B"/>
    <w:rsid w:val="00DC420E"/>
    <w:rsid w:val="00DC4304"/>
    <w:rsid w:val="00DC49F5"/>
    <w:rsid w:val="00DC4DFE"/>
    <w:rsid w:val="00DC4E42"/>
    <w:rsid w:val="00DC4F4B"/>
    <w:rsid w:val="00DC4FAF"/>
    <w:rsid w:val="00DC501E"/>
    <w:rsid w:val="00DC50BE"/>
    <w:rsid w:val="00DC5201"/>
    <w:rsid w:val="00DC532B"/>
    <w:rsid w:val="00DC53B8"/>
    <w:rsid w:val="00DC556C"/>
    <w:rsid w:val="00DC57BA"/>
    <w:rsid w:val="00DC5AD1"/>
    <w:rsid w:val="00DC5B96"/>
    <w:rsid w:val="00DC5C0D"/>
    <w:rsid w:val="00DC6158"/>
    <w:rsid w:val="00DC6348"/>
    <w:rsid w:val="00DC6851"/>
    <w:rsid w:val="00DC6A83"/>
    <w:rsid w:val="00DC6BEE"/>
    <w:rsid w:val="00DC6BF2"/>
    <w:rsid w:val="00DC6CFB"/>
    <w:rsid w:val="00DC7032"/>
    <w:rsid w:val="00DC72A4"/>
    <w:rsid w:val="00DC72D1"/>
    <w:rsid w:val="00DC7366"/>
    <w:rsid w:val="00DC746E"/>
    <w:rsid w:val="00DC74FA"/>
    <w:rsid w:val="00DC7632"/>
    <w:rsid w:val="00DC76EE"/>
    <w:rsid w:val="00DC7730"/>
    <w:rsid w:val="00DC7B10"/>
    <w:rsid w:val="00DC7D95"/>
    <w:rsid w:val="00DC7D99"/>
    <w:rsid w:val="00DD01CA"/>
    <w:rsid w:val="00DD02F4"/>
    <w:rsid w:val="00DD043A"/>
    <w:rsid w:val="00DD0536"/>
    <w:rsid w:val="00DD069E"/>
    <w:rsid w:val="00DD09BE"/>
    <w:rsid w:val="00DD0A43"/>
    <w:rsid w:val="00DD0CB2"/>
    <w:rsid w:val="00DD0F84"/>
    <w:rsid w:val="00DD1176"/>
    <w:rsid w:val="00DD130F"/>
    <w:rsid w:val="00DD1787"/>
    <w:rsid w:val="00DD1A7E"/>
    <w:rsid w:val="00DD1B4E"/>
    <w:rsid w:val="00DD1C8B"/>
    <w:rsid w:val="00DD1D59"/>
    <w:rsid w:val="00DD206B"/>
    <w:rsid w:val="00DD20DE"/>
    <w:rsid w:val="00DD214E"/>
    <w:rsid w:val="00DD21B2"/>
    <w:rsid w:val="00DD2454"/>
    <w:rsid w:val="00DD245C"/>
    <w:rsid w:val="00DD2484"/>
    <w:rsid w:val="00DD25D1"/>
    <w:rsid w:val="00DD25EB"/>
    <w:rsid w:val="00DD295D"/>
    <w:rsid w:val="00DD2AB2"/>
    <w:rsid w:val="00DD2AFF"/>
    <w:rsid w:val="00DD2BDD"/>
    <w:rsid w:val="00DD2E0D"/>
    <w:rsid w:val="00DD304A"/>
    <w:rsid w:val="00DD30D8"/>
    <w:rsid w:val="00DD31A5"/>
    <w:rsid w:val="00DD3513"/>
    <w:rsid w:val="00DD399A"/>
    <w:rsid w:val="00DD3A13"/>
    <w:rsid w:val="00DD3BDC"/>
    <w:rsid w:val="00DD3CA5"/>
    <w:rsid w:val="00DD44B6"/>
    <w:rsid w:val="00DD45A3"/>
    <w:rsid w:val="00DD45C2"/>
    <w:rsid w:val="00DD4811"/>
    <w:rsid w:val="00DD4A56"/>
    <w:rsid w:val="00DD4BC2"/>
    <w:rsid w:val="00DD4D82"/>
    <w:rsid w:val="00DD4D92"/>
    <w:rsid w:val="00DD4E10"/>
    <w:rsid w:val="00DD50BB"/>
    <w:rsid w:val="00DD522A"/>
    <w:rsid w:val="00DD552F"/>
    <w:rsid w:val="00DD576A"/>
    <w:rsid w:val="00DD5A48"/>
    <w:rsid w:val="00DD5A72"/>
    <w:rsid w:val="00DD5A94"/>
    <w:rsid w:val="00DD5AA5"/>
    <w:rsid w:val="00DD5BA3"/>
    <w:rsid w:val="00DD5BF3"/>
    <w:rsid w:val="00DD5CB3"/>
    <w:rsid w:val="00DD6563"/>
    <w:rsid w:val="00DD6621"/>
    <w:rsid w:val="00DD6705"/>
    <w:rsid w:val="00DD6B1E"/>
    <w:rsid w:val="00DD6D1F"/>
    <w:rsid w:val="00DD6DE3"/>
    <w:rsid w:val="00DD6E9C"/>
    <w:rsid w:val="00DD6EC6"/>
    <w:rsid w:val="00DD7281"/>
    <w:rsid w:val="00DD742C"/>
    <w:rsid w:val="00DD75C0"/>
    <w:rsid w:val="00DD75EF"/>
    <w:rsid w:val="00DD76DE"/>
    <w:rsid w:val="00DD7AD5"/>
    <w:rsid w:val="00DD7B26"/>
    <w:rsid w:val="00DD7B3D"/>
    <w:rsid w:val="00DD7CB3"/>
    <w:rsid w:val="00DD7CD4"/>
    <w:rsid w:val="00DE03A0"/>
    <w:rsid w:val="00DE075C"/>
    <w:rsid w:val="00DE077F"/>
    <w:rsid w:val="00DE0970"/>
    <w:rsid w:val="00DE0B17"/>
    <w:rsid w:val="00DE10BC"/>
    <w:rsid w:val="00DE1255"/>
    <w:rsid w:val="00DE1274"/>
    <w:rsid w:val="00DE1376"/>
    <w:rsid w:val="00DE1379"/>
    <w:rsid w:val="00DE1597"/>
    <w:rsid w:val="00DE17CF"/>
    <w:rsid w:val="00DE1B5D"/>
    <w:rsid w:val="00DE1BD7"/>
    <w:rsid w:val="00DE1C0E"/>
    <w:rsid w:val="00DE1CF4"/>
    <w:rsid w:val="00DE1DDF"/>
    <w:rsid w:val="00DE2193"/>
    <w:rsid w:val="00DE228D"/>
    <w:rsid w:val="00DE2293"/>
    <w:rsid w:val="00DE2417"/>
    <w:rsid w:val="00DE246B"/>
    <w:rsid w:val="00DE2635"/>
    <w:rsid w:val="00DE2953"/>
    <w:rsid w:val="00DE2C98"/>
    <w:rsid w:val="00DE2CE5"/>
    <w:rsid w:val="00DE2D56"/>
    <w:rsid w:val="00DE2DB1"/>
    <w:rsid w:val="00DE2E9D"/>
    <w:rsid w:val="00DE300A"/>
    <w:rsid w:val="00DE33EE"/>
    <w:rsid w:val="00DE3440"/>
    <w:rsid w:val="00DE3448"/>
    <w:rsid w:val="00DE3556"/>
    <w:rsid w:val="00DE36A9"/>
    <w:rsid w:val="00DE374E"/>
    <w:rsid w:val="00DE3790"/>
    <w:rsid w:val="00DE37BE"/>
    <w:rsid w:val="00DE3835"/>
    <w:rsid w:val="00DE386C"/>
    <w:rsid w:val="00DE3914"/>
    <w:rsid w:val="00DE39D3"/>
    <w:rsid w:val="00DE3E41"/>
    <w:rsid w:val="00DE4103"/>
    <w:rsid w:val="00DE41A7"/>
    <w:rsid w:val="00DE4210"/>
    <w:rsid w:val="00DE42F6"/>
    <w:rsid w:val="00DE4370"/>
    <w:rsid w:val="00DE43AA"/>
    <w:rsid w:val="00DE4578"/>
    <w:rsid w:val="00DE4744"/>
    <w:rsid w:val="00DE47C4"/>
    <w:rsid w:val="00DE4812"/>
    <w:rsid w:val="00DE4C0C"/>
    <w:rsid w:val="00DE4C5B"/>
    <w:rsid w:val="00DE4C5E"/>
    <w:rsid w:val="00DE4CD1"/>
    <w:rsid w:val="00DE4D81"/>
    <w:rsid w:val="00DE4DA8"/>
    <w:rsid w:val="00DE51B4"/>
    <w:rsid w:val="00DE5283"/>
    <w:rsid w:val="00DE5403"/>
    <w:rsid w:val="00DE54DC"/>
    <w:rsid w:val="00DE5565"/>
    <w:rsid w:val="00DE55CB"/>
    <w:rsid w:val="00DE5636"/>
    <w:rsid w:val="00DE57C5"/>
    <w:rsid w:val="00DE58E6"/>
    <w:rsid w:val="00DE591A"/>
    <w:rsid w:val="00DE592D"/>
    <w:rsid w:val="00DE5CA6"/>
    <w:rsid w:val="00DE5D69"/>
    <w:rsid w:val="00DE5D7D"/>
    <w:rsid w:val="00DE5E6A"/>
    <w:rsid w:val="00DE5F71"/>
    <w:rsid w:val="00DE61C5"/>
    <w:rsid w:val="00DE6428"/>
    <w:rsid w:val="00DE652E"/>
    <w:rsid w:val="00DE6A1E"/>
    <w:rsid w:val="00DE70FC"/>
    <w:rsid w:val="00DE735A"/>
    <w:rsid w:val="00DE74AD"/>
    <w:rsid w:val="00DE7A94"/>
    <w:rsid w:val="00DE7B41"/>
    <w:rsid w:val="00DE7C28"/>
    <w:rsid w:val="00DE7E31"/>
    <w:rsid w:val="00DF005A"/>
    <w:rsid w:val="00DF00CC"/>
    <w:rsid w:val="00DF010F"/>
    <w:rsid w:val="00DF011A"/>
    <w:rsid w:val="00DF0155"/>
    <w:rsid w:val="00DF02FE"/>
    <w:rsid w:val="00DF04EE"/>
    <w:rsid w:val="00DF0559"/>
    <w:rsid w:val="00DF08AE"/>
    <w:rsid w:val="00DF0D8B"/>
    <w:rsid w:val="00DF0DE3"/>
    <w:rsid w:val="00DF0EA5"/>
    <w:rsid w:val="00DF111A"/>
    <w:rsid w:val="00DF1489"/>
    <w:rsid w:val="00DF1549"/>
    <w:rsid w:val="00DF16AF"/>
    <w:rsid w:val="00DF16F7"/>
    <w:rsid w:val="00DF1879"/>
    <w:rsid w:val="00DF1909"/>
    <w:rsid w:val="00DF198F"/>
    <w:rsid w:val="00DF199B"/>
    <w:rsid w:val="00DF1CBE"/>
    <w:rsid w:val="00DF1E48"/>
    <w:rsid w:val="00DF1E89"/>
    <w:rsid w:val="00DF1F1E"/>
    <w:rsid w:val="00DF20EB"/>
    <w:rsid w:val="00DF2239"/>
    <w:rsid w:val="00DF2549"/>
    <w:rsid w:val="00DF26A2"/>
    <w:rsid w:val="00DF26FF"/>
    <w:rsid w:val="00DF2741"/>
    <w:rsid w:val="00DF27C1"/>
    <w:rsid w:val="00DF27EE"/>
    <w:rsid w:val="00DF2BD1"/>
    <w:rsid w:val="00DF2C19"/>
    <w:rsid w:val="00DF2CAA"/>
    <w:rsid w:val="00DF2E87"/>
    <w:rsid w:val="00DF3002"/>
    <w:rsid w:val="00DF3038"/>
    <w:rsid w:val="00DF32E7"/>
    <w:rsid w:val="00DF33DD"/>
    <w:rsid w:val="00DF3467"/>
    <w:rsid w:val="00DF3497"/>
    <w:rsid w:val="00DF34EF"/>
    <w:rsid w:val="00DF3505"/>
    <w:rsid w:val="00DF3666"/>
    <w:rsid w:val="00DF3743"/>
    <w:rsid w:val="00DF3757"/>
    <w:rsid w:val="00DF3811"/>
    <w:rsid w:val="00DF3907"/>
    <w:rsid w:val="00DF398D"/>
    <w:rsid w:val="00DF3A85"/>
    <w:rsid w:val="00DF3B9D"/>
    <w:rsid w:val="00DF3E35"/>
    <w:rsid w:val="00DF3EDF"/>
    <w:rsid w:val="00DF40FE"/>
    <w:rsid w:val="00DF42E0"/>
    <w:rsid w:val="00DF441A"/>
    <w:rsid w:val="00DF4742"/>
    <w:rsid w:val="00DF4846"/>
    <w:rsid w:val="00DF4B67"/>
    <w:rsid w:val="00DF4D3A"/>
    <w:rsid w:val="00DF4D7C"/>
    <w:rsid w:val="00DF4ED6"/>
    <w:rsid w:val="00DF50BD"/>
    <w:rsid w:val="00DF51B4"/>
    <w:rsid w:val="00DF529E"/>
    <w:rsid w:val="00DF53A0"/>
    <w:rsid w:val="00DF540F"/>
    <w:rsid w:val="00DF544C"/>
    <w:rsid w:val="00DF55E3"/>
    <w:rsid w:val="00DF5753"/>
    <w:rsid w:val="00DF5956"/>
    <w:rsid w:val="00DF5AA4"/>
    <w:rsid w:val="00DF5B56"/>
    <w:rsid w:val="00DF5B6B"/>
    <w:rsid w:val="00DF5D02"/>
    <w:rsid w:val="00DF5DA2"/>
    <w:rsid w:val="00DF5F3C"/>
    <w:rsid w:val="00DF6076"/>
    <w:rsid w:val="00DF6137"/>
    <w:rsid w:val="00DF6176"/>
    <w:rsid w:val="00DF620E"/>
    <w:rsid w:val="00DF6326"/>
    <w:rsid w:val="00DF63DF"/>
    <w:rsid w:val="00DF66E4"/>
    <w:rsid w:val="00DF67AA"/>
    <w:rsid w:val="00DF7080"/>
    <w:rsid w:val="00DF70B8"/>
    <w:rsid w:val="00DF7100"/>
    <w:rsid w:val="00DF718E"/>
    <w:rsid w:val="00DF7249"/>
    <w:rsid w:val="00DF74E7"/>
    <w:rsid w:val="00DF75BF"/>
    <w:rsid w:val="00DF768D"/>
    <w:rsid w:val="00DF771F"/>
    <w:rsid w:val="00DF773D"/>
    <w:rsid w:val="00DF7D84"/>
    <w:rsid w:val="00DF7FC3"/>
    <w:rsid w:val="00E00121"/>
    <w:rsid w:val="00E003D1"/>
    <w:rsid w:val="00E003FC"/>
    <w:rsid w:val="00E003FF"/>
    <w:rsid w:val="00E00460"/>
    <w:rsid w:val="00E004BA"/>
    <w:rsid w:val="00E006E9"/>
    <w:rsid w:val="00E00844"/>
    <w:rsid w:val="00E00C1C"/>
    <w:rsid w:val="00E00C71"/>
    <w:rsid w:val="00E00EAA"/>
    <w:rsid w:val="00E00FA4"/>
    <w:rsid w:val="00E01034"/>
    <w:rsid w:val="00E0103C"/>
    <w:rsid w:val="00E016CE"/>
    <w:rsid w:val="00E01934"/>
    <w:rsid w:val="00E01D91"/>
    <w:rsid w:val="00E01ECD"/>
    <w:rsid w:val="00E0220F"/>
    <w:rsid w:val="00E022BB"/>
    <w:rsid w:val="00E022F8"/>
    <w:rsid w:val="00E02399"/>
    <w:rsid w:val="00E0240A"/>
    <w:rsid w:val="00E0274F"/>
    <w:rsid w:val="00E02814"/>
    <w:rsid w:val="00E02B8C"/>
    <w:rsid w:val="00E02D97"/>
    <w:rsid w:val="00E02FD4"/>
    <w:rsid w:val="00E02FE6"/>
    <w:rsid w:val="00E0338D"/>
    <w:rsid w:val="00E0339C"/>
    <w:rsid w:val="00E0342F"/>
    <w:rsid w:val="00E03464"/>
    <w:rsid w:val="00E036F3"/>
    <w:rsid w:val="00E03737"/>
    <w:rsid w:val="00E0382F"/>
    <w:rsid w:val="00E038D0"/>
    <w:rsid w:val="00E038DC"/>
    <w:rsid w:val="00E0395B"/>
    <w:rsid w:val="00E039B1"/>
    <w:rsid w:val="00E03C33"/>
    <w:rsid w:val="00E03ED5"/>
    <w:rsid w:val="00E03F68"/>
    <w:rsid w:val="00E040C0"/>
    <w:rsid w:val="00E04119"/>
    <w:rsid w:val="00E0424F"/>
    <w:rsid w:val="00E04295"/>
    <w:rsid w:val="00E0443B"/>
    <w:rsid w:val="00E04491"/>
    <w:rsid w:val="00E044AB"/>
    <w:rsid w:val="00E044BF"/>
    <w:rsid w:val="00E045D1"/>
    <w:rsid w:val="00E047E5"/>
    <w:rsid w:val="00E04AE7"/>
    <w:rsid w:val="00E04C97"/>
    <w:rsid w:val="00E04E85"/>
    <w:rsid w:val="00E04ED2"/>
    <w:rsid w:val="00E04F1C"/>
    <w:rsid w:val="00E05382"/>
    <w:rsid w:val="00E05508"/>
    <w:rsid w:val="00E0566D"/>
    <w:rsid w:val="00E05A10"/>
    <w:rsid w:val="00E05EC1"/>
    <w:rsid w:val="00E06027"/>
    <w:rsid w:val="00E0623D"/>
    <w:rsid w:val="00E06243"/>
    <w:rsid w:val="00E06275"/>
    <w:rsid w:val="00E062B6"/>
    <w:rsid w:val="00E0632A"/>
    <w:rsid w:val="00E06488"/>
    <w:rsid w:val="00E0655D"/>
    <w:rsid w:val="00E065A8"/>
    <w:rsid w:val="00E065DF"/>
    <w:rsid w:val="00E06853"/>
    <w:rsid w:val="00E068D6"/>
    <w:rsid w:val="00E068ED"/>
    <w:rsid w:val="00E06A89"/>
    <w:rsid w:val="00E06B20"/>
    <w:rsid w:val="00E06E3E"/>
    <w:rsid w:val="00E06E7A"/>
    <w:rsid w:val="00E06ED7"/>
    <w:rsid w:val="00E06F6E"/>
    <w:rsid w:val="00E07169"/>
    <w:rsid w:val="00E071AA"/>
    <w:rsid w:val="00E071D5"/>
    <w:rsid w:val="00E0722D"/>
    <w:rsid w:val="00E07358"/>
    <w:rsid w:val="00E07828"/>
    <w:rsid w:val="00E0783F"/>
    <w:rsid w:val="00E07A8A"/>
    <w:rsid w:val="00E07ABA"/>
    <w:rsid w:val="00E07BB6"/>
    <w:rsid w:val="00E07C77"/>
    <w:rsid w:val="00E102C9"/>
    <w:rsid w:val="00E1042D"/>
    <w:rsid w:val="00E107BA"/>
    <w:rsid w:val="00E10891"/>
    <w:rsid w:val="00E109C1"/>
    <w:rsid w:val="00E10CFC"/>
    <w:rsid w:val="00E10F9C"/>
    <w:rsid w:val="00E10FED"/>
    <w:rsid w:val="00E1114D"/>
    <w:rsid w:val="00E11239"/>
    <w:rsid w:val="00E11277"/>
    <w:rsid w:val="00E11282"/>
    <w:rsid w:val="00E1144B"/>
    <w:rsid w:val="00E11548"/>
    <w:rsid w:val="00E115B6"/>
    <w:rsid w:val="00E116B7"/>
    <w:rsid w:val="00E117F4"/>
    <w:rsid w:val="00E11807"/>
    <w:rsid w:val="00E11863"/>
    <w:rsid w:val="00E11886"/>
    <w:rsid w:val="00E11BA4"/>
    <w:rsid w:val="00E11D0F"/>
    <w:rsid w:val="00E11DF4"/>
    <w:rsid w:val="00E12161"/>
    <w:rsid w:val="00E12185"/>
    <w:rsid w:val="00E12378"/>
    <w:rsid w:val="00E124AF"/>
    <w:rsid w:val="00E128FF"/>
    <w:rsid w:val="00E12BD4"/>
    <w:rsid w:val="00E12C6F"/>
    <w:rsid w:val="00E12F0C"/>
    <w:rsid w:val="00E12FD4"/>
    <w:rsid w:val="00E130AD"/>
    <w:rsid w:val="00E132E4"/>
    <w:rsid w:val="00E13443"/>
    <w:rsid w:val="00E13461"/>
    <w:rsid w:val="00E13601"/>
    <w:rsid w:val="00E13680"/>
    <w:rsid w:val="00E136BF"/>
    <w:rsid w:val="00E1388F"/>
    <w:rsid w:val="00E139D7"/>
    <w:rsid w:val="00E13A75"/>
    <w:rsid w:val="00E13C52"/>
    <w:rsid w:val="00E13DD8"/>
    <w:rsid w:val="00E13FCA"/>
    <w:rsid w:val="00E140C5"/>
    <w:rsid w:val="00E1419D"/>
    <w:rsid w:val="00E14311"/>
    <w:rsid w:val="00E143AF"/>
    <w:rsid w:val="00E14C5D"/>
    <w:rsid w:val="00E14CA8"/>
    <w:rsid w:val="00E14E5F"/>
    <w:rsid w:val="00E15026"/>
    <w:rsid w:val="00E151CF"/>
    <w:rsid w:val="00E1554E"/>
    <w:rsid w:val="00E156A1"/>
    <w:rsid w:val="00E156F2"/>
    <w:rsid w:val="00E15718"/>
    <w:rsid w:val="00E15764"/>
    <w:rsid w:val="00E157D3"/>
    <w:rsid w:val="00E159D7"/>
    <w:rsid w:val="00E15A4F"/>
    <w:rsid w:val="00E15BB3"/>
    <w:rsid w:val="00E15C0E"/>
    <w:rsid w:val="00E15C78"/>
    <w:rsid w:val="00E15D54"/>
    <w:rsid w:val="00E15E7A"/>
    <w:rsid w:val="00E15EB3"/>
    <w:rsid w:val="00E15FCB"/>
    <w:rsid w:val="00E162A4"/>
    <w:rsid w:val="00E162D7"/>
    <w:rsid w:val="00E164FD"/>
    <w:rsid w:val="00E16531"/>
    <w:rsid w:val="00E16569"/>
    <w:rsid w:val="00E16598"/>
    <w:rsid w:val="00E165E8"/>
    <w:rsid w:val="00E16717"/>
    <w:rsid w:val="00E16869"/>
    <w:rsid w:val="00E16888"/>
    <w:rsid w:val="00E1688C"/>
    <w:rsid w:val="00E16B68"/>
    <w:rsid w:val="00E1704D"/>
    <w:rsid w:val="00E1723C"/>
    <w:rsid w:val="00E17245"/>
    <w:rsid w:val="00E1725C"/>
    <w:rsid w:val="00E172B9"/>
    <w:rsid w:val="00E172C5"/>
    <w:rsid w:val="00E172EC"/>
    <w:rsid w:val="00E17310"/>
    <w:rsid w:val="00E1745F"/>
    <w:rsid w:val="00E17CF2"/>
    <w:rsid w:val="00E17CFF"/>
    <w:rsid w:val="00E17E8E"/>
    <w:rsid w:val="00E2006F"/>
    <w:rsid w:val="00E207B1"/>
    <w:rsid w:val="00E208C3"/>
    <w:rsid w:val="00E20955"/>
    <w:rsid w:val="00E20995"/>
    <w:rsid w:val="00E20DCA"/>
    <w:rsid w:val="00E20E33"/>
    <w:rsid w:val="00E20FB4"/>
    <w:rsid w:val="00E212A6"/>
    <w:rsid w:val="00E21319"/>
    <w:rsid w:val="00E2133D"/>
    <w:rsid w:val="00E21414"/>
    <w:rsid w:val="00E2157D"/>
    <w:rsid w:val="00E21877"/>
    <w:rsid w:val="00E219B4"/>
    <w:rsid w:val="00E21AD0"/>
    <w:rsid w:val="00E21CB4"/>
    <w:rsid w:val="00E21E4C"/>
    <w:rsid w:val="00E220C6"/>
    <w:rsid w:val="00E220FA"/>
    <w:rsid w:val="00E22629"/>
    <w:rsid w:val="00E22658"/>
    <w:rsid w:val="00E22665"/>
    <w:rsid w:val="00E2268D"/>
    <w:rsid w:val="00E227AE"/>
    <w:rsid w:val="00E22888"/>
    <w:rsid w:val="00E228BA"/>
    <w:rsid w:val="00E22CD5"/>
    <w:rsid w:val="00E23185"/>
    <w:rsid w:val="00E231EE"/>
    <w:rsid w:val="00E233E7"/>
    <w:rsid w:val="00E23526"/>
    <w:rsid w:val="00E2362B"/>
    <w:rsid w:val="00E2373B"/>
    <w:rsid w:val="00E23768"/>
    <w:rsid w:val="00E237EA"/>
    <w:rsid w:val="00E237FE"/>
    <w:rsid w:val="00E23D56"/>
    <w:rsid w:val="00E23E5D"/>
    <w:rsid w:val="00E23F4E"/>
    <w:rsid w:val="00E24469"/>
    <w:rsid w:val="00E24612"/>
    <w:rsid w:val="00E24799"/>
    <w:rsid w:val="00E247C0"/>
    <w:rsid w:val="00E2482D"/>
    <w:rsid w:val="00E2486C"/>
    <w:rsid w:val="00E24906"/>
    <w:rsid w:val="00E24AAE"/>
    <w:rsid w:val="00E24AF1"/>
    <w:rsid w:val="00E24B28"/>
    <w:rsid w:val="00E24C10"/>
    <w:rsid w:val="00E24C6A"/>
    <w:rsid w:val="00E24E7B"/>
    <w:rsid w:val="00E24FB5"/>
    <w:rsid w:val="00E25365"/>
    <w:rsid w:val="00E25662"/>
    <w:rsid w:val="00E25797"/>
    <w:rsid w:val="00E25839"/>
    <w:rsid w:val="00E25E05"/>
    <w:rsid w:val="00E25F02"/>
    <w:rsid w:val="00E262DA"/>
    <w:rsid w:val="00E2634A"/>
    <w:rsid w:val="00E263F6"/>
    <w:rsid w:val="00E26810"/>
    <w:rsid w:val="00E2682C"/>
    <w:rsid w:val="00E2691E"/>
    <w:rsid w:val="00E269D9"/>
    <w:rsid w:val="00E26B71"/>
    <w:rsid w:val="00E26DBC"/>
    <w:rsid w:val="00E27088"/>
    <w:rsid w:val="00E276A9"/>
    <w:rsid w:val="00E27827"/>
    <w:rsid w:val="00E27927"/>
    <w:rsid w:val="00E27BA1"/>
    <w:rsid w:val="00E30029"/>
    <w:rsid w:val="00E30037"/>
    <w:rsid w:val="00E301D0"/>
    <w:rsid w:val="00E30499"/>
    <w:rsid w:val="00E30B51"/>
    <w:rsid w:val="00E30B8E"/>
    <w:rsid w:val="00E30ED0"/>
    <w:rsid w:val="00E3102A"/>
    <w:rsid w:val="00E31116"/>
    <w:rsid w:val="00E31290"/>
    <w:rsid w:val="00E313A4"/>
    <w:rsid w:val="00E31488"/>
    <w:rsid w:val="00E31767"/>
    <w:rsid w:val="00E318D4"/>
    <w:rsid w:val="00E31928"/>
    <w:rsid w:val="00E31C24"/>
    <w:rsid w:val="00E31CA3"/>
    <w:rsid w:val="00E323BC"/>
    <w:rsid w:val="00E324BB"/>
    <w:rsid w:val="00E32552"/>
    <w:rsid w:val="00E32771"/>
    <w:rsid w:val="00E3298C"/>
    <w:rsid w:val="00E32A01"/>
    <w:rsid w:val="00E32A7A"/>
    <w:rsid w:val="00E32B1D"/>
    <w:rsid w:val="00E32C18"/>
    <w:rsid w:val="00E32D70"/>
    <w:rsid w:val="00E32ECD"/>
    <w:rsid w:val="00E32FA2"/>
    <w:rsid w:val="00E33042"/>
    <w:rsid w:val="00E3332C"/>
    <w:rsid w:val="00E3333A"/>
    <w:rsid w:val="00E33842"/>
    <w:rsid w:val="00E338C4"/>
    <w:rsid w:val="00E339F0"/>
    <w:rsid w:val="00E33C88"/>
    <w:rsid w:val="00E33E2D"/>
    <w:rsid w:val="00E33E33"/>
    <w:rsid w:val="00E33EAC"/>
    <w:rsid w:val="00E341F5"/>
    <w:rsid w:val="00E34287"/>
    <w:rsid w:val="00E34324"/>
    <w:rsid w:val="00E34488"/>
    <w:rsid w:val="00E344CB"/>
    <w:rsid w:val="00E34513"/>
    <w:rsid w:val="00E345EC"/>
    <w:rsid w:val="00E34796"/>
    <w:rsid w:val="00E347A0"/>
    <w:rsid w:val="00E34884"/>
    <w:rsid w:val="00E34B1D"/>
    <w:rsid w:val="00E34D8C"/>
    <w:rsid w:val="00E35027"/>
    <w:rsid w:val="00E351AE"/>
    <w:rsid w:val="00E35427"/>
    <w:rsid w:val="00E354AA"/>
    <w:rsid w:val="00E35596"/>
    <w:rsid w:val="00E35677"/>
    <w:rsid w:val="00E35718"/>
    <w:rsid w:val="00E359D1"/>
    <w:rsid w:val="00E35E8B"/>
    <w:rsid w:val="00E366E6"/>
    <w:rsid w:val="00E36899"/>
    <w:rsid w:val="00E369A6"/>
    <w:rsid w:val="00E36A43"/>
    <w:rsid w:val="00E36C6E"/>
    <w:rsid w:val="00E36CE6"/>
    <w:rsid w:val="00E37017"/>
    <w:rsid w:val="00E373AC"/>
    <w:rsid w:val="00E373C0"/>
    <w:rsid w:val="00E37424"/>
    <w:rsid w:val="00E375C1"/>
    <w:rsid w:val="00E377E8"/>
    <w:rsid w:val="00E37821"/>
    <w:rsid w:val="00E37841"/>
    <w:rsid w:val="00E3793D"/>
    <w:rsid w:val="00E37A63"/>
    <w:rsid w:val="00E37B7F"/>
    <w:rsid w:val="00E37BFA"/>
    <w:rsid w:val="00E37C98"/>
    <w:rsid w:val="00E37CF7"/>
    <w:rsid w:val="00E37E42"/>
    <w:rsid w:val="00E37E88"/>
    <w:rsid w:val="00E40283"/>
    <w:rsid w:val="00E4029F"/>
    <w:rsid w:val="00E40444"/>
    <w:rsid w:val="00E40986"/>
    <w:rsid w:val="00E40D5E"/>
    <w:rsid w:val="00E40E1F"/>
    <w:rsid w:val="00E40F22"/>
    <w:rsid w:val="00E413D9"/>
    <w:rsid w:val="00E415B1"/>
    <w:rsid w:val="00E416FC"/>
    <w:rsid w:val="00E416FF"/>
    <w:rsid w:val="00E41711"/>
    <w:rsid w:val="00E4178C"/>
    <w:rsid w:val="00E418CB"/>
    <w:rsid w:val="00E41C77"/>
    <w:rsid w:val="00E41CA3"/>
    <w:rsid w:val="00E41E0A"/>
    <w:rsid w:val="00E41FB9"/>
    <w:rsid w:val="00E42333"/>
    <w:rsid w:val="00E427F0"/>
    <w:rsid w:val="00E42BE9"/>
    <w:rsid w:val="00E42C72"/>
    <w:rsid w:val="00E42C8F"/>
    <w:rsid w:val="00E42DFD"/>
    <w:rsid w:val="00E42DFF"/>
    <w:rsid w:val="00E42EB4"/>
    <w:rsid w:val="00E42EDF"/>
    <w:rsid w:val="00E43055"/>
    <w:rsid w:val="00E43464"/>
    <w:rsid w:val="00E43542"/>
    <w:rsid w:val="00E43590"/>
    <w:rsid w:val="00E43837"/>
    <w:rsid w:val="00E438DE"/>
    <w:rsid w:val="00E4394A"/>
    <w:rsid w:val="00E43A9B"/>
    <w:rsid w:val="00E43AED"/>
    <w:rsid w:val="00E43C11"/>
    <w:rsid w:val="00E43D44"/>
    <w:rsid w:val="00E440DD"/>
    <w:rsid w:val="00E44270"/>
    <w:rsid w:val="00E44414"/>
    <w:rsid w:val="00E44472"/>
    <w:rsid w:val="00E445B7"/>
    <w:rsid w:val="00E44650"/>
    <w:rsid w:val="00E44812"/>
    <w:rsid w:val="00E44AD2"/>
    <w:rsid w:val="00E44E96"/>
    <w:rsid w:val="00E44FD2"/>
    <w:rsid w:val="00E45044"/>
    <w:rsid w:val="00E451BE"/>
    <w:rsid w:val="00E45262"/>
    <w:rsid w:val="00E45280"/>
    <w:rsid w:val="00E4564D"/>
    <w:rsid w:val="00E4568A"/>
    <w:rsid w:val="00E456B4"/>
    <w:rsid w:val="00E458E9"/>
    <w:rsid w:val="00E45CD4"/>
    <w:rsid w:val="00E45D80"/>
    <w:rsid w:val="00E45EF9"/>
    <w:rsid w:val="00E46120"/>
    <w:rsid w:val="00E46181"/>
    <w:rsid w:val="00E46367"/>
    <w:rsid w:val="00E463EB"/>
    <w:rsid w:val="00E466A4"/>
    <w:rsid w:val="00E46793"/>
    <w:rsid w:val="00E46E6B"/>
    <w:rsid w:val="00E46F15"/>
    <w:rsid w:val="00E471D4"/>
    <w:rsid w:val="00E47383"/>
    <w:rsid w:val="00E47398"/>
    <w:rsid w:val="00E4758B"/>
    <w:rsid w:val="00E4767B"/>
    <w:rsid w:val="00E477EE"/>
    <w:rsid w:val="00E47A69"/>
    <w:rsid w:val="00E47C85"/>
    <w:rsid w:val="00E47D63"/>
    <w:rsid w:val="00E47DBF"/>
    <w:rsid w:val="00E47FA9"/>
    <w:rsid w:val="00E501F9"/>
    <w:rsid w:val="00E50742"/>
    <w:rsid w:val="00E50A52"/>
    <w:rsid w:val="00E50B87"/>
    <w:rsid w:val="00E50C35"/>
    <w:rsid w:val="00E510CA"/>
    <w:rsid w:val="00E51190"/>
    <w:rsid w:val="00E51472"/>
    <w:rsid w:val="00E51691"/>
    <w:rsid w:val="00E518D2"/>
    <w:rsid w:val="00E51919"/>
    <w:rsid w:val="00E51AB6"/>
    <w:rsid w:val="00E51E3A"/>
    <w:rsid w:val="00E51E64"/>
    <w:rsid w:val="00E51EAD"/>
    <w:rsid w:val="00E51F58"/>
    <w:rsid w:val="00E521A6"/>
    <w:rsid w:val="00E5237F"/>
    <w:rsid w:val="00E523E2"/>
    <w:rsid w:val="00E5271A"/>
    <w:rsid w:val="00E528CC"/>
    <w:rsid w:val="00E52CF0"/>
    <w:rsid w:val="00E531A6"/>
    <w:rsid w:val="00E532C7"/>
    <w:rsid w:val="00E5330C"/>
    <w:rsid w:val="00E53356"/>
    <w:rsid w:val="00E53412"/>
    <w:rsid w:val="00E53448"/>
    <w:rsid w:val="00E534C6"/>
    <w:rsid w:val="00E534E3"/>
    <w:rsid w:val="00E538C8"/>
    <w:rsid w:val="00E53967"/>
    <w:rsid w:val="00E53BB4"/>
    <w:rsid w:val="00E53F73"/>
    <w:rsid w:val="00E5418C"/>
    <w:rsid w:val="00E54675"/>
    <w:rsid w:val="00E546DA"/>
    <w:rsid w:val="00E54E2F"/>
    <w:rsid w:val="00E54E74"/>
    <w:rsid w:val="00E550B8"/>
    <w:rsid w:val="00E550CA"/>
    <w:rsid w:val="00E5545A"/>
    <w:rsid w:val="00E55623"/>
    <w:rsid w:val="00E55696"/>
    <w:rsid w:val="00E556F7"/>
    <w:rsid w:val="00E55763"/>
    <w:rsid w:val="00E5578F"/>
    <w:rsid w:val="00E55BCA"/>
    <w:rsid w:val="00E55D5A"/>
    <w:rsid w:val="00E56159"/>
    <w:rsid w:val="00E561DE"/>
    <w:rsid w:val="00E56347"/>
    <w:rsid w:val="00E5637D"/>
    <w:rsid w:val="00E56410"/>
    <w:rsid w:val="00E564DD"/>
    <w:rsid w:val="00E5650C"/>
    <w:rsid w:val="00E56570"/>
    <w:rsid w:val="00E56DAC"/>
    <w:rsid w:val="00E57003"/>
    <w:rsid w:val="00E57080"/>
    <w:rsid w:val="00E571BB"/>
    <w:rsid w:val="00E5739D"/>
    <w:rsid w:val="00E573F1"/>
    <w:rsid w:val="00E575F4"/>
    <w:rsid w:val="00E577C9"/>
    <w:rsid w:val="00E578B5"/>
    <w:rsid w:val="00E57AC6"/>
    <w:rsid w:val="00E57BEE"/>
    <w:rsid w:val="00E57C5B"/>
    <w:rsid w:val="00E57D97"/>
    <w:rsid w:val="00E60023"/>
    <w:rsid w:val="00E60092"/>
    <w:rsid w:val="00E60147"/>
    <w:rsid w:val="00E603A4"/>
    <w:rsid w:val="00E603B9"/>
    <w:rsid w:val="00E6042D"/>
    <w:rsid w:val="00E60430"/>
    <w:rsid w:val="00E605C7"/>
    <w:rsid w:val="00E60774"/>
    <w:rsid w:val="00E6086D"/>
    <w:rsid w:val="00E6092E"/>
    <w:rsid w:val="00E60A84"/>
    <w:rsid w:val="00E60B92"/>
    <w:rsid w:val="00E60E57"/>
    <w:rsid w:val="00E613F5"/>
    <w:rsid w:val="00E61404"/>
    <w:rsid w:val="00E61589"/>
    <w:rsid w:val="00E615CB"/>
    <w:rsid w:val="00E61892"/>
    <w:rsid w:val="00E61990"/>
    <w:rsid w:val="00E61A8A"/>
    <w:rsid w:val="00E61C47"/>
    <w:rsid w:val="00E61F08"/>
    <w:rsid w:val="00E620F9"/>
    <w:rsid w:val="00E62134"/>
    <w:rsid w:val="00E621DC"/>
    <w:rsid w:val="00E62541"/>
    <w:rsid w:val="00E62636"/>
    <w:rsid w:val="00E62693"/>
    <w:rsid w:val="00E62740"/>
    <w:rsid w:val="00E62AAB"/>
    <w:rsid w:val="00E62C15"/>
    <w:rsid w:val="00E62C2E"/>
    <w:rsid w:val="00E62DFB"/>
    <w:rsid w:val="00E62FE4"/>
    <w:rsid w:val="00E6312F"/>
    <w:rsid w:val="00E631AB"/>
    <w:rsid w:val="00E636B0"/>
    <w:rsid w:val="00E636BB"/>
    <w:rsid w:val="00E63760"/>
    <w:rsid w:val="00E637D7"/>
    <w:rsid w:val="00E6383D"/>
    <w:rsid w:val="00E638A3"/>
    <w:rsid w:val="00E63E86"/>
    <w:rsid w:val="00E6420A"/>
    <w:rsid w:val="00E6435E"/>
    <w:rsid w:val="00E643C6"/>
    <w:rsid w:val="00E6493A"/>
    <w:rsid w:val="00E64AB1"/>
    <w:rsid w:val="00E64B24"/>
    <w:rsid w:val="00E64CF6"/>
    <w:rsid w:val="00E64D19"/>
    <w:rsid w:val="00E64DF4"/>
    <w:rsid w:val="00E65145"/>
    <w:rsid w:val="00E652D3"/>
    <w:rsid w:val="00E65370"/>
    <w:rsid w:val="00E655E8"/>
    <w:rsid w:val="00E657A2"/>
    <w:rsid w:val="00E659AF"/>
    <w:rsid w:val="00E65AE6"/>
    <w:rsid w:val="00E65C3D"/>
    <w:rsid w:val="00E65CD0"/>
    <w:rsid w:val="00E65DBA"/>
    <w:rsid w:val="00E65E29"/>
    <w:rsid w:val="00E65FE1"/>
    <w:rsid w:val="00E66039"/>
    <w:rsid w:val="00E6605A"/>
    <w:rsid w:val="00E66384"/>
    <w:rsid w:val="00E6657E"/>
    <w:rsid w:val="00E665F9"/>
    <w:rsid w:val="00E666B9"/>
    <w:rsid w:val="00E6697E"/>
    <w:rsid w:val="00E66B74"/>
    <w:rsid w:val="00E66E27"/>
    <w:rsid w:val="00E66F79"/>
    <w:rsid w:val="00E67064"/>
    <w:rsid w:val="00E670BE"/>
    <w:rsid w:val="00E670C0"/>
    <w:rsid w:val="00E67128"/>
    <w:rsid w:val="00E675E0"/>
    <w:rsid w:val="00E6792E"/>
    <w:rsid w:val="00E67A21"/>
    <w:rsid w:val="00E7005C"/>
    <w:rsid w:val="00E70070"/>
    <w:rsid w:val="00E7039D"/>
    <w:rsid w:val="00E706CF"/>
    <w:rsid w:val="00E70957"/>
    <w:rsid w:val="00E709F0"/>
    <w:rsid w:val="00E70B96"/>
    <w:rsid w:val="00E70BF2"/>
    <w:rsid w:val="00E70CEA"/>
    <w:rsid w:val="00E711F6"/>
    <w:rsid w:val="00E713AD"/>
    <w:rsid w:val="00E7151D"/>
    <w:rsid w:val="00E718F1"/>
    <w:rsid w:val="00E71C50"/>
    <w:rsid w:val="00E71D34"/>
    <w:rsid w:val="00E71DDF"/>
    <w:rsid w:val="00E7229E"/>
    <w:rsid w:val="00E72380"/>
    <w:rsid w:val="00E7279D"/>
    <w:rsid w:val="00E72A82"/>
    <w:rsid w:val="00E72CE0"/>
    <w:rsid w:val="00E72EBC"/>
    <w:rsid w:val="00E73434"/>
    <w:rsid w:val="00E73981"/>
    <w:rsid w:val="00E73B44"/>
    <w:rsid w:val="00E73BE1"/>
    <w:rsid w:val="00E73E5E"/>
    <w:rsid w:val="00E73FD9"/>
    <w:rsid w:val="00E742D4"/>
    <w:rsid w:val="00E742F5"/>
    <w:rsid w:val="00E743B9"/>
    <w:rsid w:val="00E74435"/>
    <w:rsid w:val="00E7444B"/>
    <w:rsid w:val="00E74860"/>
    <w:rsid w:val="00E7494C"/>
    <w:rsid w:val="00E74A0E"/>
    <w:rsid w:val="00E74A5B"/>
    <w:rsid w:val="00E74B5D"/>
    <w:rsid w:val="00E74B7C"/>
    <w:rsid w:val="00E74C0D"/>
    <w:rsid w:val="00E74E72"/>
    <w:rsid w:val="00E74E7B"/>
    <w:rsid w:val="00E74ECB"/>
    <w:rsid w:val="00E74F46"/>
    <w:rsid w:val="00E74F92"/>
    <w:rsid w:val="00E75236"/>
    <w:rsid w:val="00E7545E"/>
    <w:rsid w:val="00E7566E"/>
    <w:rsid w:val="00E75866"/>
    <w:rsid w:val="00E7587A"/>
    <w:rsid w:val="00E758AD"/>
    <w:rsid w:val="00E75AD9"/>
    <w:rsid w:val="00E75DE6"/>
    <w:rsid w:val="00E75E5D"/>
    <w:rsid w:val="00E75F53"/>
    <w:rsid w:val="00E76306"/>
    <w:rsid w:val="00E76430"/>
    <w:rsid w:val="00E767EE"/>
    <w:rsid w:val="00E7691E"/>
    <w:rsid w:val="00E7697D"/>
    <w:rsid w:val="00E76A86"/>
    <w:rsid w:val="00E76DAC"/>
    <w:rsid w:val="00E76E17"/>
    <w:rsid w:val="00E76F0F"/>
    <w:rsid w:val="00E774A2"/>
    <w:rsid w:val="00E77A79"/>
    <w:rsid w:val="00E77D4E"/>
    <w:rsid w:val="00E77E83"/>
    <w:rsid w:val="00E77F9F"/>
    <w:rsid w:val="00E8010C"/>
    <w:rsid w:val="00E80186"/>
    <w:rsid w:val="00E8018E"/>
    <w:rsid w:val="00E801BC"/>
    <w:rsid w:val="00E804C8"/>
    <w:rsid w:val="00E80816"/>
    <w:rsid w:val="00E80898"/>
    <w:rsid w:val="00E80960"/>
    <w:rsid w:val="00E80AA5"/>
    <w:rsid w:val="00E80AF8"/>
    <w:rsid w:val="00E81119"/>
    <w:rsid w:val="00E81429"/>
    <w:rsid w:val="00E8145B"/>
    <w:rsid w:val="00E816B3"/>
    <w:rsid w:val="00E817E4"/>
    <w:rsid w:val="00E81B1A"/>
    <w:rsid w:val="00E822BF"/>
    <w:rsid w:val="00E82371"/>
    <w:rsid w:val="00E82880"/>
    <w:rsid w:val="00E82958"/>
    <w:rsid w:val="00E829CA"/>
    <w:rsid w:val="00E82B73"/>
    <w:rsid w:val="00E82BD3"/>
    <w:rsid w:val="00E82BEA"/>
    <w:rsid w:val="00E82F37"/>
    <w:rsid w:val="00E8311B"/>
    <w:rsid w:val="00E831E5"/>
    <w:rsid w:val="00E83371"/>
    <w:rsid w:val="00E833C4"/>
    <w:rsid w:val="00E834AA"/>
    <w:rsid w:val="00E835B1"/>
    <w:rsid w:val="00E83647"/>
    <w:rsid w:val="00E83650"/>
    <w:rsid w:val="00E836BD"/>
    <w:rsid w:val="00E839C1"/>
    <w:rsid w:val="00E840AD"/>
    <w:rsid w:val="00E84735"/>
    <w:rsid w:val="00E847BE"/>
    <w:rsid w:val="00E848C5"/>
    <w:rsid w:val="00E84B9A"/>
    <w:rsid w:val="00E84E9B"/>
    <w:rsid w:val="00E84EAB"/>
    <w:rsid w:val="00E8509A"/>
    <w:rsid w:val="00E850F3"/>
    <w:rsid w:val="00E8527D"/>
    <w:rsid w:val="00E8529E"/>
    <w:rsid w:val="00E8559E"/>
    <w:rsid w:val="00E8576B"/>
    <w:rsid w:val="00E85835"/>
    <w:rsid w:val="00E85A5D"/>
    <w:rsid w:val="00E85AB4"/>
    <w:rsid w:val="00E85B14"/>
    <w:rsid w:val="00E85C2F"/>
    <w:rsid w:val="00E85CB9"/>
    <w:rsid w:val="00E85EF5"/>
    <w:rsid w:val="00E85F13"/>
    <w:rsid w:val="00E86028"/>
    <w:rsid w:val="00E860BF"/>
    <w:rsid w:val="00E8621E"/>
    <w:rsid w:val="00E86484"/>
    <w:rsid w:val="00E864A7"/>
    <w:rsid w:val="00E8678A"/>
    <w:rsid w:val="00E867B2"/>
    <w:rsid w:val="00E86B0E"/>
    <w:rsid w:val="00E86B7B"/>
    <w:rsid w:val="00E86EF5"/>
    <w:rsid w:val="00E86F1A"/>
    <w:rsid w:val="00E86FD0"/>
    <w:rsid w:val="00E8739B"/>
    <w:rsid w:val="00E874B0"/>
    <w:rsid w:val="00E874FA"/>
    <w:rsid w:val="00E875F7"/>
    <w:rsid w:val="00E87908"/>
    <w:rsid w:val="00E87B59"/>
    <w:rsid w:val="00E87BFD"/>
    <w:rsid w:val="00E900F1"/>
    <w:rsid w:val="00E90254"/>
    <w:rsid w:val="00E90457"/>
    <w:rsid w:val="00E904A1"/>
    <w:rsid w:val="00E904AF"/>
    <w:rsid w:val="00E90533"/>
    <w:rsid w:val="00E9055B"/>
    <w:rsid w:val="00E90685"/>
    <w:rsid w:val="00E90B49"/>
    <w:rsid w:val="00E90B9C"/>
    <w:rsid w:val="00E90CFD"/>
    <w:rsid w:val="00E90D4C"/>
    <w:rsid w:val="00E90DAB"/>
    <w:rsid w:val="00E90E1D"/>
    <w:rsid w:val="00E910D6"/>
    <w:rsid w:val="00E913A1"/>
    <w:rsid w:val="00E915EB"/>
    <w:rsid w:val="00E917FC"/>
    <w:rsid w:val="00E91860"/>
    <w:rsid w:val="00E918E6"/>
    <w:rsid w:val="00E91952"/>
    <w:rsid w:val="00E919E3"/>
    <w:rsid w:val="00E91A1D"/>
    <w:rsid w:val="00E91C12"/>
    <w:rsid w:val="00E91E5B"/>
    <w:rsid w:val="00E91FF3"/>
    <w:rsid w:val="00E922BD"/>
    <w:rsid w:val="00E92395"/>
    <w:rsid w:val="00E923A8"/>
    <w:rsid w:val="00E923F1"/>
    <w:rsid w:val="00E924BF"/>
    <w:rsid w:val="00E9251B"/>
    <w:rsid w:val="00E9256D"/>
    <w:rsid w:val="00E92586"/>
    <w:rsid w:val="00E926CB"/>
    <w:rsid w:val="00E9283C"/>
    <w:rsid w:val="00E92AC9"/>
    <w:rsid w:val="00E92B67"/>
    <w:rsid w:val="00E92C15"/>
    <w:rsid w:val="00E92C3A"/>
    <w:rsid w:val="00E932AE"/>
    <w:rsid w:val="00E93486"/>
    <w:rsid w:val="00E93519"/>
    <w:rsid w:val="00E937DD"/>
    <w:rsid w:val="00E9391A"/>
    <w:rsid w:val="00E93D0F"/>
    <w:rsid w:val="00E93D55"/>
    <w:rsid w:val="00E93E02"/>
    <w:rsid w:val="00E93E4C"/>
    <w:rsid w:val="00E93F42"/>
    <w:rsid w:val="00E9431A"/>
    <w:rsid w:val="00E9460B"/>
    <w:rsid w:val="00E946EC"/>
    <w:rsid w:val="00E94756"/>
    <w:rsid w:val="00E9498C"/>
    <w:rsid w:val="00E94C89"/>
    <w:rsid w:val="00E9505D"/>
    <w:rsid w:val="00E954B7"/>
    <w:rsid w:val="00E957FD"/>
    <w:rsid w:val="00E959BB"/>
    <w:rsid w:val="00E95CEB"/>
    <w:rsid w:val="00E95FC7"/>
    <w:rsid w:val="00E9627C"/>
    <w:rsid w:val="00E9634D"/>
    <w:rsid w:val="00E96758"/>
    <w:rsid w:val="00E96768"/>
    <w:rsid w:val="00E96B08"/>
    <w:rsid w:val="00E96BB4"/>
    <w:rsid w:val="00E96C52"/>
    <w:rsid w:val="00E96CCA"/>
    <w:rsid w:val="00E96E58"/>
    <w:rsid w:val="00E96FDB"/>
    <w:rsid w:val="00E9768E"/>
    <w:rsid w:val="00E976AC"/>
    <w:rsid w:val="00E978ED"/>
    <w:rsid w:val="00E97900"/>
    <w:rsid w:val="00E9794E"/>
    <w:rsid w:val="00E97C3D"/>
    <w:rsid w:val="00E97CF8"/>
    <w:rsid w:val="00E97DF4"/>
    <w:rsid w:val="00E97E43"/>
    <w:rsid w:val="00EA0075"/>
    <w:rsid w:val="00EA00F9"/>
    <w:rsid w:val="00EA031F"/>
    <w:rsid w:val="00EA032A"/>
    <w:rsid w:val="00EA0491"/>
    <w:rsid w:val="00EA059C"/>
    <w:rsid w:val="00EA074A"/>
    <w:rsid w:val="00EA0D29"/>
    <w:rsid w:val="00EA107B"/>
    <w:rsid w:val="00EA1186"/>
    <w:rsid w:val="00EA1368"/>
    <w:rsid w:val="00EA1718"/>
    <w:rsid w:val="00EA17C1"/>
    <w:rsid w:val="00EA193F"/>
    <w:rsid w:val="00EA195C"/>
    <w:rsid w:val="00EA1C17"/>
    <w:rsid w:val="00EA2328"/>
    <w:rsid w:val="00EA23F6"/>
    <w:rsid w:val="00EA2833"/>
    <w:rsid w:val="00EA2932"/>
    <w:rsid w:val="00EA2A38"/>
    <w:rsid w:val="00EA2A96"/>
    <w:rsid w:val="00EA2DB1"/>
    <w:rsid w:val="00EA2E80"/>
    <w:rsid w:val="00EA30B0"/>
    <w:rsid w:val="00EA30BB"/>
    <w:rsid w:val="00EA316C"/>
    <w:rsid w:val="00EA34D0"/>
    <w:rsid w:val="00EA356A"/>
    <w:rsid w:val="00EA3575"/>
    <w:rsid w:val="00EA36DC"/>
    <w:rsid w:val="00EA3CF7"/>
    <w:rsid w:val="00EA3D57"/>
    <w:rsid w:val="00EA3ED8"/>
    <w:rsid w:val="00EA40A6"/>
    <w:rsid w:val="00EA41D0"/>
    <w:rsid w:val="00EA4232"/>
    <w:rsid w:val="00EA43AA"/>
    <w:rsid w:val="00EA43EE"/>
    <w:rsid w:val="00EA44D4"/>
    <w:rsid w:val="00EA4617"/>
    <w:rsid w:val="00EA4645"/>
    <w:rsid w:val="00EA478E"/>
    <w:rsid w:val="00EA4D40"/>
    <w:rsid w:val="00EA4EA9"/>
    <w:rsid w:val="00EA5957"/>
    <w:rsid w:val="00EA59C6"/>
    <w:rsid w:val="00EA5E4C"/>
    <w:rsid w:val="00EA5E69"/>
    <w:rsid w:val="00EA6134"/>
    <w:rsid w:val="00EA6390"/>
    <w:rsid w:val="00EA63C3"/>
    <w:rsid w:val="00EA64A8"/>
    <w:rsid w:val="00EA6793"/>
    <w:rsid w:val="00EA68DA"/>
    <w:rsid w:val="00EA6ABF"/>
    <w:rsid w:val="00EA6B6E"/>
    <w:rsid w:val="00EA6BA8"/>
    <w:rsid w:val="00EA6D62"/>
    <w:rsid w:val="00EA70F5"/>
    <w:rsid w:val="00EA7100"/>
    <w:rsid w:val="00EA7488"/>
    <w:rsid w:val="00EA75E0"/>
    <w:rsid w:val="00EA76EE"/>
    <w:rsid w:val="00EA7929"/>
    <w:rsid w:val="00EA79F7"/>
    <w:rsid w:val="00EA7AEE"/>
    <w:rsid w:val="00EA7EC4"/>
    <w:rsid w:val="00EA7F09"/>
    <w:rsid w:val="00EA7F4F"/>
    <w:rsid w:val="00EB0216"/>
    <w:rsid w:val="00EB068D"/>
    <w:rsid w:val="00EB09AA"/>
    <w:rsid w:val="00EB0BE2"/>
    <w:rsid w:val="00EB0CE7"/>
    <w:rsid w:val="00EB0E5A"/>
    <w:rsid w:val="00EB0E9F"/>
    <w:rsid w:val="00EB1017"/>
    <w:rsid w:val="00EB1029"/>
    <w:rsid w:val="00EB1098"/>
    <w:rsid w:val="00EB10AC"/>
    <w:rsid w:val="00EB115E"/>
    <w:rsid w:val="00EB1167"/>
    <w:rsid w:val="00EB11F5"/>
    <w:rsid w:val="00EB134A"/>
    <w:rsid w:val="00EB13D5"/>
    <w:rsid w:val="00EB159D"/>
    <w:rsid w:val="00EB196A"/>
    <w:rsid w:val="00EB196D"/>
    <w:rsid w:val="00EB196F"/>
    <w:rsid w:val="00EB19F8"/>
    <w:rsid w:val="00EB1BD5"/>
    <w:rsid w:val="00EB1D0B"/>
    <w:rsid w:val="00EB2100"/>
    <w:rsid w:val="00EB2242"/>
    <w:rsid w:val="00EB2716"/>
    <w:rsid w:val="00EB280B"/>
    <w:rsid w:val="00EB2CE9"/>
    <w:rsid w:val="00EB3295"/>
    <w:rsid w:val="00EB338A"/>
    <w:rsid w:val="00EB3483"/>
    <w:rsid w:val="00EB3521"/>
    <w:rsid w:val="00EB356D"/>
    <w:rsid w:val="00EB3830"/>
    <w:rsid w:val="00EB3CE5"/>
    <w:rsid w:val="00EB3D5C"/>
    <w:rsid w:val="00EB3DC9"/>
    <w:rsid w:val="00EB3F40"/>
    <w:rsid w:val="00EB3FB9"/>
    <w:rsid w:val="00EB3FE7"/>
    <w:rsid w:val="00EB40C8"/>
    <w:rsid w:val="00EB40D3"/>
    <w:rsid w:val="00EB43BD"/>
    <w:rsid w:val="00EB44CB"/>
    <w:rsid w:val="00EB47C0"/>
    <w:rsid w:val="00EB4A21"/>
    <w:rsid w:val="00EB4A60"/>
    <w:rsid w:val="00EB4A93"/>
    <w:rsid w:val="00EB4C29"/>
    <w:rsid w:val="00EB506B"/>
    <w:rsid w:val="00EB50A1"/>
    <w:rsid w:val="00EB54AD"/>
    <w:rsid w:val="00EB5702"/>
    <w:rsid w:val="00EB5A97"/>
    <w:rsid w:val="00EB5C8A"/>
    <w:rsid w:val="00EB5F98"/>
    <w:rsid w:val="00EB641E"/>
    <w:rsid w:val="00EB641F"/>
    <w:rsid w:val="00EB64EC"/>
    <w:rsid w:val="00EB6750"/>
    <w:rsid w:val="00EB67A9"/>
    <w:rsid w:val="00EB67F3"/>
    <w:rsid w:val="00EB6889"/>
    <w:rsid w:val="00EB69A1"/>
    <w:rsid w:val="00EB6AB9"/>
    <w:rsid w:val="00EB6CBA"/>
    <w:rsid w:val="00EB6D31"/>
    <w:rsid w:val="00EB6D45"/>
    <w:rsid w:val="00EB70CE"/>
    <w:rsid w:val="00EB71F1"/>
    <w:rsid w:val="00EB745E"/>
    <w:rsid w:val="00EB74E1"/>
    <w:rsid w:val="00EB784E"/>
    <w:rsid w:val="00EB7A93"/>
    <w:rsid w:val="00EB7EFB"/>
    <w:rsid w:val="00EC058E"/>
    <w:rsid w:val="00EC05A3"/>
    <w:rsid w:val="00EC06CC"/>
    <w:rsid w:val="00EC078F"/>
    <w:rsid w:val="00EC079D"/>
    <w:rsid w:val="00EC07E9"/>
    <w:rsid w:val="00EC0CAD"/>
    <w:rsid w:val="00EC0DFD"/>
    <w:rsid w:val="00EC109E"/>
    <w:rsid w:val="00EC10A0"/>
    <w:rsid w:val="00EC1195"/>
    <w:rsid w:val="00EC123A"/>
    <w:rsid w:val="00EC125B"/>
    <w:rsid w:val="00EC1383"/>
    <w:rsid w:val="00EC13D0"/>
    <w:rsid w:val="00EC1403"/>
    <w:rsid w:val="00EC1556"/>
    <w:rsid w:val="00EC1591"/>
    <w:rsid w:val="00EC16C6"/>
    <w:rsid w:val="00EC16F1"/>
    <w:rsid w:val="00EC1C12"/>
    <w:rsid w:val="00EC1C8A"/>
    <w:rsid w:val="00EC1DFD"/>
    <w:rsid w:val="00EC1FCE"/>
    <w:rsid w:val="00EC20D8"/>
    <w:rsid w:val="00EC26A8"/>
    <w:rsid w:val="00EC282D"/>
    <w:rsid w:val="00EC2840"/>
    <w:rsid w:val="00EC29CE"/>
    <w:rsid w:val="00EC2B0D"/>
    <w:rsid w:val="00EC2F4C"/>
    <w:rsid w:val="00EC3046"/>
    <w:rsid w:val="00EC3573"/>
    <w:rsid w:val="00EC36E0"/>
    <w:rsid w:val="00EC36ED"/>
    <w:rsid w:val="00EC3A5C"/>
    <w:rsid w:val="00EC410A"/>
    <w:rsid w:val="00EC4197"/>
    <w:rsid w:val="00EC419F"/>
    <w:rsid w:val="00EC46D0"/>
    <w:rsid w:val="00EC50A2"/>
    <w:rsid w:val="00EC5187"/>
    <w:rsid w:val="00EC518D"/>
    <w:rsid w:val="00EC52B8"/>
    <w:rsid w:val="00EC545A"/>
    <w:rsid w:val="00EC54F8"/>
    <w:rsid w:val="00EC5791"/>
    <w:rsid w:val="00EC57C6"/>
    <w:rsid w:val="00EC5A68"/>
    <w:rsid w:val="00EC5FB8"/>
    <w:rsid w:val="00EC6029"/>
    <w:rsid w:val="00EC628D"/>
    <w:rsid w:val="00EC62B2"/>
    <w:rsid w:val="00EC6763"/>
    <w:rsid w:val="00EC676C"/>
    <w:rsid w:val="00EC680F"/>
    <w:rsid w:val="00EC68A6"/>
    <w:rsid w:val="00EC6983"/>
    <w:rsid w:val="00EC698A"/>
    <w:rsid w:val="00EC6C28"/>
    <w:rsid w:val="00EC6D0E"/>
    <w:rsid w:val="00EC6D65"/>
    <w:rsid w:val="00EC6DFD"/>
    <w:rsid w:val="00EC6E4C"/>
    <w:rsid w:val="00EC6EF3"/>
    <w:rsid w:val="00EC7048"/>
    <w:rsid w:val="00EC7182"/>
    <w:rsid w:val="00EC71CB"/>
    <w:rsid w:val="00EC71D1"/>
    <w:rsid w:val="00EC755A"/>
    <w:rsid w:val="00EC769C"/>
    <w:rsid w:val="00EC76F3"/>
    <w:rsid w:val="00EC7797"/>
    <w:rsid w:val="00EC7798"/>
    <w:rsid w:val="00EC78BC"/>
    <w:rsid w:val="00EC78CB"/>
    <w:rsid w:val="00EC79A8"/>
    <w:rsid w:val="00EC7A3D"/>
    <w:rsid w:val="00EC7A90"/>
    <w:rsid w:val="00EC7D87"/>
    <w:rsid w:val="00EC7E17"/>
    <w:rsid w:val="00EC7F03"/>
    <w:rsid w:val="00ED05D6"/>
    <w:rsid w:val="00ED060E"/>
    <w:rsid w:val="00ED073C"/>
    <w:rsid w:val="00ED0A83"/>
    <w:rsid w:val="00ED0AAD"/>
    <w:rsid w:val="00ED0ABC"/>
    <w:rsid w:val="00ED0B22"/>
    <w:rsid w:val="00ED0C6F"/>
    <w:rsid w:val="00ED0D88"/>
    <w:rsid w:val="00ED0EC4"/>
    <w:rsid w:val="00ED1300"/>
    <w:rsid w:val="00ED13D1"/>
    <w:rsid w:val="00ED163D"/>
    <w:rsid w:val="00ED1690"/>
    <w:rsid w:val="00ED18FE"/>
    <w:rsid w:val="00ED1A2E"/>
    <w:rsid w:val="00ED1AA8"/>
    <w:rsid w:val="00ED1C07"/>
    <w:rsid w:val="00ED1D6D"/>
    <w:rsid w:val="00ED1F11"/>
    <w:rsid w:val="00ED226B"/>
    <w:rsid w:val="00ED233E"/>
    <w:rsid w:val="00ED2493"/>
    <w:rsid w:val="00ED24DF"/>
    <w:rsid w:val="00ED29F2"/>
    <w:rsid w:val="00ED2B3C"/>
    <w:rsid w:val="00ED2B95"/>
    <w:rsid w:val="00ED2C7D"/>
    <w:rsid w:val="00ED2D3B"/>
    <w:rsid w:val="00ED2F4B"/>
    <w:rsid w:val="00ED2FCC"/>
    <w:rsid w:val="00ED3028"/>
    <w:rsid w:val="00ED3041"/>
    <w:rsid w:val="00ED37A4"/>
    <w:rsid w:val="00ED38B0"/>
    <w:rsid w:val="00ED3A81"/>
    <w:rsid w:val="00ED3BCB"/>
    <w:rsid w:val="00ED3F32"/>
    <w:rsid w:val="00ED410F"/>
    <w:rsid w:val="00ED457A"/>
    <w:rsid w:val="00ED4799"/>
    <w:rsid w:val="00ED4967"/>
    <w:rsid w:val="00ED4A31"/>
    <w:rsid w:val="00ED4C12"/>
    <w:rsid w:val="00ED4E12"/>
    <w:rsid w:val="00ED50D8"/>
    <w:rsid w:val="00ED5351"/>
    <w:rsid w:val="00ED53B0"/>
    <w:rsid w:val="00ED5604"/>
    <w:rsid w:val="00ED5646"/>
    <w:rsid w:val="00ED57C5"/>
    <w:rsid w:val="00ED5A45"/>
    <w:rsid w:val="00ED5A78"/>
    <w:rsid w:val="00ED5C72"/>
    <w:rsid w:val="00ED5F25"/>
    <w:rsid w:val="00ED5FD2"/>
    <w:rsid w:val="00ED6182"/>
    <w:rsid w:val="00ED6401"/>
    <w:rsid w:val="00ED67CE"/>
    <w:rsid w:val="00ED6DA5"/>
    <w:rsid w:val="00ED70F2"/>
    <w:rsid w:val="00ED7559"/>
    <w:rsid w:val="00ED7571"/>
    <w:rsid w:val="00ED75A5"/>
    <w:rsid w:val="00ED7637"/>
    <w:rsid w:val="00ED7828"/>
    <w:rsid w:val="00ED7A84"/>
    <w:rsid w:val="00EE0279"/>
    <w:rsid w:val="00EE0538"/>
    <w:rsid w:val="00EE05EC"/>
    <w:rsid w:val="00EE0625"/>
    <w:rsid w:val="00EE0784"/>
    <w:rsid w:val="00EE07BD"/>
    <w:rsid w:val="00EE0A4C"/>
    <w:rsid w:val="00EE0A5D"/>
    <w:rsid w:val="00EE0B6E"/>
    <w:rsid w:val="00EE0F57"/>
    <w:rsid w:val="00EE0F97"/>
    <w:rsid w:val="00EE1046"/>
    <w:rsid w:val="00EE12A0"/>
    <w:rsid w:val="00EE1654"/>
    <w:rsid w:val="00EE1B10"/>
    <w:rsid w:val="00EE1DEC"/>
    <w:rsid w:val="00EE1F65"/>
    <w:rsid w:val="00EE2006"/>
    <w:rsid w:val="00EE226A"/>
    <w:rsid w:val="00EE226E"/>
    <w:rsid w:val="00EE2371"/>
    <w:rsid w:val="00EE28A4"/>
    <w:rsid w:val="00EE28CE"/>
    <w:rsid w:val="00EE28F4"/>
    <w:rsid w:val="00EE2C42"/>
    <w:rsid w:val="00EE2D19"/>
    <w:rsid w:val="00EE3075"/>
    <w:rsid w:val="00EE346A"/>
    <w:rsid w:val="00EE3728"/>
    <w:rsid w:val="00EE37C1"/>
    <w:rsid w:val="00EE38B6"/>
    <w:rsid w:val="00EE3E7B"/>
    <w:rsid w:val="00EE3E83"/>
    <w:rsid w:val="00EE4017"/>
    <w:rsid w:val="00EE4226"/>
    <w:rsid w:val="00EE4261"/>
    <w:rsid w:val="00EE4493"/>
    <w:rsid w:val="00EE45C5"/>
    <w:rsid w:val="00EE46BE"/>
    <w:rsid w:val="00EE46C4"/>
    <w:rsid w:val="00EE491D"/>
    <w:rsid w:val="00EE4ADF"/>
    <w:rsid w:val="00EE4B3E"/>
    <w:rsid w:val="00EE4DD3"/>
    <w:rsid w:val="00EE5365"/>
    <w:rsid w:val="00EE5694"/>
    <w:rsid w:val="00EE596D"/>
    <w:rsid w:val="00EE5A6B"/>
    <w:rsid w:val="00EE5B0A"/>
    <w:rsid w:val="00EE5B3C"/>
    <w:rsid w:val="00EE5BA7"/>
    <w:rsid w:val="00EE5E99"/>
    <w:rsid w:val="00EE5F75"/>
    <w:rsid w:val="00EE61D0"/>
    <w:rsid w:val="00EE63BE"/>
    <w:rsid w:val="00EE6603"/>
    <w:rsid w:val="00EE6972"/>
    <w:rsid w:val="00EE6A2B"/>
    <w:rsid w:val="00EE6AB2"/>
    <w:rsid w:val="00EE6B04"/>
    <w:rsid w:val="00EE6B89"/>
    <w:rsid w:val="00EE712F"/>
    <w:rsid w:val="00EE7150"/>
    <w:rsid w:val="00EE72DA"/>
    <w:rsid w:val="00EE7342"/>
    <w:rsid w:val="00EE73B5"/>
    <w:rsid w:val="00EE73C2"/>
    <w:rsid w:val="00EE7533"/>
    <w:rsid w:val="00EE7845"/>
    <w:rsid w:val="00EE7847"/>
    <w:rsid w:val="00EE78C6"/>
    <w:rsid w:val="00EE79AF"/>
    <w:rsid w:val="00EE7AA8"/>
    <w:rsid w:val="00EE7BF5"/>
    <w:rsid w:val="00EF0024"/>
    <w:rsid w:val="00EF012A"/>
    <w:rsid w:val="00EF01B8"/>
    <w:rsid w:val="00EF0633"/>
    <w:rsid w:val="00EF0799"/>
    <w:rsid w:val="00EF09CD"/>
    <w:rsid w:val="00EF0F51"/>
    <w:rsid w:val="00EF0FCC"/>
    <w:rsid w:val="00EF10CC"/>
    <w:rsid w:val="00EF12C5"/>
    <w:rsid w:val="00EF136B"/>
    <w:rsid w:val="00EF15F5"/>
    <w:rsid w:val="00EF1807"/>
    <w:rsid w:val="00EF1903"/>
    <w:rsid w:val="00EF1A64"/>
    <w:rsid w:val="00EF1A8E"/>
    <w:rsid w:val="00EF1C75"/>
    <w:rsid w:val="00EF1EB2"/>
    <w:rsid w:val="00EF2006"/>
    <w:rsid w:val="00EF21AF"/>
    <w:rsid w:val="00EF24A4"/>
    <w:rsid w:val="00EF24F7"/>
    <w:rsid w:val="00EF260E"/>
    <w:rsid w:val="00EF26C6"/>
    <w:rsid w:val="00EF2707"/>
    <w:rsid w:val="00EF2722"/>
    <w:rsid w:val="00EF28B0"/>
    <w:rsid w:val="00EF2A35"/>
    <w:rsid w:val="00EF2B93"/>
    <w:rsid w:val="00EF2DB3"/>
    <w:rsid w:val="00EF363D"/>
    <w:rsid w:val="00EF377E"/>
    <w:rsid w:val="00EF3850"/>
    <w:rsid w:val="00EF3AE2"/>
    <w:rsid w:val="00EF3F54"/>
    <w:rsid w:val="00EF40A5"/>
    <w:rsid w:val="00EF40BE"/>
    <w:rsid w:val="00EF416B"/>
    <w:rsid w:val="00EF41D3"/>
    <w:rsid w:val="00EF4469"/>
    <w:rsid w:val="00EF44DF"/>
    <w:rsid w:val="00EF478B"/>
    <w:rsid w:val="00EF4AE4"/>
    <w:rsid w:val="00EF4C56"/>
    <w:rsid w:val="00EF4CEC"/>
    <w:rsid w:val="00EF4D90"/>
    <w:rsid w:val="00EF4EC2"/>
    <w:rsid w:val="00EF4F16"/>
    <w:rsid w:val="00EF5107"/>
    <w:rsid w:val="00EF5B55"/>
    <w:rsid w:val="00EF5CE4"/>
    <w:rsid w:val="00EF5E9A"/>
    <w:rsid w:val="00EF5EEA"/>
    <w:rsid w:val="00EF5F07"/>
    <w:rsid w:val="00EF5FF7"/>
    <w:rsid w:val="00EF60A2"/>
    <w:rsid w:val="00EF6149"/>
    <w:rsid w:val="00EF61E6"/>
    <w:rsid w:val="00EF623C"/>
    <w:rsid w:val="00EF6294"/>
    <w:rsid w:val="00EF6601"/>
    <w:rsid w:val="00EF6805"/>
    <w:rsid w:val="00EF696D"/>
    <w:rsid w:val="00EF6C89"/>
    <w:rsid w:val="00EF6D9B"/>
    <w:rsid w:val="00EF6E86"/>
    <w:rsid w:val="00EF6E97"/>
    <w:rsid w:val="00EF6EAE"/>
    <w:rsid w:val="00EF711F"/>
    <w:rsid w:val="00EF71A3"/>
    <w:rsid w:val="00EF730B"/>
    <w:rsid w:val="00EF7412"/>
    <w:rsid w:val="00EF7634"/>
    <w:rsid w:val="00EF768F"/>
    <w:rsid w:val="00EF78A0"/>
    <w:rsid w:val="00EF7AA7"/>
    <w:rsid w:val="00EF7B1E"/>
    <w:rsid w:val="00EF7BB1"/>
    <w:rsid w:val="00EF7C5D"/>
    <w:rsid w:val="00EF7CF2"/>
    <w:rsid w:val="00EF7D85"/>
    <w:rsid w:val="00EF7F31"/>
    <w:rsid w:val="00F00508"/>
    <w:rsid w:val="00F006FC"/>
    <w:rsid w:val="00F00B2E"/>
    <w:rsid w:val="00F00C0D"/>
    <w:rsid w:val="00F0100E"/>
    <w:rsid w:val="00F0129A"/>
    <w:rsid w:val="00F01351"/>
    <w:rsid w:val="00F01490"/>
    <w:rsid w:val="00F01508"/>
    <w:rsid w:val="00F0174B"/>
    <w:rsid w:val="00F01820"/>
    <w:rsid w:val="00F0193F"/>
    <w:rsid w:val="00F01C5B"/>
    <w:rsid w:val="00F01E52"/>
    <w:rsid w:val="00F01E7B"/>
    <w:rsid w:val="00F01F15"/>
    <w:rsid w:val="00F020F3"/>
    <w:rsid w:val="00F022A4"/>
    <w:rsid w:val="00F022A8"/>
    <w:rsid w:val="00F0232D"/>
    <w:rsid w:val="00F02473"/>
    <w:rsid w:val="00F02479"/>
    <w:rsid w:val="00F0256E"/>
    <w:rsid w:val="00F02762"/>
    <w:rsid w:val="00F02C10"/>
    <w:rsid w:val="00F02D6D"/>
    <w:rsid w:val="00F02DCB"/>
    <w:rsid w:val="00F02DFE"/>
    <w:rsid w:val="00F03034"/>
    <w:rsid w:val="00F0319D"/>
    <w:rsid w:val="00F032F6"/>
    <w:rsid w:val="00F03486"/>
    <w:rsid w:val="00F03572"/>
    <w:rsid w:val="00F03807"/>
    <w:rsid w:val="00F0389E"/>
    <w:rsid w:val="00F039F8"/>
    <w:rsid w:val="00F03B25"/>
    <w:rsid w:val="00F03C99"/>
    <w:rsid w:val="00F03DA7"/>
    <w:rsid w:val="00F03F20"/>
    <w:rsid w:val="00F04286"/>
    <w:rsid w:val="00F042AA"/>
    <w:rsid w:val="00F042DC"/>
    <w:rsid w:val="00F04309"/>
    <w:rsid w:val="00F0448B"/>
    <w:rsid w:val="00F0463B"/>
    <w:rsid w:val="00F04689"/>
    <w:rsid w:val="00F046BD"/>
    <w:rsid w:val="00F04962"/>
    <w:rsid w:val="00F0496B"/>
    <w:rsid w:val="00F04C78"/>
    <w:rsid w:val="00F04D63"/>
    <w:rsid w:val="00F04E40"/>
    <w:rsid w:val="00F04E72"/>
    <w:rsid w:val="00F05074"/>
    <w:rsid w:val="00F050A1"/>
    <w:rsid w:val="00F0526B"/>
    <w:rsid w:val="00F0534B"/>
    <w:rsid w:val="00F05558"/>
    <w:rsid w:val="00F05610"/>
    <w:rsid w:val="00F05634"/>
    <w:rsid w:val="00F0576E"/>
    <w:rsid w:val="00F057C2"/>
    <w:rsid w:val="00F0584D"/>
    <w:rsid w:val="00F05999"/>
    <w:rsid w:val="00F059AB"/>
    <w:rsid w:val="00F05B05"/>
    <w:rsid w:val="00F05D10"/>
    <w:rsid w:val="00F05D23"/>
    <w:rsid w:val="00F060FF"/>
    <w:rsid w:val="00F06322"/>
    <w:rsid w:val="00F06894"/>
    <w:rsid w:val="00F06906"/>
    <w:rsid w:val="00F06BB1"/>
    <w:rsid w:val="00F06C35"/>
    <w:rsid w:val="00F06DDD"/>
    <w:rsid w:val="00F06F72"/>
    <w:rsid w:val="00F07099"/>
    <w:rsid w:val="00F074FA"/>
    <w:rsid w:val="00F07A90"/>
    <w:rsid w:val="00F07B75"/>
    <w:rsid w:val="00F102A7"/>
    <w:rsid w:val="00F105EA"/>
    <w:rsid w:val="00F1073E"/>
    <w:rsid w:val="00F107E1"/>
    <w:rsid w:val="00F10B8A"/>
    <w:rsid w:val="00F10F10"/>
    <w:rsid w:val="00F10F2C"/>
    <w:rsid w:val="00F1106A"/>
    <w:rsid w:val="00F1109A"/>
    <w:rsid w:val="00F11117"/>
    <w:rsid w:val="00F111B2"/>
    <w:rsid w:val="00F111B8"/>
    <w:rsid w:val="00F112B0"/>
    <w:rsid w:val="00F11304"/>
    <w:rsid w:val="00F1137F"/>
    <w:rsid w:val="00F11463"/>
    <w:rsid w:val="00F11612"/>
    <w:rsid w:val="00F11676"/>
    <w:rsid w:val="00F11768"/>
    <w:rsid w:val="00F11899"/>
    <w:rsid w:val="00F11937"/>
    <w:rsid w:val="00F11D55"/>
    <w:rsid w:val="00F11DC7"/>
    <w:rsid w:val="00F11FA7"/>
    <w:rsid w:val="00F12541"/>
    <w:rsid w:val="00F1259D"/>
    <w:rsid w:val="00F127B5"/>
    <w:rsid w:val="00F12980"/>
    <w:rsid w:val="00F12E11"/>
    <w:rsid w:val="00F12E9B"/>
    <w:rsid w:val="00F1318E"/>
    <w:rsid w:val="00F13580"/>
    <w:rsid w:val="00F13586"/>
    <w:rsid w:val="00F13834"/>
    <w:rsid w:val="00F1391E"/>
    <w:rsid w:val="00F13E3F"/>
    <w:rsid w:val="00F13E5F"/>
    <w:rsid w:val="00F14088"/>
    <w:rsid w:val="00F140C6"/>
    <w:rsid w:val="00F141C5"/>
    <w:rsid w:val="00F14295"/>
    <w:rsid w:val="00F143EE"/>
    <w:rsid w:val="00F14435"/>
    <w:rsid w:val="00F148D8"/>
    <w:rsid w:val="00F149AB"/>
    <w:rsid w:val="00F14C45"/>
    <w:rsid w:val="00F14CD7"/>
    <w:rsid w:val="00F14DB0"/>
    <w:rsid w:val="00F1510D"/>
    <w:rsid w:val="00F15192"/>
    <w:rsid w:val="00F15233"/>
    <w:rsid w:val="00F15361"/>
    <w:rsid w:val="00F15372"/>
    <w:rsid w:val="00F15604"/>
    <w:rsid w:val="00F15618"/>
    <w:rsid w:val="00F15BD8"/>
    <w:rsid w:val="00F15D44"/>
    <w:rsid w:val="00F15DD9"/>
    <w:rsid w:val="00F15E91"/>
    <w:rsid w:val="00F15F62"/>
    <w:rsid w:val="00F164D2"/>
    <w:rsid w:val="00F1690C"/>
    <w:rsid w:val="00F16CF4"/>
    <w:rsid w:val="00F16E72"/>
    <w:rsid w:val="00F16F98"/>
    <w:rsid w:val="00F1735C"/>
    <w:rsid w:val="00F17473"/>
    <w:rsid w:val="00F17764"/>
    <w:rsid w:val="00F178FF"/>
    <w:rsid w:val="00F1792A"/>
    <w:rsid w:val="00F17C97"/>
    <w:rsid w:val="00F17F64"/>
    <w:rsid w:val="00F17F93"/>
    <w:rsid w:val="00F200D7"/>
    <w:rsid w:val="00F201B4"/>
    <w:rsid w:val="00F2064C"/>
    <w:rsid w:val="00F2086F"/>
    <w:rsid w:val="00F20A4E"/>
    <w:rsid w:val="00F20B53"/>
    <w:rsid w:val="00F20B5F"/>
    <w:rsid w:val="00F20E1D"/>
    <w:rsid w:val="00F21056"/>
    <w:rsid w:val="00F210D6"/>
    <w:rsid w:val="00F21176"/>
    <w:rsid w:val="00F215CC"/>
    <w:rsid w:val="00F21954"/>
    <w:rsid w:val="00F21961"/>
    <w:rsid w:val="00F21A42"/>
    <w:rsid w:val="00F21A54"/>
    <w:rsid w:val="00F21BA6"/>
    <w:rsid w:val="00F21BC2"/>
    <w:rsid w:val="00F21C6B"/>
    <w:rsid w:val="00F21C71"/>
    <w:rsid w:val="00F21D12"/>
    <w:rsid w:val="00F21D46"/>
    <w:rsid w:val="00F21F4B"/>
    <w:rsid w:val="00F21F8B"/>
    <w:rsid w:val="00F21FB3"/>
    <w:rsid w:val="00F22035"/>
    <w:rsid w:val="00F2203B"/>
    <w:rsid w:val="00F222BE"/>
    <w:rsid w:val="00F2232E"/>
    <w:rsid w:val="00F224D4"/>
    <w:rsid w:val="00F228B1"/>
    <w:rsid w:val="00F228C1"/>
    <w:rsid w:val="00F2291C"/>
    <w:rsid w:val="00F22A18"/>
    <w:rsid w:val="00F22B52"/>
    <w:rsid w:val="00F22C19"/>
    <w:rsid w:val="00F22D18"/>
    <w:rsid w:val="00F22F4E"/>
    <w:rsid w:val="00F22FD6"/>
    <w:rsid w:val="00F2300F"/>
    <w:rsid w:val="00F23350"/>
    <w:rsid w:val="00F23434"/>
    <w:rsid w:val="00F235FB"/>
    <w:rsid w:val="00F23664"/>
    <w:rsid w:val="00F2367A"/>
    <w:rsid w:val="00F23880"/>
    <w:rsid w:val="00F23AAC"/>
    <w:rsid w:val="00F23B4B"/>
    <w:rsid w:val="00F23BC7"/>
    <w:rsid w:val="00F23E4E"/>
    <w:rsid w:val="00F23E96"/>
    <w:rsid w:val="00F23F3C"/>
    <w:rsid w:val="00F24068"/>
    <w:rsid w:val="00F24370"/>
    <w:rsid w:val="00F24450"/>
    <w:rsid w:val="00F2472E"/>
    <w:rsid w:val="00F2480A"/>
    <w:rsid w:val="00F24B44"/>
    <w:rsid w:val="00F24FEF"/>
    <w:rsid w:val="00F250D2"/>
    <w:rsid w:val="00F2515A"/>
    <w:rsid w:val="00F251B7"/>
    <w:rsid w:val="00F2521E"/>
    <w:rsid w:val="00F2524C"/>
    <w:rsid w:val="00F25B50"/>
    <w:rsid w:val="00F25CE8"/>
    <w:rsid w:val="00F25D28"/>
    <w:rsid w:val="00F26041"/>
    <w:rsid w:val="00F26073"/>
    <w:rsid w:val="00F26137"/>
    <w:rsid w:val="00F26152"/>
    <w:rsid w:val="00F26270"/>
    <w:rsid w:val="00F262CD"/>
    <w:rsid w:val="00F26331"/>
    <w:rsid w:val="00F26385"/>
    <w:rsid w:val="00F2678A"/>
    <w:rsid w:val="00F267AE"/>
    <w:rsid w:val="00F26AA8"/>
    <w:rsid w:val="00F26AF2"/>
    <w:rsid w:val="00F26B6B"/>
    <w:rsid w:val="00F26CD7"/>
    <w:rsid w:val="00F26D89"/>
    <w:rsid w:val="00F26ECA"/>
    <w:rsid w:val="00F270C6"/>
    <w:rsid w:val="00F2791F"/>
    <w:rsid w:val="00F27D48"/>
    <w:rsid w:val="00F3026A"/>
    <w:rsid w:val="00F3039A"/>
    <w:rsid w:val="00F307B3"/>
    <w:rsid w:val="00F30A58"/>
    <w:rsid w:val="00F30A91"/>
    <w:rsid w:val="00F30BB4"/>
    <w:rsid w:val="00F30DC2"/>
    <w:rsid w:val="00F30F8A"/>
    <w:rsid w:val="00F30F8C"/>
    <w:rsid w:val="00F31232"/>
    <w:rsid w:val="00F312B5"/>
    <w:rsid w:val="00F313C9"/>
    <w:rsid w:val="00F314A3"/>
    <w:rsid w:val="00F31735"/>
    <w:rsid w:val="00F3174C"/>
    <w:rsid w:val="00F31837"/>
    <w:rsid w:val="00F31A00"/>
    <w:rsid w:val="00F31BCF"/>
    <w:rsid w:val="00F31DD9"/>
    <w:rsid w:val="00F31E7F"/>
    <w:rsid w:val="00F31E96"/>
    <w:rsid w:val="00F31EC4"/>
    <w:rsid w:val="00F31F3A"/>
    <w:rsid w:val="00F32029"/>
    <w:rsid w:val="00F3265B"/>
    <w:rsid w:val="00F3270D"/>
    <w:rsid w:val="00F327CC"/>
    <w:rsid w:val="00F32866"/>
    <w:rsid w:val="00F32A89"/>
    <w:rsid w:val="00F32BCC"/>
    <w:rsid w:val="00F32C46"/>
    <w:rsid w:val="00F32DCE"/>
    <w:rsid w:val="00F32F13"/>
    <w:rsid w:val="00F3307E"/>
    <w:rsid w:val="00F3308F"/>
    <w:rsid w:val="00F338ED"/>
    <w:rsid w:val="00F33F9F"/>
    <w:rsid w:val="00F34042"/>
    <w:rsid w:val="00F34055"/>
    <w:rsid w:val="00F340E6"/>
    <w:rsid w:val="00F3418A"/>
    <w:rsid w:val="00F341E1"/>
    <w:rsid w:val="00F34202"/>
    <w:rsid w:val="00F34249"/>
    <w:rsid w:val="00F344F9"/>
    <w:rsid w:val="00F34FC3"/>
    <w:rsid w:val="00F3517D"/>
    <w:rsid w:val="00F352E0"/>
    <w:rsid w:val="00F35438"/>
    <w:rsid w:val="00F35613"/>
    <w:rsid w:val="00F35797"/>
    <w:rsid w:val="00F357BC"/>
    <w:rsid w:val="00F35DF8"/>
    <w:rsid w:val="00F35F07"/>
    <w:rsid w:val="00F3615D"/>
    <w:rsid w:val="00F3616F"/>
    <w:rsid w:val="00F361D0"/>
    <w:rsid w:val="00F36206"/>
    <w:rsid w:val="00F364AB"/>
    <w:rsid w:val="00F36547"/>
    <w:rsid w:val="00F3659D"/>
    <w:rsid w:val="00F366F8"/>
    <w:rsid w:val="00F367DC"/>
    <w:rsid w:val="00F368E6"/>
    <w:rsid w:val="00F3691C"/>
    <w:rsid w:val="00F369C2"/>
    <w:rsid w:val="00F36B75"/>
    <w:rsid w:val="00F36C5D"/>
    <w:rsid w:val="00F36C87"/>
    <w:rsid w:val="00F36CEA"/>
    <w:rsid w:val="00F36CFD"/>
    <w:rsid w:val="00F36E5C"/>
    <w:rsid w:val="00F3706C"/>
    <w:rsid w:val="00F37259"/>
    <w:rsid w:val="00F37284"/>
    <w:rsid w:val="00F3753E"/>
    <w:rsid w:val="00F37622"/>
    <w:rsid w:val="00F3764E"/>
    <w:rsid w:val="00F376F4"/>
    <w:rsid w:val="00F37846"/>
    <w:rsid w:val="00F37982"/>
    <w:rsid w:val="00F37AAC"/>
    <w:rsid w:val="00F37ABE"/>
    <w:rsid w:val="00F37C04"/>
    <w:rsid w:val="00F37D6F"/>
    <w:rsid w:val="00F4010F"/>
    <w:rsid w:val="00F402DF"/>
    <w:rsid w:val="00F403D1"/>
    <w:rsid w:val="00F40460"/>
    <w:rsid w:val="00F40485"/>
    <w:rsid w:val="00F4050E"/>
    <w:rsid w:val="00F4089C"/>
    <w:rsid w:val="00F40D4D"/>
    <w:rsid w:val="00F41108"/>
    <w:rsid w:val="00F411AE"/>
    <w:rsid w:val="00F41214"/>
    <w:rsid w:val="00F4156B"/>
    <w:rsid w:val="00F41629"/>
    <w:rsid w:val="00F4165C"/>
    <w:rsid w:val="00F4173F"/>
    <w:rsid w:val="00F417E2"/>
    <w:rsid w:val="00F41848"/>
    <w:rsid w:val="00F41869"/>
    <w:rsid w:val="00F41992"/>
    <w:rsid w:val="00F41A52"/>
    <w:rsid w:val="00F41D48"/>
    <w:rsid w:val="00F41E2A"/>
    <w:rsid w:val="00F420C8"/>
    <w:rsid w:val="00F4246E"/>
    <w:rsid w:val="00F424BB"/>
    <w:rsid w:val="00F4256F"/>
    <w:rsid w:val="00F42733"/>
    <w:rsid w:val="00F427F0"/>
    <w:rsid w:val="00F429FA"/>
    <w:rsid w:val="00F42C4B"/>
    <w:rsid w:val="00F42D25"/>
    <w:rsid w:val="00F42DCF"/>
    <w:rsid w:val="00F42FC9"/>
    <w:rsid w:val="00F4325B"/>
    <w:rsid w:val="00F4348E"/>
    <w:rsid w:val="00F43675"/>
    <w:rsid w:val="00F4367D"/>
    <w:rsid w:val="00F437E0"/>
    <w:rsid w:val="00F439C9"/>
    <w:rsid w:val="00F43B08"/>
    <w:rsid w:val="00F43C8A"/>
    <w:rsid w:val="00F43DE0"/>
    <w:rsid w:val="00F43E92"/>
    <w:rsid w:val="00F43ED8"/>
    <w:rsid w:val="00F44208"/>
    <w:rsid w:val="00F44339"/>
    <w:rsid w:val="00F4433B"/>
    <w:rsid w:val="00F447BC"/>
    <w:rsid w:val="00F448DC"/>
    <w:rsid w:val="00F44900"/>
    <w:rsid w:val="00F44A07"/>
    <w:rsid w:val="00F44A95"/>
    <w:rsid w:val="00F44ACB"/>
    <w:rsid w:val="00F44EC9"/>
    <w:rsid w:val="00F45218"/>
    <w:rsid w:val="00F45CA5"/>
    <w:rsid w:val="00F45FFB"/>
    <w:rsid w:val="00F4607D"/>
    <w:rsid w:val="00F461F0"/>
    <w:rsid w:val="00F462DC"/>
    <w:rsid w:val="00F468D3"/>
    <w:rsid w:val="00F46927"/>
    <w:rsid w:val="00F46955"/>
    <w:rsid w:val="00F46A17"/>
    <w:rsid w:val="00F46BF3"/>
    <w:rsid w:val="00F47062"/>
    <w:rsid w:val="00F47352"/>
    <w:rsid w:val="00F473E1"/>
    <w:rsid w:val="00F4771A"/>
    <w:rsid w:val="00F4772E"/>
    <w:rsid w:val="00F47CAC"/>
    <w:rsid w:val="00F50469"/>
    <w:rsid w:val="00F504C3"/>
    <w:rsid w:val="00F504F3"/>
    <w:rsid w:val="00F505EC"/>
    <w:rsid w:val="00F50817"/>
    <w:rsid w:val="00F50958"/>
    <w:rsid w:val="00F50999"/>
    <w:rsid w:val="00F51129"/>
    <w:rsid w:val="00F51302"/>
    <w:rsid w:val="00F51396"/>
    <w:rsid w:val="00F516DA"/>
    <w:rsid w:val="00F51929"/>
    <w:rsid w:val="00F51AA5"/>
    <w:rsid w:val="00F51B4E"/>
    <w:rsid w:val="00F51C6A"/>
    <w:rsid w:val="00F51C8A"/>
    <w:rsid w:val="00F51C95"/>
    <w:rsid w:val="00F51D13"/>
    <w:rsid w:val="00F51E74"/>
    <w:rsid w:val="00F51EB7"/>
    <w:rsid w:val="00F52066"/>
    <w:rsid w:val="00F523D4"/>
    <w:rsid w:val="00F52406"/>
    <w:rsid w:val="00F52593"/>
    <w:rsid w:val="00F526A6"/>
    <w:rsid w:val="00F526F2"/>
    <w:rsid w:val="00F5312E"/>
    <w:rsid w:val="00F531A9"/>
    <w:rsid w:val="00F53237"/>
    <w:rsid w:val="00F53527"/>
    <w:rsid w:val="00F535DB"/>
    <w:rsid w:val="00F5385F"/>
    <w:rsid w:val="00F538BE"/>
    <w:rsid w:val="00F53AA6"/>
    <w:rsid w:val="00F53B3D"/>
    <w:rsid w:val="00F53CC4"/>
    <w:rsid w:val="00F53D4C"/>
    <w:rsid w:val="00F54102"/>
    <w:rsid w:val="00F542DC"/>
    <w:rsid w:val="00F543CC"/>
    <w:rsid w:val="00F54498"/>
    <w:rsid w:val="00F54568"/>
    <w:rsid w:val="00F5456C"/>
    <w:rsid w:val="00F548F1"/>
    <w:rsid w:val="00F5493B"/>
    <w:rsid w:val="00F55097"/>
    <w:rsid w:val="00F5524A"/>
    <w:rsid w:val="00F55854"/>
    <w:rsid w:val="00F55A50"/>
    <w:rsid w:val="00F55A97"/>
    <w:rsid w:val="00F55CEC"/>
    <w:rsid w:val="00F55D49"/>
    <w:rsid w:val="00F55DE0"/>
    <w:rsid w:val="00F5609A"/>
    <w:rsid w:val="00F56311"/>
    <w:rsid w:val="00F5634E"/>
    <w:rsid w:val="00F56625"/>
    <w:rsid w:val="00F56813"/>
    <w:rsid w:val="00F5686F"/>
    <w:rsid w:val="00F569B6"/>
    <w:rsid w:val="00F56FAE"/>
    <w:rsid w:val="00F57615"/>
    <w:rsid w:val="00F57AA2"/>
    <w:rsid w:val="00F57BEC"/>
    <w:rsid w:val="00F57F4B"/>
    <w:rsid w:val="00F57F76"/>
    <w:rsid w:val="00F57FCD"/>
    <w:rsid w:val="00F600BC"/>
    <w:rsid w:val="00F6016C"/>
    <w:rsid w:val="00F60257"/>
    <w:rsid w:val="00F60523"/>
    <w:rsid w:val="00F60B8D"/>
    <w:rsid w:val="00F60CA1"/>
    <w:rsid w:val="00F60F15"/>
    <w:rsid w:val="00F60FB5"/>
    <w:rsid w:val="00F6164A"/>
    <w:rsid w:val="00F6180A"/>
    <w:rsid w:val="00F61B97"/>
    <w:rsid w:val="00F61C06"/>
    <w:rsid w:val="00F61C09"/>
    <w:rsid w:val="00F6215A"/>
    <w:rsid w:val="00F62681"/>
    <w:rsid w:val="00F627EF"/>
    <w:rsid w:val="00F62A9A"/>
    <w:rsid w:val="00F62CA5"/>
    <w:rsid w:val="00F62D19"/>
    <w:rsid w:val="00F62D42"/>
    <w:rsid w:val="00F62DDB"/>
    <w:rsid w:val="00F62E01"/>
    <w:rsid w:val="00F62E84"/>
    <w:rsid w:val="00F62E96"/>
    <w:rsid w:val="00F62EDF"/>
    <w:rsid w:val="00F62EF0"/>
    <w:rsid w:val="00F6326F"/>
    <w:rsid w:val="00F63435"/>
    <w:rsid w:val="00F63515"/>
    <w:rsid w:val="00F63565"/>
    <w:rsid w:val="00F636AC"/>
    <w:rsid w:val="00F6380A"/>
    <w:rsid w:val="00F63B8F"/>
    <w:rsid w:val="00F63CC2"/>
    <w:rsid w:val="00F63DC4"/>
    <w:rsid w:val="00F63DE1"/>
    <w:rsid w:val="00F63F59"/>
    <w:rsid w:val="00F6413A"/>
    <w:rsid w:val="00F6422C"/>
    <w:rsid w:val="00F643B6"/>
    <w:rsid w:val="00F64584"/>
    <w:rsid w:val="00F646A9"/>
    <w:rsid w:val="00F64956"/>
    <w:rsid w:val="00F64A5E"/>
    <w:rsid w:val="00F64A79"/>
    <w:rsid w:val="00F64B3B"/>
    <w:rsid w:val="00F64FA9"/>
    <w:rsid w:val="00F6503E"/>
    <w:rsid w:val="00F6523A"/>
    <w:rsid w:val="00F6534F"/>
    <w:rsid w:val="00F65413"/>
    <w:rsid w:val="00F65695"/>
    <w:rsid w:val="00F656A6"/>
    <w:rsid w:val="00F656E3"/>
    <w:rsid w:val="00F65A32"/>
    <w:rsid w:val="00F65AC2"/>
    <w:rsid w:val="00F65C2F"/>
    <w:rsid w:val="00F65CFF"/>
    <w:rsid w:val="00F66298"/>
    <w:rsid w:val="00F663EB"/>
    <w:rsid w:val="00F663F2"/>
    <w:rsid w:val="00F66617"/>
    <w:rsid w:val="00F6674C"/>
    <w:rsid w:val="00F66A6C"/>
    <w:rsid w:val="00F66C9D"/>
    <w:rsid w:val="00F67053"/>
    <w:rsid w:val="00F671C7"/>
    <w:rsid w:val="00F67226"/>
    <w:rsid w:val="00F673CA"/>
    <w:rsid w:val="00F674A8"/>
    <w:rsid w:val="00F67872"/>
    <w:rsid w:val="00F678E1"/>
    <w:rsid w:val="00F67B53"/>
    <w:rsid w:val="00F67BEB"/>
    <w:rsid w:val="00F70110"/>
    <w:rsid w:val="00F7011F"/>
    <w:rsid w:val="00F705EF"/>
    <w:rsid w:val="00F7079D"/>
    <w:rsid w:val="00F707C2"/>
    <w:rsid w:val="00F70830"/>
    <w:rsid w:val="00F70ADD"/>
    <w:rsid w:val="00F70E96"/>
    <w:rsid w:val="00F70EB0"/>
    <w:rsid w:val="00F70ED9"/>
    <w:rsid w:val="00F70FAE"/>
    <w:rsid w:val="00F7110C"/>
    <w:rsid w:val="00F711DA"/>
    <w:rsid w:val="00F715C3"/>
    <w:rsid w:val="00F717CF"/>
    <w:rsid w:val="00F718A1"/>
    <w:rsid w:val="00F719CE"/>
    <w:rsid w:val="00F71A2D"/>
    <w:rsid w:val="00F71B44"/>
    <w:rsid w:val="00F71B9E"/>
    <w:rsid w:val="00F71E9A"/>
    <w:rsid w:val="00F71EBF"/>
    <w:rsid w:val="00F7209D"/>
    <w:rsid w:val="00F72178"/>
    <w:rsid w:val="00F721A0"/>
    <w:rsid w:val="00F72587"/>
    <w:rsid w:val="00F72724"/>
    <w:rsid w:val="00F72A80"/>
    <w:rsid w:val="00F72C1C"/>
    <w:rsid w:val="00F72C93"/>
    <w:rsid w:val="00F72FB4"/>
    <w:rsid w:val="00F731F4"/>
    <w:rsid w:val="00F732F8"/>
    <w:rsid w:val="00F7332E"/>
    <w:rsid w:val="00F733EB"/>
    <w:rsid w:val="00F73500"/>
    <w:rsid w:val="00F73530"/>
    <w:rsid w:val="00F73671"/>
    <w:rsid w:val="00F736DD"/>
    <w:rsid w:val="00F736F7"/>
    <w:rsid w:val="00F73A11"/>
    <w:rsid w:val="00F73AAB"/>
    <w:rsid w:val="00F73E13"/>
    <w:rsid w:val="00F73E5A"/>
    <w:rsid w:val="00F73E7E"/>
    <w:rsid w:val="00F74104"/>
    <w:rsid w:val="00F74288"/>
    <w:rsid w:val="00F746B3"/>
    <w:rsid w:val="00F7490F"/>
    <w:rsid w:val="00F74967"/>
    <w:rsid w:val="00F74A58"/>
    <w:rsid w:val="00F74B16"/>
    <w:rsid w:val="00F74B4B"/>
    <w:rsid w:val="00F74CB4"/>
    <w:rsid w:val="00F74F43"/>
    <w:rsid w:val="00F75078"/>
    <w:rsid w:val="00F75340"/>
    <w:rsid w:val="00F754C2"/>
    <w:rsid w:val="00F75843"/>
    <w:rsid w:val="00F75967"/>
    <w:rsid w:val="00F75A5A"/>
    <w:rsid w:val="00F75ACE"/>
    <w:rsid w:val="00F75BC9"/>
    <w:rsid w:val="00F75C31"/>
    <w:rsid w:val="00F75C63"/>
    <w:rsid w:val="00F76063"/>
    <w:rsid w:val="00F76178"/>
    <w:rsid w:val="00F761EC"/>
    <w:rsid w:val="00F76485"/>
    <w:rsid w:val="00F7660A"/>
    <w:rsid w:val="00F76624"/>
    <w:rsid w:val="00F7673C"/>
    <w:rsid w:val="00F767E7"/>
    <w:rsid w:val="00F76812"/>
    <w:rsid w:val="00F769BB"/>
    <w:rsid w:val="00F7722A"/>
    <w:rsid w:val="00F77498"/>
    <w:rsid w:val="00F77545"/>
    <w:rsid w:val="00F77944"/>
    <w:rsid w:val="00F80025"/>
    <w:rsid w:val="00F800B8"/>
    <w:rsid w:val="00F80131"/>
    <w:rsid w:val="00F8031E"/>
    <w:rsid w:val="00F80496"/>
    <w:rsid w:val="00F80521"/>
    <w:rsid w:val="00F80662"/>
    <w:rsid w:val="00F8083B"/>
    <w:rsid w:val="00F80866"/>
    <w:rsid w:val="00F80A88"/>
    <w:rsid w:val="00F80B4E"/>
    <w:rsid w:val="00F80F23"/>
    <w:rsid w:val="00F80F5A"/>
    <w:rsid w:val="00F80F6B"/>
    <w:rsid w:val="00F80FC9"/>
    <w:rsid w:val="00F8106E"/>
    <w:rsid w:val="00F81474"/>
    <w:rsid w:val="00F81498"/>
    <w:rsid w:val="00F816C6"/>
    <w:rsid w:val="00F8180A"/>
    <w:rsid w:val="00F81849"/>
    <w:rsid w:val="00F81858"/>
    <w:rsid w:val="00F81DCC"/>
    <w:rsid w:val="00F81DE9"/>
    <w:rsid w:val="00F81E6D"/>
    <w:rsid w:val="00F81F72"/>
    <w:rsid w:val="00F82324"/>
    <w:rsid w:val="00F823F5"/>
    <w:rsid w:val="00F824BE"/>
    <w:rsid w:val="00F826A2"/>
    <w:rsid w:val="00F826AE"/>
    <w:rsid w:val="00F829CB"/>
    <w:rsid w:val="00F82B50"/>
    <w:rsid w:val="00F82B9E"/>
    <w:rsid w:val="00F82D98"/>
    <w:rsid w:val="00F82DC4"/>
    <w:rsid w:val="00F82E3C"/>
    <w:rsid w:val="00F82EE9"/>
    <w:rsid w:val="00F82F0C"/>
    <w:rsid w:val="00F832D3"/>
    <w:rsid w:val="00F83385"/>
    <w:rsid w:val="00F835F4"/>
    <w:rsid w:val="00F837A3"/>
    <w:rsid w:val="00F83865"/>
    <w:rsid w:val="00F8386F"/>
    <w:rsid w:val="00F8399B"/>
    <w:rsid w:val="00F83A21"/>
    <w:rsid w:val="00F83AD2"/>
    <w:rsid w:val="00F83B18"/>
    <w:rsid w:val="00F83B2A"/>
    <w:rsid w:val="00F83D29"/>
    <w:rsid w:val="00F83D92"/>
    <w:rsid w:val="00F83EAE"/>
    <w:rsid w:val="00F83EB1"/>
    <w:rsid w:val="00F8403F"/>
    <w:rsid w:val="00F840E9"/>
    <w:rsid w:val="00F841C5"/>
    <w:rsid w:val="00F841E0"/>
    <w:rsid w:val="00F84207"/>
    <w:rsid w:val="00F84854"/>
    <w:rsid w:val="00F848F9"/>
    <w:rsid w:val="00F8498D"/>
    <w:rsid w:val="00F84AC4"/>
    <w:rsid w:val="00F84B61"/>
    <w:rsid w:val="00F84C02"/>
    <w:rsid w:val="00F84CD4"/>
    <w:rsid w:val="00F85067"/>
    <w:rsid w:val="00F850CC"/>
    <w:rsid w:val="00F8534C"/>
    <w:rsid w:val="00F85567"/>
    <w:rsid w:val="00F85721"/>
    <w:rsid w:val="00F858A5"/>
    <w:rsid w:val="00F85942"/>
    <w:rsid w:val="00F85A8C"/>
    <w:rsid w:val="00F85B1B"/>
    <w:rsid w:val="00F85EB7"/>
    <w:rsid w:val="00F85F5C"/>
    <w:rsid w:val="00F85F71"/>
    <w:rsid w:val="00F86028"/>
    <w:rsid w:val="00F8609A"/>
    <w:rsid w:val="00F860DC"/>
    <w:rsid w:val="00F8626D"/>
    <w:rsid w:val="00F863A8"/>
    <w:rsid w:val="00F863F2"/>
    <w:rsid w:val="00F864BE"/>
    <w:rsid w:val="00F864F8"/>
    <w:rsid w:val="00F86519"/>
    <w:rsid w:val="00F865F1"/>
    <w:rsid w:val="00F86651"/>
    <w:rsid w:val="00F86799"/>
    <w:rsid w:val="00F86903"/>
    <w:rsid w:val="00F86B66"/>
    <w:rsid w:val="00F86DB1"/>
    <w:rsid w:val="00F86E51"/>
    <w:rsid w:val="00F86F78"/>
    <w:rsid w:val="00F87109"/>
    <w:rsid w:val="00F8716E"/>
    <w:rsid w:val="00F873BC"/>
    <w:rsid w:val="00F87444"/>
    <w:rsid w:val="00F87500"/>
    <w:rsid w:val="00F875DC"/>
    <w:rsid w:val="00F87637"/>
    <w:rsid w:val="00F877FF"/>
    <w:rsid w:val="00F879DA"/>
    <w:rsid w:val="00F87CCC"/>
    <w:rsid w:val="00F87E7C"/>
    <w:rsid w:val="00F902DB"/>
    <w:rsid w:val="00F90311"/>
    <w:rsid w:val="00F9047D"/>
    <w:rsid w:val="00F904D4"/>
    <w:rsid w:val="00F9065D"/>
    <w:rsid w:val="00F90785"/>
    <w:rsid w:val="00F90869"/>
    <w:rsid w:val="00F90BF4"/>
    <w:rsid w:val="00F91011"/>
    <w:rsid w:val="00F911FC"/>
    <w:rsid w:val="00F916AE"/>
    <w:rsid w:val="00F916E3"/>
    <w:rsid w:val="00F9170D"/>
    <w:rsid w:val="00F918DF"/>
    <w:rsid w:val="00F91907"/>
    <w:rsid w:val="00F91A3D"/>
    <w:rsid w:val="00F91AD1"/>
    <w:rsid w:val="00F91AF8"/>
    <w:rsid w:val="00F91B28"/>
    <w:rsid w:val="00F92041"/>
    <w:rsid w:val="00F920C9"/>
    <w:rsid w:val="00F92230"/>
    <w:rsid w:val="00F92240"/>
    <w:rsid w:val="00F92367"/>
    <w:rsid w:val="00F926E2"/>
    <w:rsid w:val="00F92734"/>
    <w:rsid w:val="00F92816"/>
    <w:rsid w:val="00F9282B"/>
    <w:rsid w:val="00F92977"/>
    <w:rsid w:val="00F92AB9"/>
    <w:rsid w:val="00F92F86"/>
    <w:rsid w:val="00F9324C"/>
    <w:rsid w:val="00F932D3"/>
    <w:rsid w:val="00F933C3"/>
    <w:rsid w:val="00F935A7"/>
    <w:rsid w:val="00F936A6"/>
    <w:rsid w:val="00F93824"/>
    <w:rsid w:val="00F93904"/>
    <w:rsid w:val="00F93B52"/>
    <w:rsid w:val="00F93D18"/>
    <w:rsid w:val="00F93D8D"/>
    <w:rsid w:val="00F93F47"/>
    <w:rsid w:val="00F94283"/>
    <w:rsid w:val="00F94368"/>
    <w:rsid w:val="00F94423"/>
    <w:rsid w:val="00F945EB"/>
    <w:rsid w:val="00F946B0"/>
    <w:rsid w:val="00F94710"/>
    <w:rsid w:val="00F9472E"/>
    <w:rsid w:val="00F94796"/>
    <w:rsid w:val="00F9494C"/>
    <w:rsid w:val="00F94A0E"/>
    <w:rsid w:val="00F94C8B"/>
    <w:rsid w:val="00F94E11"/>
    <w:rsid w:val="00F94EC4"/>
    <w:rsid w:val="00F94F9A"/>
    <w:rsid w:val="00F9503E"/>
    <w:rsid w:val="00F95271"/>
    <w:rsid w:val="00F95292"/>
    <w:rsid w:val="00F95605"/>
    <w:rsid w:val="00F957B4"/>
    <w:rsid w:val="00F95844"/>
    <w:rsid w:val="00F958D7"/>
    <w:rsid w:val="00F959E3"/>
    <w:rsid w:val="00F959F2"/>
    <w:rsid w:val="00F95A03"/>
    <w:rsid w:val="00F95A3B"/>
    <w:rsid w:val="00F96093"/>
    <w:rsid w:val="00F96112"/>
    <w:rsid w:val="00F962C0"/>
    <w:rsid w:val="00F965D3"/>
    <w:rsid w:val="00F9663B"/>
    <w:rsid w:val="00F96809"/>
    <w:rsid w:val="00F96B95"/>
    <w:rsid w:val="00F96BBC"/>
    <w:rsid w:val="00F96C29"/>
    <w:rsid w:val="00F96C6C"/>
    <w:rsid w:val="00F96D3E"/>
    <w:rsid w:val="00F96E89"/>
    <w:rsid w:val="00F96EDE"/>
    <w:rsid w:val="00F96F93"/>
    <w:rsid w:val="00F970F8"/>
    <w:rsid w:val="00F971B0"/>
    <w:rsid w:val="00F9733D"/>
    <w:rsid w:val="00F9760D"/>
    <w:rsid w:val="00F97691"/>
    <w:rsid w:val="00F976D7"/>
    <w:rsid w:val="00F9779C"/>
    <w:rsid w:val="00F9791B"/>
    <w:rsid w:val="00F97982"/>
    <w:rsid w:val="00F97A46"/>
    <w:rsid w:val="00F97A61"/>
    <w:rsid w:val="00F97CB8"/>
    <w:rsid w:val="00FA0361"/>
    <w:rsid w:val="00FA03E1"/>
    <w:rsid w:val="00FA0597"/>
    <w:rsid w:val="00FA05B0"/>
    <w:rsid w:val="00FA0840"/>
    <w:rsid w:val="00FA0ABE"/>
    <w:rsid w:val="00FA0B8C"/>
    <w:rsid w:val="00FA0E2E"/>
    <w:rsid w:val="00FA1028"/>
    <w:rsid w:val="00FA15C8"/>
    <w:rsid w:val="00FA1640"/>
    <w:rsid w:val="00FA1884"/>
    <w:rsid w:val="00FA18E8"/>
    <w:rsid w:val="00FA1967"/>
    <w:rsid w:val="00FA1B69"/>
    <w:rsid w:val="00FA1D5B"/>
    <w:rsid w:val="00FA21D5"/>
    <w:rsid w:val="00FA2C5D"/>
    <w:rsid w:val="00FA2D86"/>
    <w:rsid w:val="00FA30E2"/>
    <w:rsid w:val="00FA348C"/>
    <w:rsid w:val="00FA3507"/>
    <w:rsid w:val="00FA39D5"/>
    <w:rsid w:val="00FA3B8C"/>
    <w:rsid w:val="00FA3BB7"/>
    <w:rsid w:val="00FA3D1C"/>
    <w:rsid w:val="00FA3D87"/>
    <w:rsid w:val="00FA3EBD"/>
    <w:rsid w:val="00FA3FF6"/>
    <w:rsid w:val="00FA4023"/>
    <w:rsid w:val="00FA42FC"/>
    <w:rsid w:val="00FA43F4"/>
    <w:rsid w:val="00FA450D"/>
    <w:rsid w:val="00FA4624"/>
    <w:rsid w:val="00FA463F"/>
    <w:rsid w:val="00FA4AED"/>
    <w:rsid w:val="00FA4C57"/>
    <w:rsid w:val="00FA4CEA"/>
    <w:rsid w:val="00FA4D90"/>
    <w:rsid w:val="00FA4F25"/>
    <w:rsid w:val="00FA506D"/>
    <w:rsid w:val="00FA515B"/>
    <w:rsid w:val="00FA5265"/>
    <w:rsid w:val="00FA535E"/>
    <w:rsid w:val="00FA53D8"/>
    <w:rsid w:val="00FA55EF"/>
    <w:rsid w:val="00FA5721"/>
    <w:rsid w:val="00FA5814"/>
    <w:rsid w:val="00FA5B3E"/>
    <w:rsid w:val="00FA5D26"/>
    <w:rsid w:val="00FA5F7E"/>
    <w:rsid w:val="00FA6011"/>
    <w:rsid w:val="00FA6201"/>
    <w:rsid w:val="00FA645E"/>
    <w:rsid w:val="00FA651D"/>
    <w:rsid w:val="00FA65A1"/>
    <w:rsid w:val="00FA6674"/>
    <w:rsid w:val="00FA6792"/>
    <w:rsid w:val="00FA679E"/>
    <w:rsid w:val="00FA67C9"/>
    <w:rsid w:val="00FA6961"/>
    <w:rsid w:val="00FA6A31"/>
    <w:rsid w:val="00FA6A7C"/>
    <w:rsid w:val="00FA6CB7"/>
    <w:rsid w:val="00FA6F53"/>
    <w:rsid w:val="00FA7E4C"/>
    <w:rsid w:val="00FA7EB1"/>
    <w:rsid w:val="00FB0185"/>
    <w:rsid w:val="00FB027A"/>
    <w:rsid w:val="00FB045F"/>
    <w:rsid w:val="00FB066F"/>
    <w:rsid w:val="00FB0A85"/>
    <w:rsid w:val="00FB0AD8"/>
    <w:rsid w:val="00FB0C38"/>
    <w:rsid w:val="00FB0D69"/>
    <w:rsid w:val="00FB0E05"/>
    <w:rsid w:val="00FB12DE"/>
    <w:rsid w:val="00FB134B"/>
    <w:rsid w:val="00FB15C2"/>
    <w:rsid w:val="00FB16A9"/>
    <w:rsid w:val="00FB17AA"/>
    <w:rsid w:val="00FB1A3B"/>
    <w:rsid w:val="00FB1A56"/>
    <w:rsid w:val="00FB20E7"/>
    <w:rsid w:val="00FB22EC"/>
    <w:rsid w:val="00FB23CC"/>
    <w:rsid w:val="00FB2805"/>
    <w:rsid w:val="00FB28A9"/>
    <w:rsid w:val="00FB28BC"/>
    <w:rsid w:val="00FB2A22"/>
    <w:rsid w:val="00FB2AC3"/>
    <w:rsid w:val="00FB2DE1"/>
    <w:rsid w:val="00FB2E17"/>
    <w:rsid w:val="00FB2E47"/>
    <w:rsid w:val="00FB3134"/>
    <w:rsid w:val="00FB325B"/>
    <w:rsid w:val="00FB35D7"/>
    <w:rsid w:val="00FB363C"/>
    <w:rsid w:val="00FB36AD"/>
    <w:rsid w:val="00FB3802"/>
    <w:rsid w:val="00FB39F1"/>
    <w:rsid w:val="00FB3D71"/>
    <w:rsid w:val="00FB3E35"/>
    <w:rsid w:val="00FB404B"/>
    <w:rsid w:val="00FB4090"/>
    <w:rsid w:val="00FB45E7"/>
    <w:rsid w:val="00FB4605"/>
    <w:rsid w:val="00FB4727"/>
    <w:rsid w:val="00FB4793"/>
    <w:rsid w:val="00FB4A29"/>
    <w:rsid w:val="00FB4C1F"/>
    <w:rsid w:val="00FB4C99"/>
    <w:rsid w:val="00FB4D6C"/>
    <w:rsid w:val="00FB4DBB"/>
    <w:rsid w:val="00FB5200"/>
    <w:rsid w:val="00FB5526"/>
    <w:rsid w:val="00FB552F"/>
    <w:rsid w:val="00FB556B"/>
    <w:rsid w:val="00FB56AF"/>
    <w:rsid w:val="00FB56F2"/>
    <w:rsid w:val="00FB5753"/>
    <w:rsid w:val="00FB58C0"/>
    <w:rsid w:val="00FB5933"/>
    <w:rsid w:val="00FB59C2"/>
    <w:rsid w:val="00FB5B4F"/>
    <w:rsid w:val="00FB5CA2"/>
    <w:rsid w:val="00FB5E1E"/>
    <w:rsid w:val="00FB5F97"/>
    <w:rsid w:val="00FB623C"/>
    <w:rsid w:val="00FB631F"/>
    <w:rsid w:val="00FB64FC"/>
    <w:rsid w:val="00FB66E4"/>
    <w:rsid w:val="00FB6703"/>
    <w:rsid w:val="00FB6A2A"/>
    <w:rsid w:val="00FB6A8E"/>
    <w:rsid w:val="00FB6C5B"/>
    <w:rsid w:val="00FB6D40"/>
    <w:rsid w:val="00FB6DB0"/>
    <w:rsid w:val="00FB6E68"/>
    <w:rsid w:val="00FB71F2"/>
    <w:rsid w:val="00FB7337"/>
    <w:rsid w:val="00FB740F"/>
    <w:rsid w:val="00FB748F"/>
    <w:rsid w:val="00FB7622"/>
    <w:rsid w:val="00FB7761"/>
    <w:rsid w:val="00FB776E"/>
    <w:rsid w:val="00FB78D8"/>
    <w:rsid w:val="00FB792A"/>
    <w:rsid w:val="00FB79A5"/>
    <w:rsid w:val="00FB79E0"/>
    <w:rsid w:val="00FB7A57"/>
    <w:rsid w:val="00FB7A88"/>
    <w:rsid w:val="00FB7B0F"/>
    <w:rsid w:val="00FB7D3F"/>
    <w:rsid w:val="00FB7D4B"/>
    <w:rsid w:val="00FC01CC"/>
    <w:rsid w:val="00FC023D"/>
    <w:rsid w:val="00FC0344"/>
    <w:rsid w:val="00FC044E"/>
    <w:rsid w:val="00FC0989"/>
    <w:rsid w:val="00FC09D3"/>
    <w:rsid w:val="00FC0BFA"/>
    <w:rsid w:val="00FC1101"/>
    <w:rsid w:val="00FC1346"/>
    <w:rsid w:val="00FC13AD"/>
    <w:rsid w:val="00FC13E5"/>
    <w:rsid w:val="00FC1510"/>
    <w:rsid w:val="00FC1671"/>
    <w:rsid w:val="00FC1717"/>
    <w:rsid w:val="00FC195C"/>
    <w:rsid w:val="00FC1A06"/>
    <w:rsid w:val="00FC1ADB"/>
    <w:rsid w:val="00FC1B86"/>
    <w:rsid w:val="00FC1CCA"/>
    <w:rsid w:val="00FC1D33"/>
    <w:rsid w:val="00FC1FFE"/>
    <w:rsid w:val="00FC2007"/>
    <w:rsid w:val="00FC208C"/>
    <w:rsid w:val="00FC2189"/>
    <w:rsid w:val="00FC21E3"/>
    <w:rsid w:val="00FC244B"/>
    <w:rsid w:val="00FC257B"/>
    <w:rsid w:val="00FC273E"/>
    <w:rsid w:val="00FC2778"/>
    <w:rsid w:val="00FC28B1"/>
    <w:rsid w:val="00FC2926"/>
    <w:rsid w:val="00FC2950"/>
    <w:rsid w:val="00FC2974"/>
    <w:rsid w:val="00FC2A68"/>
    <w:rsid w:val="00FC2A6A"/>
    <w:rsid w:val="00FC3142"/>
    <w:rsid w:val="00FC3557"/>
    <w:rsid w:val="00FC35B1"/>
    <w:rsid w:val="00FC36EE"/>
    <w:rsid w:val="00FC37FB"/>
    <w:rsid w:val="00FC380B"/>
    <w:rsid w:val="00FC3845"/>
    <w:rsid w:val="00FC39F5"/>
    <w:rsid w:val="00FC3A39"/>
    <w:rsid w:val="00FC3BED"/>
    <w:rsid w:val="00FC3CD0"/>
    <w:rsid w:val="00FC3F7C"/>
    <w:rsid w:val="00FC43D1"/>
    <w:rsid w:val="00FC45A5"/>
    <w:rsid w:val="00FC46CA"/>
    <w:rsid w:val="00FC4831"/>
    <w:rsid w:val="00FC4CAD"/>
    <w:rsid w:val="00FC4CF8"/>
    <w:rsid w:val="00FC531B"/>
    <w:rsid w:val="00FC5523"/>
    <w:rsid w:val="00FC5701"/>
    <w:rsid w:val="00FC5757"/>
    <w:rsid w:val="00FC59AD"/>
    <w:rsid w:val="00FC5B2C"/>
    <w:rsid w:val="00FC5C2F"/>
    <w:rsid w:val="00FC5C98"/>
    <w:rsid w:val="00FC6162"/>
    <w:rsid w:val="00FC6A92"/>
    <w:rsid w:val="00FC6E2B"/>
    <w:rsid w:val="00FC6E64"/>
    <w:rsid w:val="00FC6F68"/>
    <w:rsid w:val="00FC7026"/>
    <w:rsid w:val="00FC7206"/>
    <w:rsid w:val="00FC7243"/>
    <w:rsid w:val="00FC730A"/>
    <w:rsid w:val="00FC7740"/>
    <w:rsid w:val="00FC7AD3"/>
    <w:rsid w:val="00FC7BDB"/>
    <w:rsid w:val="00FC7C27"/>
    <w:rsid w:val="00FC7D7A"/>
    <w:rsid w:val="00FD00AA"/>
    <w:rsid w:val="00FD0147"/>
    <w:rsid w:val="00FD019D"/>
    <w:rsid w:val="00FD0244"/>
    <w:rsid w:val="00FD0423"/>
    <w:rsid w:val="00FD0571"/>
    <w:rsid w:val="00FD05BA"/>
    <w:rsid w:val="00FD0858"/>
    <w:rsid w:val="00FD08D4"/>
    <w:rsid w:val="00FD094D"/>
    <w:rsid w:val="00FD0C68"/>
    <w:rsid w:val="00FD1065"/>
    <w:rsid w:val="00FD10FE"/>
    <w:rsid w:val="00FD1749"/>
    <w:rsid w:val="00FD1954"/>
    <w:rsid w:val="00FD1A0B"/>
    <w:rsid w:val="00FD1A1D"/>
    <w:rsid w:val="00FD1C2B"/>
    <w:rsid w:val="00FD1E92"/>
    <w:rsid w:val="00FD2050"/>
    <w:rsid w:val="00FD212C"/>
    <w:rsid w:val="00FD2363"/>
    <w:rsid w:val="00FD2393"/>
    <w:rsid w:val="00FD24DE"/>
    <w:rsid w:val="00FD260F"/>
    <w:rsid w:val="00FD26DC"/>
    <w:rsid w:val="00FD2DE2"/>
    <w:rsid w:val="00FD3000"/>
    <w:rsid w:val="00FD350E"/>
    <w:rsid w:val="00FD359B"/>
    <w:rsid w:val="00FD3876"/>
    <w:rsid w:val="00FD3A94"/>
    <w:rsid w:val="00FD3E38"/>
    <w:rsid w:val="00FD4320"/>
    <w:rsid w:val="00FD4573"/>
    <w:rsid w:val="00FD45BD"/>
    <w:rsid w:val="00FD4B4C"/>
    <w:rsid w:val="00FD4CEA"/>
    <w:rsid w:val="00FD4DBF"/>
    <w:rsid w:val="00FD5033"/>
    <w:rsid w:val="00FD51F3"/>
    <w:rsid w:val="00FD522B"/>
    <w:rsid w:val="00FD55AF"/>
    <w:rsid w:val="00FD57A0"/>
    <w:rsid w:val="00FD5893"/>
    <w:rsid w:val="00FD5907"/>
    <w:rsid w:val="00FD592E"/>
    <w:rsid w:val="00FD5AD2"/>
    <w:rsid w:val="00FD5BE0"/>
    <w:rsid w:val="00FD5D09"/>
    <w:rsid w:val="00FD6394"/>
    <w:rsid w:val="00FD67F9"/>
    <w:rsid w:val="00FD6AEB"/>
    <w:rsid w:val="00FD6B2F"/>
    <w:rsid w:val="00FD6B8A"/>
    <w:rsid w:val="00FD6C12"/>
    <w:rsid w:val="00FD6E42"/>
    <w:rsid w:val="00FD6E66"/>
    <w:rsid w:val="00FD7037"/>
    <w:rsid w:val="00FD7174"/>
    <w:rsid w:val="00FD717A"/>
    <w:rsid w:val="00FD72A5"/>
    <w:rsid w:val="00FD72AD"/>
    <w:rsid w:val="00FD7374"/>
    <w:rsid w:val="00FD73B4"/>
    <w:rsid w:val="00FD74B9"/>
    <w:rsid w:val="00FD7546"/>
    <w:rsid w:val="00FD795A"/>
    <w:rsid w:val="00FD79E4"/>
    <w:rsid w:val="00FD7A4B"/>
    <w:rsid w:val="00FD7B14"/>
    <w:rsid w:val="00FD7DAB"/>
    <w:rsid w:val="00FD7EB0"/>
    <w:rsid w:val="00FD7F6B"/>
    <w:rsid w:val="00FE0249"/>
    <w:rsid w:val="00FE030E"/>
    <w:rsid w:val="00FE032C"/>
    <w:rsid w:val="00FE0403"/>
    <w:rsid w:val="00FE040A"/>
    <w:rsid w:val="00FE0471"/>
    <w:rsid w:val="00FE05C8"/>
    <w:rsid w:val="00FE0C45"/>
    <w:rsid w:val="00FE0C87"/>
    <w:rsid w:val="00FE0D40"/>
    <w:rsid w:val="00FE0DAB"/>
    <w:rsid w:val="00FE0DDF"/>
    <w:rsid w:val="00FE136C"/>
    <w:rsid w:val="00FE1406"/>
    <w:rsid w:val="00FE1506"/>
    <w:rsid w:val="00FE16CF"/>
    <w:rsid w:val="00FE18B0"/>
    <w:rsid w:val="00FE18DF"/>
    <w:rsid w:val="00FE1AC3"/>
    <w:rsid w:val="00FE1CDB"/>
    <w:rsid w:val="00FE1EC3"/>
    <w:rsid w:val="00FE1F50"/>
    <w:rsid w:val="00FE21B4"/>
    <w:rsid w:val="00FE23E4"/>
    <w:rsid w:val="00FE2459"/>
    <w:rsid w:val="00FE24FF"/>
    <w:rsid w:val="00FE253B"/>
    <w:rsid w:val="00FE2BE0"/>
    <w:rsid w:val="00FE2C17"/>
    <w:rsid w:val="00FE341F"/>
    <w:rsid w:val="00FE3496"/>
    <w:rsid w:val="00FE3741"/>
    <w:rsid w:val="00FE37C6"/>
    <w:rsid w:val="00FE38E9"/>
    <w:rsid w:val="00FE39C8"/>
    <w:rsid w:val="00FE3E6C"/>
    <w:rsid w:val="00FE406C"/>
    <w:rsid w:val="00FE434D"/>
    <w:rsid w:val="00FE4750"/>
    <w:rsid w:val="00FE47AE"/>
    <w:rsid w:val="00FE47BD"/>
    <w:rsid w:val="00FE48E8"/>
    <w:rsid w:val="00FE4A4B"/>
    <w:rsid w:val="00FE4B98"/>
    <w:rsid w:val="00FE4D0B"/>
    <w:rsid w:val="00FE4E50"/>
    <w:rsid w:val="00FE503C"/>
    <w:rsid w:val="00FE5076"/>
    <w:rsid w:val="00FE5131"/>
    <w:rsid w:val="00FE518B"/>
    <w:rsid w:val="00FE51C6"/>
    <w:rsid w:val="00FE5452"/>
    <w:rsid w:val="00FE5655"/>
    <w:rsid w:val="00FE57D9"/>
    <w:rsid w:val="00FE58CA"/>
    <w:rsid w:val="00FE5C60"/>
    <w:rsid w:val="00FE5D67"/>
    <w:rsid w:val="00FE63D3"/>
    <w:rsid w:val="00FE6528"/>
    <w:rsid w:val="00FE666B"/>
    <w:rsid w:val="00FE699F"/>
    <w:rsid w:val="00FE69B9"/>
    <w:rsid w:val="00FE6DFE"/>
    <w:rsid w:val="00FE703E"/>
    <w:rsid w:val="00FE71D5"/>
    <w:rsid w:val="00FE736A"/>
    <w:rsid w:val="00FE7446"/>
    <w:rsid w:val="00FE7611"/>
    <w:rsid w:val="00FE7909"/>
    <w:rsid w:val="00FE7971"/>
    <w:rsid w:val="00FE7E05"/>
    <w:rsid w:val="00FE7E4E"/>
    <w:rsid w:val="00FE7FAF"/>
    <w:rsid w:val="00FF0069"/>
    <w:rsid w:val="00FF01D7"/>
    <w:rsid w:val="00FF02CF"/>
    <w:rsid w:val="00FF0402"/>
    <w:rsid w:val="00FF0406"/>
    <w:rsid w:val="00FF050E"/>
    <w:rsid w:val="00FF06AA"/>
    <w:rsid w:val="00FF072F"/>
    <w:rsid w:val="00FF0841"/>
    <w:rsid w:val="00FF09C7"/>
    <w:rsid w:val="00FF0A81"/>
    <w:rsid w:val="00FF0B6E"/>
    <w:rsid w:val="00FF0DA3"/>
    <w:rsid w:val="00FF0DF0"/>
    <w:rsid w:val="00FF0E66"/>
    <w:rsid w:val="00FF0FD2"/>
    <w:rsid w:val="00FF1027"/>
    <w:rsid w:val="00FF1589"/>
    <w:rsid w:val="00FF15AE"/>
    <w:rsid w:val="00FF15B5"/>
    <w:rsid w:val="00FF1A4E"/>
    <w:rsid w:val="00FF1AB6"/>
    <w:rsid w:val="00FF1C1D"/>
    <w:rsid w:val="00FF1CBE"/>
    <w:rsid w:val="00FF1D43"/>
    <w:rsid w:val="00FF1D48"/>
    <w:rsid w:val="00FF1F04"/>
    <w:rsid w:val="00FF20D7"/>
    <w:rsid w:val="00FF2197"/>
    <w:rsid w:val="00FF225C"/>
    <w:rsid w:val="00FF23CA"/>
    <w:rsid w:val="00FF246E"/>
    <w:rsid w:val="00FF29D4"/>
    <w:rsid w:val="00FF2B14"/>
    <w:rsid w:val="00FF2D01"/>
    <w:rsid w:val="00FF2D85"/>
    <w:rsid w:val="00FF2F7E"/>
    <w:rsid w:val="00FF300B"/>
    <w:rsid w:val="00FF32DC"/>
    <w:rsid w:val="00FF3397"/>
    <w:rsid w:val="00FF35B8"/>
    <w:rsid w:val="00FF3733"/>
    <w:rsid w:val="00FF3820"/>
    <w:rsid w:val="00FF3C15"/>
    <w:rsid w:val="00FF3E3A"/>
    <w:rsid w:val="00FF3E46"/>
    <w:rsid w:val="00FF3ED1"/>
    <w:rsid w:val="00FF3FF2"/>
    <w:rsid w:val="00FF4613"/>
    <w:rsid w:val="00FF477B"/>
    <w:rsid w:val="00FF4894"/>
    <w:rsid w:val="00FF489E"/>
    <w:rsid w:val="00FF48BB"/>
    <w:rsid w:val="00FF4C3D"/>
    <w:rsid w:val="00FF4F2F"/>
    <w:rsid w:val="00FF534A"/>
    <w:rsid w:val="00FF5373"/>
    <w:rsid w:val="00FF55B1"/>
    <w:rsid w:val="00FF560E"/>
    <w:rsid w:val="00FF5937"/>
    <w:rsid w:val="00FF594F"/>
    <w:rsid w:val="00FF5D18"/>
    <w:rsid w:val="00FF5D8B"/>
    <w:rsid w:val="00FF6076"/>
    <w:rsid w:val="00FF60E9"/>
    <w:rsid w:val="00FF6457"/>
    <w:rsid w:val="00FF6658"/>
    <w:rsid w:val="00FF7066"/>
    <w:rsid w:val="00FF7257"/>
    <w:rsid w:val="00FF7467"/>
    <w:rsid w:val="00FF7707"/>
    <w:rsid w:val="00FF7806"/>
    <w:rsid w:val="00FF7ACF"/>
    <w:rsid w:val="00FF7D1D"/>
    <w:rsid w:val="00FF7F6A"/>
    <w:rsid w:val="01913B77"/>
    <w:rsid w:val="01CED1B9"/>
    <w:rsid w:val="02315851"/>
    <w:rsid w:val="02DBDBBA"/>
    <w:rsid w:val="0361A770"/>
    <w:rsid w:val="03EB3DF2"/>
    <w:rsid w:val="041F7710"/>
    <w:rsid w:val="045388EB"/>
    <w:rsid w:val="054368BF"/>
    <w:rsid w:val="05B19E8A"/>
    <w:rsid w:val="06668714"/>
    <w:rsid w:val="069BA3F2"/>
    <w:rsid w:val="06E9BCB0"/>
    <w:rsid w:val="07BA6DB0"/>
    <w:rsid w:val="08E6DC72"/>
    <w:rsid w:val="09390CDB"/>
    <w:rsid w:val="09B8C5CE"/>
    <w:rsid w:val="09BCBACA"/>
    <w:rsid w:val="0A24ED8B"/>
    <w:rsid w:val="0A79BD76"/>
    <w:rsid w:val="0ABB79E3"/>
    <w:rsid w:val="0C90D1A9"/>
    <w:rsid w:val="0CA3AE72"/>
    <w:rsid w:val="0D10DABF"/>
    <w:rsid w:val="0DC2410C"/>
    <w:rsid w:val="0E4C9206"/>
    <w:rsid w:val="0E7156F7"/>
    <w:rsid w:val="0F014853"/>
    <w:rsid w:val="0F65291B"/>
    <w:rsid w:val="0FBD7D8E"/>
    <w:rsid w:val="0FF4D875"/>
    <w:rsid w:val="1095374F"/>
    <w:rsid w:val="10E0166A"/>
    <w:rsid w:val="10E0324A"/>
    <w:rsid w:val="111EE1F9"/>
    <w:rsid w:val="11CE3174"/>
    <w:rsid w:val="11DB905B"/>
    <w:rsid w:val="11DE6DFD"/>
    <w:rsid w:val="12AE4313"/>
    <w:rsid w:val="131E4159"/>
    <w:rsid w:val="13B10567"/>
    <w:rsid w:val="13E36497"/>
    <w:rsid w:val="142C1B13"/>
    <w:rsid w:val="161E8B92"/>
    <w:rsid w:val="16C909F3"/>
    <w:rsid w:val="1768272A"/>
    <w:rsid w:val="184C9BFE"/>
    <w:rsid w:val="18875360"/>
    <w:rsid w:val="18C233DA"/>
    <w:rsid w:val="18DEF42B"/>
    <w:rsid w:val="1917CECF"/>
    <w:rsid w:val="1973E73D"/>
    <w:rsid w:val="197C32A3"/>
    <w:rsid w:val="19828294"/>
    <w:rsid w:val="19889109"/>
    <w:rsid w:val="1A10DA79"/>
    <w:rsid w:val="1A456163"/>
    <w:rsid w:val="1A6FC98C"/>
    <w:rsid w:val="1A762DE0"/>
    <w:rsid w:val="1A903062"/>
    <w:rsid w:val="1B1549F6"/>
    <w:rsid w:val="1B8D4BDC"/>
    <w:rsid w:val="1BCF8CA3"/>
    <w:rsid w:val="1BDCD603"/>
    <w:rsid w:val="1BF599B9"/>
    <w:rsid w:val="1C0E550D"/>
    <w:rsid w:val="1CFC54F9"/>
    <w:rsid w:val="1D0FECA1"/>
    <w:rsid w:val="1DFA1F1F"/>
    <w:rsid w:val="1F44702F"/>
    <w:rsid w:val="1F4C3C23"/>
    <w:rsid w:val="1FB4DC17"/>
    <w:rsid w:val="2055E77B"/>
    <w:rsid w:val="21C9F2C5"/>
    <w:rsid w:val="220BAC9F"/>
    <w:rsid w:val="226F680A"/>
    <w:rsid w:val="227A0BEB"/>
    <w:rsid w:val="22AA63FD"/>
    <w:rsid w:val="22B8C243"/>
    <w:rsid w:val="22D54FE1"/>
    <w:rsid w:val="2316BE8D"/>
    <w:rsid w:val="237D85CC"/>
    <w:rsid w:val="23B22024"/>
    <w:rsid w:val="23F598DB"/>
    <w:rsid w:val="24648C66"/>
    <w:rsid w:val="246C36BE"/>
    <w:rsid w:val="24F50054"/>
    <w:rsid w:val="250B063D"/>
    <w:rsid w:val="25ED2AA8"/>
    <w:rsid w:val="26AE7A62"/>
    <w:rsid w:val="26C0AA5E"/>
    <w:rsid w:val="26CEE193"/>
    <w:rsid w:val="26D59A88"/>
    <w:rsid w:val="274742C7"/>
    <w:rsid w:val="27BEDA07"/>
    <w:rsid w:val="27F26986"/>
    <w:rsid w:val="281C1019"/>
    <w:rsid w:val="28779E3F"/>
    <w:rsid w:val="289A4614"/>
    <w:rsid w:val="2A12FCC6"/>
    <w:rsid w:val="2A6DE07B"/>
    <w:rsid w:val="2B91123E"/>
    <w:rsid w:val="2BB35987"/>
    <w:rsid w:val="2C5FA03A"/>
    <w:rsid w:val="2C980CA6"/>
    <w:rsid w:val="2CFC9453"/>
    <w:rsid w:val="2E1349CB"/>
    <w:rsid w:val="2E7543C1"/>
    <w:rsid w:val="2E9E9953"/>
    <w:rsid w:val="2F7BA38D"/>
    <w:rsid w:val="2F993F9D"/>
    <w:rsid w:val="2FE2E7B0"/>
    <w:rsid w:val="3005F8BB"/>
    <w:rsid w:val="302EB019"/>
    <w:rsid w:val="31246655"/>
    <w:rsid w:val="31BA9522"/>
    <w:rsid w:val="31F83466"/>
    <w:rsid w:val="3201B77F"/>
    <w:rsid w:val="32082CDF"/>
    <w:rsid w:val="326D9933"/>
    <w:rsid w:val="32F02B10"/>
    <w:rsid w:val="3474FA42"/>
    <w:rsid w:val="3495AE98"/>
    <w:rsid w:val="3498DA58"/>
    <w:rsid w:val="3565DD61"/>
    <w:rsid w:val="35C13417"/>
    <w:rsid w:val="364E9C64"/>
    <w:rsid w:val="3683568C"/>
    <w:rsid w:val="36AA8BA2"/>
    <w:rsid w:val="37357A9E"/>
    <w:rsid w:val="37F18C40"/>
    <w:rsid w:val="392BAE79"/>
    <w:rsid w:val="39A43CC6"/>
    <w:rsid w:val="3B1C99FB"/>
    <w:rsid w:val="3B1DED5C"/>
    <w:rsid w:val="3C1C7099"/>
    <w:rsid w:val="3C95A7B4"/>
    <w:rsid w:val="3D6F07CC"/>
    <w:rsid w:val="3D870139"/>
    <w:rsid w:val="3EEEC718"/>
    <w:rsid w:val="3F040A98"/>
    <w:rsid w:val="3F614B3A"/>
    <w:rsid w:val="3F67F8C0"/>
    <w:rsid w:val="3F93644A"/>
    <w:rsid w:val="3FC1496F"/>
    <w:rsid w:val="3FD05EF8"/>
    <w:rsid w:val="4009CF26"/>
    <w:rsid w:val="405A4FEA"/>
    <w:rsid w:val="40A8DF2B"/>
    <w:rsid w:val="40CEE120"/>
    <w:rsid w:val="40ED2C09"/>
    <w:rsid w:val="42688605"/>
    <w:rsid w:val="42E16AE2"/>
    <w:rsid w:val="436C8AEF"/>
    <w:rsid w:val="44D8C9DE"/>
    <w:rsid w:val="44E3403A"/>
    <w:rsid w:val="456E2746"/>
    <w:rsid w:val="457A7C79"/>
    <w:rsid w:val="459F58D4"/>
    <w:rsid w:val="45B659CC"/>
    <w:rsid w:val="460D8C84"/>
    <w:rsid w:val="460DF0B8"/>
    <w:rsid w:val="46F25864"/>
    <w:rsid w:val="46F2DDE2"/>
    <w:rsid w:val="472C1D17"/>
    <w:rsid w:val="477855AB"/>
    <w:rsid w:val="4867F6C7"/>
    <w:rsid w:val="48BFCE1C"/>
    <w:rsid w:val="4917E216"/>
    <w:rsid w:val="4926CB04"/>
    <w:rsid w:val="4999F2BF"/>
    <w:rsid w:val="49BC46E6"/>
    <w:rsid w:val="49D6E58F"/>
    <w:rsid w:val="4B5F08B0"/>
    <w:rsid w:val="4BFAD375"/>
    <w:rsid w:val="4C4F525A"/>
    <w:rsid w:val="4DA2EEF4"/>
    <w:rsid w:val="4E48FBAF"/>
    <w:rsid w:val="4E940D90"/>
    <w:rsid w:val="4ED1E736"/>
    <w:rsid w:val="4F993880"/>
    <w:rsid w:val="4FA0265A"/>
    <w:rsid w:val="4FBFA85F"/>
    <w:rsid w:val="50274945"/>
    <w:rsid w:val="50D3962B"/>
    <w:rsid w:val="51215D8A"/>
    <w:rsid w:val="512A003F"/>
    <w:rsid w:val="51BF1F68"/>
    <w:rsid w:val="5280316E"/>
    <w:rsid w:val="535B0ACD"/>
    <w:rsid w:val="53A7A6C3"/>
    <w:rsid w:val="551F35BB"/>
    <w:rsid w:val="55B54E72"/>
    <w:rsid w:val="55C6D4E0"/>
    <w:rsid w:val="56179D4F"/>
    <w:rsid w:val="567F7147"/>
    <w:rsid w:val="56CCE2ED"/>
    <w:rsid w:val="575A9BB6"/>
    <w:rsid w:val="578E4488"/>
    <w:rsid w:val="57D9AAF0"/>
    <w:rsid w:val="590B4D12"/>
    <w:rsid w:val="59EFD13A"/>
    <w:rsid w:val="59F70394"/>
    <w:rsid w:val="5AF1CA61"/>
    <w:rsid w:val="5B5760B0"/>
    <w:rsid w:val="5B737847"/>
    <w:rsid w:val="5B788B4C"/>
    <w:rsid w:val="5B7A71F9"/>
    <w:rsid w:val="5D34AC11"/>
    <w:rsid w:val="5D3C852E"/>
    <w:rsid w:val="5E4D46F2"/>
    <w:rsid w:val="5F89C5B2"/>
    <w:rsid w:val="61F07698"/>
    <w:rsid w:val="63365415"/>
    <w:rsid w:val="63482C29"/>
    <w:rsid w:val="63A1C341"/>
    <w:rsid w:val="63F84288"/>
    <w:rsid w:val="6405566E"/>
    <w:rsid w:val="64DBDD2E"/>
    <w:rsid w:val="64EC6759"/>
    <w:rsid w:val="658385F5"/>
    <w:rsid w:val="65D41C09"/>
    <w:rsid w:val="6669CCB7"/>
    <w:rsid w:val="66AFCFA2"/>
    <w:rsid w:val="66B248F2"/>
    <w:rsid w:val="66BB5B87"/>
    <w:rsid w:val="66F7936A"/>
    <w:rsid w:val="66FF033A"/>
    <w:rsid w:val="674DC400"/>
    <w:rsid w:val="678392F2"/>
    <w:rsid w:val="6789AA63"/>
    <w:rsid w:val="678A130F"/>
    <w:rsid w:val="67A1392E"/>
    <w:rsid w:val="682E0491"/>
    <w:rsid w:val="68BBBE2F"/>
    <w:rsid w:val="69086FD3"/>
    <w:rsid w:val="698630EE"/>
    <w:rsid w:val="6A44F3E9"/>
    <w:rsid w:val="6B06080F"/>
    <w:rsid w:val="6C1B5E93"/>
    <w:rsid w:val="6C4EB0E8"/>
    <w:rsid w:val="6CB6F161"/>
    <w:rsid w:val="6D711DF1"/>
    <w:rsid w:val="6D752A39"/>
    <w:rsid w:val="6D757224"/>
    <w:rsid w:val="6DCD3CD4"/>
    <w:rsid w:val="6EF5E073"/>
    <w:rsid w:val="707AA744"/>
    <w:rsid w:val="70A017C1"/>
    <w:rsid w:val="70CE8AC9"/>
    <w:rsid w:val="714CBEB1"/>
    <w:rsid w:val="720405EB"/>
    <w:rsid w:val="7247B2AB"/>
    <w:rsid w:val="72BE0035"/>
    <w:rsid w:val="72CC758A"/>
    <w:rsid w:val="73B22ADA"/>
    <w:rsid w:val="74FE9ECB"/>
    <w:rsid w:val="750F573A"/>
    <w:rsid w:val="751E474E"/>
    <w:rsid w:val="75D948AC"/>
    <w:rsid w:val="75FC8CAE"/>
    <w:rsid w:val="7623F9BF"/>
    <w:rsid w:val="765E2BDB"/>
    <w:rsid w:val="76C97F1E"/>
    <w:rsid w:val="7772E6D7"/>
    <w:rsid w:val="778C0AA8"/>
    <w:rsid w:val="77ADACD1"/>
    <w:rsid w:val="782EE714"/>
    <w:rsid w:val="78394C23"/>
    <w:rsid w:val="78CF39FD"/>
    <w:rsid w:val="7902A281"/>
    <w:rsid w:val="79495CB4"/>
    <w:rsid w:val="79902367"/>
    <w:rsid w:val="79922A76"/>
    <w:rsid w:val="79D72165"/>
    <w:rsid w:val="7A071006"/>
    <w:rsid w:val="7A1E7100"/>
    <w:rsid w:val="7A3FEB8A"/>
    <w:rsid w:val="7AA5D3F9"/>
    <w:rsid w:val="7ACF6813"/>
    <w:rsid w:val="7B23BA91"/>
    <w:rsid w:val="7BC9EAB7"/>
    <w:rsid w:val="7C104151"/>
    <w:rsid w:val="7C677A3F"/>
    <w:rsid w:val="7D19D70E"/>
    <w:rsid w:val="7D2B0D79"/>
    <w:rsid w:val="7DC40B9C"/>
    <w:rsid w:val="7E4235EE"/>
    <w:rsid w:val="7EF3624C"/>
    <w:rsid w:val="7F0E3D00"/>
    <w:rsid w:val="7F6EE5A6"/>
    <w:rsid w:val="7F7DBF53"/>
    <w:rsid w:val="7FD2F3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40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7AB4"/>
    <w:pPr>
      <w:tabs>
        <w:tab w:val="left" w:pos="567"/>
      </w:tabs>
      <w:spacing w:before="120" w:after="0" w:line="254" w:lineRule="auto"/>
    </w:pPr>
    <w:rPr>
      <w:rFonts w:ascii="Work Sans" w:hAnsi="Work Sans"/>
      <w:sz w:val="20"/>
    </w:rPr>
  </w:style>
  <w:style w:type="paragraph" w:styleId="Heading1">
    <w:name w:val="heading 1"/>
    <w:basedOn w:val="Normal"/>
    <w:next w:val="Normal"/>
    <w:link w:val="Heading1Char"/>
    <w:uiPriority w:val="9"/>
    <w:qFormat/>
    <w:rsid w:val="002B274C"/>
    <w:pPr>
      <w:tabs>
        <w:tab w:val="clear" w:pos="567"/>
      </w:tabs>
      <w:spacing w:before="360" w:after="200" w:line="276" w:lineRule="auto"/>
      <w:outlineLvl w:val="0"/>
    </w:pPr>
    <w:rPr>
      <w:rFonts w:eastAsia="Times New Roman" w:cs="Open Sans"/>
      <w:b/>
      <w:bCs/>
      <w:color w:val="006991"/>
      <w:sz w:val="40"/>
      <w:szCs w:val="40"/>
    </w:rPr>
  </w:style>
  <w:style w:type="paragraph" w:styleId="Heading2">
    <w:name w:val="heading 2"/>
    <w:aliases w:val="CGC 2025 Heading 2"/>
    <w:basedOn w:val="Normal"/>
    <w:next w:val="Heading3"/>
    <w:link w:val="Heading2Char"/>
    <w:uiPriority w:val="9"/>
    <w:qFormat/>
    <w:rsid w:val="007C4D64"/>
    <w:pPr>
      <w:tabs>
        <w:tab w:val="clear" w:pos="567"/>
      </w:tabs>
      <w:spacing w:before="360" w:after="200" w:line="276" w:lineRule="auto"/>
      <w:outlineLvl w:val="1"/>
    </w:pPr>
    <w:rPr>
      <w:rFonts w:eastAsia="Times New Roman" w:cs="Open Sans"/>
      <w:b/>
      <w:bCs/>
      <w:color w:val="006991"/>
      <w:sz w:val="36"/>
      <w:szCs w:val="36"/>
    </w:rPr>
  </w:style>
  <w:style w:type="paragraph" w:styleId="Heading3">
    <w:name w:val="heading 3"/>
    <w:aliases w:val="CGC 2025 Heading 3"/>
    <w:basedOn w:val="Normal"/>
    <w:next w:val="Heading4"/>
    <w:link w:val="Heading3Char"/>
    <w:uiPriority w:val="9"/>
    <w:qFormat/>
    <w:rsid w:val="009A2C92"/>
    <w:pPr>
      <w:tabs>
        <w:tab w:val="clear" w:pos="567"/>
      </w:tabs>
      <w:spacing w:before="240" w:after="200" w:line="276" w:lineRule="auto"/>
      <w:outlineLvl w:val="2"/>
    </w:pPr>
    <w:rPr>
      <w:rFonts w:eastAsia="Times New Roman" w:cs="Open Sans"/>
      <w:b/>
      <w:bCs/>
      <w:color w:val="006991"/>
      <w:sz w:val="28"/>
      <w:szCs w:val="28"/>
    </w:rPr>
  </w:style>
  <w:style w:type="paragraph" w:styleId="Heading4">
    <w:name w:val="heading 4"/>
    <w:aliases w:val="CGC 2025 Heading 4"/>
    <w:basedOn w:val="Normal"/>
    <w:next w:val="Heading5"/>
    <w:link w:val="Heading4Char"/>
    <w:uiPriority w:val="9"/>
    <w:qFormat/>
    <w:rsid w:val="00BD6EEE"/>
    <w:pPr>
      <w:keepNext/>
      <w:widowControl w:val="0"/>
      <w:spacing w:before="240" w:line="240" w:lineRule="auto"/>
      <w:outlineLvl w:val="3"/>
    </w:pPr>
    <w:rPr>
      <w:rFonts w:eastAsiaTheme="majorEastAsia" w:cstheme="majorBidi"/>
      <w:b/>
      <w:bCs/>
      <w:iCs/>
      <w:color w:val="006991"/>
      <w:sz w:val="24"/>
    </w:rPr>
  </w:style>
  <w:style w:type="paragraph" w:styleId="Heading5">
    <w:name w:val="heading 5"/>
    <w:aliases w:val="CGC 2025 Heading 5"/>
    <w:basedOn w:val="Normal"/>
    <w:next w:val="Heading6"/>
    <w:link w:val="Heading5Char"/>
    <w:uiPriority w:val="9"/>
    <w:qFormat/>
    <w:rsid w:val="00BD13E7"/>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782EC4"/>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uiPriority w:val="35"/>
    <w:qFormat/>
    <w:rsid w:val="00485F13"/>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C21EF9"/>
    <w:pPr>
      <w:numPr>
        <w:numId w:val="2"/>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641D96"/>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qFormat/>
    <w:rsid w:val="0026115B"/>
    <w:rPr>
      <w:rFonts w:ascii="Work Sans" w:hAnsi="Work Sans"/>
      <w:sz w:val="20"/>
      <w:szCs w:val="20"/>
      <w:vertAlign w:val="superscript"/>
    </w:rPr>
  </w:style>
  <w:style w:type="paragraph" w:styleId="FootnoteText">
    <w:name w:val="footnote text"/>
    <w:basedOn w:val="Normal"/>
    <w:link w:val="FootnoteTextChar"/>
    <w:autoRedefine/>
    <w:uiPriority w:val="99"/>
    <w:qFormat/>
    <w:rsid w:val="00B01CB6"/>
    <w:pPr>
      <w:spacing w:before="40" w:line="240" w:lineRule="auto"/>
      <w:ind w:left="142" w:hanging="142"/>
    </w:pPr>
    <w:rPr>
      <w:sz w:val="14"/>
      <w:szCs w:val="16"/>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rsid w:val="00765BA8"/>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EB6889"/>
    <w:pPr>
      <w:spacing w:before="120"/>
    </w:pPr>
    <w:rPr>
      <w:rFonts w:ascii="Work Sans" w:hAnsi="Work Sans"/>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customStyle="1" w:styleId="Heading1Char">
    <w:name w:val="Heading 1 Char"/>
    <w:basedOn w:val="DefaultParagraphFont"/>
    <w:link w:val="Heading1"/>
    <w:uiPriority w:val="9"/>
    <w:rsid w:val="002B274C"/>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7C4D64"/>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9A2C92"/>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BD6EEE"/>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BD13E7"/>
    <w:rPr>
      <w:rFonts w:ascii="Montserrat Semi Bold" w:eastAsiaTheme="majorEastAsia" w:hAnsi="Montserrat Semi Bold" w:cstheme="majorBidi"/>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82EC4"/>
    <w:rPr>
      <w:sz w:val="24"/>
    </w:rPr>
  </w:style>
  <w:style w:type="paragraph" w:styleId="ListParagraph">
    <w:name w:val="List Paragraph"/>
    <w:basedOn w:val="Normal"/>
    <w:link w:val="ListParagraphChar"/>
    <w:uiPriority w:val="34"/>
    <w:qFormat/>
    <w:rsid w:val="00622669"/>
    <w:pPr>
      <w:ind w:left="720"/>
      <w:contextualSpacing/>
    </w:pPr>
  </w:style>
  <w:style w:type="paragraph" w:styleId="TOCHeading">
    <w:name w:val="TOC Heading"/>
    <w:aliases w:val="CGC 2025 TOC Heading"/>
    <w:basedOn w:val="Heading1"/>
    <w:next w:val="Normal"/>
    <w:uiPriority w:val="39"/>
    <w:unhideWhenUsed/>
    <w:qFormat/>
    <w:rsid w:val="00032318"/>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7A1785"/>
    <w:rPr>
      <w:rFonts w:ascii="Montserrat Ultra Light" w:hAnsi="Montserrat Ultra Light"/>
      <w:b/>
      <w:color w:val="004563"/>
      <w:sz w:val="20"/>
    </w:rPr>
  </w:style>
  <w:style w:type="character" w:customStyle="1" w:styleId="HeaderChar">
    <w:name w:val="Header Char"/>
    <w:basedOn w:val="DefaultParagraphFont"/>
    <w:link w:val="Header"/>
    <w:uiPriority w:val="99"/>
    <w:rsid w:val="007A178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622669"/>
  </w:style>
  <w:style w:type="character" w:customStyle="1" w:styleId="CaptionChar">
    <w:name w:val="Caption Char"/>
    <w:basedOn w:val="DefaultParagraphFont"/>
    <w:link w:val="Caption"/>
    <w:uiPriority w:val="35"/>
    <w:rsid w:val="00485F13"/>
    <w:rPr>
      <w:rFonts w:ascii="Montserrat Ultra Light" w:hAnsi="Montserrat Ultra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uiPriority w:val="99"/>
    <w:rsid w:val="00B01CB6"/>
    <w:rPr>
      <w:rFonts w:ascii="Work Sans" w:hAnsi="Work Sans"/>
      <w:sz w:val="14"/>
      <w:szCs w:val="16"/>
    </w:rPr>
  </w:style>
  <w:style w:type="character" w:customStyle="1" w:styleId="Heading6Char">
    <w:name w:val="Heading 6 Char"/>
    <w:basedOn w:val="DefaultParagraphFont"/>
    <w:link w:val="Heading6"/>
    <w:uiPriority w:val="9"/>
    <w:rsid w:val="00782EC4"/>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paragraph" w:customStyle="1" w:styleId="CGCParaNumber">
    <w:name w:val="CGC Para Number"/>
    <w:basedOn w:val="Normal"/>
    <w:qFormat/>
    <w:rsid w:val="00956C4E"/>
    <w:pPr>
      <w:numPr>
        <w:numId w:val="7"/>
      </w:numPr>
    </w:pPr>
    <w:rPr>
      <w:szCs w:val="20"/>
    </w:rPr>
  </w:style>
  <w:style w:type="paragraph" w:customStyle="1" w:styleId="CGC2025Bullet1">
    <w:name w:val="CGC 2025 Bullet 1"/>
    <w:basedOn w:val="Normal"/>
    <w:qFormat/>
    <w:rsid w:val="00956C4E"/>
    <w:pPr>
      <w:numPr>
        <w:numId w:val="3"/>
      </w:numPr>
    </w:pPr>
    <w:rPr>
      <w:szCs w:val="20"/>
    </w:rPr>
  </w:style>
  <w:style w:type="paragraph" w:customStyle="1" w:styleId="CGCBullet2">
    <w:name w:val="CGC Bullet 2"/>
    <w:basedOn w:val="Normal"/>
    <w:qFormat/>
    <w:rsid w:val="00DA7A60"/>
    <w:pPr>
      <w:numPr>
        <w:numId w:val="4"/>
      </w:numPr>
    </w:pPr>
  </w:style>
  <w:style w:type="paragraph" w:customStyle="1" w:styleId="CGCBullet3">
    <w:name w:val="CGC Bullet 3"/>
    <w:basedOn w:val="Normal"/>
    <w:qFormat/>
    <w:rsid w:val="007A1785"/>
    <w:pPr>
      <w:numPr>
        <w:numId w:val="5"/>
      </w:numPr>
      <w:ind w:left="1491" w:hanging="357"/>
    </w:pPr>
  </w:style>
  <w:style w:type="paragraph" w:customStyle="1" w:styleId="CGCQuoteText">
    <w:name w:val="CGC Quote Text"/>
    <w:basedOn w:val="Normal"/>
    <w:next w:val="Normal"/>
    <w:rsid w:val="00782EC4"/>
    <w:pPr>
      <w:spacing w:after="120"/>
      <w:ind w:left="1418" w:right="1134"/>
    </w:pPr>
  </w:style>
  <w:style w:type="paragraph" w:customStyle="1" w:styleId="CGCQuoteBullet">
    <w:name w:val="CGC Quote Bullet"/>
    <w:basedOn w:val="CGCQuoteText"/>
    <w:next w:val="Normal"/>
    <w:rsid w:val="00782EC4"/>
    <w:pPr>
      <w:numPr>
        <w:numId w:val="6"/>
      </w:numPr>
      <w:ind w:right="1418"/>
    </w:pPr>
  </w:style>
  <w:style w:type="paragraph" w:customStyle="1" w:styleId="CGCTablerow">
    <w:name w:val="CGC Table row"/>
    <w:basedOn w:val="Normal"/>
    <w:qFormat/>
    <w:rsid w:val="00782EC4"/>
    <w:pPr>
      <w:spacing w:before="0" w:line="240" w:lineRule="auto"/>
    </w:pPr>
    <w:rPr>
      <w:sz w:val="16"/>
    </w:rPr>
  </w:style>
  <w:style w:type="paragraph" w:customStyle="1" w:styleId="CGCTablenote">
    <w:name w:val="CGC Table note"/>
    <w:basedOn w:val="Normal"/>
    <w:next w:val="Normal"/>
    <w:link w:val="CGCTablenoteChar"/>
    <w:qFormat/>
    <w:rsid w:val="00FE5C60"/>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FE5C60"/>
    <w:rPr>
      <w:rFonts w:ascii="Montserrat Ultra Light" w:hAnsi="Montserrat Ultra Light"/>
      <w:b/>
      <w:sz w:val="20"/>
      <w:szCs w:val="20"/>
    </w:rPr>
  </w:style>
  <w:style w:type="paragraph" w:customStyle="1" w:styleId="TOCtitle">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semiHidden/>
    <w:unhideWhenUsed/>
    <w:rsid w:val="00CA7A75"/>
    <w:rPr>
      <w:sz w:val="16"/>
      <w:szCs w:val="16"/>
    </w:rPr>
  </w:style>
  <w:style w:type="paragraph" w:styleId="CommentText">
    <w:name w:val="annotation text"/>
    <w:basedOn w:val="Normal"/>
    <w:link w:val="CommentTextChar"/>
    <w:unhideWhenUsed/>
    <w:rsid w:val="00CA7A75"/>
    <w:pPr>
      <w:spacing w:line="240" w:lineRule="auto"/>
    </w:pPr>
    <w:rPr>
      <w:szCs w:val="20"/>
    </w:rPr>
  </w:style>
  <w:style w:type="character" w:customStyle="1" w:styleId="CommentTextChar">
    <w:name w:val="Comment Text Char"/>
    <w:basedOn w:val="DefaultParagraphFont"/>
    <w:link w:val="CommentText"/>
    <w:rsid w:val="00CA7A75"/>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CA7A75"/>
    <w:rPr>
      <w:b/>
      <w:bCs/>
    </w:rPr>
  </w:style>
  <w:style w:type="character" w:customStyle="1" w:styleId="CommentSubjectChar">
    <w:name w:val="Comment Subject Char"/>
    <w:basedOn w:val="CommentTextChar"/>
    <w:link w:val="CommentSubject"/>
    <w:semiHidden/>
    <w:rsid w:val="00CA7A75"/>
    <w:rPr>
      <w:rFonts w:ascii="Open Sans Light" w:hAnsi="Open Sans Light"/>
      <w:b/>
      <w:bCs/>
      <w:sz w:val="20"/>
      <w:szCs w:val="20"/>
    </w:rPr>
  </w:style>
  <w:style w:type="paragraph" w:customStyle="1" w:styleId="CGCTablesubhead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paragraph" w:customStyle="1" w:styleId="Bulletpoint">
    <w:name w:val="Bullet point"/>
    <w:basedOn w:val="ListParagraph"/>
    <w:link w:val="BulletpointChar"/>
    <w:qFormat/>
    <w:rsid w:val="00A5102B"/>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A5102B"/>
    <w:rPr>
      <w:rFonts w:ascii="Open Sans Light" w:hAnsi="Open Sans Light"/>
      <w:sz w:val="20"/>
    </w:rPr>
  </w:style>
  <w:style w:type="character" w:customStyle="1" w:styleId="BulletpointChar">
    <w:name w:val="Bullet point Char"/>
    <w:basedOn w:val="ListParagraphChar"/>
    <w:link w:val="Bulletpoint"/>
    <w:rsid w:val="00A5102B"/>
    <w:rPr>
      <w:rFonts w:ascii="Open Sans Light" w:hAnsi="Open Sans Light"/>
      <w:sz w:val="20"/>
    </w:rPr>
  </w:style>
  <w:style w:type="paragraph" w:styleId="Revision">
    <w:name w:val="Revision"/>
    <w:hidden/>
    <w:uiPriority w:val="99"/>
    <w:semiHidden/>
    <w:rsid w:val="001B76A8"/>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1307A8"/>
    <w:pPr>
      <w:numPr>
        <w:numId w:val="8"/>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1307A8"/>
    <w:pPr>
      <w:numPr>
        <w:ilvl w:val="1"/>
        <w:numId w:val="9"/>
      </w:num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1307A8"/>
    <w:rPr>
      <w:sz w:val="24"/>
      <w:szCs w:val="20"/>
    </w:rPr>
  </w:style>
  <w:style w:type="character" w:customStyle="1" w:styleId="cf01">
    <w:name w:val="cf01"/>
    <w:basedOn w:val="DefaultParagraphFont"/>
    <w:rsid w:val="002F0D1B"/>
    <w:rPr>
      <w:rFonts w:ascii="Segoe UI" w:hAnsi="Segoe UI" w:cs="Segoe UI" w:hint="default"/>
      <w:sz w:val="18"/>
      <w:szCs w:val="18"/>
    </w:rPr>
  </w:style>
  <w:style w:type="table" w:customStyle="1" w:styleId="TableGrid1">
    <w:name w:val="Table Grid1"/>
    <w:basedOn w:val="TableNormal"/>
    <w:next w:val="TableGrid"/>
    <w:uiPriority w:val="39"/>
    <w:rsid w:val="002F08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6E3848"/>
    <w:rPr>
      <w:color w:val="800080" w:themeColor="followedHyperlink"/>
      <w:u w:val="single"/>
    </w:rPr>
  </w:style>
  <w:style w:type="paragraph" w:customStyle="1" w:styleId="CGC2025QuestionNumbers">
    <w:name w:val="CGC 2025 Question Numbers"/>
    <w:basedOn w:val="Normal"/>
    <w:qFormat/>
    <w:rsid w:val="00084EE0"/>
    <w:pPr>
      <w:numPr>
        <w:numId w:val="11"/>
      </w:numPr>
      <w:spacing w:after="120"/>
    </w:pPr>
    <w:rPr>
      <w:rFonts w:cs="Open Sans Light"/>
      <w:szCs w:val="20"/>
    </w:rPr>
  </w:style>
  <w:style w:type="numbering" w:customStyle="1" w:styleId="CGCConsultQuestion">
    <w:name w:val="CGC Consult Question"/>
    <w:basedOn w:val="NoList"/>
    <w:uiPriority w:val="99"/>
    <w:rsid w:val="00084EE0"/>
    <w:pPr>
      <w:numPr>
        <w:numId w:val="10"/>
      </w:numPr>
    </w:pPr>
  </w:style>
  <w:style w:type="paragraph" w:customStyle="1" w:styleId="CGC2025ParaNumbers">
    <w:name w:val="CGC 2025 Para Numbers"/>
    <w:basedOn w:val="CGCNumberedPara"/>
    <w:link w:val="CGC2025ParaNumbersChar"/>
    <w:rsid w:val="004477FF"/>
    <w:pPr>
      <w:tabs>
        <w:tab w:val="num" w:pos="567"/>
      </w:tabs>
    </w:pPr>
    <w:rPr>
      <w:rFonts w:ascii="Work Sans" w:hAnsi="Work Sans"/>
      <w:sz w:val="20"/>
    </w:rPr>
  </w:style>
  <w:style w:type="paragraph" w:customStyle="1" w:styleId="CGC2025Bullet2">
    <w:name w:val="CGC 2025 Bullet 2"/>
    <w:basedOn w:val="CGCBullet2"/>
    <w:rsid w:val="0017088C"/>
    <w:pPr>
      <w:ind w:left="1321" w:hanging="357"/>
    </w:pPr>
  </w:style>
  <w:style w:type="paragraph" w:customStyle="1" w:styleId="CGC2025Heading2AttachmentFollower">
    <w:name w:val="CGC 2025 Heading 2 Attachment Follower"/>
    <w:basedOn w:val="Heading2"/>
    <w:rsid w:val="00294D2F"/>
    <w:rPr>
      <w:b w:val="0"/>
      <w:bCs w:val="0"/>
    </w:rPr>
  </w:style>
  <w:style w:type="paragraph" w:customStyle="1" w:styleId="CGC2025Caption">
    <w:name w:val="CGC 2025 Caption"/>
    <w:basedOn w:val="Normal"/>
    <w:qFormat/>
    <w:rsid w:val="0036695B"/>
    <w:pPr>
      <w:spacing w:before="240" w:after="120" w:line="240" w:lineRule="auto"/>
    </w:pPr>
    <w:rPr>
      <w:b/>
    </w:rPr>
  </w:style>
  <w:style w:type="paragraph" w:customStyle="1" w:styleId="CGC2025Questionsnumbers2">
    <w:name w:val="CGC 2025 Questions numbers 2"/>
    <w:basedOn w:val="Normal"/>
    <w:next w:val="CGC2025ParaNumbers"/>
    <w:qFormat/>
    <w:rsid w:val="004824F0"/>
    <w:pPr>
      <w:numPr>
        <w:numId w:val="12"/>
      </w:numPr>
      <w:ind w:left="454" w:hanging="454"/>
    </w:pPr>
    <w:rPr>
      <w:rFonts w:cs="Open Sans"/>
      <w:bCs/>
      <w:szCs w:val="56"/>
    </w:rPr>
  </w:style>
  <w:style w:type="paragraph" w:customStyle="1" w:styleId="CGC2025TableNote">
    <w:name w:val="CGC 2025 Table Note"/>
    <w:basedOn w:val="CGCTablenote"/>
    <w:link w:val="CGC2025TableNoteChar"/>
    <w:qFormat/>
    <w:rsid w:val="00FB59C2"/>
  </w:style>
  <w:style w:type="character" w:customStyle="1" w:styleId="CGCTablenoteChar">
    <w:name w:val="CGC Table note Char"/>
    <w:basedOn w:val="DefaultParagraphFont"/>
    <w:link w:val="CGCTablenote"/>
    <w:rsid w:val="00FB59C2"/>
    <w:rPr>
      <w:rFonts w:ascii="Open Sans Light" w:hAnsi="Open Sans Light"/>
      <w:sz w:val="14"/>
    </w:rPr>
  </w:style>
  <w:style w:type="character" w:customStyle="1" w:styleId="CGC2025TableNoteChar">
    <w:name w:val="CGC 2025 Table Note Char"/>
    <w:basedOn w:val="CGCTablenoteChar"/>
    <w:link w:val="CGC2025TableNote"/>
    <w:rsid w:val="00FB59C2"/>
    <w:rPr>
      <w:rFonts w:ascii="Work Sans" w:hAnsi="Work Sans"/>
      <w:sz w:val="14"/>
    </w:rPr>
  </w:style>
  <w:style w:type="paragraph" w:customStyle="1" w:styleId="CGCBullet1">
    <w:name w:val="CGC Bullet 1"/>
    <w:basedOn w:val="Normal"/>
    <w:qFormat/>
    <w:rsid w:val="00956FA7"/>
    <w:pPr>
      <w:ind w:left="927" w:hanging="360"/>
    </w:pPr>
    <w:rPr>
      <w:szCs w:val="20"/>
    </w:rPr>
  </w:style>
  <w:style w:type="paragraph" w:customStyle="1" w:styleId="BodyCopyWorkSans10">
    <w:name w:val="Body Copy Work Sans 10"/>
    <w:basedOn w:val="Normal"/>
    <w:link w:val="BodyCopyWorkSans10Char"/>
    <w:qFormat/>
    <w:rsid w:val="00F81E6D"/>
    <w:pPr>
      <w:numPr>
        <w:numId w:val="13"/>
      </w:numPr>
    </w:pPr>
  </w:style>
  <w:style w:type="character" w:customStyle="1" w:styleId="BodyCopyWorkSans10Char">
    <w:name w:val="Body Copy Work Sans 10 Char"/>
    <w:basedOn w:val="DefaultParagraphFont"/>
    <w:link w:val="BodyCopyWorkSans10"/>
    <w:rsid w:val="00F81E6D"/>
    <w:rPr>
      <w:rFonts w:ascii="Work Sans" w:hAnsi="Work Sans"/>
      <w:sz w:val="20"/>
    </w:rPr>
  </w:style>
  <w:style w:type="paragraph" w:styleId="NormalWeb">
    <w:name w:val="Normal (Web)"/>
    <w:basedOn w:val="Normal"/>
    <w:uiPriority w:val="99"/>
    <w:unhideWhenUsed/>
    <w:rsid w:val="00A56AC3"/>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Normal"/>
    <w:uiPriority w:val="99"/>
    <w:unhideWhenUsed/>
    <w:rsid w:val="00662177"/>
    <w:pPr>
      <w:numPr>
        <w:numId w:val="14"/>
      </w:numPr>
      <w:tabs>
        <w:tab w:val="clear" w:pos="567"/>
      </w:tabs>
      <w:spacing w:before="60" w:after="120" w:line="252" w:lineRule="auto"/>
    </w:pPr>
    <w:rPr>
      <w:rFonts w:ascii="Open Sans" w:eastAsia="Calibri" w:hAnsi="Open Sans" w:cs="Arial"/>
      <w:sz w:val="18"/>
      <w:szCs w:val="18"/>
    </w:rPr>
  </w:style>
  <w:style w:type="character" w:customStyle="1" w:styleId="normaltextrun">
    <w:name w:val="normaltextrun"/>
    <w:basedOn w:val="DefaultParagraphFont"/>
    <w:rsid w:val="00A31139"/>
  </w:style>
  <w:style w:type="character" w:customStyle="1" w:styleId="eop">
    <w:name w:val="eop"/>
    <w:basedOn w:val="DefaultParagraphFont"/>
    <w:rsid w:val="00A31139"/>
  </w:style>
  <w:style w:type="paragraph" w:customStyle="1" w:styleId="paragraph">
    <w:name w:val="paragraph"/>
    <w:basedOn w:val="Normal"/>
    <w:rsid w:val="00A31139"/>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1E6F5F"/>
  </w:style>
  <w:style w:type="paragraph" w:customStyle="1" w:styleId="pf0">
    <w:name w:val="pf0"/>
    <w:basedOn w:val="Normal"/>
    <w:rsid w:val="005E0B70"/>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semiHidden/>
    <w:unhideWhenUsed/>
    <w:rsid w:val="00441186"/>
    <w:pPr>
      <w:spacing w:before="0" w:line="240" w:lineRule="auto"/>
    </w:pPr>
    <w:rPr>
      <w:szCs w:val="20"/>
    </w:rPr>
  </w:style>
  <w:style w:type="character" w:customStyle="1" w:styleId="EndnoteTextChar">
    <w:name w:val="Endnote Text Char"/>
    <w:basedOn w:val="DefaultParagraphFont"/>
    <w:link w:val="EndnoteText"/>
    <w:semiHidden/>
    <w:rsid w:val="00441186"/>
    <w:rPr>
      <w:rFonts w:ascii="Work Sans" w:hAnsi="Work Sans"/>
      <w:sz w:val="20"/>
      <w:szCs w:val="20"/>
    </w:rPr>
  </w:style>
  <w:style w:type="character" w:styleId="EndnoteReference">
    <w:name w:val="endnote reference"/>
    <w:basedOn w:val="DefaultParagraphFont"/>
    <w:semiHidden/>
    <w:unhideWhenUsed/>
    <w:rsid w:val="00441186"/>
    <w:rPr>
      <w:vertAlign w:val="superscript"/>
    </w:rPr>
  </w:style>
  <w:style w:type="paragraph" w:customStyle="1" w:styleId="BulletPoints">
    <w:name w:val="Bullet Points"/>
    <w:basedOn w:val="Normal"/>
    <w:qFormat/>
    <w:rsid w:val="00876B96"/>
    <w:pPr>
      <w:numPr>
        <w:numId w:val="15"/>
      </w:numPr>
      <w:tabs>
        <w:tab w:val="clear" w:pos="567"/>
      </w:tabs>
      <w:spacing w:before="60" w:line="276" w:lineRule="auto"/>
    </w:pPr>
    <w:rPr>
      <w:rFonts w:eastAsia="Calibri" w:cs="Arial"/>
    </w:rPr>
  </w:style>
  <w:style w:type="paragraph" w:customStyle="1" w:styleId="Tableheading">
    <w:name w:val="Table heading"/>
    <w:basedOn w:val="BodyText"/>
    <w:uiPriority w:val="99"/>
    <w:rsid w:val="00643C8E"/>
    <w:pPr>
      <w:tabs>
        <w:tab w:val="clear" w:pos="567"/>
      </w:tabs>
      <w:spacing w:before="160" w:line="240" w:lineRule="auto"/>
      <w:jc w:val="both"/>
    </w:pPr>
    <w:rPr>
      <w:rFonts w:ascii="Work Sans SemiBold" w:eastAsia="Times New Roman" w:hAnsi="Work Sans SemiBold" w:cs="Times New Roman"/>
      <w:szCs w:val="20"/>
      <w:lang w:eastAsia="en-AU"/>
    </w:rPr>
  </w:style>
  <w:style w:type="paragraph" w:customStyle="1" w:styleId="Tablefootnote">
    <w:name w:val="Table footnote"/>
    <w:basedOn w:val="Normal"/>
    <w:next w:val="BodyText"/>
    <w:uiPriority w:val="99"/>
    <w:rsid w:val="00643C8E"/>
    <w:pPr>
      <w:tabs>
        <w:tab w:val="left" w:pos="680"/>
      </w:tabs>
      <w:spacing w:before="40" w:line="240" w:lineRule="auto"/>
      <w:ind w:left="340" w:hanging="227"/>
    </w:pPr>
    <w:rPr>
      <w:sz w:val="14"/>
    </w:rPr>
  </w:style>
  <w:style w:type="paragraph" w:styleId="BodyText">
    <w:name w:val="Body Text"/>
    <w:basedOn w:val="Normal"/>
    <w:link w:val="BodyTextChar"/>
    <w:semiHidden/>
    <w:unhideWhenUsed/>
    <w:rsid w:val="00643C8E"/>
    <w:pPr>
      <w:spacing w:after="120"/>
    </w:pPr>
  </w:style>
  <w:style w:type="character" w:customStyle="1" w:styleId="BodyTextChar">
    <w:name w:val="Body Text Char"/>
    <w:basedOn w:val="DefaultParagraphFont"/>
    <w:link w:val="BodyText"/>
    <w:semiHidden/>
    <w:rsid w:val="00643C8E"/>
    <w:rPr>
      <w:rFonts w:ascii="Work Sans" w:hAnsi="Work Sans"/>
      <w:sz w:val="20"/>
    </w:rPr>
  </w:style>
  <w:style w:type="paragraph" w:customStyle="1" w:styleId="Bullet">
    <w:name w:val="Bullet"/>
    <w:basedOn w:val="Normal"/>
    <w:link w:val="BulletChar"/>
    <w:rsid w:val="00D70757"/>
    <w:pPr>
      <w:numPr>
        <w:numId w:val="16"/>
      </w:numPr>
      <w:tabs>
        <w:tab w:val="clear" w:pos="567"/>
      </w:tabs>
      <w:spacing w:before="0" w:after="160" w:line="259" w:lineRule="auto"/>
    </w:pPr>
    <w:rPr>
      <w:rFonts w:cstheme="minorHAnsi"/>
      <w:szCs w:val="20"/>
      <w14:ligatures w14:val="standardContextual"/>
    </w:rPr>
  </w:style>
  <w:style w:type="character" w:customStyle="1" w:styleId="BulletChar">
    <w:name w:val="Bullet Char"/>
    <w:basedOn w:val="DefaultParagraphFont"/>
    <w:link w:val="Bullet"/>
    <w:rsid w:val="00D70757"/>
    <w:rPr>
      <w:rFonts w:ascii="Work Sans" w:hAnsi="Work Sans" w:cstheme="minorHAnsi"/>
      <w:sz w:val="20"/>
      <w:szCs w:val="20"/>
      <w14:ligatures w14:val="standardContextual"/>
    </w:rPr>
  </w:style>
  <w:style w:type="paragraph" w:customStyle="1" w:styleId="Dash">
    <w:name w:val="Dash"/>
    <w:basedOn w:val="Normal"/>
    <w:link w:val="DashChar"/>
    <w:rsid w:val="00D70757"/>
    <w:pPr>
      <w:numPr>
        <w:ilvl w:val="1"/>
        <w:numId w:val="16"/>
      </w:numPr>
      <w:tabs>
        <w:tab w:val="clear" w:pos="567"/>
      </w:tabs>
      <w:spacing w:before="0" w:after="160" w:line="259" w:lineRule="auto"/>
    </w:pPr>
    <w:rPr>
      <w:rFonts w:cstheme="minorHAnsi"/>
      <w:szCs w:val="20"/>
      <w14:ligatures w14:val="standardContextual"/>
    </w:rPr>
  </w:style>
  <w:style w:type="character" w:customStyle="1" w:styleId="DashChar">
    <w:name w:val="Dash Char"/>
    <w:basedOn w:val="DefaultParagraphFont"/>
    <w:link w:val="Dash"/>
    <w:rsid w:val="00D70757"/>
    <w:rPr>
      <w:rFonts w:ascii="Work Sans" w:hAnsi="Work Sans" w:cstheme="minorHAnsi"/>
      <w:sz w:val="20"/>
      <w:szCs w:val="20"/>
      <w14:ligatures w14:val="standardContextual"/>
    </w:rPr>
  </w:style>
  <w:style w:type="paragraph" w:customStyle="1" w:styleId="DoubleDot">
    <w:name w:val="Double Dot"/>
    <w:basedOn w:val="Normal"/>
    <w:rsid w:val="00D70757"/>
    <w:pPr>
      <w:numPr>
        <w:ilvl w:val="2"/>
        <w:numId w:val="16"/>
      </w:numPr>
      <w:tabs>
        <w:tab w:val="clear" w:pos="567"/>
      </w:tabs>
      <w:spacing w:before="0" w:after="160" w:line="259" w:lineRule="auto"/>
    </w:pPr>
    <w:rPr>
      <w:rFonts w:cstheme="minorHAnsi"/>
      <w:szCs w:val="20"/>
      <w14:ligatures w14:val="standardContextual"/>
    </w:rPr>
  </w:style>
  <w:style w:type="paragraph" w:customStyle="1" w:styleId="text-align-justify">
    <w:name w:val="text-align-justify"/>
    <w:basedOn w:val="Normal"/>
    <w:rsid w:val="003A5BAE"/>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GC2025ParaNumbersChar">
    <w:name w:val="CGC 2025 Para Numbers Char"/>
    <w:basedOn w:val="DefaultParagraphFont"/>
    <w:link w:val="CGC2025ParaNumbers"/>
    <w:rsid w:val="00FB4090"/>
    <w:rPr>
      <w:rFonts w:ascii="Work Sans" w:hAnsi="Work San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7587112">
      <w:bodyDiv w:val="1"/>
      <w:marLeft w:val="0"/>
      <w:marRight w:val="0"/>
      <w:marTop w:val="0"/>
      <w:marBottom w:val="0"/>
      <w:divBdr>
        <w:top w:val="none" w:sz="0" w:space="0" w:color="auto"/>
        <w:left w:val="none" w:sz="0" w:space="0" w:color="auto"/>
        <w:bottom w:val="none" w:sz="0" w:space="0" w:color="auto"/>
        <w:right w:val="none" w:sz="0" w:space="0" w:color="auto"/>
      </w:divBdr>
      <w:divsChild>
        <w:div w:id="94252556">
          <w:marLeft w:val="0"/>
          <w:marRight w:val="0"/>
          <w:marTop w:val="0"/>
          <w:marBottom w:val="0"/>
          <w:divBdr>
            <w:top w:val="none" w:sz="0" w:space="0" w:color="auto"/>
            <w:left w:val="none" w:sz="0" w:space="0" w:color="auto"/>
            <w:bottom w:val="none" w:sz="0" w:space="0" w:color="auto"/>
            <w:right w:val="none" w:sz="0" w:space="0" w:color="auto"/>
          </w:divBdr>
          <w:divsChild>
            <w:div w:id="1119841157">
              <w:marLeft w:val="0"/>
              <w:marRight w:val="0"/>
              <w:marTop w:val="0"/>
              <w:marBottom w:val="0"/>
              <w:divBdr>
                <w:top w:val="none" w:sz="0" w:space="0" w:color="auto"/>
                <w:left w:val="none" w:sz="0" w:space="0" w:color="auto"/>
                <w:bottom w:val="none" w:sz="0" w:space="0" w:color="auto"/>
                <w:right w:val="none" w:sz="0" w:space="0" w:color="auto"/>
              </w:divBdr>
            </w:div>
          </w:divsChild>
        </w:div>
        <w:div w:id="106393017">
          <w:marLeft w:val="0"/>
          <w:marRight w:val="0"/>
          <w:marTop w:val="0"/>
          <w:marBottom w:val="0"/>
          <w:divBdr>
            <w:top w:val="none" w:sz="0" w:space="0" w:color="auto"/>
            <w:left w:val="none" w:sz="0" w:space="0" w:color="auto"/>
            <w:bottom w:val="none" w:sz="0" w:space="0" w:color="auto"/>
            <w:right w:val="none" w:sz="0" w:space="0" w:color="auto"/>
          </w:divBdr>
          <w:divsChild>
            <w:div w:id="1512720462">
              <w:marLeft w:val="0"/>
              <w:marRight w:val="0"/>
              <w:marTop w:val="0"/>
              <w:marBottom w:val="0"/>
              <w:divBdr>
                <w:top w:val="none" w:sz="0" w:space="0" w:color="auto"/>
                <w:left w:val="none" w:sz="0" w:space="0" w:color="auto"/>
                <w:bottom w:val="none" w:sz="0" w:space="0" w:color="auto"/>
                <w:right w:val="none" w:sz="0" w:space="0" w:color="auto"/>
              </w:divBdr>
            </w:div>
          </w:divsChild>
        </w:div>
        <w:div w:id="145779089">
          <w:marLeft w:val="0"/>
          <w:marRight w:val="0"/>
          <w:marTop w:val="0"/>
          <w:marBottom w:val="0"/>
          <w:divBdr>
            <w:top w:val="none" w:sz="0" w:space="0" w:color="auto"/>
            <w:left w:val="none" w:sz="0" w:space="0" w:color="auto"/>
            <w:bottom w:val="none" w:sz="0" w:space="0" w:color="auto"/>
            <w:right w:val="none" w:sz="0" w:space="0" w:color="auto"/>
          </w:divBdr>
          <w:divsChild>
            <w:div w:id="856310589">
              <w:marLeft w:val="0"/>
              <w:marRight w:val="0"/>
              <w:marTop w:val="0"/>
              <w:marBottom w:val="0"/>
              <w:divBdr>
                <w:top w:val="none" w:sz="0" w:space="0" w:color="auto"/>
                <w:left w:val="none" w:sz="0" w:space="0" w:color="auto"/>
                <w:bottom w:val="none" w:sz="0" w:space="0" w:color="auto"/>
                <w:right w:val="none" w:sz="0" w:space="0" w:color="auto"/>
              </w:divBdr>
            </w:div>
          </w:divsChild>
        </w:div>
        <w:div w:id="169028159">
          <w:marLeft w:val="0"/>
          <w:marRight w:val="0"/>
          <w:marTop w:val="0"/>
          <w:marBottom w:val="0"/>
          <w:divBdr>
            <w:top w:val="none" w:sz="0" w:space="0" w:color="auto"/>
            <w:left w:val="none" w:sz="0" w:space="0" w:color="auto"/>
            <w:bottom w:val="none" w:sz="0" w:space="0" w:color="auto"/>
            <w:right w:val="none" w:sz="0" w:space="0" w:color="auto"/>
          </w:divBdr>
          <w:divsChild>
            <w:div w:id="782576406">
              <w:marLeft w:val="0"/>
              <w:marRight w:val="0"/>
              <w:marTop w:val="0"/>
              <w:marBottom w:val="0"/>
              <w:divBdr>
                <w:top w:val="none" w:sz="0" w:space="0" w:color="auto"/>
                <w:left w:val="none" w:sz="0" w:space="0" w:color="auto"/>
                <w:bottom w:val="none" w:sz="0" w:space="0" w:color="auto"/>
                <w:right w:val="none" w:sz="0" w:space="0" w:color="auto"/>
              </w:divBdr>
            </w:div>
          </w:divsChild>
        </w:div>
        <w:div w:id="172913314">
          <w:marLeft w:val="0"/>
          <w:marRight w:val="0"/>
          <w:marTop w:val="0"/>
          <w:marBottom w:val="0"/>
          <w:divBdr>
            <w:top w:val="none" w:sz="0" w:space="0" w:color="auto"/>
            <w:left w:val="none" w:sz="0" w:space="0" w:color="auto"/>
            <w:bottom w:val="none" w:sz="0" w:space="0" w:color="auto"/>
            <w:right w:val="none" w:sz="0" w:space="0" w:color="auto"/>
          </w:divBdr>
          <w:divsChild>
            <w:div w:id="1462462425">
              <w:marLeft w:val="0"/>
              <w:marRight w:val="0"/>
              <w:marTop w:val="0"/>
              <w:marBottom w:val="0"/>
              <w:divBdr>
                <w:top w:val="none" w:sz="0" w:space="0" w:color="auto"/>
                <w:left w:val="none" w:sz="0" w:space="0" w:color="auto"/>
                <w:bottom w:val="none" w:sz="0" w:space="0" w:color="auto"/>
                <w:right w:val="none" w:sz="0" w:space="0" w:color="auto"/>
              </w:divBdr>
            </w:div>
          </w:divsChild>
        </w:div>
        <w:div w:id="178932852">
          <w:marLeft w:val="0"/>
          <w:marRight w:val="0"/>
          <w:marTop w:val="0"/>
          <w:marBottom w:val="0"/>
          <w:divBdr>
            <w:top w:val="none" w:sz="0" w:space="0" w:color="auto"/>
            <w:left w:val="none" w:sz="0" w:space="0" w:color="auto"/>
            <w:bottom w:val="none" w:sz="0" w:space="0" w:color="auto"/>
            <w:right w:val="none" w:sz="0" w:space="0" w:color="auto"/>
          </w:divBdr>
          <w:divsChild>
            <w:div w:id="957875988">
              <w:marLeft w:val="0"/>
              <w:marRight w:val="0"/>
              <w:marTop w:val="0"/>
              <w:marBottom w:val="0"/>
              <w:divBdr>
                <w:top w:val="none" w:sz="0" w:space="0" w:color="auto"/>
                <w:left w:val="none" w:sz="0" w:space="0" w:color="auto"/>
                <w:bottom w:val="none" w:sz="0" w:space="0" w:color="auto"/>
                <w:right w:val="none" w:sz="0" w:space="0" w:color="auto"/>
              </w:divBdr>
            </w:div>
          </w:divsChild>
        </w:div>
        <w:div w:id="226918310">
          <w:marLeft w:val="0"/>
          <w:marRight w:val="0"/>
          <w:marTop w:val="0"/>
          <w:marBottom w:val="0"/>
          <w:divBdr>
            <w:top w:val="none" w:sz="0" w:space="0" w:color="auto"/>
            <w:left w:val="none" w:sz="0" w:space="0" w:color="auto"/>
            <w:bottom w:val="none" w:sz="0" w:space="0" w:color="auto"/>
            <w:right w:val="none" w:sz="0" w:space="0" w:color="auto"/>
          </w:divBdr>
          <w:divsChild>
            <w:div w:id="970744739">
              <w:marLeft w:val="0"/>
              <w:marRight w:val="0"/>
              <w:marTop w:val="0"/>
              <w:marBottom w:val="0"/>
              <w:divBdr>
                <w:top w:val="none" w:sz="0" w:space="0" w:color="auto"/>
                <w:left w:val="none" w:sz="0" w:space="0" w:color="auto"/>
                <w:bottom w:val="none" w:sz="0" w:space="0" w:color="auto"/>
                <w:right w:val="none" w:sz="0" w:space="0" w:color="auto"/>
              </w:divBdr>
            </w:div>
          </w:divsChild>
        </w:div>
        <w:div w:id="228931530">
          <w:marLeft w:val="0"/>
          <w:marRight w:val="0"/>
          <w:marTop w:val="0"/>
          <w:marBottom w:val="0"/>
          <w:divBdr>
            <w:top w:val="none" w:sz="0" w:space="0" w:color="auto"/>
            <w:left w:val="none" w:sz="0" w:space="0" w:color="auto"/>
            <w:bottom w:val="none" w:sz="0" w:space="0" w:color="auto"/>
            <w:right w:val="none" w:sz="0" w:space="0" w:color="auto"/>
          </w:divBdr>
          <w:divsChild>
            <w:div w:id="289677308">
              <w:marLeft w:val="0"/>
              <w:marRight w:val="0"/>
              <w:marTop w:val="0"/>
              <w:marBottom w:val="0"/>
              <w:divBdr>
                <w:top w:val="none" w:sz="0" w:space="0" w:color="auto"/>
                <w:left w:val="none" w:sz="0" w:space="0" w:color="auto"/>
                <w:bottom w:val="none" w:sz="0" w:space="0" w:color="auto"/>
                <w:right w:val="none" w:sz="0" w:space="0" w:color="auto"/>
              </w:divBdr>
            </w:div>
          </w:divsChild>
        </w:div>
        <w:div w:id="269819080">
          <w:marLeft w:val="0"/>
          <w:marRight w:val="0"/>
          <w:marTop w:val="0"/>
          <w:marBottom w:val="0"/>
          <w:divBdr>
            <w:top w:val="none" w:sz="0" w:space="0" w:color="auto"/>
            <w:left w:val="none" w:sz="0" w:space="0" w:color="auto"/>
            <w:bottom w:val="none" w:sz="0" w:space="0" w:color="auto"/>
            <w:right w:val="none" w:sz="0" w:space="0" w:color="auto"/>
          </w:divBdr>
          <w:divsChild>
            <w:div w:id="1367297490">
              <w:marLeft w:val="0"/>
              <w:marRight w:val="0"/>
              <w:marTop w:val="0"/>
              <w:marBottom w:val="0"/>
              <w:divBdr>
                <w:top w:val="none" w:sz="0" w:space="0" w:color="auto"/>
                <w:left w:val="none" w:sz="0" w:space="0" w:color="auto"/>
                <w:bottom w:val="none" w:sz="0" w:space="0" w:color="auto"/>
                <w:right w:val="none" w:sz="0" w:space="0" w:color="auto"/>
              </w:divBdr>
            </w:div>
          </w:divsChild>
        </w:div>
        <w:div w:id="290939974">
          <w:marLeft w:val="0"/>
          <w:marRight w:val="0"/>
          <w:marTop w:val="0"/>
          <w:marBottom w:val="0"/>
          <w:divBdr>
            <w:top w:val="none" w:sz="0" w:space="0" w:color="auto"/>
            <w:left w:val="none" w:sz="0" w:space="0" w:color="auto"/>
            <w:bottom w:val="none" w:sz="0" w:space="0" w:color="auto"/>
            <w:right w:val="none" w:sz="0" w:space="0" w:color="auto"/>
          </w:divBdr>
          <w:divsChild>
            <w:div w:id="1546864789">
              <w:marLeft w:val="0"/>
              <w:marRight w:val="0"/>
              <w:marTop w:val="0"/>
              <w:marBottom w:val="0"/>
              <w:divBdr>
                <w:top w:val="none" w:sz="0" w:space="0" w:color="auto"/>
                <w:left w:val="none" w:sz="0" w:space="0" w:color="auto"/>
                <w:bottom w:val="none" w:sz="0" w:space="0" w:color="auto"/>
                <w:right w:val="none" w:sz="0" w:space="0" w:color="auto"/>
              </w:divBdr>
            </w:div>
          </w:divsChild>
        </w:div>
        <w:div w:id="364449133">
          <w:marLeft w:val="0"/>
          <w:marRight w:val="0"/>
          <w:marTop w:val="0"/>
          <w:marBottom w:val="0"/>
          <w:divBdr>
            <w:top w:val="none" w:sz="0" w:space="0" w:color="auto"/>
            <w:left w:val="none" w:sz="0" w:space="0" w:color="auto"/>
            <w:bottom w:val="none" w:sz="0" w:space="0" w:color="auto"/>
            <w:right w:val="none" w:sz="0" w:space="0" w:color="auto"/>
          </w:divBdr>
          <w:divsChild>
            <w:div w:id="731580734">
              <w:marLeft w:val="0"/>
              <w:marRight w:val="0"/>
              <w:marTop w:val="0"/>
              <w:marBottom w:val="0"/>
              <w:divBdr>
                <w:top w:val="none" w:sz="0" w:space="0" w:color="auto"/>
                <w:left w:val="none" w:sz="0" w:space="0" w:color="auto"/>
                <w:bottom w:val="none" w:sz="0" w:space="0" w:color="auto"/>
                <w:right w:val="none" w:sz="0" w:space="0" w:color="auto"/>
              </w:divBdr>
            </w:div>
          </w:divsChild>
        </w:div>
        <w:div w:id="405810741">
          <w:marLeft w:val="0"/>
          <w:marRight w:val="0"/>
          <w:marTop w:val="0"/>
          <w:marBottom w:val="0"/>
          <w:divBdr>
            <w:top w:val="none" w:sz="0" w:space="0" w:color="auto"/>
            <w:left w:val="none" w:sz="0" w:space="0" w:color="auto"/>
            <w:bottom w:val="none" w:sz="0" w:space="0" w:color="auto"/>
            <w:right w:val="none" w:sz="0" w:space="0" w:color="auto"/>
          </w:divBdr>
          <w:divsChild>
            <w:div w:id="193619365">
              <w:marLeft w:val="0"/>
              <w:marRight w:val="0"/>
              <w:marTop w:val="0"/>
              <w:marBottom w:val="0"/>
              <w:divBdr>
                <w:top w:val="none" w:sz="0" w:space="0" w:color="auto"/>
                <w:left w:val="none" w:sz="0" w:space="0" w:color="auto"/>
                <w:bottom w:val="none" w:sz="0" w:space="0" w:color="auto"/>
                <w:right w:val="none" w:sz="0" w:space="0" w:color="auto"/>
              </w:divBdr>
            </w:div>
          </w:divsChild>
        </w:div>
        <w:div w:id="406147435">
          <w:marLeft w:val="0"/>
          <w:marRight w:val="0"/>
          <w:marTop w:val="0"/>
          <w:marBottom w:val="0"/>
          <w:divBdr>
            <w:top w:val="none" w:sz="0" w:space="0" w:color="auto"/>
            <w:left w:val="none" w:sz="0" w:space="0" w:color="auto"/>
            <w:bottom w:val="none" w:sz="0" w:space="0" w:color="auto"/>
            <w:right w:val="none" w:sz="0" w:space="0" w:color="auto"/>
          </w:divBdr>
          <w:divsChild>
            <w:div w:id="374893920">
              <w:marLeft w:val="0"/>
              <w:marRight w:val="0"/>
              <w:marTop w:val="0"/>
              <w:marBottom w:val="0"/>
              <w:divBdr>
                <w:top w:val="none" w:sz="0" w:space="0" w:color="auto"/>
                <w:left w:val="none" w:sz="0" w:space="0" w:color="auto"/>
                <w:bottom w:val="none" w:sz="0" w:space="0" w:color="auto"/>
                <w:right w:val="none" w:sz="0" w:space="0" w:color="auto"/>
              </w:divBdr>
            </w:div>
          </w:divsChild>
        </w:div>
        <w:div w:id="430398218">
          <w:marLeft w:val="0"/>
          <w:marRight w:val="0"/>
          <w:marTop w:val="0"/>
          <w:marBottom w:val="0"/>
          <w:divBdr>
            <w:top w:val="none" w:sz="0" w:space="0" w:color="auto"/>
            <w:left w:val="none" w:sz="0" w:space="0" w:color="auto"/>
            <w:bottom w:val="none" w:sz="0" w:space="0" w:color="auto"/>
            <w:right w:val="none" w:sz="0" w:space="0" w:color="auto"/>
          </w:divBdr>
          <w:divsChild>
            <w:div w:id="703405776">
              <w:marLeft w:val="0"/>
              <w:marRight w:val="0"/>
              <w:marTop w:val="0"/>
              <w:marBottom w:val="0"/>
              <w:divBdr>
                <w:top w:val="none" w:sz="0" w:space="0" w:color="auto"/>
                <w:left w:val="none" w:sz="0" w:space="0" w:color="auto"/>
                <w:bottom w:val="none" w:sz="0" w:space="0" w:color="auto"/>
                <w:right w:val="none" w:sz="0" w:space="0" w:color="auto"/>
              </w:divBdr>
            </w:div>
          </w:divsChild>
        </w:div>
        <w:div w:id="440295778">
          <w:marLeft w:val="0"/>
          <w:marRight w:val="0"/>
          <w:marTop w:val="0"/>
          <w:marBottom w:val="0"/>
          <w:divBdr>
            <w:top w:val="none" w:sz="0" w:space="0" w:color="auto"/>
            <w:left w:val="none" w:sz="0" w:space="0" w:color="auto"/>
            <w:bottom w:val="none" w:sz="0" w:space="0" w:color="auto"/>
            <w:right w:val="none" w:sz="0" w:space="0" w:color="auto"/>
          </w:divBdr>
          <w:divsChild>
            <w:div w:id="770003831">
              <w:marLeft w:val="0"/>
              <w:marRight w:val="0"/>
              <w:marTop w:val="0"/>
              <w:marBottom w:val="0"/>
              <w:divBdr>
                <w:top w:val="none" w:sz="0" w:space="0" w:color="auto"/>
                <w:left w:val="none" w:sz="0" w:space="0" w:color="auto"/>
                <w:bottom w:val="none" w:sz="0" w:space="0" w:color="auto"/>
                <w:right w:val="none" w:sz="0" w:space="0" w:color="auto"/>
              </w:divBdr>
            </w:div>
          </w:divsChild>
        </w:div>
        <w:div w:id="452023911">
          <w:marLeft w:val="0"/>
          <w:marRight w:val="0"/>
          <w:marTop w:val="0"/>
          <w:marBottom w:val="0"/>
          <w:divBdr>
            <w:top w:val="none" w:sz="0" w:space="0" w:color="auto"/>
            <w:left w:val="none" w:sz="0" w:space="0" w:color="auto"/>
            <w:bottom w:val="none" w:sz="0" w:space="0" w:color="auto"/>
            <w:right w:val="none" w:sz="0" w:space="0" w:color="auto"/>
          </w:divBdr>
          <w:divsChild>
            <w:div w:id="209533483">
              <w:marLeft w:val="0"/>
              <w:marRight w:val="0"/>
              <w:marTop w:val="0"/>
              <w:marBottom w:val="0"/>
              <w:divBdr>
                <w:top w:val="none" w:sz="0" w:space="0" w:color="auto"/>
                <w:left w:val="none" w:sz="0" w:space="0" w:color="auto"/>
                <w:bottom w:val="none" w:sz="0" w:space="0" w:color="auto"/>
                <w:right w:val="none" w:sz="0" w:space="0" w:color="auto"/>
              </w:divBdr>
            </w:div>
          </w:divsChild>
        </w:div>
        <w:div w:id="457575565">
          <w:marLeft w:val="0"/>
          <w:marRight w:val="0"/>
          <w:marTop w:val="0"/>
          <w:marBottom w:val="0"/>
          <w:divBdr>
            <w:top w:val="none" w:sz="0" w:space="0" w:color="auto"/>
            <w:left w:val="none" w:sz="0" w:space="0" w:color="auto"/>
            <w:bottom w:val="none" w:sz="0" w:space="0" w:color="auto"/>
            <w:right w:val="none" w:sz="0" w:space="0" w:color="auto"/>
          </w:divBdr>
          <w:divsChild>
            <w:div w:id="490873689">
              <w:marLeft w:val="0"/>
              <w:marRight w:val="0"/>
              <w:marTop w:val="0"/>
              <w:marBottom w:val="0"/>
              <w:divBdr>
                <w:top w:val="none" w:sz="0" w:space="0" w:color="auto"/>
                <w:left w:val="none" w:sz="0" w:space="0" w:color="auto"/>
                <w:bottom w:val="none" w:sz="0" w:space="0" w:color="auto"/>
                <w:right w:val="none" w:sz="0" w:space="0" w:color="auto"/>
              </w:divBdr>
            </w:div>
          </w:divsChild>
        </w:div>
        <w:div w:id="520553130">
          <w:marLeft w:val="0"/>
          <w:marRight w:val="0"/>
          <w:marTop w:val="0"/>
          <w:marBottom w:val="0"/>
          <w:divBdr>
            <w:top w:val="none" w:sz="0" w:space="0" w:color="auto"/>
            <w:left w:val="none" w:sz="0" w:space="0" w:color="auto"/>
            <w:bottom w:val="none" w:sz="0" w:space="0" w:color="auto"/>
            <w:right w:val="none" w:sz="0" w:space="0" w:color="auto"/>
          </w:divBdr>
          <w:divsChild>
            <w:div w:id="742215029">
              <w:marLeft w:val="0"/>
              <w:marRight w:val="0"/>
              <w:marTop w:val="0"/>
              <w:marBottom w:val="0"/>
              <w:divBdr>
                <w:top w:val="none" w:sz="0" w:space="0" w:color="auto"/>
                <w:left w:val="none" w:sz="0" w:space="0" w:color="auto"/>
                <w:bottom w:val="none" w:sz="0" w:space="0" w:color="auto"/>
                <w:right w:val="none" w:sz="0" w:space="0" w:color="auto"/>
              </w:divBdr>
            </w:div>
          </w:divsChild>
        </w:div>
        <w:div w:id="526260187">
          <w:marLeft w:val="0"/>
          <w:marRight w:val="0"/>
          <w:marTop w:val="0"/>
          <w:marBottom w:val="0"/>
          <w:divBdr>
            <w:top w:val="none" w:sz="0" w:space="0" w:color="auto"/>
            <w:left w:val="none" w:sz="0" w:space="0" w:color="auto"/>
            <w:bottom w:val="none" w:sz="0" w:space="0" w:color="auto"/>
            <w:right w:val="none" w:sz="0" w:space="0" w:color="auto"/>
          </w:divBdr>
          <w:divsChild>
            <w:div w:id="834492980">
              <w:marLeft w:val="0"/>
              <w:marRight w:val="0"/>
              <w:marTop w:val="0"/>
              <w:marBottom w:val="0"/>
              <w:divBdr>
                <w:top w:val="none" w:sz="0" w:space="0" w:color="auto"/>
                <w:left w:val="none" w:sz="0" w:space="0" w:color="auto"/>
                <w:bottom w:val="none" w:sz="0" w:space="0" w:color="auto"/>
                <w:right w:val="none" w:sz="0" w:space="0" w:color="auto"/>
              </w:divBdr>
            </w:div>
          </w:divsChild>
        </w:div>
        <w:div w:id="536629018">
          <w:marLeft w:val="0"/>
          <w:marRight w:val="0"/>
          <w:marTop w:val="0"/>
          <w:marBottom w:val="0"/>
          <w:divBdr>
            <w:top w:val="none" w:sz="0" w:space="0" w:color="auto"/>
            <w:left w:val="none" w:sz="0" w:space="0" w:color="auto"/>
            <w:bottom w:val="none" w:sz="0" w:space="0" w:color="auto"/>
            <w:right w:val="none" w:sz="0" w:space="0" w:color="auto"/>
          </w:divBdr>
          <w:divsChild>
            <w:div w:id="2069766744">
              <w:marLeft w:val="0"/>
              <w:marRight w:val="0"/>
              <w:marTop w:val="0"/>
              <w:marBottom w:val="0"/>
              <w:divBdr>
                <w:top w:val="none" w:sz="0" w:space="0" w:color="auto"/>
                <w:left w:val="none" w:sz="0" w:space="0" w:color="auto"/>
                <w:bottom w:val="none" w:sz="0" w:space="0" w:color="auto"/>
                <w:right w:val="none" w:sz="0" w:space="0" w:color="auto"/>
              </w:divBdr>
            </w:div>
          </w:divsChild>
        </w:div>
        <w:div w:id="556165749">
          <w:marLeft w:val="0"/>
          <w:marRight w:val="0"/>
          <w:marTop w:val="0"/>
          <w:marBottom w:val="0"/>
          <w:divBdr>
            <w:top w:val="none" w:sz="0" w:space="0" w:color="auto"/>
            <w:left w:val="none" w:sz="0" w:space="0" w:color="auto"/>
            <w:bottom w:val="none" w:sz="0" w:space="0" w:color="auto"/>
            <w:right w:val="none" w:sz="0" w:space="0" w:color="auto"/>
          </w:divBdr>
          <w:divsChild>
            <w:div w:id="412580917">
              <w:marLeft w:val="0"/>
              <w:marRight w:val="0"/>
              <w:marTop w:val="0"/>
              <w:marBottom w:val="0"/>
              <w:divBdr>
                <w:top w:val="none" w:sz="0" w:space="0" w:color="auto"/>
                <w:left w:val="none" w:sz="0" w:space="0" w:color="auto"/>
                <w:bottom w:val="none" w:sz="0" w:space="0" w:color="auto"/>
                <w:right w:val="none" w:sz="0" w:space="0" w:color="auto"/>
              </w:divBdr>
            </w:div>
          </w:divsChild>
        </w:div>
        <w:div w:id="600647661">
          <w:marLeft w:val="0"/>
          <w:marRight w:val="0"/>
          <w:marTop w:val="0"/>
          <w:marBottom w:val="0"/>
          <w:divBdr>
            <w:top w:val="none" w:sz="0" w:space="0" w:color="auto"/>
            <w:left w:val="none" w:sz="0" w:space="0" w:color="auto"/>
            <w:bottom w:val="none" w:sz="0" w:space="0" w:color="auto"/>
            <w:right w:val="none" w:sz="0" w:space="0" w:color="auto"/>
          </w:divBdr>
          <w:divsChild>
            <w:div w:id="784885181">
              <w:marLeft w:val="0"/>
              <w:marRight w:val="0"/>
              <w:marTop w:val="0"/>
              <w:marBottom w:val="0"/>
              <w:divBdr>
                <w:top w:val="none" w:sz="0" w:space="0" w:color="auto"/>
                <w:left w:val="none" w:sz="0" w:space="0" w:color="auto"/>
                <w:bottom w:val="none" w:sz="0" w:space="0" w:color="auto"/>
                <w:right w:val="none" w:sz="0" w:space="0" w:color="auto"/>
              </w:divBdr>
            </w:div>
          </w:divsChild>
        </w:div>
        <w:div w:id="607855404">
          <w:marLeft w:val="0"/>
          <w:marRight w:val="0"/>
          <w:marTop w:val="0"/>
          <w:marBottom w:val="0"/>
          <w:divBdr>
            <w:top w:val="none" w:sz="0" w:space="0" w:color="auto"/>
            <w:left w:val="none" w:sz="0" w:space="0" w:color="auto"/>
            <w:bottom w:val="none" w:sz="0" w:space="0" w:color="auto"/>
            <w:right w:val="none" w:sz="0" w:space="0" w:color="auto"/>
          </w:divBdr>
          <w:divsChild>
            <w:div w:id="1803696763">
              <w:marLeft w:val="0"/>
              <w:marRight w:val="0"/>
              <w:marTop w:val="0"/>
              <w:marBottom w:val="0"/>
              <w:divBdr>
                <w:top w:val="none" w:sz="0" w:space="0" w:color="auto"/>
                <w:left w:val="none" w:sz="0" w:space="0" w:color="auto"/>
                <w:bottom w:val="none" w:sz="0" w:space="0" w:color="auto"/>
                <w:right w:val="none" w:sz="0" w:space="0" w:color="auto"/>
              </w:divBdr>
            </w:div>
          </w:divsChild>
        </w:div>
        <w:div w:id="654802186">
          <w:marLeft w:val="0"/>
          <w:marRight w:val="0"/>
          <w:marTop w:val="0"/>
          <w:marBottom w:val="0"/>
          <w:divBdr>
            <w:top w:val="none" w:sz="0" w:space="0" w:color="auto"/>
            <w:left w:val="none" w:sz="0" w:space="0" w:color="auto"/>
            <w:bottom w:val="none" w:sz="0" w:space="0" w:color="auto"/>
            <w:right w:val="none" w:sz="0" w:space="0" w:color="auto"/>
          </w:divBdr>
          <w:divsChild>
            <w:div w:id="203755122">
              <w:marLeft w:val="0"/>
              <w:marRight w:val="0"/>
              <w:marTop w:val="0"/>
              <w:marBottom w:val="0"/>
              <w:divBdr>
                <w:top w:val="none" w:sz="0" w:space="0" w:color="auto"/>
                <w:left w:val="none" w:sz="0" w:space="0" w:color="auto"/>
                <w:bottom w:val="none" w:sz="0" w:space="0" w:color="auto"/>
                <w:right w:val="none" w:sz="0" w:space="0" w:color="auto"/>
              </w:divBdr>
            </w:div>
          </w:divsChild>
        </w:div>
        <w:div w:id="675040604">
          <w:marLeft w:val="0"/>
          <w:marRight w:val="0"/>
          <w:marTop w:val="0"/>
          <w:marBottom w:val="0"/>
          <w:divBdr>
            <w:top w:val="none" w:sz="0" w:space="0" w:color="auto"/>
            <w:left w:val="none" w:sz="0" w:space="0" w:color="auto"/>
            <w:bottom w:val="none" w:sz="0" w:space="0" w:color="auto"/>
            <w:right w:val="none" w:sz="0" w:space="0" w:color="auto"/>
          </w:divBdr>
          <w:divsChild>
            <w:div w:id="1592351528">
              <w:marLeft w:val="0"/>
              <w:marRight w:val="0"/>
              <w:marTop w:val="0"/>
              <w:marBottom w:val="0"/>
              <w:divBdr>
                <w:top w:val="none" w:sz="0" w:space="0" w:color="auto"/>
                <w:left w:val="none" w:sz="0" w:space="0" w:color="auto"/>
                <w:bottom w:val="none" w:sz="0" w:space="0" w:color="auto"/>
                <w:right w:val="none" w:sz="0" w:space="0" w:color="auto"/>
              </w:divBdr>
            </w:div>
          </w:divsChild>
        </w:div>
        <w:div w:id="710419029">
          <w:marLeft w:val="0"/>
          <w:marRight w:val="0"/>
          <w:marTop w:val="0"/>
          <w:marBottom w:val="0"/>
          <w:divBdr>
            <w:top w:val="none" w:sz="0" w:space="0" w:color="auto"/>
            <w:left w:val="none" w:sz="0" w:space="0" w:color="auto"/>
            <w:bottom w:val="none" w:sz="0" w:space="0" w:color="auto"/>
            <w:right w:val="none" w:sz="0" w:space="0" w:color="auto"/>
          </w:divBdr>
          <w:divsChild>
            <w:div w:id="932015276">
              <w:marLeft w:val="0"/>
              <w:marRight w:val="0"/>
              <w:marTop w:val="0"/>
              <w:marBottom w:val="0"/>
              <w:divBdr>
                <w:top w:val="none" w:sz="0" w:space="0" w:color="auto"/>
                <w:left w:val="none" w:sz="0" w:space="0" w:color="auto"/>
                <w:bottom w:val="none" w:sz="0" w:space="0" w:color="auto"/>
                <w:right w:val="none" w:sz="0" w:space="0" w:color="auto"/>
              </w:divBdr>
            </w:div>
          </w:divsChild>
        </w:div>
        <w:div w:id="778836876">
          <w:marLeft w:val="0"/>
          <w:marRight w:val="0"/>
          <w:marTop w:val="0"/>
          <w:marBottom w:val="0"/>
          <w:divBdr>
            <w:top w:val="none" w:sz="0" w:space="0" w:color="auto"/>
            <w:left w:val="none" w:sz="0" w:space="0" w:color="auto"/>
            <w:bottom w:val="none" w:sz="0" w:space="0" w:color="auto"/>
            <w:right w:val="none" w:sz="0" w:space="0" w:color="auto"/>
          </w:divBdr>
          <w:divsChild>
            <w:div w:id="1022827933">
              <w:marLeft w:val="0"/>
              <w:marRight w:val="0"/>
              <w:marTop w:val="0"/>
              <w:marBottom w:val="0"/>
              <w:divBdr>
                <w:top w:val="none" w:sz="0" w:space="0" w:color="auto"/>
                <w:left w:val="none" w:sz="0" w:space="0" w:color="auto"/>
                <w:bottom w:val="none" w:sz="0" w:space="0" w:color="auto"/>
                <w:right w:val="none" w:sz="0" w:space="0" w:color="auto"/>
              </w:divBdr>
            </w:div>
          </w:divsChild>
        </w:div>
        <w:div w:id="785008367">
          <w:marLeft w:val="0"/>
          <w:marRight w:val="0"/>
          <w:marTop w:val="0"/>
          <w:marBottom w:val="0"/>
          <w:divBdr>
            <w:top w:val="none" w:sz="0" w:space="0" w:color="auto"/>
            <w:left w:val="none" w:sz="0" w:space="0" w:color="auto"/>
            <w:bottom w:val="none" w:sz="0" w:space="0" w:color="auto"/>
            <w:right w:val="none" w:sz="0" w:space="0" w:color="auto"/>
          </w:divBdr>
          <w:divsChild>
            <w:div w:id="1390424035">
              <w:marLeft w:val="0"/>
              <w:marRight w:val="0"/>
              <w:marTop w:val="0"/>
              <w:marBottom w:val="0"/>
              <w:divBdr>
                <w:top w:val="none" w:sz="0" w:space="0" w:color="auto"/>
                <w:left w:val="none" w:sz="0" w:space="0" w:color="auto"/>
                <w:bottom w:val="none" w:sz="0" w:space="0" w:color="auto"/>
                <w:right w:val="none" w:sz="0" w:space="0" w:color="auto"/>
              </w:divBdr>
            </w:div>
          </w:divsChild>
        </w:div>
        <w:div w:id="806046361">
          <w:marLeft w:val="0"/>
          <w:marRight w:val="0"/>
          <w:marTop w:val="0"/>
          <w:marBottom w:val="0"/>
          <w:divBdr>
            <w:top w:val="none" w:sz="0" w:space="0" w:color="auto"/>
            <w:left w:val="none" w:sz="0" w:space="0" w:color="auto"/>
            <w:bottom w:val="none" w:sz="0" w:space="0" w:color="auto"/>
            <w:right w:val="none" w:sz="0" w:space="0" w:color="auto"/>
          </w:divBdr>
          <w:divsChild>
            <w:div w:id="2029216369">
              <w:marLeft w:val="0"/>
              <w:marRight w:val="0"/>
              <w:marTop w:val="0"/>
              <w:marBottom w:val="0"/>
              <w:divBdr>
                <w:top w:val="none" w:sz="0" w:space="0" w:color="auto"/>
                <w:left w:val="none" w:sz="0" w:space="0" w:color="auto"/>
                <w:bottom w:val="none" w:sz="0" w:space="0" w:color="auto"/>
                <w:right w:val="none" w:sz="0" w:space="0" w:color="auto"/>
              </w:divBdr>
            </w:div>
          </w:divsChild>
        </w:div>
        <w:div w:id="813915590">
          <w:marLeft w:val="0"/>
          <w:marRight w:val="0"/>
          <w:marTop w:val="0"/>
          <w:marBottom w:val="0"/>
          <w:divBdr>
            <w:top w:val="none" w:sz="0" w:space="0" w:color="auto"/>
            <w:left w:val="none" w:sz="0" w:space="0" w:color="auto"/>
            <w:bottom w:val="none" w:sz="0" w:space="0" w:color="auto"/>
            <w:right w:val="none" w:sz="0" w:space="0" w:color="auto"/>
          </w:divBdr>
          <w:divsChild>
            <w:div w:id="419521821">
              <w:marLeft w:val="0"/>
              <w:marRight w:val="0"/>
              <w:marTop w:val="0"/>
              <w:marBottom w:val="0"/>
              <w:divBdr>
                <w:top w:val="none" w:sz="0" w:space="0" w:color="auto"/>
                <w:left w:val="none" w:sz="0" w:space="0" w:color="auto"/>
                <w:bottom w:val="none" w:sz="0" w:space="0" w:color="auto"/>
                <w:right w:val="none" w:sz="0" w:space="0" w:color="auto"/>
              </w:divBdr>
            </w:div>
          </w:divsChild>
        </w:div>
        <w:div w:id="841746107">
          <w:marLeft w:val="0"/>
          <w:marRight w:val="0"/>
          <w:marTop w:val="0"/>
          <w:marBottom w:val="0"/>
          <w:divBdr>
            <w:top w:val="none" w:sz="0" w:space="0" w:color="auto"/>
            <w:left w:val="none" w:sz="0" w:space="0" w:color="auto"/>
            <w:bottom w:val="none" w:sz="0" w:space="0" w:color="auto"/>
            <w:right w:val="none" w:sz="0" w:space="0" w:color="auto"/>
          </w:divBdr>
          <w:divsChild>
            <w:div w:id="1406493878">
              <w:marLeft w:val="0"/>
              <w:marRight w:val="0"/>
              <w:marTop w:val="0"/>
              <w:marBottom w:val="0"/>
              <w:divBdr>
                <w:top w:val="none" w:sz="0" w:space="0" w:color="auto"/>
                <w:left w:val="none" w:sz="0" w:space="0" w:color="auto"/>
                <w:bottom w:val="none" w:sz="0" w:space="0" w:color="auto"/>
                <w:right w:val="none" w:sz="0" w:space="0" w:color="auto"/>
              </w:divBdr>
            </w:div>
          </w:divsChild>
        </w:div>
        <w:div w:id="854610473">
          <w:marLeft w:val="0"/>
          <w:marRight w:val="0"/>
          <w:marTop w:val="0"/>
          <w:marBottom w:val="0"/>
          <w:divBdr>
            <w:top w:val="none" w:sz="0" w:space="0" w:color="auto"/>
            <w:left w:val="none" w:sz="0" w:space="0" w:color="auto"/>
            <w:bottom w:val="none" w:sz="0" w:space="0" w:color="auto"/>
            <w:right w:val="none" w:sz="0" w:space="0" w:color="auto"/>
          </w:divBdr>
          <w:divsChild>
            <w:div w:id="1191841170">
              <w:marLeft w:val="0"/>
              <w:marRight w:val="0"/>
              <w:marTop w:val="0"/>
              <w:marBottom w:val="0"/>
              <w:divBdr>
                <w:top w:val="none" w:sz="0" w:space="0" w:color="auto"/>
                <w:left w:val="none" w:sz="0" w:space="0" w:color="auto"/>
                <w:bottom w:val="none" w:sz="0" w:space="0" w:color="auto"/>
                <w:right w:val="none" w:sz="0" w:space="0" w:color="auto"/>
              </w:divBdr>
            </w:div>
          </w:divsChild>
        </w:div>
        <w:div w:id="912929981">
          <w:marLeft w:val="0"/>
          <w:marRight w:val="0"/>
          <w:marTop w:val="0"/>
          <w:marBottom w:val="0"/>
          <w:divBdr>
            <w:top w:val="none" w:sz="0" w:space="0" w:color="auto"/>
            <w:left w:val="none" w:sz="0" w:space="0" w:color="auto"/>
            <w:bottom w:val="none" w:sz="0" w:space="0" w:color="auto"/>
            <w:right w:val="none" w:sz="0" w:space="0" w:color="auto"/>
          </w:divBdr>
          <w:divsChild>
            <w:div w:id="1280835769">
              <w:marLeft w:val="0"/>
              <w:marRight w:val="0"/>
              <w:marTop w:val="0"/>
              <w:marBottom w:val="0"/>
              <w:divBdr>
                <w:top w:val="none" w:sz="0" w:space="0" w:color="auto"/>
                <w:left w:val="none" w:sz="0" w:space="0" w:color="auto"/>
                <w:bottom w:val="none" w:sz="0" w:space="0" w:color="auto"/>
                <w:right w:val="none" w:sz="0" w:space="0" w:color="auto"/>
              </w:divBdr>
            </w:div>
          </w:divsChild>
        </w:div>
        <w:div w:id="924653940">
          <w:marLeft w:val="0"/>
          <w:marRight w:val="0"/>
          <w:marTop w:val="0"/>
          <w:marBottom w:val="0"/>
          <w:divBdr>
            <w:top w:val="none" w:sz="0" w:space="0" w:color="auto"/>
            <w:left w:val="none" w:sz="0" w:space="0" w:color="auto"/>
            <w:bottom w:val="none" w:sz="0" w:space="0" w:color="auto"/>
            <w:right w:val="none" w:sz="0" w:space="0" w:color="auto"/>
          </w:divBdr>
          <w:divsChild>
            <w:div w:id="569270133">
              <w:marLeft w:val="0"/>
              <w:marRight w:val="0"/>
              <w:marTop w:val="0"/>
              <w:marBottom w:val="0"/>
              <w:divBdr>
                <w:top w:val="none" w:sz="0" w:space="0" w:color="auto"/>
                <w:left w:val="none" w:sz="0" w:space="0" w:color="auto"/>
                <w:bottom w:val="none" w:sz="0" w:space="0" w:color="auto"/>
                <w:right w:val="none" w:sz="0" w:space="0" w:color="auto"/>
              </w:divBdr>
            </w:div>
          </w:divsChild>
        </w:div>
        <w:div w:id="945963677">
          <w:marLeft w:val="0"/>
          <w:marRight w:val="0"/>
          <w:marTop w:val="0"/>
          <w:marBottom w:val="0"/>
          <w:divBdr>
            <w:top w:val="none" w:sz="0" w:space="0" w:color="auto"/>
            <w:left w:val="none" w:sz="0" w:space="0" w:color="auto"/>
            <w:bottom w:val="none" w:sz="0" w:space="0" w:color="auto"/>
            <w:right w:val="none" w:sz="0" w:space="0" w:color="auto"/>
          </w:divBdr>
          <w:divsChild>
            <w:div w:id="1773548866">
              <w:marLeft w:val="0"/>
              <w:marRight w:val="0"/>
              <w:marTop w:val="0"/>
              <w:marBottom w:val="0"/>
              <w:divBdr>
                <w:top w:val="none" w:sz="0" w:space="0" w:color="auto"/>
                <w:left w:val="none" w:sz="0" w:space="0" w:color="auto"/>
                <w:bottom w:val="none" w:sz="0" w:space="0" w:color="auto"/>
                <w:right w:val="none" w:sz="0" w:space="0" w:color="auto"/>
              </w:divBdr>
            </w:div>
          </w:divsChild>
        </w:div>
        <w:div w:id="955990235">
          <w:marLeft w:val="0"/>
          <w:marRight w:val="0"/>
          <w:marTop w:val="0"/>
          <w:marBottom w:val="0"/>
          <w:divBdr>
            <w:top w:val="none" w:sz="0" w:space="0" w:color="auto"/>
            <w:left w:val="none" w:sz="0" w:space="0" w:color="auto"/>
            <w:bottom w:val="none" w:sz="0" w:space="0" w:color="auto"/>
            <w:right w:val="none" w:sz="0" w:space="0" w:color="auto"/>
          </w:divBdr>
          <w:divsChild>
            <w:div w:id="968240453">
              <w:marLeft w:val="0"/>
              <w:marRight w:val="0"/>
              <w:marTop w:val="0"/>
              <w:marBottom w:val="0"/>
              <w:divBdr>
                <w:top w:val="none" w:sz="0" w:space="0" w:color="auto"/>
                <w:left w:val="none" w:sz="0" w:space="0" w:color="auto"/>
                <w:bottom w:val="none" w:sz="0" w:space="0" w:color="auto"/>
                <w:right w:val="none" w:sz="0" w:space="0" w:color="auto"/>
              </w:divBdr>
            </w:div>
          </w:divsChild>
        </w:div>
        <w:div w:id="975571408">
          <w:marLeft w:val="0"/>
          <w:marRight w:val="0"/>
          <w:marTop w:val="0"/>
          <w:marBottom w:val="0"/>
          <w:divBdr>
            <w:top w:val="none" w:sz="0" w:space="0" w:color="auto"/>
            <w:left w:val="none" w:sz="0" w:space="0" w:color="auto"/>
            <w:bottom w:val="none" w:sz="0" w:space="0" w:color="auto"/>
            <w:right w:val="none" w:sz="0" w:space="0" w:color="auto"/>
          </w:divBdr>
          <w:divsChild>
            <w:div w:id="678889988">
              <w:marLeft w:val="0"/>
              <w:marRight w:val="0"/>
              <w:marTop w:val="0"/>
              <w:marBottom w:val="0"/>
              <w:divBdr>
                <w:top w:val="none" w:sz="0" w:space="0" w:color="auto"/>
                <w:left w:val="none" w:sz="0" w:space="0" w:color="auto"/>
                <w:bottom w:val="none" w:sz="0" w:space="0" w:color="auto"/>
                <w:right w:val="none" w:sz="0" w:space="0" w:color="auto"/>
              </w:divBdr>
            </w:div>
          </w:divsChild>
        </w:div>
        <w:div w:id="1025987759">
          <w:marLeft w:val="0"/>
          <w:marRight w:val="0"/>
          <w:marTop w:val="0"/>
          <w:marBottom w:val="0"/>
          <w:divBdr>
            <w:top w:val="none" w:sz="0" w:space="0" w:color="auto"/>
            <w:left w:val="none" w:sz="0" w:space="0" w:color="auto"/>
            <w:bottom w:val="none" w:sz="0" w:space="0" w:color="auto"/>
            <w:right w:val="none" w:sz="0" w:space="0" w:color="auto"/>
          </w:divBdr>
          <w:divsChild>
            <w:div w:id="1075859039">
              <w:marLeft w:val="0"/>
              <w:marRight w:val="0"/>
              <w:marTop w:val="0"/>
              <w:marBottom w:val="0"/>
              <w:divBdr>
                <w:top w:val="none" w:sz="0" w:space="0" w:color="auto"/>
                <w:left w:val="none" w:sz="0" w:space="0" w:color="auto"/>
                <w:bottom w:val="none" w:sz="0" w:space="0" w:color="auto"/>
                <w:right w:val="none" w:sz="0" w:space="0" w:color="auto"/>
              </w:divBdr>
            </w:div>
          </w:divsChild>
        </w:div>
        <w:div w:id="1064840190">
          <w:marLeft w:val="0"/>
          <w:marRight w:val="0"/>
          <w:marTop w:val="0"/>
          <w:marBottom w:val="0"/>
          <w:divBdr>
            <w:top w:val="none" w:sz="0" w:space="0" w:color="auto"/>
            <w:left w:val="none" w:sz="0" w:space="0" w:color="auto"/>
            <w:bottom w:val="none" w:sz="0" w:space="0" w:color="auto"/>
            <w:right w:val="none" w:sz="0" w:space="0" w:color="auto"/>
          </w:divBdr>
          <w:divsChild>
            <w:div w:id="1527329387">
              <w:marLeft w:val="0"/>
              <w:marRight w:val="0"/>
              <w:marTop w:val="0"/>
              <w:marBottom w:val="0"/>
              <w:divBdr>
                <w:top w:val="none" w:sz="0" w:space="0" w:color="auto"/>
                <w:left w:val="none" w:sz="0" w:space="0" w:color="auto"/>
                <w:bottom w:val="none" w:sz="0" w:space="0" w:color="auto"/>
                <w:right w:val="none" w:sz="0" w:space="0" w:color="auto"/>
              </w:divBdr>
            </w:div>
          </w:divsChild>
        </w:div>
        <w:div w:id="1085149723">
          <w:marLeft w:val="0"/>
          <w:marRight w:val="0"/>
          <w:marTop w:val="0"/>
          <w:marBottom w:val="0"/>
          <w:divBdr>
            <w:top w:val="none" w:sz="0" w:space="0" w:color="auto"/>
            <w:left w:val="none" w:sz="0" w:space="0" w:color="auto"/>
            <w:bottom w:val="none" w:sz="0" w:space="0" w:color="auto"/>
            <w:right w:val="none" w:sz="0" w:space="0" w:color="auto"/>
          </w:divBdr>
          <w:divsChild>
            <w:div w:id="890964364">
              <w:marLeft w:val="0"/>
              <w:marRight w:val="0"/>
              <w:marTop w:val="0"/>
              <w:marBottom w:val="0"/>
              <w:divBdr>
                <w:top w:val="none" w:sz="0" w:space="0" w:color="auto"/>
                <w:left w:val="none" w:sz="0" w:space="0" w:color="auto"/>
                <w:bottom w:val="none" w:sz="0" w:space="0" w:color="auto"/>
                <w:right w:val="none" w:sz="0" w:space="0" w:color="auto"/>
              </w:divBdr>
            </w:div>
          </w:divsChild>
        </w:div>
        <w:div w:id="1091700615">
          <w:marLeft w:val="0"/>
          <w:marRight w:val="0"/>
          <w:marTop w:val="0"/>
          <w:marBottom w:val="0"/>
          <w:divBdr>
            <w:top w:val="none" w:sz="0" w:space="0" w:color="auto"/>
            <w:left w:val="none" w:sz="0" w:space="0" w:color="auto"/>
            <w:bottom w:val="none" w:sz="0" w:space="0" w:color="auto"/>
            <w:right w:val="none" w:sz="0" w:space="0" w:color="auto"/>
          </w:divBdr>
          <w:divsChild>
            <w:div w:id="1514419482">
              <w:marLeft w:val="0"/>
              <w:marRight w:val="0"/>
              <w:marTop w:val="0"/>
              <w:marBottom w:val="0"/>
              <w:divBdr>
                <w:top w:val="none" w:sz="0" w:space="0" w:color="auto"/>
                <w:left w:val="none" w:sz="0" w:space="0" w:color="auto"/>
                <w:bottom w:val="none" w:sz="0" w:space="0" w:color="auto"/>
                <w:right w:val="none" w:sz="0" w:space="0" w:color="auto"/>
              </w:divBdr>
            </w:div>
          </w:divsChild>
        </w:div>
        <w:div w:id="1143893428">
          <w:marLeft w:val="0"/>
          <w:marRight w:val="0"/>
          <w:marTop w:val="0"/>
          <w:marBottom w:val="0"/>
          <w:divBdr>
            <w:top w:val="none" w:sz="0" w:space="0" w:color="auto"/>
            <w:left w:val="none" w:sz="0" w:space="0" w:color="auto"/>
            <w:bottom w:val="none" w:sz="0" w:space="0" w:color="auto"/>
            <w:right w:val="none" w:sz="0" w:space="0" w:color="auto"/>
          </w:divBdr>
          <w:divsChild>
            <w:div w:id="389499594">
              <w:marLeft w:val="0"/>
              <w:marRight w:val="0"/>
              <w:marTop w:val="0"/>
              <w:marBottom w:val="0"/>
              <w:divBdr>
                <w:top w:val="none" w:sz="0" w:space="0" w:color="auto"/>
                <w:left w:val="none" w:sz="0" w:space="0" w:color="auto"/>
                <w:bottom w:val="none" w:sz="0" w:space="0" w:color="auto"/>
                <w:right w:val="none" w:sz="0" w:space="0" w:color="auto"/>
              </w:divBdr>
            </w:div>
          </w:divsChild>
        </w:div>
        <w:div w:id="1154688104">
          <w:marLeft w:val="0"/>
          <w:marRight w:val="0"/>
          <w:marTop w:val="0"/>
          <w:marBottom w:val="0"/>
          <w:divBdr>
            <w:top w:val="none" w:sz="0" w:space="0" w:color="auto"/>
            <w:left w:val="none" w:sz="0" w:space="0" w:color="auto"/>
            <w:bottom w:val="none" w:sz="0" w:space="0" w:color="auto"/>
            <w:right w:val="none" w:sz="0" w:space="0" w:color="auto"/>
          </w:divBdr>
          <w:divsChild>
            <w:div w:id="231357116">
              <w:marLeft w:val="0"/>
              <w:marRight w:val="0"/>
              <w:marTop w:val="0"/>
              <w:marBottom w:val="0"/>
              <w:divBdr>
                <w:top w:val="none" w:sz="0" w:space="0" w:color="auto"/>
                <w:left w:val="none" w:sz="0" w:space="0" w:color="auto"/>
                <w:bottom w:val="none" w:sz="0" w:space="0" w:color="auto"/>
                <w:right w:val="none" w:sz="0" w:space="0" w:color="auto"/>
              </w:divBdr>
            </w:div>
          </w:divsChild>
        </w:div>
        <w:div w:id="1185292067">
          <w:marLeft w:val="0"/>
          <w:marRight w:val="0"/>
          <w:marTop w:val="0"/>
          <w:marBottom w:val="0"/>
          <w:divBdr>
            <w:top w:val="none" w:sz="0" w:space="0" w:color="auto"/>
            <w:left w:val="none" w:sz="0" w:space="0" w:color="auto"/>
            <w:bottom w:val="none" w:sz="0" w:space="0" w:color="auto"/>
            <w:right w:val="none" w:sz="0" w:space="0" w:color="auto"/>
          </w:divBdr>
          <w:divsChild>
            <w:div w:id="1799759456">
              <w:marLeft w:val="0"/>
              <w:marRight w:val="0"/>
              <w:marTop w:val="0"/>
              <w:marBottom w:val="0"/>
              <w:divBdr>
                <w:top w:val="none" w:sz="0" w:space="0" w:color="auto"/>
                <w:left w:val="none" w:sz="0" w:space="0" w:color="auto"/>
                <w:bottom w:val="none" w:sz="0" w:space="0" w:color="auto"/>
                <w:right w:val="none" w:sz="0" w:space="0" w:color="auto"/>
              </w:divBdr>
            </w:div>
          </w:divsChild>
        </w:div>
        <w:div w:id="1186018169">
          <w:marLeft w:val="0"/>
          <w:marRight w:val="0"/>
          <w:marTop w:val="0"/>
          <w:marBottom w:val="0"/>
          <w:divBdr>
            <w:top w:val="none" w:sz="0" w:space="0" w:color="auto"/>
            <w:left w:val="none" w:sz="0" w:space="0" w:color="auto"/>
            <w:bottom w:val="none" w:sz="0" w:space="0" w:color="auto"/>
            <w:right w:val="none" w:sz="0" w:space="0" w:color="auto"/>
          </w:divBdr>
          <w:divsChild>
            <w:div w:id="1780679508">
              <w:marLeft w:val="0"/>
              <w:marRight w:val="0"/>
              <w:marTop w:val="0"/>
              <w:marBottom w:val="0"/>
              <w:divBdr>
                <w:top w:val="none" w:sz="0" w:space="0" w:color="auto"/>
                <w:left w:val="none" w:sz="0" w:space="0" w:color="auto"/>
                <w:bottom w:val="none" w:sz="0" w:space="0" w:color="auto"/>
                <w:right w:val="none" w:sz="0" w:space="0" w:color="auto"/>
              </w:divBdr>
            </w:div>
          </w:divsChild>
        </w:div>
        <w:div w:id="1193232098">
          <w:marLeft w:val="0"/>
          <w:marRight w:val="0"/>
          <w:marTop w:val="0"/>
          <w:marBottom w:val="0"/>
          <w:divBdr>
            <w:top w:val="none" w:sz="0" w:space="0" w:color="auto"/>
            <w:left w:val="none" w:sz="0" w:space="0" w:color="auto"/>
            <w:bottom w:val="none" w:sz="0" w:space="0" w:color="auto"/>
            <w:right w:val="none" w:sz="0" w:space="0" w:color="auto"/>
          </w:divBdr>
          <w:divsChild>
            <w:div w:id="467548893">
              <w:marLeft w:val="0"/>
              <w:marRight w:val="0"/>
              <w:marTop w:val="0"/>
              <w:marBottom w:val="0"/>
              <w:divBdr>
                <w:top w:val="none" w:sz="0" w:space="0" w:color="auto"/>
                <w:left w:val="none" w:sz="0" w:space="0" w:color="auto"/>
                <w:bottom w:val="none" w:sz="0" w:space="0" w:color="auto"/>
                <w:right w:val="none" w:sz="0" w:space="0" w:color="auto"/>
              </w:divBdr>
            </w:div>
          </w:divsChild>
        </w:div>
        <w:div w:id="1222252822">
          <w:marLeft w:val="0"/>
          <w:marRight w:val="0"/>
          <w:marTop w:val="0"/>
          <w:marBottom w:val="0"/>
          <w:divBdr>
            <w:top w:val="none" w:sz="0" w:space="0" w:color="auto"/>
            <w:left w:val="none" w:sz="0" w:space="0" w:color="auto"/>
            <w:bottom w:val="none" w:sz="0" w:space="0" w:color="auto"/>
            <w:right w:val="none" w:sz="0" w:space="0" w:color="auto"/>
          </w:divBdr>
          <w:divsChild>
            <w:div w:id="1336958204">
              <w:marLeft w:val="0"/>
              <w:marRight w:val="0"/>
              <w:marTop w:val="0"/>
              <w:marBottom w:val="0"/>
              <w:divBdr>
                <w:top w:val="none" w:sz="0" w:space="0" w:color="auto"/>
                <w:left w:val="none" w:sz="0" w:space="0" w:color="auto"/>
                <w:bottom w:val="none" w:sz="0" w:space="0" w:color="auto"/>
                <w:right w:val="none" w:sz="0" w:space="0" w:color="auto"/>
              </w:divBdr>
            </w:div>
          </w:divsChild>
        </w:div>
        <w:div w:id="1234856789">
          <w:marLeft w:val="0"/>
          <w:marRight w:val="0"/>
          <w:marTop w:val="0"/>
          <w:marBottom w:val="0"/>
          <w:divBdr>
            <w:top w:val="none" w:sz="0" w:space="0" w:color="auto"/>
            <w:left w:val="none" w:sz="0" w:space="0" w:color="auto"/>
            <w:bottom w:val="none" w:sz="0" w:space="0" w:color="auto"/>
            <w:right w:val="none" w:sz="0" w:space="0" w:color="auto"/>
          </w:divBdr>
          <w:divsChild>
            <w:div w:id="1774276425">
              <w:marLeft w:val="0"/>
              <w:marRight w:val="0"/>
              <w:marTop w:val="0"/>
              <w:marBottom w:val="0"/>
              <w:divBdr>
                <w:top w:val="none" w:sz="0" w:space="0" w:color="auto"/>
                <w:left w:val="none" w:sz="0" w:space="0" w:color="auto"/>
                <w:bottom w:val="none" w:sz="0" w:space="0" w:color="auto"/>
                <w:right w:val="none" w:sz="0" w:space="0" w:color="auto"/>
              </w:divBdr>
            </w:div>
          </w:divsChild>
        </w:div>
        <w:div w:id="1237202663">
          <w:marLeft w:val="0"/>
          <w:marRight w:val="0"/>
          <w:marTop w:val="0"/>
          <w:marBottom w:val="0"/>
          <w:divBdr>
            <w:top w:val="none" w:sz="0" w:space="0" w:color="auto"/>
            <w:left w:val="none" w:sz="0" w:space="0" w:color="auto"/>
            <w:bottom w:val="none" w:sz="0" w:space="0" w:color="auto"/>
            <w:right w:val="none" w:sz="0" w:space="0" w:color="auto"/>
          </w:divBdr>
          <w:divsChild>
            <w:div w:id="1225530842">
              <w:marLeft w:val="0"/>
              <w:marRight w:val="0"/>
              <w:marTop w:val="0"/>
              <w:marBottom w:val="0"/>
              <w:divBdr>
                <w:top w:val="none" w:sz="0" w:space="0" w:color="auto"/>
                <w:left w:val="none" w:sz="0" w:space="0" w:color="auto"/>
                <w:bottom w:val="none" w:sz="0" w:space="0" w:color="auto"/>
                <w:right w:val="none" w:sz="0" w:space="0" w:color="auto"/>
              </w:divBdr>
            </w:div>
          </w:divsChild>
        </w:div>
        <w:div w:id="1248420571">
          <w:marLeft w:val="0"/>
          <w:marRight w:val="0"/>
          <w:marTop w:val="0"/>
          <w:marBottom w:val="0"/>
          <w:divBdr>
            <w:top w:val="none" w:sz="0" w:space="0" w:color="auto"/>
            <w:left w:val="none" w:sz="0" w:space="0" w:color="auto"/>
            <w:bottom w:val="none" w:sz="0" w:space="0" w:color="auto"/>
            <w:right w:val="none" w:sz="0" w:space="0" w:color="auto"/>
          </w:divBdr>
          <w:divsChild>
            <w:div w:id="343824369">
              <w:marLeft w:val="0"/>
              <w:marRight w:val="0"/>
              <w:marTop w:val="0"/>
              <w:marBottom w:val="0"/>
              <w:divBdr>
                <w:top w:val="none" w:sz="0" w:space="0" w:color="auto"/>
                <w:left w:val="none" w:sz="0" w:space="0" w:color="auto"/>
                <w:bottom w:val="none" w:sz="0" w:space="0" w:color="auto"/>
                <w:right w:val="none" w:sz="0" w:space="0" w:color="auto"/>
              </w:divBdr>
            </w:div>
          </w:divsChild>
        </w:div>
        <w:div w:id="1252936796">
          <w:marLeft w:val="0"/>
          <w:marRight w:val="0"/>
          <w:marTop w:val="0"/>
          <w:marBottom w:val="0"/>
          <w:divBdr>
            <w:top w:val="none" w:sz="0" w:space="0" w:color="auto"/>
            <w:left w:val="none" w:sz="0" w:space="0" w:color="auto"/>
            <w:bottom w:val="none" w:sz="0" w:space="0" w:color="auto"/>
            <w:right w:val="none" w:sz="0" w:space="0" w:color="auto"/>
          </w:divBdr>
          <w:divsChild>
            <w:div w:id="1266426417">
              <w:marLeft w:val="0"/>
              <w:marRight w:val="0"/>
              <w:marTop w:val="0"/>
              <w:marBottom w:val="0"/>
              <w:divBdr>
                <w:top w:val="none" w:sz="0" w:space="0" w:color="auto"/>
                <w:left w:val="none" w:sz="0" w:space="0" w:color="auto"/>
                <w:bottom w:val="none" w:sz="0" w:space="0" w:color="auto"/>
                <w:right w:val="none" w:sz="0" w:space="0" w:color="auto"/>
              </w:divBdr>
            </w:div>
          </w:divsChild>
        </w:div>
        <w:div w:id="1274940811">
          <w:marLeft w:val="0"/>
          <w:marRight w:val="0"/>
          <w:marTop w:val="0"/>
          <w:marBottom w:val="0"/>
          <w:divBdr>
            <w:top w:val="none" w:sz="0" w:space="0" w:color="auto"/>
            <w:left w:val="none" w:sz="0" w:space="0" w:color="auto"/>
            <w:bottom w:val="none" w:sz="0" w:space="0" w:color="auto"/>
            <w:right w:val="none" w:sz="0" w:space="0" w:color="auto"/>
          </w:divBdr>
          <w:divsChild>
            <w:div w:id="1586647027">
              <w:marLeft w:val="0"/>
              <w:marRight w:val="0"/>
              <w:marTop w:val="0"/>
              <w:marBottom w:val="0"/>
              <w:divBdr>
                <w:top w:val="none" w:sz="0" w:space="0" w:color="auto"/>
                <w:left w:val="none" w:sz="0" w:space="0" w:color="auto"/>
                <w:bottom w:val="none" w:sz="0" w:space="0" w:color="auto"/>
                <w:right w:val="none" w:sz="0" w:space="0" w:color="auto"/>
              </w:divBdr>
            </w:div>
          </w:divsChild>
        </w:div>
        <w:div w:id="1287807300">
          <w:marLeft w:val="0"/>
          <w:marRight w:val="0"/>
          <w:marTop w:val="0"/>
          <w:marBottom w:val="0"/>
          <w:divBdr>
            <w:top w:val="none" w:sz="0" w:space="0" w:color="auto"/>
            <w:left w:val="none" w:sz="0" w:space="0" w:color="auto"/>
            <w:bottom w:val="none" w:sz="0" w:space="0" w:color="auto"/>
            <w:right w:val="none" w:sz="0" w:space="0" w:color="auto"/>
          </w:divBdr>
          <w:divsChild>
            <w:div w:id="966081982">
              <w:marLeft w:val="0"/>
              <w:marRight w:val="0"/>
              <w:marTop w:val="0"/>
              <w:marBottom w:val="0"/>
              <w:divBdr>
                <w:top w:val="none" w:sz="0" w:space="0" w:color="auto"/>
                <w:left w:val="none" w:sz="0" w:space="0" w:color="auto"/>
                <w:bottom w:val="none" w:sz="0" w:space="0" w:color="auto"/>
                <w:right w:val="none" w:sz="0" w:space="0" w:color="auto"/>
              </w:divBdr>
            </w:div>
          </w:divsChild>
        </w:div>
        <w:div w:id="1359772053">
          <w:marLeft w:val="0"/>
          <w:marRight w:val="0"/>
          <w:marTop w:val="0"/>
          <w:marBottom w:val="0"/>
          <w:divBdr>
            <w:top w:val="none" w:sz="0" w:space="0" w:color="auto"/>
            <w:left w:val="none" w:sz="0" w:space="0" w:color="auto"/>
            <w:bottom w:val="none" w:sz="0" w:space="0" w:color="auto"/>
            <w:right w:val="none" w:sz="0" w:space="0" w:color="auto"/>
          </w:divBdr>
          <w:divsChild>
            <w:div w:id="1992252134">
              <w:marLeft w:val="0"/>
              <w:marRight w:val="0"/>
              <w:marTop w:val="0"/>
              <w:marBottom w:val="0"/>
              <w:divBdr>
                <w:top w:val="none" w:sz="0" w:space="0" w:color="auto"/>
                <w:left w:val="none" w:sz="0" w:space="0" w:color="auto"/>
                <w:bottom w:val="none" w:sz="0" w:space="0" w:color="auto"/>
                <w:right w:val="none" w:sz="0" w:space="0" w:color="auto"/>
              </w:divBdr>
            </w:div>
          </w:divsChild>
        </w:div>
        <w:div w:id="1365984385">
          <w:marLeft w:val="0"/>
          <w:marRight w:val="0"/>
          <w:marTop w:val="0"/>
          <w:marBottom w:val="0"/>
          <w:divBdr>
            <w:top w:val="none" w:sz="0" w:space="0" w:color="auto"/>
            <w:left w:val="none" w:sz="0" w:space="0" w:color="auto"/>
            <w:bottom w:val="none" w:sz="0" w:space="0" w:color="auto"/>
            <w:right w:val="none" w:sz="0" w:space="0" w:color="auto"/>
          </w:divBdr>
          <w:divsChild>
            <w:div w:id="78716862">
              <w:marLeft w:val="0"/>
              <w:marRight w:val="0"/>
              <w:marTop w:val="0"/>
              <w:marBottom w:val="0"/>
              <w:divBdr>
                <w:top w:val="none" w:sz="0" w:space="0" w:color="auto"/>
                <w:left w:val="none" w:sz="0" w:space="0" w:color="auto"/>
                <w:bottom w:val="none" w:sz="0" w:space="0" w:color="auto"/>
                <w:right w:val="none" w:sz="0" w:space="0" w:color="auto"/>
              </w:divBdr>
            </w:div>
          </w:divsChild>
        </w:div>
        <w:div w:id="1381898102">
          <w:marLeft w:val="0"/>
          <w:marRight w:val="0"/>
          <w:marTop w:val="0"/>
          <w:marBottom w:val="0"/>
          <w:divBdr>
            <w:top w:val="none" w:sz="0" w:space="0" w:color="auto"/>
            <w:left w:val="none" w:sz="0" w:space="0" w:color="auto"/>
            <w:bottom w:val="none" w:sz="0" w:space="0" w:color="auto"/>
            <w:right w:val="none" w:sz="0" w:space="0" w:color="auto"/>
          </w:divBdr>
          <w:divsChild>
            <w:div w:id="1705666603">
              <w:marLeft w:val="0"/>
              <w:marRight w:val="0"/>
              <w:marTop w:val="0"/>
              <w:marBottom w:val="0"/>
              <w:divBdr>
                <w:top w:val="none" w:sz="0" w:space="0" w:color="auto"/>
                <w:left w:val="none" w:sz="0" w:space="0" w:color="auto"/>
                <w:bottom w:val="none" w:sz="0" w:space="0" w:color="auto"/>
                <w:right w:val="none" w:sz="0" w:space="0" w:color="auto"/>
              </w:divBdr>
            </w:div>
          </w:divsChild>
        </w:div>
        <w:div w:id="1391533724">
          <w:marLeft w:val="0"/>
          <w:marRight w:val="0"/>
          <w:marTop w:val="0"/>
          <w:marBottom w:val="0"/>
          <w:divBdr>
            <w:top w:val="none" w:sz="0" w:space="0" w:color="auto"/>
            <w:left w:val="none" w:sz="0" w:space="0" w:color="auto"/>
            <w:bottom w:val="none" w:sz="0" w:space="0" w:color="auto"/>
            <w:right w:val="none" w:sz="0" w:space="0" w:color="auto"/>
          </w:divBdr>
          <w:divsChild>
            <w:div w:id="2130776938">
              <w:marLeft w:val="0"/>
              <w:marRight w:val="0"/>
              <w:marTop w:val="0"/>
              <w:marBottom w:val="0"/>
              <w:divBdr>
                <w:top w:val="none" w:sz="0" w:space="0" w:color="auto"/>
                <w:left w:val="none" w:sz="0" w:space="0" w:color="auto"/>
                <w:bottom w:val="none" w:sz="0" w:space="0" w:color="auto"/>
                <w:right w:val="none" w:sz="0" w:space="0" w:color="auto"/>
              </w:divBdr>
            </w:div>
          </w:divsChild>
        </w:div>
        <w:div w:id="1411658434">
          <w:marLeft w:val="0"/>
          <w:marRight w:val="0"/>
          <w:marTop w:val="0"/>
          <w:marBottom w:val="0"/>
          <w:divBdr>
            <w:top w:val="none" w:sz="0" w:space="0" w:color="auto"/>
            <w:left w:val="none" w:sz="0" w:space="0" w:color="auto"/>
            <w:bottom w:val="none" w:sz="0" w:space="0" w:color="auto"/>
            <w:right w:val="none" w:sz="0" w:space="0" w:color="auto"/>
          </w:divBdr>
          <w:divsChild>
            <w:div w:id="1376664022">
              <w:marLeft w:val="0"/>
              <w:marRight w:val="0"/>
              <w:marTop w:val="0"/>
              <w:marBottom w:val="0"/>
              <w:divBdr>
                <w:top w:val="none" w:sz="0" w:space="0" w:color="auto"/>
                <w:left w:val="none" w:sz="0" w:space="0" w:color="auto"/>
                <w:bottom w:val="none" w:sz="0" w:space="0" w:color="auto"/>
                <w:right w:val="none" w:sz="0" w:space="0" w:color="auto"/>
              </w:divBdr>
            </w:div>
          </w:divsChild>
        </w:div>
        <w:div w:id="1414668809">
          <w:marLeft w:val="0"/>
          <w:marRight w:val="0"/>
          <w:marTop w:val="0"/>
          <w:marBottom w:val="0"/>
          <w:divBdr>
            <w:top w:val="none" w:sz="0" w:space="0" w:color="auto"/>
            <w:left w:val="none" w:sz="0" w:space="0" w:color="auto"/>
            <w:bottom w:val="none" w:sz="0" w:space="0" w:color="auto"/>
            <w:right w:val="none" w:sz="0" w:space="0" w:color="auto"/>
          </w:divBdr>
          <w:divsChild>
            <w:div w:id="427507418">
              <w:marLeft w:val="0"/>
              <w:marRight w:val="0"/>
              <w:marTop w:val="0"/>
              <w:marBottom w:val="0"/>
              <w:divBdr>
                <w:top w:val="none" w:sz="0" w:space="0" w:color="auto"/>
                <w:left w:val="none" w:sz="0" w:space="0" w:color="auto"/>
                <w:bottom w:val="none" w:sz="0" w:space="0" w:color="auto"/>
                <w:right w:val="none" w:sz="0" w:space="0" w:color="auto"/>
              </w:divBdr>
            </w:div>
          </w:divsChild>
        </w:div>
        <w:div w:id="1417938261">
          <w:marLeft w:val="0"/>
          <w:marRight w:val="0"/>
          <w:marTop w:val="0"/>
          <w:marBottom w:val="0"/>
          <w:divBdr>
            <w:top w:val="none" w:sz="0" w:space="0" w:color="auto"/>
            <w:left w:val="none" w:sz="0" w:space="0" w:color="auto"/>
            <w:bottom w:val="none" w:sz="0" w:space="0" w:color="auto"/>
            <w:right w:val="none" w:sz="0" w:space="0" w:color="auto"/>
          </w:divBdr>
          <w:divsChild>
            <w:div w:id="56588879">
              <w:marLeft w:val="0"/>
              <w:marRight w:val="0"/>
              <w:marTop w:val="0"/>
              <w:marBottom w:val="0"/>
              <w:divBdr>
                <w:top w:val="none" w:sz="0" w:space="0" w:color="auto"/>
                <w:left w:val="none" w:sz="0" w:space="0" w:color="auto"/>
                <w:bottom w:val="none" w:sz="0" w:space="0" w:color="auto"/>
                <w:right w:val="none" w:sz="0" w:space="0" w:color="auto"/>
              </w:divBdr>
            </w:div>
          </w:divsChild>
        </w:div>
        <w:div w:id="1430345700">
          <w:marLeft w:val="0"/>
          <w:marRight w:val="0"/>
          <w:marTop w:val="0"/>
          <w:marBottom w:val="0"/>
          <w:divBdr>
            <w:top w:val="none" w:sz="0" w:space="0" w:color="auto"/>
            <w:left w:val="none" w:sz="0" w:space="0" w:color="auto"/>
            <w:bottom w:val="none" w:sz="0" w:space="0" w:color="auto"/>
            <w:right w:val="none" w:sz="0" w:space="0" w:color="auto"/>
          </w:divBdr>
          <w:divsChild>
            <w:div w:id="1968856433">
              <w:marLeft w:val="0"/>
              <w:marRight w:val="0"/>
              <w:marTop w:val="0"/>
              <w:marBottom w:val="0"/>
              <w:divBdr>
                <w:top w:val="none" w:sz="0" w:space="0" w:color="auto"/>
                <w:left w:val="none" w:sz="0" w:space="0" w:color="auto"/>
                <w:bottom w:val="none" w:sz="0" w:space="0" w:color="auto"/>
                <w:right w:val="none" w:sz="0" w:space="0" w:color="auto"/>
              </w:divBdr>
            </w:div>
          </w:divsChild>
        </w:div>
        <w:div w:id="1467045416">
          <w:marLeft w:val="0"/>
          <w:marRight w:val="0"/>
          <w:marTop w:val="0"/>
          <w:marBottom w:val="0"/>
          <w:divBdr>
            <w:top w:val="none" w:sz="0" w:space="0" w:color="auto"/>
            <w:left w:val="none" w:sz="0" w:space="0" w:color="auto"/>
            <w:bottom w:val="none" w:sz="0" w:space="0" w:color="auto"/>
            <w:right w:val="none" w:sz="0" w:space="0" w:color="auto"/>
          </w:divBdr>
          <w:divsChild>
            <w:div w:id="1698462854">
              <w:marLeft w:val="0"/>
              <w:marRight w:val="0"/>
              <w:marTop w:val="0"/>
              <w:marBottom w:val="0"/>
              <w:divBdr>
                <w:top w:val="none" w:sz="0" w:space="0" w:color="auto"/>
                <w:left w:val="none" w:sz="0" w:space="0" w:color="auto"/>
                <w:bottom w:val="none" w:sz="0" w:space="0" w:color="auto"/>
                <w:right w:val="none" w:sz="0" w:space="0" w:color="auto"/>
              </w:divBdr>
            </w:div>
          </w:divsChild>
        </w:div>
        <w:div w:id="1468353257">
          <w:marLeft w:val="0"/>
          <w:marRight w:val="0"/>
          <w:marTop w:val="0"/>
          <w:marBottom w:val="0"/>
          <w:divBdr>
            <w:top w:val="none" w:sz="0" w:space="0" w:color="auto"/>
            <w:left w:val="none" w:sz="0" w:space="0" w:color="auto"/>
            <w:bottom w:val="none" w:sz="0" w:space="0" w:color="auto"/>
            <w:right w:val="none" w:sz="0" w:space="0" w:color="auto"/>
          </w:divBdr>
          <w:divsChild>
            <w:div w:id="333454500">
              <w:marLeft w:val="0"/>
              <w:marRight w:val="0"/>
              <w:marTop w:val="0"/>
              <w:marBottom w:val="0"/>
              <w:divBdr>
                <w:top w:val="none" w:sz="0" w:space="0" w:color="auto"/>
                <w:left w:val="none" w:sz="0" w:space="0" w:color="auto"/>
                <w:bottom w:val="none" w:sz="0" w:space="0" w:color="auto"/>
                <w:right w:val="none" w:sz="0" w:space="0" w:color="auto"/>
              </w:divBdr>
            </w:div>
          </w:divsChild>
        </w:div>
        <w:div w:id="1487280410">
          <w:marLeft w:val="0"/>
          <w:marRight w:val="0"/>
          <w:marTop w:val="0"/>
          <w:marBottom w:val="0"/>
          <w:divBdr>
            <w:top w:val="none" w:sz="0" w:space="0" w:color="auto"/>
            <w:left w:val="none" w:sz="0" w:space="0" w:color="auto"/>
            <w:bottom w:val="none" w:sz="0" w:space="0" w:color="auto"/>
            <w:right w:val="none" w:sz="0" w:space="0" w:color="auto"/>
          </w:divBdr>
          <w:divsChild>
            <w:div w:id="1436362493">
              <w:marLeft w:val="0"/>
              <w:marRight w:val="0"/>
              <w:marTop w:val="0"/>
              <w:marBottom w:val="0"/>
              <w:divBdr>
                <w:top w:val="none" w:sz="0" w:space="0" w:color="auto"/>
                <w:left w:val="none" w:sz="0" w:space="0" w:color="auto"/>
                <w:bottom w:val="none" w:sz="0" w:space="0" w:color="auto"/>
                <w:right w:val="none" w:sz="0" w:space="0" w:color="auto"/>
              </w:divBdr>
            </w:div>
          </w:divsChild>
        </w:div>
        <w:div w:id="1506936431">
          <w:marLeft w:val="0"/>
          <w:marRight w:val="0"/>
          <w:marTop w:val="0"/>
          <w:marBottom w:val="0"/>
          <w:divBdr>
            <w:top w:val="none" w:sz="0" w:space="0" w:color="auto"/>
            <w:left w:val="none" w:sz="0" w:space="0" w:color="auto"/>
            <w:bottom w:val="none" w:sz="0" w:space="0" w:color="auto"/>
            <w:right w:val="none" w:sz="0" w:space="0" w:color="auto"/>
          </w:divBdr>
          <w:divsChild>
            <w:div w:id="625544839">
              <w:marLeft w:val="0"/>
              <w:marRight w:val="0"/>
              <w:marTop w:val="0"/>
              <w:marBottom w:val="0"/>
              <w:divBdr>
                <w:top w:val="none" w:sz="0" w:space="0" w:color="auto"/>
                <w:left w:val="none" w:sz="0" w:space="0" w:color="auto"/>
                <w:bottom w:val="none" w:sz="0" w:space="0" w:color="auto"/>
                <w:right w:val="none" w:sz="0" w:space="0" w:color="auto"/>
              </w:divBdr>
            </w:div>
          </w:divsChild>
        </w:div>
        <w:div w:id="1538859913">
          <w:marLeft w:val="0"/>
          <w:marRight w:val="0"/>
          <w:marTop w:val="0"/>
          <w:marBottom w:val="0"/>
          <w:divBdr>
            <w:top w:val="none" w:sz="0" w:space="0" w:color="auto"/>
            <w:left w:val="none" w:sz="0" w:space="0" w:color="auto"/>
            <w:bottom w:val="none" w:sz="0" w:space="0" w:color="auto"/>
            <w:right w:val="none" w:sz="0" w:space="0" w:color="auto"/>
          </w:divBdr>
          <w:divsChild>
            <w:div w:id="1064059367">
              <w:marLeft w:val="0"/>
              <w:marRight w:val="0"/>
              <w:marTop w:val="0"/>
              <w:marBottom w:val="0"/>
              <w:divBdr>
                <w:top w:val="none" w:sz="0" w:space="0" w:color="auto"/>
                <w:left w:val="none" w:sz="0" w:space="0" w:color="auto"/>
                <w:bottom w:val="none" w:sz="0" w:space="0" w:color="auto"/>
                <w:right w:val="none" w:sz="0" w:space="0" w:color="auto"/>
              </w:divBdr>
            </w:div>
          </w:divsChild>
        </w:div>
        <w:div w:id="1546866505">
          <w:marLeft w:val="0"/>
          <w:marRight w:val="0"/>
          <w:marTop w:val="0"/>
          <w:marBottom w:val="0"/>
          <w:divBdr>
            <w:top w:val="none" w:sz="0" w:space="0" w:color="auto"/>
            <w:left w:val="none" w:sz="0" w:space="0" w:color="auto"/>
            <w:bottom w:val="none" w:sz="0" w:space="0" w:color="auto"/>
            <w:right w:val="none" w:sz="0" w:space="0" w:color="auto"/>
          </w:divBdr>
          <w:divsChild>
            <w:div w:id="1206717029">
              <w:marLeft w:val="0"/>
              <w:marRight w:val="0"/>
              <w:marTop w:val="0"/>
              <w:marBottom w:val="0"/>
              <w:divBdr>
                <w:top w:val="none" w:sz="0" w:space="0" w:color="auto"/>
                <w:left w:val="none" w:sz="0" w:space="0" w:color="auto"/>
                <w:bottom w:val="none" w:sz="0" w:space="0" w:color="auto"/>
                <w:right w:val="none" w:sz="0" w:space="0" w:color="auto"/>
              </w:divBdr>
            </w:div>
          </w:divsChild>
        </w:div>
        <w:div w:id="1560630864">
          <w:marLeft w:val="0"/>
          <w:marRight w:val="0"/>
          <w:marTop w:val="0"/>
          <w:marBottom w:val="0"/>
          <w:divBdr>
            <w:top w:val="none" w:sz="0" w:space="0" w:color="auto"/>
            <w:left w:val="none" w:sz="0" w:space="0" w:color="auto"/>
            <w:bottom w:val="none" w:sz="0" w:space="0" w:color="auto"/>
            <w:right w:val="none" w:sz="0" w:space="0" w:color="auto"/>
          </w:divBdr>
          <w:divsChild>
            <w:div w:id="623656226">
              <w:marLeft w:val="0"/>
              <w:marRight w:val="0"/>
              <w:marTop w:val="0"/>
              <w:marBottom w:val="0"/>
              <w:divBdr>
                <w:top w:val="none" w:sz="0" w:space="0" w:color="auto"/>
                <w:left w:val="none" w:sz="0" w:space="0" w:color="auto"/>
                <w:bottom w:val="none" w:sz="0" w:space="0" w:color="auto"/>
                <w:right w:val="none" w:sz="0" w:space="0" w:color="auto"/>
              </w:divBdr>
            </w:div>
          </w:divsChild>
        </w:div>
        <w:div w:id="1577278768">
          <w:marLeft w:val="0"/>
          <w:marRight w:val="0"/>
          <w:marTop w:val="0"/>
          <w:marBottom w:val="0"/>
          <w:divBdr>
            <w:top w:val="none" w:sz="0" w:space="0" w:color="auto"/>
            <w:left w:val="none" w:sz="0" w:space="0" w:color="auto"/>
            <w:bottom w:val="none" w:sz="0" w:space="0" w:color="auto"/>
            <w:right w:val="none" w:sz="0" w:space="0" w:color="auto"/>
          </w:divBdr>
          <w:divsChild>
            <w:div w:id="194855813">
              <w:marLeft w:val="0"/>
              <w:marRight w:val="0"/>
              <w:marTop w:val="0"/>
              <w:marBottom w:val="0"/>
              <w:divBdr>
                <w:top w:val="none" w:sz="0" w:space="0" w:color="auto"/>
                <w:left w:val="none" w:sz="0" w:space="0" w:color="auto"/>
                <w:bottom w:val="none" w:sz="0" w:space="0" w:color="auto"/>
                <w:right w:val="none" w:sz="0" w:space="0" w:color="auto"/>
              </w:divBdr>
            </w:div>
          </w:divsChild>
        </w:div>
        <w:div w:id="1577546531">
          <w:marLeft w:val="0"/>
          <w:marRight w:val="0"/>
          <w:marTop w:val="0"/>
          <w:marBottom w:val="0"/>
          <w:divBdr>
            <w:top w:val="none" w:sz="0" w:space="0" w:color="auto"/>
            <w:left w:val="none" w:sz="0" w:space="0" w:color="auto"/>
            <w:bottom w:val="none" w:sz="0" w:space="0" w:color="auto"/>
            <w:right w:val="none" w:sz="0" w:space="0" w:color="auto"/>
          </w:divBdr>
          <w:divsChild>
            <w:div w:id="83839924">
              <w:marLeft w:val="0"/>
              <w:marRight w:val="0"/>
              <w:marTop w:val="0"/>
              <w:marBottom w:val="0"/>
              <w:divBdr>
                <w:top w:val="none" w:sz="0" w:space="0" w:color="auto"/>
                <w:left w:val="none" w:sz="0" w:space="0" w:color="auto"/>
                <w:bottom w:val="none" w:sz="0" w:space="0" w:color="auto"/>
                <w:right w:val="none" w:sz="0" w:space="0" w:color="auto"/>
              </w:divBdr>
            </w:div>
          </w:divsChild>
        </w:div>
        <w:div w:id="1589994648">
          <w:marLeft w:val="0"/>
          <w:marRight w:val="0"/>
          <w:marTop w:val="0"/>
          <w:marBottom w:val="0"/>
          <w:divBdr>
            <w:top w:val="none" w:sz="0" w:space="0" w:color="auto"/>
            <w:left w:val="none" w:sz="0" w:space="0" w:color="auto"/>
            <w:bottom w:val="none" w:sz="0" w:space="0" w:color="auto"/>
            <w:right w:val="none" w:sz="0" w:space="0" w:color="auto"/>
          </w:divBdr>
          <w:divsChild>
            <w:div w:id="369843933">
              <w:marLeft w:val="0"/>
              <w:marRight w:val="0"/>
              <w:marTop w:val="0"/>
              <w:marBottom w:val="0"/>
              <w:divBdr>
                <w:top w:val="none" w:sz="0" w:space="0" w:color="auto"/>
                <w:left w:val="none" w:sz="0" w:space="0" w:color="auto"/>
                <w:bottom w:val="none" w:sz="0" w:space="0" w:color="auto"/>
                <w:right w:val="none" w:sz="0" w:space="0" w:color="auto"/>
              </w:divBdr>
            </w:div>
          </w:divsChild>
        </w:div>
        <w:div w:id="1592617433">
          <w:marLeft w:val="0"/>
          <w:marRight w:val="0"/>
          <w:marTop w:val="0"/>
          <w:marBottom w:val="0"/>
          <w:divBdr>
            <w:top w:val="none" w:sz="0" w:space="0" w:color="auto"/>
            <w:left w:val="none" w:sz="0" w:space="0" w:color="auto"/>
            <w:bottom w:val="none" w:sz="0" w:space="0" w:color="auto"/>
            <w:right w:val="none" w:sz="0" w:space="0" w:color="auto"/>
          </w:divBdr>
          <w:divsChild>
            <w:div w:id="162285966">
              <w:marLeft w:val="0"/>
              <w:marRight w:val="0"/>
              <w:marTop w:val="0"/>
              <w:marBottom w:val="0"/>
              <w:divBdr>
                <w:top w:val="none" w:sz="0" w:space="0" w:color="auto"/>
                <w:left w:val="none" w:sz="0" w:space="0" w:color="auto"/>
                <w:bottom w:val="none" w:sz="0" w:space="0" w:color="auto"/>
                <w:right w:val="none" w:sz="0" w:space="0" w:color="auto"/>
              </w:divBdr>
            </w:div>
          </w:divsChild>
        </w:div>
        <w:div w:id="1598751902">
          <w:marLeft w:val="0"/>
          <w:marRight w:val="0"/>
          <w:marTop w:val="0"/>
          <w:marBottom w:val="0"/>
          <w:divBdr>
            <w:top w:val="none" w:sz="0" w:space="0" w:color="auto"/>
            <w:left w:val="none" w:sz="0" w:space="0" w:color="auto"/>
            <w:bottom w:val="none" w:sz="0" w:space="0" w:color="auto"/>
            <w:right w:val="none" w:sz="0" w:space="0" w:color="auto"/>
          </w:divBdr>
          <w:divsChild>
            <w:div w:id="2056005037">
              <w:marLeft w:val="0"/>
              <w:marRight w:val="0"/>
              <w:marTop w:val="0"/>
              <w:marBottom w:val="0"/>
              <w:divBdr>
                <w:top w:val="none" w:sz="0" w:space="0" w:color="auto"/>
                <w:left w:val="none" w:sz="0" w:space="0" w:color="auto"/>
                <w:bottom w:val="none" w:sz="0" w:space="0" w:color="auto"/>
                <w:right w:val="none" w:sz="0" w:space="0" w:color="auto"/>
              </w:divBdr>
            </w:div>
          </w:divsChild>
        </w:div>
        <w:div w:id="1637181522">
          <w:marLeft w:val="0"/>
          <w:marRight w:val="0"/>
          <w:marTop w:val="0"/>
          <w:marBottom w:val="0"/>
          <w:divBdr>
            <w:top w:val="none" w:sz="0" w:space="0" w:color="auto"/>
            <w:left w:val="none" w:sz="0" w:space="0" w:color="auto"/>
            <w:bottom w:val="none" w:sz="0" w:space="0" w:color="auto"/>
            <w:right w:val="none" w:sz="0" w:space="0" w:color="auto"/>
          </w:divBdr>
          <w:divsChild>
            <w:div w:id="1236549188">
              <w:marLeft w:val="0"/>
              <w:marRight w:val="0"/>
              <w:marTop w:val="0"/>
              <w:marBottom w:val="0"/>
              <w:divBdr>
                <w:top w:val="none" w:sz="0" w:space="0" w:color="auto"/>
                <w:left w:val="none" w:sz="0" w:space="0" w:color="auto"/>
                <w:bottom w:val="none" w:sz="0" w:space="0" w:color="auto"/>
                <w:right w:val="none" w:sz="0" w:space="0" w:color="auto"/>
              </w:divBdr>
            </w:div>
          </w:divsChild>
        </w:div>
        <w:div w:id="1641112041">
          <w:marLeft w:val="0"/>
          <w:marRight w:val="0"/>
          <w:marTop w:val="0"/>
          <w:marBottom w:val="0"/>
          <w:divBdr>
            <w:top w:val="none" w:sz="0" w:space="0" w:color="auto"/>
            <w:left w:val="none" w:sz="0" w:space="0" w:color="auto"/>
            <w:bottom w:val="none" w:sz="0" w:space="0" w:color="auto"/>
            <w:right w:val="none" w:sz="0" w:space="0" w:color="auto"/>
          </w:divBdr>
          <w:divsChild>
            <w:div w:id="951788105">
              <w:marLeft w:val="0"/>
              <w:marRight w:val="0"/>
              <w:marTop w:val="0"/>
              <w:marBottom w:val="0"/>
              <w:divBdr>
                <w:top w:val="none" w:sz="0" w:space="0" w:color="auto"/>
                <w:left w:val="none" w:sz="0" w:space="0" w:color="auto"/>
                <w:bottom w:val="none" w:sz="0" w:space="0" w:color="auto"/>
                <w:right w:val="none" w:sz="0" w:space="0" w:color="auto"/>
              </w:divBdr>
            </w:div>
          </w:divsChild>
        </w:div>
        <w:div w:id="1644433239">
          <w:marLeft w:val="0"/>
          <w:marRight w:val="0"/>
          <w:marTop w:val="0"/>
          <w:marBottom w:val="0"/>
          <w:divBdr>
            <w:top w:val="none" w:sz="0" w:space="0" w:color="auto"/>
            <w:left w:val="none" w:sz="0" w:space="0" w:color="auto"/>
            <w:bottom w:val="none" w:sz="0" w:space="0" w:color="auto"/>
            <w:right w:val="none" w:sz="0" w:space="0" w:color="auto"/>
          </w:divBdr>
          <w:divsChild>
            <w:div w:id="627902827">
              <w:marLeft w:val="0"/>
              <w:marRight w:val="0"/>
              <w:marTop w:val="0"/>
              <w:marBottom w:val="0"/>
              <w:divBdr>
                <w:top w:val="none" w:sz="0" w:space="0" w:color="auto"/>
                <w:left w:val="none" w:sz="0" w:space="0" w:color="auto"/>
                <w:bottom w:val="none" w:sz="0" w:space="0" w:color="auto"/>
                <w:right w:val="none" w:sz="0" w:space="0" w:color="auto"/>
              </w:divBdr>
            </w:div>
          </w:divsChild>
        </w:div>
        <w:div w:id="1719469660">
          <w:marLeft w:val="0"/>
          <w:marRight w:val="0"/>
          <w:marTop w:val="0"/>
          <w:marBottom w:val="0"/>
          <w:divBdr>
            <w:top w:val="none" w:sz="0" w:space="0" w:color="auto"/>
            <w:left w:val="none" w:sz="0" w:space="0" w:color="auto"/>
            <w:bottom w:val="none" w:sz="0" w:space="0" w:color="auto"/>
            <w:right w:val="none" w:sz="0" w:space="0" w:color="auto"/>
          </w:divBdr>
          <w:divsChild>
            <w:div w:id="1569656856">
              <w:marLeft w:val="0"/>
              <w:marRight w:val="0"/>
              <w:marTop w:val="0"/>
              <w:marBottom w:val="0"/>
              <w:divBdr>
                <w:top w:val="none" w:sz="0" w:space="0" w:color="auto"/>
                <w:left w:val="none" w:sz="0" w:space="0" w:color="auto"/>
                <w:bottom w:val="none" w:sz="0" w:space="0" w:color="auto"/>
                <w:right w:val="none" w:sz="0" w:space="0" w:color="auto"/>
              </w:divBdr>
            </w:div>
          </w:divsChild>
        </w:div>
        <w:div w:id="1832596985">
          <w:marLeft w:val="0"/>
          <w:marRight w:val="0"/>
          <w:marTop w:val="0"/>
          <w:marBottom w:val="0"/>
          <w:divBdr>
            <w:top w:val="none" w:sz="0" w:space="0" w:color="auto"/>
            <w:left w:val="none" w:sz="0" w:space="0" w:color="auto"/>
            <w:bottom w:val="none" w:sz="0" w:space="0" w:color="auto"/>
            <w:right w:val="none" w:sz="0" w:space="0" w:color="auto"/>
          </w:divBdr>
          <w:divsChild>
            <w:div w:id="546599900">
              <w:marLeft w:val="0"/>
              <w:marRight w:val="0"/>
              <w:marTop w:val="0"/>
              <w:marBottom w:val="0"/>
              <w:divBdr>
                <w:top w:val="none" w:sz="0" w:space="0" w:color="auto"/>
                <w:left w:val="none" w:sz="0" w:space="0" w:color="auto"/>
                <w:bottom w:val="none" w:sz="0" w:space="0" w:color="auto"/>
                <w:right w:val="none" w:sz="0" w:space="0" w:color="auto"/>
              </w:divBdr>
            </w:div>
          </w:divsChild>
        </w:div>
        <w:div w:id="1878156388">
          <w:marLeft w:val="0"/>
          <w:marRight w:val="0"/>
          <w:marTop w:val="0"/>
          <w:marBottom w:val="0"/>
          <w:divBdr>
            <w:top w:val="none" w:sz="0" w:space="0" w:color="auto"/>
            <w:left w:val="none" w:sz="0" w:space="0" w:color="auto"/>
            <w:bottom w:val="none" w:sz="0" w:space="0" w:color="auto"/>
            <w:right w:val="none" w:sz="0" w:space="0" w:color="auto"/>
          </w:divBdr>
          <w:divsChild>
            <w:div w:id="1106539895">
              <w:marLeft w:val="0"/>
              <w:marRight w:val="0"/>
              <w:marTop w:val="0"/>
              <w:marBottom w:val="0"/>
              <w:divBdr>
                <w:top w:val="none" w:sz="0" w:space="0" w:color="auto"/>
                <w:left w:val="none" w:sz="0" w:space="0" w:color="auto"/>
                <w:bottom w:val="none" w:sz="0" w:space="0" w:color="auto"/>
                <w:right w:val="none" w:sz="0" w:space="0" w:color="auto"/>
              </w:divBdr>
            </w:div>
          </w:divsChild>
        </w:div>
        <w:div w:id="1895853350">
          <w:marLeft w:val="0"/>
          <w:marRight w:val="0"/>
          <w:marTop w:val="0"/>
          <w:marBottom w:val="0"/>
          <w:divBdr>
            <w:top w:val="none" w:sz="0" w:space="0" w:color="auto"/>
            <w:left w:val="none" w:sz="0" w:space="0" w:color="auto"/>
            <w:bottom w:val="none" w:sz="0" w:space="0" w:color="auto"/>
            <w:right w:val="none" w:sz="0" w:space="0" w:color="auto"/>
          </w:divBdr>
          <w:divsChild>
            <w:div w:id="1254899743">
              <w:marLeft w:val="0"/>
              <w:marRight w:val="0"/>
              <w:marTop w:val="0"/>
              <w:marBottom w:val="0"/>
              <w:divBdr>
                <w:top w:val="none" w:sz="0" w:space="0" w:color="auto"/>
                <w:left w:val="none" w:sz="0" w:space="0" w:color="auto"/>
                <w:bottom w:val="none" w:sz="0" w:space="0" w:color="auto"/>
                <w:right w:val="none" w:sz="0" w:space="0" w:color="auto"/>
              </w:divBdr>
            </w:div>
          </w:divsChild>
        </w:div>
        <w:div w:id="1905872643">
          <w:marLeft w:val="0"/>
          <w:marRight w:val="0"/>
          <w:marTop w:val="0"/>
          <w:marBottom w:val="0"/>
          <w:divBdr>
            <w:top w:val="none" w:sz="0" w:space="0" w:color="auto"/>
            <w:left w:val="none" w:sz="0" w:space="0" w:color="auto"/>
            <w:bottom w:val="none" w:sz="0" w:space="0" w:color="auto"/>
            <w:right w:val="none" w:sz="0" w:space="0" w:color="auto"/>
          </w:divBdr>
          <w:divsChild>
            <w:div w:id="869419950">
              <w:marLeft w:val="0"/>
              <w:marRight w:val="0"/>
              <w:marTop w:val="0"/>
              <w:marBottom w:val="0"/>
              <w:divBdr>
                <w:top w:val="none" w:sz="0" w:space="0" w:color="auto"/>
                <w:left w:val="none" w:sz="0" w:space="0" w:color="auto"/>
                <w:bottom w:val="none" w:sz="0" w:space="0" w:color="auto"/>
                <w:right w:val="none" w:sz="0" w:space="0" w:color="auto"/>
              </w:divBdr>
            </w:div>
          </w:divsChild>
        </w:div>
        <w:div w:id="1907648267">
          <w:marLeft w:val="0"/>
          <w:marRight w:val="0"/>
          <w:marTop w:val="0"/>
          <w:marBottom w:val="0"/>
          <w:divBdr>
            <w:top w:val="none" w:sz="0" w:space="0" w:color="auto"/>
            <w:left w:val="none" w:sz="0" w:space="0" w:color="auto"/>
            <w:bottom w:val="none" w:sz="0" w:space="0" w:color="auto"/>
            <w:right w:val="none" w:sz="0" w:space="0" w:color="auto"/>
          </w:divBdr>
          <w:divsChild>
            <w:div w:id="1528719917">
              <w:marLeft w:val="0"/>
              <w:marRight w:val="0"/>
              <w:marTop w:val="0"/>
              <w:marBottom w:val="0"/>
              <w:divBdr>
                <w:top w:val="none" w:sz="0" w:space="0" w:color="auto"/>
                <w:left w:val="none" w:sz="0" w:space="0" w:color="auto"/>
                <w:bottom w:val="none" w:sz="0" w:space="0" w:color="auto"/>
                <w:right w:val="none" w:sz="0" w:space="0" w:color="auto"/>
              </w:divBdr>
            </w:div>
          </w:divsChild>
        </w:div>
        <w:div w:id="1919098380">
          <w:marLeft w:val="0"/>
          <w:marRight w:val="0"/>
          <w:marTop w:val="0"/>
          <w:marBottom w:val="0"/>
          <w:divBdr>
            <w:top w:val="none" w:sz="0" w:space="0" w:color="auto"/>
            <w:left w:val="none" w:sz="0" w:space="0" w:color="auto"/>
            <w:bottom w:val="none" w:sz="0" w:space="0" w:color="auto"/>
            <w:right w:val="none" w:sz="0" w:space="0" w:color="auto"/>
          </w:divBdr>
          <w:divsChild>
            <w:div w:id="595283910">
              <w:marLeft w:val="0"/>
              <w:marRight w:val="0"/>
              <w:marTop w:val="0"/>
              <w:marBottom w:val="0"/>
              <w:divBdr>
                <w:top w:val="none" w:sz="0" w:space="0" w:color="auto"/>
                <w:left w:val="none" w:sz="0" w:space="0" w:color="auto"/>
                <w:bottom w:val="none" w:sz="0" w:space="0" w:color="auto"/>
                <w:right w:val="none" w:sz="0" w:space="0" w:color="auto"/>
              </w:divBdr>
            </w:div>
          </w:divsChild>
        </w:div>
        <w:div w:id="1955937602">
          <w:marLeft w:val="0"/>
          <w:marRight w:val="0"/>
          <w:marTop w:val="0"/>
          <w:marBottom w:val="0"/>
          <w:divBdr>
            <w:top w:val="none" w:sz="0" w:space="0" w:color="auto"/>
            <w:left w:val="none" w:sz="0" w:space="0" w:color="auto"/>
            <w:bottom w:val="none" w:sz="0" w:space="0" w:color="auto"/>
            <w:right w:val="none" w:sz="0" w:space="0" w:color="auto"/>
          </w:divBdr>
          <w:divsChild>
            <w:div w:id="1254315888">
              <w:marLeft w:val="0"/>
              <w:marRight w:val="0"/>
              <w:marTop w:val="0"/>
              <w:marBottom w:val="0"/>
              <w:divBdr>
                <w:top w:val="none" w:sz="0" w:space="0" w:color="auto"/>
                <w:left w:val="none" w:sz="0" w:space="0" w:color="auto"/>
                <w:bottom w:val="none" w:sz="0" w:space="0" w:color="auto"/>
                <w:right w:val="none" w:sz="0" w:space="0" w:color="auto"/>
              </w:divBdr>
            </w:div>
          </w:divsChild>
        </w:div>
        <w:div w:id="1989742892">
          <w:marLeft w:val="0"/>
          <w:marRight w:val="0"/>
          <w:marTop w:val="0"/>
          <w:marBottom w:val="0"/>
          <w:divBdr>
            <w:top w:val="none" w:sz="0" w:space="0" w:color="auto"/>
            <w:left w:val="none" w:sz="0" w:space="0" w:color="auto"/>
            <w:bottom w:val="none" w:sz="0" w:space="0" w:color="auto"/>
            <w:right w:val="none" w:sz="0" w:space="0" w:color="auto"/>
          </w:divBdr>
          <w:divsChild>
            <w:div w:id="914318182">
              <w:marLeft w:val="0"/>
              <w:marRight w:val="0"/>
              <w:marTop w:val="0"/>
              <w:marBottom w:val="0"/>
              <w:divBdr>
                <w:top w:val="none" w:sz="0" w:space="0" w:color="auto"/>
                <w:left w:val="none" w:sz="0" w:space="0" w:color="auto"/>
                <w:bottom w:val="none" w:sz="0" w:space="0" w:color="auto"/>
                <w:right w:val="none" w:sz="0" w:space="0" w:color="auto"/>
              </w:divBdr>
            </w:div>
          </w:divsChild>
        </w:div>
        <w:div w:id="2004046001">
          <w:marLeft w:val="0"/>
          <w:marRight w:val="0"/>
          <w:marTop w:val="0"/>
          <w:marBottom w:val="0"/>
          <w:divBdr>
            <w:top w:val="none" w:sz="0" w:space="0" w:color="auto"/>
            <w:left w:val="none" w:sz="0" w:space="0" w:color="auto"/>
            <w:bottom w:val="none" w:sz="0" w:space="0" w:color="auto"/>
            <w:right w:val="none" w:sz="0" w:space="0" w:color="auto"/>
          </w:divBdr>
          <w:divsChild>
            <w:div w:id="810709373">
              <w:marLeft w:val="0"/>
              <w:marRight w:val="0"/>
              <w:marTop w:val="0"/>
              <w:marBottom w:val="0"/>
              <w:divBdr>
                <w:top w:val="none" w:sz="0" w:space="0" w:color="auto"/>
                <w:left w:val="none" w:sz="0" w:space="0" w:color="auto"/>
                <w:bottom w:val="none" w:sz="0" w:space="0" w:color="auto"/>
                <w:right w:val="none" w:sz="0" w:space="0" w:color="auto"/>
              </w:divBdr>
            </w:div>
          </w:divsChild>
        </w:div>
        <w:div w:id="2037189527">
          <w:marLeft w:val="0"/>
          <w:marRight w:val="0"/>
          <w:marTop w:val="0"/>
          <w:marBottom w:val="0"/>
          <w:divBdr>
            <w:top w:val="none" w:sz="0" w:space="0" w:color="auto"/>
            <w:left w:val="none" w:sz="0" w:space="0" w:color="auto"/>
            <w:bottom w:val="none" w:sz="0" w:space="0" w:color="auto"/>
            <w:right w:val="none" w:sz="0" w:space="0" w:color="auto"/>
          </w:divBdr>
          <w:divsChild>
            <w:div w:id="694843807">
              <w:marLeft w:val="0"/>
              <w:marRight w:val="0"/>
              <w:marTop w:val="0"/>
              <w:marBottom w:val="0"/>
              <w:divBdr>
                <w:top w:val="none" w:sz="0" w:space="0" w:color="auto"/>
                <w:left w:val="none" w:sz="0" w:space="0" w:color="auto"/>
                <w:bottom w:val="none" w:sz="0" w:space="0" w:color="auto"/>
                <w:right w:val="none" w:sz="0" w:space="0" w:color="auto"/>
              </w:divBdr>
            </w:div>
          </w:divsChild>
        </w:div>
        <w:div w:id="2042314483">
          <w:marLeft w:val="0"/>
          <w:marRight w:val="0"/>
          <w:marTop w:val="0"/>
          <w:marBottom w:val="0"/>
          <w:divBdr>
            <w:top w:val="none" w:sz="0" w:space="0" w:color="auto"/>
            <w:left w:val="none" w:sz="0" w:space="0" w:color="auto"/>
            <w:bottom w:val="none" w:sz="0" w:space="0" w:color="auto"/>
            <w:right w:val="none" w:sz="0" w:space="0" w:color="auto"/>
          </w:divBdr>
          <w:divsChild>
            <w:div w:id="1458572212">
              <w:marLeft w:val="0"/>
              <w:marRight w:val="0"/>
              <w:marTop w:val="0"/>
              <w:marBottom w:val="0"/>
              <w:divBdr>
                <w:top w:val="none" w:sz="0" w:space="0" w:color="auto"/>
                <w:left w:val="none" w:sz="0" w:space="0" w:color="auto"/>
                <w:bottom w:val="none" w:sz="0" w:space="0" w:color="auto"/>
                <w:right w:val="none" w:sz="0" w:space="0" w:color="auto"/>
              </w:divBdr>
            </w:div>
          </w:divsChild>
        </w:div>
        <w:div w:id="2064059725">
          <w:marLeft w:val="0"/>
          <w:marRight w:val="0"/>
          <w:marTop w:val="0"/>
          <w:marBottom w:val="0"/>
          <w:divBdr>
            <w:top w:val="none" w:sz="0" w:space="0" w:color="auto"/>
            <w:left w:val="none" w:sz="0" w:space="0" w:color="auto"/>
            <w:bottom w:val="none" w:sz="0" w:space="0" w:color="auto"/>
            <w:right w:val="none" w:sz="0" w:space="0" w:color="auto"/>
          </w:divBdr>
          <w:divsChild>
            <w:div w:id="1451245385">
              <w:marLeft w:val="0"/>
              <w:marRight w:val="0"/>
              <w:marTop w:val="0"/>
              <w:marBottom w:val="0"/>
              <w:divBdr>
                <w:top w:val="none" w:sz="0" w:space="0" w:color="auto"/>
                <w:left w:val="none" w:sz="0" w:space="0" w:color="auto"/>
                <w:bottom w:val="none" w:sz="0" w:space="0" w:color="auto"/>
                <w:right w:val="none" w:sz="0" w:space="0" w:color="auto"/>
              </w:divBdr>
            </w:div>
          </w:divsChild>
        </w:div>
        <w:div w:id="2121870861">
          <w:marLeft w:val="0"/>
          <w:marRight w:val="0"/>
          <w:marTop w:val="0"/>
          <w:marBottom w:val="0"/>
          <w:divBdr>
            <w:top w:val="none" w:sz="0" w:space="0" w:color="auto"/>
            <w:left w:val="none" w:sz="0" w:space="0" w:color="auto"/>
            <w:bottom w:val="none" w:sz="0" w:space="0" w:color="auto"/>
            <w:right w:val="none" w:sz="0" w:space="0" w:color="auto"/>
          </w:divBdr>
          <w:divsChild>
            <w:div w:id="9120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38093395">
      <w:bodyDiv w:val="1"/>
      <w:marLeft w:val="0"/>
      <w:marRight w:val="0"/>
      <w:marTop w:val="0"/>
      <w:marBottom w:val="0"/>
      <w:divBdr>
        <w:top w:val="none" w:sz="0" w:space="0" w:color="auto"/>
        <w:left w:val="none" w:sz="0" w:space="0" w:color="auto"/>
        <w:bottom w:val="none" w:sz="0" w:space="0" w:color="auto"/>
        <w:right w:val="none" w:sz="0" w:space="0" w:color="auto"/>
      </w:divBdr>
    </w:div>
    <w:div w:id="58016510">
      <w:bodyDiv w:val="1"/>
      <w:marLeft w:val="0"/>
      <w:marRight w:val="0"/>
      <w:marTop w:val="0"/>
      <w:marBottom w:val="0"/>
      <w:divBdr>
        <w:top w:val="none" w:sz="0" w:space="0" w:color="auto"/>
        <w:left w:val="none" w:sz="0" w:space="0" w:color="auto"/>
        <w:bottom w:val="none" w:sz="0" w:space="0" w:color="auto"/>
        <w:right w:val="none" w:sz="0" w:space="0" w:color="auto"/>
      </w:divBdr>
      <w:divsChild>
        <w:div w:id="10840188">
          <w:marLeft w:val="0"/>
          <w:marRight w:val="0"/>
          <w:marTop w:val="0"/>
          <w:marBottom w:val="0"/>
          <w:divBdr>
            <w:top w:val="none" w:sz="0" w:space="0" w:color="auto"/>
            <w:left w:val="none" w:sz="0" w:space="0" w:color="auto"/>
            <w:bottom w:val="none" w:sz="0" w:space="0" w:color="auto"/>
            <w:right w:val="none" w:sz="0" w:space="0" w:color="auto"/>
          </w:divBdr>
          <w:divsChild>
            <w:div w:id="2041709214">
              <w:marLeft w:val="0"/>
              <w:marRight w:val="0"/>
              <w:marTop w:val="0"/>
              <w:marBottom w:val="0"/>
              <w:divBdr>
                <w:top w:val="none" w:sz="0" w:space="0" w:color="auto"/>
                <w:left w:val="none" w:sz="0" w:space="0" w:color="auto"/>
                <w:bottom w:val="none" w:sz="0" w:space="0" w:color="auto"/>
                <w:right w:val="none" w:sz="0" w:space="0" w:color="auto"/>
              </w:divBdr>
            </w:div>
          </w:divsChild>
        </w:div>
        <w:div w:id="11227907">
          <w:marLeft w:val="0"/>
          <w:marRight w:val="0"/>
          <w:marTop w:val="0"/>
          <w:marBottom w:val="0"/>
          <w:divBdr>
            <w:top w:val="none" w:sz="0" w:space="0" w:color="auto"/>
            <w:left w:val="none" w:sz="0" w:space="0" w:color="auto"/>
            <w:bottom w:val="none" w:sz="0" w:space="0" w:color="auto"/>
            <w:right w:val="none" w:sz="0" w:space="0" w:color="auto"/>
          </w:divBdr>
          <w:divsChild>
            <w:div w:id="1266963869">
              <w:marLeft w:val="0"/>
              <w:marRight w:val="0"/>
              <w:marTop w:val="0"/>
              <w:marBottom w:val="0"/>
              <w:divBdr>
                <w:top w:val="none" w:sz="0" w:space="0" w:color="auto"/>
                <w:left w:val="none" w:sz="0" w:space="0" w:color="auto"/>
                <w:bottom w:val="none" w:sz="0" w:space="0" w:color="auto"/>
                <w:right w:val="none" w:sz="0" w:space="0" w:color="auto"/>
              </w:divBdr>
            </w:div>
          </w:divsChild>
        </w:div>
        <w:div w:id="12154292">
          <w:marLeft w:val="0"/>
          <w:marRight w:val="0"/>
          <w:marTop w:val="0"/>
          <w:marBottom w:val="0"/>
          <w:divBdr>
            <w:top w:val="none" w:sz="0" w:space="0" w:color="auto"/>
            <w:left w:val="none" w:sz="0" w:space="0" w:color="auto"/>
            <w:bottom w:val="none" w:sz="0" w:space="0" w:color="auto"/>
            <w:right w:val="none" w:sz="0" w:space="0" w:color="auto"/>
          </w:divBdr>
          <w:divsChild>
            <w:div w:id="791094918">
              <w:marLeft w:val="0"/>
              <w:marRight w:val="0"/>
              <w:marTop w:val="0"/>
              <w:marBottom w:val="0"/>
              <w:divBdr>
                <w:top w:val="none" w:sz="0" w:space="0" w:color="auto"/>
                <w:left w:val="none" w:sz="0" w:space="0" w:color="auto"/>
                <w:bottom w:val="none" w:sz="0" w:space="0" w:color="auto"/>
                <w:right w:val="none" w:sz="0" w:space="0" w:color="auto"/>
              </w:divBdr>
            </w:div>
          </w:divsChild>
        </w:div>
        <w:div w:id="26638061">
          <w:marLeft w:val="0"/>
          <w:marRight w:val="0"/>
          <w:marTop w:val="0"/>
          <w:marBottom w:val="0"/>
          <w:divBdr>
            <w:top w:val="none" w:sz="0" w:space="0" w:color="auto"/>
            <w:left w:val="none" w:sz="0" w:space="0" w:color="auto"/>
            <w:bottom w:val="none" w:sz="0" w:space="0" w:color="auto"/>
            <w:right w:val="none" w:sz="0" w:space="0" w:color="auto"/>
          </w:divBdr>
          <w:divsChild>
            <w:div w:id="1820268462">
              <w:marLeft w:val="0"/>
              <w:marRight w:val="0"/>
              <w:marTop w:val="0"/>
              <w:marBottom w:val="0"/>
              <w:divBdr>
                <w:top w:val="none" w:sz="0" w:space="0" w:color="auto"/>
                <w:left w:val="none" w:sz="0" w:space="0" w:color="auto"/>
                <w:bottom w:val="none" w:sz="0" w:space="0" w:color="auto"/>
                <w:right w:val="none" w:sz="0" w:space="0" w:color="auto"/>
              </w:divBdr>
            </w:div>
          </w:divsChild>
        </w:div>
        <w:div w:id="34698199">
          <w:marLeft w:val="0"/>
          <w:marRight w:val="0"/>
          <w:marTop w:val="0"/>
          <w:marBottom w:val="0"/>
          <w:divBdr>
            <w:top w:val="none" w:sz="0" w:space="0" w:color="auto"/>
            <w:left w:val="none" w:sz="0" w:space="0" w:color="auto"/>
            <w:bottom w:val="none" w:sz="0" w:space="0" w:color="auto"/>
            <w:right w:val="none" w:sz="0" w:space="0" w:color="auto"/>
          </w:divBdr>
          <w:divsChild>
            <w:div w:id="1435442455">
              <w:marLeft w:val="0"/>
              <w:marRight w:val="0"/>
              <w:marTop w:val="0"/>
              <w:marBottom w:val="0"/>
              <w:divBdr>
                <w:top w:val="none" w:sz="0" w:space="0" w:color="auto"/>
                <w:left w:val="none" w:sz="0" w:space="0" w:color="auto"/>
                <w:bottom w:val="none" w:sz="0" w:space="0" w:color="auto"/>
                <w:right w:val="none" w:sz="0" w:space="0" w:color="auto"/>
              </w:divBdr>
            </w:div>
          </w:divsChild>
        </w:div>
        <w:div w:id="56977616">
          <w:marLeft w:val="0"/>
          <w:marRight w:val="0"/>
          <w:marTop w:val="0"/>
          <w:marBottom w:val="0"/>
          <w:divBdr>
            <w:top w:val="none" w:sz="0" w:space="0" w:color="auto"/>
            <w:left w:val="none" w:sz="0" w:space="0" w:color="auto"/>
            <w:bottom w:val="none" w:sz="0" w:space="0" w:color="auto"/>
            <w:right w:val="none" w:sz="0" w:space="0" w:color="auto"/>
          </w:divBdr>
          <w:divsChild>
            <w:div w:id="778381131">
              <w:marLeft w:val="0"/>
              <w:marRight w:val="0"/>
              <w:marTop w:val="0"/>
              <w:marBottom w:val="0"/>
              <w:divBdr>
                <w:top w:val="none" w:sz="0" w:space="0" w:color="auto"/>
                <w:left w:val="none" w:sz="0" w:space="0" w:color="auto"/>
                <w:bottom w:val="none" w:sz="0" w:space="0" w:color="auto"/>
                <w:right w:val="none" w:sz="0" w:space="0" w:color="auto"/>
              </w:divBdr>
            </w:div>
          </w:divsChild>
        </w:div>
        <w:div w:id="60561053">
          <w:marLeft w:val="0"/>
          <w:marRight w:val="0"/>
          <w:marTop w:val="0"/>
          <w:marBottom w:val="0"/>
          <w:divBdr>
            <w:top w:val="none" w:sz="0" w:space="0" w:color="auto"/>
            <w:left w:val="none" w:sz="0" w:space="0" w:color="auto"/>
            <w:bottom w:val="none" w:sz="0" w:space="0" w:color="auto"/>
            <w:right w:val="none" w:sz="0" w:space="0" w:color="auto"/>
          </w:divBdr>
          <w:divsChild>
            <w:div w:id="779253722">
              <w:marLeft w:val="0"/>
              <w:marRight w:val="0"/>
              <w:marTop w:val="0"/>
              <w:marBottom w:val="0"/>
              <w:divBdr>
                <w:top w:val="none" w:sz="0" w:space="0" w:color="auto"/>
                <w:left w:val="none" w:sz="0" w:space="0" w:color="auto"/>
                <w:bottom w:val="none" w:sz="0" w:space="0" w:color="auto"/>
                <w:right w:val="none" w:sz="0" w:space="0" w:color="auto"/>
              </w:divBdr>
            </w:div>
          </w:divsChild>
        </w:div>
        <w:div w:id="62683120">
          <w:marLeft w:val="0"/>
          <w:marRight w:val="0"/>
          <w:marTop w:val="0"/>
          <w:marBottom w:val="0"/>
          <w:divBdr>
            <w:top w:val="none" w:sz="0" w:space="0" w:color="auto"/>
            <w:left w:val="none" w:sz="0" w:space="0" w:color="auto"/>
            <w:bottom w:val="none" w:sz="0" w:space="0" w:color="auto"/>
            <w:right w:val="none" w:sz="0" w:space="0" w:color="auto"/>
          </w:divBdr>
          <w:divsChild>
            <w:div w:id="1348749644">
              <w:marLeft w:val="0"/>
              <w:marRight w:val="0"/>
              <w:marTop w:val="0"/>
              <w:marBottom w:val="0"/>
              <w:divBdr>
                <w:top w:val="none" w:sz="0" w:space="0" w:color="auto"/>
                <w:left w:val="none" w:sz="0" w:space="0" w:color="auto"/>
                <w:bottom w:val="none" w:sz="0" w:space="0" w:color="auto"/>
                <w:right w:val="none" w:sz="0" w:space="0" w:color="auto"/>
              </w:divBdr>
            </w:div>
          </w:divsChild>
        </w:div>
        <w:div w:id="63068225">
          <w:marLeft w:val="0"/>
          <w:marRight w:val="0"/>
          <w:marTop w:val="0"/>
          <w:marBottom w:val="0"/>
          <w:divBdr>
            <w:top w:val="none" w:sz="0" w:space="0" w:color="auto"/>
            <w:left w:val="none" w:sz="0" w:space="0" w:color="auto"/>
            <w:bottom w:val="none" w:sz="0" w:space="0" w:color="auto"/>
            <w:right w:val="none" w:sz="0" w:space="0" w:color="auto"/>
          </w:divBdr>
          <w:divsChild>
            <w:div w:id="2068915002">
              <w:marLeft w:val="0"/>
              <w:marRight w:val="0"/>
              <w:marTop w:val="0"/>
              <w:marBottom w:val="0"/>
              <w:divBdr>
                <w:top w:val="none" w:sz="0" w:space="0" w:color="auto"/>
                <w:left w:val="none" w:sz="0" w:space="0" w:color="auto"/>
                <w:bottom w:val="none" w:sz="0" w:space="0" w:color="auto"/>
                <w:right w:val="none" w:sz="0" w:space="0" w:color="auto"/>
              </w:divBdr>
            </w:div>
          </w:divsChild>
        </w:div>
        <w:div w:id="67000289">
          <w:marLeft w:val="0"/>
          <w:marRight w:val="0"/>
          <w:marTop w:val="0"/>
          <w:marBottom w:val="0"/>
          <w:divBdr>
            <w:top w:val="none" w:sz="0" w:space="0" w:color="auto"/>
            <w:left w:val="none" w:sz="0" w:space="0" w:color="auto"/>
            <w:bottom w:val="none" w:sz="0" w:space="0" w:color="auto"/>
            <w:right w:val="none" w:sz="0" w:space="0" w:color="auto"/>
          </w:divBdr>
          <w:divsChild>
            <w:div w:id="684408529">
              <w:marLeft w:val="0"/>
              <w:marRight w:val="0"/>
              <w:marTop w:val="0"/>
              <w:marBottom w:val="0"/>
              <w:divBdr>
                <w:top w:val="none" w:sz="0" w:space="0" w:color="auto"/>
                <w:left w:val="none" w:sz="0" w:space="0" w:color="auto"/>
                <w:bottom w:val="none" w:sz="0" w:space="0" w:color="auto"/>
                <w:right w:val="none" w:sz="0" w:space="0" w:color="auto"/>
              </w:divBdr>
            </w:div>
          </w:divsChild>
        </w:div>
        <w:div w:id="115024403">
          <w:marLeft w:val="0"/>
          <w:marRight w:val="0"/>
          <w:marTop w:val="0"/>
          <w:marBottom w:val="0"/>
          <w:divBdr>
            <w:top w:val="none" w:sz="0" w:space="0" w:color="auto"/>
            <w:left w:val="none" w:sz="0" w:space="0" w:color="auto"/>
            <w:bottom w:val="none" w:sz="0" w:space="0" w:color="auto"/>
            <w:right w:val="none" w:sz="0" w:space="0" w:color="auto"/>
          </w:divBdr>
          <w:divsChild>
            <w:div w:id="961031258">
              <w:marLeft w:val="0"/>
              <w:marRight w:val="0"/>
              <w:marTop w:val="0"/>
              <w:marBottom w:val="0"/>
              <w:divBdr>
                <w:top w:val="none" w:sz="0" w:space="0" w:color="auto"/>
                <w:left w:val="none" w:sz="0" w:space="0" w:color="auto"/>
                <w:bottom w:val="none" w:sz="0" w:space="0" w:color="auto"/>
                <w:right w:val="none" w:sz="0" w:space="0" w:color="auto"/>
              </w:divBdr>
            </w:div>
          </w:divsChild>
        </w:div>
        <w:div w:id="115487087">
          <w:marLeft w:val="0"/>
          <w:marRight w:val="0"/>
          <w:marTop w:val="0"/>
          <w:marBottom w:val="0"/>
          <w:divBdr>
            <w:top w:val="none" w:sz="0" w:space="0" w:color="auto"/>
            <w:left w:val="none" w:sz="0" w:space="0" w:color="auto"/>
            <w:bottom w:val="none" w:sz="0" w:space="0" w:color="auto"/>
            <w:right w:val="none" w:sz="0" w:space="0" w:color="auto"/>
          </w:divBdr>
          <w:divsChild>
            <w:div w:id="753353806">
              <w:marLeft w:val="0"/>
              <w:marRight w:val="0"/>
              <w:marTop w:val="0"/>
              <w:marBottom w:val="0"/>
              <w:divBdr>
                <w:top w:val="none" w:sz="0" w:space="0" w:color="auto"/>
                <w:left w:val="none" w:sz="0" w:space="0" w:color="auto"/>
                <w:bottom w:val="none" w:sz="0" w:space="0" w:color="auto"/>
                <w:right w:val="none" w:sz="0" w:space="0" w:color="auto"/>
              </w:divBdr>
            </w:div>
          </w:divsChild>
        </w:div>
        <w:div w:id="144011659">
          <w:marLeft w:val="0"/>
          <w:marRight w:val="0"/>
          <w:marTop w:val="0"/>
          <w:marBottom w:val="0"/>
          <w:divBdr>
            <w:top w:val="none" w:sz="0" w:space="0" w:color="auto"/>
            <w:left w:val="none" w:sz="0" w:space="0" w:color="auto"/>
            <w:bottom w:val="none" w:sz="0" w:space="0" w:color="auto"/>
            <w:right w:val="none" w:sz="0" w:space="0" w:color="auto"/>
          </w:divBdr>
          <w:divsChild>
            <w:div w:id="89594308">
              <w:marLeft w:val="0"/>
              <w:marRight w:val="0"/>
              <w:marTop w:val="0"/>
              <w:marBottom w:val="0"/>
              <w:divBdr>
                <w:top w:val="none" w:sz="0" w:space="0" w:color="auto"/>
                <w:left w:val="none" w:sz="0" w:space="0" w:color="auto"/>
                <w:bottom w:val="none" w:sz="0" w:space="0" w:color="auto"/>
                <w:right w:val="none" w:sz="0" w:space="0" w:color="auto"/>
              </w:divBdr>
            </w:div>
          </w:divsChild>
        </w:div>
        <w:div w:id="147212276">
          <w:marLeft w:val="0"/>
          <w:marRight w:val="0"/>
          <w:marTop w:val="0"/>
          <w:marBottom w:val="0"/>
          <w:divBdr>
            <w:top w:val="none" w:sz="0" w:space="0" w:color="auto"/>
            <w:left w:val="none" w:sz="0" w:space="0" w:color="auto"/>
            <w:bottom w:val="none" w:sz="0" w:space="0" w:color="auto"/>
            <w:right w:val="none" w:sz="0" w:space="0" w:color="auto"/>
          </w:divBdr>
          <w:divsChild>
            <w:div w:id="32385447">
              <w:marLeft w:val="0"/>
              <w:marRight w:val="0"/>
              <w:marTop w:val="0"/>
              <w:marBottom w:val="0"/>
              <w:divBdr>
                <w:top w:val="none" w:sz="0" w:space="0" w:color="auto"/>
                <w:left w:val="none" w:sz="0" w:space="0" w:color="auto"/>
                <w:bottom w:val="none" w:sz="0" w:space="0" w:color="auto"/>
                <w:right w:val="none" w:sz="0" w:space="0" w:color="auto"/>
              </w:divBdr>
            </w:div>
          </w:divsChild>
        </w:div>
        <w:div w:id="154150148">
          <w:marLeft w:val="0"/>
          <w:marRight w:val="0"/>
          <w:marTop w:val="0"/>
          <w:marBottom w:val="0"/>
          <w:divBdr>
            <w:top w:val="none" w:sz="0" w:space="0" w:color="auto"/>
            <w:left w:val="none" w:sz="0" w:space="0" w:color="auto"/>
            <w:bottom w:val="none" w:sz="0" w:space="0" w:color="auto"/>
            <w:right w:val="none" w:sz="0" w:space="0" w:color="auto"/>
          </w:divBdr>
          <w:divsChild>
            <w:div w:id="1475172915">
              <w:marLeft w:val="0"/>
              <w:marRight w:val="0"/>
              <w:marTop w:val="0"/>
              <w:marBottom w:val="0"/>
              <w:divBdr>
                <w:top w:val="none" w:sz="0" w:space="0" w:color="auto"/>
                <w:left w:val="none" w:sz="0" w:space="0" w:color="auto"/>
                <w:bottom w:val="none" w:sz="0" w:space="0" w:color="auto"/>
                <w:right w:val="none" w:sz="0" w:space="0" w:color="auto"/>
              </w:divBdr>
            </w:div>
          </w:divsChild>
        </w:div>
        <w:div w:id="162161797">
          <w:marLeft w:val="0"/>
          <w:marRight w:val="0"/>
          <w:marTop w:val="0"/>
          <w:marBottom w:val="0"/>
          <w:divBdr>
            <w:top w:val="none" w:sz="0" w:space="0" w:color="auto"/>
            <w:left w:val="none" w:sz="0" w:space="0" w:color="auto"/>
            <w:bottom w:val="none" w:sz="0" w:space="0" w:color="auto"/>
            <w:right w:val="none" w:sz="0" w:space="0" w:color="auto"/>
          </w:divBdr>
          <w:divsChild>
            <w:div w:id="591861582">
              <w:marLeft w:val="0"/>
              <w:marRight w:val="0"/>
              <w:marTop w:val="0"/>
              <w:marBottom w:val="0"/>
              <w:divBdr>
                <w:top w:val="none" w:sz="0" w:space="0" w:color="auto"/>
                <w:left w:val="none" w:sz="0" w:space="0" w:color="auto"/>
                <w:bottom w:val="none" w:sz="0" w:space="0" w:color="auto"/>
                <w:right w:val="none" w:sz="0" w:space="0" w:color="auto"/>
              </w:divBdr>
            </w:div>
          </w:divsChild>
        </w:div>
        <w:div w:id="165632488">
          <w:marLeft w:val="0"/>
          <w:marRight w:val="0"/>
          <w:marTop w:val="0"/>
          <w:marBottom w:val="0"/>
          <w:divBdr>
            <w:top w:val="none" w:sz="0" w:space="0" w:color="auto"/>
            <w:left w:val="none" w:sz="0" w:space="0" w:color="auto"/>
            <w:bottom w:val="none" w:sz="0" w:space="0" w:color="auto"/>
            <w:right w:val="none" w:sz="0" w:space="0" w:color="auto"/>
          </w:divBdr>
          <w:divsChild>
            <w:div w:id="167866319">
              <w:marLeft w:val="0"/>
              <w:marRight w:val="0"/>
              <w:marTop w:val="0"/>
              <w:marBottom w:val="0"/>
              <w:divBdr>
                <w:top w:val="none" w:sz="0" w:space="0" w:color="auto"/>
                <w:left w:val="none" w:sz="0" w:space="0" w:color="auto"/>
                <w:bottom w:val="none" w:sz="0" w:space="0" w:color="auto"/>
                <w:right w:val="none" w:sz="0" w:space="0" w:color="auto"/>
              </w:divBdr>
            </w:div>
          </w:divsChild>
        </w:div>
        <w:div w:id="171339796">
          <w:marLeft w:val="0"/>
          <w:marRight w:val="0"/>
          <w:marTop w:val="0"/>
          <w:marBottom w:val="0"/>
          <w:divBdr>
            <w:top w:val="none" w:sz="0" w:space="0" w:color="auto"/>
            <w:left w:val="none" w:sz="0" w:space="0" w:color="auto"/>
            <w:bottom w:val="none" w:sz="0" w:space="0" w:color="auto"/>
            <w:right w:val="none" w:sz="0" w:space="0" w:color="auto"/>
          </w:divBdr>
          <w:divsChild>
            <w:div w:id="1262371077">
              <w:marLeft w:val="0"/>
              <w:marRight w:val="0"/>
              <w:marTop w:val="0"/>
              <w:marBottom w:val="0"/>
              <w:divBdr>
                <w:top w:val="none" w:sz="0" w:space="0" w:color="auto"/>
                <w:left w:val="none" w:sz="0" w:space="0" w:color="auto"/>
                <w:bottom w:val="none" w:sz="0" w:space="0" w:color="auto"/>
                <w:right w:val="none" w:sz="0" w:space="0" w:color="auto"/>
              </w:divBdr>
            </w:div>
          </w:divsChild>
        </w:div>
        <w:div w:id="200868171">
          <w:marLeft w:val="0"/>
          <w:marRight w:val="0"/>
          <w:marTop w:val="0"/>
          <w:marBottom w:val="0"/>
          <w:divBdr>
            <w:top w:val="none" w:sz="0" w:space="0" w:color="auto"/>
            <w:left w:val="none" w:sz="0" w:space="0" w:color="auto"/>
            <w:bottom w:val="none" w:sz="0" w:space="0" w:color="auto"/>
            <w:right w:val="none" w:sz="0" w:space="0" w:color="auto"/>
          </w:divBdr>
          <w:divsChild>
            <w:div w:id="466243883">
              <w:marLeft w:val="0"/>
              <w:marRight w:val="0"/>
              <w:marTop w:val="0"/>
              <w:marBottom w:val="0"/>
              <w:divBdr>
                <w:top w:val="none" w:sz="0" w:space="0" w:color="auto"/>
                <w:left w:val="none" w:sz="0" w:space="0" w:color="auto"/>
                <w:bottom w:val="none" w:sz="0" w:space="0" w:color="auto"/>
                <w:right w:val="none" w:sz="0" w:space="0" w:color="auto"/>
              </w:divBdr>
            </w:div>
          </w:divsChild>
        </w:div>
        <w:div w:id="204105160">
          <w:marLeft w:val="0"/>
          <w:marRight w:val="0"/>
          <w:marTop w:val="0"/>
          <w:marBottom w:val="0"/>
          <w:divBdr>
            <w:top w:val="none" w:sz="0" w:space="0" w:color="auto"/>
            <w:left w:val="none" w:sz="0" w:space="0" w:color="auto"/>
            <w:bottom w:val="none" w:sz="0" w:space="0" w:color="auto"/>
            <w:right w:val="none" w:sz="0" w:space="0" w:color="auto"/>
          </w:divBdr>
          <w:divsChild>
            <w:div w:id="1133137369">
              <w:marLeft w:val="0"/>
              <w:marRight w:val="0"/>
              <w:marTop w:val="0"/>
              <w:marBottom w:val="0"/>
              <w:divBdr>
                <w:top w:val="none" w:sz="0" w:space="0" w:color="auto"/>
                <w:left w:val="none" w:sz="0" w:space="0" w:color="auto"/>
                <w:bottom w:val="none" w:sz="0" w:space="0" w:color="auto"/>
                <w:right w:val="none" w:sz="0" w:space="0" w:color="auto"/>
              </w:divBdr>
            </w:div>
          </w:divsChild>
        </w:div>
        <w:div w:id="208346151">
          <w:marLeft w:val="0"/>
          <w:marRight w:val="0"/>
          <w:marTop w:val="0"/>
          <w:marBottom w:val="0"/>
          <w:divBdr>
            <w:top w:val="none" w:sz="0" w:space="0" w:color="auto"/>
            <w:left w:val="none" w:sz="0" w:space="0" w:color="auto"/>
            <w:bottom w:val="none" w:sz="0" w:space="0" w:color="auto"/>
            <w:right w:val="none" w:sz="0" w:space="0" w:color="auto"/>
          </w:divBdr>
          <w:divsChild>
            <w:div w:id="1653677512">
              <w:marLeft w:val="0"/>
              <w:marRight w:val="0"/>
              <w:marTop w:val="0"/>
              <w:marBottom w:val="0"/>
              <w:divBdr>
                <w:top w:val="none" w:sz="0" w:space="0" w:color="auto"/>
                <w:left w:val="none" w:sz="0" w:space="0" w:color="auto"/>
                <w:bottom w:val="none" w:sz="0" w:space="0" w:color="auto"/>
                <w:right w:val="none" w:sz="0" w:space="0" w:color="auto"/>
              </w:divBdr>
            </w:div>
          </w:divsChild>
        </w:div>
        <w:div w:id="218782288">
          <w:marLeft w:val="0"/>
          <w:marRight w:val="0"/>
          <w:marTop w:val="0"/>
          <w:marBottom w:val="0"/>
          <w:divBdr>
            <w:top w:val="none" w:sz="0" w:space="0" w:color="auto"/>
            <w:left w:val="none" w:sz="0" w:space="0" w:color="auto"/>
            <w:bottom w:val="none" w:sz="0" w:space="0" w:color="auto"/>
            <w:right w:val="none" w:sz="0" w:space="0" w:color="auto"/>
          </w:divBdr>
          <w:divsChild>
            <w:div w:id="1052851408">
              <w:marLeft w:val="0"/>
              <w:marRight w:val="0"/>
              <w:marTop w:val="0"/>
              <w:marBottom w:val="0"/>
              <w:divBdr>
                <w:top w:val="none" w:sz="0" w:space="0" w:color="auto"/>
                <w:left w:val="none" w:sz="0" w:space="0" w:color="auto"/>
                <w:bottom w:val="none" w:sz="0" w:space="0" w:color="auto"/>
                <w:right w:val="none" w:sz="0" w:space="0" w:color="auto"/>
              </w:divBdr>
            </w:div>
          </w:divsChild>
        </w:div>
        <w:div w:id="262305557">
          <w:marLeft w:val="0"/>
          <w:marRight w:val="0"/>
          <w:marTop w:val="0"/>
          <w:marBottom w:val="0"/>
          <w:divBdr>
            <w:top w:val="none" w:sz="0" w:space="0" w:color="auto"/>
            <w:left w:val="none" w:sz="0" w:space="0" w:color="auto"/>
            <w:bottom w:val="none" w:sz="0" w:space="0" w:color="auto"/>
            <w:right w:val="none" w:sz="0" w:space="0" w:color="auto"/>
          </w:divBdr>
          <w:divsChild>
            <w:div w:id="399595697">
              <w:marLeft w:val="0"/>
              <w:marRight w:val="0"/>
              <w:marTop w:val="0"/>
              <w:marBottom w:val="0"/>
              <w:divBdr>
                <w:top w:val="none" w:sz="0" w:space="0" w:color="auto"/>
                <w:left w:val="none" w:sz="0" w:space="0" w:color="auto"/>
                <w:bottom w:val="none" w:sz="0" w:space="0" w:color="auto"/>
                <w:right w:val="none" w:sz="0" w:space="0" w:color="auto"/>
              </w:divBdr>
            </w:div>
          </w:divsChild>
        </w:div>
        <w:div w:id="266427659">
          <w:marLeft w:val="0"/>
          <w:marRight w:val="0"/>
          <w:marTop w:val="0"/>
          <w:marBottom w:val="0"/>
          <w:divBdr>
            <w:top w:val="none" w:sz="0" w:space="0" w:color="auto"/>
            <w:left w:val="none" w:sz="0" w:space="0" w:color="auto"/>
            <w:bottom w:val="none" w:sz="0" w:space="0" w:color="auto"/>
            <w:right w:val="none" w:sz="0" w:space="0" w:color="auto"/>
          </w:divBdr>
          <w:divsChild>
            <w:div w:id="1367146556">
              <w:marLeft w:val="0"/>
              <w:marRight w:val="0"/>
              <w:marTop w:val="0"/>
              <w:marBottom w:val="0"/>
              <w:divBdr>
                <w:top w:val="none" w:sz="0" w:space="0" w:color="auto"/>
                <w:left w:val="none" w:sz="0" w:space="0" w:color="auto"/>
                <w:bottom w:val="none" w:sz="0" w:space="0" w:color="auto"/>
                <w:right w:val="none" w:sz="0" w:space="0" w:color="auto"/>
              </w:divBdr>
            </w:div>
          </w:divsChild>
        </w:div>
        <w:div w:id="317072946">
          <w:marLeft w:val="0"/>
          <w:marRight w:val="0"/>
          <w:marTop w:val="0"/>
          <w:marBottom w:val="0"/>
          <w:divBdr>
            <w:top w:val="none" w:sz="0" w:space="0" w:color="auto"/>
            <w:left w:val="none" w:sz="0" w:space="0" w:color="auto"/>
            <w:bottom w:val="none" w:sz="0" w:space="0" w:color="auto"/>
            <w:right w:val="none" w:sz="0" w:space="0" w:color="auto"/>
          </w:divBdr>
          <w:divsChild>
            <w:div w:id="1010831488">
              <w:marLeft w:val="0"/>
              <w:marRight w:val="0"/>
              <w:marTop w:val="0"/>
              <w:marBottom w:val="0"/>
              <w:divBdr>
                <w:top w:val="none" w:sz="0" w:space="0" w:color="auto"/>
                <w:left w:val="none" w:sz="0" w:space="0" w:color="auto"/>
                <w:bottom w:val="none" w:sz="0" w:space="0" w:color="auto"/>
                <w:right w:val="none" w:sz="0" w:space="0" w:color="auto"/>
              </w:divBdr>
            </w:div>
          </w:divsChild>
        </w:div>
        <w:div w:id="322860399">
          <w:marLeft w:val="0"/>
          <w:marRight w:val="0"/>
          <w:marTop w:val="0"/>
          <w:marBottom w:val="0"/>
          <w:divBdr>
            <w:top w:val="none" w:sz="0" w:space="0" w:color="auto"/>
            <w:left w:val="none" w:sz="0" w:space="0" w:color="auto"/>
            <w:bottom w:val="none" w:sz="0" w:space="0" w:color="auto"/>
            <w:right w:val="none" w:sz="0" w:space="0" w:color="auto"/>
          </w:divBdr>
          <w:divsChild>
            <w:div w:id="2000307095">
              <w:marLeft w:val="0"/>
              <w:marRight w:val="0"/>
              <w:marTop w:val="0"/>
              <w:marBottom w:val="0"/>
              <w:divBdr>
                <w:top w:val="none" w:sz="0" w:space="0" w:color="auto"/>
                <w:left w:val="none" w:sz="0" w:space="0" w:color="auto"/>
                <w:bottom w:val="none" w:sz="0" w:space="0" w:color="auto"/>
                <w:right w:val="none" w:sz="0" w:space="0" w:color="auto"/>
              </w:divBdr>
            </w:div>
          </w:divsChild>
        </w:div>
        <w:div w:id="332951830">
          <w:marLeft w:val="0"/>
          <w:marRight w:val="0"/>
          <w:marTop w:val="0"/>
          <w:marBottom w:val="0"/>
          <w:divBdr>
            <w:top w:val="none" w:sz="0" w:space="0" w:color="auto"/>
            <w:left w:val="none" w:sz="0" w:space="0" w:color="auto"/>
            <w:bottom w:val="none" w:sz="0" w:space="0" w:color="auto"/>
            <w:right w:val="none" w:sz="0" w:space="0" w:color="auto"/>
          </w:divBdr>
          <w:divsChild>
            <w:div w:id="1744258797">
              <w:marLeft w:val="0"/>
              <w:marRight w:val="0"/>
              <w:marTop w:val="0"/>
              <w:marBottom w:val="0"/>
              <w:divBdr>
                <w:top w:val="none" w:sz="0" w:space="0" w:color="auto"/>
                <w:left w:val="none" w:sz="0" w:space="0" w:color="auto"/>
                <w:bottom w:val="none" w:sz="0" w:space="0" w:color="auto"/>
                <w:right w:val="none" w:sz="0" w:space="0" w:color="auto"/>
              </w:divBdr>
            </w:div>
          </w:divsChild>
        </w:div>
        <w:div w:id="349533431">
          <w:marLeft w:val="0"/>
          <w:marRight w:val="0"/>
          <w:marTop w:val="0"/>
          <w:marBottom w:val="0"/>
          <w:divBdr>
            <w:top w:val="none" w:sz="0" w:space="0" w:color="auto"/>
            <w:left w:val="none" w:sz="0" w:space="0" w:color="auto"/>
            <w:bottom w:val="none" w:sz="0" w:space="0" w:color="auto"/>
            <w:right w:val="none" w:sz="0" w:space="0" w:color="auto"/>
          </w:divBdr>
          <w:divsChild>
            <w:div w:id="903761135">
              <w:marLeft w:val="0"/>
              <w:marRight w:val="0"/>
              <w:marTop w:val="0"/>
              <w:marBottom w:val="0"/>
              <w:divBdr>
                <w:top w:val="none" w:sz="0" w:space="0" w:color="auto"/>
                <w:left w:val="none" w:sz="0" w:space="0" w:color="auto"/>
                <w:bottom w:val="none" w:sz="0" w:space="0" w:color="auto"/>
                <w:right w:val="none" w:sz="0" w:space="0" w:color="auto"/>
              </w:divBdr>
            </w:div>
          </w:divsChild>
        </w:div>
        <w:div w:id="368454100">
          <w:marLeft w:val="0"/>
          <w:marRight w:val="0"/>
          <w:marTop w:val="0"/>
          <w:marBottom w:val="0"/>
          <w:divBdr>
            <w:top w:val="none" w:sz="0" w:space="0" w:color="auto"/>
            <w:left w:val="none" w:sz="0" w:space="0" w:color="auto"/>
            <w:bottom w:val="none" w:sz="0" w:space="0" w:color="auto"/>
            <w:right w:val="none" w:sz="0" w:space="0" w:color="auto"/>
          </w:divBdr>
          <w:divsChild>
            <w:div w:id="1511405749">
              <w:marLeft w:val="0"/>
              <w:marRight w:val="0"/>
              <w:marTop w:val="0"/>
              <w:marBottom w:val="0"/>
              <w:divBdr>
                <w:top w:val="none" w:sz="0" w:space="0" w:color="auto"/>
                <w:left w:val="none" w:sz="0" w:space="0" w:color="auto"/>
                <w:bottom w:val="none" w:sz="0" w:space="0" w:color="auto"/>
                <w:right w:val="none" w:sz="0" w:space="0" w:color="auto"/>
              </w:divBdr>
            </w:div>
          </w:divsChild>
        </w:div>
        <w:div w:id="376667075">
          <w:marLeft w:val="0"/>
          <w:marRight w:val="0"/>
          <w:marTop w:val="0"/>
          <w:marBottom w:val="0"/>
          <w:divBdr>
            <w:top w:val="none" w:sz="0" w:space="0" w:color="auto"/>
            <w:left w:val="none" w:sz="0" w:space="0" w:color="auto"/>
            <w:bottom w:val="none" w:sz="0" w:space="0" w:color="auto"/>
            <w:right w:val="none" w:sz="0" w:space="0" w:color="auto"/>
          </w:divBdr>
          <w:divsChild>
            <w:div w:id="2028748531">
              <w:marLeft w:val="0"/>
              <w:marRight w:val="0"/>
              <w:marTop w:val="0"/>
              <w:marBottom w:val="0"/>
              <w:divBdr>
                <w:top w:val="none" w:sz="0" w:space="0" w:color="auto"/>
                <w:left w:val="none" w:sz="0" w:space="0" w:color="auto"/>
                <w:bottom w:val="none" w:sz="0" w:space="0" w:color="auto"/>
                <w:right w:val="none" w:sz="0" w:space="0" w:color="auto"/>
              </w:divBdr>
            </w:div>
          </w:divsChild>
        </w:div>
        <w:div w:id="394747021">
          <w:marLeft w:val="0"/>
          <w:marRight w:val="0"/>
          <w:marTop w:val="0"/>
          <w:marBottom w:val="0"/>
          <w:divBdr>
            <w:top w:val="none" w:sz="0" w:space="0" w:color="auto"/>
            <w:left w:val="none" w:sz="0" w:space="0" w:color="auto"/>
            <w:bottom w:val="none" w:sz="0" w:space="0" w:color="auto"/>
            <w:right w:val="none" w:sz="0" w:space="0" w:color="auto"/>
          </w:divBdr>
          <w:divsChild>
            <w:div w:id="1540555536">
              <w:marLeft w:val="0"/>
              <w:marRight w:val="0"/>
              <w:marTop w:val="0"/>
              <w:marBottom w:val="0"/>
              <w:divBdr>
                <w:top w:val="none" w:sz="0" w:space="0" w:color="auto"/>
                <w:left w:val="none" w:sz="0" w:space="0" w:color="auto"/>
                <w:bottom w:val="none" w:sz="0" w:space="0" w:color="auto"/>
                <w:right w:val="none" w:sz="0" w:space="0" w:color="auto"/>
              </w:divBdr>
            </w:div>
          </w:divsChild>
        </w:div>
        <w:div w:id="396825918">
          <w:marLeft w:val="0"/>
          <w:marRight w:val="0"/>
          <w:marTop w:val="0"/>
          <w:marBottom w:val="0"/>
          <w:divBdr>
            <w:top w:val="none" w:sz="0" w:space="0" w:color="auto"/>
            <w:left w:val="none" w:sz="0" w:space="0" w:color="auto"/>
            <w:bottom w:val="none" w:sz="0" w:space="0" w:color="auto"/>
            <w:right w:val="none" w:sz="0" w:space="0" w:color="auto"/>
          </w:divBdr>
          <w:divsChild>
            <w:div w:id="172577211">
              <w:marLeft w:val="0"/>
              <w:marRight w:val="0"/>
              <w:marTop w:val="0"/>
              <w:marBottom w:val="0"/>
              <w:divBdr>
                <w:top w:val="none" w:sz="0" w:space="0" w:color="auto"/>
                <w:left w:val="none" w:sz="0" w:space="0" w:color="auto"/>
                <w:bottom w:val="none" w:sz="0" w:space="0" w:color="auto"/>
                <w:right w:val="none" w:sz="0" w:space="0" w:color="auto"/>
              </w:divBdr>
            </w:div>
          </w:divsChild>
        </w:div>
        <w:div w:id="413209229">
          <w:marLeft w:val="0"/>
          <w:marRight w:val="0"/>
          <w:marTop w:val="0"/>
          <w:marBottom w:val="0"/>
          <w:divBdr>
            <w:top w:val="none" w:sz="0" w:space="0" w:color="auto"/>
            <w:left w:val="none" w:sz="0" w:space="0" w:color="auto"/>
            <w:bottom w:val="none" w:sz="0" w:space="0" w:color="auto"/>
            <w:right w:val="none" w:sz="0" w:space="0" w:color="auto"/>
          </w:divBdr>
          <w:divsChild>
            <w:div w:id="1088693735">
              <w:marLeft w:val="0"/>
              <w:marRight w:val="0"/>
              <w:marTop w:val="0"/>
              <w:marBottom w:val="0"/>
              <w:divBdr>
                <w:top w:val="none" w:sz="0" w:space="0" w:color="auto"/>
                <w:left w:val="none" w:sz="0" w:space="0" w:color="auto"/>
                <w:bottom w:val="none" w:sz="0" w:space="0" w:color="auto"/>
                <w:right w:val="none" w:sz="0" w:space="0" w:color="auto"/>
              </w:divBdr>
            </w:div>
          </w:divsChild>
        </w:div>
        <w:div w:id="442072198">
          <w:marLeft w:val="0"/>
          <w:marRight w:val="0"/>
          <w:marTop w:val="0"/>
          <w:marBottom w:val="0"/>
          <w:divBdr>
            <w:top w:val="none" w:sz="0" w:space="0" w:color="auto"/>
            <w:left w:val="none" w:sz="0" w:space="0" w:color="auto"/>
            <w:bottom w:val="none" w:sz="0" w:space="0" w:color="auto"/>
            <w:right w:val="none" w:sz="0" w:space="0" w:color="auto"/>
          </w:divBdr>
          <w:divsChild>
            <w:div w:id="1167670450">
              <w:marLeft w:val="0"/>
              <w:marRight w:val="0"/>
              <w:marTop w:val="0"/>
              <w:marBottom w:val="0"/>
              <w:divBdr>
                <w:top w:val="none" w:sz="0" w:space="0" w:color="auto"/>
                <w:left w:val="none" w:sz="0" w:space="0" w:color="auto"/>
                <w:bottom w:val="none" w:sz="0" w:space="0" w:color="auto"/>
                <w:right w:val="none" w:sz="0" w:space="0" w:color="auto"/>
              </w:divBdr>
            </w:div>
          </w:divsChild>
        </w:div>
        <w:div w:id="454375019">
          <w:marLeft w:val="0"/>
          <w:marRight w:val="0"/>
          <w:marTop w:val="0"/>
          <w:marBottom w:val="0"/>
          <w:divBdr>
            <w:top w:val="none" w:sz="0" w:space="0" w:color="auto"/>
            <w:left w:val="none" w:sz="0" w:space="0" w:color="auto"/>
            <w:bottom w:val="none" w:sz="0" w:space="0" w:color="auto"/>
            <w:right w:val="none" w:sz="0" w:space="0" w:color="auto"/>
          </w:divBdr>
          <w:divsChild>
            <w:div w:id="1489515975">
              <w:marLeft w:val="0"/>
              <w:marRight w:val="0"/>
              <w:marTop w:val="0"/>
              <w:marBottom w:val="0"/>
              <w:divBdr>
                <w:top w:val="none" w:sz="0" w:space="0" w:color="auto"/>
                <w:left w:val="none" w:sz="0" w:space="0" w:color="auto"/>
                <w:bottom w:val="none" w:sz="0" w:space="0" w:color="auto"/>
                <w:right w:val="none" w:sz="0" w:space="0" w:color="auto"/>
              </w:divBdr>
            </w:div>
          </w:divsChild>
        </w:div>
        <w:div w:id="462388988">
          <w:marLeft w:val="0"/>
          <w:marRight w:val="0"/>
          <w:marTop w:val="0"/>
          <w:marBottom w:val="0"/>
          <w:divBdr>
            <w:top w:val="none" w:sz="0" w:space="0" w:color="auto"/>
            <w:left w:val="none" w:sz="0" w:space="0" w:color="auto"/>
            <w:bottom w:val="none" w:sz="0" w:space="0" w:color="auto"/>
            <w:right w:val="none" w:sz="0" w:space="0" w:color="auto"/>
          </w:divBdr>
          <w:divsChild>
            <w:div w:id="1516312348">
              <w:marLeft w:val="0"/>
              <w:marRight w:val="0"/>
              <w:marTop w:val="0"/>
              <w:marBottom w:val="0"/>
              <w:divBdr>
                <w:top w:val="none" w:sz="0" w:space="0" w:color="auto"/>
                <w:left w:val="none" w:sz="0" w:space="0" w:color="auto"/>
                <w:bottom w:val="none" w:sz="0" w:space="0" w:color="auto"/>
                <w:right w:val="none" w:sz="0" w:space="0" w:color="auto"/>
              </w:divBdr>
            </w:div>
          </w:divsChild>
        </w:div>
        <w:div w:id="473720219">
          <w:marLeft w:val="0"/>
          <w:marRight w:val="0"/>
          <w:marTop w:val="0"/>
          <w:marBottom w:val="0"/>
          <w:divBdr>
            <w:top w:val="none" w:sz="0" w:space="0" w:color="auto"/>
            <w:left w:val="none" w:sz="0" w:space="0" w:color="auto"/>
            <w:bottom w:val="none" w:sz="0" w:space="0" w:color="auto"/>
            <w:right w:val="none" w:sz="0" w:space="0" w:color="auto"/>
          </w:divBdr>
          <w:divsChild>
            <w:div w:id="759760036">
              <w:marLeft w:val="0"/>
              <w:marRight w:val="0"/>
              <w:marTop w:val="0"/>
              <w:marBottom w:val="0"/>
              <w:divBdr>
                <w:top w:val="none" w:sz="0" w:space="0" w:color="auto"/>
                <w:left w:val="none" w:sz="0" w:space="0" w:color="auto"/>
                <w:bottom w:val="none" w:sz="0" w:space="0" w:color="auto"/>
                <w:right w:val="none" w:sz="0" w:space="0" w:color="auto"/>
              </w:divBdr>
            </w:div>
          </w:divsChild>
        </w:div>
        <w:div w:id="473837931">
          <w:marLeft w:val="0"/>
          <w:marRight w:val="0"/>
          <w:marTop w:val="0"/>
          <w:marBottom w:val="0"/>
          <w:divBdr>
            <w:top w:val="none" w:sz="0" w:space="0" w:color="auto"/>
            <w:left w:val="none" w:sz="0" w:space="0" w:color="auto"/>
            <w:bottom w:val="none" w:sz="0" w:space="0" w:color="auto"/>
            <w:right w:val="none" w:sz="0" w:space="0" w:color="auto"/>
          </w:divBdr>
          <w:divsChild>
            <w:div w:id="1760055149">
              <w:marLeft w:val="0"/>
              <w:marRight w:val="0"/>
              <w:marTop w:val="0"/>
              <w:marBottom w:val="0"/>
              <w:divBdr>
                <w:top w:val="none" w:sz="0" w:space="0" w:color="auto"/>
                <w:left w:val="none" w:sz="0" w:space="0" w:color="auto"/>
                <w:bottom w:val="none" w:sz="0" w:space="0" w:color="auto"/>
                <w:right w:val="none" w:sz="0" w:space="0" w:color="auto"/>
              </w:divBdr>
            </w:div>
          </w:divsChild>
        </w:div>
        <w:div w:id="483622337">
          <w:marLeft w:val="0"/>
          <w:marRight w:val="0"/>
          <w:marTop w:val="0"/>
          <w:marBottom w:val="0"/>
          <w:divBdr>
            <w:top w:val="none" w:sz="0" w:space="0" w:color="auto"/>
            <w:left w:val="none" w:sz="0" w:space="0" w:color="auto"/>
            <w:bottom w:val="none" w:sz="0" w:space="0" w:color="auto"/>
            <w:right w:val="none" w:sz="0" w:space="0" w:color="auto"/>
          </w:divBdr>
          <w:divsChild>
            <w:div w:id="753817030">
              <w:marLeft w:val="0"/>
              <w:marRight w:val="0"/>
              <w:marTop w:val="0"/>
              <w:marBottom w:val="0"/>
              <w:divBdr>
                <w:top w:val="none" w:sz="0" w:space="0" w:color="auto"/>
                <w:left w:val="none" w:sz="0" w:space="0" w:color="auto"/>
                <w:bottom w:val="none" w:sz="0" w:space="0" w:color="auto"/>
                <w:right w:val="none" w:sz="0" w:space="0" w:color="auto"/>
              </w:divBdr>
            </w:div>
          </w:divsChild>
        </w:div>
        <w:div w:id="498619612">
          <w:marLeft w:val="0"/>
          <w:marRight w:val="0"/>
          <w:marTop w:val="0"/>
          <w:marBottom w:val="0"/>
          <w:divBdr>
            <w:top w:val="none" w:sz="0" w:space="0" w:color="auto"/>
            <w:left w:val="none" w:sz="0" w:space="0" w:color="auto"/>
            <w:bottom w:val="none" w:sz="0" w:space="0" w:color="auto"/>
            <w:right w:val="none" w:sz="0" w:space="0" w:color="auto"/>
          </w:divBdr>
          <w:divsChild>
            <w:div w:id="1263296720">
              <w:marLeft w:val="0"/>
              <w:marRight w:val="0"/>
              <w:marTop w:val="0"/>
              <w:marBottom w:val="0"/>
              <w:divBdr>
                <w:top w:val="none" w:sz="0" w:space="0" w:color="auto"/>
                <w:left w:val="none" w:sz="0" w:space="0" w:color="auto"/>
                <w:bottom w:val="none" w:sz="0" w:space="0" w:color="auto"/>
                <w:right w:val="none" w:sz="0" w:space="0" w:color="auto"/>
              </w:divBdr>
            </w:div>
          </w:divsChild>
        </w:div>
        <w:div w:id="503126286">
          <w:marLeft w:val="0"/>
          <w:marRight w:val="0"/>
          <w:marTop w:val="0"/>
          <w:marBottom w:val="0"/>
          <w:divBdr>
            <w:top w:val="none" w:sz="0" w:space="0" w:color="auto"/>
            <w:left w:val="none" w:sz="0" w:space="0" w:color="auto"/>
            <w:bottom w:val="none" w:sz="0" w:space="0" w:color="auto"/>
            <w:right w:val="none" w:sz="0" w:space="0" w:color="auto"/>
          </w:divBdr>
          <w:divsChild>
            <w:div w:id="1302996899">
              <w:marLeft w:val="0"/>
              <w:marRight w:val="0"/>
              <w:marTop w:val="0"/>
              <w:marBottom w:val="0"/>
              <w:divBdr>
                <w:top w:val="none" w:sz="0" w:space="0" w:color="auto"/>
                <w:left w:val="none" w:sz="0" w:space="0" w:color="auto"/>
                <w:bottom w:val="none" w:sz="0" w:space="0" w:color="auto"/>
                <w:right w:val="none" w:sz="0" w:space="0" w:color="auto"/>
              </w:divBdr>
            </w:div>
          </w:divsChild>
        </w:div>
        <w:div w:id="527984501">
          <w:marLeft w:val="0"/>
          <w:marRight w:val="0"/>
          <w:marTop w:val="0"/>
          <w:marBottom w:val="0"/>
          <w:divBdr>
            <w:top w:val="none" w:sz="0" w:space="0" w:color="auto"/>
            <w:left w:val="none" w:sz="0" w:space="0" w:color="auto"/>
            <w:bottom w:val="none" w:sz="0" w:space="0" w:color="auto"/>
            <w:right w:val="none" w:sz="0" w:space="0" w:color="auto"/>
          </w:divBdr>
          <w:divsChild>
            <w:div w:id="324673619">
              <w:marLeft w:val="0"/>
              <w:marRight w:val="0"/>
              <w:marTop w:val="0"/>
              <w:marBottom w:val="0"/>
              <w:divBdr>
                <w:top w:val="none" w:sz="0" w:space="0" w:color="auto"/>
                <w:left w:val="none" w:sz="0" w:space="0" w:color="auto"/>
                <w:bottom w:val="none" w:sz="0" w:space="0" w:color="auto"/>
                <w:right w:val="none" w:sz="0" w:space="0" w:color="auto"/>
              </w:divBdr>
            </w:div>
          </w:divsChild>
        </w:div>
        <w:div w:id="544371914">
          <w:marLeft w:val="0"/>
          <w:marRight w:val="0"/>
          <w:marTop w:val="0"/>
          <w:marBottom w:val="0"/>
          <w:divBdr>
            <w:top w:val="none" w:sz="0" w:space="0" w:color="auto"/>
            <w:left w:val="none" w:sz="0" w:space="0" w:color="auto"/>
            <w:bottom w:val="none" w:sz="0" w:space="0" w:color="auto"/>
            <w:right w:val="none" w:sz="0" w:space="0" w:color="auto"/>
          </w:divBdr>
          <w:divsChild>
            <w:div w:id="1163201090">
              <w:marLeft w:val="0"/>
              <w:marRight w:val="0"/>
              <w:marTop w:val="0"/>
              <w:marBottom w:val="0"/>
              <w:divBdr>
                <w:top w:val="none" w:sz="0" w:space="0" w:color="auto"/>
                <w:left w:val="none" w:sz="0" w:space="0" w:color="auto"/>
                <w:bottom w:val="none" w:sz="0" w:space="0" w:color="auto"/>
                <w:right w:val="none" w:sz="0" w:space="0" w:color="auto"/>
              </w:divBdr>
            </w:div>
          </w:divsChild>
        </w:div>
        <w:div w:id="549997989">
          <w:marLeft w:val="0"/>
          <w:marRight w:val="0"/>
          <w:marTop w:val="0"/>
          <w:marBottom w:val="0"/>
          <w:divBdr>
            <w:top w:val="none" w:sz="0" w:space="0" w:color="auto"/>
            <w:left w:val="none" w:sz="0" w:space="0" w:color="auto"/>
            <w:bottom w:val="none" w:sz="0" w:space="0" w:color="auto"/>
            <w:right w:val="none" w:sz="0" w:space="0" w:color="auto"/>
          </w:divBdr>
          <w:divsChild>
            <w:div w:id="1786921492">
              <w:marLeft w:val="0"/>
              <w:marRight w:val="0"/>
              <w:marTop w:val="0"/>
              <w:marBottom w:val="0"/>
              <w:divBdr>
                <w:top w:val="none" w:sz="0" w:space="0" w:color="auto"/>
                <w:left w:val="none" w:sz="0" w:space="0" w:color="auto"/>
                <w:bottom w:val="none" w:sz="0" w:space="0" w:color="auto"/>
                <w:right w:val="none" w:sz="0" w:space="0" w:color="auto"/>
              </w:divBdr>
            </w:div>
          </w:divsChild>
        </w:div>
        <w:div w:id="553808381">
          <w:marLeft w:val="0"/>
          <w:marRight w:val="0"/>
          <w:marTop w:val="0"/>
          <w:marBottom w:val="0"/>
          <w:divBdr>
            <w:top w:val="none" w:sz="0" w:space="0" w:color="auto"/>
            <w:left w:val="none" w:sz="0" w:space="0" w:color="auto"/>
            <w:bottom w:val="none" w:sz="0" w:space="0" w:color="auto"/>
            <w:right w:val="none" w:sz="0" w:space="0" w:color="auto"/>
          </w:divBdr>
          <w:divsChild>
            <w:div w:id="1564026880">
              <w:marLeft w:val="0"/>
              <w:marRight w:val="0"/>
              <w:marTop w:val="0"/>
              <w:marBottom w:val="0"/>
              <w:divBdr>
                <w:top w:val="none" w:sz="0" w:space="0" w:color="auto"/>
                <w:left w:val="none" w:sz="0" w:space="0" w:color="auto"/>
                <w:bottom w:val="none" w:sz="0" w:space="0" w:color="auto"/>
                <w:right w:val="none" w:sz="0" w:space="0" w:color="auto"/>
              </w:divBdr>
            </w:div>
          </w:divsChild>
        </w:div>
        <w:div w:id="553925568">
          <w:marLeft w:val="0"/>
          <w:marRight w:val="0"/>
          <w:marTop w:val="0"/>
          <w:marBottom w:val="0"/>
          <w:divBdr>
            <w:top w:val="none" w:sz="0" w:space="0" w:color="auto"/>
            <w:left w:val="none" w:sz="0" w:space="0" w:color="auto"/>
            <w:bottom w:val="none" w:sz="0" w:space="0" w:color="auto"/>
            <w:right w:val="none" w:sz="0" w:space="0" w:color="auto"/>
          </w:divBdr>
          <w:divsChild>
            <w:div w:id="1131364177">
              <w:marLeft w:val="0"/>
              <w:marRight w:val="0"/>
              <w:marTop w:val="0"/>
              <w:marBottom w:val="0"/>
              <w:divBdr>
                <w:top w:val="none" w:sz="0" w:space="0" w:color="auto"/>
                <w:left w:val="none" w:sz="0" w:space="0" w:color="auto"/>
                <w:bottom w:val="none" w:sz="0" w:space="0" w:color="auto"/>
                <w:right w:val="none" w:sz="0" w:space="0" w:color="auto"/>
              </w:divBdr>
            </w:div>
          </w:divsChild>
        </w:div>
        <w:div w:id="557590262">
          <w:marLeft w:val="0"/>
          <w:marRight w:val="0"/>
          <w:marTop w:val="0"/>
          <w:marBottom w:val="0"/>
          <w:divBdr>
            <w:top w:val="none" w:sz="0" w:space="0" w:color="auto"/>
            <w:left w:val="none" w:sz="0" w:space="0" w:color="auto"/>
            <w:bottom w:val="none" w:sz="0" w:space="0" w:color="auto"/>
            <w:right w:val="none" w:sz="0" w:space="0" w:color="auto"/>
          </w:divBdr>
          <w:divsChild>
            <w:div w:id="1995526034">
              <w:marLeft w:val="0"/>
              <w:marRight w:val="0"/>
              <w:marTop w:val="0"/>
              <w:marBottom w:val="0"/>
              <w:divBdr>
                <w:top w:val="none" w:sz="0" w:space="0" w:color="auto"/>
                <w:left w:val="none" w:sz="0" w:space="0" w:color="auto"/>
                <w:bottom w:val="none" w:sz="0" w:space="0" w:color="auto"/>
                <w:right w:val="none" w:sz="0" w:space="0" w:color="auto"/>
              </w:divBdr>
            </w:div>
          </w:divsChild>
        </w:div>
        <w:div w:id="564684552">
          <w:marLeft w:val="0"/>
          <w:marRight w:val="0"/>
          <w:marTop w:val="0"/>
          <w:marBottom w:val="0"/>
          <w:divBdr>
            <w:top w:val="none" w:sz="0" w:space="0" w:color="auto"/>
            <w:left w:val="none" w:sz="0" w:space="0" w:color="auto"/>
            <w:bottom w:val="none" w:sz="0" w:space="0" w:color="auto"/>
            <w:right w:val="none" w:sz="0" w:space="0" w:color="auto"/>
          </w:divBdr>
          <w:divsChild>
            <w:div w:id="120654946">
              <w:marLeft w:val="0"/>
              <w:marRight w:val="0"/>
              <w:marTop w:val="0"/>
              <w:marBottom w:val="0"/>
              <w:divBdr>
                <w:top w:val="none" w:sz="0" w:space="0" w:color="auto"/>
                <w:left w:val="none" w:sz="0" w:space="0" w:color="auto"/>
                <w:bottom w:val="none" w:sz="0" w:space="0" w:color="auto"/>
                <w:right w:val="none" w:sz="0" w:space="0" w:color="auto"/>
              </w:divBdr>
            </w:div>
          </w:divsChild>
        </w:div>
        <w:div w:id="585115864">
          <w:marLeft w:val="0"/>
          <w:marRight w:val="0"/>
          <w:marTop w:val="0"/>
          <w:marBottom w:val="0"/>
          <w:divBdr>
            <w:top w:val="none" w:sz="0" w:space="0" w:color="auto"/>
            <w:left w:val="none" w:sz="0" w:space="0" w:color="auto"/>
            <w:bottom w:val="none" w:sz="0" w:space="0" w:color="auto"/>
            <w:right w:val="none" w:sz="0" w:space="0" w:color="auto"/>
          </w:divBdr>
          <w:divsChild>
            <w:div w:id="1814247876">
              <w:marLeft w:val="0"/>
              <w:marRight w:val="0"/>
              <w:marTop w:val="0"/>
              <w:marBottom w:val="0"/>
              <w:divBdr>
                <w:top w:val="none" w:sz="0" w:space="0" w:color="auto"/>
                <w:left w:val="none" w:sz="0" w:space="0" w:color="auto"/>
                <w:bottom w:val="none" w:sz="0" w:space="0" w:color="auto"/>
                <w:right w:val="none" w:sz="0" w:space="0" w:color="auto"/>
              </w:divBdr>
            </w:div>
          </w:divsChild>
        </w:div>
        <w:div w:id="603614877">
          <w:marLeft w:val="0"/>
          <w:marRight w:val="0"/>
          <w:marTop w:val="0"/>
          <w:marBottom w:val="0"/>
          <w:divBdr>
            <w:top w:val="none" w:sz="0" w:space="0" w:color="auto"/>
            <w:left w:val="none" w:sz="0" w:space="0" w:color="auto"/>
            <w:bottom w:val="none" w:sz="0" w:space="0" w:color="auto"/>
            <w:right w:val="none" w:sz="0" w:space="0" w:color="auto"/>
          </w:divBdr>
          <w:divsChild>
            <w:div w:id="1221136883">
              <w:marLeft w:val="0"/>
              <w:marRight w:val="0"/>
              <w:marTop w:val="0"/>
              <w:marBottom w:val="0"/>
              <w:divBdr>
                <w:top w:val="none" w:sz="0" w:space="0" w:color="auto"/>
                <w:left w:val="none" w:sz="0" w:space="0" w:color="auto"/>
                <w:bottom w:val="none" w:sz="0" w:space="0" w:color="auto"/>
                <w:right w:val="none" w:sz="0" w:space="0" w:color="auto"/>
              </w:divBdr>
            </w:div>
          </w:divsChild>
        </w:div>
        <w:div w:id="641664657">
          <w:marLeft w:val="0"/>
          <w:marRight w:val="0"/>
          <w:marTop w:val="0"/>
          <w:marBottom w:val="0"/>
          <w:divBdr>
            <w:top w:val="none" w:sz="0" w:space="0" w:color="auto"/>
            <w:left w:val="none" w:sz="0" w:space="0" w:color="auto"/>
            <w:bottom w:val="none" w:sz="0" w:space="0" w:color="auto"/>
            <w:right w:val="none" w:sz="0" w:space="0" w:color="auto"/>
          </w:divBdr>
          <w:divsChild>
            <w:div w:id="194930896">
              <w:marLeft w:val="0"/>
              <w:marRight w:val="0"/>
              <w:marTop w:val="0"/>
              <w:marBottom w:val="0"/>
              <w:divBdr>
                <w:top w:val="none" w:sz="0" w:space="0" w:color="auto"/>
                <w:left w:val="none" w:sz="0" w:space="0" w:color="auto"/>
                <w:bottom w:val="none" w:sz="0" w:space="0" w:color="auto"/>
                <w:right w:val="none" w:sz="0" w:space="0" w:color="auto"/>
              </w:divBdr>
            </w:div>
          </w:divsChild>
        </w:div>
        <w:div w:id="661084434">
          <w:marLeft w:val="0"/>
          <w:marRight w:val="0"/>
          <w:marTop w:val="0"/>
          <w:marBottom w:val="0"/>
          <w:divBdr>
            <w:top w:val="none" w:sz="0" w:space="0" w:color="auto"/>
            <w:left w:val="none" w:sz="0" w:space="0" w:color="auto"/>
            <w:bottom w:val="none" w:sz="0" w:space="0" w:color="auto"/>
            <w:right w:val="none" w:sz="0" w:space="0" w:color="auto"/>
          </w:divBdr>
          <w:divsChild>
            <w:div w:id="1810393436">
              <w:marLeft w:val="0"/>
              <w:marRight w:val="0"/>
              <w:marTop w:val="0"/>
              <w:marBottom w:val="0"/>
              <w:divBdr>
                <w:top w:val="none" w:sz="0" w:space="0" w:color="auto"/>
                <w:left w:val="none" w:sz="0" w:space="0" w:color="auto"/>
                <w:bottom w:val="none" w:sz="0" w:space="0" w:color="auto"/>
                <w:right w:val="none" w:sz="0" w:space="0" w:color="auto"/>
              </w:divBdr>
            </w:div>
          </w:divsChild>
        </w:div>
        <w:div w:id="679813885">
          <w:marLeft w:val="0"/>
          <w:marRight w:val="0"/>
          <w:marTop w:val="0"/>
          <w:marBottom w:val="0"/>
          <w:divBdr>
            <w:top w:val="none" w:sz="0" w:space="0" w:color="auto"/>
            <w:left w:val="none" w:sz="0" w:space="0" w:color="auto"/>
            <w:bottom w:val="none" w:sz="0" w:space="0" w:color="auto"/>
            <w:right w:val="none" w:sz="0" w:space="0" w:color="auto"/>
          </w:divBdr>
          <w:divsChild>
            <w:div w:id="605506533">
              <w:marLeft w:val="0"/>
              <w:marRight w:val="0"/>
              <w:marTop w:val="0"/>
              <w:marBottom w:val="0"/>
              <w:divBdr>
                <w:top w:val="none" w:sz="0" w:space="0" w:color="auto"/>
                <w:left w:val="none" w:sz="0" w:space="0" w:color="auto"/>
                <w:bottom w:val="none" w:sz="0" w:space="0" w:color="auto"/>
                <w:right w:val="none" w:sz="0" w:space="0" w:color="auto"/>
              </w:divBdr>
            </w:div>
          </w:divsChild>
        </w:div>
        <w:div w:id="691565444">
          <w:marLeft w:val="0"/>
          <w:marRight w:val="0"/>
          <w:marTop w:val="0"/>
          <w:marBottom w:val="0"/>
          <w:divBdr>
            <w:top w:val="none" w:sz="0" w:space="0" w:color="auto"/>
            <w:left w:val="none" w:sz="0" w:space="0" w:color="auto"/>
            <w:bottom w:val="none" w:sz="0" w:space="0" w:color="auto"/>
            <w:right w:val="none" w:sz="0" w:space="0" w:color="auto"/>
          </w:divBdr>
          <w:divsChild>
            <w:div w:id="1190416020">
              <w:marLeft w:val="0"/>
              <w:marRight w:val="0"/>
              <w:marTop w:val="0"/>
              <w:marBottom w:val="0"/>
              <w:divBdr>
                <w:top w:val="none" w:sz="0" w:space="0" w:color="auto"/>
                <w:left w:val="none" w:sz="0" w:space="0" w:color="auto"/>
                <w:bottom w:val="none" w:sz="0" w:space="0" w:color="auto"/>
                <w:right w:val="none" w:sz="0" w:space="0" w:color="auto"/>
              </w:divBdr>
            </w:div>
          </w:divsChild>
        </w:div>
        <w:div w:id="697852393">
          <w:marLeft w:val="0"/>
          <w:marRight w:val="0"/>
          <w:marTop w:val="0"/>
          <w:marBottom w:val="0"/>
          <w:divBdr>
            <w:top w:val="none" w:sz="0" w:space="0" w:color="auto"/>
            <w:left w:val="none" w:sz="0" w:space="0" w:color="auto"/>
            <w:bottom w:val="none" w:sz="0" w:space="0" w:color="auto"/>
            <w:right w:val="none" w:sz="0" w:space="0" w:color="auto"/>
          </w:divBdr>
          <w:divsChild>
            <w:div w:id="754060800">
              <w:marLeft w:val="0"/>
              <w:marRight w:val="0"/>
              <w:marTop w:val="0"/>
              <w:marBottom w:val="0"/>
              <w:divBdr>
                <w:top w:val="none" w:sz="0" w:space="0" w:color="auto"/>
                <w:left w:val="none" w:sz="0" w:space="0" w:color="auto"/>
                <w:bottom w:val="none" w:sz="0" w:space="0" w:color="auto"/>
                <w:right w:val="none" w:sz="0" w:space="0" w:color="auto"/>
              </w:divBdr>
            </w:div>
          </w:divsChild>
        </w:div>
        <w:div w:id="699089473">
          <w:marLeft w:val="0"/>
          <w:marRight w:val="0"/>
          <w:marTop w:val="0"/>
          <w:marBottom w:val="0"/>
          <w:divBdr>
            <w:top w:val="none" w:sz="0" w:space="0" w:color="auto"/>
            <w:left w:val="none" w:sz="0" w:space="0" w:color="auto"/>
            <w:bottom w:val="none" w:sz="0" w:space="0" w:color="auto"/>
            <w:right w:val="none" w:sz="0" w:space="0" w:color="auto"/>
          </w:divBdr>
          <w:divsChild>
            <w:div w:id="1762408690">
              <w:marLeft w:val="0"/>
              <w:marRight w:val="0"/>
              <w:marTop w:val="0"/>
              <w:marBottom w:val="0"/>
              <w:divBdr>
                <w:top w:val="none" w:sz="0" w:space="0" w:color="auto"/>
                <w:left w:val="none" w:sz="0" w:space="0" w:color="auto"/>
                <w:bottom w:val="none" w:sz="0" w:space="0" w:color="auto"/>
                <w:right w:val="none" w:sz="0" w:space="0" w:color="auto"/>
              </w:divBdr>
            </w:div>
          </w:divsChild>
        </w:div>
        <w:div w:id="705375337">
          <w:marLeft w:val="0"/>
          <w:marRight w:val="0"/>
          <w:marTop w:val="0"/>
          <w:marBottom w:val="0"/>
          <w:divBdr>
            <w:top w:val="none" w:sz="0" w:space="0" w:color="auto"/>
            <w:left w:val="none" w:sz="0" w:space="0" w:color="auto"/>
            <w:bottom w:val="none" w:sz="0" w:space="0" w:color="auto"/>
            <w:right w:val="none" w:sz="0" w:space="0" w:color="auto"/>
          </w:divBdr>
          <w:divsChild>
            <w:div w:id="2108649928">
              <w:marLeft w:val="0"/>
              <w:marRight w:val="0"/>
              <w:marTop w:val="0"/>
              <w:marBottom w:val="0"/>
              <w:divBdr>
                <w:top w:val="none" w:sz="0" w:space="0" w:color="auto"/>
                <w:left w:val="none" w:sz="0" w:space="0" w:color="auto"/>
                <w:bottom w:val="none" w:sz="0" w:space="0" w:color="auto"/>
                <w:right w:val="none" w:sz="0" w:space="0" w:color="auto"/>
              </w:divBdr>
            </w:div>
          </w:divsChild>
        </w:div>
        <w:div w:id="716123874">
          <w:marLeft w:val="0"/>
          <w:marRight w:val="0"/>
          <w:marTop w:val="0"/>
          <w:marBottom w:val="0"/>
          <w:divBdr>
            <w:top w:val="none" w:sz="0" w:space="0" w:color="auto"/>
            <w:left w:val="none" w:sz="0" w:space="0" w:color="auto"/>
            <w:bottom w:val="none" w:sz="0" w:space="0" w:color="auto"/>
            <w:right w:val="none" w:sz="0" w:space="0" w:color="auto"/>
          </w:divBdr>
          <w:divsChild>
            <w:div w:id="1579247367">
              <w:marLeft w:val="0"/>
              <w:marRight w:val="0"/>
              <w:marTop w:val="0"/>
              <w:marBottom w:val="0"/>
              <w:divBdr>
                <w:top w:val="none" w:sz="0" w:space="0" w:color="auto"/>
                <w:left w:val="none" w:sz="0" w:space="0" w:color="auto"/>
                <w:bottom w:val="none" w:sz="0" w:space="0" w:color="auto"/>
                <w:right w:val="none" w:sz="0" w:space="0" w:color="auto"/>
              </w:divBdr>
            </w:div>
          </w:divsChild>
        </w:div>
        <w:div w:id="724453370">
          <w:marLeft w:val="0"/>
          <w:marRight w:val="0"/>
          <w:marTop w:val="0"/>
          <w:marBottom w:val="0"/>
          <w:divBdr>
            <w:top w:val="none" w:sz="0" w:space="0" w:color="auto"/>
            <w:left w:val="none" w:sz="0" w:space="0" w:color="auto"/>
            <w:bottom w:val="none" w:sz="0" w:space="0" w:color="auto"/>
            <w:right w:val="none" w:sz="0" w:space="0" w:color="auto"/>
          </w:divBdr>
          <w:divsChild>
            <w:div w:id="1322924768">
              <w:marLeft w:val="0"/>
              <w:marRight w:val="0"/>
              <w:marTop w:val="0"/>
              <w:marBottom w:val="0"/>
              <w:divBdr>
                <w:top w:val="none" w:sz="0" w:space="0" w:color="auto"/>
                <w:left w:val="none" w:sz="0" w:space="0" w:color="auto"/>
                <w:bottom w:val="none" w:sz="0" w:space="0" w:color="auto"/>
                <w:right w:val="none" w:sz="0" w:space="0" w:color="auto"/>
              </w:divBdr>
            </w:div>
          </w:divsChild>
        </w:div>
        <w:div w:id="728110302">
          <w:marLeft w:val="0"/>
          <w:marRight w:val="0"/>
          <w:marTop w:val="0"/>
          <w:marBottom w:val="0"/>
          <w:divBdr>
            <w:top w:val="none" w:sz="0" w:space="0" w:color="auto"/>
            <w:left w:val="none" w:sz="0" w:space="0" w:color="auto"/>
            <w:bottom w:val="none" w:sz="0" w:space="0" w:color="auto"/>
            <w:right w:val="none" w:sz="0" w:space="0" w:color="auto"/>
          </w:divBdr>
          <w:divsChild>
            <w:div w:id="649600827">
              <w:marLeft w:val="0"/>
              <w:marRight w:val="0"/>
              <w:marTop w:val="0"/>
              <w:marBottom w:val="0"/>
              <w:divBdr>
                <w:top w:val="none" w:sz="0" w:space="0" w:color="auto"/>
                <w:left w:val="none" w:sz="0" w:space="0" w:color="auto"/>
                <w:bottom w:val="none" w:sz="0" w:space="0" w:color="auto"/>
                <w:right w:val="none" w:sz="0" w:space="0" w:color="auto"/>
              </w:divBdr>
            </w:div>
          </w:divsChild>
        </w:div>
        <w:div w:id="729309214">
          <w:marLeft w:val="0"/>
          <w:marRight w:val="0"/>
          <w:marTop w:val="0"/>
          <w:marBottom w:val="0"/>
          <w:divBdr>
            <w:top w:val="none" w:sz="0" w:space="0" w:color="auto"/>
            <w:left w:val="none" w:sz="0" w:space="0" w:color="auto"/>
            <w:bottom w:val="none" w:sz="0" w:space="0" w:color="auto"/>
            <w:right w:val="none" w:sz="0" w:space="0" w:color="auto"/>
          </w:divBdr>
          <w:divsChild>
            <w:div w:id="1213614156">
              <w:marLeft w:val="0"/>
              <w:marRight w:val="0"/>
              <w:marTop w:val="0"/>
              <w:marBottom w:val="0"/>
              <w:divBdr>
                <w:top w:val="none" w:sz="0" w:space="0" w:color="auto"/>
                <w:left w:val="none" w:sz="0" w:space="0" w:color="auto"/>
                <w:bottom w:val="none" w:sz="0" w:space="0" w:color="auto"/>
                <w:right w:val="none" w:sz="0" w:space="0" w:color="auto"/>
              </w:divBdr>
            </w:div>
          </w:divsChild>
        </w:div>
        <w:div w:id="729502651">
          <w:marLeft w:val="0"/>
          <w:marRight w:val="0"/>
          <w:marTop w:val="0"/>
          <w:marBottom w:val="0"/>
          <w:divBdr>
            <w:top w:val="none" w:sz="0" w:space="0" w:color="auto"/>
            <w:left w:val="none" w:sz="0" w:space="0" w:color="auto"/>
            <w:bottom w:val="none" w:sz="0" w:space="0" w:color="auto"/>
            <w:right w:val="none" w:sz="0" w:space="0" w:color="auto"/>
          </w:divBdr>
          <w:divsChild>
            <w:div w:id="391579346">
              <w:marLeft w:val="0"/>
              <w:marRight w:val="0"/>
              <w:marTop w:val="0"/>
              <w:marBottom w:val="0"/>
              <w:divBdr>
                <w:top w:val="none" w:sz="0" w:space="0" w:color="auto"/>
                <w:left w:val="none" w:sz="0" w:space="0" w:color="auto"/>
                <w:bottom w:val="none" w:sz="0" w:space="0" w:color="auto"/>
                <w:right w:val="none" w:sz="0" w:space="0" w:color="auto"/>
              </w:divBdr>
            </w:div>
          </w:divsChild>
        </w:div>
        <w:div w:id="741173211">
          <w:marLeft w:val="0"/>
          <w:marRight w:val="0"/>
          <w:marTop w:val="0"/>
          <w:marBottom w:val="0"/>
          <w:divBdr>
            <w:top w:val="none" w:sz="0" w:space="0" w:color="auto"/>
            <w:left w:val="none" w:sz="0" w:space="0" w:color="auto"/>
            <w:bottom w:val="none" w:sz="0" w:space="0" w:color="auto"/>
            <w:right w:val="none" w:sz="0" w:space="0" w:color="auto"/>
          </w:divBdr>
          <w:divsChild>
            <w:div w:id="1073966682">
              <w:marLeft w:val="0"/>
              <w:marRight w:val="0"/>
              <w:marTop w:val="0"/>
              <w:marBottom w:val="0"/>
              <w:divBdr>
                <w:top w:val="none" w:sz="0" w:space="0" w:color="auto"/>
                <w:left w:val="none" w:sz="0" w:space="0" w:color="auto"/>
                <w:bottom w:val="none" w:sz="0" w:space="0" w:color="auto"/>
                <w:right w:val="none" w:sz="0" w:space="0" w:color="auto"/>
              </w:divBdr>
            </w:div>
          </w:divsChild>
        </w:div>
        <w:div w:id="744454215">
          <w:marLeft w:val="0"/>
          <w:marRight w:val="0"/>
          <w:marTop w:val="0"/>
          <w:marBottom w:val="0"/>
          <w:divBdr>
            <w:top w:val="none" w:sz="0" w:space="0" w:color="auto"/>
            <w:left w:val="none" w:sz="0" w:space="0" w:color="auto"/>
            <w:bottom w:val="none" w:sz="0" w:space="0" w:color="auto"/>
            <w:right w:val="none" w:sz="0" w:space="0" w:color="auto"/>
          </w:divBdr>
          <w:divsChild>
            <w:div w:id="771627454">
              <w:marLeft w:val="0"/>
              <w:marRight w:val="0"/>
              <w:marTop w:val="0"/>
              <w:marBottom w:val="0"/>
              <w:divBdr>
                <w:top w:val="none" w:sz="0" w:space="0" w:color="auto"/>
                <w:left w:val="none" w:sz="0" w:space="0" w:color="auto"/>
                <w:bottom w:val="none" w:sz="0" w:space="0" w:color="auto"/>
                <w:right w:val="none" w:sz="0" w:space="0" w:color="auto"/>
              </w:divBdr>
            </w:div>
          </w:divsChild>
        </w:div>
        <w:div w:id="749036469">
          <w:marLeft w:val="0"/>
          <w:marRight w:val="0"/>
          <w:marTop w:val="0"/>
          <w:marBottom w:val="0"/>
          <w:divBdr>
            <w:top w:val="none" w:sz="0" w:space="0" w:color="auto"/>
            <w:left w:val="none" w:sz="0" w:space="0" w:color="auto"/>
            <w:bottom w:val="none" w:sz="0" w:space="0" w:color="auto"/>
            <w:right w:val="none" w:sz="0" w:space="0" w:color="auto"/>
          </w:divBdr>
          <w:divsChild>
            <w:div w:id="71313649">
              <w:marLeft w:val="0"/>
              <w:marRight w:val="0"/>
              <w:marTop w:val="0"/>
              <w:marBottom w:val="0"/>
              <w:divBdr>
                <w:top w:val="none" w:sz="0" w:space="0" w:color="auto"/>
                <w:left w:val="none" w:sz="0" w:space="0" w:color="auto"/>
                <w:bottom w:val="none" w:sz="0" w:space="0" w:color="auto"/>
                <w:right w:val="none" w:sz="0" w:space="0" w:color="auto"/>
              </w:divBdr>
            </w:div>
          </w:divsChild>
        </w:div>
        <w:div w:id="772358558">
          <w:marLeft w:val="0"/>
          <w:marRight w:val="0"/>
          <w:marTop w:val="0"/>
          <w:marBottom w:val="0"/>
          <w:divBdr>
            <w:top w:val="none" w:sz="0" w:space="0" w:color="auto"/>
            <w:left w:val="none" w:sz="0" w:space="0" w:color="auto"/>
            <w:bottom w:val="none" w:sz="0" w:space="0" w:color="auto"/>
            <w:right w:val="none" w:sz="0" w:space="0" w:color="auto"/>
          </w:divBdr>
          <w:divsChild>
            <w:div w:id="1050150653">
              <w:marLeft w:val="0"/>
              <w:marRight w:val="0"/>
              <w:marTop w:val="0"/>
              <w:marBottom w:val="0"/>
              <w:divBdr>
                <w:top w:val="none" w:sz="0" w:space="0" w:color="auto"/>
                <w:left w:val="none" w:sz="0" w:space="0" w:color="auto"/>
                <w:bottom w:val="none" w:sz="0" w:space="0" w:color="auto"/>
                <w:right w:val="none" w:sz="0" w:space="0" w:color="auto"/>
              </w:divBdr>
            </w:div>
          </w:divsChild>
        </w:div>
        <w:div w:id="790054822">
          <w:marLeft w:val="0"/>
          <w:marRight w:val="0"/>
          <w:marTop w:val="0"/>
          <w:marBottom w:val="0"/>
          <w:divBdr>
            <w:top w:val="none" w:sz="0" w:space="0" w:color="auto"/>
            <w:left w:val="none" w:sz="0" w:space="0" w:color="auto"/>
            <w:bottom w:val="none" w:sz="0" w:space="0" w:color="auto"/>
            <w:right w:val="none" w:sz="0" w:space="0" w:color="auto"/>
          </w:divBdr>
          <w:divsChild>
            <w:div w:id="1543710527">
              <w:marLeft w:val="0"/>
              <w:marRight w:val="0"/>
              <w:marTop w:val="0"/>
              <w:marBottom w:val="0"/>
              <w:divBdr>
                <w:top w:val="none" w:sz="0" w:space="0" w:color="auto"/>
                <w:left w:val="none" w:sz="0" w:space="0" w:color="auto"/>
                <w:bottom w:val="none" w:sz="0" w:space="0" w:color="auto"/>
                <w:right w:val="none" w:sz="0" w:space="0" w:color="auto"/>
              </w:divBdr>
            </w:div>
          </w:divsChild>
        </w:div>
        <w:div w:id="841044180">
          <w:marLeft w:val="0"/>
          <w:marRight w:val="0"/>
          <w:marTop w:val="0"/>
          <w:marBottom w:val="0"/>
          <w:divBdr>
            <w:top w:val="none" w:sz="0" w:space="0" w:color="auto"/>
            <w:left w:val="none" w:sz="0" w:space="0" w:color="auto"/>
            <w:bottom w:val="none" w:sz="0" w:space="0" w:color="auto"/>
            <w:right w:val="none" w:sz="0" w:space="0" w:color="auto"/>
          </w:divBdr>
          <w:divsChild>
            <w:div w:id="1146824348">
              <w:marLeft w:val="0"/>
              <w:marRight w:val="0"/>
              <w:marTop w:val="0"/>
              <w:marBottom w:val="0"/>
              <w:divBdr>
                <w:top w:val="none" w:sz="0" w:space="0" w:color="auto"/>
                <w:left w:val="none" w:sz="0" w:space="0" w:color="auto"/>
                <w:bottom w:val="none" w:sz="0" w:space="0" w:color="auto"/>
                <w:right w:val="none" w:sz="0" w:space="0" w:color="auto"/>
              </w:divBdr>
            </w:div>
          </w:divsChild>
        </w:div>
        <w:div w:id="847789180">
          <w:marLeft w:val="0"/>
          <w:marRight w:val="0"/>
          <w:marTop w:val="0"/>
          <w:marBottom w:val="0"/>
          <w:divBdr>
            <w:top w:val="none" w:sz="0" w:space="0" w:color="auto"/>
            <w:left w:val="none" w:sz="0" w:space="0" w:color="auto"/>
            <w:bottom w:val="none" w:sz="0" w:space="0" w:color="auto"/>
            <w:right w:val="none" w:sz="0" w:space="0" w:color="auto"/>
          </w:divBdr>
          <w:divsChild>
            <w:div w:id="442311700">
              <w:marLeft w:val="0"/>
              <w:marRight w:val="0"/>
              <w:marTop w:val="0"/>
              <w:marBottom w:val="0"/>
              <w:divBdr>
                <w:top w:val="none" w:sz="0" w:space="0" w:color="auto"/>
                <w:left w:val="none" w:sz="0" w:space="0" w:color="auto"/>
                <w:bottom w:val="none" w:sz="0" w:space="0" w:color="auto"/>
                <w:right w:val="none" w:sz="0" w:space="0" w:color="auto"/>
              </w:divBdr>
            </w:div>
          </w:divsChild>
        </w:div>
        <w:div w:id="863445980">
          <w:marLeft w:val="0"/>
          <w:marRight w:val="0"/>
          <w:marTop w:val="0"/>
          <w:marBottom w:val="0"/>
          <w:divBdr>
            <w:top w:val="none" w:sz="0" w:space="0" w:color="auto"/>
            <w:left w:val="none" w:sz="0" w:space="0" w:color="auto"/>
            <w:bottom w:val="none" w:sz="0" w:space="0" w:color="auto"/>
            <w:right w:val="none" w:sz="0" w:space="0" w:color="auto"/>
          </w:divBdr>
          <w:divsChild>
            <w:div w:id="218250025">
              <w:marLeft w:val="0"/>
              <w:marRight w:val="0"/>
              <w:marTop w:val="0"/>
              <w:marBottom w:val="0"/>
              <w:divBdr>
                <w:top w:val="none" w:sz="0" w:space="0" w:color="auto"/>
                <w:left w:val="none" w:sz="0" w:space="0" w:color="auto"/>
                <w:bottom w:val="none" w:sz="0" w:space="0" w:color="auto"/>
                <w:right w:val="none" w:sz="0" w:space="0" w:color="auto"/>
              </w:divBdr>
            </w:div>
          </w:divsChild>
        </w:div>
        <w:div w:id="870537729">
          <w:marLeft w:val="0"/>
          <w:marRight w:val="0"/>
          <w:marTop w:val="0"/>
          <w:marBottom w:val="0"/>
          <w:divBdr>
            <w:top w:val="none" w:sz="0" w:space="0" w:color="auto"/>
            <w:left w:val="none" w:sz="0" w:space="0" w:color="auto"/>
            <w:bottom w:val="none" w:sz="0" w:space="0" w:color="auto"/>
            <w:right w:val="none" w:sz="0" w:space="0" w:color="auto"/>
          </w:divBdr>
          <w:divsChild>
            <w:div w:id="735737659">
              <w:marLeft w:val="0"/>
              <w:marRight w:val="0"/>
              <w:marTop w:val="0"/>
              <w:marBottom w:val="0"/>
              <w:divBdr>
                <w:top w:val="none" w:sz="0" w:space="0" w:color="auto"/>
                <w:left w:val="none" w:sz="0" w:space="0" w:color="auto"/>
                <w:bottom w:val="none" w:sz="0" w:space="0" w:color="auto"/>
                <w:right w:val="none" w:sz="0" w:space="0" w:color="auto"/>
              </w:divBdr>
            </w:div>
          </w:divsChild>
        </w:div>
        <w:div w:id="871695592">
          <w:marLeft w:val="0"/>
          <w:marRight w:val="0"/>
          <w:marTop w:val="0"/>
          <w:marBottom w:val="0"/>
          <w:divBdr>
            <w:top w:val="none" w:sz="0" w:space="0" w:color="auto"/>
            <w:left w:val="none" w:sz="0" w:space="0" w:color="auto"/>
            <w:bottom w:val="none" w:sz="0" w:space="0" w:color="auto"/>
            <w:right w:val="none" w:sz="0" w:space="0" w:color="auto"/>
          </w:divBdr>
          <w:divsChild>
            <w:div w:id="57286930">
              <w:marLeft w:val="0"/>
              <w:marRight w:val="0"/>
              <w:marTop w:val="0"/>
              <w:marBottom w:val="0"/>
              <w:divBdr>
                <w:top w:val="none" w:sz="0" w:space="0" w:color="auto"/>
                <w:left w:val="none" w:sz="0" w:space="0" w:color="auto"/>
                <w:bottom w:val="none" w:sz="0" w:space="0" w:color="auto"/>
                <w:right w:val="none" w:sz="0" w:space="0" w:color="auto"/>
              </w:divBdr>
            </w:div>
          </w:divsChild>
        </w:div>
        <w:div w:id="878006549">
          <w:marLeft w:val="0"/>
          <w:marRight w:val="0"/>
          <w:marTop w:val="0"/>
          <w:marBottom w:val="0"/>
          <w:divBdr>
            <w:top w:val="none" w:sz="0" w:space="0" w:color="auto"/>
            <w:left w:val="none" w:sz="0" w:space="0" w:color="auto"/>
            <w:bottom w:val="none" w:sz="0" w:space="0" w:color="auto"/>
            <w:right w:val="none" w:sz="0" w:space="0" w:color="auto"/>
          </w:divBdr>
          <w:divsChild>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 w:id="902331945">
          <w:marLeft w:val="0"/>
          <w:marRight w:val="0"/>
          <w:marTop w:val="0"/>
          <w:marBottom w:val="0"/>
          <w:divBdr>
            <w:top w:val="none" w:sz="0" w:space="0" w:color="auto"/>
            <w:left w:val="none" w:sz="0" w:space="0" w:color="auto"/>
            <w:bottom w:val="none" w:sz="0" w:space="0" w:color="auto"/>
            <w:right w:val="none" w:sz="0" w:space="0" w:color="auto"/>
          </w:divBdr>
          <w:divsChild>
            <w:div w:id="126288300">
              <w:marLeft w:val="0"/>
              <w:marRight w:val="0"/>
              <w:marTop w:val="0"/>
              <w:marBottom w:val="0"/>
              <w:divBdr>
                <w:top w:val="none" w:sz="0" w:space="0" w:color="auto"/>
                <w:left w:val="none" w:sz="0" w:space="0" w:color="auto"/>
                <w:bottom w:val="none" w:sz="0" w:space="0" w:color="auto"/>
                <w:right w:val="none" w:sz="0" w:space="0" w:color="auto"/>
              </w:divBdr>
            </w:div>
          </w:divsChild>
        </w:div>
        <w:div w:id="907765078">
          <w:marLeft w:val="0"/>
          <w:marRight w:val="0"/>
          <w:marTop w:val="0"/>
          <w:marBottom w:val="0"/>
          <w:divBdr>
            <w:top w:val="none" w:sz="0" w:space="0" w:color="auto"/>
            <w:left w:val="none" w:sz="0" w:space="0" w:color="auto"/>
            <w:bottom w:val="none" w:sz="0" w:space="0" w:color="auto"/>
            <w:right w:val="none" w:sz="0" w:space="0" w:color="auto"/>
          </w:divBdr>
          <w:divsChild>
            <w:div w:id="289476197">
              <w:marLeft w:val="0"/>
              <w:marRight w:val="0"/>
              <w:marTop w:val="0"/>
              <w:marBottom w:val="0"/>
              <w:divBdr>
                <w:top w:val="none" w:sz="0" w:space="0" w:color="auto"/>
                <w:left w:val="none" w:sz="0" w:space="0" w:color="auto"/>
                <w:bottom w:val="none" w:sz="0" w:space="0" w:color="auto"/>
                <w:right w:val="none" w:sz="0" w:space="0" w:color="auto"/>
              </w:divBdr>
            </w:div>
          </w:divsChild>
        </w:div>
        <w:div w:id="917206287">
          <w:marLeft w:val="0"/>
          <w:marRight w:val="0"/>
          <w:marTop w:val="0"/>
          <w:marBottom w:val="0"/>
          <w:divBdr>
            <w:top w:val="none" w:sz="0" w:space="0" w:color="auto"/>
            <w:left w:val="none" w:sz="0" w:space="0" w:color="auto"/>
            <w:bottom w:val="none" w:sz="0" w:space="0" w:color="auto"/>
            <w:right w:val="none" w:sz="0" w:space="0" w:color="auto"/>
          </w:divBdr>
          <w:divsChild>
            <w:div w:id="1804738390">
              <w:marLeft w:val="0"/>
              <w:marRight w:val="0"/>
              <w:marTop w:val="0"/>
              <w:marBottom w:val="0"/>
              <w:divBdr>
                <w:top w:val="none" w:sz="0" w:space="0" w:color="auto"/>
                <w:left w:val="none" w:sz="0" w:space="0" w:color="auto"/>
                <w:bottom w:val="none" w:sz="0" w:space="0" w:color="auto"/>
                <w:right w:val="none" w:sz="0" w:space="0" w:color="auto"/>
              </w:divBdr>
            </w:div>
          </w:divsChild>
        </w:div>
        <w:div w:id="932475652">
          <w:marLeft w:val="0"/>
          <w:marRight w:val="0"/>
          <w:marTop w:val="0"/>
          <w:marBottom w:val="0"/>
          <w:divBdr>
            <w:top w:val="none" w:sz="0" w:space="0" w:color="auto"/>
            <w:left w:val="none" w:sz="0" w:space="0" w:color="auto"/>
            <w:bottom w:val="none" w:sz="0" w:space="0" w:color="auto"/>
            <w:right w:val="none" w:sz="0" w:space="0" w:color="auto"/>
          </w:divBdr>
          <w:divsChild>
            <w:div w:id="1784376986">
              <w:marLeft w:val="0"/>
              <w:marRight w:val="0"/>
              <w:marTop w:val="0"/>
              <w:marBottom w:val="0"/>
              <w:divBdr>
                <w:top w:val="none" w:sz="0" w:space="0" w:color="auto"/>
                <w:left w:val="none" w:sz="0" w:space="0" w:color="auto"/>
                <w:bottom w:val="none" w:sz="0" w:space="0" w:color="auto"/>
                <w:right w:val="none" w:sz="0" w:space="0" w:color="auto"/>
              </w:divBdr>
            </w:div>
          </w:divsChild>
        </w:div>
        <w:div w:id="938180256">
          <w:marLeft w:val="0"/>
          <w:marRight w:val="0"/>
          <w:marTop w:val="0"/>
          <w:marBottom w:val="0"/>
          <w:divBdr>
            <w:top w:val="none" w:sz="0" w:space="0" w:color="auto"/>
            <w:left w:val="none" w:sz="0" w:space="0" w:color="auto"/>
            <w:bottom w:val="none" w:sz="0" w:space="0" w:color="auto"/>
            <w:right w:val="none" w:sz="0" w:space="0" w:color="auto"/>
          </w:divBdr>
          <w:divsChild>
            <w:div w:id="1356233157">
              <w:marLeft w:val="0"/>
              <w:marRight w:val="0"/>
              <w:marTop w:val="0"/>
              <w:marBottom w:val="0"/>
              <w:divBdr>
                <w:top w:val="none" w:sz="0" w:space="0" w:color="auto"/>
                <w:left w:val="none" w:sz="0" w:space="0" w:color="auto"/>
                <w:bottom w:val="none" w:sz="0" w:space="0" w:color="auto"/>
                <w:right w:val="none" w:sz="0" w:space="0" w:color="auto"/>
              </w:divBdr>
            </w:div>
          </w:divsChild>
        </w:div>
        <w:div w:id="956369525">
          <w:marLeft w:val="0"/>
          <w:marRight w:val="0"/>
          <w:marTop w:val="0"/>
          <w:marBottom w:val="0"/>
          <w:divBdr>
            <w:top w:val="none" w:sz="0" w:space="0" w:color="auto"/>
            <w:left w:val="none" w:sz="0" w:space="0" w:color="auto"/>
            <w:bottom w:val="none" w:sz="0" w:space="0" w:color="auto"/>
            <w:right w:val="none" w:sz="0" w:space="0" w:color="auto"/>
          </w:divBdr>
          <w:divsChild>
            <w:div w:id="1332679055">
              <w:marLeft w:val="0"/>
              <w:marRight w:val="0"/>
              <w:marTop w:val="0"/>
              <w:marBottom w:val="0"/>
              <w:divBdr>
                <w:top w:val="none" w:sz="0" w:space="0" w:color="auto"/>
                <w:left w:val="none" w:sz="0" w:space="0" w:color="auto"/>
                <w:bottom w:val="none" w:sz="0" w:space="0" w:color="auto"/>
                <w:right w:val="none" w:sz="0" w:space="0" w:color="auto"/>
              </w:divBdr>
            </w:div>
          </w:divsChild>
        </w:div>
        <w:div w:id="959142581">
          <w:marLeft w:val="0"/>
          <w:marRight w:val="0"/>
          <w:marTop w:val="0"/>
          <w:marBottom w:val="0"/>
          <w:divBdr>
            <w:top w:val="none" w:sz="0" w:space="0" w:color="auto"/>
            <w:left w:val="none" w:sz="0" w:space="0" w:color="auto"/>
            <w:bottom w:val="none" w:sz="0" w:space="0" w:color="auto"/>
            <w:right w:val="none" w:sz="0" w:space="0" w:color="auto"/>
          </w:divBdr>
          <w:divsChild>
            <w:div w:id="298462686">
              <w:marLeft w:val="0"/>
              <w:marRight w:val="0"/>
              <w:marTop w:val="0"/>
              <w:marBottom w:val="0"/>
              <w:divBdr>
                <w:top w:val="none" w:sz="0" w:space="0" w:color="auto"/>
                <w:left w:val="none" w:sz="0" w:space="0" w:color="auto"/>
                <w:bottom w:val="none" w:sz="0" w:space="0" w:color="auto"/>
                <w:right w:val="none" w:sz="0" w:space="0" w:color="auto"/>
              </w:divBdr>
            </w:div>
          </w:divsChild>
        </w:div>
        <w:div w:id="972324023">
          <w:marLeft w:val="0"/>
          <w:marRight w:val="0"/>
          <w:marTop w:val="0"/>
          <w:marBottom w:val="0"/>
          <w:divBdr>
            <w:top w:val="none" w:sz="0" w:space="0" w:color="auto"/>
            <w:left w:val="none" w:sz="0" w:space="0" w:color="auto"/>
            <w:bottom w:val="none" w:sz="0" w:space="0" w:color="auto"/>
            <w:right w:val="none" w:sz="0" w:space="0" w:color="auto"/>
          </w:divBdr>
          <w:divsChild>
            <w:div w:id="1301376503">
              <w:marLeft w:val="0"/>
              <w:marRight w:val="0"/>
              <w:marTop w:val="0"/>
              <w:marBottom w:val="0"/>
              <w:divBdr>
                <w:top w:val="none" w:sz="0" w:space="0" w:color="auto"/>
                <w:left w:val="none" w:sz="0" w:space="0" w:color="auto"/>
                <w:bottom w:val="none" w:sz="0" w:space="0" w:color="auto"/>
                <w:right w:val="none" w:sz="0" w:space="0" w:color="auto"/>
              </w:divBdr>
            </w:div>
          </w:divsChild>
        </w:div>
        <w:div w:id="990721138">
          <w:marLeft w:val="0"/>
          <w:marRight w:val="0"/>
          <w:marTop w:val="0"/>
          <w:marBottom w:val="0"/>
          <w:divBdr>
            <w:top w:val="none" w:sz="0" w:space="0" w:color="auto"/>
            <w:left w:val="none" w:sz="0" w:space="0" w:color="auto"/>
            <w:bottom w:val="none" w:sz="0" w:space="0" w:color="auto"/>
            <w:right w:val="none" w:sz="0" w:space="0" w:color="auto"/>
          </w:divBdr>
          <w:divsChild>
            <w:div w:id="299844521">
              <w:marLeft w:val="0"/>
              <w:marRight w:val="0"/>
              <w:marTop w:val="0"/>
              <w:marBottom w:val="0"/>
              <w:divBdr>
                <w:top w:val="none" w:sz="0" w:space="0" w:color="auto"/>
                <w:left w:val="none" w:sz="0" w:space="0" w:color="auto"/>
                <w:bottom w:val="none" w:sz="0" w:space="0" w:color="auto"/>
                <w:right w:val="none" w:sz="0" w:space="0" w:color="auto"/>
              </w:divBdr>
            </w:div>
          </w:divsChild>
        </w:div>
        <w:div w:id="1002659041">
          <w:marLeft w:val="0"/>
          <w:marRight w:val="0"/>
          <w:marTop w:val="0"/>
          <w:marBottom w:val="0"/>
          <w:divBdr>
            <w:top w:val="none" w:sz="0" w:space="0" w:color="auto"/>
            <w:left w:val="none" w:sz="0" w:space="0" w:color="auto"/>
            <w:bottom w:val="none" w:sz="0" w:space="0" w:color="auto"/>
            <w:right w:val="none" w:sz="0" w:space="0" w:color="auto"/>
          </w:divBdr>
          <w:divsChild>
            <w:div w:id="71004433">
              <w:marLeft w:val="0"/>
              <w:marRight w:val="0"/>
              <w:marTop w:val="0"/>
              <w:marBottom w:val="0"/>
              <w:divBdr>
                <w:top w:val="none" w:sz="0" w:space="0" w:color="auto"/>
                <w:left w:val="none" w:sz="0" w:space="0" w:color="auto"/>
                <w:bottom w:val="none" w:sz="0" w:space="0" w:color="auto"/>
                <w:right w:val="none" w:sz="0" w:space="0" w:color="auto"/>
              </w:divBdr>
            </w:div>
          </w:divsChild>
        </w:div>
        <w:div w:id="1007485532">
          <w:marLeft w:val="0"/>
          <w:marRight w:val="0"/>
          <w:marTop w:val="0"/>
          <w:marBottom w:val="0"/>
          <w:divBdr>
            <w:top w:val="none" w:sz="0" w:space="0" w:color="auto"/>
            <w:left w:val="none" w:sz="0" w:space="0" w:color="auto"/>
            <w:bottom w:val="none" w:sz="0" w:space="0" w:color="auto"/>
            <w:right w:val="none" w:sz="0" w:space="0" w:color="auto"/>
          </w:divBdr>
          <w:divsChild>
            <w:div w:id="287856734">
              <w:marLeft w:val="0"/>
              <w:marRight w:val="0"/>
              <w:marTop w:val="0"/>
              <w:marBottom w:val="0"/>
              <w:divBdr>
                <w:top w:val="none" w:sz="0" w:space="0" w:color="auto"/>
                <w:left w:val="none" w:sz="0" w:space="0" w:color="auto"/>
                <w:bottom w:val="none" w:sz="0" w:space="0" w:color="auto"/>
                <w:right w:val="none" w:sz="0" w:space="0" w:color="auto"/>
              </w:divBdr>
            </w:div>
          </w:divsChild>
        </w:div>
        <w:div w:id="1011178804">
          <w:marLeft w:val="0"/>
          <w:marRight w:val="0"/>
          <w:marTop w:val="0"/>
          <w:marBottom w:val="0"/>
          <w:divBdr>
            <w:top w:val="none" w:sz="0" w:space="0" w:color="auto"/>
            <w:left w:val="none" w:sz="0" w:space="0" w:color="auto"/>
            <w:bottom w:val="none" w:sz="0" w:space="0" w:color="auto"/>
            <w:right w:val="none" w:sz="0" w:space="0" w:color="auto"/>
          </w:divBdr>
          <w:divsChild>
            <w:div w:id="2103908709">
              <w:marLeft w:val="0"/>
              <w:marRight w:val="0"/>
              <w:marTop w:val="0"/>
              <w:marBottom w:val="0"/>
              <w:divBdr>
                <w:top w:val="none" w:sz="0" w:space="0" w:color="auto"/>
                <w:left w:val="none" w:sz="0" w:space="0" w:color="auto"/>
                <w:bottom w:val="none" w:sz="0" w:space="0" w:color="auto"/>
                <w:right w:val="none" w:sz="0" w:space="0" w:color="auto"/>
              </w:divBdr>
            </w:div>
          </w:divsChild>
        </w:div>
        <w:div w:id="1050887027">
          <w:marLeft w:val="0"/>
          <w:marRight w:val="0"/>
          <w:marTop w:val="0"/>
          <w:marBottom w:val="0"/>
          <w:divBdr>
            <w:top w:val="none" w:sz="0" w:space="0" w:color="auto"/>
            <w:left w:val="none" w:sz="0" w:space="0" w:color="auto"/>
            <w:bottom w:val="none" w:sz="0" w:space="0" w:color="auto"/>
            <w:right w:val="none" w:sz="0" w:space="0" w:color="auto"/>
          </w:divBdr>
          <w:divsChild>
            <w:div w:id="1857117075">
              <w:marLeft w:val="0"/>
              <w:marRight w:val="0"/>
              <w:marTop w:val="0"/>
              <w:marBottom w:val="0"/>
              <w:divBdr>
                <w:top w:val="none" w:sz="0" w:space="0" w:color="auto"/>
                <w:left w:val="none" w:sz="0" w:space="0" w:color="auto"/>
                <w:bottom w:val="none" w:sz="0" w:space="0" w:color="auto"/>
                <w:right w:val="none" w:sz="0" w:space="0" w:color="auto"/>
              </w:divBdr>
            </w:div>
          </w:divsChild>
        </w:div>
        <w:div w:id="1063674436">
          <w:marLeft w:val="0"/>
          <w:marRight w:val="0"/>
          <w:marTop w:val="0"/>
          <w:marBottom w:val="0"/>
          <w:divBdr>
            <w:top w:val="none" w:sz="0" w:space="0" w:color="auto"/>
            <w:left w:val="none" w:sz="0" w:space="0" w:color="auto"/>
            <w:bottom w:val="none" w:sz="0" w:space="0" w:color="auto"/>
            <w:right w:val="none" w:sz="0" w:space="0" w:color="auto"/>
          </w:divBdr>
          <w:divsChild>
            <w:div w:id="1743024721">
              <w:marLeft w:val="0"/>
              <w:marRight w:val="0"/>
              <w:marTop w:val="0"/>
              <w:marBottom w:val="0"/>
              <w:divBdr>
                <w:top w:val="none" w:sz="0" w:space="0" w:color="auto"/>
                <w:left w:val="none" w:sz="0" w:space="0" w:color="auto"/>
                <w:bottom w:val="none" w:sz="0" w:space="0" w:color="auto"/>
                <w:right w:val="none" w:sz="0" w:space="0" w:color="auto"/>
              </w:divBdr>
            </w:div>
          </w:divsChild>
        </w:div>
        <w:div w:id="1076197847">
          <w:marLeft w:val="0"/>
          <w:marRight w:val="0"/>
          <w:marTop w:val="0"/>
          <w:marBottom w:val="0"/>
          <w:divBdr>
            <w:top w:val="none" w:sz="0" w:space="0" w:color="auto"/>
            <w:left w:val="none" w:sz="0" w:space="0" w:color="auto"/>
            <w:bottom w:val="none" w:sz="0" w:space="0" w:color="auto"/>
            <w:right w:val="none" w:sz="0" w:space="0" w:color="auto"/>
          </w:divBdr>
          <w:divsChild>
            <w:div w:id="1655068720">
              <w:marLeft w:val="0"/>
              <w:marRight w:val="0"/>
              <w:marTop w:val="0"/>
              <w:marBottom w:val="0"/>
              <w:divBdr>
                <w:top w:val="none" w:sz="0" w:space="0" w:color="auto"/>
                <w:left w:val="none" w:sz="0" w:space="0" w:color="auto"/>
                <w:bottom w:val="none" w:sz="0" w:space="0" w:color="auto"/>
                <w:right w:val="none" w:sz="0" w:space="0" w:color="auto"/>
              </w:divBdr>
            </w:div>
          </w:divsChild>
        </w:div>
        <w:div w:id="1095901839">
          <w:marLeft w:val="0"/>
          <w:marRight w:val="0"/>
          <w:marTop w:val="0"/>
          <w:marBottom w:val="0"/>
          <w:divBdr>
            <w:top w:val="none" w:sz="0" w:space="0" w:color="auto"/>
            <w:left w:val="none" w:sz="0" w:space="0" w:color="auto"/>
            <w:bottom w:val="none" w:sz="0" w:space="0" w:color="auto"/>
            <w:right w:val="none" w:sz="0" w:space="0" w:color="auto"/>
          </w:divBdr>
          <w:divsChild>
            <w:div w:id="734860124">
              <w:marLeft w:val="0"/>
              <w:marRight w:val="0"/>
              <w:marTop w:val="0"/>
              <w:marBottom w:val="0"/>
              <w:divBdr>
                <w:top w:val="none" w:sz="0" w:space="0" w:color="auto"/>
                <w:left w:val="none" w:sz="0" w:space="0" w:color="auto"/>
                <w:bottom w:val="none" w:sz="0" w:space="0" w:color="auto"/>
                <w:right w:val="none" w:sz="0" w:space="0" w:color="auto"/>
              </w:divBdr>
            </w:div>
          </w:divsChild>
        </w:div>
        <w:div w:id="1108356663">
          <w:marLeft w:val="0"/>
          <w:marRight w:val="0"/>
          <w:marTop w:val="0"/>
          <w:marBottom w:val="0"/>
          <w:divBdr>
            <w:top w:val="none" w:sz="0" w:space="0" w:color="auto"/>
            <w:left w:val="none" w:sz="0" w:space="0" w:color="auto"/>
            <w:bottom w:val="none" w:sz="0" w:space="0" w:color="auto"/>
            <w:right w:val="none" w:sz="0" w:space="0" w:color="auto"/>
          </w:divBdr>
          <w:divsChild>
            <w:div w:id="1313020745">
              <w:marLeft w:val="0"/>
              <w:marRight w:val="0"/>
              <w:marTop w:val="0"/>
              <w:marBottom w:val="0"/>
              <w:divBdr>
                <w:top w:val="none" w:sz="0" w:space="0" w:color="auto"/>
                <w:left w:val="none" w:sz="0" w:space="0" w:color="auto"/>
                <w:bottom w:val="none" w:sz="0" w:space="0" w:color="auto"/>
                <w:right w:val="none" w:sz="0" w:space="0" w:color="auto"/>
              </w:divBdr>
            </w:div>
          </w:divsChild>
        </w:div>
        <w:div w:id="1122113425">
          <w:marLeft w:val="0"/>
          <w:marRight w:val="0"/>
          <w:marTop w:val="0"/>
          <w:marBottom w:val="0"/>
          <w:divBdr>
            <w:top w:val="none" w:sz="0" w:space="0" w:color="auto"/>
            <w:left w:val="none" w:sz="0" w:space="0" w:color="auto"/>
            <w:bottom w:val="none" w:sz="0" w:space="0" w:color="auto"/>
            <w:right w:val="none" w:sz="0" w:space="0" w:color="auto"/>
          </w:divBdr>
          <w:divsChild>
            <w:div w:id="1027609546">
              <w:marLeft w:val="0"/>
              <w:marRight w:val="0"/>
              <w:marTop w:val="0"/>
              <w:marBottom w:val="0"/>
              <w:divBdr>
                <w:top w:val="none" w:sz="0" w:space="0" w:color="auto"/>
                <w:left w:val="none" w:sz="0" w:space="0" w:color="auto"/>
                <w:bottom w:val="none" w:sz="0" w:space="0" w:color="auto"/>
                <w:right w:val="none" w:sz="0" w:space="0" w:color="auto"/>
              </w:divBdr>
            </w:div>
          </w:divsChild>
        </w:div>
        <w:div w:id="1130054455">
          <w:marLeft w:val="0"/>
          <w:marRight w:val="0"/>
          <w:marTop w:val="0"/>
          <w:marBottom w:val="0"/>
          <w:divBdr>
            <w:top w:val="none" w:sz="0" w:space="0" w:color="auto"/>
            <w:left w:val="none" w:sz="0" w:space="0" w:color="auto"/>
            <w:bottom w:val="none" w:sz="0" w:space="0" w:color="auto"/>
            <w:right w:val="none" w:sz="0" w:space="0" w:color="auto"/>
          </w:divBdr>
          <w:divsChild>
            <w:div w:id="1251887054">
              <w:marLeft w:val="0"/>
              <w:marRight w:val="0"/>
              <w:marTop w:val="0"/>
              <w:marBottom w:val="0"/>
              <w:divBdr>
                <w:top w:val="none" w:sz="0" w:space="0" w:color="auto"/>
                <w:left w:val="none" w:sz="0" w:space="0" w:color="auto"/>
                <w:bottom w:val="none" w:sz="0" w:space="0" w:color="auto"/>
                <w:right w:val="none" w:sz="0" w:space="0" w:color="auto"/>
              </w:divBdr>
            </w:div>
          </w:divsChild>
        </w:div>
        <w:div w:id="1139954566">
          <w:marLeft w:val="0"/>
          <w:marRight w:val="0"/>
          <w:marTop w:val="0"/>
          <w:marBottom w:val="0"/>
          <w:divBdr>
            <w:top w:val="none" w:sz="0" w:space="0" w:color="auto"/>
            <w:left w:val="none" w:sz="0" w:space="0" w:color="auto"/>
            <w:bottom w:val="none" w:sz="0" w:space="0" w:color="auto"/>
            <w:right w:val="none" w:sz="0" w:space="0" w:color="auto"/>
          </w:divBdr>
          <w:divsChild>
            <w:div w:id="1726952330">
              <w:marLeft w:val="0"/>
              <w:marRight w:val="0"/>
              <w:marTop w:val="0"/>
              <w:marBottom w:val="0"/>
              <w:divBdr>
                <w:top w:val="none" w:sz="0" w:space="0" w:color="auto"/>
                <w:left w:val="none" w:sz="0" w:space="0" w:color="auto"/>
                <w:bottom w:val="none" w:sz="0" w:space="0" w:color="auto"/>
                <w:right w:val="none" w:sz="0" w:space="0" w:color="auto"/>
              </w:divBdr>
            </w:div>
          </w:divsChild>
        </w:div>
        <w:div w:id="1144086845">
          <w:marLeft w:val="0"/>
          <w:marRight w:val="0"/>
          <w:marTop w:val="0"/>
          <w:marBottom w:val="0"/>
          <w:divBdr>
            <w:top w:val="none" w:sz="0" w:space="0" w:color="auto"/>
            <w:left w:val="none" w:sz="0" w:space="0" w:color="auto"/>
            <w:bottom w:val="none" w:sz="0" w:space="0" w:color="auto"/>
            <w:right w:val="none" w:sz="0" w:space="0" w:color="auto"/>
          </w:divBdr>
          <w:divsChild>
            <w:div w:id="1871338357">
              <w:marLeft w:val="0"/>
              <w:marRight w:val="0"/>
              <w:marTop w:val="0"/>
              <w:marBottom w:val="0"/>
              <w:divBdr>
                <w:top w:val="none" w:sz="0" w:space="0" w:color="auto"/>
                <w:left w:val="none" w:sz="0" w:space="0" w:color="auto"/>
                <w:bottom w:val="none" w:sz="0" w:space="0" w:color="auto"/>
                <w:right w:val="none" w:sz="0" w:space="0" w:color="auto"/>
              </w:divBdr>
            </w:div>
          </w:divsChild>
        </w:div>
        <w:div w:id="1153376668">
          <w:marLeft w:val="0"/>
          <w:marRight w:val="0"/>
          <w:marTop w:val="0"/>
          <w:marBottom w:val="0"/>
          <w:divBdr>
            <w:top w:val="none" w:sz="0" w:space="0" w:color="auto"/>
            <w:left w:val="none" w:sz="0" w:space="0" w:color="auto"/>
            <w:bottom w:val="none" w:sz="0" w:space="0" w:color="auto"/>
            <w:right w:val="none" w:sz="0" w:space="0" w:color="auto"/>
          </w:divBdr>
          <w:divsChild>
            <w:div w:id="1578981647">
              <w:marLeft w:val="0"/>
              <w:marRight w:val="0"/>
              <w:marTop w:val="0"/>
              <w:marBottom w:val="0"/>
              <w:divBdr>
                <w:top w:val="none" w:sz="0" w:space="0" w:color="auto"/>
                <w:left w:val="none" w:sz="0" w:space="0" w:color="auto"/>
                <w:bottom w:val="none" w:sz="0" w:space="0" w:color="auto"/>
                <w:right w:val="none" w:sz="0" w:space="0" w:color="auto"/>
              </w:divBdr>
            </w:div>
          </w:divsChild>
        </w:div>
        <w:div w:id="1155492968">
          <w:marLeft w:val="0"/>
          <w:marRight w:val="0"/>
          <w:marTop w:val="0"/>
          <w:marBottom w:val="0"/>
          <w:divBdr>
            <w:top w:val="none" w:sz="0" w:space="0" w:color="auto"/>
            <w:left w:val="none" w:sz="0" w:space="0" w:color="auto"/>
            <w:bottom w:val="none" w:sz="0" w:space="0" w:color="auto"/>
            <w:right w:val="none" w:sz="0" w:space="0" w:color="auto"/>
          </w:divBdr>
          <w:divsChild>
            <w:div w:id="1264605539">
              <w:marLeft w:val="0"/>
              <w:marRight w:val="0"/>
              <w:marTop w:val="0"/>
              <w:marBottom w:val="0"/>
              <w:divBdr>
                <w:top w:val="none" w:sz="0" w:space="0" w:color="auto"/>
                <w:left w:val="none" w:sz="0" w:space="0" w:color="auto"/>
                <w:bottom w:val="none" w:sz="0" w:space="0" w:color="auto"/>
                <w:right w:val="none" w:sz="0" w:space="0" w:color="auto"/>
              </w:divBdr>
            </w:div>
          </w:divsChild>
        </w:div>
        <w:div w:id="1156990749">
          <w:marLeft w:val="0"/>
          <w:marRight w:val="0"/>
          <w:marTop w:val="0"/>
          <w:marBottom w:val="0"/>
          <w:divBdr>
            <w:top w:val="none" w:sz="0" w:space="0" w:color="auto"/>
            <w:left w:val="none" w:sz="0" w:space="0" w:color="auto"/>
            <w:bottom w:val="none" w:sz="0" w:space="0" w:color="auto"/>
            <w:right w:val="none" w:sz="0" w:space="0" w:color="auto"/>
          </w:divBdr>
          <w:divsChild>
            <w:div w:id="717434601">
              <w:marLeft w:val="0"/>
              <w:marRight w:val="0"/>
              <w:marTop w:val="0"/>
              <w:marBottom w:val="0"/>
              <w:divBdr>
                <w:top w:val="none" w:sz="0" w:space="0" w:color="auto"/>
                <w:left w:val="none" w:sz="0" w:space="0" w:color="auto"/>
                <w:bottom w:val="none" w:sz="0" w:space="0" w:color="auto"/>
                <w:right w:val="none" w:sz="0" w:space="0" w:color="auto"/>
              </w:divBdr>
            </w:div>
          </w:divsChild>
        </w:div>
        <w:div w:id="1158767141">
          <w:marLeft w:val="0"/>
          <w:marRight w:val="0"/>
          <w:marTop w:val="0"/>
          <w:marBottom w:val="0"/>
          <w:divBdr>
            <w:top w:val="none" w:sz="0" w:space="0" w:color="auto"/>
            <w:left w:val="none" w:sz="0" w:space="0" w:color="auto"/>
            <w:bottom w:val="none" w:sz="0" w:space="0" w:color="auto"/>
            <w:right w:val="none" w:sz="0" w:space="0" w:color="auto"/>
          </w:divBdr>
          <w:divsChild>
            <w:div w:id="2110855688">
              <w:marLeft w:val="0"/>
              <w:marRight w:val="0"/>
              <w:marTop w:val="0"/>
              <w:marBottom w:val="0"/>
              <w:divBdr>
                <w:top w:val="none" w:sz="0" w:space="0" w:color="auto"/>
                <w:left w:val="none" w:sz="0" w:space="0" w:color="auto"/>
                <w:bottom w:val="none" w:sz="0" w:space="0" w:color="auto"/>
                <w:right w:val="none" w:sz="0" w:space="0" w:color="auto"/>
              </w:divBdr>
            </w:div>
          </w:divsChild>
        </w:div>
        <w:div w:id="1160080741">
          <w:marLeft w:val="0"/>
          <w:marRight w:val="0"/>
          <w:marTop w:val="0"/>
          <w:marBottom w:val="0"/>
          <w:divBdr>
            <w:top w:val="none" w:sz="0" w:space="0" w:color="auto"/>
            <w:left w:val="none" w:sz="0" w:space="0" w:color="auto"/>
            <w:bottom w:val="none" w:sz="0" w:space="0" w:color="auto"/>
            <w:right w:val="none" w:sz="0" w:space="0" w:color="auto"/>
          </w:divBdr>
          <w:divsChild>
            <w:div w:id="678701087">
              <w:marLeft w:val="0"/>
              <w:marRight w:val="0"/>
              <w:marTop w:val="0"/>
              <w:marBottom w:val="0"/>
              <w:divBdr>
                <w:top w:val="none" w:sz="0" w:space="0" w:color="auto"/>
                <w:left w:val="none" w:sz="0" w:space="0" w:color="auto"/>
                <w:bottom w:val="none" w:sz="0" w:space="0" w:color="auto"/>
                <w:right w:val="none" w:sz="0" w:space="0" w:color="auto"/>
              </w:divBdr>
            </w:div>
          </w:divsChild>
        </w:div>
        <w:div w:id="1171140752">
          <w:marLeft w:val="0"/>
          <w:marRight w:val="0"/>
          <w:marTop w:val="0"/>
          <w:marBottom w:val="0"/>
          <w:divBdr>
            <w:top w:val="none" w:sz="0" w:space="0" w:color="auto"/>
            <w:left w:val="none" w:sz="0" w:space="0" w:color="auto"/>
            <w:bottom w:val="none" w:sz="0" w:space="0" w:color="auto"/>
            <w:right w:val="none" w:sz="0" w:space="0" w:color="auto"/>
          </w:divBdr>
          <w:divsChild>
            <w:div w:id="432937614">
              <w:marLeft w:val="0"/>
              <w:marRight w:val="0"/>
              <w:marTop w:val="0"/>
              <w:marBottom w:val="0"/>
              <w:divBdr>
                <w:top w:val="none" w:sz="0" w:space="0" w:color="auto"/>
                <w:left w:val="none" w:sz="0" w:space="0" w:color="auto"/>
                <w:bottom w:val="none" w:sz="0" w:space="0" w:color="auto"/>
                <w:right w:val="none" w:sz="0" w:space="0" w:color="auto"/>
              </w:divBdr>
            </w:div>
          </w:divsChild>
        </w:div>
        <w:div w:id="1185050536">
          <w:marLeft w:val="0"/>
          <w:marRight w:val="0"/>
          <w:marTop w:val="0"/>
          <w:marBottom w:val="0"/>
          <w:divBdr>
            <w:top w:val="none" w:sz="0" w:space="0" w:color="auto"/>
            <w:left w:val="none" w:sz="0" w:space="0" w:color="auto"/>
            <w:bottom w:val="none" w:sz="0" w:space="0" w:color="auto"/>
            <w:right w:val="none" w:sz="0" w:space="0" w:color="auto"/>
          </w:divBdr>
          <w:divsChild>
            <w:div w:id="1658221851">
              <w:marLeft w:val="0"/>
              <w:marRight w:val="0"/>
              <w:marTop w:val="0"/>
              <w:marBottom w:val="0"/>
              <w:divBdr>
                <w:top w:val="none" w:sz="0" w:space="0" w:color="auto"/>
                <w:left w:val="none" w:sz="0" w:space="0" w:color="auto"/>
                <w:bottom w:val="none" w:sz="0" w:space="0" w:color="auto"/>
                <w:right w:val="none" w:sz="0" w:space="0" w:color="auto"/>
              </w:divBdr>
            </w:div>
          </w:divsChild>
        </w:div>
        <w:div w:id="1189755249">
          <w:marLeft w:val="0"/>
          <w:marRight w:val="0"/>
          <w:marTop w:val="0"/>
          <w:marBottom w:val="0"/>
          <w:divBdr>
            <w:top w:val="none" w:sz="0" w:space="0" w:color="auto"/>
            <w:left w:val="none" w:sz="0" w:space="0" w:color="auto"/>
            <w:bottom w:val="none" w:sz="0" w:space="0" w:color="auto"/>
            <w:right w:val="none" w:sz="0" w:space="0" w:color="auto"/>
          </w:divBdr>
          <w:divsChild>
            <w:div w:id="1164273436">
              <w:marLeft w:val="0"/>
              <w:marRight w:val="0"/>
              <w:marTop w:val="0"/>
              <w:marBottom w:val="0"/>
              <w:divBdr>
                <w:top w:val="none" w:sz="0" w:space="0" w:color="auto"/>
                <w:left w:val="none" w:sz="0" w:space="0" w:color="auto"/>
                <w:bottom w:val="none" w:sz="0" w:space="0" w:color="auto"/>
                <w:right w:val="none" w:sz="0" w:space="0" w:color="auto"/>
              </w:divBdr>
            </w:div>
          </w:divsChild>
        </w:div>
        <w:div w:id="1197964138">
          <w:marLeft w:val="0"/>
          <w:marRight w:val="0"/>
          <w:marTop w:val="0"/>
          <w:marBottom w:val="0"/>
          <w:divBdr>
            <w:top w:val="none" w:sz="0" w:space="0" w:color="auto"/>
            <w:left w:val="none" w:sz="0" w:space="0" w:color="auto"/>
            <w:bottom w:val="none" w:sz="0" w:space="0" w:color="auto"/>
            <w:right w:val="none" w:sz="0" w:space="0" w:color="auto"/>
          </w:divBdr>
          <w:divsChild>
            <w:div w:id="166792238">
              <w:marLeft w:val="0"/>
              <w:marRight w:val="0"/>
              <w:marTop w:val="0"/>
              <w:marBottom w:val="0"/>
              <w:divBdr>
                <w:top w:val="none" w:sz="0" w:space="0" w:color="auto"/>
                <w:left w:val="none" w:sz="0" w:space="0" w:color="auto"/>
                <w:bottom w:val="none" w:sz="0" w:space="0" w:color="auto"/>
                <w:right w:val="none" w:sz="0" w:space="0" w:color="auto"/>
              </w:divBdr>
            </w:div>
          </w:divsChild>
        </w:div>
        <w:div w:id="1199775360">
          <w:marLeft w:val="0"/>
          <w:marRight w:val="0"/>
          <w:marTop w:val="0"/>
          <w:marBottom w:val="0"/>
          <w:divBdr>
            <w:top w:val="none" w:sz="0" w:space="0" w:color="auto"/>
            <w:left w:val="none" w:sz="0" w:space="0" w:color="auto"/>
            <w:bottom w:val="none" w:sz="0" w:space="0" w:color="auto"/>
            <w:right w:val="none" w:sz="0" w:space="0" w:color="auto"/>
          </w:divBdr>
          <w:divsChild>
            <w:div w:id="1797406853">
              <w:marLeft w:val="0"/>
              <w:marRight w:val="0"/>
              <w:marTop w:val="0"/>
              <w:marBottom w:val="0"/>
              <w:divBdr>
                <w:top w:val="none" w:sz="0" w:space="0" w:color="auto"/>
                <w:left w:val="none" w:sz="0" w:space="0" w:color="auto"/>
                <w:bottom w:val="none" w:sz="0" w:space="0" w:color="auto"/>
                <w:right w:val="none" w:sz="0" w:space="0" w:color="auto"/>
              </w:divBdr>
            </w:div>
          </w:divsChild>
        </w:div>
        <w:div w:id="1236822931">
          <w:marLeft w:val="0"/>
          <w:marRight w:val="0"/>
          <w:marTop w:val="0"/>
          <w:marBottom w:val="0"/>
          <w:divBdr>
            <w:top w:val="none" w:sz="0" w:space="0" w:color="auto"/>
            <w:left w:val="none" w:sz="0" w:space="0" w:color="auto"/>
            <w:bottom w:val="none" w:sz="0" w:space="0" w:color="auto"/>
            <w:right w:val="none" w:sz="0" w:space="0" w:color="auto"/>
          </w:divBdr>
          <w:divsChild>
            <w:div w:id="1408460032">
              <w:marLeft w:val="0"/>
              <w:marRight w:val="0"/>
              <w:marTop w:val="0"/>
              <w:marBottom w:val="0"/>
              <w:divBdr>
                <w:top w:val="none" w:sz="0" w:space="0" w:color="auto"/>
                <w:left w:val="none" w:sz="0" w:space="0" w:color="auto"/>
                <w:bottom w:val="none" w:sz="0" w:space="0" w:color="auto"/>
                <w:right w:val="none" w:sz="0" w:space="0" w:color="auto"/>
              </w:divBdr>
            </w:div>
          </w:divsChild>
        </w:div>
        <w:div w:id="1239438968">
          <w:marLeft w:val="0"/>
          <w:marRight w:val="0"/>
          <w:marTop w:val="0"/>
          <w:marBottom w:val="0"/>
          <w:divBdr>
            <w:top w:val="none" w:sz="0" w:space="0" w:color="auto"/>
            <w:left w:val="none" w:sz="0" w:space="0" w:color="auto"/>
            <w:bottom w:val="none" w:sz="0" w:space="0" w:color="auto"/>
            <w:right w:val="none" w:sz="0" w:space="0" w:color="auto"/>
          </w:divBdr>
          <w:divsChild>
            <w:div w:id="588463043">
              <w:marLeft w:val="0"/>
              <w:marRight w:val="0"/>
              <w:marTop w:val="0"/>
              <w:marBottom w:val="0"/>
              <w:divBdr>
                <w:top w:val="none" w:sz="0" w:space="0" w:color="auto"/>
                <w:left w:val="none" w:sz="0" w:space="0" w:color="auto"/>
                <w:bottom w:val="none" w:sz="0" w:space="0" w:color="auto"/>
                <w:right w:val="none" w:sz="0" w:space="0" w:color="auto"/>
              </w:divBdr>
            </w:div>
          </w:divsChild>
        </w:div>
        <w:div w:id="1253667345">
          <w:marLeft w:val="0"/>
          <w:marRight w:val="0"/>
          <w:marTop w:val="0"/>
          <w:marBottom w:val="0"/>
          <w:divBdr>
            <w:top w:val="none" w:sz="0" w:space="0" w:color="auto"/>
            <w:left w:val="none" w:sz="0" w:space="0" w:color="auto"/>
            <w:bottom w:val="none" w:sz="0" w:space="0" w:color="auto"/>
            <w:right w:val="none" w:sz="0" w:space="0" w:color="auto"/>
          </w:divBdr>
          <w:divsChild>
            <w:div w:id="1568150605">
              <w:marLeft w:val="0"/>
              <w:marRight w:val="0"/>
              <w:marTop w:val="0"/>
              <w:marBottom w:val="0"/>
              <w:divBdr>
                <w:top w:val="none" w:sz="0" w:space="0" w:color="auto"/>
                <w:left w:val="none" w:sz="0" w:space="0" w:color="auto"/>
                <w:bottom w:val="none" w:sz="0" w:space="0" w:color="auto"/>
                <w:right w:val="none" w:sz="0" w:space="0" w:color="auto"/>
              </w:divBdr>
            </w:div>
          </w:divsChild>
        </w:div>
        <w:div w:id="1255285540">
          <w:marLeft w:val="0"/>
          <w:marRight w:val="0"/>
          <w:marTop w:val="0"/>
          <w:marBottom w:val="0"/>
          <w:divBdr>
            <w:top w:val="none" w:sz="0" w:space="0" w:color="auto"/>
            <w:left w:val="none" w:sz="0" w:space="0" w:color="auto"/>
            <w:bottom w:val="none" w:sz="0" w:space="0" w:color="auto"/>
            <w:right w:val="none" w:sz="0" w:space="0" w:color="auto"/>
          </w:divBdr>
          <w:divsChild>
            <w:div w:id="1027372726">
              <w:marLeft w:val="0"/>
              <w:marRight w:val="0"/>
              <w:marTop w:val="0"/>
              <w:marBottom w:val="0"/>
              <w:divBdr>
                <w:top w:val="none" w:sz="0" w:space="0" w:color="auto"/>
                <w:left w:val="none" w:sz="0" w:space="0" w:color="auto"/>
                <w:bottom w:val="none" w:sz="0" w:space="0" w:color="auto"/>
                <w:right w:val="none" w:sz="0" w:space="0" w:color="auto"/>
              </w:divBdr>
            </w:div>
          </w:divsChild>
        </w:div>
        <w:div w:id="1260866667">
          <w:marLeft w:val="0"/>
          <w:marRight w:val="0"/>
          <w:marTop w:val="0"/>
          <w:marBottom w:val="0"/>
          <w:divBdr>
            <w:top w:val="none" w:sz="0" w:space="0" w:color="auto"/>
            <w:left w:val="none" w:sz="0" w:space="0" w:color="auto"/>
            <w:bottom w:val="none" w:sz="0" w:space="0" w:color="auto"/>
            <w:right w:val="none" w:sz="0" w:space="0" w:color="auto"/>
          </w:divBdr>
          <w:divsChild>
            <w:div w:id="1175730459">
              <w:marLeft w:val="0"/>
              <w:marRight w:val="0"/>
              <w:marTop w:val="0"/>
              <w:marBottom w:val="0"/>
              <w:divBdr>
                <w:top w:val="none" w:sz="0" w:space="0" w:color="auto"/>
                <w:left w:val="none" w:sz="0" w:space="0" w:color="auto"/>
                <w:bottom w:val="none" w:sz="0" w:space="0" w:color="auto"/>
                <w:right w:val="none" w:sz="0" w:space="0" w:color="auto"/>
              </w:divBdr>
            </w:div>
          </w:divsChild>
        </w:div>
        <w:div w:id="1268345336">
          <w:marLeft w:val="0"/>
          <w:marRight w:val="0"/>
          <w:marTop w:val="0"/>
          <w:marBottom w:val="0"/>
          <w:divBdr>
            <w:top w:val="none" w:sz="0" w:space="0" w:color="auto"/>
            <w:left w:val="none" w:sz="0" w:space="0" w:color="auto"/>
            <w:bottom w:val="none" w:sz="0" w:space="0" w:color="auto"/>
            <w:right w:val="none" w:sz="0" w:space="0" w:color="auto"/>
          </w:divBdr>
          <w:divsChild>
            <w:div w:id="1479346459">
              <w:marLeft w:val="0"/>
              <w:marRight w:val="0"/>
              <w:marTop w:val="0"/>
              <w:marBottom w:val="0"/>
              <w:divBdr>
                <w:top w:val="none" w:sz="0" w:space="0" w:color="auto"/>
                <w:left w:val="none" w:sz="0" w:space="0" w:color="auto"/>
                <w:bottom w:val="none" w:sz="0" w:space="0" w:color="auto"/>
                <w:right w:val="none" w:sz="0" w:space="0" w:color="auto"/>
              </w:divBdr>
            </w:div>
          </w:divsChild>
        </w:div>
        <w:div w:id="1281062406">
          <w:marLeft w:val="0"/>
          <w:marRight w:val="0"/>
          <w:marTop w:val="0"/>
          <w:marBottom w:val="0"/>
          <w:divBdr>
            <w:top w:val="none" w:sz="0" w:space="0" w:color="auto"/>
            <w:left w:val="none" w:sz="0" w:space="0" w:color="auto"/>
            <w:bottom w:val="none" w:sz="0" w:space="0" w:color="auto"/>
            <w:right w:val="none" w:sz="0" w:space="0" w:color="auto"/>
          </w:divBdr>
          <w:divsChild>
            <w:div w:id="1206217661">
              <w:marLeft w:val="0"/>
              <w:marRight w:val="0"/>
              <w:marTop w:val="0"/>
              <w:marBottom w:val="0"/>
              <w:divBdr>
                <w:top w:val="none" w:sz="0" w:space="0" w:color="auto"/>
                <w:left w:val="none" w:sz="0" w:space="0" w:color="auto"/>
                <w:bottom w:val="none" w:sz="0" w:space="0" w:color="auto"/>
                <w:right w:val="none" w:sz="0" w:space="0" w:color="auto"/>
              </w:divBdr>
            </w:div>
          </w:divsChild>
        </w:div>
        <w:div w:id="1288968109">
          <w:marLeft w:val="0"/>
          <w:marRight w:val="0"/>
          <w:marTop w:val="0"/>
          <w:marBottom w:val="0"/>
          <w:divBdr>
            <w:top w:val="none" w:sz="0" w:space="0" w:color="auto"/>
            <w:left w:val="none" w:sz="0" w:space="0" w:color="auto"/>
            <w:bottom w:val="none" w:sz="0" w:space="0" w:color="auto"/>
            <w:right w:val="none" w:sz="0" w:space="0" w:color="auto"/>
          </w:divBdr>
          <w:divsChild>
            <w:div w:id="1859733905">
              <w:marLeft w:val="0"/>
              <w:marRight w:val="0"/>
              <w:marTop w:val="0"/>
              <w:marBottom w:val="0"/>
              <w:divBdr>
                <w:top w:val="none" w:sz="0" w:space="0" w:color="auto"/>
                <w:left w:val="none" w:sz="0" w:space="0" w:color="auto"/>
                <w:bottom w:val="none" w:sz="0" w:space="0" w:color="auto"/>
                <w:right w:val="none" w:sz="0" w:space="0" w:color="auto"/>
              </w:divBdr>
            </w:div>
          </w:divsChild>
        </w:div>
        <w:div w:id="1303074276">
          <w:marLeft w:val="0"/>
          <w:marRight w:val="0"/>
          <w:marTop w:val="0"/>
          <w:marBottom w:val="0"/>
          <w:divBdr>
            <w:top w:val="none" w:sz="0" w:space="0" w:color="auto"/>
            <w:left w:val="none" w:sz="0" w:space="0" w:color="auto"/>
            <w:bottom w:val="none" w:sz="0" w:space="0" w:color="auto"/>
            <w:right w:val="none" w:sz="0" w:space="0" w:color="auto"/>
          </w:divBdr>
          <w:divsChild>
            <w:div w:id="252589245">
              <w:marLeft w:val="0"/>
              <w:marRight w:val="0"/>
              <w:marTop w:val="0"/>
              <w:marBottom w:val="0"/>
              <w:divBdr>
                <w:top w:val="none" w:sz="0" w:space="0" w:color="auto"/>
                <w:left w:val="none" w:sz="0" w:space="0" w:color="auto"/>
                <w:bottom w:val="none" w:sz="0" w:space="0" w:color="auto"/>
                <w:right w:val="none" w:sz="0" w:space="0" w:color="auto"/>
              </w:divBdr>
            </w:div>
          </w:divsChild>
        </w:div>
        <w:div w:id="1307777987">
          <w:marLeft w:val="0"/>
          <w:marRight w:val="0"/>
          <w:marTop w:val="0"/>
          <w:marBottom w:val="0"/>
          <w:divBdr>
            <w:top w:val="none" w:sz="0" w:space="0" w:color="auto"/>
            <w:left w:val="none" w:sz="0" w:space="0" w:color="auto"/>
            <w:bottom w:val="none" w:sz="0" w:space="0" w:color="auto"/>
            <w:right w:val="none" w:sz="0" w:space="0" w:color="auto"/>
          </w:divBdr>
          <w:divsChild>
            <w:div w:id="2017727808">
              <w:marLeft w:val="0"/>
              <w:marRight w:val="0"/>
              <w:marTop w:val="0"/>
              <w:marBottom w:val="0"/>
              <w:divBdr>
                <w:top w:val="none" w:sz="0" w:space="0" w:color="auto"/>
                <w:left w:val="none" w:sz="0" w:space="0" w:color="auto"/>
                <w:bottom w:val="none" w:sz="0" w:space="0" w:color="auto"/>
                <w:right w:val="none" w:sz="0" w:space="0" w:color="auto"/>
              </w:divBdr>
            </w:div>
          </w:divsChild>
        </w:div>
        <w:div w:id="1310944163">
          <w:marLeft w:val="0"/>
          <w:marRight w:val="0"/>
          <w:marTop w:val="0"/>
          <w:marBottom w:val="0"/>
          <w:divBdr>
            <w:top w:val="none" w:sz="0" w:space="0" w:color="auto"/>
            <w:left w:val="none" w:sz="0" w:space="0" w:color="auto"/>
            <w:bottom w:val="none" w:sz="0" w:space="0" w:color="auto"/>
            <w:right w:val="none" w:sz="0" w:space="0" w:color="auto"/>
          </w:divBdr>
          <w:divsChild>
            <w:div w:id="1383089916">
              <w:marLeft w:val="0"/>
              <w:marRight w:val="0"/>
              <w:marTop w:val="0"/>
              <w:marBottom w:val="0"/>
              <w:divBdr>
                <w:top w:val="none" w:sz="0" w:space="0" w:color="auto"/>
                <w:left w:val="none" w:sz="0" w:space="0" w:color="auto"/>
                <w:bottom w:val="none" w:sz="0" w:space="0" w:color="auto"/>
                <w:right w:val="none" w:sz="0" w:space="0" w:color="auto"/>
              </w:divBdr>
            </w:div>
          </w:divsChild>
        </w:div>
        <w:div w:id="1311864181">
          <w:marLeft w:val="0"/>
          <w:marRight w:val="0"/>
          <w:marTop w:val="0"/>
          <w:marBottom w:val="0"/>
          <w:divBdr>
            <w:top w:val="none" w:sz="0" w:space="0" w:color="auto"/>
            <w:left w:val="none" w:sz="0" w:space="0" w:color="auto"/>
            <w:bottom w:val="none" w:sz="0" w:space="0" w:color="auto"/>
            <w:right w:val="none" w:sz="0" w:space="0" w:color="auto"/>
          </w:divBdr>
          <w:divsChild>
            <w:div w:id="1741096746">
              <w:marLeft w:val="0"/>
              <w:marRight w:val="0"/>
              <w:marTop w:val="0"/>
              <w:marBottom w:val="0"/>
              <w:divBdr>
                <w:top w:val="none" w:sz="0" w:space="0" w:color="auto"/>
                <w:left w:val="none" w:sz="0" w:space="0" w:color="auto"/>
                <w:bottom w:val="none" w:sz="0" w:space="0" w:color="auto"/>
                <w:right w:val="none" w:sz="0" w:space="0" w:color="auto"/>
              </w:divBdr>
            </w:div>
          </w:divsChild>
        </w:div>
        <w:div w:id="1320688638">
          <w:marLeft w:val="0"/>
          <w:marRight w:val="0"/>
          <w:marTop w:val="0"/>
          <w:marBottom w:val="0"/>
          <w:divBdr>
            <w:top w:val="none" w:sz="0" w:space="0" w:color="auto"/>
            <w:left w:val="none" w:sz="0" w:space="0" w:color="auto"/>
            <w:bottom w:val="none" w:sz="0" w:space="0" w:color="auto"/>
            <w:right w:val="none" w:sz="0" w:space="0" w:color="auto"/>
          </w:divBdr>
          <w:divsChild>
            <w:div w:id="1201480995">
              <w:marLeft w:val="0"/>
              <w:marRight w:val="0"/>
              <w:marTop w:val="0"/>
              <w:marBottom w:val="0"/>
              <w:divBdr>
                <w:top w:val="none" w:sz="0" w:space="0" w:color="auto"/>
                <w:left w:val="none" w:sz="0" w:space="0" w:color="auto"/>
                <w:bottom w:val="none" w:sz="0" w:space="0" w:color="auto"/>
                <w:right w:val="none" w:sz="0" w:space="0" w:color="auto"/>
              </w:divBdr>
            </w:div>
          </w:divsChild>
        </w:div>
        <w:div w:id="1330451713">
          <w:marLeft w:val="0"/>
          <w:marRight w:val="0"/>
          <w:marTop w:val="0"/>
          <w:marBottom w:val="0"/>
          <w:divBdr>
            <w:top w:val="none" w:sz="0" w:space="0" w:color="auto"/>
            <w:left w:val="none" w:sz="0" w:space="0" w:color="auto"/>
            <w:bottom w:val="none" w:sz="0" w:space="0" w:color="auto"/>
            <w:right w:val="none" w:sz="0" w:space="0" w:color="auto"/>
          </w:divBdr>
          <w:divsChild>
            <w:div w:id="1337270820">
              <w:marLeft w:val="0"/>
              <w:marRight w:val="0"/>
              <w:marTop w:val="0"/>
              <w:marBottom w:val="0"/>
              <w:divBdr>
                <w:top w:val="none" w:sz="0" w:space="0" w:color="auto"/>
                <w:left w:val="none" w:sz="0" w:space="0" w:color="auto"/>
                <w:bottom w:val="none" w:sz="0" w:space="0" w:color="auto"/>
                <w:right w:val="none" w:sz="0" w:space="0" w:color="auto"/>
              </w:divBdr>
            </w:div>
          </w:divsChild>
        </w:div>
        <w:div w:id="1333604942">
          <w:marLeft w:val="0"/>
          <w:marRight w:val="0"/>
          <w:marTop w:val="0"/>
          <w:marBottom w:val="0"/>
          <w:divBdr>
            <w:top w:val="none" w:sz="0" w:space="0" w:color="auto"/>
            <w:left w:val="none" w:sz="0" w:space="0" w:color="auto"/>
            <w:bottom w:val="none" w:sz="0" w:space="0" w:color="auto"/>
            <w:right w:val="none" w:sz="0" w:space="0" w:color="auto"/>
          </w:divBdr>
          <w:divsChild>
            <w:div w:id="216671533">
              <w:marLeft w:val="0"/>
              <w:marRight w:val="0"/>
              <w:marTop w:val="0"/>
              <w:marBottom w:val="0"/>
              <w:divBdr>
                <w:top w:val="none" w:sz="0" w:space="0" w:color="auto"/>
                <w:left w:val="none" w:sz="0" w:space="0" w:color="auto"/>
                <w:bottom w:val="none" w:sz="0" w:space="0" w:color="auto"/>
                <w:right w:val="none" w:sz="0" w:space="0" w:color="auto"/>
              </w:divBdr>
            </w:div>
          </w:divsChild>
        </w:div>
        <w:div w:id="1336297831">
          <w:marLeft w:val="0"/>
          <w:marRight w:val="0"/>
          <w:marTop w:val="0"/>
          <w:marBottom w:val="0"/>
          <w:divBdr>
            <w:top w:val="none" w:sz="0" w:space="0" w:color="auto"/>
            <w:left w:val="none" w:sz="0" w:space="0" w:color="auto"/>
            <w:bottom w:val="none" w:sz="0" w:space="0" w:color="auto"/>
            <w:right w:val="none" w:sz="0" w:space="0" w:color="auto"/>
          </w:divBdr>
          <w:divsChild>
            <w:div w:id="492382343">
              <w:marLeft w:val="0"/>
              <w:marRight w:val="0"/>
              <w:marTop w:val="0"/>
              <w:marBottom w:val="0"/>
              <w:divBdr>
                <w:top w:val="none" w:sz="0" w:space="0" w:color="auto"/>
                <w:left w:val="none" w:sz="0" w:space="0" w:color="auto"/>
                <w:bottom w:val="none" w:sz="0" w:space="0" w:color="auto"/>
                <w:right w:val="none" w:sz="0" w:space="0" w:color="auto"/>
              </w:divBdr>
            </w:div>
          </w:divsChild>
        </w:div>
        <w:div w:id="1338270910">
          <w:marLeft w:val="0"/>
          <w:marRight w:val="0"/>
          <w:marTop w:val="0"/>
          <w:marBottom w:val="0"/>
          <w:divBdr>
            <w:top w:val="none" w:sz="0" w:space="0" w:color="auto"/>
            <w:left w:val="none" w:sz="0" w:space="0" w:color="auto"/>
            <w:bottom w:val="none" w:sz="0" w:space="0" w:color="auto"/>
            <w:right w:val="none" w:sz="0" w:space="0" w:color="auto"/>
          </w:divBdr>
          <w:divsChild>
            <w:div w:id="2055039729">
              <w:marLeft w:val="0"/>
              <w:marRight w:val="0"/>
              <w:marTop w:val="0"/>
              <w:marBottom w:val="0"/>
              <w:divBdr>
                <w:top w:val="none" w:sz="0" w:space="0" w:color="auto"/>
                <w:left w:val="none" w:sz="0" w:space="0" w:color="auto"/>
                <w:bottom w:val="none" w:sz="0" w:space="0" w:color="auto"/>
                <w:right w:val="none" w:sz="0" w:space="0" w:color="auto"/>
              </w:divBdr>
            </w:div>
          </w:divsChild>
        </w:div>
        <w:div w:id="1339964906">
          <w:marLeft w:val="0"/>
          <w:marRight w:val="0"/>
          <w:marTop w:val="0"/>
          <w:marBottom w:val="0"/>
          <w:divBdr>
            <w:top w:val="none" w:sz="0" w:space="0" w:color="auto"/>
            <w:left w:val="none" w:sz="0" w:space="0" w:color="auto"/>
            <w:bottom w:val="none" w:sz="0" w:space="0" w:color="auto"/>
            <w:right w:val="none" w:sz="0" w:space="0" w:color="auto"/>
          </w:divBdr>
          <w:divsChild>
            <w:div w:id="1967927798">
              <w:marLeft w:val="0"/>
              <w:marRight w:val="0"/>
              <w:marTop w:val="0"/>
              <w:marBottom w:val="0"/>
              <w:divBdr>
                <w:top w:val="none" w:sz="0" w:space="0" w:color="auto"/>
                <w:left w:val="none" w:sz="0" w:space="0" w:color="auto"/>
                <w:bottom w:val="none" w:sz="0" w:space="0" w:color="auto"/>
                <w:right w:val="none" w:sz="0" w:space="0" w:color="auto"/>
              </w:divBdr>
            </w:div>
          </w:divsChild>
        </w:div>
        <w:div w:id="1353264674">
          <w:marLeft w:val="0"/>
          <w:marRight w:val="0"/>
          <w:marTop w:val="0"/>
          <w:marBottom w:val="0"/>
          <w:divBdr>
            <w:top w:val="none" w:sz="0" w:space="0" w:color="auto"/>
            <w:left w:val="none" w:sz="0" w:space="0" w:color="auto"/>
            <w:bottom w:val="none" w:sz="0" w:space="0" w:color="auto"/>
            <w:right w:val="none" w:sz="0" w:space="0" w:color="auto"/>
          </w:divBdr>
          <w:divsChild>
            <w:div w:id="552352117">
              <w:marLeft w:val="0"/>
              <w:marRight w:val="0"/>
              <w:marTop w:val="0"/>
              <w:marBottom w:val="0"/>
              <w:divBdr>
                <w:top w:val="none" w:sz="0" w:space="0" w:color="auto"/>
                <w:left w:val="none" w:sz="0" w:space="0" w:color="auto"/>
                <w:bottom w:val="none" w:sz="0" w:space="0" w:color="auto"/>
                <w:right w:val="none" w:sz="0" w:space="0" w:color="auto"/>
              </w:divBdr>
            </w:div>
          </w:divsChild>
        </w:div>
        <w:div w:id="1376931542">
          <w:marLeft w:val="0"/>
          <w:marRight w:val="0"/>
          <w:marTop w:val="0"/>
          <w:marBottom w:val="0"/>
          <w:divBdr>
            <w:top w:val="none" w:sz="0" w:space="0" w:color="auto"/>
            <w:left w:val="none" w:sz="0" w:space="0" w:color="auto"/>
            <w:bottom w:val="none" w:sz="0" w:space="0" w:color="auto"/>
            <w:right w:val="none" w:sz="0" w:space="0" w:color="auto"/>
          </w:divBdr>
          <w:divsChild>
            <w:div w:id="1293512090">
              <w:marLeft w:val="0"/>
              <w:marRight w:val="0"/>
              <w:marTop w:val="0"/>
              <w:marBottom w:val="0"/>
              <w:divBdr>
                <w:top w:val="none" w:sz="0" w:space="0" w:color="auto"/>
                <w:left w:val="none" w:sz="0" w:space="0" w:color="auto"/>
                <w:bottom w:val="none" w:sz="0" w:space="0" w:color="auto"/>
                <w:right w:val="none" w:sz="0" w:space="0" w:color="auto"/>
              </w:divBdr>
            </w:div>
          </w:divsChild>
        </w:div>
        <w:div w:id="1397165411">
          <w:marLeft w:val="0"/>
          <w:marRight w:val="0"/>
          <w:marTop w:val="0"/>
          <w:marBottom w:val="0"/>
          <w:divBdr>
            <w:top w:val="none" w:sz="0" w:space="0" w:color="auto"/>
            <w:left w:val="none" w:sz="0" w:space="0" w:color="auto"/>
            <w:bottom w:val="none" w:sz="0" w:space="0" w:color="auto"/>
            <w:right w:val="none" w:sz="0" w:space="0" w:color="auto"/>
          </w:divBdr>
          <w:divsChild>
            <w:div w:id="937058203">
              <w:marLeft w:val="0"/>
              <w:marRight w:val="0"/>
              <w:marTop w:val="0"/>
              <w:marBottom w:val="0"/>
              <w:divBdr>
                <w:top w:val="none" w:sz="0" w:space="0" w:color="auto"/>
                <w:left w:val="none" w:sz="0" w:space="0" w:color="auto"/>
                <w:bottom w:val="none" w:sz="0" w:space="0" w:color="auto"/>
                <w:right w:val="none" w:sz="0" w:space="0" w:color="auto"/>
              </w:divBdr>
            </w:div>
          </w:divsChild>
        </w:div>
        <w:div w:id="1410497137">
          <w:marLeft w:val="0"/>
          <w:marRight w:val="0"/>
          <w:marTop w:val="0"/>
          <w:marBottom w:val="0"/>
          <w:divBdr>
            <w:top w:val="none" w:sz="0" w:space="0" w:color="auto"/>
            <w:left w:val="none" w:sz="0" w:space="0" w:color="auto"/>
            <w:bottom w:val="none" w:sz="0" w:space="0" w:color="auto"/>
            <w:right w:val="none" w:sz="0" w:space="0" w:color="auto"/>
          </w:divBdr>
          <w:divsChild>
            <w:div w:id="1627276328">
              <w:marLeft w:val="0"/>
              <w:marRight w:val="0"/>
              <w:marTop w:val="0"/>
              <w:marBottom w:val="0"/>
              <w:divBdr>
                <w:top w:val="none" w:sz="0" w:space="0" w:color="auto"/>
                <w:left w:val="none" w:sz="0" w:space="0" w:color="auto"/>
                <w:bottom w:val="none" w:sz="0" w:space="0" w:color="auto"/>
                <w:right w:val="none" w:sz="0" w:space="0" w:color="auto"/>
              </w:divBdr>
            </w:div>
          </w:divsChild>
        </w:div>
        <w:div w:id="1418820155">
          <w:marLeft w:val="0"/>
          <w:marRight w:val="0"/>
          <w:marTop w:val="0"/>
          <w:marBottom w:val="0"/>
          <w:divBdr>
            <w:top w:val="none" w:sz="0" w:space="0" w:color="auto"/>
            <w:left w:val="none" w:sz="0" w:space="0" w:color="auto"/>
            <w:bottom w:val="none" w:sz="0" w:space="0" w:color="auto"/>
            <w:right w:val="none" w:sz="0" w:space="0" w:color="auto"/>
          </w:divBdr>
          <w:divsChild>
            <w:div w:id="1911114833">
              <w:marLeft w:val="0"/>
              <w:marRight w:val="0"/>
              <w:marTop w:val="0"/>
              <w:marBottom w:val="0"/>
              <w:divBdr>
                <w:top w:val="none" w:sz="0" w:space="0" w:color="auto"/>
                <w:left w:val="none" w:sz="0" w:space="0" w:color="auto"/>
                <w:bottom w:val="none" w:sz="0" w:space="0" w:color="auto"/>
                <w:right w:val="none" w:sz="0" w:space="0" w:color="auto"/>
              </w:divBdr>
            </w:div>
          </w:divsChild>
        </w:div>
        <w:div w:id="1419785725">
          <w:marLeft w:val="0"/>
          <w:marRight w:val="0"/>
          <w:marTop w:val="0"/>
          <w:marBottom w:val="0"/>
          <w:divBdr>
            <w:top w:val="none" w:sz="0" w:space="0" w:color="auto"/>
            <w:left w:val="none" w:sz="0" w:space="0" w:color="auto"/>
            <w:bottom w:val="none" w:sz="0" w:space="0" w:color="auto"/>
            <w:right w:val="none" w:sz="0" w:space="0" w:color="auto"/>
          </w:divBdr>
          <w:divsChild>
            <w:div w:id="1281297581">
              <w:marLeft w:val="0"/>
              <w:marRight w:val="0"/>
              <w:marTop w:val="0"/>
              <w:marBottom w:val="0"/>
              <w:divBdr>
                <w:top w:val="none" w:sz="0" w:space="0" w:color="auto"/>
                <w:left w:val="none" w:sz="0" w:space="0" w:color="auto"/>
                <w:bottom w:val="none" w:sz="0" w:space="0" w:color="auto"/>
                <w:right w:val="none" w:sz="0" w:space="0" w:color="auto"/>
              </w:divBdr>
            </w:div>
          </w:divsChild>
        </w:div>
        <w:div w:id="1420907304">
          <w:marLeft w:val="0"/>
          <w:marRight w:val="0"/>
          <w:marTop w:val="0"/>
          <w:marBottom w:val="0"/>
          <w:divBdr>
            <w:top w:val="none" w:sz="0" w:space="0" w:color="auto"/>
            <w:left w:val="none" w:sz="0" w:space="0" w:color="auto"/>
            <w:bottom w:val="none" w:sz="0" w:space="0" w:color="auto"/>
            <w:right w:val="none" w:sz="0" w:space="0" w:color="auto"/>
          </w:divBdr>
          <w:divsChild>
            <w:div w:id="200672912">
              <w:marLeft w:val="0"/>
              <w:marRight w:val="0"/>
              <w:marTop w:val="0"/>
              <w:marBottom w:val="0"/>
              <w:divBdr>
                <w:top w:val="none" w:sz="0" w:space="0" w:color="auto"/>
                <w:left w:val="none" w:sz="0" w:space="0" w:color="auto"/>
                <w:bottom w:val="none" w:sz="0" w:space="0" w:color="auto"/>
                <w:right w:val="none" w:sz="0" w:space="0" w:color="auto"/>
              </w:divBdr>
            </w:div>
          </w:divsChild>
        </w:div>
        <w:div w:id="1421097727">
          <w:marLeft w:val="0"/>
          <w:marRight w:val="0"/>
          <w:marTop w:val="0"/>
          <w:marBottom w:val="0"/>
          <w:divBdr>
            <w:top w:val="none" w:sz="0" w:space="0" w:color="auto"/>
            <w:left w:val="none" w:sz="0" w:space="0" w:color="auto"/>
            <w:bottom w:val="none" w:sz="0" w:space="0" w:color="auto"/>
            <w:right w:val="none" w:sz="0" w:space="0" w:color="auto"/>
          </w:divBdr>
          <w:divsChild>
            <w:div w:id="1725444442">
              <w:marLeft w:val="0"/>
              <w:marRight w:val="0"/>
              <w:marTop w:val="0"/>
              <w:marBottom w:val="0"/>
              <w:divBdr>
                <w:top w:val="none" w:sz="0" w:space="0" w:color="auto"/>
                <w:left w:val="none" w:sz="0" w:space="0" w:color="auto"/>
                <w:bottom w:val="none" w:sz="0" w:space="0" w:color="auto"/>
                <w:right w:val="none" w:sz="0" w:space="0" w:color="auto"/>
              </w:divBdr>
            </w:div>
          </w:divsChild>
        </w:div>
        <w:div w:id="1481580458">
          <w:marLeft w:val="0"/>
          <w:marRight w:val="0"/>
          <w:marTop w:val="0"/>
          <w:marBottom w:val="0"/>
          <w:divBdr>
            <w:top w:val="none" w:sz="0" w:space="0" w:color="auto"/>
            <w:left w:val="none" w:sz="0" w:space="0" w:color="auto"/>
            <w:bottom w:val="none" w:sz="0" w:space="0" w:color="auto"/>
            <w:right w:val="none" w:sz="0" w:space="0" w:color="auto"/>
          </w:divBdr>
          <w:divsChild>
            <w:div w:id="440492601">
              <w:marLeft w:val="0"/>
              <w:marRight w:val="0"/>
              <w:marTop w:val="0"/>
              <w:marBottom w:val="0"/>
              <w:divBdr>
                <w:top w:val="none" w:sz="0" w:space="0" w:color="auto"/>
                <w:left w:val="none" w:sz="0" w:space="0" w:color="auto"/>
                <w:bottom w:val="none" w:sz="0" w:space="0" w:color="auto"/>
                <w:right w:val="none" w:sz="0" w:space="0" w:color="auto"/>
              </w:divBdr>
            </w:div>
          </w:divsChild>
        </w:div>
        <w:div w:id="1484004680">
          <w:marLeft w:val="0"/>
          <w:marRight w:val="0"/>
          <w:marTop w:val="0"/>
          <w:marBottom w:val="0"/>
          <w:divBdr>
            <w:top w:val="none" w:sz="0" w:space="0" w:color="auto"/>
            <w:left w:val="none" w:sz="0" w:space="0" w:color="auto"/>
            <w:bottom w:val="none" w:sz="0" w:space="0" w:color="auto"/>
            <w:right w:val="none" w:sz="0" w:space="0" w:color="auto"/>
          </w:divBdr>
          <w:divsChild>
            <w:div w:id="1211499809">
              <w:marLeft w:val="0"/>
              <w:marRight w:val="0"/>
              <w:marTop w:val="0"/>
              <w:marBottom w:val="0"/>
              <w:divBdr>
                <w:top w:val="none" w:sz="0" w:space="0" w:color="auto"/>
                <w:left w:val="none" w:sz="0" w:space="0" w:color="auto"/>
                <w:bottom w:val="none" w:sz="0" w:space="0" w:color="auto"/>
                <w:right w:val="none" w:sz="0" w:space="0" w:color="auto"/>
              </w:divBdr>
            </w:div>
          </w:divsChild>
        </w:div>
        <w:div w:id="1499609978">
          <w:marLeft w:val="0"/>
          <w:marRight w:val="0"/>
          <w:marTop w:val="0"/>
          <w:marBottom w:val="0"/>
          <w:divBdr>
            <w:top w:val="none" w:sz="0" w:space="0" w:color="auto"/>
            <w:left w:val="none" w:sz="0" w:space="0" w:color="auto"/>
            <w:bottom w:val="none" w:sz="0" w:space="0" w:color="auto"/>
            <w:right w:val="none" w:sz="0" w:space="0" w:color="auto"/>
          </w:divBdr>
          <w:divsChild>
            <w:div w:id="733351359">
              <w:marLeft w:val="0"/>
              <w:marRight w:val="0"/>
              <w:marTop w:val="0"/>
              <w:marBottom w:val="0"/>
              <w:divBdr>
                <w:top w:val="none" w:sz="0" w:space="0" w:color="auto"/>
                <w:left w:val="none" w:sz="0" w:space="0" w:color="auto"/>
                <w:bottom w:val="none" w:sz="0" w:space="0" w:color="auto"/>
                <w:right w:val="none" w:sz="0" w:space="0" w:color="auto"/>
              </w:divBdr>
            </w:div>
          </w:divsChild>
        </w:div>
        <w:div w:id="1512797225">
          <w:marLeft w:val="0"/>
          <w:marRight w:val="0"/>
          <w:marTop w:val="0"/>
          <w:marBottom w:val="0"/>
          <w:divBdr>
            <w:top w:val="none" w:sz="0" w:space="0" w:color="auto"/>
            <w:left w:val="none" w:sz="0" w:space="0" w:color="auto"/>
            <w:bottom w:val="none" w:sz="0" w:space="0" w:color="auto"/>
            <w:right w:val="none" w:sz="0" w:space="0" w:color="auto"/>
          </w:divBdr>
          <w:divsChild>
            <w:div w:id="700863059">
              <w:marLeft w:val="0"/>
              <w:marRight w:val="0"/>
              <w:marTop w:val="0"/>
              <w:marBottom w:val="0"/>
              <w:divBdr>
                <w:top w:val="none" w:sz="0" w:space="0" w:color="auto"/>
                <w:left w:val="none" w:sz="0" w:space="0" w:color="auto"/>
                <w:bottom w:val="none" w:sz="0" w:space="0" w:color="auto"/>
                <w:right w:val="none" w:sz="0" w:space="0" w:color="auto"/>
              </w:divBdr>
            </w:div>
          </w:divsChild>
        </w:div>
        <w:div w:id="1519192953">
          <w:marLeft w:val="0"/>
          <w:marRight w:val="0"/>
          <w:marTop w:val="0"/>
          <w:marBottom w:val="0"/>
          <w:divBdr>
            <w:top w:val="none" w:sz="0" w:space="0" w:color="auto"/>
            <w:left w:val="none" w:sz="0" w:space="0" w:color="auto"/>
            <w:bottom w:val="none" w:sz="0" w:space="0" w:color="auto"/>
            <w:right w:val="none" w:sz="0" w:space="0" w:color="auto"/>
          </w:divBdr>
          <w:divsChild>
            <w:div w:id="1257985462">
              <w:marLeft w:val="0"/>
              <w:marRight w:val="0"/>
              <w:marTop w:val="0"/>
              <w:marBottom w:val="0"/>
              <w:divBdr>
                <w:top w:val="none" w:sz="0" w:space="0" w:color="auto"/>
                <w:left w:val="none" w:sz="0" w:space="0" w:color="auto"/>
                <w:bottom w:val="none" w:sz="0" w:space="0" w:color="auto"/>
                <w:right w:val="none" w:sz="0" w:space="0" w:color="auto"/>
              </w:divBdr>
            </w:div>
          </w:divsChild>
        </w:div>
        <w:div w:id="1523515584">
          <w:marLeft w:val="0"/>
          <w:marRight w:val="0"/>
          <w:marTop w:val="0"/>
          <w:marBottom w:val="0"/>
          <w:divBdr>
            <w:top w:val="none" w:sz="0" w:space="0" w:color="auto"/>
            <w:left w:val="none" w:sz="0" w:space="0" w:color="auto"/>
            <w:bottom w:val="none" w:sz="0" w:space="0" w:color="auto"/>
            <w:right w:val="none" w:sz="0" w:space="0" w:color="auto"/>
          </w:divBdr>
          <w:divsChild>
            <w:div w:id="379668744">
              <w:marLeft w:val="0"/>
              <w:marRight w:val="0"/>
              <w:marTop w:val="0"/>
              <w:marBottom w:val="0"/>
              <w:divBdr>
                <w:top w:val="none" w:sz="0" w:space="0" w:color="auto"/>
                <w:left w:val="none" w:sz="0" w:space="0" w:color="auto"/>
                <w:bottom w:val="none" w:sz="0" w:space="0" w:color="auto"/>
                <w:right w:val="none" w:sz="0" w:space="0" w:color="auto"/>
              </w:divBdr>
            </w:div>
          </w:divsChild>
        </w:div>
        <w:div w:id="1524905775">
          <w:marLeft w:val="0"/>
          <w:marRight w:val="0"/>
          <w:marTop w:val="0"/>
          <w:marBottom w:val="0"/>
          <w:divBdr>
            <w:top w:val="none" w:sz="0" w:space="0" w:color="auto"/>
            <w:left w:val="none" w:sz="0" w:space="0" w:color="auto"/>
            <w:bottom w:val="none" w:sz="0" w:space="0" w:color="auto"/>
            <w:right w:val="none" w:sz="0" w:space="0" w:color="auto"/>
          </w:divBdr>
          <w:divsChild>
            <w:div w:id="725614761">
              <w:marLeft w:val="0"/>
              <w:marRight w:val="0"/>
              <w:marTop w:val="0"/>
              <w:marBottom w:val="0"/>
              <w:divBdr>
                <w:top w:val="none" w:sz="0" w:space="0" w:color="auto"/>
                <w:left w:val="none" w:sz="0" w:space="0" w:color="auto"/>
                <w:bottom w:val="none" w:sz="0" w:space="0" w:color="auto"/>
                <w:right w:val="none" w:sz="0" w:space="0" w:color="auto"/>
              </w:divBdr>
            </w:div>
          </w:divsChild>
        </w:div>
        <w:div w:id="1530995341">
          <w:marLeft w:val="0"/>
          <w:marRight w:val="0"/>
          <w:marTop w:val="0"/>
          <w:marBottom w:val="0"/>
          <w:divBdr>
            <w:top w:val="none" w:sz="0" w:space="0" w:color="auto"/>
            <w:left w:val="none" w:sz="0" w:space="0" w:color="auto"/>
            <w:bottom w:val="none" w:sz="0" w:space="0" w:color="auto"/>
            <w:right w:val="none" w:sz="0" w:space="0" w:color="auto"/>
          </w:divBdr>
          <w:divsChild>
            <w:div w:id="1523086540">
              <w:marLeft w:val="0"/>
              <w:marRight w:val="0"/>
              <w:marTop w:val="0"/>
              <w:marBottom w:val="0"/>
              <w:divBdr>
                <w:top w:val="none" w:sz="0" w:space="0" w:color="auto"/>
                <w:left w:val="none" w:sz="0" w:space="0" w:color="auto"/>
                <w:bottom w:val="none" w:sz="0" w:space="0" w:color="auto"/>
                <w:right w:val="none" w:sz="0" w:space="0" w:color="auto"/>
              </w:divBdr>
            </w:div>
          </w:divsChild>
        </w:div>
        <w:div w:id="1531064366">
          <w:marLeft w:val="0"/>
          <w:marRight w:val="0"/>
          <w:marTop w:val="0"/>
          <w:marBottom w:val="0"/>
          <w:divBdr>
            <w:top w:val="none" w:sz="0" w:space="0" w:color="auto"/>
            <w:left w:val="none" w:sz="0" w:space="0" w:color="auto"/>
            <w:bottom w:val="none" w:sz="0" w:space="0" w:color="auto"/>
            <w:right w:val="none" w:sz="0" w:space="0" w:color="auto"/>
          </w:divBdr>
          <w:divsChild>
            <w:div w:id="333605024">
              <w:marLeft w:val="0"/>
              <w:marRight w:val="0"/>
              <w:marTop w:val="0"/>
              <w:marBottom w:val="0"/>
              <w:divBdr>
                <w:top w:val="none" w:sz="0" w:space="0" w:color="auto"/>
                <w:left w:val="none" w:sz="0" w:space="0" w:color="auto"/>
                <w:bottom w:val="none" w:sz="0" w:space="0" w:color="auto"/>
                <w:right w:val="none" w:sz="0" w:space="0" w:color="auto"/>
              </w:divBdr>
            </w:div>
          </w:divsChild>
        </w:div>
        <w:div w:id="1545025615">
          <w:marLeft w:val="0"/>
          <w:marRight w:val="0"/>
          <w:marTop w:val="0"/>
          <w:marBottom w:val="0"/>
          <w:divBdr>
            <w:top w:val="none" w:sz="0" w:space="0" w:color="auto"/>
            <w:left w:val="none" w:sz="0" w:space="0" w:color="auto"/>
            <w:bottom w:val="none" w:sz="0" w:space="0" w:color="auto"/>
            <w:right w:val="none" w:sz="0" w:space="0" w:color="auto"/>
          </w:divBdr>
          <w:divsChild>
            <w:div w:id="411466619">
              <w:marLeft w:val="0"/>
              <w:marRight w:val="0"/>
              <w:marTop w:val="0"/>
              <w:marBottom w:val="0"/>
              <w:divBdr>
                <w:top w:val="none" w:sz="0" w:space="0" w:color="auto"/>
                <w:left w:val="none" w:sz="0" w:space="0" w:color="auto"/>
                <w:bottom w:val="none" w:sz="0" w:space="0" w:color="auto"/>
                <w:right w:val="none" w:sz="0" w:space="0" w:color="auto"/>
              </w:divBdr>
            </w:div>
          </w:divsChild>
        </w:div>
        <w:div w:id="1579709371">
          <w:marLeft w:val="0"/>
          <w:marRight w:val="0"/>
          <w:marTop w:val="0"/>
          <w:marBottom w:val="0"/>
          <w:divBdr>
            <w:top w:val="none" w:sz="0" w:space="0" w:color="auto"/>
            <w:left w:val="none" w:sz="0" w:space="0" w:color="auto"/>
            <w:bottom w:val="none" w:sz="0" w:space="0" w:color="auto"/>
            <w:right w:val="none" w:sz="0" w:space="0" w:color="auto"/>
          </w:divBdr>
          <w:divsChild>
            <w:div w:id="1175388509">
              <w:marLeft w:val="0"/>
              <w:marRight w:val="0"/>
              <w:marTop w:val="0"/>
              <w:marBottom w:val="0"/>
              <w:divBdr>
                <w:top w:val="none" w:sz="0" w:space="0" w:color="auto"/>
                <w:left w:val="none" w:sz="0" w:space="0" w:color="auto"/>
                <w:bottom w:val="none" w:sz="0" w:space="0" w:color="auto"/>
                <w:right w:val="none" w:sz="0" w:space="0" w:color="auto"/>
              </w:divBdr>
            </w:div>
          </w:divsChild>
        </w:div>
        <w:div w:id="1608124298">
          <w:marLeft w:val="0"/>
          <w:marRight w:val="0"/>
          <w:marTop w:val="0"/>
          <w:marBottom w:val="0"/>
          <w:divBdr>
            <w:top w:val="none" w:sz="0" w:space="0" w:color="auto"/>
            <w:left w:val="none" w:sz="0" w:space="0" w:color="auto"/>
            <w:bottom w:val="none" w:sz="0" w:space="0" w:color="auto"/>
            <w:right w:val="none" w:sz="0" w:space="0" w:color="auto"/>
          </w:divBdr>
          <w:divsChild>
            <w:div w:id="2097287455">
              <w:marLeft w:val="0"/>
              <w:marRight w:val="0"/>
              <w:marTop w:val="0"/>
              <w:marBottom w:val="0"/>
              <w:divBdr>
                <w:top w:val="none" w:sz="0" w:space="0" w:color="auto"/>
                <w:left w:val="none" w:sz="0" w:space="0" w:color="auto"/>
                <w:bottom w:val="none" w:sz="0" w:space="0" w:color="auto"/>
                <w:right w:val="none" w:sz="0" w:space="0" w:color="auto"/>
              </w:divBdr>
            </w:div>
          </w:divsChild>
        </w:div>
        <w:div w:id="1608539093">
          <w:marLeft w:val="0"/>
          <w:marRight w:val="0"/>
          <w:marTop w:val="0"/>
          <w:marBottom w:val="0"/>
          <w:divBdr>
            <w:top w:val="none" w:sz="0" w:space="0" w:color="auto"/>
            <w:left w:val="none" w:sz="0" w:space="0" w:color="auto"/>
            <w:bottom w:val="none" w:sz="0" w:space="0" w:color="auto"/>
            <w:right w:val="none" w:sz="0" w:space="0" w:color="auto"/>
          </w:divBdr>
          <w:divsChild>
            <w:div w:id="667752188">
              <w:marLeft w:val="0"/>
              <w:marRight w:val="0"/>
              <w:marTop w:val="0"/>
              <w:marBottom w:val="0"/>
              <w:divBdr>
                <w:top w:val="none" w:sz="0" w:space="0" w:color="auto"/>
                <w:left w:val="none" w:sz="0" w:space="0" w:color="auto"/>
                <w:bottom w:val="none" w:sz="0" w:space="0" w:color="auto"/>
                <w:right w:val="none" w:sz="0" w:space="0" w:color="auto"/>
              </w:divBdr>
            </w:div>
          </w:divsChild>
        </w:div>
        <w:div w:id="1626424378">
          <w:marLeft w:val="0"/>
          <w:marRight w:val="0"/>
          <w:marTop w:val="0"/>
          <w:marBottom w:val="0"/>
          <w:divBdr>
            <w:top w:val="none" w:sz="0" w:space="0" w:color="auto"/>
            <w:left w:val="none" w:sz="0" w:space="0" w:color="auto"/>
            <w:bottom w:val="none" w:sz="0" w:space="0" w:color="auto"/>
            <w:right w:val="none" w:sz="0" w:space="0" w:color="auto"/>
          </w:divBdr>
          <w:divsChild>
            <w:div w:id="523909703">
              <w:marLeft w:val="0"/>
              <w:marRight w:val="0"/>
              <w:marTop w:val="0"/>
              <w:marBottom w:val="0"/>
              <w:divBdr>
                <w:top w:val="none" w:sz="0" w:space="0" w:color="auto"/>
                <w:left w:val="none" w:sz="0" w:space="0" w:color="auto"/>
                <w:bottom w:val="none" w:sz="0" w:space="0" w:color="auto"/>
                <w:right w:val="none" w:sz="0" w:space="0" w:color="auto"/>
              </w:divBdr>
            </w:div>
          </w:divsChild>
        </w:div>
        <w:div w:id="1636567528">
          <w:marLeft w:val="0"/>
          <w:marRight w:val="0"/>
          <w:marTop w:val="0"/>
          <w:marBottom w:val="0"/>
          <w:divBdr>
            <w:top w:val="none" w:sz="0" w:space="0" w:color="auto"/>
            <w:left w:val="none" w:sz="0" w:space="0" w:color="auto"/>
            <w:bottom w:val="none" w:sz="0" w:space="0" w:color="auto"/>
            <w:right w:val="none" w:sz="0" w:space="0" w:color="auto"/>
          </w:divBdr>
          <w:divsChild>
            <w:div w:id="692341080">
              <w:marLeft w:val="0"/>
              <w:marRight w:val="0"/>
              <w:marTop w:val="0"/>
              <w:marBottom w:val="0"/>
              <w:divBdr>
                <w:top w:val="none" w:sz="0" w:space="0" w:color="auto"/>
                <w:left w:val="none" w:sz="0" w:space="0" w:color="auto"/>
                <w:bottom w:val="none" w:sz="0" w:space="0" w:color="auto"/>
                <w:right w:val="none" w:sz="0" w:space="0" w:color="auto"/>
              </w:divBdr>
            </w:div>
          </w:divsChild>
        </w:div>
        <w:div w:id="1639341589">
          <w:marLeft w:val="0"/>
          <w:marRight w:val="0"/>
          <w:marTop w:val="0"/>
          <w:marBottom w:val="0"/>
          <w:divBdr>
            <w:top w:val="none" w:sz="0" w:space="0" w:color="auto"/>
            <w:left w:val="none" w:sz="0" w:space="0" w:color="auto"/>
            <w:bottom w:val="none" w:sz="0" w:space="0" w:color="auto"/>
            <w:right w:val="none" w:sz="0" w:space="0" w:color="auto"/>
          </w:divBdr>
          <w:divsChild>
            <w:div w:id="439035659">
              <w:marLeft w:val="0"/>
              <w:marRight w:val="0"/>
              <w:marTop w:val="0"/>
              <w:marBottom w:val="0"/>
              <w:divBdr>
                <w:top w:val="none" w:sz="0" w:space="0" w:color="auto"/>
                <w:left w:val="none" w:sz="0" w:space="0" w:color="auto"/>
                <w:bottom w:val="none" w:sz="0" w:space="0" w:color="auto"/>
                <w:right w:val="none" w:sz="0" w:space="0" w:color="auto"/>
              </w:divBdr>
            </w:div>
          </w:divsChild>
        </w:div>
        <w:div w:id="1667591239">
          <w:marLeft w:val="0"/>
          <w:marRight w:val="0"/>
          <w:marTop w:val="0"/>
          <w:marBottom w:val="0"/>
          <w:divBdr>
            <w:top w:val="none" w:sz="0" w:space="0" w:color="auto"/>
            <w:left w:val="none" w:sz="0" w:space="0" w:color="auto"/>
            <w:bottom w:val="none" w:sz="0" w:space="0" w:color="auto"/>
            <w:right w:val="none" w:sz="0" w:space="0" w:color="auto"/>
          </w:divBdr>
          <w:divsChild>
            <w:div w:id="138154314">
              <w:marLeft w:val="0"/>
              <w:marRight w:val="0"/>
              <w:marTop w:val="0"/>
              <w:marBottom w:val="0"/>
              <w:divBdr>
                <w:top w:val="none" w:sz="0" w:space="0" w:color="auto"/>
                <w:left w:val="none" w:sz="0" w:space="0" w:color="auto"/>
                <w:bottom w:val="none" w:sz="0" w:space="0" w:color="auto"/>
                <w:right w:val="none" w:sz="0" w:space="0" w:color="auto"/>
              </w:divBdr>
            </w:div>
          </w:divsChild>
        </w:div>
        <w:div w:id="1677537720">
          <w:marLeft w:val="0"/>
          <w:marRight w:val="0"/>
          <w:marTop w:val="0"/>
          <w:marBottom w:val="0"/>
          <w:divBdr>
            <w:top w:val="none" w:sz="0" w:space="0" w:color="auto"/>
            <w:left w:val="none" w:sz="0" w:space="0" w:color="auto"/>
            <w:bottom w:val="none" w:sz="0" w:space="0" w:color="auto"/>
            <w:right w:val="none" w:sz="0" w:space="0" w:color="auto"/>
          </w:divBdr>
          <w:divsChild>
            <w:div w:id="180166504">
              <w:marLeft w:val="0"/>
              <w:marRight w:val="0"/>
              <w:marTop w:val="0"/>
              <w:marBottom w:val="0"/>
              <w:divBdr>
                <w:top w:val="none" w:sz="0" w:space="0" w:color="auto"/>
                <w:left w:val="none" w:sz="0" w:space="0" w:color="auto"/>
                <w:bottom w:val="none" w:sz="0" w:space="0" w:color="auto"/>
                <w:right w:val="none" w:sz="0" w:space="0" w:color="auto"/>
              </w:divBdr>
            </w:div>
          </w:divsChild>
        </w:div>
        <w:div w:id="1695036768">
          <w:marLeft w:val="0"/>
          <w:marRight w:val="0"/>
          <w:marTop w:val="0"/>
          <w:marBottom w:val="0"/>
          <w:divBdr>
            <w:top w:val="none" w:sz="0" w:space="0" w:color="auto"/>
            <w:left w:val="none" w:sz="0" w:space="0" w:color="auto"/>
            <w:bottom w:val="none" w:sz="0" w:space="0" w:color="auto"/>
            <w:right w:val="none" w:sz="0" w:space="0" w:color="auto"/>
          </w:divBdr>
          <w:divsChild>
            <w:div w:id="1000238647">
              <w:marLeft w:val="0"/>
              <w:marRight w:val="0"/>
              <w:marTop w:val="0"/>
              <w:marBottom w:val="0"/>
              <w:divBdr>
                <w:top w:val="none" w:sz="0" w:space="0" w:color="auto"/>
                <w:left w:val="none" w:sz="0" w:space="0" w:color="auto"/>
                <w:bottom w:val="none" w:sz="0" w:space="0" w:color="auto"/>
                <w:right w:val="none" w:sz="0" w:space="0" w:color="auto"/>
              </w:divBdr>
            </w:div>
          </w:divsChild>
        </w:div>
        <w:div w:id="1711998076">
          <w:marLeft w:val="0"/>
          <w:marRight w:val="0"/>
          <w:marTop w:val="0"/>
          <w:marBottom w:val="0"/>
          <w:divBdr>
            <w:top w:val="none" w:sz="0" w:space="0" w:color="auto"/>
            <w:left w:val="none" w:sz="0" w:space="0" w:color="auto"/>
            <w:bottom w:val="none" w:sz="0" w:space="0" w:color="auto"/>
            <w:right w:val="none" w:sz="0" w:space="0" w:color="auto"/>
          </w:divBdr>
          <w:divsChild>
            <w:div w:id="925770106">
              <w:marLeft w:val="0"/>
              <w:marRight w:val="0"/>
              <w:marTop w:val="0"/>
              <w:marBottom w:val="0"/>
              <w:divBdr>
                <w:top w:val="none" w:sz="0" w:space="0" w:color="auto"/>
                <w:left w:val="none" w:sz="0" w:space="0" w:color="auto"/>
                <w:bottom w:val="none" w:sz="0" w:space="0" w:color="auto"/>
                <w:right w:val="none" w:sz="0" w:space="0" w:color="auto"/>
              </w:divBdr>
            </w:div>
          </w:divsChild>
        </w:div>
        <w:div w:id="1720321981">
          <w:marLeft w:val="0"/>
          <w:marRight w:val="0"/>
          <w:marTop w:val="0"/>
          <w:marBottom w:val="0"/>
          <w:divBdr>
            <w:top w:val="none" w:sz="0" w:space="0" w:color="auto"/>
            <w:left w:val="none" w:sz="0" w:space="0" w:color="auto"/>
            <w:bottom w:val="none" w:sz="0" w:space="0" w:color="auto"/>
            <w:right w:val="none" w:sz="0" w:space="0" w:color="auto"/>
          </w:divBdr>
          <w:divsChild>
            <w:div w:id="1765833546">
              <w:marLeft w:val="0"/>
              <w:marRight w:val="0"/>
              <w:marTop w:val="0"/>
              <w:marBottom w:val="0"/>
              <w:divBdr>
                <w:top w:val="none" w:sz="0" w:space="0" w:color="auto"/>
                <w:left w:val="none" w:sz="0" w:space="0" w:color="auto"/>
                <w:bottom w:val="none" w:sz="0" w:space="0" w:color="auto"/>
                <w:right w:val="none" w:sz="0" w:space="0" w:color="auto"/>
              </w:divBdr>
            </w:div>
          </w:divsChild>
        </w:div>
        <w:div w:id="1726178515">
          <w:marLeft w:val="0"/>
          <w:marRight w:val="0"/>
          <w:marTop w:val="0"/>
          <w:marBottom w:val="0"/>
          <w:divBdr>
            <w:top w:val="none" w:sz="0" w:space="0" w:color="auto"/>
            <w:left w:val="none" w:sz="0" w:space="0" w:color="auto"/>
            <w:bottom w:val="none" w:sz="0" w:space="0" w:color="auto"/>
            <w:right w:val="none" w:sz="0" w:space="0" w:color="auto"/>
          </w:divBdr>
          <w:divsChild>
            <w:div w:id="1665358804">
              <w:marLeft w:val="0"/>
              <w:marRight w:val="0"/>
              <w:marTop w:val="0"/>
              <w:marBottom w:val="0"/>
              <w:divBdr>
                <w:top w:val="none" w:sz="0" w:space="0" w:color="auto"/>
                <w:left w:val="none" w:sz="0" w:space="0" w:color="auto"/>
                <w:bottom w:val="none" w:sz="0" w:space="0" w:color="auto"/>
                <w:right w:val="none" w:sz="0" w:space="0" w:color="auto"/>
              </w:divBdr>
            </w:div>
          </w:divsChild>
        </w:div>
        <w:div w:id="1726635178">
          <w:marLeft w:val="0"/>
          <w:marRight w:val="0"/>
          <w:marTop w:val="0"/>
          <w:marBottom w:val="0"/>
          <w:divBdr>
            <w:top w:val="none" w:sz="0" w:space="0" w:color="auto"/>
            <w:left w:val="none" w:sz="0" w:space="0" w:color="auto"/>
            <w:bottom w:val="none" w:sz="0" w:space="0" w:color="auto"/>
            <w:right w:val="none" w:sz="0" w:space="0" w:color="auto"/>
          </w:divBdr>
          <w:divsChild>
            <w:div w:id="2007895337">
              <w:marLeft w:val="0"/>
              <w:marRight w:val="0"/>
              <w:marTop w:val="0"/>
              <w:marBottom w:val="0"/>
              <w:divBdr>
                <w:top w:val="none" w:sz="0" w:space="0" w:color="auto"/>
                <w:left w:val="none" w:sz="0" w:space="0" w:color="auto"/>
                <w:bottom w:val="none" w:sz="0" w:space="0" w:color="auto"/>
                <w:right w:val="none" w:sz="0" w:space="0" w:color="auto"/>
              </w:divBdr>
            </w:div>
          </w:divsChild>
        </w:div>
        <w:div w:id="1757363141">
          <w:marLeft w:val="0"/>
          <w:marRight w:val="0"/>
          <w:marTop w:val="0"/>
          <w:marBottom w:val="0"/>
          <w:divBdr>
            <w:top w:val="none" w:sz="0" w:space="0" w:color="auto"/>
            <w:left w:val="none" w:sz="0" w:space="0" w:color="auto"/>
            <w:bottom w:val="none" w:sz="0" w:space="0" w:color="auto"/>
            <w:right w:val="none" w:sz="0" w:space="0" w:color="auto"/>
          </w:divBdr>
          <w:divsChild>
            <w:div w:id="1518154488">
              <w:marLeft w:val="0"/>
              <w:marRight w:val="0"/>
              <w:marTop w:val="0"/>
              <w:marBottom w:val="0"/>
              <w:divBdr>
                <w:top w:val="none" w:sz="0" w:space="0" w:color="auto"/>
                <w:left w:val="none" w:sz="0" w:space="0" w:color="auto"/>
                <w:bottom w:val="none" w:sz="0" w:space="0" w:color="auto"/>
                <w:right w:val="none" w:sz="0" w:space="0" w:color="auto"/>
              </w:divBdr>
            </w:div>
          </w:divsChild>
        </w:div>
        <w:div w:id="1786651772">
          <w:marLeft w:val="0"/>
          <w:marRight w:val="0"/>
          <w:marTop w:val="0"/>
          <w:marBottom w:val="0"/>
          <w:divBdr>
            <w:top w:val="none" w:sz="0" w:space="0" w:color="auto"/>
            <w:left w:val="none" w:sz="0" w:space="0" w:color="auto"/>
            <w:bottom w:val="none" w:sz="0" w:space="0" w:color="auto"/>
            <w:right w:val="none" w:sz="0" w:space="0" w:color="auto"/>
          </w:divBdr>
          <w:divsChild>
            <w:div w:id="1577205123">
              <w:marLeft w:val="0"/>
              <w:marRight w:val="0"/>
              <w:marTop w:val="0"/>
              <w:marBottom w:val="0"/>
              <w:divBdr>
                <w:top w:val="none" w:sz="0" w:space="0" w:color="auto"/>
                <w:left w:val="none" w:sz="0" w:space="0" w:color="auto"/>
                <w:bottom w:val="none" w:sz="0" w:space="0" w:color="auto"/>
                <w:right w:val="none" w:sz="0" w:space="0" w:color="auto"/>
              </w:divBdr>
            </w:div>
          </w:divsChild>
        </w:div>
        <w:div w:id="1787919069">
          <w:marLeft w:val="0"/>
          <w:marRight w:val="0"/>
          <w:marTop w:val="0"/>
          <w:marBottom w:val="0"/>
          <w:divBdr>
            <w:top w:val="none" w:sz="0" w:space="0" w:color="auto"/>
            <w:left w:val="none" w:sz="0" w:space="0" w:color="auto"/>
            <w:bottom w:val="none" w:sz="0" w:space="0" w:color="auto"/>
            <w:right w:val="none" w:sz="0" w:space="0" w:color="auto"/>
          </w:divBdr>
          <w:divsChild>
            <w:div w:id="1816872591">
              <w:marLeft w:val="0"/>
              <w:marRight w:val="0"/>
              <w:marTop w:val="0"/>
              <w:marBottom w:val="0"/>
              <w:divBdr>
                <w:top w:val="none" w:sz="0" w:space="0" w:color="auto"/>
                <w:left w:val="none" w:sz="0" w:space="0" w:color="auto"/>
                <w:bottom w:val="none" w:sz="0" w:space="0" w:color="auto"/>
                <w:right w:val="none" w:sz="0" w:space="0" w:color="auto"/>
              </w:divBdr>
            </w:div>
          </w:divsChild>
        </w:div>
        <w:div w:id="1796096627">
          <w:marLeft w:val="0"/>
          <w:marRight w:val="0"/>
          <w:marTop w:val="0"/>
          <w:marBottom w:val="0"/>
          <w:divBdr>
            <w:top w:val="none" w:sz="0" w:space="0" w:color="auto"/>
            <w:left w:val="none" w:sz="0" w:space="0" w:color="auto"/>
            <w:bottom w:val="none" w:sz="0" w:space="0" w:color="auto"/>
            <w:right w:val="none" w:sz="0" w:space="0" w:color="auto"/>
          </w:divBdr>
          <w:divsChild>
            <w:div w:id="860241116">
              <w:marLeft w:val="0"/>
              <w:marRight w:val="0"/>
              <w:marTop w:val="0"/>
              <w:marBottom w:val="0"/>
              <w:divBdr>
                <w:top w:val="none" w:sz="0" w:space="0" w:color="auto"/>
                <w:left w:val="none" w:sz="0" w:space="0" w:color="auto"/>
                <w:bottom w:val="none" w:sz="0" w:space="0" w:color="auto"/>
                <w:right w:val="none" w:sz="0" w:space="0" w:color="auto"/>
              </w:divBdr>
            </w:div>
          </w:divsChild>
        </w:div>
        <w:div w:id="1804880900">
          <w:marLeft w:val="0"/>
          <w:marRight w:val="0"/>
          <w:marTop w:val="0"/>
          <w:marBottom w:val="0"/>
          <w:divBdr>
            <w:top w:val="none" w:sz="0" w:space="0" w:color="auto"/>
            <w:left w:val="none" w:sz="0" w:space="0" w:color="auto"/>
            <w:bottom w:val="none" w:sz="0" w:space="0" w:color="auto"/>
            <w:right w:val="none" w:sz="0" w:space="0" w:color="auto"/>
          </w:divBdr>
          <w:divsChild>
            <w:div w:id="348678771">
              <w:marLeft w:val="0"/>
              <w:marRight w:val="0"/>
              <w:marTop w:val="0"/>
              <w:marBottom w:val="0"/>
              <w:divBdr>
                <w:top w:val="none" w:sz="0" w:space="0" w:color="auto"/>
                <w:left w:val="none" w:sz="0" w:space="0" w:color="auto"/>
                <w:bottom w:val="none" w:sz="0" w:space="0" w:color="auto"/>
                <w:right w:val="none" w:sz="0" w:space="0" w:color="auto"/>
              </w:divBdr>
            </w:div>
          </w:divsChild>
        </w:div>
        <w:div w:id="1809930123">
          <w:marLeft w:val="0"/>
          <w:marRight w:val="0"/>
          <w:marTop w:val="0"/>
          <w:marBottom w:val="0"/>
          <w:divBdr>
            <w:top w:val="none" w:sz="0" w:space="0" w:color="auto"/>
            <w:left w:val="none" w:sz="0" w:space="0" w:color="auto"/>
            <w:bottom w:val="none" w:sz="0" w:space="0" w:color="auto"/>
            <w:right w:val="none" w:sz="0" w:space="0" w:color="auto"/>
          </w:divBdr>
          <w:divsChild>
            <w:div w:id="1684278969">
              <w:marLeft w:val="0"/>
              <w:marRight w:val="0"/>
              <w:marTop w:val="0"/>
              <w:marBottom w:val="0"/>
              <w:divBdr>
                <w:top w:val="none" w:sz="0" w:space="0" w:color="auto"/>
                <w:left w:val="none" w:sz="0" w:space="0" w:color="auto"/>
                <w:bottom w:val="none" w:sz="0" w:space="0" w:color="auto"/>
                <w:right w:val="none" w:sz="0" w:space="0" w:color="auto"/>
              </w:divBdr>
            </w:div>
          </w:divsChild>
        </w:div>
        <w:div w:id="1813137393">
          <w:marLeft w:val="0"/>
          <w:marRight w:val="0"/>
          <w:marTop w:val="0"/>
          <w:marBottom w:val="0"/>
          <w:divBdr>
            <w:top w:val="none" w:sz="0" w:space="0" w:color="auto"/>
            <w:left w:val="none" w:sz="0" w:space="0" w:color="auto"/>
            <w:bottom w:val="none" w:sz="0" w:space="0" w:color="auto"/>
            <w:right w:val="none" w:sz="0" w:space="0" w:color="auto"/>
          </w:divBdr>
          <w:divsChild>
            <w:div w:id="1760827009">
              <w:marLeft w:val="0"/>
              <w:marRight w:val="0"/>
              <w:marTop w:val="0"/>
              <w:marBottom w:val="0"/>
              <w:divBdr>
                <w:top w:val="none" w:sz="0" w:space="0" w:color="auto"/>
                <w:left w:val="none" w:sz="0" w:space="0" w:color="auto"/>
                <w:bottom w:val="none" w:sz="0" w:space="0" w:color="auto"/>
                <w:right w:val="none" w:sz="0" w:space="0" w:color="auto"/>
              </w:divBdr>
            </w:div>
          </w:divsChild>
        </w:div>
        <w:div w:id="1819296983">
          <w:marLeft w:val="0"/>
          <w:marRight w:val="0"/>
          <w:marTop w:val="0"/>
          <w:marBottom w:val="0"/>
          <w:divBdr>
            <w:top w:val="none" w:sz="0" w:space="0" w:color="auto"/>
            <w:left w:val="none" w:sz="0" w:space="0" w:color="auto"/>
            <w:bottom w:val="none" w:sz="0" w:space="0" w:color="auto"/>
            <w:right w:val="none" w:sz="0" w:space="0" w:color="auto"/>
          </w:divBdr>
          <w:divsChild>
            <w:div w:id="414979907">
              <w:marLeft w:val="0"/>
              <w:marRight w:val="0"/>
              <w:marTop w:val="0"/>
              <w:marBottom w:val="0"/>
              <w:divBdr>
                <w:top w:val="none" w:sz="0" w:space="0" w:color="auto"/>
                <w:left w:val="none" w:sz="0" w:space="0" w:color="auto"/>
                <w:bottom w:val="none" w:sz="0" w:space="0" w:color="auto"/>
                <w:right w:val="none" w:sz="0" w:space="0" w:color="auto"/>
              </w:divBdr>
            </w:div>
          </w:divsChild>
        </w:div>
        <w:div w:id="1840535535">
          <w:marLeft w:val="0"/>
          <w:marRight w:val="0"/>
          <w:marTop w:val="0"/>
          <w:marBottom w:val="0"/>
          <w:divBdr>
            <w:top w:val="none" w:sz="0" w:space="0" w:color="auto"/>
            <w:left w:val="none" w:sz="0" w:space="0" w:color="auto"/>
            <w:bottom w:val="none" w:sz="0" w:space="0" w:color="auto"/>
            <w:right w:val="none" w:sz="0" w:space="0" w:color="auto"/>
          </w:divBdr>
          <w:divsChild>
            <w:div w:id="280302159">
              <w:marLeft w:val="0"/>
              <w:marRight w:val="0"/>
              <w:marTop w:val="0"/>
              <w:marBottom w:val="0"/>
              <w:divBdr>
                <w:top w:val="none" w:sz="0" w:space="0" w:color="auto"/>
                <w:left w:val="none" w:sz="0" w:space="0" w:color="auto"/>
                <w:bottom w:val="none" w:sz="0" w:space="0" w:color="auto"/>
                <w:right w:val="none" w:sz="0" w:space="0" w:color="auto"/>
              </w:divBdr>
            </w:div>
          </w:divsChild>
        </w:div>
        <w:div w:id="1845122524">
          <w:marLeft w:val="0"/>
          <w:marRight w:val="0"/>
          <w:marTop w:val="0"/>
          <w:marBottom w:val="0"/>
          <w:divBdr>
            <w:top w:val="none" w:sz="0" w:space="0" w:color="auto"/>
            <w:left w:val="none" w:sz="0" w:space="0" w:color="auto"/>
            <w:bottom w:val="none" w:sz="0" w:space="0" w:color="auto"/>
            <w:right w:val="none" w:sz="0" w:space="0" w:color="auto"/>
          </w:divBdr>
          <w:divsChild>
            <w:div w:id="1549998034">
              <w:marLeft w:val="0"/>
              <w:marRight w:val="0"/>
              <w:marTop w:val="0"/>
              <w:marBottom w:val="0"/>
              <w:divBdr>
                <w:top w:val="none" w:sz="0" w:space="0" w:color="auto"/>
                <w:left w:val="none" w:sz="0" w:space="0" w:color="auto"/>
                <w:bottom w:val="none" w:sz="0" w:space="0" w:color="auto"/>
                <w:right w:val="none" w:sz="0" w:space="0" w:color="auto"/>
              </w:divBdr>
            </w:div>
          </w:divsChild>
        </w:div>
        <w:div w:id="1851674171">
          <w:marLeft w:val="0"/>
          <w:marRight w:val="0"/>
          <w:marTop w:val="0"/>
          <w:marBottom w:val="0"/>
          <w:divBdr>
            <w:top w:val="none" w:sz="0" w:space="0" w:color="auto"/>
            <w:left w:val="none" w:sz="0" w:space="0" w:color="auto"/>
            <w:bottom w:val="none" w:sz="0" w:space="0" w:color="auto"/>
            <w:right w:val="none" w:sz="0" w:space="0" w:color="auto"/>
          </w:divBdr>
          <w:divsChild>
            <w:div w:id="1483504852">
              <w:marLeft w:val="0"/>
              <w:marRight w:val="0"/>
              <w:marTop w:val="0"/>
              <w:marBottom w:val="0"/>
              <w:divBdr>
                <w:top w:val="none" w:sz="0" w:space="0" w:color="auto"/>
                <w:left w:val="none" w:sz="0" w:space="0" w:color="auto"/>
                <w:bottom w:val="none" w:sz="0" w:space="0" w:color="auto"/>
                <w:right w:val="none" w:sz="0" w:space="0" w:color="auto"/>
              </w:divBdr>
            </w:div>
          </w:divsChild>
        </w:div>
        <w:div w:id="1852572586">
          <w:marLeft w:val="0"/>
          <w:marRight w:val="0"/>
          <w:marTop w:val="0"/>
          <w:marBottom w:val="0"/>
          <w:divBdr>
            <w:top w:val="none" w:sz="0" w:space="0" w:color="auto"/>
            <w:left w:val="none" w:sz="0" w:space="0" w:color="auto"/>
            <w:bottom w:val="none" w:sz="0" w:space="0" w:color="auto"/>
            <w:right w:val="none" w:sz="0" w:space="0" w:color="auto"/>
          </w:divBdr>
          <w:divsChild>
            <w:div w:id="1148128723">
              <w:marLeft w:val="0"/>
              <w:marRight w:val="0"/>
              <w:marTop w:val="0"/>
              <w:marBottom w:val="0"/>
              <w:divBdr>
                <w:top w:val="none" w:sz="0" w:space="0" w:color="auto"/>
                <w:left w:val="none" w:sz="0" w:space="0" w:color="auto"/>
                <w:bottom w:val="none" w:sz="0" w:space="0" w:color="auto"/>
                <w:right w:val="none" w:sz="0" w:space="0" w:color="auto"/>
              </w:divBdr>
            </w:div>
          </w:divsChild>
        </w:div>
        <w:div w:id="1855849726">
          <w:marLeft w:val="0"/>
          <w:marRight w:val="0"/>
          <w:marTop w:val="0"/>
          <w:marBottom w:val="0"/>
          <w:divBdr>
            <w:top w:val="none" w:sz="0" w:space="0" w:color="auto"/>
            <w:left w:val="none" w:sz="0" w:space="0" w:color="auto"/>
            <w:bottom w:val="none" w:sz="0" w:space="0" w:color="auto"/>
            <w:right w:val="none" w:sz="0" w:space="0" w:color="auto"/>
          </w:divBdr>
          <w:divsChild>
            <w:div w:id="624891088">
              <w:marLeft w:val="0"/>
              <w:marRight w:val="0"/>
              <w:marTop w:val="0"/>
              <w:marBottom w:val="0"/>
              <w:divBdr>
                <w:top w:val="none" w:sz="0" w:space="0" w:color="auto"/>
                <w:left w:val="none" w:sz="0" w:space="0" w:color="auto"/>
                <w:bottom w:val="none" w:sz="0" w:space="0" w:color="auto"/>
                <w:right w:val="none" w:sz="0" w:space="0" w:color="auto"/>
              </w:divBdr>
            </w:div>
          </w:divsChild>
        </w:div>
        <w:div w:id="1882325742">
          <w:marLeft w:val="0"/>
          <w:marRight w:val="0"/>
          <w:marTop w:val="0"/>
          <w:marBottom w:val="0"/>
          <w:divBdr>
            <w:top w:val="none" w:sz="0" w:space="0" w:color="auto"/>
            <w:left w:val="none" w:sz="0" w:space="0" w:color="auto"/>
            <w:bottom w:val="none" w:sz="0" w:space="0" w:color="auto"/>
            <w:right w:val="none" w:sz="0" w:space="0" w:color="auto"/>
          </w:divBdr>
          <w:divsChild>
            <w:div w:id="1864703191">
              <w:marLeft w:val="0"/>
              <w:marRight w:val="0"/>
              <w:marTop w:val="0"/>
              <w:marBottom w:val="0"/>
              <w:divBdr>
                <w:top w:val="none" w:sz="0" w:space="0" w:color="auto"/>
                <w:left w:val="none" w:sz="0" w:space="0" w:color="auto"/>
                <w:bottom w:val="none" w:sz="0" w:space="0" w:color="auto"/>
                <w:right w:val="none" w:sz="0" w:space="0" w:color="auto"/>
              </w:divBdr>
            </w:div>
          </w:divsChild>
        </w:div>
        <w:div w:id="1887374883">
          <w:marLeft w:val="0"/>
          <w:marRight w:val="0"/>
          <w:marTop w:val="0"/>
          <w:marBottom w:val="0"/>
          <w:divBdr>
            <w:top w:val="none" w:sz="0" w:space="0" w:color="auto"/>
            <w:left w:val="none" w:sz="0" w:space="0" w:color="auto"/>
            <w:bottom w:val="none" w:sz="0" w:space="0" w:color="auto"/>
            <w:right w:val="none" w:sz="0" w:space="0" w:color="auto"/>
          </w:divBdr>
          <w:divsChild>
            <w:div w:id="1115903245">
              <w:marLeft w:val="0"/>
              <w:marRight w:val="0"/>
              <w:marTop w:val="0"/>
              <w:marBottom w:val="0"/>
              <w:divBdr>
                <w:top w:val="none" w:sz="0" w:space="0" w:color="auto"/>
                <w:left w:val="none" w:sz="0" w:space="0" w:color="auto"/>
                <w:bottom w:val="none" w:sz="0" w:space="0" w:color="auto"/>
                <w:right w:val="none" w:sz="0" w:space="0" w:color="auto"/>
              </w:divBdr>
            </w:div>
          </w:divsChild>
        </w:div>
        <w:div w:id="1893998730">
          <w:marLeft w:val="0"/>
          <w:marRight w:val="0"/>
          <w:marTop w:val="0"/>
          <w:marBottom w:val="0"/>
          <w:divBdr>
            <w:top w:val="none" w:sz="0" w:space="0" w:color="auto"/>
            <w:left w:val="none" w:sz="0" w:space="0" w:color="auto"/>
            <w:bottom w:val="none" w:sz="0" w:space="0" w:color="auto"/>
            <w:right w:val="none" w:sz="0" w:space="0" w:color="auto"/>
          </w:divBdr>
          <w:divsChild>
            <w:div w:id="566914796">
              <w:marLeft w:val="0"/>
              <w:marRight w:val="0"/>
              <w:marTop w:val="0"/>
              <w:marBottom w:val="0"/>
              <w:divBdr>
                <w:top w:val="none" w:sz="0" w:space="0" w:color="auto"/>
                <w:left w:val="none" w:sz="0" w:space="0" w:color="auto"/>
                <w:bottom w:val="none" w:sz="0" w:space="0" w:color="auto"/>
                <w:right w:val="none" w:sz="0" w:space="0" w:color="auto"/>
              </w:divBdr>
            </w:div>
          </w:divsChild>
        </w:div>
        <w:div w:id="1905411545">
          <w:marLeft w:val="0"/>
          <w:marRight w:val="0"/>
          <w:marTop w:val="0"/>
          <w:marBottom w:val="0"/>
          <w:divBdr>
            <w:top w:val="none" w:sz="0" w:space="0" w:color="auto"/>
            <w:left w:val="none" w:sz="0" w:space="0" w:color="auto"/>
            <w:bottom w:val="none" w:sz="0" w:space="0" w:color="auto"/>
            <w:right w:val="none" w:sz="0" w:space="0" w:color="auto"/>
          </w:divBdr>
          <w:divsChild>
            <w:div w:id="536351291">
              <w:marLeft w:val="0"/>
              <w:marRight w:val="0"/>
              <w:marTop w:val="0"/>
              <w:marBottom w:val="0"/>
              <w:divBdr>
                <w:top w:val="none" w:sz="0" w:space="0" w:color="auto"/>
                <w:left w:val="none" w:sz="0" w:space="0" w:color="auto"/>
                <w:bottom w:val="none" w:sz="0" w:space="0" w:color="auto"/>
                <w:right w:val="none" w:sz="0" w:space="0" w:color="auto"/>
              </w:divBdr>
            </w:div>
          </w:divsChild>
        </w:div>
        <w:div w:id="1920408477">
          <w:marLeft w:val="0"/>
          <w:marRight w:val="0"/>
          <w:marTop w:val="0"/>
          <w:marBottom w:val="0"/>
          <w:divBdr>
            <w:top w:val="none" w:sz="0" w:space="0" w:color="auto"/>
            <w:left w:val="none" w:sz="0" w:space="0" w:color="auto"/>
            <w:bottom w:val="none" w:sz="0" w:space="0" w:color="auto"/>
            <w:right w:val="none" w:sz="0" w:space="0" w:color="auto"/>
          </w:divBdr>
          <w:divsChild>
            <w:div w:id="723795158">
              <w:marLeft w:val="0"/>
              <w:marRight w:val="0"/>
              <w:marTop w:val="0"/>
              <w:marBottom w:val="0"/>
              <w:divBdr>
                <w:top w:val="none" w:sz="0" w:space="0" w:color="auto"/>
                <w:left w:val="none" w:sz="0" w:space="0" w:color="auto"/>
                <w:bottom w:val="none" w:sz="0" w:space="0" w:color="auto"/>
                <w:right w:val="none" w:sz="0" w:space="0" w:color="auto"/>
              </w:divBdr>
            </w:div>
          </w:divsChild>
        </w:div>
        <w:div w:id="1923903448">
          <w:marLeft w:val="0"/>
          <w:marRight w:val="0"/>
          <w:marTop w:val="0"/>
          <w:marBottom w:val="0"/>
          <w:divBdr>
            <w:top w:val="none" w:sz="0" w:space="0" w:color="auto"/>
            <w:left w:val="none" w:sz="0" w:space="0" w:color="auto"/>
            <w:bottom w:val="none" w:sz="0" w:space="0" w:color="auto"/>
            <w:right w:val="none" w:sz="0" w:space="0" w:color="auto"/>
          </w:divBdr>
          <w:divsChild>
            <w:div w:id="638926588">
              <w:marLeft w:val="0"/>
              <w:marRight w:val="0"/>
              <w:marTop w:val="0"/>
              <w:marBottom w:val="0"/>
              <w:divBdr>
                <w:top w:val="none" w:sz="0" w:space="0" w:color="auto"/>
                <w:left w:val="none" w:sz="0" w:space="0" w:color="auto"/>
                <w:bottom w:val="none" w:sz="0" w:space="0" w:color="auto"/>
                <w:right w:val="none" w:sz="0" w:space="0" w:color="auto"/>
              </w:divBdr>
            </w:div>
          </w:divsChild>
        </w:div>
        <w:div w:id="1930969299">
          <w:marLeft w:val="0"/>
          <w:marRight w:val="0"/>
          <w:marTop w:val="0"/>
          <w:marBottom w:val="0"/>
          <w:divBdr>
            <w:top w:val="none" w:sz="0" w:space="0" w:color="auto"/>
            <w:left w:val="none" w:sz="0" w:space="0" w:color="auto"/>
            <w:bottom w:val="none" w:sz="0" w:space="0" w:color="auto"/>
            <w:right w:val="none" w:sz="0" w:space="0" w:color="auto"/>
          </w:divBdr>
          <w:divsChild>
            <w:div w:id="1022780863">
              <w:marLeft w:val="0"/>
              <w:marRight w:val="0"/>
              <w:marTop w:val="0"/>
              <w:marBottom w:val="0"/>
              <w:divBdr>
                <w:top w:val="none" w:sz="0" w:space="0" w:color="auto"/>
                <w:left w:val="none" w:sz="0" w:space="0" w:color="auto"/>
                <w:bottom w:val="none" w:sz="0" w:space="0" w:color="auto"/>
                <w:right w:val="none" w:sz="0" w:space="0" w:color="auto"/>
              </w:divBdr>
            </w:div>
          </w:divsChild>
        </w:div>
        <w:div w:id="1948349847">
          <w:marLeft w:val="0"/>
          <w:marRight w:val="0"/>
          <w:marTop w:val="0"/>
          <w:marBottom w:val="0"/>
          <w:divBdr>
            <w:top w:val="none" w:sz="0" w:space="0" w:color="auto"/>
            <w:left w:val="none" w:sz="0" w:space="0" w:color="auto"/>
            <w:bottom w:val="none" w:sz="0" w:space="0" w:color="auto"/>
            <w:right w:val="none" w:sz="0" w:space="0" w:color="auto"/>
          </w:divBdr>
          <w:divsChild>
            <w:div w:id="1256866680">
              <w:marLeft w:val="0"/>
              <w:marRight w:val="0"/>
              <w:marTop w:val="0"/>
              <w:marBottom w:val="0"/>
              <w:divBdr>
                <w:top w:val="none" w:sz="0" w:space="0" w:color="auto"/>
                <w:left w:val="none" w:sz="0" w:space="0" w:color="auto"/>
                <w:bottom w:val="none" w:sz="0" w:space="0" w:color="auto"/>
                <w:right w:val="none" w:sz="0" w:space="0" w:color="auto"/>
              </w:divBdr>
            </w:div>
          </w:divsChild>
        </w:div>
        <w:div w:id="1952586842">
          <w:marLeft w:val="0"/>
          <w:marRight w:val="0"/>
          <w:marTop w:val="0"/>
          <w:marBottom w:val="0"/>
          <w:divBdr>
            <w:top w:val="none" w:sz="0" w:space="0" w:color="auto"/>
            <w:left w:val="none" w:sz="0" w:space="0" w:color="auto"/>
            <w:bottom w:val="none" w:sz="0" w:space="0" w:color="auto"/>
            <w:right w:val="none" w:sz="0" w:space="0" w:color="auto"/>
          </w:divBdr>
          <w:divsChild>
            <w:div w:id="178853359">
              <w:marLeft w:val="0"/>
              <w:marRight w:val="0"/>
              <w:marTop w:val="0"/>
              <w:marBottom w:val="0"/>
              <w:divBdr>
                <w:top w:val="none" w:sz="0" w:space="0" w:color="auto"/>
                <w:left w:val="none" w:sz="0" w:space="0" w:color="auto"/>
                <w:bottom w:val="none" w:sz="0" w:space="0" w:color="auto"/>
                <w:right w:val="none" w:sz="0" w:space="0" w:color="auto"/>
              </w:divBdr>
            </w:div>
          </w:divsChild>
        </w:div>
        <w:div w:id="1966109041">
          <w:marLeft w:val="0"/>
          <w:marRight w:val="0"/>
          <w:marTop w:val="0"/>
          <w:marBottom w:val="0"/>
          <w:divBdr>
            <w:top w:val="none" w:sz="0" w:space="0" w:color="auto"/>
            <w:left w:val="none" w:sz="0" w:space="0" w:color="auto"/>
            <w:bottom w:val="none" w:sz="0" w:space="0" w:color="auto"/>
            <w:right w:val="none" w:sz="0" w:space="0" w:color="auto"/>
          </w:divBdr>
          <w:divsChild>
            <w:div w:id="2127431850">
              <w:marLeft w:val="0"/>
              <w:marRight w:val="0"/>
              <w:marTop w:val="0"/>
              <w:marBottom w:val="0"/>
              <w:divBdr>
                <w:top w:val="none" w:sz="0" w:space="0" w:color="auto"/>
                <w:left w:val="none" w:sz="0" w:space="0" w:color="auto"/>
                <w:bottom w:val="none" w:sz="0" w:space="0" w:color="auto"/>
                <w:right w:val="none" w:sz="0" w:space="0" w:color="auto"/>
              </w:divBdr>
            </w:div>
          </w:divsChild>
        </w:div>
        <w:div w:id="1981494177">
          <w:marLeft w:val="0"/>
          <w:marRight w:val="0"/>
          <w:marTop w:val="0"/>
          <w:marBottom w:val="0"/>
          <w:divBdr>
            <w:top w:val="none" w:sz="0" w:space="0" w:color="auto"/>
            <w:left w:val="none" w:sz="0" w:space="0" w:color="auto"/>
            <w:bottom w:val="none" w:sz="0" w:space="0" w:color="auto"/>
            <w:right w:val="none" w:sz="0" w:space="0" w:color="auto"/>
          </w:divBdr>
          <w:divsChild>
            <w:div w:id="243223473">
              <w:marLeft w:val="0"/>
              <w:marRight w:val="0"/>
              <w:marTop w:val="0"/>
              <w:marBottom w:val="0"/>
              <w:divBdr>
                <w:top w:val="none" w:sz="0" w:space="0" w:color="auto"/>
                <w:left w:val="none" w:sz="0" w:space="0" w:color="auto"/>
                <w:bottom w:val="none" w:sz="0" w:space="0" w:color="auto"/>
                <w:right w:val="none" w:sz="0" w:space="0" w:color="auto"/>
              </w:divBdr>
            </w:div>
          </w:divsChild>
        </w:div>
        <w:div w:id="1991522917">
          <w:marLeft w:val="0"/>
          <w:marRight w:val="0"/>
          <w:marTop w:val="0"/>
          <w:marBottom w:val="0"/>
          <w:divBdr>
            <w:top w:val="none" w:sz="0" w:space="0" w:color="auto"/>
            <w:left w:val="none" w:sz="0" w:space="0" w:color="auto"/>
            <w:bottom w:val="none" w:sz="0" w:space="0" w:color="auto"/>
            <w:right w:val="none" w:sz="0" w:space="0" w:color="auto"/>
          </w:divBdr>
          <w:divsChild>
            <w:div w:id="358511927">
              <w:marLeft w:val="0"/>
              <w:marRight w:val="0"/>
              <w:marTop w:val="0"/>
              <w:marBottom w:val="0"/>
              <w:divBdr>
                <w:top w:val="none" w:sz="0" w:space="0" w:color="auto"/>
                <w:left w:val="none" w:sz="0" w:space="0" w:color="auto"/>
                <w:bottom w:val="none" w:sz="0" w:space="0" w:color="auto"/>
                <w:right w:val="none" w:sz="0" w:space="0" w:color="auto"/>
              </w:divBdr>
            </w:div>
          </w:divsChild>
        </w:div>
        <w:div w:id="1998604446">
          <w:marLeft w:val="0"/>
          <w:marRight w:val="0"/>
          <w:marTop w:val="0"/>
          <w:marBottom w:val="0"/>
          <w:divBdr>
            <w:top w:val="none" w:sz="0" w:space="0" w:color="auto"/>
            <w:left w:val="none" w:sz="0" w:space="0" w:color="auto"/>
            <w:bottom w:val="none" w:sz="0" w:space="0" w:color="auto"/>
            <w:right w:val="none" w:sz="0" w:space="0" w:color="auto"/>
          </w:divBdr>
          <w:divsChild>
            <w:div w:id="1584605513">
              <w:marLeft w:val="0"/>
              <w:marRight w:val="0"/>
              <w:marTop w:val="0"/>
              <w:marBottom w:val="0"/>
              <w:divBdr>
                <w:top w:val="none" w:sz="0" w:space="0" w:color="auto"/>
                <w:left w:val="none" w:sz="0" w:space="0" w:color="auto"/>
                <w:bottom w:val="none" w:sz="0" w:space="0" w:color="auto"/>
                <w:right w:val="none" w:sz="0" w:space="0" w:color="auto"/>
              </w:divBdr>
            </w:div>
          </w:divsChild>
        </w:div>
        <w:div w:id="2008941040">
          <w:marLeft w:val="0"/>
          <w:marRight w:val="0"/>
          <w:marTop w:val="0"/>
          <w:marBottom w:val="0"/>
          <w:divBdr>
            <w:top w:val="none" w:sz="0" w:space="0" w:color="auto"/>
            <w:left w:val="none" w:sz="0" w:space="0" w:color="auto"/>
            <w:bottom w:val="none" w:sz="0" w:space="0" w:color="auto"/>
            <w:right w:val="none" w:sz="0" w:space="0" w:color="auto"/>
          </w:divBdr>
          <w:divsChild>
            <w:div w:id="1484197575">
              <w:marLeft w:val="0"/>
              <w:marRight w:val="0"/>
              <w:marTop w:val="0"/>
              <w:marBottom w:val="0"/>
              <w:divBdr>
                <w:top w:val="none" w:sz="0" w:space="0" w:color="auto"/>
                <w:left w:val="none" w:sz="0" w:space="0" w:color="auto"/>
                <w:bottom w:val="none" w:sz="0" w:space="0" w:color="auto"/>
                <w:right w:val="none" w:sz="0" w:space="0" w:color="auto"/>
              </w:divBdr>
            </w:div>
          </w:divsChild>
        </w:div>
        <w:div w:id="2010863334">
          <w:marLeft w:val="0"/>
          <w:marRight w:val="0"/>
          <w:marTop w:val="0"/>
          <w:marBottom w:val="0"/>
          <w:divBdr>
            <w:top w:val="none" w:sz="0" w:space="0" w:color="auto"/>
            <w:left w:val="none" w:sz="0" w:space="0" w:color="auto"/>
            <w:bottom w:val="none" w:sz="0" w:space="0" w:color="auto"/>
            <w:right w:val="none" w:sz="0" w:space="0" w:color="auto"/>
          </w:divBdr>
          <w:divsChild>
            <w:div w:id="373232868">
              <w:marLeft w:val="0"/>
              <w:marRight w:val="0"/>
              <w:marTop w:val="0"/>
              <w:marBottom w:val="0"/>
              <w:divBdr>
                <w:top w:val="none" w:sz="0" w:space="0" w:color="auto"/>
                <w:left w:val="none" w:sz="0" w:space="0" w:color="auto"/>
                <w:bottom w:val="none" w:sz="0" w:space="0" w:color="auto"/>
                <w:right w:val="none" w:sz="0" w:space="0" w:color="auto"/>
              </w:divBdr>
            </w:div>
          </w:divsChild>
        </w:div>
        <w:div w:id="2024936798">
          <w:marLeft w:val="0"/>
          <w:marRight w:val="0"/>
          <w:marTop w:val="0"/>
          <w:marBottom w:val="0"/>
          <w:divBdr>
            <w:top w:val="none" w:sz="0" w:space="0" w:color="auto"/>
            <w:left w:val="none" w:sz="0" w:space="0" w:color="auto"/>
            <w:bottom w:val="none" w:sz="0" w:space="0" w:color="auto"/>
            <w:right w:val="none" w:sz="0" w:space="0" w:color="auto"/>
          </w:divBdr>
          <w:divsChild>
            <w:div w:id="826823482">
              <w:marLeft w:val="0"/>
              <w:marRight w:val="0"/>
              <w:marTop w:val="0"/>
              <w:marBottom w:val="0"/>
              <w:divBdr>
                <w:top w:val="none" w:sz="0" w:space="0" w:color="auto"/>
                <w:left w:val="none" w:sz="0" w:space="0" w:color="auto"/>
                <w:bottom w:val="none" w:sz="0" w:space="0" w:color="auto"/>
                <w:right w:val="none" w:sz="0" w:space="0" w:color="auto"/>
              </w:divBdr>
            </w:div>
          </w:divsChild>
        </w:div>
        <w:div w:id="2025015903">
          <w:marLeft w:val="0"/>
          <w:marRight w:val="0"/>
          <w:marTop w:val="0"/>
          <w:marBottom w:val="0"/>
          <w:divBdr>
            <w:top w:val="none" w:sz="0" w:space="0" w:color="auto"/>
            <w:left w:val="none" w:sz="0" w:space="0" w:color="auto"/>
            <w:bottom w:val="none" w:sz="0" w:space="0" w:color="auto"/>
            <w:right w:val="none" w:sz="0" w:space="0" w:color="auto"/>
          </w:divBdr>
          <w:divsChild>
            <w:div w:id="1412463825">
              <w:marLeft w:val="0"/>
              <w:marRight w:val="0"/>
              <w:marTop w:val="0"/>
              <w:marBottom w:val="0"/>
              <w:divBdr>
                <w:top w:val="none" w:sz="0" w:space="0" w:color="auto"/>
                <w:left w:val="none" w:sz="0" w:space="0" w:color="auto"/>
                <w:bottom w:val="none" w:sz="0" w:space="0" w:color="auto"/>
                <w:right w:val="none" w:sz="0" w:space="0" w:color="auto"/>
              </w:divBdr>
            </w:div>
          </w:divsChild>
        </w:div>
        <w:div w:id="2030526788">
          <w:marLeft w:val="0"/>
          <w:marRight w:val="0"/>
          <w:marTop w:val="0"/>
          <w:marBottom w:val="0"/>
          <w:divBdr>
            <w:top w:val="none" w:sz="0" w:space="0" w:color="auto"/>
            <w:left w:val="none" w:sz="0" w:space="0" w:color="auto"/>
            <w:bottom w:val="none" w:sz="0" w:space="0" w:color="auto"/>
            <w:right w:val="none" w:sz="0" w:space="0" w:color="auto"/>
          </w:divBdr>
          <w:divsChild>
            <w:div w:id="2114083793">
              <w:marLeft w:val="0"/>
              <w:marRight w:val="0"/>
              <w:marTop w:val="0"/>
              <w:marBottom w:val="0"/>
              <w:divBdr>
                <w:top w:val="none" w:sz="0" w:space="0" w:color="auto"/>
                <w:left w:val="none" w:sz="0" w:space="0" w:color="auto"/>
                <w:bottom w:val="none" w:sz="0" w:space="0" w:color="auto"/>
                <w:right w:val="none" w:sz="0" w:space="0" w:color="auto"/>
              </w:divBdr>
            </w:div>
          </w:divsChild>
        </w:div>
        <w:div w:id="2036733486">
          <w:marLeft w:val="0"/>
          <w:marRight w:val="0"/>
          <w:marTop w:val="0"/>
          <w:marBottom w:val="0"/>
          <w:divBdr>
            <w:top w:val="none" w:sz="0" w:space="0" w:color="auto"/>
            <w:left w:val="none" w:sz="0" w:space="0" w:color="auto"/>
            <w:bottom w:val="none" w:sz="0" w:space="0" w:color="auto"/>
            <w:right w:val="none" w:sz="0" w:space="0" w:color="auto"/>
          </w:divBdr>
          <w:divsChild>
            <w:div w:id="1564171420">
              <w:marLeft w:val="0"/>
              <w:marRight w:val="0"/>
              <w:marTop w:val="0"/>
              <w:marBottom w:val="0"/>
              <w:divBdr>
                <w:top w:val="none" w:sz="0" w:space="0" w:color="auto"/>
                <w:left w:val="none" w:sz="0" w:space="0" w:color="auto"/>
                <w:bottom w:val="none" w:sz="0" w:space="0" w:color="auto"/>
                <w:right w:val="none" w:sz="0" w:space="0" w:color="auto"/>
              </w:divBdr>
            </w:div>
          </w:divsChild>
        </w:div>
        <w:div w:id="2042198171">
          <w:marLeft w:val="0"/>
          <w:marRight w:val="0"/>
          <w:marTop w:val="0"/>
          <w:marBottom w:val="0"/>
          <w:divBdr>
            <w:top w:val="none" w:sz="0" w:space="0" w:color="auto"/>
            <w:left w:val="none" w:sz="0" w:space="0" w:color="auto"/>
            <w:bottom w:val="none" w:sz="0" w:space="0" w:color="auto"/>
            <w:right w:val="none" w:sz="0" w:space="0" w:color="auto"/>
          </w:divBdr>
          <w:divsChild>
            <w:div w:id="190606987">
              <w:marLeft w:val="0"/>
              <w:marRight w:val="0"/>
              <w:marTop w:val="0"/>
              <w:marBottom w:val="0"/>
              <w:divBdr>
                <w:top w:val="none" w:sz="0" w:space="0" w:color="auto"/>
                <w:left w:val="none" w:sz="0" w:space="0" w:color="auto"/>
                <w:bottom w:val="none" w:sz="0" w:space="0" w:color="auto"/>
                <w:right w:val="none" w:sz="0" w:space="0" w:color="auto"/>
              </w:divBdr>
            </w:div>
          </w:divsChild>
        </w:div>
        <w:div w:id="2051803423">
          <w:marLeft w:val="0"/>
          <w:marRight w:val="0"/>
          <w:marTop w:val="0"/>
          <w:marBottom w:val="0"/>
          <w:divBdr>
            <w:top w:val="none" w:sz="0" w:space="0" w:color="auto"/>
            <w:left w:val="none" w:sz="0" w:space="0" w:color="auto"/>
            <w:bottom w:val="none" w:sz="0" w:space="0" w:color="auto"/>
            <w:right w:val="none" w:sz="0" w:space="0" w:color="auto"/>
          </w:divBdr>
          <w:divsChild>
            <w:div w:id="499470365">
              <w:marLeft w:val="0"/>
              <w:marRight w:val="0"/>
              <w:marTop w:val="0"/>
              <w:marBottom w:val="0"/>
              <w:divBdr>
                <w:top w:val="none" w:sz="0" w:space="0" w:color="auto"/>
                <w:left w:val="none" w:sz="0" w:space="0" w:color="auto"/>
                <w:bottom w:val="none" w:sz="0" w:space="0" w:color="auto"/>
                <w:right w:val="none" w:sz="0" w:space="0" w:color="auto"/>
              </w:divBdr>
            </w:div>
          </w:divsChild>
        </w:div>
        <w:div w:id="2079475092">
          <w:marLeft w:val="0"/>
          <w:marRight w:val="0"/>
          <w:marTop w:val="0"/>
          <w:marBottom w:val="0"/>
          <w:divBdr>
            <w:top w:val="none" w:sz="0" w:space="0" w:color="auto"/>
            <w:left w:val="none" w:sz="0" w:space="0" w:color="auto"/>
            <w:bottom w:val="none" w:sz="0" w:space="0" w:color="auto"/>
            <w:right w:val="none" w:sz="0" w:space="0" w:color="auto"/>
          </w:divBdr>
          <w:divsChild>
            <w:div w:id="475416921">
              <w:marLeft w:val="0"/>
              <w:marRight w:val="0"/>
              <w:marTop w:val="0"/>
              <w:marBottom w:val="0"/>
              <w:divBdr>
                <w:top w:val="none" w:sz="0" w:space="0" w:color="auto"/>
                <w:left w:val="none" w:sz="0" w:space="0" w:color="auto"/>
                <w:bottom w:val="none" w:sz="0" w:space="0" w:color="auto"/>
                <w:right w:val="none" w:sz="0" w:space="0" w:color="auto"/>
              </w:divBdr>
            </w:div>
          </w:divsChild>
        </w:div>
        <w:div w:id="2087532229">
          <w:marLeft w:val="0"/>
          <w:marRight w:val="0"/>
          <w:marTop w:val="0"/>
          <w:marBottom w:val="0"/>
          <w:divBdr>
            <w:top w:val="none" w:sz="0" w:space="0" w:color="auto"/>
            <w:left w:val="none" w:sz="0" w:space="0" w:color="auto"/>
            <w:bottom w:val="none" w:sz="0" w:space="0" w:color="auto"/>
            <w:right w:val="none" w:sz="0" w:space="0" w:color="auto"/>
          </w:divBdr>
          <w:divsChild>
            <w:div w:id="1721400625">
              <w:marLeft w:val="0"/>
              <w:marRight w:val="0"/>
              <w:marTop w:val="0"/>
              <w:marBottom w:val="0"/>
              <w:divBdr>
                <w:top w:val="none" w:sz="0" w:space="0" w:color="auto"/>
                <w:left w:val="none" w:sz="0" w:space="0" w:color="auto"/>
                <w:bottom w:val="none" w:sz="0" w:space="0" w:color="auto"/>
                <w:right w:val="none" w:sz="0" w:space="0" w:color="auto"/>
              </w:divBdr>
            </w:div>
          </w:divsChild>
        </w:div>
        <w:div w:id="2107730343">
          <w:marLeft w:val="0"/>
          <w:marRight w:val="0"/>
          <w:marTop w:val="0"/>
          <w:marBottom w:val="0"/>
          <w:divBdr>
            <w:top w:val="none" w:sz="0" w:space="0" w:color="auto"/>
            <w:left w:val="none" w:sz="0" w:space="0" w:color="auto"/>
            <w:bottom w:val="none" w:sz="0" w:space="0" w:color="auto"/>
            <w:right w:val="none" w:sz="0" w:space="0" w:color="auto"/>
          </w:divBdr>
          <w:divsChild>
            <w:div w:id="8666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1571">
      <w:bodyDiv w:val="1"/>
      <w:marLeft w:val="0"/>
      <w:marRight w:val="0"/>
      <w:marTop w:val="0"/>
      <w:marBottom w:val="0"/>
      <w:divBdr>
        <w:top w:val="none" w:sz="0" w:space="0" w:color="auto"/>
        <w:left w:val="none" w:sz="0" w:space="0" w:color="auto"/>
        <w:bottom w:val="none" w:sz="0" w:space="0" w:color="auto"/>
        <w:right w:val="none" w:sz="0" w:space="0" w:color="auto"/>
      </w:divBdr>
    </w:div>
    <w:div w:id="160170229">
      <w:bodyDiv w:val="1"/>
      <w:marLeft w:val="0"/>
      <w:marRight w:val="0"/>
      <w:marTop w:val="0"/>
      <w:marBottom w:val="0"/>
      <w:divBdr>
        <w:top w:val="none" w:sz="0" w:space="0" w:color="auto"/>
        <w:left w:val="none" w:sz="0" w:space="0" w:color="auto"/>
        <w:bottom w:val="none" w:sz="0" w:space="0" w:color="auto"/>
        <w:right w:val="none" w:sz="0" w:space="0" w:color="auto"/>
      </w:divBdr>
    </w:div>
    <w:div w:id="185294824">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60919587">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35109612">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381485470">
      <w:bodyDiv w:val="1"/>
      <w:marLeft w:val="0"/>
      <w:marRight w:val="0"/>
      <w:marTop w:val="0"/>
      <w:marBottom w:val="0"/>
      <w:divBdr>
        <w:top w:val="none" w:sz="0" w:space="0" w:color="auto"/>
        <w:left w:val="none" w:sz="0" w:space="0" w:color="auto"/>
        <w:bottom w:val="none" w:sz="0" w:space="0" w:color="auto"/>
        <w:right w:val="none" w:sz="0" w:space="0" w:color="auto"/>
      </w:divBdr>
    </w:div>
    <w:div w:id="401607922">
      <w:bodyDiv w:val="1"/>
      <w:marLeft w:val="0"/>
      <w:marRight w:val="0"/>
      <w:marTop w:val="0"/>
      <w:marBottom w:val="0"/>
      <w:divBdr>
        <w:top w:val="none" w:sz="0" w:space="0" w:color="auto"/>
        <w:left w:val="none" w:sz="0" w:space="0" w:color="auto"/>
        <w:bottom w:val="none" w:sz="0" w:space="0" w:color="auto"/>
        <w:right w:val="none" w:sz="0" w:space="0" w:color="auto"/>
      </w:divBdr>
    </w:div>
    <w:div w:id="451215592">
      <w:bodyDiv w:val="1"/>
      <w:marLeft w:val="0"/>
      <w:marRight w:val="0"/>
      <w:marTop w:val="0"/>
      <w:marBottom w:val="0"/>
      <w:divBdr>
        <w:top w:val="none" w:sz="0" w:space="0" w:color="auto"/>
        <w:left w:val="none" w:sz="0" w:space="0" w:color="auto"/>
        <w:bottom w:val="none" w:sz="0" w:space="0" w:color="auto"/>
        <w:right w:val="none" w:sz="0" w:space="0" w:color="auto"/>
      </w:divBdr>
    </w:div>
    <w:div w:id="521018142">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582958075">
      <w:bodyDiv w:val="1"/>
      <w:marLeft w:val="0"/>
      <w:marRight w:val="0"/>
      <w:marTop w:val="0"/>
      <w:marBottom w:val="0"/>
      <w:divBdr>
        <w:top w:val="none" w:sz="0" w:space="0" w:color="auto"/>
        <w:left w:val="none" w:sz="0" w:space="0" w:color="auto"/>
        <w:bottom w:val="none" w:sz="0" w:space="0" w:color="auto"/>
        <w:right w:val="none" w:sz="0" w:space="0" w:color="auto"/>
      </w:divBdr>
    </w:div>
    <w:div w:id="599720096">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05176264">
      <w:bodyDiv w:val="1"/>
      <w:marLeft w:val="0"/>
      <w:marRight w:val="0"/>
      <w:marTop w:val="0"/>
      <w:marBottom w:val="0"/>
      <w:divBdr>
        <w:top w:val="none" w:sz="0" w:space="0" w:color="auto"/>
        <w:left w:val="none" w:sz="0" w:space="0" w:color="auto"/>
        <w:bottom w:val="none" w:sz="0" w:space="0" w:color="auto"/>
        <w:right w:val="none" w:sz="0" w:space="0" w:color="auto"/>
      </w:divBdr>
    </w:div>
    <w:div w:id="710114435">
      <w:bodyDiv w:val="1"/>
      <w:marLeft w:val="0"/>
      <w:marRight w:val="0"/>
      <w:marTop w:val="0"/>
      <w:marBottom w:val="0"/>
      <w:divBdr>
        <w:top w:val="none" w:sz="0" w:space="0" w:color="auto"/>
        <w:left w:val="none" w:sz="0" w:space="0" w:color="auto"/>
        <w:bottom w:val="none" w:sz="0" w:space="0" w:color="auto"/>
        <w:right w:val="none" w:sz="0" w:space="0" w:color="auto"/>
      </w:divBdr>
    </w:div>
    <w:div w:id="727415543">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812915765">
      <w:bodyDiv w:val="1"/>
      <w:marLeft w:val="0"/>
      <w:marRight w:val="0"/>
      <w:marTop w:val="0"/>
      <w:marBottom w:val="0"/>
      <w:divBdr>
        <w:top w:val="none" w:sz="0" w:space="0" w:color="auto"/>
        <w:left w:val="none" w:sz="0" w:space="0" w:color="auto"/>
        <w:bottom w:val="none" w:sz="0" w:space="0" w:color="auto"/>
        <w:right w:val="none" w:sz="0" w:space="0" w:color="auto"/>
      </w:divBdr>
    </w:div>
    <w:div w:id="863403564">
      <w:bodyDiv w:val="1"/>
      <w:marLeft w:val="0"/>
      <w:marRight w:val="0"/>
      <w:marTop w:val="0"/>
      <w:marBottom w:val="0"/>
      <w:divBdr>
        <w:top w:val="none" w:sz="0" w:space="0" w:color="auto"/>
        <w:left w:val="none" w:sz="0" w:space="0" w:color="auto"/>
        <w:bottom w:val="none" w:sz="0" w:space="0" w:color="auto"/>
        <w:right w:val="none" w:sz="0" w:space="0" w:color="auto"/>
      </w:divBdr>
    </w:div>
    <w:div w:id="876821586">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47540776">
      <w:bodyDiv w:val="1"/>
      <w:marLeft w:val="0"/>
      <w:marRight w:val="0"/>
      <w:marTop w:val="0"/>
      <w:marBottom w:val="0"/>
      <w:divBdr>
        <w:top w:val="none" w:sz="0" w:space="0" w:color="auto"/>
        <w:left w:val="none" w:sz="0" w:space="0" w:color="auto"/>
        <w:bottom w:val="none" w:sz="0" w:space="0" w:color="auto"/>
        <w:right w:val="none" w:sz="0" w:space="0" w:color="auto"/>
      </w:divBdr>
    </w:div>
    <w:div w:id="949820942">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016660046">
      <w:bodyDiv w:val="1"/>
      <w:marLeft w:val="0"/>
      <w:marRight w:val="0"/>
      <w:marTop w:val="0"/>
      <w:marBottom w:val="0"/>
      <w:divBdr>
        <w:top w:val="none" w:sz="0" w:space="0" w:color="auto"/>
        <w:left w:val="none" w:sz="0" w:space="0" w:color="auto"/>
        <w:bottom w:val="none" w:sz="0" w:space="0" w:color="auto"/>
        <w:right w:val="none" w:sz="0" w:space="0" w:color="auto"/>
      </w:divBdr>
      <w:divsChild>
        <w:div w:id="201481350">
          <w:marLeft w:val="0"/>
          <w:marRight w:val="0"/>
          <w:marTop w:val="0"/>
          <w:marBottom w:val="0"/>
          <w:divBdr>
            <w:top w:val="none" w:sz="0" w:space="0" w:color="auto"/>
            <w:left w:val="none" w:sz="0" w:space="0" w:color="auto"/>
            <w:bottom w:val="none" w:sz="0" w:space="0" w:color="auto"/>
            <w:right w:val="none" w:sz="0" w:space="0" w:color="auto"/>
          </w:divBdr>
        </w:div>
        <w:div w:id="1797291609">
          <w:marLeft w:val="0"/>
          <w:marRight w:val="0"/>
          <w:marTop w:val="0"/>
          <w:marBottom w:val="0"/>
          <w:divBdr>
            <w:top w:val="none" w:sz="0" w:space="0" w:color="auto"/>
            <w:left w:val="none" w:sz="0" w:space="0" w:color="auto"/>
            <w:bottom w:val="none" w:sz="0" w:space="0" w:color="auto"/>
            <w:right w:val="none" w:sz="0" w:space="0" w:color="auto"/>
          </w:divBdr>
          <w:divsChild>
            <w:div w:id="993333365">
              <w:marLeft w:val="0"/>
              <w:marRight w:val="0"/>
              <w:marTop w:val="30"/>
              <w:marBottom w:val="30"/>
              <w:divBdr>
                <w:top w:val="none" w:sz="0" w:space="0" w:color="auto"/>
                <w:left w:val="none" w:sz="0" w:space="0" w:color="auto"/>
                <w:bottom w:val="none" w:sz="0" w:space="0" w:color="auto"/>
                <w:right w:val="none" w:sz="0" w:space="0" w:color="auto"/>
              </w:divBdr>
              <w:divsChild>
                <w:div w:id="74321838">
                  <w:marLeft w:val="0"/>
                  <w:marRight w:val="0"/>
                  <w:marTop w:val="0"/>
                  <w:marBottom w:val="0"/>
                  <w:divBdr>
                    <w:top w:val="none" w:sz="0" w:space="0" w:color="auto"/>
                    <w:left w:val="none" w:sz="0" w:space="0" w:color="auto"/>
                    <w:bottom w:val="none" w:sz="0" w:space="0" w:color="auto"/>
                    <w:right w:val="none" w:sz="0" w:space="0" w:color="auto"/>
                  </w:divBdr>
                  <w:divsChild>
                    <w:div w:id="259145676">
                      <w:marLeft w:val="0"/>
                      <w:marRight w:val="0"/>
                      <w:marTop w:val="0"/>
                      <w:marBottom w:val="0"/>
                      <w:divBdr>
                        <w:top w:val="none" w:sz="0" w:space="0" w:color="auto"/>
                        <w:left w:val="none" w:sz="0" w:space="0" w:color="auto"/>
                        <w:bottom w:val="none" w:sz="0" w:space="0" w:color="auto"/>
                        <w:right w:val="none" w:sz="0" w:space="0" w:color="auto"/>
                      </w:divBdr>
                    </w:div>
                  </w:divsChild>
                </w:div>
                <w:div w:id="131532507">
                  <w:marLeft w:val="0"/>
                  <w:marRight w:val="0"/>
                  <w:marTop w:val="0"/>
                  <w:marBottom w:val="0"/>
                  <w:divBdr>
                    <w:top w:val="none" w:sz="0" w:space="0" w:color="auto"/>
                    <w:left w:val="none" w:sz="0" w:space="0" w:color="auto"/>
                    <w:bottom w:val="none" w:sz="0" w:space="0" w:color="auto"/>
                    <w:right w:val="none" w:sz="0" w:space="0" w:color="auto"/>
                  </w:divBdr>
                  <w:divsChild>
                    <w:div w:id="1139375700">
                      <w:marLeft w:val="0"/>
                      <w:marRight w:val="0"/>
                      <w:marTop w:val="0"/>
                      <w:marBottom w:val="0"/>
                      <w:divBdr>
                        <w:top w:val="none" w:sz="0" w:space="0" w:color="auto"/>
                        <w:left w:val="none" w:sz="0" w:space="0" w:color="auto"/>
                        <w:bottom w:val="none" w:sz="0" w:space="0" w:color="auto"/>
                        <w:right w:val="none" w:sz="0" w:space="0" w:color="auto"/>
                      </w:divBdr>
                    </w:div>
                  </w:divsChild>
                </w:div>
                <w:div w:id="402341763">
                  <w:marLeft w:val="0"/>
                  <w:marRight w:val="0"/>
                  <w:marTop w:val="0"/>
                  <w:marBottom w:val="0"/>
                  <w:divBdr>
                    <w:top w:val="none" w:sz="0" w:space="0" w:color="auto"/>
                    <w:left w:val="none" w:sz="0" w:space="0" w:color="auto"/>
                    <w:bottom w:val="none" w:sz="0" w:space="0" w:color="auto"/>
                    <w:right w:val="none" w:sz="0" w:space="0" w:color="auto"/>
                  </w:divBdr>
                  <w:divsChild>
                    <w:div w:id="440996008">
                      <w:marLeft w:val="0"/>
                      <w:marRight w:val="0"/>
                      <w:marTop w:val="0"/>
                      <w:marBottom w:val="0"/>
                      <w:divBdr>
                        <w:top w:val="none" w:sz="0" w:space="0" w:color="auto"/>
                        <w:left w:val="none" w:sz="0" w:space="0" w:color="auto"/>
                        <w:bottom w:val="none" w:sz="0" w:space="0" w:color="auto"/>
                        <w:right w:val="none" w:sz="0" w:space="0" w:color="auto"/>
                      </w:divBdr>
                    </w:div>
                  </w:divsChild>
                </w:div>
                <w:div w:id="418872167">
                  <w:marLeft w:val="0"/>
                  <w:marRight w:val="0"/>
                  <w:marTop w:val="0"/>
                  <w:marBottom w:val="0"/>
                  <w:divBdr>
                    <w:top w:val="none" w:sz="0" w:space="0" w:color="auto"/>
                    <w:left w:val="none" w:sz="0" w:space="0" w:color="auto"/>
                    <w:bottom w:val="none" w:sz="0" w:space="0" w:color="auto"/>
                    <w:right w:val="none" w:sz="0" w:space="0" w:color="auto"/>
                  </w:divBdr>
                  <w:divsChild>
                    <w:div w:id="1969896726">
                      <w:marLeft w:val="0"/>
                      <w:marRight w:val="0"/>
                      <w:marTop w:val="0"/>
                      <w:marBottom w:val="0"/>
                      <w:divBdr>
                        <w:top w:val="none" w:sz="0" w:space="0" w:color="auto"/>
                        <w:left w:val="none" w:sz="0" w:space="0" w:color="auto"/>
                        <w:bottom w:val="none" w:sz="0" w:space="0" w:color="auto"/>
                        <w:right w:val="none" w:sz="0" w:space="0" w:color="auto"/>
                      </w:divBdr>
                    </w:div>
                  </w:divsChild>
                </w:div>
                <w:div w:id="525682274">
                  <w:marLeft w:val="0"/>
                  <w:marRight w:val="0"/>
                  <w:marTop w:val="0"/>
                  <w:marBottom w:val="0"/>
                  <w:divBdr>
                    <w:top w:val="none" w:sz="0" w:space="0" w:color="auto"/>
                    <w:left w:val="none" w:sz="0" w:space="0" w:color="auto"/>
                    <w:bottom w:val="none" w:sz="0" w:space="0" w:color="auto"/>
                    <w:right w:val="none" w:sz="0" w:space="0" w:color="auto"/>
                  </w:divBdr>
                  <w:divsChild>
                    <w:div w:id="56974426">
                      <w:marLeft w:val="0"/>
                      <w:marRight w:val="0"/>
                      <w:marTop w:val="0"/>
                      <w:marBottom w:val="0"/>
                      <w:divBdr>
                        <w:top w:val="none" w:sz="0" w:space="0" w:color="auto"/>
                        <w:left w:val="none" w:sz="0" w:space="0" w:color="auto"/>
                        <w:bottom w:val="none" w:sz="0" w:space="0" w:color="auto"/>
                        <w:right w:val="none" w:sz="0" w:space="0" w:color="auto"/>
                      </w:divBdr>
                    </w:div>
                  </w:divsChild>
                </w:div>
                <w:div w:id="600920794">
                  <w:marLeft w:val="0"/>
                  <w:marRight w:val="0"/>
                  <w:marTop w:val="0"/>
                  <w:marBottom w:val="0"/>
                  <w:divBdr>
                    <w:top w:val="none" w:sz="0" w:space="0" w:color="auto"/>
                    <w:left w:val="none" w:sz="0" w:space="0" w:color="auto"/>
                    <w:bottom w:val="none" w:sz="0" w:space="0" w:color="auto"/>
                    <w:right w:val="none" w:sz="0" w:space="0" w:color="auto"/>
                  </w:divBdr>
                  <w:divsChild>
                    <w:div w:id="991105370">
                      <w:marLeft w:val="0"/>
                      <w:marRight w:val="0"/>
                      <w:marTop w:val="0"/>
                      <w:marBottom w:val="0"/>
                      <w:divBdr>
                        <w:top w:val="none" w:sz="0" w:space="0" w:color="auto"/>
                        <w:left w:val="none" w:sz="0" w:space="0" w:color="auto"/>
                        <w:bottom w:val="none" w:sz="0" w:space="0" w:color="auto"/>
                        <w:right w:val="none" w:sz="0" w:space="0" w:color="auto"/>
                      </w:divBdr>
                    </w:div>
                  </w:divsChild>
                </w:div>
                <w:div w:id="687373983">
                  <w:marLeft w:val="0"/>
                  <w:marRight w:val="0"/>
                  <w:marTop w:val="0"/>
                  <w:marBottom w:val="0"/>
                  <w:divBdr>
                    <w:top w:val="none" w:sz="0" w:space="0" w:color="auto"/>
                    <w:left w:val="none" w:sz="0" w:space="0" w:color="auto"/>
                    <w:bottom w:val="none" w:sz="0" w:space="0" w:color="auto"/>
                    <w:right w:val="none" w:sz="0" w:space="0" w:color="auto"/>
                  </w:divBdr>
                  <w:divsChild>
                    <w:div w:id="124199329">
                      <w:marLeft w:val="0"/>
                      <w:marRight w:val="0"/>
                      <w:marTop w:val="0"/>
                      <w:marBottom w:val="0"/>
                      <w:divBdr>
                        <w:top w:val="none" w:sz="0" w:space="0" w:color="auto"/>
                        <w:left w:val="none" w:sz="0" w:space="0" w:color="auto"/>
                        <w:bottom w:val="none" w:sz="0" w:space="0" w:color="auto"/>
                        <w:right w:val="none" w:sz="0" w:space="0" w:color="auto"/>
                      </w:divBdr>
                    </w:div>
                  </w:divsChild>
                </w:div>
                <w:div w:id="718894808">
                  <w:marLeft w:val="0"/>
                  <w:marRight w:val="0"/>
                  <w:marTop w:val="0"/>
                  <w:marBottom w:val="0"/>
                  <w:divBdr>
                    <w:top w:val="none" w:sz="0" w:space="0" w:color="auto"/>
                    <w:left w:val="none" w:sz="0" w:space="0" w:color="auto"/>
                    <w:bottom w:val="none" w:sz="0" w:space="0" w:color="auto"/>
                    <w:right w:val="none" w:sz="0" w:space="0" w:color="auto"/>
                  </w:divBdr>
                  <w:divsChild>
                    <w:div w:id="1167865077">
                      <w:marLeft w:val="0"/>
                      <w:marRight w:val="0"/>
                      <w:marTop w:val="0"/>
                      <w:marBottom w:val="0"/>
                      <w:divBdr>
                        <w:top w:val="none" w:sz="0" w:space="0" w:color="auto"/>
                        <w:left w:val="none" w:sz="0" w:space="0" w:color="auto"/>
                        <w:bottom w:val="none" w:sz="0" w:space="0" w:color="auto"/>
                        <w:right w:val="none" w:sz="0" w:space="0" w:color="auto"/>
                      </w:divBdr>
                    </w:div>
                  </w:divsChild>
                </w:div>
                <w:div w:id="726879822">
                  <w:marLeft w:val="0"/>
                  <w:marRight w:val="0"/>
                  <w:marTop w:val="0"/>
                  <w:marBottom w:val="0"/>
                  <w:divBdr>
                    <w:top w:val="none" w:sz="0" w:space="0" w:color="auto"/>
                    <w:left w:val="none" w:sz="0" w:space="0" w:color="auto"/>
                    <w:bottom w:val="none" w:sz="0" w:space="0" w:color="auto"/>
                    <w:right w:val="none" w:sz="0" w:space="0" w:color="auto"/>
                  </w:divBdr>
                  <w:divsChild>
                    <w:div w:id="1635794699">
                      <w:marLeft w:val="0"/>
                      <w:marRight w:val="0"/>
                      <w:marTop w:val="0"/>
                      <w:marBottom w:val="0"/>
                      <w:divBdr>
                        <w:top w:val="none" w:sz="0" w:space="0" w:color="auto"/>
                        <w:left w:val="none" w:sz="0" w:space="0" w:color="auto"/>
                        <w:bottom w:val="none" w:sz="0" w:space="0" w:color="auto"/>
                        <w:right w:val="none" w:sz="0" w:space="0" w:color="auto"/>
                      </w:divBdr>
                    </w:div>
                  </w:divsChild>
                </w:div>
                <w:div w:id="760225126">
                  <w:marLeft w:val="0"/>
                  <w:marRight w:val="0"/>
                  <w:marTop w:val="0"/>
                  <w:marBottom w:val="0"/>
                  <w:divBdr>
                    <w:top w:val="none" w:sz="0" w:space="0" w:color="auto"/>
                    <w:left w:val="none" w:sz="0" w:space="0" w:color="auto"/>
                    <w:bottom w:val="none" w:sz="0" w:space="0" w:color="auto"/>
                    <w:right w:val="none" w:sz="0" w:space="0" w:color="auto"/>
                  </w:divBdr>
                  <w:divsChild>
                    <w:div w:id="1462067361">
                      <w:marLeft w:val="0"/>
                      <w:marRight w:val="0"/>
                      <w:marTop w:val="0"/>
                      <w:marBottom w:val="0"/>
                      <w:divBdr>
                        <w:top w:val="none" w:sz="0" w:space="0" w:color="auto"/>
                        <w:left w:val="none" w:sz="0" w:space="0" w:color="auto"/>
                        <w:bottom w:val="none" w:sz="0" w:space="0" w:color="auto"/>
                        <w:right w:val="none" w:sz="0" w:space="0" w:color="auto"/>
                      </w:divBdr>
                    </w:div>
                  </w:divsChild>
                </w:div>
                <w:div w:id="877352072">
                  <w:marLeft w:val="0"/>
                  <w:marRight w:val="0"/>
                  <w:marTop w:val="0"/>
                  <w:marBottom w:val="0"/>
                  <w:divBdr>
                    <w:top w:val="none" w:sz="0" w:space="0" w:color="auto"/>
                    <w:left w:val="none" w:sz="0" w:space="0" w:color="auto"/>
                    <w:bottom w:val="none" w:sz="0" w:space="0" w:color="auto"/>
                    <w:right w:val="none" w:sz="0" w:space="0" w:color="auto"/>
                  </w:divBdr>
                  <w:divsChild>
                    <w:div w:id="1254048457">
                      <w:marLeft w:val="0"/>
                      <w:marRight w:val="0"/>
                      <w:marTop w:val="0"/>
                      <w:marBottom w:val="0"/>
                      <w:divBdr>
                        <w:top w:val="none" w:sz="0" w:space="0" w:color="auto"/>
                        <w:left w:val="none" w:sz="0" w:space="0" w:color="auto"/>
                        <w:bottom w:val="none" w:sz="0" w:space="0" w:color="auto"/>
                        <w:right w:val="none" w:sz="0" w:space="0" w:color="auto"/>
                      </w:divBdr>
                    </w:div>
                  </w:divsChild>
                </w:div>
                <w:div w:id="912934565">
                  <w:marLeft w:val="0"/>
                  <w:marRight w:val="0"/>
                  <w:marTop w:val="0"/>
                  <w:marBottom w:val="0"/>
                  <w:divBdr>
                    <w:top w:val="none" w:sz="0" w:space="0" w:color="auto"/>
                    <w:left w:val="none" w:sz="0" w:space="0" w:color="auto"/>
                    <w:bottom w:val="none" w:sz="0" w:space="0" w:color="auto"/>
                    <w:right w:val="none" w:sz="0" w:space="0" w:color="auto"/>
                  </w:divBdr>
                  <w:divsChild>
                    <w:div w:id="2080440508">
                      <w:marLeft w:val="0"/>
                      <w:marRight w:val="0"/>
                      <w:marTop w:val="0"/>
                      <w:marBottom w:val="0"/>
                      <w:divBdr>
                        <w:top w:val="none" w:sz="0" w:space="0" w:color="auto"/>
                        <w:left w:val="none" w:sz="0" w:space="0" w:color="auto"/>
                        <w:bottom w:val="none" w:sz="0" w:space="0" w:color="auto"/>
                        <w:right w:val="none" w:sz="0" w:space="0" w:color="auto"/>
                      </w:divBdr>
                    </w:div>
                  </w:divsChild>
                </w:div>
                <w:div w:id="1013843720">
                  <w:marLeft w:val="0"/>
                  <w:marRight w:val="0"/>
                  <w:marTop w:val="0"/>
                  <w:marBottom w:val="0"/>
                  <w:divBdr>
                    <w:top w:val="none" w:sz="0" w:space="0" w:color="auto"/>
                    <w:left w:val="none" w:sz="0" w:space="0" w:color="auto"/>
                    <w:bottom w:val="none" w:sz="0" w:space="0" w:color="auto"/>
                    <w:right w:val="none" w:sz="0" w:space="0" w:color="auto"/>
                  </w:divBdr>
                  <w:divsChild>
                    <w:div w:id="1036465307">
                      <w:marLeft w:val="0"/>
                      <w:marRight w:val="0"/>
                      <w:marTop w:val="0"/>
                      <w:marBottom w:val="0"/>
                      <w:divBdr>
                        <w:top w:val="none" w:sz="0" w:space="0" w:color="auto"/>
                        <w:left w:val="none" w:sz="0" w:space="0" w:color="auto"/>
                        <w:bottom w:val="none" w:sz="0" w:space="0" w:color="auto"/>
                        <w:right w:val="none" w:sz="0" w:space="0" w:color="auto"/>
                      </w:divBdr>
                    </w:div>
                  </w:divsChild>
                </w:div>
                <w:div w:id="1127505375">
                  <w:marLeft w:val="0"/>
                  <w:marRight w:val="0"/>
                  <w:marTop w:val="0"/>
                  <w:marBottom w:val="0"/>
                  <w:divBdr>
                    <w:top w:val="none" w:sz="0" w:space="0" w:color="auto"/>
                    <w:left w:val="none" w:sz="0" w:space="0" w:color="auto"/>
                    <w:bottom w:val="none" w:sz="0" w:space="0" w:color="auto"/>
                    <w:right w:val="none" w:sz="0" w:space="0" w:color="auto"/>
                  </w:divBdr>
                  <w:divsChild>
                    <w:div w:id="448210611">
                      <w:marLeft w:val="0"/>
                      <w:marRight w:val="0"/>
                      <w:marTop w:val="0"/>
                      <w:marBottom w:val="0"/>
                      <w:divBdr>
                        <w:top w:val="none" w:sz="0" w:space="0" w:color="auto"/>
                        <w:left w:val="none" w:sz="0" w:space="0" w:color="auto"/>
                        <w:bottom w:val="none" w:sz="0" w:space="0" w:color="auto"/>
                        <w:right w:val="none" w:sz="0" w:space="0" w:color="auto"/>
                      </w:divBdr>
                    </w:div>
                  </w:divsChild>
                </w:div>
                <w:div w:id="1219054219">
                  <w:marLeft w:val="0"/>
                  <w:marRight w:val="0"/>
                  <w:marTop w:val="0"/>
                  <w:marBottom w:val="0"/>
                  <w:divBdr>
                    <w:top w:val="none" w:sz="0" w:space="0" w:color="auto"/>
                    <w:left w:val="none" w:sz="0" w:space="0" w:color="auto"/>
                    <w:bottom w:val="none" w:sz="0" w:space="0" w:color="auto"/>
                    <w:right w:val="none" w:sz="0" w:space="0" w:color="auto"/>
                  </w:divBdr>
                  <w:divsChild>
                    <w:div w:id="614406304">
                      <w:marLeft w:val="0"/>
                      <w:marRight w:val="0"/>
                      <w:marTop w:val="0"/>
                      <w:marBottom w:val="0"/>
                      <w:divBdr>
                        <w:top w:val="none" w:sz="0" w:space="0" w:color="auto"/>
                        <w:left w:val="none" w:sz="0" w:space="0" w:color="auto"/>
                        <w:bottom w:val="none" w:sz="0" w:space="0" w:color="auto"/>
                        <w:right w:val="none" w:sz="0" w:space="0" w:color="auto"/>
                      </w:divBdr>
                    </w:div>
                  </w:divsChild>
                </w:div>
                <w:div w:id="1277181508">
                  <w:marLeft w:val="0"/>
                  <w:marRight w:val="0"/>
                  <w:marTop w:val="0"/>
                  <w:marBottom w:val="0"/>
                  <w:divBdr>
                    <w:top w:val="none" w:sz="0" w:space="0" w:color="auto"/>
                    <w:left w:val="none" w:sz="0" w:space="0" w:color="auto"/>
                    <w:bottom w:val="none" w:sz="0" w:space="0" w:color="auto"/>
                    <w:right w:val="none" w:sz="0" w:space="0" w:color="auto"/>
                  </w:divBdr>
                  <w:divsChild>
                    <w:div w:id="1191839142">
                      <w:marLeft w:val="0"/>
                      <w:marRight w:val="0"/>
                      <w:marTop w:val="0"/>
                      <w:marBottom w:val="0"/>
                      <w:divBdr>
                        <w:top w:val="none" w:sz="0" w:space="0" w:color="auto"/>
                        <w:left w:val="none" w:sz="0" w:space="0" w:color="auto"/>
                        <w:bottom w:val="none" w:sz="0" w:space="0" w:color="auto"/>
                        <w:right w:val="none" w:sz="0" w:space="0" w:color="auto"/>
                      </w:divBdr>
                    </w:div>
                  </w:divsChild>
                </w:div>
                <w:div w:id="1343043174">
                  <w:marLeft w:val="0"/>
                  <w:marRight w:val="0"/>
                  <w:marTop w:val="0"/>
                  <w:marBottom w:val="0"/>
                  <w:divBdr>
                    <w:top w:val="none" w:sz="0" w:space="0" w:color="auto"/>
                    <w:left w:val="none" w:sz="0" w:space="0" w:color="auto"/>
                    <w:bottom w:val="none" w:sz="0" w:space="0" w:color="auto"/>
                    <w:right w:val="none" w:sz="0" w:space="0" w:color="auto"/>
                  </w:divBdr>
                  <w:divsChild>
                    <w:div w:id="1995526866">
                      <w:marLeft w:val="0"/>
                      <w:marRight w:val="0"/>
                      <w:marTop w:val="0"/>
                      <w:marBottom w:val="0"/>
                      <w:divBdr>
                        <w:top w:val="none" w:sz="0" w:space="0" w:color="auto"/>
                        <w:left w:val="none" w:sz="0" w:space="0" w:color="auto"/>
                        <w:bottom w:val="none" w:sz="0" w:space="0" w:color="auto"/>
                        <w:right w:val="none" w:sz="0" w:space="0" w:color="auto"/>
                      </w:divBdr>
                    </w:div>
                  </w:divsChild>
                </w:div>
                <w:div w:id="1361711004">
                  <w:marLeft w:val="0"/>
                  <w:marRight w:val="0"/>
                  <w:marTop w:val="0"/>
                  <w:marBottom w:val="0"/>
                  <w:divBdr>
                    <w:top w:val="none" w:sz="0" w:space="0" w:color="auto"/>
                    <w:left w:val="none" w:sz="0" w:space="0" w:color="auto"/>
                    <w:bottom w:val="none" w:sz="0" w:space="0" w:color="auto"/>
                    <w:right w:val="none" w:sz="0" w:space="0" w:color="auto"/>
                  </w:divBdr>
                  <w:divsChild>
                    <w:div w:id="782191827">
                      <w:marLeft w:val="0"/>
                      <w:marRight w:val="0"/>
                      <w:marTop w:val="0"/>
                      <w:marBottom w:val="0"/>
                      <w:divBdr>
                        <w:top w:val="none" w:sz="0" w:space="0" w:color="auto"/>
                        <w:left w:val="none" w:sz="0" w:space="0" w:color="auto"/>
                        <w:bottom w:val="none" w:sz="0" w:space="0" w:color="auto"/>
                        <w:right w:val="none" w:sz="0" w:space="0" w:color="auto"/>
                      </w:divBdr>
                    </w:div>
                  </w:divsChild>
                </w:div>
                <w:div w:id="1486890980">
                  <w:marLeft w:val="0"/>
                  <w:marRight w:val="0"/>
                  <w:marTop w:val="0"/>
                  <w:marBottom w:val="0"/>
                  <w:divBdr>
                    <w:top w:val="none" w:sz="0" w:space="0" w:color="auto"/>
                    <w:left w:val="none" w:sz="0" w:space="0" w:color="auto"/>
                    <w:bottom w:val="none" w:sz="0" w:space="0" w:color="auto"/>
                    <w:right w:val="none" w:sz="0" w:space="0" w:color="auto"/>
                  </w:divBdr>
                  <w:divsChild>
                    <w:div w:id="1419599534">
                      <w:marLeft w:val="0"/>
                      <w:marRight w:val="0"/>
                      <w:marTop w:val="0"/>
                      <w:marBottom w:val="0"/>
                      <w:divBdr>
                        <w:top w:val="none" w:sz="0" w:space="0" w:color="auto"/>
                        <w:left w:val="none" w:sz="0" w:space="0" w:color="auto"/>
                        <w:bottom w:val="none" w:sz="0" w:space="0" w:color="auto"/>
                        <w:right w:val="none" w:sz="0" w:space="0" w:color="auto"/>
                      </w:divBdr>
                    </w:div>
                  </w:divsChild>
                </w:div>
                <w:div w:id="1514151602">
                  <w:marLeft w:val="0"/>
                  <w:marRight w:val="0"/>
                  <w:marTop w:val="0"/>
                  <w:marBottom w:val="0"/>
                  <w:divBdr>
                    <w:top w:val="none" w:sz="0" w:space="0" w:color="auto"/>
                    <w:left w:val="none" w:sz="0" w:space="0" w:color="auto"/>
                    <w:bottom w:val="none" w:sz="0" w:space="0" w:color="auto"/>
                    <w:right w:val="none" w:sz="0" w:space="0" w:color="auto"/>
                  </w:divBdr>
                  <w:divsChild>
                    <w:div w:id="227807282">
                      <w:marLeft w:val="0"/>
                      <w:marRight w:val="0"/>
                      <w:marTop w:val="0"/>
                      <w:marBottom w:val="0"/>
                      <w:divBdr>
                        <w:top w:val="none" w:sz="0" w:space="0" w:color="auto"/>
                        <w:left w:val="none" w:sz="0" w:space="0" w:color="auto"/>
                        <w:bottom w:val="none" w:sz="0" w:space="0" w:color="auto"/>
                        <w:right w:val="none" w:sz="0" w:space="0" w:color="auto"/>
                      </w:divBdr>
                    </w:div>
                  </w:divsChild>
                </w:div>
                <w:div w:id="1608273451">
                  <w:marLeft w:val="0"/>
                  <w:marRight w:val="0"/>
                  <w:marTop w:val="0"/>
                  <w:marBottom w:val="0"/>
                  <w:divBdr>
                    <w:top w:val="none" w:sz="0" w:space="0" w:color="auto"/>
                    <w:left w:val="none" w:sz="0" w:space="0" w:color="auto"/>
                    <w:bottom w:val="none" w:sz="0" w:space="0" w:color="auto"/>
                    <w:right w:val="none" w:sz="0" w:space="0" w:color="auto"/>
                  </w:divBdr>
                  <w:divsChild>
                    <w:div w:id="2047829375">
                      <w:marLeft w:val="0"/>
                      <w:marRight w:val="0"/>
                      <w:marTop w:val="0"/>
                      <w:marBottom w:val="0"/>
                      <w:divBdr>
                        <w:top w:val="none" w:sz="0" w:space="0" w:color="auto"/>
                        <w:left w:val="none" w:sz="0" w:space="0" w:color="auto"/>
                        <w:bottom w:val="none" w:sz="0" w:space="0" w:color="auto"/>
                        <w:right w:val="none" w:sz="0" w:space="0" w:color="auto"/>
                      </w:divBdr>
                    </w:div>
                  </w:divsChild>
                </w:div>
                <w:div w:id="1657297940">
                  <w:marLeft w:val="0"/>
                  <w:marRight w:val="0"/>
                  <w:marTop w:val="0"/>
                  <w:marBottom w:val="0"/>
                  <w:divBdr>
                    <w:top w:val="none" w:sz="0" w:space="0" w:color="auto"/>
                    <w:left w:val="none" w:sz="0" w:space="0" w:color="auto"/>
                    <w:bottom w:val="none" w:sz="0" w:space="0" w:color="auto"/>
                    <w:right w:val="none" w:sz="0" w:space="0" w:color="auto"/>
                  </w:divBdr>
                  <w:divsChild>
                    <w:div w:id="1321886519">
                      <w:marLeft w:val="0"/>
                      <w:marRight w:val="0"/>
                      <w:marTop w:val="0"/>
                      <w:marBottom w:val="0"/>
                      <w:divBdr>
                        <w:top w:val="none" w:sz="0" w:space="0" w:color="auto"/>
                        <w:left w:val="none" w:sz="0" w:space="0" w:color="auto"/>
                        <w:bottom w:val="none" w:sz="0" w:space="0" w:color="auto"/>
                        <w:right w:val="none" w:sz="0" w:space="0" w:color="auto"/>
                      </w:divBdr>
                    </w:div>
                  </w:divsChild>
                </w:div>
                <w:div w:id="1701393342">
                  <w:marLeft w:val="0"/>
                  <w:marRight w:val="0"/>
                  <w:marTop w:val="0"/>
                  <w:marBottom w:val="0"/>
                  <w:divBdr>
                    <w:top w:val="none" w:sz="0" w:space="0" w:color="auto"/>
                    <w:left w:val="none" w:sz="0" w:space="0" w:color="auto"/>
                    <w:bottom w:val="none" w:sz="0" w:space="0" w:color="auto"/>
                    <w:right w:val="none" w:sz="0" w:space="0" w:color="auto"/>
                  </w:divBdr>
                  <w:divsChild>
                    <w:div w:id="507594773">
                      <w:marLeft w:val="0"/>
                      <w:marRight w:val="0"/>
                      <w:marTop w:val="0"/>
                      <w:marBottom w:val="0"/>
                      <w:divBdr>
                        <w:top w:val="none" w:sz="0" w:space="0" w:color="auto"/>
                        <w:left w:val="none" w:sz="0" w:space="0" w:color="auto"/>
                        <w:bottom w:val="none" w:sz="0" w:space="0" w:color="auto"/>
                        <w:right w:val="none" w:sz="0" w:space="0" w:color="auto"/>
                      </w:divBdr>
                    </w:div>
                  </w:divsChild>
                </w:div>
                <w:div w:id="1709529918">
                  <w:marLeft w:val="0"/>
                  <w:marRight w:val="0"/>
                  <w:marTop w:val="0"/>
                  <w:marBottom w:val="0"/>
                  <w:divBdr>
                    <w:top w:val="none" w:sz="0" w:space="0" w:color="auto"/>
                    <w:left w:val="none" w:sz="0" w:space="0" w:color="auto"/>
                    <w:bottom w:val="none" w:sz="0" w:space="0" w:color="auto"/>
                    <w:right w:val="none" w:sz="0" w:space="0" w:color="auto"/>
                  </w:divBdr>
                  <w:divsChild>
                    <w:div w:id="689140390">
                      <w:marLeft w:val="0"/>
                      <w:marRight w:val="0"/>
                      <w:marTop w:val="0"/>
                      <w:marBottom w:val="0"/>
                      <w:divBdr>
                        <w:top w:val="none" w:sz="0" w:space="0" w:color="auto"/>
                        <w:left w:val="none" w:sz="0" w:space="0" w:color="auto"/>
                        <w:bottom w:val="none" w:sz="0" w:space="0" w:color="auto"/>
                        <w:right w:val="none" w:sz="0" w:space="0" w:color="auto"/>
                      </w:divBdr>
                    </w:div>
                  </w:divsChild>
                </w:div>
                <w:div w:id="1739594782">
                  <w:marLeft w:val="0"/>
                  <w:marRight w:val="0"/>
                  <w:marTop w:val="0"/>
                  <w:marBottom w:val="0"/>
                  <w:divBdr>
                    <w:top w:val="none" w:sz="0" w:space="0" w:color="auto"/>
                    <w:left w:val="none" w:sz="0" w:space="0" w:color="auto"/>
                    <w:bottom w:val="none" w:sz="0" w:space="0" w:color="auto"/>
                    <w:right w:val="none" w:sz="0" w:space="0" w:color="auto"/>
                  </w:divBdr>
                  <w:divsChild>
                    <w:div w:id="118380096">
                      <w:marLeft w:val="0"/>
                      <w:marRight w:val="0"/>
                      <w:marTop w:val="0"/>
                      <w:marBottom w:val="0"/>
                      <w:divBdr>
                        <w:top w:val="none" w:sz="0" w:space="0" w:color="auto"/>
                        <w:left w:val="none" w:sz="0" w:space="0" w:color="auto"/>
                        <w:bottom w:val="none" w:sz="0" w:space="0" w:color="auto"/>
                        <w:right w:val="none" w:sz="0" w:space="0" w:color="auto"/>
                      </w:divBdr>
                    </w:div>
                  </w:divsChild>
                </w:div>
                <w:div w:id="1870024977">
                  <w:marLeft w:val="0"/>
                  <w:marRight w:val="0"/>
                  <w:marTop w:val="0"/>
                  <w:marBottom w:val="0"/>
                  <w:divBdr>
                    <w:top w:val="none" w:sz="0" w:space="0" w:color="auto"/>
                    <w:left w:val="none" w:sz="0" w:space="0" w:color="auto"/>
                    <w:bottom w:val="none" w:sz="0" w:space="0" w:color="auto"/>
                    <w:right w:val="none" w:sz="0" w:space="0" w:color="auto"/>
                  </w:divBdr>
                  <w:divsChild>
                    <w:div w:id="1983343960">
                      <w:marLeft w:val="0"/>
                      <w:marRight w:val="0"/>
                      <w:marTop w:val="0"/>
                      <w:marBottom w:val="0"/>
                      <w:divBdr>
                        <w:top w:val="none" w:sz="0" w:space="0" w:color="auto"/>
                        <w:left w:val="none" w:sz="0" w:space="0" w:color="auto"/>
                        <w:bottom w:val="none" w:sz="0" w:space="0" w:color="auto"/>
                        <w:right w:val="none" w:sz="0" w:space="0" w:color="auto"/>
                      </w:divBdr>
                    </w:div>
                  </w:divsChild>
                </w:div>
                <w:div w:id="1953902321">
                  <w:marLeft w:val="0"/>
                  <w:marRight w:val="0"/>
                  <w:marTop w:val="0"/>
                  <w:marBottom w:val="0"/>
                  <w:divBdr>
                    <w:top w:val="none" w:sz="0" w:space="0" w:color="auto"/>
                    <w:left w:val="none" w:sz="0" w:space="0" w:color="auto"/>
                    <w:bottom w:val="none" w:sz="0" w:space="0" w:color="auto"/>
                    <w:right w:val="none" w:sz="0" w:space="0" w:color="auto"/>
                  </w:divBdr>
                  <w:divsChild>
                    <w:div w:id="1700819162">
                      <w:marLeft w:val="0"/>
                      <w:marRight w:val="0"/>
                      <w:marTop w:val="0"/>
                      <w:marBottom w:val="0"/>
                      <w:divBdr>
                        <w:top w:val="none" w:sz="0" w:space="0" w:color="auto"/>
                        <w:left w:val="none" w:sz="0" w:space="0" w:color="auto"/>
                        <w:bottom w:val="none" w:sz="0" w:space="0" w:color="auto"/>
                        <w:right w:val="none" w:sz="0" w:space="0" w:color="auto"/>
                      </w:divBdr>
                    </w:div>
                  </w:divsChild>
                </w:div>
                <w:div w:id="1998070021">
                  <w:marLeft w:val="0"/>
                  <w:marRight w:val="0"/>
                  <w:marTop w:val="0"/>
                  <w:marBottom w:val="0"/>
                  <w:divBdr>
                    <w:top w:val="none" w:sz="0" w:space="0" w:color="auto"/>
                    <w:left w:val="none" w:sz="0" w:space="0" w:color="auto"/>
                    <w:bottom w:val="none" w:sz="0" w:space="0" w:color="auto"/>
                    <w:right w:val="none" w:sz="0" w:space="0" w:color="auto"/>
                  </w:divBdr>
                  <w:divsChild>
                    <w:div w:id="252663650">
                      <w:marLeft w:val="0"/>
                      <w:marRight w:val="0"/>
                      <w:marTop w:val="0"/>
                      <w:marBottom w:val="0"/>
                      <w:divBdr>
                        <w:top w:val="none" w:sz="0" w:space="0" w:color="auto"/>
                        <w:left w:val="none" w:sz="0" w:space="0" w:color="auto"/>
                        <w:bottom w:val="none" w:sz="0" w:space="0" w:color="auto"/>
                        <w:right w:val="none" w:sz="0" w:space="0" w:color="auto"/>
                      </w:divBdr>
                    </w:div>
                  </w:divsChild>
                </w:div>
                <w:div w:id="2007438007">
                  <w:marLeft w:val="0"/>
                  <w:marRight w:val="0"/>
                  <w:marTop w:val="0"/>
                  <w:marBottom w:val="0"/>
                  <w:divBdr>
                    <w:top w:val="none" w:sz="0" w:space="0" w:color="auto"/>
                    <w:left w:val="none" w:sz="0" w:space="0" w:color="auto"/>
                    <w:bottom w:val="none" w:sz="0" w:space="0" w:color="auto"/>
                    <w:right w:val="none" w:sz="0" w:space="0" w:color="auto"/>
                  </w:divBdr>
                  <w:divsChild>
                    <w:div w:id="1146046205">
                      <w:marLeft w:val="0"/>
                      <w:marRight w:val="0"/>
                      <w:marTop w:val="0"/>
                      <w:marBottom w:val="0"/>
                      <w:divBdr>
                        <w:top w:val="none" w:sz="0" w:space="0" w:color="auto"/>
                        <w:left w:val="none" w:sz="0" w:space="0" w:color="auto"/>
                        <w:bottom w:val="none" w:sz="0" w:space="0" w:color="auto"/>
                        <w:right w:val="none" w:sz="0" w:space="0" w:color="auto"/>
                      </w:divBdr>
                    </w:div>
                  </w:divsChild>
                </w:div>
                <w:div w:id="2113470529">
                  <w:marLeft w:val="0"/>
                  <w:marRight w:val="0"/>
                  <w:marTop w:val="0"/>
                  <w:marBottom w:val="0"/>
                  <w:divBdr>
                    <w:top w:val="none" w:sz="0" w:space="0" w:color="auto"/>
                    <w:left w:val="none" w:sz="0" w:space="0" w:color="auto"/>
                    <w:bottom w:val="none" w:sz="0" w:space="0" w:color="auto"/>
                    <w:right w:val="none" w:sz="0" w:space="0" w:color="auto"/>
                  </w:divBdr>
                  <w:divsChild>
                    <w:div w:id="3890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675743">
      <w:bodyDiv w:val="1"/>
      <w:marLeft w:val="0"/>
      <w:marRight w:val="0"/>
      <w:marTop w:val="0"/>
      <w:marBottom w:val="0"/>
      <w:divBdr>
        <w:top w:val="none" w:sz="0" w:space="0" w:color="auto"/>
        <w:left w:val="none" w:sz="0" w:space="0" w:color="auto"/>
        <w:bottom w:val="none" w:sz="0" w:space="0" w:color="auto"/>
        <w:right w:val="none" w:sz="0" w:space="0" w:color="auto"/>
      </w:divBdr>
    </w:div>
    <w:div w:id="1080637935">
      <w:bodyDiv w:val="1"/>
      <w:marLeft w:val="0"/>
      <w:marRight w:val="0"/>
      <w:marTop w:val="0"/>
      <w:marBottom w:val="0"/>
      <w:divBdr>
        <w:top w:val="none" w:sz="0" w:space="0" w:color="auto"/>
        <w:left w:val="none" w:sz="0" w:space="0" w:color="auto"/>
        <w:bottom w:val="none" w:sz="0" w:space="0" w:color="auto"/>
        <w:right w:val="none" w:sz="0" w:space="0" w:color="auto"/>
      </w:divBdr>
    </w:div>
    <w:div w:id="1151751896">
      <w:bodyDiv w:val="1"/>
      <w:marLeft w:val="0"/>
      <w:marRight w:val="0"/>
      <w:marTop w:val="0"/>
      <w:marBottom w:val="0"/>
      <w:divBdr>
        <w:top w:val="none" w:sz="0" w:space="0" w:color="auto"/>
        <w:left w:val="none" w:sz="0" w:space="0" w:color="auto"/>
        <w:bottom w:val="none" w:sz="0" w:space="0" w:color="auto"/>
        <w:right w:val="none" w:sz="0" w:space="0" w:color="auto"/>
      </w:divBdr>
      <w:divsChild>
        <w:div w:id="41642606">
          <w:marLeft w:val="0"/>
          <w:marRight w:val="0"/>
          <w:marTop w:val="0"/>
          <w:marBottom w:val="0"/>
          <w:divBdr>
            <w:top w:val="none" w:sz="0" w:space="0" w:color="auto"/>
            <w:left w:val="none" w:sz="0" w:space="0" w:color="auto"/>
            <w:bottom w:val="none" w:sz="0" w:space="0" w:color="auto"/>
            <w:right w:val="none" w:sz="0" w:space="0" w:color="auto"/>
          </w:divBdr>
          <w:divsChild>
            <w:div w:id="2001426732">
              <w:marLeft w:val="0"/>
              <w:marRight w:val="0"/>
              <w:marTop w:val="0"/>
              <w:marBottom w:val="0"/>
              <w:divBdr>
                <w:top w:val="none" w:sz="0" w:space="0" w:color="auto"/>
                <w:left w:val="none" w:sz="0" w:space="0" w:color="auto"/>
                <w:bottom w:val="none" w:sz="0" w:space="0" w:color="auto"/>
                <w:right w:val="none" w:sz="0" w:space="0" w:color="auto"/>
              </w:divBdr>
            </w:div>
          </w:divsChild>
        </w:div>
        <w:div w:id="112286550">
          <w:marLeft w:val="0"/>
          <w:marRight w:val="0"/>
          <w:marTop w:val="0"/>
          <w:marBottom w:val="0"/>
          <w:divBdr>
            <w:top w:val="none" w:sz="0" w:space="0" w:color="auto"/>
            <w:left w:val="none" w:sz="0" w:space="0" w:color="auto"/>
            <w:bottom w:val="none" w:sz="0" w:space="0" w:color="auto"/>
            <w:right w:val="none" w:sz="0" w:space="0" w:color="auto"/>
          </w:divBdr>
          <w:divsChild>
            <w:div w:id="2028210263">
              <w:marLeft w:val="0"/>
              <w:marRight w:val="0"/>
              <w:marTop w:val="0"/>
              <w:marBottom w:val="0"/>
              <w:divBdr>
                <w:top w:val="none" w:sz="0" w:space="0" w:color="auto"/>
                <w:left w:val="none" w:sz="0" w:space="0" w:color="auto"/>
                <w:bottom w:val="none" w:sz="0" w:space="0" w:color="auto"/>
                <w:right w:val="none" w:sz="0" w:space="0" w:color="auto"/>
              </w:divBdr>
            </w:div>
          </w:divsChild>
        </w:div>
        <w:div w:id="123155901">
          <w:marLeft w:val="0"/>
          <w:marRight w:val="0"/>
          <w:marTop w:val="0"/>
          <w:marBottom w:val="0"/>
          <w:divBdr>
            <w:top w:val="none" w:sz="0" w:space="0" w:color="auto"/>
            <w:left w:val="none" w:sz="0" w:space="0" w:color="auto"/>
            <w:bottom w:val="none" w:sz="0" w:space="0" w:color="auto"/>
            <w:right w:val="none" w:sz="0" w:space="0" w:color="auto"/>
          </w:divBdr>
          <w:divsChild>
            <w:div w:id="611941782">
              <w:marLeft w:val="0"/>
              <w:marRight w:val="0"/>
              <w:marTop w:val="0"/>
              <w:marBottom w:val="0"/>
              <w:divBdr>
                <w:top w:val="none" w:sz="0" w:space="0" w:color="auto"/>
                <w:left w:val="none" w:sz="0" w:space="0" w:color="auto"/>
                <w:bottom w:val="none" w:sz="0" w:space="0" w:color="auto"/>
                <w:right w:val="none" w:sz="0" w:space="0" w:color="auto"/>
              </w:divBdr>
            </w:div>
          </w:divsChild>
        </w:div>
        <w:div w:id="167253925">
          <w:marLeft w:val="0"/>
          <w:marRight w:val="0"/>
          <w:marTop w:val="0"/>
          <w:marBottom w:val="0"/>
          <w:divBdr>
            <w:top w:val="none" w:sz="0" w:space="0" w:color="auto"/>
            <w:left w:val="none" w:sz="0" w:space="0" w:color="auto"/>
            <w:bottom w:val="none" w:sz="0" w:space="0" w:color="auto"/>
            <w:right w:val="none" w:sz="0" w:space="0" w:color="auto"/>
          </w:divBdr>
          <w:divsChild>
            <w:div w:id="1683624044">
              <w:marLeft w:val="0"/>
              <w:marRight w:val="0"/>
              <w:marTop w:val="0"/>
              <w:marBottom w:val="0"/>
              <w:divBdr>
                <w:top w:val="none" w:sz="0" w:space="0" w:color="auto"/>
                <w:left w:val="none" w:sz="0" w:space="0" w:color="auto"/>
                <w:bottom w:val="none" w:sz="0" w:space="0" w:color="auto"/>
                <w:right w:val="none" w:sz="0" w:space="0" w:color="auto"/>
              </w:divBdr>
            </w:div>
          </w:divsChild>
        </w:div>
        <w:div w:id="198904124">
          <w:marLeft w:val="0"/>
          <w:marRight w:val="0"/>
          <w:marTop w:val="0"/>
          <w:marBottom w:val="0"/>
          <w:divBdr>
            <w:top w:val="none" w:sz="0" w:space="0" w:color="auto"/>
            <w:left w:val="none" w:sz="0" w:space="0" w:color="auto"/>
            <w:bottom w:val="none" w:sz="0" w:space="0" w:color="auto"/>
            <w:right w:val="none" w:sz="0" w:space="0" w:color="auto"/>
          </w:divBdr>
          <w:divsChild>
            <w:div w:id="700742358">
              <w:marLeft w:val="0"/>
              <w:marRight w:val="0"/>
              <w:marTop w:val="0"/>
              <w:marBottom w:val="0"/>
              <w:divBdr>
                <w:top w:val="none" w:sz="0" w:space="0" w:color="auto"/>
                <w:left w:val="none" w:sz="0" w:space="0" w:color="auto"/>
                <w:bottom w:val="none" w:sz="0" w:space="0" w:color="auto"/>
                <w:right w:val="none" w:sz="0" w:space="0" w:color="auto"/>
              </w:divBdr>
            </w:div>
          </w:divsChild>
        </w:div>
        <w:div w:id="203101122">
          <w:marLeft w:val="0"/>
          <w:marRight w:val="0"/>
          <w:marTop w:val="0"/>
          <w:marBottom w:val="0"/>
          <w:divBdr>
            <w:top w:val="none" w:sz="0" w:space="0" w:color="auto"/>
            <w:left w:val="none" w:sz="0" w:space="0" w:color="auto"/>
            <w:bottom w:val="none" w:sz="0" w:space="0" w:color="auto"/>
            <w:right w:val="none" w:sz="0" w:space="0" w:color="auto"/>
          </w:divBdr>
          <w:divsChild>
            <w:div w:id="331421724">
              <w:marLeft w:val="0"/>
              <w:marRight w:val="0"/>
              <w:marTop w:val="0"/>
              <w:marBottom w:val="0"/>
              <w:divBdr>
                <w:top w:val="none" w:sz="0" w:space="0" w:color="auto"/>
                <w:left w:val="none" w:sz="0" w:space="0" w:color="auto"/>
                <w:bottom w:val="none" w:sz="0" w:space="0" w:color="auto"/>
                <w:right w:val="none" w:sz="0" w:space="0" w:color="auto"/>
              </w:divBdr>
            </w:div>
          </w:divsChild>
        </w:div>
        <w:div w:id="203756920">
          <w:marLeft w:val="0"/>
          <w:marRight w:val="0"/>
          <w:marTop w:val="0"/>
          <w:marBottom w:val="0"/>
          <w:divBdr>
            <w:top w:val="none" w:sz="0" w:space="0" w:color="auto"/>
            <w:left w:val="none" w:sz="0" w:space="0" w:color="auto"/>
            <w:bottom w:val="none" w:sz="0" w:space="0" w:color="auto"/>
            <w:right w:val="none" w:sz="0" w:space="0" w:color="auto"/>
          </w:divBdr>
          <w:divsChild>
            <w:div w:id="10570497">
              <w:marLeft w:val="0"/>
              <w:marRight w:val="0"/>
              <w:marTop w:val="0"/>
              <w:marBottom w:val="0"/>
              <w:divBdr>
                <w:top w:val="none" w:sz="0" w:space="0" w:color="auto"/>
                <w:left w:val="none" w:sz="0" w:space="0" w:color="auto"/>
                <w:bottom w:val="none" w:sz="0" w:space="0" w:color="auto"/>
                <w:right w:val="none" w:sz="0" w:space="0" w:color="auto"/>
              </w:divBdr>
            </w:div>
          </w:divsChild>
        </w:div>
        <w:div w:id="242646632">
          <w:marLeft w:val="0"/>
          <w:marRight w:val="0"/>
          <w:marTop w:val="0"/>
          <w:marBottom w:val="0"/>
          <w:divBdr>
            <w:top w:val="none" w:sz="0" w:space="0" w:color="auto"/>
            <w:left w:val="none" w:sz="0" w:space="0" w:color="auto"/>
            <w:bottom w:val="none" w:sz="0" w:space="0" w:color="auto"/>
            <w:right w:val="none" w:sz="0" w:space="0" w:color="auto"/>
          </w:divBdr>
          <w:divsChild>
            <w:div w:id="974986089">
              <w:marLeft w:val="0"/>
              <w:marRight w:val="0"/>
              <w:marTop w:val="0"/>
              <w:marBottom w:val="0"/>
              <w:divBdr>
                <w:top w:val="none" w:sz="0" w:space="0" w:color="auto"/>
                <w:left w:val="none" w:sz="0" w:space="0" w:color="auto"/>
                <w:bottom w:val="none" w:sz="0" w:space="0" w:color="auto"/>
                <w:right w:val="none" w:sz="0" w:space="0" w:color="auto"/>
              </w:divBdr>
            </w:div>
          </w:divsChild>
        </w:div>
        <w:div w:id="243730959">
          <w:marLeft w:val="0"/>
          <w:marRight w:val="0"/>
          <w:marTop w:val="0"/>
          <w:marBottom w:val="0"/>
          <w:divBdr>
            <w:top w:val="none" w:sz="0" w:space="0" w:color="auto"/>
            <w:left w:val="none" w:sz="0" w:space="0" w:color="auto"/>
            <w:bottom w:val="none" w:sz="0" w:space="0" w:color="auto"/>
            <w:right w:val="none" w:sz="0" w:space="0" w:color="auto"/>
          </w:divBdr>
          <w:divsChild>
            <w:div w:id="381295345">
              <w:marLeft w:val="0"/>
              <w:marRight w:val="0"/>
              <w:marTop w:val="0"/>
              <w:marBottom w:val="0"/>
              <w:divBdr>
                <w:top w:val="none" w:sz="0" w:space="0" w:color="auto"/>
                <w:left w:val="none" w:sz="0" w:space="0" w:color="auto"/>
                <w:bottom w:val="none" w:sz="0" w:space="0" w:color="auto"/>
                <w:right w:val="none" w:sz="0" w:space="0" w:color="auto"/>
              </w:divBdr>
            </w:div>
          </w:divsChild>
        </w:div>
        <w:div w:id="258753120">
          <w:marLeft w:val="0"/>
          <w:marRight w:val="0"/>
          <w:marTop w:val="0"/>
          <w:marBottom w:val="0"/>
          <w:divBdr>
            <w:top w:val="none" w:sz="0" w:space="0" w:color="auto"/>
            <w:left w:val="none" w:sz="0" w:space="0" w:color="auto"/>
            <w:bottom w:val="none" w:sz="0" w:space="0" w:color="auto"/>
            <w:right w:val="none" w:sz="0" w:space="0" w:color="auto"/>
          </w:divBdr>
          <w:divsChild>
            <w:div w:id="551886510">
              <w:marLeft w:val="0"/>
              <w:marRight w:val="0"/>
              <w:marTop w:val="0"/>
              <w:marBottom w:val="0"/>
              <w:divBdr>
                <w:top w:val="none" w:sz="0" w:space="0" w:color="auto"/>
                <w:left w:val="none" w:sz="0" w:space="0" w:color="auto"/>
                <w:bottom w:val="none" w:sz="0" w:space="0" w:color="auto"/>
                <w:right w:val="none" w:sz="0" w:space="0" w:color="auto"/>
              </w:divBdr>
            </w:div>
          </w:divsChild>
        </w:div>
        <w:div w:id="259139965">
          <w:marLeft w:val="0"/>
          <w:marRight w:val="0"/>
          <w:marTop w:val="0"/>
          <w:marBottom w:val="0"/>
          <w:divBdr>
            <w:top w:val="none" w:sz="0" w:space="0" w:color="auto"/>
            <w:left w:val="none" w:sz="0" w:space="0" w:color="auto"/>
            <w:bottom w:val="none" w:sz="0" w:space="0" w:color="auto"/>
            <w:right w:val="none" w:sz="0" w:space="0" w:color="auto"/>
          </w:divBdr>
          <w:divsChild>
            <w:div w:id="1606309831">
              <w:marLeft w:val="0"/>
              <w:marRight w:val="0"/>
              <w:marTop w:val="0"/>
              <w:marBottom w:val="0"/>
              <w:divBdr>
                <w:top w:val="none" w:sz="0" w:space="0" w:color="auto"/>
                <w:left w:val="none" w:sz="0" w:space="0" w:color="auto"/>
                <w:bottom w:val="none" w:sz="0" w:space="0" w:color="auto"/>
                <w:right w:val="none" w:sz="0" w:space="0" w:color="auto"/>
              </w:divBdr>
            </w:div>
          </w:divsChild>
        </w:div>
        <w:div w:id="260841566">
          <w:marLeft w:val="0"/>
          <w:marRight w:val="0"/>
          <w:marTop w:val="0"/>
          <w:marBottom w:val="0"/>
          <w:divBdr>
            <w:top w:val="none" w:sz="0" w:space="0" w:color="auto"/>
            <w:left w:val="none" w:sz="0" w:space="0" w:color="auto"/>
            <w:bottom w:val="none" w:sz="0" w:space="0" w:color="auto"/>
            <w:right w:val="none" w:sz="0" w:space="0" w:color="auto"/>
          </w:divBdr>
          <w:divsChild>
            <w:div w:id="2045203515">
              <w:marLeft w:val="0"/>
              <w:marRight w:val="0"/>
              <w:marTop w:val="0"/>
              <w:marBottom w:val="0"/>
              <w:divBdr>
                <w:top w:val="none" w:sz="0" w:space="0" w:color="auto"/>
                <w:left w:val="none" w:sz="0" w:space="0" w:color="auto"/>
                <w:bottom w:val="none" w:sz="0" w:space="0" w:color="auto"/>
                <w:right w:val="none" w:sz="0" w:space="0" w:color="auto"/>
              </w:divBdr>
            </w:div>
          </w:divsChild>
        </w:div>
        <w:div w:id="357854687">
          <w:marLeft w:val="0"/>
          <w:marRight w:val="0"/>
          <w:marTop w:val="0"/>
          <w:marBottom w:val="0"/>
          <w:divBdr>
            <w:top w:val="none" w:sz="0" w:space="0" w:color="auto"/>
            <w:left w:val="none" w:sz="0" w:space="0" w:color="auto"/>
            <w:bottom w:val="none" w:sz="0" w:space="0" w:color="auto"/>
            <w:right w:val="none" w:sz="0" w:space="0" w:color="auto"/>
          </w:divBdr>
          <w:divsChild>
            <w:div w:id="1174761110">
              <w:marLeft w:val="0"/>
              <w:marRight w:val="0"/>
              <w:marTop w:val="0"/>
              <w:marBottom w:val="0"/>
              <w:divBdr>
                <w:top w:val="none" w:sz="0" w:space="0" w:color="auto"/>
                <w:left w:val="none" w:sz="0" w:space="0" w:color="auto"/>
                <w:bottom w:val="none" w:sz="0" w:space="0" w:color="auto"/>
                <w:right w:val="none" w:sz="0" w:space="0" w:color="auto"/>
              </w:divBdr>
            </w:div>
          </w:divsChild>
        </w:div>
        <w:div w:id="362941228">
          <w:marLeft w:val="0"/>
          <w:marRight w:val="0"/>
          <w:marTop w:val="0"/>
          <w:marBottom w:val="0"/>
          <w:divBdr>
            <w:top w:val="none" w:sz="0" w:space="0" w:color="auto"/>
            <w:left w:val="none" w:sz="0" w:space="0" w:color="auto"/>
            <w:bottom w:val="none" w:sz="0" w:space="0" w:color="auto"/>
            <w:right w:val="none" w:sz="0" w:space="0" w:color="auto"/>
          </w:divBdr>
          <w:divsChild>
            <w:div w:id="1647009696">
              <w:marLeft w:val="0"/>
              <w:marRight w:val="0"/>
              <w:marTop w:val="0"/>
              <w:marBottom w:val="0"/>
              <w:divBdr>
                <w:top w:val="none" w:sz="0" w:space="0" w:color="auto"/>
                <w:left w:val="none" w:sz="0" w:space="0" w:color="auto"/>
                <w:bottom w:val="none" w:sz="0" w:space="0" w:color="auto"/>
                <w:right w:val="none" w:sz="0" w:space="0" w:color="auto"/>
              </w:divBdr>
            </w:div>
          </w:divsChild>
        </w:div>
        <w:div w:id="375936653">
          <w:marLeft w:val="0"/>
          <w:marRight w:val="0"/>
          <w:marTop w:val="0"/>
          <w:marBottom w:val="0"/>
          <w:divBdr>
            <w:top w:val="none" w:sz="0" w:space="0" w:color="auto"/>
            <w:left w:val="none" w:sz="0" w:space="0" w:color="auto"/>
            <w:bottom w:val="none" w:sz="0" w:space="0" w:color="auto"/>
            <w:right w:val="none" w:sz="0" w:space="0" w:color="auto"/>
          </w:divBdr>
          <w:divsChild>
            <w:div w:id="1675650806">
              <w:marLeft w:val="0"/>
              <w:marRight w:val="0"/>
              <w:marTop w:val="0"/>
              <w:marBottom w:val="0"/>
              <w:divBdr>
                <w:top w:val="none" w:sz="0" w:space="0" w:color="auto"/>
                <w:left w:val="none" w:sz="0" w:space="0" w:color="auto"/>
                <w:bottom w:val="none" w:sz="0" w:space="0" w:color="auto"/>
                <w:right w:val="none" w:sz="0" w:space="0" w:color="auto"/>
              </w:divBdr>
            </w:div>
          </w:divsChild>
        </w:div>
        <w:div w:id="394544496">
          <w:marLeft w:val="0"/>
          <w:marRight w:val="0"/>
          <w:marTop w:val="0"/>
          <w:marBottom w:val="0"/>
          <w:divBdr>
            <w:top w:val="none" w:sz="0" w:space="0" w:color="auto"/>
            <w:left w:val="none" w:sz="0" w:space="0" w:color="auto"/>
            <w:bottom w:val="none" w:sz="0" w:space="0" w:color="auto"/>
            <w:right w:val="none" w:sz="0" w:space="0" w:color="auto"/>
          </w:divBdr>
          <w:divsChild>
            <w:div w:id="1413429049">
              <w:marLeft w:val="0"/>
              <w:marRight w:val="0"/>
              <w:marTop w:val="0"/>
              <w:marBottom w:val="0"/>
              <w:divBdr>
                <w:top w:val="none" w:sz="0" w:space="0" w:color="auto"/>
                <w:left w:val="none" w:sz="0" w:space="0" w:color="auto"/>
                <w:bottom w:val="none" w:sz="0" w:space="0" w:color="auto"/>
                <w:right w:val="none" w:sz="0" w:space="0" w:color="auto"/>
              </w:divBdr>
            </w:div>
          </w:divsChild>
        </w:div>
        <w:div w:id="399864081">
          <w:marLeft w:val="0"/>
          <w:marRight w:val="0"/>
          <w:marTop w:val="0"/>
          <w:marBottom w:val="0"/>
          <w:divBdr>
            <w:top w:val="none" w:sz="0" w:space="0" w:color="auto"/>
            <w:left w:val="none" w:sz="0" w:space="0" w:color="auto"/>
            <w:bottom w:val="none" w:sz="0" w:space="0" w:color="auto"/>
            <w:right w:val="none" w:sz="0" w:space="0" w:color="auto"/>
          </w:divBdr>
          <w:divsChild>
            <w:div w:id="70592142">
              <w:marLeft w:val="0"/>
              <w:marRight w:val="0"/>
              <w:marTop w:val="0"/>
              <w:marBottom w:val="0"/>
              <w:divBdr>
                <w:top w:val="none" w:sz="0" w:space="0" w:color="auto"/>
                <w:left w:val="none" w:sz="0" w:space="0" w:color="auto"/>
                <w:bottom w:val="none" w:sz="0" w:space="0" w:color="auto"/>
                <w:right w:val="none" w:sz="0" w:space="0" w:color="auto"/>
              </w:divBdr>
            </w:div>
          </w:divsChild>
        </w:div>
        <w:div w:id="429660863">
          <w:marLeft w:val="0"/>
          <w:marRight w:val="0"/>
          <w:marTop w:val="0"/>
          <w:marBottom w:val="0"/>
          <w:divBdr>
            <w:top w:val="none" w:sz="0" w:space="0" w:color="auto"/>
            <w:left w:val="none" w:sz="0" w:space="0" w:color="auto"/>
            <w:bottom w:val="none" w:sz="0" w:space="0" w:color="auto"/>
            <w:right w:val="none" w:sz="0" w:space="0" w:color="auto"/>
          </w:divBdr>
          <w:divsChild>
            <w:div w:id="1724331319">
              <w:marLeft w:val="0"/>
              <w:marRight w:val="0"/>
              <w:marTop w:val="0"/>
              <w:marBottom w:val="0"/>
              <w:divBdr>
                <w:top w:val="none" w:sz="0" w:space="0" w:color="auto"/>
                <w:left w:val="none" w:sz="0" w:space="0" w:color="auto"/>
                <w:bottom w:val="none" w:sz="0" w:space="0" w:color="auto"/>
                <w:right w:val="none" w:sz="0" w:space="0" w:color="auto"/>
              </w:divBdr>
            </w:div>
          </w:divsChild>
        </w:div>
        <w:div w:id="436487495">
          <w:marLeft w:val="0"/>
          <w:marRight w:val="0"/>
          <w:marTop w:val="0"/>
          <w:marBottom w:val="0"/>
          <w:divBdr>
            <w:top w:val="none" w:sz="0" w:space="0" w:color="auto"/>
            <w:left w:val="none" w:sz="0" w:space="0" w:color="auto"/>
            <w:bottom w:val="none" w:sz="0" w:space="0" w:color="auto"/>
            <w:right w:val="none" w:sz="0" w:space="0" w:color="auto"/>
          </w:divBdr>
          <w:divsChild>
            <w:div w:id="1981497689">
              <w:marLeft w:val="0"/>
              <w:marRight w:val="0"/>
              <w:marTop w:val="0"/>
              <w:marBottom w:val="0"/>
              <w:divBdr>
                <w:top w:val="none" w:sz="0" w:space="0" w:color="auto"/>
                <w:left w:val="none" w:sz="0" w:space="0" w:color="auto"/>
                <w:bottom w:val="none" w:sz="0" w:space="0" w:color="auto"/>
                <w:right w:val="none" w:sz="0" w:space="0" w:color="auto"/>
              </w:divBdr>
            </w:div>
          </w:divsChild>
        </w:div>
        <w:div w:id="442961721">
          <w:marLeft w:val="0"/>
          <w:marRight w:val="0"/>
          <w:marTop w:val="0"/>
          <w:marBottom w:val="0"/>
          <w:divBdr>
            <w:top w:val="none" w:sz="0" w:space="0" w:color="auto"/>
            <w:left w:val="none" w:sz="0" w:space="0" w:color="auto"/>
            <w:bottom w:val="none" w:sz="0" w:space="0" w:color="auto"/>
            <w:right w:val="none" w:sz="0" w:space="0" w:color="auto"/>
          </w:divBdr>
          <w:divsChild>
            <w:div w:id="584001973">
              <w:marLeft w:val="0"/>
              <w:marRight w:val="0"/>
              <w:marTop w:val="0"/>
              <w:marBottom w:val="0"/>
              <w:divBdr>
                <w:top w:val="none" w:sz="0" w:space="0" w:color="auto"/>
                <w:left w:val="none" w:sz="0" w:space="0" w:color="auto"/>
                <w:bottom w:val="none" w:sz="0" w:space="0" w:color="auto"/>
                <w:right w:val="none" w:sz="0" w:space="0" w:color="auto"/>
              </w:divBdr>
            </w:div>
          </w:divsChild>
        </w:div>
        <w:div w:id="497694096">
          <w:marLeft w:val="0"/>
          <w:marRight w:val="0"/>
          <w:marTop w:val="0"/>
          <w:marBottom w:val="0"/>
          <w:divBdr>
            <w:top w:val="none" w:sz="0" w:space="0" w:color="auto"/>
            <w:left w:val="none" w:sz="0" w:space="0" w:color="auto"/>
            <w:bottom w:val="none" w:sz="0" w:space="0" w:color="auto"/>
            <w:right w:val="none" w:sz="0" w:space="0" w:color="auto"/>
          </w:divBdr>
          <w:divsChild>
            <w:div w:id="906570375">
              <w:marLeft w:val="0"/>
              <w:marRight w:val="0"/>
              <w:marTop w:val="0"/>
              <w:marBottom w:val="0"/>
              <w:divBdr>
                <w:top w:val="none" w:sz="0" w:space="0" w:color="auto"/>
                <w:left w:val="none" w:sz="0" w:space="0" w:color="auto"/>
                <w:bottom w:val="none" w:sz="0" w:space="0" w:color="auto"/>
                <w:right w:val="none" w:sz="0" w:space="0" w:color="auto"/>
              </w:divBdr>
            </w:div>
          </w:divsChild>
        </w:div>
        <w:div w:id="502552261">
          <w:marLeft w:val="0"/>
          <w:marRight w:val="0"/>
          <w:marTop w:val="0"/>
          <w:marBottom w:val="0"/>
          <w:divBdr>
            <w:top w:val="none" w:sz="0" w:space="0" w:color="auto"/>
            <w:left w:val="none" w:sz="0" w:space="0" w:color="auto"/>
            <w:bottom w:val="none" w:sz="0" w:space="0" w:color="auto"/>
            <w:right w:val="none" w:sz="0" w:space="0" w:color="auto"/>
          </w:divBdr>
          <w:divsChild>
            <w:div w:id="1294946317">
              <w:marLeft w:val="0"/>
              <w:marRight w:val="0"/>
              <w:marTop w:val="0"/>
              <w:marBottom w:val="0"/>
              <w:divBdr>
                <w:top w:val="none" w:sz="0" w:space="0" w:color="auto"/>
                <w:left w:val="none" w:sz="0" w:space="0" w:color="auto"/>
                <w:bottom w:val="none" w:sz="0" w:space="0" w:color="auto"/>
                <w:right w:val="none" w:sz="0" w:space="0" w:color="auto"/>
              </w:divBdr>
            </w:div>
          </w:divsChild>
        </w:div>
        <w:div w:id="556358967">
          <w:marLeft w:val="0"/>
          <w:marRight w:val="0"/>
          <w:marTop w:val="0"/>
          <w:marBottom w:val="0"/>
          <w:divBdr>
            <w:top w:val="none" w:sz="0" w:space="0" w:color="auto"/>
            <w:left w:val="none" w:sz="0" w:space="0" w:color="auto"/>
            <w:bottom w:val="none" w:sz="0" w:space="0" w:color="auto"/>
            <w:right w:val="none" w:sz="0" w:space="0" w:color="auto"/>
          </w:divBdr>
          <w:divsChild>
            <w:div w:id="1390301687">
              <w:marLeft w:val="0"/>
              <w:marRight w:val="0"/>
              <w:marTop w:val="0"/>
              <w:marBottom w:val="0"/>
              <w:divBdr>
                <w:top w:val="none" w:sz="0" w:space="0" w:color="auto"/>
                <w:left w:val="none" w:sz="0" w:space="0" w:color="auto"/>
                <w:bottom w:val="none" w:sz="0" w:space="0" w:color="auto"/>
                <w:right w:val="none" w:sz="0" w:space="0" w:color="auto"/>
              </w:divBdr>
            </w:div>
          </w:divsChild>
        </w:div>
        <w:div w:id="566305126">
          <w:marLeft w:val="0"/>
          <w:marRight w:val="0"/>
          <w:marTop w:val="0"/>
          <w:marBottom w:val="0"/>
          <w:divBdr>
            <w:top w:val="none" w:sz="0" w:space="0" w:color="auto"/>
            <w:left w:val="none" w:sz="0" w:space="0" w:color="auto"/>
            <w:bottom w:val="none" w:sz="0" w:space="0" w:color="auto"/>
            <w:right w:val="none" w:sz="0" w:space="0" w:color="auto"/>
          </w:divBdr>
          <w:divsChild>
            <w:div w:id="99959937">
              <w:marLeft w:val="0"/>
              <w:marRight w:val="0"/>
              <w:marTop w:val="0"/>
              <w:marBottom w:val="0"/>
              <w:divBdr>
                <w:top w:val="none" w:sz="0" w:space="0" w:color="auto"/>
                <w:left w:val="none" w:sz="0" w:space="0" w:color="auto"/>
                <w:bottom w:val="none" w:sz="0" w:space="0" w:color="auto"/>
                <w:right w:val="none" w:sz="0" w:space="0" w:color="auto"/>
              </w:divBdr>
            </w:div>
          </w:divsChild>
        </w:div>
        <w:div w:id="583417268">
          <w:marLeft w:val="0"/>
          <w:marRight w:val="0"/>
          <w:marTop w:val="0"/>
          <w:marBottom w:val="0"/>
          <w:divBdr>
            <w:top w:val="none" w:sz="0" w:space="0" w:color="auto"/>
            <w:left w:val="none" w:sz="0" w:space="0" w:color="auto"/>
            <w:bottom w:val="none" w:sz="0" w:space="0" w:color="auto"/>
            <w:right w:val="none" w:sz="0" w:space="0" w:color="auto"/>
          </w:divBdr>
          <w:divsChild>
            <w:div w:id="1045057112">
              <w:marLeft w:val="0"/>
              <w:marRight w:val="0"/>
              <w:marTop w:val="0"/>
              <w:marBottom w:val="0"/>
              <w:divBdr>
                <w:top w:val="none" w:sz="0" w:space="0" w:color="auto"/>
                <w:left w:val="none" w:sz="0" w:space="0" w:color="auto"/>
                <w:bottom w:val="none" w:sz="0" w:space="0" w:color="auto"/>
                <w:right w:val="none" w:sz="0" w:space="0" w:color="auto"/>
              </w:divBdr>
            </w:div>
          </w:divsChild>
        </w:div>
        <w:div w:id="599685838">
          <w:marLeft w:val="0"/>
          <w:marRight w:val="0"/>
          <w:marTop w:val="0"/>
          <w:marBottom w:val="0"/>
          <w:divBdr>
            <w:top w:val="none" w:sz="0" w:space="0" w:color="auto"/>
            <w:left w:val="none" w:sz="0" w:space="0" w:color="auto"/>
            <w:bottom w:val="none" w:sz="0" w:space="0" w:color="auto"/>
            <w:right w:val="none" w:sz="0" w:space="0" w:color="auto"/>
          </w:divBdr>
          <w:divsChild>
            <w:div w:id="15891529">
              <w:marLeft w:val="0"/>
              <w:marRight w:val="0"/>
              <w:marTop w:val="0"/>
              <w:marBottom w:val="0"/>
              <w:divBdr>
                <w:top w:val="none" w:sz="0" w:space="0" w:color="auto"/>
                <w:left w:val="none" w:sz="0" w:space="0" w:color="auto"/>
                <w:bottom w:val="none" w:sz="0" w:space="0" w:color="auto"/>
                <w:right w:val="none" w:sz="0" w:space="0" w:color="auto"/>
              </w:divBdr>
            </w:div>
          </w:divsChild>
        </w:div>
        <w:div w:id="620696517">
          <w:marLeft w:val="0"/>
          <w:marRight w:val="0"/>
          <w:marTop w:val="0"/>
          <w:marBottom w:val="0"/>
          <w:divBdr>
            <w:top w:val="none" w:sz="0" w:space="0" w:color="auto"/>
            <w:left w:val="none" w:sz="0" w:space="0" w:color="auto"/>
            <w:bottom w:val="none" w:sz="0" w:space="0" w:color="auto"/>
            <w:right w:val="none" w:sz="0" w:space="0" w:color="auto"/>
          </w:divBdr>
          <w:divsChild>
            <w:div w:id="92750824">
              <w:marLeft w:val="0"/>
              <w:marRight w:val="0"/>
              <w:marTop w:val="0"/>
              <w:marBottom w:val="0"/>
              <w:divBdr>
                <w:top w:val="none" w:sz="0" w:space="0" w:color="auto"/>
                <w:left w:val="none" w:sz="0" w:space="0" w:color="auto"/>
                <w:bottom w:val="none" w:sz="0" w:space="0" w:color="auto"/>
                <w:right w:val="none" w:sz="0" w:space="0" w:color="auto"/>
              </w:divBdr>
            </w:div>
          </w:divsChild>
        </w:div>
        <w:div w:id="637800617">
          <w:marLeft w:val="0"/>
          <w:marRight w:val="0"/>
          <w:marTop w:val="0"/>
          <w:marBottom w:val="0"/>
          <w:divBdr>
            <w:top w:val="none" w:sz="0" w:space="0" w:color="auto"/>
            <w:left w:val="none" w:sz="0" w:space="0" w:color="auto"/>
            <w:bottom w:val="none" w:sz="0" w:space="0" w:color="auto"/>
            <w:right w:val="none" w:sz="0" w:space="0" w:color="auto"/>
          </w:divBdr>
          <w:divsChild>
            <w:div w:id="1264000840">
              <w:marLeft w:val="0"/>
              <w:marRight w:val="0"/>
              <w:marTop w:val="0"/>
              <w:marBottom w:val="0"/>
              <w:divBdr>
                <w:top w:val="none" w:sz="0" w:space="0" w:color="auto"/>
                <w:left w:val="none" w:sz="0" w:space="0" w:color="auto"/>
                <w:bottom w:val="none" w:sz="0" w:space="0" w:color="auto"/>
                <w:right w:val="none" w:sz="0" w:space="0" w:color="auto"/>
              </w:divBdr>
            </w:div>
          </w:divsChild>
        </w:div>
        <w:div w:id="649598328">
          <w:marLeft w:val="0"/>
          <w:marRight w:val="0"/>
          <w:marTop w:val="0"/>
          <w:marBottom w:val="0"/>
          <w:divBdr>
            <w:top w:val="none" w:sz="0" w:space="0" w:color="auto"/>
            <w:left w:val="none" w:sz="0" w:space="0" w:color="auto"/>
            <w:bottom w:val="none" w:sz="0" w:space="0" w:color="auto"/>
            <w:right w:val="none" w:sz="0" w:space="0" w:color="auto"/>
          </w:divBdr>
          <w:divsChild>
            <w:div w:id="1296719149">
              <w:marLeft w:val="0"/>
              <w:marRight w:val="0"/>
              <w:marTop w:val="0"/>
              <w:marBottom w:val="0"/>
              <w:divBdr>
                <w:top w:val="none" w:sz="0" w:space="0" w:color="auto"/>
                <w:left w:val="none" w:sz="0" w:space="0" w:color="auto"/>
                <w:bottom w:val="none" w:sz="0" w:space="0" w:color="auto"/>
                <w:right w:val="none" w:sz="0" w:space="0" w:color="auto"/>
              </w:divBdr>
            </w:div>
          </w:divsChild>
        </w:div>
        <w:div w:id="669259330">
          <w:marLeft w:val="0"/>
          <w:marRight w:val="0"/>
          <w:marTop w:val="0"/>
          <w:marBottom w:val="0"/>
          <w:divBdr>
            <w:top w:val="none" w:sz="0" w:space="0" w:color="auto"/>
            <w:left w:val="none" w:sz="0" w:space="0" w:color="auto"/>
            <w:bottom w:val="none" w:sz="0" w:space="0" w:color="auto"/>
            <w:right w:val="none" w:sz="0" w:space="0" w:color="auto"/>
          </w:divBdr>
          <w:divsChild>
            <w:div w:id="676268147">
              <w:marLeft w:val="0"/>
              <w:marRight w:val="0"/>
              <w:marTop w:val="0"/>
              <w:marBottom w:val="0"/>
              <w:divBdr>
                <w:top w:val="none" w:sz="0" w:space="0" w:color="auto"/>
                <w:left w:val="none" w:sz="0" w:space="0" w:color="auto"/>
                <w:bottom w:val="none" w:sz="0" w:space="0" w:color="auto"/>
                <w:right w:val="none" w:sz="0" w:space="0" w:color="auto"/>
              </w:divBdr>
            </w:div>
          </w:divsChild>
        </w:div>
        <w:div w:id="702167698">
          <w:marLeft w:val="0"/>
          <w:marRight w:val="0"/>
          <w:marTop w:val="0"/>
          <w:marBottom w:val="0"/>
          <w:divBdr>
            <w:top w:val="none" w:sz="0" w:space="0" w:color="auto"/>
            <w:left w:val="none" w:sz="0" w:space="0" w:color="auto"/>
            <w:bottom w:val="none" w:sz="0" w:space="0" w:color="auto"/>
            <w:right w:val="none" w:sz="0" w:space="0" w:color="auto"/>
          </w:divBdr>
          <w:divsChild>
            <w:div w:id="1266421508">
              <w:marLeft w:val="0"/>
              <w:marRight w:val="0"/>
              <w:marTop w:val="0"/>
              <w:marBottom w:val="0"/>
              <w:divBdr>
                <w:top w:val="none" w:sz="0" w:space="0" w:color="auto"/>
                <w:left w:val="none" w:sz="0" w:space="0" w:color="auto"/>
                <w:bottom w:val="none" w:sz="0" w:space="0" w:color="auto"/>
                <w:right w:val="none" w:sz="0" w:space="0" w:color="auto"/>
              </w:divBdr>
            </w:div>
          </w:divsChild>
        </w:div>
        <w:div w:id="765268727">
          <w:marLeft w:val="0"/>
          <w:marRight w:val="0"/>
          <w:marTop w:val="0"/>
          <w:marBottom w:val="0"/>
          <w:divBdr>
            <w:top w:val="none" w:sz="0" w:space="0" w:color="auto"/>
            <w:left w:val="none" w:sz="0" w:space="0" w:color="auto"/>
            <w:bottom w:val="none" w:sz="0" w:space="0" w:color="auto"/>
            <w:right w:val="none" w:sz="0" w:space="0" w:color="auto"/>
          </w:divBdr>
          <w:divsChild>
            <w:div w:id="51737716">
              <w:marLeft w:val="0"/>
              <w:marRight w:val="0"/>
              <w:marTop w:val="0"/>
              <w:marBottom w:val="0"/>
              <w:divBdr>
                <w:top w:val="none" w:sz="0" w:space="0" w:color="auto"/>
                <w:left w:val="none" w:sz="0" w:space="0" w:color="auto"/>
                <w:bottom w:val="none" w:sz="0" w:space="0" w:color="auto"/>
                <w:right w:val="none" w:sz="0" w:space="0" w:color="auto"/>
              </w:divBdr>
            </w:div>
          </w:divsChild>
        </w:div>
        <w:div w:id="785125023">
          <w:marLeft w:val="0"/>
          <w:marRight w:val="0"/>
          <w:marTop w:val="0"/>
          <w:marBottom w:val="0"/>
          <w:divBdr>
            <w:top w:val="none" w:sz="0" w:space="0" w:color="auto"/>
            <w:left w:val="none" w:sz="0" w:space="0" w:color="auto"/>
            <w:bottom w:val="none" w:sz="0" w:space="0" w:color="auto"/>
            <w:right w:val="none" w:sz="0" w:space="0" w:color="auto"/>
          </w:divBdr>
          <w:divsChild>
            <w:div w:id="798688034">
              <w:marLeft w:val="0"/>
              <w:marRight w:val="0"/>
              <w:marTop w:val="0"/>
              <w:marBottom w:val="0"/>
              <w:divBdr>
                <w:top w:val="none" w:sz="0" w:space="0" w:color="auto"/>
                <w:left w:val="none" w:sz="0" w:space="0" w:color="auto"/>
                <w:bottom w:val="none" w:sz="0" w:space="0" w:color="auto"/>
                <w:right w:val="none" w:sz="0" w:space="0" w:color="auto"/>
              </w:divBdr>
            </w:div>
          </w:divsChild>
        </w:div>
        <w:div w:id="856306917">
          <w:marLeft w:val="0"/>
          <w:marRight w:val="0"/>
          <w:marTop w:val="0"/>
          <w:marBottom w:val="0"/>
          <w:divBdr>
            <w:top w:val="none" w:sz="0" w:space="0" w:color="auto"/>
            <w:left w:val="none" w:sz="0" w:space="0" w:color="auto"/>
            <w:bottom w:val="none" w:sz="0" w:space="0" w:color="auto"/>
            <w:right w:val="none" w:sz="0" w:space="0" w:color="auto"/>
          </w:divBdr>
          <w:divsChild>
            <w:div w:id="363755740">
              <w:marLeft w:val="0"/>
              <w:marRight w:val="0"/>
              <w:marTop w:val="0"/>
              <w:marBottom w:val="0"/>
              <w:divBdr>
                <w:top w:val="none" w:sz="0" w:space="0" w:color="auto"/>
                <w:left w:val="none" w:sz="0" w:space="0" w:color="auto"/>
                <w:bottom w:val="none" w:sz="0" w:space="0" w:color="auto"/>
                <w:right w:val="none" w:sz="0" w:space="0" w:color="auto"/>
              </w:divBdr>
            </w:div>
          </w:divsChild>
        </w:div>
        <w:div w:id="883054713">
          <w:marLeft w:val="0"/>
          <w:marRight w:val="0"/>
          <w:marTop w:val="0"/>
          <w:marBottom w:val="0"/>
          <w:divBdr>
            <w:top w:val="none" w:sz="0" w:space="0" w:color="auto"/>
            <w:left w:val="none" w:sz="0" w:space="0" w:color="auto"/>
            <w:bottom w:val="none" w:sz="0" w:space="0" w:color="auto"/>
            <w:right w:val="none" w:sz="0" w:space="0" w:color="auto"/>
          </w:divBdr>
          <w:divsChild>
            <w:div w:id="197279656">
              <w:marLeft w:val="0"/>
              <w:marRight w:val="0"/>
              <w:marTop w:val="0"/>
              <w:marBottom w:val="0"/>
              <w:divBdr>
                <w:top w:val="none" w:sz="0" w:space="0" w:color="auto"/>
                <w:left w:val="none" w:sz="0" w:space="0" w:color="auto"/>
                <w:bottom w:val="none" w:sz="0" w:space="0" w:color="auto"/>
                <w:right w:val="none" w:sz="0" w:space="0" w:color="auto"/>
              </w:divBdr>
            </w:div>
          </w:divsChild>
        </w:div>
        <w:div w:id="888348440">
          <w:marLeft w:val="0"/>
          <w:marRight w:val="0"/>
          <w:marTop w:val="0"/>
          <w:marBottom w:val="0"/>
          <w:divBdr>
            <w:top w:val="none" w:sz="0" w:space="0" w:color="auto"/>
            <w:left w:val="none" w:sz="0" w:space="0" w:color="auto"/>
            <w:bottom w:val="none" w:sz="0" w:space="0" w:color="auto"/>
            <w:right w:val="none" w:sz="0" w:space="0" w:color="auto"/>
          </w:divBdr>
          <w:divsChild>
            <w:div w:id="1945378359">
              <w:marLeft w:val="0"/>
              <w:marRight w:val="0"/>
              <w:marTop w:val="0"/>
              <w:marBottom w:val="0"/>
              <w:divBdr>
                <w:top w:val="none" w:sz="0" w:space="0" w:color="auto"/>
                <w:left w:val="none" w:sz="0" w:space="0" w:color="auto"/>
                <w:bottom w:val="none" w:sz="0" w:space="0" w:color="auto"/>
                <w:right w:val="none" w:sz="0" w:space="0" w:color="auto"/>
              </w:divBdr>
            </w:div>
          </w:divsChild>
        </w:div>
        <w:div w:id="982465577">
          <w:marLeft w:val="0"/>
          <w:marRight w:val="0"/>
          <w:marTop w:val="0"/>
          <w:marBottom w:val="0"/>
          <w:divBdr>
            <w:top w:val="none" w:sz="0" w:space="0" w:color="auto"/>
            <w:left w:val="none" w:sz="0" w:space="0" w:color="auto"/>
            <w:bottom w:val="none" w:sz="0" w:space="0" w:color="auto"/>
            <w:right w:val="none" w:sz="0" w:space="0" w:color="auto"/>
          </w:divBdr>
          <w:divsChild>
            <w:div w:id="1913541259">
              <w:marLeft w:val="0"/>
              <w:marRight w:val="0"/>
              <w:marTop w:val="0"/>
              <w:marBottom w:val="0"/>
              <w:divBdr>
                <w:top w:val="none" w:sz="0" w:space="0" w:color="auto"/>
                <w:left w:val="none" w:sz="0" w:space="0" w:color="auto"/>
                <w:bottom w:val="none" w:sz="0" w:space="0" w:color="auto"/>
                <w:right w:val="none" w:sz="0" w:space="0" w:color="auto"/>
              </w:divBdr>
            </w:div>
          </w:divsChild>
        </w:div>
        <w:div w:id="984968942">
          <w:marLeft w:val="0"/>
          <w:marRight w:val="0"/>
          <w:marTop w:val="0"/>
          <w:marBottom w:val="0"/>
          <w:divBdr>
            <w:top w:val="none" w:sz="0" w:space="0" w:color="auto"/>
            <w:left w:val="none" w:sz="0" w:space="0" w:color="auto"/>
            <w:bottom w:val="none" w:sz="0" w:space="0" w:color="auto"/>
            <w:right w:val="none" w:sz="0" w:space="0" w:color="auto"/>
          </w:divBdr>
          <w:divsChild>
            <w:div w:id="1472599413">
              <w:marLeft w:val="0"/>
              <w:marRight w:val="0"/>
              <w:marTop w:val="0"/>
              <w:marBottom w:val="0"/>
              <w:divBdr>
                <w:top w:val="none" w:sz="0" w:space="0" w:color="auto"/>
                <w:left w:val="none" w:sz="0" w:space="0" w:color="auto"/>
                <w:bottom w:val="none" w:sz="0" w:space="0" w:color="auto"/>
                <w:right w:val="none" w:sz="0" w:space="0" w:color="auto"/>
              </w:divBdr>
            </w:div>
          </w:divsChild>
        </w:div>
        <w:div w:id="989215880">
          <w:marLeft w:val="0"/>
          <w:marRight w:val="0"/>
          <w:marTop w:val="0"/>
          <w:marBottom w:val="0"/>
          <w:divBdr>
            <w:top w:val="none" w:sz="0" w:space="0" w:color="auto"/>
            <w:left w:val="none" w:sz="0" w:space="0" w:color="auto"/>
            <w:bottom w:val="none" w:sz="0" w:space="0" w:color="auto"/>
            <w:right w:val="none" w:sz="0" w:space="0" w:color="auto"/>
          </w:divBdr>
          <w:divsChild>
            <w:div w:id="580330640">
              <w:marLeft w:val="0"/>
              <w:marRight w:val="0"/>
              <w:marTop w:val="0"/>
              <w:marBottom w:val="0"/>
              <w:divBdr>
                <w:top w:val="none" w:sz="0" w:space="0" w:color="auto"/>
                <w:left w:val="none" w:sz="0" w:space="0" w:color="auto"/>
                <w:bottom w:val="none" w:sz="0" w:space="0" w:color="auto"/>
                <w:right w:val="none" w:sz="0" w:space="0" w:color="auto"/>
              </w:divBdr>
            </w:div>
          </w:divsChild>
        </w:div>
        <w:div w:id="989820689">
          <w:marLeft w:val="0"/>
          <w:marRight w:val="0"/>
          <w:marTop w:val="0"/>
          <w:marBottom w:val="0"/>
          <w:divBdr>
            <w:top w:val="none" w:sz="0" w:space="0" w:color="auto"/>
            <w:left w:val="none" w:sz="0" w:space="0" w:color="auto"/>
            <w:bottom w:val="none" w:sz="0" w:space="0" w:color="auto"/>
            <w:right w:val="none" w:sz="0" w:space="0" w:color="auto"/>
          </w:divBdr>
          <w:divsChild>
            <w:div w:id="1332946498">
              <w:marLeft w:val="0"/>
              <w:marRight w:val="0"/>
              <w:marTop w:val="0"/>
              <w:marBottom w:val="0"/>
              <w:divBdr>
                <w:top w:val="none" w:sz="0" w:space="0" w:color="auto"/>
                <w:left w:val="none" w:sz="0" w:space="0" w:color="auto"/>
                <w:bottom w:val="none" w:sz="0" w:space="0" w:color="auto"/>
                <w:right w:val="none" w:sz="0" w:space="0" w:color="auto"/>
              </w:divBdr>
            </w:div>
          </w:divsChild>
        </w:div>
        <w:div w:id="992030051">
          <w:marLeft w:val="0"/>
          <w:marRight w:val="0"/>
          <w:marTop w:val="0"/>
          <w:marBottom w:val="0"/>
          <w:divBdr>
            <w:top w:val="none" w:sz="0" w:space="0" w:color="auto"/>
            <w:left w:val="none" w:sz="0" w:space="0" w:color="auto"/>
            <w:bottom w:val="none" w:sz="0" w:space="0" w:color="auto"/>
            <w:right w:val="none" w:sz="0" w:space="0" w:color="auto"/>
          </w:divBdr>
          <w:divsChild>
            <w:div w:id="1131703065">
              <w:marLeft w:val="0"/>
              <w:marRight w:val="0"/>
              <w:marTop w:val="0"/>
              <w:marBottom w:val="0"/>
              <w:divBdr>
                <w:top w:val="none" w:sz="0" w:space="0" w:color="auto"/>
                <w:left w:val="none" w:sz="0" w:space="0" w:color="auto"/>
                <w:bottom w:val="none" w:sz="0" w:space="0" w:color="auto"/>
                <w:right w:val="none" w:sz="0" w:space="0" w:color="auto"/>
              </w:divBdr>
            </w:div>
          </w:divsChild>
        </w:div>
        <w:div w:id="1028986852">
          <w:marLeft w:val="0"/>
          <w:marRight w:val="0"/>
          <w:marTop w:val="0"/>
          <w:marBottom w:val="0"/>
          <w:divBdr>
            <w:top w:val="none" w:sz="0" w:space="0" w:color="auto"/>
            <w:left w:val="none" w:sz="0" w:space="0" w:color="auto"/>
            <w:bottom w:val="none" w:sz="0" w:space="0" w:color="auto"/>
            <w:right w:val="none" w:sz="0" w:space="0" w:color="auto"/>
          </w:divBdr>
          <w:divsChild>
            <w:div w:id="1391075101">
              <w:marLeft w:val="0"/>
              <w:marRight w:val="0"/>
              <w:marTop w:val="0"/>
              <w:marBottom w:val="0"/>
              <w:divBdr>
                <w:top w:val="none" w:sz="0" w:space="0" w:color="auto"/>
                <w:left w:val="none" w:sz="0" w:space="0" w:color="auto"/>
                <w:bottom w:val="none" w:sz="0" w:space="0" w:color="auto"/>
                <w:right w:val="none" w:sz="0" w:space="0" w:color="auto"/>
              </w:divBdr>
            </w:div>
          </w:divsChild>
        </w:div>
        <w:div w:id="1038166164">
          <w:marLeft w:val="0"/>
          <w:marRight w:val="0"/>
          <w:marTop w:val="0"/>
          <w:marBottom w:val="0"/>
          <w:divBdr>
            <w:top w:val="none" w:sz="0" w:space="0" w:color="auto"/>
            <w:left w:val="none" w:sz="0" w:space="0" w:color="auto"/>
            <w:bottom w:val="none" w:sz="0" w:space="0" w:color="auto"/>
            <w:right w:val="none" w:sz="0" w:space="0" w:color="auto"/>
          </w:divBdr>
          <w:divsChild>
            <w:div w:id="1917548487">
              <w:marLeft w:val="0"/>
              <w:marRight w:val="0"/>
              <w:marTop w:val="0"/>
              <w:marBottom w:val="0"/>
              <w:divBdr>
                <w:top w:val="none" w:sz="0" w:space="0" w:color="auto"/>
                <w:left w:val="none" w:sz="0" w:space="0" w:color="auto"/>
                <w:bottom w:val="none" w:sz="0" w:space="0" w:color="auto"/>
                <w:right w:val="none" w:sz="0" w:space="0" w:color="auto"/>
              </w:divBdr>
            </w:div>
          </w:divsChild>
        </w:div>
        <w:div w:id="1058624834">
          <w:marLeft w:val="0"/>
          <w:marRight w:val="0"/>
          <w:marTop w:val="0"/>
          <w:marBottom w:val="0"/>
          <w:divBdr>
            <w:top w:val="none" w:sz="0" w:space="0" w:color="auto"/>
            <w:left w:val="none" w:sz="0" w:space="0" w:color="auto"/>
            <w:bottom w:val="none" w:sz="0" w:space="0" w:color="auto"/>
            <w:right w:val="none" w:sz="0" w:space="0" w:color="auto"/>
          </w:divBdr>
          <w:divsChild>
            <w:div w:id="1686128837">
              <w:marLeft w:val="0"/>
              <w:marRight w:val="0"/>
              <w:marTop w:val="0"/>
              <w:marBottom w:val="0"/>
              <w:divBdr>
                <w:top w:val="none" w:sz="0" w:space="0" w:color="auto"/>
                <w:left w:val="none" w:sz="0" w:space="0" w:color="auto"/>
                <w:bottom w:val="none" w:sz="0" w:space="0" w:color="auto"/>
                <w:right w:val="none" w:sz="0" w:space="0" w:color="auto"/>
              </w:divBdr>
            </w:div>
          </w:divsChild>
        </w:div>
        <w:div w:id="1094978363">
          <w:marLeft w:val="0"/>
          <w:marRight w:val="0"/>
          <w:marTop w:val="0"/>
          <w:marBottom w:val="0"/>
          <w:divBdr>
            <w:top w:val="none" w:sz="0" w:space="0" w:color="auto"/>
            <w:left w:val="none" w:sz="0" w:space="0" w:color="auto"/>
            <w:bottom w:val="none" w:sz="0" w:space="0" w:color="auto"/>
            <w:right w:val="none" w:sz="0" w:space="0" w:color="auto"/>
          </w:divBdr>
          <w:divsChild>
            <w:div w:id="1638296078">
              <w:marLeft w:val="0"/>
              <w:marRight w:val="0"/>
              <w:marTop w:val="0"/>
              <w:marBottom w:val="0"/>
              <w:divBdr>
                <w:top w:val="none" w:sz="0" w:space="0" w:color="auto"/>
                <w:left w:val="none" w:sz="0" w:space="0" w:color="auto"/>
                <w:bottom w:val="none" w:sz="0" w:space="0" w:color="auto"/>
                <w:right w:val="none" w:sz="0" w:space="0" w:color="auto"/>
              </w:divBdr>
            </w:div>
          </w:divsChild>
        </w:div>
        <w:div w:id="1109007395">
          <w:marLeft w:val="0"/>
          <w:marRight w:val="0"/>
          <w:marTop w:val="0"/>
          <w:marBottom w:val="0"/>
          <w:divBdr>
            <w:top w:val="none" w:sz="0" w:space="0" w:color="auto"/>
            <w:left w:val="none" w:sz="0" w:space="0" w:color="auto"/>
            <w:bottom w:val="none" w:sz="0" w:space="0" w:color="auto"/>
            <w:right w:val="none" w:sz="0" w:space="0" w:color="auto"/>
          </w:divBdr>
          <w:divsChild>
            <w:div w:id="1393046059">
              <w:marLeft w:val="0"/>
              <w:marRight w:val="0"/>
              <w:marTop w:val="0"/>
              <w:marBottom w:val="0"/>
              <w:divBdr>
                <w:top w:val="none" w:sz="0" w:space="0" w:color="auto"/>
                <w:left w:val="none" w:sz="0" w:space="0" w:color="auto"/>
                <w:bottom w:val="none" w:sz="0" w:space="0" w:color="auto"/>
                <w:right w:val="none" w:sz="0" w:space="0" w:color="auto"/>
              </w:divBdr>
            </w:div>
          </w:divsChild>
        </w:div>
        <w:div w:id="1125270869">
          <w:marLeft w:val="0"/>
          <w:marRight w:val="0"/>
          <w:marTop w:val="0"/>
          <w:marBottom w:val="0"/>
          <w:divBdr>
            <w:top w:val="none" w:sz="0" w:space="0" w:color="auto"/>
            <w:left w:val="none" w:sz="0" w:space="0" w:color="auto"/>
            <w:bottom w:val="none" w:sz="0" w:space="0" w:color="auto"/>
            <w:right w:val="none" w:sz="0" w:space="0" w:color="auto"/>
          </w:divBdr>
          <w:divsChild>
            <w:div w:id="1741100265">
              <w:marLeft w:val="0"/>
              <w:marRight w:val="0"/>
              <w:marTop w:val="0"/>
              <w:marBottom w:val="0"/>
              <w:divBdr>
                <w:top w:val="none" w:sz="0" w:space="0" w:color="auto"/>
                <w:left w:val="none" w:sz="0" w:space="0" w:color="auto"/>
                <w:bottom w:val="none" w:sz="0" w:space="0" w:color="auto"/>
                <w:right w:val="none" w:sz="0" w:space="0" w:color="auto"/>
              </w:divBdr>
            </w:div>
          </w:divsChild>
        </w:div>
        <w:div w:id="1130898222">
          <w:marLeft w:val="0"/>
          <w:marRight w:val="0"/>
          <w:marTop w:val="0"/>
          <w:marBottom w:val="0"/>
          <w:divBdr>
            <w:top w:val="none" w:sz="0" w:space="0" w:color="auto"/>
            <w:left w:val="none" w:sz="0" w:space="0" w:color="auto"/>
            <w:bottom w:val="none" w:sz="0" w:space="0" w:color="auto"/>
            <w:right w:val="none" w:sz="0" w:space="0" w:color="auto"/>
          </w:divBdr>
          <w:divsChild>
            <w:div w:id="1475415626">
              <w:marLeft w:val="0"/>
              <w:marRight w:val="0"/>
              <w:marTop w:val="0"/>
              <w:marBottom w:val="0"/>
              <w:divBdr>
                <w:top w:val="none" w:sz="0" w:space="0" w:color="auto"/>
                <w:left w:val="none" w:sz="0" w:space="0" w:color="auto"/>
                <w:bottom w:val="none" w:sz="0" w:space="0" w:color="auto"/>
                <w:right w:val="none" w:sz="0" w:space="0" w:color="auto"/>
              </w:divBdr>
            </w:div>
          </w:divsChild>
        </w:div>
        <w:div w:id="1145705469">
          <w:marLeft w:val="0"/>
          <w:marRight w:val="0"/>
          <w:marTop w:val="0"/>
          <w:marBottom w:val="0"/>
          <w:divBdr>
            <w:top w:val="none" w:sz="0" w:space="0" w:color="auto"/>
            <w:left w:val="none" w:sz="0" w:space="0" w:color="auto"/>
            <w:bottom w:val="none" w:sz="0" w:space="0" w:color="auto"/>
            <w:right w:val="none" w:sz="0" w:space="0" w:color="auto"/>
          </w:divBdr>
          <w:divsChild>
            <w:div w:id="963734637">
              <w:marLeft w:val="0"/>
              <w:marRight w:val="0"/>
              <w:marTop w:val="0"/>
              <w:marBottom w:val="0"/>
              <w:divBdr>
                <w:top w:val="none" w:sz="0" w:space="0" w:color="auto"/>
                <w:left w:val="none" w:sz="0" w:space="0" w:color="auto"/>
                <w:bottom w:val="none" w:sz="0" w:space="0" w:color="auto"/>
                <w:right w:val="none" w:sz="0" w:space="0" w:color="auto"/>
              </w:divBdr>
            </w:div>
          </w:divsChild>
        </w:div>
        <w:div w:id="1164006507">
          <w:marLeft w:val="0"/>
          <w:marRight w:val="0"/>
          <w:marTop w:val="0"/>
          <w:marBottom w:val="0"/>
          <w:divBdr>
            <w:top w:val="none" w:sz="0" w:space="0" w:color="auto"/>
            <w:left w:val="none" w:sz="0" w:space="0" w:color="auto"/>
            <w:bottom w:val="none" w:sz="0" w:space="0" w:color="auto"/>
            <w:right w:val="none" w:sz="0" w:space="0" w:color="auto"/>
          </w:divBdr>
          <w:divsChild>
            <w:div w:id="387996490">
              <w:marLeft w:val="0"/>
              <w:marRight w:val="0"/>
              <w:marTop w:val="0"/>
              <w:marBottom w:val="0"/>
              <w:divBdr>
                <w:top w:val="none" w:sz="0" w:space="0" w:color="auto"/>
                <w:left w:val="none" w:sz="0" w:space="0" w:color="auto"/>
                <w:bottom w:val="none" w:sz="0" w:space="0" w:color="auto"/>
                <w:right w:val="none" w:sz="0" w:space="0" w:color="auto"/>
              </w:divBdr>
            </w:div>
          </w:divsChild>
        </w:div>
        <w:div w:id="1172331526">
          <w:marLeft w:val="0"/>
          <w:marRight w:val="0"/>
          <w:marTop w:val="0"/>
          <w:marBottom w:val="0"/>
          <w:divBdr>
            <w:top w:val="none" w:sz="0" w:space="0" w:color="auto"/>
            <w:left w:val="none" w:sz="0" w:space="0" w:color="auto"/>
            <w:bottom w:val="none" w:sz="0" w:space="0" w:color="auto"/>
            <w:right w:val="none" w:sz="0" w:space="0" w:color="auto"/>
          </w:divBdr>
          <w:divsChild>
            <w:div w:id="852038839">
              <w:marLeft w:val="0"/>
              <w:marRight w:val="0"/>
              <w:marTop w:val="0"/>
              <w:marBottom w:val="0"/>
              <w:divBdr>
                <w:top w:val="none" w:sz="0" w:space="0" w:color="auto"/>
                <w:left w:val="none" w:sz="0" w:space="0" w:color="auto"/>
                <w:bottom w:val="none" w:sz="0" w:space="0" w:color="auto"/>
                <w:right w:val="none" w:sz="0" w:space="0" w:color="auto"/>
              </w:divBdr>
            </w:div>
          </w:divsChild>
        </w:div>
        <w:div w:id="1212502529">
          <w:marLeft w:val="0"/>
          <w:marRight w:val="0"/>
          <w:marTop w:val="0"/>
          <w:marBottom w:val="0"/>
          <w:divBdr>
            <w:top w:val="none" w:sz="0" w:space="0" w:color="auto"/>
            <w:left w:val="none" w:sz="0" w:space="0" w:color="auto"/>
            <w:bottom w:val="none" w:sz="0" w:space="0" w:color="auto"/>
            <w:right w:val="none" w:sz="0" w:space="0" w:color="auto"/>
          </w:divBdr>
          <w:divsChild>
            <w:div w:id="925723073">
              <w:marLeft w:val="0"/>
              <w:marRight w:val="0"/>
              <w:marTop w:val="0"/>
              <w:marBottom w:val="0"/>
              <w:divBdr>
                <w:top w:val="none" w:sz="0" w:space="0" w:color="auto"/>
                <w:left w:val="none" w:sz="0" w:space="0" w:color="auto"/>
                <w:bottom w:val="none" w:sz="0" w:space="0" w:color="auto"/>
                <w:right w:val="none" w:sz="0" w:space="0" w:color="auto"/>
              </w:divBdr>
            </w:div>
          </w:divsChild>
        </w:div>
        <w:div w:id="1250000839">
          <w:marLeft w:val="0"/>
          <w:marRight w:val="0"/>
          <w:marTop w:val="0"/>
          <w:marBottom w:val="0"/>
          <w:divBdr>
            <w:top w:val="none" w:sz="0" w:space="0" w:color="auto"/>
            <w:left w:val="none" w:sz="0" w:space="0" w:color="auto"/>
            <w:bottom w:val="none" w:sz="0" w:space="0" w:color="auto"/>
            <w:right w:val="none" w:sz="0" w:space="0" w:color="auto"/>
          </w:divBdr>
          <w:divsChild>
            <w:div w:id="1870407271">
              <w:marLeft w:val="0"/>
              <w:marRight w:val="0"/>
              <w:marTop w:val="0"/>
              <w:marBottom w:val="0"/>
              <w:divBdr>
                <w:top w:val="none" w:sz="0" w:space="0" w:color="auto"/>
                <w:left w:val="none" w:sz="0" w:space="0" w:color="auto"/>
                <w:bottom w:val="none" w:sz="0" w:space="0" w:color="auto"/>
                <w:right w:val="none" w:sz="0" w:space="0" w:color="auto"/>
              </w:divBdr>
            </w:div>
          </w:divsChild>
        </w:div>
        <w:div w:id="1273436065">
          <w:marLeft w:val="0"/>
          <w:marRight w:val="0"/>
          <w:marTop w:val="0"/>
          <w:marBottom w:val="0"/>
          <w:divBdr>
            <w:top w:val="none" w:sz="0" w:space="0" w:color="auto"/>
            <w:left w:val="none" w:sz="0" w:space="0" w:color="auto"/>
            <w:bottom w:val="none" w:sz="0" w:space="0" w:color="auto"/>
            <w:right w:val="none" w:sz="0" w:space="0" w:color="auto"/>
          </w:divBdr>
          <w:divsChild>
            <w:div w:id="1007170465">
              <w:marLeft w:val="0"/>
              <w:marRight w:val="0"/>
              <w:marTop w:val="0"/>
              <w:marBottom w:val="0"/>
              <w:divBdr>
                <w:top w:val="none" w:sz="0" w:space="0" w:color="auto"/>
                <w:left w:val="none" w:sz="0" w:space="0" w:color="auto"/>
                <w:bottom w:val="none" w:sz="0" w:space="0" w:color="auto"/>
                <w:right w:val="none" w:sz="0" w:space="0" w:color="auto"/>
              </w:divBdr>
            </w:div>
          </w:divsChild>
        </w:div>
        <w:div w:id="1306744376">
          <w:marLeft w:val="0"/>
          <w:marRight w:val="0"/>
          <w:marTop w:val="0"/>
          <w:marBottom w:val="0"/>
          <w:divBdr>
            <w:top w:val="none" w:sz="0" w:space="0" w:color="auto"/>
            <w:left w:val="none" w:sz="0" w:space="0" w:color="auto"/>
            <w:bottom w:val="none" w:sz="0" w:space="0" w:color="auto"/>
            <w:right w:val="none" w:sz="0" w:space="0" w:color="auto"/>
          </w:divBdr>
          <w:divsChild>
            <w:div w:id="118451383">
              <w:marLeft w:val="0"/>
              <w:marRight w:val="0"/>
              <w:marTop w:val="0"/>
              <w:marBottom w:val="0"/>
              <w:divBdr>
                <w:top w:val="none" w:sz="0" w:space="0" w:color="auto"/>
                <w:left w:val="none" w:sz="0" w:space="0" w:color="auto"/>
                <w:bottom w:val="none" w:sz="0" w:space="0" w:color="auto"/>
                <w:right w:val="none" w:sz="0" w:space="0" w:color="auto"/>
              </w:divBdr>
            </w:div>
          </w:divsChild>
        </w:div>
        <w:div w:id="1312443983">
          <w:marLeft w:val="0"/>
          <w:marRight w:val="0"/>
          <w:marTop w:val="0"/>
          <w:marBottom w:val="0"/>
          <w:divBdr>
            <w:top w:val="none" w:sz="0" w:space="0" w:color="auto"/>
            <w:left w:val="none" w:sz="0" w:space="0" w:color="auto"/>
            <w:bottom w:val="none" w:sz="0" w:space="0" w:color="auto"/>
            <w:right w:val="none" w:sz="0" w:space="0" w:color="auto"/>
          </w:divBdr>
          <w:divsChild>
            <w:div w:id="957686485">
              <w:marLeft w:val="0"/>
              <w:marRight w:val="0"/>
              <w:marTop w:val="0"/>
              <w:marBottom w:val="0"/>
              <w:divBdr>
                <w:top w:val="none" w:sz="0" w:space="0" w:color="auto"/>
                <w:left w:val="none" w:sz="0" w:space="0" w:color="auto"/>
                <w:bottom w:val="none" w:sz="0" w:space="0" w:color="auto"/>
                <w:right w:val="none" w:sz="0" w:space="0" w:color="auto"/>
              </w:divBdr>
            </w:div>
          </w:divsChild>
        </w:div>
        <w:div w:id="1327057231">
          <w:marLeft w:val="0"/>
          <w:marRight w:val="0"/>
          <w:marTop w:val="0"/>
          <w:marBottom w:val="0"/>
          <w:divBdr>
            <w:top w:val="none" w:sz="0" w:space="0" w:color="auto"/>
            <w:left w:val="none" w:sz="0" w:space="0" w:color="auto"/>
            <w:bottom w:val="none" w:sz="0" w:space="0" w:color="auto"/>
            <w:right w:val="none" w:sz="0" w:space="0" w:color="auto"/>
          </w:divBdr>
          <w:divsChild>
            <w:div w:id="490566246">
              <w:marLeft w:val="0"/>
              <w:marRight w:val="0"/>
              <w:marTop w:val="0"/>
              <w:marBottom w:val="0"/>
              <w:divBdr>
                <w:top w:val="none" w:sz="0" w:space="0" w:color="auto"/>
                <w:left w:val="none" w:sz="0" w:space="0" w:color="auto"/>
                <w:bottom w:val="none" w:sz="0" w:space="0" w:color="auto"/>
                <w:right w:val="none" w:sz="0" w:space="0" w:color="auto"/>
              </w:divBdr>
            </w:div>
          </w:divsChild>
        </w:div>
        <w:div w:id="1366561684">
          <w:marLeft w:val="0"/>
          <w:marRight w:val="0"/>
          <w:marTop w:val="0"/>
          <w:marBottom w:val="0"/>
          <w:divBdr>
            <w:top w:val="none" w:sz="0" w:space="0" w:color="auto"/>
            <w:left w:val="none" w:sz="0" w:space="0" w:color="auto"/>
            <w:bottom w:val="none" w:sz="0" w:space="0" w:color="auto"/>
            <w:right w:val="none" w:sz="0" w:space="0" w:color="auto"/>
          </w:divBdr>
          <w:divsChild>
            <w:div w:id="640812625">
              <w:marLeft w:val="0"/>
              <w:marRight w:val="0"/>
              <w:marTop w:val="0"/>
              <w:marBottom w:val="0"/>
              <w:divBdr>
                <w:top w:val="none" w:sz="0" w:space="0" w:color="auto"/>
                <w:left w:val="none" w:sz="0" w:space="0" w:color="auto"/>
                <w:bottom w:val="none" w:sz="0" w:space="0" w:color="auto"/>
                <w:right w:val="none" w:sz="0" w:space="0" w:color="auto"/>
              </w:divBdr>
            </w:div>
          </w:divsChild>
        </w:div>
        <w:div w:id="1407336646">
          <w:marLeft w:val="0"/>
          <w:marRight w:val="0"/>
          <w:marTop w:val="0"/>
          <w:marBottom w:val="0"/>
          <w:divBdr>
            <w:top w:val="none" w:sz="0" w:space="0" w:color="auto"/>
            <w:left w:val="none" w:sz="0" w:space="0" w:color="auto"/>
            <w:bottom w:val="none" w:sz="0" w:space="0" w:color="auto"/>
            <w:right w:val="none" w:sz="0" w:space="0" w:color="auto"/>
          </w:divBdr>
          <w:divsChild>
            <w:div w:id="351880466">
              <w:marLeft w:val="0"/>
              <w:marRight w:val="0"/>
              <w:marTop w:val="0"/>
              <w:marBottom w:val="0"/>
              <w:divBdr>
                <w:top w:val="none" w:sz="0" w:space="0" w:color="auto"/>
                <w:left w:val="none" w:sz="0" w:space="0" w:color="auto"/>
                <w:bottom w:val="none" w:sz="0" w:space="0" w:color="auto"/>
                <w:right w:val="none" w:sz="0" w:space="0" w:color="auto"/>
              </w:divBdr>
            </w:div>
          </w:divsChild>
        </w:div>
        <w:div w:id="1408724205">
          <w:marLeft w:val="0"/>
          <w:marRight w:val="0"/>
          <w:marTop w:val="0"/>
          <w:marBottom w:val="0"/>
          <w:divBdr>
            <w:top w:val="none" w:sz="0" w:space="0" w:color="auto"/>
            <w:left w:val="none" w:sz="0" w:space="0" w:color="auto"/>
            <w:bottom w:val="none" w:sz="0" w:space="0" w:color="auto"/>
            <w:right w:val="none" w:sz="0" w:space="0" w:color="auto"/>
          </w:divBdr>
          <w:divsChild>
            <w:div w:id="1118527123">
              <w:marLeft w:val="0"/>
              <w:marRight w:val="0"/>
              <w:marTop w:val="0"/>
              <w:marBottom w:val="0"/>
              <w:divBdr>
                <w:top w:val="none" w:sz="0" w:space="0" w:color="auto"/>
                <w:left w:val="none" w:sz="0" w:space="0" w:color="auto"/>
                <w:bottom w:val="none" w:sz="0" w:space="0" w:color="auto"/>
                <w:right w:val="none" w:sz="0" w:space="0" w:color="auto"/>
              </w:divBdr>
            </w:div>
          </w:divsChild>
        </w:div>
        <w:div w:id="1409646240">
          <w:marLeft w:val="0"/>
          <w:marRight w:val="0"/>
          <w:marTop w:val="0"/>
          <w:marBottom w:val="0"/>
          <w:divBdr>
            <w:top w:val="none" w:sz="0" w:space="0" w:color="auto"/>
            <w:left w:val="none" w:sz="0" w:space="0" w:color="auto"/>
            <w:bottom w:val="none" w:sz="0" w:space="0" w:color="auto"/>
            <w:right w:val="none" w:sz="0" w:space="0" w:color="auto"/>
          </w:divBdr>
          <w:divsChild>
            <w:div w:id="1550651018">
              <w:marLeft w:val="0"/>
              <w:marRight w:val="0"/>
              <w:marTop w:val="0"/>
              <w:marBottom w:val="0"/>
              <w:divBdr>
                <w:top w:val="none" w:sz="0" w:space="0" w:color="auto"/>
                <w:left w:val="none" w:sz="0" w:space="0" w:color="auto"/>
                <w:bottom w:val="none" w:sz="0" w:space="0" w:color="auto"/>
                <w:right w:val="none" w:sz="0" w:space="0" w:color="auto"/>
              </w:divBdr>
            </w:div>
          </w:divsChild>
        </w:div>
        <w:div w:id="1416853918">
          <w:marLeft w:val="0"/>
          <w:marRight w:val="0"/>
          <w:marTop w:val="0"/>
          <w:marBottom w:val="0"/>
          <w:divBdr>
            <w:top w:val="none" w:sz="0" w:space="0" w:color="auto"/>
            <w:left w:val="none" w:sz="0" w:space="0" w:color="auto"/>
            <w:bottom w:val="none" w:sz="0" w:space="0" w:color="auto"/>
            <w:right w:val="none" w:sz="0" w:space="0" w:color="auto"/>
          </w:divBdr>
          <w:divsChild>
            <w:div w:id="761267222">
              <w:marLeft w:val="0"/>
              <w:marRight w:val="0"/>
              <w:marTop w:val="0"/>
              <w:marBottom w:val="0"/>
              <w:divBdr>
                <w:top w:val="none" w:sz="0" w:space="0" w:color="auto"/>
                <w:left w:val="none" w:sz="0" w:space="0" w:color="auto"/>
                <w:bottom w:val="none" w:sz="0" w:space="0" w:color="auto"/>
                <w:right w:val="none" w:sz="0" w:space="0" w:color="auto"/>
              </w:divBdr>
            </w:div>
          </w:divsChild>
        </w:div>
        <w:div w:id="1445031647">
          <w:marLeft w:val="0"/>
          <w:marRight w:val="0"/>
          <w:marTop w:val="0"/>
          <w:marBottom w:val="0"/>
          <w:divBdr>
            <w:top w:val="none" w:sz="0" w:space="0" w:color="auto"/>
            <w:left w:val="none" w:sz="0" w:space="0" w:color="auto"/>
            <w:bottom w:val="none" w:sz="0" w:space="0" w:color="auto"/>
            <w:right w:val="none" w:sz="0" w:space="0" w:color="auto"/>
          </w:divBdr>
          <w:divsChild>
            <w:div w:id="797377708">
              <w:marLeft w:val="0"/>
              <w:marRight w:val="0"/>
              <w:marTop w:val="0"/>
              <w:marBottom w:val="0"/>
              <w:divBdr>
                <w:top w:val="none" w:sz="0" w:space="0" w:color="auto"/>
                <w:left w:val="none" w:sz="0" w:space="0" w:color="auto"/>
                <w:bottom w:val="none" w:sz="0" w:space="0" w:color="auto"/>
                <w:right w:val="none" w:sz="0" w:space="0" w:color="auto"/>
              </w:divBdr>
            </w:div>
          </w:divsChild>
        </w:div>
        <w:div w:id="1452237399">
          <w:marLeft w:val="0"/>
          <w:marRight w:val="0"/>
          <w:marTop w:val="0"/>
          <w:marBottom w:val="0"/>
          <w:divBdr>
            <w:top w:val="none" w:sz="0" w:space="0" w:color="auto"/>
            <w:left w:val="none" w:sz="0" w:space="0" w:color="auto"/>
            <w:bottom w:val="none" w:sz="0" w:space="0" w:color="auto"/>
            <w:right w:val="none" w:sz="0" w:space="0" w:color="auto"/>
          </w:divBdr>
          <w:divsChild>
            <w:div w:id="114374622">
              <w:marLeft w:val="0"/>
              <w:marRight w:val="0"/>
              <w:marTop w:val="0"/>
              <w:marBottom w:val="0"/>
              <w:divBdr>
                <w:top w:val="none" w:sz="0" w:space="0" w:color="auto"/>
                <w:left w:val="none" w:sz="0" w:space="0" w:color="auto"/>
                <w:bottom w:val="none" w:sz="0" w:space="0" w:color="auto"/>
                <w:right w:val="none" w:sz="0" w:space="0" w:color="auto"/>
              </w:divBdr>
            </w:div>
          </w:divsChild>
        </w:div>
        <w:div w:id="1452239748">
          <w:marLeft w:val="0"/>
          <w:marRight w:val="0"/>
          <w:marTop w:val="0"/>
          <w:marBottom w:val="0"/>
          <w:divBdr>
            <w:top w:val="none" w:sz="0" w:space="0" w:color="auto"/>
            <w:left w:val="none" w:sz="0" w:space="0" w:color="auto"/>
            <w:bottom w:val="none" w:sz="0" w:space="0" w:color="auto"/>
            <w:right w:val="none" w:sz="0" w:space="0" w:color="auto"/>
          </w:divBdr>
          <w:divsChild>
            <w:div w:id="1021321260">
              <w:marLeft w:val="0"/>
              <w:marRight w:val="0"/>
              <w:marTop w:val="0"/>
              <w:marBottom w:val="0"/>
              <w:divBdr>
                <w:top w:val="none" w:sz="0" w:space="0" w:color="auto"/>
                <w:left w:val="none" w:sz="0" w:space="0" w:color="auto"/>
                <w:bottom w:val="none" w:sz="0" w:space="0" w:color="auto"/>
                <w:right w:val="none" w:sz="0" w:space="0" w:color="auto"/>
              </w:divBdr>
            </w:div>
          </w:divsChild>
        </w:div>
        <w:div w:id="1476218211">
          <w:marLeft w:val="0"/>
          <w:marRight w:val="0"/>
          <w:marTop w:val="0"/>
          <w:marBottom w:val="0"/>
          <w:divBdr>
            <w:top w:val="none" w:sz="0" w:space="0" w:color="auto"/>
            <w:left w:val="none" w:sz="0" w:space="0" w:color="auto"/>
            <w:bottom w:val="none" w:sz="0" w:space="0" w:color="auto"/>
            <w:right w:val="none" w:sz="0" w:space="0" w:color="auto"/>
          </w:divBdr>
          <w:divsChild>
            <w:div w:id="494299789">
              <w:marLeft w:val="0"/>
              <w:marRight w:val="0"/>
              <w:marTop w:val="0"/>
              <w:marBottom w:val="0"/>
              <w:divBdr>
                <w:top w:val="none" w:sz="0" w:space="0" w:color="auto"/>
                <w:left w:val="none" w:sz="0" w:space="0" w:color="auto"/>
                <w:bottom w:val="none" w:sz="0" w:space="0" w:color="auto"/>
                <w:right w:val="none" w:sz="0" w:space="0" w:color="auto"/>
              </w:divBdr>
            </w:div>
          </w:divsChild>
        </w:div>
        <w:div w:id="1502283162">
          <w:marLeft w:val="0"/>
          <w:marRight w:val="0"/>
          <w:marTop w:val="0"/>
          <w:marBottom w:val="0"/>
          <w:divBdr>
            <w:top w:val="none" w:sz="0" w:space="0" w:color="auto"/>
            <w:left w:val="none" w:sz="0" w:space="0" w:color="auto"/>
            <w:bottom w:val="none" w:sz="0" w:space="0" w:color="auto"/>
            <w:right w:val="none" w:sz="0" w:space="0" w:color="auto"/>
          </w:divBdr>
          <w:divsChild>
            <w:div w:id="716702105">
              <w:marLeft w:val="0"/>
              <w:marRight w:val="0"/>
              <w:marTop w:val="0"/>
              <w:marBottom w:val="0"/>
              <w:divBdr>
                <w:top w:val="none" w:sz="0" w:space="0" w:color="auto"/>
                <w:left w:val="none" w:sz="0" w:space="0" w:color="auto"/>
                <w:bottom w:val="none" w:sz="0" w:space="0" w:color="auto"/>
                <w:right w:val="none" w:sz="0" w:space="0" w:color="auto"/>
              </w:divBdr>
            </w:div>
          </w:divsChild>
        </w:div>
        <w:div w:id="1518421196">
          <w:marLeft w:val="0"/>
          <w:marRight w:val="0"/>
          <w:marTop w:val="0"/>
          <w:marBottom w:val="0"/>
          <w:divBdr>
            <w:top w:val="none" w:sz="0" w:space="0" w:color="auto"/>
            <w:left w:val="none" w:sz="0" w:space="0" w:color="auto"/>
            <w:bottom w:val="none" w:sz="0" w:space="0" w:color="auto"/>
            <w:right w:val="none" w:sz="0" w:space="0" w:color="auto"/>
          </w:divBdr>
          <w:divsChild>
            <w:div w:id="1705708620">
              <w:marLeft w:val="0"/>
              <w:marRight w:val="0"/>
              <w:marTop w:val="0"/>
              <w:marBottom w:val="0"/>
              <w:divBdr>
                <w:top w:val="none" w:sz="0" w:space="0" w:color="auto"/>
                <w:left w:val="none" w:sz="0" w:space="0" w:color="auto"/>
                <w:bottom w:val="none" w:sz="0" w:space="0" w:color="auto"/>
                <w:right w:val="none" w:sz="0" w:space="0" w:color="auto"/>
              </w:divBdr>
            </w:div>
          </w:divsChild>
        </w:div>
        <w:div w:id="1569460746">
          <w:marLeft w:val="0"/>
          <w:marRight w:val="0"/>
          <w:marTop w:val="0"/>
          <w:marBottom w:val="0"/>
          <w:divBdr>
            <w:top w:val="none" w:sz="0" w:space="0" w:color="auto"/>
            <w:left w:val="none" w:sz="0" w:space="0" w:color="auto"/>
            <w:bottom w:val="none" w:sz="0" w:space="0" w:color="auto"/>
            <w:right w:val="none" w:sz="0" w:space="0" w:color="auto"/>
          </w:divBdr>
          <w:divsChild>
            <w:div w:id="1050616423">
              <w:marLeft w:val="0"/>
              <w:marRight w:val="0"/>
              <w:marTop w:val="0"/>
              <w:marBottom w:val="0"/>
              <w:divBdr>
                <w:top w:val="none" w:sz="0" w:space="0" w:color="auto"/>
                <w:left w:val="none" w:sz="0" w:space="0" w:color="auto"/>
                <w:bottom w:val="none" w:sz="0" w:space="0" w:color="auto"/>
                <w:right w:val="none" w:sz="0" w:space="0" w:color="auto"/>
              </w:divBdr>
            </w:div>
          </w:divsChild>
        </w:div>
        <w:div w:id="1590962808">
          <w:marLeft w:val="0"/>
          <w:marRight w:val="0"/>
          <w:marTop w:val="0"/>
          <w:marBottom w:val="0"/>
          <w:divBdr>
            <w:top w:val="none" w:sz="0" w:space="0" w:color="auto"/>
            <w:left w:val="none" w:sz="0" w:space="0" w:color="auto"/>
            <w:bottom w:val="none" w:sz="0" w:space="0" w:color="auto"/>
            <w:right w:val="none" w:sz="0" w:space="0" w:color="auto"/>
          </w:divBdr>
          <w:divsChild>
            <w:div w:id="1345673348">
              <w:marLeft w:val="0"/>
              <w:marRight w:val="0"/>
              <w:marTop w:val="0"/>
              <w:marBottom w:val="0"/>
              <w:divBdr>
                <w:top w:val="none" w:sz="0" w:space="0" w:color="auto"/>
                <w:left w:val="none" w:sz="0" w:space="0" w:color="auto"/>
                <w:bottom w:val="none" w:sz="0" w:space="0" w:color="auto"/>
                <w:right w:val="none" w:sz="0" w:space="0" w:color="auto"/>
              </w:divBdr>
            </w:div>
          </w:divsChild>
        </w:div>
        <w:div w:id="1594783321">
          <w:marLeft w:val="0"/>
          <w:marRight w:val="0"/>
          <w:marTop w:val="0"/>
          <w:marBottom w:val="0"/>
          <w:divBdr>
            <w:top w:val="none" w:sz="0" w:space="0" w:color="auto"/>
            <w:left w:val="none" w:sz="0" w:space="0" w:color="auto"/>
            <w:bottom w:val="none" w:sz="0" w:space="0" w:color="auto"/>
            <w:right w:val="none" w:sz="0" w:space="0" w:color="auto"/>
          </w:divBdr>
          <w:divsChild>
            <w:div w:id="1521163795">
              <w:marLeft w:val="0"/>
              <w:marRight w:val="0"/>
              <w:marTop w:val="0"/>
              <w:marBottom w:val="0"/>
              <w:divBdr>
                <w:top w:val="none" w:sz="0" w:space="0" w:color="auto"/>
                <w:left w:val="none" w:sz="0" w:space="0" w:color="auto"/>
                <w:bottom w:val="none" w:sz="0" w:space="0" w:color="auto"/>
                <w:right w:val="none" w:sz="0" w:space="0" w:color="auto"/>
              </w:divBdr>
            </w:div>
          </w:divsChild>
        </w:div>
        <w:div w:id="1596356268">
          <w:marLeft w:val="0"/>
          <w:marRight w:val="0"/>
          <w:marTop w:val="0"/>
          <w:marBottom w:val="0"/>
          <w:divBdr>
            <w:top w:val="none" w:sz="0" w:space="0" w:color="auto"/>
            <w:left w:val="none" w:sz="0" w:space="0" w:color="auto"/>
            <w:bottom w:val="none" w:sz="0" w:space="0" w:color="auto"/>
            <w:right w:val="none" w:sz="0" w:space="0" w:color="auto"/>
          </w:divBdr>
          <w:divsChild>
            <w:div w:id="540945690">
              <w:marLeft w:val="0"/>
              <w:marRight w:val="0"/>
              <w:marTop w:val="0"/>
              <w:marBottom w:val="0"/>
              <w:divBdr>
                <w:top w:val="none" w:sz="0" w:space="0" w:color="auto"/>
                <w:left w:val="none" w:sz="0" w:space="0" w:color="auto"/>
                <w:bottom w:val="none" w:sz="0" w:space="0" w:color="auto"/>
                <w:right w:val="none" w:sz="0" w:space="0" w:color="auto"/>
              </w:divBdr>
            </w:div>
          </w:divsChild>
        </w:div>
        <w:div w:id="1600798259">
          <w:marLeft w:val="0"/>
          <w:marRight w:val="0"/>
          <w:marTop w:val="0"/>
          <w:marBottom w:val="0"/>
          <w:divBdr>
            <w:top w:val="none" w:sz="0" w:space="0" w:color="auto"/>
            <w:left w:val="none" w:sz="0" w:space="0" w:color="auto"/>
            <w:bottom w:val="none" w:sz="0" w:space="0" w:color="auto"/>
            <w:right w:val="none" w:sz="0" w:space="0" w:color="auto"/>
          </w:divBdr>
          <w:divsChild>
            <w:div w:id="1552495202">
              <w:marLeft w:val="0"/>
              <w:marRight w:val="0"/>
              <w:marTop w:val="0"/>
              <w:marBottom w:val="0"/>
              <w:divBdr>
                <w:top w:val="none" w:sz="0" w:space="0" w:color="auto"/>
                <w:left w:val="none" w:sz="0" w:space="0" w:color="auto"/>
                <w:bottom w:val="none" w:sz="0" w:space="0" w:color="auto"/>
                <w:right w:val="none" w:sz="0" w:space="0" w:color="auto"/>
              </w:divBdr>
            </w:div>
          </w:divsChild>
        </w:div>
        <w:div w:id="1628856709">
          <w:marLeft w:val="0"/>
          <w:marRight w:val="0"/>
          <w:marTop w:val="0"/>
          <w:marBottom w:val="0"/>
          <w:divBdr>
            <w:top w:val="none" w:sz="0" w:space="0" w:color="auto"/>
            <w:left w:val="none" w:sz="0" w:space="0" w:color="auto"/>
            <w:bottom w:val="none" w:sz="0" w:space="0" w:color="auto"/>
            <w:right w:val="none" w:sz="0" w:space="0" w:color="auto"/>
          </w:divBdr>
          <w:divsChild>
            <w:div w:id="832184435">
              <w:marLeft w:val="0"/>
              <w:marRight w:val="0"/>
              <w:marTop w:val="0"/>
              <w:marBottom w:val="0"/>
              <w:divBdr>
                <w:top w:val="none" w:sz="0" w:space="0" w:color="auto"/>
                <w:left w:val="none" w:sz="0" w:space="0" w:color="auto"/>
                <w:bottom w:val="none" w:sz="0" w:space="0" w:color="auto"/>
                <w:right w:val="none" w:sz="0" w:space="0" w:color="auto"/>
              </w:divBdr>
            </w:div>
          </w:divsChild>
        </w:div>
        <w:div w:id="1679649457">
          <w:marLeft w:val="0"/>
          <w:marRight w:val="0"/>
          <w:marTop w:val="0"/>
          <w:marBottom w:val="0"/>
          <w:divBdr>
            <w:top w:val="none" w:sz="0" w:space="0" w:color="auto"/>
            <w:left w:val="none" w:sz="0" w:space="0" w:color="auto"/>
            <w:bottom w:val="none" w:sz="0" w:space="0" w:color="auto"/>
            <w:right w:val="none" w:sz="0" w:space="0" w:color="auto"/>
          </w:divBdr>
          <w:divsChild>
            <w:div w:id="310600934">
              <w:marLeft w:val="0"/>
              <w:marRight w:val="0"/>
              <w:marTop w:val="0"/>
              <w:marBottom w:val="0"/>
              <w:divBdr>
                <w:top w:val="none" w:sz="0" w:space="0" w:color="auto"/>
                <w:left w:val="none" w:sz="0" w:space="0" w:color="auto"/>
                <w:bottom w:val="none" w:sz="0" w:space="0" w:color="auto"/>
                <w:right w:val="none" w:sz="0" w:space="0" w:color="auto"/>
              </w:divBdr>
            </w:div>
          </w:divsChild>
        </w:div>
        <w:div w:id="1690063928">
          <w:marLeft w:val="0"/>
          <w:marRight w:val="0"/>
          <w:marTop w:val="0"/>
          <w:marBottom w:val="0"/>
          <w:divBdr>
            <w:top w:val="none" w:sz="0" w:space="0" w:color="auto"/>
            <w:left w:val="none" w:sz="0" w:space="0" w:color="auto"/>
            <w:bottom w:val="none" w:sz="0" w:space="0" w:color="auto"/>
            <w:right w:val="none" w:sz="0" w:space="0" w:color="auto"/>
          </w:divBdr>
          <w:divsChild>
            <w:div w:id="733163786">
              <w:marLeft w:val="0"/>
              <w:marRight w:val="0"/>
              <w:marTop w:val="0"/>
              <w:marBottom w:val="0"/>
              <w:divBdr>
                <w:top w:val="none" w:sz="0" w:space="0" w:color="auto"/>
                <w:left w:val="none" w:sz="0" w:space="0" w:color="auto"/>
                <w:bottom w:val="none" w:sz="0" w:space="0" w:color="auto"/>
                <w:right w:val="none" w:sz="0" w:space="0" w:color="auto"/>
              </w:divBdr>
            </w:div>
          </w:divsChild>
        </w:div>
        <w:div w:id="1694572926">
          <w:marLeft w:val="0"/>
          <w:marRight w:val="0"/>
          <w:marTop w:val="0"/>
          <w:marBottom w:val="0"/>
          <w:divBdr>
            <w:top w:val="none" w:sz="0" w:space="0" w:color="auto"/>
            <w:left w:val="none" w:sz="0" w:space="0" w:color="auto"/>
            <w:bottom w:val="none" w:sz="0" w:space="0" w:color="auto"/>
            <w:right w:val="none" w:sz="0" w:space="0" w:color="auto"/>
          </w:divBdr>
          <w:divsChild>
            <w:div w:id="1003706690">
              <w:marLeft w:val="0"/>
              <w:marRight w:val="0"/>
              <w:marTop w:val="0"/>
              <w:marBottom w:val="0"/>
              <w:divBdr>
                <w:top w:val="none" w:sz="0" w:space="0" w:color="auto"/>
                <w:left w:val="none" w:sz="0" w:space="0" w:color="auto"/>
                <w:bottom w:val="none" w:sz="0" w:space="0" w:color="auto"/>
                <w:right w:val="none" w:sz="0" w:space="0" w:color="auto"/>
              </w:divBdr>
            </w:div>
          </w:divsChild>
        </w:div>
        <w:div w:id="1706983375">
          <w:marLeft w:val="0"/>
          <w:marRight w:val="0"/>
          <w:marTop w:val="0"/>
          <w:marBottom w:val="0"/>
          <w:divBdr>
            <w:top w:val="none" w:sz="0" w:space="0" w:color="auto"/>
            <w:left w:val="none" w:sz="0" w:space="0" w:color="auto"/>
            <w:bottom w:val="none" w:sz="0" w:space="0" w:color="auto"/>
            <w:right w:val="none" w:sz="0" w:space="0" w:color="auto"/>
          </w:divBdr>
          <w:divsChild>
            <w:div w:id="1991520936">
              <w:marLeft w:val="0"/>
              <w:marRight w:val="0"/>
              <w:marTop w:val="0"/>
              <w:marBottom w:val="0"/>
              <w:divBdr>
                <w:top w:val="none" w:sz="0" w:space="0" w:color="auto"/>
                <w:left w:val="none" w:sz="0" w:space="0" w:color="auto"/>
                <w:bottom w:val="none" w:sz="0" w:space="0" w:color="auto"/>
                <w:right w:val="none" w:sz="0" w:space="0" w:color="auto"/>
              </w:divBdr>
            </w:div>
          </w:divsChild>
        </w:div>
        <w:div w:id="1712148903">
          <w:marLeft w:val="0"/>
          <w:marRight w:val="0"/>
          <w:marTop w:val="0"/>
          <w:marBottom w:val="0"/>
          <w:divBdr>
            <w:top w:val="none" w:sz="0" w:space="0" w:color="auto"/>
            <w:left w:val="none" w:sz="0" w:space="0" w:color="auto"/>
            <w:bottom w:val="none" w:sz="0" w:space="0" w:color="auto"/>
            <w:right w:val="none" w:sz="0" w:space="0" w:color="auto"/>
          </w:divBdr>
          <w:divsChild>
            <w:div w:id="1737588704">
              <w:marLeft w:val="0"/>
              <w:marRight w:val="0"/>
              <w:marTop w:val="0"/>
              <w:marBottom w:val="0"/>
              <w:divBdr>
                <w:top w:val="none" w:sz="0" w:space="0" w:color="auto"/>
                <w:left w:val="none" w:sz="0" w:space="0" w:color="auto"/>
                <w:bottom w:val="none" w:sz="0" w:space="0" w:color="auto"/>
                <w:right w:val="none" w:sz="0" w:space="0" w:color="auto"/>
              </w:divBdr>
            </w:div>
          </w:divsChild>
        </w:div>
        <w:div w:id="1814789788">
          <w:marLeft w:val="0"/>
          <w:marRight w:val="0"/>
          <w:marTop w:val="0"/>
          <w:marBottom w:val="0"/>
          <w:divBdr>
            <w:top w:val="none" w:sz="0" w:space="0" w:color="auto"/>
            <w:left w:val="none" w:sz="0" w:space="0" w:color="auto"/>
            <w:bottom w:val="none" w:sz="0" w:space="0" w:color="auto"/>
            <w:right w:val="none" w:sz="0" w:space="0" w:color="auto"/>
          </w:divBdr>
          <w:divsChild>
            <w:div w:id="96291314">
              <w:marLeft w:val="0"/>
              <w:marRight w:val="0"/>
              <w:marTop w:val="0"/>
              <w:marBottom w:val="0"/>
              <w:divBdr>
                <w:top w:val="none" w:sz="0" w:space="0" w:color="auto"/>
                <w:left w:val="none" w:sz="0" w:space="0" w:color="auto"/>
                <w:bottom w:val="none" w:sz="0" w:space="0" w:color="auto"/>
                <w:right w:val="none" w:sz="0" w:space="0" w:color="auto"/>
              </w:divBdr>
            </w:div>
          </w:divsChild>
        </w:div>
        <w:div w:id="1829053448">
          <w:marLeft w:val="0"/>
          <w:marRight w:val="0"/>
          <w:marTop w:val="0"/>
          <w:marBottom w:val="0"/>
          <w:divBdr>
            <w:top w:val="none" w:sz="0" w:space="0" w:color="auto"/>
            <w:left w:val="none" w:sz="0" w:space="0" w:color="auto"/>
            <w:bottom w:val="none" w:sz="0" w:space="0" w:color="auto"/>
            <w:right w:val="none" w:sz="0" w:space="0" w:color="auto"/>
          </w:divBdr>
          <w:divsChild>
            <w:div w:id="787747784">
              <w:marLeft w:val="0"/>
              <w:marRight w:val="0"/>
              <w:marTop w:val="0"/>
              <w:marBottom w:val="0"/>
              <w:divBdr>
                <w:top w:val="none" w:sz="0" w:space="0" w:color="auto"/>
                <w:left w:val="none" w:sz="0" w:space="0" w:color="auto"/>
                <w:bottom w:val="none" w:sz="0" w:space="0" w:color="auto"/>
                <w:right w:val="none" w:sz="0" w:space="0" w:color="auto"/>
              </w:divBdr>
            </w:div>
          </w:divsChild>
        </w:div>
        <w:div w:id="1883981193">
          <w:marLeft w:val="0"/>
          <w:marRight w:val="0"/>
          <w:marTop w:val="0"/>
          <w:marBottom w:val="0"/>
          <w:divBdr>
            <w:top w:val="none" w:sz="0" w:space="0" w:color="auto"/>
            <w:left w:val="none" w:sz="0" w:space="0" w:color="auto"/>
            <w:bottom w:val="none" w:sz="0" w:space="0" w:color="auto"/>
            <w:right w:val="none" w:sz="0" w:space="0" w:color="auto"/>
          </w:divBdr>
          <w:divsChild>
            <w:div w:id="1757356521">
              <w:marLeft w:val="0"/>
              <w:marRight w:val="0"/>
              <w:marTop w:val="0"/>
              <w:marBottom w:val="0"/>
              <w:divBdr>
                <w:top w:val="none" w:sz="0" w:space="0" w:color="auto"/>
                <w:left w:val="none" w:sz="0" w:space="0" w:color="auto"/>
                <w:bottom w:val="none" w:sz="0" w:space="0" w:color="auto"/>
                <w:right w:val="none" w:sz="0" w:space="0" w:color="auto"/>
              </w:divBdr>
            </w:div>
          </w:divsChild>
        </w:div>
        <w:div w:id="1925675511">
          <w:marLeft w:val="0"/>
          <w:marRight w:val="0"/>
          <w:marTop w:val="0"/>
          <w:marBottom w:val="0"/>
          <w:divBdr>
            <w:top w:val="none" w:sz="0" w:space="0" w:color="auto"/>
            <w:left w:val="none" w:sz="0" w:space="0" w:color="auto"/>
            <w:bottom w:val="none" w:sz="0" w:space="0" w:color="auto"/>
            <w:right w:val="none" w:sz="0" w:space="0" w:color="auto"/>
          </w:divBdr>
          <w:divsChild>
            <w:div w:id="1371999346">
              <w:marLeft w:val="0"/>
              <w:marRight w:val="0"/>
              <w:marTop w:val="0"/>
              <w:marBottom w:val="0"/>
              <w:divBdr>
                <w:top w:val="none" w:sz="0" w:space="0" w:color="auto"/>
                <w:left w:val="none" w:sz="0" w:space="0" w:color="auto"/>
                <w:bottom w:val="none" w:sz="0" w:space="0" w:color="auto"/>
                <w:right w:val="none" w:sz="0" w:space="0" w:color="auto"/>
              </w:divBdr>
            </w:div>
          </w:divsChild>
        </w:div>
        <w:div w:id="1946115530">
          <w:marLeft w:val="0"/>
          <w:marRight w:val="0"/>
          <w:marTop w:val="0"/>
          <w:marBottom w:val="0"/>
          <w:divBdr>
            <w:top w:val="none" w:sz="0" w:space="0" w:color="auto"/>
            <w:left w:val="none" w:sz="0" w:space="0" w:color="auto"/>
            <w:bottom w:val="none" w:sz="0" w:space="0" w:color="auto"/>
            <w:right w:val="none" w:sz="0" w:space="0" w:color="auto"/>
          </w:divBdr>
          <w:divsChild>
            <w:div w:id="788816973">
              <w:marLeft w:val="0"/>
              <w:marRight w:val="0"/>
              <w:marTop w:val="0"/>
              <w:marBottom w:val="0"/>
              <w:divBdr>
                <w:top w:val="none" w:sz="0" w:space="0" w:color="auto"/>
                <w:left w:val="none" w:sz="0" w:space="0" w:color="auto"/>
                <w:bottom w:val="none" w:sz="0" w:space="0" w:color="auto"/>
                <w:right w:val="none" w:sz="0" w:space="0" w:color="auto"/>
              </w:divBdr>
            </w:div>
          </w:divsChild>
        </w:div>
        <w:div w:id="1961257555">
          <w:marLeft w:val="0"/>
          <w:marRight w:val="0"/>
          <w:marTop w:val="0"/>
          <w:marBottom w:val="0"/>
          <w:divBdr>
            <w:top w:val="none" w:sz="0" w:space="0" w:color="auto"/>
            <w:left w:val="none" w:sz="0" w:space="0" w:color="auto"/>
            <w:bottom w:val="none" w:sz="0" w:space="0" w:color="auto"/>
            <w:right w:val="none" w:sz="0" w:space="0" w:color="auto"/>
          </w:divBdr>
          <w:divsChild>
            <w:div w:id="1700662739">
              <w:marLeft w:val="0"/>
              <w:marRight w:val="0"/>
              <w:marTop w:val="0"/>
              <w:marBottom w:val="0"/>
              <w:divBdr>
                <w:top w:val="none" w:sz="0" w:space="0" w:color="auto"/>
                <w:left w:val="none" w:sz="0" w:space="0" w:color="auto"/>
                <w:bottom w:val="none" w:sz="0" w:space="0" w:color="auto"/>
                <w:right w:val="none" w:sz="0" w:space="0" w:color="auto"/>
              </w:divBdr>
            </w:div>
          </w:divsChild>
        </w:div>
        <w:div w:id="1980963555">
          <w:marLeft w:val="0"/>
          <w:marRight w:val="0"/>
          <w:marTop w:val="0"/>
          <w:marBottom w:val="0"/>
          <w:divBdr>
            <w:top w:val="none" w:sz="0" w:space="0" w:color="auto"/>
            <w:left w:val="none" w:sz="0" w:space="0" w:color="auto"/>
            <w:bottom w:val="none" w:sz="0" w:space="0" w:color="auto"/>
            <w:right w:val="none" w:sz="0" w:space="0" w:color="auto"/>
          </w:divBdr>
          <w:divsChild>
            <w:div w:id="1488858635">
              <w:marLeft w:val="0"/>
              <w:marRight w:val="0"/>
              <w:marTop w:val="0"/>
              <w:marBottom w:val="0"/>
              <w:divBdr>
                <w:top w:val="none" w:sz="0" w:space="0" w:color="auto"/>
                <w:left w:val="none" w:sz="0" w:space="0" w:color="auto"/>
                <w:bottom w:val="none" w:sz="0" w:space="0" w:color="auto"/>
                <w:right w:val="none" w:sz="0" w:space="0" w:color="auto"/>
              </w:divBdr>
            </w:div>
          </w:divsChild>
        </w:div>
        <w:div w:id="1988586631">
          <w:marLeft w:val="0"/>
          <w:marRight w:val="0"/>
          <w:marTop w:val="0"/>
          <w:marBottom w:val="0"/>
          <w:divBdr>
            <w:top w:val="none" w:sz="0" w:space="0" w:color="auto"/>
            <w:left w:val="none" w:sz="0" w:space="0" w:color="auto"/>
            <w:bottom w:val="none" w:sz="0" w:space="0" w:color="auto"/>
            <w:right w:val="none" w:sz="0" w:space="0" w:color="auto"/>
          </w:divBdr>
          <w:divsChild>
            <w:div w:id="1663000199">
              <w:marLeft w:val="0"/>
              <w:marRight w:val="0"/>
              <w:marTop w:val="0"/>
              <w:marBottom w:val="0"/>
              <w:divBdr>
                <w:top w:val="none" w:sz="0" w:space="0" w:color="auto"/>
                <w:left w:val="none" w:sz="0" w:space="0" w:color="auto"/>
                <w:bottom w:val="none" w:sz="0" w:space="0" w:color="auto"/>
                <w:right w:val="none" w:sz="0" w:space="0" w:color="auto"/>
              </w:divBdr>
            </w:div>
          </w:divsChild>
        </w:div>
        <w:div w:id="2039626565">
          <w:marLeft w:val="0"/>
          <w:marRight w:val="0"/>
          <w:marTop w:val="0"/>
          <w:marBottom w:val="0"/>
          <w:divBdr>
            <w:top w:val="none" w:sz="0" w:space="0" w:color="auto"/>
            <w:left w:val="none" w:sz="0" w:space="0" w:color="auto"/>
            <w:bottom w:val="none" w:sz="0" w:space="0" w:color="auto"/>
            <w:right w:val="none" w:sz="0" w:space="0" w:color="auto"/>
          </w:divBdr>
          <w:divsChild>
            <w:div w:id="930163161">
              <w:marLeft w:val="0"/>
              <w:marRight w:val="0"/>
              <w:marTop w:val="0"/>
              <w:marBottom w:val="0"/>
              <w:divBdr>
                <w:top w:val="none" w:sz="0" w:space="0" w:color="auto"/>
                <w:left w:val="none" w:sz="0" w:space="0" w:color="auto"/>
                <w:bottom w:val="none" w:sz="0" w:space="0" w:color="auto"/>
                <w:right w:val="none" w:sz="0" w:space="0" w:color="auto"/>
              </w:divBdr>
            </w:div>
          </w:divsChild>
        </w:div>
        <w:div w:id="2098987496">
          <w:marLeft w:val="0"/>
          <w:marRight w:val="0"/>
          <w:marTop w:val="0"/>
          <w:marBottom w:val="0"/>
          <w:divBdr>
            <w:top w:val="none" w:sz="0" w:space="0" w:color="auto"/>
            <w:left w:val="none" w:sz="0" w:space="0" w:color="auto"/>
            <w:bottom w:val="none" w:sz="0" w:space="0" w:color="auto"/>
            <w:right w:val="none" w:sz="0" w:space="0" w:color="auto"/>
          </w:divBdr>
          <w:divsChild>
            <w:div w:id="702169900">
              <w:marLeft w:val="0"/>
              <w:marRight w:val="0"/>
              <w:marTop w:val="0"/>
              <w:marBottom w:val="0"/>
              <w:divBdr>
                <w:top w:val="none" w:sz="0" w:space="0" w:color="auto"/>
                <w:left w:val="none" w:sz="0" w:space="0" w:color="auto"/>
                <w:bottom w:val="none" w:sz="0" w:space="0" w:color="auto"/>
                <w:right w:val="none" w:sz="0" w:space="0" w:color="auto"/>
              </w:divBdr>
            </w:div>
          </w:divsChild>
        </w:div>
        <w:div w:id="2146776718">
          <w:marLeft w:val="0"/>
          <w:marRight w:val="0"/>
          <w:marTop w:val="0"/>
          <w:marBottom w:val="0"/>
          <w:divBdr>
            <w:top w:val="none" w:sz="0" w:space="0" w:color="auto"/>
            <w:left w:val="none" w:sz="0" w:space="0" w:color="auto"/>
            <w:bottom w:val="none" w:sz="0" w:space="0" w:color="auto"/>
            <w:right w:val="none" w:sz="0" w:space="0" w:color="auto"/>
          </w:divBdr>
          <w:divsChild>
            <w:div w:id="19104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9906">
      <w:bodyDiv w:val="1"/>
      <w:marLeft w:val="0"/>
      <w:marRight w:val="0"/>
      <w:marTop w:val="0"/>
      <w:marBottom w:val="0"/>
      <w:divBdr>
        <w:top w:val="none" w:sz="0" w:space="0" w:color="auto"/>
        <w:left w:val="none" w:sz="0" w:space="0" w:color="auto"/>
        <w:bottom w:val="none" w:sz="0" w:space="0" w:color="auto"/>
        <w:right w:val="none" w:sz="0" w:space="0" w:color="auto"/>
      </w:divBdr>
    </w:div>
    <w:div w:id="1188059476">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234122929">
      <w:bodyDiv w:val="1"/>
      <w:marLeft w:val="0"/>
      <w:marRight w:val="0"/>
      <w:marTop w:val="0"/>
      <w:marBottom w:val="0"/>
      <w:divBdr>
        <w:top w:val="none" w:sz="0" w:space="0" w:color="auto"/>
        <w:left w:val="none" w:sz="0" w:space="0" w:color="auto"/>
        <w:bottom w:val="none" w:sz="0" w:space="0" w:color="auto"/>
        <w:right w:val="none" w:sz="0" w:space="0" w:color="auto"/>
      </w:divBdr>
      <w:divsChild>
        <w:div w:id="16852851">
          <w:marLeft w:val="0"/>
          <w:marRight w:val="0"/>
          <w:marTop w:val="0"/>
          <w:marBottom w:val="0"/>
          <w:divBdr>
            <w:top w:val="none" w:sz="0" w:space="0" w:color="auto"/>
            <w:left w:val="none" w:sz="0" w:space="0" w:color="auto"/>
            <w:bottom w:val="none" w:sz="0" w:space="0" w:color="auto"/>
            <w:right w:val="none" w:sz="0" w:space="0" w:color="auto"/>
          </w:divBdr>
          <w:divsChild>
            <w:div w:id="787890731">
              <w:marLeft w:val="0"/>
              <w:marRight w:val="0"/>
              <w:marTop w:val="0"/>
              <w:marBottom w:val="0"/>
              <w:divBdr>
                <w:top w:val="none" w:sz="0" w:space="0" w:color="auto"/>
                <w:left w:val="none" w:sz="0" w:space="0" w:color="auto"/>
                <w:bottom w:val="none" w:sz="0" w:space="0" w:color="auto"/>
                <w:right w:val="none" w:sz="0" w:space="0" w:color="auto"/>
              </w:divBdr>
            </w:div>
          </w:divsChild>
        </w:div>
        <w:div w:id="18434266">
          <w:marLeft w:val="0"/>
          <w:marRight w:val="0"/>
          <w:marTop w:val="0"/>
          <w:marBottom w:val="0"/>
          <w:divBdr>
            <w:top w:val="none" w:sz="0" w:space="0" w:color="auto"/>
            <w:left w:val="none" w:sz="0" w:space="0" w:color="auto"/>
            <w:bottom w:val="none" w:sz="0" w:space="0" w:color="auto"/>
            <w:right w:val="none" w:sz="0" w:space="0" w:color="auto"/>
          </w:divBdr>
          <w:divsChild>
            <w:div w:id="1276208218">
              <w:marLeft w:val="0"/>
              <w:marRight w:val="0"/>
              <w:marTop w:val="0"/>
              <w:marBottom w:val="0"/>
              <w:divBdr>
                <w:top w:val="none" w:sz="0" w:space="0" w:color="auto"/>
                <w:left w:val="none" w:sz="0" w:space="0" w:color="auto"/>
                <w:bottom w:val="none" w:sz="0" w:space="0" w:color="auto"/>
                <w:right w:val="none" w:sz="0" w:space="0" w:color="auto"/>
              </w:divBdr>
            </w:div>
          </w:divsChild>
        </w:div>
        <w:div w:id="18894808">
          <w:marLeft w:val="0"/>
          <w:marRight w:val="0"/>
          <w:marTop w:val="0"/>
          <w:marBottom w:val="0"/>
          <w:divBdr>
            <w:top w:val="none" w:sz="0" w:space="0" w:color="auto"/>
            <w:left w:val="none" w:sz="0" w:space="0" w:color="auto"/>
            <w:bottom w:val="none" w:sz="0" w:space="0" w:color="auto"/>
            <w:right w:val="none" w:sz="0" w:space="0" w:color="auto"/>
          </w:divBdr>
          <w:divsChild>
            <w:div w:id="2065179303">
              <w:marLeft w:val="0"/>
              <w:marRight w:val="0"/>
              <w:marTop w:val="0"/>
              <w:marBottom w:val="0"/>
              <w:divBdr>
                <w:top w:val="none" w:sz="0" w:space="0" w:color="auto"/>
                <w:left w:val="none" w:sz="0" w:space="0" w:color="auto"/>
                <w:bottom w:val="none" w:sz="0" w:space="0" w:color="auto"/>
                <w:right w:val="none" w:sz="0" w:space="0" w:color="auto"/>
              </w:divBdr>
            </w:div>
          </w:divsChild>
        </w:div>
        <w:div w:id="26222643">
          <w:marLeft w:val="0"/>
          <w:marRight w:val="0"/>
          <w:marTop w:val="0"/>
          <w:marBottom w:val="0"/>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
          </w:divsChild>
        </w:div>
        <w:div w:id="43410693">
          <w:marLeft w:val="0"/>
          <w:marRight w:val="0"/>
          <w:marTop w:val="0"/>
          <w:marBottom w:val="0"/>
          <w:divBdr>
            <w:top w:val="none" w:sz="0" w:space="0" w:color="auto"/>
            <w:left w:val="none" w:sz="0" w:space="0" w:color="auto"/>
            <w:bottom w:val="none" w:sz="0" w:space="0" w:color="auto"/>
            <w:right w:val="none" w:sz="0" w:space="0" w:color="auto"/>
          </w:divBdr>
          <w:divsChild>
            <w:div w:id="1216967094">
              <w:marLeft w:val="0"/>
              <w:marRight w:val="0"/>
              <w:marTop w:val="0"/>
              <w:marBottom w:val="0"/>
              <w:divBdr>
                <w:top w:val="none" w:sz="0" w:space="0" w:color="auto"/>
                <w:left w:val="none" w:sz="0" w:space="0" w:color="auto"/>
                <w:bottom w:val="none" w:sz="0" w:space="0" w:color="auto"/>
                <w:right w:val="none" w:sz="0" w:space="0" w:color="auto"/>
              </w:divBdr>
            </w:div>
          </w:divsChild>
        </w:div>
        <w:div w:id="44835389">
          <w:marLeft w:val="0"/>
          <w:marRight w:val="0"/>
          <w:marTop w:val="0"/>
          <w:marBottom w:val="0"/>
          <w:divBdr>
            <w:top w:val="none" w:sz="0" w:space="0" w:color="auto"/>
            <w:left w:val="none" w:sz="0" w:space="0" w:color="auto"/>
            <w:bottom w:val="none" w:sz="0" w:space="0" w:color="auto"/>
            <w:right w:val="none" w:sz="0" w:space="0" w:color="auto"/>
          </w:divBdr>
          <w:divsChild>
            <w:div w:id="1451361237">
              <w:marLeft w:val="0"/>
              <w:marRight w:val="0"/>
              <w:marTop w:val="0"/>
              <w:marBottom w:val="0"/>
              <w:divBdr>
                <w:top w:val="none" w:sz="0" w:space="0" w:color="auto"/>
                <w:left w:val="none" w:sz="0" w:space="0" w:color="auto"/>
                <w:bottom w:val="none" w:sz="0" w:space="0" w:color="auto"/>
                <w:right w:val="none" w:sz="0" w:space="0" w:color="auto"/>
              </w:divBdr>
            </w:div>
          </w:divsChild>
        </w:div>
        <w:div w:id="55858554">
          <w:marLeft w:val="0"/>
          <w:marRight w:val="0"/>
          <w:marTop w:val="0"/>
          <w:marBottom w:val="0"/>
          <w:divBdr>
            <w:top w:val="none" w:sz="0" w:space="0" w:color="auto"/>
            <w:left w:val="none" w:sz="0" w:space="0" w:color="auto"/>
            <w:bottom w:val="none" w:sz="0" w:space="0" w:color="auto"/>
            <w:right w:val="none" w:sz="0" w:space="0" w:color="auto"/>
          </w:divBdr>
          <w:divsChild>
            <w:div w:id="45761180">
              <w:marLeft w:val="0"/>
              <w:marRight w:val="0"/>
              <w:marTop w:val="0"/>
              <w:marBottom w:val="0"/>
              <w:divBdr>
                <w:top w:val="none" w:sz="0" w:space="0" w:color="auto"/>
                <w:left w:val="none" w:sz="0" w:space="0" w:color="auto"/>
                <w:bottom w:val="none" w:sz="0" w:space="0" w:color="auto"/>
                <w:right w:val="none" w:sz="0" w:space="0" w:color="auto"/>
              </w:divBdr>
            </w:div>
          </w:divsChild>
        </w:div>
        <w:div w:id="61756794">
          <w:marLeft w:val="0"/>
          <w:marRight w:val="0"/>
          <w:marTop w:val="0"/>
          <w:marBottom w:val="0"/>
          <w:divBdr>
            <w:top w:val="none" w:sz="0" w:space="0" w:color="auto"/>
            <w:left w:val="none" w:sz="0" w:space="0" w:color="auto"/>
            <w:bottom w:val="none" w:sz="0" w:space="0" w:color="auto"/>
            <w:right w:val="none" w:sz="0" w:space="0" w:color="auto"/>
          </w:divBdr>
          <w:divsChild>
            <w:div w:id="1318419375">
              <w:marLeft w:val="0"/>
              <w:marRight w:val="0"/>
              <w:marTop w:val="0"/>
              <w:marBottom w:val="0"/>
              <w:divBdr>
                <w:top w:val="none" w:sz="0" w:space="0" w:color="auto"/>
                <w:left w:val="none" w:sz="0" w:space="0" w:color="auto"/>
                <w:bottom w:val="none" w:sz="0" w:space="0" w:color="auto"/>
                <w:right w:val="none" w:sz="0" w:space="0" w:color="auto"/>
              </w:divBdr>
            </w:div>
          </w:divsChild>
        </w:div>
        <w:div w:id="66463856">
          <w:marLeft w:val="0"/>
          <w:marRight w:val="0"/>
          <w:marTop w:val="0"/>
          <w:marBottom w:val="0"/>
          <w:divBdr>
            <w:top w:val="none" w:sz="0" w:space="0" w:color="auto"/>
            <w:left w:val="none" w:sz="0" w:space="0" w:color="auto"/>
            <w:bottom w:val="none" w:sz="0" w:space="0" w:color="auto"/>
            <w:right w:val="none" w:sz="0" w:space="0" w:color="auto"/>
          </w:divBdr>
          <w:divsChild>
            <w:div w:id="1163737476">
              <w:marLeft w:val="0"/>
              <w:marRight w:val="0"/>
              <w:marTop w:val="0"/>
              <w:marBottom w:val="0"/>
              <w:divBdr>
                <w:top w:val="none" w:sz="0" w:space="0" w:color="auto"/>
                <w:left w:val="none" w:sz="0" w:space="0" w:color="auto"/>
                <w:bottom w:val="none" w:sz="0" w:space="0" w:color="auto"/>
                <w:right w:val="none" w:sz="0" w:space="0" w:color="auto"/>
              </w:divBdr>
            </w:div>
          </w:divsChild>
        </w:div>
        <w:div w:id="74516783">
          <w:marLeft w:val="0"/>
          <w:marRight w:val="0"/>
          <w:marTop w:val="0"/>
          <w:marBottom w:val="0"/>
          <w:divBdr>
            <w:top w:val="none" w:sz="0" w:space="0" w:color="auto"/>
            <w:left w:val="none" w:sz="0" w:space="0" w:color="auto"/>
            <w:bottom w:val="none" w:sz="0" w:space="0" w:color="auto"/>
            <w:right w:val="none" w:sz="0" w:space="0" w:color="auto"/>
          </w:divBdr>
          <w:divsChild>
            <w:div w:id="1166824157">
              <w:marLeft w:val="0"/>
              <w:marRight w:val="0"/>
              <w:marTop w:val="0"/>
              <w:marBottom w:val="0"/>
              <w:divBdr>
                <w:top w:val="none" w:sz="0" w:space="0" w:color="auto"/>
                <w:left w:val="none" w:sz="0" w:space="0" w:color="auto"/>
                <w:bottom w:val="none" w:sz="0" w:space="0" w:color="auto"/>
                <w:right w:val="none" w:sz="0" w:space="0" w:color="auto"/>
              </w:divBdr>
            </w:div>
          </w:divsChild>
        </w:div>
        <w:div w:id="99843471">
          <w:marLeft w:val="0"/>
          <w:marRight w:val="0"/>
          <w:marTop w:val="0"/>
          <w:marBottom w:val="0"/>
          <w:divBdr>
            <w:top w:val="none" w:sz="0" w:space="0" w:color="auto"/>
            <w:left w:val="none" w:sz="0" w:space="0" w:color="auto"/>
            <w:bottom w:val="none" w:sz="0" w:space="0" w:color="auto"/>
            <w:right w:val="none" w:sz="0" w:space="0" w:color="auto"/>
          </w:divBdr>
          <w:divsChild>
            <w:div w:id="1732968995">
              <w:marLeft w:val="0"/>
              <w:marRight w:val="0"/>
              <w:marTop w:val="0"/>
              <w:marBottom w:val="0"/>
              <w:divBdr>
                <w:top w:val="none" w:sz="0" w:space="0" w:color="auto"/>
                <w:left w:val="none" w:sz="0" w:space="0" w:color="auto"/>
                <w:bottom w:val="none" w:sz="0" w:space="0" w:color="auto"/>
                <w:right w:val="none" w:sz="0" w:space="0" w:color="auto"/>
              </w:divBdr>
            </w:div>
          </w:divsChild>
        </w:div>
        <w:div w:id="146872093">
          <w:marLeft w:val="0"/>
          <w:marRight w:val="0"/>
          <w:marTop w:val="0"/>
          <w:marBottom w:val="0"/>
          <w:divBdr>
            <w:top w:val="none" w:sz="0" w:space="0" w:color="auto"/>
            <w:left w:val="none" w:sz="0" w:space="0" w:color="auto"/>
            <w:bottom w:val="none" w:sz="0" w:space="0" w:color="auto"/>
            <w:right w:val="none" w:sz="0" w:space="0" w:color="auto"/>
          </w:divBdr>
          <w:divsChild>
            <w:div w:id="399251928">
              <w:marLeft w:val="0"/>
              <w:marRight w:val="0"/>
              <w:marTop w:val="0"/>
              <w:marBottom w:val="0"/>
              <w:divBdr>
                <w:top w:val="none" w:sz="0" w:space="0" w:color="auto"/>
                <w:left w:val="none" w:sz="0" w:space="0" w:color="auto"/>
                <w:bottom w:val="none" w:sz="0" w:space="0" w:color="auto"/>
                <w:right w:val="none" w:sz="0" w:space="0" w:color="auto"/>
              </w:divBdr>
            </w:div>
          </w:divsChild>
        </w:div>
        <w:div w:id="158811487">
          <w:marLeft w:val="0"/>
          <w:marRight w:val="0"/>
          <w:marTop w:val="0"/>
          <w:marBottom w:val="0"/>
          <w:divBdr>
            <w:top w:val="none" w:sz="0" w:space="0" w:color="auto"/>
            <w:left w:val="none" w:sz="0" w:space="0" w:color="auto"/>
            <w:bottom w:val="none" w:sz="0" w:space="0" w:color="auto"/>
            <w:right w:val="none" w:sz="0" w:space="0" w:color="auto"/>
          </w:divBdr>
          <w:divsChild>
            <w:div w:id="1742094974">
              <w:marLeft w:val="0"/>
              <w:marRight w:val="0"/>
              <w:marTop w:val="0"/>
              <w:marBottom w:val="0"/>
              <w:divBdr>
                <w:top w:val="none" w:sz="0" w:space="0" w:color="auto"/>
                <w:left w:val="none" w:sz="0" w:space="0" w:color="auto"/>
                <w:bottom w:val="none" w:sz="0" w:space="0" w:color="auto"/>
                <w:right w:val="none" w:sz="0" w:space="0" w:color="auto"/>
              </w:divBdr>
            </w:div>
          </w:divsChild>
        </w:div>
        <w:div w:id="174275623">
          <w:marLeft w:val="0"/>
          <w:marRight w:val="0"/>
          <w:marTop w:val="0"/>
          <w:marBottom w:val="0"/>
          <w:divBdr>
            <w:top w:val="none" w:sz="0" w:space="0" w:color="auto"/>
            <w:left w:val="none" w:sz="0" w:space="0" w:color="auto"/>
            <w:bottom w:val="none" w:sz="0" w:space="0" w:color="auto"/>
            <w:right w:val="none" w:sz="0" w:space="0" w:color="auto"/>
          </w:divBdr>
          <w:divsChild>
            <w:div w:id="67388688">
              <w:marLeft w:val="0"/>
              <w:marRight w:val="0"/>
              <w:marTop w:val="0"/>
              <w:marBottom w:val="0"/>
              <w:divBdr>
                <w:top w:val="none" w:sz="0" w:space="0" w:color="auto"/>
                <w:left w:val="none" w:sz="0" w:space="0" w:color="auto"/>
                <w:bottom w:val="none" w:sz="0" w:space="0" w:color="auto"/>
                <w:right w:val="none" w:sz="0" w:space="0" w:color="auto"/>
              </w:divBdr>
            </w:div>
          </w:divsChild>
        </w:div>
        <w:div w:id="186138100">
          <w:marLeft w:val="0"/>
          <w:marRight w:val="0"/>
          <w:marTop w:val="0"/>
          <w:marBottom w:val="0"/>
          <w:divBdr>
            <w:top w:val="none" w:sz="0" w:space="0" w:color="auto"/>
            <w:left w:val="none" w:sz="0" w:space="0" w:color="auto"/>
            <w:bottom w:val="none" w:sz="0" w:space="0" w:color="auto"/>
            <w:right w:val="none" w:sz="0" w:space="0" w:color="auto"/>
          </w:divBdr>
          <w:divsChild>
            <w:div w:id="211238079">
              <w:marLeft w:val="0"/>
              <w:marRight w:val="0"/>
              <w:marTop w:val="0"/>
              <w:marBottom w:val="0"/>
              <w:divBdr>
                <w:top w:val="none" w:sz="0" w:space="0" w:color="auto"/>
                <w:left w:val="none" w:sz="0" w:space="0" w:color="auto"/>
                <w:bottom w:val="none" w:sz="0" w:space="0" w:color="auto"/>
                <w:right w:val="none" w:sz="0" w:space="0" w:color="auto"/>
              </w:divBdr>
            </w:div>
          </w:divsChild>
        </w:div>
        <w:div w:id="206141925">
          <w:marLeft w:val="0"/>
          <w:marRight w:val="0"/>
          <w:marTop w:val="0"/>
          <w:marBottom w:val="0"/>
          <w:divBdr>
            <w:top w:val="none" w:sz="0" w:space="0" w:color="auto"/>
            <w:left w:val="none" w:sz="0" w:space="0" w:color="auto"/>
            <w:bottom w:val="none" w:sz="0" w:space="0" w:color="auto"/>
            <w:right w:val="none" w:sz="0" w:space="0" w:color="auto"/>
          </w:divBdr>
          <w:divsChild>
            <w:div w:id="1754164806">
              <w:marLeft w:val="0"/>
              <w:marRight w:val="0"/>
              <w:marTop w:val="0"/>
              <w:marBottom w:val="0"/>
              <w:divBdr>
                <w:top w:val="none" w:sz="0" w:space="0" w:color="auto"/>
                <w:left w:val="none" w:sz="0" w:space="0" w:color="auto"/>
                <w:bottom w:val="none" w:sz="0" w:space="0" w:color="auto"/>
                <w:right w:val="none" w:sz="0" w:space="0" w:color="auto"/>
              </w:divBdr>
            </w:div>
          </w:divsChild>
        </w:div>
        <w:div w:id="226572405">
          <w:marLeft w:val="0"/>
          <w:marRight w:val="0"/>
          <w:marTop w:val="0"/>
          <w:marBottom w:val="0"/>
          <w:divBdr>
            <w:top w:val="none" w:sz="0" w:space="0" w:color="auto"/>
            <w:left w:val="none" w:sz="0" w:space="0" w:color="auto"/>
            <w:bottom w:val="none" w:sz="0" w:space="0" w:color="auto"/>
            <w:right w:val="none" w:sz="0" w:space="0" w:color="auto"/>
          </w:divBdr>
          <w:divsChild>
            <w:div w:id="1687829752">
              <w:marLeft w:val="0"/>
              <w:marRight w:val="0"/>
              <w:marTop w:val="0"/>
              <w:marBottom w:val="0"/>
              <w:divBdr>
                <w:top w:val="none" w:sz="0" w:space="0" w:color="auto"/>
                <w:left w:val="none" w:sz="0" w:space="0" w:color="auto"/>
                <w:bottom w:val="none" w:sz="0" w:space="0" w:color="auto"/>
                <w:right w:val="none" w:sz="0" w:space="0" w:color="auto"/>
              </w:divBdr>
            </w:div>
          </w:divsChild>
        </w:div>
        <w:div w:id="257715388">
          <w:marLeft w:val="0"/>
          <w:marRight w:val="0"/>
          <w:marTop w:val="0"/>
          <w:marBottom w:val="0"/>
          <w:divBdr>
            <w:top w:val="none" w:sz="0" w:space="0" w:color="auto"/>
            <w:left w:val="none" w:sz="0" w:space="0" w:color="auto"/>
            <w:bottom w:val="none" w:sz="0" w:space="0" w:color="auto"/>
            <w:right w:val="none" w:sz="0" w:space="0" w:color="auto"/>
          </w:divBdr>
          <w:divsChild>
            <w:div w:id="1484083706">
              <w:marLeft w:val="0"/>
              <w:marRight w:val="0"/>
              <w:marTop w:val="0"/>
              <w:marBottom w:val="0"/>
              <w:divBdr>
                <w:top w:val="none" w:sz="0" w:space="0" w:color="auto"/>
                <w:left w:val="none" w:sz="0" w:space="0" w:color="auto"/>
                <w:bottom w:val="none" w:sz="0" w:space="0" w:color="auto"/>
                <w:right w:val="none" w:sz="0" w:space="0" w:color="auto"/>
              </w:divBdr>
            </w:div>
          </w:divsChild>
        </w:div>
        <w:div w:id="274873680">
          <w:marLeft w:val="0"/>
          <w:marRight w:val="0"/>
          <w:marTop w:val="0"/>
          <w:marBottom w:val="0"/>
          <w:divBdr>
            <w:top w:val="none" w:sz="0" w:space="0" w:color="auto"/>
            <w:left w:val="none" w:sz="0" w:space="0" w:color="auto"/>
            <w:bottom w:val="none" w:sz="0" w:space="0" w:color="auto"/>
            <w:right w:val="none" w:sz="0" w:space="0" w:color="auto"/>
          </w:divBdr>
          <w:divsChild>
            <w:div w:id="1500460056">
              <w:marLeft w:val="0"/>
              <w:marRight w:val="0"/>
              <w:marTop w:val="0"/>
              <w:marBottom w:val="0"/>
              <w:divBdr>
                <w:top w:val="none" w:sz="0" w:space="0" w:color="auto"/>
                <w:left w:val="none" w:sz="0" w:space="0" w:color="auto"/>
                <w:bottom w:val="none" w:sz="0" w:space="0" w:color="auto"/>
                <w:right w:val="none" w:sz="0" w:space="0" w:color="auto"/>
              </w:divBdr>
            </w:div>
          </w:divsChild>
        </w:div>
        <w:div w:id="276134537">
          <w:marLeft w:val="0"/>
          <w:marRight w:val="0"/>
          <w:marTop w:val="0"/>
          <w:marBottom w:val="0"/>
          <w:divBdr>
            <w:top w:val="none" w:sz="0" w:space="0" w:color="auto"/>
            <w:left w:val="none" w:sz="0" w:space="0" w:color="auto"/>
            <w:bottom w:val="none" w:sz="0" w:space="0" w:color="auto"/>
            <w:right w:val="none" w:sz="0" w:space="0" w:color="auto"/>
          </w:divBdr>
          <w:divsChild>
            <w:div w:id="1449818077">
              <w:marLeft w:val="0"/>
              <w:marRight w:val="0"/>
              <w:marTop w:val="0"/>
              <w:marBottom w:val="0"/>
              <w:divBdr>
                <w:top w:val="none" w:sz="0" w:space="0" w:color="auto"/>
                <w:left w:val="none" w:sz="0" w:space="0" w:color="auto"/>
                <w:bottom w:val="none" w:sz="0" w:space="0" w:color="auto"/>
                <w:right w:val="none" w:sz="0" w:space="0" w:color="auto"/>
              </w:divBdr>
            </w:div>
          </w:divsChild>
        </w:div>
        <w:div w:id="286547748">
          <w:marLeft w:val="0"/>
          <w:marRight w:val="0"/>
          <w:marTop w:val="0"/>
          <w:marBottom w:val="0"/>
          <w:divBdr>
            <w:top w:val="none" w:sz="0" w:space="0" w:color="auto"/>
            <w:left w:val="none" w:sz="0" w:space="0" w:color="auto"/>
            <w:bottom w:val="none" w:sz="0" w:space="0" w:color="auto"/>
            <w:right w:val="none" w:sz="0" w:space="0" w:color="auto"/>
          </w:divBdr>
          <w:divsChild>
            <w:div w:id="783765703">
              <w:marLeft w:val="0"/>
              <w:marRight w:val="0"/>
              <w:marTop w:val="0"/>
              <w:marBottom w:val="0"/>
              <w:divBdr>
                <w:top w:val="none" w:sz="0" w:space="0" w:color="auto"/>
                <w:left w:val="none" w:sz="0" w:space="0" w:color="auto"/>
                <w:bottom w:val="none" w:sz="0" w:space="0" w:color="auto"/>
                <w:right w:val="none" w:sz="0" w:space="0" w:color="auto"/>
              </w:divBdr>
            </w:div>
          </w:divsChild>
        </w:div>
        <w:div w:id="300766155">
          <w:marLeft w:val="0"/>
          <w:marRight w:val="0"/>
          <w:marTop w:val="0"/>
          <w:marBottom w:val="0"/>
          <w:divBdr>
            <w:top w:val="none" w:sz="0" w:space="0" w:color="auto"/>
            <w:left w:val="none" w:sz="0" w:space="0" w:color="auto"/>
            <w:bottom w:val="none" w:sz="0" w:space="0" w:color="auto"/>
            <w:right w:val="none" w:sz="0" w:space="0" w:color="auto"/>
          </w:divBdr>
          <w:divsChild>
            <w:div w:id="191921591">
              <w:marLeft w:val="0"/>
              <w:marRight w:val="0"/>
              <w:marTop w:val="0"/>
              <w:marBottom w:val="0"/>
              <w:divBdr>
                <w:top w:val="none" w:sz="0" w:space="0" w:color="auto"/>
                <w:left w:val="none" w:sz="0" w:space="0" w:color="auto"/>
                <w:bottom w:val="none" w:sz="0" w:space="0" w:color="auto"/>
                <w:right w:val="none" w:sz="0" w:space="0" w:color="auto"/>
              </w:divBdr>
            </w:div>
          </w:divsChild>
        </w:div>
        <w:div w:id="320475984">
          <w:marLeft w:val="0"/>
          <w:marRight w:val="0"/>
          <w:marTop w:val="0"/>
          <w:marBottom w:val="0"/>
          <w:divBdr>
            <w:top w:val="none" w:sz="0" w:space="0" w:color="auto"/>
            <w:left w:val="none" w:sz="0" w:space="0" w:color="auto"/>
            <w:bottom w:val="none" w:sz="0" w:space="0" w:color="auto"/>
            <w:right w:val="none" w:sz="0" w:space="0" w:color="auto"/>
          </w:divBdr>
          <w:divsChild>
            <w:div w:id="973412741">
              <w:marLeft w:val="0"/>
              <w:marRight w:val="0"/>
              <w:marTop w:val="0"/>
              <w:marBottom w:val="0"/>
              <w:divBdr>
                <w:top w:val="none" w:sz="0" w:space="0" w:color="auto"/>
                <w:left w:val="none" w:sz="0" w:space="0" w:color="auto"/>
                <w:bottom w:val="none" w:sz="0" w:space="0" w:color="auto"/>
                <w:right w:val="none" w:sz="0" w:space="0" w:color="auto"/>
              </w:divBdr>
            </w:div>
          </w:divsChild>
        </w:div>
        <w:div w:id="335958822">
          <w:marLeft w:val="0"/>
          <w:marRight w:val="0"/>
          <w:marTop w:val="0"/>
          <w:marBottom w:val="0"/>
          <w:divBdr>
            <w:top w:val="none" w:sz="0" w:space="0" w:color="auto"/>
            <w:left w:val="none" w:sz="0" w:space="0" w:color="auto"/>
            <w:bottom w:val="none" w:sz="0" w:space="0" w:color="auto"/>
            <w:right w:val="none" w:sz="0" w:space="0" w:color="auto"/>
          </w:divBdr>
          <w:divsChild>
            <w:div w:id="1974409488">
              <w:marLeft w:val="0"/>
              <w:marRight w:val="0"/>
              <w:marTop w:val="0"/>
              <w:marBottom w:val="0"/>
              <w:divBdr>
                <w:top w:val="none" w:sz="0" w:space="0" w:color="auto"/>
                <w:left w:val="none" w:sz="0" w:space="0" w:color="auto"/>
                <w:bottom w:val="none" w:sz="0" w:space="0" w:color="auto"/>
                <w:right w:val="none" w:sz="0" w:space="0" w:color="auto"/>
              </w:divBdr>
            </w:div>
          </w:divsChild>
        </w:div>
        <w:div w:id="345134176">
          <w:marLeft w:val="0"/>
          <w:marRight w:val="0"/>
          <w:marTop w:val="0"/>
          <w:marBottom w:val="0"/>
          <w:divBdr>
            <w:top w:val="none" w:sz="0" w:space="0" w:color="auto"/>
            <w:left w:val="none" w:sz="0" w:space="0" w:color="auto"/>
            <w:bottom w:val="none" w:sz="0" w:space="0" w:color="auto"/>
            <w:right w:val="none" w:sz="0" w:space="0" w:color="auto"/>
          </w:divBdr>
          <w:divsChild>
            <w:div w:id="140660572">
              <w:marLeft w:val="0"/>
              <w:marRight w:val="0"/>
              <w:marTop w:val="0"/>
              <w:marBottom w:val="0"/>
              <w:divBdr>
                <w:top w:val="none" w:sz="0" w:space="0" w:color="auto"/>
                <w:left w:val="none" w:sz="0" w:space="0" w:color="auto"/>
                <w:bottom w:val="none" w:sz="0" w:space="0" w:color="auto"/>
                <w:right w:val="none" w:sz="0" w:space="0" w:color="auto"/>
              </w:divBdr>
            </w:div>
          </w:divsChild>
        </w:div>
        <w:div w:id="347410320">
          <w:marLeft w:val="0"/>
          <w:marRight w:val="0"/>
          <w:marTop w:val="0"/>
          <w:marBottom w:val="0"/>
          <w:divBdr>
            <w:top w:val="none" w:sz="0" w:space="0" w:color="auto"/>
            <w:left w:val="none" w:sz="0" w:space="0" w:color="auto"/>
            <w:bottom w:val="none" w:sz="0" w:space="0" w:color="auto"/>
            <w:right w:val="none" w:sz="0" w:space="0" w:color="auto"/>
          </w:divBdr>
          <w:divsChild>
            <w:div w:id="689600464">
              <w:marLeft w:val="0"/>
              <w:marRight w:val="0"/>
              <w:marTop w:val="0"/>
              <w:marBottom w:val="0"/>
              <w:divBdr>
                <w:top w:val="none" w:sz="0" w:space="0" w:color="auto"/>
                <w:left w:val="none" w:sz="0" w:space="0" w:color="auto"/>
                <w:bottom w:val="none" w:sz="0" w:space="0" w:color="auto"/>
                <w:right w:val="none" w:sz="0" w:space="0" w:color="auto"/>
              </w:divBdr>
            </w:div>
          </w:divsChild>
        </w:div>
        <w:div w:id="354188112">
          <w:marLeft w:val="0"/>
          <w:marRight w:val="0"/>
          <w:marTop w:val="0"/>
          <w:marBottom w:val="0"/>
          <w:divBdr>
            <w:top w:val="none" w:sz="0" w:space="0" w:color="auto"/>
            <w:left w:val="none" w:sz="0" w:space="0" w:color="auto"/>
            <w:bottom w:val="none" w:sz="0" w:space="0" w:color="auto"/>
            <w:right w:val="none" w:sz="0" w:space="0" w:color="auto"/>
          </w:divBdr>
          <w:divsChild>
            <w:div w:id="733088219">
              <w:marLeft w:val="0"/>
              <w:marRight w:val="0"/>
              <w:marTop w:val="0"/>
              <w:marBottom w:val="0"/>
              <w:divBdr>
                <w:top w:val="none" w:sz="0" w:space="0" w:color="auto"/>
                <w:left w:val="none" w:sz="0" w:space="0" w:color="auto"/>
                <w:bottom w:val="none" w:sz="0" w:space="0" w:color="auto"/>
                <w:right w:val="none" w:sz="0" w:space="0" w:color="auto"/>
              </w:divBdr>
            </w:div>
          </w:divsChild>
        </w:div>
        <w:div w:id="373820514">
          <w:marLeft w:val="0"/>
          <w:marRight w:val="0"/>
          <w:marTop w:val="0"/>
          <w:marBottom w:val="0"/>
          <w:divBdr>
            <w:top w:val="none" w:sz="0" w:space="0" w:color="auto"/>
            <w:left w:val="none" w:sz="0" w:space="0" w:color="auto"/>
            <w:bottom w:val="none" w:sz="0" w:space="0" w:color="auto"/>
            <w:right w:val="none" w:sz="0" w:space="0" w:color="auto"/>
          </w:divBdr>
          <w:divsChild>
            <w:div w:id="139999587">
              <w:marLeft w:val="0"/>
              <w:marRight w:val="0"/>
              <w:marTop w:val="0"/>
              <w:marBottom w:val="0"/>
              <w:divBdr>
                <w:top w:val="none" w:sz="0" w:space="0" w:color="auto"/>
                <w:left w:val="none" w:sz="0" w:space="0" w:color="auto"/>
                <w:bottom w:val="none" w:sz="0" w:space="0" w:color="auto"/>
                <w:right w:val="none" w:sz="0" w:space="0" w:color="auto"/>
              </w:divBdr>
            </w:div>
          </w:divsChild>
        </w:div>
        <w:div w:id="383795208">
          <w:marLeft w:val="0"/>
          <w:marRight w:val="0"/>
          <w:marTop w:val="0"/>
          <w:marBottom w:val="0"/>
          <w:divBdr>
            <w:top w:val="none" w:sz="0" w:space="0" w:color="auto"/>
            <w:left w:val="none" w:sz="0" w:space="0" w:color="auto"/>
            <w:bottom w:val="none" w:sz="0" w:space="0" w:color="auto"/>
            <w:right w:val="none" w:sz="0" w:space="0" w:color="auto"/>
          </w:divBdr>
          <w:divsChild>
            <w:div w:id="692343718">
              <w:marLeft w:val="0"/>
              <w:marRight w:val="0"/>
              <w:marTop w:val="0"/>
              <w:marBottom w:val="0"/>
              <w:divBdr>
                <w:top w:val="none" w:sz="0" w:space="0" w:color="auto"/>
                <w:left w:val="none" w:sz="0" w:space="0" w:color="auto"/>
                <w:bottom w:val="none" w:sz="0" w:space="0" w:color="auto"/>
                <w:right w:val="none" w:sz="0" w:space="0" w:color="auto"/>
              </w:divBdr>
            </w:div>
          </w:divsChild>
        </w:div>
        <w:div w:id="397941576">
          <w:marLeft w:val="0"/>
          <w:marRight w:val="0"/>
          <w:marTop w:val="0"/>
          <w:marBottom w:val="0"/>
          <w:divBdr>
            <w:top w:val="none" w:sz="0" w:space="0" w:color="auto"/>
            <w:left w:val="none" w:sz="0" w:space="0" w:color="auto"/>
            <w:bottom w:val="none" w:sz="0" w:space="0" w:color="auto"/>
            <w:right w:val="none" w:sz="0" w:space="0" w:color="auto"/>
          </w:divBdr>
          <w:divsChild>
            <w:div w:id="1075203365">
              <w:marLeft w:val="0"/>
              <w:marRight w:val="0"/>
              <w:marTop w:val="0"/>
              <w:marBottom w:val="0"/>
              <w:divBdr>
                <w:top w:val="none" w:sz="0" w:space="0" w:color="auto"/>
                <w:left w:val="none" w:sz="0" w:space="0" w:color="auto"/>
                <w:bottom w:val="none" w:sz="0" w:space="0" w:color="auto"/>
                <w:right w:val="none" w:sz="0" w:space="0" w:color="auto"/>
              </w:divBdr>
            </w:div>
          </w:divsChild>
        </w:div>
        <w:div w:id="420222950">
          <w:marLeft w:val="0"/>
          <w:marRight w:val="0"/>
          <w:marTop w:val="0"/>
          <w:marBottom w:val="0"/>
          <w:divBdr>
            <w:top w:val="none" w:sz="0" w:space="0" w:color="auto"/>
            <w:left w:val="none" w:sz="0" w:space="0" w:color="auto"/>
            <w:bottom w:val="none" w:sz="0" w:space="0" w:color="auto"/>
            <w:right w:val="none" w:sz="0" w:space="0" w:color="auto"/>
          </w:divBdr>
          <w:divsChild>
            <w:div w:id="589117047">
              <w:marLeft w:val="0"/>
              <w:marRight w:val="0"/>
              <w:marTop w:val="0"/>
              <w:marBottom w:val="0"/>
              <w:divBdr>
                <w:top w:val="none" w:sz="0" w:space="0" w:color="auto"/>
                <w:left w:val="none" w:sz="0" w:space="0" w:color="auto"/>
                <w:bottom w:val="none" w:sz="0" w:space="0" w:color="auto"/>
                <w:right w:val="none" w:sz="0" w:space="0" w:color="auto"/>
              </w:divBdr>
            </w:div>
          </w:divsChild>
        </w:div>
        <w:div w:id="421072123">
          <w:marLeft w:val="0"/>
          <w:marRight w:val="0"/>
          <w:marTop w:val="0"/>
          <w:marBottom w:val="0"/>
          <w:divBdr>
            <w:top w:val="none" w:sz="0" w:space="0" w:color="auto"/>
            <w:left w:val="none" w:sz="0" w:space="0" w:color="auto"/>
            <w:bottom w:val="none" w:sz="0" w:space="0" w:color="auto"/>
            <w:right w:val="none" w:sz="0" w:space="0" w:color="auto"/>
          </w:divBdr>
          <w:divsChild>
            <w:div w:id="1492602459">
              <w:marLeft w:val="0"/>
              <w:marRight w:val="0"/>
              <w:marTop w:val="0"/>
              <w:marBottom w:val="0"/>
              <w:divBdr>
                <w:top w:val="none" w:sz="0" w:space="0" w:color="auto"/>
                <w:left w:val="none" w:sz="0" w:space="0" w:color="auto"/>
                <w:bottom w:val="none" w:sz="0" w:space="0" w:color="auto"/>
                <w:right w:val="none" w:sz="0" w:space="0" w:color="auto"/>
              </w:divBdr>
            </w:div>
          </w:divsChild>
        </w:div>
        <w:div w:id="424351666">
          <w:marLeft w:val="0"/>
          <w:marRight w:val="0"/>
          <w:marTop w:val="0"/>
          <w:marBottom w:val="0"/>
          <w:divBdr>
            <w:top w:val="none" w:sz="0" w:space="0" w:color="auto"/>
            <w:left w:val="none" w:sz="0" w:space="0" w:color="auto"/>
            <w:bottom w:val="none" w:sz="0" w:space="0" w:color="auto"/>
            <w:right w:val="none" w:sz="0" w:space="0" w:color="auto"/>
          </w:divBdr>
          <w:divsChild>
            <w:div w:id="1734541773">
              <w:marLeft w:val="0"/>
              <w:marRight w:val="0"/>
              <w:marTop w:val="0"/>
              <w:marBottom w:val="0"/>
              <w:divBdr>
                <w:top w:val="none" w:sz="0" w:space="0" w:color="auto"/>
                <w:left w:val="none" w:sz="0" w:space="0" w:color="auto"/>
                <w:bottom w:val="none" w:sz="0" w:space="0" w:color="auto"/>
                <w:right w:val="none" w:sz="0" w:space="0" w:color="auto"/>
              </w:divBdr>
            </w:div>
          </w:divsChild>
        </w:div>
        <w:div w:id="427039539">
          <w:marLeft w:val="0"/>
          <w:marRight w:val="0"/>
          <w:marTop w:val="0"/>
          <w:marBottom w:val="0"/>
          <w:divBdr>
            <w:top w:val="none" w:sz="0" w:space="0" w:color="auto"/>
            <w:left w:val="none" w:sz="0" w:space="0" w:color="auto"/>
            <w:bottom w:val="none" w:sz="0" w:space="0" w:color="auto"/>
            <w:right w:val="none" w:sz="0" w:space="0" w:color="auto"/>
          </w:divBdr>
          <w:divsChild>
            <w:div w:id="1184514116">
              <w:marLeft w:val="0"/>
              <w:marRight w:val="0"/>
              <w:marTop w:val="0"/>
              <w:marBottom w:val="0"/>
              <w:divBdr>
                <w:top w:val="none" w:sz="0" w:space="0" w:color="auto"/>
                <w:left w:val="none" w:sz="0" w:space="0" w:color="auto"/>
                <w:bottom w:val="none" w:sz="0" w:space="0" w:color="auto"/>
                <w:right w:val="none" w:sz="0" w:space="0" w:color="auto"/>
              </w:divBdr>
            </w:div>
          </w:divsChild>
        </w:div>
        <w:div w:id="450830163">
          <w:marLeft w:val="0"/>
          <w:marRight w:val="0"/>
          <w:marTop w:val="0"/>
          <w:marBottom w:val="0"/>
          <w:divBdr>
            <w:top w:val="none" w:sz="0" w:space="0" w:color="auto"/>
            <w:left w:val="none" w:sz="0" w:space="0" w:color="auto"/>
            <w:bottom w:val="none" w:sz="0" w:space="0" w:color="auto"/>
            <w:right w:val="none" w:sz="0" w:space="0" w:color="auto"/>
          </w:divBdr>
          <w:divsChild>
            <w:div w:id="2140999511">
              <w:marLeft w:val="0"/>
              <w:marRight w:val="0"/>
              <w:marTop w:val="0"/>
              <w:marBottom w:val="0"/>
              <w:divBdr>
                <w:top w:val="none" w:sz="0" w:space="0" w:color="auto"/>
                <w:left w:val="none" w:sz="0" w:space="0" w:color="auto"/>
                <w:bottom w:val="none" w:sz="0" w:space="0" w:color="auto"/>
                <w:right w:val="none" w:sz="0" w:space="0" w:color="auto"/>
              </w:divBdr>
            </w:div>
          </w:divsChild>
        </w:div>
        <w:div w:id="451478243">
          <w:marLeft w:val="0"/>
          <w:marRight w:val="0"/>
          <w:marTop w:val="0"/>
          <w:marBottom w:val="0"/>
          <w:divBdr>
            <w:top w:val="none" w:sz="0" w:space="0" w:color="auto"/>
            <w:left w:val="none" w:sz="0" w:space="0" w:color="auto"/>
            <w:bottom w:val="none" w:sz="0" w:space="0" w:color="auto"/>
            <w:right w:val="none" w:sz="0" w:space="0" w:color="auto"/>
          </w:divBdr>
          <w:divsChild>
            <w:div w:id="2107117723">
              <w:marLeft w:val="0"/>
              <w:marRight w:val="0"/>
              <w:marTop w:val="0"/>
              <w:marBottom w:val="0"/>
              <w:divBdr>
                <w:top w:val="none" w:sz="0" w:space="0" w:color="auto"/>
                <w:left w:val="none" w:sz="0" w:space="0" w:color="auto"/>
                <w:bottom w:val="none" w:sz="0" w:space="0" w:color="auto"/>
                <w:right w:val="none" w:sz="0" w:space="0" w:color="auto"/>
              </w:divBdr>
            </w:div>
          </w:divsChild>
        </w:div>
        <w:div w:id="454494228">
          <w:marLeft w:val="0"/>
          <w:marRight w:val="0"/>
          <w:marTop w:val="0"/>
          <w:marBottom w:val="0"/>
          <w:divBdr>
            <w:top w:val="none" w:sz="0" w:space="0" w:color="auto"/>
            <w:left w:val="none" w:sz="0" w:space="0" w:color="auto"/>
            <w:bottom w:val="none" w:sz="0" w:space="0" w:color="auto"/>
            <w:right w:val="none" w:sz="0" w:space="0" w:color="auto"/>
          </w:divBdr>
          <w:divsChild>
            <w:div w:id="1415978070">
              <w:marLeft w:val="0"/>
              <w:marRight w:val="0"/>
              <w:marTop w:val="0"/>
              <w:marBottom w:val="0"/>
              <w:divBdr>
                <w:top w:val="none" w:sz="0" w:space="0" w:color="auto"/>
                <w:left w:val="none" w:sz="0" w:space="0" w:color="auto"/>
                <w:bottom w:val="none" w:sz="0" w:space="0" w:color="auto"/>
                <w:right w:val="none" w:sz="0" w:space="0" w:color="auto"/>
              </w:divBdr>
            </w:div>
          </w:divsChild>
        </w:div>
        <w:div w:id="455371200">
          <w:marLeft w:val="0"/>
          <w:marRight w:val="0"/>
          <w:marTop w:val="0"/>
          <w:marBottom w:val="0"/>
          <w:divBdr>
            <w:top w:val="none" w:sz="0" w:space="0" w:color="auto"/>
            <w:left w:val="none" w:sz="0" w:space="0" w:color="auto"/>
            <w:bottom w:val="none" w:sz="0" w:space="0" w:color="auto"/>
            <w:right w:val="none" w:sz="0" w:space="0" w:color="auto"/>
          </w:divBdr>
          <w:divsChild>
            <w:div w:id="23361061">
              <w:marLeft w:val="0"/>
              <w:marRight w:val="0"/>
              <w:marTop w:val="0"/>
              <w:marBottom w:val="0"/>
              <w:divBdr>
                <w:top w:val="none" w:sz="0" w:space="0" w:color="auto"/>
                <w:left w:val="none" w:sz="0" w:space="0" w:color="auto"/>
                <w:bottom w:val="none" w:sz="0" w:space="0" w:color="auto"/>
                <w:right w:val="none" w:sz="0" w:space="0" w:color="auto"/>
              </w:divBdr>
            </w:div>
          </w:divsChild>
        </w:div>
        <w:div w:id="487601597">
          <w:marLeft w:val="0"/>
          <w:marRight w:val="0"/>
          <w:marTop w:val="0"/>
          <w:marBottom w:val="0"/>
          <w:divBdr>
            <w:top w:val="none" w:sz="0" w:space="0" w:color="auto"/>
            <w:left w:val="none" w:sz="0" w:space="0" w:color="auto"/>
            <w:bottom w:val="none" w:sz="0" w:space="0" w:color="auto"/>
            <w:right w:val="none" w:sz="0" w:space="0" w:color="auto"/>
          </w:divBdr>
          <w:divsChild>
            <w:div w:id="267009126">
              <w:marLeft w:val="0"/>
              <w:marRight w:val="0"/>
              <w:marTop w:val="0"/>
              <w:marBottom w:val="0"/>
              <w:divBdr>
                <w:top w:val="none" w:sz="0" w:space="0" w:color="auto"/>
                <w:left w:val="none" w:sz="0" w:space="0" w:color="auto"/>
                <w:bottom w:val="none" w:sz="0" w:space="0" w:color="auto"/>
                <w:right w:val="none" w:sz="0" w:space="0" w:color="auto"/>
              </w:divBdr>
            </w:div>
          </w:divsChild>
        </w:div>
        <w:div w:id="515844552">
          <w:marLeft w:val="0"/>
          <w:marRight w:val="0"/>
          <w:marTop w:val="0"/>
          <w:marBottom w:val="0"/>
          <w:divBdr>
            <w:top w:val="none" w:sz="0" w:space="0" w:color="auto"/>
            <w:left w:val="none" w:sz="0" w:space="0" w:color="auto"/>
            <w:bottom w:val="none" w:sz="0" w:space="0" w:color="auto"/>
            <w:right w:val="none" w:sz="0" w:space="0" w:color="auto"/>
          </w:divBdr>
          <w:divsChild>
            <w:div w:id="858853434">
              <w:marLeft w:val="0"/>
              <w:marRight w:val="0"/>
              <w:marTop w:val="0"/>
              <w:marBottom w:val="0"/>
              <w:divBdr>
                <w:top w:val="none" w:sz="0" w:space="0" w:color="auto"/>
                <w:left w:val="none" w:sz="0" w:space="0" w:color="auto"/>
                <w:bottom w:val="none" w:sz="0" w:space="0" w:color="auto"/>
                <w:right w:val="none" w:sz="0" w:space="0" w:color="auto"/>
              </w:divBdr>
            </w:div>
          </w:divsChild>
        </w:div>
        <w:div w:id="533202337">
          <w:marLeft w:val="0"/>
          <w:marRight w:val="0"/>
          <w:marTop w:val="0"/>
          <w:marBottom w:val="0"/>
          <w:divBdr>
            <w:top w:val="none" w:sz="0" w:space="0" w:color="auto"/>
            <w:left w:val="none" w:sz="0" w:space="0" w:color="auto"/>
            <w:bottom w:val="none" w:sz="0" w:space="0" w:color="auto"/>
            <w:right w:val="none" w:sz="0" w:space="0" w:color="auto"/>
          </w:divBdr>
          <w:divsChild>
            <w:div w:id="331299915">
              <w:marLeft w:val="0"/>
              <w:marRight w:val="0"/>
              <w:marTop w:val="0"/>
              <w:marBottom w:val="0"/>
              <w:divBdr>
                <w:top w:val="none" w:sz="0" w:space="0" w:color="auto"/>
                <w:left w:val="none" w:sz="0" w:space="0" w:color="auto"/>
                <w:bottom w:val="none" w:sz="0" w:space="0" w:color="auto"/>
                <w:right w:val="none" w:sz="0" w:space="0" w:color="auto"/>
              </w:divBdr>
            </w:div>
          </w:divsChild>
        </w:div>
        <w:div w:id="539124567">
          <w:marLeft w:val="0"/>
          <w:marRight w:val="0"/>
          <w:marTop w:val="0"/>
          <w:marBottom w:val="0"/>
          <w:divBdr>
            <w:top w:val="none" w:sz="0" w:space="0" w:color="auto"/>
            <w:left w:val="none" w:sz="0" w:space="0" w:color="auto"/>
            <w:bottom w:val="none" w:sz="0" w:space="0" w:color="auto"/>
            <w:right w:val="none" w:sz="0" w:space="0" w:color="auto"/>
          </w:divBdr>
          <w:divsChild>
            <w:div w:id="118572515">
              <w:marLeft w:val="0"/>
              <w:marRight w:val="0"/>
              <w:marTop w:val="0"/>
              <w:marBottom w:val="0"/>
              <w:divBdr>
                <w:top w:val="none" w:sz="0" w:space="0" w:color="auto"/>
                <w:left w:val="none" w:sz="0" w:space="0" w:color="auto"/>
                <w:bottom w:val="none" w:sz="0" w:space="0" w:color="auto"/>
                <w:right w:val="none" w:sz="0" w:space="0" w:color="auto"/>
              </w:divBdr>
            </w:div>
          </w:divsChild>
        </w:div>
        <w:div w:id="540872424">
          <w:marLeft w:val="0"/>
          <w:marRight w:val="0"/>
          <w:marTop w:val="0"/>
          <w:marBottom w:val="0"/>
          <w:divBdr>
            <w:top w:val="none" w:sz="0" w:space="0" w:color="auto"/>
            <w:left w:val="none" w:sz="0" w:space="0" w:color="auto"/>
            <w:bottom w:val="none" w:sz="0" w:space="0" w:color="auto"/>
            <w:right w:val="none" w:sz="0" w:space="0" w:color="auto"/>
          </w:divBdr>
          <w:divsChild>
            <w:div w:id="1860050109">
              <w:marLeft w:val="0"/>
              <w:marRight w:val="0"/>
              <w:marTop w:val="0"/>
              <w:marBottom w:val="0"/>
              <w:divBdr>
                <w:top w:val="none" w:sz="0" w:space="0" w:color="auto"/>
                <w:left w:val="none" w:sz="0" w:space="0" w:color="auto"/>
                <w:bottom w:val="none" w:sz="0" w:space="0" w:color="auto"/>
                <w:right w:val="none" w:sz="0" w:space="0" w:color="auto"/>
              </w:divBdr>
            </w:div>
          </w:divsChild>
        </w:div>
        <w:div w:id="543522728">
          <w:marLeft w:val="0"/>
          <w:marRight w:val="0"/>
          <w:marTop w:val="0"/>
          <w:marBottom w:val="0"/>
          <w:divBdr>
            <w:top w:val="none" w:sz="0" w:space="0" w:color="auto"/>
            <w:left w:val="none" w:sz="0" w:space="0" w:color="auto"/>
            <w:bottom w:val="none" w:sz="0" w:space="0" w:color="auto"/>
            <w:right w:val="none" w:sz="0" w:space="0" w:color="auto"/>
          </w:divBdr>
          <w:divsChild>
            <w:div w:id="1656564760">
              <w:marLeft w:val="0"/>
              <w:marRight w:val="0"/>
              <w:marTop w:val="0"/>
              <w:marBottom w:val="0"/>
              <w:divBdr>
                <w:top w:val="none" w:sz="0" w:space="0" w:color="auto"/>
                <w:left w:val="none" w:sz="0" w:space="0" w:color="auto"/>
                <w:bottom w:val="none" w:sz="0" w:space="0" w:color="auto"/>
                <w:right w:val="none" w:sz="0" w:space="0" w:color="auto"/>
              </w:divBdr>
            </w:div>
          </w:divsChild>
        </w:div>
        <w:div w:id="585040913">
          <w:marLeft w:val="0"/>
          <w:marRight w:val="0"/>
          <w:marTop w:val="0"/>
          <w:marBottom w:val="0"/>
          <w:divBdr>
            <w:top w:val="none" w:sz="0" w:space="0" w:color="auto"/>
            <w:left w:val="none" w:sz="0" w:space="0" w:color="auto"/>
            <w:bottom w:val="none" w:sz="0" w:space="0" w:color="auto"/>
            <w:right w:val="none" w:sz="0" w:space="0" w:color="auto"/>
          </w:divBdr>
          <w:divsChild>
            <w:div w:id="469444101">
              <w:marLeft w:val="0"/>
              <w:marRight w:val="0"/>
              <w:marTop w:val="0"/>
              <w:marBottom w:val="0"/>
              <w:divBdr>
                <w:top w:val="none" w:sz="0" w:space="0" w:color="auto"/>
                <w:left w:val="none" w:sz="0" w:space="0" w:color="auto"/>
                <w:bottom w:val="none" w:sz="0" w:space="0" w:color="auto"/>
                <w:right w:val="none" w:sz="0" w:space="0" w:color="auto"/>
              </w:divBdr>
            </w:div>
          </w:divsChild>
        </w:div>
        <w:div w:id="585041695">
          <w:marLeft w:val="0"/>
          <w:marRight w:val="0"/>
          <w:marTop w:val="0"/>
          <w:marBottom w:val="0"/>
          <w:divBdr>
            <w:top w:val="none" w:sz="0" w:space="0" w:color="auto"/>
            <w:left w:val="none" w:sz="0" w:space="0" w:color="auto"/>
            <w:bottom w:val="none" w:sz="0" w:space="0" w:color="auto"/>
            <w:right w:val="none" w:sz="0" w:space="0" w:color="auto"/>
          </w:divBdr>
          <w:divsChild>
            <w:div w:id="822283879">
              <w:marLeft w:val="0"/>
              <w:marRight w:val="0"/>
              <w:marTop w:val="0"/>
              <w:marBottom w:val="0"/>
              <w:divBdr>
                <w:top w:val="none" w:sz="0" w:space="0" w:color="auto"/>
                <w:left w:val="none" w:sz="0" w:space="0" w:color="auto"/>
                <w:bottom w:val="none" w:sz="0" w:space="0" w:color="auto"/>
                <w:right w:val="none" w:sz="0" w:space="0" w:color="auto"/>
              </w:divBdr>
            </w:div>
          </w:divsChild>
        </w:div>
        <w:div w:id="602765254">
          <w:marLeft w:val="0"/>
          <w:marRight w:val="0"/>
          <w:marTop w:val="0"/>
          <w:marBottom w:val="0"/>
          <w:divBdr>
            <w:top w:val="none" w:sz="0" w:space="0" w:color="auto"/>
            <w:left w:val="none" w:sz="0" w:space="0" w:color="auto"/>
            <w:bottom w:val="none" w:sz="0" w:space="0" w:color="auto"/>
            <w:right w:val="none" w:sz="0" w:space="0" w:color="auto"/>
          </w:divBdr>
          <w:divsChild>
            <w:div w:id="337736579">
              <w:marLeft w:val="0"/>
              <w:marRight w:val="0"/>
              <w:marTop w:val="0"/>
              <w:marBottom w:val="0"/>
              <w:divBdr>
                <w:top w:val="none" w:sz="0" w:space="0" w:color="auto"/>
                <w:left w:val="none" w:sz="0" w:space="0" w:color="auto"/>
                <w:bottom w:val="none" w:sz="0" w:space="0" w:color="auto"/>
                <w:right w:val="none" w:sz="0" w:space="0" w:color="auto"/>
              </w:divBdr>
            </w:div>
          </w:divsChild>
        </w:div>
        <w:div w:id="605699589">
          <w:marLeft w:val="0"/>
          <w:marRight w:val="0"/>
          <w:marTop w:val="0"/>
          <w:marBottom w:val="0"/>
          <w:divBdr>
            <w:top w:val="none" w:sz="0" w:space="0" w:color="auto"/>
            <w:left w:val="none" w:sz="0" w:space="0" w:color="auto"/>
            <w:bottom w:val="none" w:sz="0" w:space="0" w:color="auto"/>
            <w:right w:val="none" w:sz="0" w:space="0" w:color="auto"/>
          </w:divBdr>
          <w:divsChild>
            <w:div w:id="844245596">
              <w:marLeft w:val="0"/>
              <w:marRight w:val="0"/>
              <w:marTop w:val="0"/>
              <w:marBottom w:val="0"/>
              <w:divBdr>
                <w:top w:val="none" w:sz="0" w:space="0" w:color="auto"/>
                <w:left w:val="none" w:sz="0" w:space="0" w:color="auto"/>
                <w:bottom w:val="none" w:sz="0" w:space="0" w:color="auto"/>
                <w:right w:val="none" w:sz="0" w:space="0" w:color="auto"/>
              </w:divBdr>
            </w:div>
          </w:divsChild>
        </w:div>
        <w:div w:id="611326708">
          <w:marLeft w:val="0"/>
          <w:marRight w:val="0"/>
          <w:marTop w:val="0"/>
          <w:marBottom w:val="0"/>
          <w:divBdr>
            <w:top w:val="none" w:sz="0" w:space="0" w:color="auto"/>
            <w:left w:val="none" w:sz="0" w:space="0" w:color="auto"/>
            <w:bottom w:val="none" w:sz="0" w:space="0" w:color="auto"/>
            <w:right w:val="none" w:sz="0" w:space="0" w:color="auto"/>
          </w:divBdr>
          <w:divsChild>
            <w:div w:id="1823233364">
              <w:marLeft w:val="0"/>
              <w:marRight w:val="0"/>
              <w:marTop w:val="0"/>
              <w:marBottom w:val="0"/>
              <w:divBdr>
                <w:top w:val="none" w:sz="0" w:space="0" w:color="auto"/>
                <w:left w:val="none" w:sz="0" w:space="0" w:color="auto"/>
                <w:bottom w:val="none" w:sz="0" w:space="0" w:color="auto"/>
                <w:right w:val="none" w:sz="0" w:space="0" w:color="auto"/>
              </w:divBdr>
            </w:div>
          </w:divsChild>
        </w:div>
        <w:div w:id="624428668">
          <w:marLeft w:val="0"/>
          <w:marRight w:val="0"/>
          <w:marTop w:val="0"/>
          <w:marBottom w:val="0"/>
          <w:divBdr>
            <w:top w:val="none" w:sz="0" w:space="0" w:color="auto"/>
            <w:left w:val="none" w:sz="0" w:space="0" w:color="auto"/>
            <w:bottom w:val="none" w:sz="0" w:space="0" w:color="auto"/>
            <w:right w:val="none" w:sz="0" w:space="0" w:color="auto"/>
          </w:divBdr>
          <w:divsChild>
            <w:div w:id="450366582">
              <w:marLeft w:val="0"/>
              <w:marRight w:val="0"/>
              <w:marTop w:val="0"/>
              <w:marBottom w:val="0"/>
              <w:divBdr>
                <w:top w:val="none" w:sz="0" w:space="0" w:color="auto"/>
                <w:left w:val="none" w:sz="0" w:space="0" w:color="auto"/>
                <w:bottom w:val="none" w:sz="0" w:space="0" w:color="auto"/>
                <w:right w:val="none" w:sz="0" w:space="0" w:color="auto"/>
              </w:divBdr>
            </w:div>
          </w:divsChild>
        </w:div>
        <w:div w:id="636449286">
          <w:marLeft w:val="0"/>
          <w:marRight w:val="0"/>
          <w:marTop w:val="0"/>
          <w:marBottom w:val="0"/>
          <w:divBdr>
            <w:top w:val="none" w:sz="0" w:space="0" w:color="auto"/>
            <w:left w:val="none" w:sz="0" w:space="0" w:color="auto"/>
            <w:bottom w:val="none" w:sz="0" w:space="0" w:color="auto"/>
            <w:right w:val="none" w:sz="0" w:space="0" w:color="auto"/>
          </w:divBdr>
          <w:divsChild>
            <w:div w:id="1019425940">
              <w:marLeft w:val="0"/>
              <w:marRight w:val="0"/>
              <w:marTop w:val="0"/>
              <w:marBottom w:val="0"/>
              <w:divBdr>
                <w:top w:val="none" w:sz="0" w:space="0" w:color="auto"/>
                <w:left w:val="none" w:sz="0" w:space="0" w:color="auto"/>
                <w:bottom w:val="none" w:sz="0" w:space="0" w:color="auto"/>
                <w:right w:val="none" w:sz="0" w:space="0" w:color="auto"/>
              </w:divBdr>
            </w:div>
          </w:divsChild>
        </w:div>
        <w:div w:id="637876347">
          <w:marLeft w:val="0"/>
          <w:marRight w:val="0"/>
          <w:marTop w:val="0"/>
          <w:marBottom w:val="0"/>
          <w:divBdr>
            <w:top w:val="none" w:sz="0" w:space="0" w:color="auto"/>
            <w:left w:val="none" w:sz="0" w:space="0" w:color="auto"/>
            <w:bottom w:val="none" w:sz="0" w:space="0" w:color="auto"/>
            <w:right w:val="none" w:sz="0" w:space="0" w:color="auto"/>
          </w:divBdr>
          <w:divsChild>
            <w:div w:id="956451996">
              <w:marLeft w:val="0"/>
              <w:marRight w:val="0"/>
              <w:marTop w:val="0"/>
              <w:marBottom w:val="0"/>
              <w:divBdr>
                <w:top w:val="none" w:sz="0" w:space="0" w:color="auto"/>
                <w:left w:val="none" w:sz="0" w:space="0" w:color="auto"/>
                <w:bottom w:val="none" w:sz="0" w:space="0" w:color="auto"/>
                <w:right w:val="none" w:sz="0" w:space="0" w:color="auto"/>
              </w:divBdr>
            </w:div>
          </w:divsChild>
        </w:div>
        <w:div w:id="656304989">
          <w:marLeft w:val="0"/>
          <w:marRight w:val="0"/>
          <w:marTop w:val="0"/>
          <w:marBottom w:val="0"/>
          <w:divBdr>
            <w:top w:val="none" w:sz="0" w:space="0" w:color="auto"/>
            <w:left w:val="none" w:sz="0" w:space="0" w:color="auto"/>
            <w:bottom w:val="none" w:sz="0" w:space="0" w:color="auto"/>
            <w:right w:val="none" w:sz="0" w:space="0" w:color="auto"/>
          </w:divBdr>
          <w:divsChild>
            <w:div w:id="190730934">
              <w:marLeft w:val="0"/>
              <w:marRight w:val="0"/>
              <w:marTop w:val="0"/>
              <w:marBottom w:val="0"/>
              <w:divBdr>
                <w:top w:val="none" w:sz="0" w:space="0" w:color="auto"/>
                <w:left w:val="none" w:sz="0" w:space="0" w:color="auto"/>
                <w:bottom w:val="none" w:sz="0" w:space="0" w:color="auto"/>
                <w:right w:val="none" w:sz="0" w:space="0" w:color="auto"/>
              </w:divBdr>
            </w:div>
          </w:divsChild>
        </w:div>
        <w:div w:id="658002257">
          <w:marLeft w:val="0"/>
          <w:marRight w:val="0"/>
          <w:marTop w:val="0"/>
          <w:marBottom w:val="0"/>
          <w:divBdr>
            <w:top w:val="none" w:sz="0" w:space="0" w:color="auto"/>
            <w:left w:val="none" w:sz="0" w:space="0" w:color="auto"/>
            <w:bottom w:val="none" w:sz="0" w:space="0" w:color="auto"/>
            <w:right w:val="none" w:sz="0" w:space="0" w:color="auto"/>
          </w:divBdr>
          <w:divsChild>
            <w:div w:id="1264652961">
              <w:marLeft w:val="0"/>
              <w:marRight w:val="0"/>
              <w:marTop w:val="0"/>
              <w:marBottom w:val="0"/>
              <w:divBdr>
                <w:top w:val="none" w:sz="0" w:space="0" w:color="auto"/>
                <w:left w:val="none" w:sz="0" w:space="0" w:color="auto"/>
                <w:bottom w:val="none" w:sz="0" w:space="0" w:color="auto"/>
                <w:right w:val="none" w:sz="0" w:space="0" w:color="auto"/>
              </w:divBdr>
            </w:div>
          </w:divsChild>
        </w:div>
        <w:div w:id="664287505">
          <w:marLeft w:val="0"/>
          <w:marRight w:val="0"/>
          <w:marTop w:val="0"/>
          <w:marBottom w:val="0"/>
          <w:divBdr>
            <w:top w:val="none" w:sz="0" w:space="0" w:color="auto"/>
            <w:left w:val="none" w:sz="0" w:space="0" w:color="auto"/>
            <w:bottom w:val="none" w:sz="0" w:space="0" w:color="auto"/>
            <w:right w:val="none" w:sz="0" w:space="0" w:color="auto"/>
          </w:divBdr>
          <w:divsChild>
            <w:div w:id="302544478">
              <w:marLeft w:val="0"/>
              <w:marRight w:val="0"/>
              <w:marTop w:val="0"/>
              <w:marBottom w:val="0"/>
              <w:divBdr>
                <w:top w:val="none" w:sz="0" w:space="0" w:color="auto"/>
                <w:left w:val="none" w:sz="0" w:space="0" w:color="auto"/>
                <w:bottom w:val="none" w:sz="0" w:space="0" w:color="auto"/>
                <w:right w:val="none" w:sz="0" w:space="0" w:color="auto"/>
              </w:divBdr>
            </w:div>
          </w:divsChild>
        </w:div>
        <w:div w:id="694502459">
          <w:marLeft w:val="0"/>
          <w:marRight w:val="0"/>
          <w:marTop w:val="0"/>
          <w:marBottom w:val="0"/>
          <w:divBdr>
            <w:top w:val="none" w:sz="0" w:space="0" w:color="auto"/>
            <w:left w:val="none" w:sz="0" w:space="0" w:color="auto"/>
            <w:bottom w:val="none" w:sz="0" w:space="0" w:color="auto"/>
            <w:right w:val="none" w:sz="0" w:space="0" w:color="auto"/>
          </w:divBdr>
          <w:divsChild>
            <w:div w:id="1011642637">
              <w:marLeft w:val="0"/>
              <w:marRight w:val="0"/>
              <w:marTop w:val="0"/>
              <w:marBottom w:val="0"/>
              <w:divBdr>
                <w:top w:val="none" w:sz="0" w:space="0" w:color="auto"/>
                <w:left w:val="none" w:sz="0" w:space="0" w:color="auto"/>
                <w:bottom w:val="none" w:sz="0" w:space="0" w:color="auto"/>
                <w:right w:val="none" w:sz="0" w:space="0" w:color="auto"/>
              </w:divBdr>
            </w:div>
          </w:divsChild>
        </w:div>
        <w:div w:id="697897788">
          <w:marLeft w:val="0"/>
          <w:marRight w:val="0"/>
          <w:marTop w:val="0"/>
          <w:marBottom w:val="0"/>
          <w:divBdr>
            <w:top w:val="none" w:sz="0" w:space="0" w:color="auto"/>
            <w:left w:val="none" w:sz="0" w:space="0" w:color="auto"/>
            <w:bottom w:val="none" w:sz="0" w:space="0" w:color="auto"/>
            <w:right w:val="none" w:sz="0" w:space="0" w:color="auto"/>
          </w:divBdr>
          <w:divsChild>
            <w:div w:id="1857693092">
              <w:marLeft w:val="0"/>
              <w:marRight w:val="0"/>
              <w:marTop w:val="0"/>
              <w:marBottom w:val="0"/>
              <w:divBdr>
                <w:top w:val="none" w:sz="0" w:space="0" w:color="auto"/>
                <w:left w:val="none" w:sz="0" w:space="0" w:color="auto"/>
                <w:bottom w:val="none" w:sz="0" w:space="0" w:color="auto"/>
                <w:right w:val="none" w:sz="0" w:space="0" w:color="auto"/>
              </w:divBdr>
            </w:div>
          </w:divsChild>
        </w:div>
        <w:div w:id="703215848">
          <w:marLeft w:val="0"/>
          <w:marRight w:val="0"/>
          <w:marTop w:val="0"/>
          <w:marBottom w:val="0"/>
          <w:divBdr>
            <w:top w:val="none" w:sz="0" w:space="0" w:color="auto"/>
            <w:left w:val="none" w:sz="0" w:space="0" w:color="auto"/>
            <w:bottom w:val="none" w:sz="0" w:space="0" w:color="auto"/>
            <w:right w:val="none" w:sz="0" w:space="0" w:color="auto"/>
          </w:divBdr>
          <w:divsChild>
            <w:div w:id="1199972966">
              <w:marLeft w:val="0"/>
              <w:marRight w:val="0"/>
              <w:marTop w:val="0"/>
              <w:marBottom w:val="0"/>
              <w:divBdr>
                <w:top w:val="none" w:sz="0" w:space="0" w:color="auto"/>
                <w:left w:val="none" w:sz="0" w:space="0" w:color="auto"/>
                <w:bottom w:val="none" w:sz="0" w:space="0" w:color="auto"/>
                <w:right w:val="none" w:sz="0" w:space="0" w:color="auto"/>
              </w:divBdr>
            </w:div>
          </w:divsChild>
        </w:div>
        <w:div w:id="709761883">
          <w:marLeft w:val="0"/>
          <w:marRight w:val="0"/>
          <w:marTop w:val="0"/>
          <w:marBottom w:val="0"/>
          <w:divBdr>
            <w:top w:val="none" w:sz="0" w:space="0" w:color="auto"/>
            <w:left w:val="none" w:sz="0" w:space="0" w:color="auto"/>
            <w:bottom w:val="none" w:sz="0" w:space="0" w:color="auto"/>
            <w:right w:val="none" w:sz="0" w:space="0" w:color="auto"/>
          </w:divBdr>
          <w:divsChild>
            <w:div w:id="1005085834">
              <w:marLeft w:val="0"/>
              <w:marRight w:val="0"/>
              <w:marTop w:val="0"/>
              <w:marBottom w:val="0"/>
              <w:divBdr>
                <w:top w:val="none" w:sz="0" w:space="0" w:color="auto"/>
                <w:left w:val="none" w:sz="0" w:space="0" w:color="auto"/>
                <w:bottom w:val="none" w:sz="0" w:space="0" w:color="auto"/>
                <w:right w:val="none" w:sz="0" w:space="0" w:color="auto"/>
              </w:divBdr>
            </w:div>
          </w:divsChild>
        </w:div>
        <w:div w:id="718363194">
          <w:marLeft w:val="0"/>
          <w:marRight w:val="0"/>
          <w:marTop w:val="0"/>
          <w:marBottom w:val="0"/>
          <w:divBdr>
            <w:top w:val="none" w:sz="0" w:space="0" w:color="auto"/>
            <w:left w:val="none" w:sz="0" w:space="0" w:color="auto"/>
            <w:bottom w:val="none" w:sz="0" w:space="0" w:color="auto"/>
            <w:right w:val="none" w:sz="0" w:space="0" w:color="auto"/>
          </w:divBdr>
          <w:divsChild>
            <w:div w:id="131945742">
              <w:marLeft w:val="0"/>
              <w:marRight w:val="0"/>
              <w:marTop w:val="0"/>
              <w:marBottom w:val="0"/>
              <w:divBdr>
                <w:top w:val="none" w:sz="0" w:space="0" w:color="auto"/>
                <w:left w:val="none" w:sz="0" w:space="0" w:color="auto"/>
                <w:bottom w:val="none" w:sz="0" w:space="0" w:color="auto"/>
                <w:right w:val="none" w:sz="0" w:space="0" w:color="auto"/>
              </w:divBdr>
            </w:div>
          </w:divsChild>
        </w:div>
        <w:div w:id="721561816">
          <w:marLeft w:val="0"/>
          <w:marRight w:val="0"/>
          <w:marTop w:val="0"/>
          <w:marBottom w:val="0"/>
          <w:divBdr>
            <w:top w:val="none" w:sz="0" w:space="0" w:color="auto"/>
            <w:left w:val="none" w:sz="0" w:space="0" w:color="auto"/>
            <w:bottom w:val="none" w:sz="0" w:space="0" w:color="auto"/>
            <w:right w:val="none" w:sz="0" w:space="0" w:color="auto"/>
          </w:divBdr>
          <w:divsChild>
            <w:div w:id="282619246">
              <w:marLeft w:val="0"/>
              <w:marRight w:val="0"/>
              <w:marTop w:val="0"/>
              <w:marBottom w:val="0"/>
              <w:divBdr>
                <w:top w:val="none" w:sz="0" w:space="0" w:color="auto"/>
                <w:left w:val="none" w:sz="0" w:space="0" w:color="auto"/>
                <w:bottom w:val="none" w:sz="0" w:space="0" w:color="auto"/>
                <w:right w:val="none" w:sz="0" w:space="0" w:color="auto"/>
              </w:divBdr>
            </w:div>
          </w:divsChild>
        </w:div>
        <w:div w:id="738329528">
          <w:marLeft w:val="0"/>
          <w:marRight w:val="0"/>
          <w:marTop w:val="0"/>
          <w:marBottom w:val="0"/>
          <w:divBdr>
            <w:top w:val="none" w:sz="0" w:space="0" w:color="auto"/>
            <w:left w:val="none" w:sz="0" w:space="0" w:color="auto"/>
            <w:bottom w:val="none" w:sz="0" w:space="0" w:color="auto"/>
            <w:right w:val="none" w:sz="0" w:space="0" w:color="auto"/>
          </w:divBdr>
          <w:divsChild>
            <w:div w:id="1123962970">
              <w:marLeft w:val="0"/>
              <w:marRight w:val="0"/>
              <w:marTop w:val="0"/>
              <w:marBottom w:val="0"/>
              <w:divBdr>
                <w:top w:val="none" w:sz="0" w:space="0" w:color="auto"/>
                <w:left w:val="none" w:sz="0" w:space="0" w:color="auto"/>
                <w:bottom w:val="none" w:sz="0" w:space="0" w:color="auto"/>
                <w:right w:val="none" w:sz="0" w:space="0" w:color="auto"/>
              </w:divBdr>
            </w:div>
          </w:divsChild>
        </w:div>
        <w:div w:id="751701787">
          <w:marLeft w:val="0"/>
          <w:marRight w:val="0"/>
          <w:marTop w:val="0"/>
          <w:marBottom w:val="0"/>
          <w:divBdr>
            <w:top w:val="none" w:sz="0" w:space="0" w:color="auto"/>
            <w:left w:val="none" w:sz="0" w:space="0" w:color="auto"/>
            <w:bottom w:val="none" w:sz="0" w:space="0" w:color="auto"/>
            <w:right w:val="none" w:sz="0" w:space="0" w:color="auto"/>
          </w:divBdr>
          <w:divsChild>
            <w:div w:id="556210843">
              <w:marLeft w:val="0"/>
              <w:marRight w:val="0"/>
              <w:marTop w:val="0"/>
              <w:marBottom w:val="0"/>
              <w:divBdr>
                <w:top w:val="none" w:sz="0" w:space="0" w:color="auto"/>
                <w:left w:val="none" w:sz="0" w:space="0" w:color="auto"/>
                <w:bottom w:val="none" w:sz="0" w:space="0" w:color="auto"/>
                <w:right w:val="none" w:sz="0" w:space="0" w:color="auto"/>
              </w:divBdr>
            </w:div>
          </w:divsChild>
        </w:div>
        <w:div w:id="796726265">
          <w:marLeft w:val="0"/>
          <w:marRight w:val="0"/>
          <w:marTop w:val="0"/>
          <w:marBottom w:val="0"/>
          <w:divBdr>
            <w:top w:val="none" w:sz="0" w:space="0" w:color="auto"/>
            <w:left w:val="none" w:sz="0" w:space="0" w:color="auto"/>
            <w:bottom w:val="none" w:sz="0" w:space="0" w:color="auto"/>
            <w:right w:val="none" w:sz="0" w:space="0" w:color="auto"/>
          </w:divBdr>
          <w:divsChild>
            <w:div w:id="107741939">
              <w:marLeft w:val="0"/>
              <w:marRight w:val="0"/>
              <w:marTop w:val="0"/>
              <w:marBottom w:val="0"/>
              <w:divBdr>
                <w:top w:val="none" w:sz="0" w:space="0" w:color="auto"/>
                <w:left w:val="none" w:sz="0" w:space="0" w:color="auto"/>
                <w:bottom w:val="none" w:sz="0" w:space="0" w:color="auto"/>
                <w:right w:val="none" w:sz="0" w:space="0" w:color="auto"/>
              </w:divBdr>
            </w:div>
          </w:divsChild>
        </w:div>
        <w:div w:id="799808613">
          <w:marLeft w:val="0"/>
          <w:marRight w:val="0"/>
          <w:marTop w:val="0"/>
          <w:marBottom w:val="0"/>
          <w:divBdr>
            <w:top w:val="none" w:sz="0" w:space="0" w:color="auto"/>
            <w:left w:val="none" w:sz="0" w:space="0" w:color="auto"/>
            <w:bottom w:val="none" w:sz="0" w:space="0" w:color="auto"/>
            <w:right w:val="none" w:sz="0" w:space="0" w:color="auto"/>
          </w:divBdr>
          <w:divsChild>
            <w:div w:id="948002947">
              <w:marLeft w:val="0"/>
              <w:marRight w:val="0"/>
              <w:marTop w:val="0"/>
              <w:marBottom w:val="0"/>
              <w:divBdr>
                <w:top w:val="none" w:sz="0" w:space="0" w:color="auto"/>
                <w:left w:val="none" w:sz="0" w:space="0" w:color="auto"/>
                <w:bottom w:val="none" w:sz="0" w:space="0" w:color="auto"/>
                <w:right w:val="none" w:sz="0" w:space="0" w:color="auto"/>
              </w:divBdr>
            </w:div>
          </w:divsChild>
        </w:div>
        <w:div w:id="813525344">
          <w:marLeft w:val="0"/>
          <w:marRight w:val="0"/>
          <w:marTop w:val="0"/>
          <w:marBottom w:val="0"/>
          <w:divBdr>
            <w:top w:val="none" w:sz="0" w:space="0" w:color="auto"/>
            <w:left w:val="none" w:sz="0" w:space="0" w:color="auto"/>
            <w:bottom w:val="none" w:sz="0" w:space="0" w:color="auto"/>
            <w:right w:val="none" w:sz="0" w:space="0" w:color="auto"/>
          </w:divBdr>
          <w:divsChild>
            <w:div w:id="948198441">
              <w:marLeft w:val="0"/>
              <w:marRight w:val="0"/>
              <w:marTop w:val="0"/>
              <w:marBottom w:val="0"/>
              <w:divBdr>
                <w:top w:val="none" w:sz="0" w:space="0" w:color="auto"/>
                <w:left w:val="none" w:sz="0" w:space="0" w:color="auto"/>
                <w:bottom w:val="none" w:sz="0" w:space="0" w:color="auto"/>
                <w:right w:val="none" w:sz="0" w:space="0" w:color="auto"/>
              </w:divBdr>
            </w:div>
          </w:divsChild>
        </w:div>
        <w:div w:id="818958095">
          <w:marLeft w:val="0"/>
          <w:marRight w:val="0"/>
          <w:marTop w:val="0"/>
          <w:marBottom w:val="0"/>
          <w:divBdr>
            <w:top w:val="none" w:sz="0" w:space="0" w:color="auto"/>
            <w:left w:val="none" w:sz="0" w:space="0" w:color="auto"/>
            <w:bottom w:val="none" w:sz="0" w:space="0" w:color="auto"/>
            <w:right w:val="none" w:sz="0" w:space="0" w:color="auto"/>
          </w:divBdr>
          <w:divsChild>
            <w:div w:id="1849170930">
              <w:marLeft w:val="0"/>
              <w:marRight w:val="0"/>
              <w:marTop w:val="0"/>
              <w:marBottom w:val="0"/>
              <w:divBdr>
                <w:top w:val="none" w:sz="0" w:space="0" w:color="auto"/>
                <w:left w:val="none" w:sz="0" w:space="0" w:color="auto"/>
                <w:bottom w:val="none" w:sz="0" w:space="0" w:color="auto"/>
                <w:right w:val="none" w:sz="0" w:space="0" w:color="auto"/>
              </w:divBdr>
            </w:div>
          </w:divsChild>
        </w:div>
        <w:div w:id="825165169">
          <w:marLeft w:val="0"/>
          <w:marRight w:val="0"/>
          <w:marTop w:val="0"/>
          <w:marBottom w:val="0"/>
          <w:divBdr>
            <w:top w:val="none" w:sz="0" w:space="0" w:color="auto"/>
            <w:left w:val="none" w:sz="0" w:space="0" w:color="auto"/>
            <w:bottom w:val="none" w:sz="0" w:space="0" w:color="auto"/>
            <w:right w:val="none" w:sz="0" w:space="0" w:color="auto"/>
          </w:divBdr>
          <w:divsChild>
            <w:div w:id="160507457">
              <w:marLeft w:val="0"/>
              <w:marRight w:val="0"/>
              <w:marTop w:val="0"/>
              <w:marBottom w:val="0"/>
              <w:divBdr>
                <w:top w:val="none" w:sz="0" w:space="0" w:color="auto"/>
                <w:left w:val="none" w:sz="0" w:space="0" w:color="auto"/>
                <w:bottom w:val="none" w:sz="0" w:space="0" w:color="auto"/>
                <w:right w:val="none" w:sz="0" w:space="0" w:color="auto"/>
              </w:divBdr>
            </w:div>
          </w:divsChild>
        </w:div>
        <w:div w:id="829322050">
          <w:marLeft w:val="0"/>
          <w:marRight w:val="0"/>
          <w:marTop w:val="0"/>
          <w:marBottom w:val="0"/>
          <w:divBdr>
            <w:top w:val="none" w:sz="0" w:space="0" w:color="auto"/>
            <w:left w:val="none" w:sz="0" w:space="0" w:color="auto"/>
            <w:bottom w:val="none" w:sz="0" w:space="0" w:color="auto"/>
            <w:right w:val="none" w:sz="0" w:space="0" w:color="auto"/>
          </w:divBdr>
          <w:divsChild>
            <w:div w:id="647513341">
              <w:marLeft w:val="0"/>
              <w:marRight w:val="0"/>
              <w:marTop w:val="0"/>
              <w:marBottom w:val="0"/>
              <w:divBdr>
                <w:top w:val="none" w:sz="0" w:space="0" w:color="auto"/>
                <w:left w:val="none" w:sz="0" w:space="0" w:color="auto"/>
                <w:bottom w:val="none" w:sz="0" w:space="0" w:color="auto"/>
                <w:right w:val="none" w:sz="0" w:space="0" w:color="auto"/>
              </w:divBdr>
            </w:div>
          </w:divsChild>
        </w:div>
        <w:div w:id="830607982">
          <w:marLeft w:val="0"/>
          <w:marRight w:val="0"/>
          <w:marTop w:val="0"/>
          <w:marBottom w:val="0"/>
          <w:divBdr>
            <w:top w:val="none" w:sz="0" w:space="0" w:color="auto"/>
            <w:left w:val="none" w:sz="0" w:space="0" w:color="auto"/>
            <w:bottom w:val="none" w:sz="0" w:space="0" w:color="auto"/>
            <w:right w:val="none" w:sz="0" w:space="0" w:color="auto"/>
          </w:divBdr>
          <w:divsChild>
            <w:div w:id="2037610883">
              <w:marLeft w:val="0"/>
              <w:marRight w:val="0"/>
              <w:marTop w:val="0"/>
              <w:marBottom w:val="0"/>
              <w:divBdr>
                <w:top w:val="none" w:sz="0" w:space="0" w:color="auto"/>
                <w:left w:val="none" w:sz="0" w:space="0" w:color="auto"/>
                <w:bottom w:val="none" w:sz="0" w:space="0" w:color="auto"/>
                <w:right w:val="none" w:sz="0" w:space="0" w:color="auto"/>
              </w:divBdr>
            </w:div>
          </w:divsChild>
        </w:div>
        <w:div w:id="834027780">
          <w:marLeft w:val="0"/>
          <w:marRight w:val="0"/>
          <w:marTop w:val="0"/>
          <w:marBottom w:val="0"/>
          <w:divBdr>
            <w:top w:val="none" w:sz="0" w:space="0" w:color="auto"/>
            <w:left w:val="none" w:sz="0" w:space="0" w:color="auto"/>
            <w:bottom w:val="none" w:sz="0" w:space="0" w:color="auto"/>
            <w:right w:val="none" w:sz="0" w:space="0" w:color="auto"/>
          </w:divBdr>
          <w:divsChild>
            <w:div w:id="654458315">
              <w:marLeft w:val="0"/>
              <w:marRight w:val="0"/>
              <w:marTop w:val="0"/>
              <w:marBottom w:val="0"/>
              <w:divBdr>
                <w:top w:val="none" w:sz="0" w:space="0" w:color="auto"/>
                <w:left w:val="none" w:sz="0" w:space="0" w:color="auto"/>
                <w:bottom w:val="none" w:sz="0" w:space="0" w:color="auto"/>
                <w:right w:val="none" w:sz="0" w:space="0" w:color="auto"/>
              </w:divBdr>
            </w:div>
          </w:divsChild>
        </w:div>
        <w:div w:id="864706503">
          <w:marLeft w:val="0"/>
          <w:marRight w:val="0"/>
          <w:marTop w:val="0"/>
          <w:marBottom w:val="0"/>
          <w:divBdr>
            <w:top w:val="none" w:sz="0" w:space="0" w:color="auto"/>
            <w:left w:val="none" w:sz="0" w:space="0" w:color="auto"/>
            <w:bottom w:val="none" w:sz="0" w:space="0" w:color="auto"/>
            <w:right w:val="none" w:sz="0" w:space="0" w:color="auto"/>
          </w:divBdr>
          <w:divsChild>
            <w:div w:id="1397820265">
              <w:marLeft w:val="0"/>
              <w:marRight w:val="0"/>
              <w:marTop w:val="0"/>
              <w:marBottom w:val="0"/>
              <w:divBdr>
                <w:top w:val="none" w:sz="0" w:space="0" w:color="auto"/>
                <w:left w:val="none" w:sz="0" w:space="0" w:color="auto"/>
                <w:bottom w:val="none" w:sz="0" w:space="0" w:color="auto"/>
                <w:right w:val="none" w:sz="0" w:space="0" w:color="auto"/>
              </w:divBdr>
            </w:div>
          </w:divsChild>
        </w:div>
        <w:div w:id="866018884">
          <w:marLeft w:val="0"/>
          <w:marRight w:val="0"/>
          <w:marTop w:val="0"/>
          <w:marBottom w:val="0"/>
          <w:divBdr>
            <w:top w:val="none" w:sz="0" w:space="0" w:color="auto"/>
            <w:left w:val="none" w:sz="0" w:space="0" w:color="auto"/>
            <w:bottom w:val="none" w:sz="0" w:space="0" w:color="auto"/>
            <w:right w:val="none" w:sz="0" w:space="0" w:color="auto"/>
          </w:divBdr>
          <w:divsChild>
            <w:div w:id="256332844">
              <w:marLeft w:val="0"/>
              <w:marRight w:val="0"/>
              <w:marTop w:val="0"/>
              <w:marBottom w:val="0"/>
              <w:divBdr>
                <w:top w:val="none" w:sz="0" w:space="0" w:color="auto"/>
                <w:left w:val="none" w:sz="0" w:space="0" w:color="auto"/>
                <w:bottom w:val="none" w:sz="0" w:space="0" w:color="auto"/>
                <w:right w:val="none" w:sz="0" w:space="0" w:color="auto"/>
              </w:divBdr>
            </w:div>
          </w:divsChild>
        </w:div>
        <w:div w:id="876358658">
          <w:marLeft w:val="0"/>
          <w:marRight w:val="0"/>
          <w:marTop w:val="0"/>
          <w:marBottom w:val="0"/>
          <w:divBdr>
            <w:top w:val="none" w:sz="0" w:space="0" w:color="auto"/>
            <w:left w:val="none" w:sz="0" w:space="0" w:color="auto"/>
            <w:bottom w:val="none" w:sz="0" w:space="0" w:color="auto"/>
            <w:right w:val="none" w:sz="0" w:space="0" w:color="auto"/>
          </w:divBdr>
          <w:divsChild>
            <w:div w:id="2116242418">
              <w:marLeft w:val="0"/>
              <w:marRight w:val="0"/>
              <w:marTop w:val="0"/>
              <w:marBottom w:val="0"/>
              <w:divBdr>
                <w:top w:val="none" w:sz="0" w:space="0" w:color="auto"/>
                <w:left w:val="none" w:sz="0" w:space="0" w:color="auto"/>
                <w:bottom w:val="none" w:sz="0" w:space="0" w:color="auto"/>
                <w:right w:val="none" w:sz="0" w:space="0" w:color="auto"/>
              </w:divBdr>
            </w:div>
          </w:divsChild>
        </w:div>
        <w:div w:id="894126829">
          <w:marLeft w:val="0"/>
          <w:marRight w:val="0"/>
          <w:marTop w:val="0"/>
          <w:marBottom w:val="0"/>
          <w:divBdr>
            <w:top w:val="none" w:sz="0" w:space="0" w:color="auto"/>
            <w:left w:val="none" w:sz="0" w:space="0" w:color="auto"/>
            <w:bottom w:val="none" w:sz="0" w:space="0" w:color="auto"/>
            <w:right w:val="none" w:sz="0" w:space="0" w:color="auto"/>
          </w:divBdr>
          <w:divsChild>
            <w:div w:id="1173497373">
              <w:marLeft w:val="0"/>
              <w:marRight w:val="0"/>
              <w:marTop w:val="0"/>
              <w:marBottom w:val="0"/>
              <w:divBdr>
                <w:top w:val="none" w:sz="0" w:space="0" w:color="auto"/>
                <w:left w:val="none" w:sz="0" w:space="0" w:color="auto"/>
                <w:bottom w:val="none" w:sz="0" w:space="0" w:color="auto"/>
                <w:right w:val="none" w:sz="0" w:space="0" w:color="auto"/>
              </w:divBdr>
            </w:div>
          </w:divsChild>
        </w:div>
        <w:div w:id="896084850">
          <w:marLeft w:val="0"/>
          <w:marRight w:val="0"/>
          <w:marTop w:val="0"/>
          <w:marBottom w:val="0"/>
          <w:divBdr>
            <w:top w:val="none" w:sz="0" w:space="0" w:color="auto"/>
            <w:left w:val="none" w:sz="0" w:space="0" w:color="auto"/>
            <w:bottom w:val="none" w:sz="0" w:space="0" w:color="auto"/>
            <w:right w:val="none" w:sz="0" w:space="0" w:color="auto"/>
          </w:divBdr>
          <w:divsChild>
            <w:div w:id="2145075596">
              <w:marLeft w:val="0"/>
              <w:marRight w:val="0"/>
              <w:marTop w:val="0"/>
              <w:marBottom w:val="0"/>
              <w:divBdr>
                <w:top w:val="none" w:sz="0" w:space="0" w:color="auto"/>
                <w:left w:val="none" w:sz="0" w:space="0" w:color="auto"/>
                <w:bottom w:val="none" w:sz="0" w:space="0" w:color="auto"/>
                <w:right w:val="none" w:sz="0" w:space="0" w:color="auto"/>
              </w:divBdr>
            </w:div>
          </w:divsChild>
        </w:div>
        <w:div w:id="902175527">
          <w:marLeft w:val="0"/>
          <w:marRight w:val="0"/>
          <w:marTop w:val="0"/>
          <w:marBottom w:val="0"/>
          <w:divBdr>
            <w:top w:val="none" w:sz="0" w:space="0" w:color="auto"/>
            <w:left w:val="none" w:sz="0" w:space="0" w:color="auto"/>
            <w:bottom w:val="none" w:sz="0" w:space="0" w:color="auto"/>
            <w:right w:val="none" w:sz="0" w:space="0" w:color="auto"/>
          </w:divBdr>
          <w:divsChild>
            <w:div w:id="932131982">
              <w:marLeft w:val="0"/>
              <w:marRight w:val="0"/>
              <w:marTop w:val="0"/>
              <w:marBottom w:val="0"/>
              <w:divBdr>
                <w:top w:val="none" w:sz="0" w:space="0" w:color="auto"/>
                <w:left w:val="none" w:sz="0" w:space="0" w:color="auto"/>
                <w:bottom w:val="none" w:sz="0" w:space="0" w:color="auto"/>
                <w:right w:val="none" w:sz="0" w:space="0" w:color="auto"/>
              </w:divBdr>
            </w:div>
          </w:divsChild>
        </w:div>
        <w:div w:id="907611610">
          <w:marLeft w:val="0"/>
          <w:marRight w:val="0"/>
          <w:marTop w:val="0"/>
          <w:marBottom w:val="0"/>
          <w:divBdr>
            <w:top w:val="none" w:sz="0" w:space="0" w:color="auto"/>
            <w:left w:val="none" w:sz="0" w:space="0" w:color="auto"/>
            <w:bottom w:val="none" w:sz="0" w:space="0" w:color="auto"/>
            <w:right w:val="none" w:sz="0" w:space="0" w:color="auto"/>
          </w:divBdr>
          <w:divsChild>
            <w:div w:id="240650872">
              <w:marLeft w:val="0"/>
              <w:marRight w:val="0"/>
              <w:marTop w:val="0"/>
              <w:marBottom w:val="0"/>
              <w:divBdr>
                <w:top w:val="none" w:sz="0" w:space="0" w:color="auto"/>
                <w:left w:val="none" w:sz="0" w:space="0" w:color="auto"/>
                <w:bottom w:val="none" w:sz="0" w:space="0" w:color="auto"/>
                <w:right w:val="none" w:sz="0" w:space="0" w:color="auto"/>
              </w:divBdr>
            </w:div>
          </w:divsChild>
        </w:div>
        <w:div w:id="919944563">
          <w:marLeft w:val="0"/>
          <w:marRight w:val="0"/>
          <w:marTop w:val="0"/>
          <w:marBottom w:val="0"/>
          <w:divBdr>
            <w:top w:val="none" w:sz="0" w:space="0" w:color="auto"/>
            <w:left w:val="none" w:sz="0" w:space="0" w:color="auto"/>
            <w:bottom w:val="none" w:sz="0" w:space="0" w:color="auto"/>
            <w:right w:val="none" w:sz="0" w:space="0" w:color="auto"/>
          </w:divBdr>
          <w:divsChild>
            <w:div w:id="922489225">
              <w:marLeft w:val="0"/>
              <w:marRight w:val="0"/>
              <w:marTop w:val="0"/>
              <w:marBottom w:val="0"/>
              <w:divBdr>
                <w:top w:val="none" w:sz="0" w:space="0" w:color="auto"/>
                <w:left w:val="none" w:sz="0" w:space="0" w:color="auto"/>
                <w:bottom w:val="none" w:sz="0" w:space="0" w:color="auto"/>
                <w:right w:val="none" w:sz="0" w:space="0" w:color="auto"/>
              </w:divBdr>
            </w:div>
          </w:divsChild>
        </w:div>
        <w:div w:id="920331417">
          <w:marLeft w:val="0"/>
          <w:marRight w:val="0"/>
          <w:marTop w:val="0"/>
          <w:marBottom w:val="0"/>
          <w:divBdr>
            <w:top w:val="none" w:sz="0" w:space="0" w:color="auto"/>
            <w:left w:val="none" w:sz="0" w:space="0" w:color="auto"/>
            <w:bottom w:val="none" w:sz="0" w:space="0" w:color="auto"/>
            <w:right w:val="none" w:sz="0" w:space="0" w:color="auto"/>
          </w:divBdr>
          <w:divsChild>
            <w:div w:id="443503496">
              <w:marLeft w:val="0"/>
              <w:marRight w:val="0"/>
              <w:marTop w:val="0"/>
              <w:marBottom w:val="0"/>
              <w:divBdr>
                <w:top w:val="none" w:sz="0" w:space="0" w:color="auto"/>
                <w:left w:val="none" w:sz="0" w:space="0" w:color="auto"/>
                <w:bottom w:val="none" w:sz="0" w:space="0" w:color="auto"/>
                <w:right w:val="none" w:sz="0" w:space="0" w:color="auto"/>
              </w:divBdr>
            </w:div>
          </w:divsChild>
        </w:div>
        <w:div w:id="920912440">
          <w:marLeft w:val="0"/>
          <w:marRight w:val="0"/>
          <w:marTop w:val="0"/>
          <w:marBottom w:val="0"/>
          <w:divBdr>
            <w:top w:val="none" w:sz="0" w:space="0" w:color="auto"/>
            <w:left w:val="none" w:sz="0" w:space="0" w:color="auto"/>
            <w:bottom w:val="none" w:sz="0" w:space="0" w:color="auto"/>
            <w:right w:val="none" w:sz="0" w:space="0" w:color="auto"/>
          </w:divBdr>
          <w:divsChild>
            <w:div w:id="1803185231">
              <w:marLeft w:val="0"/>
              <w:marRight w:val="0"/>
              <w:marTop w:val="0"/>
              <w:marBottom w:val="0"/>
              <w:divBdr>
                <w:top w:val="none" w:sz="0" w:space="0" w:color="auto"/>
                <w:left w:val="none" w:sz="0" w:space="0" w:color="auto"/>
                <w:bottom w:val="none" w:sz="0" w:space="0" w:color="auto"/>
                <w:right w:val="none" w:sz="0" w:space="0" w:color="auto"/>
              </w:divBdr>
            </w:div>
          </w:divsChild>
        </w:div>
        <w:div w:id="921139733">
          <w:marLeft w:val="0"/>
          <w:marRight w:val="0"/>
          <w:marTop w:val="0"/>
          <w:marBottom w:val="0"/>
          <w:divBdr>
            <w:top w:val="none" w:sz="0" w:space="0" w:color="auto"/>
            <w:left w:val="none" w:sz="0" w:space="0" w:color="auto"/>
            <w:bottom w:val="none" w:sz="0" w:space="0" w:color="auto"/>
            <w:right w:val="none" w:sz="0" w:space="0" w:color="auto"/>
          </w:divBdr>
          <w:divsChild>
            <w:div w:id="1086995271">
              <w:marLeft w:val="0"/>
              <w:marRight w:val="0"/>
              <w:marTop w:val="0"/>
              <w:marBottom w:val="0"/>
              <w:divBdr>
                <w:top w:val="none" w:sz="0" w:space="0" w:color="auto"/>
                <w:left w:val="none" w:sz="0" w:space="0" w:color="auto"/>
                <w:bottom w:val="none" w:sz="0" w:space="0" w:color="auto"/>
                <w:right w:val="none" w:sz="0" w:space="0" w:color="auto"/>
              </w:divBdr>
            </w:div>
          </w:divsChild>
        </w:div>
        <w:div w:id="924070445">
          <w:marLeft w:val="0"/>
          <w:marRight w:val="0"/>
          <w:marTop w:val="0"/>
          <w:marBottom w:val="0"/>
          <w:divBdr>
            <w:top w:val="none" w:sz="0" w:space="0" w:color="auto"/>
            <w:left w:val="none" w:sz="0" w:space="0" w:color="auto"/>
            <w:bottom w:val="none" w:sz="0" w:space="0" w:color="auto"/>
            <w:right w:val="none" w:sz="0" w:space="0" w:color="auto"/>
          </w:divBdr>
          <w:divsChild>
            <w:div w:id="487481923">
              <w:marLeft w:val="0"/>
              <w:marRight w:val="0"/>
              <w:marTop w:val="0"/>
              <w:marBottom w:val="0"/>
              <w:divBdr>
                <w:top w:val="none" w:sz="0" w:space="0" w:color="auto"/>
                <w:left w:val="none" w:sz="0" w:space="0" w:color="auto"/>
                <w:bottom w:val="none" w:sz="0" w:space="0" w:color="auto"/>
                <w:right w:val="none" w:sz="0" w:space="0" w:color="auto"/>
              </w:divBdr>
            </w:div>
          </w:divsChild>
        </w:div>
        <w:div w:id="933241060">
          <w:marLeft w:val="0"/>
          <w:marRight w:val="0"/>
          <w:marTop w:val="0"/>
          <w:marBottom w:val="0"/>
          <w:divBdr>
            <w:top w:val="none" w:sz="0" w:space="0" w:color="auto"/>
            <w:left w:val="none" w:sz="0" w:space="0" w:color="auto"/>
            <w:bottom w:val="none" w:sz="0" w:space="0" w:color="auto"/>
            <w:right w:val="none" w:sz="0" w:space="0" w:color="auto"/>
          </w:divBdr>
          <w:divsChild>
            <w:div w:id="1778789140">
              <w:marLeft w:val="0"/>
              <w:marRight w:val="0"/>
              <w:marTop w:val="0"/>
              <w:marBottom w:val="0"/>
              <w:divBdr>
                <w:top w:val="none" w:sz="0" w:space="0" w:color="auto"/>
                <w:left w:val="none" w:sz="0" w:space="0" w:color="auto"/>
                <w:bottom w:val="none" w:sz="0" w:space="0" w:color="auto"/>
                <w:right w:val="none" w:sz="0" w:space="0" w:color="auto"/>
              </w:divBdr>
            </w:div>
          </w:divsChild>
        </w:div>
        <w:div w:id="934248258">
          <w:marLeft w:val="0"/>
          <w:marRight w:val="0"/>
          <w:marTop w:val="0"/>
          <w:marBottom w:val="0"/>
          <w:divBdr>
            <w:top w:val="none" w:sz="0" w:space="0" w:color="auto"/>
            <w:left w:val="none" w:sz="0" w:space="0" w:color="auto"/>
            <w:bottom w:val="none" w:sz="0" w:space="0" w:color="auto"/>
            <w:right w:val="none" w:sz="0" w:space="0" w:color="auto"/>
          </w:divBdr>
          <w:divsChild>
            <w:div w:id="1752656414">
              <w:marLeft w:val="0"/>
              <w:marRight w:val="0"/>
              <w:marTop w:val="0"/>
              <w:marBottom w:val="0"/>
              <w:divBdr>
                <w:top w:val="none" w:sz="0" w:space="0" w:color="auto"/>
                <w:left w:val="none" w:sz="0" w:space="0" w:color="auto"/>
                <w:bottom w:val="none" w:sz="0" w:space="0" w:color="auto"/>
                <w:right w:val="none" w:sz="0" w:space="0" w:color="auto"/>
              </w:divBdr>
            </w:div>
          </w:divsChild>
        </w:div>
        <w:div w:id="942612636">
          <w:marLeft w:val="0"/>
          <w:marRight w:val="0"/>
          <w:marTop w:val="0"/>
          <w:marBottom w:val="0"/>
          <w:divBdr>
            <w:top w:val="none" w:sz="0" w:space="0" w:color="auto"/>
            <w:left w:val="none" w:sz="0" w:space="0" w:color="auto"/>
            <w:bottom w:val="none" w:sz="0" w:space="0" w:color="auto"/>
            <w:right w:val="none" w:sz="0" w:space="0" w:color="auto"/>
          </w:divBdr>
          <w:divsChild>
            <w:div w:id="464347948">
              <w:marLeft w:val="0"/>
              <w:marRight w:val="0"/>
              <w:marTop w:val="0"/>
              <w:marBottom w:val="0"/>
              <w:divBdr>
                <w:top w:val="none" w:sz="0" w:space="0" w:color="auto"/>
                <w:left w:val="none" w:sz="0" w:space="0" w:color="auto"/>
                <w:bottom w:val="none" w:sz="0" w:space="0" w:color="auto"/>
                <w:right w:val="none" w:sz="0" w:space="0" w:color="auto"/>
              </w:divBdr>
            </w:div>
          </w:divsChild>
        </w:div>
        <w:div w:id="961306955">
          <w:marLeft w:val="0"/>
          <w:marRight w:val="0"/>
          <w:marTop w:val="0"/>
          <w:marBottom w:val="0"/>
          <w:divBdr>
            <w:top w:val="none" w:sz="0" w:space="0" w:color="auto"/>
            <w:left w:val="none" w:sz="0" w:space="0" w:color="auto"/>
            <w:bottom w:val="none" w:sz="0" w:space="0" w:color="auto"/>
            <w:right w:val="none" w:sz="0" w:space="0" w:color="auto"/>
          </w:divBdr>
          <w:divsChild>
            <w:div w:id="1751539203">
              <w:marLeft w:val="0"/>
              <w:marRight w:val="0"/>
              <w:marTop w:val="0"/>
              <w:marBottom w:val="0"/>
              <w:divBdr>
                <w:top w:val="none" w:sz="0" w:space="0" w:color="auto"/>
                <w:left w:val="none" w:sz="0" w:space="0" w:color="auto"/>
                <w:bottom w:val="none" w:sz="0" w:space="0" w:color="auto"/>
                <w:right w:val="none" w:sz="0" w:space="0" w:color="auto"/>
              </w:divBdr>
            </w:div>
          </w:divsChild>
        </w:div>
        <w:div w:id="970751380">
          <w:marLeft w:val="0"/>
          <w:marRight w:val="0"/>
          <w:marTop w:val="0"/>
          <w:marBottom w:val="0"/>
          <w:divBdr>
            <w:top w:val="none" w:sz="0" w:space="0" w:color="auto"/>
            <w:left w:val="none" w:sz="0" w:space="0" w:color="auto"/>
            <w:bottom w:val="none" w:sz="0" w:space="0" w:color="auto"/>
            <w:right w:val="none" w:sz="0" w:space="0" w:color="auto"/>
          </w:divBdr>
          <w:divsChild>
            <w:div w:id="120003043">
              <w:marLeft w:val="0"/>
              <w:marRight w:val="0"/>
              <w:marTop w:val="0"/>
              <w:marBottom w:val="0"/>
              <w:divBdr>
                <w:top w:val="none" w:sz="0" w:space="0" w:color="auto"/>
                <w:left w:val="none" w:sz="0" w:space="0" w:color="auto"/>
                <w:bottom w:val="none" w:sz="0" w:space="0" w:color="auto"/>
                <w:right w:val="none" w:sz="0" w:space="0" w:color="auto"/>
              </w:divBdr>
            </w:div>
          </w:divsChild>
        </w:div>
        <w:div w:id="976883439">
          <w:marLeft w:val="0"/>
          <w:marRight w:val="0"/>
          <w:marTop w:val="0"/>
          <w:marBottom w:val="0"/>
          <w:divBdr>
            <w:top w:val="none" w:sz="0" w:space="0" w:color="auto"/>
            <w:left w:val="none" w:sz="0" w:space="0" w:color="auto"/>
            <w:bottom w:val="none" w:sz="0" w:space="0" w:color="auto"/>
            <w:right w:val="none" w:sz="0" w:space="0" w:color="auto"/>
          </w:divBdr>
          <w:divsChild>
            <w:div w:id="1274483294">
              <w:marLeft w:val="0"/>
              <w:marRight w:val="0"/>
              <w:marTop w:val="0"/>
              <w:marBottom w:val="0"/>
              <w:divBdr>
                <w:top w:val="none" w:sz="0" w:space="0" w:color="auto"/>
                <w:left w:val="none" w:sz="0" w:space="0" w:color="auto"/>
                <w:bottom w:val="none" w:sz="0" w:space="0" w:color="auto"/>
                <w:right w:val="none" w:sz="0" w:space="0" w:color="auto"/>
              </w:divBdr>
            </w:div>
          </w:divsChild>
        </w:div>
        <w:div w:id="980305582">
          <w:marLeft w:val="0"/>
          <w:marRight w:val="0"/>
          <w:marTop w:val="0"/>
          <w:marBottom w:val="0"/>
          <w:divBdr>
            <w:top w:val="none" w:sz="0" w:space="0" w:color="auto"/>
            <w:left w:val="none" w:sz="0" w:space="0" w:color="auto"/>
            <w:bottom w:val="none" w:sz="0" w:space="0" w:color="auto"/>
            <w:right w:val="none" w:sz="0" w:space="0" w:color="auto"/>
          </w:divBdr>
          <w:divsChild>
            <w:div w:id="612631223">
              <w:marLeft w:val="0"/>
              <w:marRight w:val="0"/>
              <w:marTop w:val="0"/>
              <w:marBottom w:val="0"/>
              <w:divBdr>
                <w:top w:val="none" w:sz="0" w:space="0" w:color="auto"/>
                <w:left w:val="none" w:sz="0" w:space="0" w:color="auto"/>
                <w:bottom w:val="none" w:sz="0" w:space="0" w:color="auto"/>
                <w:right w:val="none" w:sz="0" w:space="0" w:color="auto"/>
              </w:divBdr>
            </w:div>
          </w:divsChild>
        </w:div>
        <w:div w:id="1015376949">
          <w:marLeft w:val="0"/>
          <w:marRight w:val="0"/>
          <w:marTop w:val="0"/>
          <w:marBottom w:val="0"/>
          <w:divBdr>
            <w:top w:val="none" w:sz="0" w:space="0" w:color="auto"/>
            <w:left w:val="none" w:sz="0" w:space="0" w:color="auto"/>
            <w:bottom w:val="none" w:sz="0" w:space="0" w:color="auto"/>
            <w:right w:val="none" w:sz="0" w:space="0" w:color="auto"/>
          </w:divBdr>
          <w:divsChild>
            <w:div w:id="1460806987">
              <w:marLeft w:val="0"/>
              <w:marRight w:val="0"/>
              <w:marTop w:val="0"/>
              <w:marBottom w:val="0"/>
              <w:divBdr>
                <w:top w:val="none" w:sz="0" w:space="0" w:color="auto"/>
                <w:left w:val="none" w:sz="0" w:space="0" w:color="auto"/>
                <w:bottom w:val="none" w:sz="0" w:space="0" w:color="auto"/>
                <w:right w:val="none" w:sz="0" w:space="0" w:color="auto"/>
              </w:divBdr>
            </w:div>
          </w:divsChild>
        </w:div>
        <w:div w:id="1024674806">
          <w:marLeft w:val="0"/>
          <w:marRight w:val="0"/>
          <w:marTop w:val="0"/>
          <w:marBottom w:val="0"/>
          <w:divBdr>
            <w:top w:val="none" w:sz="0" w:space="0" w:color="auto"/>
            <w:left w:val="none" w:sz="0" w:space="0" w:color="auto"/>
            <w:bottom w:val="none" w:sz="0" w:space="0" w:color="auto"/>
            <w:right w:val="none" w:sz="0" w:space="0" w:color="auto"/>
          </w:divBdr>
          <w:divsChild>
            <w:div w:id="366879768">
              <w:marLeft w:val="0"/>
              <w:marRight w:val="0"/>
              <w:marTop w:val="0"/>
              <w:marBottom w:val="0"/>
              <w:divBdr>
                <w:top w:val="none" w:sz="0" w:space="0" w:color="auto"/>
                <w:left w:val="none" w:sz="0" w:space="0" w:color="auto"/>
                <w:bottom w:val="none" w:sz="0" w:space="0" w:color="auto"/>
                <w:right w:val="none" w:sz="0" w:space="0" w:color="auto"/>
              </w:divBdr>
            </w:div>
          </w:divsChild>
        </w:div>
        <w:div w:id="1034888261">
          <w:marLeft w:val="0"/>
          <w:marRight w:val="0"/>
          <w:marTop w:val="0"/>
          <w:marBottom w:val="0"/>
          <w:divBdr>
            <w:top w:val="none" w:sz="0" w:space="0" w:color="auto"/>
            <w:left w:val="none" w:sz="0" w:space="0" w:color="auto"/>
            <w:bottom w:val="none" w:sz="0" w:space="0" w:color="auto"/>
            <w:right w:val="none" w:sz="0" w:space="0" w:color="auto"/>
          </w:divBdr>
          <w:divsChild>
            <w:div w:id="1785423247">
              <w:marLeft w:val="0"/>
              <w:marRight w:val="0"/>
              <w:marTop w:val="0"/>
              <w:marBottom w:val="0"/>
              <w:divBdr>
                <w:top w:val="none" w:sz="0" w:space="0" w:color="auto"/>
                <w:left w:val="none" w:sz="0" w:space="0" w:color="auto"/>
                <w:bottom w:val="none" w:sz="0" w:space="0" w:color="auto"/>
                <w:right w:val="none" w:sz="0" w:space="0" w:color="auto"/>
              </w:divBdr>
            </w:div>
          </w:divsChild>
        </w:div>
        <w:div w:id="1058167442">
          <w:marLeft w:val="0"/>
          <w:marRight w:val="0"/>
          <w:marTop w:val="0"/>
          <w:marBottom w:val="0"/>
          <w:divBdr>
            <w:top w:val="none" w:sz="0" w:space="0" w:color="auto"/>
            <w:left w:val="none" w:sz="0" w:space="0" w:color="auto"/>
            <w:bottom w:val="none" w:sz="0" w:space="0" w:color="auto"/>
            <w:right w:val="none" w:sz="0" w:space="0" w:color="auto"/>
          </w:divBdr>
          <w:divsChild>
            <w:div w:id="813958930">
              <w:marLeft w:val="0"/>
              <w:marRight w:val="0"/>
              <w:marTop w:val="0"/>
              <w:marBottom w:val="0"/>
              <w:divBdr>
                <w:top w:val="none" w:sz="0" w:space="0" w:color="auto"/>
                <w:left w:val="none" w:sz="0" w:space="0" w:color="auto"/>
                <w:bottom w:val="none" w:sz="0" w:space="0" w:color="auto"/>
                <w:right w:val="none" w:sz="0" w:space="0" w:color="auto"/>
              </w:divBdr>
            </w:div>
          </w:divsChild>
        </w:div>
        <w:div w:id="1066030546">
          <w:marLeft w:val="0"/>
          <w:marRight w:val="0"/>
          <w:marTop w:val="0"/>
          <w:marBottom w:val="0"/>
          <w:divBdr>
            <w:top w:val="none" w:sz="0" w:space="0" w:color="auto"/>
            <w:left w:val="none" w:sz="0" w:space="0" w:color="auto"/>
            <w:bottom w:val="none" w:sz="0" w:space="0" w:color="auto"/>
            <w:right w:val="none" w:sz="0" w:space="0" w:color="auto"/>
          </w:divBdr>
          <w:divsChild>
            <w:div w:id="881941922">
              <w:marLeft w:val="0"/>
              <w:marRight w:val="0"/>
              <w:marTop w:val="0"/>
              <w:marBottom w:val="0"/>
              <w:divBdr>
                <w:top w:val="none" w:sz="0" w:space="0" w:color="auto"/>
                <w:left w:val="none" w:sz="0" w:space="0" w:color="auto"/>
                <w:bottom w:val="none" w:sz="0" w:space="0" w:color="auto"/>
                <w:right w:val="none" w:sz="0" w:space="0" w:color="auto"/>
              </w:divBdr>
            </w:div>
          </w:divsChild>
        </w:div>
        <w:div w:id="1074859326">
          <w:marLeft w:val="0"/>
          <w:marRight w:val="0"/>
          <w:marTop w:val="0"/>
          <w:marBottom w:val="0"/>
          <w:divBdr>
            <w:top w:val="none" w:sz="0" w:space="0" w:color="auto"/>
            <w:left w:val="none" w:sz="0" w:space="0" w:color="auto"/>
            <w:bottom w:val="none" w:sz="0" w:space="0" w:color="auto"/>
            <w:right w:val="none" w:sz="0" w:space="0" w:color="auto"/>
          </w:divBdr>
          <w:divsChild>
            <w:div w:id="595984903">
              <w:marLeft w:val="0"/>
              <w:marRight w:val="0"/>
              <w:marTop w:val="0"/>
              <w:marBottom w:val="0"/>
              <w:divBdr>
                <w:top w:val="none" w:sz="0" w:space="0" w:color="auto"/>
                <w:left w:val="none" w:sz="0" w:space="0" w:color="auto"/>
                <w:bottom w:val="none" w:sz="0" w:space="0" w:color="auto"/>
                <w:right w:val="none" w:sz="0" w:space="0" w:color="auto"/>
              </w:divBdr>
            </w:div>
          </w:divsChild>
        </w:div>
        <w:div w:id="1079791559">
          <w:marLeft w:val="0"/>
          <w:marRight w:val="0"/>
          <w:marTop w:val="0"/>
          <w:marBottom w:val="0"/>
          <w:divBdr>
            <w:top w:val="none" w:sz="0" w:space="0" w:color="auto"/>
            <w:left w:val="none" w:sz="0" w:space="0" w:color="auto"/>
            <w:bottom w:val="none" w:sz="0" w:space="0" w:color="auto"/>
            <w:right w:val="none" w:sz="0" w:space="0" w:color="auto"/>
          </w:divBdr>
          <w:divsChild>
            <w:div w:id="51316404">
              <w:marLeft w:val="0"/>
              <w:marRight w:val="0"/>
              <w:marTop w:val="0"/>
              <w:marBottom w:val="0"/>
              <w:divBdr>
                <w:top w:val="none" w:sz="0" w:space="0" w:color="auto"/>
                <w:left w:val="none" w:sz="0" w:space="0" w:color="auto"/>
                <w:bottom w:val="none" w:sz="0" w:space="0" w:color="auto"/>
                <w:right w:val="none" w:sz="0" w:space="0" w:color="auto"/>
              </w:divBdr>
            </w:div>
          </w:divsChild>
        </w:div>
        <w:div w:id="1108310312">
          <w:marLeft w:val="0"/>
          <w:marRight w:val="0"/>
          <w:marTop w:val="0"/>
          <w:marBottom w:val="0"/>
          <w:divBdr>
            <w:top w:val="none" w:sz="0" w:space="0" w:color="auto"/>
            <w:left w:val="none" w:sz="0" w:space="0" w:color="auto"/>
            <w:bottom w:val="none" w:sz="0" w:space="0" w:color="auto"/>
            <w:right w:val="none" w:sz="0" w:space="0" w:color="auto"/>
          </w:divBdr>
          <w:divsChild>
            <w:div w:id="1709063654">
              <w:marLeft w:val="0"/>
              <w:marRight w:val="0"/>
              <w:marTop w:val="0"/>
              <w:marBottom w:val="0"/>
              <w:divBdr>
                <w:top w:val="none" w:sz="0" w:space="0" w:color="auto"/>
                <w:left w:val="none" w:sz="0" w:space="0" w:color="auto"/>
                <w:bottom w:val="none" w:sz="0" w:space="0" w:color="auto"/>
                <w:right w:val="none" w:sz="0" w:space="0" w:color="auto"/>
              </w:divBdr>
            </w:div>
          </w:divsChild>
        </w:div>
        <w:div w:id="1118373836">
          <w:marLeft w:val="0"/>
          <w:marRight w:val="0"/>
          <w:marTop w:val="0"/>
          <w:marBottom w:val="0"/>
          <w:divBdr>
            <w:top w:val="none" w:sz="0" w:space="0" w:color="auto"/>
            <w:left w:val="none" w:sz="0" w:space="0" w:color="auto"/>
            <w:bottom w:val="none" w:sz="0" w:space="0" w:color="auto"/>
            <w:right w:val="none" w:sz="0" w:space="0" w:color="auto"/>
          </w:divBdr>
          <w:divsChild>
            <w:div w:id="1284845593">
              <w:marLeft w:val="0"/>
              <w:marRight w:val="0"/>
              <w:marTop w:val="0"/>
              <w:marBottom w:val="0"/>
              <w:divBdr>
                <w:top w:val="none" w:sz="0" w:space="0" w:color="auto"/>
                <w:left w:val="none" w:sz="0" w:space="0" w:color="auto"/>
                <w:bottom w:val="none" w:sz="0" w:space="0" w:color="auto"/>
                <w:right w:val="none" w:sz="0" w:space="0" w:color="auto"/>
              </w:divBdr>
            </w:div>
          </w:divsChild>
        </w:div>
        <w:div w:id="1125736743">
          <w:marLeft w:val="0"/>
          <w:marRight w:val="0"/>
          <w:marTop w:val="0"/>
          <w:marBottom w:val="0"/>
          <w:divBdr>
            <w:top w:val="none" w:sz="0" w:space="0" w:color="auto"/>
            <w:left w:val="none" w:sz="0" w:space="0" w:color="auto"/>
            <w:bottom w:val="none" w:sz="0" w:space="0" w:color="auto"/>
            <w:right w:val="none" w:sz="0" w:space="0" w:color="auto"/>
          </w:divBdr>
          <w:divsChild>
            <w:div w:id="210507312">
              <w:marLeft w:val="0"/>
              <w:marRight w:val="0"/>
              <w:marTop w:val="0"/>
              <w:marBottom w:val="0"/>
              <w:divBdr>
                <w:top w:val="none" w:sz="0" w:space="0" w:color="auto"/>
                <w:left w:val="none" w:sz="0" w:space="0" w:color="auto"/>
                <w:bottom w:val="none" w:sz="0" w:space="0" w:color="auto"/>
                <w:right w:val="none" w:sz="0" w:space="0" w:color="auto"/>
              </w:divBdr>
            </w:div>
          </w:divsChild>
        </w:div>
        <w:div w:id="1134179093">
          <w:marLeft w:val="0"/>
          <w:marRight w:val="0"/>
          <w:marTop w:val="0"/>
          <w:marBottom w:val="0"/>
          <w:divBdr>
            <w:top w:val="none" w:sz="0" w:space="0" w:color="auto"/>
            <w:left w:val="none" w:sz="0" w:space="0" w:color="auto"/>
            <w:bottom w:val="none" w:sz="0" w:space="0" w:color="auto"/>
            <w:right w:val="none" w:sz="0" w:space="0" w:color="auto"/>
          </w:divBdr>
          <w:divsChild>
            <w:div w:id="961040111">
              <w:marLeft w:val="0"/>
              <w:marRight w:val="0"/>
              <w:marTop w:val="0"/>
              <w:marBottom w:val="0"/>
              <w:divBdr>
                <w:top w:val="none" w:sz="0" w:space="0" w:color="auto"/>
                <w:left w:val="none" w:sz="0" w:space="0" w:color="auto"/>
                <w:bottom w:val="none" w:sz="0" w:space="0" w:color="auto"/>
                <w:right w:val="none" w:sz="0" w:space="0" w:color="auto"/>
              </w:divBdr>
            </w:div>
          </w:divsChild>
        </w:div>
        <w:div w:id="1141000581">
          <w:marLeft w:val="0"/>
          <w:marRight w:val="0"/>
          <w:marTop w:val="0"/>
          <w:marBottom w:val="0"/>
          <w:divBdr>
            <w:top w:val="none" w:sz="0" w:space="0" w:color="auto"/>
            <w:left w:val="none" w:sz="0" w:space="0" w:color="auto"/>
            <w:bottom w:val="none" w:sz="0" w:space="0" w:color="auto"/>
            <w:right w:val="none" w:sz="0" w:space="0" w:color="auto"/>
          </w:divBdr>
          <w:divsChild>
            <w:div w:id="1449279517">
              <w:marLeft w:val="0"/>
              <w:marRight w:val="0"/>
              <w:marTop w:val="0"/>
              <w:marBottom w:val="0"/>
              <w:divBdr>
                <w:top w:val="none" w:sz="0" w:space="0" w:color="auto"/>
                <w:left w:val="none" w:sz="0" w:space="0" w:color="auto"/>
                <w:bottom w:val="none" w:sz="0" w:space="0" w:color="auto"/>
                <w:right w:val="none" w:sz="0" w:space="0" w:color="auto"/>
              </w:divBdr>
            </w:div>
          </w:divsChild>
        </w:div>
        <w:div w:id="1147819407">
          <w:marLeft w:val="0"/>
          <w:marRight w:val="0"/>
          <w:marTop w:val="0"/>
          <w:marBottom w:val="0"/>
          <w:divBdr>
            <w:top w:val="none" w:sz="0" w:space="0" w:color="auto"/>
            <w:left w:val="none" w:sz="0" w:space="0" w:color="auto"/>
            <w:bottom w:val="none" w:sz="0" w:space="0" w:color="auto"/>
            <w:right w:val="none" w:sz="0" w:space="0" w:color="auto"/>
          </w:divBdr>
          <w:divsChild>
            <w:div w:id="1149325483">
              <w:marLeft w:val="0"/>
              <w:marRight w:val="0"/>
              <w:marTop w:val="0"/>
              <w:marBottom w:val="0"/>
              <w:divBdr>
                <w:top w:val="none" w:sz="0" w:space="0" w:color="auto"/>
                <w:left w:val="none" w:sz="0" w:space="0" w:color="auto"/>
                <w:bottom w:val="none" w:sz="0" w:space="0" w:color="auto"/>
                <w:right w:val="none" w:sz="0" w:space="0" w:color="auto"/>
              </w:divBdr>
            </w:div>
          </w:divsChild>
        </w:div>
        <w:div w:id="1160341378">
          <w:marLeft w:val="0"/>
          <w:marRight w:val="0"/>
          <w:marTop w:val="0"/>
          <w:marBottom w:val="0"/>
          <w:divBdr>
            <w:top w:val="none" w:sz="0" w:space="0" w:color="auto"/>
            <w:left w:val="none" w:sz="0" w:space="0" w:color="auto"/>
            <w:bottom w:val="none" w:sz="0" w:space="0" w:color="auto"/>
            <w:right w:val="none" w:sz="0" w:space="0" w:color="auto"/>
          </w:divBdr>
          <w:divsChild>
            <w:div w:id="1143427246">
              <w:marLeft w:val="0"/>
              <w:marRight w:val="0"/>
              <w:marTop w:val="0"/>
              <w:marBottom w:val="0"/>
              <w:divBdr>
                <w:top w:val="none" w:sz="0" w:space="0" w:color="auto"/>
                <w:left w:val="none" w:sz="0" w:space="0" w:color="auto"/>
                <w:bottom w:val="none" w:sz="0" w:space="0" w:color="auto"/>
                <w:right w:val="none" w:sz="0" w:space="0" w:color="auto"/>
              </w:divBdr>
            </w:div>
          </w:divsChild>
        </w:div>
        <w:div w:id="1167595464">
          <w:marLeft w:val="0"/>
          <w:marRight w:val="0"/>
          <w:marTop w:val="0"/>
          <w:marBottom w:val="0"/>
          <w:divBdr>
            <w:top w:val="none" w:sz="0" w:space="0" w:color="auto"/>
            <w:left w:val="none" w:sz="0" w:space="0" w:color="auto"/>
            <w:bottom w:val="none" w:sz="0" w:space="0" w:color="auto"/>
            <w:right w:val="none" w:sz="0" w:space="0" w:color="auto"/>
          </w:divBdr>
          <w:divsChild>
            <w:div w:id="1403796499">
              <w:marLeft w:val="0"/>
              <w:marRight w:val="0"/>
              <w:marTop w:val="0"/>
              <w:marBottom w:val="0"/>
              <w:divBdr>
                <w:top w:val="none" w:sz="0" w:space="0" w:color="auto"/>
                <w:left w:val="none" w:sz="0" w:space="0" w:color="auto"/>
                <w:bottom w:val="none" w:sz="0" w:space="0" w:color="auto"/>
                <w:right w:val="none" w:sz="0" w:space="0" w:color="auto"/>
              </w:divBdr>
            </w:div>
          </w:divsChild>
        </w:div>
        <w:div w:id="1190222567">
          <w:marLeft w:val="0"/>
          <w:marRight w:val="0"/>
          <w:marTop w:val="0"/>
          <w:marBottom w:val="0"/>
          <w:divBdr>
            <w:top w:val="none" w:sz="0" w:space="0" w:color="auto"/>
            <w:left w:val="none" w:sz="0" w:space="0" w:color="auto"/>
            <w:bottom w:val="none" w:sz="0" w:space="0" w:color="auto"/>
            <w:right w:val="none" w:sz="0" w:space="0" w:color="auto"/>
          </w:divBdr>
          <w:divsChild>
            <w:div w:id="1966617088">
              <w:marLeft w:val="0"/>
              <w:marRight w:val="0"/>
              <w:marTop w:val="0"/>
              <w:marBottom w:val="0"/>
              <w:divBdr>
                <w:top w:val="none" w:sz="0" w:space="0" w:color="auto"/>
                <w:left w:val="none" w:sz="0" w:space="0" w:color="auto"/>
                <w:bottom w:val="none" w:sz="0" w:space="0" w:color="auto"/>
                <w:right w:val="none" w:sz="0" w:space="0" w:color="auto"/>
              </w:divBdr>
            </w:div>
          </w:divsChild>
        </w:div>
        <w:div w:id="1209994139">
          <w:marLeft w:val="0"/>
          <w:marRight w:val="0"/>
          <w:marTop w:val="0"/>
          <w:marBottom w:val="0"/>
          <w:divBdr>
            <w:top w:val="none" w:sz="0" w:space="0" w:color="auto"/>
            <w:left w:val="none" w:sz="0" w:space="0" w:color="auto"/>
            <w:bottom w:val="none" w:sz="0" w:space="0" w:color="auto"/>
            <w:right w:val="none" w:sz="0" w:space="0" w:color="auto"/>
          </w:divBdr>
          <w:divsChild>
            <w:div w:id="670986516">
              <w:marLeft w:val="0"/>
              <w:marRight w:val="0"/>
              <w:marTop w:val="0"/>
              <w:marBottom w:val="0"/>
              <w:divBdr>
                <w:top w:val="none" w:sz="0" w:space="0" w:color="auto"/>
                <w:left w:val="none" w:sz="0" w:space="0" w:color="auto"/>
                <w:bottom w:val="none" w:sz="0" w:space="0" w:color="auto"/>
                <w:right w:val="none" w:sz="0" w:space="0" w:color="auto"/>
              </w:divBdr>
            </w:div>
          </w:divsChild>
        </w:div>
        <w:div w:id="1218273844">
          <w:marLeft w:val="0"/>
          <w:marRight w:val="0"/>
          <w:marTop w:val="0"/>
          <w:marBottom w:val="0"/>
          <w:divBdr>
            <w:top w:val="none" w:sz="0" w:space="0" w:color="auto"/>
            <w:left w:val="none" w:sz="0" w:space="0" w:color="auto"/>
            <w:bottom w:val="none" w:sz="0" w:space="0" w:color="auto"/>
            <w:right w:val="none" w:sz="0" w:space="0" w:color="auto"/>
          </w:divBdr>
          <w:divsChild>
            <w:div w:id="1002203058">
              <w:marLeft w:val="0"/>
              <w:marRight w:val="0"/>
              <w:marTop w:val="0"/>
              <w:marBottom w:val="0"/>
              <w:divBdr>
                <w:top w:val="none" w:sz="0" w:space="0" w:color="auto"/>
                <w:left w:val="none" w:sz="0" w:space="0" w:color="auto"/>
                <w:bottom w:val="none" w:sz="0" w:space="0" w:color="auto"/>
                <w:right w:val="none" w:sz="0" w:space="0" w:color="auto"/>
              </w:divBdr>
            </w:div>
          </w:divsChild>
        </w:div>
        <w:div w:id="1226450396">
          <w:marLeft w:val="0"/>
          <w:marRight w:val="0"/>
          <w:marTop w:val="0"/>
          <w:marBottom w:val="0"/>
          <w:divBdr>
            <w:top w:val="none" w:sz="0" w:space="0" w:color="auto"/>
            <w:left w:val="none" w:sz="0" w:space="0" w:color="auto"/>
            <w:bottom w:val="none" w:sz="0" w:space="0" w:color="auto"/>
            <w:right w:val="none" w:sz="0" w:space="0" w:color="auto"/>
          </w:divBdr>
          <w:divsChild>
            <w:div w:id="523906563">
              <w:marLeft w:val="0"/>
              <w:marRight w:val="0"/>
              <w:marTop w:val="0"/>
              <w:marBottom w:val="0"/>
              <w:divBdr>
                <w:top w:val="none" w:sz="0" w:space="0" w:color="auto"/>
                <w:left w:val="none" w:sz="0" w:space="0" w:color="auto"/>
                <w:bottom w:val="none" w:sz="0" w:space="0" w:color="auto"/>
                <w:right w:val="none" w:sz="0" w:space="0" w:color="auto"/>
              </w:divBdr>
            </w:div>
          </w:divsChild>
        </w:div>
        <w:div w:id="1270820281">
          <w:marLeft w:val="0"/>
          <w:marRight w:val="0"/>
          <w:marTop w:val="0"/>
          <w:marBottom w:val="0"/>
          <w:divBdr>
            <w:top w:val="none" w:sz="0" w:space="0" w:color="auto"/>
            <w:left w:val="none" w:sz="0" w:space="0" w:color="auto"/>
            <w:bottom w:val="none" w:sz="0" w:space="0" w:color="auto"/>
            <w:right w:val="none" w:sz="0" w:space="0" w:color="auto"/>
          </w:divBdr>
          <w:divsChild>
            <w:div w:id="2110153730">
              <w:marLeft w:val="0"/>
              <w:marRight w:val="0"/>
              <w:marTop w:val="0"/>
              <w:marBottom w:val="0"/>
              <w:divBdr>
                <w:top w:val="none" w:sz="0" w:space="0" w:color="auto"/>
                <w:left w:val="none" w:sz="0" w:space="0" w:color="auto"/>
                <w:bottom w:val="none" w:sz="0" w:space="0" w:color="auto"/>
                <w:right w:val="none" w:sz="0" w:space="0" w:color="auto"/>
              </w:divBdr>
            </w:div>
          </w:divsChild>
        </w:div>
        <w:div w:id="1283344077">
          <w:marLeft w:val="0"/>
          <w:marRight w:val="0"/>
          <w:marTop w:val="0"/>
          <w:marBottom w:val="0"/>
          <w:divBdr>
            <w:top w:val="none" w:sz="0" w:space="0" w:color="auto"/>
            <w:left w:val="none" w:sz="0" w:space="0" w:color="auto"/>
            <w:bottom w:val="none" w:sz="0" w:space="0" w:color="auto"/>
            <w:right w:val="none" w:sz="0" w:space="0" w:color="auto"/>
          </w:divBdr>
          <w:divsChild>
            <w:div w:id="1065447457">
              <w:marLeft w:val="0"/>
              <w:marRight w:val="0"/>
              <w:marTop w:val="0"/>
              <w:marBottom w:val="0"/>
              <w:divBdr>
                <w:top w:val="none" w:sz="0" w:space="0" w:color="auto"/>
                <w:left w:val="none" w:sz="0" w:space="0" w:color="auto"/>
                <w:bottom w:val="none" w:sz="0" w:space="0" w:color="auto"/>
                <w:right w:val="none" w:sz="0" w:space="0" w:color="auto"/>
              </w:divBdr>
            </w:div>
          </w:divsChild>
        </w:div>
        <w:div w:id="1304848361">
          <w:marLeft w:val="0"/>
          <w:marRight w:val="0"/>
          <w:marTop w:val="0"/>
          <w:marBottom w:val="0"/>
          <w:divBdr>
            <w:top w:val="none" w:sz="0" w:space="0" w:color="auto"/>
            <w:left w:val="none" w:sz="0" w:space="0" w:color="auto"/>
            <w:bottom w:val="none" w:sz="0" w:space="0" w:color="auto"/>
            <w:right w:val="none" w:sz="0" w:space="0" w:color="auto"/>
          </w:divBdr>
          <w:divsChild>
            <w:div w:id="75440983">
              <w:marLeft w:val="0"/>
              <w:marRight w:val="0"/>
              <w:marTop w:val="0"/>
              <w:marBottom w:val="0"/>
              <w:divBdr>
                <w:top w:val="none" w:sz="0" w:space="0" w:color="auto"/>
                <w:left w:val="none" w:sz="0" w:space="0" w:color="auto"/>
                <w:bottom w:val="none" w:sz="0" w:space="0" w:color="auto"/>
                <w:right w:val="none" w:sz="0" w:space="0" w:color="auto"/>
              </w:divBdr>
            </w:div>
          </w:divsChild>
        </w:div>
        <w:div w:id="1304852177">
          <w:marLeft w:val="0"/>
          <w:marRight w:val="0"/>
          <w:marTop w:val="0"/>
          <w:marBottom w:val="0"/>
          <w:divBdr>
            <w:top w:val="none" w:sz="0" w:space="0" w:color="auto"/>
            <w:left w:val="none" w:sz="0" w:space="0" w:color="auto"/>
            <w:bottom w:val="none" w:sz="0" w:space="0" w:color="auto"/>
            <w:right w:val="none" w:sz="0" w:space="0" w:color="auto"/>
          </w:divBdr>
          <w:divsChild>
            <w:div w:id="1738091185">
              <w:marLeft w:val="0"/>
              <w:marRight w:val="0"/>
              <w:marTop w:val="0"/>
              <w:marBottom w:val="0"/>
              <w:divBdr>
                <w:top w:val="none" w:sz="0" w:space="0" w:color="auto"/>
                <w:left w:val="none" w:sz="0" w:space="0" w:color="auto"/>
                <w:bottom w:val="none" w:sz="0" w:space="0" w:color="auto"/>
                <w:right w:val="none" w:sz="0" w:space="0" w:color="auto"/>
              </w:divBdr>
            </w:div>
          </w:divsChild>
        </w:div>
        <w:div w:id="1316958515">
          <w:marLeft w:val="0"/>
          <w:marRight w:val="0"/>
          <w:marTop w:val="0"/>
          <w:marBottom w:val="0"/>
          <w:divBdr>
            <w:top w:val="none" w:sz="0" w:space="0" w:color="auto"/>
            <w:left w:val="none" w:sz="0" w:space="0" w:color="auto"/>
            <w:bottom w:val="none" w:sz="0" w:space="0" w:color="auto"/>
            <w:right w:val="none" w:sz="0" w:space="0" w:color="auto"/>
          </w:divBdr>
          <w:divsChild>
            <w:div w:id="95447877">
              <w:marLeft w:val="0"/>
              <w:marRight w:val="0"/>
              <w:marTop w:val="0"/>
              <w:marBottom w:val="0"/>
              <w:divBdr>
                <w:top w:val="none" w:sz="0" w:space="0" w:color="auto"/>
                <w:left w:val="none" w:sz="0" w:space="0" w:color="auto"/>
                <w:bottom w:val="none" w:sz="0" w:space="0" w:color="auto"/>
                <w:right w:val="none" w:sz="0" w:space="0" w:color="auto"/>
              </w:divBdr>
            </w:div>
          </w:divsChild>
        </w:div>
        <w:div w:id="1336608962">
          <w:marLeft w:val="0"/>
          <w:marRight w:val="0"/>
          <w:marTop w:val="0"/>
          <w:marBottom w:val="0"/>
          <w:divBdr>
            <w:top w:val="none" w:sz="0" w:space="0" w:color="auto"/>
            <w:left w:val="none" w:sz="0" w:space="0" w:color="auto"/>
            <w:bottom w:val="none" w:sz="0" w:space="0" w:color="auto"/>
            <w:right w:val="none" w:sz="0" w:space="0" w:color="auto"/>
          </w:divBdr>
          <w:divsChild>
            <w:div w:id="1272318875">
              <w:marLeft w:val="0"/>
              <w:marRight w:val="0"/>
              <w:marTop w:val="0"/>
              <w:marBottom w:val="0"/>
              <w:divBdr>
                <w:top w:val="none" w:sz="0" w:space="0" w:color="auto"/>
                <w:left w:val="none" w:sz="0" w:space="0" w:color="auto"/>
                <w:bottom w:val="none" w:sz="0" w:space="0" w:color="auto"/>
                <w:right w:val="none" w:sz="0" w:space="0" w:color="auto"/>
              </w:divBdr>
            </w:div>
          </w:divsChild>
        </w:div>
        <w:div w:id="1356074856">
          <w:marLeft w:val="0"/>
          <w:marRight w:val="0"/>
          <w:marTop w:val="0"/>
          <w:marBottom w:val="0"/>
          <w:divBdr>
            <w:top w:val="none" w:sz="0" w:space="0" w:color="auto"/>
            <w:left w:val="none" w:sz="0" w:space="0" w:color="auto"/>
            <w:bottom w:val="none" w:sz="0" w:space="0" w:color="auto"/>
            <w:right w:val="none" w:sz="0" w:space="0" w:color="auto"/>
          </w:divBdr>
          <w:divsChild>
            <w:div w:id="640310137">
              <w:marLeft w:val="0"/>
              <w:marRight w:val="0"/>
              <w:marTop w:val="0"/>
              <w:marBottom w:val="0"/>
              <w:divBdr>
                <w:top w:val="none" w:sz="0" w:space="0" w:color="auto"/>
                <w:left w:val="none" w:sz="0" w:space="0" w:color="auto"/>
                <w:bottom w:val="none" w:sz="0" w:space="0" w:color="auto"/>
                <w:right w:val="none" w:sz="0" w:space="0" w:color="auto"/>
              </w:divBdr>
            </w:div>
          </w:divsChild>
        </w:div>
        <w:div w:id="1358004206">
          <w:marLeft w:val="0"/>
          <w:marRight w:val="0"/>
          <w:marTop w:val="0"/>
          <w:marBottom w:val="0"/>
          <w:divBdr>
            <w:top w:val="none" w:sz="0" w:space="0" w:color="auto"/>
            <w:left w:val="none" w:sz="0" w:space="0" w:color="auto"/>
            <w:bottom w:val="none" w:sz="0" w:space="0" w:color="auto"/>
            <w:right w:val="none" w:sz="0" w:space="0" w:color="auto"/>
          </w:divBdr>
          <w:divsChild>
            <w:div w:id="2113933305">
              <w:marLeft w:val="0"/>
              <w:marRight w:val="0"/>
              <w:marTop w:val="0"/>
              <w:marBottom w:val="0"/>
              <w:divBdr>
                <w:top w:val="none" w:sz="0" w:space="0" w:color="auto"/>
                <w:left w:val="none" w:sz="0" w:space="0" w:color="auto"/>
                <w:bottom w:val="none" w:sz="0" w:space="0" w:color="auto"/>
                <w:right w:val="none" w:sz="0" w:space="0" w:color="auto"/>
              </w:divBdr>
            </w:div>
          </w:divsChild>
        </w:div>
        <w:div w:id="1362591140">
          <w:marLeft w:val="0"/>
          <w:marRight w:val="0"/>
          <w:marTop w:val="0"/>
          <w:marBottom w:val="0"/>
          <w:divBdr>
            <w:top w:val="none" w:sz="0" w:space="0" w:color="auto"/>
            <w:left w:val="none" w:sz="0" w:space="0" w:color="auto"/>
            <w:bottom w:val="none" w:sz="0" w:space="0" w:color="auto"/>
            <w:right w:val="none" w:sz="0" w:space="0" w:color="auto"/>
          </w:divBdr>
          <w:divsChild>
            <w:div w:id="1536576166">
              <w:marLeft w:val="0"/>
              <w:marRight w:val="0"/>
              <w:marTop w:val="0"/>
              <w:marBottom w:val="0"/>
              <w:divBdr>
                <w:top w:val="none" w:sz="0" w:space="0" w:color="auto"/>
                <w:left w:val="none" w:sz="0" w:space="0" w:color="auto"/>
                <w:bottom w:val="none" w:sz="0" w:space="0" w:color="auto"/>
                <w:right w:val="none" w:sz="0" w:space="0" w:color="auto"/>
              </w:divBdr>
            </w:div>
          </w:divsChild>
        </w:div>
        <w:div w:id="1371222550">
          <w:marLeft w:val="0"/>
          <w:marRight w:val="0"/>
          <w:marTop w:val="0"/>
          <w:marBottom w:val="0"/>
          <w:divBdr>
            <w:top w:val="none" w:sz="0" w:space="0" w:color="auto"/>
            <w:left w:val="none" w:sz="0" w:space="0" w:color="auto"/>
            <w:bottom w:val="none" w:sz="0" w:space="0" w:color="auto"/>
            <w:right w:val="none" w:sz="0" w:space="0" w:color="auto"/>
          </w:divBdr>
          <w:divsChild>
            <w:div w:id="1424259059">
              <w:marLeft w:val="0"/>
              <w:marRight w:val="0"/>
              <w:marTop w:val="0"/>
              <w:marBottom w:val="0"/>
              <w:divBdr>
                <w:top w:val="none" w:sz="0" w:space="0" w:color="auto"/>
                <w:left w:val="none" w:sz="0" w:space="0" w:color="auto"/>
                <w:bottom w:val="none" w:sz="0" w:space="0" w:color="auto"/>
                <w:right w:val="none" w:sz="0" w:space="0" w:color="auto"/>
              </w:divBdr>
            </w:div>
          </w:divsChild>
        </w:div>
        <w:div w:id="1376924717">
          <w:marLeft w:val="0"/>
          <w:marRight w:val="0"/>
          <w:marTop w:val="0"/>
          <w:marBottom w:val="0"/>
          <w:divBdr>
            <w:top w:val="none" w:sz="0" w:space="0" w:color="auto"/>
            <w:left w:val="none" w:sz="0" w:space="0" w:color="auto"/>
            <w:bottom w:val="none" w:sz="0" w:space="0" w:color="auto"/>
            <w:right w:val="none" w:sz="0" w:space="0" w:color="auto"/>
          </w:divBdr>
          <w:divsChild>
            <w:div w:id="1007711899">
              <w:marLeft w:val="0"/>
              <w:marRight w:val="0"/>
              <w:marTop w:val="0"/>
              <w:marBottom w:val="0"/>
              <w:divBdr>
                <w:top w:val="none" w:sz="0" w:space="0" w:color="auto"/>
                <w:left w:val="none" w:sz="0" w:space="0" w:color="auto"/>
                <w:bottom w:val="none" w:sz="0" w:space="0" w:color="auto"/>
                <w:right w:val="none" w:sz="0" w:space="0" w:color="auto"/>
              </w:divBdr>
            </w:div>
          </w:divsChild>
        </w:div>
        <w:div w:id="1394815983">
          <w:marLeft w:val="0"/>
          <w:marRight w:val="0"/>
          <w:marTop w:val="0"/>
          <w:marBottom w:val="0"/>
          <w:divBdr>
            <w:top w:val="none" w:sz="0" w:space="0" w:color="auto"/>
            <w:left w:val="none" w:sz="0" w:space="0" w:color="auto"/>
            <w:bottom w:val="none" w:sz="0" w:space="0" w:color="auto"/>
            <w:right w:val="none" w:sz="0" w:space="0" w:color="auto"/>
          </w:divBdr>
          <w:divsChild>
            <w:div w:id="1409619351">
              <w:marLeft w:val="0"/>
              <w:marRight w:val="0"/>
              <w:marTop w:val="0"/>
              <w:marBottom w:val="0"/>
              <w:divBdr>
                <w:top w:val="none" w:sz="0" w:space="0" w:color="auto"/>
                <w:left w:val="none" w:sz="0" w:space="0" w:color="auto"/>
                <w:bottom w:val="none" w:sz="0" w:space="0" w:color="auto"/>
                <w:right w:val="none" w:sz="0" w:space="0" w:color="auto"/>
              </w:divBdr>
            </w:div>
          </w:divsChild>
        </w:div>
        <w:div w:id="1404184484">
          <w:marLeft w:val="0"/>
          <w:marRight w:val="0"/>
          <w:marTop w:val="0"/>
          <w:marBottom w:val="0"/>
          <w:divBdr>
            <w:top w:val="none" w:sz="0" w:space="0" w:color="auto"/>
            <w:left w:val="none" w:sz="0" w:space="0" w:color="auto"/>
            <w:bottom w:val="none" w:sz="0" w:space="0" w:color="auto"/>
            <w:right w:val="none" w:sz="0" w:space="0" w:color="auto"/>
          </w:divBdr>
          <w:divsChild>
            <w:div w:id="5449126">
              <w:marLeft w:val="0"/>
              <w:marRight w:val="0"/>
              <w:marTop w:val="0"/>
              <w:marBottom w:val="0"/>
              <w:divBdr>
                <w:top w:val="none" w:sz="0" w:space="0" w:color="auto"/>
                <w:left w:val="none" w:sz="0" w:space="0" w:color="auto"/>
                <w:bottom w:val="none" w:sz="0" w:space="0" w:color="auto"/>
                <w:right w:val="none" w:sz="0" w:space="0" w:color="auto"/>
              </w:divBdr>
            </w:div>
          </w:divsChild>
        </w:div>
        <w:div w:id="1410735118">
          <w:marLeft w:val="0"/>
          <w:marRight w:val="0"/>
          <w:marTop w:val="0"/>
          <w:marBottom w:val="0"/>
          <w:divBdr>
            <w:top w:val="none" w:sz="0" w:space="0" w:color="auto"/>
            <w:left w:val="none" w:sz="0" w:space="0" w:color="auto"/>
            <w:bottom w:val="none" w:sz="0" w:space="0" w:color="auto"/>
            <w:right w:val="none" w:sz="0" w:space="0" w:color="auto"/>
          </w:divBdr>
          <w:divsChild>
            <w:div w:id="2129932223">
              <w:marLeft w:val="0"/>
              <w:marRight w:val="0"/>
              <w:marTop w:val="0"/>
              <w:marBottom w:val="0"/>
              <w:divBdr>
                <w:top w:val="none" w:sz="0" w:space="0" w:color="auto"/>
                <w:left w:val="none" w:sz="0" w:space="0" w:color="auto"/>
                <w:bottom w:val="none" w:sz="0" w:space="0" w:color="auto"/>
                <w:right w:val="none" w:sz="0" w:space="0" w:color="auto"/>
              </w:divBdr>
            </w:div>
          </w:divsChild>
        </w:div>
        <w:div w:id="1414545628">
          <w:marLeft w:val="0"/>
          <w:marRight w:val="0"/>
          <w:marTop w:val="0"/>
          <w:marBottom w:val="0"/>
          <w:divBdr>
            <w:top w:val="none" w:sz="0" w:space="0" w:color="auto"/>
            <w:left w:val="none" w:sz="0" w:space="0" w:color="auto"/>
            <w:bottom w:val="none" w:sz="0" w:space="0" w:color="auto"/>
            <w:right w:val="none" w:sz="0" w:space="0" w:color="auto"/>
          </w:divBdr>
          <w:divsChild>
            <w:div w:id="2038267758">
              <w:marLeft w:val="0"/>
              <w:marRight w:val="0"/>
              <w:marTop w:val="0"/>
              <w:marBottom w:val="0"/>
              <w:divBdr>
                <w:top w:val="none" w:sz="0" w:space="0" w:color="auto"/>
                <w:left w:val="none" w:sz="0" w:space="0" w:color="auto"/>
                <w:bottom w:val="none" w:sz="0" w:space="0" w:color="auto"/>
                <w:right w:val="none" w:sz="0" w:space="0" w:color="auto"/>
              </w:divBdr>
            </w:div>
          </w:divsChild>
        </w:div>
        <w:div w:id="1419328868">
          <w:marLeft w:val="0"/>
          <w:marRight w:val="0"/>
          <w:marTop w:val="0"/>
          <w:marBottom w:val="0"/>
          <w:divBdr>
            <w:top w:val="none" w:sz="0" w:space="0" w:color="auto"/>
            <w:left w:val="none" w:sz="0" w:space="0" w:color="auto"/>
            <w:bottom w:val="none" w:sz="0" w:space="0" w:color="auto"/>
            <w:right w:val="none" w:sz="0" w:space="0" w:color="auto"/>
          </w:divBdr>
          <w:divsChild>
            <w:div w:id="438837689">
              <w:marLeft w:val="0"/>
              <w:marRight w:val="0"/>
              <w:marTop w:val="0"/>
              <w:marBottom w:val="0"/>
              <w:divBdr>
                <w:top w:val="none" w:sz="0" w:space="0" w:color="auto"/>
                <w:left w:val="none" w:sz="0" w:space="0" w:color="auto"/>
                <w:bottom w:val="none" w:sz="0" w:space="0" w:color="auto"/>
                <w:right w:val="none" w:sz="0" w:space="0" w:color="auto"/>
              </w:divBdr>
            </w:div>
          </w:divsChild>
        </w:div>
        <w:div w:id="1423989712">
          <w:marLeft w:val="0"/>
          <w:marRight w:val="0"/>
          <w:marTop w:val="0"/>
          <w:marBottom w:val="0"/>
          <w:divBdr>
            <w:top w:val="none" w:sz="0" w:space="0" w:color="auto"/>
            <w:left w:val="none" w:sz="0" w:space="0" w:color="auto"/>
            <w:bottom w:val="none" w:sz="0" w:space="0" w:color="auto"/>
            <w:right w:val="none" w:sz="0" w:space="0" w:color="auto"/>
          </w:divBdr>
          <w:divsChild>
            <w:div w:id="669404765">
              <w:marLeft w:val="0"/>
              <w:marRight w:val="0"/>
              <w:marTop w:val="0"/>
              <w:marBottom w:val="0"/>
              <w:divBdr>
                <w:top w:val="none" w:sz="0" w:space="0" w:color="auto"/>
                <w:left w:val="none" w:sz="0" w:space="0" w:color="auto"/>
                <w:bottom w:val="none" w:sz="0" w:space="0" w:color="auto"/>
                <w:right w:val="none" w:sz="0" w:space="0" w:color="auto"/>
              </w:divBdr>
            </w:div>
          </w:divsChild>
        </w:div>
        <w:div w:id="1445929744">
          <w:marLeft w:val="0"/>
          <w:marRight w:val="0"/>
          <w:marTop w:val="0"/>
          <w:marBottom w:val="0"/>
          <w:divBdr>
            <w:top w:val="none" w:sz="0" w:space="0" w:color="auto"/>
            <w:left w:val="none" w:sz="0" w:space="0" w:color="auto"/>
            <w:bottom w:val="none" w:sz="0" w:space="0" w:color="auto"/>
            <w:right w:val="none" w:sz="0" w:space="0" w:color="auto"/>
          </w:divBdr>
          <w:divsChild>
            <w:div w:id="676463135">
              <w:marLeft w:val="0"/>
              <w:marRight w:val="0"/>
              <w:marTop w:val="0"/>
              <w:marBottom w:val="0"/>
              <w:divBdr>
                <w:top w:val="none" w:sz="0" w:space="0" w:color="auto"/>
                <w:left w:val="none" w:sz="0" w:space="0" w:color="auto"/>
                <w:bottom w:val="none" w:sz="0" w:space="0" w:color="auto"/>
                <w:right w:val="none" w:sz="0" w:space="0" w:color="auto"/>
              </w:divBdr>
            </w:div>
          </w:divsChild>
        </w:div>
        <w:div w:id="1451506726">
          <w:marLeft w:val="0"/>
          <w:marRight w:val="0"/>
          <w:marTop w:val="0"/>
          <w:marBottom w:val="0"/>
          <w:divBdr>
            <w:top w:val="none" w:sz="0" w:space="0" w:color="auto"/>
            <w:left w:val="none" w:sz="0" w:space="0" w:color="auto"/>
            <w:bottom w:val="none" w:sz="0" w:space="0" w:color="auto"/>
            <w:right w:val="none" w:sz="0" w:space="0" w:color="auto"/>
          </w:divBdr>
          <w:divsChild>
            <w:div w:id="1670668504">
              <w:marLeft w:val="0"/>
              <w:marRight w:val="0"/>
              <w:marTop w:val="0"/>
              <w:marBottom w:val="0"/>
              <w:divBdr>
                <w:top w:val="none" w:sz="0" w:space="0" w:color="auto"/>
                <w:left w:val="none" w:sz="0" w:space="0" w:color="auto"/>
                <w:bottom w:val="none" w:sz="0" w:space="0" w:color="auto"/>
                <w:right w:val="none" w:sz="0" w:space="0" w:color="auto"/>
              </w:divBdr>
            </w:div>
          </w:divsChild>
        </w:div>
        <w:div w:id="1451510744">
          <w:marLeft w:val="0"/>
          <w:marRight w:val="0"/>
          <w:marTop w:val="0"/>
          <w:marBottom w:val="0"/>
          <w:divBdr>
            <w:top w:val="none" w:sz="0" w:space="0" w:color="auto"/>
            <w:left w:val="none" w:sz="0" w:space="0" w:color="auto"/>
            <w:bottom w:val="none" w:sz="0" w:space="0" w:color="auto"/>
            <w:right w:val="none" w:sz="0" w:space="0" w:color="auto"/>
          </w:divBdr>
          <w:divsChild>
            <w:div w:id="932393132">
              <w:marLeft w:val="0"/>
              <w:marRight w:val="0"/>
              <w:marTop w:val="0"/>
              <w:marBottom w:val="0"/>
              <w:divBdr>
                <w:top w:val="none" w:sz="0" w:space="0" w:color="auto"/>
                <w:left w:val="none" w:sz="0" w:space="0" w:color="auto"/>
                <w:bottom w:val="none" w:sz="0" w:space="0" w:color="auto"/>
                <w:right w:val="none" w:sz="0" w:space="0" w:color="auto"/>
              </w:divBdr>
            </w:div>
          </w:divsChild>
        </w:div>
        <w:div w:id="1464075787">
          <w:marLeft w:val="0"/>
          <w:marRight w:val="0"/>
          <w:marTop w:val="0"/>
          <w:marBottom w:val="0"/>
          <w:divBdr>
            <w:top w:val="none" w:sz="0" w:space="0" w:color="auto"/>
            <w:left w:val="none" w:sz="0" w:space="0" w:color="auto"/>
            <w:bottom w:val="none" w:sz="0" w:space="0" w:color="auto"/>
            <w:right w:val="none" w:sz="0" w:space="0" w:color="auto"/>
          </w:divBdr>
          <w:divsChild>
            <w:div w:id="1997150449">
              <w:marLeft w:val="0"/>
              <w:marRight w:val="0"/>
              <w:marTop w:val="0"/>
              <w:marBottom w:val="0"/>
              <w:divBdr>
                <w:top w:val="none" w:sz="0" w:space="0" w:color="auto"/>
                <w:left w:val="none" w:sz="0" w:space="0" w:color="auto"/>
                <w:bottom w:val="none" w:sz="0" w:space="0" w:color="auto"/>
                <w:right w:val="none" w:sz="0" w:space="0" w:color="auto"/>
              </w:divBdr>
            </w:div>
          </w:divsChild>
        </w:div>
        <w:div w:id="1468627148">
          <w:marLeft w:val="0"/>
          <w:marRight w:val="0"/>
          <w:marTop w:val="0"/>
          <w:marBottom w:val="0"/>
          <w:divBdr>
            <w:top w:val="none" w:sz="0" w:space="0" w:color="auto"/>
            <w:left w:val="none" w:sz="0" w:space="0" w:color="auto"/>
            <w:bottom w:val="none" w:sz="0" w:space="0" w:color="auto"/>
            <w:right w:val="none" w:sz="0" w:space="0" w:color="auto"/>
          </w:divBdr>
          <w:divsChild>
            <w:div w:id="354384290">
              <w:marLeft w:val="0"/>
              <w:marRight w:val="0"/>
              <w:marTop w:val="0"/>
              <w:marBottom w:val="0"/>
              <w:divBdr>
                <w:top w:val="none" w:sz="0" w:space="0" w:color="auto"/>
                <w:left w:val="none" w:sz="0" w:space="0" w:color="auto"/>
                <w:bottom w:val="none" w:sz="0" w:space="0" w:color="auto"/>
                <w:right w:val="none" w:sz="0" w:space="0" w:color="auto"/>
              </w:divBdr>
            </w:div>
          </w:divsChild>
        </w:div>
        <w:div w:id="1494102725">
          <w:marLeft w:val="0"/>
          <w:marRight w:val="0"/>
          <w:marTop w:val="0"/>
          <w:marBottom w:val="0"/>
          <w:divBdr>
            <w:top w:val="none" w:sz="0" w:space="0" w:color="auto"/>
            <w:left w:val="none" w:sz="0" w:space="0" w:color="auto"/>
            <w:bottom w:val="none" w:sz="0" w:space="0" w:color="auto"/>
            <w:right w:val="none" w:sz="0" w:space="0" w:color="auto"/>
          </w:divBdr>
          <w:divsChild>
            <w:div w:id="1222907564">
              <w:marLeft w:val="0"/>
              <w:marRight w:val="0"/>
              <w:marTop w:val="0"/>
              <w:marBottom w:val="0"/>
              <w:divBdr>
                <w:top w:val="none" w:sz="0" w:space="0" w:color="auto"/>
                <w:left w:val="none" w:sz="0" w:space="0" w:color="auto"/>
                <w:bottom w:val="none" w:sz="0" w:space="0" w:color="auto"/>
                <w:right w:val="none" w:sz="0" w:space="0" w:color="auto"/>
              </w:divBdr>
            </w:div>
          </w:divsChild>
        </w:div>
        <w:div w:id="1522358035">
          <w:marLeft w:val="0"/>
          <w:marRight w:val="0"/>
          <w:marTop w:val="0"/>
          <w:marBottom w:val="0"/>
          <w:divBdr>
            <w:top w:val="none" w:sz="0" w:space="0" w:color="auto"/>
            <w:left w:val="none" w:sz="0" w:space="0" w:color="auto"/>
            <w:bottom w:val="none" w:sz="0" w:space="0" w:color="auto"/>
            <w:right w:val="none" w:sz="0" w:space="0" w:color="auto"/>
          </w:divBdr>
          <w:divsChild>
            <w:div w:id="1105736096">
              <w:marLeft w:val="0"/>
              <w:marRight w:val="0"/>
              <w:marTop w:val="0"/>
              <w:marBottom w:val="0"/>
              <w:divBdr>
                <w:top w:val="none" w:sz="0" w:space="0" w:color="auto"/>
                <w:left w:val="none" w:sz="0" w:space="0" w:color="auto"/>
                <w:bottom w:val="none" w:sz="0" w:space="0" w:color="auto"/>
                <w:right w:val="none" w:sz="0" w:space="0" w:color="auto"/>
              </w:divBdr>
            </w:div>
          </w:divsChild>
        </w:div>
        <w:div w:id="1545487026">
          <w:marLeft w:val="0"/>
          <w:marRight w:val="0"/>
          <w:marTop w:val="0"/>
          <w:marBottom w:val="0"/>
          <w:divBdr>
            <w:top w:val="none" w:sz="0" w:space="0" w:color="auto"/>
            <w:left w:val="none" w:sz="0" w:space="0" w:color="auto"/>
            <w:bottom w:val="none" w:sz="0" w:space="0" w:color="auto"/>
            <w:right w:val="none" w:sz="0" w:space="0" w:color="auto"/>
          </w:divBdr>
          <w:divsChild>
            <w:div w:id="115030506">
              <w:marLeft w:val="0"/>
              <w:marRight w:val="0"/>
              <w:marTop w:val="0"/>
              <w:marBottom w:val="0"/>
              <w:divBdr>
                <w:top w:val="none" w:sz="0" w:space="0" w:color="auto"/>
                <w:left w:val="none" w:sz="0" w:space="0" w:color="auto"/>
                <w:bottom w:val="none" w:sz="0" w:space="0" w:color="auto"/>
                <w:right w:val="none" w:sz="0" w:space="0" w:color="auto"/>
              </w:divBdr>
            </w:div>
          </w:divsChild>
        </w:div>
        <w:div w:id="1551182990">
          <w:marLeft w:val="0"/>
          <w:marRight w:val="0"/>
          <w:marTop w:val="0"/>
          <w:marBottom w:val="0"/>
          <w:divBdr>
            <w:top w:val="none" w:sz="0" w:space="0" w:color="auto"/>
            <w:left w:val="none" w:sz="0" w:space="0" w:color="auto"/>
            <w:bottom w:val="none" w:sz="0" w:space="0" w:color="auto"/>
            <w:right w:val="none" w:sz="0" w:space="0" w:color="auto"/>
          </w:divBdr>
          <w:divsChild>
            <w:div w:id="1931087802">
              <w:marLeft w:val="0"/>
              <w:marRight w:val="0"/>
              <w:marTop w:val="0"/>
              <w:marBottom w:val="0"/>
              <w:divBdr>
                <w:top w:val="none" w:sz="0" w:space="0" w:color="auto"/>
                <w:left w:val="none" w:sz="0" w:space="0" w:color="auto"/>
                <w:bottom w:val="none" w:sz="0" w:space="0" w:color="auto"/>
                <w:right w:val="none" w:sz="0" w:space="0" w:color="auto"/>
              </w:divBdr>
            </w:div>
          </w:divsChild>
        </w:div>
        <w:div w:id="1591622941">
          <w:marLeft w:val="0"/>
          <w:marRight w:val="0"/>
          <w:marTop w:val="0"/>
          <w:marBottom w:val="0"/>
          <w:divBdr>
            <w:top w:val="none" w:sz="0" w:space="0" w:color="auto"/>
            <w:left w:val="none" w:sz="0" w:space="0" w:color="auto"/>
            <w:bottom w:val="none" w:sz="0" w:space="0" w:color="auto"/>
            <w:right w:val="none" w:sz="0" w:space="0" w:color="auto"/>
          </w:divBdr>
          <w:divsChild>
            <w:div w:id="1223953184">
              <w:marLeft w:val="0"/>
              <w:marRight w:val="0"/>
              <w:marTop w:val="0"/>
              <w:marBottom w:val="0"/>
              <w:divBdr>
                <w:top w:val="none" w:sz="0" w:space="0" w:color="auto"/>
                <w:left w:val="none" w:sz="0" w:space="0" w:color="auto"/>
                <w:bottom w:val="none" w:sz="0" w:space="0" w:color="auto"/>
                <w:right w:val="none" w:sz="0" w:space="0" w:color="auto"/>
              </w:divBdr>
            </w:div>
          </w:divsChild>
        </w:div>
        <w:div w:id="1597589170">
          <w:marLeft w:val="0"/>
          <w:marRight w:val="0"/>
          <w:marTop w:val="0"/>
          <w:marBottom w:val="0"/>
          <w:divBdr>
            <w:top w:val="none" w:sz="0" w:space="0" w:color="auto"/>
            <w:left w:val="none" w:sz="0" w:space="0" w:color="auto"/>
            <w:bottom w:val="none" w:sz="0" w:space="0" w:color="auto"/>
            <w:right w:val="none" w:sz="0" w:space="0" w:color="auto"/>
          </w:divBdr>
          <w:divsChild>
            <w:div w:id="482040083">
              <w:marLeft w:val="0"/>
              <w:marRight w:val="0"/>
              <w:marTop w:val="0"/>
              <w:marBottom w:val="0"/>
              <w:divBdr>
                <w:top w:val="none" w:sz="0" w:space="0" w:color="auto"/>
                <w:left w:val="none" w:sz="0" w:space="0" w:color="auto"/>
                <w:bottom w:val="none" w:sz="0" w:space="0" w:color="auto"/>
                <w:right w:val="none" w:sz="0" w:space="0" w:color="auto"/>
              </w:divBdr>
            </w:div>
          </w:divsChild>
        </w:div>
        <w:div w:id="1607032609">
          <w:marLeft w:val="0"/>
          <w:marRight w:val="0"/>
          <w:marTop w:val="0"/>
          <w:marBottom w:val="0"/>
          <w:divBdr>
            <w:top w:val="none" w:sz="0" w:space="0" w:color="auto"/>
            <w:left w:val="none" w:sz="0" w:space="0" w:color="auto"/>
            <w:bottom w:val="none" w:sz="0" w:space="0" w:color="auto"/>
            <w:right w:val="none" w:sz="0" w:space="0" w:color="auto"/>
          </w:divBdr>
          <w:divsChild>
            <w:div w:id="1846364094">
              <w:marLeft w:val="0"/>
              <w:marRight w:val="0"/>
              <w:marTop w:val="0"/>
              <w:marBottom w:val="0"/>
              <w:divBdr>
                <w:top w:val="none" w:sz="0" w:space="0" w:color="auto"/>
                <w:left w:val="none" w:sz="0" w:space="0" w:color="auto"/>
                <w:bottom w:val="none" w:sz="0" w:space="0" w:color="auto"/>
                <w:right w:val="none" w:sz="0" w:space="0" w:color="auto"/>
              </w:divBdr>
            </w:div>
          </w:divsChild>
        </w:div>
        <w:div w:id="1634755291">
          <w:marLeft w:val="0"/>
          <w:marRight w:val="0"/>
          <w:marTop w:val="0"/>
          <w:marBottom w:val="0"/>
          <w:divBdr>
            <w:top w:val="none" w:sz="0" w:space="0" w:color="auto"/>
            <w:left w:val="none" w:sz="0" w:space="0" w:color="auto"/>
            <w:bottom w:val="none" w:sz="0" w:space="0" w:color="auto"/>
            <w:right w:val="none" w:sz="0" w:space="0" w:color="auto"/>
          </w:divBdr>
          <w:divsChild>
            <w:div w:id="413747805">
              <w:marLeft w:val="0"/>
              <w:marRight w:val="0"/>
              <w:marTop w:val="0"/>
              <w:marBottom w:val="0"/>
              <w:divBdr>
                <w:top w:val="none" w:sz="0" w:space="0" w:color="auto"/>
                <w:left w:val="none" w:sz="0" w:space="0" w:color="auto"/>
                <w:bottom w:val="none" w:sz="0" w:space="0" w:color="auto"/>
                <w:right w:val="none" w:sz="0" w:space="0" w:color="auto"/>
              </w:divBdr>
            </w:div>
          </w:divsChild>
        </w:div>
        <w:div w:id="1635062542">
          <w:marLeft w:val="0"/>
          <w:marRight w:val="0"/>
          <w:marTop w:val="0"/>
          <w:marBottom w:val="0"/>
          <w:divBdr>
            <w:top w:val="none" w:sz="0" w:space="0" w:color="auto"/>
            <w:left w:val="none" w:sz="0" w:space="0" w:color="auto"/>
            <w:bottom w:val="none" w:sz="0" w:space="0" w:color="auto"/>
            <w:right w:val="none" w:sz="0" w:space="0" w:color="auto"/>
          </w:divBdr>
          <w:divsChild>
            <w:div w:id="760295326">
              <w:marLeft w:val="0"/>
              <w:marRight w:val="0"/>
              <w:marTop w:val="0"/>
              <w:marBottom w:val="0"/>
              <w:divBdr>
                <w:top w:val="none" w:sz="0" w:space="0" w:color="auto"/>
                <w:left w:val="none" w:sz="0" w:space="0" w:color="auto"/>
                <w:bottom w:val="none" w:sz="0" w:space="0" w:color="auto"/>
                <w:right w:val="none" w:sz="0" w:space="0" w:color="auto"/>
              </w:divBdr>
            </w:div>
          </w:divsChild>
        </w:div>
        <w:div w:id="1636837907">
          <w:marLeft w:val="0"/>
          <w:marRight w:val="0"/>
          <w:marTop w:val="0"/>
          <w:marBottom w:val="0"/>
          <w:divBdr>
            <w:top w:val="none" w:sz="0" w:space="0" w:color="auto"/>
            <w:left w:val="none" w:sz="0" w:space="0" w:color="auto"/>
            <w:bottom w:val="none" w:sz="0" w:space="0" w:color="auto"/>
            <w:right w:val="none" w:sz="0" w:space="0" w:color="auto"/>
          </w:divBdr>
          <w:divsChild>
            <w:div w:id="1098409627">
              <w:marLeft w:val="0"/>
              <w:marRight w:val="0"/>
              <w:marTop w:val="0"/>
              <w:marBottom w:val="0"/>
              <w:divBdr>
                <w:top w:val="none" w:sz="0" w:space="0" w:color="auto"/>
                <w:left w:val="none" w:sz="0" w:space="0" w:color="auto"/>
                <w:bottom w:val="none" w:sz="0" w:space="0" w:color="auto"/>
                <w:right w:val="none" w:sz="0" w:space="0" w:color="auto"/>
              </w:divBdr>
            </w:div>
          </w:divsChild>
        </w:div>
        <w:div w:id="1663587225">
          <w:marLeft w:val="0"/>
          <w:marRight w:val="0"/>
          <w:marTop w:val="0"/>
          <w:marBottom w:val="0"/>
          <w:divBdr>
            <w:top w:val="none" w:sz="0" w:space="0" w:color="auto"/>
            <w:left w:val="none" w:sz="0" w:space="0" w:color="auto"/>
            <w:bottom w:val="none" w:sz="0" w:space="0" w:color="auto"/>
            <w:right w:val="none" w:sz="0" w:space="0" w:color="auto"/>
          </w:divBdr>
          <w:divsChild>
            <w:div w:id="536620031">
              <w:marLeft w:val="0"/>
              <w:marRight w:val="0"/>
              <w:marTop w:val="0"/>
              <w:marBottom w:val="0"/>
              <w:divBdr>
                <w:top w:val="none" w:sz="0" w:space="0" w:color="auto"/>
                <w:left w:val="none" w:sz="0" w:space="0" w:color="auto"/>
                <w:bottom w:val="none" w:sz="0" w:space="0" w:color="auto"/>
                <w:right w:val="none" w:sz="0" w:space="0" w:color="auto"/>
              </w:divBdr>
            </w:div>
          </w:divsChild>
        </w:div>
        <w:div w:id="1666519045">
          <w:marLeft w:val="0"/>
          <w:marRight w:val="0"/>
          <w:marTop w:val="0"/>
          <w:marBottom w:val="0"/>
          <w:divBdr>
            <w:top w:val="none" w:sz="0" w:space="0" w:color="auto"/>
            <w:left w:val="none" w:sz="0" w:space="0" w:color="auto"/>
            <w:bottom w:val="none" w:sz="0" w:space="0" w:color="auto"/>
            <w:right w:val="none" w:sz="0" w:space="0" w:color="auto"/>
          </w:divBdr>
          <w:divsChild>
            <w:div w:id="1942837520">
              <w:marLeft w:val="0"/>
              <w:marRight w:val="0"/>
              <w:marTop w:val="0"/>
              <w:marBottom w:val="0"/>
              <w:divBdr>
                <w:top w:val="none" w:sz="0" w:space="0" w:color="auto"/>
                <w:left w:val="none" w:sz="0" w:space="0" w:color="auto"/>
                <w:bottom w:val="none" w:sz="0" w:space="0" w:color="auto"/>
                <w:right w:val="none" w:sz="0" w:space="0" w:color="auto"/>
              </w:divBdr>
            </w:div>
          </w:divsChild>
        </w:div>
        <w:div w:id="1667857922">
          <w:marLeft w:val="0"/>
          <w:marRight w:val="0"/>
          <w:marTop w:val="0"/>
          <w:marBottom w:val="0"/>
          <w:divBdr>
            <w:top w:val="none" w:sz="0" w:space="0" w:color="auto"/>
            <w:left w:val="none" w:sz="0" w:space="0" w:color="auto"/>
            <w:bottom w:val="none" w:sz="0" w:space="0" w:color="auto"/>
            <w:right w:val="none" w:sz="0" w:space="0" w:color="auto"/>
          </w:divBdr>
          <w:divsChild>
            <w:div w:id="1608541030">
              <w:marLeft w:val="0"/>
              <w:marRight w:val="0"/>
              <w:marTop w:val="0"/>
              <w:marBottom w:val="0"/>
              <w:divBdr>
                <w:top w:val="none" w:sz="0" w:space="0" w:color="auto"/>
                <w:left w:val="none" w:sz="0" w:space="0" w:color="auto"/>
                <w:bottom w:val="none" w:sz="0" w:space="0" w:color="auto"/>
                <w:right w:val="none" w:sz="0" w:space="0" w:color="auto"/>
              </w:divBdr>
            </w:div>
          </w:divsChild>
        </w:div>
        <w:div w:id="1671329872">
          <w:marLeft w:val="0"/>
          <w:marRight w:val="0"/>
          <w:marTop w:val="0"/>
          <w:marBottom w:val="0"/>
          <w:divBdr>
            <w:top w:val="none" w:sz="0" w:space="0" w:color="auto"/>
            <w:left w:val="none" w:sz="0" w:space="0" w:color="auto"/>
            <w:bottom w:val="none" w:sz="0" w:space="0" w:color="auto"/>
            <w:right w:val="none" w:sz="0" w:space="0" w:color="auto"/>
          </w:divBdr>
          <w:divsChild>
            <w:div w:id="788165459">
              <w:marLeft w:val="0"/>
              <w:marRight w:val="0"/>
              <w:marTop w:val="0"/>
              <w:marBottom w:val="0"/>
              <w:divBdr>
                <w:top w:val="none" w:sz="0" w:space="0" w:color="auto"/>
                <w:left w:val="none" w:sz="0" w:space="0" w:color="auto"/>
                <w:bottom w:val="none" w:sz="0" w:space="0" w:color="auto"/>
                <w:right w:val="none" w:sz="0" w:space="0" w:color="auto"/>
              </w:divBdr>
            </w:div>
          </w:divsChild>
        </w:div>
        <w:div w:id="1672220345">
          <w:marLeft w:val="0"/>
          <w:marRight w:val="0"/>
          <w:marTop w:val="0"/>
          <w:marBottom w:val="0"/>
          <w:divBdr>
            <w:top w:val="none" w:sz="0" w:space="0" w:color="auto"/>
            <w:left w:val="none" w:sz="0" w:space="0" w:color="auto"/>
            <w:bottom w:val="none" w:sz="0" w:space="0" w:color="auto"/>
            <w:right w:val="none" w:sz="0" w:space="0" w:color="auto"/>
          </w:divBdr>
          <w:divsChild>
            <w:div w:id="123742493">
              <w:marLeft w:val="0"/>
              <w:marRight w:val="0"/>
              <w:marTop w:val="0"/>
              <w:marBottom w:val="0"/>
              <w:divBdr>
                <w:top w:val="none" w:sz="0" w:space="0" w:color="auto"/>
                <w:left w:val="none" w:sz="0" w:space="0" w:color="auto"/>
                <w:bottom w:val="none" w:sz="0" w:space="0" w:color="auto"/>
                <w:right w:val="none" w:sz="0" w:space="0" w:color="auto"/>
              </w:divBdr>
            </w:div>
          </w:divsChild>
        </w:div>
        <w:div w:id="1675574608">
          <w:marLeft w:val="0"/>
          <w:marRight w:val="0"/>
          <w:marTop w:val="0"/>
          <w:marBottom w:val="0"/>
          <w:divBdr>
            <w:top w:val="none" w:sz="0" w:space="0" w:color="auto"/>
            <w:left w:val="none" w:sz="0" w:space="0" w:color="auto"/>
            <w:bottom w:val="none" w:sz="0" w:space="0" w:color="auto"/>
            <w:right w:val="none" w:sz="0" w:space="0" w:color="auto"/>
          </w:divBdr>
          <w:divsChild>
            <w:div w:id="117379216">
              <w:marLeft w:val="0"/>
              <w:marRight w:val="0"/>
              <w:marTop w:val="0"/>
              <w:marBottom w:val="0"/>
              <w:divBdr>
                <w:top w:val="none" w:sz="0" w:space="0" w:color="auto"/>
                <w:left w:val="none" w:sz="0" w:space="0" w:color="auto"/>
                <w:bottom w:val="none" w:sz="0" w:space="0" w:color="auto"/>
                <w:right w:val="none" w:sz="0" w:space="0" w:color="auto"/>
              </w:divBdr>
            </w:div>
          </w:divsChild>
        </w:div>
        <w:div w:id="1709139858">
          <w:marLeft w:val="0"/>
          <w:marRight w:val="0"/>
          <w:marTop w:val="0"/>
          <w:marBottom w:val="0"/>
          <w:divBdr>
            <w:top w:val="none" w:sz="0" w:space="0" w:color="auto"/>
            <w:left w:val="none" w:sz="0" w:space="0" w:color="auto"/>
            <w:bottom w:val="none" w:sz="0" w:space="0" w:color="auto"/>
            <w:right w:val="none" w:sz="0" w:space="0" w:color="auto"/>
          </w:divBdr>
          <w:divsChild>
            <w:div w:id="255555148">
              <w:marLeft w:val="0"/>
              <w:marRight w:val="0"/>
              <w:marTop w:val="0"/>
              <w:marBottom w:val="0"/>
              <w:divBdr>
                <w:top w:val="none" w:sz="0" w:space="0" w:color="auto"/>
                <w:left w:val="none" w:sz="0" w:space="0" w:color="auto"/>
                <w:bottom w:val="none" w:sz="0" w:space="0" w:color="auto"/>
                <w:right w:val="none" w:sz="0" w:space="0" w:color="auto"/>
              </w:divBdr>
            </w:div>
          </w:divsChild>
        </w:div>
        <w:div w:id="1717194708">
          <w:marLeft w:val="0"/>
          <w:marRight w:val="0"/>
          <w:marTop w:val="0"/>
          <w:marBottom w:val="0"/>
          <w:divBdr>
            <w:top w:val="none" w:sz="0" w:space="0" w:color="auto"/>
            <w:left w:val="none" w:sz="0" w:space="0" w:color="auto"/>
            <w:bottom w:val="none" w:sz="0" w:space="0" w:color="auto"/>
            <w:right w:val="none" w:sz="0" w:space="0" w:color="auto"/>
          </w:divBdr>
          <w:divsChild>
            <w:div w:id="558251058">
              <w:marLeft w:val="0"/>
              <w:marRight w:val="0"/>
              <w:marTop w:val="0"/>
              <w:marBottom w:val="0"/>
              <w:divBdr>
                <w:top w:val="none" w:sz="0" w:space="0" w:color="auto"/>
                <w:left w:val="none" w:sz="0" w:space="0" w:color="auto"/>
                <w:bottom w:val="none" w:sz="0" w:space="0" w:color="auto"/>
                <w:right w:val="none" w:sz="0" w:space="0" w:color="auto"/>
              </w:divBdr>
            </w:div>
          </w:divsChild>
        </w:div>
        <w:div w:id="1720128931">
          <w:marLeft w:val="0"/>
          <w:marRight w:val="0"/>
          <w:marTop w:val="0"/>
          <w:marBottom w:val="0"/>
          <w:divBdr>
            <w:top w:val="none" w:sz="0" w:space="0" w:color="auto"/>
            <w:left w:val="none" w:sz="0" w:space="0" w:color="auto"/>
            <w:bottom w:val="none" w:sz="0" w:space="0" w:color="auto"/>
            <w:right w:val="none" w:sz="0" w:space="0" w:color="auto"/>
          </w:divBdr>
          <w:divsChild>
            <w:div w:id="709912813">
              <w:marLeft w:val="0"/>
              <w:marRight w:val="0"/>
              <w:marTop w:val="0"/>
              <w:marBottom w:val="0"/>
              <w:divBdr>
                <w:top w:val="none" w:sz="0" w:space="0" w:color="auto"/>
                <w:left w:val="none" w:sz="0" w:space="0" w:color="auto"/>
                <w:bottom w:val="none" w:sz="0" w:space="0" w:color="auto"/>
                <w:right w:val="none" w:sz="0" w:space="0" w:color="auto"/>
              </w:divBdr>
            </w:div>
          </w:divsChild>
        </w:div>
        <w:div w:id="1722091797">
          <w:marLeft w:val="0"/>
          <w:marRight w:val="0"/>
          <w:marTop w:val="0"/>
          <w:marBottom w:val="0"/>
          <w:divBdr>
            <w:top w:val="none" w:sz="0" w:space="0" w:color="auto"/>
            <w:left w:val="none" w:sz="0" w:space="0" w:color="auto"/>
            <w:bottom w:val="none" w:sz="0" w:space="0" w:color="auto"/>
            <w:right w:val="none" w:sz="0" w:space="0" w:color="auto"/>
          </w:divBdr>
          <w:divsChild>
            <w:div w:id="1746758820">
              <w:marLeft w:val="0"/>
              <w:marRight w:val="0"/>
              <w:marTop w:val="0"/>
              <w:marBottom w:val="0"/>
              <w:divBdr>
                <w:top w:val="none" w:sz="0" w:space="0" w:color="auto"/>
                <w:left w:val="none" w:sz="0" w:space="0" w:color="auto"/>
                <w:bottom w:val="none" w:sz="0" w:space="0" w:color="auto"/>
                <w:right w:val="none" w:sz="0" w:space="0" w:color="auto"/>
              </w:divBdr>
            </w:div>
          </w:divsChild>
        </w:div>
        <w:div w:id="1735470540">
          <w:marLeft w:val="0"/>
          <w:marRight w:val="0"/>
          <w:marTop w:val="0"/>
          <w:marBottom w:val="0"/>
          <w:divBdr>
            <w:top w:val="none" w:sz="0" w:space="0" w:color="auto"/>
            <w:left w:val="none" w:sz="0" w:space="0" w:color="auto"/>
            <w:bottom w:val="none" w:sz="0" w:space="0" w:color="auto"/>
            <w:right w:val="none" w:sz="0" w:space="0" w:color="auto"/>
          </w:divBdr>
          <w:divsChild>
            <w:div w:id="506097925">
              <w:marLeft w:val="0"/>
              <w:marRight w:val="0"/>
              <w:marTop w:val="0"/>
              <w:marBottom w:val="0"/>
              <w:divBdr>
                <w:top w:val="none" w:sz="0" w:space="0" w:color="auto"/>
                <w:left w:val="none" w:sz="0" w:space="0" w:color="auto"/>
                <w:bottom w:val="none" w:sz="0" w:space="0" w:color="auto"/>
                <w:right w:val="none" w:sz="0" w:space="0" w:color="auto"/>
              </w:divBdr>
            </w:div>
          </w:divsChild>
        </w:div>
        <w:div w:id="1767921001">
          <w:marLeft w:val="0"/>
          <w:marRight w:val="0"/>
          <w:marTop w:val="0"/>
          <w:marBottom w:val="0"/>
          <w:divBdr>
            <w:top w:val="none" w:sz="0" w:space="0" w:color="auto"/>
            <w:left w:val="none" w:sz="0" w:space="0" w:color="auto"/>
            <w:bottom w:val="none" w:sz="0" w:space="0" w:color="auto"/>
            <w:right w:val="none" w:sz="0" w:space="0" w:color="auto"/>
          </w:divBdr>
          <w:divsChild>
            <w:div w:id="804086273">
              <w:marLeft w:val="0"/>
              <w:marRight w:val="0"/>
              <w:marTop w:val="0"/>
              <w:marBottom w:val="0"/>
              <w:divBdr>
                <w:top w:val="none" w:sz="0" w:space="0" w:color="auto"/>
                <w:left w:val="none" w:sz="0" w:space="0" w:color="auto"/>
                <w:bottom w:val="none" w:sz="0" w:space="0" w:color="auto"/>
                <w:right w:val="none" w:sz="0" w:space="0" w:color="auto"/>
              </w:divBdr>
            </w:div>
          </w:divsChild>
        </w:div>
        <w:div w:id="1772696605">
          <w:marLeft w:val="0"/>
          <w:marRight w:val="0"/>
          <w:marTop w:val="0"/>
          <w:marBottom w:val="0"/>
          <w:divBdr>
            <w:top w:val="none" w:sz="0" w:space="0" w:color="auto"/>
            <w:left w:val="none" w:sz="0" w:space="0" w:color="auto"/>
            <w:bottom w:val="none" w:sz="0" w:space="0" w:color="auto"/>
            <w:right w:val="none" w:sz="0" w:space="0" w:color="auto"/>
          </w:divBdr>
          <w:divsChild>
            <w:div w:id="1305113828">
              <w:marLeft w:val="0"/>
              <w:marRight w:val="0"/>
              <w:marTop w:val="0"/>
              <w:marBottom w:val="0"/>
              <w:divBdr>
                <w:top w:val="none" w:sz="0" w:space="0" w:color="auto"/>
                <w:left w:val="none" w:sz="0" w:space="0" w:color="auto"/>
                <w:bottom w:val="none" w:sz="0" w:space="0" w:color="auto"/>
                <w:right w:val="none" w:sz="0" w:space="0" w:color="auto"/>
              </w:divBdr>
            </w:div>
          </w:divsChild>
        </w:div>
        <w:div w:id="1776173321">
          <w:marLeft w:val="0"/>
          <w:marRight w:val="0"/>
          <w:marTop w:val="0"/>
          <w:marBottom w:val="0"/>
          <w:divBdr>
            <w:top w:val="none" w:sz="0" w:space="0" w:color="auto"/>
            <w:left w:val="none" w:sz="0" w:space="0" w:color="auto"/>
            <w:bottom w:val="none" w:sz="0" w:space="0" w:color="auto"/>
            <w:right w:val="none" w:sz="0" w:space="0" w:color="auto"/>
          </w:divBdr>
          <w:divsChild>
            <w:div w:id="1475758051">
              <w:marLeft w:val="0"/>
              <w:marRight w:val="0"/>
              <w:marTop w:val="0"/>
              <w:marBottom w:val="0"/>
              <w:divBdr>
                <w:top w:val="none" w:sz="0" w:space="0" w:color="auto"/>
                <w:left w:val="none" w:sz="0" w:space="0" w:color="auto"/>
                <w:bottom w:val="none" w:sz="0" w:space="0" w:color="auto"/>
                <w:right w:val="none" w:sz="0" w:space="0" w:color="auto"/>
              </w:divBdr>
            </w:div>
          </w:divsChild>
        </w:div>
        <w:div w:id="1791777651">
          <w:marLeft w:val="0"/>
          <w:marRight w:val="0"/>
          <w:marTop w:val="0"/>
          <w:marBottom w:val="0"/>
          <w:divBdr>
            <w:top w:val="none" w:sz="0" w:space="0" w:color="auto"/>
            <w:left w:val="none" w:sz="0" w:space="0" w:color="auto"/>
            <w:bottom w:val="none" w:sz="0" w:space="0" w:color="auto"/>
            <w:right w:val="none" w:sz="0" w:space="0" w:color="auto"/>
          </w:divBdr>
          <w:divsChild>
            <w:div w:id="1239362576">
              <w:marLeft w:val="0"/>
              <w:marRight w:val="0"/>
              <w:marTop w:val="0"/>
              <w:marBottom w:val="0"/>
              <w:divBdr>
                <w:top w:val="none" w:sz="0" w:space="0" w:color="auto"/>
                <w:left w:val="none" w:sz="0" w:space="0" w:color="auto"/>
                <w:bottom w:val="none" w:sz="0" w:space="0" w:color="auto"/>
                <w:right w:val="none" w:sz="0" w:space="0" w:color="auto"/>
              </w:divBdr>
            </w:div>
          </w:divsChild>
        </w:div>
        <w:div w:id="1794135854">
          <w:marLeft w:val="0"/>
          <w:marRight w:val="0"/>
          <w:marTop w:val="0"/>
          <w:marBottom w:val="0"/>
          <w:divBdr>
            <w:top w:val="none" w:sz="0" w:space="0" w:color="auto"/>
            <w:left w:val="none" w:sz="0" w:space="0" w:color="auto"/>
            <w:bottom w:val="none" w:sz="0" w:space="0" w:color="auto"/>
            <w:right w:val="none" w:sz="0" w:space="0" w:color="auto"/>
          </w:divBdr>
          <w:divsChild>
            <w:div w:id="1297023492">
              <w:marLeft w:val="0"/>
              <w:marRight w:val="0"/>
              <w:marTop w:val="0"/>
              <w:marBottom w:val="0"/>
              <w:divBdr>
                <w:top w:val="none" w:sz="0" w:space="0" w:color="auto"/>
                <w:left w:val="none" w:sz="0" w:space="0" w:color="auto"/>
                <w:bottom w:val="none" w:sz="0" w:space="0" w:color="auto"/>
                <w:right w:val="none" w:sz="0" w:space="0" w:color="auto"/>
              </w:divBdr>
            </w:div>
          </w:divsChild>
        </w:div>
        <w:div w:id="1804959263">
          <w:marLeft w:val="0"/>
          <w:marRight w:val="0"/>
          <w:marTop w:val="0"/>
          <w:marBottom w:val="0"/>
          <w:divBdr>
            <w:top w:val="none" w:sz="0" w:space="0" w:color="auto"/>
            <w:left w:val="none" w:sz="0" w:space="0" w:color="auto"/>
            <w:bottom w:val="none" w:sz="0" w:space="0" w:color="auto"/>
            <w:right w:val="none" w:sz="0" w:space="0" w:color="auto"/>
          </w:divBdr>
          <w:divsChild>
            <w:div w:id="1792628054">
              <w:marLeft w:val="0"/>
              <w:marRight w:val="0"/>
              <w:marTop w:val="0"/>
              <w:marBottom w:val="0"/>
              <w:divBdr>
                <w:top w:val="none" w:sz="0" w:space="0" w:color="auto"/>
                <w:left w:val="none" w:sz="0" w:space="0" w:color="auto"/>
                <w:bottom w:val="none" w:sz="0" w:space="0" w:color="auto"/>
                <w:right w:val="none" w:sz="0" w:space="0" w:color="auto"/>
              </w:divBdr>
            </w:div>
          </w:divsChild>
        </w:div>
        <w:div w:id="1839536448">
          <w:marLeft w:val="0"/>
          <w:marRight w:val="0"/>
          <w:marTop w:val="0"/>
          <w:marBottom w:val="0"/>
          <w:divBdr>
            <w:top w:val="none" w:sz="0" w:space="0" w:color="auto"/>
            <w:left w:val="none" w:sz="0" w:space="0" w:color="auto"/>
            <w:bottom w:val="none" w:sz="0" w:space="0" w:color="auto"/>
            <w:right w:val="none" w:sz="0" w:space="0" w:color="auto"/>
          </w:divBdr>
          <w:divsChild>
            <w:div w:id="1626235403">
              <w:marLeft w:val="0"/>
              <w:marRight w:val="0"/>
              <w:marTop w:val="0"/>
              <w:marBottom w:val="0"/>
              <w:divBdr>
                <w:top w:val="none" w:sz="0" w:space="0" w:color="auto"/>
                <w:left w:val="none" w:sz="0" w:space="0" w:color="auto"/>
                <w:bottom w:val="none" w:sz="0" w:space="0" w:color="auto"/>
                <w:right w:val="none" w:sz="0" w:space="0" w:color="auto"/>
              </w:divBdr>
            </w:div>
          </w:divsChild>
        </w:div>
        <w:div w:id="1841844909">
          <w:marLeft w:val="0"/>
          <w:marRight w:val="0"/>
          <w:marTop w:val="0"/>
          <w:marBottom w:val="0"/>
          <w:divBdr>
            <w:top w:val="none" w:sz="0" w:space="0" w:color="auto"/>
            <w:left w:val="none" w:sz="0" w:space="0" w:color="auto"/>
            <w:bottom w:val="none" w:sz="0" w:space="0" w:color="auto"/>
            <w:right w:val="none" w:sz="0" w:space="0" w:color="auto"/>
          </w:divBdr>
          <w:divsChild>
            <w:div w:id="1530488041">
              <w:marLeft w:val="0"/>
              <w:marRight w:val="0"/>
              <w:marTop w:val="0"/>
              <w:marBottom w:val="0"/>
              <w:divBdr>
                <w:top w:val="none" w:sz="0" w:space="0" w:color="auto"/>
                <w:left w:val="none" w:sz="0" w:space="0" w:color="auto"/>
                <w:bottom w:val="none" w:sz="0" w:space="0" w:color="auto"/>
                <w:right w:val="none" w:sz="0" w:space="0" w:color="auto"/>
              </w:divBdr>
            </w:div>
          </w:divsChild>
        </w:div>
        <w:div w:id="1870675917">
          <w:marLeft w:val="0"/>
          <w:marRight w:val="0"/>
          <w:marTop w:val="0"/>
          <w:marBottom w:val="0"/>
          <w:divBdr>
            <w:top w:val="none" w:sz="0" w:space="0" w:color="auto"/>
            <w:left w:val="none" w:sz="0" w:space="0" w:color="auto"/>
            <w:bottom w:val="none" w:sz="0" w:space="0" w:color="auto"/>
            <w:right w:val="none" w:sz="0" w:space="0" w:color="auto"/>
          </w:divBdr>
          <w:divsChild>
            <w:div w:id="37245130">
              <w:marLeft w:val="0"/>
              <w:marRight w:val="0"/>
              <w:marTop w:val="0"/>
              <w:marBottom w:val="0"/>
              <w:divBdr>
                <w:top w:val="none" w:sz="0" w:space="0" w:color="auto"/>
                <w:left w:val="none" w:sz="0" w:space="0" w:color="auto"/>
                <w:bottom w:val="none" w:sz="0" w:space="0" w:color="auto"/>
                <w:right w:val="none" w:sz="0" w:space="0" w:color="auto"/>
              </w:divBdr>
            </w:div>
          </w:divsChild>
        </w:div>
        <w:div w:id="1871724903">
          <w:marLeft w:val="0"/>
          <w:marRight w:val="0"/>
          <w:marTop w:val="0"/>
          <w:marBottom w:val="0"/>
          <w:divBdr>
            <w:top w:val="none" w:sz="0" w:space="0" w:color="auto"/>
            <w:left w:val="none" w:sz="0" w:space="0" w:color="auto"/>
            <w:bottom w:val="none" w:sz="0" w:space="0" w:color="auto"/>
            <w:right w:val="none" w:sz="0" w:space="0" w:color="auto"/>
          </w:divBdr>
          <w:divsChild>
            <w:div w:id="549615050">
              <w:marLeft w:val="0"/>
              <w:marRight w:val="0"/>
              <w:marTop w:val="0"/>
              <w:marBottom w:val="0"/>
              <w:divBdr>
                <w:top w:val="none" w:sz="0" w:space="0" w:color="auto"/>
                <w:left w:val="none" w:sz="0" w:space="0" w:color="auto"/>
                <w:bottom w:val="none" w:sz="0" w:space="0" w:color="auto"/>
                <w:right w:val="none" w:sz="0" w:space="0" w:color="auto"/>
              </w:divBdr>
            </w:div>
          </w:divsChild>
        </w:div>
        <w:div w:id="1872377630">
          <w:marLeft w:val="0"/>
          <w:marRight w:val="0"/>
          <w:marTop w:val="0"/>
          <w:marBottom w:val="0"/>
          <w:divBdr>
            <w:top w:val="none" w:sz="0" w:space="0" w:color="auto"/>
            <w:left w:val="none" w:sz="0" w:space="0" w:color="auto"/>
            <w:bottom w:val="none" w:sz="0" w:space="0" w:color="auto"/>
            <w:right w:val="none" w:sz="0" w:space="0" w:color="auto"/>
          </w:divBdr>
          <w:divsChild>
            <w:div w:id="603194067">
              <w:marLeft w:val="0"/>
              <w:marRight w:val="0"/>
              <w:marTop w:val="0"/>
              <w:marBottom w:val="0"/>
              <w:divBdr>
                <w:top w:val="none" w:sz="0" w:space="0" w:color="auto"/>
                <w:left w:val="none" w:sz="0" w:space="0" w:color="auto"/>
                <w:bottom w:val="none" w:sz="0" w:space="0" w:color="auto"/>
                <w:right w:val="none" w:sz="0" w:space="0" w:color="auto"/>
              </w:divBdr>
            </w:div>
          </w:divsChild>
        </w:div>
        <w:div w:id="1877767063">
          <w:marLeft w:val="0"/>
          <w:marRight w:val="0"/>
          <w:marTop w:val="0"/>
          <w:marBottom w:val="0"/>
          <w:divBdr>
            <w:top w:val="none" w:sz="0" w:space="0" w:color="auto"/>
            <w:left w:val="none" w:sz="0" w:space="0" w:color="auto"/>
            <w:bottom w:val="none" w:sz="0" w:space="0" w:color="auto"/>
            <w:right w:val="none" w:sz="0" w:space="0" w:color="auto"/>
          </w:divBdr>
          <w:divsChild>
            <w:div w:id="2079326991">
              <w:marLeft w:val="0"/>
              <w:marRight w:val="0"/>
              <w:marTop w:val="0"/>
              <w:marBottom w:val="0"/>
              <w:divBdr>
                <w:top w:val="none" w:sz="0" w:space="0" w:color="auto"/>
                <w:left w:val="none" w:sz="0" w:space="0" w:color="auto"/>
                <w:bottom w:val="none" w:sz="0" w:space="0" w:color="auto"/>
                <w:right w:val="none" w:sz="0" w:space="0" w:color="auto"/>
              </w:divBdr>
            </w:div>
          </w:divsChild>
        </w:div>
        <w:div w:id="1882669384">
          <w:marLeft w:val="0"/>
          <w:marRight w:val="0"/>
          <w:marTop w:val="0"/>
          <w:marBottom w:val="0"/>
          <w:divBdr>
            <w:top w:val="none" w:sz="0" w:space="0" w:color="auto"/>
            <w:left w:val="none" w:sz="0" w:space="0" w:color="auto"/>
            <w:bottom w:val="none" w:sz="0" w:space="0" w:color="auto"/>
            <w:right w:val="none" w:sz="0" w:space="0" w:color="auto"/>
          </w:divBdr>
          <w:divsChild>
            <w:div w:id="2015570473">
              <w:marLeft w:val="0"/>
              <w:marRight w:val="0"/>
              <w:marTop w:val="0"/>
              <w:marBottom w:val="0"/>
              <w:divBdr>
                <w:top w:val="none" w:sz="0" w:space="0" w:color="auto"/>
                <w:left w:val="none" w:sz="0" w:space="0" w:color="auto"/>
                <w:bottom w:val="none" w:sz="0" w:space="0" w:color="auto"/>
                <w:right w:val="none" w:sz="0" w:space="0" w:color="auto"/>
              </w:divBdr>
            </w:div>
          </w:divsChild>
        </w:div>
        <w:div w:id="1884437636">
          <w:marLeft w:val="0"/>
          <w:marRight w:val="0"/>
          <w:marTop w:val="0"/>
          <w:marBottom w:val="0"/>
          <w:divBdr>
            <w:top w:val="none" w:sz="0" w:space="0" w:color="auto"/>
            <w:left w:val="none" w:sz="0" w:space="0" w:color="auto"/>
            <w:bottom w:val="none" w:sz="0" w:space="0" w:color="auto"/>
            <w:right w:val="none" w:sz="0" w:space="0" w:color="auto"/>
          </w:divBdr>
          <w:divsChild>
            <w:div w:id="1738085123">
              <w:marLeft w:val="0"/>
              <w:marRight w:val="0"/>
              <w:marTop w:val="0"/>
              <w:marBottom w:val="0"/>
              <w:divBdr>
                <w:top w:val="none" w:sz="0" w:space="0" w:color="auto"/>
                <w:left w:val="none" w:sz="0" w:space="0" w:color="auto"/>
                <w:bottom w:val="none" w:sz="0" w:space="0" w:color="auto"/>
                <w:right w:val="none" w:sz="0" w:space="0" w:color="auto"/>
              </w:divBdr>
            </w:div>
          </w:divsChild>
        </w:div>
        <w:div w:id="1884511950">
          <w:marLeft w:val="0"/>
          <w:marRight w:val="0"/>
          <w:marTop w:val="0"/>
          <w:marBottom w:val="0"/>
          <w:divBdr>
            <w:top w:val="none" w:sz="0" w:space="0" w:color="auto"/>
            <w:left w:val="none" w:sz="0" w:space="0" w:color="auto"/>
            <w:bottom w:val="none" w:sz="0" w:space="0" w:color="auto"/>
            <w:right w:val="none" w:sz="0" w:space="0" w:color="auto"/>
          </w:divBdr>
          <w:divsChild>
            <w:div w:id="73598556">
              <w:marLeft w:val="0"/>
              <w:marRight w:val="0"/>
              <w:marTop w:val="0"/>
              <w:marBottom w:val="0"/>
              <w:divBdr>
                <w:top w:val="none" w:sz="0" w:space="0" w:color="auto"/>
                <w:left w:val="none" w:sz="0" w:space="0" w:color="auto"/>
                <w:bottom w:val="none" w:sz="0" w:space="0" w:color="auto"/>
                <w:right w:val="none" w:sz="0" w:space="0" w:color="auto"/>
              </w:divBdr>
            </w:div>
          </w:divsChild>
        </w:div>
        <w:div w:id="1886604417">
          <w:marLeft w:val="0"/>
          <w:marRight w:val="0"/>
          <w:marTop w:val="0"/>
          <w:marBottom w:val="0"/>
          <w:divBdr>
            <w:top w:val="none" w:sz="0" w:space="0" w:color="auto"/>
            <w:left w:val="none" w:sz="0" w:space="0" w:color="auto"/>
            <w:bottom w:val="none" w:sz="0" w:space="0" w:color="auto"/>
            <w:right w:val="none" w:sz="0" w:space="0" w:color="auto"/>
          </w:divBdr>
          <w:divsChild>
            <w:div w:id="718550076">
              <w:marLeft w:val="0"/>
              <w:marRight w:val="0"/>
              <w:marTop w:val="0"/>
              <w:marBottom w:val="0"/>
              <w:divBdr>
                <w:top w:val="none" w:sz="0" w:space="0" w:color="auto"/>
                <w:left w:val="none" w:sz="0" w:space="0" w:color="auto"/>
                <w:bottom w:val="none" w:sz="0" w:space="0" w:color="auto"/>
                <w:right w:val="none" w:sz="0" w:space="0" w:color="auto"/>
              </w:divBdr>
            </w:div>
          </w:divsChild>
        </w:div>
        <w:div w:id="1896310770">
          <w:marLeft w:val="0"/>
          <w:marRight w:val="0"/>
          <w:marTop w:val="0"/>
          <w:marBottom w:val="0"/>
          <w:divBdr>
            <w:top w:val="none" w:sz="0" w:space="0" w:color="auto"/>
            <w:left w:val="none" w:sz="0" w:space="0" w:color="auto"/>
            <w:bottom w:val="none" w:sz="0" w:space="0" w:color="auto"/>
            <w:right w:val="none" w:sz="0" w:space="0" w:color="auto"/>
          </w:divBdr>
          <w:divsChild>
            <w:div w:id="1938514236">
              <w:marLeft w:val="0"/>
              <w:marRight w:val="0"/>
              <w:marTop w:val="0"/>
              <w:marBottom w:val="0"/>
              <w:divBdr>
                <w:top w:val="none" w:sz="0" w:space="0" w:color="auto"/>
                <w:left w:val="none" w:sz="0" w:space="0" w:color="auto"/>
                <w:bottom w:val="none" w:sz="0" w:space="0" w:color="auto"/>
                <w:right w:val="none" w:sz="0" w:space="0" w:color="auto"/>
              </w:divBdr>
            </w:div>
          </w:divsChild>
        </w:div>
        <w:div w:id="1950971699">
          <w:marLeft w:val="0"/>
          <w:marRight w:val="0"/>
          <w:marTop w:val="0"/>
          <w:marBottom w:val="0"/>
          <w:divBdr>
            <w:top w:val="none" w:sz="0" w:space="0" w:color="auto"/>
            <w:left w:val="none" w:sz="0" w:space="0" w:color="auto"/>
            <w:bottom w:val="none" w:sz="0" w:space="0" w:color="auto"/>
            <w:right w:val="none" w:sz="0" w:space="0" w:color="auto"/>
          </w:divBdr>
          <w:divsChild>
            <w:div w:id="106586068">
              <w:marLeft w:val="0"/>
              <w:marRight w:val="0"/>
              <w:marTop w:val="0"/>
              <w:marBottom w:val="0"/>
              <w:divBdr>
                <w:top w:val="none" w:sz="0" w:space="0" w:color="auto"/>
                <w:left w:val="none" w:sz="0" w:space="0" w:color="auto"/>
                <w:bottom w:val="none" w:sz="0" w:space="0" w:color="auto"/>
                <w:right w:val="none" w:sz="0" w:space="0" w:color="auto"/>
              </w:divBdr>
            </w:div>
          </w:divsChild>
        </w:div>
        <w:div w:id="1981498437">
          <w:marLeft w:val="0"/>
          <w:marRight w:val="0"/>
          <w:marTop w:val="0"/>
          <w:marBottom w:val="0"/>
          <w:divBdr>
            <w:top w:val="none" w:sz="0" w:space="0" w:color="auto"/>
            <w:left w:val="none" w:sz="0" w:space="0" w:color="auto"/>
            <w:bottom w:val="none" w:sz="0" w:space="0" w:color="auto"/>
            <w:right w:val="none" w:sz="0" w:space="0" w:color="auto"/>
          </w:divBdr>
          <w:divsChild>
            <w:div w:id="21563225">
              <w:marLeft w:val="0"/>
              <w:marRight w:val="0"/>
              <w:marTop w:val="0"/>
              <w:marBottom w:val="0"/>
              <w:divBdr>
                <w:top w:val="none" w:sz="0" w:space="0" w:color="auto"/>
                <w:left w:val="none" w:sz="0" w:space="0" w:color="auto"/>
                <w:bottom w:val="none" w:sz="0" w:space="0" w:color="auto"/>
                <w:right w:val="none" w:sz="0" w:space="0" w:color="auto"/>
              </w:divBdr>
            </w:div>
          </w:divsChild>
        </w:div>
        <w:div w:id="1988436739">
          <w:marLeft w:val="0"/>
          <w:marRight w:val="0"/>
          <w:marTop w:val="0"/>
          <w:marBottom w:val="0"/>
          <w:divBdr>
            <w:top w:val="none" w:sz="0" w:space="0" w:color="auto"/>
            <w:left w:val="none" w:sz="0" w:space="0" w:color="auto"/>
            <w:bottom w:val="none" w:sz="0" w:space="0" w:color="auto"/>
            <w:right w:val="none" w:sz="0" w:space="0" w:color="auto"/>
          </w:divBdr>
          <w:divsChild>
            <w:div w:id="86118708">
              <w:marLeft w:val="0"/>
              <w:marRight w:val="0"/>
              <w:marTop w:val="0"/>
              <w:marBottom w:val="0"/>
              <w:divBdr>
                <w:top w:val="none" w:sz="0" w:space="0" w:color="auto"/>
                <w:left w:val="none" w:sz="0" w:space="0" w:color="auto"/>
                <w:bottom w:val="none" w:sz="0" w:space="0" w:color="auto"/>
                <w:right w:val="none" w:sz="0" w:space="0" w:color="auto"/>
              </w:divBdr>
            </w:div>
          </w:divsChild>
        </w:div>
        <w:div w:id="1989361150">
          <w:marLeft w:val="0"/>
          <w:marRight w:val="0"/>
          <w:marTop w:val="0"/>
          <w:marBottom w:val="0"/>
          <w:divBdr>
            <w:top w:val="none" w:sz="0" w:space="0" w:color="auto"/>
            <w:left w:val="none" w:sz="0" w:space="0" w:color="auto"/>
            <w:bottom w:val="none" w:sz="0" w:space="0" w:color="auto"/>
            <w:right w:val="none" w:sz="0" w:space="0" w:color="auto"/>
          </w:divBdr>
          <w:divsChild>
            <w:div w:id="671180880">
              <w:marLeft w:val="0"/>
              <w:marRight w:val="0"/>
              <w:marTop w:val="0"/>
              <w:marBottom w:val="0"/>
              <w:divBdr>
                <w:top w:val="none" w:sz="0" w:space="0" w:color="auto"/>
                <w:left w:val="none" w:sz="0" w:space="0" w:color="auto"/>
                <w:bottom w:val="none" w:sz="0" w:space="0" w:color="auto"/>
                <w:right w:val="none" w:sz="0" w:space="0" w:color="auto"/>
              </w:divBdr>
            </w:div>
          </w:divsChild>
        </w:div>
        <w:div w:id="2019579006">
          <w:marLeft w:val="0"/>
          <w:marRight w:val="0"/>
          <w:marTop w:val="0"/>
          <w:marBottom w:val="0"/>
          <w:divBdr>
            <w:top w:val="none" w:sz="0" w:space="0" w:color="auto"/>
            <w:left w:val="none" w:sz="0" w:space="0" w:color="auto"/>
            <w:bottom w:val="none" w:sz="0" w:space="0" w:color="auto"/>
            <w:right w:val="none" w:sz="0" w:space="0" w:color="auto"/>
          </w:divBdr>
          <w:divsChild>
            <w:div w:id="315719629">
              <w:marLeft w:val="0"/>
              <w:marRight w:val="0"/>
              <w:marTop w:val="0"/>
              <w:marBottom w:val="0"/>
              <w:divBdr>
                <w:top w:val="none" w:sz="0" w:space="0" w:color="auto"/>
                <w:left w:val="none" w:sz="0" w:space="0" w:color="auto"/>
                <w:bottom w:val="none" w:sz="0" w:space="0" w:color="auto"/>
                <w:right w:val="none" w:sz="0" w:space="0" w:color="auto"/>
              </w:divBdr>
            </w:div>
          </w:divsChild>
        </w:div>
        <w:div w:id="2023702961">
          <w:marLeft w:val="0"/>
          <w:marRight w:val="0"/>
          <w:marTop w:val="0"/>
          <w:marBottom w:val="0"/>
          <w:divBdr>
            <w:top w:val="none" w:sz="0" w:space="0" w:color="auto"/>
            <w:left w:val="none" w:sz="0" w:space="0" w:color="auto"/>
            <w:bottom w:val="none" w:sz="0" w:space="0" w:color="auto"/>
            <w:right w:val="none" w:sz="0" w:space="0" w:color="auto"/>
          </w:divBdr>
          <w:divsChild>
            <w:div w:id="1751346697">
              <w:marLeft w:val="0"/>
              <w:marRight w:val="0"/>
              <w:marTop w:val="0"/>
              <w:marBottom w:val="0"/>
              <w:divBdr>
                <w:top w:val="none" w:sz="0" w:space="0" w:color="auto"/>
                <w:left w:val="none" w:sz="0" w:space="0" w:color="auto"/>
                <w:bottom w:val="none" w:sz="0" w:space="0" w:color="auto"/>
                <w:right w:val="none" w:sz="0" w:space="0" w:color="auto"/>
              </w:divBdr>
            </w:div>
          </w:divsChild>
        </w:div>
        <w:div w:id="2046369897">
          <w:marLeft w:val="0"/>
          <w:marRight w:val="0"/>
          <w:marTop w:val="0"/>
          <w:marBottom w:val="0"/>
          <w:divBdr>
            <w:top w:val="none" w:sz="0" w:space="0" w:color="auto"/>
            <w:left w:val="none" w:sz="0" w:space="0" w:color="auto"/>
            <w:bottom w:val="none" w:sz="0" w:space="0" w:color="auto"/>
            <w:right w:val="none" w:sz="0" w:space="0" w:color="auto"/>
          </w:divBdr>
          <w:divsChild>
            <w:div w:id="1291588359">
              <w:marLeft w:val="0"/>
              <w:marRight w:val="0"/>
              <w:marTop w:val="0"/>
              <w:marBottom w:val="0"/>
              <w:divBdr>
                <w:top w:val="none" w:sz="0" w:space="0" w:color="auto"/>
                <w:left w:val="none" w:sz="0" w:space="0" w:color="auto"/>
                <w:bottom w:val="none" w:sz="0" w:space="0" w:color="auto"/>
                <w:right w:val="none" w:sz="0" w:space="0" w:color="auto"/>
              </w:divBdr>
            </w:div>
          </w:divsChild>
        </w:div>
        <w:div w:id="2054650630">
          <w:marLeft w:val="0"/>
          <w:marRight w:val="0"/>
          <w:marTop w:val="0"/>
          <w:marBottom w:val="0"/>
          <w:divBdr>
            <w:top w:val="none" w:sz="0" w:space="0" w:color="auto"/>
            <w:left w:val="none" w:sz="0" w:space="0" w:color="auto"/>
            <w:bottom w:val="none" w:sz="0" w:space="0" w:color="auto"/>
            <w:right w:val="none" w:sz="0" w:space="0" w:color="auto"/>
          </w:divBdr>
          <w:divsChild>
            <w:div w:id="1375350183">
              <w:marLeft w:val="0"/>
              <w:marRight w:val="0"/>
              <w:marTop w:val="0"/>
              <w:marBottom w:val="0"/>
              <w:divBdr>
                <w:top w:val="none" w:sz="0" w:space="0" w:color="auto"/>
                <w:left w:val="none" w:sz="0" w:space="0" w:color="auto"/>
                <w:bottom w:val="none" w:sz="0" w:space="0" w:color="auto"/>
                <w:right w:val="none" w:sz="0" w:space="0" w:color="auto"/>
              </w:divBdr>
            </w:div>
          </w:divsChild>
        </w:div>
        <w:div w:id="2057659941">
          <w:marLeft w:val="0"/>
          <w:marRight w:val="0"/>
          <w:marTop w:val="0"/>
          <w:marBottom w:val="0"/>
          <w:divBdr>
            <w:top w:val="none" w:sz="0" w:space="0" w:color="auto"/>
            <w:left w:val="none" w:sz="0" w:space="0" w:color="auto"/>
            <w:bottom w:val="none" w:sz="0" w:space="0" w:color="auto"/>
            <w:right w:val="none" w:sz="0" w:space="0" w:color="auto"/>
          </w:divBdr>
          <w:divsChild>
            <w:div w:id="1473866356">
              <w:marLeft w:val="0"/>
              <w:marRight w:val="0"/>
              <w:marTop w:val="0"/>
              <w:marBottom w:val="0"/>
              <w:divBdr>
                <w:top w:val="none" w:sz="0" w:space="0" w:color="auto"/>
                <w:left w:val="none" w:sz="0" w:space="0" w:color="auto"/>
                <w:bottom w:val="none" w:sz="0" w:space="0" w:color="auto"/>
                <w:right w:val="none" w:sz="0" w:space="0" w:color="auto"/>
              </w:divBdr>
            </w:div>
          </w:divsChild>
        </w:div>
        <w:div w:id="2094431753">
          <w:marLeft w:val="0"/>
          <w:marRight w:val="0"/>
          <w:marTop w:val="0"/>
          <w:marBottom w:val="0"/>
          <w:divBdr>
            <w:top w:val="none" w:sz="0" w:space="0" w:color="auto"/>
            <w:left w:val="none" w:sz="0" w:space="0" w:color="auto"/>
            <w:bottom w:val="none" w:sz="0" w:space="0" w:color="auto"/>
            <w:right w:val="none" w:sz="0" w:space="0" w:color="auto"/>
          </w:divBdr>
          <w:divsChild>
            <w:div w:id="2078550366">
              <w:marLeft w:val="0"/>
              <w:marRight w:val="0"/>
              <w:marTop w:val="0"/>
              <w:marBottom w:val="0"/>
              <w:divBdr>
                <w:top w:val="none" w:sz="0" w:space="0" w:color="auto"/>
                <w:left w:val="none" w:sz="0" w:space="0" w:color="auto"/>
                <w:bottom w:val="none" w:sz="0" w:space="0" w:color="auto"/>
                <w:right w:val="none" w:sz="0" w:space="0" w:color="auto"/>
              </w:divBdr>
            </w:div>
          </w:divsChild>
        </w:div>
        <w:div w:id="2095927696">
          <w:marLeft w:val="0"/>
          <w:marRight w:val="0"/>
          <w:marTop w:val="0"/>
          <w:marBottom w:val="0"/>
          <w:divBdr>
            <w:top w:val="none" w:sz="0" w:space="0" w:color="auto"/>
            <w:left w:val="none" w:sz="0" w:space="0" w:color="auto"/>
            <w:bottom w:val="none" w:sz="0" w:space="0" w:color="auto"/>
            <w:right w:val="none" w:sz="0" w:space="0" w:color="auto"/>
          </w:divBdr>
          <w:divsChild>
            <w:div w:id="51462896">
              <w:marLeft w:val="0"/>
              <w:marRight w:val="0"/>
              <w:marTop w:val="0"/>
              <w:marBottom w:val="0"/>
              <w:divBdr>
                <w:top w:val="none" w:sz="0" w:space="0" w:color="auto"/>
                <w:left w:val="none" w:sz="0" w:space="0" w:color="auto"/>
                <w:bottom w:val="none" w:sz="0" w:space="0" w:color="auto"/>
                <w:right w:val="none" w:sz="0" w:space="0" w:color="auto"/>
              </w:divBdr>
            </w:div>
          </w:divsChild>
        </w:div>
        <w:div w:id="2097628678">
          <w:marLeft w:val="0"/>
          <w:marRight w:val="0"/>
          <w:marTop w:val="0"/>
          <w:marBottom w:val="0"/>
          <w:divBdr>
            <w:top w:val="none" w:sz="0" w:space="0" w:color="auto"/>
            <w:left w:val="none" w:sz="0" w:space="0" w:color="auto"/>
            <w:bottom w:val="none" w:sz="0" w:space="0" w:color="auto"/>
            <w:right w:val="none" w:sz="0" w:space="0" w:color="auto"/>
          </w:divBdr>
          <w:divsChild>
            <w:div w:id="294679670">
              <w:marLeft w:val="0"/>
              <w:marRight w:val="0"/>
              <w:marTop w:val="0"/>
              <w:marBottom w:val="0"/>
              <w:divBdr>
                <w:top w:val="none" w:sz="0" w:space="0" w:color="auto"/>
                <w:left w:val="none" w:sz="0" w:space="0" w:color="auto"/>
                <w:bottom w:val="none" w:sz="0" w:space="0" w:color="auto"/>
                <w:right w:val="none" w:sz="0" w:space="0" w:color="auto"/>
              </w:divBdr>
            </w:div>
          </w:divsChild>
        </w:div>
        <w:div w:id="2099591633">
          <w:marLeft w:val="0"/>
          <w:marRight w:val="0"/>
          <w:marTop w:val="0"/>
          <w:marBottom w:val="0"/>
          <w:divBdr>
            <w:top w:val="none" w:sz="0" w:space="0" w:color="auto"/>
            <w:left w:val="none" w:sz="0" w:space="0" w:color="auto"/>
            <w:bottom w:val="none" w:sz="0" w:space="0" w:color="auto"/>
            <w:right w:val="none" w:sz="0" w:space="0" w:color="auto"/>
          </w:divBdr>
          <w:divsChild>
            <w:div w:id="2054570205">
              <w:marLeft w:val="0"/>
              <w:marRight w:val="0"/>
              <w:marTop w:val="0"/>
              <w:marBottom w:val="0"/>
              <w:divBdr>
                <w:top w:val="none" w:sz="0" w:space="0" w:color="auto"/>
                <w:left w:val="none" w:sz="0" w:space="0" w:color="auto"/>
                <w:bottom w:val="none" w:sz="0" w:space="0" w:color="auto"/>
                <w:right w:val="none" w:sz="0" w:space="0" w:color="auto"/>
              </w:divBdr>
            </w:div>
          </w:divsChild>
        </w:div>
        <w:div w:id="2101874396">
          <w:marLeft w:val="0"/>
          <w:marRight w:val="0"/>
          <w:marTop w:val="0"/>
          <w:marBottom w:val="0"/>
          <w:divBdr>
            <w:top w:val="none" w:sz="0" w:space="0" w:color="auto"/>
            <w:left w:val="none" w:sz="0" w:space="0" w:color="auto"/>
            <w:bottom w:val="none" w:sz="0" w:space="0" w:color="auto"/>
            <w:right w:val="none" w:sz="0" w:space="0" w:color="auto"/>
          </w:divBdr>
          <w:divsChild>
            <w:div w:id="240914016">
              <w:marLeft w:val="0"/>
              <w:marRight w:val="0"/>
              <w:marTop w:val="0"/>
              <w:marBottom w:val="0"/>
              <w:divBdr>
                <w:top w:val="none" w:sz="0" w:space="0" w:color="auto"/>
                <w:left w:val="none" w:sz="0" w:space="0" w:color="auto"/>
                <w:bottom w:val="none" w:sz="0" w:space="0" w:color="auto"/>
                <w:right w:val="none" w:sz="0" w:space="0" w:color="auto"/>
              </w:divBdr>
            </w:div>
          </w:divsChild>
        </w:div>
        <w:div w:id="2113166815">
          <w:marLeft w:val="0"/>
          <w:marRight w:val="0"/>
          <w:marTop w:val="0"/>
          <w:marBottom w:val="0"/>
          <w:divBdr>
            <w:top w:val="none" w:sz="0" w:space="0" w:color="auto"/>
            <w:left w:val="none" w:sz="0" w:space="0" w:color="auto"/>
            <w:bottom w:val="none" w:sz="0" w:space="0" w:color="auto"/>
            <w:right w:val="none" w:sz="0" w:space="0" w:color="auto"/>
          </w:divBdr>
          <w:divsChild>
            <w:div w:id="2059550374">
              <w:marLeft w:val="0"/>
              <w:marRight w:val="0"/>
              <w:marTop w:val="0"/>
              <w:marBottom w:val="0"/>
              <w:divBdr>
                <w:top w:val="none" w:sz="0" w:space="0" w:color="auto"/>
                <w:left w:val="none" w:sz="0" w:space="0" w:color="auto"/>
                <w:bottom w:val="none" w:sz="0" w:space="0" w:color="auto"/>
                <w:right w:val="none" w:sz="0" w:space="0" w:color="auto"/>
              </w:divBdr>
            </w:div>
          </w:divsChild>
        </w:div>
        <w:div w:id="2122138462">
          <w:marLeft w:val="0"/>
          <w:marRight w:val="0"/>
          <w:marTop w:val="0"/>
          <w:marBottom w:val="0"/>
          <w:divBdr>
            <w:top w:val="none" w:sz="0" w:space="0" w:color="auto"/>
            <w:left w:val="none" w:sz="0" w:space="0" w:color="auto"/>
            <w:bottom w:val="none" w:sz="0" w:space="0" w:color="auto"/>
            <w:right w:val="none" w:sz="0" w:space="0" w:color="auto"/>
          </w:divBdr>
          <w:divsChild>
            <w:div w:id="638457621">
              <w:marLeft w:val="0"/>
              <w:marRight w:val="0"/>
              <w:marTop w:val="0"/>
              <w:marBottom w:val="0"/>
              <w:divBdr>
                <w:top w:val="none" w:sz="0" w:space="0" w:color="auto"/>
                <w:left w:val="none" w:sz="0" w:space="0" w:color="auto"/>
                <w:bottom w:val="none" w:sz="0" w:space="0" w:color="auto"/>
                <w:right w:val="none" w:sz="0" w:space="0" w:color="auto"/>
              </w:divBdr>
            </w:div>
          </w:divsChild>
        </w:div>
        <w:div w:id="2128576219">
          <w:marLeft w:val="0"/>
          <w:marRight w:val="0"/>
          <w:marTop w:val="0"/>
          <w:marBottom w:val="0"/>
          <w:divBdr>
            <w:top w:val="none" w:sz="0" w:space="0" w:color="auto"/>
            <w:left w:val="none" w:sz="0" w:space="0" w:color="auto"/>
            <w:bottom w:val="none" w:sz="0" w:space="0" w:color="auto"/>
            <w:right w:val="none" w:sz="0" w:space="0" w:color="auto"/>
          </w:divBdr>
          <w:divsChild>
            <w:div w:id="516845749">
              <w:marLeft w:val="0"/>
              <w:marRight w:val="0"/>
              <w:marTop w:val="0"/>
              <w:marBottom w:val="0"/>
              <w:divBdr>
                <w:top w:val="none" w:sz="0" w:space="0" w:color="auto"/>
                <w:left w:val="none" w:sz="0" w:space="0" w:color="auto"/>
                <w:bottom w:val="none" w:sz="0" w:space="0" w:color="auto"/>
                <w:right w:val="none" w:sz="0" w:space="0" w:color="auto"/>
              </w:divBdr>
            </w:div>
          </w:divsChild>
        </w:div>
        <w:div w:id="2130934528">
          <w:marLeft w:val="0"/>
          <w:marRight w:val="0"/>
          <w:marTop w:val="0"/>
          <w:marBottom w:val="0"/>
          <w:divBdr>
            <w:top w:val="none" w:sz="0" w:space="0" w:color="auto"/>
            <w:left w:val="none" w:sz="0" w:space="0" w:color="auto"/>
            <w:bottom w:val="none" w:sz="0" w:space="0" w:color="auto"/>
            <w:right w:val="none" w:sz="0" w:space="0" w:color="auto"/>
          </w:divBdr>
          <w:divsChild>
            <w:div w:id="1259556075">
              <w:marLeft w:val="0"/>
              <w:marRight w:val="0"/>
              <w:marTop w:val="0"/>
              <w:marBottom w:val="0"/>
              <w:divBdr>
                <w:top w:val="none" w:sz="0" w:space="0" w:color="auto"/>
                <w:left w:val="none" w:sz="0" w:space="0" w:color="auto"/>
                <w:bottom w:val="none" w:sz="0" w:space="0" w:color="auto"/>
                <w:right w:val="none" w:sz="0" w:space="0" w:color="auto"/>
              </w:divBdr>
            </w:div>
          </w:divsChild>
        </w:div>
        <w:div w:id="2139227350">
          <w:marLeft w:val="0"/>
          <w:marRight w:val="0"/>
          <w:marTop w:val="0"/>
          <w:marBottom w:val="0"/>
          <w:divBdr>
            <w:top w:val="none" w:sz="0" w:space="0" w:color="auto"/>
            <w:left w:val="none" w:sz="0" w:space="0" w:color="auto"/>
            <w:bottom w:val="none" w:sz="0" w:space="0" w:color="auto"/>
            <w:right w:val="none" w:sz="0" w:space="0" w:color="auto"/>
          </w:divBdr>
          <w:divsChild>
            <w:div w:id="686100311">
              <w:marLeft w:val="0"/>
              <w:marRight w:val="0"/>
              <w:marTop w:val="0"/>
              <w:marBottom w:val="0"/>
              <w:divBdr>
                <w:top w:val="none" w:sz="0" w:space="0" w:color="auto"/>
                <w:left w:val="none" w:sz="0" w:space="0" w:color="auto"/>
                <w:bottom w:val="none" w:sz="0" w:space="0" w:color="auto"/>
                <w:right w:val="none" w:sz="0" w:space="0" w:color="auto"/>
              </w:divBdr>
            </w:div>
          </w:divsChild>
        </w:div>
        <w:div w:id="2142115302">
          <w:marLeft w:val="0"/>
          <w:marRight w:val="0"/>
          <w:marTop w:val="0"/>
          <w:marBottom w:val="0"/>
          <w:divBdr>
            <w:top w:val="none" w:sz="0" w:space="0" w:color="auto"/>
            <w:left w:val="none" w:sz="0" w:space="0" w:color="auto"/>
            <w:bottom w:val="none" w:sz="0" w:space="0" w:color="auto"/>
            <w:right w:val="none" w:sz="0" w:space="0" w:color="auto"/>
          </w:divBdr>
          <w:divsChild>
            <w:div w:id="564608484">
              <w:marLeft w:val="0"/>
              <w:marRight w:val="0"/>
              <w:marTop w:val="0"/>
              <w:marBottom w:val="0"/>
              <w:divBdr>
                <w:top w:val="none" w:sz="0" w:space="0" w:color="auto"/>
                <w:left w:val="none" w:sz="0" w:space="0" w:color="auto"/>
                <w:bottom w:val="none" w:sz="0" w:space="0" w:color="auto"/>
                <w:right w:val="none" w:sz="0" w:space="0" w:color="auto"/>
              </w:divBdr>
            </w:div>
          </w:divsChild>
        </w:div>
        <w:div w:id="2143420793">
          <w:marLeft w:val="0"/>
          <w:marRight w:val="0"/>
          <w:marTop w:val="0"/>
          <w:marBottom w:val="0"/>
          <w:divBdr>
            <w:top w:val="none" w:sz="0" w:space="0" w:color="auto"/>
            <w:left w:val="none" w:sz="0" w:space="0" w:color="auto"/>
            <w:bottom w:val="none" w:sz="0" w:space="0" w:color="auto"/>
            <w:right w:val="none" w:sz="0" w:space="0" w:color="auto"/>
          </w:divBdr>
          <w:divsChild>
            <w:div w:id="1752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00881">
      <w:bodyDiv w:val="1"/>
      <w:marLeft w:val="0"/>
      <w:marRight w:val="0"/>
      <w:marTop w:val="0"/>
      <w:marBottom w:val="0"/>
      <w:divBdr>
        <w:top w:val="none" w:sz="0" w:space="0" w:color="auto"/>
        <w:left w:val="none" w:sz="0" w:space="0" w:color="auto"/>
        <w:bottom w:val="none" w:sz="0" w:space="0" w:color="auto"/>
        <w:right w:val="none" w:sz="0" w:space="0" w:color="auto"/>
      </w:divBdr>
    </w:div>
    <w:div w:id="1246568166">
      <w:bodyDiv w:val="1"/>
      <w:marLeft w:val="0"/>
      <w:marRight w:val="0"/>
      <w:marTop w:val="0"/>
      <w:marBottom w:val="0"/>
      <w:divBdr>
        <w:top w:val="none" w:sz="0" w:space="0" w:color="auto"/>
        <w:left w:val="none" w:sz="0" w:space="0" w:color="auto"/>
        <w:bottom w:val="none" w:sz="0" w:space="0" w:color="auto"/>
        <w:right w:val="none" w:sz="0" w:space="0" w:color="auto"/>
      </w:divBdr>
    </w:div>
    <w:div w:id="1296985111">
      <w:bodyDiv w:val="1"/>
      <w:marLeft w:val="0"/>
      <w:marRight w:val="0"/>
      <w:marTop w:val="0"/>
      <w:marBottom w:val="0"/>
      <w:divBdr>
        <w:top w:val="none" w:sz="0" w:space="0" w:color="auto"/>
        <w:left w:val="none" w:sz="0" w:space="0" w:color="auto"/>
        <w:bottom w:val="none" w:sz="0" w:space="0" w:color="auto"/>
        <w:right w:val="none" w:sz="0" w:space="0" w:color="auto"/>
      </w:divBdr>
      <w:divsChild>
        <w:div w:id="1952080314">
          <w:marLeft w:val="0"/>
          <w:marRight w:val="0"/>
          <w:marTop w:val="0"/>
          <w:marBottom w:val="0"/>
          <w:divBdr>
            <w:top w:val="none" w:sz="0" w:space="0" w:color="auto"/>
            <w:left w:val="none" w:sz="0" w:space="0" w:color="auto"/>
            <w:bottom w:val="none" w:sz="0" w:space="0" w:color="auto"/>
            <w:right w:val="none" w:sz="0" w:space="0" w:color="auto"/>
          </w:divBdr>
          <w:divsChild>
            <w:div w:id="57899980">
              <w:marLeft w:val="0"/>
              <w:marRight w:val="0"/>
              <w:marTop w:val="30"/>
              <w:marBottom w:val="30"/>
              <w:divBdr>
                <w:top w:val="none" w:sz="0" w:space="0" w:color="auto"/>
                <w:left w:val="none" w:sz="0" w:space="0" w:color="auto"/>
                <w:bottom w:val="none" w:sz="0" w:space="0" w:color="auto"/>
                <w:right w:val="none" w:sz="0" w:space="0" w:color="auto"/>
              </w:divBdr>
              <w:divsChild>
                <w:div w:id="105541893">
                  <w:marLeft w:val="0"/>
                  <w:marRight w:val="0"/>
                  <w:marTop w:val="0"/>
                  <w:marBottom w:val="0"/>
                  <w:divBdr>
                    <w:top w:val="none" w:sz="0" w:space="0" w:color="auto"/>
                    <w:left w:val="none" w:sz="0" w:space="0" w:color="auto"/>
                    <w:bottom w:val="none" w:sz="0" w:space="0" w:color="auto"/>
                    <w:right w:val="none" w:sz="0" w:space="0" w:color="auto"/>
                  </w:divBdr>
                  <w:divsChild>
                    <w:div w:id="913469945">
                      <w:marLeft w:val="0"/>
                      <w:marRight w:val="0"/>
                      <w:marTop w:val="0"/>
                      <w:marBottom w:val="0"/>
                      <w:divBdr>
                        <w:top w:val="none" w:sz="0" w:space="0" w:color="auto"/>
                        <w:left w:val="none" w:sz="0" w:space="0" w:color="auto"/>
                        <w:bottom w:val="none" w:sz="0" w:space="0" w:color="auto"/>
                        <w:right w:val="none" w:sz="0" w:space="0" w:color="auto"/>
                      </w:divBdr>
                    </w:div>
                  </w:divsChild>
                </w:div>
                <w:div w:id="107236626">
                  <w:marLeft w:val="0"/>
                  <w:marRight w:val="0"/>
                  <w:marTop w:val="0"/>
                  <w:marBottom w:val="0"/>
                  <w:divBdr>
                    <w:top w:val="none" w:sz="0" w:space="0" w:color="auto"/>
                    <w:left w:val="none" w:sz="0" w:space="0" w:color="auto"/>
                    <w:bottom w:val="none" w:sz="0" w:space="0" w:color="auto"/>
                    <w:right w:val="none" w:sz="0" w:space="0" w:color="auto"/>
                  </w:divBdr>
                  <w:divsChild>
                    <w:div w:id="1951089402">
                      <w:marLeft w:val="0"/>
                      <w:marRight w:val="0"/>
                      <w:marTop w:val="0"/>
                      <w:marBottom w:val="0"/>
                      <w:divBdr>
                        <w:top w:val="none" w:sz="0" w:space="0" w:color="auto"/>
                        <w:left w:val="none" w:sz="0" w:space="0" w:color="auto"/>
                        <w:bottom w:val="none" w:sz="0" w:space="0" w:color="auto"/>
                        <w:right w:val="none" w:sz="0" w:space="0" w:color="auto"/>
                      </w:divBdr>
                    </w:div>
                  </w:divsChild>
                </w:div>
                <w:div w:id="256209448">
                  <w:marLeft w:val="0"/>
                  <w:marRight w:val="0"/>
                  <w:marTop w:val="0"/>
                  <w:marBottom w:val="0"/>
                  <w:divBdr>
                    <w:top w:val="none" w:sz="0" w:space="0" w:color="auto"/>
                    <w:left w:val="none" w:sz="0" w:space="0" w:color="auto"/>
                    <w:bottom w:val="none" w:sz="0" w:space="0" w:color="auto"/>
                    <w:right w:val="none" w:sz="0" w:space="0" w:color="auto"/>
                  </w:divBdr>
                  <w:divsChild>
                    <w:div w:id="747768279">
                      <w:marLeft w:val="0"/>
                      <w:marRight w:val="0"/>
                      <w:marTop w:val="0"/>
                      <w:marBottom w:val="0"/>
                      <w:divBdr>
                        <w:top w:val="none" w:sz="0" w:space="0" w:color="auto"/>
                        <w:left w:val="none" w:sz="0" w:space="0" w:color="auto"/>
                        <w:bottom w:val="none" w:sz="0" w:space="0" w:color="auto"/>
                        <w:right w:val="none" w:sz="0" w:space="0" w:color="auto"/>
                      </w:divBdr>
                    </w:div>
                  </w:divsChild>
                </w:div>
                <w:div w:id="302583760">
                  <w:marLeft w:val="0"/>
                  <w:marRight w:val="0"/>
                  <w:marTop w:val="0"/>
                  <w:marBottom w:val="0"/>
                  <w:divBdr>
                    <w:top w:val="none" w:sz="0" w:space="0" w:color="auto"/>
                    <w:left w:val="none" w:sz="0" w:space="0" w:color="auto"/>
                    <w:bottom w:val="none" w:sz="0" w:space="0" w:color="auto"/>
                    <w:right w:val="none" w:sz="0" w:space="0" w:color="auto"/>
                  </w:divBdr>
                  <w:divsChild>
                    <w:div w:id="750126895">
                      <w:marLeft w:val="0"/>
                      <w:marRight w:val="0"/>
                      <w:marTop w:val="0"/>
                      <w:marBottom w:val="0"/>
                      <w:divBdr>
                        <w:top w:val="none" w:sz="0" w:space="0" w:color="auto"/>
                        <w:left w:val="none" w:sz="0" w:space="0" w:color="auto"/>
                        <w:bottom w:val="none" w:sz="0" w:space="0" w:color="auto"/>
                        <w:right w:val="none" w:sz="0" w:space="0" w:color="auto"/>
                      </w:divBdr>
                    </w:div>
                  </w:divsChild>
                </w:div>
                <w:div w:id="316037863">
                  <w:marLeft w:val="0"/>
                  <w:marRight w:val="0"/>
                  <w:marTop w:val="0"/>
                  <w:marBottom w:val="0"/>
                  <w:divBdr>
                    <w:top w:val="none" w:sz="0" w:space="0" w:color="auto"/>
                    <w:left w:val="none" w:sz="0" w:space="0" w:color="auto"/>
                    <w:bottom w:val="none" w:sz="0" w:space="0" w:color="auto"/>
                    <w:right w:val="none" w:sz="0" w:space="0" w:color="auto"/>
                  </w:divBdr>
                  <w:divsChild>
                    <w:div w:id="1187450584">
                      <w:marLeft w:val="0"/>
                      <w:marRight w:val="0"/>
                      <w:marTop w:val="0"/>
                      <w:marBottom w:val="0"/>
                      <w:divBdr>
                        <w:top w:val="none" w:sz="0" w:space="0" w:color="auto"/>
                        <w:left w:val="none" w:sz="0" w:space="0" w:color="auto"/>
                        <w:bottom w:val="none" w:sz="0" w:space="0" w:color="auto"/>
                        <w:right w:val="none" w:sz="0" w:space="0" w:color="auto"/>
                      </w:divBdr>
                    </w:div>
                  </w:divsChild>
                </w:div>
                <w:div w:id="415634939">
                  <w:marLeft w:val="0"/>
                  <w:marRight w:val="0"/>
                  <w:marTop w:val="0"/>
                  <w:marBottom w:val="0"/>
                  <w:divBdr>
                    <w:top w:val="none" w:sz="0" w:space="0" w:color="auto"/>
                    <w:left w:val="none" w:sz="0" w:space="0" w:color="auto"/>
                    <w:bottom w:val="none" w:sz="0" w:space="0" w:color="auto"/>
                    <w:right w:val="none" w:sz="0" w:space="0" w:color="auto"/>
                  </w:divBdr>
                  <w:divsChild>
                    <w:div w:id="352537919">
                      <w:marLeft w:val="0"/>
                      <w:marRight w:val="0"/>
                      <w:marTop w:val="0"/>
                      <w:marBottom w:val="0"/>
                      <w:divBdr>
                        <w:top w:val="none" w:sz="0" w:space="0" w:color="auto"/>
                        <w:left w:val="none" w:sz="0" w:space="0" w:color="auto"/>
                        <w:bottom w:val="none" w:sz="0" w:space="0" w:color="auto"/>
                        <w:right w:val="none" w:sz="0" w:space="0" w:color="auto"/>
                      </w:divBdr>
                    </w:div>
                  </w:divsChild>
                </w:div>
                <w:div w:id="665590718">
                  <w:marLeft w:val="0"/>
                  <w:marRight w:val="0"/>
                  <w:marTop w:val="0"/>
                  <w:marBottom w:val="0"/>
                  <w:divBdr>
                    <w:top w:val="none" w:sz="0" w:space="0" w:color="auto"/>
                    <w:left w:val="none" w:sz="0" w:space="0" w:color="auto"/>
                    <w:bottom w:val="none" w:sz="0" w:space="0" w:color="auto"/>
                    <w:right w:val="none" w:sz="0" w:space="0" w:color="auto"/>
                  </w:divBdr>
                  <w:divsChild>
                    <w:div w:id="2055153574">
                      <w:marLeft w:val="0"/>
                      <w:marRight w:val="0"/>
                      <w:marTop w:val="0"/>
                      <w:marBottom w:val="0"/>
                      <w:divBdr>
                        <w:top w:val="none" w:sz="0" w:space="0" w:color="auto"/>
                        <w:left w:val="none" w:sz="0" w:space="0" w:color="auto"/>
                        <w:bottom w:val="none" w:sz="0" w:space="0" w:color="auto"/>
                        <w:right w:val="none" w:sz="0" w:space="0" w:color="auto"/>
                      </w:divBdr>
                    </w:div>
                  </w:divsChild>
                </w:div>
                <w:div w:id="682628400">
                  <w:marLeft w:val="0"/>
                  <w:marRight w:val="0"/>
                  <w:marTop w:val="0"/>
                  <w:marBottom w:val="0"/>
                  <w:divBdr>
                    <w:top w:val="none" w:sz="0" w:space="0" w:color="auto"/>
                    <w:left w:val="none" w:sz="0" w:space="0" w:color="auto"/>
                    <w:bottom w:val="none" w:sz="0" w:space="0" w:color="auto"/>
                    <w:right w:val="none" w:sz="0" w:space="0" w:color="auto"/>
                  </w:divBdr>
                  <w:divsChild>
                    <w:div w:id="1673877291">
                      <w:marLeft w:val="0"/>
                      <w:marRight w:val="0"/>
                      <w:marTop w:val="0"/>
                      <w:marBottom w:val="0"/>
                      <w:divBdr>
                        <w:top w:val="none" w:sz="0" w:space="0" w:color="auto"/>
                        <w:left w:val="none" w:sz="0" w:space="0" w:color="auto"/>
                        <w:bottom w:val="none" w:sz="0" w:space="0" w:color="auto"/>
                        <w:right w:val="none" w:sz="0" w:space="0" w:color="auto"/>
                      </w:divBdr>
                    </w:div>
                  </w:divsChild>
                </w:div>
                <w:div w:id="689726143">
                  <w:marLeft w:val="0"/>
                  <w:marRight w:val="0"/>
                  <w:marTop w:val="0"/>
                  <w:marBottom w:val="0"/>
                  <w:divBdr>
                    <w:top w:val="none" w:sz="0" w:space="0" w:color="auto"/>
                    <w:left w:val="none" w:sz="0" w:space="0" w:color="auto"/>
                    <w:bottom w:val="none" w:sz="0" w:space="0" w:color="auto"/>
                    <w:right w:val="none" w:sz="0" w:space="0" w:color="auto"/>
                  </w:divBdr>
                  <w:divsChild>
                    <w:div w:id="1683127472">
                      <w:marLeft w:val="0"/>
                      <w:marRight w:val="0"/>
                      <w:marTop w:val="0"/>
                      <w:marBottom w:val="0"/>
                      <w:divBdr>
                        <w:top w:val="none" w:sz="0" w:space="0" w:color="auto"/>
                        <w:left w:val="none" w:sz="0" w:space="0" w:color="auto"/>
                        <w:bottom w:val="none" w:sz="0" w:space="0" w:color="auto"/>
                        <w:right w:val="none" w:sz="0" w:space="0" w:color="auto"/>
                      </w:divBdr>
                    </w:div>
                  </w:divsChild>
                </w:div>
                <w:div w:id="698700469">
                  <w:marLeft w:val="0"/>
                  <w:marRight w:val="0"/>
                  <w:marTop w:val="0"/>
                  <w:marBottom w:val="0"/>
                  <w:divBdr>
                    <w:top w:val="none" w:sz="0" w:space="0" w:color="auto"/>
                    <w:left w:val="none" w:sz="0" w:space="0" w:color="auto"/>
                    <w:bottom w:val="none" w:sz="0" w:space="0" w:color="auto"/>
                    <w:right w:val="none" w:sz="0" w:space="0" w:color="auto"/>
                  </w:divBdr>
                  <w:divsChild>
                    <w:div w:id="1376930255">
                      <w:marLeft w:val="0"/>
                      <w:marRight w:val="0"/>
                      <w:marTop w:val="0"/>
                      <w:marBottom w:val="0"/>
                      <w:divBdr>
                        <w:top w:val="none" w:sz="0" w:space="0" w:color="auto"/>
                        <w:left w:val="none" w:sz="0" w:space="0" w:color="auto"/>
                        <w:bottom w:val="none" w:sz="0" w:space="0" w:color="auto"/>
                        <w:right w:val="none" w:sz="0" w:space="0" w:color="auto"/>
                      </w:divBdr>
                    </w:div>
                  </w:divsChild>
                </w:div>
                <w:div w:id="721515353">
                  <w:marLeft w:val="0"/>
                  <w:marRight w:val="0"/>
                  <w:marTop w:val="0"/>
                  <w:marBottom w:val="0"/>
                  <w:divBdr>
                    <w:top w:val="none" w:sz="0" w:space="0" w:color="auto"/>
                    <w:left w:val="none" w:sz="0" w:space="0" w:color="auto"/>
                    <w:bottom w:val="none" w:sz="0" w:space="0" w:color="auto"/>
                    <w:right w:val="none" w:sz="0" w:space="0" w:color="auto"/>
                  </w:divBdr>
                  <w:divsChild>
                    <w:div w:id="2135755404">
                      <w:marLeft w:val="0"/>
                      <w:marRight w:val="0"/>
                      <w:marTop w:val="0"/>
                      <w:marBottom w:val="0"/>
                      <w:divBdr>
                        <w:top w:val="none" w:sz="0" w:space="0" w:color="auto"/>
                        <w:left w:val="none" w:sz="0" w:space="0" w:color="auto"/>
                        <w:bottom w:val="none" w:sz="0" w:space="0" w:color="auto"/>
                        <w:right w:val="none" w:sz="0" w:space="0" w:color="auto"/>
                      </w:divBdr>
                    </w:div>
                  </w:divsChild>
                </w:div>
                <w:div w:id="727604813">
                  <w:marLeft w:val="0"/>
                  <w:marRight w:val="0"/>
                  <w:marTop w:val="0"/>
                  <w:marBottom w:val="0"/>
                  <w:divBdr>
                    <w:top w:val="none" w:sz="0" w:space="0" w:color="auto"/>
                    <w:left w:val="none" w:sz="0" w:space="0" w:color="auto"/>
                    <w:bottom w:val="none" w:sz="0" w:space="0" w:color="auto"/>
                    <w:right w:val="none" w:sz="0" w:space="0" w:color="auto"/>
                  </w:divBdr>
                  <w:divsChild>
                    <w:div w:id="1360820167">
                      <w:marLeft w:val="0"/>
                      <w:marRight w:val="0"/>
                      <w:marTop w:val="0"/>
                      <w:marBottom w:val="0"/>
                      <w:divBdr>
                        <w:top w:val="none" w:sz="0" w:space="0" w:color="auto"/>
                        <w:left w:val="none" w:sz="0" w:space="0" w:color="auto"/>
                        <w:bottom w:val="none" w:sz="0" w:space="0" w:color="auto"/>
                        <w:right w:val="none" w:sz="0" w:space="0" w:color="auto"/>
                      </w:divBdr>
                    </w:div>
                  </w:divsChild>
                </w:div>
                <w:div w:id="738020306">
                  <w:marLeft w:val="0"/>
                  <w:marRight w:val="0"/>
                  <w:marTop w:val="0"/>
                  <w:marBottom w:val="0"/>
                  <w:divBdr>
                    <w:top w:val="none" w:sz="0" w:space="0" w:color="auto"/>
                    <w:left w:val="none" w:sz="0" w:space="0" w:color="auto"/>
                    <w:bottom w:val="none" w:sz="0" w:space="0" w:color="auto"/>
                    <w:right w:val="none" w:sz="0" w:space="0" w:color="auto"/>
                  </w:divBdr>
                  <w:divsChild>
                    <w:div w:id="406344667">
                      <w:marLeft w:val="0"/>
                      <w:marRight w:val="0"/>
                      <w:marTop w:val="0"/>
                      <w:marBottom w:val="0"/>
                      <w:divBdr>
                        <w:top w:val="none" w:sz="0" w:space="0" w:color="auto"/>
                        <w:left w:val="none" w:sz="0" w:space="0" w:color="auto"/>
                        <w:bottom w:val="none" w:sz="0" w:space="0" w:color="auto"/>
                        <w:right w:val="none" w:sz="0" w:space="0" w:color="auto"/>
                      </w:divBdr>
                    </w:div>
                  </w:divsChild>
                </w:div>
                <w:div w:id="836457082">
                  <w:marLeft w:val="0"/>
                  <w:marRight w:val="0"/>
                  <w:marTop w:val="0"/>
                  <w:marBottom w:val="0"/>
                  <w:divBdr>
                    <w:top w:val="none" w:sz="0" w:space="0" w:color="auto"/>
                    <w:left w:val="none" w:sz="0" w:space="0" w:color="auto"/>
                    <w:bottom w:val="none" w:sz="0" w:space="0" w:color="auto"/>
                    <w:right w:val="none" w:sz="0" w:space="0" w:color="auto"/>
                  </w:divBdr>
                  <w:divsChild>
                    <w:div w:id="1348020171">
                      <w:marLeft w:val="0"/>
                      <w:marRight w:val="0"/>
                      <w:marTop w:val="0"/>
                      <w:marBottom w:val="0"/>
                      <w:divBdr>
                        <w:top w:val="none" w:sz="0" w:space="0" w:color="auto"/>
                        <w:left w:val="none" w:sz="0" w:space="0" w:color="auto"/>
                        <w:bottom w:val="none" w:sz="0" w:space="0" w:color="auto"/>
                        <w:right w:val="none" w:sz="0" w:space="0" w:color="auto"/>
                      </w:divBdr>
                    </w:div>
                  </w:divsChild>
                </w:div>
                <w:div w:id="985207393">
                  <w:marLeft w:val="0"/>
                  <w:marRight w:val="0"/>
                  <w:marTop w:val="0"/>
                  <w:marBottom w:val="0"/>
                  <w:divBdr>
                    <w:top w:val="none" w:sz="0" w:space="0" w:color="auto"/>
                    <w:left w:val="none" w:sz="0" w:space="0" w:color="auto"/>
                    <w:bottom w:val="none" w:sz="0" w:space="0" w:color="auto"/>
                    <w:right w:val="none" w:sz="0" w:space="0" w:color="auto"/>
                  </w:divBdr>
                  <w:divsChild>
                    <w:div w:id="2063019820">
                      <w:marLeft w:val="0"/>
                      <w:marRight w:val="0"/>
                      <w:marTop w:val="0"/>
                      <w:marBottom w:val="0"/>
                      <w:divBdr>
                        <w:top w:val="none" w:sz="0" w:space="0" w:color="auto"/>
                        <w:left w:val="none" w:sz="0" w:space="0" w:color="auto"/>
                        <w:bottom w:val="none" w:sz="0" w:space="0" w:color="auto"/>
                        <w:right w:val="none" w:sz="0" w:space="0" w:color="auto"/>
                      </w:divBdr>
                    </w:div>
                  </w:divsChild>
                </w:div>
                <w:div w:id="1009909798">
                  <w:marLeft w:val="0"/>
                  <w:marRight w:val="0"/>
                  <w:marTop w:val="0"/>
                  <w:marBottom w:val="0"/>
                  <w:divBdr>
                    <w:top w:val="none" w:sz="0" w:space="0" w:color="auto"/>
                    <w:left w:val="none" w:sz="0" w:space="0" w:color="auto"/>
                    <w:bottom w:val="none" w:sz="0" w:space="0" w:color="auto"/>
                    <w:right w:val="none" w:sz="0" w:space="0" w:color="auto"/>
                  </w:divBdr>
                  <w:divsChild>
                    <w:div w:id="1983533543">
                      <w:marLeft w:val="0"/>
                      <w:marRight w:val="0"/>
                      <w:marTop w:val="0"/>
                      <w:marBottom w:val="0"/>
                      <w:divBdr>
                        <w:top w:val="none" w:sz="0" w:space="0" w:color="auto"/>
                        <w:left w:val="none" w:sz="0" w:space="0" w:color="auto"/>
                        <w:bottom w:val="none" w:sz="0" w:space="0" w:color="auto"/>
                        <w:right w:val="none" w:sz="0" w:space="0" w:color="auto"/>
                      </w:divBdr>
                    </w:div>
                  </w:divsChild>
                </w:div>
                <w:div w:id="1029140575">
                  <w:marLeft w:val="0"/>
                  <w:marRight w:val="0"/>
                  <w:marTop w:val="0"/>
                  <w:marBottom w:val="0"/>
                  <w:divBdr>
                    <w:top w:val="none" w:sz="0" w:space="0" w:color="auto"/>
                    <w:left w:val="none" w:sz="0" w:space="0" w:color="auto"/>
                    <w:bottom w:val="none" w:sz="0" w:space="0" w:color="auto"/>
                    <w:right w:val="none" w:sz="0" w:space="0" w:color="auto"/>
                  </w:divBdr>
                  <w:divsChild>
                    <w:div w:id="1281494485">
                      <w:marLeft w:val="0"/>
                      <w:marRight w:val="0"/>
                      <w:marTop w:val="0"/>
                      <w:marBottom w:val="0"/>
                      <w:divBdr>
                        <w:top w:val="none" w:sz="0" w:space="0" w:color="auto"/>
                        <w:left w:val="none" w:sz="0" w:space="0" w:color="auto"/>
                        <w:bottom w:val="none" w:sz="0" w:space="0" w:color="auto"/>
                        <w:right w:val="none" w:sz="0" w:space="0" w:color="auto"/>
                      </w:divBdr>
                    </w:div>
                  </w:divsChild>
                </w:div>
                <w:div w:id="1037968089">
                  <w:marLeft w:val="0"/>
                  <w:marRight w:val="0"/>
                  <w:marTop w:val="0"/>
                  <w:marBottom w:val="0"/>
                  <w:divBdr>
                    <w:top w:val="none" w:sz="0" w:space="0" w:color="auto"/>
                    <w:left w:val="none" w:sz="0" w:space="0" w:color="auto"/>
                    <w:bottom w:val="none" w:sz="0" w:space="0" w:color="auto"/>
                    <w:right w:val="none" w:sz="0" w:space="0" w:color="auto"/>
                  </w:divBdr>
                  <w:divsChild>
                    <w:div w:id="209464928">
                      <w:marLeft w:val="0"/>
                      <w:marRight w:val="0"/>
                      <w:marTop w:val="0"/>
                      <w:marBottom w:val="0"/>
                      <w:divBdr>
                        <w:top w:val="none" w:sz="0" w:space="0" w:color="auto"/>
                        <w:left w:val="none" w:sz="0" w:space="0" w:color="auto"/>
                        <w:bottom w:val="none" w:sz="0" w:space="0" w:color="auto"/>
                        <w:right w:val="none" w:sz="0" w:space="0" w:color="auto"/>
                      </w:divBdr>
                    </w:div>
                  </w:divsChild>
                </w:div>
                <w:div w:id="1075586471">
                  <w:marLeft w:val="0"/>
                  <w:marRight w:val="0"/>
                  <w:marTop w:val="0"/>
                  <w:marBottom w:val="0"/>
                  <w:divBdr>
                    <w:top w:val="none" w:sz="0" w:space="0" w:color="auto"/>
                    <w:left w:val="none" w:sz="0" w:space="0" w:color="auto"/>
                    <w:bottom w:val="none" w:sz="0" w:space="0" w:color="auto"/>
                    <w:right w:val="none" w:sz="0" w:space="0" w:color="auto"/>
                  </w:divBdr>
                  <w:divsChild>
                    <w:div w:id="1299603631">
                      <w:marLeft w:val="0"/>
                      <w:marRight w:val="0"/>
                      <w:marTop w:val="0"/>
                      <w:marBottom w:val="0"/>
                      <w:divBdr>
                        <w:top w:val="none" w:sz="0" w:space="0" w:color="auto"/>
                        <w:left w:val="none" w:sz="0" w:space="0" w:color="auto"/>
                        <w:bottom w:val="none" w:sz="0" w:space="0" w:color="auto"/>
                        <w:right w:val="none" w:sz="0" w:space="0" w:color="auto"/>
                      </w:divBdr>
                    </w:div>
                  </w:divsChild>
                </w:div>
                <w:div w:id="1150630404">
                  <w:marLeft w:val="0"/>
                  <w:marRight w:val="0"/>
                  <w:marTop w:val="0"/>
                  <w:marBottom w:val="0"/>
                  <w:divBdr>
                    <w:top w:val="none" w:sz="0" w:space="0" w:color="auto"/>
                    <w:left w:val="none" w:sz="0" w:space="0" w:color="auto"/>
                    <w:bottom w:val="none" w:sz="0" w:space="0" w:color="auto"/>
                    <w:right w:val="none" w:sz="0" w:space="0" w:color="auto"/>
                  </w:divBdr>
                  <w:divsChild>
                    <w:div w:id="1729525470">
                      <w:marLeft w:val="0"/>
                      <w:marRight w:val="0"/>
                      <w:marTop w:val="0"/>
                      <w:marBottom w:val="0"/>
                      <w:divBdr>
                        <w:top w:val="none" w:sz="0" w:space="0" w:color="auto"/>
                        <w:left w:val="none" w:sz="0" w:space="0" w:color="auto"/>
                        <w:bottom w:val="none" w:sz="0" w:space="0" w:color="auto"/>
                        <w:right w:val="none" w:sz="0" w:space="0" w:color="auto"/>
                      </w:divBdr>
                    </w:div>
                  </w:divsChild>
                </w:div>
                <w:div w:id="1380594910">
                  <w:marLeft w:val="0"/>
                  <w:marRight w:val="0"/>
                  <w:marTop w:val="0"/>
                  <w:marBottom w:val="0"/>
                  <w:divBdr>
                    <w:top w:val="none" w:sz="0" w:space="0" w:color="auto"/>
                    <w:left w:val="none" w:sz="0" w:space="0" w:color="auto"/>
                    <w:bottom w:val="none" w:sz="0" w:space="0" w:color="auto"/>
                    <w:right w:val="none" w:sz="0" w:space="0" w:color="auto"/>
                  </w:divBdr>
                  <w:divsChild>
                    <w:div w:id="1457062854">
                      <w:marLeft w:val="0"/>
                      <w:marRight w:val="0"/>
                      <w:marTop w:val="0"/>
                      <w:marBottom w:val="0"/>
                      <w:divBdr>
                        <w:top w:val="none" w:sz="0" w:space="0" w:color="auto"/>
                        <w:left w:val="none" w:sz="0" w:space="0" w:color="auto"/>
                        <w:bottom w:val="none" w:sz="0" w:space="0" w:color="auto"/>
                        <w:right w:val="none" w:sz="0" w:space="0" w:color="auto"/>
                      </w:divBdr>
                    </w:div>
                  </w:divsChild>
                </w:div>
                <w:div w:id="1384133007">
                  <w:marLeft w:val="0"/>
                  <w:marRight w:val="0"/>
                  <w:marTop w:val="0"/>
                  <w:marBottom w:val="0"/>
                  <w:divBdr>
                    <w:top w:val="none" w:sz="0" w:space="0" w:color="auto"/>
                    <w:left w:val="none" w:sz="0" w:space="0" w:color="auto"/>
                    <w:bottom w:val="none" w:sz="0" w:space="0" w:color="auto"/>
                    <w:right w:val="none" w:sz="0" w:space="0" w:color="auto"/>
                  </w:divBdr>
                  <w:divsChild>
                    <w:div w:id="1314409603">
                      <w:marLeft w:val="0"/>
                      <w:marRight w:val="0"/>
                      <w:marTop w:val="0"/>
                      <w:marBottom w:val="0"/>
                      <w:divBdr>
                        <w:top w:val="none" w:sz="0" w:space="0" w:color="auto"/>
                        <w:left w:val="none" w:sz="0" w:space="0" w:color="auto"/>
                        <w:bottom w:val="none" w:sz="0" w:space="0" w:color="auto"/>
                        <w:right w:val="none" w:sz="0" w:space="0" w:color="auto"/>
                      </w:divBdr>
                    </w:div>
                  </w:divsChild>
                </w:div>
                <w:div w:id="1450933274">
                  <w:marLeft w:val="0"/>
                  <w:marRight w:val="0"/>
                  <w:marTop w:val="0"/>
                  <w:marBottom w:val="0"/>
                  <w:divBdr>
                    <w:top w:val="none" w:sz="0" w:space="0" w:color="auto"/>
                    <w:left w:val="none" w:sz="0" w:space="0" w:color="auto"/>
                    <w:bottom w:val="none" w:sz="0" w:space="0" w:color="auto"/>
                    <w:right w:val="none" w:sz="0" w:space="0" w:color="auto"/>
                  </w:divBdr>
                  <w:divsChild>
                    <w:div w:id="216938345">
                      <w:marLeft w:val="0"/>
                      <w:marRight w:val="0"/>
                      <w:marTop w:val="0"/>
                      <w:marBottom w:val="0"/>
                      <w:divBdr>
                        <w:top w:val="none" w:sz="0" w:space="0" w:color="auto"/>
                        <w:left w:val="none" w:sz="0" w:space="0" w:color="auto"/>
                        <w:bottom w:val="none" w:sz="0" w:space="0" w:color="auto"/>
                        <w:right w:val="none" w:sz="0" w:space="0" w:color="auto"/>
                      </w:divBdr>
                    </w:div>
                  </w:divsChild>
                </w:div>
                <w:div w:id="1605772861">
                  <w:marLeft w:val="0"/>
                  <w:marRight w:val="0"/>
                  <w:marTop w:val="0"/>
                  <w:marBottom w:val="0"/>
                  <w:divBdr>
                    <w:top w:val="none" w:sz="0" w:space="0" w:color="auto"/>
                    <w:left w:val="none" w:sz="0" w:space="0" w:color="auto"/>
                    <w:bottom w:val="none" w:sz="0" w:space="0" w:color="auto"/>
                    <w:right w:val="none" w:sz="0" w:space="0" w:color="auto"/>
                  </w:divBdr>
                  <w:divsChild>
                    <w:div w:id="1696996693">
                      <w:marLeft w:val="0"/>
                      <w:marRight w:val="0"/>
                      <w:marTop w:val="0"/>
                      <w:marBottom w:val="0"/>
                      <w:divBdr>
                        <w:top w:val="none" w:sz="0" w:space="0" w:color="auto"/>
                        <w:left w:val="none" w:sz="0" w:space="0" w:color="auto"/>
                        <w:bottom w:val="none" w:sz="0" w:space="0" w:color="auto"/>
                        <w:right w:val="none" w:sz="0" w:space="0" w:color="auto"/>
                      </w:divBdr>
                    </w:div>
                  </w:divsChild>
                </w:div>
                <w:div w:id="1669404374">
                  <w:marLeft w:val="0"/>
                  <w:marRight w:val="0"/>
                  <w:marTop w:val="0"/>
                  <w:marBottom w:val="0"/>
                  <w:divBdr>
                    <w:top w:val="none" w:sz="0" w:space="0" w:color="auto"/>
                    <w:left w:val="none" w:sz="0" w:space="0" w:color="auto"/>
                    <w:bottom w:val="none" w:sz="0" w:space="0" w:color="auto"/>
                    <w:right w:val="none" w:sz="0" w:space="0" w:color="auto"/>
                  </w:divBdr>
                  <w:divsChild>
                    <w:div w:id="1080177216">
                      <w:marLeft w:val="0"/>
                      <w:marRight w:val="0"/>
                      <w:marTop w:val="0"/>
                      <w:marBottom w:val="0"/>
                      <w:divBdr>
                        <w:top w:val="none" w:sz="0" w:space="0" w:color="auto"/>
                        <w:left w:val="none" w:sz="0" w:space="0" w:color="auto"/>
                        <w:bottom w:val="none" w:sz="0" w:space="0" w:color="auto"/>
                        <w:right w:val="none" w:sz="0" w:space="0" w:color="auto"/>
                      </w:divBdr>
                    </w:div>
                  </w:divsChild>
                </w:div>
                <w:div w:id="1685277297">
                  <w:marLeft w:val="0"/>
                  <w:marRight w:val="0"/>
                  <w:marTop w:val="0"/>
                  <w:marBottom w:val="0"/>
                  <w:divBdr>
                    <w:top w:val="none" w:sz="0" w:space="0" w:color="auto"/>
                    <w:left w:val="none" w:sz="0" w:space="0" w:color="auto"/>
                    <w:bottom w:val="none" w:sz="0" w:space="0" w:color="auto"/>
                    <w:right w:val="none" w:sz="0" w:space="0" w:color="auto"/>
                  </w:divBdr>
                  <w:divsChild>
                    <w:div w:id="997615022">
                      <w:marLeft w:val="0"/>
                      <w:marRight w:val="0"/>
                      <w:marTop w:val="0"/>
                      <w:marBottom w:val="0"/>
                      <w:divBdr>
                        <w:top w:val="none" w:sz="0" w:space="0" w:color="auto"/>
                        <w:left w:val="none" w:sz="0" w:space="0" w:color="auto"/>
                        <w:bottom w:val="none" w:sz="0" w:space="0" w:color="auto"/>
                        <w:right w:val="none" w:sz="0" w:space="0" w:color="auto"/>
                      </w:divBdr>
                    </w:div>
                  </w:divsChild>
                </w:div>
                <w:div w:id="1696811803">
                  <w:marLeft w:val="0"/>
                  <w:marRight w:val="0"/>
                  <w:marTop w:val="0"/>
                  <w:marBottom w:val="0"/>
                  <w:divBdr>
                    <w:top w:val="none" w:sz="0" w:space="0" w:color="auto"/>
                    <w:left w:val="none" w:sz="0" w:space="0" w:color="auto"/>
                    <w:bottom w:val="none" w:sz="0" w:space="0" w:color="auto"/>
                    <w:right w:val="none" w:sz="0" w:space="0" w:color="auto"/>
                  </w:divBdr>
                  <w:divsChild>
                    <w:div w:id="900674469">
                      <w:marLeft w:val="0"/>
                      <w:marRight w:val="0"/>
                      <w:marTop w:val="0"/>
                      <w:marBottom w:val="0"/>
                      <w:divBdr>
                        <w:top w:val="none" w:sz="0" w:space="0" w:color="auto"/>
                        <w:left w:val="none" w:sz="0" w:space="0" w:color="auto"/>
                        <w:bottom w:val="none" w:sz="0" w:space="0" w:color="auto"/>
                        <w:right w:val="none" w:sz="0" w:space="0" w:color="auto"/>
                      </w:divBdr>
                    </w:div>
                  </w:divsChild>
                </w:div>
                <w:div w:id="1706981528">
                  <w:marLeft w:val="0"/>
                  <w:marRight w:val="0"/>
                  <w:marTop w:val="0"/>
                  <w:marBottom w:val="0"/>
                  <w:divBdr>
                    <w:top w:val="none" w:sz="0" w:space="0" w:color="auto"/>
                    <w:left w:val="none" w:sz="0" w:space="0" w:color="auto"/>
                    <w:bottom w:val="none" w:sz="0" w:space="0" w:color="auto"/>
                    <w:right w:val="none" w:sz="0" w:space="0" w:color="auto"/>
                  </w:divBdr>
                  <w:divsChild>
                    <w:div w:id="525824744">
                      <w:marLeft w:val="0"/>
                      <w:marRight w:val="0"/>
                      <w:marTop w:val="0"/>
                      <w:marBottom w:val="0"/>
                      <w:divBdr>
                        <w:top w:val="none" w:sz="0" w:space="0" w:color="auto"/>
                        <w:left w:val="none" w:sz="0" w:space="0" w:color="auto"/>
                        <w:bottom w:val="none" w:sz="0" w:space="0" w:color="auto"/>
                        <w:right w:val="none" w:sz="0" w:space="0" w:color="auto"/>
                      </w:divBdr>
                    </w:div>
                  </w:divsChild>
                </w:div>
                <w:div w:id="1976711694">
                  <w:marLeft w:val="0"/>
                  <w:marRight w:val="0"/>
                  <w:marTop w:val="0"/>
                  <w:marBottom w:val="0"/>
                  <w:divBdr>
                    <w:top w:val="none" w:sz="0" w:space="0" w:color="auto"/>
                    <w:left w:val="none" w:sz="0" w:space="0" w:color="auto"/>
                    <w:bottom w:val="none" w:sz="0" w:space="0" w:color="auto"/>
                    <w:right w:val="none" w:sz="0" w:space="0" w:color="auto"/>
                  </w:divBdr>
                  <w:divsChild>
                    <w:div w:id="1466851364">
                      <w:marLeft w:val="0"/>
                      <w:marRight w:val="0"/>
                      <w:marTop w:val="0"/>
                      <w:marBottom w:val="0"/>
                      <w:divBdr>
                        <w:top w:val="none" w:sz="0" w:space="0" w:color="auto"/>
                        <w:left w:val="none" w:sz="0" w:space="0" w:color="auto"/>
                        <w:bottom w:val="none" w:sz="0" w:space="0" w:color="auto"/>
                        <w:right w:val="none" w:sz="0" w:space="0" w:color="auto"/>
                      </w:divBdr>
                    </w:div>
                  </w:divsChild>
                </w:div>
                <w:div w:id="2107384998">
                  <w:marLeft w:val="0"/>
                  <w:marRight w:val="0"/>
                  <w:marTop w:val="0"/>
                  <w:marBottom w:val="0"/>
                  <w:divBdr>
                    <w:top w:val="none" w:sz="0" w:space="0" w:color="auto"/>
                    <w:left w:val="none" w:sz="0" w:space="0" w:color="auto"/>
                    <w:bottom w:val="none" w:sz="0" w:space="0" w:color="auto"/>
                    <w:right w:val="none" w:sz="0" w:space="0" w:color="auto"/>
                  </w:divBdr>
                  <w:divsChild>
                    <w:div w:id="4079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11270">
          <w:marLeft w:val="0"/>
          <w:marRight w:val="0"/>
          <w:marTop w:val="0"/>
          <w:marBottom w:val="0"/>
          <w:divBdr>
            <w:top w:val="none" w:sz="0" w:space="0" w:color="auto"/>
            <w:left w:val="none" w:sz="0" w:space="0" w:color="auto"/>
            <w:bottom w:val="none" w:sz="0" w:space="0" w:color="auto"/>
            <w:right w:val="none" w:sz="0" w:space="0" w:color="auto"/>
          </w:divBdr>
        </w:div>
      </w:divsChild>
    </w:div>
    <w:div w:id="1342046601">
      <w:bodyDiv w:val="1"/>
      <w:marLeft w:val="0"/>
      <w:marRight w:val="0"/>
      <w:marTop w:val="0"/>
      <w:marBottom w:val="0"/>
      <w:divBdr>
        <w:top w:val="none" w:sz="0" w:space="0" w:color="auto"/>
        <w:left w:val="none" w:sz="0" w:space="0" w:color="auto"/>
        <w:bottom w:val="none" w:sz="0" w:space="0" w:color="auto"/>
        <w:right w:val="none" w:sz="0" w:space="0" w:color="auto"/>
      </w:divBdr>
      <w:divsChild>
        <w:div w:id="1458453073">
          <w:marLeft w:val="0"/>
          <w:marRight w:val="0"/>
          <w:marTop w:val="0"/>
          <w:marBottom w:val="0"/>
          <w:divBdr>
            <w:top w:val="none" w:sz="0" w:space="0" w:color="auto"/>
            <w:left w:val="none" w:sz="0" w:space="0" w:color="auto"/>
            <w:bottom w:val="none" w:sz="0" w:space="0" w:color="auto"/>
            <w:right w:val="none" w:sz="0" w:space="0" w:color="auto"/>
          </w:divBdr>
        </w:div>
        <w:div w:id="1937204326">
          <w:marLeft w:val="0"/>
          <w:marRight w:val="0"/>
          <w:marTop w:val="0"/>
          <w:marBottom w:val="0"/>
          <w:divBdr>
            <w:top w:val="none" w:sz="0" w:space="0" w:color="auto"/>
            <w:left w:val="none" w:sz="0" w:space="0" w:color="auto"/>
            <w:bottom w:val="none" w:sz="0" w:space="0" w:color="auto"/>
            <w:right w:val="none" w:sz="0" w:space="0" w:color="auto"/>
          </w:divBdr>
          <w:divsChild>
            <w:div w:id="1324553747">
              <w:marLeft w:val="0"/>
              <w:marRight w:val="0"/>
              <w:marTop w:val="30"/>
              <w:marBottom w:val="30"/>
              <w:divBdr>
                <w:top w:val="none" w:sz="0" w:space="0" w:color="auto"/>
                <w:left w:val="none" w:sz="0" w:space="0" w:color="auto"/>
                <w:bottom w:val="none" w:sz="0" w:space="0" w:color="auto"/>
                <w:right w:val="none" w:sz="0" w:space="0" w:color="auto"/>
              </w:divBdr>
              <w:divsChild>
                <w:div w:id="30345262">
                  <w:marLeft w:val="0"/>
                  <w:marRight w:val="0"/>
                  <w:marTop w:val="0"/>
                  <w:marBottom w:val="0"/>
                  <w:divBdr>
                    <w:top w:val="none" w:sz="0" w:space="0" w:color="auto"/>
                    <w:left w:val="none" w:sz="0" w:space="0" w:color="auto"/>
                    <w:bottom w:val="none" w:sz="0" w:space="0" w:color="auto"/>
                    <w:right w:val="none" w:sz="0" w:space="0" w:color="auto"/>
                  </w:divBdr>
                  <w:divsChild>
                    <w:div w:id="1708986135">
                      <w:marLeft w:val="0"/>
                      <w:marRight w:val="0"/>
                      <w:marTop w:val="0"/>
                      <w:marBottom w:val="0"/>
                      <w:divBdr>
                        <w:top w:val="none" w:sz="0" w:space="0" w:color="auto"/>
                        <w:left w:val="none" w:sz="0" w:space="0" w:color="auto"/>
                        <w:bottom w:val="none" w:sz="0" w:space="0" w:color="auto"/>
                        <w:right w:val="none" w:sz="0" w:space="0" w:color="auto"/>
                      </w:divBdr>
                    </w:div>
                  </w:divsChild>
                </w:div>
                <w:div w:id="57289194">
                  <w:marLeft w:val="0"/>
                  <w:marRight w:val="0"/>
                  <w:marTop w:val="0"/>
                  <w:marBottom w:val="0"/>
                  <w:divBdr>
                    <w:top w:val="none" w:sz="0" w:space="0" w:color="auto"/>
                    <w:left w:val="none" w:sz="0" w:space="0" w:color="auto"/>
                    <w:bottom w:val="none" w:sz="0" w:space="0" w:color="auto"/>
                    <w:right w:val="none" w:sz="0" w:space="0" w:color="auto"/>
                  </w:divBdr>
                  <w:divsChild>
                    <w:div w:id="978344169">
                      <w:marLeft w:val="0"/>
                      <w:marRight w:val="0"/>
                      <w:marTop w:val="0"/>
                      <w:marBottom w:val="0"/>
                      <w:divBdr>
                        <w:top w:val="none" w:sz="0" w:space="0" w:color="auto"/>
                        <w:left w:val="none" w:sz="0" w:space="0" w:color="auto"/>
                        <w:bottom w:val="none" w:sz="0" w:space="0" w:color="auto"/>
                        <w:right w:val="none" w:sz="0" w:space="0" w:color="auto"/>
                      </w:divBdr>
                    </w:div>
                  </w:divsChild>
                </w:div>
                <w:div w:id="61410063">
                  <w:marLeft w:val="0"/>
                  <w:marRight w:val="0"/>
                  <w:marTop w:val="0"/>
                  <w:marBottom w:val="0"/>
                  <w:divBdr>
                    <w:top w:val="none" w:sz="0" w:space="0" w:color="auto"/>
                    <w:left w:val="none" w:sz="0" w:space="0" w:color="auto"/>
                    <w:bottom w:val="none" w:sz="0" w:space="0" w:color="auto"/>
                    <w:right w:val="none" w:sz="0" w:space="0" w:color="auto"/>
                  </w:divBdr>
                  <w:divsChild>
                    <w:div w:id="557522129">
                      <w:marLeft w:val="0"/>
                      <w:marRight w:val="0"/>
                      <w:marTop w:val="0"/>
                      <w:marBottom w:val="0"/>
                      <w:divBdr>
                        <w:top w:val="none" w:sz="0" w:space="0" w:color="auto"/>
                        <w:left w:val="none" w:sz="0" w:space="0" w:color="auto"/>
                        <w:bottom w:val="none" w:sz="0" w:space="0" w:color="auto"/>
                        <w:right w:val="none" w:sz="0" w:space="0" w:color="auto"/>
                      </w:divBdr>
                    </w:div>
                  </w:divsChild>
                </w:div>
                <w:div w:id="89355638">
                  <w:marLeft w:val="0"/>
                  <w:marRight w:val="0"/>
                  <w:marTop w:val="0"/>
                  <w:marBottom w:val="0"/>
                  <w:divBdr>
                    <w:top w:val="none" w:sz="0" w:space="0" w:color="auto"/>
                    <w:left w:val="none" w:sz="0" w:space="0" w:color="auto"/>
                    <w:bottom w:val="none" w:sz="0" w:space="0" w:color="auto"/>
                    <w:right w:val="none" w:sz="0" w:space="0" w:color="auto"/>
                  </w:divBdr>
                  <w:divsChild>
                    <w:div w:id="2140761863">
                      <w:marLeft w:val="0"/>
                      <w:marRight w:val="0"/>
                      <w:marTop w:val="0"/>
                      <w:marBottom w:val="0"/>
                      <w:divBdr>
                        <w:top w:val="none" w:sz="0" w:space="0" w:color="auto"/>
                        <w:left w:val="none" w:sz="0" w:space="0" w:color="auto"/>
                        <w:bottom w:val="none" w:sz="0" w:space="0" w:color="auto"/>
                        <w:right w:val="none" w:sz="0" w:space="0" w:color="auto"/>
                      </w:divBdr>
                    </w:div>
                  </w:divsChild>
                </w:div>
                <w:div w:id="269511259">
                  <w:marLeft w:val="0"/>
                  <w:marRight w:val="0"/>
                  <w:marTop w:val="0"/>
                  <w:marBottom w:val="0"/>
                  <w:divBdr>
                    <w:top w:val="none" w:sz="0" w:space="0" w:color="auto"/>
                    <w:left w:val="none" w:sz="0" w:space="0" w:color="auto"/>
                    <w:bottom w:val="none" w:sz="0" w:space="0" w:color="auto"/>
                    <w:right w:val="none" w:sz="0" w:space="0" w:color="auto"/>
                  </w:divBdr>
                  <w:divsChild>
                    <w:div w:id="981613022">
                      <w:marLeft w:val="0"/>
                      <w:marRight w:val="0"/>
                      <w:marTop w:val="0"/>
                      <w:marBottom w:val="0"/>
                      <w:divBdr>
                        <w:top w:val="none" w:sz="0" w:space="0" w:color="auto"/>
                        <w:left w:val="none" w:sz="0" w:space="0" w:color="auto"/>
                        <w:bottom w:val="none" w:sz="0" w:space="0" w:color="auto"/>
                        <w:right w:val="none" w:sz="0" w:space="0" w:color="auto"/>
                      </w:divBdr>
                    </w:div>
                  </w:divsChild>
                </w:div>
                <w:div w:id="609166067">
                  <w:marLeft w:val="0"/>
                  <w:marRight w:val="0"/>
                  <w:marTop w:val="0"/>
                  <w:marBottom w:val="0"/>
                  <w:divBdr>
                    <w:top w:val="none" w:sz="0" w:space="0" w:color="auto"/>
                    <w:left w:val="none" w:sz="0" w:space="0" w:color="auto"/>
                    <w:bottom w:val="none" w:sz="0" w:space="0" w:color="auto"/>
                    <w:right w:val="none" w:sz="0" w:space="0" w:color="auto"/>
                  </w:divBdr>
                  <w:divsChild>
                    <w:div w:id="1188639381">
                      <w:marLeft w:val="0"/>
                      <w:marRight w:val="0"/>
                      <w:marTop w:val="0"/>
                      <w:marBottom w:val="0"/>
                      <w:divBdr>
                        <w:top w:val="none" w:sz="0" w:space="0" w:color="auto"/>
                        <w:left w:val="none" w:sz="0" w:space="0" w:color="auto"/>
                        <w:bottom w:val="none" w:sz="0" w:space="0" w:color="auto"/>
                        <w:right w:val="none" w:sz="0" w:space="0" w:color="auto"/>
                      </w:divBdr>
                    </w:div>
                  </w:divsChild>
                </w:div>
                <w:div w:id="707724497">
                  <w:marLeft w:val="0"/>
                  <w:marRight w:val="0"/>
                  <w:marTop w:val="0"/>
                  <w:marBottom w:val="0"/>
                  <w:divBdr>
                    <w:top w:val="none" w:sz="0" w:space="0" w:color="auto"/>
                    <w:left w:val="none" w:sz="0" w:space="0" w:color="auto"/>
                    <w:bottom w:val="none" w:sz="0" w:space="0" w:color="auto"/>
                    <w:right w:val="none" w:sz="0" w:space="0" w:color="auto"/>
                  </w:divBdr>
                  <w:divsChild>
                    <w:div w:id="1984239025">
                      <w:marLeft w:val="0"/>
                      <w:marRight w:val="0"/>
                      <w:marTop w:val="0"/>
                      <w:marBottom w:val="0"/>
                      <w:divBdr>
                        <w:top w:val="none" w:sz="0" w:space="0" w:color="auto"/>
                        <w:left w:val="none" w:sz="0" w:space="0" w:color="auto"/>
                        <w:bottom w:val="none" w:sz="0" w:space="0" w:color="auto"/>
                        <w:right w:val="none" w:sz="0" w:space="0" w:color="auto"/>
                      </w:divBdr>
                    </w:div>
                  </w:divsChild>
                </w:div>
                <w:div w:id="897671416">
                  <w:marLeft w:val="0"/>
                  <w:marRight w:val="0"/>
                  <w:marTop w:val="0"/>
                  <w:marBottom w:val="0"/>
                  <w:divBdr>
                    <w:top w:val="none" w:sz="0" w:space="0" w:color="auto"/>
                    <w:left w:val="none" w:sz="0" w:space="0" w:color="auto"/>
                    <w:bottom w:val="none" w:sz="0" w:space="0" w:color="auto"/>
                    <w:right w:val="none" w:sz="0" w:space="0" w:color="auto"/>
                  </w:divBdr>
                  <w:divsChild>
                    <w:div w:id="1250965105">
                      <w:marLeft w:val="0"/>
                      <w:marRight w:val="0"/>
                      <w:marTop w:val="0"/>
                      <w:marBottom w:val="0"/>
                      <w:divBdr>
                        <w:top w:val="none" w:sz="0" w:space="0" w:color="auto"/>
                        <w:left w:val="none" w:sz="0" w:space="0" w:color="auto"/>
                        <w:bottom w:val="none" w:sz="0" w:space="0" w:color="auto"/>
                        <w:right w:val="none" w:sz="0" w:space="0" w:color="auto"/>
                      </w:divBdr>
                    </w:div>
                  </w:divsChild>
                </w:div>
                <w:div w:id="900096492">
                  <w:marLeft w:val="0"/>
                  <w:marRight w:val="0"/>
                  <w:marTop w:val="0"/>
                  <w:marBottom w:val="0"/>
                  <w:divBdr>
                    <w:top w:val="none" w:sz="0" w:space="0" w:color="auto"/>
                    <w:left w:val="none" w:sz="0" w:space="0" w:color="auto"/>
                    <w:bottom w:val="none" w:sz="0" w:space="0" w:color="auto"/>
                    <w:right w:val="none" w:sz="0" w:space="0" w:color="auto"/>
                  </w:divBdr>
                  <w:divsChild>
                    <w:div w:id="853150011">
                      <w:marLeft w:val="0"/>
                      <w:marRight w:val="0"/>
                      <w:marTop w:val="0"/>
                      <w:marBottom w:val="0"/>
                      <w:divBdr>
                        <w:top w:val="none" w:sz="0" w:space="0" w:color="auto"/>
                        <w:left w:val="none" w:sz="0" w:space="0" w:color="auto"/>
                        <w:bottom w:val="none" w:sz="0" w:space="0" w:color="auto"/>
                        <w:right w:val="none" w:sz="0" w:space="0" w:color="auto"/>
                      </w:divBdr>
                    </w:div>
                  </w:divsChild>
                </w:div>
                <w:div w:id="960379231">
                  <w:marLeft w:val="0"/>
                  <w:marRight w:val="0"/>
                  <w:marTop w:val="0"/>
                  <w:marBottom w:val="0"/>
                  <w:divBdr>
                    <w:top w:val="none" w:sz="0" w:space="0" w:color="auto"/>
                    <w:left w:val="none" w:sz="0" w:space="0" w:color="auto"/>
                    <w:bottom w:val="none" w:sz="0" w:space="0" w:color="auto"/>
                    <w:right w:val="none" w:sz="0" w:space="0" w:color="auto"/>
                  </w:divBdr>
                  <w:divsChild>
                    <w:div w:id="2046366319">
                      <w:marLeft w:val="0"/>
                      <w:marRight w:val="0"/>
                      <w:marTop w:val="0"/>
                      <w:marBottom w:val="0"/>
                      <w:divBdr>
                        <w:top w:val="none" w:sz="0" w:space="0" w:color="auto"/>
                        <w:left w:val="none" w:sz="0" w:space="0" w:color="auto"/>
                        <w:bottom w:val="none" w:sz="0" w:space="0" w:color="auto"/>
                        <w:right w:val="none" w:sz="0" w:space="0" w:color="auto"/>
                      </w:divBdr>
                    </w:div>
                  </w:divsChild>
                </w:div>
                <w:div w:id="1096486764">
                  <w:marLeft w:val="0"/>
                  <w:marRight w:val="0"/>
                  <w:marTop w:val="0"/>
                  <w:marBottom w:val="0"/>
                  <w:divBdr>
                    <w:top w:val="none" w:sz="0" w:space="0" w:color="auto"/>
                    <w:left w:val="none" w:sz="0" w:space="0" w:color="auto"/>
                    <w:bottom w:val="none" w:sz="0" w:space="0" w:color="auto"/>
                    <w:right w:val="none" w:sz="0" w:space="0" w:color="auto"/>
                  </w:divBdr>
                  <w:divsChild>
                    <w:div w:id="2018996867">
                      <w:marLeft w:val="0"/>
                      <w:marRight w:val="0"/>
                      <w:marTop w:val="0"/>
                      <w:marBottom w:val="0"/>
                      <w:divBdr>
                        <w:top w:val="none" w:sz="0" w:space="0" w:color="auto"/>
                        <w:left w:val="none" w:sz="0" w:space="0" w:color="auto"/>
                        <w:bottom w:val="none" w:sz="0" w:space="0" w:color="auto"/>
                        <w:right w:val="none" w:sz="0" w:space="0" w:color="auto"/>
                      </w:divBdr>
                    </w:div>
                  </w:divsChild>
                </w:div>
                <w:div w:id="1145467192">
                  <w:marLeft w:val="0"/>
                  <w:marRight w:val="0"/>
                  <w:marTop w:val="0"/>
                  <w:marBottom w:val="0"/>
                  <w:divBdr>
                    <w:top w:val="none" w:sz="0" w:space="0" w:color="auto"/>
                    <w:left w:val="none" w:sz="0" w:space="0" w:color="auto"/>
                    <w:bottom w:val="none" w:sz="0" w:space="0" w:color="auto"/>
                    <w:right w:val="none" w:sz="0" w:space="0" w:color="auto"/>
                  </w:divBdr>
                  <w:divsChild>
                    <w:div w:id="1174490009">
                      <w:marLeft w:val="0"/>
                      <w:marRight w:val="0"/>
                      <w:marTop w:val="0"/>
                      <w:marBottom w:val="0"/>
                      <w:divBdr>
                        <w:top w:val="none" w:sz="0" w:space="0" w:color="auto"/>
                        <w:left w:val="none" w:sz="0" w:space="0" w:color="auto"/>
                        <w:bottom w:val="none" w:sz="0" w:space="0" w:color="auto"/>
                        <w:right w:val="none" w:sz="0" w:space="0" w:color="auto"/>
                      </w:divBdr>
                    </w:div>
                  </w:divsChild>
                </w:div>
                <w:div w:id="1148399589">
                  <w:marLeft w:val="0"/>
                  <w:marRight w:val="0"/>
                  <w:marTop w:val="0"/>
                  <w:marBottom w:val="0"/>
                  <w:divBdr>
                    <w:top w:val="none" w:sz="0" w:space="0" w:color="auto"/>
                    <w:left w:val="none" w:sz="0" w:space="0" w:color="auto"/>
                    <w:bottom w:val="none" w:sz="0" w:space="0" w:color="auto"/>
                    <w:right w:val="none" w:sz="0" w:space="0" w:color="auto"/>
                  </w:divBdr>
                  <w:divsChild>
                    <w:div w:id="1272397873">
                      <w:marLeft w:val="0"/>
                      <w:marRight w:val="0"/>
                      <w:marTop w:val="0"/>
                      <w:marBottom w:val="0"/>
                      <w:divBdr>
                        <w:top w:val="none" w:sz="0" w:space="0" w:color="auto"/>
                        <w:left w:val="none" w:sz="0" w:space="0" w:color="auto"/>
                        <w:bottom w:val="none" w:sz="0" w:space="0" w:color="auto"/>
                        <w:right w:val="none" w:sz="0" w:space="0" w:color="auto"/>
                      </w:divBdr>
                    </w:div>
                  </w:divsChild>
                </w:div>
                <w:div w:id="1252394157">
                  <w:marLeft w:val="0"/>
                  <w:marRight w:val="0"/>
                  <w:marTop w:val="0"/>
                  <w:marBottom w:val="0"/>
                  <w:divBdr>
                    <w:top w:val="none" w:sz="0" w:space="0" w:color="auto"/>
                    <w:left w:val="none" w:sz="0" w:space="0" w:color="auto"/>
                    <w:bottom w:val="none" w:sz="0" w:space="0" w:color="auto"/>
                    <w:right w:val="none" w:sz="0" w:space="0" w:color="auto"/>
                  </w:divBdr>
                  <w:divsChild>
                    <w:div w:id="109471193">
                      <w:marLeft w:val="0"/>
                      <w:marRight w:val="0"/>
                      <w:marTop w:val="0"/>
                      <w:marBottom w:val="0"/>
                      <w:divBdr>
                        <w:top w:val="none" w:sz="0" w:space="0" w:color="auto"/>
                        <w:left w:val="none" w:sz="0" w:space="0" w:color="auto"/>
                        <w:bottom w:val="none" w:sz="0" w:space="0" w:color="auto"/>
                        <w:right w:val="none" w:sz="0" w:space="0" w:color="auto"/>
                      </w:divBdr>
                    </w:div>
                  </w:divsChild>
                </w:div>
                <w:div w:id="1285817117">
                  <w:marLeft w:val="0"/>
                  <w:marRight w:val="0"/>
                  <w:marTop w:val="0"/>
                  <w:marBottom w:val="0"/>
                  <w:divBdr>
                    <w:top w:val="none" w:sz="0" w:space="0" w:color="auto"/>
                    <w:left w:val="none" w:sz="0" w:space="0" w:color="auto"/>
                    <w:bottom w:val="none" w:sz="0" w:space="0" w:color="auto"/>
                    <w:right w:val="none" w:sz="0" w:space="0" w:color="auto"/>
                  </w:divBdr>
                  <w:divsChild>
                    <w:div w:id="903680997">
                      <w:marLeft w:val="0"/>
                      <w:marRight w:val="0"/>
                      <w:marTop w:val="0"/>
                      <w:marBottom w:val="0"/>
                      <w:divBdr>
                        <w:top w:val="none" w:sz="0" w:space="0" w:color="auto"/>
                        <w:left w:val="none" w:sz="0" w:space="0" w:color="auto"/>
                        <w:bottom w:val="none" w:sz="0" w:space="0" w:color="auto"/>
                        <w:right w:val="none" w:sz="0" w:space="0" w:color="auto"/>
                      </w:divBdr>
                    </w:div>
                  </w:divsChild>
                </w:div>
                <w:div w:id="1315599003">
                  <w:marLeft w:val="0"/>
                  <w:marRight w:val="0"/>
                  <w:marTop w:val="0"/>
                  <w:marBottom w:val="0"/>
                  <w:divBdr>
                    <w:top w:val="none" w:sz="0" w:space="0" w:color="auto"/>
                    <w:left w:val="none" w:sz="0" w:space="0" w:color="auto"/>
                    <w:bottom w:val="none" w:sz="0" w:space="0" w:color="auto"/>
                    <w:right w:val="none" w:sz="0" w:space="0" w:color="auto"/>
                  </w:divBdr>
                  <w:divsChild>
                    <w:div w:id="1751996718">
                      <w:marLeft w:val="0"/>
                      <w:marRight w:val="0"/>
                      <w:marTop w:val="0"/>
                      <w:marBottom w:val="0"/>
                      <w:divBdr>
                        <w:top w:val="none" w:sz="0" w:space="0" w:color="auto"/>
                        <w:left w:val="none" w:sz="0" w:space="0" w:color="auto"/>
                        <w:bottom w:val="none" w:sz="0" w:space="0" w:color="auto"/>
                        <w:right w:val="none" w:sz="0" w:space="0" w:color="auto"/>
                      </w:divBdr>
                    </w:div>
                  </w:divsChild>
                </w:div>
                <w:div w:id="1322276575">
                  <w:marLeft w:val="0"/>
                  <w:marRight w:val="0"/>
                  <w:marTop w:val="0"/>
                  <w:marBottom w:val="0"/>
                  <w:divBdr>
                    <w:top w:val="none" w:sz="0" w:space="0" w:color="auto"/>
                    <w:left w:val="none" w:sz="0" w:space="0" w:color="auto"/>
                    <w:bottom w:val="none" w:sz="0" w:space="0" w:color="auto"/>
                    <w:right w:val="none" w:sz="0" w:space="0" w:color="auto"/>
                  </w:divBdr>
                  <w:divsChild>
                    <w:div w:id="1950161580">
                      <w:marLeft w:val="0"/>
                      <w:marRight w:val="0"/>
                      <w:marTop w:val="0"/>
                      <w:marBottom w:val="0"/>
                      <w:divBdr>
                        <w:top w:val="none" w:sz="0" w:space="0" w:color="auto"/>
                        <w:left w:val="none" w:sz="0" w:space="0" w:color="auto"/>
                        <w:bottom w:val="none" w:sz="0" w:space="0" w:color="auto"/>
                        <w:right w:val="none" w:sz="0" w:space="0" w:color="auto"/>
                      </w:divBdr>
                    </w:div>
                  </w:divsChild>
                </w:div>
                <w:div w:id="1353610129">
                  <w:marLeft w:val="0"/>
                  <w:marRight w:val="0"/>
                  <w:marTop w:val="0"/>
                  <w:marBottom w:val="0"/>
                  <w:divBdr>
                    <w:top w:val="none" w:sz="0" w:space="0" w:color="auto"/>
                    <w:left w:val="none" w:sz="0" w:space="0" w:color="auto"/>
                    <w:bottom w:val="none" w:sz="0" w:space="0" w:color="auto"/>
                    <w:right w:val="none" w:sz="0" w:space="0" w:color="auto"/>
                  </w:divBdr>
                  <w:divsChild>
                    <w:div w:id="1179737213">
                      <w:marLeft w:val="0"/>
                      <w:marRight w:val="0"/>
                      <w:marTop w:val="0"/>
                      <w:marBottom w:val="0"/>
                      <w:divBdr>
                        <w:top w:val="none" w:sz="0" w:space="0" w:color="auto"/>
                        <w:left w:val="none" w:sz="0" w:space="0" w:color="auto"/>
                        <w:bottom w:val="none" w:sz="0" w:space="0" w:color="auto"/>
                        <w:right w:val="none" w:sz="0" w:space="0" w:color="auto"/>
                      </w:divBdr>
                    </w:div>
                  </w:divsChild>
                </w:div>
                <w:div w:id="1469474085">
                  <w:marLeft w:val="0"/>
                  <w:marRight w:val="0"/>
                  <w:marTop w:val="0"/>
                  <w:marBottom w:val="0"/>
                  <w:divBdr>
                    <w:top w:val="none" w:sz="0" w:space="0" w:color="auto"/>
                    <w:left w:val="none" w:sz="0" w:space="0" w:color="auto"/>
                    <w:bottom w:val="none" w:sz="0" w:space="0" w:color="auto"/>
                    <w:right w:val="none" w:sz="0" w:space="0" w:color="auto"/>
                  </w:divBdr>
                  <w:divsChild>
                    <w:div w:id="330833998">
                      <w:marLeft w:val="0"/>
                      <w:marRight w:val="0"/>
                      <w:marTop w:val="0"/>
                      <w:marBottom w:val="0"/>
                      <w:divBdr>
                        <w:top w:val="none" w:sz="0" w:space="0" w:color="auto"/>
                        <w:left w:val="none" w:sz="0" w:space="0" w:color="auto"/>
                        <w:bottom w:val="none" w:sz="0" w:space="0" w:color="auto"/>
                        <w:right w:val="none" w:sz="0" w:space="0" w:color="auto"/>
                      </w:divBdr>
                    </w:div>
                  </w:divsChild>
                </w:div>
                <w:div w:id="1546065645">
                  <w:marLeft w:val="0"/>
                  <w:marRight w:val="0"/>
                  <w:marTop w:val="0"/>
                  <w:marBottom w:val="0"/>
                  <w:divBdr>
                    <w:top w:val="none" w:sz="0" w:space="0" w:color="auto"/>
                    <w:left w:val="none" w:sz="0" w:space="0" w:color="auto"/>
                    <w:bottom w:val="none" w:sz="0" w:space="0" w:color="auto"/>
                    <w:right w:val="none" w:sz="0" w:space="0" w:color="auto"/>
                  </w:divBdr>
                  <w:divsChild>
                    <w:div w:id="1234049668">
                      <w:marLeft w:val="0"/>
                      <w:marRight w:val="0"/>
                      <w:marTop w:val="0"/>
                      <w:marBottom w:val="0"/>
                      <w:divBdr>
                        <w:top w:val="none" w:sz="0" w:space="0" w:color="auto"/>
                        <w:left w:val="none" w:sz="0" w:space="0" w:color="auto"/>
                        <w:bottom w:val="none" w:sz="0" w:space="0" w:color="auto"/>
                        <w:right w:val="none" w:sz="0" w:space="0" w:color="auto"/>
                      </w:divBdr>
                    </w:div>
                  </w:divsChild>
                </w:div>
                <w:div w:id="1578242647">
                  <w:marLeft w:val="0"/>
                  <w:marRight w:val="0"/>
                  <w:marTop w:val="0"/>
                  <w:marBottom w:val="0"/>
                  <w:divBdr>
                    <w:top w:val="none" w:sz="0" w:space="0" w:color="auto"/>
                    <w:left w:val="none" w:sz="0" w:space="0" w:color="auto"/>
                    <w:bottom w:val="none" w:sz="0" w:space="0" w:color="auto"/>
                    <w:right w:val="none" w:sz="0" w:space="0" w:color="auto"/>
                  </w:divBdr>
                  <w:divsChild>
                    <w:div w:id="1925217381">
                      <w:marLeft w:val="0"/>
                      <w:marRight w:val="0"/>
                      <w:marTop w:val="0"/>
                      <w:marBottom w:val="0"/>
                      <w:divBdr>
                        <w:top w:val="none" w:sz="0" w:space="0" w:color="auto"/>
                        <w:left w:val="none" w:sz="0" w:space="0" w:color="auto"/>
                        <w:bottom w:val="none" w:sz="0" w:space="0" w:color="auto"/>
                        <w:right w:val="none" w:sz="0" w:space="0" w:color="auto"/>
                      </w:divBdr>
                    </w:div>
                  </w:divsChild>
                </w:div>
                <w:div w:id="1675261725">
                  <w:marLeft w:val="0"/>
                  <w:marRight w:val="0"/>
                  <w:marTop w:val="0"/>
                  <w:marBottom w:val="0"/>
                  <w:divBdr>
                    <w:top w:val="none" w:sz="0" w:space="0" w:color="auto"/>
                    <w:left w:val="none" w:sz="0" w:space="0" w:color="auto"/>
                    <w:bottom w:val="none" w:sz="0" w:space="0" w:color="auto"/>
                    <w:right w:val="none" w:sz="0" w:space="0" w:color="auto"/>
                  </w:divBdr>
                  <w:divsChild>
                    <w:div w:id="226380608">
                      <w:marLeft w:val="0"/>
                      <w:marRight w:val="0"/>
                      <w:marTop w:val="0"/>
                      <w:marBottom w:val="0"/>
                      <w:divBdr>
                        <w:top w:val="none" w:sz="0" w:space="0" w:color="auto"/>
                        <w:left w:val="none" w:sz="0" w:space="0" w:color="auto"/>
                        <w:bottom w:val="none" w:sz="0" w:space="0" w:color="auto"/>
                        <w:right w:val="none" w:sz="0" w:space="0" w:color="auto"/>
                      </w:divBdr>
                    </w:div>
                  </w:divsChild>
                </w:div>
                <w:div w:id="1680422933">
                  <w:marLeft w:val="0"/>
                  <w:marRight w:val="0"/>
                  <w:marTop w:val="0"/>
                  <w:marBottom w:val="0"/>
                  <w:divBdr>
                    <w:top w:val="none" w:sz="0" w:space="0" w:color="auto"/>
                    <w:left w:val="none" w:sz="0" w:space="0" w:color="auto"/>
                    <w:bottom w:val="none" w:sz="0" w:space="0" w:color="auto"/>
                    <w:right w:val="none" w:sz="0" w:space="0" w:color="auto"/>
                  </w:divBdr>
                  <w:divsChild>
                    <w:div w:id="2109810733">
                      <w:marLeft w:val="0"/>
                      <w:marRight w:val="0"/>
                      <w:marTop w:val="0"/>
                      <w:marBottom w:val="0"/>
                      <w:divBdr>
                        <w:top w:val="none" w:sz="0" w:space="0" w:color="auto"/>
                        <w:left w:val="none" w:sz="0" w:space="0" w:color="auto"/>
                        <w:bottom w:val="none" w:sz="0" w:space="0" w:color="auto"/>
                        <w:right w:val="none" w:sz="0" w:space="0" w:color="auto"/>
                      </w:divBdr>
                    </w:div>
                  </w:divsChild>
                </w:div>
                <w:div w:id="1708752374">
                  <w:marLeft w:val="0"/>
                  <w:marRight w:val="0"/>
                  <w:marTop w:val="0"/>
                  <w:marBottom w:val="0"/>
                  <w:divBdr>
                    <w:top w:val="none" w:sz="0" w:space="0" w:color="auto"/>
                    <w:left w:val="none" w:sz="0" w:space="0" w:color="auto"/>
                    <w:bottom w:val="none" w:sz="0" w:space="0" w:color="auto"/>
                    <w:right w:val="none" w:sz="0" w:space="0" w:color="auto"/>
                  </w:divBdr>
                  <w:divsChild>
                    <w:div w:id="132452896">
                      <w:marLeft w:val="0"/>
                      <w:marRight w:val="0"/>
                      <w:marTop w:val="0"/>
                      <w:marBottom w:val="0"/>
                      <w:divBdr>
                        <w:top w:val="none" w:sz="0" w:space="0" w:color="auto"/>
                        <w:left w:val="none" w:sz="0" w:space="0" w:color="auto"/>
                        <w:bottom w:val="none" w:sz="0" w:space="0" w:color="auto"/>
                        <w:right w:val="none" w:sz="0" w:space="0" w:color="auto"/>
                      </w:divBdr>
                    </w:div>
                  </w:divsChild>
                </w:div>
                <w:div w:id="1905026143">
                  <w:marLeft w:val="0"/>
                  <w:marRight w:val="0"/>
                  <w:marTop w:val="0"/>
                  <w:marBottom w:val="0"/>
                  <w:divBdr>
                    <w:top w:val="none" w:sz="0" w:space="0" w:color="auto"/>
                    <w:left w:val="none" w:sz="0" w:space="0" w:color="auto"/>
                    <w:bottom w:val="none" w:sz="0" w:space="0" w:color="auto"/>
                    <w:right w:val="none" w:sz="0" w:space="0" w:color="auto"/>
                  </w:divBdr>
                  <w:divsChild>
                    <w:div w:id="701857103">
                      <w:marLeft w:val="0"/>
                      <w:marRight w:val="0"/>
                      <w:marTop w:val="0"/>
                      <w:marBottom w:val="0"/>
                      <w:divBdr>
                        <w:top w:val="none" w:sz="0" w:space="0" w:color="auto"/>
                        <w:left w:val="none" w:sz="0" w:space="0" w:color="auto"/>
                        <w:bottom w:val="none" w:sz="0" w:space="0" w:color="auto"/>
                        <w:right w:val="none" w:sz="0" w:space="0" w:color="auto"/>
                      </w:divBdr>
                    </w:div>
                  </w:divsChild>
                </w:div>
                <w:div w:id="1907644432">
                  <w:marLeft w:val="0"/>
                  <w:marRight w:val="0"/>
                  <w:marTop w:val="0"/>
                  <w:marBottom w:val="0"/>
                  <w:divBdr>
                    <w:top w:val="none" w:sz="0" w:space="0" w:color="auto"/>
                    <w:left w:val="none" w:sz="0" w:space="0" w:color="auto"/>
                    <w:bottom w:val="none" w:sz="0" w:space="0" w:color="auto"/>
                    <w:right w:val="none" w:sz="0" w:space="0" w:color="auto"/>
                  </w:divBdr>
                  <w:divsChild>
                    <w:div w:id="1237976998">
                      <w:marLeft w:val="0"/>
                      <w:marRight w:val="0"/>
                      <w:marTop w:val="0"/>
                      <w:marBottom w:val="0"/>
                      <w:divBdr>
                        <w:top w:val="none" w:sz="0" w:space="0" w:color="auto"/>
                        <w:left w:val="none" w:sz="0" w:space="0" w:color="auto"/>
                        <w:bottom w:val="none" w:sz="0" w:space="0" w:color="auto"/>
                        <w:right w:val="none" w:sz="0" w:space="0" w:color="auto"/>
                      </w:divBdr>
                    </w:div>
                  </w:divsChild>
                </w:div>
                <w:div w:id="1957367221">
                  <w:marLeft w:val="0"/>
                  <w:marRight w:val="0"/>
                  <w:marTop w:val="0"/>
                  <w:marBottom w:val="0"/>
                  <w:divBdr>
                    <w:top w:val="none" w:sz="0" w:space="0" w:color="auto"/>
                    <w:left w:val="none" w:sz="0" w:space="0" w:color="auto"/>
                    <w:bottom w:val="none" w:sz="0" w:space="0" w:color="auto"/>
                    <w:right w:val="none" w:sz="0" w:space="0" w:color="auto"/>
                  </w:divBdr>
                  <w:divsChild>
                    <w:div w:id="1364751107">
                      <w:marLeft w:val="0"/>
                      <w:marRight w:val="0"/>
                      <w:marTop w:val="0"/>
                      <w:marBottom w:val="0"/>
                      <w:divBdr>
                        <w:top w:val="none" w:sz="0" w:space="0" w:color="auto"/>
                        <w:left w:val="none" w:sz="0" w:space="0" w:color="auto"/>
                        <w:bottom w:val="none" w:sz="0" w:space="0" w:color="auto"/>
                        <w:right w:val="none" w:sz="0" w:space="0" w:color="auto"/>
                      </w:divBdr>
                    </w:div>
                  </w:divsChild>
                </w:div>
                <w:div w:id="1995992188">
                  <w:marLeft w:val="0"/>
                  <w:marRight w:val="0"/>
                  <w:marTop w:val="0"/>
                  <w:marBottom w:val="0"/>
                  <w:divBdr>
                    <w:top w:val="none" w:sz="0" w:space="0" w:color="auto"/>
                    <w:left w:val="none" w:sz="0" w:space="0" w:color="auto"/>
                    <w:bottom w:val="none" w:sz="0" w:space="0" w:color="auto"/>
                    <w:right w:val="none" w:sz="0" w:space="0" w:color="auto"/>
                  </w:divBdr>
                  <w:divsChild>
                    <w:div w:id="197282574">
                      <w:marLeft w:val="0"/>
                      <w:marRight w:val="0"/>
                      <w:marTop w:val="0"/>
                      <w:marBottom w:val="0"/>
                      <w:divBdr>
                        <w:top w:val="none" w:sz="0" w:space="0" w:color="auto"/>
                        <w:left w:val="none" w:sz="0" w:space="0" w:color="auto"/>
                        <w:bottom w:val="none" w:sz="0" w:space="0" w:color="auto"/>
                        <w:right w:val="none" w:sz="0" w:space="0" w:color="auto"/>
                      </w:divBdr>
                    </w:div>
                  </w:divsChild>
                </w:div>
                <w:div w:id="2043506534">
                  <w:marLeft w:val="0"/>
                  <w:marRight w:val="0"/>
                  <w:marTop w:val="0"/>
                  <w:marBottom w:val="0"/>
                  <w:divBdr>
                    <w:top w:val="none" w:sz="0" w:space="0" w:color="auto"/>
                    <w:left w:val="none" w:sz="0" w:space="0" w:color="auto"/>
                    <w:bottom w:val="none" w:sz="0" w:space="0" w:color="auto"/>
                    <w:right w:val="none" w:sz="0" w:space="0" w:color="auto"/>
                  </w:divBdr>
                  <w:divsChild>
                    <w:div w:id="1283534094">
                      <w:marLeft w:val="0"/>
                      <w:marRight w:val="0"/>
                      <w:marTop w:val="0"/>
                      <w:marBottom w:val="0"/>
                      <w:divBdr>
                        <w:top w:val="none" w:sz="0" w:space="0" w:color="auto"/>
                        <w:left w:val="none" w:sz="0" w:space="0" w:color="auto"/>
                        <w:bottom w:val="none" w:sz="0" w:space="0" w:color="auto"/>
                        <w:right w:val="none" w:sz="0" w:space="0" w:color="auto"/>
                      </w:divBdr>
                    </w:div>
                  </w:divsChild>
                </w:div>
                <w:div w:id="2093240722">
                  <w:marLeft w:val="0"/>
                  <w:marRight w:val="0"/>
                  <w:marTop w:val="0"/>
                  <w:marBottom w:val="0"/>
                  <w:divBdr>
                    <w:top w:val="none" w:sz="0" w:space="0" w:color="auto"/>
                    <w:left w:val="none" w:sz="0" w:space="0" w:color="auto"/>
                    <w:bottom w:val="none" w:sz="0" w:space="0" w:color="auto"/>
                    <w:right w:val="none" w:sz="0" w:space="0" w:color="auto"/>
                  </w:divBdr>
                  <w:divsChild>
                    <w:div w:id="14384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45873467">
      <w:bodyDiv w:val="1"/>
      <w:marLeft w:val="0"/>
      <w:marRight w:val="0"/>
      <w:marTop w:val="0"/>
      <w:marBottom w:val="0"/>
      <w:divBdr>
        <w:top w:val="none" w:sz="0" w:space="0" w:color="auto"/>
        <w:left w:val="none" w:sz="0" w:space="0" w:color="auto"/>
        <w:bottom w:val="none" w:sz="0" w:space="0" w:color="auto"/>
        <w:right w:val="none" w:sz="0" w:space="0" w:color="auto"/>
      </w:divBdr>
    </w:div>
    <w:div w:id="1640307870">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99644065">
      <w:bodyDiv w:val="1"/>
      <w:marLeft w:val="0"/>
      <w:marRight w:val="0"/>
      <w:marTop w:val="0"/>
      <w:marBottom w:val="0"/>
      <w:divBdr>
        <w:top w:val="none" w:sz="0" w:space="0" w:color="auto"/>
        <w:left w:val="none" w:sz="0" w:space="0" w:color="auto"/>
        <w:bottom w:val="none" w:sz="0" w:space="0" w:color="auto"/>
        <w:right w:val="none" w:sz="0" w:space="0" w:color="auto"/>
      </w:divBdr>
    </w:div>
    <w:div w:id="1800683805">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871146674">
      <w:bodyDiv w:val="1"/>
      <w:marLeft w:val="0"/>
      <w:marRight w:val="0"/>
      <w:marTop w:val="0"/>
      <w:marBottom w:val="0"/>
      <w:divBdr>
        <w:top w:val="none" w:sz="0" w:space="0" w:color="auto"/>
        <w:left w:val="none" w:sz="0" w:space="0" w:color="auto"/>
        <w:bottom w:val="none" w:sz="0" w:space="0" w:color="auto"/>
        <w:right w:val="none" w:sz="0" w:space="0" w:color="auto"/>
      </w:divBdr>
    </w:div>
    <w:div w:id="1920406045">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14330913">
      <w:bodyDiv w:val="1"/>
      <w:marLeft w:val="0"/>
      <w:marRight w:val="0"/>
      <w:marTop w:val="0"/>
      <w:marBottom w:val="0"/>
      <w:divBdr>
        <w:top w:val="none" w:sz="0" w:space="0" w:color="auto"/>
        <w:left w:val="none" w:sz="0" w:space="0" w:color="auto"/>
        <w:bottom w:val="none" w:sz="0" w:space="0" w:color="auto"/>
        <w:right w:val="none" w:sz="0" w:space="0" w:color="auto"/>
      </w:divBdr>
    </w:div>
    <w:div w:id="2046170064">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 w:id="2113820752">
      <w:bodyDiv w:val="1"/>
      <w:marLeft w:val="0"/>
      <w:marRight w:val="0"/>
      <w:marTop w:val="0"/>
      <w:marBottom w:val="0"/>
      <w:divBdr>
        <w:top w:val="none" w:sz="0" w:space="0" w:color="auto"/>
        <w:left w:val="none" w:sz="0" w:space="0" w:color="auto"/>
        <w:bottom w:val="none" w:sz="0" w:space="0" w:color="auto"/>
        <w:right w:val="none" w:sz="0" w:space="0" w:color="auto"/>
      </w:divBdr>
    </w:div>
    <w:div w:id="2123919927">
      <w:bodyDiv w:val="1"/>
      <w:marLeft w:val="0"/>
      <w:marRight w:val="0"/>
      <w:marTop w:val="0"/>
      <w:marBottom w:val="0"/>
      <w:divBdr>
        <w:top w:val="none" w:sz="0" w:space="0" w:color="auto"/>
        <w:left w:val="none" w:sz="0" w:space="0" w:color="auto"/>
        <w:bottom w:val="none" w:sz="0" w:space="0" w:color="auto"/>
        <w:right w:val="none" w:sz="0" w:space="0" w:color="auto"/>
      </w:divBdr>
    </w:div>
    <w:div w:id="213320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gc.gov.au/sites/default/files/2023-03/2025%20Methodology%20Review%20Terms%20of%20reference.pdf" TargetMode="Externa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hyperlink" Target="https://www.cgc.gov.au/sites/default/files/2023-06/2025%20Methodology%20Review%20-%20Commission%27s%20position%20on%20fiscal%20equalisation%2C%20supporting%20principles%20and%20assessment%20guidelin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yperlink" Target="https://digital.atlas.gov.au/datasets/digitalatlas::national-roads/about"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hyperlink" Target="https://www.cgc.gov.au/reports-for-government/2025-methodology-review/draft-report" TargetMode="External"/><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s>
</file>

<file path=word/_rels/footnotes.xml.rels><?xml version="1.0" encoding="UTF-8" standalone="yes"?>
<Relationships xmlns="http://schemas.openxmlformats.org/package/2006/relationships"><Relationship Id="rId3" Type="http://schemas.openxmlformats.org/officeDocument/2006/relationships/hyperlink" Target="https://www.cgc.gov.au/sites/default/files/2023-06/2025%20Methodology%20Review%20-%20Commission%27s%20position%20on%20fiscal%20equalisation%2C%20supporting%20principles%20and%20assessment%20guidelines.pdf" TargetMode="External"/><Relationship Id="rId2" Type="http://schemas.openxmlformats.org/officeDocument/2006/relationships/hyperlink" Target="https://www.abs.gov.au/AUSSTATS/abs@.nsf/39433889d406eeb9ca2570610019e9a5/7955831f2ceea433ca25824f00176302!OpenDocument" TargetMode="External"/><Relationship Id="rId1" Type="http://schemas.openxmlformats.org/officeDocument/2006/relationships/hyperlink" Target="https://www.health.gov.au/sites/default/files/documents/2020/12/indigenous-australians-health-programme-primary-health-care-funding-model-overview-and-calculation-steps.pdf" TargetMode="External"/><Relationship Id="rId4" Type="http://schemas.openxmlformats.org/officeDocument/2006/relationships/hyperlink" Target="https://www.pc.gov.au/ongoing/report-on-government-servic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d0ec3be-4569-4cba-9f1a-cbd548d830fc">
      <UserInfo>
        <DisplayName>Madden, Shannon</DisplayName>
        <AccountId>35</AccountId>
        <AccountType/>
      </UserInfo>
    </SharedWithUsers>
    <lcf76f155ced4ddcb4097134ff3c332f xmlns="90fa3e25-a176-4d82-ad40-74afe5ce8131">
      <Terms xmlns="http://schemas.microsoft.com/office/infopath/2007/PartnerControls"/>
    </lcf76f155ced4ddcb4097134ff3c332f>
    <TaxCatchAll xmlns="fd0ec3be-4569-4cba-9f1a-cbd548d830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1115572CD2074A8DF493F1808623F4" ma:contentTypeVersion="14" ma:contentTypeDescription="Create a new document." ma:contentTypeScope="" ma:versionID="a1b18ce6dc08ee1df12685951bc497b5">
  <xsd:schema xmlns:xsd="http://www.w3.org/2001/XMLSchema" xmlns:xs="http://www.w3.org/2001/XMLSchema" xmlns:p="http://schemas.microsoft.com/office/2006/metadata/properties" xmlns:ns2="90fa3e25-a176-4d82-ad40-74afe5ce8131" xmlns:ns3="fd0ec3be-4569-4cba-9f1a-cbd548d830fc" targetNamespace="http://schemas.microsoft.com/office/2006/metadata/properties" ma:root="true" ma:fieldsID="c04e5b83d183be4938917a396c4bdf64" ns2:_="" ns3:_="">
    <xsd:import namespace="90fa3e25-a176-4d82-ad40-74afe5ce8131"/>
    <xsd:import namespace="fd0ec3be-4569-4cba-9f1a-cbd548d830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a3e25-a176-4d82-ad40-74afe5ce8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0ec3be-4569-4cba-9f1a-cbd548d830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8244f2a-d712-4f18-956e-71d587ee79e0}" ma:internalName="TaxCatchAll" ma:readOnly="false" ma:showField="CatchAllData" ma:web="fd0ec3be-4569-4cba-9f1a-cbd548d830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2.xml><?xml version="1.0" encoding="utf-8"?>
<ds:datastoreItem xmlns:ds="http://schemas.openxmlformats.org/officeDocument/2006/customXml" ds:itemID="{2E9E23CD-B3C9-464C-86FD-05070DF98CA5}">
  <ds:schemaRefs>
    <ds:schemaRef ds:uri="http://schemas.microsoft.com/office/2006/metadata/properties"/>
    <ds:schemaRef ds:uri="http://schemas.microsoft.com/office/infopath/2007/PartnerControls"/>
    <ds:schemaRef ds:uri="fd0ec3be-4569-4cba-9f1a-cbd548d830fc"/>
    <ds:schemaRef ds:uri="90fa3e25-a176-4d82-ad40-74afe5ce8131"/>
  </ds:schemaRefs>
</ds:datastoreItem>
</file>

<file path=customXml/itemProps3.xml><?xml version="1.0" encoding="utf-8"?>
<ds:datastoreItem xmlns:ds="http://schemas.openxmlformats.org/officeDocument/2006/customXml" ds:itemID="{A049C7F1-70E5-4D0E-AABC-54828ED28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a3e25-a176-4d82-ad40-74afe5ce8131"/>
    <ds:schemaRef ds:uri="fd0ec3be-4569-4cba-9f1a-cbd548d83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215FFB-27AF-4B4E-823D-3D14D4F52E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9543</Words>
  <Characters>54400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63816</CharactersWithSpaces>
  <SharedDoc>false</SharedDoc>
  <HLinks>
    <vt:vector size="48" baseType="variant">
      <vt:variant>
        <vt:i4>2752566</vt:i4>
      </vt:variant>
      <vt:variant>
        <vt:i4>54</vt:i4>
      </vt:variant>
      <vt:variant>
        <vt:i4>0</vt:i4>
      </vt:variant>
      <vt:variant>
        <vt:i4>5</vt:i4>
      </vt:variant>
      <vt:variant>
        <vt:lpwstr>https://www.cgc.gov.au/sites/default/files/2023-06/2025 Methodology Review - Commission%27s position on fiscal equalisation%2C supporting principles and assessment guidelines.pdf</vt:lpwstr>
      </vt:variant>
      <vt:variant>
        <vt:lpwstr/>
      </vt:variant>
      <vt:variant>
        <vt:i4>6029394</vt:i4>
      </vt:variant>
      <vt:variant>
        <vt:i4>51</vt:i4>
      </vt:variant>
      <vt:variant>
        <vt:i4>0</vt:i4>
      </vt:variant>
      <vt:variant>
        <vt:i4>5</vt:i4>
      </vt:variant>
      <vt:variant>
        <vt:lpwstr>https://digital.atlas.gov.au/datasets/digitalatlas::national-roads/about</vt:lpwstr>
      </vt:variant>
      <vt:variant>
        <vt:lpwstr/>
      </vt:variant>
      <vt:variant>
        <vt:i4>7209059</vt:i4>
      </vt:variant>
      <vt:variant>
        <vt:i4>6</vt:i4>
      </vt:variant>
      <vt:variant>
        <vt:i4>0</vt:i4>
      </vt:variant>
      <vt:variant>
        <vt:i4>5</vt:i4>
      </vt:variant>
      <vt:variant>
        <vt:lpwstr>https://www.cgc.gov.au/reports-for-government/2025-methodology-review/draft-report</vt:lpwstr>
      </vt:variant>
      <vt:variant>
        <vt:lpwstr/>
      </vt:variant>
      <vt:variant>
        <vt:i4>4849756</vt:i4>
      </vt:variant>
      <vt:variant>
        <vt:i4>3</vt:i4>
      </vt:variant>
      <vt:variant>
        <vt:i4>0</vt:i4>
      </vt:variant>
      <vt:variant>
        <vt:i4>5</vt:i4>
      </vt:variant>
      <vt:variant>
        <vt:lpwstr>https://www.cgc.gov.au/sites/default/files/2023-03/2025 Methodology Review Terms of reference.pdf</vt:lpwstr>
      </vt:variant>
      <vt:variant>
        <vt:lpwstr/>
      </vt:variant>
      <vt:variant>
        <vt:i4>7340066</vt:i4>
      </vt:variant>
      <vt:variant>
        <vt:i4>9</vt:i4>
      </vt:variant>
      <vt:variant>
        <vt:i4>0</vt:i4>
      </vt:variant>
      <vt:variant>
        <vt:i4>5</vt:i4>
      </vt:variant>
      <vt:variant>
        <vt:lpwstr>https://www.pc.gov.au/ongoing/report-on-government-services</vt:lpwstr>
      </vt:variant>
      <vt:variant>
        <vt:lpwstr/>
      </vt:variant>
      <vt:variant>
        <vt:i4>2752566</vt:i4>
      </vt:variant>
      <vt:variant>
        <vt:i4>6</vt:i4>
      </vt:variant>
      <vt:variant>
        <vt:i4>0</vt:i4>
      </vt:variant>
      <vt:variant>
        <vt:i4>5</vt:i4>
      </vt:variant>
      <vt:variant>
        <vt:lpwstr>https://www.cgc.gov.au/sites/default/files/2023-06/2025 Methodology Review - Commission%27s position on fiscal equalisation%2C supporting principles and assessment guidelines.pdf</vt:lpwstr>
      </vt:variant>
      <vt:variant>
        <vt:lpwstr/>
      </vt:variant>
      <vt:variant>
        <vt:i4>5374056</vt:i4>
      </vt:variant>
      <vt:variant>
        <vt:i4>3</vt:i4>
      </vt:variant>
      <vt:variant>
        <vt:i4>0</vt:i4>
      </vt:variant>
      <vt:variant>
        <vt:i4>5</vt:i4>
      </vt:variant>
      <vt:variant>
        <vt:lpwstr>https://www.abs.gov.au/AUSSTATS/abs@.nsf/39433889d406eeb9ca2570610019e9a5/7955831f2ceea433ca25824f00176302!OpenDocument</vt:lpwstr>
      </vt:variant>
      <vt:variant>
        <vt:lpwstr/>
      </vt:variant>
      <vt:variant>
        <vt:i4>1507334</vt:i4>
      </vt:variant>
      <vt:variant>
        <vt:i4>0</vt:i4>
      </vt:variant>
      <vt:variant>
        <vt:i4>0</vt:i4>
      </vt:variant>
      <vt:variant>
        <vt:i4>5</vt:i4>
      </vt:variant>
      <vt:variant>
        <vt:lpwstr>https://www.health.gov.au/sites/default/files/documents/2020/12/indigenous-australians-health-programme-primary-health-care-funding-model-overview-and-calculation-steps.pdf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2024-11-08T16:54:00Z</dcterms:created>
  <dcterms:modified xsi:type="dcterms:W3CDTF">2024-11-15T01:39:00Z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86000600</vt:r8>
  </property>
  <property fmtid="{D5CDD505-2E9C-101B-9397-08002B2CF9AE}" pid="3" name="ClassificationContentMarkingHeaderText">
    <vt:lpwstr>OFFICIAL</vt:lpwstr>
  </property>
  <property fmtid="{D5CDD505-2E9C-101B-9397-08002B2CF9AE}" pid="4" name="MSIP_Label_4f932d64-9ab1-4d9b-81d2-a3a8b82dd47d_Enabled">
    <vt:lpwstr>true</vt:lpwstr>
  </property>
  <property fmtid="{D5CDD505-2E9C-101B-9397-08002B2CF9AE}" pid="5" name="MSIP_Label_91eac348-12d5-45ad-abaa-2c34f170cf6b_ContentBits">
    <vt:lpwstr>0</vt:lpwstr>
  </property>
  <property fmtid="{D5CDD505-2E9C-101B-9397-08002B2CF9AE}" pid="6" name="MediaServiceImageTags">
    <vt:lpwstr/>
  </property>
  <property fmtid="{D5CDD505-2E9C-101B-9397-08002B2CF9AE}" pid="7" name="xd_ProgID">
    <vt:lpwstr/>
  </property>
  <property fmtid="{D5CDD505-2E9C-101B-9397-08002B2CF9AE}" pid="8" name="ContentTypeId">
    <vt:lpwstr>0x010100B91115572CD2074A8DF493F1808623F4</vt:lpwstr>
  </property>
  <property fmtid="{D5CDD505-2E9C-101B-9397-08002B2CF9AE}" pid="9" name="_ColorHex">
    <vt:lpwstr/>
  </property>
  <property fmtid="{D5CDD505-2E9C-101B-9397-08002B2CF9AE}" pid="10" name="MSIP_Label_4f932d64-9ab1-4d9b-81d2-a3a8b82dd47d_ActionId">
    <vt:lpwstr>a51dc073-32b7-4e10-b192-5125babd0b9f</vt:lpwstr>
  </property>
  <property fmtid="{D5CDD505-2E9C-101B-9397-08002B2CF9AE}" pid="11" name="MSIP_Label_91eac348-12d5-45ad-abaa-2c34f170cf6b_SiteId">
    <vt:lpwstr>214f1646-2021-47cc-8397-e3d3a7ba7d9d</vt:lpwstr>
  </property>
  <property fmtid="{D5CDD505-2E9C-101B-9397-08002B2CF9AE}" pid="12" name="MSIP_Label_91eac348-12d5-45ad-abaa-2c34f170cf6b_Method">
    <vt:lpwstr>Privileged</vt:lpwstr>
  </property>
  <property fmtid="{D5CDD505-2E9C-101B-9397-08002B2CF9AE}" pid="13" name="ComplianceAssetId">
    <vt:lpwstr/>
  </property>
  <property fmtid="{D5CDD505-2E9C-101B-9397-08002B2CF9AE}" pid="14" name="TemplateUrl">
    <vt:lpwstr/>
  </property>
  <property fmtid="{D5CDD505-2E9C-101B-9397-08002B2CF9AE}" pid="15" name="ClassificationContentMarkingHeaderFontProps">
    <vt:lpwstr>#ff0000,12,Calibri</vt:lpwstr>
  </property>
  <property fmtid="{D5CDD505-2E9C-101B-9397-08002B2CF9AE}" pid="16" name="MSIP_Label_4f932d64-9ab1-4d9b-81d2-a3a8b82dd47d_SetDate">
    <vt:lpwstr>2024-11-07T02:52:06Z</vt:lpwstr>
  </property>
  <property fmtid="{D5CDD505-2E9C-101B-9397-08002B2CF9AE}" pid="17" name="MSIP_Label_4f932d64-9ab1-4d9b-81d2-a3a8b82dd47d_SiteId">
    <vt:lpwstr>214f1646-2021-47cc-8397-e3d3a7ba7d9d</vt:lpwstr>
  </property>
  <property fmtid="{D5CDD505-2E9C-101B-9397-08002B2CF9AE}" pid="18" name="MSIP_Label_4f932d64-9ab1-4d9b-81d2-a3a8b82dd47d_Method">
    <vt:lpwstr>Privileged</vt:lpwstr>
  </property>
  <property fmtid="{D5CDD505-2E9C-101B-9397-08002B2CF9AE}" pid="19" name="_ExtendedDescription">
    <vt:lpwstr/>
  </property>
  <property fmtid="{D5CDD505-2E9C-101B-9397-08002B2CF9AE}" pid="20" name="_ColorTag">
    <vt:lpwstr/>
  </property>
  <property fmtid="{D5CDD505-2E9C-101B-9397-08002B2CF9AE}" pid="21" name="MSIP_Label_4f932d64-9ab1-4d9b-81d2-a3a8b82dd47d_Name">
    <vt:lpwstr>OFFICIAL No Visual Marking</vt:lpwstr>
  </property>
  <property fmtid="{D5CDD505-2E9C-101B-9397-08002B2CF9AE}" pid="22" name="MSIP_Label_91eac348-12d5-45ad-abaa-2c34f170cf6b_Name">
    <vt:lpwstr>UNOFFICIAL No Visual Marking</vt:lpwstr>
  </property>
  <property fmtid="{D5CDD505-2E9C-101B-9397-08002B2CF9AE}" pid="23" name="ClassificationContentMarkingFooterShapeIds">
    <vt:lpwstr>cb8bc60,5e73ce5d</vt:lpwstr>
  </property>
  <property fmtid="{D5CDD505-2E9C-101B-9397-08002B2CF9AE}" pid="24" name="MSIP_Label_4f932d64-9ab1-4d9b-81d2-a3a8b82dd47d_ContentBits">
    <vt:lpwstr>0</vt:lpwstr>
  </property>
  <property fmtid="{D5CDD505-2E9C-101B-9397-08002B2CF9AE}" pid="25" name="xd_Signature">
    <vt:bool>false</vt:bool>
  </property>
  <property fmtid="{D5CDD505-2E9C-101B-9397-08002B2CF9AE}" pid="26" name="GUID">
    <vt:lpwstr>7dd392b6-332d-4983-8939-af7d4dcb3bca</vt:lpwstr>
  </property>
  <property fmtid="{D5CDD505-2E9C-101B-9397-08002B2CF9AE}" pid="27" name="ClassificationContentMarkingHeaderShapeIds">
    <vt:lpwstr>6df9c9cd</vt:lpwstr>
  </property>
  <property fmtid="{D5CDD505-2E9C-101B-9397-08002B2CF9AE}" pid="28" name="MSIP_Label_91eac348-12d5-45ad-abaa-2c34f170cf6b_ActionId">
    <vt:lpwstr>fd35027c-8ea4-41ea-82ab-6490141d467f</vt:lpwstr>
  </property>
  <property fmtid="{D5CDD505-2E9C-101B-9397-08002B2CF9AE}" pid="29" name="ClassificationContentMarkingFooterFontProps">
    <vt:lpwstr>#ff0000,12,Calibri</vt:lpwstr>
  </property>
  <property fmtid="{D5CDD505-2E9C-101B-9397-08002B2CF9AE}" pid="30" name="MSIP_Label_91eac348-12d5-45ad-abaa-2c34f170cf6b_Enabled">
    <vt:lpwstr>true</vt:lpwstr>
  </property>
  <property fmtid="{D5CDD505-2E9C-101B-9397-08002B2CF9AE}" pid="31" name="_Emoji">
    <vt:lpwstr/>
  </property>
  <property fmtid="{D5CDD505-2E9C-101B-9397-08002B2CF9AE}" pid="32" name="MSIP_Label_91eac348-12d5-45ad-abaa-2c34f170cf6b_SetDate">
    <vt:lpwstr>2024-07-29T23:27:52Z</vt:lpwstr>
  </property>
  <property fmtid="{D5CDD505-2E9C-101B-9397-08002B2CF9AE}" pid="33" name="TriggerFlowInfo">
    <vt:lpwstr/>
  </property>
  <property fmtid="{D5CDD505-2E9C-101B-9397-08002B2CF9AE}" pid="34" name="ClassificationContentMarkingFooterText">
    <vt:lpwstr>OFFICIAL</vt:lpwstr>
  </property>
</Properties>
</file>