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6BF35EB2" w:rsidR="00E57C9A" w:rsidRDefault="006034DC" w:rsidP="00917210">
      <w:pPr>
        <w:pStyle w:val="Heading1"/>
      </w:pPr>
      <w:bookmarkStart w:id="0" w:name="_Toc133236145"/>
      <w:bookmarkStart w:id="1" w:name="_Toc133236171"/>
      <w:bookmarkStart w:id="2" w:name="_Toc143786729"/>
      <w:r>
        <w:t>H</w:t>
      </w:r>
      <w:bookmarkStart w:id="3" w:name="_Ref150351774"/>
      <w:bookmarkEnd w:id="3"/>
      <w:r>
        <w:t>ealth</w:t>
      </w:r>
    </w:p>
    <w:p w14:paraId="1A5F2E10" w14:textId="1E63ED7B" w:rsidR="006E5D74" w:rsidRDefault="00C53513" w:rsidP="00E57C9A">
      <w:pPr>
        <w:pStyle w:val="Heading2"/>
      </w:pPr>
      <w:r>
        <w:t>Overview</w:t>
      </w:r>
      <w:bookmarkStart w:id="4" w:name="_Toc133236159"/>
      <w:bookmarkStart w:id="5" w:name="_Toc133236185"/>
      <w:bookmarkEnd w:id="0"/>
      <w:bookmarkEnd w:id="1"/>
      <w:bookmarkEnd w:id="2"/>
    </w:p>
    <w:p w14:paraId="0EDE242C" w14:textId="09662CC9" w:rsidR="0016782C" w:rsidRPr="00A0029B" w:rsidRDefault="0016782C" w:rsidP="0016782C">
      <w:pPr>
        <w:pStyle w:val="CGC2025ParaNumbers"/>
      </w:pPr>
      <w:bookmarkStart w:id="6" w:name="_Toc143786730"/>
      <w:r w:rsidRPr="00A0029B">
        <w:t xml:space="preserve">On </w:t>
      </w:r>
      <w:r w:rsidR="00AF7B76">
        <w:t>27</w:t>
      </w:r>
      <w:r w:rsidRPr="00A0029B">
        <w:t xml:space="preserve"> June 2023, the Commission issued a </w:t>
      </w:r>
      <w:hyperlink r:id="rId11" w:history="1">
        <w:r w:rsidRPr="00D35EF1">
          <w:rPr>
            <w:rStyle w:val="Hyperlink"/>
          </w:rPr>
          <w:t>consultation paper</w:t>
        </w:r>
      </w:hyperlink>
      <w:r w:rsidRPr="00A0029B">
        <w:t xml:space="preserve"> on the draft </w:t>
      </w:r>
      <w:r w:rsidR="1D6795AF">
        <w:t>health</w:t>
      </w:r>
      <w:r w:rsidRPr="00A0029B">
        <w:t xml:space="preserve"> assessment. The Commission considered</w:t>
      </w:r>
      <w:r w:rsidRPr="00A0029B" w:rsidDel="00BC13C4">
        <w:t xml:space="preserve"> changes since the 2020</w:t>
      </w:r>
      <w:r w:rsidRPr="00A0029B">
        <w:t xml:space="preserve"> </w:t>
      </w:r>
      <w:r w:rsidRPr="00A0029B" w:rsidDel="00BC13C4">
        <w:t>Review</w:t>
      </w:r>
      <w:r w:rsidRPr="00A0029B" w:rsidDel="000D1DDA">
        <w:t xml:space="preserve"> and </w:t>
      </w:r>
      <w:r w:rsidRPr="00A0029B">
        <w:t>their implications</w:t>
      </w:r>
      <w:r w:rsidRPr="00A0029B" w:rsidDel="00BC13C4">
        <w:t xml:space="preserve"> for</w:t>
      </w:r>
      <w:r w:rsidR="001310AB">
        <w:t xml:space="preserve"> the</w:t>
      </w:r>
      <w:r w:rsidRPr="00A0029B" w:rsidDel="00BC13C4">
        <w:t xml:space="preserve"> </w:t>
      </w:r>
      <w:r w:rsidRPr="00A0029B">
        <w:t xml:space="preserve">assessment method. </w:t>
      </w:r>
    </w:p>
    <w:p w14:paraId="7B1E538B" w14:textId="24D78B2A" w:rsidR="0016782C" w:rsidRPr="005B331C" w:rsidRDefault="0016782C" w:rsidP="0016782C">
      <w:pPr>
        <w:pStyle w:val="CGC2025ParaNumbers"/>
        <w:rPr>
          <w:rStyle w:val="normaltextrun"/>
        </w:rPr>
      </w:pPr>
      <w:r w:rsidRPr="005B331C">
        <w:t xml:space="preserve">The Commission proposed to retain the 2020 Review assessment method </w:t>
      </w:r>
      <w:r w:rsidRPr="001859B0">
        <w:t xml:space="preserve">with </w:t>
      </w:r>
      <w:r w:rsidR="00DF0920">
        <w:t>changes to the assessment of community and public health expenses</w:t>
      </w:r>
      <w:r w:rsidRPr="005B331C">
        <w:t xml:space="preserve">. </w:t>
      </w:r>
    </w:p>
    <w:p w14:paraId="068356D6" w14:textId="778E3252" w:rsidR="0016782C" w:rsidRDefault="0016782C">
      <w:pPr>
        <w:pStyle w:val="CGC2025ParaNumbers"/>
      </w:pPr>
      <w:r w:rsidRPr="00A0029B">
        <w:t xml:space="preserve">A summary of state </w:t>
      </w:r>
      <w:r w:rsidR="0038041A">
        <w:t xml:space="preserve">and territory (state) </w:t>
      </w:r>
      <w:r w:rsidRPr="00A0029B">
        <w:t xml:space="preserve">responses to each consultation question is </w:t>
      </w:r>
      <w:r>
        <w:t>included</w:t>
      </w:r>
      <w:r w:rsidRPr="00A0029B">
        <w:t xml:space="preserve"> below</w:t>
      </w:r>
      <w:r>
        <w:t>, as well as t</w:t>
      </w:r>
      <w:r w:rsidRPr="00A0029B">
        <w:t>he Commission’s draft position</w:t>
      </w:r>
      <w:r>
        <w:t xml:space="preserve"> and the draft 2025</w:t>
      </w:r>
      <w:r w:rsidR="0038041A">
        <w:t> </w:t>
      </w:r>
      <w:r>
        <w:t xml:space="preserve">Review assessment method. </w:t>
      </w:r>
    </w:p>
    <w:p w14:paraId="014D5B80" w14:textId="046DD652" w:rsidR="0016782C" w:rsidRDefault="0016782C">
      <w:pPr>
        <w:pStyle w:val="CGC2025ParaNumbers"/>
      </w:pPr>
      <w:r>
        <w:t xml:space="preserve">State submissions can be viewed </w:t>
      </w:r>
      <w:hyperlink r:id="rId12" w:anchor="tranche-1-consultation-papers-" w:history="1">
        <w:r w:rsidRPr="00EF7E31">
          <w:rPr>
            <w:rStyle w:val="Hyperlink"/>
          </w:rPr>
          <w:t>here</w:t>
        </w:r>
      </w:hyperlink>
      <w:r w:rsidRPr="008E62CD">
        <w:t>.</w:t>
      </w:r>
    </w:p>
    <w:p w14:paraId="2DE02396" w14:textId="4897C42A" w:rsidR="00D2314B" w:rsidRDefault="00D2314B" w:rsidP="0016782C">
      <w:pPr>
        <w:pStyle w:val="Heading2"/>
      </w:pPr>
      <w:r>
        <w:t>Consultation</w:t>
      </w:r>
      <w:bookmarkEnd w:id="6"/>
      <w:r w:rsidR="009110E2">
        <w:t xml:space="preserve"> questions</w:t>
      </w:r>
    </w:p>
    <w:p w14:paraId="1DDE2282" w14:textId="6D772401" w:rsidR="00F76A87" w:rsidRPr="00C478DA" w:rsidRDefault="00F76A87" w:rsidP="00F76A87">
      <w:pPr>
        <w:pStyle w:val="Heading3"/>
      </w:pPr>
      <w:bookmarkStart w:id="7" w:name="_Toc144580233"/>
      <w:r>
        <w:t xml:space="preserve">Q1. </w:t>
      </w:r>
      <w:r w:rsidRPr="00C478DA">
        <w:t>Do states agree that in a post-pandemic environment, the hospital and patient transport assessments remain fit for purpose?</w:t>
      </w:r>
      <w:bookmarkEnd w:id="7"/>
    </w:p>
    <w:p w14:paraId="02DE6688" w14:textId="0C4013A6" w:rsidR="00073475" w:rsidRDefault="00073475" w:rsidP="00073475">
      <w:pPr>
        <w:pStyle w:val="Heading4"/>
      </w:pPr>
      <w:r>
        <w:t>State views</w:t>
      </w:r>
    </w:p>
    <w:p w14:paraId="44DE158E" w14:textId="3AD749B5" w:rsidR="00E229A8" w:rsidRDefault="00073475" w:rsidP="00316605">
      <w:pPr>
        <w:pStyle w:val="CGC2025ParaNumbers"/>
      </w:pPr>
      <w:r>
        <w:t>States</w:t>
      </w:r>
      <w:r w:rsidR="00D04782">
        <w:t xml:space="preserve"> </w:t>
      </w:r>
      <w:r w:rsidR="0038041A">
        <w:t>said</w:t>
      </w:r>
      <w:r w:rsidR="00827563">
        <w:t xml:space="preserve"> that</w:t>
      </w:r>
      <w:r w:rsidR="0065770D">
        <w:t xml:space="preserve"> </w:t>
      </w:r>
      <w:r w:rsidR="00BB5DC5">
        <w:t>ther</w:t>
      </w:r>
      <w:r w:rsidR="003614C5">
        <w:t xml:space="preserve">e were no ongoing implications </w:t>
      </w:r>
      <w:r w:rsidR="0065770D">
        <w:t>for the health assessment from</w:t>
      </w:r>
      <w:r w:rsidR="005E20C7">
        <w:t xml:space="preserve"> the COVID</w:t>
      </w:r>
      <w:r w:rsidR="4F226FCA">
        <w:t>-</w:t>
      </w:r>
      <w:r w:rsidR="005E20C7">
        <w:t>19</w:t>
      </w:r>
      <w:r w:rsidR="002A39D7">
        <w:t xml:space="preserve"> pandemic.</w:t>
      </w:r>
      <w:r w:rsidR="005D0A1A">
        <w:t xml:space="preserve"> </w:t>
      </w:r>
      <w:r w:rsidR="45ECF190">
        <w:t xml:space="preserve">Queensland, Western </w:t>
      </w:r>
      <w:proofErr w:type="gramStart"/>
      <w:r w:rsidR="45ECF190">
        <w:t>Australia</w:t>
      </w:r>
      <w:proofErr w:type="gramEnd"/>
      <w:r w:rsidR="45ECF190">
        <w:t xml:space="preserve"> and the ACT </w:t>
      </w:r>
      <w:r w:rsidR="0038041A">
        <w:t>said that</w:t>
      </w:r>
      <w:r w:rsidR="45ECF190">
        <w:t xml:space="preserve"> the impacts of the pandemic were only temporary. </w:t>
      </w:r>
      <w:r w:rsidR="606313B1">
        <w:t xml:space="preserve">The Northern Territory </w:t>
      </w:r>
      <w:r w:rsidR="0038041A">
        <w:t>said that</w:t>
      </w:r>
      <w:r w:rsidR="606313B1">
        <w:t xml:space="preserve"> the impacts of COVID-19 were significant, but do not warrant a long-term departure from existing methods.</w:t>
      </w:r>
    </w:p>
    <w:p w14:paraId="20EC62F2" w14:textId="0BC2B8D7" w:rsidR="00E229A8" w:rsidRDefault="00316605" w:rsidP="00316605">
      <w:pPr>
        <w:pStyle w:val="CGC2025ParaNumbers"/>
      </w:pPr>
      <w:r>
        <w:t>N</w:t>
      </w:r>
      <w:r w:rsidR="009D6927">
        <w:t>ew South Wales</w:t>
      </w:r>
      <w:r>
        <w:t xml:space="preserve"> </w:t>
      </w:r>
      <w:r w:rsidR="0038041A">
        <w:t>said</w:t>
      </w:r>
      <w:r>
        <w:t xml:space="preserve"> that, without a clear alternative data source being both available and reliable, </w:t>
      </w:r>
      <w:r w:rsidR="008226A9">
        <w:t>N</w:t>
      </w:r>
      <w:r>
        <w:t xml:space="preserve">ational </w:t>
      </w:r>
      <w:r w:rsidR="008226A9">
        <w:t>W</w:t>
      </w:r>
      <w:r>
        <w:t xml:space="preserve">eighted </w:t>
      </w:r>
      <w:r w:rsidR="008226A9">
        <w:t>A</w:t>
      </w:r>
      <w:r>
        <w:t xml:space="preserve">ctivity </w:t>
      </w:r>
      <w:r w:rsidR="008226A9">
        <w:t>U</w:t>
      </w:r>
      <w:r>
        <w:t xml:space="preserve">nit data remain the appropriate data source for the assessment. </w:t>
      </w:r>
      <w:r w:rsidR="00955FEB">
        <w:t xml:space="preserve">Tasmania said that the assessments use data </w:t>
      </w:r>
      <w:r w:rsidR="58AB8F84">
        <w:t xml:space="preserve">based </w:t>
      </w:r>
      <w:r w:rsidR="00955FEB">
        <w:t>on national weighted activity units from different health service settings</w:t>
      </w:r>
      <w:r w:rsidR="00A61B94">
        <w:t xml:space="preserve"> and</w:t>
      </w:r>
      <w:r w:rsidR="00955FEB">
        <w:t xml:space="preserve"> continue to be reliable</w:t>
      </w:r>
      <w:r w:rsidR="00CA5CE6">
        <w:t xml:space="preserve"> </w:t>
      </w:r>
      <w:r w:rsidR="00955FEB">
        <w:t>measure</w:t>
      </w:r>
      <w:r w:rsidR="003E46A0">
        <w:t>s</w:t>
      </w:r>
      <w:r w:rsidR="00955FEB">
        <w:t xml:space="preserve"> of the use and cost of services by socio</w:t>
      </w:r>
      <w:r w:rsidR="00CA5CE6">
        <w:noBreakHyphen/>
      </w:r>
      <w:r w:rsidR="00955FEB">
        <w:t>demographic group</w:t>
      </w:r>
      <w:r w:rsidR="00B863F2">
        <w:t>.</w:t>
      </w:r>
      <w:r w:rsidR="005F0757">
        <w:t xml:space="preserve"> </w:t>
      </w:r>
    </w:p>
    <w:p w14:paraId="35D40E63" w14:textId="606EC1AB" w:rsidR="00073475" w:rsidRDefault="00073475" w:rsidP="00073475">
      <w:pPr>
        <w:pStyle w:val="Heading4"/>
      </w:pPr>
      <w:r>
        <w:t xml:space="preserve">Commission </w:t>
      </w:r>
      <w:r w:rsidR="00D450C8">
        <w:t>draft position</w:t>
      </w:r>
    </w:p>
    <w:p w14:paraId="34D91B18" w14:textId="16CA8FCF" w:rsidR="00073475" w:rsidRPr="00073475" w:rsidRDefault="00F12EB5" w:rsidP="00676B25">
      <w:pPr>
        <w:pStyle w:val="CGC2025ParaNumbers"/>
      </w:pPr>
      <w:proofErr w:type="gramStart"/>
      <w:r>
        <w:t xml:space="preserve">On the </w:t>
      </w:r>
      <w:r w:rsidR="00436B4A">
        <w:t>basis of</w:t>
      </w:r>
      <w:proofErr w:type="gramEnd"/>
      <w:r w:rsidR="00436B4A">
        <w:t xml:space="preserve"> feedback provided by the states, t</w:t>
      </w:r>
      <w:r w:rsidR="00263FF1" w:rsidRPr="000B2EFC">
        <w:t xml:space="preserve">he Commission </w:t>
      </w:r>
      <w:r w:rsidR="00B816A6">
        <w:t>considers</w:t>
      </w:r>
      <w:r w:rsidR="0017318B">
        <w:t xml:space="preserve"> there are no ongoing implication</w:t>
      </w:r>
      <w:r w:rsidR="004C3702">
        <w:t>s</w:t>
      </w:r>
      <w:r w:rsidR="0017318B">
        <w:t xml:space="preserve"> from the COVID</w:t>
      </w:r>
      <w:r w:rsidR="229D8897">
        <w:t>-</w:t>
      </w:r>
      <w:r w:rsidR="0017318B">
        <w:t xml:space="preserve">19 pandemic for the </w:t>
      </w:r>
      <w:r w:rsidR="008513F8">
        <w:t>health assessment.</w:t>
      </w:r>
      <w:r w:rsidR="0C19D9BA">
        <w:t xml:space="preserve"> </w:t>
      </w:r>
    </w:p>
    <w:p w14:paraId="29CCF2B9" w14:textId="2140EA83" w:rsidR="00F76A87" w:rsidRPr="003D1AC3" w:rsidRDefault="00F76A87" w:rsidP="0000673D">
      <w:pPr>
        <w:pStyle w:val="Heading3"/>
        <w:keepNext/>
        <w:keepLines/>
      </w:pPr>
      <w:bookmarkStart w:id="8" w:name="_Toc144580232"/>
      <w:r>
        <w:lastRenderedPageBreak/>
        <w:t xml:space="preserve">Q2. </w:t>
      </w:r>
      <w:r w:rsidRPr="00C478DA">
        <w:t xml:space="preserve">Do states agree </w:t>
      </w:r>
      <w:bookmarkEnd w:id="8"/>
      <w:r w:rsidRPr="00C478DA">
        <w:t>that the proposed changes to the community and public health assessment in this paper will contribute to making the assessment more responsive to developments affecting this part of the health system?</w:t>
      </w:r>
    </w:p>
    <w:p w14:paraId="14FB410A" w14:textId="77777777" w:rsidR="005357E6" w:rsidRDefault="005357E6" w:rsidP="005357E6">
      <w:pPr>
        <w:pStyle w:val="Heading4"/>
      </w:pPr>
      <w:bookmarkStart w:id="9" w:name="_Toc143786732"/>
      <w:r>
        <w:t>State views</w:t>
      </w:r>
    </w:p>
    <w:p w14:paraId="6A27DA08" w14:textId="6DE2AA23" w:rsidR="003557DC" w:rsidRDefault="003557DC" w:rsidP="00C87215">
      <w:pPr>
        <w:pStyle w:val="CGC2025ParaNumbers"/>
      </w:pPr>
      <w:r>
        <w:t xml:space="preserve">States </w:t>
      </w:r>
      <w:r w:rsidR="00D22FE7">
        <w:t>said they</w:t>
      </w:r>
      <w:r>
        <w:t xml:space="preserve"> </w:t>
      </w:r>
      <w:r w:rsidR="009E0753">
        <w:t xml:space="preserve">were generally supportive of efforts to improve </w:t>
      </w:r>
      <w:r w:rsidR="00C87215">
        <w:t xml:space="preserve">the </w:t>
      </w:r>
      <w:r w:rsidR="009E0753">
        <w:t>responsiveness</w:t>
      </w:r>
      <w:r w:rsidR="00C87215">
        <w:t xml:space="preserve"> of the health assessment</w:t>
      </w:r>
      <w:r w:rsidR="009E0753">
        <w:t xml:space="preserve">, although </w:t>
      </w:r>
      <w:r w:rsidR="004D779C">
        <w:t xml:space="preserve">some </w:t>
      </w:r>
      <w:r w:rsidR="00024CF6">
        <w:t xml:space="preserve">states said they have </w:t>
      </w:r>
      <w:r w:rsidR="00D24062">
        <w:t>significant concerns with the specific proposal put forward by the Commission.</w:t>
      </w:r>
      <w:r w:rsidR="00C87215">
        <w:t xml:space="preserve"> The Northern Territory said the assessment</w:t>
      </w:r>
      <w:r w:rsidR="00C87215" w:rsidRPr="003557DC">
        <w:t xml:space="preserve"> should be built assuming medium to long-term stability in the health system rather than to maximise resilience to exceptional shocks.</w:t>
      </w:r>
    </w:p>
    <w:p w14:paraId="417D6AC9" w14:textId="6A738BD1" w:rsidR="00F7069C" w:rsidRDefault="006270D0" w:rsidP="00A51BE5">
      <w:pPr>
        <w:pStyle w:val="CGC2025ParaNumbers"/>
      </w:pPr>
      <w:r>
        <w:t>New South Wales</w:t>
      </w:r>
      <w:r w:rsidR="00232732">
        <w:t xml:space="preserve"> </w:t>
      </w:r>
      <w:r w:rsidR="008E068E">
        <w:t xml:space="preserve">and the ACT </w:t>
      </w:r>
      <w:r w:rsidR="005717E5">
        <w:t>said</w:t>
      </w:r>
      <w:r w:rsidR="00232732">
        <w:t xml:space="preserve"> that the proposed changes to the community and public health assessment would contribute to making the assessment more responsive to changes in this part of the health system.</w:t>
      </w:r>
      <w:r w:rsidR="00A51BE5">
        <w:t xml:space="preserve"> </w:t>
      </w:r>
      <w:r w:rsidR="00F72A0D">
        <w:t xml:space="preserve">Victoria said </w:t>
      </w:r>
      <w:r w:rsidR="009A76DD">
        <w:t>these changes</w:t>
      </w:r>
      <w:r w:rsidR="00F72A0D" w:rsidRPr="00F72A0D">
        <w:t xml:space="preserve"> </w:t>
      </w:r>
      <w:r w:rsidR="00F72A0D">
        <w:t xml:space="preserve">will </w:t>
      </w:r>
      <w:r w:rsidR="00F72A0D" w:rsidRPr="00F72A0D">
        <w:t>improve the accuracy of the assessment, at least in part</w:t>
      </w:r>
      <w:r w:rsidR="00F72A0D">
        <w:t>.</w:t>
      </w:r>
      <w:r w:rsidR="00A51BE5">
        <w:t xml:space="preserve"> </w:t>
      </w:r>
      <w:r w:rsidR="00F7069C">
        <w:t>Queensland</w:t>
      </w:r>
      <w:r w:rsidR="008103AA">
        <w:t xml:space="preserve"> </w:t>
      </w:r>
      <w:r w:rsidR="005717E5">
        <w:t>s</w:t>
      </w:r>
      <w:r w:rsidR="004B5D34">
        <w:t>aid it</w:t>
      </w:r>
      <w:r w:rsidR="008103AA">
        <w:t xml:space="preserve"> support</w:t>
      </w:r>
      <w:r w:rsidR="00803A86">
        <w:t>ed</w:t>
      </w:r>
      <w:r w:rsidR="008103AA">
        <w:t xml:space="preserve"> the Commission’s efforts to </w:t>
      </w:r>
      <w:r w:rsidR="00982BCC">
        <w:t xml:space="preserve">make </w:t>
      </w:r>
      <w:r w:rsidR="008103AA">
        <w:t>the assessment more responsive</w:t>
      </w:r>
      <w:r w:rsidR="004E4880">
        <w:t>.</w:t>
      </w:r>
    </w:p>
    <w:p w14:paraId="3186612F" w14:textId="1A850DF6" w:rsidR="004E4880" w:rsidRDefault="00BA5873" w:rsidP="00232732">
      <w:pPr>
        <w:pStyle w:val="CGC2025ParaNumbers"/>
      </w:pPr>
      <w:r>
        <w:t xml:space="preserve">Western Australia </w:t>
      </w:r>
      <w:r w:rsidR="004B5D34">
        <w:t xml:space="preserve">said it </w:t>
      </w:r>
      <w:r w:rsidR="00AD35A3">
        <w:t>d</w:t>
      </w:r>
      <w:r w:rsidR="00220DDD">
        <w:t>id</w:t>
      </w:r>
      <w:r>
        <w:t xml:space="preserve"> not see any benefit in making an assessment more responsive to poor measures of need.</w:t>
      </w:r>
      <w:r w:rsidR="00AD35A3">
        <w:t xml:space="preserve"> </w:t>
      </w:r>
      <w:r w:rsidR="00662399">
        <w:t>To improve</w:t>
      </w:r>
      <w:r>
        <w:t xml:space="preserve"> </w:t>
      </w:r>
      <w:r w:rsidR="00662399">
        <w:t>responsiveness</w:t>
      </w:r>
      <w:r>
        <w:t xml:space="preserve">, </w:t>
      </w:r>
      <w:r w:rsidR="00AD35A3">
        <w:t>Western</w:t>
      </w:r>
      <w:r w:rsidR="00662399">
        <w:t> </w:t>
      </w:r>
      <w:r w:rsidR="00AD35A3">
        <w:t>Australia</w:t>
      </w:r>
      <w:r>
        <w:t xml:space="preserve"> </w:t>
      </w:r>
      <w:r w:rsidR="006716C3">
        <w:t>and the ACT</w:t>
      </w:r>
      <w:r w:rsidR="00A83F6E">
        <w:t xml:space="preserve"> </w:t>
      </w:r>
      <w:r w:rsidR="004E7B24">
        <w:t xml:space="preserve">said they </w:t>
      </w:r>
      <w:r>
        <w:t>support</w:t>
      </w:r>
      <w:r w:rsidR="00134D0C">
        <w:t>ed</w:t>
      </w:r>
      <w:r>
        <w:t xml:space="preserve"> the </w:t>
      </w:r>
      <w:r w:rsidR="00AD35A3">
        <w:t>Commission’s</w:t>
      </w:r>
      <w:r>
        <w:t xml:space="preserve"> proposal to use </w:t>
      </w:r>
      <w:r w:rsidR="00AD35A3">
        <w:t>s</w:t>
      </w:r>
      <w:r>
        <w:t xml:space="preserve">tate-provided </w:t>
      </w:r>
      <w:r w:rsidR="00AD35A3">
        <w:t>h</w:t>
      </w:r>
      <w:r>
        <w:t>ealth component expense data for the latest data year rather than assuming all components</w:t>
      </w:r>
      <w:r w:rsidR="00232732">
        <w:t xml:space="preserve"> </w:t>
      </w:r>
      <w:r>
        <w:t xml:space="preserve">grow at the same rate as the overall </w:t>
      </w:r>
      <w:r w:rsidR="00232732">
        <w:t>h</w:t>
      </w:r>
      <w:r>
        <w:t>ealth category</w:t>
      </w:r>
      <w:r w:rsidR="00232732">
        <w:t>.</w:t>
      </w:r>
    </w:p>
    <w:p w14:paraId="6D1665AE" w14:textId="3374CB63" w:rsidR="00232732" w:rsidRDefault="769B7B4C" w:rsidP="00D60FCF">
      <w:pPr>
        <w:pStyle w:val="CGC2025ParaNumbers"/>
      </w:pPr>
      <w:r>
        <w:t>South Australia said any indic</w:t>
      </w:r>
      <w:r w:rsidR="793BF922">
        <w:t>a</w:t>
      </w:r>
      <w:r>
        <w:t xml:space="preserve">tor that is based on proxy data will not completely capture what is </w:t>
      </w:r>
      <w:proofErr w:type="gramStart"/>
      <w:r>
        <w:t>actually occurring</w:t>
      </w:r>
      <w:proofErr w:type="gramEnd"/>
      <w:r>
        <w:t xml:space="preserve">. </w:t>
      </w:r>
      <w:r w:rsidR="1985CD2B">
        <w:t>It said t</w:t>
      </w:r>
      <w:r>
        <w:t xml:space="preserve">he robustness of a proxy will depend on how well it tracks what is trying to be measured in a policy neutral way. </w:t>
      </w:r>
      <w:r w:rsidR="00C64551">
        <w:t>It said t</w:t>
      </w:r>
      <w:r>
        <w:t xml:space="preserve">here is merit in investigating alternative measures that better capture changes in community health, provided this is based on robust, </w:t>
      </w:r>
      <w:proofErr w:type="gramStart"/>
      <w:r>
        <w:t>consistent</w:t>
      </w:r>
      <w:proofErr w:type="gramEnd"/>
      <w:r>
        <w:t xml:space="preserve"> and reliable data; and it is not policy influenced.</w:t>
      </w:r>
    </w:p>
    <w:p w14:paraId="0BB55376" w14:textId="56B54E8A" w:rsidR="00B6050C" w:rsidRDefault="00B6050C" w:rsidP="00F24EFF">
      <w:pPr>
        <w:pStyle w:val="CGC2025ParaNumbers"/>
      </w:pPr>
      <w:r>
        <w:t xml:space="preserve">Tasmania </w:t>
      </w:r>
      <w:r w:rsidR="00366028">
        <w:t xml:space="preserve">said it </w:t>
      </w:r>
      <w:r>
        <w:t>agree</w:t>
      </w:r>
      <w:r w:rsidR="0002500C">
        <w:t>d</w:t>
      </w:r>
      <w:r>
        <w:t xml:space="preserve"> that during the </w:t>
      </w:r>
      <w:r w:rsidR="00366028">
        <w:t xml:space="preserve">COVID-19 </w:t>
      </w:r>
      <w:r>
        <w:t xml:space="preserve">pandemic there was a significant public health response by the Australian and state governments. </w:t>
      </w:r>
      <w:r w:rsidR="00366028">
        <w:t>It said t</w:t>
      </w:r>
      <w:r>
        <w:t xml:space="preserve">he current community and public health assessment did not capture the COVID-19 shock because it uses </w:t>
      </w:r>
      <w:r w:rsidR="00CD2B48">
        <w:t>a proxy indicator</w:t>
      </w:r>
      <w:r w:rsidR="00A119B5">
        <w:t>:</w:t>
      </w:r>
      <w:r w:rsidR="00CD2B48">
        <w:t xml:space="preserve"> </w:t>
      </w:r>
      <w:r w:rsidR="007B6DC5">
        <w:t>emergency department</w:t>
      </w:r>
      <w:r>
        <w:t xml:space="preserve"> triage categories 4 and 5 </w:t>
      </w:r>
      <w:r w:rsidR="007B6DC5">
        <w:t>national weighted activity unit</w:t>
      </w:r>
      <w:r>
        <w:t xml:space="preserve"> data. </w:t>
      </w:r>
      <w:r w:rsidR="00366028">
        <w:t xml:space="preserve">It said </w:t>
      </w:r>
      <w:r w:rsidR="008E4971">
        <w:t>that d</w:t>
      </w:r>
      <w:r>
        <w:t xml:space="preserve">uring the pandemic, </w:t>
      </w:r>
      <w:r w:rsidR="007B6DC5">
        <w:t>emergency department</w:t>
      </w:r>
      <w:r>
        <w:t xml:space="preserve"> presentations were restricted, while community and public health expenditure increased significantly.</w:t>
      </w:r>
      <w:r w:rsidR="00F24EFF">
        <w:t xml:space="preserve"> </w:t>
      </w:r>
    </w:p>
    <w:p w14:paraId="5ED20313" w14:textId="6A387C5D" w:rsidR="00F24EFF" w:rsidRDefault="00F24EFF" w:rsidP="00F24EFF">
      <w:pPr>
        <w:pStyle w:val="CGC2025ParaNumbers"/>
      </w:pPr>
      <w:r>
        <w:t>While Tasmania support</w:t>
      </w:r>
      <w:r w:rsidR="00CD3300">
        <w:t>ed</w:t>
      </w:r>
      <w:r>
        <w:t xml:space="preserve"> changes to the assessment to make it more reflective of actual service use, and therefore better able to respond to developments affecting community and public health, it </w:t>
      </w:r>
      <w:r w:rsidR="008E4971">
        <w:t xml:space="preserve">said it </w:t>
      </w:r>
      <w:r>
        <w:t>d</w:t>
      </w:r>
      <w:r w:rsidR="00A51BE5">
        <w:t>id not</w:t>
      </w:r>
      <w:r>
        <w:t xml:space="preserve"> agree that the proposed changes are more reliable than the current proxy.</w:t>
      </w:r>
    </w:p>
    <w:p w14:paraId="00AFE3A0" w14:textId="366E3336" w:rsidR="005357E6" w:rsidRDefault="005357E6" w:rsidP="005357E6">
      <w:pPr>
        <w:pStyle w:val="Heading4"/>
      </w:pPr>
      <w:r>
        <w:lastRenderedPageBreak/>
        <w:t xml:space="preserve">Commission </w:t>
      </w:r>
      <w:r w:rsidR="008E4971">
        <w:t>response</w:t>
      </w:r>
    </w:p>
    <w:p w14:paraId="1D6CE2C6" w14:textId="0647BC32" w:rsidR="00B96B54" w:rsidRDefault="35D0B1DD" w:rsidP="00867A08">
      <w:pPr>
        <w:pStyle w:val="CGC2025ParaNumbers"/>
      </w:pPr>
      <w:r>
        <w:t>The Commission assesses GST relativities ove</w:t>
      </w:r>
      <w:r w:rsidR="2523BB7C">
        <w:t xml:space="preserve">r </w:t>
      </w:r>
      <w:r w:rsidR="00230E5E">
        <w:t>3</w:t>
      </w:r>
      <w:r w:rsidR="2523BB7C">
        <w:t xml:space="preserve"> assessment years. </w:t>
      </w:r>
      <w:r w:rsidR="4FA7C6D0">
        <w:t>In expense assessment</w:t>
      </w:r>
      <w:r w:rsidR="5969B6CA">
        <w:t>s</w:t>
      </w:r>
      <w:r w:rsidR="4FA7C6D0">
        <w:t xml:space="preserve">, </w:t>
      </w:r>
      <w:r w:rsidR="5E920754">
        <w:t xml:space="preserve">for the third assessment year, </w:t>
      </w:r>
      <w:r w:rsidR="4FA7C6D0">
        <w:t>the Commission usuall</w:t>
      </w:r>
      <w:r w:rsidR="31453AC7">
        <w:t xml:space="preserve">y aggregates state data to the category level </w:t>
      </w:r>
      <w:r w:rsidR="7C7C9E3F">
        <w:t>and increases component</w:t>
      </w:r>
      <w:r w:rsidR="10461B9F">
        <w:t xml:space="preserve"> </w:t>
      </w:r>
      <w:r w:rsidR="7C7C9E3F">
        <w:t xml:space="preserve">level expenses </w:t>
      </w:r>
      <w:r w:rsidR="000569E0">
        <w:t xml:space="preserve">for the second assessment year </w:t>
      </w:r>
      <w:r w:rsidR="7C7C9E3F">
        <w:t xml:space="preserve">by the </w:t>
      </w:r>
      <w:r w:rsidR="09562D07">
        <w:t xml:space="preserve">growth in category level expenses. </w:t>
      </w:r>
      <w:r w:rsidR="0F4E2A1E">
        <w:t>T</w:t>
      </w:r>
      <w:r w:rsidR="3E1F2269">
        <w:t>his is done to limit the size of data revisions in the subsequent update</w:t>
      </w:r>
      <w:r w:rsidR="0C9F2AA2">
        <w:t xml:space="preserve"> due to changes made to state data by the ABS. </w:t>
      </w:r>
      <w:r w:rsidR="431430A7">
        <w:t>However,</w:t>
      </w:r>
      <w:r w:rsidR="17151781">
        <w:t xml:space="preserve"> </w:t>
      </w:r>
      <w:r w:rsidR="5DA6825A">
        <w:t xml:space="preserve">if there are significant differences in spending growth </w:t>
      </w:r>
      <w:r w:rsidR="69401528">
        <w:t>between</w:t>
      </w:r>
      <w:r w:rsidR="5DA6825A">
        <w:t xml:space="preserve"> components</w:t>
      </w:r>
      <w:r w:rsidR="00B26725">
        <w:t>,</w:t>
      </w:r>
      <w:r w:rsidR="5DA6825A">
        <w:t xml:space="preserve"> </w:t>
      </w:r>
      <w:r w:rsidR="08061AA5">
        <w:t>a better outcome may be to</w:t>
      </w:r>
      <w:r w:rsidR="5C83E00F">
        <w:t xml:space="preserve"> allow the assessments to </w:t>
      </w:r>
      <w:r w:rsidR="4EB12BC0">
        <w:t xml:space="preserve">try to </w:t>
      </w:r>
      <w:r w:rsidR="5C83E00F">
        <w:t>capture th</w:t>
      </w:r>
      <w:r w:rsidR="08061AA5">
        <w:t>is</w:t>
      </w:r>
      <w:r w:rsidR="5C83E00F">
        <w:t xml:space="preserve"> effect</w:t>
      </w:r>
      <w:r w:rsidR="08061AA5">
        <w:t>.</w:t>
      </w:r>
    </w:p>
    <w:p w14:paraId="76547C5F" w14:textId="379EE50E" w:rsidR="00451A6A" w:rsidRDefault="1EAD9FBB" w:rsidP="00867A08">
      <w:pPr>
        <w:pStyle w:val="CGC2025ParaNumbers"/>
      </w:pPr>
      <w:r>
        <w:t xml:space="preserve">In the health assessment, spending on </w:t>
      </w:r>
      <w:r w:rsidR="6E0DE744">
        <w:t>community and public health</w:t>
      </w:r>
      <w:r>
        <w:t xml:space="preserve"> and hospital </w:t>
      </w:r>
      <w:r w:rsidR="6D7D4126">
        <w:t xml:space="preserve">services are </w:t>
      </w:r>
      <w:r>
        <w:t>aggregated to</w:t>
      </w:r>
      <w:r w:rsidR="656E1D07">
        <w:t xml:space="preserve"> </w:t>
      </w:r>
      <w:r w:rsidR="2D05632B">
        <w:t>the</w:t>
      </w:r>
      <w:r w:rsidR="656E1D07">
        <w:t xml:space="preserve"> category level.</w:t>
      </w:r>
      <w:r>
        <w:t xml:space="preserve"> </w:t>
      </w:r>
      <w:r w:rsidR="43717DBF">
        <w:t>During the COVID</w:t>
      </w:r>
      <w:r w:rsidR="6A61C000">
        <w:t>-</w:t>
      </w:r>
      <w:r w:rsidR="43717DBF">
        <w:t xml:space="preserve">19 </w:t>
      </w:r>
      <w:r w:rsidR="460E7A17">
        <w:t xml:space="preserve">pandemic, spending on community </w:t>
      </w:r>
      <w:r w:rsidR="4CBF9990">
        <w:t xml:space="preserve">and public </w:t>
      </w:r>
      <w:r w:rsidR="460E7A17">
        <w:t xml:space="preserve">health </w:t>
      </w:r>
      <w:r w:rsidR="4CBF9990">
        <w:t xml:space="preserve">did not always move in line with spending on </w:t>
      </w:r>
      <w:r w:rsidR="4977B643">
        <w:t xml:space="preserve">hospital services. </w:t>
      </w:r>
      <w:r w:rsidR="4128100B">
        <w:t>This resulted in</w:t>
      </w:r>
      <w:r w:rsidR="57A086D3">
        <w:t xml:space="preserve"> difference</w:t>
      </w:r>
      <w:r w:rsidR="249E572B">
        <w:t>s</w:t>
      </w:r>
      <w:r w:rsidR="57A086D3">
        <w:t xml:space="preserve"> between the </w:t>
      </w:r>
      <w:r w:rsidR="53A3D32D">
        <w:t>expense</w:t>
      </w:r>
      <w:r w:rsidR="532A717D">
        <w:t>s</w:t>
      </w:r>
      <w:r w:rsidR="53A3D32D">
        <w:t xml:space="preserve"> used by the Commission in year 3 compared </w:t>
      </w:r>
      <w:r w:rsidR="005D526C">
        <w:t>with</w:t>
      </w:r>
      <w:r w:rsidR="53A3D32D">
        <w:t xml:space="preserve"> if it had used the community health data provided by states. </w:t>
      </w:r>
      <w:r w:rsidR="4977B643">
        <w:t xml:space="preserve">For example, in </w:t>
      </w:r>
      <w:r w:rsidR="2F61B54E">
        <w:t>2019</w:t>
      </w:r>
      <w:r w:rsidR="00907223">
        <w:t>–</w:t>
      </w:r>
      <w:r w:rsidR="303BC504">
        <w:t>2</w:t>
      </w:r>
      <w:r w:rsidR="2F61B54E">
        <w:t>0 (year</w:t>
      </w:r>
      <w:r w:rsidR="614B11FC">
        <w:t> </w:t>
      </w:r>
      <w:r w:rsidR="2F61B54E">
        <w:t xml:space="preserve">3 for </w:t>
      </w:r>
      <w:r w:rsidR="00B17883">
        <w:t>the 2021</w:t>
      </w:r>
      <w:r w:rsidR="2F61B54E">
        <w:t xml:space="preserve"> Update)</w:t>
      </w:r>
      <w:r w:rsidR="251A9474">
        <w:t>, state</w:t>
      </w:r>
      <w:r w:rsidR="00960CA9">
        <w:noBreakHyphen/>
      </w:r>
      <w:r w:rsidR="251A9474">
        <w:t xml:space="preserve">provided spending </w:t>
      </w:r>
      <w:r w:rsidR="532A717D">
        <w:t xml:space="preserve">data </w:t>
      </w:r>
      <w:r w:rsidR="251A9474">
        <w:t>w</w:t>
      </w:r>
      <w:r w:rsidR="0014276B">
        <w:t>ere</w:t>
      </w:r>
      <w:r w:rsidR="251A9474">
        <w:t xml:space="preserve"> lower than</w:t>
      </w:r>
      <w:r w:rsidR="2F61B54E">
        <w:t xml:space="preserve"> </w:t>
      </w:r>
      <w:r w:rsidR="0E9D1225">
        <w:t xml:space="preserve">the Commission’s </w:t>
      </w:r>
      <w:r w:rsidR="23ED175C">
        <w:t>estimate. In 2021</w:t>
      </w:r>
      <w:r w:rsidR="00907223">
        <w:t>–</w:t>
      </w:r>
      <w:r w:rsidR="00864DC6">
        <w:rPr>
          <w:rFonts w:ascii="Times New Roman" w:hAnsi="Times New Roman" w:cs="Times New Roman" w:hint="eastAsia"/>
          <w:rtl/>
        </w:rPr>
        <w:t>‍</w:t>
      </w:r>
      <w:r w:rsidR="23ED175C">
        <w:t xml:space="preserve">22 (year 3 for </w:t>
      </w:r>
      <w:r w:rsidR="00B17883">
        <w:t>the 2023</w:t>
      </w:r>
      <w:r w:rsidR="23ED175C">
        <w:t xml:space="preserve"> Update</w:t>
      </w:r>
      <w:r w:rsidR="532A717D">
        <w:t>)</w:t>
      </w:r>
      <w:r w:rsidR="2CCE170B">
        <w:t>, state</w:t>
      </w:r>
      <w:r w:rsidR="00960CA9">
        <w:noBreakHyphen/>
      </w:r>
      <w:r w:rsidR="2CCE170B">
        <w:t>provided data w</w:t>
      </w:r>
      <w:r w:rsidR="000F2273">
        <w:t>ere</w:t>
      </w:r>
      <w:r w:rsidR="2CCE170B">
        <w:t xml:space="preserve"> higher</w:t>
      </w:r>
      <w:r w:rsidR="08A8AE27">
        <w:t xml:space="preserve"> (</w:t>
      </w:r>
      <w:r w:rsidR="00E1033B">
        <w:t>Figure 1</w:t>
      </w:r>
      <w:r w:rsidR="08A8AE27">
        <w:t>)</w:t>
      </w:r>
      <w:r w:rsidR="2CCE170B">
        <w:t>.</w:t>
      </w:r>
    </w:p>
    <w:p w14:paraId="20A5BF23" w14:textId="09360467" w:rsidR="00933BCB" w:rsidRDefault="003B403F" w:rsidP="00867A08">
      <w:pPr>
        <w:pStyle w:val="CGC2025ParaNumbers"/>
      </w:pPr>
      <w:r>
        <w:t xml:space="preserve">In addition to considering changes </w:t>
      </w:r>
      <w:r w:rsidR="003C0707">
        <w:t xml:space="preserve">in the method for calculating component </w:t>
      </w:r>
      <w:r w:rsidR="00464A3A">
        <w:t>weights</w:t>
      </w:r>
      <w:r w:rsidR="00956E87">
        <w:t>,</w:t>
      </w:r>
      <w:r w:rsidR="003C0707">
        <w:t xml:space="preserve"> the </w:t>
      </w:r>
      <w:r w:rsidR="00464A3A">
        <w:t>Commission</w:t>
      </w:r>
      <w:r w:rsidR="003C0707">
        <w:t xml:space="preserve"> has also considered other </w:t>
      </w:r>
      <w:r w:rsidR="00464A3A">
        <w:t>changes</w:t>
      </w:r>
      <w:r w:rsidR="003C0707">
        <w:t xml:space="preserve"> to make </w:t>
      </w:r>
      <w:r w:rsidR="00464A3A">
        <w:t>the</w:t>
      </w:r>
      <w:r w:rsidR="003C0707">
        <w:t xml:space="preserve"> </w:t>
      </w:r>
      <w:r w:rsidR="00464A3A">
        <w:t>assessment</w:t>
      </w:r>
      <w:r w:rsidR="003C0707">
        <w:t xml:space="preserve"> more responsive</w:t>
      </w:r>
      <w:r w:rsidR="009E2EC3">
        <w:t xml:space="preserve"> to changed circumstances</w:t>
      </w:r>
      <w:r w:rsidR="003C0707">
        <w:t xml:space="preserve">. </w:t>
      </w:r>
      <w:r w:rsidR="00933BCB">
        <w:t xml:space="preserve">The Commission’s response to </w:t>
      </w:r>
      <w:r w:rsidR="00935F6D">
        <w:t xml:space="preserve">state views on </w:t>
      </w:r>
      <w:r w:rsidR="009E2EC3">
        <w:t xml:space="preserve">other </w:t>
      </w:r>
      <w:r w:rsidR="00933BCB">
        <w:t xml:space="preserve">proposed changes </w:t>
      </w:r>
      <w:r w:rsidR="00CD62A4">
        <w:t>to the community and public health assessment are discussed subsequently.</w:t>
      </w:r>
    </w:p>
    <w:p w14:paraId="1752C99D" w14:textId="752FC968" w:rsidR="00DC39E8" w:rsidRDefault="00A72A8C" w:rsidP="00975E51">
      <w:pPr>
        <w:pStyle w:val="CGC2025Caption"/>
        <w:keepNext/>
        <w:tabs>
          <w:tab w:val="left" w:pos="1134"/>
        </w:tabs>
      </w:pPr>
      <w:bookmarkStart w:id="10" w:name="_Ref149401462"/>
      <w:r>
        <w:lastRenderedPageBreak/>
        <w:t xml:space="preserve">Figure </w:t>
      </w:r>
      <w:r>
        <w:fldChar w:fldCharType="begin"/>
      </w:r>
      <w:r>
        <w:instrText>SEQ Figure \* ARABIC</w:instrText>
      </w:r>
      <w:r>
        <w:fldChar w:fldCharType="separate"/>
      </w:r>
      <w:r w:rsidR="00581B01">
        <w:rPr>
          <w:noProof/>
        </w:rPr>
        <w:t>1</w:t>
      </w:r>
      <w:r>
        <w:fldChar w:fldCharType="end"/>
      </w:r>
      <w:bookmarkEnd w:id="10"/>
      <w:r w:rsidR="00AB221D">
        <w:tab/>
        <w:t xml:space="preserve">Community </w:t>
      </w:r>
      <w:r w:rsidR="00F51A77">
        <w:t xml:space="preserve">and public </w:t>
      </w:r>
      <w:r w:rsidR="00AB221D">
        <w:t>health expenses</w:t>
      </w:r>
      <w:r w:rsidR="00CA7874">
        <w:t xml:space="preserve"> (</w:t>
      </w:r>
      <w:r w:rsidR="003E2926">
        <w:t>g</w:t>
      </w:r>
      <w:r w:rsidR="00CA7874">
        <w:t>ross)</w:t>
      </w:r>
    </w:p>
    <w:p w14:paraId="06E5FA35" w14:textId="7F260DCB" w:rsidR="00975E51" w:rsidRDefault="00975E51" w:rsidP="00975E51">
      <w:pPr>
        <w:pStyle w:val="CGC2025Caption"/>
        <w:keepNext/>
        <w:tabs>
          <w:tab w:val="left" w:pos="1134"/>
        </w:tabs>
      </w:pPr>
      <w:r w:rsidRPr="00975E51">
        <w:rPr>
          <w:noProof/>
        </w:rPr>
        <w:drawing>
          <wp:inline distT="0" distB="0" distL="0" distR="0" wp14:anchorId="5C279EB9" wp14:editId="5E15A349">
            <wp:extent cx="5667375" cy="3571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3571875"/>
                    </a:xfrm>
                    <a:prstGeom prst="rect">
                      <a:avLst/>
                    </a:prstGeom>
                    <a:noFill/>
                    <a:ln>
                      <a:noFill/>
                    </a:ln>
                  </pic:spPr>
                </pic:pic>
              </a:graphicData>
            </a:graphic>
          </wp:inline>
        </w:drawing>
      </w:r>
    </w:p>
    <w:p w14:paraId="67753BE4" w14:textId="765755A7" w:rsidR="007E70BB" w:rsidRPr="00386DBB" w:rsidRDefault="007E70BB" w:rsidP="00386DBB">
      <w:pPr>
        <w:pStyle w:val="CGC2025TableNote"/>
      </w:pPr>
      <w:r w:rsidRPr="00386DBB">
        <w:t>Source:</w:t>
      </w:r>
      <w:r w:rsidR="00DE0B4F" w:rsidRPr="00386DBB">
        <w:t xml:space="preserve"> Commission calculations using state</w:t>
      </w:r>
      <w:r w:rsidR="00F62730" w:rsidRPr="00386DBB">
        <w:t>-</w:t>
      </w:r>
      <w:r w:rsidR="00DE0B4F" w:rsidRPr="00386DBB">
        <w:t xml:space="preserve">provided </w:t>
      </w:r>
      <w:r w:rsidR="00B61652" w:rsidRPr="00386DBB">
        <w:t>expense data on a Government Finance Statistics basis</w:t>
      </w:r>
      <w:r w:rsidR="007B4243" w:rsidRPr="00386DBB">
        <w:t>.</w:t>
      </w:r>
    </w:p>
    <w:p w14:paraId="571D713F" w14:textId="4B9C0426" w:rsidR="00E97897" w:rsidRPr="00E97897" w:rsidRDefault="00E97897" w:rsidP="00E97897">
      <w:pPr>
        <w:pStyle w:val="Heading4"/>
      </w:pPr>
      <w:r w:rsidRPr="00E97897">
        <w:t xml:space="preserve">Commission </w:t>
      </w:r>
      <w:r w:rsidR="005D62E9">
        <w:t>draft position</w:t>
      </w:r>
    </w:p>
    <w:p w14:paraId="49CF0C09" w14:textId="5FF0E4B5" w:rsidR="00941665" w:rsidRPr="00FB30A4" w:rsidRDefault="5E17BF1A" w:rsidP="00867A08">
      <w:pPr>
        <w:pStyle w:val="CGC2025ParaNumbers"/>
      </w:pPr>
      <w:r>
        <w:t xml:space="preserve">Events </w:t>
      </w:r>
      <w:r w:rsidR="0FC22981">
        <w:t xml:space="preserve">that may lead to significant </w:t>
      </w:r>
      <w:r w:rsidR="735711C1">
        <w:t xml:space="preserve">variation in the </w:t>
      </w:r>
      <w:r w:rsidR="5F79239A">
        <w:t xml:space="preserve">growth of the </w:t>
      </w:r>
      <w:r w:rsidR="430D83D0">
        <w:t>components in the health assessment a</w:t>
      </w:r>
      <w:r w:rsidR="689CBCD1">
        <w:t xml:space="preserve">re </w:t>
      </w:r>
      <w:r w:rsidR="0FC22981">
        <w:t>like</w:t>
      </w:r>
      <w:r w:rsidR="689CBCD1">
        <w:t xml:space="preserve">ly to be rare. </w:t>
      </w:r>
      <w:r w:rsidR="004736EB">
        <w:t>For the 2025 Review, the Commission considers it</w:t>
      </w:r>
      <w:r w:rsidR="689CBCD1">
        <w:t xml:space="preserve"> better </w:t>
      </w:r>
      <w:r w:rsidR="2704DC89">
        <w:t>to maintain the existing approach</w:t>
      </w:r>
      <w:r w:rsidR="5BBC2ED3">
        <w:t>, which minim</w:t>
      </w:r>
      <w:r w:rsidR="718D4981">
        <w:t>ise</w:t>
      </w:r>
      <w:r w:rsidR="59991409">
        <w:t>s</w:t>
      </w:r>
      <w:r w:rsidR="718D4981">
        <w:t xml:space="preserve"> </w:t>
      </w:r>
      <w:r w:rsidR="4457C825">
        <w:t xml:space="preserve">data </w:t>
      </w:r>
      <w:r w:rsidR="718D4981">
        <w:t>revis</w:t>
      </w:r>
      <w:r w:rsidR="77CFB833">
        <w:t>ions between</w:t>
      </w:r>
      <w:r w:rsidR="075BB2F2" w:rsidRPr="000C3546">
        <w:t xml:space="preserve"> </w:t>
      </w:r>
      <w:r w:rsidR="1D16F7D9">
        <w:t>u</w:t>
      </w:r>
      <w:r w:rsidR="075BB2F2">
        <w:t>pdates</w:t>
      </w:r>
      <w:r w:rsidR="036C9D66">
        <w:t xml:space="preserve">. The Commission </w:t>
      </w:r>
      <w:r w:rsidR="48D58033">
        <w:t xml:space="preserve">could </w:t>
      </w:r>
      <w:r w:rsidR="519DBFD4">
        <w:t xml:space="preserve">switch to using </w:t>
      </w:r>
      <w:r w:rsidR="4AFF7D62">
        <w:t>state</w:t>
      </w:r>
      <w:r w:rsidR="3BEC4133">
        <w:t>-p</w:t>
      </w:r>
      <w:r w:rsidR="48AA8C06">
        <w:t xml:space="preserve">rovided year 3 data when a relevant shock has </w:t>
      </w:r>
      <w:r w:rsidR="2B6DBCB1">
        <w:t xml:space="preserve">occurred. This has been done for the past 3 </w:t>
      </w:r>
      <w:r w:rsidR="164F5949">
        <w:t>u</w:t>
      </w:r>
      <w:r w:rsidR="2B6DBCB1">
        <w:t>pdates in the services to industry assessment in response to the large increase in state spending on COVID</w:t>
      </w:r>
      <w:r w:rsidR="00960CA9">
        <w:noBreakHyphen/>
      </w:r>
      <w:r w:rsidR="2B6DBCB1">
        <w:t>19 business support.</w:t>
      </w:r>
      <w:r w:rsidR="0FC22981">
        <w:t xml:space="preserve"> </w:t>
      </w:r>
    </w:p>
    <w:p w14:paraId="2B5EF36A" w14:textId="2F1ABD34" w:rsidR="005357E6" w:rsidRDefault="2157022F" w:rsidP="00867A08">
      <w:pPr>
        <w:pStyle w:val="CGC2025ParaNumbers"/>
      </w:pPr>
      <w:r>
        <w:t xml:space="preserve">The Commission </w:t>
      </w:r>
      <w:r w:rsidR="1CDDDE62">
        <w:t xml:space="preserve">will continue </w:t>
      </w:r>
      <w:r w:rsidR="00C74987">
        <w:t>to</w:t>
      </w:r>
      <w:r w:rsidR="004D6EF9">
        <w:t xml:space="preserve"> explore</w:t>
      </w:r>
      <w:r w:rsidR="1CDDDE62">
        <w:t xml:space="preserve"> </w:t>
      </w:r>
      <w:r w:rsidR="2B1F57B1">
        <w:t xml:space="preserve">other </w:t>
      </w:r>
      <w:r w:rsidR="1CDDDE62">
        <w:t xml:space="preserve">options to </w:t>
      </w:r>
      <w:r w:rsidR="5B99D20D">
        <w:t>improve the responsiv</w:t>
      </w:r>
      <w:r w:rsidR="13CB8EC6">
        <w:t>eness of the health assessment</w:t>
      </w:r>
      <w:r w:rsidR="2F3B2986">
        <w:t xml:space="preserve">, including by </w:t>
      </w:r>
      <w:r w:rsidR="03B8FC83">
        <w:t>reduc</w:t>
      </w:r>
      <w:r w:rsidR="2F3B2986">
        <w:t>ing</w:t>
      </w:r>
      <w:r w:rsidR="03B8FC83">
        <w:t xml:space="preserve"> reliance on proxy indicators of activity</w:t>
      </w:r>
      <w:r w:rsidR="2F3B2986">
        <w:t>.</w:t>
      </w:r>
    </w:p>
    <w:p w14:paraId="6F8135EC" w14:textId="26A1C3AB" w:rsidR="005367AC" w:rsidRPr="00C478DA" w:rsidRDefault="005367AC" w:rsidP="007E70BB">
      <w:pPr>
        <w:pStyle w:val="Heading3"/>
        <w:keepNext/>
      </w:pPr>
      <w:r>
        <w:t xml:space="preserve">Q3. </w:t>
      </w:r>
      <w:r w:rsidRPr="00C478DA">
        <w:t>Do states consider the experiences with the COVID-19 pandemic have implications for the health assessment?</w:t>
      </w:r>
    </w:p>
    <w:p w14:paraId="4C4E9CC4" w14:textId="77777777" w:rsidR="005357E6" w:rsidRDefault="005357E6" w:rsidP="005357E6">
      <w:pPr>
        <w:pStyle w:val="Heading4"/>
      </w:pPr>
      <w:bookmarkStart w:id="11" w:name="_Toc143786734"/>
      <w:bookmarkEnd w:id="4"/>
      <w:bookmarkEnd w:id="5"/>
      <w:bookmarkEnd w:id="9"/>
      <w:r>
        <w:t>State views</w:t>
      </w:r>
    </w:p>
    <w:p w14:paraId="3DDB2383" w14:textId="6E73F4C4" w:rsidR="00E92754" w:rsidRDefault="727C51DB" w:rsidP="005357E6">
      <w:pPr>
        <w:pStyle w:val="CGC2025ParaNumbers"/>
      </w:pPr>
      <w:r>
        <w:t>New South Wales</w:t>
      </w:r>
      <w:r w:rsidR="77A9B0CC">
        <w:t xml:space="preserve"> and </w:t>
      </w:r>
      <w:r w:rsidR="48980E54">
        <w:t xml:space="preserve">Victoria </w:t>
      </w:r>
      <w:r w:rsidR="4550D525">
        <w:t>said</w:t>
      </w:r>
      <w:r w:rsidR="48980E54">
        <w:t xml:space="preserve"> that </w:t>
      </w:r>
      <w:r w:rsidR="28FD7CC4">
        <w:t xml:space="preserve">state spending associated with </w:t>
      </w:r>
      <w:r w:rsidR="42A7F4EA">
        <w:t>COVID</w:t>
      </w:r>
      <w:r w:rsidR="546E7F20">
        <w:t>-</w:t>
      </w:r>
      <w:r w:rsidR="42A7F4EA">
        <w:t xml:space="preserve">19 </w:t>
      </w:r>
      <w:r w:rsidR="30315FC1">
        <w:t>should be assessed on an actual per capita basis</w:t>
      </w:r>
      <w:r w:rsidR="1B5233C2">
        <w:t>.</w:t>
      </w:r>
      <w:r w:rsidR="34BA4542">
        <w:t xml:space="preserve"> </w:t>
      </w:r>
    </w:p>
    <w:p w14:paraId="45788B43" w14:textId="5D6091AD" w:rsidR="005B3556" w:rsidRDefault="51F2BB0E" w:rsidP="00862CC6">
      <w:pPr>
        <w:pStyle w:val="CGC2025ParaNumbers"/>
      </w:pPr>
      <w:r>
        <w:t xml:space="preserve">New South Wales </w:t>
      </w:r>
      <w:r w:rsidR="4550D525">
        <w:t>said</w:t>
      </w:r>
      <w:r>
        <w:t xml:space="preserve"> that s</w:t>
      </w:r>
      <w:r w:rsidR="60823780">
        <w:t>tate responses to COVID-19 were jointly agreed and aligned to the National Partnership on COVID-19 Response. During the acute stage of the pandemic</w:t>
      </w:r>
      <w:r w:rsidR="00960CA9">
        <w:t xml:space="preserve"> in 2019</w:t>
      </w:r>
      <w:r w:rsidR="008950F4">
        <w:t>–</w:t>
      </w:r>
      <w:r w:rsidR="00960CA9">
        <w:t>20 and 20</w:t>
      </w:r>
      <w:r w:rsidR="00FD5A27">
        <w:t>20</w:t>
      </w:r>
      <w:r w:rsidR="008950F4">
        <w:t>–</w:t>
      </w:r>
      <w:r w:rsidR="00FD5A27">
        <w:t>21</w:t>
      </w:r>
      <w:r w:rsidR="60823780">
        <w:t xml:space="preserve">, prior to widespread vaccination, all states </w:t>
      </w:r>
      <w:r w:rsidR="60823780">
        <w:lastRenderedPageBreak/>
        <w:t>pursued a zero-COVID</w:t>
      </w:r>
      <w:r w:rsidR="4A959309">
        <w:t>-</w:t>
      </w:r>
      <w:r w:rsidR="5C01B5FA">
        <w:t>19</w:t>
      </w:r>
      <w:r w:rsidR="60823780">
        <w:t xml:space="preserve"> policy. Differences in responses between states therefore reflected differences in circumstances rather than policy.</w:t>
      </w:r>
    </w:p>
    <w:p w14:paraId="01247DE1" w14:textId="385C0076" w:rsidR="005B3556" w:rsidRDefault="55092C33" w:rsidP="00862CC6">
      <w:pPr>
        <w:pStyle w:val="CGC2025ParaNumbers"/>
      </w:pPr>
      <w:r>
        <w:t xml:space="preserve">New South Wales said </w:t>
      </w:r>
      <w:r w:rsidR="3083302E">
        <w:t>that c</w:t>
      </w:r>
      <w:r w:rsidR="60823780">
        <w:t>ertain areas of Australia were more impacted by COVID</w:t>
      </w:r>
      <w:r w:rsidR="00A5584E">
        <w:noBreakHyphen/>
      </w:r>
      <w:r w:rsidR="60823780">
        <w:t>19 due to their status as major domestic and/or international transport hubs, higher population densit</w:t>
      </w:r>
      <w:r w:rsidR="00D76640">
        <w:t>y</w:t>
      </w:r>
      <w:r w:rsidR="60823780">
        <w:t>, and other factors which may have promoted the spread of COVID-19 further.</w:t>
      </w:r>
    </w:p>
    <w:p w14:paraId="176BF343" w14:textId="690C9F8B" w:rsidR="005B3556" w:rsidRDefault="00AB503F" w:rsidP="001558B0">
      <w:pPr>
        <w:pStyle w:val="CGC2025ParaNumbers"/>
      </w:pPr>
      <w:r>
        <w:t>New South Wales said that d</w:t>
      </w:r>
      <w:r w:rsidR="005B3556">
        <w:t xml:space="preserve">rivers of state expenditure on COVID-19 mitigation and response were epidemiological. </w:t>
      </w:r>
      <w:r w:rsidR="00E17A6B">
        <w:t xml:space="preserve">It said spending </w:t>
      </w:r>
      <w:r w:rsidR="005B3556">
        <w:t xml:space="preserve">patterns across Australian health systems reflected the presence of viral outbreaks. </w:t>
      </w:r>
      <w:r w:rsidR="00E17A6B">
        <w:t xml:space="preserve">It said spending </w:t>
      </w:r>
      <w:r w:rsidR="005B3556">
        <w:t>did not reflect standard cost drivers, such as remoteness, Indigeneity, or the presence of non-state services.</w:t>
      </w:r>
    </w:p>
    <w:p w14:paraId="7EE0F4A0" w14:textId="1807B7D7" w:rsidR="005357E6" w:rsidRPr="00E91D39" w:rsidRDefault="3938B97F" w:rsidP="00E57E1A">
      <w:pPr>
        <w:pStyle w:val="CGC2025ParaNumbers"/>
      </w:pPr>
      <w:r w:rsidRPr="00E91D39">
        <w:t>Victoria</w:t>
      </w:r>
      <w:r w:rsidR="46C621C8" w:rsidRPr="00E91D39">
        <w:t xml:space="preserve"> said</w:t>
      </w:r>
      <w:r w:rsidR="1502C181" w:rsidRPr="00E91D39">
        <w:t xml:space="preserve"> that</w:t>
      </w:r>
      <w:r w:rsidR="00681563">
        <w:t>,</w:t>
      </w:r>
      <w:r w:rsidR="1502C181" w:rsidRPr="00E91D39">
        <w:t xml:space="preserve"> </w:t>
      </w:r>
      <w:r w:rsidR="3277A989" w:rsidRPr="00E91D39">
        <w:t>in responding to COVID</w:t>
      </w:r>
      <w:r w:rsidR="6029DBCC" w:rsidRPr="00E91D39">
        <w:t>-</w:t>
      </w:r>
      <w:r w:rsidR="3277A989" w:rsidRPr="00E91D39">
        <w:t>19</w:t>
      </w:r>
      <w:r w:rsidR="007B359B" w:rsidRPr="00E91D39">
        <w:t>,</w:t>
      </w:r>
      <w:r w:rsidR="3277A989" w:rsidRPr="00E91D39">
        <w:t xml:space="preserve"> </w:t>
      </w:r>
      <w:r w:rsidR="007B359B" w:rsidRPr="00E91D39">
        <w:t xml:space="preserve">state expenses </w:t>
      </w:r>
      <w:r w:rsidR="3277A989" w:rsidRPr="00E91D39">
        <w:t>were driven by uncontrollable and random impacts of</w:t>
      </w:r>
      <w:r w:rsidR="005B3F8F">
        <w:t xml:space="preserve"> </w:t>
      </w:r>
      <w:r w:rsidR="3277A989" w:rsidRPr="00E91D39">
        <w:t>the virus</w:t>
      </w:r>
      <w:r w:rsidR="117FB3F3" w:rsidRPr="00E91D39">
        <w:t>, following nationally agreed fram</w:t>
      </w:r>
      <w:r w:rsidRPr="00E91D39">
        <w:t>eworks</w:t>
      </w:r>
      <w:r w:rsidR="00A66EDC" w:rsidRPr="00E91D39">
        <w:t xml:space="preserve">. </w:t>
      </w:r>
      <w:r w:rsidR="00E17A6B" w:rsidRPr="00E91D39">
        <w:t>It said e</w:t>
      </w:r>
      <w:r w:rsidR="00A66EDC" w:rsidRPr="00E91D39">
        <w:t xml:space="preserve">xpenses did not </w:t>
      </w:r>
      <w:r w:rsidR="7EDE38C2" w:rsidRPr="00E91D39">
        <w:t>follow the Commission’s drivers for health expenditure in the 2020 Review methods, being more concentrated in major cities and younger, non-Indigenous residents.</w:t>
      </w:r>
    </w:p>
    <w:p w14:paraId="221A31D1" w14:textId="394CAF7C" w:rsidR="00156464" w:rsidRDefault="33D76CAA" w:rsidP="001B2BA7">
      <w:pPr>
        <w:pStyle w:val="CGC2025ParaNumbers"/>
      </w:pPr>
      <w:r>
        <w:t xml:space="preserve">New South Wales </w:t>
      </w:r>
      <w:r w:rsidR="4550D525">
        <w:t>said</w:t>
      </w:r>
      <w:r w:rsidR="72A3EEDD">
        <w:t xml:space="preserve"> that </w:t>
      </w:r>
      <w:r w:rsidR="10FC1A21">
        <w:t>COVID</w:t>
      </w:r>
      <w:r w:rsidR="3B03D62D">
        <w:t>-</w:t>
      </w:r>
      <w:r w:rsidR="10FC1A21">
        <w:t xml:space="preserve">19 related costs should include </w:t>
      </w:r>
      <w:r w:rsidR="591D9B52">
        <w:t xml:space="preserve">quarantine </w:t>
      </w:r>
      <w:r w:rsidR="0FD92B9C">
        <w:t>expenses</w:t>
      </w:r>
      <w:r w:rsidR="591D9B52">
        <w:t xml:space="preserve"> incurred by N</w:t>
      </w:r>
      <w:r w:rsidR="007A39EA">
        <w:t xml:space="preserve">ew </w:t>
      </w:r>
      <w:r w:rsidR="591D9B52">
        <w:t>S</w:t>
      </w:r>
      <w:r w:rsidR="007A39EA">
        <w:t xml:space="preserve">outh </w:t>
      </w:r>
      <w:r w:rsidR="591D9B52">
        <w:t>W</w:t>
      </w:r>
      <w:r w:rsidR="007A39EA">
        <w:t>ales</w:t>
      </w:r>
      <w:r w:rsidR="591D9B52">
        <w:t xml:space="preserve"> on behalf of other states</w:t>
      </w:r>
      <w:r w:rsidR="4FE8757A">
        <w:t xml:space="preserve"> that have not been reimbursed</w:t>
      </w:r>
      <w:r w:rsidR="704F1198">
        <w:t>.</w:t>
      </w:r>
    </w:p>
    <w:p w14:paraId="337493A8" w14:textId="7FCC87D0" w:rsidR="002F6A4E" w:rsidRDefault="30959E79" w:rsidP="00054D1E">
      <w:pPr>
        <w:pStyle w:val="CGC2025ParaNumbers"/>
      </w:pPr>
      <w:r>
        <w:t xml:space="preserve">Victoria </w:t>
      </w:r>
      <w:r w:rsidR="4550D525">
        <w:t>said</w:t>
      </w:r>
      <w:r>
        <w:t xml:space="preserve"> that</w:t>
      </w:r>
      <w:r w:rsidR="0D6946FA">
        <w:t xml:space="preserve">, to take account of the </w:t>
      </w:r>
      <w:r w:rsidR="112FA9C3">
        <w:t xml:space="preserve">Commission’s </w:t>
      </w:r>
      <w:r w:rsidR="0D6946FA">
        <w:t xml:space="preserve">inability to </w:t>
      </w:r>
      <w:r w:rsidR="70D93BDF">
        <w:t>change its methods between reviews,</w:t>
      </w:r>
      <w:r>
        <w:t xml:space="preserve"> </w:t>
      </w:r>
      <w:r w:rsidR="3DB82073">
        <w:t xml:space="preserve">a </w:t>
      </w:r>
      <w:r w:rsidR="2F27CD23">
        <w:t xml:space="preserve">retrospective adjustment </w:t>
      </w:r>
      <w:r w:rsidR="6034A07E">
        <w:t>should be made</w:t>
      </w:r>
      <w:r w:rsidR="1CFE6386">
        <w:t xml:space="preserve"> to </w:t>
      </w:r>
      <w:r w:rsidR="375E8783">
        <w:t xml:space="preserve">fully </w:t>
      </w:r>
      <w:r w:rsidR="1CFE6386">
        <w:t>take account of the differential impact of COVID</w:t>
      </w:r>
      <w:r w:rsidR="297CDE06">
        <w:t>-</w:t>
      </w:r>
      <w:r w:rsidR="1CFE6386">
        <w:t>19</w:t>
      </w:r>
      <w:r w:rsidR="6B695BE1">
        <w:t xml:space="preserve"> on state health expenses</w:t>
      </w:r>
      <w:r w:rsidR="375E8783">
        <w:t>.</w:t>
      </w:r>
      <w:r w:rsidR="006C54C0">
        <w:t xml:space="preserve"> </w:t>
      </w:r>
      <w:r w:rsidR="00E17A6B">
        <w:t>It said</w:t>
      </w:r>
      <w:r w:rsidR="00E9569C">
        <w:t>,</w:t>
      </w:r>
      <w:r w:rsidR="00F81E0E">
        <w:t xml:space="preserve"> unless this was done,</w:t>
      </w:r>
      <w:r w:rsidR="00E9569C">
        <w:t xml:space="preserve"> </w:t>
      </w:r>
      <w:r w:rsidR="006C54C0">
        <w:t>COVID-19 spending from 2019</w:t>
      </w:r>
      <w:r w:rsidR="005949A3">
        <w:t>–</w:t>
      </w:r>
      <w:r w:rsidR="006C54C0">
        <w:t>20 and 2020</w:t>
      </w:r>
      <w:r w:rsidR="005949A3">
        <w:t>–</w:t>
      </w:r>
      <w:r w:rsidR="006C54C0">
        <w:t>21 w</w:t>
      </w:r>
      <w:r w:rsidR="00F81E0E">
        <w:t>ould</w:t>
      </w:r>
      <w:r w:rsidR="006C54C0">
        <w:t xml:space="preserve"> never be assessed accurately and 2021</w:t>
      </w:r>
      <w:r w:rsidR="005949A3">
        <w:t>–</w:t>
      </w:r>
      <w:r w:rsidR="006C54C0">
        <w:t>22 w</w:t>
      </w:r>
      <w:r w:rsidR="00F81E0E">
        <w:t>ould</w:t>
      </w:r>
      <w:r w:rsidR="006C54C0">
        <w:t xml:space="preserve"> only be assessed accurately once out of </w:t>
      </w:r>
      <w:r w:rsidR="005949A3">
        <w:t>3</w:t>
      </w:r>
      <w:r w:rsidR="00E4375F">
        <w:t> </w:t>
      </w:r>
      <w:r w:rsidR="006C54C0">
        <w:t>assessment years.</w:t>
      </w:r>
    </w:p>
    <w:p w14:paraId="736FBF14" w14:textId="50C2243C" w:rsidR="009B4BA6" w:rsidRDefault="60CDF4B7" w:rsidP="009B4BA6">
      <w:pPr>
        <w:pStyle w:val="CGC2025ParaNumbers"/>
      </w:pPr>
      <w:r>
        <w:t>The ACT said that the COVID-19 pandemic revealed the need for flexibility in assessment methods in response to major shocks in the health assessment. The ACT support</w:t>
      </w:r>
      <w:r w:rsidR="00CD3300">
        <w:t>ed</w:t>
      </w:r>
      <w:r>
        <w:t xml:space="preserve"> the </w:t>
      </w:r>
      <w:r w:rsidR="05B6A5A3">
        <w:t>Commission</w:t>
      </w:r>
      <w:r>
        <w:t xml:space="preserve"> investigating alternative data sources to identify drivers of the use and cost of services, including due to </w:t>
      </w:r>
      <w:r w:rsidR="00C179F5">
        <w:t xml:space="preserve">a </w:t>
      </w:r>
      <w:r>
        <w:t>public health threat</w:t>
      </w:r>
      <w:r w:rsidR="05B6A5A3">
        <w:t>.</w:t>
      </w:r>
    </w:p>
    <w:p w14:paraId="17158DC5" w14:textId="187E8FF5" w:rsidR="005357E6" w:rsidRDefault="005357E6" w:rsidP="005357E6">
      <w:pPr>
        <w:pStyle w:val="Heading4"/>
      </w:pPr>
      <w:r>
        <w:t xml:space="preserve">Commission </w:t>
      </w:r>
      <w:r w:rsidR="00E97897">
        <w:t>response</w:t>
      </w:r>
    </w:p>
    <w:p w14:paraId="4060DA2D" w14:textId="6F127A40" w:rsidR="002D1AE9" w:rsidRDefault="002D1AE9" w:rsidP="002D1AE9">
      <w:pPr>
        <w:pStyle w:val="CGC2025ParaNumbers"/>
      </w:pPr>
      <w:r>
        <w:t xml:space="preserve">The terms of reference for the 2021, 2022, 2023 and 2024 </w:t>
      </w:r>
      <w:r w:rsidR="00300EF1">
        <w:t>u</w:t>
      </w:r>
      <w:r>
        <w:t>pdates did not provide for a change in assessment method in response to COVID-19. Consequently, Commonwealth payments associated with the National Partnership on COVID-19 Response w</w:t>
      </w:r>
      <w:r w:rsidR="00D0488B">
        <w:t>ere</w:t>
      </w:r>
      <w:r>
        <w:t xml:space="preserve"> treated as no impact since the COVID-19 spending was not specifically assessed. The 2020 Review health assessment was applied to state funded spending under the National Partnership on COVID-19 Response.</w:t>
      </w:r>
    </w:p>
    <w:p w14:paraId="5E9ED7B6" w14:textId="6E028895" w:rsidR="002D1AE9" w:rsidRDefault="002D1AE9" w:rsidP="002D1AE9">
      <w:pPr>
        <w:pStyle w:val="CGC2025ParaNumbers"/>
      </w:pPr>
      <w:r>
        <w:t xml:space="preserve">With the flexibility to change the health assessment in response to COVID-19 following the 2025 Review, the Commission </w:t>
      </w:r>
      <w:proofErr w:type="gramStart"/>
      <w:r w:rsidR="00815C19">
        <w:t>is able to</w:t>
      </w:r>
      <w:proofErr w:type="gramEnd"/>
      <w:r w:rsidR="00815C19">
        <w:t xml:space="preserve"> </w:t>
      </w:r>
      <w:r w:rsidR="003B4E04">
        <w:t>use</w:t>
      </w:r>
      <w:r>
        <w:t xml:space="preserve"> an </w:t>
      </w:r>
      <w:r w:rsidR="003B4E04">
        <w:t>alternative</w:t>
      </w:r>
      <w:r>
        <w:t xml:space="preserve"> assessment </w:t>
      </w:r>
      <w:r w:rsidR="003B4E04">
        <w:t>for assessing</w:t>
      </w:r>
      <w:r>
        <w:t xml:space="preserve"> state spending</w:t>
      </w:r>
      <w:r w:rsidR="00BF3F91">
        <w:t xml:space="preserve"> related to COVID</w:t>
      </w:r>
      <w:r w:rsidR="00BF3F91">
        <w:noBreakHyphen/>
        <w:t>19</w:t>
      </w:r>
      <w:r>
        <w:t>.</w:t>
      </w:r>
    </w:p>
    <w:p w14:paraId="148708F7" w14:textId="0149A4AF" w:rsidR="00FE0FE6" w:rsidRDefault="00C72708" w:rsidP="003F3402">
      <w:pPr>
        <w:pStyle w:val="CGC2025ParaNumbers"/>
      </w:pPr>
      <w:r>
        <w:lastRenderedPageBreak/>
        <w:t xml:space="preserve">The Commission has stated previously how </w:t>
      </w:r>
      <w:r w:rsidR="00684A6D">
        <w:t>it would assess COVID</w:t>
      </w:r>
      <w:r w:rsidR="00684A6D">
        <w:noBreakHyphen/>
        <w:t xml:space="preserve">19 related spending if </w:t>
      </w:r>
      <w:r w:rsidR="00AA5777">
        <w:t xml:space="preserve">permitted under the </w:t>
      </w:r>
      <w:r w:rsidR="00684A6D">
        <w:t xml:space="preserve">terms of reference </w:t>
      </w:r>
      <w:r w:rsidR="00350D64">
        <w:t>for an update. For example, in the 2023 Update New Issues discussion paper, it stated</w:t>
      </w:r>
      <w:r w:rsidR="00314EE5">
        <w:t>:</w:t>
      </w:r>
    </w:p>
    <w:p w14:paraId="1B6FA128" w14:textId="3BCB2758" w:rsidR="00FE0FE6" w:rsidRDefault="002D0B1F" w:rsidP="0042192E">
      <w:pPr>
        <w:pStyle w:val="CGC2025ParaNumbers"/>
        <w:numPr>
          <w:ilvl w:val="0"/>
          <w:numId w:val="0"/>
        </w:numPr>
        <w:ind w:left="567"/>
      </w:pPr>
      <w:r>
        <w:t>‘</w:t>
      </w:r>
      <w:r w:rsidR="00FE0FE6">
        <w:t>If terms of reference allow for a change in method to respond to COVID-19:</w:t>
      </w:r>
    </w:p>
    <w:p w14:paraId="4DB46FA5" w14:textId="433C1512" w:rsidR="00FE0FE6" w:rsidRDefault="00FE0FE6" w:rsidP="0042192E">
      <w:pPr>
        <w:pStyle w:val="CGC2025Bullet1"/>
      </w:pPr>
      <w:bookmarkStart w:id="12" w:name="_Hlk150440925"/>
      <w:r>
        <w:t xml:space="preserve">treat the Commonwealth payments </w:t>
      </w:r>
      <w:bookmarkStart w:id="13" w:name="_Hlk150441805"/>
      <w:r>
        <w:t>under the National Partnership on COVID-19 Response</w:t>
      </w:r>
      <w:bookmarkEnd w:id="13"/>
      <w:r>
        <w:t xml:space="preserve"> as impact; and</w:t>
      </w:r>
    </w:p>
    <w:p w14:paraId="7D389781" w14:textId="47A8B7F1" w:rsidR="005357E6" w:rsidRDefault="00FE0FE6" w:rsidP="0042192E">
      <w:pPr>
        <w:pStyle w:val="CGC2025Bullet1"/>
      </w:pPr>
      <w:r>
        <w:t>assess state spending associated with the national partnerships on an actual per</w:t>
      </w:r>
      <w:r w:rsidR="00D6768E">
        <w:t> </w:t>
      </w:r>
      <w:r>
        <w:t>capita basis.</w:t>
      </w:r>
      <w:r w:rsidR="002D0B1F">
        <w:t>’</w:t>
      </w:r>
      <w:r w:rsidR="000B42CB">
        <w:rPr>
          <w:rStyle w:val="FootnoteReference"/>
        </w:rPr>
        <w:footnoteReference w:id="2"/>
      </w:r>
    </w:p>
    <w:bookmarkEnd w:id="12"/>
    <w:p w14:paraId="06232F66" w14:textId="78D858EC" w:rsidR="00C2214E" w:rsidRDefault="00DF4BB6" w:rsidP="00C24AE4">
      <w:pPr>
        <w:pStyle w:val="CGC2025ParaNumbers"/>
      </w:pPr>
      <w:r>
        <w:t xml:space="preserve">The basis </w:t>
      </w:r>
      <w:r w:rsidR="002D7759">
        <w:t xml:space="preserve">of </w:t>
      </w:r>
      <w:r w:rsidR="00C00992">
        <w:t xml:space="preserve">this </w:t>
      </w:r>
      <w:r w:rsidR="0015113D">
        <w:t xml:space="preserve">position was </w:t>
      </w:r>
      <w:r w:rsidR="00C2214E">
        <w:t>that</w:t>
      </w:r>
      <w:r w:rsidR="00B84D05">
        <w:t>:</w:t>
      </w:r>
    </w:p>
    <w:p w14:paraId="60C4A001" w14:textId="45290B57" w:rsidR="00C24AE4" w:rsidRDefault="00C24AE4" w:rsidP="00D834BA">
      <w:pPr>
        <w:pStyle w:val="CGC2025Bullet1"/>
      </w:pPr>
      <w:r>
        <w:t xml:space="preserve">the differences </w:t>
      </w:r>
      <w:r w:rsidR="00BD34CD">
        <w:t xml:space="preserve">in spending </w:t>
      </w:r>
      <w:r>
        <w:t xml:space="preserve">between states on COVID-19 cannot be fully explained by the Commission’s health assessment of state spending needs on health services more </w:t>
      </w:r>
      <w:proofErr w:type="gramStart"/>
      <w:r>
        <w:t>broadly</w:t>
      </w:r>
      <w:proofErr w:type="gramEnd"/>
    </w:p>
    <w:p w14:paraId="4B985458" w14:textId="1C7739E3" w:rsidR="00DF4BB6" w:rsidRDefault="00C00992" w:rsidP="00D834BA">
      <w:pPr>
        <w:pStyle w:val="CGC2025Bullet1"/>
      </w:pPr>
      <w:r>
        <w:t xml:space="preserve">the Commission considered state responses to the COVID-19 pandemic largely reflected circumstances </w:t>
      </w:r>
      <w:r w:rsidR="009867C1">
        <w:t xml:space="preserve">outside of state control </w:t>
      </w:r>
      <w:r>
        <w:t>rather than policy choices.</w:t>
      </w:r>
    </w:p>
    <w:p w14:paraId="273C2CF5" w14:textId="4643F4E2" w:rsidR="002C1E12" w:rsidRDefault="00465913" w:rsidP="00EE7654">
      <w:pPr>
        <w:pStyle w:val="CGC2025ParaNumbers"/>
      </w:pPr>
      <w:r>
        <w:t xml:space="preserve">For the </w:t>
      </w:r>
      <w:r w:rsidR="00F305B0">
        <w:t xml:space="preserve">3 assessment years </w:t>
      </w:r>
      <w:r w:rsidR="00C33A2D">
        <w:t xml:space="preserve">for the 2024 Update, </w:t>
      </w:r>
      <w:r w:rsidR="00FA016C">
        <w:t>Figure</w:t>
      </w:r>
      <w:r w:rsidR="00E1033B">
        <w:t xml:space="preserve"> 2</w:t>
      </w:r>
      <w:r w:rsidR="004D70AC">
        <w:t xml:space="preserve"> and </w:t>
      </w:r>
      <w:r w:rsidR="00FA016C">
        <w:t xml:space="preserve">Figure </w:t>
      </w:r>
      <w:r w:rsidR="00E1033B">
        <w:t>3</w:t>
      </w:r>
      <w:r w:rsidR="00FA016C">
        <w:t xml:space="preserve"> </w:t>
      </w:r>
      <w:r w:rsidR="00C71799">
        <w:t xml:space="preserve">compare </w:t>
      </w:r>
      <w:r w:rsidR="00F10C71">
        <w:t xml:space="preserve">the distribution of </w:t>
      </w:r>
      <w:r w:rsidR="0003220D">
        <w:t>state spending associated with</w:t>
      </w:r>
      <w:r w:rsidR="00B94C7A">
        <w:t xml:space="preserve"> the </w:t>
      </w:r>
      <w:r w:rsidR="00067A63">
        <w:t xml:space="preserve">National Partnership on </w:t>
      </w:r>
      <w:r w:rsidR="00B94C7A">
        <w:t>COVID</w:t>
      </w:r>
      <w:r w:rsidR="00B94C7A">
        <w:noBreakHyphen/>
        <w:t>19</w:t>
      </w:r>
      <w:r w:rsidR="00067A63">
        <w:t xml:space="preserve"> Response</w:t>
      </w:r>
      <w:r w:rsidR="009767E1">
        <w:t xml:space="preserve"> with </w:t>
      </w:r>
      <w:r w:rsidR="00C8530E">
        <w:t xml:space="preserve">the distribution </w:t>
      </w:r>
      <w:r w:rsidR="0043190B">
        <w:t>of spending needs</w:t>
      </w:r>
      <w:r w:rsidR="00C8530E">
        <w:t xml:space="preserve"> </w:t>
      </w:r>
      <w:r w:rsidR="00495DD2">
        <w:t xml:space="preserve">under the </w:t>
      </w:r>
      <w:r w:rsidR="000E652D">
        <w:t>hea</w:t>
      </w:r>
      <w:r w:rsidR="000B7062">
        <w:t>lth assessment</w:t>
      </w:r>
      <w:r w:rsidR="0043190B">
        <w:t>, for hospital and public health services respectively.</w:t>
      </w:r>
      <w:r w:rsidR="003806A5">
        <w:t xml:space="preserve"> </w:t>
      </w:r>
      <w:r w:rsidR="00367568">
        <w:t xml:space="preserve">Significant differences exist between the </w:t>
      </w:r>
      <w:r w:rsidR="001B2228">
        <w:t>distribution of state spending on COVID</w:t>
      </w:r>
      <w:r w:rsidR="001B2228">
        <w:noBreakHyphen/>
        <w:t xml:space="preserve">19 and </w:t>
      </w:r>
      <w:r w:rsidR="009B3229">
        <w:t xml:space="preserve">the </w:t>
      </w:r>
      <w:r w:rsidR="00684ACD">
        <w:t xml:space="preserve">distribution </w:t>
      </w:r>
      <w:r w:rsidR="008959B4">
        <w:t xml:space="preserve">of spending needs </w:t>
      </w:r>
      <w:r w:rsidR="006C7242">
        <w:t xml:space="preserve">resulting from the Commission’s health </w:t>
      </w:r>
      <w:r w:rsidR="008959B4">
        <w:t>assess</w:t>
      </w:r>
      <w:r w:rsidR="006C7242">
        <w:t xml:space="preserve">ment methods. </w:t>
      </w:r>
    </w:p>
    <w:p w14:paraId="7FDD4C38" w14:textId="1401C467" w:rsidR="004A1DF3" w:rsidRDefault="004A1DF3" w:rsidP="00EE7654">
      <w:pPr>
        <w:pStyle w:val="CGC2025ParaNumbers"/>
      </w:pPr>
      <w:r>
        <w:t>I</w:t>
      </w:r>
      <w:r w:rsidRPr="00653078">
        <w:t>ntroducing flexibility to change assessment methods in response to shocks such as the COVID-19 pandemic is covered in</w:t>
      </w:r>
      <w:r w:rsidR="004B4247">
        <w:t xml:space="preserve"> </w:t>
      </w:r>
      <w:r w:rsidR="00931E17">
        <w:t xml:space="preserve">the </w:t>
      </w:r>
      <w:r w:rsidR="0047144D">
        <w:t xml:space="preserve">chapter on </w:t>
      </w:r>
      <w:r w:rsidR="00931E17">
        <w:t>f</w:t>
      </w:r>
      <w:r w:rsidR="004B4247">
        <w:t>lexibility to</w:t>
      </w:r>
      <w:r w:rsidR="00931E17">
        <w:t xml:space="preserve"> consider method changes between reviews</w:t>
      </w:r>
      <w:r>
        <w:t>.</w:t>
      </w:r>
    </w:p>
    <w:p w14:paraId="102FB90A" w14:textId="6A8E8772" w:rsidR="00590776" w:rsidRDefault="00AC3283" w:rsidP="00E74230">
      <w:pPr>
        <w:pStyle w:val="CGC2025Caption"/>
        <w:keepNext/>
        <w:ind w:left="1134" w:hanging="1134"/>
      </w:pPr>
      <w:bookmarkStart w:id="14" w:name="_Ref151545549"/>
      <w:r>
        <w:lastRenderedPageBreak/>
        <w:t xml:space="preserve">Figure </w:t>
      </w:r>
      <w:r>
        <w:fldChar w:fldCharType="begin"/>
      </w:r>
      <w:r>
        <w:instrText>SEQ Figure \* ARABIC</w:instrText>
      </w:r>
      <w:r>
        <w:fldChar w:fldCharType="separate"/>
      </w:r>
      <w:r w:rsidR="00581B01">
        <w:rPr>
          <w:noProof/>
        </w:rPr>
        <w:t>2</w:t>
      </w:r>
      <w:r>
        <w:fldChar w:fldCharType="end"/>
      </w:r>
      <w:bookmarkEnd w:id="14"/>
      <w:r w:rsidR="00A26A1C">
        <w:tab/>
      </w:r>
      <w:r w:rsidR="00F60044">
        <w:t>C</w:t>
      </w:r>
      <w:r w:rsidR="00222585">
        <w:t xml:space="preserve">OVID-19 </w:t>
      </w:r>
      <w:r w:rsidR="0009758B">
        <w:t xml:space="preserve">public </w:t>
      </w:r>
      <w:r w:rsidR="00222585">
        <w:t>hospital services spending (</w:t>
      </w:r>
      <w:bookmarkStart w:id="15" w:name="_Hlk151105631"/>
      <w:r w:rsidR="00222585">
        <w:t>20</w:t>
      </w:r>
      <w:r w:rsidR="00AF3126">
        <w:t>20</w:t>
      </w:r>
      <w:r w:rsidR="00E510D6">
        <w:t>–</w:t>
      </w:r>
      <w:r w:rsidR="00AF3126">
        <w:t>21</w:t>
      </w:r>
      <w:r w:rsidR="00222585">
        <w:t>, 202</w:t>
      </w:r>
      <w:r w:rsidR="00AF3126">
        <w:t>1</w:t>
      </w:r>
      <w:r w:rsidR="00E510D6">
        <w:t>–</w:t>
      </w:r>
      <w:r w:rsidR="00222585">
        <w:t>2</w:t>
      </w:r>
      <w:r w:rsidR="00AF3126">
        <w:t>2</w:t>
      </w:r>
      <w:r w:rsidR="00222585">
        <w:t xml:space="preserve"> and 202</w:t>
      </w:r>
      <w:r w:rsidR="00AF3126">
        <w:t>2</w:t>
      </w:r>
      <w:r w:rsidR="00E510D6">
        <w:t>–</w:t>
      </w:r>
      <w:r w:rsidR="00222585">
        <w:t>2</w:t>
      </w:r>
      <w:r w:rsidR="00AF3126">
        <w:t>3</w:t>
      </w:r>
      <w:bookmarkEnd w:id="15"/>
      <w:r w:rsidR="00222585">
        <w:t xml:space="preserve">) versus Commission’s assessment of needs for admitted patient </w:t>
      </w:r>
      <w:proofErr w:type="gramStart"/>
      <w:r w:rsidR="00222585">
        <w:t>services</w:t>
      </w:r>
      <w:proofErr w:type="gramEnd"/>
    </w:p>
    <w:p w14:paraId="587D937F" w14:textId="535E35EC" w:rsidR="00694E87" w:rsidRDefault="00512BDD" w:rsidP="00865067">
      <w:pPr>
        <w:pStyle w:val="CGCTablerow"/>
      </w:pPr>
      <w:r w:rsidRPr="00512BDD">
        <w:rPr>
          <w:noProof/>
        </w:rPr>
        <w:drawing>
          <wp:inline distT="0" distB="0" distL="0" distR="0" wp14:anchorId="2182F3ED" wp14:editId="189B8F9E">
            <wp:extent cx="5731510" cy="3039745"/>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039745"/>
                    </a:xfrm>
                    <a:prstGeom prst="rect">
                      <a:avLst/>
                    </a:prstGeom>
                    <a:noFill/>
                    <a:ln>
                      <a:noFill/>
                    </a:ln>
                  </pic:spPr>
                </pic:pic>
              </a:graphicData>
            </a:graphic>
          </wp:inline>
        </w:drawing>
      </w:r>
    </w:p>
    <w:p w14:paraId="6359FD2F" w14:textId="03B9E089" w:rsidR="004641E5" w:rsidRDefault="00952CBC" w:rsidP="001E5FC5">
      <w:pPr>
        <w:pStyle w:val="CGC2025TableNote"/>
        <w:ind w:left="709" w:hanging="596"/>
      </w:pPr>
      <w:r w:rsidRPr="00386DBB">
        <w:t>Source: C</w:t>
      </w:r>
      <w:r w:rsidR="009711BF" w:rsidRPr="00386DBB">
        <w:t>ommission</w:t>
      </w:r>
      <w:r w:rsidRPr="00386DBB">
        <w:t xml:space="preserve"> calculation using </w:t>
      </w:r>
      <w:r w:rsidR="008F47C5" w:rsidRPr="00386DBB">
        <w:t>re</w:t>
      </w:r>
      <w:r w:rsidR="00D90ACC" w:rsidRPr="00386DBB">
        <w:t xml:space="preserve">conciled </w:t>
      </w:r>
      <w:r w:rsidR="00E62843" w:rsidRPr="00386DBB">
        <w:t>N</w:t>
      </w:r>
      <w:r w:rsidR="00CB2E95" w:rsidRPr="00386DBB">
        <w:t xml:space="preserve">ational </w:t>
      </w:r>
      <w:r w:rsidR="00E62843" w:rsidRPr="00386DBB">
        <w:t>H</w:t>
      </w:r>
      <w:r w:rsidR="00CB2E95" w:rsidRPr="00386DBB">
        <w:t xml:space="preserve">ealth </w:t>
      </w:r>
      <w:r w:rsidR="00E62843" w:rsidRPr="00386DBB">
        <w:t>F</w:t>
      </w:r>
      <w:r w:rsidR="00CB2E95" w:rsidRPr="00386DBB">
        <w:t xml:space="preserve">unding </w:t>
      </w:r>
      <w:r w:rsidR="00E62843" w:rsidRPr="00386DBB">
        <w:t>B</w:t>
      </w:r>
      <w:r w:rsidR="008F47C5" w:rsidRPr="00386DBB">
        <w:t>ody</w:t>
      </w:r>
      <w:r w:rsidR="00E62843" w:rsidRPr="00386DBB">
        <w:t xml:space="preserve"> </w:t>
      </w:r>
      <w:r w:rsidRPr="00386DBB">
        <w:t>N</w:t>
      </w:r>
      <w:r w:rsidR="00E03769" w:rsidRPr="00386DBB">
        <w:t xml:space="preserve">ational </w:t>
      </w:r>
      <w:r w:rsidRPr="00386DBB">
        <w:t>P</w:t>
      </w:r>
      <w:r w:rsidR="00E03769" w:rsidRPr="00386DBB">
        <w:t xml:space="preserve">artnership </w:t>
      </w:r>
      <w:r w:rsidR="00864265" w:rsidRPr="00386DBB">
        <w:t xml:space="preserve">on </w:t>
      </w:r>
      <w:r w:rsidRPr="00386DBB">
        <w:t>C</w:t>
      </w:r>
      <w:r w:rsidR="00864265" w:rsidRPr="00386DBB">
        <w:t>OVID</w:t>
      </w:r>
      <w:r w:rsidR="00864265" w:rsidRPr="00386DBB">
        <w:noBreakHyphen/>
        <w:t xml:space="preserve">19 </w:t>
      </w:r>
      <w:r w:rsidRPr="00386DBB">
        <w:t>R</w:t>
      </w:r>
      <w:r w:rsidR="00864265" w:rsidRPr="00386DBB">
        <w:t>esponse</w:t>
      </w:r>
      <w:r w:rsidR="00C51946">
        <w:t xml:space="preserve"> </w:t>
      </w:r>
      <w:r w:rsidR="00237288">
        <w:t xml:space="preserve"> </w:t>
      </w:r>
      <w:r w:rsidR="0079612B">
        <w:t xml:space="preserve"> </w:t>
      </w:r>
      <w:r w:rsidRPr="00952CBC">
        <w:t>expenses, assessed admitted patient expenses and ABS population data.</w:t>
      </w:r>
      <w:bookmarkStart w:id="16" w:name="_Ref151545595"/>
    </w:p>
    <w:p w14:paraId="1C643CA5" w14:textId="47116F88" w:rsidR="004641E5" w:rsidRDefault="004641E5" w:rsidP="004641E5">
      <w:pPr>
        <w:pStyle w:val="CGC2025Caption"/>
        <w:ind w:left="1134" w:hanging="1134"/>
      </w:pPr>
      <w:r>
        <w:t xml:space="preserve">Figure </w:t>
      </w:r>
      <w:r>
        <w:fldChar w:fldCharType="begin"/>
      </w:r>
      <w:r>
        <w:instrText>SEQ Figure \* ARABIC</w:instrText>
      </w:r>
      <w:r>
        <w:fldChar w:fldCharType="separate"/>
      </w:r>
      <w:r w:rsidR="00581B01">
        <w:rPr>
          <w:noProof/>
        </w:rPr>
        <w:t>3</w:t>
      </w:r>
      <w:r>
        <w:fldChar w:fldCharType="end"/>
      </w:r>
      <w:r>
        <w:tab/>
        <w:t>COVID-19 public health spending (</w:t>
      </w:r>
      <w:r w:rsidRPr="00EB61D8">
        <w:t>2020</w:t>
      </w:r>
      <w:r w:rsidR="009711BF">
        <w:t>–</w:t>
      </w:r>
      <w:r w:rsidRPr="00EB61D8">
        <w:t>21, 2021</w:t>
      </w:r>
      <w:r w:rsidR="009711BF">
        <w:t>–</w:t>
      </w:r>
      <w:r w:rsidRPr="00EB61D8">
        <w:t>22 and 2022</w:t>
      </w:r>
      <w:r w:rsidR="009711BF">
        <w:t>–</w:t>
      </w:r>
      <w:r w:rsidRPr="00EB61D8">
        <w:t>23</w:t>
      </w:r>
      <w:r>
        <w:t>) versus Commission’s assessment of needs for community and public health spending</w:t>
      </w:r>
    </w:p>
    <w:p w14:paraId="0557B705" w14:textId="75FE4418" w:rsidR="007944C5" w:rsidRDefault="007944C5" w:rsidP="004641E5">
      <w:pPr>
        <w:pStyle w:val="CGC2025Caption"/>
        <w:ind w:left="1134" w:hanging="1134"/>
      </w:pPr>
      <w:r w:rsidRPr="007944C5">
        <w:rPr>
          <w:noProof/>
        </w:rPr>
        <w:drawing>
          <wp:inline distT="0" distB="0" distL="0" distR="0" wp14:anchorId="0C671018" wp14:editId="7CA0D197">
            <wp:extent cx="5731510" cy="311404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114040"/>
                    </a:xfrm>
                    <a:prstGeom prst="rect">
                      <a:avLst/>
                    </a:prstGeom>
                    <a:noFill/>
                    <a:ln>
                      <a:noFill/>
                    </a:ln>
                  </pic:spPr>
                </pic:pic>
              </a:graphicData>
            </a:graphic>
          </wp:inline>
        </w:drawing>
      </w:r>
    </w:p>
    <w:bookmarkEnd w:id="16"/>
    <w:p w14:paraId="73DE16BA" w14:textId="6FD58E57" w:rsidR="00222585" w:rsidRDefault="000B195B" w:rsidP="004D31F4">
      <w:pPr>
        <w:pStyle w:val="CGC2025TableNote"/>
        <w:ind w:left="709" w:hanging="596"/>
      </w:pPr>
      <w:r w:rsidRPr="000B195B">
        <w:t>Source: C</w:t>
      </w:r>
      <w:r w:rsidR="009711BF">
        <w:t>ommission</w:t>
      </w:r>
      <w:r w:rsidRPr="000B195B">
        <w:t xml:space="preserve"> calculation using </w:t>
      </w:r>
      <w:r w:rsidR="00D90ACC">
        <w:t>reconciled National Health Funding Body</w:t>
      </w:r>
      <w:r w:rsidR="000F3264">
        <w:t xml:space="preserve"> </w:t>
      </w:r>
      <w:r w:rsidR="00197E49" w:rsidRPr="00952CBC">
        <w:t>N</w:t>
      </w:r>
      <w:r w:rsidR="00197E49">
        <w:t xml:space="preserve">ational </w:t>
      </w:r>
      <w:r w:rsidR="00197E49" w:rsidRPr="00952CBC">
        <w:t>P</w:t>
      </w:r>
      <w:r w:rsidR="00197E49">
        <w:t xml:space="preserve">artnership on </w:t>
      </w:r>
      <w:r w:rsidR="00197E49" w:rsidRPr="00952CBC">
        <w:t>C</w:t>
      </w:r>
      <w:r w:rsidR="00197E49">
        <w:t>OVID</w:t>
      </w:r>
      <w:r w:rsidR="00197E49">
        <w:noBreakHyphen/>
        <w:t xml:space="preserve">19 </w:t>
      </w:r>
      <w:r w:rsidR="00197E49" w:rsidRPr="00952CBC">
        <w:t>R</w:t>
      </w:r>
      <w:r w:rsidR="00197E49">
        <w:t>esponse</w:t>
      </w:r>
      <w:r w:rsidR="00197E49" w:rsidRPr="00952CBC">
        <w:t xml:space="preserve"> </w:t>
      </w:r>
      <w:r w:rsidRPr="000B195B">
        <w:t>expenses, assessed community health expenses and ABS population data.</w:t>
      </w:r>
    </w:p>
    <w:tbl>
      <w:tblPr>
        <w:tblW w:w="9026" w:type="dxa"/>
        <w:shd w:val="clear" w:color="auto" w:fill="E5F8FF"/>
        <w:tblLook w:val="0000" w:firstRow="0" w:lastRow="0" w:firstColumn="0" w:lastColumn="0" w:noHBand="0" w:noVBand="0"/>
      </w:tblPr>
      <w:tblGrid>
        <w:gridCol w:w="9026"/>
      </w:tblGrid>
      <w:tr w:rsidR="003D251C" w:rsidRPr="007C218F" w14:paraId="2244DC2B" w14:textId="77777777" w:rsidTr="0006006C">
        <w:trPr>
          <w:trHeight w:val="14034"/>
        </w:trPr>
        <w:tc>
          <w:tcPr>
            <w:tcW w:w="9026" w:type="dxa"/>
            <w:shd w:val="clear" w:color="auto" w:fill="E5F8FF"/>
          </w:tcPr>
          <w:p w14:paraId="473DA16B" w14:textId="0D06F2EF" w:rsidR="003D251C" w:rsidRPr="00D92628" w:rsidRDefault="00972713" w:rsidP="00D93C53">
            <w:pPr>
              <w:pStyle w:val="Heading4"/>
              <w:tabs>
                <w:tab w:val="left" w:pos="1171"/>
              </w:tabs>
              <w:rPr>
                <w:rFonts w:ascii="Open Sans Semibold" w:hAnsi="Open Sans Semibold" w:cs="Open Sans Semibold"/>
                <w:b w:val="0"/>
                <w:sz w:val="26"/>
                <w:szCs w:val="26"/>
              </w:rPr>
            </w:pPr>
            <w:r w:rsidRPr="00972AE4">
              <w:rPr>
                <w:rFonts w:ascii="Open Sans Semibold" w:eastAsia="Times New Roman" w:hAnsi="Open Sans Semibold" w:cs="Open Sans Semibold"/>
                <w:b w:val="0"/>
                <w:sz w:val="26"/>
                <w:szCs w:val="26"/>
              </w:rPr>
              <w:lastRenderedPageBreak/>
              <w:t>Box 1</w:t>
            </w:r>
            <w:r w:rsidR="0006006C" w:rsidRPr="00972AE4">
              <w:rPr>
                <w:rFonts w:ascii="Open Sans Semibold" w:eastAsia="Times New Roman" w:hAnsi="Open Sans Semibold" w:cs="Open Sans Semibold"/>
                <w:b w:val="0"/>
                <w:sz w:val="26"/>
                <w:szCs w:val="26"/>
              </w:rPr>
              <w:tab/>
            </w:r>
            <w:r w:rsidR="00FA4B88" w:rsidRPr="00972AE4">
              <w:rPr>
                <w:rFonts w:ascii="Open Sans Semibold" w:eastAsia="Times New Roman" w:hAnsi="Open Sans Semibold" w:cs="Open Sans Semibold"/>
                <w:b w:val="0"/>
                <w:sz w:val="26"/>
                <w:szCs w:val="26"/>
              </w:rPr>
              <w:t>Changing</w:t>
            </w:r>
            <w:r w:rsidR="00FA4B88" w:rsidRPr="00D92628">
              <w:rPr>
                <w:rFonts w:ascii="Open Sans Semibold" w:hAnsi="Open Sans Semibold" w:cs="Open Sans Semibold"/>
                <w:b w:val="0"/>
                <w:sz w:val="26"/>
                <w:szCs w:val="26"/>
              </w:rPr>
              <w:t xml:space="preserve"> impact of COVID</w:t>
            </w:r>
            <w:r w:rsidR="00FA4B88" w:rsidRPr="00D92628">
              <w:rPr>
                <w:rFonts w:ascii="Open Sans Semibold" w:hAnsi="Open Sans Semibold" w:cs="Open Sans Semibold"/>
                <w:b w:val="0"/>
                <w:sz w:val="26"/>
                <w:szCs w:val="26"/>
              </w:rPr>
              <w:noBreakHyphen/>
              <w:t>19</w:t>
            </w:r>
          </w:p>
          <w:p w14:paraId="613F62F1" w14:textId="4E91E8AA" w:rsidR="00423BD4" w:rsidRPr="00DE3500" w:rsidRDefault="0060589A">
            <w:pPr>
              <w:tabs>
                <w:tab w:val="clear" w:pos="567"/>
              </w:tabs>
              <w:rPr>
                <w:rFonts w:ascii="Work Sans" w:hAnsi="Work Sans"/>
              </w:rPr>
            </w:pPr>
            <w:r>
              <w:rPr>
                <w:rFonts w:ascii="Work Sans" w:hAnsi="Work Sans"/>
              </w:rPr>
              <w:t xml:space="preserve">The charts show the changing impact of </w:t>
            </w:r>
            <w:r w:rsidRPr="00DE3500">
              <w:rPr>
                <w:rFonts w:ascii="Work Sans" w:hAnsi="Work Sans"/>
              </w:rPr>
              <w:t>COVID</w:t>
            </w:r>
            <w:r w:rsidR="00EC6012" w:rsidRPr="00DE3500">
              <w:rPr>
                <w:rFonts w:ascii="Work Sans" w:hAnsi="Work Sans"/>
              </w:rPr>
              <w:noBreakHyphen/>
            </w:r>
            <w:r w:rsidR="0060591B" w:rsidRPr="00DE3500">
              <w:rPr>
                <w:rFonts w:ascii="Work Sans" w:hAnsi="Work Sans"/>
              </w:rPr>
              <w:t>19</w:t>
            </w:r>
            <w:r w:rsidR="0060591B">
              <w:rPr>
                <w:rFonts w:ascii="Work Sans" w:hAnsi="Work Sans"/>
              </w:rPr>
              <w:t xml:space="preserve"> </w:t>
            </w:r>
            <w:r w:rsidR="00682614">
              <w:rPr>
                <w:rFonts w:ascii="Work Sans" w:hAnsi="Work Sans"/>
              </w:rPr>
              <w:t>by</w:t>
            </w:r>
            <w:r w:rsidR="0060591B">
              <w:rPr>
                <w:rFonts w:ascii="Work Sans" w:hAnsi="Work Sans"/>
              </w:rPr>
              <w:t xml:space="preserve"> select socio</w:t>
            </w:r>
            <w:r w:rsidR="00EA28F8">
              <w:rPr>
                <w:rFonts w:ascii="Work Sans" w:hAnsi="Work Sans"/>
              </w:rPr>
              <w:noBreakHyphen/>
            </w:r>
            <w:r w:rsidR="0060591B">
              <w:rPr>
                <w:rFonts w:ascii="Work Sans" w:hAnsi="Work Sans"/>
              </w:rPr>
              <w:t xml:space="preserve">demographic </w:t>
            </w:r>
            <w:r w:rsidR="005557A8">
              <w:rPr>
                <w:rFonts w:ascii="Work Sans" w:hAnsi="Work Sans"/>
              </w:rPr>
              <w:t>composition groups</w:t>
            </w:r>
            <w:r w:rsidR="00302643">
              <w:rPr>
                <w:rFonts w:ascii="Work Sans" w:hAnsi="Work Sans"/>
              </w:rPr>
              <w:t>, by state</w:t>
            </w:r>
            <w:r w:rsidR="0007387D">
              <w:rPr>
                <w:rFonts w:ascii="Work Sans" w:hAnsi="Work Sans"/>
              </w:rPr>
              <w:t xml:space="preserve">, as measured by </w:t>
            </w:r>
            <w:r w:rsidR="00BA5C76">
              <w:rPr>
                <w:rFonts w:ascii="Work Sans" w:hAnsi="Work Sans"/>
              </w:rPr>
              <w:t xml:space="preserve">admitted patient </w:t>
            </w:r>
            <w:r w:rsidR="00E020EA">
              <w:rPr>
                <w:rFonts w:ascii="Work Sans" w:hAnsi="Work Sans"/>
              </w:rPr>
              <w:t>separations</w:t>
            </w:r>
            <w:r w:rsidR="005557A8">
              <w:rPr>
                <w:rFonts w:ascii="Work Sans" w:hAnsi="Work Sans"/>
              </w:rPr>
              <w:t xml:space="preserve">. </w:t>
            </w:r>
            <w:r w:rsidR="00020AF9" w:rsidRPr="00DE3500">
              <w:rPr>
                <w:rFonts w:ascii="Work Sans" w:hAnsi="Work Sans"/>
              </w:rPr>
              <w:t xml:space="preserve">Total </w:t>
            </w:r>
            <w:r w:rsidR="0017331D" w:rsidRPr="00DE3500">
              <w:rPr>
                <w:rFonts w:ascii="Work Sans" w:hAnsi="Work Sans"/>
              </w:rPr>
              <w:t>COVID-19</w:t>
            </w:r>
            <w:r w:rsidR="00020AF9" w:rsidRPr="00DE3500">
              <w:rPr>
                <w:rFonts w:ascii="Work Sans" w:hAnsi="Work Sans"/>
              </w:rPr>
              <w:t xml:space="preserve"> a</w:t>
            </w:r>
            <w:r w:rsidR="00BA6FBF" w:rsidRPr="00DE3500">
              <w:rPr>
                <w:rFonts w:ascii="Work Sans" w:hAnsi="Work Sans"/>
              </w:rPr>
              <w:t>d</w:t>
            </w:r>
            <w:r w:rsidR="005B538D" w:rsidRPr="00DE3500">
              <w:rPr>
                <w:rFonts w:ascii="Work Sans" w:hAnsi="Work Sans"/>
              </w:rPr>
              <w:t xml:space="preserve">mitted patient </w:t>
            </w:r>
            <w:r w:rsidR="00455BBB" w:rsidRPr="00DE3500">
              <w:rPr>
                <w:rFonts w:ascii="Work Sans" w:hAnsi="Work Sans"/>
              </w:rPr>
              <w:t xml:space="preserve">separations </w:t>
            </w:r>
            <w:r w:rsidR="002A42EF" w:rsidRPr="00DE3500">
              <w:rPr>
                <w:rFonts w:ascii="Work Sans" w:hAnsi="Work Sans"/>
              </w:rPr>
              <w:t>in 2021</w:t>
            </w:r>
            <w:r w:rsidR="002E58F4">
              <w:rPr>
                <w:rFonts w:ascii="Work Sans" w:hAnsi="Work Sans"/>
              </w:rPr>
              <w:t>–</w:t>
            </w:r>
            <w:r w:rsidR="002A42EF" w:rsidRPr="00DE3500">
              <w:rPr>
                <w:rFonts w:ascii="Work Sans" w:hAnsi="Work Sans"/>
              </w:rPr>
              <w:t xml:space="preserve">22 </w:t>
            </w:r>
            <w:proofErr w:type="gramStart"/>
            <w:r w:rsidR="00020AF9" w:rsidRPr="00DE3500">
              <w:rPr>
                <w:rFonts w:ascii="Work Sans" w:hAnsi="Work Sans"/>
              </w:rPr>
              <w:t>were</w:t>
            </w:r>
            <w:proofErr w:type="gramEnd"/>
            <w:r w:rsidR="00020AF9" w:rsidRPr="00DE3500">
              <w:rPr>
                <w:rFonts w:ascii="Work Sans" w:hAnsi="Work Sans"/>
              </w:rPr>
              <w:t xml:space="preserve"> 263</w:t>
            </w:r>
            <w:r w:rsidR="00F72207" w:rsidRPr="00DE3500">
              <w:rPr>
                <w:rFonts w:ascii="Work Sans" w:hAnsi="Work Sans"/>
              </w:rPr>
              <w:t>,425</w:t>
            </w:r>
            <w:r w:rsidR="006E399C" w:rsidRPr="00DE3500">
              <w:rPr>
                <w:rFonts w:ascii="Work Sans" w:hAnsi="Work Sans"/>
              </w:rPr>
              <w:t>, far in excess of the</w:t>
            </w:r>
            <w:r w:rsidR="00882241" w:rsidRPr="00DE3500">
              <w:rPr>
                <w:rFonts w:ascii="Work Sans" w:hAnsi="Work Sans"/>
              </w:rPr>
              <w:t xml:space="preserve"> </w:t>
            </w:r>
            <w:r w:rsidR="009C1344" w:rsidRPr="00DE3500">
              <w:rPr>
                <w:rFonts w:ascii="Work Sans" w:hAnsi="Work Sans"/>
                <w:color w:val="000000" w:themeColor="text1"/>
              </w:rPr>
              <w:t xml:space="preserve">separations </w:t>
            </w:r>
            <w:r w:rsidR="00F34CA9" w:rsidRPr="00DE3500">
              <w:rPr>
                <w:rFonts w:ascii="Work Sans" w:hAnsi="Work Sans"/>
                <w:color w:val="000000" w:themeColor="text1"/>
              </w:rPr>
              <w:t>during 2019</w:t>
            </w:r>
            <w:r w:rsidR="002E58F4">
              <w:rPr>
                <w:rFonts w:ascii="Work Sans" w:hAnsi="Work Sans"/>
                <w:color w:val="000000" w:themeColor="text1"/>
              </w:rPr>
              <w:t>–</w:t>
            </w:r>
            <w:r w:rsidR="00F34CA9" w:rsidRPr="00DE3500">
              <w:rPr>
                <w:rFonts w:ascii="Work Sans" w:hAnsi="Work Sans"/>
                <w:color w:val="000000" w:themeColor="text1"/>
              </w:rPr>
              <w:t xml:space="preserve">20 </w:t>
            </w:r>
            <w:r w:rsidR="000779B2" w:rsidRPr="00DE3500">
              <w:rPr>
                <w:rFonts w:ascii="Work Sans" w:hAnsi="Work Sans"/>
                <w:color w:val="000000" w:themeColor="text1"/>
              </w:rPr>
              <w:t xml:space="preserve">(2,628) </w:t>
            </w:r>
            <w:r w:rsidR="00F34CA9" w:rsidRPr="00DE3500">
              <w:rPr>
                <w:rFonts w:ascii="Work Sans" w:hAnsi="Work Sans"/>
                <w:color w:val="000000" w:themeColor="text1"/>
              </w:rPr>
              <w:t>and</w:t>
            </w:r>
            <w:r w:rsidR="00255796" w:rsidRPr="00DE3500">
              <w:rPr>
                <w:rFonts w:ascii="Work Sans" w:hAnsi="Work Sans"/>
                <w:color w:val="000000" w:themeColor="text1"/>
              </w:rPr>
              <w:t xml:space="preserve"> </w:t>
            </w:r>
            <w:r w:rsidR="0068775A" w:rsidRPr="00DE3500">
              <w:rPr>
                <w:rFonts w:ascii="Work Sans" w:hAnsi="Work Sans"/>
                <w:color w:val="000000" w:themeColor="text1"/>
              </w:rPr>
              <w:t>for</w:t>
            </w:r>
            <w:r w:rsidR="00F34CA9" w:rsidRPr="00DE3500">
              <w:rPr>
                <w:rFonts w:ascii="Work Sans" w:hAnsi="Work Sans"/>
                <w:color w:val="000000" w:themeColor="text1"/>
              </w:rPr>
              <w:t xml:space="preserve"> </w:t>
            </w:r>
            <w:r w:rsidR="00F34CA9" w:rsidRPr="00DE3500">
              <w:rPr>
                <w:rFonts w:ascii="Work Sans" w:hAnsi="Work Sans"/>
              </w:rPr>
              <w:t>2020</w:t>
            </w:r>
            <w:r w:rsidR="002E58F4">
              <w:rPr>
                <w:rFonts w:ascii="Work Sans" w:hAnsi="Work Sans"/>
              </w:rPr>
              <w:t>–</w:t>
            </w:r>
            <w:r w:rsidR="00F34CA9" w:rsidRPr="00DE3500">
              <w:rPr>
                <w:rFonts w:ascii="Work Sans" w:hAnsi="Work Sans"/>
              </w:rPr>
              <w:t>21</w:t>
            </w:r>
            <w:r w:rsidR="000779B2" w:rsidRPr="00DE3500">
              <w:rPr>
                <w:rFonts w:ascii="Work Sans" w:hAnsi="Work Sans"/>
              </w:rPr>
              <w:t xml:space="preserve"> (</w:t>
            </w:r>
            <w:r w:rsidR="000779B2" w:rsidRPr="00DE3500">
              <w:rPr>
                <w:rFonts w:ascii="Work Sans" w:hAnsi="Work Sans"/>
                <w:color w:val="000000" w:themeColor="text1"/>
              </w:rPr>
              <w:t>4,718)</w:t>
            </w:r>
            <w:r w:rsidR="00F34CA9" w:rsidRPr="00DE3500">
              <w:rPr>
                <w:rFonts w:ascii="Work Sans" w:hAnsi="Work Sans"/>
              </w:rPr>
              <w:t>.</w:t>
            </w:r>
            <w:r w:rsidR="006A3CCE" w:rsidRPr="00DE3500">
              <w:rPr>
                <w:rFonts w:ascii="Work Sans" w:hAnsi="Work Sans"/>
              </w:rPr>
              <w:t xml:space="preserve"> </w:t>
            </w:r>
            <w:r w:rsidR="00CF2B0A" w:rsidRPr="00DE3500">
              <w:rPr>
                <w:rFonts w:ascii="Work Sans" w:hAnsi="Work Sans"/>
              </w:rPr>
              <w:t xml:space="preserve">More recent data on deaths </w:t>
            </w:r>
            <w:r w:rsidR="00176E0D" w:rsidRPr="00DE3500">
              <w:rPr>
                <w:rFonts w:ascii="Work Sans" w:hAnsi="Work Sans"/>
              </w:rPr>
              <w:t xml:space="preserve">covering </w:t>
            </w:r>
            <w:r w:rsidR="00FE7CE1" w:rsidRPr="00DE3500">
              <w:rPr>
                <w:rFonts w:ascii="Work Sans" w:hAnsi="Work Sans"/>
              </w:rPr>
              <w:t>4</w:t>
            </w:r>
            <w:r w:rsidR="00CB4772" w:rsidRPr="00DE3500">
              <w:rPr>
                <w:rFonts w:ascii="Work Sans" w:hAnsi="Work Sans"/>
              </w:rPr>
              <w:t xml:space="preserve"> </w:t>
            </w:r>
            <w:r w:rsidR="008129E1" w:rsidRPr="00DE3500">
              <w:rPr>
                <w:rFonts w:ascii="Work Sans" w:hAnsi="Work Sans"/>
              </w:rPr>
              <w:t xml:space="preserve">years to </w:t>
            </w:r>
            <w:r w:rsidR="00743C80" w:rsidRPr="00DE3500">
              <w:rPr>
                <w:rFonts w:ascii="Work Sans" w:hAnsi="Work Sans"/>
              </w:rPr>
              <w:t xml:space="preserve">30 September </w:t>
            </w:r>
            <w:r w:rsidR="008129E1" w:rsidRPr="00DE3500">
              <w:rPr>
                <w:rFonts w:ascii="Work Sans" w:hAnsi="Work Sans"/>
              </w:rPr>
              <w:t xml:space="preserve">2023 </w:t>
            </w:r>
            <w:r w:rsidR="008C6201" w:rsidRPr="00DE3500">
              <w:rPr>
                <w:rFonts w:ascii="Work Sans" w:hAnsi="Work Sans"/>
              </w:rPr>
              <w:t xml:space="preserve">show a similar pattern with the </w:t>
            </w:r>
            <w:r w:rsidR="00823FE8" w:rsidRPr="00DE3500">
              <w:rPr>
                <w:rFonts w:ascii="Work Sans" w:hAnsi="Work Sans"/>
              </w:rPr>
              <w:t>impact by location and socio</w:t>
            </w:r>
            <w:r w:rsidR="005F6FFD">
              <w:rPr>
                <w:rFonts w:ascii="Work Sans" w:hAnsi="Work Sans"/>
              </w:rPr>
              <w:t>-</w:t>
            </w:r>
            <w:r w:rsidR="00823FE8" w:rsidRPr="00DE3500">
              <w:rPr>
                <w:rFonts w:ascii="Work Sans" w:hAnsi="Work Sans"/>
              </w:rPr>
              <w:t>demographic driver evolving over</w:t>
            </w:r>
            <w:r w:rsidR="00AF4D02">
              <w:rPr>
                <w:rFonts w:ascii="Work Sans" w:hAnsi="Work Sans"/>
              </w:rPr>
              <w:t xml:space="preserve"> </w:t>
            </w:r>
            <w:r w:rsidR="00823FE8" w:rsidRPr="00DE3500">
              <w:rPr>
                <w:rFonts w:ascii="Work Sans" w:hAnsi="Work Sans"/>
              </w:rPr>
              <w:t>time</w:t>
            </w:r>
            <w:r w:rsidR="00F26F8C" w:rsidRPr="00DE3500">
              <w:rPr>
                <w:rFonts w:ascii="Work Sans" w:hAnsi="Work Sans"/>
              </w:rPr>
              <w:t>. This fluidity</w:t>
            </w:r>
            <w:r w:rsidR="00B952C0" w:rsidRPr="00DE3500">
              <w:rPr>
                <w:rFonts w:ascii="Work Sans" w:hAnsi="Work Sans"/>
              </w:rPr>
              <w:t xml:space="preserve"> and</w:t>
            </w:r>
            <w:r w:rsidR="00F14DF7" w:rsidRPr="00DE3500">
              <w:rPr>
                <w:rFonts w:ascii="Work Sans" w:hAnsi="Work Sans"/>
              </w:rPr>
              <w:t xml:space="preserve"> the </w:t>
            </w:r>
            <w:r w:rsidR="0024465F" w:rsidRPr="00DE3500">
              <w:rPr>
                <w:rFonts w:ascii="Work Sans" w:hAnsi="Work Sans"/>
              </w:rPr>
              <w:t xml:space="preserve">magnitude of the change </w:t>
            </w:r>
            <w:r w:rsidR="00B952C0" w:rsidRPr="00DE3500">
              <w:rPr>
                <w:rFonts w:ascii="Work Sans" w:hAnsi="Work Sans"/>
              </w:rPr>
              <w:t>between years</w:t>
            </w:r>
            <w:r w:rsidR="00DC5C2C" w:rsidRPr="00DE3500">
              <w:rPr>
                <w:rFonts w:ascii="Work Sans" w:hAnsi="Work Sans"/>
              </w:rPr>
              <w:t xml:space="preserve"> </w:t>
            </w:r>
            <w:r w:rsidR="00F26F8C" w:rsidRPr="00DE3500">
              <w:rPr>
                <w:rFonts w:ascii="Work Sans" w:hAnsi="Work Sans"/>
              </w:rPr>
              <w:t xml:space="preserve">means there </w:t>
            </w:r>
            <w:r w:rsidR="00B952C0" w:rsidRPr="00DE3500">
              <w:rPr>
                <w:rFonts w:ascii="Work Sans" w:hAnsi="Work Sans"/>
              </w:rPr>
              <w:t xml:space="preserve">was </w:t>
            </w:r>
            <w:r w:rsidR="00F26F8C" w:rsidRPr="00DE3500">
              <w:rPr>
                <w:rFonts w:ascii="Work Sans" w:hAnsi="Work Sans"/>
              </w:rPr>
              <w:t xml:space="preserve">a </w:t>
            </w:r>
            <w:r w:rsidR="00A039A0" w:rsidRPr="00DE3500">
              <w:rPr>
                <w:rFonts w:ascii="Work Sans" w:hAnsi="Work Sans"/>
              </w:rPr>
              <w:t>mismatch</w:t>
            </w:r>
            <w:r w:rsidR="00F26F8C" w:rsidRPr="00DE3500">
              <w:rPr>
                <w:rFonts w:ascii="Work Sans" w:hAnsi="Work Sans"/>
              </w:rPr>
              <w:t xml:space="preserve"> </w:t>
            </w:r>
            <w:r w:rsidR="00A039A0" w:rsidRPr="00DE3500">
              <w:rPr>
                <w:rFonts w:ascii="Work Sans" w:hAnsi="Work Sans"/>
              </w:rPr>
              <w:t>between</w:t>
            </w:r>
            <w:r w:rsidR="00F26F8C" w:rsidRPr="00DE3500">
              <w:rPr>
                <w:rFonts w:ascii="Work Sans" w:hAnsi="Work Sans"/>
              </w:rPr>
              <w:t xml:space="preserve"> needs assessed in </w:t>
            </w:r>
            <w:r w:rsidR="006E1454" w:rsidRPr="00DE3500">
              <w:rPr>
                <w:rFonts w:ascii="Work Sans" w:hAnsi="Work Sans"/>
              </w:rPr>
              <w:t xml:space="preserve">the </w:t>
            </w:r>
            <w:r w:rsidR="00A039A0" w:rsidRPr="00DE3500">
              <w:rPr>
                <w:rFonts w:ascii="Work Sans" w:hAnsi="Work Sans"/>
              </w:rPr>
              <w:t>assessment period</w:t>
            </w:r>
            <w:r w:rsidR="00C04F07" w:rsidRPr="00DE3500">
              <w:rPr>
                <w:rFonts w:ascii="Work Sans" w:hAnsi="Work Sans"/>
              </w:rPr>
              <w:t xml:space="preserve"> and those in the application period</w:t>
            </w:r>
            <w:r w:rsidR="00823FE8" w:rsidRPr="00DE3500">
              <w:rPr>
                <w:rFonts w:ascii="Work Sans" w:hAnsi="Work Sans"/>
              </w:rPr>
              <w:t>.</w:t>
            </w:r>
          </w:p>
          <w:p w14:paraId="40E34F5B" w14:textId="6D4A3354" w:rsidR="00B16B07" w:rsidRPr="00D92628" w:rsidRDefault="004C3670" w:rsidP="007C5DA7">
            <w:pPr>
              <w:pStyle w:val="CGC2025Caption"/>
              <w:spacing w:before="120"/>
              <w:rPr>
                <w:rFonts w:ascii="Open Sans Semibold" w:hAnsi="Open Sans Semibold" w:cs="Open Sans Semibold"/>
                <w:b w:val="0"/>
                <w:szCs w:val="20"/>
              </w:rPr>
            </w:pPr>
            <w:r w:rsidRPr="00D92628">
              <w:rPr>
                <w:rFonts w:ascii="Open Sans Semibold" w:hAnsi="Open Sans Semibold" w:cs="Open Sans Semibold"/>
                <w:b w:val="0"/>
                <w:szCs w:val="20"/>
              </w:rPr>
              <w:t xml:space="preserve">Admitted patient separations </w:t>
            </w:r>
            <w:r w:rsidR="00346EF3" w:rsidRPr="00D92628">
              <w:rPr>
                <w:rFonts w:ascii="Open Sans Semibold" w:hAnsi="Open Sans Semibold" w:cs="Open Sans Semibold"/>
                <w:b w:val="0"/>
                <w:szCs w:val="20"/>
              </w:rPr>
              <w:t>with a COVID</w:t>
            </w:r>
            <w:r w:rsidR="00346EF3" w:rsidRPr="00D92628">
              <w:rPr>
                <w:rFonts w:ascii="Open Sans Semibold" w:hAnsi="Open Sans Semibold" w:cs="Open Sans Semibold"/>
                <w:b w:val="0"/>
                <w:szCs w:val="20"/>
              </w:rPr>
              <w:noBreakHyphen/>
              <w:t xml:space="preserve">19 </w:t>
            </w:r>
            <w:r w:rsidR="001B4104" w:rsidRPr="00D92628">
              <w:rPr>
                <w:rFonts w:ascii="Open Sans Semibold" w:hAnsi="Open Sans Semibold" w:cs="Open Sans Semibold"/>
                <w:b w:val="0"/>
                <w:szCs w:val="20"/>
              </w:rPr>
              <w:t xml:space="preserve">diagnosis </w:t>
            </w:r>
            <w:r w:rsidRPr="00D92628">
              <w:rPr>
                <w:rFonts w:ascii="Open Sans Semibold" w:hAnsi="Open Sans Semibold" w:cs="Open Sans Semibold"/>
                <w:b w:val="0"/>
                <w:szCs w:val="20"/>
              </w:rPr>
              <w:t xml:space="preserve">by </w:t>
            </w:r>
            <w:r w:rsidR="007C49A3" w:rsidRPr="00D92628">
              <w:rPr>
                <w:rFonts w:ascii="Open Sans Semibold" w:hAnsi="Open Sans Semibold" w:cs="Open Sans Semibold"/>
                <w:b w:val="0"/>
                <w:szCs w:val="20"/>
              </w:rPr>
              <w:t xml:space="preserve">Indigenous </w:t>
            </w:r>
            <w:proofErr w:type="gramStart"/>
            <w:r w:rsidR="007C49A3" w:rsidRPr="00D92628">
              <w:rPr>
                <w:rFonts w:ascii="Open Sans Semibold" w:hAnsi="Open Sans Semibold" w:cs="Open Sans Semibold"/>
                <w:b w:val="0"/>
                <w:szCs w:val="20"/>
              </w:rPr>
              <w:t>status</w:t>
            </w:r>
            <w:proofErr w:type="gramEnd"/>
          </w:p>
          <w:tbl>
            <w:tblPr>
              <w:tblStyle w:val="TableGrid"/>
              <w:tblW w:w="0" w:type="auto"/>
              <w:tblLook w:val="04A0" w:firstRow="1" w:lastRow="0" w:firstColumn="1" w:lastColumn="0" w:noHBand="0" w:noVBand="1"/>
            </w:tblPr>
            <w:tblGrid>
              <w:gridCol w:w="4386"/>
              <w:gridCol w:w="4414"/>
            </w:tblGrid>
            <w:tr w:rsidR="002E56F4" w14:paraId="00DBDA12" w14:textId="77777777" w:rsidTr="009C0B15">
              <w:tc>
                <w:tcPr>
                  <w:tcW w:w="4430" w:type="dxa"/>
                </w:tcPr>
                <w:p w14:paraId="6CAE85CF" w14:textId="54B85985" w:rsidR="000C35BB" w:rsidRPr="00D92628" w:rsidRDefault="00406641" w:rsidP="005D6ABF">
                  <w:pPr>
                    <w:pStyle w:val="CGC2025Caption"/>
                    <w:spacing w:before="120"/>
                    <w:rPr>
                      <w:rFonts w:ascii="Open Sans Semibold" w:hAnsi="Open Sans Semibold" w:cs="Open Sans Semibold"/>
                      <w:b w:val="0"/>
                      <w:sz w:val="16"/>
                      <w:szCs w:val="16"/>
                    </w:rPr>
                  </w:pPr>
                  <w:r w:rsidRPr="00D92628">
                    <w:rPr>
                      <w:rFonts w:ascii="Open Sans Semibold" w:hAnsi="Open Sans Semibold" w:cs="Open Sans Semibold"/>
                      <w:b w:val="0"/>
                      <w:sz w:val="16"/>
                      <w:szCs w:val="16"/>
                    </w:rPr>
                    <w:t>First 2 years (</w:t>
                  </w:r>
                  <w:r w:rsidR="000A42B3" w:rsidRPr="00D92628">
                    <w:rPr>
                      <w:rFonts w:ascii="Open Sans Semibold" w:hAnsi="Open Sans Semibold" w:cs="Open Sans Semibold"/>
                      <w:b w:val="0"/>
                      <w:sz w:val="16"/>
                      <w:szCs w:val="16"/>
                    </w:rPr>
                    <w:t>2019</w:t>
                  </w:r>
                  <w:r w:rsidR="002E58F4" w:rsidRPr="00D92628">
                    <w:rPr>
                      <w:rFonts w:ascii="Open Sans Semibold" w:hAnsi="Open Sans Semibold" w:cs="Open Sans Semibold"/>
                      <w:b w:val="0"/>
                      <w:sz w:val="16"/>
                      <w:szCs w:val="16"/>
                    </w:rPr>
                    <w:t>–</w:t>
                  </w:r>
                  <w:r w:rsidR="000A42B3" w:rsidRPr="00D92628">
                    <w:rPr>
                      <w:rFonts w:ascii="Open Sans Semibold" w:hAnsi="Open Sans Semibold" w:cs="Open Sans Semibold"/>
                      <w:b w:val="0"/>
                      <w:sz w:val="16"/>
                      <w:szCs w:val="16"/>
                    </w:rPr>
                    <w:t xml:space="preserve">20 </w:t>
                  </w:r>
                  <w:r w:rsidR="00C3432F" w:rsidRPr="00D92628">
                    <w:rPr>
                      <w:rFonts w:ascii="Open Sans Semibold" w:hAnsi="Open Sans Semibold" w:cs="Open Sans Semibold"/>
                      <w:b w:val="0"/>
                      <w:sz w:val="16"/>
                      <w:szCs w:val="16"/>
                    </w:rPr>
                    <w:t>to 20</w:t>
                  </w:r>
                  <w:r w:rsidR="00B45DA8" w:rsidRPr="00D92628">
                    <w:rPr>
                      <w:rFonts w:ascii="Open Sans Semibold" w:hAnsi="Open Sans Semibold" w:cs="Open Sans Semibold"/>
                      <w:b w:val="0"/>
                      <w:sz w:val="16"/>
                      <w:szCs w:val="16"/>
                    </w:rPr>
                    <w:t>20</w:t>
                  </w:r>
                  <w:r w:rsidR="002E58F4" w:rsidRPr="00D92628">
                    <w:rPr>
                      <w:rFonts w:ascii="Open Sans Semibold" w:hAnsi="Open Sans Semibold" w:cs="Open Sans Semibold"/>
                      <w:b w:val="0"/>
                      <w:sz w:val="16"/>
                      <w:szCs w:val="16"/>
                    </w:rPr>
                    <w:t>–</w:t>
                  </w:r>
                  <w:r w:rsidR="00B45DA8" w:rsidRPr="00D92628">
                    <w:rPr>
                      <w:rFonts w:ascii="Open Sans Semibold" w:hAnsi="Open Sans Semibold" w:cs="Open Sans Semibold"/>
                      <w:b w:val="0"/>
                      <w:sz w:val="16"/>
                      <w:szCs w:val="16"/>
                    </w:rPr>
                    <w:t>21</w:t>
                  </w:r>
                  <w:r w:rsidRPr="00D92628">
                    <w:rPr>
                      <w:rFonts w:ascii="Open Sans Semibold" w:hAnsi="Open Sans Semibold" w:cs="Open Sans Semibold"/>
                      <w:b w:val="0"/>
                      <w:sz w:val="16"/>
                      <w:szCs w:val="16"/>
                    </w:rPr>
                    <w:t>)</w:t>
                  </w:r>
                </w:p>
                <w:p w14:paraId="7C3356F8" w14:textId="120F0217" w:rsidR="00706AAA" w:rsidRDefault="002E56F4">
                  <w:pPr>
                    <w:tabs>
                      <w:tab w:val="clear" w:pos="567"/>
                    </w:tabs>
                    <w:rPr>
                      <w:rFonts w:ascii="Work Sans" w:hAnsi="Work Sans"/>
                    </w:rPr>
                  </w:pPr>
                  <w:r w:rsidRPr="002E56F4">
                    <w:rPr>
                      <w:rFonts w:ascii="Work Sans" w:hAnsi="Work Sans"/>
                      <w:noProof/>
                    </w:rPr>
                    <w:drawing>
                      <wp:inline distT="0" distB="0" distL="0" distR="0" wp14:anchorId="7C100B32" wp14:editId="38910DE9">
                        <wp:extent cx="2648766" cy="155266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809" cy="1574969"/>
                                </a:xfrm>
                                <a:prstGeom prst="rect">
                                  <a:avLst/>
                                </a:prstGeom>
                                <a:noFill/>
                                <a:ln>
                                  <a:noFill/>
                                </a:ln>
                              </pic:spPr>
                            </pic:pic>
                          </a:graphicData>
                        </a:graphic>
                      </wp:inline>
                    </w:drawing>
                  </w:r>
                </w:p>
              </w:tc>
              <w:tc>
                <w:tcPr>
                  <w:tcW w:w="4430" w:type="dxa"/>
                </w:tcPr>
                <w:p w14:paraId="11B8E82C" w14:textId="5A2F6CEA" w:rsidR="000C35BB" w:rsidRPr="00D92628" w:rsidRDefault="00406641" w:rsidP="005D6ABF">
                  <w:pPr>
                    <w:pStyle w:val="CGC2025Caption"/>
                    <w:spacing w:before="120"/>
                    <w:rPr>
                      <w:rFonts w:ascii="Open Sans Semibold" w:hAnsi="Open Sans Semibold" w:cs="Open Sans Semibold"/>
                      <w:b w:val="0"/>
                      <w:sz w:val="16"/>
                      <w:szCs w:val="16"/>
                    </w:rPr>
                  </w:pPr>
                  <w:r w:rsidRPr="00D92628">
                    <w:rPr>
                      <w:rFonts w:ascii="Open Sans Semibold" w:hAnsi="Open Sans Semibold" w:cs="Open Sans Semibold"/>
                      <w:b w:val="0"/>
                      <w:sz w:val="16"/>
                      <w:szCs w:val="16"/>
                    </w:rPr>
                    <w:t xml:space="preserve">First </w:t>
                  </w:r>
                  <w:r w:rsidR="00102AF2" w:rsidRPr="00D92628">
                    <w:rPr>
                      <w:rFonts w:ascii="Open Sans Semibold" w:hAnsi="Open Sans Semibold" w:cs="Open Sans Semibold"/>
                      <w:b w:val="0"/>
                      <w:sz w:val="16"/>
                      <w:szCs w:val="16"/>
                    </w:rPr>
                    <w:t>3 years</w:t>
                  </w:r>
                  <w:r w:rsidR="00C32A32" w:rsidRPr="00D92628">
                    <w:rPr>
                      <w:rFonts w:ascii="Open Sans Semibold" w:hAnsi="Open Sans Semibold" w:cs="Open Sans Semibold"/>
                      <w:b w:val="0"/>
                      <w:sz w:val="16"/>
                      <w:szCs w:val="16"/>
                    </w:rPr>
                    <w:t xml:space="preserve"> (2019</w:t>
                  </w:r>
                  <w:r w:rsidR="002E58F4" w:rsidRPr="00D92628">
                    <w:rPr>
                      <w:rFonts w:ascii="Open Sans Semibold" w:hAnsi="Open Sans Semibold" w:cs="Open Sans Semibold"/>
                      <w:b w:val="0"/>
                      <w:sz w:val="16"/>
                      <w:szCs w:val="16"/>
                    </w:rPr>
                    <w:t>–</w:t>
                  </w:r>
                  <w:r w:rsidR="00C32A32" w:rsidRPr="00D92628">
                    <w:rPr>
                      <w:rFonts w:ascii="Open Sans Semibold" w:hAnsi="Open Sans Semibold" w:cs="Open Sans Semibold"/>
                      <w:b w:val="0"/>
                      <w:sz w:val="16"/>
                      <w:szCs w:val="16"/>
                    </w:rPr>
                    <w:t>20 to 20</w:t>
                  </w:r>
                  <w:r w:rsidR="002E4870" w:rsidRPr="00D92628">
                    <w:rPr>
                      <w:rFonts w:ascii="Open Sans Semibold" w:hAnsi="Open Sans Semibold" w:cs="Open Sans Semibold"/>
                      <w:b w:val="0"/>
                      <w:sz w:val="16"/>
                      <w:szCs w:val="16"/>
                    </w:rPr>
                    <w:t>21</w:t>
                  </w:r>
                  <w:r w:rsidR="002E58F4" w:rsidRPr="00D92628">
                    <w:rPr>
                      <w:rFonts w:ascii="Open Sans Semibold" w:hAnsi="Open Sans Semibold" w:cs="Open Sans Semibold"/>
                      <w:b w:val="0"/>
                      <w:sz w:val="16"/>
                      <w:szCs w:val="16"/>
                    </w:rPr>
                    <w:t>–</w:t>
                  </w:r>
                  <w:r w:rsidR="002E4870" w:rsidRPr="00D92628">
                    <w:rPr>
                      <w:rFonts w:ascii="Open Sans Semibold" w:hAnsi="Open Sans Semibold" w:cs="Open Sans Semibold"/>
                      <w:b w:val="0"/>
                      <w:sz w:val="16"/>
                      <w:szCs w:val="16"/>
                    </w:rPr>
                    <w:t>22)</w:t>
                  </w:r>
                </w:p>
                <w:p w14:paraId="589C57A9" w14:textId="1BA4AD01" w:rsidR="009C0B15" w:rsidRDefault="00A27978">
                  <w:pPr>
                    <w:tabs>
                      <w:tab w:val="clear" w:pos="567"/>
                    </w:tabs>
                    <w:rPr>
                      <w:rFonts w:ascii="Work Sans" w:hAnsi="Work Sans"/>
                    </w:rPr>
                  </w:pPr>
                  <w:r w:rsidRPr="00A27978">
                    <w:rPr>
                      <w:rFonts w:ascii="Work Sans" w:hAnsi="Work Sans"/>
                      <w:noProof/>
                    </w:rPr>
                    <w:drawing>
                      <wp:inline distT="0" distB="0" distL="0" distR="0" wp14:anchorId="72B407EF" wp14:editId="472E9582">
                        <wp:extent cx="2661314" cy="156727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5188" cy="1622553"/>
                                </a:xfrm>
                                <a:prstGeom prst="rect">
                                  <a:avLst/>
                                </a:prstGeom>
                                <a:noFill/>
                                <a:ln>
                                  <a:noFill/>
                                </a:ln>
                              </pic:spPr>
                            </pic:pic>
                          </a:graphicData>
                        </a:graphic>
                      </wp:inline>
                    </w:drawing>
                  </w:r>
                </w:p>
              </w:tc>
            </w:tr>
          </w:tbl>
          <w:p w14:paraId="19727533" w14:textId="6BA9A701" w:rsidR="000C35BB" w:rsidRPr="00D92628" w:rsidRDefault="005E16F6" w:rsidP="005D6ABF">
            <w:pPr>
              <w:pStyle w:val="CGC2025Caption"/>
              <w:spacing w:before="120"/>
              <w:rPr>
                <w:rFonts w:ascii="Open Sans Semibold" w:hAnsi="Open Sans Semibold" w:cs="Open Sans Semibold"/>
                <w:b w:val="0"/>
                <w:szCs w:val="20"/>
              </w:rPr>
            </w:pPr>
            <w:r w:rsidRPr="00D92628">
              <w:rPr>
                <w:rFonts w:ascii="Open Sans Semibold" w:hAnsi="Open Sans Semibold" w:cs="Open Sans Semibold"/>
                <w:b w:val="0"/>
                <w:szCs w:val="20"/>
              </w:rPr>
              <w:t>Admitted patient separations with a COVID</w:t>
            </w:r>
            <w:r w:rsidRPr="00D92628">
              <w:rPr>
                <w:rFonts w:ascii="Open Sans Semibold" w:hAnsi="Open Sans Semibold" w:cs="Open Sans Semibold"/>
                <w:b w:val="0"/>
                <w:szCs w:val="20"/>
              </w:rPr>
              <w:noBreakHyphen/>
              <w:t xml:space="preserve">19 diagnosis by </w:t>
            </w:r>
            <w:proofErr w:type="gramStart"/>
            <w:r w:rsidRPr="00D92628">
              <w:rPr>
                <w:rFonts w:ascii="Open Sans Semibold" w:hAnsi="Open Sans Semibold" w:cs="Open Sans Semibold"/>
                <w:b w:val="0"/>
                <w:szCs w:val="20"/>
              </w:rPr>
              <w:t>remoteness</w:t>
            </w:r>
            <w:proofErr w:type="gramEnd"/>
          </w:p>
          <w:tbl>
            <w:tblPr>
              <w:tblStyle w:val="TableGrid"/>
              <w:tblW w:w="0" w:type="auto"/>
              <w:tblLook w:val="04A0" w:firstRow="1" w:lastRow="0" w:firstColumn="1" w:lastColumn="0" w:noHBand="0" w:noVBand="1"/>
            </w:tblPr>
            <w:tblGrid>
              <w:gridCol w:w="4407"/>
              <w:gridCol w:w="4393"/>
            </w:tblGrid>
            <w:tr w:rsidR="007871A2" w14:paraId="172EC122" w14:textId="77777777" w:rsidTr="008417BE">
              <w:tc>
                <w:tcPr>
                  <w:tcW w:w="4429" w:type="dxa"/>
                </w:tcPr>
                <w:p w14:paraId="4717D90D" w14:textId="55266279" w:rsidR="000C35BB" w:rsidRPr="00D92628" w:rsidRDefault="00417BEE" w:rsidP="005D6ABF">
                  <w:pPr>
                    <w:pStyle w:val="CGC2025Caption"/>
                    <w:spacing w:before="120"/>
                    <w:rPr>
                      <w:rFonts w:ascii="Open Sans Semibold" w:hAnsi="Open Sans Semibold" w:cs="Open Sans Semibold"/>
                      <w:b w:val="0"/>
                      <w:sz w:val="16"/>
                      <w:szCs w:val="16"/>
                    </w:rPr>
                  </w:pPr>
                  <w:r w:rsidRPr="00D92628">
                    <w:rPr>
                      <w:rFonts w:ascii="Open Sans Semibold" w:hAnsi="Open Sans Semibold" w:cs="Open Sans Semibold"/>
                      <w:b w:val="0"/>
                      <w:sz w:val="16"/>
                      <w:szCs w:val="16"/>
                    </w:rPr>
                    <w:t>First 2 years (2019</w:t>
                  </w:r>
                  <w:r w:rsidR="002E58F4" w:rsidRPr="00D92628">
                    <w:rPr>
                      <w:rFonts w:ascii="Open Sans Semibold" w:hAnsi="Open Sans Semibold" w:cs="Open Sans Semibold"/>
                      <w:b w:val="0"/>
                      <w:sz w:val="16"/>
                      <w:szCs w:val="16"/>
                    </w:rPr>
                    <w:t>–</w:t>
                  </w:r>
                  <w:r w:rsidRPr="00D92628">
                    <w:rPr>
                      <w:rFonts w:ascii="Open Sans Semibold" w:hAnsi="Open Sans Semibold" w:cs="Open Sans Semibold"/>
                      <w:b w:val="0"/>
                      <w:sz w:val="16"/>
                      <w:szCs w:val="16"/>
                    </w:rPr>
                    <w:t>20 to 2020</w:t>
                  </w:r>
                  <w:r w:rsidR="002E58F4" w:rsidRPr="00D92628">
                    <w:rPr>
                      <w:rFonts w:ascii="Open Sans Semibold" w:hAnsi="Open Sans Semibold" w:cs="Open Sans Semibold"/>
                      <w:b w:val="0"/>
                      <w:sz w:val="16"/>
                      <w:szCs w:val="16"/>
                    </w:rPr>
                    <w:t>–</w:t>
                  </w:r>
                  <w:r w:rsidRPr="00D92628">
                    <w:rPr>
                      <w:rFonts w:ascii="Open Sans Semibold" w:hAnsi="Open Sans Semibold" w:cs="Open Sans Semibold"/>
                      <w:b w:val="0"/>
                      <w:sz w:val="16"/>
                      <w:szCs w:val="16"/>
                    </w:rPr>
                    <w:t>21)</w:t>
                  </w:r>
                </w:p>
                <w:p w14:paraId="76679AAD" w14:textId="22B20472" w:rsidR="00E3588A" w:rsidRDefault="007871A2">
                  <w:pPr>
                    <w:tabs>
                      <w:tab w:val="clear" w:pos="567"/>
                    </w:tabs>
                    <w:rPr>
                      <w:rFonts w:ascii="Work Sans" w:hAnsi="Work Sans"/>
                    </w:rPr>
                  </w:pPr>
                  <w:r w:rsidRPr="008417BE">
                    <w:rPr>
                      <w:rFonts w:ascii="Work Sans" w:hAnsi="Work Sans"/>
                      <w:noProof/>
                    </w:rPr>
                    <w:drawing>
                      <wp:inline distT="0" distB="0" distL="0" distR="0" wp14:anchorId="22614462" wp14:editId="08893B92">
                        <wp:extent cx="2696400" cy="1681200"/>
                        <wp:effectExtent l="0" t="0" r="8890" b="0"/>
                        <wp:docPr id="1176594092" name="Picture 117659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6400" cy="1681200"/>
                                </a:xfrm>
                                <a:prstGeom prst="rect">
                                  <a:avLst/>
                                </a:prstGeom>
                                <a:noFill/>
                                <a:ln>
                                  <a:noFill/>
                                </a:ln>
                              </pic:spPr>
                            </pic:pic>
                          </a:graphicData>
                        </a:graphic>
                      </wp:inline>
                    </w:drawing>
                  </w:r>
                </w:p>
              </w:tc>
              <w:tc>
                <w:tcPr>
                  <w:tcW w:w="4371" w:type="dxa"/>
                </w:tcPr>
                <w:p w14:paraId="247FC485" w14:textId="0B6223C9" w:rsidR="000C35BB" w:rsidRPr="00D92628" w:rsidRDefault="00417BEE" w:rsidP="005D6ABF">
                  <w:pPr>
                    <w:pStyle w:val="CGC2025Caption"/>
                    <w:spacing w:before="120"/>
                    <w:rPr>
                      <w:rFonts w:ascii="Open Sans Semibold" w:hAnsi="Open Sans Semibold" w:cs="Open Sans Semibold"/>
                      <w:b w:val="0"/>
                      <w:sz w:val="16"/>
                      <w:szCs w:val="16"/>
                    </w:rPr>
                  </w:pPr>
                  <w:r w:rsidRPr="00D92628">
                    <w:rPr>
                      <w:rFonts w:ascii="Open Sans Semibold" w:hAnsi="Open Sans Semibold" w:cs="Open Sans Semibold"/>
                      <w:b w:val="0"/>
                      <w:sz w:val="16"/>
                      <w:szCs w:val="16"/>
                    </w:rPr>
                    <w:t>First 3 years (2019</w:t>
                  </w:r>
                  <w:r w:rsidR="002E58F4" w:rsidRPr="00D92628">
                    <w:rPr>
                      <w:rFonts w:ascii="Open Sans Semibold" w:hAnsi="Open Sans Semibold" w:cs="Open Sans Semibold"/>
                      <w:b w:val="0"/>
                      <w:sz w:val="16"/>
                      <w:szCs w:val="16"/>
                    </w:rPr>
                    <w:t>–</w:t>
                  </w:r>
                  <w:r w:rsidRPr="00D92628">
                    <w:rPr>
                      <w:rFonts w:ascii="Open Sans Semibold" w:hAnsi="Open Sans Semibold" w:cs="Open Sans Semibold"/>
                      <w:b w:val="0"/>
                      <w:sz w:val="16"/>
                      <w:szCs w:val="16"/>
                    </w:rPr>
                    <w:t>20 to 2021</w:t>
                  </w:r>
                  <w:r w:rsidR="002E58F4" w:rsidRPr="00D92628">
                    <w:rPr>
                      <w:rFonts w:ascii="Open Sans Semibold" w:hAnsi="Open Sans Semibold" w:cs="Open Sans Semibold"/>
                      <w:b w:val="0"/>
                      <w:sz w:val="16"/>
                      <w:szCs w:val="16"/>
                    </w:rPr>
                    <w:t>–</w:t>
                  </w:r>
                  <w:r w:rsidRPr="00D92628">
                    <w:rPr>
                      <w:rFonts w:ascii="Open Sans Semibold" w:hAnsi="Open Sans Semibold" w:cs="Open Sans Semibold"/>
                      <w:b w:val="0"/>
                      <w:sz w:val="16"/>
                      <w:szCs w:val="16"/>
                    </w:rPr>
                    <w:t>22)</w:t>
                  </w:r>
                </w:p>
                <w:p w14:paraId="7FA5D023" w14:textId="27A43E4F" w:rsidR="00F72B0A" w:rsidRDefault="007871A2">
                  <w:pPr>
                    <w:tabs>
                      <w:tab w:val="clear" w:pos="567"/>
                    </w:tabs>
                    <w:rPr>
                      <w:rFonts w:ascii="Work Sans" w:hAnsi="Work Sans"/>
                    </w:rPr>
                  </w:pPr>
                  <w:r w:rsidRPr="007871A2">
                    <w:rPr>
                      <w:rFonts w:ascii="Work Sans" w:hAnsi="Work Sans"/>
                      <w:noProof/>
                    </w:rPr>
                    <w:drawing>
                      <wp:inline distT="0" distB="0" distL="0" distR="0" wp14:anchorId="4EAFF3F6" wp14:editId="33F43441">
                        <wp:extent cx="2696400" cy="1699200"/>
                        <wp:effectExtent l="0" t="0" r="0" b="0"/>
                        <wp:docPr id="1749356843" name="Picture 174935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6400" cy="1699200"/>
                                </a:xfrm>
                                <a:prstGeom prst="rect">
                                  <a:avLst/>
                                </a:prstGeom>
                                <a:noFill/>
                                <a:ln>
                                  <a:noFill/>
                                </a:ln>
                              </pic:spPr>
                            </pic:pic>
                          </a:graphicData>
                        </a:graphic>
                      </wp:inline>
                    </w:drawing>
                  </w:r>
                </w:p>
              </w:tc>
            </w:tr>
          </w:tbl>
          <w:p w14:paraId="02B11195" w14:textId="13A34B47" w:rsidR="000C35BB" w:rsidRPr="00D92628" w:rsidRDefault="00FD71FC" w:rsidP="005D6ABF">
            <w:pPr>
              <w:pStyle w:val="CGC2025Caption"/>
              <w:spacing w:before="120"/>
              <w:rPr>
                <w:rFonts w:ascii="Open Sans Semibold" w:hAnsi="Open Sans Semibold" w:cs="Open Sans Semibold"/>
                <w:b w:val="0"/>
              </w:rPr>
            </w:pPr>
            <w:r w:rsidRPr="00D92628">
              <w:rPr>
                <w:rFonts w:ascii="Open Sans Semibold" w:hAnsi="Open Sans Semibold" w:cs="Open Sans Semibold"/>
                <w:b w:val="0"/>
              </w:rPr>
              <w:t>Admitted patient separations with a COVID</w:t>
            </w:r>
            <w:r w:rsidRPr="00D92628">
              <w:rPr>
                <w:rFonts w:ascii="Open Sans Semibold" w:hAnsi="Open Sans Semibold" w:cs="Open Sans Semibold"/>
                <w:b w:val="0"/>
              </w:rPr>
              <w:noBreakHyphen/>
              <w:t xml:space="preserve">19 diagnosis by </w:t>
            </w:r>
            <w:r w:rsidR="00BF75B8" w:rsidRPr="00D92628">
              <w:rPr>
                <w:rFonts w:ascii="Open Sans Semibold" w:hAnsi="Open Sans Semibold" w:cs="Open Sans Semibold"/>
                <w:b w:val="0"/>
              </w:rPr>
              <w:t>socio</w:t>
            </w:r>
            <w:r w:rsidR="00EE5447" w:rsidRPr="00D92628">
              <w:rPr>
                <w:rFonts w:ascii="Open Sans Semibold" w:hAnsi="Open Sans Semibold" w:cs="Open Sans Semibold"/>
                <w:b w:val="0"/>
              </w:rPr>
              <w:t>-</w:t>
            </w:r>
            <w:r w:rsidR="00BF75B8" w:rsidRPr="00D92628">
              <w:rPr>
                <w:rFonts w:ascii="Open Sans Semibold" w:hAnsi="Open Sans Semibold" w:cs="Open Sans Semibold"/>
                <w:b w:val="0"/>
              </w:rPr>
              <w:t xml:space="preserve">economic </w:t>
            </w:r>
            <w:proofErr w:type="gramStart"/>
            <w:r w:rsidR="00BF75B8" w:rsidRPr="00D92628">
              <w:rPr>
                <w:rFonts w:ascii="Open Sans Semibold" w:hAnsi="Open Sans Semibold" w:cs="Open Sans Semibold"/>
                <w:b w:val="0"/>
              </w:rPr>
              <w:t>status</w:t>
            </w:r>
            <w:proofErr w:type="gramEnd"/>
          </w:p>
          <w:tbl>
            <w:tblPr>
              <w:tblStyle w:val="TableGrid"/>
              <w:tblW w:w="0" w:type="auto"/>
              <w:tblLook w:val="04A0" w:firstRow="1" w:lastRow="0" w:firstColumn="1" w:lastColumn="0" w:noHBand="0" w:noVBand="1"/>
            </w:tblPr>
            <w:tblGrid>
              <w:gridCol w:w="4385"/>
              <w:gridCol w:w="4415"/>
            </w:tblGrid>
            <w:tr w:rsidR="00EE7C8D" w14:paraId="547D99CB" w14:textId="77777777" w:rsidTr="000641AD">
              <w:tc>
                <w:tcPr>
                  <w:tcW w:w="4440" w:type="dxa"/>
                </w:tcPr>
                <w:p w14:paraId="0CE41988" w14:textId="4141992D" w:rsidR="000641AD" w:rsidRPr="00D92628" w:rsidRDefault="00353445" w:rsidP="007C15D4">
                  <w:pPr>
                    <w:pStyle w:val="CGC2025Caption"/>
                    <w:spacing w:before="120"/>
                    <w:rPr>
                      <w:rFonts w:ascii="Open Sans Semibold" w:hAnsi="Open Sans Semibold" w:cs="Open Sans Semibold"/>
                      <w:b w:val="0"/>
                      <w:sz w:val="16"/>
                      <w:szCs w:val="16"/>
                    </w:rPr>
                  </w:pPr>
                  <w:r w:rsidRPr="00D92628">
                    <w:rPr>
                      <w:rFonts w:ascii="Open Sans Semibold" w:hAnsi="Open Sans Semibold" w:cs="Open Sans Semibold"/>
                      <w:b w:val="0"/>
                      <w:sz w:val="16"/>
                      <w:szCs w:val="16"/>
                    </w:rPr>
                    <w:t>First 2 years (2019</w:t>
                  </w:r>
                  <w:r w:rsidR="002E58F4" w:rsidRPr="00D92628">
                    <w:rPr>
                      <w:rFonts w:ascii="Open Sans Semibold" w:hAnsi="Open Sans Semibold" w:cs="Open Sans Semibold"/>
                      <w:b w:val="0"/>
                      <w:sz w:val="16"/>
                      <w:szCs w:val="16"/>
                    </w:rPr>
                    <w:t>–</w:t>
                  </w:r>
                  <w:r w:rsidRPr="00D92628">
                    <w:rPr>
                      <w:rFonts w:ascii="Open Sans Semibold" w:hAnsi="Open Sans Semibold" w:cs="Open Sans Semibold"/>
                      <w:b w:val="0"/>
                      <w:sz w:val="16"/>
                      <w:szCs w:val="16"/>
                    </w:rPr>
                    <w:t>20 to 2020</w:t>
                  </w:r>
                  <w:r w:rsidR="002E58F4" w:rsidRPr="00D92628">
                    <w:rPr>
                      <w:rFonts w:ascii="Open Sans Semibold" w:hAnsi="Open Sans Semibold" w:cs="Open Sans Semibold"/>
                      <w:b w:val="0"/>
                      <w:sz w:val="16"/>
                      <w:szCs w:val="16"/>
                    </w:rPr>
                    <w:t>–</w:t>
                  </w:r>
                  <w:r w:rsidRPr="00D92628">
                    <w:rPr>
                      <w:rFonts w:ascii="Open Sans Semibold" w:hAnsi="Open Sans Semibold" w:cs="Open Sans Semibold"/>
                      <w:b w:val="0"/>
                      <w:sz w:val="16"/>
                      <w:szCs w:val="16"/>
                    </w:rPr>
                    <w:t>21)</w:t>
                  </w:r>
                </w:p>
                <w:p w14:paraId="1D9E4798" w14:textId="65B511DD" w:rsidR="00DE08A3" w:rsidRDefault="00EE7C8D">
                  <w:pPr>
                    <w:tabs>
                      <w:tab w:val="clear" w:pos="567"/>
                    </w:tabs>
                    <w:rPr>
                      <w:rFonts w:ascii="Work Sans" w:hAnsi="Work Sans"/>
                    </w:rPr>
                  </w:pPr>
                  <w:r w:rsidRPr="00EE7C8D">
                    <w:rPr>
                      <w:rFonts w:ascii="Work Sans" w:hAnsi="Work Sans"/>
                      <w:noProof/>
                    </w:rPr>
                    <w:drawing>
                      <wp:inline distT="0" distB="0" distL="0" distR="0" wp14:anchorId="4CB4D4C8" wp14:editId="4CC01EDD">
                        <wp:extent cx="2640514" cy="1655250"/>
                        <wp:effectExtent l="0" t="0" r="7620" b="2540"/>
                        <wp:docPr id="1337389318" name="Picture 133738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4742" cy="1657901"/>
                                </a:xfrm>
                                <a:prstGeom prst="rect">
                                  <a:avLst/>
                                </a:prstGeom>
                                <a:noFill/>
                                <a:ln>
                                  <a:noFill/>
                                </a:ln>
                              </pic:spPr>
                            </pic:pic>
                          </a:graphicData>
                        </a:graphic>
                      </wp:inline>
                    </w:drawing>
                  </w:r>
                </w:p>
              </w:tc>
              <w:tc>
                <w:tcPr>
                  <w:tcW w:w="4440" w:type="dxa"/>
                </w:tcPr>
                <w:p w14:paraId="16551DD7" w14:textId="6D548D9E" w:rsidR="000641AD" w:rsidRPr="00A37262" w:rsidRDefault="00353445" w:rsidP="007C15D4">
                  <w:pPr>
                    <w:pStyle w:val="CGC2025Caption"/>
                    <w:spacing w:before="120"/>
                    <w:rPr>
                      <w:rFonts w:ascii="Open Sans Semibold" w:hAnsi="Open Sans Semibold" w:cs="Open Sans Semibold"/>
                      <w:b w:val="0"/>
                      <w:sz w:val="16"/>
                      <w:szCs w:val="16"/>
                    </w:rPr>
                  </w:pPr>
                  <w:r w:rsidRPr="00A37262">
                    <w:rPr>
                      <w:rFonts w:ascii="Open Sans Semibold" w:hAnsi="Open Sans Semibold" w:cs="Open Sans Semibold"/>
                      <w:b w:val="0"/>
                      <w:sz w:val="16"/>
                      <w:szCs w:val="16"/>
                    </w:rPr>
                    <w:t>First 3 years (2019</w:t>
                  </w:r>
                  <w:r w:rsidR="002E58F4" w:rsidRPr="00A37262">
                    <w:rPr>
                      <w:rFonts w:ascii="Open Sans Semibold" w:hAnsi="Open Sans Semibold" w:cs="Open Sans Semibold"/>
                      <w:b w:val="0"/>
                      <w:sz w:val="16"/>
                      <w:szCs w:val="16"/>
                    </w:rPr>
                    <w:t>–</w:t>
                  </w:r>
                  <w:r w:rsidRPr="00A37262">
                    <w:rPr>
                      <w:rFonts w:ascii="Open Sans Semibold" w:hAnsi="Open Sans Semibold" w:cs="Open Sans Semibold"/>
                      <w:b w:val="0"/>
                      <w:sz w:val="16"/>
                      <w:szCs w:val="16"/>
                    </w:rPr>
                    <w:t>20 to 2021</w:t>
                  </w:r>
                  <w:r w:rsidR="002E58F4" w:rsidRPr="00A37262">
                    <w:rPr>
                      <w:rFonts w:ascii="Open Sans Semibold" w:hAnsi="Open Sans Semibold" w:cs="Open Sans Semibold"/>
                      <w:b w:val="0"/>
                      <w:sz w:val="16"/>
                      <w:szCs w:val="16"/>
                    </w:rPr>
                    <w:t>–</w:t>
                  </w:r>
                  <w:r w:rsidRPr="00A37262">
                    <w:rPr>
                      <w:rFonts w:ascii="Open Sans Semibold" w:hAnsi="Open Sans Semibold" w:cs="Open Sans Semibold"/>
                      <w:b w:val="0"/>
                      <w:sz w:val="16"/>
                      <w:szCs w:val="16"/>
                    </w:rPr>
                    <w:t>22)</w:t>
                  </w:r>
                </w:p>
                <w:p w14:paraId="5C2D64B7" w14:textId="2AB67E74" w:rsidR="00B47D9D" w:rsidRDefault="00F065A7">
                  <w:pPr>
                    <w:tabs>
                      <w:tab w:val="clear" w:pos="567"/>
                    </w:tabs>
                    <w:rPr>
                      <w:rFonts w:ascii="Work Sans" w:hAnsi="Work Sans"/>
                    </w:rPr>
                  </w:pPr>
                  <w:r w:rsidRPr="00F065A7">
                    <w:rPr>
                      <w:rFonts w:ascii="Work Sans" w:hAnsi="Work Sans"/>
                      <w:noProof/>
                    </w:rPr>
                    <w:drawing>
                      <wp:inline distT="0" distB="0" distL="0" distR="0" wp14:anchorId="1CA32E49" wp14:editId="3EC1ABFE">
                        <wp:extent cx="2660400" cy="1656000"/>
                        <wp:effectExtent l="0" t="0" r="6985" b="1905"/>
                        <wp:docPr id="768318280" name="Picture 76831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0400" cy="1656000"/>
                                </a:xfrm>
                                <a:prstGeom prst="rect">
                                  <a:avLst/>
                                </a:prstGeom>
                                <a:noFill/>
                                <a:ln>
                                  <a:noFill/>
                                </a:ln>
                              </pic:spPr>
                            </pic:pic>
                          </a:graphicData>
                        </a:graphic>
                      </wp:inline>
                    </w:drawing>
                  </w:r>
                </w:p>
              </w:tc>
            </w:tr>
          </w:tbl>
          <w:p w14:paraId="1775EE54" w14:textId="02E1257A" w:rsidR="00A95864" w:rsidRPr="00A2434E" w:rsidRDefault="00D15156" w:rsidP="00A2434E">
            <w:pPr>
              <w:pStyle w:val="CGC2025TableNote"/>
            </w:pPr>
            <w:r>
              <w:t xml:space="preserve">Source: </w:t>
            </w:r>
            <w:r w:rsidR="00330318">
              <w:t>Australian Institute of Health and Welfare</w:t>
            </w:r>
            <w:r w:rsidR="00F6628B">
              <w:t xml:space="preserve">, </w:t>
            </w:r>
            <w:r w:rsidR="00257969">
              <w:t>National Hospital Morbidity Database</w:t>
            </w:r>
            <w:r w:rsidR="006709A7">
              <w:t>, 2019</w:t>
            </w:r>
            <w:r w:rsidR="002E58F4">
              <w:t>–</w:t>
            </w:r>
            <w:r w:rsidR="006709A7">
              <w:t>20 to 2021</w:t>
            </w:r>
            <w:r w:rsidR="002E58F4">
              <w:t>–</w:t>
            </w:r>
            <w:r w:rsidR="006709A7">
              <w:t>22.</w:t>
            </w:r>
          </w:p>
        </w:tc>
      </w:tr>
    </w:tbl>
    <w:p w14:paraId="19A312A8" w14:textId="77777777" w:rsidR="0005244C" w:rsidRDefault="0005244C" w:rsidP="0005244C">
      <w:pPr>
        <w:pStyle w:val="Heading4"/>
      </w:pPr>
      <w:r>
        <w:lastRenderedPageBreak/>
        <w:t>Commission draft position</w:t>
      </w:r>
    </w:p>
    <w:p w14:paraId="200F64D1" w14:textId="065C444B" w:rsidR="0005244C" w:rsidRDefault="0005244C" w:rsidP="0005244C">
      <w:pPr>
        <w:pStyle w:val="CGC2025ParaNumbers"/>
      </w:pPr>
      <w:r>
        <w:t>The Commission considers that</w:t>
      </w:r>
      <w:r w:rsidR="00E82573">
        <w:t xml:space="preserve">, </w:t>
      </w:r>
      <w:r w:rsidR="00CF31B4">
        <w:t xml:space="preserve">for </w:t>
      </w:r>
      <w:r w:rsidR="00E82573">
        <w:t>the 2025 Review,</w:t>
      </w:r>
      <w:r>
        <w:t xml:space="preserve"> a separate assessment of state spending on COVID</w:t>
      </w:r>
      <w:r w:rsidR="00451218">
        <w:noBreakHyphen/>
      </w:r>
      <w:r>
        <w:t xml:space="preserve">19 related </w:t>
      </w:r>
      <w:r w:rsidR="002F61C0">
        <w:t xml:space="preserve">public </w:t>
      </w:r>
      <w:r w:rsidR="003C4393">
        <w:t xml:space="preserve">hospital and public </w:t>
      </w:r>
      <w:r>
        <w:t>health services would result in a better assessment of state expense needs.</w:t>
      </w:r>
    </w:p>
    <w:p w14:paraId="099B58BB" w14:textId="7B7FC4E1" w:rsidR="0005244C" w:rsidRDefault="0005244C" w:rsidP="0005244C">
      <w:pPr>
        <w:pStyle w:val="CGC2025ParaNumbers"/>
      </w:pPr>
      <w:r>
        <w:t xml:space="preserve">The Commission </w:t>
      </w:r>
      <w:r w:rsidR="00FA6F07">
        <w:t>proposes</w:t>
      </w:r>
      <w:r>
        <w:t xml:space="preserve"> to treat the Commonwealth payments </w:t>
      </w:r>
      <w:r w:rsidR="00624042">
        <w:t xml:space="preserve">for </w:t>
      </w:r>
      <w:r w:rsidR="00E4394B">
        <w:t xml:space="preserve">public </w:t>
      </w:r>
      <w:r w:rsidR="00624042">
        <w:t xml:space="preserve">hospital </w:t>
      </w:r>
      <w:r w:rsidR="00621FF6">
        <w:t xml:space="preserve">and public health services </w:t>
      </w:r>
      <w:r>
        <w:t xml:space="preserve">under the </w:t>
      </w:r>
      <w:bookmarkStart w:id="17" w:name="_Hlk151102827"/>
      <w:r>
        <w:t xml:space="preserve">National Partnership on COVID-19 Response </w:t>
      </w:r>
      <w:bookmarkEnd w:id="17"/>
      <w:r>
        <w:t xml:space="preserve">as impact and assess state spending associated with the national partnership on an actual per capita basis. </w:t>
      </w:r>
      <w:r w:rsidR="00B2435D">
        <w:t>Commonwealth payments</w:t>
      </w:r>
      <w:r w:rsidR="004A1648">
        <w:t xml:space="preserve"> </w:t>
      </w:r>
      <w:r w:rsidR="008267A0">
        <w:t>to maintain private</w:t>
      </w:r>
      <w:r w:rsidR="004A1648">
        <w:t xml:space="preserve"> </w:t>
      </w:r>
      <w:r w:rsidR="00C170F5">
        <w:t xml:space="preserve">hospital viability </w:t>
      </w:r>
      <w:r w:rsidR="00643358">
        <w:t xml:space="preserve">will continue to be treated as </w:t>
      </w:r>
      <w:r w:rsidR="00AE48B3">
        <w:t>out of scope</w:t>
      </w:r>
      <w:r w:rsidR="00643358">
        <w:t xml:space="preserve"> because </w:t>
      </w:r>
      <w:r w:rsidR="00A308D9">
        <w:t>they are not related to a usual state responsibility for which needs are assessed.</w:t>
      </w:r>
    </w:p>
    <w:p w14:paraId="27A7B741" w14:textId="321A090D" w:rsidR="0005244C" w:rsidRDefault="0005244C" w:rsidP="0005244C">
      <w:pPr>
        <w:pStyle w:val="CGC2025ParaNumbers"/>
      </w:pPr>
      <w:bookmarkStart w:id="18" w:name="_Hlk167972501"/>
      <w:r>
        <w:t xml:space="preserve">The reconciled value of the payments </w:t>
      </w:r>
      <w:r w:rsidR="00C65A09">
        <w:t>would</w:t>
      </w:r>
      <w:r>
        <w:t xml:space="preserve"> be used</w:t>
      </w:r>
      <w:r w:rsidR="005E4842">
        <w:t xml:space="preserve"> rather than the estimates published in the Commonwealth’s </w:t>
      </w:r>
      <w:r w:rsidR="00B24966">
        <w:t xml:space="preserve">Final Budget Outcome, </w:t>
      </w:r>
      <w:r>
        <w:t xml:space="preserve">as they are a more accurate reflection of state spending. </w:t>
      </w:r>
      <w:bookmarkEnd w:id="18"/>
      <w:r w:rsidR="00754B97">
        <w:t>Ideally</w:t>
      </w:r>
      <w:r w:rsidR="00BC1643">
        <w:t>, n</w:t>
      </w:r>
      <w:bookmarkStart w:id="19" w:name="_Hlk158298533"/>
      <w:r w:rsidR="00AE22AA" w:rsidRPr="00AE22AA">
        <w:t xml:space="preserve">ational </w:t>
      </w:r>
      <w:r w:rsidR="00AF1E4E">
        <w:t>w</w:t>
      </w:r>
      <w:r w:rsidR="00AE22AA" w:rsidRPr="00AE22AA">
        <w:t xml:space="preserve">eighted </w:t>
      </w:r>
      <w:r w:rsidR="00AF1E4E">
        <w:t>a</w:t>
      </w:r>
      <w:r w:rsidR="00AE22AA" w:rsidRPr="00AE22AA">
        <w:t xml:space="preserve">ctivity </w:t>
      </w:r>
      <w:r w:rsidR="00AF1E4E">
        <w:t>u</w:t>
      </w:r>
      <w:r w:rsidR="00AE22AA" w:rsidRPr="00AE22AA">
        <w:t>nit</w:t>
      </w:r>
      <w:r w:rsidR="00AE22AA">
        <w:t>s</w:t>
      </w:r>
      <w:r w:rsidR="00AE22AA" w:rsidRPr="00AE22AA">
        <w:t xml:space="preserve"> </w:t>
      </w:r>
      <w:r w:rsidR="00300C61">
        <w:t>with a COVID</w:t>
      </w:r>
      <w:r w:rsidR="00857088">
        <w:noBreakHyphen/>
      </w:r>
      <w:r w:rsidR="00300C61">
        <w:t>19 diagnosis</w:t>
      </w:r>
      <w:bookmarkEnd w:id="19"/>
      <w:r w:rsidR="00857088">
        <w:t xml:space="preserve"> </w:t>
      </w:r>
      <w:r w:rsidR="00754B97">
        <w:t xml:space="preserve">should </w:t>
      </w:r>
      <w:r w:rsidR="00857088">
        <w:t xml:space="preserve">be removed from the data used in </w:t>
      </w:r>
      <w:r w:rsidR="00EF7779">
        <w:t>other</w:t>
      </w:r>
      <w:r w:rsidR="007376FE">
        <w:t xml:space="preserve"> </w:t>
      </w:r>
      <w:r w:rsidR="00CD2183">
        <w:t>component</w:t>
      </w:r>
      <w:r w:rsidR="00EF7779">
        <w:t>s</w:t>
      </w:r>
      <w:r w:rsidR="00CD2183">
        <w:t xml:space="preserve"> of the health </w:t>
      </w:r>
      <w:r w:rsidR="007376FE">
        <w:t>assessment</w:t>
      </w:r>
      <w:r w:rsidR="00152548">
        <w:t xml:space="preserve"> for the assessments years in which there is a separate COVID-19 assessment</w:t>
      </w:r>
      <w:r w:rsidR="00CD2183">
        <w:t xml:space="preserve">. </w:t>
      </w:r>
      <w:r w:rsidR="00C63A4D">
        <w:t xml:space="preserve">However, given this adds complexity and that </w:t>
      </w:r>
      <w:r w:rsidR="00E962D7">
        <w:t>the number of n</w:t>
      </w:r>
      <w:r w:rsidR="00E962D7" w:rsidRPr="00AE22AA">
        <w:t xml:space="preserve">ational </w:t>
      </w:r>
      <w:r w:rsidR="00E962D7">
        <w:t>w</w:t>
      </w:r>
      <w:r w:rsidR="00E962D7" w:rsidRPr="00AE22AA">
        <w:t xml:space="preserve">eighted </w:t>
      </w:r>
      <w:r w:rsidR="00E962D7">
        <w:t>a</w:t>
      </w:r>
      <w:r w:rsidR="00E962D7" w:rsidRPr="00AE22AA">
        <w:t xml:space="preserve">ctivity </w:t>
      </w:r>
      <w:r w:rsidR="00E962D7">
        <w:t>u</w:t>
      </w:r>
      <w:r w:rsidR="00E962D7" w:rsidRPr="00AE22AA">
        <w:t>nit</w:t>
      </w:r>
      <w:r w:rsidR="00E962D7">
        <w:t>s</w:t>
      </w:r>
      <w:r w:rsidR="00C63A4D" w:rsidRPr="00AE22AA">
        <w:t xml:space="preserve"> </w:t>
      </w:r>
      <w:r w:rsidR="00C63A4D">
        <w:t>with a COVID</w:t>
      </w:r>
      <w:r w:rsidR="00C63A4D">
        <w:noBreakHyphen/>
        <w:t xml:space="preserve">19 diagnosis </w:t>
      </w:r>
      <w:r w:rsidR="00E962D7">
        <w:t>is likely to be small</w:t>
      </w:r>
      <w:r w:rsidR="00620D02">
        <w:t>,</w:t>
      </w:r>
      <w:r w:rsidR="00E962D7">
        <w:t xml:space="preserve"> </w:t>
      </w:r>
      <w:r w:rsidR="00F419A1">
        <w:t xml:space="preserve">this adjustment </w:t>
      </w:r>
      <w:r w:rsidR="004B4F43">
        <w:t>would</w:t>
      </w:r>
      <w:r w:rsidR="00F419A1">
        <w:t xml:space="preserve"> not be made.</w:t>
      </w:r>
      <w:r w:rsidR="005F487D">
        <w:rPr>
          <w:rStyle w:val="FootnoteReference"/>
        </w:rPr>
        <w:footnoteReference w:id="3"/>
      </w:r>
      <w:r w:rsidR="00F419A1">
        <w:t xml:space="preserve"> </w:t>
      </w:r>
    </w:p>
    <w:p w14:paraId="682E10BA" w14:textId="26417307" w:rsidR="0005244C" w:rsidRDefault="0005244C" w:rsidP="002975BA">
      <w:pPr>
        <w:pStyle w:val="CGC2025ParaNumbers"/>
      </w:pPr>
      <w:r>
        <w:t xml:space="preserve">The </w:t>
      </w:r>
      <w:r w:rsidRPr="00664183">
        <w:t>National Partnership on COVID-19 Response</w:t>
      </w:r>
      <w:r>
        <w:t xml:space="preserve"> ceased in 2022</w:t>
      </w:r>
      <w:r w:rsidR="00D13DC7">
        <w:t>–</w:t>
      </w:r>
      <w:r>
        <w:t xml:space="preserve">23. The separate assessment of state spending under the national partnership will continue until </w:t>
      </w:r>
      <w:r w:rsidR="005D5E65">
        <w:t xml:space="preserve">the </w:t>
      </w:r>
      <w:r w:rsidR="005629D3">
        <w:t>202</w:t>
      </w:r>
      <w:r w:rsidR="00883EC5">
        <w:t>7</w:t>
      </w:r>
      <w:r w:rsidR="00BE46E1">
        <w:t> </w:t>
      </w:r>
      <w:r w:rsidR="005629D3">
        <w:t xml:space="preserve">Update when </w:t>
      </w:r>
      <w:r>
        <w:t>2022</w:t>
      </w:r>
      <w:r w:rsidR="00D13DC7">
        <w:t>–</w:t>
      </w:r>
      <w:r>
        <w:t>23 drops out of the Commission’s assessment year period.</w:t>
      </w:r>
      <w:r w:rsidR="00DC298F">
        <w:t xml:space="preserve"> </w:t>
      </w:r>
      <w:r w:rsidR="00C9153F">
        <w:t>T</w:t>
      </w:r>
      <w:r w:rsidR="00C9153F" w:rsidRPr="00C9153F">
        <w:t xml:space="preserve">he 2025 </w:t>
      </w:r>
      <w:r w:rsidR="004E599F">
        <w:t>Review</w:t>
      </w:r>
      <w:r w:rsidR="00C9153F" w:rsidRPr="00C9153F" w:rsidDel="008E773A">
        <w:t xml:space="preserve"> </w:t>
      </w:r>
      <w:r w:rsidR="008E773A">
        <w:t xml:space="preserve">includes </w:t>
      </w:r>
      <w:r w:rsidR="00C9153F" w:rsidRPr="00C9153F">
        <w:t xml:space="preserve">the </w:t>
      </w:r>
      <w:r w:rsidR="00890F15">
        <w:t>3</w:t>
      </w:r>
      <w:r w:rsidR="008E773A">
        <w:t xml:space="preserve"> </w:t>
      </w:r>
      <w:r w:rsidR="00C9153F" w:rsidRPr="00C9153F">
        <w:t>assessment years 2021</w:t>
      </w:r>
      <w:r w:rsidR="00D13DC7">
        <w:t>–</w:t>
      </w:r>
      <w:r w:rsidR="00C9153F" w:rsidRPr="00C9153F">
        <w:t>22 to 2023</w:t>
      </w:r>
      <w:r w:rsidR="00D13DC7">
        <w:t>–</w:t>
      </w:r>
      <w:r w:rsidR="00C9153F" w:rsidRPr="00C9153F">
        <w:t>24, and there will be a separate assessment o</w:t>
      </w:r>
      <w:r w:rsidR="001A2514">
        <w:t>f</w:t>
      </w:r>
      <w:r w:rsidR="00C9153F" w:rsidRPr="00C9153F">
        <w:t xml:space="preserve"> state spending on COVID-19 related hospital and public health services in 2021</w:t>
      </w:r>
      <w:r w:rsidR="00D13DC7">
        <w:t>–</w:t>
      </w:r>
      <w:r w:rsidR="00C9153F" w:rsidRPr="00C9153F">
        <w:t>22 and 2022</w:t>
      </w:r>
      <w:r w:rsidR="00D13DC7">
        <w:t>–</w:t>
      </w:r>
      <w:r w:rsidR="00C9153F" w:rsidRPr="00C9153F">
        <w:t>23</w:t>
      </w:r>
      <w:r w:rsidR="001A2514">
        <w:t xml:space="preserve">. </w:t>
      </w:r>
      <w:r w:rsidR="002975BA" w:rsidRPr="002975BA">
        <w:t>In the 2026 Update, there will be a separate assessment on COVID-19 spending only for 2022</w:t>
      </w:r>
      <w:r w:rsidR="00D13DC7">
        <w:t>–</w:t>
      </w:r>
      <w:r w:rsidR="002975BA" w:rsidRPr="002975BA">
        <w:t>23 because 2021</w:t>
      </w:r>
      <w:r w:rsidR="00D13DC7">
        <w:t>–</w:t>
      </w:r>
      <w:r w:rsidR="002975BA" w:rsidRPr="002975BA">
        <w:t>22 will drop out of the assessment period. For the 2027 Update, 2022</w:t>
      </w:r>
      <w:r w:rsidR="00D13DC7">
        <w:t>–</w:t>
      </w:r>
      <w:r w:rsidR="002975BA" w:rsidRPr="002975BA">
        <w:t>23, the last year for the National Partnership on COVID-19 Response, will have dropped out of the assessment period.</w:t>
      </w:r>
    </w:p>
    <w:p w14:paraId="4A44A0C9" w14:textId="1E33B377" w:rsidR="0005244C" w:rsidRDefault="007E1B72" w:rsidP="0005244C">
      <w:pPr>
        <w:pStyle w:val="CGC2025ParaNumbers"/>
      </w:pPr>
      <w:r>
        <w:t xml:space="preserve">Victoria </w:t>
      </w:r>
      <w:r w:rsidR="00511462">
        <w:t>is seeking</w:t>
      </w:r>
      <w:r w:rsidR="0002473E">
        <w:t xml:space="preserve"> a retrospective adjustment to the GST distribution in the 2021</w:t>
      </w:r>
      <w:r w:rsidR="001B3A73">
        <w:t>–</w:t>
      </w:r>
      <w:r w:rsidR="0002473E">
        <w:t>22</w:t>
      </w:r>
      <w:r w:rsidR="000A2404">
        <w:t xml:space="preserve"> to </w:t>
      </w:r>
      <w:r w:rsidR="00144612">
        <w:t>2024</w:t>
      </w:r>
      <w:r w:rsidR="001B3A73">
        <w:t>–</w:t>
      </w:r>
      <w:r w:rsidR="00144612">
        <w:t>25 application years</w:t>
      </w:r>
      <w:r w:rsidR="00683789">
        <w:t xml:space="preserve">, with this adjustment reflected in </w:t>
      </w:r>
      <w:r w:rsidR="0093151C">
        <w:t xml:space="preserve">the GST distribution </w:t>
      </w:r>
      <w:r w:rsidR="00AC1D5E">
        <w:t>for the 2025</w:t>
      </w:r>
      <w:r w:rsidR="001B3A73">
        <w:t>–</w:t>
      </w:r>
      <w:r w:rsidR="00AC1D5E">
        <w:t xml:space="preserve">26 application year. </w:t>
      </w:r>
      <w:r w:rsidR="0005244C">
        <w:t>The Commission does not consider it has the mandate to apply the assessment retrospectively. The assessment of state expenses related to COVID</w:t>
      </w:r>
      <w:r w:rsidR="0005244C">
        <w:noBreakHyphen/>
        <w:t>19 was considered by the Commonwealth Treasurer in consultation with states on the terms of reference for the 2021 Update and subsequent updates. The terms of reference for these updates did not allow for method changes to assess COVID</w:t>
      </w:r>
      <w:r w:rsidR="0005244C">
        <w:noBreakHyphen/>
        <w:t>19 related expenses differently.</w:t>
      </w:r>
    </w:p>
    <w:p w14:paraId="28689468" w14:textId="26CF7B22" w:rsidR="00C4360E" w:rsidRDefault="0005244C" w:rsidP="0005244C">
      <w:pPr>
        <w:pStyle w:val="CGC2025ParaNumbers"/>
      </w:pPr>
      <w:r>
        <w:lastRenderedPageBreak/>
        <w:t xml:space="preserve">The Commission does not </w:t>
      </w:r>
      <w:r w:rsidR="006E096E">
        <w:t xml:space="preserve">propose </w:t>
      </w:r>
      <w:r>
        <w:t xml:space="preserve">to include unpaid quarantine expenses in the assessment. </w:t>
      </w:r>
      <w:r w:rsidR="2ECBAC5F">
        <w:t>Th</w:t>
      </w:r>
      <w:r w:rsidR="5D1377CC">
        <w:t xml:space="preserve">e </w:t>
      </w:r>
      <w:r>
        <w:t>Commission</w:t>
      </w:r>
      <w:r w:rsidR="1A67199E">
        <w:t xml:space="preserve"> does not have the </w:t>
      </w:r>
      <w:r w:rsidR="35D89C6F">
        <w:t>mandate</w:t>
      </w:r>
      <w:r>
        <w:t xml:space="preserve"> to </w:t>
      </w:r>
      <w:r w:rsidR="3CAD56EB">
        <w:t xml:space="preserve">adjudicate </w:t>
      </w:r>
      <w:r>
        <w:t xml:space="preserve">disagreements between states on issues beyond its </w:t>
      </w:r>
      <w:r w:rsidR="00293C02">
        <w:t>t</w:t>
      </w:r>
      <w:r>
        <w:t xml:space="preserve">erms of </w:t>
      </w:r>
      <w:r w:rsidR="00293C02">
        <w:t>r</w:t>
      </w:r>
      <w:r>
        <w:t>eference.</w:t>
      </w:r>
    </w:p>
    <w:p w14:paraId="71DD2E4E" w14:textId="6E313DFF" w:rsidR="00006934" w:rsidRPr="00C478DA" w:rsidRDefault="008A3068" w:rsidP="00097866">
      <w:pPr>
        <w:pStyle w:val="Heading3"/>
        <w:keepNext/>
        <w:keepLines/>
      </w:pPr>
      <w:bookmarkStart w:id="20" w:name="_Toc144580235"/>
      <w:r>
        <w:t xml:space="preserve">Q4. </w:t>
      </w:r>
      <w:r w:rsidR="00006934" w:rsidRPr="00C478DA">
        <w:t>Do states agree to:</w:t>
      </w:r>
      <w:bookmarkEnd w:id="20"/>
    </w:p>
    <w:p w14:paraId="4D4667D0" w14:textId="77777777" w:rsidR="00006934" w:rsidRPr="00C478DA" w:rsidRDefault="00006934" w:rsidP="00315E34">
      <w:pPr>
        <w:pStyle w:val="Heading4"/>
        <w:numPr>
          <w:ilvl w:val="0"/>
          <w:numId w:val="30"/>
        </w:numPr>
        <w:ind w:left="851" w:hanging="284"/>
      </w:pPr>
      <w:bookmarkStart w:id="21" w:name="_Toc144580236"/>
      <w:r w:rsidRPr="00C478DA">
        <w:t>use the Australian Institute of Health and Welfare data on community mental health activity, adjusted to compensate for lack of cost weights, to determine per capita use rates for mental health services?</w:t>
      </w:r>
      <w:bookmarkEnd w:id="21"/>
    </w:p>
    <w:p w14:paraId="21096B9C" w14:textId="63E11ECC" w:rsidR="00006934" w:rsidRPr="00C478DA" w:rsidRDefault="00A87E2D" w:rsidP="00315E34">
      <w:pPr>
        <w:pStyle w:val="Heading4"/>
        <w:numPr>
          <w:ilvl w:val="0"/>
          <w:numId w:val="30"/>
        </w:numPr>
        <w:ind w:left="851" w:hanging="284"/>
      </w:pPr>
      <w:bookmarkStart w:id="22" w:name="_Toc144580237"/>
      <w:r>
        <w:t xml:space="preserve">for the balance of the component, </w:t>
      </w:r>
      <w:r w:rsidR="745926B0">
        <w:t>expand the current proxy to include non-admitted patient services?</w:t>
      </w:r>
      <w:bookmarkEnd w:id="22"/>
    </w:p>
    <w:p w14:paraId="0171F95F" w14:textId="77777777" w:rsidR="00006934" w:rsidRPr="00284B22" w:rsidRDefault="00006934" w:rsidP="00315E34">
      <w:pPr>
        <w:pStyle w:val="Heading4"/>
        <w:numPr>
          <w:ilvl w:val="0"/>
          <w:numId w:val="30"/>
        </w:numPr>
        <w:ind w:left="851" w:hanging="284"/>
      </w:pPr>
      <w:bookmarkStart w:id="23" w:name="_Toc144580238"/>
      <w:r w:rsidRPr="00C478DA">
        <w:t>continue to apply a discount of 12.5% to the community health socio-demographic assessment?</w:t>
      </w:r>
      <w:bookmarkEnd w:id="23"/>
    </w:p>
    <w:p w14:paraId="55993A0F" w14:textId="77777777" w:rsidR="00294EA9" w:rsidRPr="00C77095" w:rsidRDefault="00294EA9" w:rsidP="00C77095">
      <w:pPr>
        <w:pStyle w:val="Heading35"/>
      </w:pPr>
      <w:bookmarkStart w:id="24" w:name="_Hlk158385665"/>
      <w:r w:rsidRPr="00C77095">
        <w:t>Direct measure of specialised community mental health activity</w:t>
      </w:r>
    </w:p>
    <w:bookmarkEnd w:id="24"/>
    <w:p w14:paraId="7A87CEF8" w14:textId="77777777" w:rsidR="00F40931" w:rsidRDefault="00F40931" w:rsidP="00F40931">
      <w:pPr>
        <w:pStyle w:val="Heading4"/>
      </w:pPr>
      <w:r>
        <w:t>State views</w:t>
      </w:r>
    </w:p>
    <w:p w14:paraId="48D21937" w14:textId="77777777" w:rsidR="00845D44" w:rsidRDefault="001E1F17" w:rsidP="00CA28B5">
      <w:pPr>
        <w:pStyle w:val="CGC2025ParaNumbers"/>
      </w:pPr>
      <w:r>
        <w:t>New South Wales</w:t>
      </w:r>
      <w:r w:rsidR="00826259">
        <w:t>, Victoria</w:t>
      </w:r>
      <w:r w:rsidR="001B5150">
        <w:t>,</w:t>
      </w:r>
      <w:r w:rsidR="0063662D">
        <w:t xml:space="preserve"> South </w:t>
      </w:r>
      <w:proofErr w:type="gramStart"/>
      <w:r w:rsidR="0063662D">
        <w:t>Australia</w:t>
      </w:r>
      <w:proofErr w:type="gramEnd"/>
      <w:r w:rsidR="0063662D">
        <w:t xml:space="preserve"> </w:t>
      </w:r>
      <w:r w:rsidR="00FF05A6">
        <w:t>and the ACT</w:t>
      </w:r>
      <w:r w:rsidR="0063662D">
        <w:t xml:space="preserve"> </w:t>
      </w:r>
      <w:r w:rsidR="00890E89">
        <w:t xml:space="preserve">said they </w:t>
      </w:r>
      <w:r w:rsidR="00211988">
        <w:t>support</w:t>
      </w:r>
      <w:r w:rsidR="00890E89">
        <w:t>ed</w:t>
      </w:r>
      <w:r w:rsidR="00211988">
        <w:t xml:space="preserve"> the use of a direct measure of community health activity in the community and public health assessment.</w:t>
      </w:r>
      <w:r w:rsidR="007442DB">
        <w:t xml:space="preserve"> </w:t>
      </w:r>
    </w:p>
    <w:p w14:paraId="502695B6" w14:textId="77777777" w:rsidR="001A3DAF" w:rsidRDefault="007442DB" w:rsidP="00CA28B5">
      <w:pPr>
        <w:pStyle w:val="CGC2025ParaNumbers"/>
      </w:pPr>
      <w:r>
        <w:t xml:space="preserve">New </w:t>
      </w:r>
      <w:r w:rsidR="0004131D">
        <w:t>South Wales</w:t>
      </w:r>
      <w:r w:rsidR="00752E05">
        <w:t xml:space="preserve"> and the ACT</w:t>
      </w:r>
      <w:r w:rsidR="0004131D">
        <w:t xml:space="preserve"> </w:t>
      </w:r>
      <w:r w:rsidR="00890E89">
        <w:t xml:space="preserve">said they </w:t>
      </w:r>
      <w:r w:rsidR="0004131D">
        <w:t>support</w:t>
      </w:r>
      <w:r w:rsidR="00302F06">
        <w:t>ed adjustments to the data to account for a lack of cost weights</w:t>
      </w:r>
      <w:r w:rsidR="00B1744E">
        <w:t xml:space="preserve">. </w:t>
      </w:r>
      <w:r w:rsidR="00B1744E" w:rsidRPr="00B1744E">
        <w:t xml:space="preserve">New South Wales </w:t>
      </w:r>
      <w:r w:rsidR="00890E89">
        <w:t xml:space="preserve">said it </w:t>
      </w:r>
      <w:r w:rsidR="00B1744E" w:rsidRPr="00B1744E">
        <w:t>was specifically seeking</w:t>
      </w:r>
      <w:r w:rsidR="00BD005F">
        <w:t xml:space="preserve"> to account for the different costs associated with the age of </w:t>
      </w:r>
      <w:r w:rsidR="00AD5C95">
        <w:t xml:space="preserve">patients. </w:t>
      </w:r>
    </w:p>
    <w:p w14:paraId="4774E66C" w14:textId="77777777" w:rsidR="001A3DAF" w:rsidRDefault="00AD5C95" w:rsidP="00CA28B5">
      <w:pPr>
        <w:pStyle w:val="CGC2025ParaNumbers"/>
      </w:pPr>
      <w:r>
        <w:t>Victoria</w:t>
      </w:r>
      <w:r w:rsidR="00A12E6E">
        <w:t xml:space="preserve"> </w:t>
      </w:r>
      <w:r w:rsidR="00890E89">
        <w:t>said</w:t>
      </w:r>
      <w:r w:rsidR="00A12E6E">
        <w:t xml:space="preserve"> that the current proxy for activity (emergency department triage </w:t>
      </w:r>
      <w:r w:rsidR="000D33B9">
        <w:t xml:space="preserve">categories 4 and 5) is not based on sufficient evidence. </w:t>
      </w:r>
    </w:p>
    <w:p w14:paraId="3B599B0E" w14:textId="543B43E9" w:rsidR="00CA28B5" w:rsidRDefault="000D33B9" w:rsidP="00CA28B5">
      <w:pPr>
        <w:pStyle w:val="CGC2025ParaNumbers"/>
      </w:pPr>
      <w:r>
        <w:t>So</w:t>
      </w:r>
      <w:r w:rsidR="00CA28B5">
        <w:t>u</w:t>
      </w:r>
      <w:r>
        <w:t>th</w:t>
      </w:r>
      <w:r w:rsidR="00CA28B5">
        <w:t xml:space="preserve"> Austra</w:t>
      </w:r>
      <w:r w:rsidR="00AF5A84">
        <w:t>lia</w:t>
      </w:r>
      <w:r w:rsidR="00EA61E4">
        <w:t xml:space="preserve"> said its</w:t>
      </w:r>
      <w:r w:rsidR="00AF5A84">
        <w:t xml:space="preserve"> support was </w:t>
      </w:r>
      <w:r w:rsidR="00CA28B5">
        <w:t xml:space="preserve">subject to the Commission being able to develop a robust adjustment to compensate for the lack </w:t>
      </w:r>
      <w:r w:rsidR="00E25FB2">
        <w:t xml:space="preserve">of </w:t>
      </w:r>
      <w:r w:rsidR="00CA28B5">
        <w:t>cost weights, particularly for services in remote areas.</w:t>
      </w:r>
    </w:p>
    <w:p w14:paraId="471BF428" w14:textId="786CA9A9" w:rsidR="00F40931" w:rsidRDefault="0ED513AC" w:rsidP="00830598">
      <w:pPr>
        <w:pStyle w:val="CGC2025ParaNumbers"/>
      </w:pPr>
      <w:r>
        <w:t xml:space="preserve">Queensland, Western Australia, </w:t>
      </w:r>
      <w:proofErr w:type="gramStart"/>
      <w:r>
        <w:t>Tasmania</w:t>
      </w:r>
      <w:proofErr w:type="gramEnd"/>
      <w:r>
        <w:t xml:space="preserve"> and the Norther</w:t>
      </w:r>
      <w:r w:rsidR="4EB2A3B4">
        <w:t xml:space="preserve">n Territory </w:t>
      </w:r>
      <w:r w:rsidR="5026F365">
        <w:t xml:space="preserve">said they </w:t>
      </w:r>
      <w:r w:rsidR="4EB2A3B4">
        <w:t>did not support the proposal.</w:t>
      </w:r>
      <w:r w:rsidR="6FA99073">
        <w:t xml:space="preserve"> </w:t>
      </w:r>
    </w:p>
    <w:p w14:paraId="7B2F9881" w14:textId="7A54316F" w:rsidR="00660F4C" w:rsidRDefault="35ED020E" w:rsidP="00776AFB">
      <w:pPr>
        <w:pStyle w:val="CGC2025ParaNumbers"/>
      </w:pPr>
      <w:r>
        <w:t xml:space="preserve">Queensland </w:t>
      </w:r>
      <w:r w:rsidR="39CA1EC3">
        <w:t>said</w:t>
      </w:r>
      <w:r w:rsidR="2D0FECB1">
        <w:t xml:space="preserve"> that </w:t>
      </w:r>
      <w:r w:rsidR="3F39BAB6">
        <w:t xml:space="preserve">the activity data </w:t>
      </w:r>
      <w:r w:rsidR="39CA1EC3">
        <w:t>are</w:t>
      </w:r>
      <w:r w:rsidR="3F39BAB6">
        <w:t xml:space="preserve"> not fit for purpose because </w:t>
      </w:r>
      <w:r w:rsidR="00AF1519">
        <w:t>the</w:t>
      </w:r>
      <w:r w:rsidR="00C704CE">
        <w:t>se</w:t>
      </w:r>
      <w:r w:rsidR="00AF1519">
        <w:t xml:space="preserve"> </w:t>
      </w:r>
      <w:r w:rsidR="6ABE5AE6">
        <w:t>reflect the service availability of public specialised mental health care rather than actual need for community mental health services</w:t>
      </w:r>
      <w:r w:rsidR="1EFB3CF1">
        <w:t>.</w:t>
      </w:r>
      <w:r w:rsidR="456DC9D5">
        <w:t xml:space="preserve"> </w:t>
      </w:r>
      <w:r w:rsidR="61AF9197">
        <w:t>I</w:t>
      </w:r>
      <w:r w:rsidR="456DC9D5">
        <w:t xml:space="preserve">t </w:t>
      </w:r>
      <w:r w:rsidR="61AF9197">
        <w:t>said</w:t>
      </w:r>
      <w:r w:rsidR="456DC9D5">
        <w:t xml:space="preserve"> it expected that the unmet need would be higher in regional, </w:t>
      </w:r>
      <w:proofErr w:type="gramStart"/>
      <w:r w:rsidR="456DC9D5">
        <w:t>rural</w:t>
      </w:r>
      <w:proofErr w:type="gramEnd"/>
      <w:r w:rsidR="456DC9D5">
        <w:t xml:space="preserve"> and remote areas. This is because there are significant shortages in the allied health workforce in regional and remote Australia. </w:t>
      </w:r>
      <w:r w:rsidR="61AF9197">
        <w:t>It said e</w:t>
      </w:r>
      <w:r w:rsidR="19D9A81B">
        <w:t xml:space="preserve">mergency </w:t>
      </w:r>
      <w:r w:rsidR="08522D93">
        <w:t>d</w:t>
      </w:r>
      <w:r w:rsidR="47CEA8DA">
        <w:t>epartment</w:t>
      </w:r>
      <w:r w:rsidR="19D9A81B">
        <w:t xml:space="preserve"> </w:t>
      </w:r>
      <w:r w:rsidR="47CEA8DA">
        <w:t>activity</w:t>
      </w:r>
      <w:r w:rsidR="19D9A81B">
        <w:t xml:space="preserve"> data </w:t>
      </w:r>
      <w:r w:rsidR="3C7DC888">
        <w:t>are</w:t>
      </w:r>
      <w:r w:rsidR="19D9A81B">
        <w:t xml:space="preserve"> likely to be more reflective of actual community mental health services need</w:t>
      </w:r>
      <w:r w:rsidR="47CEA8DA">
        <w:t>.</w:t>
      </w:r>
    </w:p>
    <w:p w14:paraId="2CFCD8FB" w14:textId="5AE6C7F7" w:rsidR="00643281" w:rsidRDefault="00643281" w:rsidP="00776AFB">
      <w:pPr>
        <w:pStyle w:val="CGC2025ParaNumbers"/>
      </w:pPr>
      <w:r>
        <w:t xml:space="preserve">Western Australia said </w:t>
      </w:r>
      <w:r w:rsidR="00D0471C">
        <w:t xml:space="preserve">it was </w:t>
      </w:r>
      <w:r>
        <w:t>concerned with the exclusion of services delivered through non-government organisations.</w:t>
      </w:r>
    </w:p>
    <w:p w14:paraId="615BA0C5" w14:textId="235883FF" w:rsidR="00FD06D4" w:rsidRDefault="00B81115" w:rsidP="0048428A">
      <w:pPr>
        <w:pStyle w:val="CGC2025ParaNumbers"/>
      </w:pPr>
      <w:r>
        <w:lastRenderedPageBreak/>
        <w:t xml:space="preserve">Tasmania </w:t>
      </w:r>
      <w:r w:rsidR="00095F79">
        <w:t>said</w:t>
      </w:r>
      <w:r>
        <w:t xml:space="preserve"> </w:t>
      </w:r>
      <w:r w:rsidR="0050579A">
        <w:t>that the collection is not complete or comparable between and across jurisdictions</w:t>
      </w:r>
      <w:r w:rsidR="00CE58AA">
        <w:t xml:space="preserve">. </w:t>
      </w:r>
      <w:r w:rsidR="00963962">
        <w:t xml:space="preserve">Tasmania also </w:t>
      </w:r>
      <w:r w:rsidR="00CE58AA">
        <w:t>referred to</w:t>
      </w:r>
      <w:r w:rsidR="000630D1">
        <w:t xml:space="preserve"> </w:t>
      </w:r>
      <w:r w:rsidR="00B875CC">
        <w:t>r</w:t>
      </w:r>
      <w:r w:rsidR="0048428A">
        <w:t xml:space="preserve">ecent analysis of community mental health services data by </w:t>
      </w:r>
      <w:r w:rsidR="004552C8">
        <w:t xml:space="preserve">the </w:t>
      </w:r>
      <w:r w:rsidR="0048428A">
        <w:t>I</w:t>
      </w:r>
      <w:r w:rsidR="004552C8">
        <w:t xml:space="preserve">ndependent </w:t>
      </w:r>
      <w:r w:rsidR="00FC35D1">
        <w:t>Health</w:t>
      </w:r>
      <w:r w:rsidR="004552C8">
        <w:t xml:space="preserve"> and </w:t>
      </w:r>
      <w:r w:rsidR="0048428A">
        <w:t>A</w:t>
      </w:r>
      <w:r w:rsidR="004552C8">
        <w:t xml:space="preserve">ged </w:t>
      </w:r>
      <w:r w:rsidR="0048428A">
        <w:t>C</w:t>
      </w:r>
      <w:r w:rsidR="004552C8">
        <w:t xml:space="preserve">are </w:t>
      </w:r>
      <w:r w:rsidR="0048428A">
        <w:t>P</w:t>
      </w:r>
      <w:r w:rsidR="004552C8">
        <w:t xml:space="preserve">ricing </w:t>
      </w:r>
      <w:r w:rsidR="0048428A">
        <w:t>A</w:t>
      </w:r>
      <w:r w:rsidR="00B92A8F">
        <w:t>u</w:t>
      </w:r>
      <w:r w:rsidR="004552C8">
        <w:t>thorit</w:t>
      </w:r>
      <w:r w:rsidR="0026789F">
        <w:t>y</w:t>
      </w:r>
      <w:r w:rsidR="0048428A">
        <w:t>’</w:t>
      </w:r>
      <w:r w:rsidR="00596B2C">
        <w:t>s</w:t>
      </w:r>
      <w:r w:rsidR="0048428A">
        <w:t xml:space="preserve"> Technical Advisory Committee</w:t>
      </w:r>
      <w:r w:rsidR="00293399">
        <w:t>,</w:t>
      </w:r>
      <w:r w:rsidR="0048428A">
        <w:t xml:space="preserve"> </w:t>
      </w:r>
      <w:r w:rsidR="00032A82">
        <w:t xml:space="preserve">which </w:t>
      </w:r>
      <w:r w:rsidR="0048428A">
        <w:t>found that there is considerable variability and data reliability issues with states’ reporting.</w:t>
      </w:r>
    </w:p>
    <w:p w14:paraId="3F283D73" w14:textId="519710AF" w:rsidR="005851A8" w:rsidRDefault="00922CF4" w:rsidP="004667A9">
      <w:pPr>
        <w:pStyle w:val="CGC2025ParaNumbers"/>
      </w:pPr>
      <w:r>
        <w:t xml:space="preserve">The Northern Territory </w:t>
      </w:r>
      <w:r w:rsidR="00CE58AA">
        <w:t>said it had</w:t>
      </w:r>
      <w:r w:rsidR="00793BC5">
        <w:t xml:space="preserve"> concerns with the </w:t>
      </w:r>
      <w:r w:rsidR="00892CE0">
        <w:t>consistency of re</w:t>
      </w:r>
      <w:r w:rsidR="00CF0D36">
        <w:t xml:space="preserve">porting between states and the </w:t>
      </w:r>
      <w:r w:rsidR="00793BC5">
        <w:t>sensitivity of the proposed appr</w:t>
      </w:r>
      <w:r w:rsidR="00A27CAF">
        <w:t xml:space="preserve">oach to the choice of number of service contacts or number of patients </w:t>
      </w:r>
      <w:r w:rsidR="00A2637D">
        <w:t>using state services</w:t>
      </w:r>
      <w:r w:rsidR="00417450">
        <w:t>.</w:t>
      </w:r>
      <w:r w:rsidR="004667A9">
        <w:t xml:space="preserve"> </w:t>
      </w:r>
      <w:r w:rsidR="00417450">
        <w:t xml:space="preserve">The </w:t>
      </w:r>
      <w:r w:rsidR="004667A9">
        <w:t>Northern</w:t>
      </w:r>
      <w:r w:rsidR="000020DF">
        <w:t> </w:t>
      </w:r>
      <w:r w:rsidR="00417450">
        <w:t xml:space="preserve">Territory </w:t>
      </w:r>
      <w:r w:rsidR="00CE58AA">
        <w:t>said</w:t>
      </w:r>
      <w:r w:rsidR="00417450">
        <w:t xml:space="preserve"> that if contacts are used, the database is likely to undercount remote service costs. This is because remote service provision often requires specialists to travel considerable distances at high cost, which results in </w:t>
      </w:r>
      <w:r w:rsidR="00C06AD9">
        <w:t xml:space="preserve">a </w:t>
      </w:r>
      <w:r w:rsidR="00417450">
        <w:t>service model based on less frequent, but higher intensity, contacts. A simple count of contacts would likely under</w:t>
      </w:r>
      <w:r w:rsidR="00C06AD9">
        <w:noBreakHyphen/>
      </w:r>
      <w:r w:rsidR="00417450">
        <w:t>represent both costs and the intensity of services. Patients would be a superior measure, though would still require service delivery scale adjustments and remoteness loadings</w:t>
      </w:r>
      <w:r w:rsidR="00E00856">
        <w:t>.</w:t>
      </w:r>
    </w:p>
    <w:p w14:paraId="64A3DE9F" w14:textId="3C36790D" w:rsidR="00BF5E20" w:rsidRDefault="00BF5E20" w:rsidP="004667A9">
      <w:pPr>
        <w:pStyle w:val="CGC2025ParaNumbers"/>
      </w:pPr>
      <w:r>
        <w:t>Lack of cost weights was a common concern</w:t>
      </w:r>
      <w:r w:rsidR="0001742E">
        <w:t xml:space="preserve"> for the states that did not support the Commission’s proposal</w:t>
      </w:r>
      <w:r>
        <w:t>.</w:t>
      </w:r>
    </w:p>
    <w:p w14:paraId="29F6D0EE" w14:textId="77777777" w:rsidR="007676D9" w:rsidRDefault="007676D9" w:rsidP="007676D9">
      <w:pPr>
        <w:pStyle w:val="Heading4"/>
      </w:pPr>
      <w:bookmarkStart w:id="25" w:name="_Hlk151364473"/>
      <w:r>
        <w:t>Commission response</w:t>
      </w:r>
    </w:p>
    <w:bookmarkEnd w:id="25"/>
    <w:p w14:paraId="7CBA12CC" w14:textId="19412F26" w:rsidR="007676D9" w:rsidRDefault="00D34A24" w:rsidP="007676D9">
      <w:pPr>
        <w:pStyle w:val="CGC2025ParaNumbers"/>
      </w:pPr>
      <w:r>
        <w:t>The Commission</w:t>
      </w:r>
      <w:r w:rsidR="00FD249F">
        <w:t xml:space="preserve"> looks at</w:t>
      </w:r>
      <w:r w:rsidR="00104CD1">
        <w:t xml:space="preserve"> the services </w:t>
      </w:r>
      <w:r w:rsidR="00D275E0">
        <w:t>states provide on average</w:t>
      </w:r>
      <w:r w:rsidR="007C620C">
        <w:t xml:space="preserve"> and </w:t>
      </w:r>
      <w:r w:rsidR="0077318B">
        <w:t>identifies the factors outside a state</w:t>
      </w:r>
      <w:r w:rsidR="00056E00">
        <w:t>’</w:t>
      </w:r>
      <w:r w:rsidR="0077318B">
        <w:t xml:space="preserve">s control </w:t>
      </w:r>
      <w:r w:rsidR="004620EB">
        <w:t xml:space="preserve">such </w:t>
      </w:r>
      <w:r w:rsidR="0077318B">
        <w:t xml:space="preserve">that </w:t>
      </w:r>
      <w:r w:rsidR="009255A3">
        <w:t>the state</w:t>
      </w:r>
      <w:r w:rsidR="0077318B">
        <w:t xml:space="preserve"> needs to spend </w:t>
      </w:r>
      <w:r w:rsidR="00467636">
        <w:t>more (or less)</w:t>
      </w:r>
      <w:r w:rsidR="00E25C36">
        <w:t xml:space="preserve"> </w:t>
      </w:r>
      <w:r w:rsidR="00FD0E4B">
        <w:t>to provide the average level of services. The Commission does</w:t>
      </w:r>
      <w:r w:rsidR="009857CA">
        <w:t xml:space="preserve"> not </w:t>
      </w:r>
      <w:r w:rsidR="00FD0E4B">
        <w:t xml:space="preserve">assess </w:t>
      </w:r>
      <w:r w:rsidR="009857CA">
        <w:t xml:space="preserve">what </w:t>
      </w:r>
      <w:r w:rsidR="00FD0E4B">
        <w:t>states</w:t>
      </w:r>
      <w:r w:rsidR="007571AB">
        <w:t xml:space="preserve"> </w:t>
      </w:r>
      <w:r w:rsidR="009255A3">
        <w:t>require</w:t>
      </w:r>
      <w:r w:rsidR="009857CA">
        <w:t xml:space="preserve"> to </w:t>
      </w:r>
      <w:r w:rsidR="00D77048">
        <w:t xml:space="preserve">meet </w:t>
      </w:r>
      <w:r w:rsidR="00947472">
        <w:t xml:space="preserve">unmet </w:t>
      </w:r>
      <w:r w:rsidR="006E477E">
        <w:t>demand</w:t>
      </w:r>
      <w:r w:rsidR="00FE23EA">
        <w:t xml:space="preserve"> for services</w:t>
      </w:r>
      <w:r w:rsidR="00671E7C">
        <w:t xml:space="preserve">. As such, Queensland’s comment </w:t>
      </w:r>
      <w:r w:rsidR="00FE23EA">
        <w:t>that</w:t>
      </w:r>
      <w:r w:rsidR="000F5170">
        <w:t xml:space="preserve"> </w:t>
      </w:r>
      <w:bookmarkStart w:id="26" w:name="_Hlk151107586"/>
      <w:r w:rsidR="000F5170">
        <w:t xml:space="preserve">specialised community </w:t>
      </w:r>
      <w:r w:rsidR="00BB5E07">
        <w:t xml:space="preserve">mental health services </w:t>
      </w:r>
      <w:bookmarkEnd w:id="26"/>
      <w:r w:rsidR="00043D53">
        <w:t>do not capture the unmet need for community mental health services</w:t>
      </w:r>
      <w:r w:rsidR="00146608">
        <w:t xml:space="preserve"> </w:t>
      </w:r>
      <w:r w:rsidR="00BB5E07">
        <w:t xml:space="preserve">is not relevant </w:t>
      </w:r>
      <w:r w:rsidR="00CF0ABD">
        <w:t xml:space="preserve">to the decision on whether to </w:t>
      </w:r>
      <w:r w:rsidR="00464A3B">
        <w:t xml:space="preserve">adopt the </w:t>
      </w:r>
      <w:bookmarkStart w:id="27" w:name="_Hlk151107563"/>
      <w:r w:rsidR="00D11114">
        <w:t xml:space="preserve">Australian </w:t>
      </w:r>
      <w:r w:rsidR="00975726">
        <w:t>Institute</w:t>
      </w:r>
      <w:r w:rsidR="00D11114">
        <w:t xml:space="preserve"> of Health and Welfare data </w:t>
      </w:r>
      <w:bookmarkEnd w:id="27"/>
      <w:r w:rsidR="006E1B1C">
        <w:t xml:space="preserve">to measure </w:t>
      </w:r>
      <w:r w:rsidR="00B56181">
        <w:t xml:space="preserve">average </w:t>
      </w:r>
      <w:r w:rsidR="00776C3A">
        <w:t>service levels</w:t>
      </w:r>
      <w:r w:rsidR="006A0B80">
        <w:t>.</w:t>
      </w:r>
      <w:r w:rsidR="00522E7A">
        <w:t xml:space="preserve"> </w:t>
      </w:r>
      <w:r w:rsidR="00DE419E">
        <w:t xml:space="preserve">What is relevant is if </w:t>
      </w:r>
      <w:r w:rsidR="00AA12D0">
        <w:t xml:space="preserve">gaps </w:t>
      </w:r>
      <w:r w:rsidR="0054666A">
        <w:t xml:space="preserve">or inconsistencies </w:t>
      </w:r>
      <w:r w:rsidR="00AA12D0">
        <w:t xml:space="preserve">in the data </w:t>
      </w:r>
      <w:r w:rsidR="00CC52E5">
        <w:t xml:space="preserve">mean </w:t>
      </w:r>
      <w:r w:rsidR="001409D2">
        <w:t xml:space="preserve">that </w:t>
      </w:r>
      <w:r w:rsidR="00F41A1E">
        <w:t>the</w:t>
      </w:r>
      <w:r w:rsidR="00162955">
        <w:t>se</w:t>
      </w:r>
      <w:r w:rsidR="00F41A1E">
        <w:t xml:space="preserve"> are</w:t>
      </w:r>
      <w:r w:rsidR="00CC52E5">
        <w:t xml:space="preserve"> not representative of service use by location and socio</w:t>
      </w:r>
      <w:r w:rsidR="00A2662C">
        <w:noBreakHyphen/>
        <w:t>demographic characteristic</w:t>
      </w:r>
      <w:r w:rsidR="009E617A">
        <w:t>s</w:t>
      </w:r>
      <w:r w:rsidR="00A2662C">
        <w:t xml:space="preserve">.  </w:t>
      </w:r>
    </w:p>
    <w:p w14:paraId="50DD7BA8" w14:textId="4A53BB85" w:rsidR="005F68C5" w:rsidRDefault="1E8BF237" w:rsidP="00123505">
      <w:pPr>
        <w:pStyle w:val="CGC2025ParaNumbers"/>
      </w:pPr>
      <w:r>
        <w:t xml:space="preserve">As regards Tasmania’s reference to recent </w:t>
      </w:r>
      <w:r w:rsidR="0E2FD67B">
        <w:t>analysis of community mental health data, t</w:t>
      </w:r>
      <w:r w:rsidR="1BABE41C">
        <w:t>he data</w:t>
      </w:r>
      <w:r w:rsidR="1019CA64">
        <w:t xml:space="preserve">set </w:t>
      </w:r>
      <w:r w:rsidR="60170FC9">
        <w:t xml:space="preserve">being critiqued by </w:t>
      </w:r>
      <w:r w:rsidR="681E1D9A" w:rsidRPr="001709C6">
        <w:t>the Independent H</w:t>
      </w:r>
      <w:r w:rsidR="2D4F8BA1">
        <w:t xml:space="preserve">ealth </w:t>
      </w:r>
      <w:r w:rsidR="681E1D9A" w:rsidRPr="001709C6">
        <w:t>and Aged Care Pricing Authorit</w:t>
      </w:r>
      <w:r w:rsidR="003A3882">
        <w:t>y</w:t>
      </w:r>
      <w:r w:rsidR="681E1D9A" w:rsidRPr="001709C6">
        <w:t>’</w:t>
      </w:r>
      <w:r w:rsidR="003A3882">
        <w:t>s</w:t>
      </w:r>
      <w:r w:rsidR="681E1D9A" w:rsidRPr="001709C6">
        <w:t xml:space="preserve"> Technical Advisory Committee</w:t>
      </w:r>
      <w:r w:rsidR="52482160">
        <w:t xml:space="preserve"> is not </w:t>
      </w:r>
      <w:r w:rsidR="1F7D86B3">
        <w:t xml:space="preserve">the one </w:t>
      </w:r>
      <w:r w:rsidR="2498EFB3">
        <w:t>that the Commission proposes to use</w:t>
      </w:r>
      <w:r w:rsidR="664DE518">
        <w:t xml:space="preserve">. </w:t>
      </w:r>
      <w:r w:rsidR="00EC5C5A">
        <w:t xml:space="preserve">The </w:t>
      </w:r>
      <w:r w:rsidR="00EC5C5A" w:rsidRPr="001709C6">
        <w:t>Independent H</w:t>
      </w:r>
      <w:r w:rsidR="00EC5C5A">
        <w:t xml:space="preserve">ealth </w:t>
      </w:r>
      <w:r w:rsidR="00EC5C5A" w:rsidRPr="001709C6">
        <w:t>and Aged Care Pricing Authorit</w:t>
      </w:r>
      <w:r w:rsidR="003A3882">
        <w:t xml:space="preserve">y’s </w:t>
      </w:r>
      <w:r w:rsidR="0038035C">
        <w:t xml:space="preserve">data on community mental health care </w:t>
      </w:r>
      <w:r w:rsidR="00F85EE1">
        <w:t>include</w:t>
      </w:r>
      <w:r w:rsidR="00595402">
        <w:t xml:space="preserve"> </w:t>
      </w:r>
      <w:r w:rsidR="0017472D">
        <w:t xml:space="preserve">information </w:t>
      </w:r>
      <w:r w:rsidR="00F2515D">
        <w:t>on</w:t>
      </w:r>
      <w:r w:rsidR="003F4AEB">
        <w:t xml:space="preserve"> </w:t>
      </w:r>
      <w:r w:rsidR="006A010A">
        <w:t>episodes of</w:t>
      </w:r>
      <w:r w:rsidR="003F4AEB">
        <w:t xml:space="preserve"> </w:t>
      </w:r>
      <w:r w:rsidR="009A4E7F">
        <w:t xml:space="preserve">patients receiving </w:t>
      </w:r>
      <w:r w:rsidR="00595402">
        <w:t>mental health care</w:t>
      </w:r>
      <w:r w:rsidR="003570D8">
        <w:t xml:space="preserve"> </w:t>
      </w:r>
      <w:r w:rsidR="009A4E7F">
        <w:t>that are associated with Australian public hospital services.</w:t>
      </w:r>
      <w:r w:rsidR="664DE518">
        <w:t xml:space="preserve"> </w:t>
      </w:r>
      <w:r w:rsidR="00B80BEB">
        <w:t>Community mental health</w:t>
      </w:r>
      <w:r w:rsidR="00210829">
        <w:t xml:space="preserve"> is currently block funded</w:t>
      </w:r>
      <w:r w:rsidR="00B47D96">
        <w:t xml:space="preserve"> although s</w:t>
      </w:r>
      <w:r w:rsidR="764403EB">
        <w:t>ome specialised c</w:t>
      </w:r>
      <w:r w:rsidR="3EA8220A">
        <w:t xml:space="preserve">ommunity </w:t>
      </w:r>
      <w:r w:rsidR="7B260A79">
        <w:t>mental health care</w:t>
      </w:r>
      <w:r w:rsidR="764403EB">
        <w:t xml:space="preserve"> services</w:t>
      </w:r>
      <w:r w:rsidR="7B260A79">
        <w:t xml:space="preserve"> </w:t>
      </w:r>
      <w:r w:rsidR="764403EB">
        <w:t>are</w:t>
      </w:r>
      <w:r w:rsidR="7B260A79">
        <w:t xml:space="preserve"> transitioning from </w:t>
      </w:r>
      <w:r w:rsidR="135AEF65">
        <w:t>a block</w:t>
      </w:r>
      <w:r w:rsidR="36E5A28A">
        <w:t xml:space="preserve"> </w:t>
      </w:r>
      <w:r w:rsidR="5C2B7E3F">
        <w:t xml:space="preserve">funding to an </w:t>
      </w:r>
      <w:r w:rsidR="00F63CFB">
        <w:t>activity-based</w:t>
      </w:r>
      <w:r w:rsidR="5D747997">
        <w:t xml:space="preserve"> funding model.</w:t>
      </w:r>
      <w:r w:rsidR="000B16E8">
        <w:rPr>
          <w:rStyle w:val="FootnoteReference"/>
        </w:rPr>
        <w:footnoteReference w:id="4"/>
      </w:r>
      <w:r w:rsidR="5D747997">
        <w:t xml:space="preserve"> </w:t>
      </w:r>
      <w:r w:rsidR="00123505">
        <w:t xml:space="preserve">The </w:t>
      </w:r>
      <w:r w:rsidR="00123505" w:rsidRPr="00123505">
        <w:t>Independent Health and Aged Care Pricing Authority's</w:t>
      </w:r>
      <w:r w:rsidR="0C7F373F">
        <w:t xml:space="preserve"> dat</w:t>
      </w:r>
      <w:r w:rsidR="715D2E43">
        <w:t>a</w:t>
      </w:r>
      <w:r w:rsidR="10901087">
        <w:t xml:space="preserve">set may eventually be </w:t>
      </w:r>
      <w:r w:rsidR="008C3763" w:rsidRPr="008A0C37">
        <w:t>fit for purpo</w:t>
      </w:r>
      <w:r w:rsidR="008A0C37" w:rsidRPr="008A0C37">
        <w:t>se</w:t>
      </w:r>
      <w:r w:rsidR="7D600176">
        <w:t xml:space="preserve"> for the Commission to use </w:t>
      </w:r>
      <w:r w:rsidR="74B3CACD">
        <w:t xml:space="preserve">in </w:t>
      </w:r>
      <w:r w:rsidR="74B3CACD">
        <w:lastRenderedPageBreak/>
        <w:t xml:space="preserve">the </w:t>
      </w:r>
      <w:r w:rsidR="14CBA935">
        <w:t>health assessment</w:t>
      </w:r>
      <w:r w:rsidR="000A2D35">
        <w:t>,</w:t>
      </w:r>
      <w:r w:rsidR="00C502ED">
        <w:t xml:space="preserve"> but </w:t>
      </w:r>
      <w:r w:rsidR="008023D6">
        <w:t xml:space="preserve">additional time is required </w:t>
      </w:r>
      <w:r w:rsidR="00B301E0">
        <w:t>to improve the quality and quantity of activity and cost data</w:t>
      </w:r>
      <w:r w:rsidR="14CBA935">
        <w:t>.</w:t>
      </w:r>
      <w:r w:rsidR="00EB38F6">
        <w:t xml:space="preserve"> </w:t>
      </w:r>
    </w:p>
    <w:p w14:paraId="706940E5" w14:textId="6195ED50" w:rsidR="00CD5667" w:rsidRDefault="005F7E60" w:rsidP="001709C6">
      <w:pPr>
        <w:pStyle w:val="CGC2025ParaNumbers"/>
      </w:pPr>
      <w:r>
        <w:t>Further information on t</w:t>
      </w:r>
      <w:r w:rsidR="0055708C">
        <w:t xml:space="preserve">he </w:t>
      </w:r>
      <w:r w:rsidR="000243FF">
        <w:t xml:space="preserve">issues with </w:t>
      </w:r>
      <w:r w:rsidR="00070EF2">
        <w:t>consistency in</w:t>
      </w:r>
      <w:r w:rsidR="000243FF">
        <w:t xml:space="preserve"> reporting </w:t>
      </w:r>
      <w:r w:rsidR="00AB6D42">
        <w:t>between</w:t>
      </w:r>
      <w:r w:rsidR="000243FF">
        <w:t xml:space="preserve"> states</w:t>
      </w:r>
      <w:r>
        <w:t>,</w:t>
      </w:r>
      <w:r w:rsidR="000243FF">
        <w:t xml:space="preserve"> </w:t>
      </w:r>
      <w:r w:rsidR="00530385">
        <w:t>raised by Tasmania and the Northern Territory</w:t>
      </w:r>
      <w:r>
        <w:t>,</w:t>
      </w:r>
      <w:r w:rsidR="00530385">
        <w:t xml:space="preserve"> </w:t>
      </w:r>
      <w:r w:rsidR="003C1904">
        <w:t xml:space="preserve">can be found in the </w:t>
      </w:r>
      <w:r w:rsidR="0012552D">
        <w:t>Community Mental Health Care Database 20</w:t>
      </w:r>
      <w:r w:rsidR="00442C93">
        <w:t>20</w:t>
      </w:r>
      <w:r w:rsidR="005635F4">
        <w:t>–</w:t>
      </w:r>
      <w:r w:rsidR="00442C93">
        <w:t>21 data quality statement</w:t>
      </w:r>
      <w:r w:rsidR="00666BDD">
        <w:t>.</w:t>
      </w:r>
      <w:r w:rsidR="00666BDD">
        <w:rPr>
          <w:rStyle w:val="FootnoteReference"/>
        </w:rPr>
        <w:footnoteReference w:id="5"/>
      </w:r>
      <w:r w:rsidR="00666BDD">
        <w:t xml:space="preserve"> In summary:</w:t>
      </w:r>
    </w:p>
    <w:p w14:paraId="1CB7E75E" w14:textId="09D8938D" w:rsidR="00666BDD" w:rsidRDefault="003A2F44" w:rsidP="00A73BE9">
      <w:pPr>
        <w:pStyle w:val="CGC2025Bullet1"/>
      </w:pPr>
      <w:r w:rsidRPr="003A2F44">
        <w:t>There is some variation in the types of service contacts included in the data. For example, some states may include written correspondence as service contacts while others do not</w:t>
      </w:r>
      <w:r w:rsidR="00D840A5">
        <w:t>.</w:t>
      </w:r>
    </w:p>
    <w:p w14:paraId="1C04810C" w14:textId="6981C70F" w:rsidR="00D840A5" w:rsidRDefault="006F62E5" w:rsidP="00A73BE9">
      <w:pPr>
        <w:pStyle w:val="CGC2025Bullet1"/>
      </w:pPr>
      <w:r w:rsidRPr="006F62E5">
        <w:t>The Indigenous status data should be interpreted with caution due to the varying quality of Indigenous identification across jurisdictions reporting to the database. While all states consider the quality of Indigenous status data to be acceptable, most acknowledge that further improvement is required. Indigenous status is missing for 4.9% of contacts in the 2020–21 N</w:t>
      </w:r>
      <w:r w:rsidR="004044DA">
        <w:t xml:space="preserve">ational </w:t>
      </w:r>
      <w:r w:rsidRPr="006F62E5">
        <w:t>C</w:t>
      </w:r>
      <w:r w:rsidR="004044DA">
        <w:t xml:space="preserve">ommunity </w:t>
      </w:r>
      <w:r w:rsidRPr="006F62E5">
        <w:t>M</w:t>
      </w:r>
      <w:r w:rsidR="004044DA">
        <w:t xml:space="preserve">ental </w:t>
      </w:r>
      <w:r w:rsidRPr="006F62E5">
        <w:t>H</w:t>
      </w:r>
      <w:r w:rsidR="004044DA">
        <w:t xml:space="preserve">ealth </w:t>
      </w:r>
      <w:r w:rsidRPr="006F62E5">
        <w:t>C</w:t>
      </w:r>
      <w:r w:rsidR="004044DA">
        <w:t xml:space="preserve">are </w:t>
      </w:r>
      <w:r w:rsidRPr="006F62E5">
        <w:t>D</w:t>
      </w:r>
      <w:r w:rsidR="004044DA">
        <w:t>atabase</w:t>
      </w:r>
      <w:r w:rsidRPr="006F62E5">
        <w:t>.</w:t>
      </w:r>
    </w:p>
    <w:p w14:paraId="509CF098" w14:textId="0E59806B" w:rsidR="00EB6261" w:rsidRDefault="00EB6261" w:rsidP="00A73BE9">
      <w:pPr>
        <w:pStyle w:val="CGC2025Bullet1"/>
      </w:pPr>
      <w:r w:rsidRPr="00EB6261">
        <w:t>Data are reported by the jurisdiction that delivered the service and therefore may include people receiving services in one jurisdiction who reside in another. These cross-border flows are particularly relevant when interpreting ACT data.</w:t>
      </w:r>
    </w:p>
    <w:p w14:paraId="082E09EE" w14:textId="36DBD29A" w:rsidR="00926290" w:rsidRDefault="00926290" w:rsidP="00A73BE9">
      <w:pPr>
        <w:pStyle w:val="CGC2025Bullet1"/>
      </w:pPr>
      <w:r w:rsidRPr="00926290">
        <w:t>There is variation across jurisdictions in the coverage of services providing contact data and the estimated service contact data coverage.</w:t>
      </w:r>
      <w:r w:rsidR="003C1681">
        <w:t xml:space="preserve"> </w:t>
      </w:r>
    </w:p>
    <w:p w14:paraId="39356B1A" w14:textId="2A07368F" w:rsidR="006A12DF" w:rsidRDefault="00A16E5A" w:rsidP="006D261A">
      <w:pPr>
        <w:pStyle w:val="CGC2025ParaNumbers"/>
      </w:pPr>
      <w:r>
        <w:t>In the Community Mental Health Care Database 2020</w:t>
      </w:r>
      <w:r w:rsidR="008F5F3B">
        <w:t>–</w:t>
      </w:r>
      <w:r>
        <w:t>21 data quality statement, a</w:t>
      </w:r>
      <w:r w:rsidRPr="003C1681">
        <w:t>ll states estimate that 85–100% of in-scope community mental health care services provided contact data to the collection</w:t>
      </w:r>
      <w:r>
        <w:t>, and o</w:t>
      </w:r>
      <w:r w:rsidRPr="00C9115D">
        <w:t>verall service contact data coverage for jurisdictions was estimated to be between 86–100%.</w:t>
      </w:r>
      <w:r w:rsidR="00714287">
        <w:t xml:space="preserve"> </w:t>
      </w:r>
      <w:r w:rsidR="00A34507">
        <w:t>During</w:t>
      </w:r>
      <w:r w:rsidR="009815F8">
        <w:t xml:space="preserve"> discussions</w:t>
      </w:r>
      <w:r w:rsidR="00714287">
        <w:t xml:space="preserve">, </w:t>
      </w:r>
      <w:r w:rsidR="009815F8">
        <w:t>the Australian</w:t>
      </w:r>
      <w:r w:rsidR="005E07EA">
        <w:t xml:space="preserve"> Institute of </w:t>
      </w:r>
      <w:r w:rsidR="00BA5BA3">
        <w:t>H</w:t>
      </w:r>
      <w:r w:rsidR="005E07EA">
        <w:t>ealth and Welfare</w:t>
      </w:r>
      <w:r w:rsidR="002A0140">
        <w:t xml:space="preserve"> </w:t>
      </w:r>
      <w:r w:rsidR="009B6ABB">
        <w:t xml:space="preserve">indicated that </w:t>
      </w:r>
      <w:r w:rsidR="009970A5">
        <w:t xml:space="preserve">service contacts </w:t>
      </w:r>
      <w:r w:rsidR="005C26AB">
        <w:t>are</w:t>
      </w:r>
      <w:r w:rsidR="00CA01BD">
        <w:t xml:space="preserve"> </w:t>
      </w:r>
      <w:r w:rsidR="00D00DC9">
        <w:t xml:space="preserve">likely to </w:t>
      </w:r>
      <w:r w:rsidR="001C446F">
        <w:t xml:space="preserve">be more related to expenses than </w:t>
      </w:r>
      <w:r w:rsidR="00912BDC">
        <w:t>number of patients.</w:t>
      </w:r>
      <w:r w:rsidR="00340124">
        <w:t xml:space="preserve"> </w:t>
      </w:r>
    </w:p>
    <w:p w14:paraId="021C28A3" w14:textId="254DEACC" w:rsidR="00EC1E66" w:rsidRDefault="003C431B" w:rsidP="006D261A">
      <w:pPr>
        <w:pStyle w:val="CGC2025ParaNumbers"/>
      </w:pPr>
      <w:r>
        <w:t>Of significant concern to the Commission</w:t>
      </w:r>
      <w:r w:rsidR="0072129B">
        <w:t xml:space="preserve">, as </w:t>
      </w:r>
      <w:r w:rsidR="004B6002">
        <w:t xml:space="preserve">pointed out by </w:t>
      </w:r>
      <w:r w:rsidR="00DA0690">
        <w:t xml:space="preserve">Western Australia, </w:t>
      </w:r>
      <w:proofErr w:type="gramStart"/>
      <w:r w:rsidR="00DA0690">
        <w:t>Tasmania</w:t>
      </w:r>
      <w:proofErr w:type="gramEnd"/>
      <w:r w:rsidR="00DA0690">
        <w:t xml:space="preserve"> and the Northern Territory</w:t>
      </w:r>
      <w:r w:rsidR="006608D9">
        <w:t>,</w:t>
      </w:r>
      <w:r>
        <w:t xml:space="preserve"> </w:t>
      </w:r>
      <w:r w:rsidR="00381D49">
        <w:t>is</w:t>
      </w:r>
      <w:r w:rsidR="00993BE0">
        <w:t xml:space="preserve"> that the </w:t>
      </w:r>
      <w:r w:rsidR="00BC0DCE">
        <w:t>services</w:t>
      </w:r>
      <w:r w:rsidR="006608D9">
        <w:t xml:space="preserve"> covered by the </w:t>
      </w:r>
      <w:r w:rsidR="006608D9" w:rsidRPr="006608D9">
        <w:t>Australian Institute of Health and Welfare data</w:t>
      </w:r>
      <w:r w:rsidR="006608D9">
        <w:t xml:space="preserve"> do </w:t>
      </w:r>
      <w:r w:rsidR="009F65B3">
        <w:t xml:space="preserve">not represent the full range of </w:t>
      </w:r>
      <w:r w:rsidR="009F65B3" w:rsidRPr="009F65B3">
        <w:t>specialised community mental health services</w:t>
      </w:r>
      <w:r w:rsidR="00E20613">
        <w:t xml:space="preserve"> provided by states. </w:t>
      </w:r>
    </w:p>
    <w:p w14:paraId="7C2EE023" w14:textId="04800834" w:rsidR="00A16CB0" w:rsidRDefault="00162A54" w:rsidP="007735F5">
      <w:pPr>
        <w:pStyle w:val="CGC2025Bullet1"/>
      </w:pPr>
      <w:r>
        <w:t>State-provided s</w:t>
      </w:r>
      <w:r w:rsidR="00BC1A1F">
        <w:t xml:space="preserve">pecialised </w:t>
      </w:r>
      <w:r w:rsidR="001732A5">
        <w:t xml:space="preserve">community mental health services </w:t>
      </w:r>
      <w:r w:rsidR="00486021">
        <w:t>include</w:t>
      </w:r>
      <w:r w:rsidR="00D932AA">
        <w:t xml:space="preserve"> </w:t>
      </w:r>
      <w:r w:rsidR="00742530">
        <w:t xml:space="preserve">ambulatory </w:t>
      </w:r>
      <w:r w:rsidR="0094583E">
        <w:t>services, residential services, grants to non-government organisations and other indirect expenditure</w:t>
      </w:r>
      <w:r w:rsidR="00501842">
        <w:t xml:space="preserve"> </w:t>
      </w:r>
      <w:r w:rsidR="006E14AC">
        <w:t xml:space="preserve">such as </w:t>
      </w:r>
      <w:r w:rsidR="00AF265D">
        <w:t xml:space="preserve">for </w:t>
      </w:r>
      <w:r w:rsidR="00501842">
        <w:t>suicide prevention</w:t>
      </w:r>
      <w:r w:rsidR="006E14AC">
        <w:t xml:space="preserve"> programs</w:t>
      </w:r>
      <w:r w:rsidR="00B131FD">
        <w:t>.</w:t>
      </w:r>
      <w:r w:rsidR="00BC1A1F">
        <w:t xml:space="preserve"> </w:t>
      </w:r>
    </w:p>
    <w:p w14:paraId="33A9356A" w14:textId="61EDF0AD" w:rsidR="006D2C89" w:rsidRDefault="003600C0" w:rsidP="007735F5">
      <w:pPr>
        <w:pStyle w:val="CGC2025Bullet1"/>
      </w:pPr>
      <w:r>
        <w:t>The a</w:t>
      </w:r>
      <w:r w:rsidR="00EC1E66">
        <w:t xml:space="preserve">ctivity data </w:t>
      </w:r>
      <w:r w:rsidR="008070D9">
        <w:t xml:space="preserve">available from the Australian Institute of Health and Welfare </w:t>
      </w:r>
      <w:r w:rsidR="00EC1E66">
        <w:t xml:space="preserve">covers </w:t>
      </w:r>
      <w:r w:rsidR="00D651C3">
        <w:t>‘</w:t>
      </w:r>
      <w:r w:rsidR="00EC1E66">
        <w:t>ambulatory services</w:t>
      </w:r>
      <w:r w:rsidR="00D651C3">
        <w:t>’</w:t>
      </w:r>
      <w:r w:rsidR="008070D9">
        <w:t>, that is</w:t>
      </w:r>
      <w:r w:rsidR="00C81B37">
        <w:t xml:space="preserve"> those</w:t>
      </w:r>
      <w:r w:rsidR="00D52B1A">
        <w:t xml:space="preserve"> </w:t>
      </w:r>
      <w:r w:rsidR="008070D9">
        <w:t xml:space="preserve">services </w:t>
      </w:r>
      <w:r w:rsidR="00D52B1A">
        <w:t>delivered in non-residential and non</w:t>
      </w:r>
      <w:r w:rsidR="006558FB">
        <w:noBreakHyphen/>
      </w:r>
      <w:r w:rsidR="00D52B1A">
        <w:t xml:space="preserve">admitted patient care settings. </w:t>
      </w:r>
      <w:r w:rsidR="004D4883">
        <w:t xml:space="preserve">Examples </w:t>
      </w:r>
      <w:r w:rsidR="00D52B1A">
        <w:t>include counselling, psychological/psychosocial therapies, mental or behavioural assessment, and group psychotherapy.</w:t>
      </w:r>
    </w:p>
    <w:p w14:paraId="4265397C" w14:textId="11824151" w:rsidR="0013401F" w:rsidRDefault="002C2F69" w:rsidP="00476D3D">
      <w:pPr>
        <w:pStyle w:val="CGC2025ParaNumbers"/>
      </w:pPr>
      <w:r>
        <w:t xml:space="preserve">The </w:t>
      </w:r>
      <w:r w:rsidR="00784CBD">
        <w:t>Productivity Commission</w:t>
      </w:r>
      <w:r w:rsidR="00DA1902">
        <w:t>’s</w:t>
      </w:r>
      <w:r w:rsidR="004F30DA">
        <w:t xml:space="preserve"> </w:t>
      </w:r>
      <w:r w:rsidR="004E32ED" w:rsidRPr="00151D50">
        <w:rPr>
          <w:i/>
        </w:rPr>
        <w:t>Report on Government Services</w:t>
      </w:r>
      <w:r w:rsidR="004E32ED">
        <w:t xml:space="preserve"> </w:t>
      </w:r>
      <w:r w:rsidR="0054264E">
        <w:t xml:space="preserve">data </w:t>
      </w:r>
      <w:r w:rsidR="00C4030A">
        <w:t xml:space="preserve">on services for mental health </w:t>
      </w:r>
      <w:r w:rsidR="0054264E">
        <w:t>show that t</w:t>
      </w:r>
      <w:r w:rsidR="00D651C3">
        <w:t xml:space="preserve">hese services </w:t>
      </w:r>
      <w:r w:rsidR="00EC1E66">
        <w:t>represent about 6</w:t>
      </w:r>
      <w:r w:rsidR="00996ACE">
        <w:t>6</w:t>
      </w:r>
      <w:r w:rsidR="00EC1E66">
        <w:t xml:space="preserve">% of state spending on all </w:t>
      </w:r>
      <w:r w:rsidR="00923155">
        <w:lastRenderedPageBreak/>
        <w:t xml:space="preserve">specialised </w:t>
      </w:r>
      <w:r w:rsidR="00EC1E66">
        <w:t>community mental health</w:t>
      </w:r>
      <w:r w:rsidR="00923155">
        <w:t xml:space="preserve"> care</w:t>
      </w:r>
      <w:r w:rsidR="00737ACB">
        <w:t xml:space="preserve"> in </w:t>
      </w:r>
      <w:r w:rsidR="00996ACE">
        <w:t>2021</w:t>
      </w:r>
      <w:r w:rsidR="00D36DD5">
        <w:t>–</w:t>
      </w:r>
      <w:r w:rsidR="00996ACE">
        <w:t>22</w:t>
      </w:r>
      <w:r w:rsidR="00EC1E66">
        <w:t>.</w:t>
      </w:r>
      <w:r w:rsidR="00B64ABE">
        <w:rPr>
          <w:rStyle w:val="FootnoteReference"/>
        </w:rPr>
        <w:footnoteReference w:id="6"/>
      </w:r>
      <w:r w:rsidR="00EC1E66">
        <w:t xml:space="preserve"> </w:t>
      </w:r>
      <w:r w:rsidR="00D425AB">
        <w:t xml:space="preserve">If </w:t>
      </w:r>
      <w:r w:rsidR="00192CCD">
        <w:t xml:space="preserve">the share of </w:t>
      </w:r>
      <w:r w:rsidR="00892F86">
        <w:t xml:space="preserve">ambulatory services </w:t>
      </w:r>
      <w:r w:rsidR="00192CCD">
        <w:t xml:space="preserve">in total </w:t>
      </w:r>
      <w:r w:rsidR="009129C3">
        <w:t>specialised community mental health services was reasonabl</w:t>
      </w:r>
      <w:r w:rsidR="00331507">
        <w:t>y</w:t>
      </w:r>
      <w:r w:rsidR="009129C3">
        <w:t xml:space="preserve"> consistent </w:t>
      </w:r>
      <w:r w:rsidR="00537A46">
        <w:t xml:space="preserve">across remoteness areas (and </w:t>
      </w:r>
      <w:r w:rsidR="00AE3533">
        <w:t>across other socio</w:t>
      </w:r>
      <w:r w:rsidR="00CE1FEF">
        <w:t>-</w:t>
      </w:r>
      <w:r w:rsidR="00AE3533">
        <w:t>demographic groups)</w:t>
      </w:r>
      <w:r w:rsidR="00762101">
        <w:t xml:space="preserve">, </w:t>
      </w:r>
      <w:r w:rsidR="002318E0">
        <w:t xml:space="preserve">it would represent a reasonable </w:t>
      </w:r>
      <w:r w:rsidR="00D51787">
        <w:t xml:space="preserve">indicator of total </w:t>
      </w:r>
      <w:r w:rsidR="00476D3D" w:rsidRPr="00476D3D">
        <w:t>specialised community mental health care</w:t>
      </w:r>
      <w:r w:rsidR="00892F86">
        <w:t xml:space="preserve"> </w:t>
      </w:r>
      <w:r w:rsidR="00476D3D">
        <w:t xml:space="preserve">activity. </w:t>
      </w:r>
      <w:r w:rsidR="00896683">
        <w:t>However</w:t>
      </w:r>
      <w:r w:rsidR="002F3800">
        <w:t>,</w:t>
      </w:r>
      <w:r w:rsidR="00EC1E66">
        <w:t xml:space="preserve"> ambulatory services are </w:t>
      </w:r>
      <w:r w:rsidR="001C2327">
        <w:t>predomina</w:t>
      </w:r>
      <w:r w:rsidR="001746FF">
        <w:t>n</w:t>
      </w:r>
      <w:r w:rsidR="001C2327">
        <w:t xml:space="preserve">tly provided in major cities and inner regional areas and </w:t>
      </w:r>
      <w:r w:rsidR="002B60CE">
        <w:t xml:space="preserve">are </w:t>
      </w:r>
      <w:r w:rsidR="001C2327">
        <w:t xml:space="preserve">much </w:t>
      </w:r>
      <w:r w:rsidR="00EC1E66">
        <w:t xml:space="preserve">less common in outer regional and remote areas. </w:t>
      </w:r>
    </w:p>
    <w:p w14:paraId="0D4FA193" w14:textId="3001BF84" w:rsidR="00EC1E66" w:rsidRDefault="00DC4B79" w:rsidP="00686778">
      <w:pPr>
        <w:pStyle w:val="CGC2025ParaNumbers"/>
      </w:pPr>
      <w:bookmarkStart w:id="28" w:name="_Hlk153457535"/>
      <w:r>
        <w:t>S</w:t>
      </w:r>
      <w:r w:rsidR="00D3198E">
        <w:t xml:space="preserve">pecialised community mental health services </w:t>
      </w:r>
      <w:bookmarkEnd w:id="28"/>
      <w:r w:rsidR="00BB6317">
        <w:t>in outer regional and remote areas</w:t>
      </w:r>
      <w:r>
        <w:t xml:space="preserve"> are</w:t>
      </w:r>
      <w:r w:rsidR="009A2A55">
        <w:t xml:space="preserve"> often</w:t>
      </w:r>
      <w:r w:rsidR="00EC1E66">
        <w:t xml:space="preserve"> delivered by non</w:t>
      </w:r>
      <w:r w:rsidR="009A2A55">
        <w:noBreakHyphen/>
      </w:r>
      <w:r w:rsidR="00EC1E66">
        <w:t>government organisations.</w:t>
      </w:r>
      <w:r w:rsidR="00713F6C">
        <w:t xml:space="preserve"> </w:t>
      </w:r>
      <w:r w:rsidR="0017685D">
        <w:t xml:space="preserve">The </w:t>
      </w:r>
      <w:r w:rsidR="00784CBD">
        <w:t>Productivity Commission</w:t>
      </w:r>
      <w:r w:rsidR="00D54CFF">
        <w:t>’s</w:t>
      </w:r>
      <w:r w:rsidR="004F30DA">
        <w:t xml:space="preserve"> </w:t>
      </w:r>
      <w:r w:rsidR="0017685D" w:rsidRPr="00151D50">
        <w:rPr>
          <w:i/>
        </w:rPr>
        <w:t>Report on Government Services</w:t>
      </w:r>
      <w:r w:rsidR="0017685D">
        <w:t xml:space="preserve"> </w:t>
      </w:r>
      <w:r w:rsidR="00600FE3">
        <w:t xml:space="preserve">community mental health </w:t>
      </w:r>
      <w:r w:rsidR="0054264E">
        <w:t>data show that</w:t>
      </w:r>
      <w:r w:rsidR="00713F6C">
        <w:t xml:space="preserve"> </w:t>
      </w:r>
      <w:r w:rsidR="0054264E">
        <w:t>s</w:t>
      </w:r>
      <w:r w:rsidR="0054264E" w:rsidRPr="000F2CD2">
        <w:t xml:space="preserve">tate </w:t>
      </w:r>
      <w:r w:rsidR="009D7930" w:rsidRPr="000F2CD2">
        <w:t>spending on these services represents 11% of total state spending on community mental health</w:t>
      </w:r>
      <w:r>
        <w:t>.</w:t>
      </w:r>
      <w:r w:rsidR="009D7930" w:rsidRPr="000F2CD2">
        <w:t xml:space="preserve"> </w:t>
      </w:r>
      <w:r w:rsidR="00617CD2">
        <w:t>T</w:t>
      </w:r>
      <w:r w:rsidR="00724B92">
        <w:t xml:space="preserve">he Commission </w:t>
      </w:r>
      <w:r w:rsidR="000F2CD2" w:rsidRPr="000F2CD2">
        <w:t>explor</w:t>
      </w:r>
      <w:r w:rsidR="00520640">
        <w:t>ed</w:t>
      </w:r>
      <w:r w:rsidR="000F2CD2" w:rsidRPr="000F2CD2">
        <w:t xml:space="preserve"> the feasibility of using </w:t>
      </w:r>
      <w:r w:rsidR="0083538D">
        <w:t>the</w:t>
      </w:r>
      <w:r w:rsidR="000F2CD2" w:rsidRPr="000F2CD2">
        <w:t xml:space="preserve"> Australian Institute of Health and Welfare</w:t>
      </w:r>
      <w:r w:rsidR="0083538D">
        <w:t>’s</w:t>
      </w:r>
      <w:r w:rsidR="000F2CD2" w:rsidRPr="000F2CD2">
        <w:t xml:space="preserve"> National Mental Health Establishments expenditure data </w:t>
      </w:r>
      <w:r w:rsidR="00E8026D">
        <w:t xml:space="preserve">as the </w:t>
      </w:r>
      <w:r w:rsidR="00671C3A">
        <w:t xml:space="preserve">indicator of activity for the services provided by </w:t>
      </w:r>
      <w:r w:rsidR="000F2CD2" w:rsidRPr="000F2CD2">
        <w:t>non</w:t>
      </w:r>
      <w:r w:rsidR="000F2CD2">
        <w:t>-</w:t>
      </w:r>
      <w:r w:rsidR="000F2CD2" w:rsidRPr="000F2CD2">
        <w:t xml:space="preserve">government organisations. </w:t>
      </w:r>
      <w:r w:rsidR="00D4638C">
        <w:t>However</w:t>
      </w:r>
      <w:r w:rsidR="00B60EF1">
        <w:t xml:space="preserve">, </w:t>
      </w:r>
      <w:r w:rsidR="009441F2">
        <w:t xml:space="preserve">the </w:t>
      </w:r>
      <w:r w:rsidR="009F3266">
        <w:t xml:space="preserve">expense </w:t>
      </w:r>
      <w:r w:rsidR="009441F2">
        <w:t xml:space="preserve">data cannot be </w:t>
      </w:r>
      <w:r w:rsidR="004124CE">
        <w:t>disaggregated by</w:t>
      </w:r>
      <w:r w:rsidR="00E3544B">
        <w:t xml:space="preserve"> </w:t>
      </w:r>
      <w:r w:rsidR="00E07375">
        <w:t>socio</w:t>
      </w:r>
      <w:r w:rsidR="0083538D">
        <w:noBreakHyphen/>
      </w:r>
      <w:r w:rsidR="00E07375">
        <w:t xml:space="preserve">demographic </w:t>
      </w:r>
      <w:r w:rsidR="00B61087">
        <w:t>variables</w:t>
      </w:r>
      <w:r w:rsidR="00266BC0">
        <w:t xml:space="preserve"> </w:t>
      </w:r>
      <w:r w:rsidR="000C3743">
        <w:t xml:space="preserve">such as </w:t>
      </w:r>
      <w:r w:rsidR="001C59EB">
        <w:t>socio-economic status</w:t>
      </w:r>
      <w:r w:rsidR="002955FD">
        <w:t xml:space="preserve">, </w:t>
      </w:r>
      <w:r w:rsidR="00D6541A">
        <w:t>Indigen</w:t>
      </w:r>
      <w:r w:rsidR="006F2CE9">
        <w:t>ous status</w:t>
      </w:r>
      <w:r w:rsidR="00D6541A">
        <w:t>,</w:t>
      </w:r>
      <w:r w:rsidR="00652CF8">
        <w:t xml:space="preserve"> or</w:t>
      </w:r>
      <w:r w:rsidR="001C59EB">
        <w:t xml:space="preserve"> remoteness</w:t>
      </w:r>
      <w:r w:rsidR="00002B3A">
        <w:t>,</w:t>
      </w:r>
      <w:r w:rsidR="00C3483D">
        <w:t xml:space="preserve"> and hence cannot be used </w:t>
      </w:r>
      <w:r w:rsidR="00E26AD7">
        <w:t>i</w:t>
      </w:r>
      <w:r w:rsidR="00002B3A">
        <w:t>n the assessment</w:t>
      </w:r>
      <w:r w:rsidR="00A03938">
        <w:t>.</w:t>
      </w:r>
    </w:p>
    <w:p w14:paraId="15F49FF0" w14:textId="16CAC68B" w:rsidR="00EE4837" w:rsidRDefault="00EE4837" w:rsidP="00FE57FE">
      <w:pPr>
        <w:pStyle w:val="CGC2025ParaNumbers"/>
      </w:pPr>
      <w:r>
        <w:t>The remaining share of s</w:t>
      </w:r>
      <w:r w:rsidRPr="00EE4837">
        <w:t>pecialised community mental health services</w:t>
      </w:r>
      <w:r w:rsidR="003D673E">
        <w:t xml:space="preserve"> are made up of residential services</w:t>
      </w:r>
      <w:r w:rsidR="003F6313">
        <w:t xml:space="preserve"> (</w:t>
      </w:r>
      <w:r w:rsidR="00B80EAE">
        <w:t>1</w:t>
      </w:r>
      <w:r w:rsidR="00B46993">
        <w:t>1</w:t>
      </w:r>
      <w:r w:rsidR="00B80EAE">
        <w:t>%</w:t>
      </w:r>
      <w:r w:rsidR="00D70B97">
        <w:t xml:space="preserve"> of state spending</w:t>
      </w:r>
      <w:r w:rsidR="00B80EAE">
        <w:t xml:space="preserve">) and </w:t>
      </w:r>
      <w:r w:rsidR="00FE57FE" w:rsidRPr="00FE57FE">
        <w:t xml:space="preserve">other indirect </w:t>
      </w:r>
      <w:r w:rsidR="00FE57FE">
        <w:t>spending (</w:t>
      </w:r>
      <w:r w:rsidR="00B46993">
        <w:t>also 11</w:t>
      </w:r>
      <w:r w:rsidR="00FE57FE">
        <w:t>%</w:t>
      </w:r>
      <w:r w:rsidR="00E4375F">
        <w:t> </w:t>
      </w:r>
      <w:r w:rsidR="007277EB">
        <w:t>of spending</w:t>
      </w:r>
      <w:r w:rsidR="00FE57FE">
        <w:t>).</w:t>
      </w:r>
      <w:r w:rsidR="00737ACB">
        <w:t xml:space="preserve"> </w:t>
      </w:r>
      <w:r w:rsidR="00115A02">
        <w:t>There</w:t>
      </w:r>
      <w:r w:rsidR="00115A02" w:rsidDel="00423260">
        <w:t xml:space="preserve"> </w:t>
      </w:r>
      <w:r w:rsidR="00423260">
        <w:t>are</w:t>
      </w:r>
      <w:r w:rsidR="00115A02">
        <w:t xml:space="preserve"> n</w:t>
      </w:r>
      <w:r w:rsidR="00737ACB">
        <w:t xml:space="preserve">o </w:t>
      </w:r>
      <w:r w:rsidR="00115A02">
        <w:t xml:space="preserve">suitable </w:t>
      </w:r>
      <w:r w:rsidR="00737ACB">
        <w:t xml:space="preserve">activity data </w:t>
      </w:r>
      <w:r w:rsidR="00115A02">
        <w:t>available for these services.</w:t>
      </w:r>
    </w:p>
    <w:p w14:paraId="0970223C" w14:textId="6B3FB0BC" w:rsidR="007676D9" w:rsidRDefault="005141A6" w:rsidP="007676D9">
      <w:pPr>
        <w:pStyle w:val="CGC2025ParaNumbers"/>
      </w:pPr>
      <w:r>
        <w:t>T</w:t>
      </w:r>
      <w:r w:rsidR="00534F40">
        <w:t xml:space="preserve">he </w:t>
      </w:r>
      <w:r w:rsidR="00935A86">
        <w:t xml:space="preserve">concerns raised by </w:t>
      </w:r>
      <w:r w:rsidR="003B3B7A">
        <w:t>states</w:t>
      </w:r>
      <w:r w:rsidR="00935A86">
        <w:t xml:space="preserve"> </w:t>
      </w:r>
      <w:r w:rsidR="000F70BE">
        <w:t>about the lack of costs weights</w:t>
      </w:r>
      <w:r w:rsidR="000D673E" w:rsidRPr="000D673E">
        <w:t xml:space="preserve"> </w:t>
      </w:r>
      <w:r w:rsidR="000D673E">
        <w:t>for episode length and complexity to better account for the different costs of patient contacts</w:t>
      </w:r>
      <w:r w:rsidR="0074221B">
        <w:t>,</w:t>
      </w:r>
      <w:r w:rsidR="00020C70">
        <w:t xml:space="preserve"> as well as </w:t>
      </w:r>
      <w:r w:rsidR="0042475B">
        <w:t xml:space="preserve">costs associated with </w:t>
      </w:r>
      <w:r w:rsidR="00941EF9">
        <w:t>pa</w:t>
      </w:r>
      <w:r w:rsidR="00034605">
        <w:t xml:space="preserve">tient </w:t>
      </w:r>
      <w:r w:rsidR="00741F80">
        <w:t>socio</w:t>
      </w:r>
      <w:r w:rsidR="00537D31">
        <w:t>-</w:t>
      </w:r>
      <w:r w:rsidR="00741F80">
        <w:t>demographic composition</w:t>
      </w:r>
      <w:r w:rsidR="008E75B9">
        <w:t>,</w:t>
      </w:r>
      <w:r w:rsidR="00FB6673">
        <w:t xml:space="preserve"> are also relevant.</w:t>
      </w:r>
    </w:p>
    <w:p w14:paraId="58CE1FB2" w14:textId="2CDA8769" w:rsidR="002E36A2" w:rsidRDefault="007676D9" w:rsidP="00CA6E3C">
      <w:pPr>
        <w:pStyle w:val="CGC2025ParaNumbers"/>
      </w:pPr>
      <w:r>
        <w:t xml:space="preserve">The Commission has explored the </w:t>
      </w:r>
      <w:r w:rsidR="00F95A83">
        <w:t xml:space="preserve">potential to </w:t>
      </w:r>
      <w:r w:rsidR="00EE74A3">
        <w:t xml:space="preserve">use </w:t>
      </w:r>
      <w:r w:rsidR="00AB69E7">
        <w:t>the</w:t>
      </w:r>
      <w:r w:rsidR="00EE74A3">
        <w:t xml:space="preserve"> </w:t>
      </w:r>
      <w:r>
        <w:t>A</w:t>
      </w:r>
      <w:r w:rsidR="00A30C8E">
        <w:t xml:space="preserve">ustralian </w:t>
      </w:r>
      <w:r>
        <w:t>I</w:t>
      </w:r>
      <w:r w:rsidR="00A30C8E">
        <w:t xml:space="preserve">nstitute of </w:t>
      </w:r>
      <w:r>
        <w:t>H</w:t>
      </w:r>
      <w:r w:rsidR="00A30C8E">
        <w:t xml:space="preserve">ealth and </w:t>
      </w:r>
      <w:r>
        <w:t>W</w:t>
      </w:r>
      <w:r w:rsidR="00A30C8E">
        <w:t>elfare</w:t>
      </w:r>
      <w:r w:rsidR="00A02FC1">
        <w:t>’s</w:t>
      </w:r>
      <w:r>
        <w:t xml:space="preserve"> </w:t>
      </w:r>
      <w:r w:rsidRPr="001C799A">
        <w:t xml:space="preserve">National Mental Health Establishments </w:t>
      </w:r>
      <w:r>
        <w:t>expenditure data</w:t>
      </w:r>
      <w:r w:rsidR="00714989">
        <w:t>set</w:t>
      </w:r>
      <w:r w:rsidR="00F95A83">
        <w:t>. However,</w:t>
      </w:r>
      <w:r>
        <w:t xml:space="preserve"> this cannot be used to add cost weights due to differing scope between the activity and expenditure datasets. </w:t>
      </w:r>
    </w:p>
    <w:p w14:paraId="68B5F85D" w14:textId="1C7D6FA1" w:rsidR="00C334DE" w:rsidRDefault="003C4634" w:rsidP="00F70ACD">
      <w:pPr>
        <w:pStyle w:val="CGC2025ParaNumbers"/>
      </w:pPr>
      <w:r>
        <w:t>I</w:t>
      </w:r>
      <w:r w:rsidR="003C25C3">
        <w:t xml:space="preserve">n the </w:t>
      </w:r>
      <w:r w:rsidR="00F84C78">
        <w:t xml:space="preserve">absence of </w:t>
      </w:r>
      <w:r w:rsidR="002D588C">
        <w:t xml:space="preserve">a </w:t>
      </w:r>
      <w:r w:rsidR="008E5B53">
        <w:t>service</w:t>
      </w:r>
      <w:r w:rsidR="008E5B53">
        <w:noBreakHyphen/>
        <w:t xml:space="preserve">specific </w:t>
      </w:r>
      <w:r w:rsidR="002D588C">
        <w:t xml:space="preserve">cost gradient to take account of </w:t>
      </w:r>
      <w:r w:rsidR="00E62462">
        <w:t xml:space="preserve">higher costs </w:t>
      </w:r>
      <w:r w:rsidR="00743A20">
        <w:t xml:space="preserve">of providing services as </w:t>
      </w:r>
      <w:r w:rsidR="00BC2F9D">
        <w:t>remoteness increases,</w:t>
      </w:r>
      <w:r w:rsidR="0073517A">
        <w:t xml:space="preserve"> the</w:t>
      </w:r>
      <w:r w:rsidR="008818D1">
        <w:t xml:space="preserve"> </w:t>
      </w:r>
      <w:r w:rsidR="0036578A">
        <w:t>Commission</w:t>
      </w:r>
      <w:r w:rsidR="00BC2F9D">
        <w:t xml:space="preserve"> could apply the </w:t>
      </w:r>
      <w:r w:rsidR="008818D1">
        <w:t>general regional</w:t>
      </w:r>
      <w:r w:rsidR="006443BA">
        <w:t xml:space="preserve"> </w:t>
      </w:r>
      <w:r w:rsidR="008818D1">
        <w:t>cost</w:t>
      </w:r>
      <w:r w:rsidR="006443BA">
        <w:t xml:space="preserve"> gradient</w:t>
      </w:r>
      <w:r w:rsidR="004A1E0E">
        <w:t xml:space="preserve"> or </w:t>
      </w:r>
      <w:r w:rsidR="00172662">
        <w:t xml:space="preserve">a combination of </w:t>
      </w:r>
      <w:r w:rsidR="00C27048">
        <w:t xml:space="preserve">the </w:t>
      </w:r>
      <w:bookmarkStart w:id="29" w:name="_Hlk153460807"/>
      <w:r w:rsidR="00C27048">
        <w:t>emergency department regional cost gradient</w:t>
      </w:r>
      <w:bookmarkEnd w:id="29"/>
      <w:r w:rsidR="007059E5">
        <w:t xml:space="preserve"> </w:t>
      </w:r>
      <w:r w:rsidR="00172662">
        <w:t>and</w:t>
      </w:r>
      <w:r w:rsidR="00F70ACD" w:rsidRPr="00F70ACD">
        <w:t xml:space="preserve"> the </w:t>
      </w:r>
      <w:r w:rsidR="00172662">
        <w:t>non</w:t>
      </w:r>
      <w:r w:rsidR="00172662">
        <w:noBreakHyphen/>
        <w:t>a</w:t>
      </w:r>
      <w:r w:rsidR="00C71653">
        <w:t xml:space="preserve">dmitted patient regional cost gradient </w:t>
      </w:r>
      <w:r w:rsidR="006E4DF7">
        <w:t>(</w:t>
      </w:r>
      <w:r w:rsidR="00A2515B">
        <w:t xml:space="preserve">to be consistent with the proposed </w:t>
      </w:r>
      <w:r w:rsidR="00F70ACD" w:rsidRPr="00F70ACD">
        <w:t xml:space="preserve">proxy </w:t>
      </w:r>
      <w:r w:rsidR="00827F1A">
        <w:t>indicator for the balance of community and public health expenses</w:t>
      </w:r>
      <w:r w:rsidR="00F70ACD" w:rsidRPr="00F70ACD">
        <w:t xml:space="preserve"> </w:t>
      </w:r>
      <w:r w:rsidR="00B4346B">
        <w:t>–</w:t>
      </w:r>
      <w:r w:rsidR="00F70ACD" w:rsidRPr="00F70ACD">
        <w:t xml:space="preserve"> </w:t>
      </w:r>
      <w:r w:rsidR="00E24E39">
        <w:t>see discussion below</w:t>
      </w:r>
      <w:r w:rsidR="00336D32">
        <w:t>)</w:t>
      </w:r>
      <w:r w:rsidR="006E4DF7">
        <w:t>.</w:t>
      </w:r>
    </w:p>
    <w:p w14:paraId="3AFA9F33" w14:textId="58977D63" w:rsidR="00281E18" w:rsidRDefault="00C334DE" w:rsidP="00C334DE">
      <w:pPr>
        <w:pStyle w:val="CGC2025ParaNumbers"/>
      </w:pPr>
      <w:r>
        <w:t xml:space="preserve">The Commission applies the general gradient to categories where a conceptual case exists that costs increase with remoteness, but reliable regional costs are not </w:t>
      </w:r>
      <w:r>
        <w:lastRenderedPageBreak/>
        <w:t>available.</w:t>
      </w:r>
      <w:r w:rsidR="002078E2">
        <w:rPr>
          <w:rStyle w:val="FootnoteReference"/>
        </w:rPr>
        <w:footnoteReference w:id="7"/>
      </w:r>
      <w:r w:rsidDel="005724DD">
        <w:t xml:space="preserve"> </w:t>
      </w:r>
      <w:r>
        <w:t>A discount would be applied (25%), as is done in other assessments where the general gradient is used, in recognition that the cost</w:t>
      </w:r>
      <w:r w:rsidR="004D7F60">
        <w:t xml:space="preserve"> components used</w:t>
      </w:r>
      <w:r>
        <w:t xml:space="preserve"> in </w:t>
      </w:r>
      <w:r w:rsidR="00721226">
        <w:t>the general gradient</w:t>
      </w:r>
      <w:r>
        <w:t xml:space="preserve"> are only a proxy for actual service costs. </w:t>
      </w:r>
    </w:p>
    <w:p w14:paraId="1BC68A3B" w14:textId="5E49F016" w:rsidR="00A240AE" w:rsidRDefault="007F4092" w:rsidP="003F0B69">
      <w:pPr>
        <w:pStyle w:val="CGC2025ParaNumbers"/>
      </w:pPr>
      <w:r>
        <w:t xml:space="preserve">The service delivery scale adjustment would also be applied </w:t>
      </w:r>
      <w:r w:rsidR="00EA0273">
        <w:t>to the activity data.</w:t>
      </w:r>
    </w:p>
    <w:p w14:paraId="021D89DE" w14:textId="73F34221" w:rsidR="004C5C0E" w:rsidRDefault="005C31DF" w:rsidP="00D85880">
      <w:pPr>
        <w:pStyle w:val="Heading4"/>
      </w:pPr>
      <w:r>
        <w:t>Commission draft position</w:t>
      </w:r>
    </w:p>
    <w:p w14:paraId="4097B9C5" w14:textId="256903F1" w:rsidR="004851E5" w:rsidRDefault="004851E5" w:rsidP="004851E5">
      <w:pPr>
        <w:pStyle w:val="CGC2025ParaNumbers"/>
      </w:pPr>
      <w:r>
        <w:t>The Commission</w:t>
      </w:r>
      <w:r w:rsidR="00D432F1">
        <w:t xml:space="preserve"> proposes</w:t>
      </w:r>
      <w:r>
        <w:t xml:space="preserve"> to introduce a d</w:t>
      </w:r>
      <w:r w:rsidRPr="004851E5">
        <w:t xml:space="preserve">irect measure of </w:t>
      </w:r>
      <w:r w:rsidR="00145790">
        <w:t xml:space="preserve">the use and cost of </w:t>
      </w:r>
      <w:r w:rsidRPr="004851E5">
        <w:t>specialised community mental health activity</w:t>
      </w:r>
      <w:r>
        <w:t xml:space="preserve"> </w:t>
      </w:r>
      <w:r w:rsidR="00ED117A">
        <w:t>for ambulatory services only</w:t>
      </w:r>
      <w:r w:rsidR="00567ECE">
        <w:t xml:space="preserve">. </w:t>
      </w:r>
      <w:r w:rsidR="0012472E">
        <w:t>It will become a sub</w:t>
      </w:r>
      <w:r w:rsidR="00521A97">
        <w:noBreakHyphen/>
      </w:r>
      <w:r w:rsidR="0012472E">
        <w:t xml:space="preserve">component of the </w:t>
      </w:r>
      <w:r w:rsidR="00C6065B">
        <w:t>c</w:t>
      </w:r>
      <w:r w:rsidR="0012472E">
        <w:t>ommunity and public health assessment.</w:t>
      </w:r>
    </w:p>
    <w:p w14:paraId="3E2EE501" w14:textId="717DFB39" w:rsidR="00CE4EAF" w:rsidRDefault="304B7718" w:rsidP="00C74975">
      <w:pPr>
        <w:pStyle w:val="CGC2025ParaNumbers"/>
      </w:pPr>
      <w:r>
        <w:t>The Commission</w:t>
      </w:r>
      <w:r w:rsidR="00E66DDF">
        <w:t xml:space="preserve"> considers</w:t>
      </w:r>
      <w:r>
        <w:t xml:space="preserve"> the </w:t>
      </w:r>
      <w:r w:rsidR="0039663A">
        <w:t xml:space="preserve">Australian Institute of Health and Welfare </w:t>
      </w:r>
      <w:r>
        <w:t>activity data on</w:t>
      </w:r>
      <w:r w:rsidRPr="00952738">
        <w:t xml:space="preserve"> </w:t>
      </w:r>
      <w:bookmarkStart w:id="30" w:name="_Hlk152137453"/>
      <w:r w:rsidRPr="00952738">
        <w:t>specialised community mental health</w:t>
      </w:r>
      <w:bookmarkEnd w:id="30"/>
      <w:r>
        <w:t xml:space="preserve"> ambulatory</w:t>
      </w:r>
      <w:r w:rsidRPr="00952738">
        <w:t xml:space="preserve"> services</w:t>
      </w:r>
      <w:r>
        <w:t xml:space="preserve"> </w:t>
      </w:r>
      <w:r w:rsidR="71C016FB">
        <w:t>are</w:t>
      </w:r>
      <w:r>
        <w:t xml:space="preserve"> not representative of activity on all </w:t>
      </w:r>
      <w:r w:rsidRPr="002414A9">
        <w:t>specialised community mental health</w:t>
      </w:r>
      <w:r>
        <w:t xml:space="preserve"> services</w:t>
      </w:r>
      <w:r w:rsidR="430C9E85">
        <w:t>.</w:t>
      </w:r>
      <w:r w:rsidR="45D26DA0">
        <w:t xml:space="preserve"> </w:t>
      </w:r>
      <w:r w:rsidR="00CE4EAF">
        <w:t xml:space="preserve">Although </w:t>
      </w:r>
      <w:r w:rsidR="00614AD6">
        <w:t xml:space="preserve">in aggregate </w:t>
      </w:r>
      <w:r w:rsidR="004136FD">
        <w:t xml:space="preserve">ambulatory services represent a </w:t>
      </w:r>
      <w:r w:rsidR="0004093D">
        <w:t>siz</w:t>
      </w:r>
      <w:r w:rsidR="0043309D">
        <w:t>e</w:t>
      </w:r>
      <w:r w:rsidR="0004093D">
        <w:t>able</w:t>
      </w:r>
      <w:r w:rsidR="004136FD">
        <w:t xml:space="preserve"> share of total </w:t>
      </w:r>
      <w:r w:rsidR="007277EB">
        <w:t xml:space="preserve">state </w:t>
      </w:r>
      <w:bookmarkStart w:id="31" w:name="_Hlk153462125"/>
      <w:r w:rsidR="007277EB">
        <w:t>spending</w:t>
      </w:r>
      <w:r w:rsidR="009F0ACB">
        <w:t xml:space="preserve"> on </w:t>
      </w:r>
      <w:r w:rsidR="004136FD">
        <w:t xml:space="preserve">specialised </w:t>
      </w:r>
      <w:r w:rsidR="009037E6">
        <w:t>community mental health services</w:t>
      </w:r>
      <w:r w:rsidR="00A37E98">
        <w:t xml:space="preserve"> </w:t>
      </w:r>
      <w:bookmarkEnd w:id="31"/>
      <w:r w:rsidR="00A37E98">
        <w:t>(6</w:t>
      </w:r>
      <w:r w:rsidR="003E6FB1">
        <w:t>6</w:t>
      </w:r>
      <w:r w:rsidR="00A37E98">
        <w:t>%)</w:t>
      </w:r>
      <w:r w:rsidR="009037E6">
        <w:t>, the</w:t>
      </w:r>
      <w:r w:rsidR="0032515F">
        <w:t xml:space="preserve">y account for </w:t>
      </w:r>
      <w:r w:rsidR="009B3149">
        <w:t xml:space="preserve">a larger share of total services in major cities and inner regional areas </w:t>
      </w:r>
      <w:r w:rsidR="0016601C">
        <w:t xml:space="preserve">and a much </w:t>
      </w:r>
      <w:r w:rsidR="000C2AAC">
        <w:t>lower</w:t>
      </w:r>
      <w:r w:rsidR="0016601C">
        <w:t xml:space="preserve"> share of total services in outer regional and remote areas.</w:t>
      </w:r>
      <w:r w:rsidR="00E12A4B">
        <w:t xml:space="preserve"> </w:t>
      </w:r>
      <w:r w:rsidR="009A14EB">
        <w:t>Therefor</w:t>
      </w:r>
      <w:r w:rsidR="000C7B37">
        <w:t>e</w:t>
      </w:r>
      <w:r w:rsidR="009A14EB">
        <w:t>, using this as an indicator</w:t>
      </w:r>
      <w:r w:rsidR="000C7B37">
        <w:t xml:space="preserve"> </w:t>
      </w:r>
      <w:r w:rsidR="00F4571F">
        <w:t xml:space="preserve">of activity </w:t>
      </w:r>
      <w:r w:rsidR="000C7B37">
        <w:t>for all</w:t>
      </w:r>
      <w:r w:rsidR="00C74975">
        <w:t xml:space="preserve"> </w:t>
      </w:r>
      <w:r w:rsidR="00C74975" w:rsidRPr="00C74975">
        <w:t>spending on specialised community mental health services</w:t>
      </w:r>
      <w:r w:rsidR="00F4571F">
        <w:t xml:space="preserve"> would overestimate </w:t>
      </w:r>
      <w:r w:rsidR="00784B20">
        <w:t xml:space="preserve">spending </w:t>
      </w:r>
      <w:r w:rsidR="00E21654">
        <w:t>in major citi</w:t>
      </w:r>
      <w:r w:rsidR="006D6350">
        <w:t xml:space="preserve">es and inner regional areas </w:t>
      </w:r>
      <w:r w:rsidR="007E45CB">
        <w:t>and</w:t>
      </w:r>
      <w:r w:rsidR="006D6350">
        <w:t xml:space="preserve"> underestimate spending in </w:t>
      </w:r>
      <w:r w:rsidR="00517397">
        <w:t>other areas.</w:t>
      </w:r>
    </w:p>
    <w:p w14:paraId="4A997EBA" w14:textId="2196CA05" w:rsidR="00E12A4B" w:rsidRDefault="005C7EB7" w:rsidP="00F718A2">
      <w:pPr>
        <w:pStyle w:val="CGC2025ParaNumbers"/>
      </w:pPr>
      <w:r>
        <w:t>The a</w:t>
      </w:r>
      <w:r w:rsidR="00E12A4B">
        <w:t xml:space="preserve">ctivity data on the other </w:t>
      </w:r>
      <w:r>
        <w:t xml:space="preserve">specialised community mental health services </w:t>
      </w:r>
      <w:r w:rsidR="001F2566">
        <w:t>are</w:t>
      </w:r>
      <w:r>
        <w:t xml:space="preserve"> not </w:t>
      </w:r>
      <w:r w:rsidR="00313C3E">
        <w:t>fit for purpose.</w:t>
      </w:r>
      <w:r w:rsidR="00317B7C">
        <w:t xml:space="preserve"> </w:t>
      </w:r>
      <w:r w:rsidR="00D15172">
        <w:t>T</w:t>
      </w:r>
      <w:r w:rsidR="00400163">
        <w:t xml:space="preserve">he </w:t>
      </w:r>
      <w:r w:rsidR="00F52802">
        <w:t xml:space="preserve">residential mental health </w:t>
      </w:r>
      <w:r w:rsidR="007C4FC7">
        <w:t xml:space="preserve">care </w:t>
      </w:r>
      <w:r w:rsidR="009A2B93">
        <w:t>collection has far fewer people and episodes</w:t>
      </w:r>
      <w:r w:rsidR="00F601E3">
        <w:t>, with one state providing around half of all episodes.</w:t>
      </w:r>
      <w:r w:rsidR="009A2B93">
        <w:t xml:space="preserve"> </w:t>
      </w:r>
    </w:p>
    <w:p w14:paraId="60C41FB3" w14:textId="2DFC8995" w:rsidR="004C5C0E" w:rsidRDefault="57DD3E2E" w:rsidP="00F718A2">
      <w:pPr>
        <w:pStyle w:val="CGC2025ParaNumbers"/>
      </w:pPr>
      <w:r>
        <w:t xml:space="preserve">As such, </w:t>
      </w:r>
      <w:r w:rsidR="009C185D">
        <w:t>the Com</w:t>
      </w:r>
      <w:r w:rsidR="001656B9">
        <w:t>mission</w:t>
      </w:r>
      <w:r w:rsidR="00EF5B32">
        <w:t xml:space="preserve"> proposes</w:t>
      </w:r>
      <w:r w:rsidR="001656B9">
        <w:t xml:space="preserve"> that </w:t>
      </w:r>
      <w:r w:rsidR="56672861">
        <w:t xml:space="preserve">only </w:t>
      </w:r>
      <w:r w:rsidR="00040042">
        <w:t xml:space="preserve">state spending </w:t>
      </w:r>
      <w:r w:rsidR="00A37A1D">
        <w:t xml:space="preserve">needs </w:t>
      </w:r>
      <w:r w:rsidR="00040042">
        <w:t xml:space="preserve">on ambulatory </w:t>
      </w:r>
      <w:r w:rsidR="005F1DA9">
        <w:t xml:space="preserve">specialised community </w:t>
      </w:r>
      <w:r w:rsidR="00040042">
        <w:t>mental health services</w:t>
      </w:r>
      <w:r w:rsidR="00FE337D">
        <w:t xml:space="preserve"> </w:t>
      </w:r>
      <w:r w:rsidR="001656B9">
        <w:t>would</w:t>
      </w:r>
      <w:r w:rsidR="00FE337D">
        <w:t xml:space="preserve"> be </w:t>
      </w:r>
      <w:r w:rsidR="00A37A1D">
        <w:t>assessed using</w:t>
      </w:r>
      <w:r w:rsidR="00040042">
        <w:t xml:space="preserve"> </w:t>
      </w:r>
      <w:r w:rsidR="20324125">
        <w:t>the ambul</w:t>
      </w:r>
      <w:r w:rsidR="53CA3F75">
        <w:t xml:space="preserve">atory services activity data </w:t>
      </w:r>
      <w:r w:rsidR="56672861">
        <w:t>from the Australian Institute of Health and Welfare</w:t>
      </w:r>
      <w:r w:rsidR="00A37A1D">
        <w:t xml:space="preserve">. </w:t>
      </w:r>
      <w:r w:rsidR="57CF3D39">
        <w:t xml:space="preserve">These expenses represent </w:t>
      </w:r>
      <w:r w:rsidR="1154125B">
        <w:t xml:space="preserve">around </w:t>
      </w:r>
      <w:r w:rsidR="00497B75" w:rsidRPr="00914445">
        <w:t>6</w:t>
      </w:r>
      <w:r w:rsidR="00800AE9">
        <w:t>6</w:t>
      </w:r>
      <w:r w:rsidR="1154125B">
        <w:t xml:space="preserve">% of state spending </w:t>
      </w:r>
      <w:r w:rsidR="537C39AA">
        <w:t xml:space="preserve">on </w:t>
      </w:r>
      <w:r w:rsidR="00DB53F5" w:rsidRPr="002414A9">
        <w:t xml:space="preserve">specialised </w:t>
      </w:r>
      <w:r w:rsidR="36CBE8C5">
        <w:t xml:space="preserve">community </w:t>
      </w:r>
      <w:r w:rsidR="00497B75">
        <w:t>mental</w:t>
      </w:r>
      <w:r w:rsidR="36CBE8C5">
        <w:t xml:space="preserve"> health services</w:t>
      </w:r>
      <w:r w:rsidR="0ED52EC1">
        <w:t>.</w:t>
      </w:r>
      <w:r w:rsidR="36CBE8C5">
        <w:t xml:space="preserve"> The remainder of </w:t>
      </w:r>
      <w:r w:rsidR="009198AC">
        <w:t xml:space="preserve">state spending on </w:t>
      </w:r>
      <w:r w:rsidR="009198AC" w:rsidRPr="002414A9">
        <w:t>specialised community mental health</w:t>
      </w:r>
      <w:r w:rsidR="009198AC">
        <w:t xml:space="preserve"> services</w:t>
      </w:r>
      <w:r w:rsidR="6F98506C">
        <w:t xml:space="preserve"> </w:t>
      </w:r>
      <w:r w:rsidR="00033959">
        <w:t>would</w:t>
      </w:r>
      <w:r w:rsidR="6F98506C">
        <w:t xml:space="preserve"> be assessed using </w:t>
      </w:r>
      <w:r w:rsidR="00B815FC">
        <w:t>a</w:t>
      </w:r>
      <w:r w:rsidR="6F98506C">
        <w:t xml:space="preserve"> proxy indicator of activity</w:t>
      </w:r>
      <w:r w:rsidR="00D36CF9">
        <w:t xml:space="preserve"> (discussed below)</w:t>
      </w:r>
      <w:r w:rsidR="6F98506C">
        <w:t>.</w:t>
      </w:r>
      <w:r w:rsidR="00DB53F5">
        <w:t xml:space="preserve"> </w:t>
      </w:r>
    </w:p>
    <w:p w14:paraId="354E2490" w14:textId="1C49EBE2" w:rsidR="008F5E58" w:rsidRDefault="339F742A" w:rsidP="00715703">
      <w:pPr>
        <w:pStyle w:val="CGC2025ParaNumbers"/>
      </w:pPr>
      <w:r>
        <w:t>The Commission</w:t>
      </w:r>
      <w:r w:rsidR="007A5F98">
        <w:t xml:space="preserve"> considers</w:t>
      </w:r>
      <w:r w:rsidR="00504793">
        <w:t xml:space="preserve"> </w:t>
      </w:r>
      <w:r w:rsidR="458AFED9">
        <w:t xml:space="preserve">that </w:t>
      </w:r>
      <w:r w:rsidR="4ACF16D4">
        <w:t xml:space="preserve">service </w:t>
      </w:r>
      <w:r w:rsidR="55BEBED0">
        <w:t xml:space="preserve">costs are likely to increase </w:t>
      </w:r>
      <w:r w:rsidR="49273315">
        <w:t>with remoteness</w:t>
      </w:r>
      <w:r w:rsidR="7EC180B2">
        <w:t>. In the absence of service</w:t>
      </w:r>
      <w:r w:rsidR="00A85ED4">
        <w:t xml:space="preserve"> </w:t>
      </w:r>
      <w:r w:rsidR="7EC180B2">
        <w:t>specific cost weights</w:t>
      </w:r>
      <w:r w:rsidR="3DB796DC">
        <w:t xml:space="preserve">, </w:t>
      </w:r>
      <w:r w:rsidR="0FA7F7D3">
        <w:t xml:space="preserve">the choice </w:t>
      </w:r>
      <w:r w:rsidR="768811E3">
        <w:t>of cos</w:t>
      </w:r>
      <w:r w:rsidR="760EE108">
        <w:t xml:space="preserve">t gradient </w:t>
      </w:r>
      <w:r w:rsidR="0FA7F7D3">
        <w:t xml:space="preserve">comes down to </w:t>
      </w:r>
      <w:r w:rsidR="120A1029">
        <w:t xml:space="preserve">either </w:t>
      </w:r>
      <w:r w:rsidR="0FA7F7D3">
        <w:t xml:space="preserve">using </w:t>
      </w:r>
      <w:r w:rsidR="3DB796DC">
        <w:t xml:space="preserve">the general </w:t>
      </w:r>
      <w:r w:rsidR="137953B0">
        <w:t xml:space="preserve">regional cost </w:t>
      </w:r>
      <w:r w:rsidR="3DB796DC">
        <w:t xml:space="preserve">gradient </w:t>
      </w:r>
      <w:r w:rsidR="24EAFC02">
        <w:t xml:space="preserve">or </w:t>
      </w:r>
      <w:r w:rsidR="0007651D">
        <w:t xml:space="preserve">a combination of </w:t>
      </w:r>
      <w:r w:rsidR="24EAFC02">
        <w:t xml:space="preserve">the </w:t>
      </w:r>
      <w:r w:rsidR="13F74BC7">
        <w:t xml:space="preserve">emergency department </w:t>
      </w:r>
      <w:r w:rsidR="00DE3507">
        <w:t>and non</w:t>
      </w:r>
      <w:r w:rsidR="00DE3507">
        <w:noBreakHyphen/>
        <w:t xml:space="preserve">admitted patient </w:t>
      </w:r>
      <w:r w:rsidR="75842085">
        <w:t xml:space="preserve">regional </w:t>
      </w:r>
      <w:r w:rsidR="7BD68028">
        <w:t>cost gradient</w:t>
      </w:r>
      <w:r w:rsidR="00DE3507">
        <w:t>s</w:t>
      </w:r>
      <w:r w:rsidR="2FDCCE36">
        <w:t xml:space="preserve">. </w:t>
      </w:r>
      <w:r w:rsidR="006901A4">
        <w:t>In</w:t>
      </w:r>
      <w:r w:rsidR="00DE2C49">
        <w:t xml:space="preserve"> </w:t>
      </w:r>
      <w:r w:rsidR="00BD669F">
        <w:t xml:space="preserve">the </w:t>
      </w:r>
      <w:r w:rsidR="006901A4">
        <w:t xml:space="preserve">absence of any information on how ambulatory </w:t>
      </w:r>
      <w:r w:rsidR="000A122E">
        <w:t xml:space="preserve">community mental health service costs vary with remoteness, the </w:t>
      </w:r>
      <w:r w:rsidR="002630DD">
        <w:t>Commission w</w:t>
      </w:r>
      <w:r w:rsidR="000313CD">
        <w:t xml:space="preserve">ill </w:t>
      </w:r>
      <w:r w:rsidR="00A870CD">
        <w:t>take a conservative approach and</w:t>
      </w:r>
      <w:r w:rsidR="002630DD">
        <w:t xml:space="preserve"> </w:t>
      </w:r>
      <w:r w:rsidR="00C97916">
        <w:t>apply the general</w:t>
      </w:r>
      <w:r w:rsidR="1FCC862A">
        <w:t xml:space="preserve"> </w:t>
      </w:r>
      <w:r w:rsidR="58679C66">
        <w:t>regional cost gradient</w:t>
      </w:r>
      <w:r w:rsidR="2DDFB796">
        <w:t xml:space="preserve"> and service delivery scale adjustments</w:t>
      </w:r>
      <w:r w:rsidR="0A0617FA">
        <w:t xml:space="preserve"> </w:t>
      </w:r>
      <w:r w:rsidR="52F318E4">
        <w:t xml:space="preserve">to </w:t>
      </w:r>
      <w:r w:rsidR="22527157">
        <w:t xml:space="preserve">the </w:t>
      </w:r>
      <w:r w:rsidR="12308545">
        <w:t>activity data on s</w:t>
      </w:r>
      <w:r w:rsidR="56BE5465">
        <w:t>pecialised community mental health services</w:t>
      </w:r>
      <w:r w:rsidR="12308545">
        <w:t>.</w:t>
      </w:r>
      <w:r w:rsidR="2FDCCE36">
        <w:t xml:space="preserve"> </w:t>
      </w:r>
    </w:p>
    <w:p w14:paraId="0137B2A3" w14:textId="183DBBBA" w:rsidR="008B0809" w:rsidRDefault="006808F1" w:rsidP="00EE5E60">
      <w:pPr>
        <w:pStyle w:val="CGC2025ParaNumbers"/>
      </w:pPr>
      <w:r>
        <w:t>Box 2</w:t>
      </w:r>
      <w:r w:rsidR="6EC3C7E1" w:rsidDel="00246D36">
        <w:t xml:space="preserve"> </w:t>
      </w:r>
      <w:r w:rsidR="5917051C">
        <w:t>provides a summary of the Commission</w:t>
      </w:r>
      <w:r w:rsidR="0B571443">
        <w:t>’</w:t>
      </w:r>
      <w:r w:rsidR="5917051C">
        <w:t xml:space="preserve">s </w:t>
      </w:r>
      <w:r w:rsidR="00874702">
        <w:t xml:space="preserve">position </w:t>
      </w:r>
      <w:r w:rsidR="2E28323B">
        <w:t>on</w:t>
      </w:r>
      <w:r w:rsidR="5917051C">
        <w:t xml:space="preserve"> the assessment method. </w:t>
      </w:r>
    </w:p>
    <w:p w14:paraId="22C8539F" w14:textId="26141AED" w:rsidR="00AA3C9D" w:rsidRPr="00E51461" w:rsidRDefault="00AA3C9D" w:rsidP="00E51461">
      <w:pPr>
        <w:pStyle w:val="NoSpacing"/>
        <w:rPr>
          <w:rStyle w:val="FootnoteReference"/>
        </w:rPr>
      </w:pPr>
    </w:p>
    <w:p w14:paraId="4308F5D5" w14:textId="39622B6C" w:rsidR="000F3929" w:rsidRPr="00D92628" w:rsidRDefault="006808F1" w:rsidP="003A1163">
      <w:pPr>
        <w:pStyle w:val="BoxText"/>
        <w:pBdr>
          <w:bottom w:val="single" w:sz="4" w:space="11" w:color="DDDDDD"/>
        </w:pBdr>
        <w:shd w:val="clear" w:color="auto" w:fill="E5F8FF"/>
        <w:spacing w:before="120" w:after="60" w:line="276" w:lineRule="auto"/>
        <w:ind w:left="1134" w:hanging="1021"/>
        <w:rPr>
          <w:rFonts w:ascii="Open Sans Semibold" w:hAnsi="Open Sans Semibold" w:cs="Open Sans Semibold"/>
          <w:color w:val="006991"/>
          <w:sz w:val="26"/>
          <w:szCs w:val="26"/>
        </w:rPr>
      </w:pPr>
      <w:r w:rsidRPr="00D92628">
        <w:rPr>
          <w:rFonts w:ascii="Open Sans Semibold" w:hAnsi="Open Sans Semibold" w:cs="Open Sans Semibold"/>
          <w:color w:val="006991"/>
          <w:sz w:val="26"/>
          <w:szCs w:val="26"/>
        </w:rPr>
        <w:lastRenderedPageBreak/>
        <w:t>Box 2</w:t>
      </w:r>
      <w:r w:rsidR="00B731C3" w:rsidRPr="00D92628">
        <w:rPr>
          <w:rFonts w:ascii="Open Sans Semibold" w:hAnsi="Open Sans Semibold" w:cs="Open Sans Semibold"/>
          <w:color w:val="006991"/>
          <w:sz w:val="26"/>
          <w:szCs w:val="26"/>
        </w:rPr>
        <w:tab/>
      </w:r>
      <w:r w:rsidR="00033959" w:rsidRPr="00D92628">
        <w:rPr>
          <w:rFonts w:ascii="Open Sans Semibold" w:hAnsi="Open Sans Semibold" w:cs="Open Sans Semibold"/>
          <w:color w:val="006991"/>
          <w:sz w:val="26"/>
          <w:szCs w:val="26"/>
        </w:rPr>
        <w:t>Proposed s</w:t>
      </w:r>
      <w:r w:rsidR="00C4703E" w:rsidRPr="00D92628">
        <w:rPr>
          <w:rFonts w:ascii="Open Sans Semibold" w:hAnsi="Open Sans Semibold" w:cs="Open Sans Semibold"/>
          <w:color w:val="006991"/>
          <w:sz w:val="26"/>
          <w:szCs w:val="26"/>
        </w:rPr>
        <w:t xml:space="preserve">teps </w:t>
      </w:r>
      <w:r w:rsidR="000049A6" w:rsidRPr="00D92628">
        <w:rPr>
          <w:rFonts w:ascii="Open Sans Semibold" w:hAnsi="Open Sans Semibold" w:cs="Open Sans Semibold"/>
          <w:color w:val="006991"/>
          <w:sz w:val="26"/>
          <w:szCs w:val="26"/>
        </w:rPr>
        <w:t xml:space="preserve">to </w:t>
      </w:r>
      <w:r w:rsidR="009625BB" w:rsidRPr="00D92628">
        <w:rPr>
          <w:rFonts w:ascii="Open Sans Semibold" w:hAnsi="Open Sans Semibold" w:cs="Open Sans Semibold"/>
          <w:color w:val="006991"/>
          <w:sz w:val="26"/>
          <w:szCs w:val="26"/>
        </w:rPr>
        <w:t>i</w:t>
      </w:r>
      <w:r w:rsidR="00214B30" w:rsidRPr="00D92628">
        <w:rPr>
          <w:rFonts w:ascii="Open Sans Semibold" w:hAnsi="Open Sans Semibold" w:cs="Open Sans Semibold"/>
          <w:color w:val="006991"/>
          <w:sz w:val="26"/>
          <w:szCs w:val="26"/>
        </w:rPr>
        <w:t>mplement</w:t>
      </w:r>
      <w:r w:rsidR="004232D5" w:rsidRPr="00D92628">
        <w:rPr>
          <w:rFonts w:ascii="Open Sans Semibold" w:hAnsi="Open Sans Semibold" w:cs="Open Sans Semibold"/>
          <w:color w:val="006991"/>
          <w:sz w:val="26"/>
          <w:szCs w:val="26"/>
        </w:rPr>
        <w:t xml:space="preserve"> the community </w:t>
      </w:r>
      <w:r w:rsidR="000F3929" w:rsidRPr="00D92628">
        <w:rPr>
          <w:rFonts w:ascii="Open Sans Semibold" w:hAnsi="Open Sans Semibold" w:cs="Open Sans Semibold"/>
          <w:color w:val="006991"/>
          <w:sz w:val="26"/>
          <w:szCs w:val="26"/>
        </w:rPr>
        <w:t xml:space="preserve">mental </w:t>
      </w:r>
      <w:r w:rsidR="004232D5" w:rsidRPr="00D92628">
        <w:rPr>
          <w:rFonts w:ascii="Open Sans Semibold" w:hAnsi="Open Sans Semibold" w:cs="Open Sans Semibold"/>
          <w:color w:val="006991"/>
          <w:sz w:val="26"/>
          <w:szCs w:val="26"/>
        </w:rPr>
        <w:t>health</w:t>
      </w:r>
      <w:r w:rsidR="005267BC" w:rsidRPr="00D92628">
        <w:rPr>
          <w:rFonts w:ascii="Open Sans Semibold" w:hAnsi="Open Sans Semibold" w:cs="Open Sans Semibold"/>
          <w:color w:val="006991"/>
          <w:sz w:val="26"/>
          <w:szCs w:val="26"/>
        </w:rPr>
        <w:t xml:space="preserve"> </w:t>
      </w:r>
      <w:r w:rsidR="009231EF" w:rsidRPr="00D92628">
        <w:rPr>
          <w:rFonts w:ascii="Open Sans Semibold" w:hAnsi="Open Sans Semibold" w:cs="Open Sans Semibold"/>
          <w:color w:val="006991"/>
          <w:sz w:val="26"/>
          <w:szCs w:val="26"/>
        </w:rPr>
        <w:br/>
      </w:r>
      <w:proofErr w:type="gramStart"/>
      <w:r w:rsidR="005267BC" w:rsidRPr="00D92628">
        <w:rPr>
          <w:rFonts w:ascii="Open Sans Semibold" w:hAnsi="Open Sans Semibold" w:cs="Open Sans Semibold"/>
          <w:color w:val="006991"/>
          <w:sz w:val="26"/>
          <w:szCs w:val="26"/>
        </w:rPr>
        <w:t>assessment</w:t>
      </w:r>
      <w:proofErr w:type="gramEnd"/>
    </w:p>
    <w:p w14:paraId="7406826C" w14:textId="04C2F443" w:rsidR="006069E9" w:rsidRDefault="00814C84" w:rsidP="003A1163">
      <w:pPr>
        <w:pStyle w:val="BoxText"/>
        <w:pBdr>
          <w:bottom w:val="single" w:sz="4" w:space="11" w:color="DDDDDD"/>
        </w:pBdr>
        <w:shd w:val="clear" w:color="auto" w:fill="E5F8FF"/>
        <w:jc w:val="left"/>
        <w:rPr>
          <w:rFonts w:ascii="Work Sans" w:hAnsi="Work Sans"/>
          <w:sz w:val="20"/>
        </w:rPr>
      </w:pPr>
      <w:r w:rsidRPr="00C27FE4">
        <w:rPr>
          <w:rFonts w:ascii="Work Sans" w:hAnsi="Work Sans"/>
          <w:b/>
          <w:bCs/>
          <w:sz w:val="20"/>
        </w:rPr>
        <w:t xml:space="preserve">Spending on </w:t>
      </w:r>
      <w:r w:rsidR="00DA5FAF" w:rsidRPr="00C27FE4">
        <w:rPr>
          <w:rFonts w:ascii="Work Sans" w:hAnsi="Work Sans"/>
          <w:b/>
          <w:bCs/>
          <w:sz w:val="20"/>
        </w:rPr>
        <w:t xml:space="preserve">ambulatory </w:t>
      </w:r>
      <w:r w:rsidR="00300BE0" w:rsidRPr="00C27FE4">
        <w:rPr>
          <w:rFonts w:ascii="Work Sans" w:hAnsi="Work Sans"/>
          <w:b/>
          <w:bCs/>
          <w:sz w:val="20"/>
        </w:rPr>
        <w:t>community men</w:t>
      </w:r>
      <w:r w:rsidR="00542E03" w:rsidRPr="00C27FE4">
        <w:rPr>
          <w:rFonts w:ascii="Work Sans" w:hAnsi="Work Sans"/>
          <w:b/>
          <w:bCs/>
          <w:sz w:val="20"/>
        </w:rPr>
        <w:t>tal</w:t>
      </w:r>
      <w:r w:rsidR="00DA5FAF" w:rsidRPr="00C27FE4">
        <w:rPr>
          <w:rFonts w:ascii="Work Sans" w:hAnsi="Work Sans"/>
          <w:b/>
          <w:bCs/>
          <w:sz w:val="20"/>
        </w:rPr>
        <w:t xml:space="preserve"> health services</w:t>
      </w:r>
      <w:r w:rsidR="00EE7311">
        <w:rPr>
          <w:rFonts w:ascii="Work Sans" w:hAnsi="Work Sans"/>
          <w:sz w:val="20"/>
        </w:rPr>
        <w:t xml:space="preserve">. </w:t>
      </w:r>
      <w:r w:rsidR="000217FB">
        <w:rPr>
          <w:rFonts w:ascii="Work Sans" w:hAnsi="Work Sans"/>
          <w:sz w:val="20"/>
        </w:rPr>
        <w:t xml:space="preserve">Government Finance Statistics </w:t>
      </w:r>
      <w:r w:rsidR="00271F84">
        <w:rPr>
          <w:rFonts w:ascii="Work Sans" w:hAnsi="Work Sans"/>
          <w:sz w:val="20"/>
        </w:rPr>
        <w:t xml:space="preserve">on community mental health are not </w:t>
      </w:r>
      <w:r w:rsidR="00BE7B81">
        <w:rPr>
          <w:rFonts w:ascii="Work Sans" w:hAnsi="Work Sans"/>
          <w:sz w:val="20"/>
        </w:rPr>
        <w:t xml:space="preserve">disaggregated by </w:t>
      </w:r>
      <w:r w:rsidR="008E7642">
        <w:rPr>
          <w:rFonts w:ascii="Work Sans" w:hAnsi="Work Sans"/>
          <w:sz w:val="20"/>
        </w:rPr>
        <w:t>type of service</w:t>
      </w:r>
      <w:r w:rsidR="008262C0">
        <w:rPr>
          <w:rFonts w:ascii="Work Sans" w:hAnsi="Work Sans"/>
          <w:sz w:val="20"/>
        </w:rPr>
        <w:t xml:space="preserve">. </w:t>
      </w:r>
      <w:r w:rsidR="00E727FA">
        <w:rPr>
          <w:rFonts w:ascii="Work Sans" w:hAnsi="Work Sans"/>
          <w:sz w:val="20"/>
        </w:rPr>
        <w:t xml:space="preserve">However, a </w:t>
      </w:r>
      <w:r w:rsidR="00E55031">
        <w:rPr>
          <w:rFonts w:ascii="Work Sans" w:hAnsi="Work Sans"/>
          <w:sz w:val="20"/>
        </w:rPr>
        <w:t xml:space="preserve">breakdown </w:t>
      </w:r>
      <w:r w:rsidR="00011657">
        <w:rPr>
          <w:rFonts w:ascii="Work Sans" w:hAnsi="Work Sans"/>
          <w:sz w:val="20"/>
        </w:rPr>
        <w:t xml:space="preserve">is available from </w:t>
      </w:r>
      <w:r w:rsidR="00A644CA">
        <w:rPr>
          <w:rFonts w:ascii="Work Sans" w:hAnsi="Work Sans"/>
          <w:sz w:val="20"/>
        </w:rPr>
        <w:t xml:space="preserve">the </w:t>
      </w:r>
      <w:r w:rsidR="0095547D">
        <w:rPr>
          <w:rFonts w:ascii="Work Sans" w:hAnsi="Work Sans"/>
          <w:sz w:val="20"/>
        </w:rPr>
        <w:t>Productivity Commission</w:t>
      </w:r>
      <w:r w:rsidR="00C043E8">
        <w:rPr>
          <w:rFonts w:ascii="Work Sans" w:hAnsi="Work Sans"/>
          <w:sz w:val="20"/>
        </w:rPr>
        <w:t>’s</w:t>
      </w:r>
      <w:r w:rsidR="0095547D">
        <w:rPr>
          <w:rFonts w:ascii="Work Sans" w:hAnsi="Work Sans"/>
          <w:sz w:val="20"/>
        </w:rPr>
        <w:t xml:space="preserve"> </w:t>
      </w:r>
      <w:r w:rsidR="00173F18" w:rsidRPr="00151D50">
        <w:rPr>
          <w:rFonts w:ascii="Work Sans" w:hAnsi="Work Sans"/>
          <w:i/>
          <w:sz w:val="20"/>
        </w:rPr>
        <w:t xml:space="preserve">Report on </w:t>
      </w:r>
      <w:r w:rsidR="00C92EED" w:rsidRPr="00151D50">
        <w:rPr>
          <w:rFonts w:ascii="Work Sans" w:hAnsi="Work Sans"/>
          <w:i/>
          <w:sz w:val="20"/>
        </w:rPr>
        <w:t>Government Services</w:t>
      </w:r>
      <w:r w:rsidR="0095547D">
        <w:rPr>
          <w:rFonts w:ascii="Work Sans" w:hAnsi="Work Sans"/>
          <w:sz w:val="20"/>
        </w:rPr>
        <w:t xml:space="preserve">: </w:t>
      </w:r>
      <w:r w:rsidR="00BC243B" w:rsidRPr="00D368D2">
        <w:rPr>
          <w:rFonts w:ascii="Work Sans" w:hAnsi="Work Sans"/>
          <w:i/>
          <w:sz w:val="20"/>
        </w:rPr>
        <w:t>mental health services</w:t>
      </w:r>
      <w:r w:rsidR="00C92EED" w:rsidRPr="00D368D2">
        <w:rPr>
          <w:rFonts w:ascii="Work Sans" w:hAnsi="Work Sans"/>
          <w:i/>
          <w:sz w:val="20"/>
        </w:rPr>
        <w:t>.</w:t>
      </w:r>
      <w:r w:rsidR="00C92EED">
        <w:rPr>
          <w:rFonts w:ascii="Work Sans" w:hAnsi="Work Sans"/>
          <w:sz w:val="20"/>
        </w:rPr>
        <w:t xml:space="preserve"> </w:t>
      </w:r>
      <w:r w:rsidR="00F94A2A">
        <w:rPr>
          <w:rFonts w:ascii="Work Sans" w:hAnsi="Work Sans"/>
          <w:sz w:val="20"/>
        </w:rPr>
        <w:t>The</w:t>
      </w:r>
      <w:r w:rsidR="00F32529">
        <w:rPr>
          <w:rFonts w:ascii="Work Sans" w:hAnsi="Work Sans"/>
          <w:sz w:val="20"/>
        </w:rPr>
        <w:t xml:space="preserve"> </w:t>
      </w:r>
      <w:r w:rsidR="00122395">
        <w:rPr>
          <w:rFonts w:ascii="Work Sans" w:hAnsi="Work Sans"/>
          <w:sz w:val="20"/>
        </w:rPr>
        <w:t xml:space="preserve">data </w:t>
      </w:r>
      <w:r w:rsidR="00BA6823">
        <w:rPr>
          <w:rFonts w:ascii="Work Sans" w:hAnsi="Work Sans"/>
          <w:sz w:val="20"/>
        </w:rPr>
        <w:t xml:space="preserve">on </w:t>
      </w:r>
      <w:r w:rsidR="0001691F">
        <w:rPr>
          <w:rFonts w:ascii="Work Sans" w:hAnsi="Work Sans"/>
          <w:sz w:val="20"/>
        </w:rPr>
        <w:t xml:space="preserve">the share of </w:t>
      </w:r>
      <w:r w:rsidR="00252B2E">
        <w:rPr>
          <w:rFonts w:ascii="Work Sans" w:hAnsi="Work Sans"/>
          <w:sz w:val="20"/>
        </w:rPr>
        <w:t xml:space="preserve">ambulatory </w:t>
      </w:r>
      <w:r w:rsidR="00BA6823">
        <w:rPr>
          <w:rFonts w:ascii="Work Sans" w:hAnsi="Work Sans"/>
          <w:sz w:val="20"/>
        </w:rPr>
        <w:t xml:space="preserve">community mental health </w:t>
      </w:r>
      <w:r w:rsidR="009F7A58">
        <w:rPr>
          <w:rFonts w:ascii="Work Sans" w:hAnsi="Work Sans"/>
          <w:sz w:val="20"/>
        </w:rPr>
        <w:t>services</w:t>
      </w:r>
      <w:r w:rsidR="00972FBE">
        <w:rPr>
          <w:rFonts w:ascii="Work Sans" w:hAnsi="Work Sans"/>
          <w:sz w:val="20"/>
        </w:rPr>
        <w:t xml:space="preserve">, </w:t>
      </w:r>
      <w:r w:rsidR="00937464">
        <w:rPr>
          <w:rFonts w:ascii="Work Sans" w:hAnsi="Work Sans"/>
          <w:sz w:val="20"/>
        </w:rPr>
        <w:t>for each state and yea</w:t>
      </w:r>
      <w:r w:rsidR="00F111B3">
        <w:rPr>
          <w:rFonts w:ascii="Work Sans" w:hAnsi="Work Sans"/>
          <w:sz w:val="20"/>
        </w:rPr>
        <w:t>r</w:t>
      </w:r>
      <w:r w:rsidR="00972FBE">
        <w:rPr>
          <w:rFonts w:ascii="Work Sans" w:hAnsi="Work Sans"/>
          <w:sz w:val="20"/>
        </w:rPr>
        <w:t xml:space="preserve">, </w:t>
      </w:r>
      <w:r w:rsidR="00712FDD">
        <w:rPr>
          <w:rFonts w:ascii="Work Sans" w:hAnsi="Work Sans"/>
          <w:sz w:val="20"/>
        </w:rPr>
        <w:t>would</w:t>
      </w:r>
      <w:r w:rsidR="009F7A58">
        <w:rPr>
          <w:rFonts w:ascii="Work Sans" w:hAnsi="Work Sans"/>
          <w:sz w:val="20"/>
        </w:rPr>
        <w:t xml:space="preserve"> be </w:t>
      </w:r>
      <w:r w:rsidR="00C84182">
        <w:rPr>
          <w:rFonts w:ascii="Work Sans" w:hAnsi="Work Sans"/>
          <w:sz w:val="20"/>
        </w:rPr>
        <w:t xml:space="preserve">applied </w:t>
      </w:r>
      <w:r w:rsidR="008042CD">
        <w:rPr>
          <w:rFonts w:ascii="Work Sans" w:hAnsi="Work Sans"/>
          <w:sz w:val="20"/>
        </w:rPr>
        <w:t xml:space="preserve">to </w:t>
      </w:r>
      <w:r w:rsidR="00FD07C0">
        <w:rPr>
          <w:rFonts w:ascii="Work Sans" w:hAnsi="Work Sans"/>
          <w:sz w:val="20"/>
        </w:rPr>
        <w:t xml:space="preserve">Government Finance Statistics </w:t>
      </w:r>
      <w:r w:rsidR="00E921DC">
        <w:rPr>
          <w:rFonts w:ascii="Work Sans" w:hAnsi="Work Sans"/>
          <w:sz w:val="20"/>
        </w:rPr>
        <w:t xml:space="preserve">expenses </w:t>
      </w:r>
      <w:r w:rsidR="00E638CE">
        <w:rPr>
          <w:rFonts w:ascii="Work Sans" w:hAnsi="Work Sans"/>
          <w:sz w:val="20"/>
        </w:rPr>
        <w:t>on community mental health</w:t>
      </w:r>
      <w:r w:rsidR="0019431F">
        <w:rPr>
          <w:rFonts w:ascii="Work Sans" w:hAnsi="Work Sans"/>
          <w:sz w:val="20"/>
        </w:rPr>
        <w:t xml:space="preserve">. </w:t>
      </w:r>
    </w:p>
    <w:p w14:paraId="287A5A2B" w14:textId="2B6B8D17" w:rsidR="0019431F" w:rsidRDefault="214CF19D" w:rsidP="003A1163">
      <w:pPr>
        <w:pStyle w:val="BoxText"/>
        <w:pBdr>
          <w:bottom w:val="single" w:sz="4" w:space="11" w:color="DDDDDD"/>
        </w:pBdr>
        <w:shd w:val="clear" w:color="auto" w:fill="E5F8FF"/>
        <w:jc w:val="left"/>
        <w:rPr>
          <w:rFonts w:ascii="Work Sans" w:hAnsi="Work Sans"/>
          <w:sz w:val="20"/>
        </w:rPr>
      </w:pPr>
      <w:r w:rsidRPr="7F4B93AD">
        <w:rPr>
          <w:rFonts w:ascii="Work Sans" w:hAnsi="Work Sans"/>
          <w:sz w:val="20"/>
        </w:rPr>
        <w:t xml:space="preserve">The balance of </w:t>
      </w:r>
      <w:r w:rsidR="4B653C7D" w:rsidRPr="7F4B93AD">
        <w:rPr>
          <w:rFonts w:ascii="Work Sans" w:hAnsi="Work Sans"/>
          <w:sz w:val="20"/>
        </w:rPr>
        <w:t xml:space="preserve">expenses </w:t>
      </w:r>
      <w:r w:rsidR="00712FDD">
        <w:rPr>
          <w:rFonts w:ascii="Work Sans" w:hAnsi="Work Sans"/>
          <w:sz w:val="20"/>
        </w:rPr>
        <w:t>would</w:t>
      </w:r>
      <w:r w:rsidR="4837FA56" w:rsidRPr="7F4B93AD">
        <w:rPr>
          <w:rFonts w:ascii="Work Sans" w:hAnsi="Work Sans"/>
          <w:sz w:val="20"/>
        </w:rPr>
        <w:t xml:space="preserve"> </w:t>
      </w:r>
      <w:r w:rsidR="5014D0C3" w:rsidRPr="7F4B93AD">
        <w:rPr>
          <w:rFonts w:ascii="Work Sans" w:hAnsi="Work Sans"/>
          <w:sz w:val="20"/>
        </w:rPr>
        <w:t xml:space="preserve">be </w:t>
      </w:r>
      <w:r w:rsidR="73D7F957" w:rsidRPr="7F4B93AD">
        <w:rPr>
          <w:rFonts w:ascii="Work Sans" w:hAnsi="Work Sans"/>
          <w:sz w:val="20"/>
        </w:rPr>
        <w:t xml:space="preserve">calculated as </w:t>
      </w:r>
      <w:r w:rsidR="32B38448" w:rsidRPr="7F4B93AD">
        <w:rPr>
          <w:rFonts w:ascii="Work Sans" w:hAnsi="Work Sans"/>
          <w:sz w:val="20"/>
        </w:rPr>
        <w:t xml:space="preserve">community and public health expenses </w:t>
      </w:r>
      <w:r w:rsidR="26781CA0" w:rsidRPr="7F4B93AD">
        <w:rPr>
          <w:rFonts w:ascii="Work Sans" w:hAnsi="Work Sans"/>
          <w:sz w:val="20"/>
        </w:rPr>
        <w:t xml:space="preserve">less </w:t>
      </w:r>
      <w:r w:rsidR="362BC7D7" w:rsidRPr="7F4B93AD">
        <w:rPr>
          <w:rFonts w:ascii="Work Sans" w:hAnsi="Work Sans"/>
          <w:sz w:val="20"/>
        </w:rPr>
        <w:t>the Commission’s estimates o</w:t>
      </w:r>
      <w:r w:rsidR="00E4702E">
        <w:rPr>
          <w:rFonts w:ascii="Work Sans" w:hAnsi="Work Sans"/>
          <w:sz w:val="20"/>
        </w:rPr>
        <w:t>f</w:t>
      </w:r>
      <w:r w:rsidR="362BC7D7" w:rsidRPr="7F4B93AD">
        <w:rPr>
          <w:rFonts w:ascii="Work Sans" w:hAnsi="Work Sans"/>
          <w:sz w:val="20"/>
        </w:rPr>
        <w:t xml:space="preserve"> ambulatory community mental health service</w:t>
      </w:r>
      <w:r w:rsidR="69A791FF" w:rsidRPr="7F4B93AD">
        <w:rPr>
          <w:rFonts w:ascii="Work Sans" w:hAnsi="Work Sans"/>
          <w:sz w:val="20"/>
        </w:rPr>
        <w:t xml:space="preserve"> expens</w:t>
      </w:r>
      <w:r w:rsidR="39F89586" w:rsidRPr="7F4B93AD">
        <w:rPr>
          <w:rFonts w:ascii="Work Sans" w:hAnsi="Work Sans"/>
          <w:sz w:val="20"/>
        </w:rPr>
        <w:t>e</w:t>
      </w:r>
      <w:r w:rsidR="362BC7D7" w:rsidRPr="7F4B93AD">
        <w:rPr>
          <w:rFonts w:ascii="Work Sans" w:hAnsi="Work Sans"/>
          <w:sz w:val="20"/>
        </w:rPr>
        <w:t>s</w:t>
      </w:r>
      <w:r w:rsidR="1AEEB7F0" w:rsidRPr="7F4B93AD">
        <w:rPr>
          <w:rFonts w:ascii="Work Sans" w:hAnsi="Work Sans"/>
          <w:sz w:val="20"/>
        </w:rPr>
        <w:t>.</w:t>
      </w:r>
      <w:r w:rsidR="124E1B73" w:rsidRPr="7F4B93AD">
        <w:rPr>
          <w:rFonts w:ascii="Work Sans" w:hAnsi="Work Sans"/>
          <w:sz w:val="20"/>
        </w:rPr>
        <w:t xml:space="preserve"> </w:t>
      </w:r>
    </w:p>
    <w:p w14:paraId="0015B5F5" w14:textId="13D62342" w:rsidR="00376E5A" w:rsidRDefault="002568EA" w:rsidP="003A1163">
      <w:pPr>
        <w:pStyle w:val="BoxText"/>
        <w:pBdr>
          <w:bottom w:val="single" w:sz="4" w:space="11" w:color="DDDDDD"/>
        </w:pBdr>
        <w:shd w:val="clear" w:color="auto" w:fill="E5F8FF"/>
        <w:jc w:val="left"/>
        <w:rPr>
          <w:rFonts w:ascii="Work Sans" w:hAnsi="Work Sans"/>
          <w:sz w:val="20"/>
        </w:rPr>
      </w:pPr>
      <w:r w:rsidRPr="00C27FE4">
        <w:rPr>
          <w:rFonts w:ascii="Work Sans" w:hAnsi="Work Sans"/>
          <w:b/>
          <w:bCs/>
          <w:sz w:val="20"/>
        </w:rPr>
        <w:t>Adjustments for r</w:t>
      </w:r>
      <w:r w:rsidR="008B752D" w:rsidRPr="00C27FE4">
        <w:rPr>
          <w:rFonts w:ascii="Work Sans" w:hAnsi="Work Sans"/>
          <w:b/>
          <w:bCs/>
          <w:sz w:val="20"/>
        </w:rPr>
        <w:t xml:space="preserve">egional </w:t>
      </w:r>
      <w:r w:rsidRPr="00C27FE4">
        <w:rPr>
          <w:rFonts w:ascii="Work Sans" w:hAnsi="Work Sans"/>
          <w:b/>
          <w:bCs/>
          <w:sz w:val="20"/>
        </w:rPr>
        <w:t>costs and service delivery</w:t>
      </w:r>
      <w:r w:rsidRPr="003D2976">
        <w:rPr>
          <w:rFonts w:ascii="Work Sans" w:hAnsi="Work Sans"/>
          <w:b/>
          <w:bCs/>
          <w:sz w:val="20"/>
        </w:rPr>
        <w:t xml:space="preserve"> scale</w:t>
      </w:r>
      <w:r w:rsidR="001A16CB">
        <w:rPr>
          <w:rFonts w:ascii="Work Sans" w:hAnsi="Work Sans"/>
          <w:b/>
          <w:bCs/>
          <w:sz w:val="20"/>
        </w:rPr>
        <w:t xml:space="preserve">. </w:t>
      </w:r>
      <w:r w:rsidR="001A16CB" w:rsidRPr="00151D50">
        <w:rPr>
          <w:rFonts w:ascii="Work Sans" w:hAnsi="Work Sans"/>
          <w:sz w:val="20"/>
        </w:rPr>
        <w:t>Adjustments</w:t>
      </w:r>
      <w:r>
        <w:rPr>
          <w:rFonts w:ascii="Work Sans" w:hAnsi="Work Sans"/>
          <w:sz w:val="20"/>
        </w:rPr>
        <w:t xml:space="preserve"> </w:t>
      </w:r>
      <w:r w:rsidR="00001DD7">
        <w:rPr>
          <w:rFonts w:ascii="Work Sans" w:hAnsi="Work Sans"/>
          <w:sz w:val="20"/>
        </w:rPr>
        <w:t>would</w:t>
      </w:r>
      <w:r>
        <w:rPr>
          <w:rFonts w:ascii="Work Sans" w:hAnsi="Work Sans"/>
          <w:sz w:val="20"/>
        </w:rPr>
        <w:t xml:space="preserve"> be applied to the </w:t>
      </w:r>
      <w:r w:rsidR="003D2976">
        <w:rPr>
          <w:rFonts w:ascii="Work Sans" w:hAnsi="Work Sans"/>
          <w:sz w:val="20"/>
        </w:rPr>
        <w:t xml:space="preserve">Australian Institute of Health and Welfare </w:t>
      </w:r>
      <w:r w:rsidR="00156346">
        <w:rPr>
          <w:rFonts w:ascii="Work Sans" w:hAnsi="Work Sans"/>
          <w:sz w:val="20"/>
        </w:rPr>
        <w:t xml:space="preserve">ambulatory </w:t>
      </w:r>
      <w:r>
        <w:rPr>
          <w:rFonts w:ascii="Work Sans" w:hAnsi="Work Sans"/>
          <w:sz w:val="20"/>
        </w:rPr>
        <w:t>activity data</w:t>
      </w:r>
      <w:r w:rsidR="00A67E10">
        <w:rPr>
          <w:rFonts w:ascii="Work Sans" w:hAnsi="Work Sans"/>
          <w:sz w:val="20"/>
        </w:rPr>
        <w:t>, with regional costs based on the general g</w:t>
      </w:r>
      <w:r w:rsidR="009422A1">
        <w:rPr>
          <w:rFonts w:ascii="Work Sans" w:hAnsi="Work Sans"/>
          <w:sz w:val="20"/>
        </w:rPr>
        <w:t>r</w:t>
      </w:r>
      <w:r w:rsidR="00A67E10">
        <w:rPr>
          <w:rFonts w:ascii="Work Sans" w:hAnsi="Work Sans"/>
          <w:sz w:val="20"/>
        </w:rPr>
        <w:t>a</w:t>
      </w:r>
      <w:r w:rsidR="009422A1">
        <w:rPr>
          <w:rFonts w:ascii="Work Sans" w:hAnsi="Work Sans"/>
          <w:sz w:val="20"/>
        </w:rPr>
        <w:t>d</w:t>
      </w:r>
      <w:r w:rsidR="00A67E10">
        <w:rPr>
          <w:rFonts w:ascii="Work Sans" w:hAnsi="Work Sans"/>
          <w:sz w:val="20"/>
        </w:rPr>
        <w:t>ient</w:t>
      </w:r>
      <w:r>
        <w:rPr>
          <w:rFonts w:ascii="Work Sans" w:hAnsi="Work Sans"/>
          <w:sz w:val="20"/>
        </w:rPr>
        <w:t>.</w:t>
      </w:r>
    </w:p>
    <w:p w14:paraId="0E8F2305" w14:textId="08F8AD33" w:rsidR="0019431F" w:rsidRDefault="00582A92" w:rsidP="003A1163">
      <w:pPr>
        <w:pStyle w:val="BoxText"/>
        <w:pBdr>
          <w:bottom w:val="single" w:sz="4" w:space="11" w:color="DDDDDD"/>
        </w:pBdr>
        <w:shd w:val="clear" w:color="auto" w:fill="E5F8FF"/>
        <w:jc w:val="left"/>
        <w:rPr>
          <w:rFonts w:ascii="Work Sans" w:hAnsi="Work Sans"/>
          <w:sz w:val="20"/>
        </w:rPr>
      </w:pPr>
      <w:r>
        <w:rPr>
          <w:rFonts w:ascii="Work Sans" w:hAnsi="Work Sans"/>
          <w:b/>
          <w:bCs/>
          <w:sz w:val="20"/>
        </w:rPr>
        <w:t>Socio-demographic composition assessment</w:t>
      </w:r>
      <w:r w:rsidR="003F5111">
        <w:rPr>
          <w:rFonts w:ascii="Work Sans" w:hAnsi="Work Sans"/>
          <w:sz w:val="20"/>
        </w:rPr>
        <w:t xml:space="preserve">. </w:t>
      </w:r>
      <w:r w:rsidR="0058174F">
        <w:rPr>
          <w:rFonts w:ascii="Work Sans" w:hAnsi="Work Sans"/>
          <w:sz w:val="20"/>
        </w:rPr>
        <w:t>National</w:t>
      </w:r>
      <w:r w:rsidR="00872AB3">
        <w:rPr>
          <w:rFonts w:ascii="Work Sans" w:hAnsi="Work Sans"/>
          <w:sz w:val="20"/>
        </w:rPr>
        <w:t xml:space="preserve"> use rates </w:t>
      </w:r>
      <w:r w:rsidR="00341CF9">
        <w:rPr>
          <w:rFonts w:ascii="Work Sans" w:hAnsi="Work Sans"/>
          <w:sz w:val="20"/>
        </w:rPr>
        <w:t>on ambulatory community mental health service expenses</w:t>
      </w:r>
      <w:r w:rsidR="0068531B">
        <w:rPr>
          <w:rFonts w:ascii="Work Sans" w:hAnsi="Work Sans"/>
          <w:sz w:val="20"/>
        </w:rPr>
        <w:t xml:space="preserve"> (</w:t>
      </w:r>
      <w:r w:rsidR="002070D3">
        <w:rPr>
          <w:rFonts w:ascii="Work Sans" w:hAnsi="Work Sans"/>
          <w:sz w:val="20"/>
        </w:rPr>
        <w:t xml:space="preserve">disaggregated </w:t>
      </w:r>
      <w:r w:rsidR="003B1BA8">
        <w:rPr>
          <w:rFonts w:ascii="Work Sans" w:hAnsi="Work Sans"/>
          <w:sz w:val="20"/>
        </w:rPr>
        <w:t xml:space="preserve">by Indigenous status, </w:t>
      </w:r>
      <w:r w:rsidR="00B67DD2">
        <w:rPr>
          <w:rFonts w:ascii="Work Sans" w:hAnsi="Work Sans"/>
          <w:sz w:val="20"/>
        </w:rPr>
        <w:t xml:space="preserve">remoteness, socio-economic </w:t>
      </w:r>
      <w:proofErr w:type="gramStart"/>
      <w:r w:rsidR="00B67DD2">
        <w:rPr>
          <w:rFonts w:ascii="Work Sans" w:hAnsi="Work Sans"/>
          <w:sz w:val="20"/>
        </w:rPr>
        <w:t>status</w:t>
      </w:r>
      <w:proofErr w:type="gramEnd"/>
      <w:r w:rsidR="00B67DD2">
        <w:rPr>
          <w:rFonts w:ascii="Work Sans" w:hAnsi="Work Sans"/>
          <w:sz w:val="20"/>
        </w:rPr>
        <w:t xml:space="preserve"> and age) </w:t>
      </w:r>
      <w:r w:rsidR="00001DD7">
        <w:rPr>
          <w:rFonts w:ascii="Work Sans" w:hAnsi="Work Sans"/>
          <w:sz w:val="20"/>
        </w:rPr>
        <w:t>would</w:t>
      </w:r>
      <w:r w:rsidR="00CC6048">
        <w:rPr>
          <w:rFonts w:ascii="Work Sans" w:hAnsi="Work Sans"/>
          <w:sz w:val="20"/>
        </w:rPr>
        <w:t xml:space="preserve"> be multiplied </w:t>
      </w:r>
      <w:r w:rsidR="00341CF9">
        <w:rPr>
          <w:rFonts w:ascii="Work Sans" w:hAnsi="Work Sans"/>
          <w:sz w:val="20"/>
        </w:rPr>
        <w:t xml:space="preserve">with </w:t>
      </w:r>
      <w:r w:rsidR="00CC6048">
        <w:rPr>
          <w:rFonts w:ascii="Work Sans" w:hAnsi="Work Sans"/>
          <w:sz w:val="20"/>
        </w:rPr>
        <w:t>state populations to get assessed expenses</w:t>
      </w:r>
      <w:r w:rsidR="00E47AE3">
        <w:rPr>
          <w:rFonts w:ascii="Work Sans" w:hAnsi="Work Sans"/>
          <w:sz w:val="20"/>
        </w:rPr>
        <w:t xml:space="preserve"> for each assessment year.</w:t>
      </w:r>
    </w:p>
    <w:p w14:paraId="0720800F" w14:textId="3F705763" w:rsidR="006133EA" w:rsidRDefault="001D3AAE" w:rsidP="003A1163">
      <w:pPr>
        <w:pStyle w:val="BoxText"/>
        <w:pBdr>
          <w:bottom w:val="single" w:sz="4" w:space="11" w:color="DDDDDD"/>
        </w:pBdr>
        <w:shd w:val="clear" w:color="auto" w:fill="E5F8FF"/>
        <w:jc w:val="left"/>
        <w:rPr>
          <w:rFonts w:ascii="Work Sans" w:hAnsi="Work Sans"/>
          <w:sz w:val="20"/>
        </w:rPr>
      </w:pPr>
      <w:r w:rsidRPr="00C27C7F">
        <w:rPr>
          <w:rFonts w:ascii="Work Sans" w:hAnsi="Work Sans"/>
          <w:b/>
          <w:bCs/>
          <w:sz w:val="20"/>
        </w:rPr>
        <w:t>Combined assessed expe</w:t>
      </w:r>
      <w:r w:rsidR="00C27C7F" w:rsidRPr="00C27C7F">
        <w:rPr>
          <w:rFonts w:ascii="Work Sans" w:hAnsi="Work Sans"/>
          <w:b/>
          <w:bCs/>
          <w:sz w:val="20"/>
        </w:rPr>
        <w:t>nses</w:t>
      </w:r>
      <w:r w:rsidR="0020453C">
        <w:rPr>
          <w:rFonts w:ascii="Work Sans" w:hAnsi="Work Sans"/>
          <w:b/>
          <w:bCs/>
          <w:sz w:val="20"/>
        </w:rPr>
        <w:t>.</w:t>
      </w:r>
      <w:r w:rsidR="009624F9">
        <w:rPr>
          <w:rFonts w:ascii="Work Sans" w:hAnsi="Work Sans"/>
          <w:b/>
          <w:bCs/>
          <w:sz w:val="20"/>
        </w:rPr>
        <w:t xml:space="preserve"> </w:t>
      </w:r>
      <w:r w:rsidR="0078319A">
        <w:rPr>
          <w:rFonts w:ascii="Work Sans" w:hAnsi="Work Sans"/>
          <w:sz w:val="20"/>
        </w:rPr>
        <w:t>A</w:t>
      </w:r>
      <w:r w:rsidR="009624F9">
        <w:rPr>
          <w:rFonts w:ascii="Work Sans" w:hAnsi="Work Sans"/>
          <w:sz w:val="20"/>
        </w:rPr>
        <w:t xml:space="preserve">ssessed expenses </w:t>
      </w:r>
      <w:r w:rsidR="0078319A">
        <w:rPr>
          <w:rFonts w:ascii="Work Sans" w:hAnsi="Work Sans"/>
          <w:sz w:val="20"/>
        </w:rPr>
        <w:t xml:space="preserve">on </w:t>
      </w:r>
      <w:r w:rsidR="009C33BF">
        <w:rPr>
          <w:rFonts w:ascii="Work Sans" w:hAnsi="Work Sans"/>
          <w:sz w:val="20"/>
        </w:rPr>
        <w:t xml:space="preserve">ambulatory </w:t>
      </w:r>
      <w:r w:rsidR="00681489">
        <w:rPr>
          <w:rFonts w:ascii="Work Sans" w:hAnsi="Work Sans"/>
          <w:sz w:val="20"/>
        </w:rPr>
        <w:t xml:space="preserve">community mental health </w:t>
      </w:r>
      <w:r w:rsidR="00CA188B">
        <w:rPr>
          <w:rFonts w:ascii="Work Sans" w:hAnsi="Work Sans"/>
          <w:sz w:val="20"/>
        </w:rPr>
        <w:t xml:space="preserve">services </w:t>
      </w:r>
      <w:r w:rsidR="004162AC">
        <w:rPr>
          <w:rFonts w:ascii="Work Sans" w:hAnsi="Work Sans"/>
          <w:sz w:val="20"/>
        </w:rPr>
        <w:t>would</w:t>
      </w:r>
      <w:r w:rsidR="003A5D77">
        <w:rPr>
          <w:rFonts w:ascii="Work Sans" w:hAnsi="Work Sans"/>
          <w:sz w:val="20"/>
        </w:rPr>
        <w:t xml:space="preserve"> be combined with assessed expenses </w:t>
      </w:r>
      <w:r w:rsidR="00AE0CCB">
        <w:rPr>
          <w:rFonts w:ascii="Work Sans" w:hAnsi="Work Sans"/>
          <w:sz w:val="20"/>
        </w:rPr>
        <w:t xml:space="preserve">for the balance of the assessment </w:t>
      </w:r>
      <w:r w:rsidR="00DB74D0">
        <w:rPr>
          <w:rFonts w:ascii="Work Sans" w:hAnsi="Work Sans"/>
          <w:sz w:val="20"/>
        </w:rPr>
        <w:t xml:space="preserve">for </w:t>
      </w:r>
      <w:r w:rsidR="00807DF1">
        <w:rPr>
          <w:rFonts w:ascii="Work Sans" w:hAnsi="Work Sans"/>
          <w:sz w:val="20"/>
        </w:rPr>
        <w:t>c</w:t>
      </w:r>
      <w:r w:rsidR="00DB74D0">
        <w:rPr>
          <w:rFonts w:ascii="Work Sans" w:hAnsi="Work Sans"/>
          <w:sz w:val="20"/>
        </w:rPr>
        <w:t xml:space="preserve">ommunity and public health </w:t>
      </w:r>
      <w:r w:rsidR="00AE0CCB">
        <w:rPr>
          <w:rFonts w:ascii="Work Sans" w:hAnsi="Work Sans"/>
          <w:sz w:val="20"/>
        </w:rPr>
        <w:t xml:space="preserve">based on proxy </w:t>
      </w:r>
      <w:r w:rsidR="002A34CC">
        <w:rPr>
          <w:rFonts w:ascii="Work Sans" w:hAnsi="Work Sans"/>
          <w:sz w:val="20"/>
        </w:rPr>
        <w:t xml:space="preserve">activity </w:t>
      </w:r>
      <w:r w:rsidR="00AE0CCB">
        <w:rPr>
          <w:rFonts w:ascii="Work Sans" w:hAnsi="Work Sans"/>
          <w:sz w:val="20"/>
        </w:rPr>
        <w:t>data.</w:t>
      </w:r>
      <w:r w:rsidR="00313502">
        <w:rPr>
          <w:rFonts w:ascii="Work Sans" w:hAnsi="Work Sans"/>
          <w:sz w:val="20"/>
        </w:rPr>
        <w:t xml:space="preserve"> </w:t>
      </w:r>
    </w:p>
    <w:p w14:paraId="4B1489BB" w14:textId="1C043397" w:rsidR="009D2B5C" w:rsidRDefault="00C51A1C" w:rsidP="003A1163">
      <w:pPr>
        <w:pStyle w:val="BoxText"/>
        <w:pBdr>
          <w:bottom w:val="single" w:sz="4" w:space="11" w:color="DDDDDD"/>
        </w:pBdr>
        <w:shd w:val="clear" w:color="auto" w:fill="E5F8FF"/>
        <w:jc w:val="left"/>
        <w:rPr>
          <w:rFonts w:ascii="Work Sans" w:hAnsi="Work Sans"/>
          <w:sz w:val="20"/>
        </w:rPr>
      </w:pPr>
      <w:r>
        <w:rPr>
          <w:rFonts w:ascii="Work Sans" w:hAnsi="Work Sans"/>
          <w:b/>
          <w:bCs/>
          <w:sz w:val="20"/>
        </w:rPr>
        <w:t>Discount</w:t>
      </w:r>
      <w:r w:rsidR="00151D50">
        <w:rPr>
          <w:rFonts w:ascii="Work Sans" w:hAnsi="Work Sans"/>
          <w:b/>
          <w:bCs/>
          <w:sz w:val="20"/>
        </w:rPr>
        <w:t>.</w:t>
      </w:r>
      <w:r>
        <w:rPr>
          <w:rFonts w:ascii="Work Sans" w:hAnsi="Work Sans"/>
          <w:b/>
          <w:bCs/>
          <w:sz w:val="20"/>
        </w:rPr>
        <w:t xml:space="preserve"> </w:t>
      </w:r>
      <w:r w:rsidRPr="005216CC">
        <w:rPr>
          <w:rFonts w:ascii="Work Sans" w:hAnsi="Work Sans"/>
          <w:sz w:val="20"/>
        </w:rPr>
        <w:t>A low</w:t>
      </w:r>
      <w:r>
        <w:rPr>
          <w:rFonts w:ascii="Work Sans" w:hAnsi="Work Sans"/>
          <w:b/>
          <w:bCs/>
          <w:sz w:val="20"/>
        </w:rPr>
        <w:t xml:space="preserve"> </w:t>
      </w:r>
      <w:r>
        <w:rPr>
          <w:rFonts w:ascii="Work Sans" w:hAnsi="Work Sans"/>
          <w:sz w:val="20"/>
        </w:rPr>
        <w:t xml:space="preserve">discount of 12.5% </w:t>
      </w:r>
      <w:r w:rsidR="004162AC">
        <w:rPr>
          <w:rFonts w:ascii="Work Sans" w:hAnsi="Work Sans"/>
          <w:sz w:val="20"/>
        </w:rPr>
        <w:t>would</w:t>
      </w:r>
      <w:r>
        <w:rPr>
          <w:rFonts w:ascii="Work Sans" w:hAnsi="Work Sans"/>
          <w:sz w:val="20"/>
        </w:rPr>
        <w:t xml:space="preserve"> continue to be applied to the proxy </w:t>
      </w:r>
      <w:r w:rsidR="00441A4A">
        <w:rPr>
          <w:rFonts w:ascii="Work Sans" w:hAnsi="Work Sans"/>
          <w:sz w:val="20"/>
        </w:rPr>
        <w:t xml:space="preserve">activity </w:t>
      </w:r>
      <w:r>
        <w:rPr>
          <w:rFonts w:ascii="Work Sans" w:hAnsi="Work Sans"/>
          <w:sz w:val="20"/>
        </w:rPr>
        <w:t xml:space="preserve">data. The activity data on ambulatory community mental health services </w:t>
      </w:r>
      <w:r w:rsidR="004162AC">
        <w:rPr>
          <w:rFonts w:ascii="Work Sans" w:hAnsi="Work Sans"/>
          <w:sz w:val="20"/>
        </w:rPr>
        <w:t>would</w:t>
      </w:r>
      <w:r>
        <w:rPr>
          <w:rFonts w:ascii="Work Sans" w:hAnsi="Work Sans"/>
          <w:sz w:val="20"/>
        </w:rPr>
        <w:t xml:space="preserve"> not be discounted.</w:t>
      </w:r>
    </w:p>
    <w:p w14:paraId="277E03D0" w14:textId="39279AF4" w:rsidR="00C139E5" w:rsidRPr="00D21B24" w:rsidRDefault="009D2B5C" w:rsidP="003A1163">
      <w:pPr>
        <w:pStyle w:val="BoxText"/>
        <w:pBdr>
          <w:bottom w:val="single" w:sz="4" w:space="11" w:color="DDDDDD"/>
        </w:pBdr>
        <w:shd w:val="clear" w:color="auto" w:fill="E5F8FF"/>
        <w:jc w:val="left"/>
        <w:rPr>
          <w:rFonts w:ascii="Work Sans" w:hAnsi="Work Sans"/>
          <w:sz w:val="20"/>
        </w:rPr>
      </w:pPr>
      <w:r>
        <w:rPr>
          <w:rFonts w:ascii="Work Sans" w:hAnsi="Work Sans"/>
          <w:b/>
          <w:bCs/>
          <w:sz w:val="20"/>
        </w:rPr>
        <w:t>Wage</w:t>
      </w:r>
      <w:r w:rsidR="006350CB">
        <w:rPr>
          <w:rFonts w:ascii="Work Sans" w:hAnsi="Work Sans"/>
          <w:b/>
          <w:bCs/>
          <w:sz w:val="20"/>
        </w:rPr>
        <w:t xml:space="preserve"> adjustments</w:t>
      </w:r>
      <w:r w:rsidR="006F5112">
        <w:rPr>
          <w:rFonts w:ascii="Work Sans" w:hAnsi="Work Sans"/>
          <w:b/>
          <w:bCs/>
          <w:sz w:val="20"/>
        </w:rPr>
        <w:t xml:space="preserve">. </w:t>
      </w:r>
      <w:r w:rsidR="006F5112">
        <w:rPr>
          <w:rFonts w:ascii="Work Sans" w:hAnsi="Work Sans"/>
          <w:sz w:val="20"/>
        </w:rPr>
        <w:t xml:space="preserve">Adjustments for differences in </w:t>
      </w:r>
      <w:r w:rsidR="001B0945">
        <w:rPr>
          <w:rFonts w:ascii="Work Sans" w:hAnsi="Work Sans"/>
          <w:sz w:val="20"/>
        </w:rPr>
        <w:t xml:space="preserve">state </w:t>
      </w:r>
      <w:r w:rsidR="006F5112">
        <w:rPr>
          <w:rFonts w:ascii="Work Sans" w:hAnsi="Work Sans"/>
          <w:sz w:val="20"/>
        </w:rPr>
        <w:t xml:space="preserve">wages </w:t>
      </w:r>
      <w:r w:rsidR="00D35C4A">
        <w:rPr>
          <w:rFonts w:ascii="Work Sans" w:hAnsi="Work Sans"/>
          <w:sz w:val="20"/>
        </w:rPr>
        <w:t>would</w:t>
      </w:r>
      <w:r w:rsidR="006F5112">
        <w:rPr>
          <w:rFonts w:ascii="Work Sans" w:hAnsi="Work Sans"/>
          <w:sz w:val="20"/>
        </w:rPr>
        <w:t xml:space="preserve"> be applied to </w:t>
      </w:r>
      <w:r w:rsidR="00A01E71">
        <w:rPr>
          <w:rFonts w:ascii="Work Sans" w:hAnsi="Work Sans"/>
          <w:sz w:val="20"/>
        </w:rPr>
        <w:t>the combined assessed expenses.</w:t>
      </w:r>
    </w:p>
    <w:p w14:paraId="6F038E41" w14:textId="7BC6F17A" w:rsidR="00D3461A" w:rsidRPr="0099135E" w:rsidRDefault="00D3461A" w:rsidP="003A1163">
      <w:pPr>
        <w:pStyle w:val="BoxText"/>
        <w:pBdr>
          <w:bottom w:val="single" w:sz="4" w:space="11" w:color="DDDDDD"/>
        </w:pBdr>
        <w:shd w:val="clear" w:color="auto" w:fill="E5F8FF"/>
        <w:spacing w:after="60"/>
        <w:jc w:val="left"/>
        <w:rPr>
          <w:rFonts w:ascii="Open Sans Semibold" w:hAnsi="Open Sans Semibold" w:cs="Open Sans Semibold"/>
          <w:sz w:val="20"/>
        </w:rPr>
      </w:pPr>
      <w:r w:rsidRPr="0099135E">
        <w:rPr>
          <w:rFonts w:ascii="Open Sans Semibold" w:hAnsi="Open Sans Semibold" w:cs="Open Sans Semibold"/>
          <w:b/>
          <w:color w:val="006991"/>
        </w:rPr>
        <w:t>Proxy for t</w:t>
      </w:r>
      <w:r w:rsidR="0084774A" w:rsidRPr="0099135E">
        <w:rPr>
          <w:rFonts w:ascii="Open Sans Semibold" w:hAnsi="Open Sans Semibold" w:cs="Open Sans Semibold"/>
          <w:b/>
          <w:color w:val="006991"/>
        </w:rPr>
        <w:t>he balance of the assessment</w:t>
      </w:r>
    </w:p>
    <w:p w14:paraId="09D8FBD2" w14:textId="12912462" w:rsidR="00D3461A" w:rsidRPr="00D21B24" w:rsidRDefault="004C3599" w:rsidP="003A1163">
      <w:pPr>
        <w:pStyle w:val="BoxText"/>
        <w:pBdr>
          <w:bottom w:val="single" w:sz="4" w:space="11" w:color="DDDDDD"/>
        </w:pBdr>
        <w:shd w:val="clear" w:color="auto" w:fill="E5F8FF"/>
        <w:jc w:val="left"/>
        <w:rPr>
          <w:rFonts w:ascii="Work Sans" w:hAnsi="Work Sans"/>
          <w:sz w:val="20"/>
        </w:rPr>
      </w:pPr>
      <w:r>
        <w:rPr>
          <w:rFonts w:ascii="Work Sans" w:hAnsi="Work Sans"/>
          <w:sz w:val="20"/>
        </w:rPr>
        <w:t xml:space="preserve">Refer to </w:t>
      </w:r>
      <w:r w:rsidR="00A9638C">
        <w:rPr>
          <w:rFonts w:ascii="Work Sans" w:hAnsi="Work Sans"/>
          <w:sz w:val="20"/>
        </w:rPr>
        <w:t xml:space="preserve">Commission </w:t>
      </w:r>
      <w:r w:rsidR="00BA4B92">
        <w:rPr>
          <w:rFonts w:ascii="Work Sans" w:hAnsi="Work Sans"/>
          <w:sz w:val="20"/>
        </w:rPr>
        <w:t>draft position</w:t>
      </w:r>
      <w:r w:rsidR="00AF5BBF">
        <w:rPr>
          <w:rFonts w:ascii="Work Sans" w:hAnsi="Work Sans"/>
          <w:sz w:val="20"/>
        </w:rPr>
        <w:t xml:space="preserve"> in</w:t>
      </w:r>
      <w:r w:rsidR="00454755">
        <w:rPr>
          <w:rFonts w:ascii="Work Sans" w:hAnsi="Work Sans"/>
          <w:sz w:val="20"/>
        </w:rPr>
        <w:t xml:space="preserve"> the</w:t>
      </w:r>
      <w:r>
        <w:rPr>
          <w:rFonts w:ascii="Work Sans" w:hAnsi="Work Sans"/>
          <w:sz w:val="20"/>
        </w:rPr>
        <w:t xml:space="preserve"> next section</w:t>
      </w:r>
      <w:r w:rsidR="00B33F31">
        <w:rPr>
          <w:rFonts w:ascii="Work Sans" w:hAnsi="Work Sans"/>
          <w:sz w:val="20"/>
        </w:rPr>
        <w:t>.</w:t>
      </w:r>
      <w:r w:rsidR="00454755">
        <w:rPr>
          <w:rFonts w:ascii="Work Sans" w:hAnsi="Work Sans"/>
          <w:sz w:val="20"/>
        </w:rPr>
        <w:t xml:space="preserve"> </w:t>
      </w:r>
    </w:p>
    <w:p w14:paraId="641CBAD1" w14:textId="77777777" w:rsidR="00F65290" w:rsidRDefault="00F65290" w:rsidP="003D00E5">
      <w:pPr>
        <w:pStyle w:val="CGC2025TableNote"/>
      </w:pPr>
    </w:p>
    <w:p w14:paraId="4FBCD674" w14:textId="4425E316" w:rsidR="001E3F08" w:rsidRPr="00FD0CA1" w:rsidRDefault="004C10C7" w:rsidP="00151D50">
      <w:pPr>
        <w:pStyle w:val="Heading35"/>
      </w:pPr>
      <w:r w:rsidRPr="00FD0CA1">
        <w:t>E</w:t>
      </w:r>
      <w:r w:rsidR="003B194C" w:rsidRPr="00FD0CA1">
        <w:t>xpand</w:t>
      </w:r>
      <w:r w:rsidRPr="00FD0CA1">
        <w:t>ing</w:t>
      </w:r>
      <w:r w:rsidR="003B194C" w:rsidRPr="00FD0CA1">
        <w:t xml:space="preserve"> the current proxy </w:t>
      </w:r>
      <w:r w:rsidR="00FD4659" w:rsidRPr="00FD0CA1">
        <w:t xml:space="preserve">for activity </w:t>
      </w:r>
      <w:r w:rsidR="003B194C" w:rsidRPr="00FD0CA1">
        <w:t xml:space="preserve">to include non-admitted patient </w:t>
      </w:r>
      <w:proofErr w:type="gramStart"/>
      <w:r w:rsidR="003B194C" w:rsidRPr="00FD0CA1">
        <w:t>services</w:t>
      </w:r>
      <w:proofErr w:type="gramEnd"/>
    </w:p>
    <w:p w14:paraId="05F6B228" w14:textId="77777777" w:rsidR="00DE07A1" w:rsidRPr="000F74C4" w:rsidRDefault="00DE07A1" w:rsidP="009625BB">
      <w:pPr>
        <w:pStyle w:val="Heading4"/>
        <w:keepNext w:val="0"/>
      </w:pPr>
      <w:r w:rsidRPr="000F74C4">
        <w:t>State views</w:t>
      </w:r>
    </w:p>
    <w:p w14:paraId="11618BBB" w14:textId="7F68EC47" w:rsidR="00867990" w:rsidRPr="000F74C4" w:rsidRDefault="0E9C433F" w:rsidP="009625BB">
      <w:pPr>
        <w:pStyle w:val="CGC2025ParaNumbers"/>
      </w:pPr>
      <w:r w:rsidRPr="000F74C4">
        <w:t>New South Wales</w:t>
      </w:r>
      <w:r w:rsidR="18DE7319" w:rsidRPr="000F74C4">
        <w:t xml:space="preserve">, </w:t>
      </w:r>
      <w:r w:rsidR="395C89F3" w:rsidRPr="000F74C4">
        <w:t>Victoria</w:t>
      </w:r>
      <w:r w:rsidR="220D78E4" w:rsidRPr="000F74C4">
        <w:t>,</w:t>
      </w:r>
      <w:r w:rsidR="18DE7319" w:rsidRPr="000F74C4">
        <w:t xml:space="preserve"> </w:t>
      </w:r>
      <w:proofErr w:type="gramStart"/>
      <w:r w:rsidR="18DE7319" w:rsidRPr="000F74C4">
        <w:t>Queensland</w:t>
      </w:r>
      <w:proofErr w:type="gramEnd"/>
      <w:r w:rsidR="18DE7319" w:rsidRPr="000F74C4">
        <w:t xml:space="preserve"> </w:t>
      </w:r>
      <w:r w:rsidR="220D78E4" w:rsidRPr="000F74C4">
        <w:t>and the ACT</w:t>
      </w:r>
      <w:r w:rsidR="18DE7319" w:rsidRPr="000F74C4">
        <w:t xml:space="preserve"> </w:t>
      </w:r>
      <w:r w:rsidR="1264CCB3" w:rsidRPr="000F74C4">
        <w:t xml:space="preserve">said they </w:t>
      </w:r>
      <w:r w:rsidR="395C89F3" w:rsidRPr="000F74C4">
        <w:t>support</w:t>
      </w:r>
      <w:r w:rsidR="2FFAA926" w:rsidRPr="000F74C4">
        <w:t>ed</w:t>
      </w:r>
      <w:r w:rsidR="395C89F3" w:rsidRPr="000F74C4">
        <w:t xml:space="preserve"> an expansion of the </w:t>
      </w:r>
      <w:r w:rsidR="15948787" w:rsidRPr="000F74C4">
        <w:t xml:space="preserve">current proxy </w:t>
      </w:r>
      <w:r w:rsidR="6E1B253D" w:rsidRPr="000F74C4">
        <w:t xml:space="preserve">of activity for </w:t>
      </w:r>
      <w:r w:rsidR="7076FB0E" w:rsidRPr="000F74C4">
        <w:t xml:space="preserve">community and public health </w:t>
      </w:r>
      <w:r w:rsidR="6E1B253D" w:rsidRPr="000F74C4">
        <w:t>to include n</w:t>
      </w:r>
      <w:r w:rsidR="00312FF0" w:rsidRPr="000F74C4">
        <w:t>o</w:t>
      </w:r>
      <w:r w:rsidR="0583E7C9" w:rsidRPr="000F74C4">
        <w:t>n</w:t>
      </w:r>
      <w:r w:rsidR="001830A3" w:rsidRPr="000F74C4">
        <w:noBreakHyphen/>
      </w:r>
      <w:r w:rsidR="6E1B253D" w:rsidRPr="000F74C4">
        <w:t xml:space="preserve">admitted </w:t>
      </w:r>
      <w:r w:rsidR="7FE0794F" w:rsidRPr="000F74C4">
        <w:t>patient services</w:t>
      </w:r>
      <w:r w:rsidR="37492846" w:rsidRPr="000F74C4">
        <w:t xml:space="preserve">, in addition to emergency department services. </w:t>
      </w:r>
    </w:p>
    <w:p w14:paraId="65FF9E5F" w14:textId="0BA698A0" w:rsidR="00867990" w:rsidRPr="000F74C4" w:rsidRDefault="007509C1" w:rsidP="009625BB">
      <w:pPr>
        <w:pStyle w:val="CGC2025ParaNumbers"/>
      </w:pPr>
      <w:r w:rsidRPr="000F74C4">
        <w:t xml:space="preserve">New South Wales </w:t>
      </w:r>
      <w:r w:rsidR="007343A9" w:rsidRPr="000F74C4">
        <w:t xml:space="preserve">said that the sole use of </w:t>
      </w:r>
      <w:r w:rsidR="00395D05" w:rsidRPr="000F74C4">
        <w:t>emerge</w:t>
      </w:r>
      <w:r w:rsidR="00E94A3B" w:rsidRPr="000F74C4">
        <w:t xml:space="preserve">ncy department triage </w:t>
      </w:r>
      <w:r w:rsidR="008422A6" w:rsidRPr="000F74C4">
        <w:t>categ</w:t>
      </w:r>
      <w:r w:rsidR="00982CA1" w:rsidRPr="000F74C4">
        <w:t>ories 4</w:t>
      </w:r>
      <w:r w:rsidR="00F77763">
        <w:t> </w:t>
      </w:r>
      <w:r w:rsidR="00982CA1" w:rsidRPr="000F74C4">
        <w:t>and 5</w:t>
      </w:r>
      <w:r w:rsidR="007343A9" w:rsidRPr="000F74C4">
        <w:t xml:space="preserve"> does not reflect an appropriate </w:t>
      </w:r>
      <w:r w:rsidR="00596023" w:rsidRPr="000F74C4">
        <w:t>socio</w:t>
      </w:r>
      <w:r w:rsidR="00A00F54" w:rsidRPr="000F74C4">
        <w:t>-</w:t>
      </w:r>
      <w:r w:rsidR="00596023" w:rsidRPr="000F74C4">
        <w:t>demographic composition</w:t>
      </w:r>
      <w:r w:rsidR="007343A9" w:rsidRPr="000F74C4">
        <w:t xml:space="preserve"> profile of community health usage.</w:t>
      </w:r>
    </w:p>
    <w:p w14:paraId="44F0C93C" w14:textId="6600D36A" w:rsidR="00604547" w:rsidRPr="000F74C4" w:rsidRDefault="00604547" w:rsidP="009625BB">
      <w:pPr>
        <w:pStyle w:val="CGC2025ParaNumbers"/>
      </w:pPr>
      <w:r w:rsidRPr="000F74C4">
        <w:t>Victoria said the current proxy is not based on sufficient evidence and supports the Commission exploring alternative approaches and data sources.</w:t>
      </w:r>
      <w:r w:rsidR="007B12F0" w:rsidRPr="000F74C4">
        <w:t xml:space="preserve"> </w:t>
      </w:r>
    </w:p>
    <w:p w14:paraId="5AEE37A1" w14:textId="7253C14C" w:rsidR="008A665D" w:rsidRPr="000F74C4" w:rsidRDefault="001C7DFB" w:rsidP="009625BB">
      <w:pPr>
        <w:pStyle w:val="CGC2025ParaNumbers"/>
      </w:pPr>
      <w:r w:rsidRPr="000F74C4">
        <w:lastRenderedPageBreak/>
        <w:t>Although</w:t>
      </w:r>
      <w:r w:rsidR="006F2CD8" w:rsidRPr="000F74C4">
        <w:t xml:space="preserve"> </w:t>
      </w:r>
      <w:r w:rsidR="7737A4B1" w:rsidRPr="000F74C4">
        <w:t xml:space="preserve">Queensland </w:t>
      </w:r>
      <w:r w:rsidR="1264CCB3" w:rsidRPr="000F74C4">
        <w:t>said</w:t>
      </w:r>
      <w:r w:rsidR="7737A4B1" w:rsidRPr="000F74C4">
        <w:t xml:space="preserve"> </w:t>
      </w:r>
      <w:r w:rsidR="006F2CD8" w:rsidRPr="000F74C4">
        <w:t>it supported</w:t>
      </w:r>
      <w:r w:rsidR="00EF307F" w:rsidRPr="000F74C4">
        <w:t xml:space="preserve"> the expansion of the proxy </w:t>
      </w:r>
      <w:r w:rsidR="009230E8" w:rsidRPr="000F74C4">
        <w:t>indicator</w:t>
      </w:r>
      <w:r w:rsidR="00D05370" w:rsidRPr="000F74C4">
        <w:t xml:space="preserve">, it </w:t>
      </w:r>
      <w:r w:rsidR="00E55070" w:rsidRPr="000F74C4">
        <w:t xml:space="preserve">said that </w:t>
      </w:r>
      <w:r w:rsidR="009C1CDB" w:rsidRPr="000F74C4">
        <w:t>there was a</w:t>
      </w:r>
      <w:r w:rsidR="003D3531" w:rsidRPr="000F74C4">
        <w:t xml:space="preserve"> lack of evidence supporting the change (</w:t>
      </w:r>
      <w:r w:rsidR="009C1CDB" w:rsidRPr="000F74C4">
        <w:t>that is</w:t>
      </w:r>
      <w:r w:rsidR="003D3531" w:rsidRPr="000F74C4">
        <w:t>, data demonstrating the similarities in usage and cost profiles for community and public health services and non-admitted patient services)</w:t>
      </w:r>
      <w:r w:rsidR="00EB25AB" w:rsidRPr="000F74C4">
        <w:t xml:space="preserve">. </w:t>
      </w:r>
      <w:r w:rsidR="000B4607" w:rsidRPr="000F74C4">
        <w:t>As such,</w:t>
      </w:r>
      <w:r w:rsidR="003D3531" w:rsidRPr="000F74C4">
        <w:t xml:space="preserve"> and to avoid overcorrecting</w:t>
      </w:r>
      <w:r w:rsidR="000B4607" w:rsidRPr="000F74C4">
        <w:t>,</w:t>
      </w:r>
      <w:r w:rsidR="3B7AA35F" w:rsidRPr="000F74C4">
        <w:t xml:space="preserve"> emergency department activity </w:t>
      </w:r>
      <w:r w:rsidR="04B17342" w:rsidRPr="000F74C4">
        <w:t>should have a larger weighting than non</w:t>
      </w:r>
      <w:r w:rsidR="4483D589" w:rsidRPr="000F74C4">
        <w:t>-</w:t>
      </w:r>
      <w:r w:rsidR="04B17342" w:rsidRPr="000F74C4">
        <w:t>admitted patient services</w:t>
      </w:r>
      <w:r w:rsidR="1CEDE9D2" w:rsidRPr="000F74C4">
        <w:t xml:space="preserve"> (75</w:t>
      </w:r>
      <w:r w:rsidR="008D3484">
        <w:t>:</w:t>
      </w:r>
      <w:r w:rsidR="1CEDE9D2" w:rsidRPr="000F74C4">
        <w:t>2</w:t>
      </w:r>
      <w:r w:rsidR="008D3484">
        <w:t>5</w:t>
      </w:r>
      <w:r w:rsidR="1CEDE9D2" w:rsidRPr="000F74C4">
        <w:t>)</w:t>
      </w:r>
      <w:r w:rsidR="17714CAB" w:rsidRPr="000F74C4">
        <w:t xml:space="preserve">. </w:t>
      </w:r>
    </w:p>
    <w:p w14:paraId="62F11429" w14:textId="169AD107" w:rsidR="00FD4659" w:rsidRPr="000F74C4" w:rsidRDefault="37492846" w:rsidP="00FD4659">
      <w:pPr>
        <w:pStyle w:val="CGC2025ParaNumbers"/>
      </w:pPr>
      <w:r w:rsidRPr="000F74C4">
        <w:t xml:space="preserve">South Australia </w:t>
      </w:r>
      <w:r w:rsidR="1264CCB3" w:rsidRPr="000F74C4">
        <w:t>said it ha</w:t>
      </w:r>
      <w:r w:rsidR="056AA57A" w:rsidRPr="000F74C4">
        <w:t>d</w:t>
      </w:r>
      <w:r w:rsidR="5527BCC9" w:rsidRPr="000F74C4">
        <w:t xml:space="preserve"> in-</w:t>
      </w:r>
      <w:proofErr w:type="gramStart"/>
      <w:r w:rsidR="5BDC572F" w:rsidRPr="000F74C4">
        <w:t>princip</w:t>
      </w:r>
      <w:r w:rsidR="4FB201A5" w:rsidRPr="000F74C4">
        <w:t>le</w:t>
      </w:r>
      <w:proofErr w:type="gramEnd"/>
      <w:r w:rsidR="5527BCC9" w:rsidRPr="000F74C4">
        <w:t xml:space="preserve"> support </w:t>
      </w:r>
      <w:r w:rsidR="71C75FD4" w:rsidRPr="000F74C4">
        <w:t xml:space="preserve">for the proposal </w:t>
      </w:r>
      <w:r w:rsidR="6A1F4E07" w:rsidRPr="000F74C4">
        <w:t xml:space="preserve">but </w:t>
      </w:r>
      <w:r w:rsidR="0BFE8745" w:rsidRPr="000F74C4">
        <w:t>ha</w:t>
      </w:r>
      <w:r w:rsidR="2FFAA926" w:rsidRPr="000F74C4">
        <w:t>d</w:t>
      </w:r>
      <w:r w:rsidR="0BFE8745" w:rsidRPr="000F74C4">
        <w:t xml:space="preserve"> concerns with the quality of non</w:t>
      </w:r>
      <w:r w:rsidR="73FCC6D1" w:rsidRPr="000F74C4">
        <w:t>-</w:t>
      </w:r>
      <w:r w:rsidR="0BFE8745" w:rsidRPr="000F74C4">
        <w:t>admitted patient data</w:t>
      </w:r>
      <w:r w:rsidR="397E38AD" w:rsidRPr="000F74C4">
        <w:t>. It said</w:t>
      </w:r>
      <w:r w:rsidR="4554F133" w:rsidRPr="000F74C4">
        <w:t xml:space="preserve"> </w:t>
      </w:r>
      <w:r w:rsidR="5D263554" w:rsidRPr="000F74C4">
        <w:t xml:space="preserve">the </w:t>
      </w:r>
      <w:bookmarkStart w:id="32" w:name="_Hlk152760207"/>
      <w:r w:rsidR="5D263554" w:rsidRPr="000F74C4">
        <w:t xml:space="preserve">data </w:t>
      </w:r>
      <w:r w:rsidR="397E38AD" w:rsidRPr="000F74C4">
        <w:t xml:space="preserve">should </w:t>
      </w:r>
      <w:r w:rsidR="5D263554" w:rsidRPr="000F74C4">
        <w:t>be used at the aggregate</w:t>
      </w:r>
      <w:r w:rsidR="6905738C" w:rsidRPr="000F74C4">
        <w:t xml:space="preserve"> rather than patient level</w:t>
      </w:r>
      <w:bookmarkEnd w:id="32"/>
      <w:r w:rsidR="6905738C" w:rsidRPr="000F74C4">
        <w:t>.</w:t>
      </w:r>
    </w:p>
    <w:p w14:paraId="3B7FA150" w14:textId="0A745364" w:rsidR="00516D3B" w:rsidRPr="000F74C4" w:rsidRDefault="000B0AD7" w:rsidP="004658B5">
      <w:pPr>
        <w:pStyle w:val="CGC2025ParaNumbers"/>
      </w:pPr>
      <w:r w:rsidRPr="000F74C4">
        <w:t xml:space="preserve">Western Australia </w:t>
      </w:r>
      <w:r w:rsidR="004E3424" w:rsidRPr="000F74C4">
        <w:t xml:space="preserve">said there is </w:t>
      </w:r>
      <w:r w:rsidRPr="000F74C4">
        <w:t xml:space="preserve">much more consistency between service delivery for </w:t>
      </w:r>
      <w:r w:rsidR="004E3424" w:rsidRPr="000F74C4">
        <w:t>e</w:t>
      </w:r>
      <w:r w:rsidRPr="000F74C4">
        <w:t xml:space="preserve">mergency </w:t>
      </w:r>
      <w:r w:rsidR="004E3424" w:rsidRPr="000F74C4">
        <w:t>d</w:t>
      </w:r>
      <w:r w:rsidRPr="000F74C4">
        <w:t>epartments and</w:t>
      </w:r>
      <w:r w:rsidR="004E3424" w:rsidRPr="000F74C4">
        <w:t xml:space="preserve"> </w:t>
      </w:r>
      <w:r w:rsidR="005054E9" w:rsidRPr="000F74C4">
        <w:t>c</w:t>
      </w:r>
      <w:r w:rsidRPr="000F74C4">
        <w:t xml:space="preserve">ommunity and </w:t>
      </w:r>
      <w:r w:rsidR="005054E9" w:rsidRPr="000F74C4">
        <w:t>p</w:t>
      </w:r>
      <w:r w:rsidRPr="000F74C4">
        <w:t xml:space="preserve">ublic </w:t>
      </w:r>
      <w:r w:rsidR="005054E9" w:rsidRPr="000F74C4">
        <w:t>h</w:t>
      </w:r>
      <w:r w:rsidRPr="000F74C4">
        <w:t xml:space="preserve">ealth. </w:t>
      </w:r>
      <w:r w:rsidR="003114A5" w:rsidRPr="000F74C4">
        <w:t>It said</w:t>
      </w:r>
      <w:r w:rsidRPr="000F74C4">
        <w:t xml:space="preserve"> in remote regions, many </w:t>
      </w:r>
      <w:r w:rsidR="004658B5" w:rsidRPr="000F74C4">
        <w:t>n</w:t>
      </w:r>
      <w:r w:rsidRPr="000F74C4">
        <w:t xml:space="preserve">on-admitted </w:t>
      </w:r>
      <w:r w:rsidR="004658B5" w:rsidRPr="000F74C4">
        <w:t>p</w:t>
      </w:r>
      <w:r w:rsidRPr="000F74C4">
        <w:t xml:space="preserve">atient services are provided virtually, whereas both </w:t>
      </w:r>
      <w:r w:rsidR="004658B5" w:rsidRPr="000F74C4">
        <w:t>e</w:t>
      </w:r>
      <w:r w:rsidRPr="000F74C4">
        <w:t xml:space="preserve">mergency </w:t>
      </w:r>
      <w:r w:rsidR="004658B5" w:rsidRPr="000F74C4">
        <w:t>d</w:t>
      </w:r>
      <w:r w:rsidRPr="000F74C4">
        <w:t xml:space="preserve">epartment and </w:t>
      </w:r>
      <w:r w:rsidR="004658B5" w:rsidRPr="000F74C4">
        <w:t>c</w:t>
      </w:r>
      <w:r w:rsidRPr="000F74C4">
        <w:t xml:space="preserve">ommunity and </w:t>
      </w:r>
      <w:r w:rsidR="004658B5" w:rsidRPr="000F74C4">
        <w:t>p</w:t>
      </w:r>
      <w:r w:rsidRPr="000F74C4">
        <w:t xml:space="preserve">ublic </w:t>
      </w:r>
      <w:r w:rsidR="004658B5" w:rsidRPr="000F74C4">
        <w:t>h</w:t>
      </w:r>
      <w:r w:rsidRPr="000F74C4">
        <w:t>ealth services are almost always provided by practitioners on location</w:t>
      </w:r>
      <w:r w:rsidR="004658B5" w:rsidRPr="000F74C4">
        <w:t>.</w:t>
      </w:r>
    </w:p>
    <w:p w14:paraId="0F63F1C6" w14:textId="5FC2BD2F" w:rsidR="00CE5C50" w:rsidRPr="000F74C4" w:rsidRDefault="22F76A6D" w:rsidP="004658B5">
      <w:pPr>
        <w:pStyle w:val="CGC2025ParaNumbers"/>
      </w:pPr>
      <w:r w:rsidRPr="000F74C4">
        <w:t xml:space="preserve">Tasmania </w:t>
      </w:r>
      <w:r w:rsidR="71C75FD4" w:rsidRPr="000F74C4">
        <w:t xml:space="preserve">said </w:t>
      </w:r>
      <w:r w:rsidR="53DA2399" w:rsidRPr="000F74C4">
        <w:t>it</w:t>
      </w:r>
      <w:r w:rsidRPr="000F74C4">
        <w:t xml:space="preserve"> d</w:t>
      </w:r>
      <w:r w:rsidR="6F595708" w:rsidRPr="000F74C4">
        <w:t>id</w:t>
      </w:r>
      <w:r w:rsidRPr="000F74C4">
        <w:t xml:space="preserve"> no</w:t>
      </w:r>
      <w:r w:rsidR="3F4E3F25" w:rsidRPr="000F74C4">
        <w:t>t</w:t>
      </w:r>
      <w:r w:rsidRPr="000F74C4">
        <w:t xml:space="preserve"> support the proposal </w:t>
      </w:r>
      <w:r w:rsidR="72427300" w:rsidRPr="000F74C4">
        <w:t xml:space="preserve">because </w:t>
      </w:r>
      <w:r w:rsidR="2F11F3BC" w:rsidRPr="000F74C4">
        <w:t xml:space="preserve">of the likely </w:t>
      </w:r>
      <w:r w:rsidR="207D83FF" w:rsidRPr="000F74C4">
        <w:t>differences in the socio</w:t>
      </w:r>
      <w:r w:rsidR="4CFE8D33" w:rsidRPr="000F74C4">
        <w:t>-</w:t>
      </w:r>
      <w:r w:rsidR="207D83FF" w:rsidRPr="000F74C4">
        <w:t xml:space="preserve">demographic composition of patients using </w:t>
      </w:r>
      <w:r w:rsidR="1D9C4D5E" w:rsidRPr="000F74C4">
        <w:t>community and public health services and non</w:t>
      </w:r>
      <w:r w:rsidR="357E390B" w:rsidRPr="000F74C4">
        <w:t>-</w:t>
      </w:r>
      <w:r w:rsidR="1D9C4D5E" w:rsidRPr="000F74C4">
        <w:t>admitted patient services.</w:t>
      </w:r>
      <w:r w:rsidR="00994F13" w:rsidRPr="000F74C4">
        <w:t xml:space="preserve"> </w:t>
      </w:r>
    </w:p>
    <w:p w14:paraId="27C067A8" w14:textId="4D23E610" w:rsidR="008A3CF0" w:rsidRPr="000F74C4" w:rsidRDefault="008A3CF0" w:rsidP="00607D6B">
      <w:pPr>
        <w:pStyle w:val="CGC2025ParaNumbers"/>
      </w:pPr>
      <w:r w:rsidRPr="000F74C4">
        <w:t xml:space="preserve">The Northern </w:t>
      </w:r>
      <w:r w:rsidR="00F14A23" w:rsidRPr="000F74C4">
        <w:t xml:space="preserve">Territory </w:t>
      </w:r>
      <w:r w:rsidR="00114B6A" w:rsidRPr="000F74C4">
        <w:t xml:space="preserve">said it </w:t>
      </w:r>
      <w:r w:rsidR="00F14A23" w:rsidRPr="000F74C4">
        <w:t>d</w:t>
      </w:r>
      <w:r w:rsidR="00E87A54" w:rsidRPr="000F74C4">
        <w:t>id</w:t>
      </w:r>
      <w:r w:rsidR="00F14A23" w:rsidRPr="000F74C4">
        <w:t xml:space="preserve"> not support the proposal </w:t>
      </w:r>
      <w:r w:rsidR="0038764D" w:rsidRPr="000F74C4">
        <w:t>because non</w:t>
      </w:r>
      <w:r w:rsidR="0038764D" w:rsidRPr="000F74C4">
        <w:noBreakHyphen/>
        <w:t>admitted patient activity is likely to under</w:t>
      </w:r>
      <w:r w:rsidR="009C78AC" w:rsidRPr="000F74C4">
        <w:t>-</w:t>
      </w:r>
      <w:r w:rsidR="0038764D" w:rsidRPr="000F74C4">
        <w:t xml:space="preserve">represent </w:t>
      </w:r>
      <w:r w:rsidR="00016544" w:rsidRPr="000F74C4">
        <w:t>use of community and public health services in remote and very remote areas</w:t>
      </w:r>
      <w:r w:rsidR="00691CC6" w:rsidRPr="000F74C4">
        <w:t xml:space="preserve"> and because the services </w:t>
      </w:r>
      <w:r w:rsidR="0092380A" w:rsidRPr="000F74C4">
        <w:t>of</w:t>
      </w:r>
      <w:r w:rsidR="00691CC6" w:rsidRPr="000F74C4">
        <w:t xml:space="preserve"> the </w:t>
      </w:r>
      <w:r w:rsidR="00A90CDF" w:rsidRPr="000F74C4">
        <w:t>2</w:t>
      </w:r>
      <w:r w:rsidR="00691CC6" w:rsidRPr="000F74C4">
        <w:t xml:space="preserve"> settings are vastly different</w:t>
      </w:r>
      <w:r w:rsidR="00016544" w:rsidRPr="000F74C4">
        <w:t>.</w:t>
      </w:r>
      <w:r w:rsidR="00607D6B" w:rsidRPr="000F74C4">
        <w:t xml:space="preserve"> </w:t>
      </w:r>
      <w:r w:rsidR="00857F58" w:rsidRPr="000F74C4">
        <w:t>C</w:t>
      </w:r>
      <w:r w:rsidR="00607D6B" w:rsidRPr="000F74C4">
        <w:t xml:space="preserve">ommunity health services are the most geographically accessible service for remote persons. </w:t>
      </w:r>
      <w:r w:rsidR="00DF78C9" w:rsidRPr="000F74C4">
        <w:t>R</w:t>
      </w:r>
      <w:r w:rsidR="00607D6B" w:rsidRPr="000F74C4">
        <w:t xml:space="preserve">emote clinics are </w:t>
      </w:r>
      <w:r w:rsidR="00DF78C9" w:rsidRPr="000F74C4">
        <w:t>als</w:t>
      </w:r>
      <w:r w:rsidR="00607D6B" w:rsidRPr="000F74C4">
        <w:t>o able to be accessed on a ‘walk in’ basis without need for prior appointments or referrals</w:t>
      </w:r>
      <w:r w:rsidR="00DF78C9" w:rsidRPr="000F74C4">
        <w:t>.</w:t>
      </w:r>
      <w:r w:rsidR="00852E9C" w:rsidRPr="000F74C4">
        <w:t xml:space="preserve"> </w:t>
      </w:r>
    </w:p>
    <w:p w14:paraId="7CE7ECEC" w14:textId="788860AD" w:rsidR="00061C65" w:rsidRPr="005C5BFA" w:rsidRDefault="00061C65" w:rsidP="00061C65">
      <w:pPr>
        <w:pStyle w:val="Heading4"/>
      </w:pPr>
      <w:r w:rsidRPr="005C5BFA">
        <w:t>Commission response</w:t>
      </w:r>
    </w:p>
    <w:p w14:paraId="423D88C3" w14:textId="15DE91CD" w:rsidR="00094978" w:rsidRPr="000C7322" w:rsidRDefault="00094978" w:rsidP="00094978">
      <w:pPr>
        <w:pStyle w:val="Heading5"/>
      </w:pPr>
      <w:r w:rsidRPr="000C7322">
        <w:t>Socio</w:t>
      </w:r>
      <w:r w:rsidR="002025BE" w:rsidRPr="000C7322">
        <w:t>-</w:t>
      </w:r>
      <w:r w:rsidRPr="000C7322">
        <w:t>demographic use rates</w:t>
      </w:r>
    </w:p>
    <w:p w14:paraId="6003D838" w14:textId="2C552673" w:rsidR="003F2325" w:rsidRPr="005C5BFA" w:rsidRDefault="00A87762" w:rsidP="00FD7CC4">
      <w:pPr>
        <w:pStyle w:val="CGC2025ParaNumbers"/>
      </w:pPr>
      <w:r w:rsidRPr="005C5BFA">
        <w:t xml:space="preserve">In the absence of an actual measure of </w:t>
      </w:r>
      <w:r w:rsidR="00D62DCA" w:rsidRPr="005C5BFA">
        <w:t>community and public health activity, the Commission is seeking a</w:t>
      </w:r>
      <w:r w:rsidR="004C3B09" w:rsidRPr="005C5BFA">
        <w:t xml:space="preserve"> </w:t>
      </w:r>
      <w:r w:rsidR="00A67E6D" w:rsidRPr="005C5BFA">
        <w:t xml:space="preserve">proxy indicator </w:t>
      </w:r>
      <w:r w:rsidR="0078018C" w:rsidRPr="005C5BFA">
        <w:t xml:space="preserve">that </w:t>
      </w:r>
      <w:r w:rsidR="00776613" w:rsidRPr="005C5BFA">
        <w:t xml:space="preserve">has health service use rates for each </w:t>
      </w:r>
      <w:r w:rsidR="0044211A" w:rsidRPr="005C5BFA">
        <w:t>socio-demographic</w:t>
      </w:r>
      <w:r w:rsidR="00776613" w:rsidRPr="005C5BFA">
        <w:t xml:space="preserve"> group </w:t>
      </w:r>
      <w:r w:rsidR="000D0EFB" w:rsidRPr="005C5BFA">
        <w:t xml:space="preserve">that are broadly in line with </w:t>
      </w:r>
      <w:r w:rsidR="003F2325" w:rsidRPr="005C5BFA">
        <w:t>actual use rates of community and public health services.</w:t>
      </w:r>
    </w:p>
    <w:p w14:paraId="67F41D1F" w14:textId="61885F27" w:rsidR="00740798" w:rsidRPr="005C5BFA" w:rsidRDefault="00E94255" w:rsidP="00E15047">
      <w:pPr>
        <w:pStyle w:val="CGC2025ParaNumbers"/>
      </w:pPr>
      <w:r w:rsidRPr="005C5BFA">
        <w:t xml:space="preserve">There is </w:t>
      </w:r>
      <w:r w:rsidR="00712B0A" w:rsidRPr="005C5BFA">
        <w:t>some</w:t>
      </w:r>
      <w:r w:rsidRPr="005C5BFA">
        <w:t xml:space="preserve"> information on</w:t>
      </w:r>
      <w:r w:rsidR="00712B0A" w:rsidRPr="005C5BFA">
        <w:t xml:space="preserve"> the use of community and public health </w:t>
      </w:r>
      <w:r w:rsidR="00EE08B1" w:rsidRPr="005C5BFA">
        <w:t>services</w:t>
      </w:r>
      <w:r w:rsidR="00CE4ACE" w:rsidRPr="005C5BFA">
        <w:t xml:space="preserve"> by </w:t>
      </w:r>
      <w:r w:rsidR="0044211A" w:rsidRPr="005C5BFA">
        <w:t>socio-demographic</w:t>
      </w:r>
      <w:r w:rsidR="00442CAC" w:rsidRPr="005C5BFA">
        <w:t xml:space="preserve"> group</w:t>
      </w:r>
      <w:r w:rsidR="00B97F3D" w:rsidRPr="005C5BFA">
        <w:t xml:space="preserve"> (see </w:t>
      </w:r>
      <w:r w:rsidR="0058312A">
        <w:t>Table 1</w:t>
      </w:r>
      <w:r w:rsidR="00EE31A1" w:rsidRPr="005C5BFA">
        <w:t xml:space="preserve"> and </w:t>
      </w:r>
      <w:r w:rsidR="002D2583" w:rsidRPr="005C5BFA">
        <w:t>Box </w:t>
      </w:r>
      <w:r w:rsidR="0058312A">
        <w:t>3</w:t>
      </w:r>
      <w:r w:rsidR="00B97F3D" w:rsidRPr="005C5BFA">
        <w:t>)</w:t>
      </w:r>
      <w:r w:rsidR="009077B9" w:rsidRPr="005C5BFA">
        <w:t>.</w:t>
      </w:r>
      <w:r w:rsidR="006733E9" w:rsidRPr="005C5BFA">
        <w:t xml:space="preserve"> </w:t>
      </w:r>
      <w:r w:rsidR="00DF60D6" w:rsidRPr="005C5BFA">
        <w:t>This shows that the</w:t>
      </w:r>
      <w:r w:rsidR="00D136B8" w:rsidRPr="005C5BFA">
        <w:t xml:space="preserve">re is no consistent pattern of usage </w:t>
      </w:r>
      <w:r w:rsidR="000D2534" w:rsidRPr="005C5BFA">
        <w:t>of</w:t>
      </w:r>
      <w:r w:rsidR="00067041" w:rsidRPr="005C5BFA">
        <w:t xml:space="preserve"> </w:t>
      </w:r>
      <w:r w:rsidR="00826F01" w:rsidRPr="005C5BFA">
        <w:t xml:space="preserve">community and </w:t>
      </w:r>
      <w:r w:rsidR="00067041" w:rsidRPr="005C5BFA">
        <w:t>public health services</w:t>
      </w:r>
      <w:r w:rsidR="00CB0001" w:rsidRPr="005C5BFA">
        <w:t xml:space="preserve">, or </w:t>
      </w:r>
      <w:r w:rsidR="00E31701" w:rsidRPr="005C5BFA">
        <w:t>co</w:t>
      </w:r>
      <w:r w:rsidR="00C126A4" w:rsidRPr="005C5BFA">
        <w:t>mm</w:t>
      </w:r>
      <w:r w:rsidR="00D850CA" w:rsidRPr="005C5BFA">
        <w:t>on</w:t>
      </w:r>
      <w:r w:rsidR="00CB0001" w:rsidRPr="005C5BFA">
        <w:t xml:space="preserve"> target population </w:t>
      </w:r>
      <w:r w:rsidR="00C53075" w:rsidRPr="005C5BFA">
        <w:t xml:space="preserve">groups </w:t>
      </w:r>
      <w:r w:rsidR="00CB0001" w:rsidRPr="005C5BFA">
        <w:t xml:space="preserve">for </w:t>
      </w:r>
      <w:r w:rsidR="00232E55" w:rsidRPr="005C5BFA">
        <w:t xml:space="preserve">public health </w:t>
      </w:r>
      <w:r w:rsidR="00C53075" w:rsidRPr="005C5BFA">
        <w:t>activity</w:t>
      </w:r>
      <w:r w:rsidR="00130063" w:rsidRPr="005C5BFA">
        <w:t>.</w:t>
      </w:r>
      <w:r w:rsidR="006E377F" w:rsidRPr="005C5BFA">
        <w:t xml:space="preserve"> </w:t>
      </w:r>
      <w:r w:rsidR="00C655D8" w:rsidRPr="005C5BFA">
        <w:t>The</w:t>
      </w:r>
      <w:r w:rsidR="00AD2E99" w:rsidRPr="005C5BFA">
        <w:t xml:space="preserve">re is no way of aggregating the usage information </w:t>
      </w:r>
      <w:r w:rsidR="00B50ECD" w:rsidRPr="005C5BFA">
        <w:t xml:space="preserve">and therefore </w:t>
      </w:r>
      <w:r w:rsidR="0060226E" w:rsidRPr="005C5BFA">
        <w:t>no way of determining a</w:t>
      </w:r>
      <w:r w:rsidR="00344716" w:rsidRPr="005C5BFA">
        <w:t>n</w:t>
      </w:r>
      <w:r w:rsidR="0060226E" w:rsidRPr="005C5BFA">
        <w:t xml:space="preserve"> </w:t>
      </w:r>
      <w:r w:rsidR="002A11FB" w:rsidRPr="005C5BFA">
        <w:t xml:space="preserve">overall pattern of </w:t>
      </w:r>
      <w:r w:rsidR="0044211A" w:rsidRPr="005C5BFA">
        <w:t>socio</w:t>
      </w:r>
      <w:r w:rsidR="002D2583" w:rsidRPr="005C5BFA">
        <w:noBreakHyphen/>
      </w:r>
      <w:r w:rsidR="0044211A" w:rsidRPr="005C5BFA">
        <w:t>demographic</w:t>
      </w:r>
      <w:r w:rsidR="006D69A2" w:rsidRPr="005C5BFA">
        <w:t xml:space="preserve"> </w:t>
      </w:r>
      <w:r w:rsidR="002575CC" w:rsidRPr="005C5BFA">
        <w:t>use.</w:t>
      </w:r>
      <w:r w:rsidR="003D6362" w:rsidRPr="005C5BFA">
        <w:t xml:space="preserve"> </w:t>
      </w:r>
    </w:p>
    <w:p w14:paraId="343B7BA0" w14:textId="05C3192D" w:rsidR="00C13238" w:rsidRPr="005C5BFA" w:rsidRDefault="007D2813" w:rsidP="00B84E1E">
      <w:pPr>
        <w:pStyle w:val="Caption"/>
        <w:rPr>
          <w:rFonts w:ascii="Work Sans" w:hAnsi="Work Sans"/>
        </w:rPr>
      </w:pPr>
      <w:bookmarkStart w:id="33" w:name="_Ref153787732"/>
      <w:bookmarkStart w:id="34" w:name="_Ref153787724"/>
      <w:r w:rsidRPr="005C5BFA">
        <w:rPr>
          <w:rFonts w:ascii="Work Sans" w:hAnsi="Work Sans"/>
        </w:rPr>
        <w:lastRenderedPageBreak/>
        <w:t xml:space="preserve">Table </w:t>
      </w:r>
      <w:r w:rsidR="00B84E1E" w:rsidRPr="005C5BFA">
        <w:rPr>
          <w:rFonts w:ascii="Work Sans" w:hAnsi="Work Sans"/>
        </w:rPr>
        <w:fldChar w:fldCharType="begin"/>
      </w:r>
      <w:r w:rsidR="00B84E1E" w:rsidRPr="005C5BFA">
        <w:rPr>
          <w:rFonts w:ascii="Work Sans" w:hAnsi="Work Sans"/>
        </w:rPr>
        <w:instrText xml:space="preserve"> SEQ Table \* ARABIC </w:instrText>
      </w:r>
      <w:r w:rsidR="00B84E1E" w:rsidRPr="005C5BFA">
        <w:rPr>
          <w:rFonts w:ascii="Work Sans" w:hAnsi="Work Sans"/>
        </w:rPr>
        <w:fldChar w:fldCharType="separate"/>
      </w:r>
      <w:r w:rsidR="00581B01">
        <w:rPr>
          <w:rFonts w:ascii="Work Sans" w:hAnsi="Work Sans"/>
          <w:noProof/>
        </w:rPr>
        <w:t>1</w:t>
      </w:r>
      <w:r w:rsidR="00B84E1E" w:rsidRPr="005C5BFA">
        <w:rPr>
          <w:rFonts w:ascii="Work Sans" w:hAnsi="Work Sans"/>
        </w:rPr>
        <w:fldChar w:fldCharType="end"/>
      </w:r>
      <w:bookmarkEnd w:id="33"/>
      <w:r w:rsidRPr="005C5BFA">
        <w:rPr>
          <w:rFonts w:ascii="Work Sans" w:hAnsi="Work Sans"/>
        </w:rPr>
        <w:tab/>
      </w:r>
      <w:r w:rsidR="002E12F0" w:rsidRPr="005C5BFA">
        <w:rPr>
          <w:rFonts w:ascii="Work Sans" w:hAnsi="Work Sans"/>
        </w:rPr>
        <w:t>High</w:t>
      </w:r>
      <w:r w:rsidR="00585877" w:rsidRPr="005C5BFA">
        <w:rPr>
          <w:rFonts w:ascii="Work Sans" w:hAnsi="Work Sans"/>
        </w:rPr>
        <w:t>er</w:t>
      </w:r>
      <w:r w:rsidR="002E12F0" w:rsidRPr="005C5BFA">
        <w:rPr>
          <w:rFonts w:ascii="Work Sans" w:hAnsi="Work Sans"/>
        </w:rPr>
        <w:t xml:space="preserve"> </w:t>
      </w:r>
      <w:r w:rsidR="00507295" w:rsidRPr="005C5BFA">
        <w:rPr>
          <w:rFonts w:ascii="Work Sans" w:hAnsi="Work Sans"/>
        </w:rPr>
        <w:t>u</w:t>
      </w:r>
      <w:r w:rsidRPr="005C5BFA">
        <w:rPr>
          <w:rFonts w:ascii="Work Sans" w:hAnsi="Work Sans"/>
        </w:rPr>
        <w:t xml:space="preserve">se </w:t>
      </w:r>
      <w:r w:rsidR="006840DA" w:rsidRPr="005C5BFA">
        <w:rPr>
          <w:rFonts w:ascii="Work Sans" w:hAnsi="Work Sans"/>
        </w:rPr>
        <w:t>or</w:t>
      </w:r>
      <w:r w:rsidR="000954C4" w:rsidRPr="005C5BFA">
        <w:rPr>
          <w:rFonts w:ascii="Work Sans" w:hAnsi="Work Sans"/>
        </w:rPr>
        <w:t xml:space="preserve"> targeting </w:t>
      </w:r>
      <w:r w:rsidRPr="005C5BFA">
        <w:rPr>
          <w:rFonts w:ascii="Work Sans" w:hAnsi="Work Sans"/>
        </w:rPr>
        <w:t xml:space="preserve">of community </w:t>
      </w:r>
      <w:r w:rsidR="00FE5CFD" w:rsidRPr="005C5BFA">
        <w:rPr>
          <w:rFonts w:ascii="Work Sans" w:hAnsi="Work Sans"/>
        </w:rPr>
        <w:t xml:space="preserve">and public </w:t>
      </w:r>
      <w:r w:rsidRPr="005C5BFA">
        <w:rPr>
          <w:rFonts w:ascii="Work Sans" w:hAnsi="Work Sans"/>
        </w:rPr>
        <w:t>health services</w:t>
      </w:r>
      <w:bookmarkEnd w:id="34"/>
      <w:r w:rsidR="00397135" w:rsidRPr="005C5BFA">
        <w:rPr>
          <w:rFonts w:ascii="Work Sans" w:hAnsi="Work Sans"/>
        </w:rPr>
        <w:t xml:space="preserve"> by socio</w:t>
      </w:r>
      <w:r w:rsidR="00FF09D3">
        <w:rPr>
          <w:rFonts w:ascii="Work Sans" w:hAnsi="Work Sans"/>
        </w:rPr>
        <w:noBreakHyphen/>
      </w:r>
      <w:r w:rsidR="00397135" w:rsidRPr="005C5BFA">
        <w:rPr>
          <w:rFonts w:ascii="Work Sans" w:hAnsi="Work Sans"/>
        </w:rPr>
        <w:t xml:space="preserve">demographic </w:t>
      </w:r>
      <w:proofErr w:type="gramStart"/>
      <w:r w:rsidR="00397135" w:rsidRPr="005C5BFA">
        <w:rPr>
          <w:rFonts w:ascii="Work Sans" w:hAnsi="Work Sans"/>
        </w:rPr>
        <w:t>group</w:t>
      </w:r>
      <w:proofErr w:type="gramEnd"/>
    </w:p>
    <w:tbl>
      <w:tblPr>
        <w:tblW w:w="8957" w:type="dxa"/>
        <w:tblLook w:val="04A0" w:firstRow="1" w:lastRow="0" w:firstColumn="1" w:lastColumn="0" w:noHBand="0" w:noVBand="1"/>
      </w:tblPr>
      <w:tblGrid>
        <w:gridCol w:w="3220"/>
        <w:gridCol w:w="1316"/>
        <w:gridCol w:w="1560"/>
        <w:gridCol w:w="1134"/>
        <w:gridCol w:w="1727"/>
      </w:tblGrid>
      <w:tr w:rsidR="00C13238" w:rsidRPr="00C13238" w14:paraId="05A4E492" w14:textId="77777777" w:rsidTr="009517A7">
        <w:trPr>
          <w:trHeight w:val="375"/>
        </w:trPr>
        <w:tc>
          <w:tcPr>
            <w:tcW w:w="3220" w:type="dxa"/>
            <w:tcBorders>
              <w:top w:val="nil"/>
              <w:left w:val="nil"/>
              <w:bottom w:val="nil"/>
              <w:right w:val="nil"/>
            </w:tcBorders>
            <w:shd w:val="clear" w:color="000000" w:fill="006991"/>
            <w:noWrap/>
            <w:vAlign w:val="center"/>
            <w:hideMark/>
          </w:tcPr>
          <w:p w14:paraId="690278D9" w14:textId="77777777" w:rsidR="00C13238" w:rsidRPr="00C13238" w:rsidRDefault="00C13238" w:rsidP="009517A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13238">
              <w:rPr>
                <w:rFonts w:ascii="Open Sans Semibold" w:eastAsia="Times New Roman" w:hAnsi="Open Sans Semibold" w:cs="Open Sans Semibold"/>
                <w:color w:val="FFFFFF"/>
                <w:sz w:val="16"/>
                <w:szCs w:val="16"/>
                <w:lang w:eastAsia="en-AU"/>
              </w:rPr>
              <w:t>Group of services</w:t>
            </w:r>
          </w:p>
        </w:tc>
        <w:tc>
          <w:tcPr>
            <w:tcW w:w="5737" w:type="dxa"/>
            <w:gridSpan w:val="4"/>
            <w:tcBorders>
              <w:top w:val="nil"/>
              <w:left w:val="nil"/>
              <w:bottom w:val="nil"/>
              <w:right w:val="nil"/>
            </w:tcBorders>
            <w:shd w:val="clear" w:color="000000" w:fill="006991"/>
            <w:noWrap/>
            <w:vAlign w:val="center"/>
            <w:hideMark/>
          </w:tcPr>
          <w:p w14:paraId="1EE300DD" w14:textId="71AFE0F6" w:rsidR="00C13238" w:rsidRPr="00C13238" w:rsidRDefault="00C13238" w:rsidP="009517A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13238">
              <w:rPr>
                <w:rFonts w:ascii="Open Sans Semibold" w:eastAsia="Times New Roman" w:hAnsi="Open Sans Semibold" w:cs="Open Sans Semibold"/>
                <w:color w:val="FFFFFF"/>
                <w:sz w:val="16"/>
                <w:szCs w:val="16"/>
                <w:lang w:eastAsia="en-AU"/>
              </w:rPr>
              <w:t xml:space="preserve">Usage (or targeting) of services by socio-demographic groups </w:t>
            </w:r>
          </w:p>
        </w:tc>
      </w:tr>
      <w:tr w:rsidR="004A1A5E" w:rsidRPr="00C13238" w14:paraId="2F071AE0" w14:textId="77777777" w:rsidTr="009517A7">
        <w:trPr>
          <w:trHeight w:val="284"/>
        </w:trPr>
        <w:tc>
          <w:tcPr>
            <w:tcW w:w="3220" w:type="dxa"/>
            <w:tcBorders>
              <w:top w:val="nil"/>
              <w:left w:val="nil"/>
              <w:bottom w:val="nil"/>
              <w:right w:val="nil"/>
            </w:tcBorders>
            <w:shd w:val="clear" w:color="000000" w:fill="B6D5E4"/>
            <w:noWrap/>
            <w:vAlign w:val="center"/>
            <w:hideMark/>
          </w:tcPr>
          <w:p w14:paraId="21E1770E" w14:textId="77777777" w:rsidR="00C13238" w:rsidRPr="00C13238" w:rsidRDefault="00C13238" w:rsidP="009517A7">
            <w:pPr>
              <w:keepNext/>
              <w:keepLines/>
              <w:tabs>
                <w:tab w:val="clear" w:pos="567"/>
              </w:tabs>
              <w:spacing w:before="0" w:line="240" w:lineRule="auto"/>
              <w:rPr>
                <w:rFonts w:ascii="Open Sans Semibold" w:eastAsia="Times New Roman" w:hAnsi="Open Sans Semibold" w:cs="Open Sans Semibold"/>
                <w:b/>
                <w:bCs/>
                <w:color w:val="000000"/>
                <w:sz w:val="16"/>
                <w:szCs w:val="16"/>
                <w:lang w:eastAsia="en-AU"/>
              </w:rPr>
            </w:pPr>
            <w:r w:rsidRPr="00C13238">
              <w:rPr>
                <w:rFonts w:ascii="Open Sans Semibold" w:eastAsia="Times New Roman" w:hAnsi="Open Sans Semibold" w:cs="Open Sans Semibold"/>
                <w:b/>
                <w:bCs/>
                <w:color w:val="000000"/>
                <w:sz w:val="16"/>
                <w:szCs w:val="16"/>
                <w:lang w:eastAsia="en-AU"/>
              </w:rPr>
              <w:t> </w:t>
            </w:r>
          </w:p>
        </w:tc>
        <w:tc>
          <w:tcPr>
            <w:tcW w:w="1316" w:type="dxa"/>
            <w:tcBorders>
              <w:top w:val="nil"/>
              <w:left w:val="nil"/>
              <w:bottom w:val="nil"/>
              <w:right w:val="nil"/>
            </w:tcBorders>
            <w:shd w:val="clear" w:color="000000" w:fill="B6D5E4"/>
            <w:noWrap/>
            <w:vAlign w:val="center"/>
            <w:hideMark/>
          </w:tcPr>
          <w:p w14:paraId="61A10889" w14:textId="77777777" w:rsidR="00C13238" w:rsidRPr="00C13238" w:rsidRDefault="00C13238" w:rsidP="009517A7">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Age</w:t>
            </w:r>
          </w:p>
        </w:tc>
        <w:tc>
          <w:tcPr>
            <w:tcW w:w="1560" w:type="dxa"/>
            <w:tcBorders>
              <w:top w:val="nil"/>
              <w:left w:val="nil"/>
              <w:bottom w:val="nil"/>
              <w:right w:val="nil"/>
            </w:tcBorders>
            <w:shd w:val="clear" w:color="000000" w:fill="B6D5E4"/>
            <w:noWrap/>
            <w:vAlign w:val="center"/>
            <w:hideMark/>
          </w:tcPr>
          <w:p w14:paraId="79D14F4D" w14:textId="77777777" w:rsidR="00C13238" w:rsidRPr="00C13238" w:rsidRDefault="00C13238" w:rsidP="009517A7">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Remoteness</w:t>
            </w:r>
          </w:p>
        </w:tc>
        <w:tc>
          <w:tcPr>
            <w:tcW w:w="1134" w:type="dxa"/>
            <w:tcBorders>
              <w:top w:val="nil"/>
              <w:left w:val="nil"/>
              <w:bottom w:val="nil"/>
              <w:right w:val="nil"/>
            </w:tcBorders>
            <w:shd w:val="clear" w:color="000000" w:fill="B6D5E4"/>
            <w:noWrap/>
            <w:vAlign w:val="center"/>
            <w:hideMark/>
          </w:tcPr>
          <w:p w14:paraId="6DDC2D83" w14:textId="77777777" w:rsidR="00C13238" w:rsidRPr="00C13238" w:rsidRDefault="00C13238" w:rsidP="009517A7">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SES</w:t>
            </w:r>
          </w:p>
        </w:tc>
        <w:tc>
          <w:tcPr>
            <w:tcW w:w="1727" w:type="dxa"/>
            <w:tcBorders>
              <w:top w:val="nil"/>
              <w:left w:val="nil"/>
              <w:bottom w:val="nil"/>
              <w:right w:val="nil"/>
            </w:tcBorders>
            <w:shd w:val="clear" w:color="000000" w:fill="B6D5E4"/>
            <w:noWrap/>
            <w:vAlign w:val="center"/>
            <w:hideMark/>
          </w:tcPr>
          <w:p w14:paraId="32CAF433" w14:textId="51DE7A12" w:rsidR="00C13238" w:rsidRPr="00C13238" w:rsidRDefault="00C13238" w:rsidP="009517A7">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Indigen</w:t>
            </w:r>
            <w:r w:rsidR="007A0F0C">
              <w:rPr>
                <w:rFonts w:ascii="Open Sans Semibold" w:eastAsia="Times New Roman" w:hAnsi="Open Sans Semibold" w:cs="Open Sans Semibold"/>
                <w:color w:val="000000"/>
                <w:sz w:val="16"/>
                <w:szCs w:val="16"/>
                <w:lang w:eastAsia="en-AU"/>
              </w:rPr>
              <w:t>ous status</w:t>
            </w:r>
          </w:p>
        </w:tc>
      </w:tr>
      <w:tr w:rsidR="004A1A5E" w:rsidRPr="00C13238" w14:paraId="3E2CB3FB" w14:textId="77777777" w:rsidTr="00076D8D">
        <w:trPr>
          <w:trHeight w:val="259"/>
        </w:trPr>
        <w:tc>
          <w:tcPr>
            <w:tcW w:w="3220" w:type="dxa"/>
            <w:tcBorders>
              <w:top w:val="nil"/>
              <w:left w:val="nil"/>
              <w:bottom w:val="single" w:sz="4" w:space="0" w:color="ADD6EA"/>
              <w:right w:val="nil"/>
            </w:tcBorders>
            <w:shd w:val="clear" w:color="000000" w:fill="D6E7F0"/>
            <w:vAlign w:val="center"/>
            <w:hideMark/>
          </w:tcPr>
          <w:p w14:paraId="3E9ECEC1" w14:textId="77777777" w:rsidR="00C13238" w:rsidRPr="00C13238" w:rsidRDefault="00C13238" w:rsidP="00076D8D">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Community health services</w:t>
            </w:r>
          </w:p>
        </w:tc>
        <w:tc>
          <w:tcPr>
            <w:tcW w:w="1316" w:type="dxa"/>
            <w:tcBorders>
              <w:top w:val="nil"/>
              <w:left w:val="nil"/>
              <w:bottom w:val="single" w:sz="4" w:space="0" w:color="ADD6EA"/>
              <w:right w:val="nil"/>
            </w:tcBorders>
            <w:shd w:val="clear" w:color="000000" w:fill="D6E7F0"/>
            <w:noWrap/>
            <w:hideMark/>
          </w:tcPr>
          <w:p w14:paraId="6D6E919C" w14:textId="77777777" w:rsidR="00C13238" w:rsidRPr="00C13238" w:rsidRDefault="00C13238" w:rsidP="00A912DF">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 </w:t>
            </w:r>
          </w:p>
        </w:tc>
        <w:tc>
          <w:tcPr>
            <w:tcW w:w="1560" w:type="dxa"/>
            <w:tcBorders>
              <w:top w:val="nil"/>
              <w:left w:val="nil"/>
              <w:bottom w:val="single" w:sz="4" w:space="0" w:color="ADD6EA"/>
              <w:right w:val="nil"/>
            </w:tcBorders>
            <w:shd w:val="clear" w:color="000000" w:fill="D6E7F0"/>
            <w:noWrap/>
            <w:hideMark/>
          </w:tcPr>
          <w:p w14:paraId="45D50329" w14:textId="77777777" w:rsidR="00C13238" w:rsidRPr="00C13238" w:rsidRDefault="00C13238" w:rsidP="00A912DF">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 </w:t>
            </w:r>
          </w:p>
        </w:tc>
        <w:tc>
          <w:tcPr>
            <w:tcW w:w="1134" w:type="dxa"/>
            <w:tcBorders>
              <w:top w:val="nil"/>
              <w:left w:val="nil"/>
              <w:bottom w:val="single" w:sz="4" w:space="0" w:color="ADD6EA"/>
              <w:right w:val="nil"/>
            </w:tcBorders>
            <w:shd w:val="clear" w:color="000000" w:fill="D6E7F0"/>
            <w:noWrap/>
            <w:hideMark/>
          </w:tcPr>
          <w:p w14:paraId="17E70E8B" w14:textId="77777777" w:rsidR="00C13238" w:rsidRPr="00C13238" w:rsidRDefault="00C13238" w:rsidP="00A912DF">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 </w:t>
            </w:r>
          </w:p>
        </w:tc>
        <w:tc>
          <w:tcPr>
            <w:tcW w:w="1727" w:type="dxa"/>
            <w:tcBorders>
              <w:top w:val="nil"/>
              <w:left w:val="nil"/>
              <w:bottom w:val="single" w:sz="4" w:space="0" w:color="ADD6EA"/>
              <w:right w:val="nil"/>
            </w:tcBorders>
            <w:shd w:val="clear" w:color="000000" w:fill="D6E7F0"/>
            <w:noWrap/>
            <w:hideMark/>
          </w:tcPr>
          <w:p w14:paraId="1625AB63" w14:textId="77777777" w:rsidR="00C13238" w:rsidRPr="00C13238" w:rsidRDefault="00C13238" w:rsidP="00A912DF">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 </w:t>
            </w:r>
          </w:p>
        </w:tc>
      </w:tr>
      <w:tr w:rsidR="004A1A5E" w:rsidRPr="00C13238" w14:paraId="203BE312" w14:textId="77777777" w:rsidTr="00A912DF">
        <w:trPr>
          <w:trHeight w:val="315"/>
        </w:trPr>
        <w:tc>
          <w:tcPr>
            <w:tcW w:w="3220" w:type="dxa"/>
            <w:tcBorders>
              <w:top w:val="nil"/>
              <w:left w:val="nil"/>
              <w:bottom w:val="single" w:sz="4" w:space="0" w:color="ADD6EA"/>
              <w:right w:val="nil"/>
            </w:tcBorders>
            <w:shd w:val="clear" w:color="auto" w:fill="auto"/>
            <w:noWrap/>
            <w:hideMark/>
          </w:tcPr>
          <w:p w14:paraId="540174CE"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 xml:space="preserve">Public dental services </w:t>
            </w:r>
          </w:p>
        </w:tc>
        <w:tc>
          <w:tcPr>
            <w:tcW w:w="1316" w:type="dxa"/>
            <w:tcBorders>
              <w:top w:val="nil"/>
              <w:left w:val="nil"/>
              <w:bottom w:val="single" w:sz="4" w:space="0" w:color="ADD6EA"/>
              <w:right w:val="nil"/>
            </w:tcBorders>
            <w:shd w:val="clear" w:color="auto" w:fill="auto"/>
            <w:noWrap/>
            <w:hideMark/>
          </w:tcPr>
          <w:p w14:paraId="56EAEDC2"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Younger</w:t>
            </w:r>
          </w:p>
        </w:tc>
        <w:tc>
          <w:tcPr>
            <w:tcW w:w="1560" w:type="dxa"/>
            <w:tcBorders>
              <w:top w:val="nil"/>
              <w:left w:val="nil"/>
              <w:bottom w:val="single" w:sz="4" w:space="0" w:color="ADD6EA"/>
              <w:right w:val="nil"/>
            </w:tcBorders>
            <w:shd w:val="clear" w:color="auto" w:fill="auto"/>
            <w:noWrap/>
            <w:hideMark/>
          </w:tcPr>
          <w:p w14:paraId="0DB00D09"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Urban</w:t>
            </w:r>
          </w:p>
        </w:tc>
        <w:tc>
          <w:tcPr>
            <w:tcW w:w="1134" w:type="dxa"/>
            <w:tcBorders>
              <w:top w:val="nil"/>
              <w:left w:val="nil"/>
              <w:bottom w:val="single" w:sz="4" w:space="0" w:color="ADD6EA"/>
              <w:right w:val="nil"/>
            </w:tcBorders>
            <w:shd w:val="clear" w:color="auto" w:fill="auto"/>
            <w:noWrap/>
            <w:hideMark/>
          </w:tcPr>
          <w:p w14:paraId="35F0D8C7"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Lower SES</w:t>
            </w:r>
          </w:p>
        </w:tc>
        <w:tc>
          <w:tcPr>
            <w:tcW w:w="1727" w:type="dxa"/>
            <w:tcBorders>
              <w:top w:val="nil"/>
              <w:left w:val="nil"/>
              <w:bottom w:val="single" w:sz="4" w:space="0" w:color="ADD6EA"/>
              <w:right w:val="nil"/>
            </w:tcBorders>
            <w:shd w:val="clear" w:color="auto" w:fill="auto"/>
            <w:noWrap/>
            <w:hideMark/>
          </w:tcPr>
          <w:p w14:paraId="73B92135" w14:textId="40956AFC" w:rsidR="00C13238" w:rsidRPr="00C13238" w:rsidRDefault="00C80F80" w:rsidP="00A912D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First Nations</w:t>
            </w:r>
            <w:r w:rsidR="00C13238" w:rsidRPr="00C13238">
              <w:rPr>
                <w:rFonts w:eastAsia="Times New Roman" w:cs="Open Sans Light"/>
                <w:color w:val="000000"/>
                <w:sz w:val="16"/>
                <w:szCs w:val="16"/>
                <w:lang w:eastAsia="en-AU"/>
              </w:rPr>
              <w:t xml:space="preserve"> </w:t>
            </w:r>
          </w:p>
        </w:tc>
      </w:tr>
      <w:tr w:rsidR="004A1A5E" w:rsidRPr="00C13238" w14:paraId="56498D19" w14:textId="77777777" w:rsidTr="00A912DF">
        <w:trPr>
          <w:trHeight w:val="315"/>
        </w:trPr>
        <w:tc>
          <w:tcPr>
            <w:tcW w:w="3220" w:type="dxa"/>
            <w:tcBorders>
              <w:top w:val="nil"/>
              <w:left w:val="nil"/>
              <w:bottom w:val="single" w:sz="4" w:space="0" w:color="ADD6EA"/>
              <w:right w:val="nil"/>
            </w:tcBorders>
            <w:shd w:val="clear" w:color="auto" w:fill="auto"/>
            <w:noWrap/>
            <w:hideMark/>
          </w:tcPr>
          <w:p w14:paraId="3482E3E9"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Alcohol and other drug services</w:t>
            </w:r>
          </w:p>
        </w:tc>
        <w:tc>
          <w:tcPr>
            <w:tcW w:w="1316" w:type="dxa"/>
            <w:tcBorders>
              <w:top w:val="nil"/>
              <w:left w:val="nil"/>
              <w:bottom w:val="single" w:sz="4" w:space="0" w:color="ADD6EA"/>
              <w:right w:val="nil"/>
            </w:tcBorders>
            <w:shd w:val="clear" w:color="auto" w:fill="auto"/>
            <w:noWrap/>
            <w:hideMark/>
          </w:tcPr>
          <w:p w14:paraId="1C6E283B"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 xml:space="preserve">Younger </w:t>
            </w:r>
          </w:p>
        </w:tc>
        <w:tc>
          <w:tcPr>
            <w:tcW w:w="1560" w:type="dxa"/>
            <w:tcBorders>
              <w:top w:val="nil"/>
              <w:left w:val="nil"/>
              <w:bottom w:val="single" w:sz="4" w:space="0" w:color="ADD6EA"/>
              <w:right w:val="nil"/>
            </w:tcBorders>
            <w:shd w:val="clear" w:color="auto" w:fill="auto"/>
            <w:noWrap/>
            <w:hideMark/>
          </w:tcPr>
          <w:p w14:paraId="490A16F5"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Remote</w:t>
            </w:r>
          </w:p>
        </w:tc>
        <w:tc>
          <w:tcPr>
            <w:tcW w:w="1134" w:type="dxa"/>
            <w:tcBorders>
              <w:top w:val="nil"/>
              <w:left w:val="nil"/>
              <w:bottom w:val="single" w:sz="4" w:space="0" w:color="ADD6EA"/>
              <w:right w:val="nil"/>
            </w:tcBorders>
            <w:shd w:val="clear" w:color="auto" w:fill="auto"/>
            <w:noWrap/>
            <w:hideMark/>
          </w:tcPr>
          <w:p w14:paraId="231F7F56"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w:t>
            </w:r>
          </w:p>
        </w:tc>
        <w:tc>
          <w:tcPr>
            <w:tcW w:w="1727" w:type="dxa"/>
            <w:tcBorders>
              <w:top w:val="nil"/>
              <w:left w:val="nil"/>
              <w:bottom w:val="single" w:sz="4" w:space="0" w:color="ADD6EA"/>
              <w:right w:val="nil"/>
            </w:tcBorders>
            <w:shd w:val="clear" w:color="auto" w:fill="auto"/>
            <w:noWrap/>
            <w:hideMark/>
          </w:tcPr>
          <w:p w14:paraId="0A64C0EA" w14:textId="6EE71F5E" w:rsidR="00C13238" w:rsidRPr="00C13238" w:rsidRDefault="00C80F80" w:rsidP="00A912D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First Nations</w:t>
            </w:r>
          </w:p>
        </w:tc>
      </w:tr>
      <w:tr w:rsidR="004A1A5E" w:rsidRPr="00C13238" w14:paraId="4369C9DC" w14:textId="77777777" w:rsidTr="00A912DF">
        <w:trPr>
          <w:trHeight w:val="315"/>
        </w:trPr>
        <w:tc>
          <w:tcPr>
            <w:tcW w:w="3220" w:type="dxa"/>
            <w:tcBorders>
              <w:top w:val="nil"/>
              <w:left w:val="nil"/>
              <w:bottom w:val="single" w:sz="4" w:space="0" w:color="ADD6EA"/>
              <w:right w:val="nil"/>
            </w:tcBorders>
            <w:shd w:val="clear" w:color="auto" w:fill="auto"/>
            <w:noWrap/>
            <w:hideMark/>
          </w:tcPr>
          <w:p w14:paraId="5EB6EBD8"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Public podiatry</w:t>
            </w:r>
          </w:p>
        </w:tc>
        <w:tc>
          <w:tcPr>
            <w:tcW w:w="1316" w:type="dxa"/>
            <w:tcBorders>
              <w:top w:val="nil"/>
              <w:left w:val="nil"/>
              <w:bottom w:val="single" w:sz="4" w:space="0" w:color="ADD6EA"/>
              <w:right w:val="nil"/>
            </w:tcBorders>
            <w:shd w:val="clear" w:color="auto" w:fill="auto"/>
            <w:noWrap/>
            <w:hideMark/>
          </w:tcPr>
          <w:p w14:paraId="2A82AFA9"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Older</w:t>
            </w:r>
          </w:p>
        </w:tc>
        <w:tc>
          <w:tcPr>
            <w:tcW w:w="1560" w:type="dxa"/>
            <w:tcBorders>
              <w:top w:val="nil"/>
              <w:left w:val="nil"/>
              <w:bottom w:val="single" w:sz="4" w:space="0" w:color="ADD6EA"/>
              <w:right w:val="nil"/>
            </w:tcBorders>
            <w:shd w:val="clear" w:color="auto" w:fill="auto"/>
            <w:noWrap/>
            <w:hideMark/>
          </w:tcPr>
          <w:p w14:paraId="7299B956"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Urban</w:t>
            </w:r>
          </w:p>
        </w:tc>
        <w:tc>
          <w:tcPr>
            <w:tcW w:w="1134" w:type="dxa"/>
            <w:tcBorders>
              <w:top w:val="nil"/>
              <w:left w:val="nil"/>
              <w:bottom w:val="single" w:sz="4" w:space="0" w:color="ADD6EA"/>
              <w:right w:val="nil"/>
            </w:tcBorders>
            <w:shd w:val="clear" w:color="auto" w:fill="auto"/>
            <w:noWrap/>
            <w:hideMark/>
          </w:tcPr>
          <w:p w14:paraId="0E681B5F"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Lower SES</w:t>
            </w:r>
          </w:p>
        </w:tc>
        <w:tc>
          <w:tcPr>
            <w:tcW w:w="1727" w:type="dxa"/>
            <w:tcBorders>
              <w:top w:val="nil"/>
              <w:left w:val="nil"/>
              <w:bottom w:val="single" w:sz="4" w:space="0" w:color="ADD6EA"/>
              <w:right w:val="nil"/>
            </w:tcBorders>
            <w:shd w:val="clear" w:color="auto" w:fill="auto"/>
            <w:noWrap/>
            <w:hideMark/>
          </w:tcPr>
          <w:p w14:paraId="4AEEBA31"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w:t>
            </w:r>
          </w:p>
        </w:tc>
      </w:tr>
      <w:tr w:rsidR="004A1A5E" w:rsidRPr="00C13238" w14:paraId="6C0AB014" w14:textId="77777777" w:rsidTr="00A912DF">
        <w:trPr>
          <w:trHeight w:val="315"/>
        </w:trPr>
        <w:tc>
          <w:tcPr>
            <w:tcW w:w="3220" w:type="dxa"/>
            <w:tcBorders>
              <w:top w:val="nil"/>
              <w:left w:val="nil"/>
              <w:bottom w:val="nil"/>
              <w:right w:val="nil"/>
            </w:tcBorders>
            <w:shd w:val="clear" w:color="auto" w:fill="auto"/>
            <w:noWrap/>
            <w:hideMark/>
          </w:tcPr>
          <w:p w14:paraId="4C71D184"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Child and maternal health clinics</w:t>
            </w:r>
          </w:p>
        </w:tc>
        <w:tc>
          <w:tcPr>
            <w:tcW w:w="1316" w:type="dxa"/>
            <w:tcBorders>
              <w:top w:val="nil"/>
              <w:left w:val="nil"/>
              <w:bottom w:val="nil"/>
              <w:right w:val="nil"/>
            </w:tcBorders>
            <w:shd w:val="clear" w:color="auto" w:fill="auto"/>
            <w:noWrap/>
            <w:hideMark/>
          </w:tcPr>
          <w:p w14:paraId="457F9191"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Younger</w:t>
            </w:r>
          </w:p>
        </w:tc>
        <w:tc>
          <w:tcPr>
            <w:tcW w:w="1560" w:type="dxa"/>
            <w:tcBorders>
              <w:top w:val="nil"/>
              <w:left w:val="nil"/>
              <w:bottom w:val="nil"/>
              <w:right w:val="nil"/>
            </w:tcBorders>
            <w:shd w:val="clear" w:color="auto" w:fill="auto"/>
            <w:noWrap/>
            <w:hideMark/>
          </w:tcPr>
          <w:p w14:paraId="4A002EA2"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Urban</w:t>
            </w:r>
          </w:p>
        </w:tc>
        <w:tc>
          <w:tcPr>
            <w:tcW w:w="1134" w:type="dxa"/>
            <w:tcBorders>
              <w:top w:val="nil"/>
              <w:left w:val="nil"/>
              <w:bottom w:val="nil"/>
              <w:right w:val="nil"/>
            </w:tcBorders>
            <w:shd w:val="clear" w:color="auto" w:fill="auto"/>
            <w:noWrap/>
            <w:hideMark/>
          </w:tcPr>
          <w:p w14:paraId="0409D738"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Lower SES</w:t>
            </w:r>
          </w:p>
        </w:tc>
        <w:tc>
          <w:tcPr>
            <w:tcW w:w="1727" w:type="dxa"/>
            <w:tcBorders>
              <w:top w:val="nil"/>
              <w:left w:val="nil"/>
              <w:bottom w:val="nil"/>
              <w:right w:val="nil"/>
            </w:tcBorders>
            <w:shd w:val="clear" w:color="auto" w:fill="auto"/>
            <w:noWrap/>
            <w:hideMark/>
          </w:tcPr>
          <w:p w14:paraId="08923512" w14:textId="0C5BA114"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Non-</w:t>
            </w:r>
            <w:r w:rsidR="00581B01">
              <w:rPr>
                <w:rFonts w:eastAsia="Times New Roman" w:cs="Open Sans Light"/>
                <w:color w:val="000000"/>
                <w:sz w:val="16"/>
                <w:szCs w:val="16"/>
                <w:lang w:eastAsia="en-AU"/>
              </w:rPr>
              <w:t>I</w:t>
            </w:r>
            <w:r w:rsidRPr="00C13238">
              <w:rPr>
                <w:rFonts w:eastAsia="Times New Roman" w:cs="Open Sans Light"/>
                <w:color w:val="000000"/>
                <w:sz w:val="16"/>
                <w:szCs w:val="16"/>
                <w:lang w:eastAsia="en-AU"/>
              </w:rPr>
              <w:t>ndigenous</w:t>
            </w:r>
          </w:p>
        </w:tc>
      </w:tr>
      <w:tr w:rsidR="004A1A5E" w:rsidRPr="00C13238" w14:paraId="0C6091FA" w14:textId="77777777" w:rsidTr="00076D8D">
        <w:trPr>
          <w:trHeight w:val="259"/>
        </w:trPr>
        <w:tc>
          <w:tcPr>
            <w:tcW w:w="3220" w:type="dxa"/>
            <w:tcBorders>
              <w:top w:val="single" w:sz="4" w:space="0" w:color="ADD6EA"/>
              <w:left w:val="nil"/>
              <w:bottom w:val="single" w:sz="4" w:space="0" w:color="ADD6EA"/>
              <w:right w:val="nil"/>
            </w:tcBorders>
            <w:shd w:val="clear" w:color="000000" w:fill="D6E7F0"/>
            <w:vAlign w:val="center"/>
            <w:hideMark/>
          </w:tcPr>
          <w:p w14:paraId="7111E679" w14:textId="77777777" w:rsidR="00C13238" w:rsidRPr="00C13238" w:rsidRDefault="00C13238" w:rsidP="00076D8D">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Public health services</w:t>
            </w:r>
          </w:p>
        </w:tc>
        <w:tc>
          <w:tcPr>
            <w:tcW w:w="1316" w:type="dxa"/>
            <w:tcBorders>
              <w:top w:val="single" w:sz="4" w:space="0" w:color="ADD6EA"/>
              <w:left w:val="nil"/>
              <w:bottom w:val="single" w:sz="4" w:space="0" w:color="ADD6EA"/>
              <w:right w:val="nil"/>
            </w:tcBorders>
            <w:shd w:val="clear" w:color="000000" w:fill="D6E7F0"/>
            <w:noWrap/>
            <w:vAlign w:val="bottom"/>
            <w:hideMark/>
          </w:tcPr>
          <w:p w14:paraId="56C3AFDC" w14:textId="77777777" w:rsidR="00C13238" w:rsidRPr="00C13238" w:rsidRDefault="00C13238" w:rsidP="001D2744">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 </w:t>
            </w:r>
          </w:p>
        </w:tc>
        <w:tc>
          <w:tcPr>
            <w:tcW w:w="1560" w:type="dxa"/>
            <w:tcBorders>
              <w:top w:val="single" w:sz="4" w:space="0" w:color="ADD6EA"/>
              <w:left w:val="nil"/>
              <w:bottom w:val="single" w:sz="4" w:space="0" w:color="ADD6EA"/>
              <w:right w:val="nil"/>
            </w:tcBorders>
            <w:shd w:val="clear" w:color="000000" w:fill="D6E7F0"/>
            <w:noWrap/>
            <w:vAlign w:val="bottom"/>
            <w:hideMark/>
          </w:tcPr>
          <w:p w14:paraId="2C3E6729" w14:textId="77777777" w:rsidR="00C13238" w:rsidRPr="00C13238" w:rsidRDefault="00C13238" w:rsidP="001D2744">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 </w:t>
            </w:r>
          </w:p>
        </w:tc>
        <w:tc>
          <w:tcPr>
            <w:tcW w:w="1134" w:type="dxa"/>
            <w:tcBorders>
              <w:top w:val="single" w:sz="4" w:space="0" w:color="ADD6EA"/>
              <w:left w:val="nil"/>
              <w:bottom w:val="single" w:sz="4" w:space="0" w:color="ADD6EA"/>
              <w:right w:val="nil"/>
            </w:tcBorders>
            <w:shd w:val="clear" w:color="000000" w:fill="D6E7F0"/>
            <w:noWrap/>
            <w:vAlign w:val="bottom"/>
            <w:hideMark/>
          </w:tcPr>
          <w:p w14:paraId="71085A5F" w14:textId="77777777" w:rsidR="00C13238" w:rsidRPr="00C13238" w:rsidRDefault="00C13238" w:rsidP="001D2744">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 </w:t>
            </w:r>
          </w:p>
        </w:tc>
        <w:tc>
          <w:tcPr>
            <w:tcW w:w="1727" w:type="dxa"/>
            <w:tcBorders>
              <w:top w:val="single" w:sz="4" w:space="0" w:color="ADD6EA"/>
              <w:left w:val="nil"/>
              <w:bottom w:val="single" w:sz="4" w:space="0" w:color="ADD6EA"/>
              <w:right w:val="nil"/>
            </w:tcBorders>
            <w:shd w:val="clear" w:color="000000" w:fill="D6E7F0"/>
            <w:noWrap/>
            <w:vAlign w:val="bottom"/>
            <w:hideMark/>
          </w:tcPr>
          <w:p w14:paraId="687FDD7A" w14:textId="77777777" w:rsidR="00C13238" w:rsidRPr="00C13238" w:rsidRDefault="00C13238" w:rsidP="001D2744">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13238">
              <w:rPr>
                <w:rFonts w:ascii="Open Sans Semibold" w:eastAsia="Times New Roman" w:hAnsi="Open Sans Semibold" w:cs="Open Sans Semibold"/>
                <w:color w:val="000000"/>
                <w:sz w:val="16"/>
                <w:szCs w:val="16"/>
                <w:lang w:eastAsia="en-AU"/>
              </w:rPr>
              <w:t> </w:t>
            </w:r>
          </w:p>
        </w:tc>
      </w:tr>
      <w:tr w:rsidR="004A1A5E" w:rsidRPr="00C13238" w14:paraId="1FE4EF77" w14:textId="77777777" w:rsidTr="00A912DF">
        <w:trPr>
          <w:trHeight w:val="330"/>
        </w:trPr>
        <w:tc>
          <w:tcPr>
            <w:tcW w:w="3220" w:type="dxa"/>
            <w:tcBorders>
              <w:top w:val="nil"/>
              <w:left w:val="nil"/>
              <w:bottom w:val="single" w:sz="4" w:space="0" w:color="ADD6EA"/>
              <w:right w:val="nil"/>
            </w:tcBorders>
            <w:shd w:val="clear" w:color="auto" w:fill="auto"/>
            <w:noWrap/>
            <w:hideMark/>
          </w:tcPr>
          <w:p w14:paraId="6FCCD293"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Cancer screening</w:t>
            </w:r>
          </w:p>
        </w:tc>
        <w:tc>
          <w:tcPr>
            <w:tcW w:w="1316" w:type="dxa"/>
            <w:tcBorders>
              <w:top w:val="nil"/>
              <w:left w:val="nil"/>
              <w:bottom w:val="single" w:sz="4" w:space="0" w:color="ADD6EA"/>
              <w:right w:val="nil"/>
            </w:tcBorders>
            <w:shd w:val="clear" w:color="auto" w:fill="auto"/>
            <w:hideMark/>
          </w:tcPr>
          <w:p w14:paraId="1FB7386E"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20+</w:t>
            </w:r>
          </w:p>
        </w:tc>
        <w:tc>
          <w:tcPr>
            <w:tcW w:w="1560" w:type="dxa"/>
            <w:tcBorders>
              <w:top w:val="nil"/>
              <w:left w:val="nil"/>
              <w:bottom w:val="single" w:sz="4" w:space="0" w:color="ADD6EA"/>
              <w:right w:val="nil"/>
            </w:tcBorders>
            <w:shd w:val="clear" w:color="auto" w:fill="auto"/>
            <w:hideMark/>
          </w:tcPr>
          <w:p w14:paraId="52FCA482"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Urban/regional</w:t>
            </w:r>
          </w:p>
        </w:tc>
        <w:tc>
          <w:tcPr>
            <w:tcW w:w="1134" w:type="dxa"/>
            <w:tcBorders>
              <w:top w:val="nil"/>
              <w:left w:val="nil"/>
              <w:bottom w:val="single" w:sz="4" w:space="0" w:color="ADD6EA"/>
              <w:right w:val="nil"/>
            </w:tcBorders>
            <w:shd w:val="clear" w:color="auto" w:fill="auto"/>
            <w:hideMark/>
          </w:tcPr>
          <w:p w14:paraId="413FF32E"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 xml:space="preserve">Higher SES </w:t>
            </w:r>
          </w:p>
        </w:tc>
        <w:tc>
          <w:tcPr>
            <w:tcW w:w="1727" w:type="dxa"/>
            <w:tcBorders>
              <w:top w:val="nil"/>
              <w:left w:val="nil"/>
              <w:bottom w:val="single" w:sz="4" w:space="0" w:color="ADD6EA"/>
              <w:right w:val="nil"/>
            </w:tcBorders>
            <w:shd w:val="clear" w:color="auto" w:fill="auto"/>
            <w:hideMark/>
          </w:tcPr>
          <w:p w14:paraId="4D611163"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Non-Indigenous</w:t>
            </w:r>
          </w:p>
        </w:tc>
      </w:tr>
      <w:tr w:rsidR="004A1A5E" w:rsidRPr="00C13238" w14:paraId="52C8DED3" w14:textId="77777777" w:rsidTr="00A912DF">
        <w:trPr>
          <w:trHeight w:val="330"/>
        </w:trPr>
        <w:tc>
          <w:tcPr>
            <w:tcW w:w="3220" w:type="dxa"/>
            <w:tcBorders>
              <w:top w:val="nil"/>
              <w:left w:val="nil"/>
              <w:bottom w:val="single" w:sz="4" w:space="0" w:color="ADD6EA"/>
              <w:right w:val="nil"/>
            </w:tcBorders>
            <w:shd w:val="clear" w:color="auto" w:fill="auto"/>
            <w:hideMark/>
          </w:tcPr>
          <w:p w14:paraId="2CC35C4F"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Organised immunisation (targeting)</w:t>
            </w:r>
          </w:p>
        </w:tc>
        <w:tc>
          <w:tcPr>
            <w:tcW w:w="1316" w:type="dxa"/>
            <w:tcBorders>
              <w:top w:val="nil"/>
              <w:left w:val="nil"/>
              <w:bottom w:val="single" w:sz="4" w:space="0" w:color="ADD6EA"/>
              <w:right w:val="nil"/>
            </w:tcBorders>
            <w:shd w:val="clear" w:color="auto" w:fill="auto"/>
            <w:hideMark/>
          </w:tcPr>
          <w:p w14:paraId="5DB8FF64"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Younger</w:t>
            </w:r>
          </w:p>
        </w:tc>
        <w:tc>
          <w:tcPr>
            <w:tcW w:w="1560" w:type="dxa"/>
            <w:tcBorders>
              <w:top w:val="nil"/>
              <w:left w:val="nil"/>
              <w:bottom w:val="single" w:sz="4" w:space="0" w:color="ADD6EA"/>
              <w:right w:val="nil"/>
            </w:tcBorders>
            <w:shd w:val="clear" w:color="auto" w:fill="auto"/>
            <w:hideMark/>
          </w:tcPr>
          <w:p w14:paraId="1D2A7E1D"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w:t>
            </w:r>
          </w:p>
        </w:tc>
        <w:tc>
          <w:tcPr>
            <w:tcW w:w="1134" w:type="dxa"/>
            <w:tcBorders>
              <w:top w:val="nil"/>
              <w:left w:val="nil"/>
              <w:bottom w:val="single" w:sz="4" w:space="0" w:color="ADD6EA"/>
              <w:right w:val="nil"/>
            </w:tcBorders>
            <w:shd w:val="clear" w:color="auto" w:fill="auto"/>
            <w:hideMark/>
          </w:tcPr>
          <w:p w14:paraId="0234EFC3"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w:t>
            </w:r>
          </w:p>
        </w:tc>
        <w:tc>
          <w:tcPr>
            <w:tcW w:w="1727" w:type="dxa"/>
            <w:tcBorders>
              <w:top w:val="nil"/>
              <w:left w:val="nil"/>
              <w:bottom w:val="single" w:sz="4" w:space="0" w:color="ADD6EA"/>
              <w:right w:val="nil"/>
            </w:tcBorders>
            <w:shd w:val="clear" w:color="auto" w:fill="auto"/>
            <w:hideMark/>
          </w:tcPr>
          <w:p w14:paraId="43DEBB6B" w14:textId="48DBC106" w:rsidR="00C13238" w:rsidRPr="00C13238" w:rsidRDefault="00C80F80" w:rsidP="00A912DF">
            <w:pPr>
              <w:keepNext/>
              <w:keepLines/>
              <w:tabs>
                <w:tab w:val="clear" w:pos="567"/>
              </w:tabs>
              <w:spacing w:before="0" w:line="240" w:lineRule="auto"/>
              <w:rPr>
                <w:rFonts w:eastAsia="Times New Roman" w:cs="Open Sans Light"/>
                <w:color w:val="000000"/>
                <w:sz w:val="16"/>
                <w:szCs w:val="16"/>
                <w:lang w:eastAsia="en-AU"/>
              </w:rPr>
            </w:pPr>
            <w:r w:rsidRPr="00C80F80">
              <w:rPr>
                <w:rFonts w:eastAsia="Times New Roman" w:cs="Open Sans Light"/>
                <w:color w:val="000000"/>
                <w:sz w:val="16"/>
                <w:szCs w:val="16"/>
                <w:lang w:eastAsia="en-AU"/>
              </w:rPr>
              <w:t>First Nations</w:t>
            </w:r>
          </w:p>
        </w:tc>
      </w:tr>
      <w:tr w:rsidR="004A1A5E" w:rsidRPr="00C13238" w14:paraId="63F1C2D3" w14:textId="77777777" w:rsidTr="00A912DF">
        <w:trPr>
          <w:trHeight w:val="330"/>
        </w:trPr>
        <w:tc>
          <w:tcPr>
            <w:tcW w:w="3220" w:type="dxa"/>
            <w:tcBorders>
              <w:top w:val="nil"/>
              <w:left w:val="nil"/>
              <w:bottom w:val="single" w:sz="4" w:space="0" w:color="ADD6EA"/>
              <w:right w:val="nil"/>
            </w:tcBorders>
            <w:shd w:val="clear" w:color="auto" w:fill="auto"/>
            <w:hideMark/>
          </w:tcPr>
          <w:p w14:paraId="7F192528"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Selected health promotion (targeting)</w:t>
            </w:r>
          </w:p>
        </w:tc>
        <w:tc>
          <w:tcPr>
            <w:tcW w:w="1316" w:type="dxa"/>
            <w:tcBorders>
              <w:top w:val="nil"/>
              <w:left w:val="nil"/>
              <w:bottom w:val="single" w:sz="4" w:space="0" w:color="ADD6EA"/>
              <w:right w:val="nil"/>
            </w:tcBorders>
            <w:shd w:val="clear" w:color="auto" w:fill="auto"/>
            <w:hideMark/>
          </w:tcPr>
          <w:p w14:paraId="02B36DF0"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w:t>
            </w:r>
          </w:p>
        </w:tc>
        <w:tc>
          <w:tcPr>
            <w:tcW w:w="1560" w:type="dxa"/>
            <w:tcBorders>
              <w:top w:val="nil"/>
              <w:left w:val="nil"/>
              <w:bottom w:val="single" w:sz="4" w:space="0" w:color="ADD6EA"/>
              <w:right w:val="nil"/>
            </w:tcBorders>
            <w:shd w:val="clear" w:color="auto" w:fill="auto"/>
            <w:hideMark/>
          </w:tcPr>
          <w:p w14:paraId="388D5426"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Regional /remote</w:t>
            </w:r>
          </w:p>
        </w:tc>
        <w:tc>
          <w:tcPr>
            <w:tcW w:w="1134" w:type="dxa"/>
            <w:tcBorders>
              <w:top w:val="nil"/>
              <w:left w:val="nil"/>
              <w:bottom w:val="single" w:sz="4" w:space="0" w:color="ADD6EA"/>
              <w:right w:val="nil"/>
            </w:tcBorders>
            <w:shd w:val="clear" w:color="auto" w:fill="auto"/>
            <w:hideMark/>
          </w:tcPr>
          <w:p w14:paraId="20E205FC" w14:textId="197ADE8B" w:rsidR="00C13238" w:rsidRPr="00C13238" w:rsidRDefault="006F427C" w:rsidP="00A912D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L</w:t>
            </w:r>
            <w:r w:rsidR="00C13238" w:rsidRPr="00C13238">
              <w:rPr>
                <w:rFonts w:eastAsia="Times New Roman" w:cs="Open Sans Light"/>
                <w:color w:val="000000"/>
                <w:sz w:val="16"/>
                <w:szCs w:val="16"/>
                <w:lang w:eastAsia="en-AU"/>
              </w:rPr>
              <w:t>ower SES</w:t>
            </w:r>
          </w:p>
        </w:tc>
        <w:tc>
          <w:tcPr>
            <w:tcW w:w="1727" w:type="dxa"/>
            <w:tcBorders>
              <w:top w:val="nil"/>
              <w:left w:val="nil"/>
              <w:bottom w:val="single" w:sz="4" w:space="0" w:color="ADD6EA"/>
              <w:right w:val="nil"/>
            </w:tcBorders>
            <w:shd w:val="clear" w:color="auto" w:fill="auto"/>
            <w:hideMark/>
          </w:tcPr>
          <w:p w14:paraId="1A0C464D" w14:textId="7623AC92" w:rsidR="00C13238" w:rsidRPr="00C13238" w:rsidRDefault="00C80F80" w:rsidP="00A912DF">
            <w:pPr>
              <w:keepNext/>
              <w:keepLines/>
              <w:tabs>
                <w:tab w:val="clear" w:pos="567"/>
              </w:tabs>
              <w:spacing w:before="0" w:line="240" w:lineRule="auto"/>
              <w:rPr>
                <w:rFonts w:eastAsia="Times New Roman" w:cs="Open Sans Light"/>
                <w:color w:val="000000"/>
                <w:sz w:val="16"/>
                <w:szCs w:val="16"/>
                <w:lang w:eastAsia="en-AU"/>
              </w:rPr>
            </w:pPr>
            <w:r w:rsidRPr="00C80F80">
              <w:rPr>
                <w:rFonts w:eastAsia="Times New Roman" w:cs="Open Sans Light"/>
                <w:color w:val="000000"/>
                <w:sz w:val="16"/>
                <w:szCs w:val="16"/>
                <w:lang w:eastAsia="en-AU"/>
              </w:rPr>
              <w:t>First Nations</w:t>
            </w:r>
          </w:p>
        </w:tc>
      </w:tr>
      <w:tr w:rsidR="004A1A5E" w:rsidRPr="00C13238" w14:paraId="01C366D2" w14:textId="77777777" w:rsidTr="00A912DF">
        <w:trPr>
          <w:trHeight w:val="330"/>
        </w:trPr>
        <w:tc>
          <w:tcPr>
            <w:tcW w:w="3220" w:type="dxa"/>
            <w:tcBorders>
              <w:top w:val="nil"/>
              <w:left w:val="nil"/>
              <w:bottom w:val="single" w:sz="4" w:space="0" w:color="ADD6EA"/>
              <w:right w:val="nil"/>
            </w:tcBorders>
            <w:shd w:val="clear" w:color="auto" w:fill="auto"/>
            <w:hideMark/>
          </w:tcPr>
          <w:p w14:paraId="4CCC0419"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Communicable disease control (targeting)</w:t>
            </w:r>
          </w:p>
        </w:tc>
        <w:tc>
          <w:tcPr>
            <w:tcW w:w="1316" w:type="dxa"/>
            <w:tcBorders>
              <w:top w:val="nil"/>
              <w:left w:val="nil"/>
              <w:bottom w:val="single" w:sz="4" w:space="0" w:color="ADD6EA"/>
              <w:right w:val="nil"/>
            </w:tcBorders>
            <w:shd w:val="clear" w:color="auto" w:fill="auto"/>
            <w:hideMark/>
          </w:tcPr>
          <w:p w14:paraId="49C61F0E"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Older</w:t>
            </w:r>
          </w:p>
        </w:tc>
        <w:tc>
          <w:tcPr>
            <w:tcW w:w="1560" w:type="dxa"/>
            <w:tcBorders>
              <w:top w:val="nil"/>
              <w:left w:val="nil"/>
              <w:bottom w:val="single" w:sz="4" w:space="0" w:color="ADD6EA"/>
              <w:right w:val="nil"/>
            </w:tcBorders>
            <w:shd w:val="clear" w:color="auto" w:fill="auto"/>
            <w:hideMark/>
          </w:tcPr>
          <w:p w14:paraId="50A22C1C"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w:t>
            </w:r>
          </w:p>
        </w:tc>
        <w:tc>
          <w:tcPr>
            <w:tcW w:w="1134" w:type="dxa"/>
            <w:tcBorders>
              <w:top w:val="nil"/>
              <w:left w:val="nil"/>
              <w:bottom w:val="single" w:sz="4" w:space="0" w:color="ADD6EA"/>
              <w:right w:val="nil"/>
            </w:tcBorders>
            <w:shd w:val="clear" w:color="auto" w:fill="auto"/>
            <w:hideMark/>
          </w:tcPr>
          <w:p w14:paraId="788307B5" w14:textId="4E2C6890" w:rsidR="00C13238" w:rsidRPr="00C13238" w:rsidRDefault="006F427C" w:rsidP="00A912D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L</w:t>
            </w:r>
            <w:r w:rsidR="00C13238" w:rsidRPr="00C13238">
              <w:rPr>
                <w:rFonts w:eastAsia="Times New Roman" w:cs="Open Sans Light"/>
                <w:color w:val="000000"/>
                <w:sz w:val="16"/>
                <w:szCs w:val="16"/>
                <w:lang w:eastAsia="en-AU"/>
              </w:rPr>
              <w:t>ower SES</w:t>
            </w:r>
          </w:p>
        </w:tc>
        <w:tc>
          <w:tcPr>
            <w:tcW w:w="1727" w:type="dxa"/>
            <w:tcBorders>
              <w:top w:val="nil"/>
              <w:left w:val="nil"/>
              <w:bottom w:val="single" w:sz="4" w:space="0" w:color="ADD6EA"/>
              <w:right w:val="nil"/>
            </w:tcBorders>
            <w:shd w:val="clear" w:color="auto" w:fill="auto"/>
            <w:hideMark/>
          </w:tcPr>
          <w:p w14:paraId="55CBAD47" w14:textId="790B2C4E" w:rsidR="00C13238" w:rsidRPr="00C13238" w:rsidRDefault="00C80F80" w:rsidP="00A912DF">
            <w:pPr>
              <w:keepNext/>
              <w:keepLines/>
              <w:tabs>
                <w:tab w:val="clear" w:pos="567"/>
              </w:tabs>
              <w:spacing w:before="0" w:line="240" w:lineRule="auto"/>
              <w:rPr>
                <w:rFonts w:eastAsia="Times New Roman" w:cs="Open Sans Light"/>
                <w:color w:val="000000"/>
                <w:sz w:val="16"/>
                <w:szCs w:val="16"/>
                <w:lang w:eastAsia="en-AU"/>
              </w:rPr>
            </w:pPr>
            <w:r w:rsidRPr="00C80F80">
              <w:rPr>
                <w:rFonts w:eastAsia="Times New Roman" w:cs="Open Sans Light"/>
                <w:color w:val="000000"/>
                <w:sz w:val="16"/>
                <w:szCs w:val="16"/>
                <w:lang w:eastAsia="en-AU"/>
              </w:rPr>
              <w:t>First Nations</w:t>
            </w:r>
          </w:p>
        </w:tc>
      </w:tr>
      <w:tr w:rsidR="004A1A5E" w:rsidRPr="00C13238" w14:paraId="767A6DAD" w14:textId="77777777" w:rsidTr="00A912DF">
        <w:trPr>
          <w:trHeight w:val="330"/>
        </w:trPr>
        <w:tc>
          <w:tcPr>
            <w:tcW w:w="3220" w:type="dxa"/>
            <w:tcBorders>
              <w:top w:val="nil"/>
              <w:left w:val="nil"/>
              <w:bottom w:val="single" w:sz="4" w:space="0" w:color="ADD6EA"/>
              <w:right w:val="nil"/>
            </w:tcBorders>
            <w:shd w:val="clear" w:color="auto" w:fill="auto"/>
            <w:hideMark/>
          </w:tcPr>
          <w:p w14:paraId="404C3A97"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Environmental health (targeting)</w:t>
            </w:r>
          </w:p>
        </w:tc>
        <w:tc>
          <w:tcPr>
            <w:tcW w:w="1316" w:type="dxa"/>
            <w:tcBorders>
              <w:top w:val="nil"/>
              <w:left w:val="nil"/>
              <w:bottom w:val="single" w:sz="4" w:space="0" w:color="ADD6EA"/>
              <w:right w:val="nil"/>
            </w:tcBorders>
            <w:shd w:val="clear" w:color="auto" w:fill="auto"/>
            <w:hideMark/>
          </w:tcPr>
          <w:p w14:paraId="47708474"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w:t>
            </w:r>
          </w:p>
        </w:tc>
        <w:tc>
          <w:tcPr>
            <w:tcW w:w="1560" w:type="dxa"/>
            <w:tcBorders>
              <w:top w:val="nil"/>
              <w:left w:val="nil"/>
              <w:bottom w:val="single" w:sz="4" w:space="0" w:color="ADD6EA"/>
              <w:right w:val="nil"/>
            </w:tcBorders>
            <w:shd w:val="clear" w:color="auto" w:fill="auto"/>
            <w:hideMark/>
          </w:tcPr>
          <w:p w14:paraId="42963F91"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w:t>
            </w:r>
          </w:p>
        </w:tc>
        <w:tc>
          <w:tcPr>
            <w:tcW w:w="1134" w:type="dxa"/>
            <w:tcBorders>
              <w:top w:val="nil"/>
              <w:left w:val="nil"/>
              <w:bottom w:val="single" w:sz="4" w:space="0" w:color="ADD6EA"/>
              <w:right w:val="nil"/>
            </w:tcBorders>
            <w:shd w:val="clear" w:color="auto" w:fill="auto"/>
            <w:hideMark/>
          </w:tcPr>
          <w:p w14:paraId="191166F5" w14:textId="77777777" w:rsidR="00C13238" w:rsidRPr="00C13238" w:rsidRDefault="00C13238" w:rsidP="00A912DF">
            <w:pPr>
              <w:keepNext/>
              <w:keepLines/>
              <w:tabs>
                <w:tab w:val="clear" w:pos="567"/>
              </w:tabs>
              <w:spacing w:before="0" w:line="240" w:lineRule="auto"/>
              <w:rPr>
                <w:rFonts w:eastAsia="Times New Roman" w:cs="Open Sans Light"/>
                <w:color w:val="000000"/>
                <w:sz w:val="16"/>
                <w:szCs w:val="16"/>
                <w:lang w:eastAsia="en-AU"/>
              </w:rPr>
            </w:pPr>
            <w:r w:rsidRPr="00C13238">
              <w:rPr>
                <w:rFonts w:eastAsia="Times New Roman" w:cs="Open Sans Light"/>
                <w:color w:val="000000"/>
                <w:sz w:val="16"/>
                <w:szCs w:val="16"/>
                <w:lang w:eastAsia="en-AU"/>
              </w:rPr>
              <w:t>-</w:t>
            </w:r>
          </w:p>
        </w:tc>
        <w:tc>
          <w:tcPr>
            <w:tcW w:w="1727" w:type="dxa"/>
            <w:tcBorders>
              <w:top w:val="nil"/>
              <w:left w:val="nil"/>
              <w:bottom w:val="single" w:sz="4" w:space="0" w:color="ADD6EA"/>
              <w:right w:val="nil"/>
            </w:tcBorders>
            <w:shd w:val="clear" w:color="auto" w:fill="auto"/>
            <w:hideMark/>
          </w:tcPr>
          <w:p w14:paraId="4BA79135" w14:textId="26B847D5" w:rsidR="00C13238" w:rsidRPr="00C13238" w:rsidRDefault="00C80F80" w:rsidP="00A912DF">
            <w:pPr>
              <w:keepNext/>
              <w:keepLines/>
              <w:tabs>
                <w:tab w:val="clear" w:pos="567"/>
              </w:tabs>
              <w:spacing w:before="0" w:line="240" w:lineRule="auto"/>
              <w:rPr>
                <w:rFonts w:eastAsia="Times New Roman" w:cs="Open Sans Light"/>
                <w:color w:val="000000"/>
                <w:sz w:val="16"/>
                <w:szCs w:val="16"/>
                <w:lang w:eastAsia="en-AU"/>
              </w:rPr>
            </w:pPr>
            <w:r w:rsidRPr="00C80F80">
              <w:rPr>
                <w:rFonts w:eastAsia="Times New Roman" w:cs="Open Sans Light"/>
                <w:color w:val="000000"/>
                <w:sz w:val="16"/>
                <w:szCs w:val="16"/>
                <w:lang w:eastAsia="en-AU"/>
              </w:rPr>
              <w:t>First Nations</w:t>
            </w:r>
          </w:p>
        </w:tc>
      </w:tr>
    </w:tbl>
    <w:p w14:paraId="6DAA7E50" w14:textId="7D3D9827" w:rsidR="00FA1E45" w:rsidRPr="001370BA" w:rsidRDefault="001F1E34" w:rsidP="0091495B">
      <w:pPr>
        <w:pStyle w:val="CGC2025TableNote"/>
        <w:tabs>
          <w:tab w:val="clear" w:pos="680"/>
        </w:tabs>
        <w:ind w:left="567" w:hanging="454"/>
      </w:pPr>
      <w:r w:rsidRPr="001370BA">
        <w:t>Note:</w:t>
      </w:r>
      <w:r w:rsidR="00E37ED7">
        <w:tab/>
      </w:r>
      <w:r w:rsidR="006B0ED5" w:rsidRPr="00E37ED7">
        <w:t>S</w:t>
      </w:r>
      <w:r w:rsidR="00814D35" w:rsidRPr="00E37ED7">
        <w:t>elected</w:t>
      </w:r>
      <w:r w:rsidR="00814D35" w:rsidRPr="001370BA">
        <w:t xml:space="preserve"> health promotion, </w:t>
      </w:r>
      <w:r w:rsidR="00AA7968" w:rsidRPr="001370BA">
        <w:t>c</w:t>
      </w:r>
      <w:r w:rsidR="00814D35" w:rsidRPr="001370BA">
        <w:t xml:space="preserve">ommunicable disease control and environmental health use indirect measurements of the usage of services. </w:t>
      </w:r>
      <w:r w:rsidR="00F1205F" w:rsidRPr="001370BA">
        <w:t>Blank rows indicate either that there was</w:t>
      </w:r>
      <w:r w:rsidR="00AA7968" w:rsidRPr="001370BA">
        <w:t xml:space="preserve"> no bias </w:t>
      </w:r>
      <w:r w:rsidR="005D0DA1" w:rsidRPr="001370BA">
        <w:t>for</w:t>
      </w:r>
      <w:r w:rsidR="00AA7968" w:rsidRPr="001370BA">
        <w:t xml:space="preserve"> any population group</w:t>
      </w:r>
      <w:r w:rsidR="00F1205F" w:rsidRPr="001370BA">
        <w:t xml:space="preserve"> </w:t>
      </w:r>
      <w:r w:rsidR="00AA7968" w:rsidRPr="001370BA">
        <w:t xml:space="preserve">or that there was </w:t>
      </w:r>
      <w:r w:rsidR="00F1205F" w:rsidRPr="001370BA">
        <w:t xml:space="preserve">conflicting information on the usage of </w:t>
      </w:r>
      <w:r w:rsidR="00AA7968" w:rsidRPr="001370BA">
        <w:t xml:space="preserve">the </w:t>
      </w:r>
      <w:r w:rsidR="00F1205F" w:rsidRPr="001370BA">
        <w:t>service</w:t>
      </w:r>
      <w:r w:rsidR="00AA7968" w:rsidRPr="001370BA">
        <w:t>.</w:t>
      </w:r>
    </w:p>
    <w:p w14:paraId="78E0E6AA" w14:textId="4CB4B235" w:rsidR="000D5DBB" w:rsidRPr="001370BA" w:rsidRDefault="00E16E56" w:rsidP="00424596">
      <w:pPr>
        <w:pStyle w:val="CGC2025ParaNumbers"/>
      </w:pPr>
      <w:r w:rsidRPr="001370BA">
        <w:t>The alternative</w:t>
      </w:r>
      <w:r w:rsidR="00862C60" w:rsidRPr="001370BA">
        <w:t xml:space="preserve"> proxy indicators </w:t>
      </w:r>
      <w:r w:rsidR="00D134FB" w:rsidRPr="001370BA">
        <w:t>being</w:t>
      </w:r>
      <w:r w:rsidR="00862C60" w:rsidRPr="001370BA">
        <w:t xml:space="preserve"> consider</w:t>
      </w:r>
      <w:r w:rsidR="001153D2" w:rsidRPr="001370BA">
        <w:t>ed</w:t>
      </w:r>
      <w:r w:rsidR="00862C60" w:rsidRPr="001370BA">
        <w:t xml:space="preserve"> </w:t>
      </w:r>
      <w:r w:rsidR="00D134FB" w:rsidRPr="001370BA">
        <w:t xml:space="preserve">are </w:t>
      </w:r>
      <w:r w:rsidR="00882929" w:rsidRPr="001370BA">
        <w:t xml:space="preserve">emergency department </w:t>
      </w:r>
      <w:r w:rsidR="005A337A" w:rsidRPr="001370BA">
        <w:t xml:space="preserve">triage category 4 and 5 national weighted activity units </w:t>
      </w:r>
      <w:r w:rsidR="003F6C9B" w:rsidRPr="001370BA">
        <w:t xml:space="preserve">(the </w:t>
      </w:r>
      <w:r w:rsidR="0047656C" w:rsidRPr="001370BA">
        <w:t>existing proxy)</w:t>
      </w:r>
      <w:r w:rsidR="00BC2670" w:rsidRPr="001370BA">
        <w:t xml:space="preserve"> </w:t>
      </w:r>
      <w:r w:rsidR="005A337A" w:rsidRPr="001370BA">
        <w:t xml:space="preserve">or </w:t>
      </w:r>
      <w:r w:rsidR="00884E45" w:rsidRPr="001370BA">
        <w:t>a combin</w:t>
      </w:r>
      <w:r w:rsidR="006D6E44" w:rsidRPr="001370BA">
        <w:t>ed emergency department/non</w:t>
      </w:r>
      <w:r w:rsidR="006D6E44" w:rsidRPr="001370BA">
        <w:noBreakHyphen/>
        <w:t>admitted patient</w:t>
      </w:r>
      <w:r w:rsidR="001F4867" w:rsidRPr="001370BA">
        <w:t xml:space="preserve"> measure.</w:t>
      </w:r>
    </w:p>
    <w:p w14:paraId="4BC0DEA3" w14:textId="38EA9CDA" w:rsidR="00762060" w:rsidRPr="001370BA" w:rsidRDefault="00762060" w:rsidP="005418A0">
      <w:pPr>
        <w:pStyle w:val="CGC2025ParaNumbers"/>
      </w:pPr>
      <w:r w:rsidRPr="001370BA">
        <w:t xml:space="preserve">The socio-demographic use rates for the current indicator and </w:t>
      </w:r>
      <w:r w:rsidR="000A362B" w:rsidRPr="001370BA">
        <w:t>pr</w:t>
      </w:r>
      <w:r w:rsidR="00C72A0A" w:rsidRPr="001370BA">
        <w:t xml:space="preserve">oposed additional </w:t>
      </w:r>
      <w:r w:rsidR="0069012B" w:rsidRPr="001370BA">
        <w:t>measure</w:t>
      </w:r>
      <w:r w:rsidR="00C72A0A" w:rsidRPr="001370BA">
        <w:t xml:space="preserve"> </w:t>
      </w:r>
      <w:r w:rsidR="00152A4E" w:rsidRPr="001370BA">
        <w:t xml:space="preserve">based on </w:t>
      </w:r>
      <w:r w:rsidRPr="001370BA">
        <w:t xml:space="preserve">selected non-admitted patient services are shown in </w:t>
      </w:r>
      <w:r w:rsidR="00E1033B">
        <w:t>Figure 4</w:t>
      </w:r>
      <w:r w:rsidRPr="001370BA">
        <w:t>. The patterns of usage are broadly similar</w:t>
      </w:r>
      <w:r w:rsidR="0032603F" w:rsidRPr="001370BA">
        <w:t xml:space="preserve">. Compared with </w:t>
      </w:r>
      <w:r w:rsidR="00600975" w:rsidRPr="001370BA">
        <w:t>selected</w:t>
      </w:r>
      <w:r w:rsidR="0032603F" w:rsidRPr="001370BA">
        <w:t xml:space="preserve"> non</w:t>
      </w:r>
      <w:r w:rsidR="0032603F" w:rsidRPr="001370BA">
        <w:noBreakHyphen/>
        <w:t>admitted patient</w:t>
      </w:r>
      <w:r w:rsidR="00A74029" w:rsidRPr="001370BA">
        <w:t xml:space="preserve"> services</w:t>
      </w:r>
      <w:r w:rsidRPr="001370BA">
        <w:t>, usage of emergency department triage category 4 and 5 services increas</w:t>
      </w:r>
      <w:r w:rsidR="00872F41" w:rsidRPr="001370BA">
        <w:t>e</w:t>
      </w:r>
      <w:r w:rsidR="00B56E99">
        <w:t>s</w:t>
      </w:r>
      <w:r w:rsidRPr="001370BA">
        <w:t xml:space="preserve"> more with remoteness</w:t>
      </w:r>
      <w:r w:rsidR="00873116">
        <w:t>,</w:t>
      </w:r>
      <w:r w:rsidRPr="001370BA">
        <w:t xml:space="preserve"> </w:t>
      </w:r>
      <w:r w:rsidR="00B56E99">
        <w:t>is</w:t>
      </w:r>
      <w:r w:rsidR="00B56E99" w:rsidRPr="001370BA">
        <w:t xml:space="preserve"> </w:t>
      </w:r>
      <w:r w:rsidRPr="001370BA">
        <w:t>higher among low socio-economic status First Nations people</w:t>
      </w:r>
      <w:r w:rsidR="00873116">
        <w:t>,</w:t>
      </w:r>
      <w:r w:rsidRPr="001370BA">
        <w:t xml:space="preserve"> and </w:t>
      </w:r>
      <w:r w:rsidR="00B56E99">
        <w:t xml:space="preserve">is </w:t>
      </w:r>
      <w:r w:rsidRPr="001370BA">
        <w:t xml:space="preserve">higher </w:t>
      </w:r>
      <w:r w:rsidR="001464E9" w:rsidRPr="001370BA">
        <w:t xml:space="preserve">for </w:t>
      </w:r>
      <w:r w:rsidRPr="001370BA">
        <w:t>the youngest age group.</w:t>
      </w:r>
    </w:p>
    <w:p w14:paraId="4129F43F" w14:textId="5707D2F0" w:rsidR="00762060" w:rsidRPr="001370BA" w:rsidRDefault="00762060" w:rsidP="00D13BA9">
      <w:pPr>
        <w:pStyle w:val="CGC2025Caption"/>
        <w:keepNext/>
        <w:tabs>
          <w:tab w:val="left" w:pos="1134"/>
        </w:tabs>
      </w:pPr>
      <w:bookmarkStart w:id="35" w:name="_Ref159577843"/>
      <w:bookmarkStart w:id="36" w:name="_Ref168494277"/>
      <w:r w:rsidRPr="001370BA">
        <w:lastRenderedPageBreak/>
        <w:t xml:space="preserve">Figure </w:t>
      </w:r>
      <w:r>
        <w:fldChar w:fldCharType="begin"/>
      </w:r>
      <w:r>
        <w:instrText>SEQ Figure \* ARABIC</w:instrText>
      </w:r>
      <w:r>
        <w:fldChar w:fldCharType="separate"/>
      </w:r>
      <w:r w:rsidR="00581B01">
        <w:rPr>
          <w:noProof/>
        </w:rPr>
        <w:t>4</w:t>
      </w:r>
      <w:r>
        <w:fldChar w:fldCharType="end"/>
      </w:r>
      <w:bookmarkEnd w:id="35"/>
      <w:r w:rsidRPr="001370BA">
        <w:tab/>
        <w:t>Socio-demographic use rates for alternative proxy indicators, 2021</w:t>
      </w:r>
      <w:r w:rsidR="002441E4">
        <w:t>–</w:t>
      </w:r>
      <w:r w:rsidRPr="001370BA">
        <w:t>22</w:t>
      </w:r>
      <w:bookmarkEnd w:id="36"/>
    </w:p>
    <w:p w14:paraId="0CB1DC72" w14:textId="3DA8C088" w:rsidR="003D7F66" w:rsidRPr="001370BA" w:rsidRDefault="00031F83" w:rsidP="000160A8">
      <w:pPr>
        <w:tabs>
          <w:tab w:val="clear" w:pos="567"/>
        </w:tabs>
        <w:spacing w:before="0" w:line="240" w:lineRule="auto"/>
        <w:rPr>
          <w:rStyle w:val="FootnoteTextChar"/>
        </w:rPr>
      </w:pPr>
      <w:r w:rsidRPr="001370BA">
        <w:rPr>
          <w:noProof/>
        </w:rPr>
        <w:drawing>
          <wp:inline distT="0" distB="0" distL="0" distR="0" wp14:anchorId="5077CAD6" wp14:editId="6A5F455B">
            <wp:extent cx="5731510" cy="3441065"/>
            <wp:effectExtent l="0" t="0" r="2540" b="6985"/>
            <wp:docPr id="1521612129" name="Picture 152161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441065"/>
                    </a:xfrm>
                    <a:prstGeom prst="rect">
                      <a:avLst/>
                    </a:prstGeom>
                    <a:noFill/>
                    <a:ln>
                      <a:noFill/>
                    </a:ln>
                  </pic:spPr>
                </pic:pic>
              </a:graphicData>
            </a:graphic>
          </wp:inline>
        </w:drawing>
      </w:r>
    </w:p>
    <w:p w14:paraId="719CB85E" w14:textId="27AC687B" w:rsidR="00762060" w:rsidRPr="005A625D" w:rsidRDefault="00762060" w:rsidP="003367EA">
      <w:pPr>
        <w:pStyle w:val="CGC2025TableNote"/>
        <w:tabs>
          <w:tab w:val="clear" w:pos="567"/>
          <w:tab w:val="left" w:pos="709"/>
        </w:tabs>
      </w:pPr>
      <w:r w:rsidRPr="005A625D">
        <w:t>Note:</w:t>
      </w:r>
      <w:r w:rsidRPr="005A625D">
        <w:tab/>
        <w:t xml:space="preserve">Selected </w:t>
      </w:r>
      <w:r w:rsidR="00F207E1">
        <w:t>n</w:t>
      </w:r>
      <w:r w:rsidR="00B67BF6">
        <w:t>on-admitted patient</w:t>
      </w:r>
      <w:r w:rsidR="00200972">
        <w:t xml:space="preserve"> services</w:t>
      </w:r>
      <w:r w:rsidR="00B67BF6" w:rsidRPr="005A625D">
        <w:t xml:space="preserve"> </w:t>
      </w:r>
      <w:r w:rsidRPr="005A625D">
        <w:t xml:space="preserve">include </w:t>
      </w:r>
      <w:r w:rsidR="00015C0C" w:rsidRPr="005A625D">
        <w:t xml:space="preserve">Tier 2 </w:t>
      </w:r>
      <w:r w:rsidR="007C37A2">
        <w:t>groups</w:t>
      </w:r>
      <w:r w:rsidR="00015C0C" w:rsidRPr="005A625D">
        <w:t xml:space="preserve"> </w:t>
      </w:r>
      <w:r w:rsidR="005368F2" w:rsidRPr="005A625D">
        <w:t xml:space="preserve">identified as </w:t>
      </w:r>
      <w:proofErr w:type="gramStart"/>
      <w:r w:rsidR="00015C0C" w:rsidRPr="005A625D">
        <w:t>s</w:t>
      </w:r>
      <w:r w:rsidRPr="005A625D">
        <w:t>imilar to</w:t>
      </w:r>
      <w:proofErr w:type="gramEnd"/>
      <w:r w:rsidRPr="005A625D">
        <w:t xml:space="preserve"> community health services.</w:t>
      </w:r>
    </w:p>
    <w:p w14:paraId="2459E058" w14:textId="1BE19514" w:rsidR="00762060" w:rsidRPr="005A625D" w:rsidRDefault="00762060" w:rsidP="003367EA">
      <w:pPr>
        <w:pStyle w:val="CGC2025TableNote"/>
        <w:ind w:left="672" w:hanging="559"/>
      </w:pPr>
      <w:r w:rsidRPr="005A625D">
        <w:t xml:space="preserve">Source: </w:t>
      </w:r>
      <w:r w:rsidR="00B72B25" w:rsidRPr="005A625D">
        <w:t xml:space="preserve">Unpublished </w:t>
      </w:r>
      <w:r w:rsidR="009240E4">
        <w:t>Independent Health and Aged Care Pricing Authority,</w:t>
      </w:r>
      <w:r w:rsidR="009240E4" w:rsidRPr="00E90DF5">
        <w:t xml:space="preserve"> </w:t>
      </w:r>
      <w:r w:rsidR="009240E4">
        <w:t xml:space="preserve">National Weighted Activity </w:t>
      </w:r>
      <w:r w:rsidR="006A5B6A" w:rsidRPr="005A625D">
        <w:t xml:space="preserve">on </w:t>
      </w:r>
      <w:r w:rsidR="00B67BF6">
        <w:t>emergency department</w:t>
      </w:r>
      <w:r w:rsidR="00B67BF6" w:rsidRPr="005A625D">
        <w:t xml:space="preserve"> </w:t>
      </w:r>
      <w:r w:rsidRPr="005A625D">
        <w:t xml:space="preserve">triage category 4 and 5 </w:t>
      </w:r>
      <w:r w:rsidR="006A5B6A" w:rsidRPr="005A625D">
        <w:t>a</w:t>
      </w:r>
      <w:r w:rsidRPr="005A625D">
        <w:t xml:space="preserve">nd </w:t>
      </w:r>
      <w:r w:rsidR="00F207E1">
        <w:t>non-admitted patient</w:t>
      </w:r>
      <w:r w:rsidR="009F4CF5">
        <w:t>s</w:t>
      </w:r>
      <w:r w:rsidRPr="005A625D">
        <w:t>; ABS population data.</w:t>
      </w:r>
    </w:p>
    <w:p w14:paraId="1AC7F707" w14:textId="525D46B1" w:rsidR="00C757B2" w:rsidRPr="005A625D" w:rsidRDefault="00C757B2" w:rsidP="00C757B2">
      <w:pPr>
        <w:pStyle w:val="CGC2025ParaNumbers"/>
      </w:pPr>
      <w:r w:rsidRPr="005A625D">
        <w:t xml:space="preserve">The diversity of community and public health programs and limited </w:t>
      </w:r>
      <w:r w:rsidR="009610EE" w:rsidRPr="005A625D">
        <w:t xml:space="preserve">existing </w:t>
      </w:r>
      <w:r w:rsidRPr="005A625D">
        <w:t>information on the socio-demographic usage of the programs make it difficult to determine whether a hospital</w:t>
      </w:r>
      <w:r w:rsidRPr="005A625D">
        <w:noBreakHyphen/>
        <w:t>based indicator of activity would be a reasonable proxy for community and public health activity (outside of ambulatory community mental health care). However, the only options available to the Commission at this stage are hospital</w:t>
      </w:r>
      <w:r w:rsidRPr="005A625D">
        <w:noBreakHyphen/>
        <w:t>based activity measures.</w:t>
      </w:r>
    </w:p>
    <w:p w14:paraId="067D2A3C" w14:textId="0043A472" w:rsidR="005B5D87" w:rsidRDefault="64F22AB0" w:rsidP="00AD3DC0">
      <w:pPr>
        <w:pStyle w:val="CGC2025ParaNumbers"/>
      </w:pPr>
      <w:r w:rsidRPr="005A625D">
        <w:t>For the 2020 Review, data provided by some states indicated that emergency department activity data would provide a reasonable proxy for community and public health activity. At that time</w:t>
      </w:r>
      <w:r w:rsidR="00B9644D">
        <w:t>,</w:t>
      </w:r>
      <w:r w:rsidRPr="005A625D">
        <w:t xml:space="preserve"> the </w:t>
      </w:r>
      <w:r w:rsidR="003B6F97">
        <w:t>N</w:t>
      </w:r>
      <w:r w:rsidRPr="005A625D">
        <w:t xml:space="preserve">ational </w:t>
      </w:r>
      <w:r w:rsidR="003B6F97">
        <w:t>W</w:t>
      </w:r>
      <w:r w:rsidRPr="005A625D">
        <w:t xml:space="preserve">eighted </w:t>
      </w:r>
      <w:r w:rsidR="003B6F97">
        <w:t>A</w:t>
      </w:r>
      <w:r w:rsidRPr="005A625D">
        <w:t xml:space="preserve">ctivity </w:t>
      </w:r>
      <w:r w:rsidR="003B6F97">
        <w:t>U</w:t>
      </w:r>
      <w:r w:rsidRPr="005A625D">
        <w:t>nit data for non</w:t>
      </w:r>
      <w:r w:rsidR="005A625D">
        <w:noBreakHyphen/>
      </w:r>
      <w:r w:rsidRPr="005A625D">
        <w:t xml:space="preserve">admitted patient services were not considered sufficiently reliable to be used in the health assessment. As such </w:t>
      </w:r>
      <w:r w:rsidR="007677DB">
        <w:t>N</w:t>
      </w:r>
      <w:r w:rsidRPr="005A625D">
        <w:t xml:space="preserve">ational </w:t>
      </w:r>
      <w:r w:rsidR="007677DB">
        <w:t>W</w:t>
      </w:r>
      <w:r w:rsidRPr="005A625D">
        <w:t xml:space="preserve">eighted </w:t>
      </w:r>
      <w:r w:rsidR="007677DB">
        <w:t>A</w:t>
      </w:r>
      <w:r w:rsidRPr="005A625D">
        <w:t xml:space="preserve">ctivity </w:t>
      </w:r>
      <w:r w:rsidR="007677DB">
        <w:t>U</w:t>
      </w:r>
      <w:r w:rsidRPr="005A625D">
        <w:t>nit data for non</w:t>
      </w:r>
      <w:r w:rsidR="005A625D">
        <w:noBreakHyphen/>
      </w:r>
      <w:r w:rsidRPr="005A625D">
        <w:t>admitted patient activity were not in scope as a proxy indicator of community and public health activity at the start of the 2020 Review.</w:t>
      </w:r>
      <w:r w:rsidR="00C365B7">
        <w:t xml:space="preserve"> </w:t>
      </w:r>
    </w:p>
    <w:p w14:paraId="2410D935" w14:textId="3E8C0570" w:rsidR="002F318F" w:rsidRPr="005A625D" w:rsidRDefault="002F318F" w:rsidP="00CF29E6">
      <w:pPr>
        <w:pStyle w:val="CGC2025ParaNumbers"/>
      </w:pPr>
      <w:r>
        <w:t xml:space="preserve">In the 2021 Update the Commission </w:t>
      </w:r>
      <w:r w:rsidR="008B62C4">
        <w:t>decided that</w:t>
      </w:r>
      <w:r w:rsidR="00E8004D">
        <w:t xml:space="preserve"> </w:t>
      </w:r>
      <w:r w:rsidR="003B6F97">
        <w:t>N</w:t>
      </w:r>
      <w:r w:rsidR="00CF29E6" w:rsidRPr="00CF29E6">
        <w:t xml:space="preserve">ational </w:t>
      </w:r>
      <w:r w:rsidR="003B6F97">
        <w:t>W</w:t>
      </w:r>
      <w:r w:rsidR="00CF29E6" w:rsidRPr="00CF29E6">
        <w:t xml:space="preserve">eighted </w:t>
      </w:r>
      <w:r w:rsidR="003B6F97">
        <w:t>A</w:t>
      </w:r>
      <w:r w:rsidR="00CF29E6" w:rsidRPr="00CF29E6">
        <w:t xml:space="preserve">ctivity </w:t>
      </w:r>
      <w:r w:rsidR="003B6F97">
        <w:t>U</w:t>
      </w:r>
      <w:r w:rsidR="00CF29E6" w:rsidRPr="00CF29E6">
        <w:t>nit data for non</w:t>
      </w:r>
      <w:r w:rsidR="00CF29E6">
        <w:noBreakHyphen/>
      </w:r>
      <w:r w:rsidR="00CF29E6" w:rsidRPr="00CF29E6">
        <w:t>admitted patient activity</w:t>
      </w:r>
      <w:r w:rsidR="00900478">
        <w:t xml:space="preserve"> w</w:t>
      </w:r>
      <w:r w:rsidR="008B62C4">
        <w:t>ere</w:t>
      </w:r>
      <w:r w:rsidR="00900478">
        <w:t xml:space="preserve"> sufficiently reliable to use in the health assessment</w:t>
      </w:r>
      <w:r w:rsidR="00B025C3">
        <w:t xml:space="preserve">. </w:t>
      </w:r>
      <w:r w:rsidR="00F20519">
        <w:t>Therefore,</w:t>
      </w:r>
      <w:r w:rsidR="003A27CD">
        <w:t xml:space="preserve"> this measure of hospital activity can now be considered </w:t>
      </w:r>
      <w:r w:rsidR="00DF2328">
        <w:t>as a potential proxy for community and public health activity.</w:t>
      </w:r>
    </w:p>
    <w:p w14:paraId="02240DF7" w14:textId="274573F6" w:rsidR="00922A25" w:rsidRPr="00F562AC" w:rsidRDefault="00922A25" w:rsidP="00F562AC">
      <w:pPr>
        <w:pStyle w:val="Heading5"/>
      </w:pPr>
      <w:r w:rsidRPr="00F562AC">
        <w:t>S</w:t>
      </w:r>
      <w:r w:rsidR="00EE043C" w:rsidRPr="00F562AC">
        <w:t xml:space="preserve">ervice </w:t>
      </w:r>
      <w:r w:rsidR="00DB2359" w:rsidRPr="00F562AC">
        <w:t xml:space="preserve">types and </w:t>
      </w:r>
      <w:r w:rsidR="00EB56A0" w:rsidRPr="00F562AC">
        <w:t>accessibility</w:t>
      </w:r>
    </w:p>
    <w:p w14:paraId="30A88192" w14:textId="485BB388" w:rsidR="00BB3180" w:rsidRPr="00DB0F54" w:rsidRDefault="00BB3180" w:rsidP="009B00CD">
      <w:pPr>
        <w:pStyle w:val="CGC2025ParaNumbers"/>
      </w:pPr>
      <w:r w:rsidRPr="00DB0F54">
        <w:t>The merits of broadening the proxy indicator to include all, or a subset of, non</w:t>
      </w:r>
      <w:r w:rsidRPr="00DB0F54">
        <w:noBreakHyphen/>
        <w:t>admitted patient services ha</w:t>
      </w:r>
      <w:r w:rsidR="000279AA" w:rsidRPr="00DB0F54">
        <w:t>v</w:t>
      </w:r>
      <w:r w:rsidR="0069162E" w:rsidRPr="00DB0F54">
        <w:t>e</w:t>
      </w:r>
      <w:r w:rsidRPr="00DB0F54">
        <w:t xml:space="preserve"> been assessed </w:t>
      </w:r>
      <w:proofErr w:type="gramStart"/>
      <w:r w:rsidRPr="00DB0F54">
        <w:t>on the basis of</w:t>
      </w:r>
      <w:proofErr w:type="gramEnd"/>
      <w:r w:rsidRPr="00DB0F54">
        <w:t xml:space="preserve"> similarity of service types and level of access to non</w:t>
      </w:r>
      <w:r w:rsidRPr="00DB0F54">
        <w:noBreakHyphen/>
        <w:t xml:space="preserve">admitted patient services compared </w:t>
      </w:r>
      <w:r w:rsidR="00F34DD0">
        <w:t>with</w:t>
      </w:r>
      <w:r w:rsidRPr="00DB0F54">
        <w:t xml:space="preserve"> </w:t>
      </w:r>
      <w:r w:rsidRPr="00DB0F54">
        <w:lastRenderedPageBreak/>
        <w:t>community and public health services. This is on the assumption that if service types and access levels are similar then socio-demographic usage patterns would be similar.</w:t>
      </w:r>
    </w:p>
    <w:p w14:paraId="27215EEE" w14:textId="42213FA8" w:rsidR="006A078B" w:rsidRPr="00DB0F54" w:rsidRDefault="00C12D4B" w:rsidP="006A078B">
      <w:pPr>
        <w:pStyle w:val="CGC2025ParaNumbers"/>
        <w:shd w:val="clear" w:color="auto" w:fill="FFFFFF" w:themeFill="background1"/>
      </w:pPr>
      <w:r w:rsidRPr="00DB0F54">
        <w:t xml:space="preserve">The </w:t>
      </w:r>
      <w:r w:rsidR="0089328E" w:rsidRPr="00DB0F54">
        <w:t xml:space="preserve">types of non-admitted patient services </w:t>
      </w:r>
      <w:r w:rsidRPr="00DB0F54">
        <w:t xml:space="preserve">identified as </w:t>
      </w:r>
      <w:r w:rsidR="00CC5F5A" w:rsidRPr="00DB0F54">
        <w:t xml:space="preserve">having some </w:t>
      </w:r>
      <w:r w:rsidRPr="00DB0F54">
        <w:t>similar</w:t>
      </w:r>
      <w:r w:rsidR="00CC5F5A" w:rsidRPr="00DB0F54">
        <w:t>ity</w:t>
      </w:r>
      <w:r w:rsidRPr="00DB0F54">
        <w:t xml:space="preserve"> </w:t>
      </w:r>
      <w:r w:rsidR="002E0F44" w:rsidRPr="00DB0F54">
        <w:t xml:space="preserve">to </w:t>
      </w:r>
      <w:r w:rsidR="007504B0" w:rsidRPr="00DB0F54">
        <w:t xml:space="preserve">community health services </w:t>
      </w:r>
      <w:r w:rsidRPr="00DB0F54">
        <w:t xml:space="preserve">are listed in </w:t>
      </w:r>
      <w:r w:rsidR="007946E0">
        <w:t>Table 2</w:t>
      </w:r>
      <w:r w:rsidR="00E02806" w:rsidRPr="00DB0F54">
        <w:t>.</w:t>
      </w:r>
      <w:r w:rsidR="00BA6E34" w:rsidRPr="00DB0F54">
        <w:t xml:space="preserve"> These services include medical consultations (series 20) and allied health services (series 40).</w:t>
      </w:r>
      <w:r w:rsidR="008B569C" w:rsidRPr="00DB0F54">
        <w:t xml:space="preserve"> T</w:t>
      </w:r>
      <w:r w:rsidRPr="00DB0F54">
        <w:t>he full list of non</w:t>
      </w:r>
      <w:r w:rsidR="00C86043" w:rsidRPr="00DB0F54">
        <w:noBreakHyphen/>
      </w:r>
      <w:r w:rsidRPr="00DB0F54">
        <w:t xml:space="preserve">admitted patient </w:t>
      </w:r>
      <w:r w:rsidR="0089328E" w:rsidRPr="00DB0F54">
        <w:t xml:space="preserve">services </w:t>
      </w:r>
      <w:r w:rsidRPr="00DB0F54">
        <w:t xml:space="preserve">is provided in </w:t>
      </w:r>
      <w:r w:rsidR="00CC595C">
        <w:t>Table A-1</w:t>
      </w:r>
      <w:r w:rsidRPr="00DB0F54">
        <w:t>.</w:t>
      </w:r>
      <w:r w:rsidR="002A3794" w:rsidRPr="00DB0F54">
        <w:t xml:space="preserve"> </w:t>
      </w:r>
    </w:p>
    <w:p w14:paraId="515A96CC" w14:textId="26565027" w:rsidR="00CD7DCA" w:rsidRPr="00DB0F54" w:rsidRDefault="00A41510" w:rsidP="00E210C0">
      <w:pPr>
        <w:pStyle w:val="Caption"/>
        <w:rPr>
          <w:rFonts w:ascii="Work Sans" w:hAnsi="Work Sans"/>
        </w:rPr>
      </w:pPr>
      <w:bookmarkStart w:id="37" w:name="_Ref158796140"/>
      <w:r w:rsidRPr="00DB0F54">
        <w:rPr>
          <w:rFonts w:ascii="Work Sans" w:hAnsi="Work Sans"/>
        </w:rPr>
        <w:t xml:space="preserve">Table </w:t>
      </w:r>
      <w:r w:rsidR="009B00CD" w:rsidRPr="00DB0F54">
        <w:rPr>
          <w:rFonts w:ascii="Work Sans" w:hAnsi="Work Sans"/>
        </w:rPr>
        <w:fldChar w:fldCharType="begin"/>
      </w:r>
      <w:r w:rsidR="009B00CD" w:rsidRPr="00DB0F54">
        <w:rPr>
          <w:rFonts w:ascii="Work Sans" w:hAnsi="Work Sans"/>
        </w:rPr>
        <w:instrText xml:space="preserve"> SEQ Table \* ARABIC </w:instrText>
      </w:r>
      <w:r w:rsidR="009B00CD" w:rsidRPr="00DB0F54">
        <w:rPr>
          <w:rFonts w:ascii="Work Sans" w:hAnsi="Work Sans"/>
        </w:rPr>
        <w:fldChar w:fldCharType="separate"/>
      </w:r>
      <w:r w:rsidR="00581B01">
        <w:rPr>
          <w:rFonts w:ascii="Work Sans" w:hAnsi="Work Sans"/>
          <w:noProof/>
        </w:rPr>
        <w:t>2</w:t>
      </w:r>
      <w:r w:rsidR="009B00CD" w:rsidRPr="00DB0F54">
        <w:rPr>
          <w:rFonts w:ascii="Work Sans" w:hAnsi="Work Sans"/>
        </w:rPr>
        <w:fldChar w:fldCharType="end"/>
      </w:r>
      <w:bookmarkEnd w:id="37"/>
      <w:r w:rsidR="003B1B29" w:rsidRPr="00DB0F54">
        <w:rPr>
          <w:rFonts w:ascii="Work Sans" w:hAnsi="Work Sans"/>
        </w:rPr>
        <w:t xml:space="preserve">  </w:t>
      </w:r>
      <w:r w:rsidR="00D13BA9">
        <w:rPr>
          <w:rFonts w:ascii="Work Sans" w:hAnsi="Work Sans"/>
        </w:rPr>
        <w:tab/>
      </w:r>
      <w:proofErr w:type="gramStart"/>
      <w:r w:rsidR="00CD7DCA" w:rsidRPr="00DB0F54">
        <w:rPr>
          <w:rFonts w:ascii="Work Sans" w:hAnsi="Work Sans"/>
        </w:rPr>
        <w:t>Non-admitted</w:t>
      </w:r>
      <w:proofErr w:type="gramEnd"/>
      <w:r w:rsidR="00CD7DCA" w:rsidRPr="00DB0F54">
        <w:rPr>
          <w:rFonts w:ascii="Work Sans" w:hAnsi="Work Sans"/>
        </w:rPr>
        <w:t xml:space="preserve"> patient services similar to community health services</w:t>
      </w:r>
      <w:r w:rsidR="00203F66" w:rsidRPr="00DB0F54">
        <w:rPr>
          <w:rFonts w:ascii="Work Sans" w:hAnsi="Work Sans"/>
        </w:rPr>
        <w:t>, 2021</w:t>
      </w:r>
      <w:r w:rsidR="00873667">
        <w:rPr>
          <w:rFonts w:ascii="Work Sans" w:hAnsi="Work Sans"/>
        </w:rPr>
        <w:t>–</w:t>
      </w:r>
      <w:r w:rsidR="00203F66" w:rsidRPr="00DB0F54">
        <w:rPr>
          <w:rFonts w:ascii="Work Sans" w:hAnsi="Work Sans"/>
        </w:rPr>
        <w:t>22</w:t>
      </w:r>
    </w:p>
    <w:tbl>
      <w:tblPr>
        <w:tblW w:w="8942" w:type="dxa"/>
        <w:tblLook w:val="04A0" w:firstRow="1" w:lastRow="0" w:firstColumn="1" w:lastColumn="0" w:noHBand="0" w:noVBand="1"/>
      </w:tblPr>
      <w:tblGrid>
        <w:gridCol w:w="258"/>
        <w:gridCol w:w="932"/>
        <w:gridCol w:w="3365"/>
        <w:gridCol w:w="3345"/>
        <w:gridCol w:w="1126"/>
      </w:tblGrid>
      <w:tr w:rsidR="00A97CC8" w:rsidRPr="00DE1C01" w14:paraId="0CB7032A" w14:textId="77777777" w:rsidTr="00FF12D6">
        <w:trPr>
          <w:trHeight w:val="570"/>
          <w:tblHeader/>
        </w:trPr>
        <w:tc>
          <w:tcPr>
            <w:tcW w:w="1191" w:type="dxa"/>
            <w:gridSpan w:val="2"/>
            <w:tcBorders>
              <w:top w:val="nil"/>
              <w:left w:val="nil"/>
              <w:bottom w:val="nil"/>
              <w:right w:val="nil"/>
            </w:tcBorders>
            <w:shd w:val="clear" w:color="000000" w:fill="006991"/>
            <w:noWrap/>
            <w:vAlign w:val="center"/>
            <w:hideMark/>
          </w:tcPr>
          <w:p w14:paraId="047C6117" w14:textId="77777777" w:rsidR="00A97CC8" w:rsidRPr="00DE1C01" w:rsidRDefault="00A97CC8" w:rsidP="00A97CC8">
            <w:pPr>
              <w:tabs>
                <w:tab w:val="clear" w:pos="567"/>
              </w:tabs>
              <w:spacing w:before="0" w:line="240" w:lineRule="auto"/>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Tier 2</w:t>
            </w:r>
          </w:p>
        </w:tc>
        <w:tc>
          <w:tcPr>
            <w:tcW w:w="3365" w:type="dxa"/>
            <w:tcBorders>
              <w:top w:val="nil"/>
              <w:left w:val="nil"/>
              <w:bottom w:val="nil"/>
              <w:right w:val="nil"/>
            </w:tcBorders>
            <w:shd w:val="clear" w:color="000000" w:fill="006991"/>
            <w:noWrap/>
            <w:vAlign w:val="center"/>
            <w:hideMark/>
          </w:tcPr>
          <w:p w14:paraId="32A55D70" w14:textId="77777777" w:rsidR="00A97CC8" w:rsidRPr="00DE1C01" w:rsidRDefault="00A97CC8" w:rsidP="00A97CC8">
            <w:pPr>
              <w:tabs>
                <w:tab w:val="clear" w:pos="567"/>
              </w:tabs>
              <w:spacing w:before="0" w:line="240" w:lineRule="auto"/>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Non-admitted patient service</w:t>
            </w:r>
          </w:p>
        </w:tc>
        <w:tc>
          <w:tcPr>
            <w:tcW w:w="3345" w:type="dxa"/>
            <w:tcBorders>
              <w:top w:val="nil"/>
              <w:left w:val="nil"/>
              <w:bottom w:val="nil"/>
              <w:right w:val="nil"/>
            </w:tcBorders>
            <w:shd w:val="clear" w:color="000000" w:fill="006991"/>
            <w:noWrap/>
            <w:vAlign w:val="center"/>
            <w:hideMark/>
          </w:tcPr>
          <w:p w14:paraId="0CFE605E" w14:textId="77777777" w:rsidR="00A97CC8" w:rsidRPr="00DE1C01" w:rsidRDefault="00A97CC8" w:rsidP="00A97CC8">
            <w:pPr>
              <w:tabs>
                <w:tab w:val="clear" w:pos="567"/>
              </w:tabs>
              <w:spacing w:before="0" w:line="240" w:lineRule="auto"/>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Community health service</w:t>
            </w:r>
          </w:p>
        </w:tc>
        <w:tc>
          <w:tcPr>
            <w:tcW w:w="1125" w:type="dxa"/>
            <w:tcBorders>
              <w:top w:val="nil"/>
              <w:left w:val="nil"/>
              <w:bottom w:val="nil"/>
              <w:right w:val="nil"/>
            </w:tcBorders>
            <w:shd w:val="clear" w:color="000000" w:fill="006991"/>
            <w:vAlign w:val="center"/>
            <w:hideMark/>
          </w:tcPr>
          <w:p w14:paraId="15C39EFD" w14:textId="77777777" w:rsidR="00A97CC8" w:rsidRPr="00DE1C01" w:rsidRDefault="00A97CC8" w:rsidP="00A97CC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 weighted separations</w:t>
            </w:r>
          </w:p>
        </w:tc>
      </w:tr>
      <w:tr w:rsidR="00A97CC8" w:rsidRPr="00DE1C01" w14:paraId="2E87A25D" w14:textId="77777777" w:rsidTr="00994758">
        <w:trPr>
          <w:trHeight w:val="318"/>
        </w:trPr>
        <w:tc>
          <w:tcPr>
            <w:tcW w:w="4556" w:type="dxa"/>
            <w:gridSpan w:val="3"/>
            <w:tcBorders>
              <w:top w:val="single" w:sz="4" w:space="0" w:color="ADD6EA"/>
              <w:left w:val="nil"/>
              <w:bottom w:val="single" w:sz="4" w:space="0" w:color="ADD6EA"/>
              <w:right w:val="nil"/>
            </w:tcBorders>
            <w:shd w:val="clear" w:color="000000" w:fill="B6D5E4"/>
            <w:noWrap/>
            <w:vAlign w:val="center"/>
            <w:hideMark/>
          </w:tcPr>
          <w:p w14:paraId="72034F04" w14:textId="77777777" w:rsidR="00A97CC8" w:rsidRPr="00DE1C01" w:rsidRDefault="00A97CC8" w:rsidP="00994758">
            <w:pPr>
              <w:tabs>
                <w:tab w:val="clear" w:pos="567"/>
              </w:tabs>
              <w:spacing w:before="0" w:line="240" w:lineRule="auto"/>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Medical consultations</w:t>
            </w:r>
          </w:p>
        </w:tc>
        <w:tc>
          <w:tcPr>
            <w:tcW w:w="3345" w:type="dxa"/>
            <w:tcBorders>
              <w:top w:val="nil"/>
              <w:left w:val="nil"/>
              <w:bottom w:val="single" w:sz="4" w:space="0" w:color="ADD6EA"/>
              <w:right w:val="nil"/>
            </w:tcBorders>
            <w:shd w:val="clear" w:color="000000" w:fill="B6D5E4"/>
            <w:hideMark/>
          </w:tcPr>
          <w:p w14:paraId="03FB4085" w14:textId="77777777" w:rsidR="00A97CC8" w:rsidRPr="00DE1C01" w:rsidRDefault="00A97CC8" w:rsidP="00A97CC8">
            <w:pPr>
              <w:tabs>
                <w:tab w:val="clear" w:pos="567"/>
              </w:tabs>
              <w:spacing w:before="0" w:line="240" w:lineRule="auto"/>
              <w:rPr>
                <w:rFonts w:ascii="Open Sans" w:eastAsia="Times New Roman" w:hAnsi="Open Sans" w:cs="Open Sans"/>
                <w:color w:val="000000"/>
                <w:sz w:val="18"/>
                <w:szCs w:val="18"/>
                <w:lang w:eastAsia="en-AU"/>
              </w:rPr>
            </w:pPr>
            <w:r w:rsidRPr="00DE1C01">
              <w:rPr>
                <w:rFonts w:ascii="Open Sans" w:eastAsia="Times New Roman" w:hAnsi="Open Sans" w:cs="Open Sans"/>
                <w:color w:val="000000"/>
                <w:sz w:val="18"/>
                <w:szCs w:val="18"/>
                <w:lang w:eastAsia="en-AU"/>
              </w:rPr>
              <w:t> </w:t>
            </w:r>
          </w:p>
        </w:tc>
        <w:tc>
          <w:tcPr>
            <w:tcW w:w="1125" w:type="dxa"/>
            <w:tcBorders>
              <w:top w:val="nil"/>
              <w:left w:val="nil"/>
              <w:bottom w:val="single" w:sz="4" w:space="0" w:color="ADD6EA"/>
              <w:right w:val="nil"/>
            </w:tcBorders>
            <w:shd w:val="clear" w:color="000000" w:fill="B6D5E4"/>
            <w:hideMark/>
          </w:tcPr>
          <w:p w14:paraId="58E6EFBA" w14:textId="77777777" w:rsidR="00A97CC8" w:rsidRPr="00DE1C01" w:rsidRDefault="00A97CC8" w:rsidP="00A97CC8">
            <w:pPr>
              <w:tabs>
                <w:tab w:val="clear" w:pos="567"/>
              </w:tabs>
              <w:spacing w:before="0" w:line="240" w:lineRule="auto"/>
              <w:jc w:val="right"/>
              <w:rPr>
                <w:rFonts w:ascii="Open Sans" w:eastAsia="Times New Roman" w:hAnsi="Open Sans" w:cs="Open Sans"/>
                <w:color w:val="AACEE0"/>
                <w:sz w:val="18"/>
                <w:szCs w:val="18"/>
                <w:lang w:eastAsia="en-AU"/>
              </w:rPr>
            </w:pPr>
            <w:r w:rsidRPr="00DE1C01">
              <w:rPr>
                <w:rFonts w:ascii="Open Sans" w:eastAsia="Times New Roman" w:hAnsi="Open Sans" w:cs="Open Sans"/>
                <w:color w:val="AACEE0"/>
                <w:sz w:val="18"/>
                <w:szCs w:val="18"/>
                <w:lang w:eastAsia="en-AU"/>
              </w:rPr>
              <w:t> </w:t>
            </w:r>
          </w:p>
        </w:tc>
      </w:tr>
      <w:tr w:rsidR="006C1CF0" w:rsidRPr="00121114" w14:paraId="44B865A5" w14:textId="77777777" w:rsidTr="00A912DF">
        <w:trPr>
          <w:trHeight w:val="285"/>
        </w:trPr>
        <w:tc>
          <w:tcPr>
            <w:tcW w:w="259" w:type="dxa"/>
            <w:tcBorders>
              <w:top w:val="nil"/>
              <w:left w:val="nil"/>
              <w:bottom w:val="single" w:sz="4" w:space="0" w:color="ADD6EA"/>
              <w:right w:val="nil"/>
            </w:tcBorders>
            <w:shd w:val="clear" w:color="000000" w:fill="FFFFFF"/>
            <w:hideMark/>
          </w:tcPr>
          <w:p w14:paraId="246CA3ED"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76D98247"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20.13</w:t>
            </w:r>
          </w:p>
        </w:tc>
        <w:tc>
          <w:tcPr>
            <w:tcW w:w="3365" w:type="dxa"/>
            <w:tcBorders>
              <w:top w:val="nil"/>
              <w:left w:val="nil"/>
              <w:bottom w:val="single" w:sz="4" w:space="0" w:color="ADD6EA"/>
              <w:right w:val="nil"/>
            </w:tcBorders>
            <w:shd w:val="clear" w:color="000000" w:fill="FFFFFF"/>
            <w:vAlign w:val="center"/>
            <w:hideMark/>
          </w:tcPr>
          <w:p w14:paraId="1167CD11"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Palliative care</w:t>
            </w:r>
          </w:p>
        </w:tc>
        <w:tc>
          <w:tcPr>
            <w:tcW w:w="3345" w:type="dxa"/>
            <w:tcBorders>
              <w:top w:val="nil"/>
              <w:left w:val="nil"/>
              <w:bottom w:val="single" w:sz="4" w:space="0" w:color="ADD6EA"/>
              <w:right w:val="nil"/>
            </w:tcBorders>
            <w:shd w:val="clear" w:color="000000" w:fill="FFFFFF"/>
            <w:vAlign w:val="center"/>
            <w:hideMark/>
          </w:tcPr>
          <w:p w14:paraId="5632AE9C" w14:textId="22F1D48B"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Community/home nursing services</w:t>
            </w:r>
          </w:p>
        </w:tc>
        <w:tc>
          <w:tcPr>
            <w:tcW w:w="1125" w:type="dxa"/>
            <w:tcBorders>
              <w:top w:val="nil"/>
              <w:left w:val="nil"/>
              <w:bottom w:val="single" w:sz="4" w:space="0" w:color="ADD6EA"/>
              <w:right w:val="nil"/>
            </w:tcBorders>
            <w:shd w:val="clear" w:color="000000" w:fill="FFFFFF"/>
            <w:vAlign w:val="center"/>
            <w:hideMark/>
          </w:tcPr>
          <w:p w14:paraId="716181AB"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1.9</w:t>
            </w:r>
          </w:p>
        </w:tc>
      </w:tr>
      <w:tr w:rsidR="006C1CF0" w:rsidRPr="00121114" w14:paraId="6B534F06" w14:textId="77777777" w:rsidTr="00A912DF">
        <w:trPr>
          <w:trHeight w:val="285"/>
        </w:trPr>
        <w:tc>
          <w:tcPr>
            <w:tcW w:w="259" w:type="dxa"/>
            <w:tcBorders>
              <w:top w:val="nil"/>
              <w:left w:val="nil"/>
              <w:bottom w:val="single" w:sz="4" w:space="0" w:color="ADD6EA"/>
              <w:right w:val="nil"/>
            </w:tcBorders>
            <w:shd w:val="clear" w:color="000000" w:fill="FFFFFF"/>
            <w:hideMark/>
          </w:tcPr>
          <w:p w14:paraId="712053C3"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003A6478"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20.32</w:t>
            </w:r>
          </w:p>
        </w:tc>
        <w:tc>
          <w:tcPr>
            <w:tcW w:w="3365" w:type="dxa"/>
            <w:tcBorders>
              <w:top w:val="nil"/>
              <w:left w:val="nil"/>
              <w:bottom w:val="single" w:sz="4" w:space="0" w:color="ADD6EA"/>
              <w:right w:val="nil"/>
            </w:tcBorders>
            <w:shd w:val="clear" w:color="000000" w:fill="FFFFFF"/>
            <w:vAlign w:val="center"/>
            <w:hideMark/>
          </w:tcPr>
          <w:p w14:paraId="5B2CF030"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Breast</w:t>
            </w:r>
          </w:p>
        </w:tc>
        <w:tc>
          <w:tcPr>
            <w:tcW w:w="3345" w:type="dxa"/>
            <w:tcBorders>
              <w:top w:val="nil"/>
              <w:left w:val="nil"/>
              <w:bottom w:val="single" w:sz="4" w:space="0" w:color="ADD6EA"/>
              <w:right w:val="nil"/>
            </w:tcBorders>
            <w:shd w:val="clear" w:color="000000" w:fill="FFFFFF"/>
            <w:vAlign w:val="center"/>
            <w:hideMark/>
          </w:tcPr>
          <w:p w14:paraId="66073BCD" w14:textId="6A8CE3E9"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Cancer screening (bundled w</w:t>
            </w:r>
            <w:r w:rsidR="00A573DC" w:rsidRPr="00786737">
              <w:rPr>
                <w:rFonts w:eastAsia="Times New Roman" w:cs="Open Sans Light"/>
                <w:color w:val="000000"/>
                <w:sz w:val="16"/>
                <w:szCs w:val="16"/>
                <w:lang w:eastAsia="en-AU"/>
              </w:rPr>
              <w:t xml:space="preserve">ith </w:t>
            </w:r>
            <w:r w:rsidRPr="00786737">
              <w:rPr>
                <w:rFonts w:eastAsia="Times New Roman" w:cs="Open Sans Light"/>
                <w:color w:val="000000"/>
                <w:sz w:val="16"/>
                <w:szCs w:val="16"/>
                <w:lang w:eastAsia="en-AU"/>
              </w:rPr>
              <w:t>main s</w:t>
            </w:r>
            <w:r w:rsidR="00DB01ED" w:rsidRPr="00786737">
              <w:rPr>
                <w:rFonts w:eastAsia="Times New Roman" w:cs="Open Sans Light"/>
                <w:color w:val="000000"/>
                <w:sz w:val="16"/>
                <w:szCs w:val="16"/>
                <w:lang w:eastAsia="en-AU"/>
              </w:rPr>
              <w:t>vc</w:t>
            </w:r>
            <w:r w:rsidRPr="00786737">
              <w:rPr>
                <w:rFonts w:eastAsia="Times New Roman" w:cs="Open Sans Light"/>
                <w:color w:val="000000"/>
                <w:sz w:val="16"/>
                <w:szCs w:val="16"/>
                <w:lang w:eastAsia="en-AU"/>
              </w:rPr>
              <w:t>)</w:t>
            </w:r>
          </w:p>
        </w:tc>
        <w:tc>
          <w:tcPr>
            <w:tcW w:w="1125" w:type="dxa"/>
            <w:tcBorders>
              <w:top w:val="nil"/>
              <w:left w:val="nil"/>
              <w:bottom w:val="single" w:sz="4" w:space="0" w:color="ADD6EA"/>
              <w:right w:val="nil"/>
            </w:tcBorders>
            <w:shd w:val="clear" w:color="000000" w:fill="FFFFFF"/>
            <w:vAlign w:val="center"/>
            <w:hideMark/>
          </w:tcPr>
          <w:p w14:paraId="3E8E11F2"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1.6</w:t>
            </w:r>
          </w:p>
        </w:tc>
      </w:tr>
      <w:tr w:rsidR="006C1CF0" w:rsidRPr="00121114" w14:paraId="6783158B" w14:textId="77777777" w:rsidTr="00A912DF">
        <w:trPr>
          <w:trHeight w:val="285"/>
        </w:trPr>
        <w:tc>
          <w:tcPr>
            <w:tcW w:w="259" w:type="dxa"/>
            <w:tcBorders>
              <w:top w:val="nil"/>
              <w:left w:val="nil"/>
              <w:bottom w:val="single" w:sz="4" w:space="0" w:color="ADD6EA"/>
              <w:right w:val="nil"/>
            </w:tcBorders>
            <w:shd w:val="clear" w:color="000000" w:fill="FFFFFF"/>
            <w:hideMark/>
          </w:tcPr>
          <w:p w14:paraId="760B7869"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31174F41"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20.40</w:t>
            </w:r>
          </w:p>
        </w:tc>
        <w:tc>
          <w:tcPr>
            <w:tcW w:w="3365" w:type="dxa"/>
            <w:tcBorders>
              <w:top w:val="nil"/>
              <w:left w:val="nil"/>
              <w:bottom w:val="single" w:sz="4" w:space="0" w:color="ADD6EA"/>
              <w:right w:val="nil"/>
            </w:tcBorders>
            <w:shd w:val="clear" w:color="000000" w:fill="FFFFFF"/>
            <w:vAlign w:val="center"/>
            <w:hideMark/>
          </w:tcPr>
          <w:p w14:paraId="664834DF" w14:textId="5C7F2F06"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Obstetrics – pregnancy w</w:t>
            </w:r>
            <w:r w:rsidR="00346AEA" w:rsidRPr="00786737">
              <w:rPr>
                <w:rFonts w:eastAsia="Times New Roman" w:cs="Open Sans Light"/>
                <w:color w:val="000000"/>
                <w:sz w:val="16"/>
                <w:szCs w:val="16"/>
                <w:lang w:eastAsia="en-AU"/>
              </w:rPr>
              <w:t xml:space="preserve">/o </w:t>
            </w:r>
            <w:r w:rsidRPr="00786737">
              <w:rPr>
                <w:rFonts w:eastAsia="Times New Roman" w:cs="Open Sans Light"/>
                <w:color w:val="000000"/>
                <w:sz w:val="16"/>
                <w:szCs w:val="16"/>
                <w:lang w:eastAsia="en-AU"/>
              </w:rPr>
              <w:t>complications</w:t>
            </w:r>
          </w:p>
        </w:tc>
        <w:tc>
          <w:tcPr>
            <w:tcW w:w="3345" w:type="dxa"/>
            <w:tcBorders>
              <w:top w:val="nil"/>
              <w:left w:val="nil"/>
              <w:bottom w:val="single" w:sz="4" w:space="0" w:color="ADD6EA"/>
              <w:right w:val="nil"/>
            </w:tcBorders>
            <w:shd w:val="clear" w:color="000000" w:fill="FFFFFF"/>
            <w:vAlign w:val="center"/>
            <w:hideMark/>
          </w:tcPr>
          <w:p w14:paraId="7B213B0E"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Family and child health services</w:t>
            </w:r>
          </w:p>
        </w:tc>
        <w:tc>
          <w:tcPr>
            <w:tcW w:w="1125" w:type="dxa"/>
            <w:tcBorders>
              <w:top w:val="nil"/>
              <w:left w:val="nil"/>
              <w:bottom w:val="single" w:sz="4" w:space="0" w:color="ADD6EA"/>
              <w:right w:val="nil"/>
            </w:tcBorders>
            <w:shd w:val="clear" w:color="000000" w:fill="FFFFFF"/>
            <w:vAlign w:val="center"/>
            <w:hideMark/>
          </w:tcPr>
          <w:p w14:paraId="44E38571"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3.5</w:t>
            </w:r>
          </w:p>
        </w:tc>
      </w:tr>
      <w:tr w:rsidR="006C1CF0" w:rsidRPr="00121114" w14:paraId="0D6A468E" w14:textId="77777777" w:rsidTr="00A912DF">
        <w:trPr>
          <w:trHeight w:val="285"/>
        </w:trPr>
        <w:tc>
          <w:tcPr>
            <w:tcW w:w="259" w:type="dxa"/>
            <w:tcBorders>
              <w:top w:val="nil"/>
              <w:left w:val="nil"/>
              <w:bottom w:val="single" w:sz="4" w:space="0" w:color="ADD6EA"/>
              <w:right w:val="nil"/>
            </w:tcBorders>
            <w:shd w:val="clear" w:color="000000" w:fill="FFFFFF"/>
            <w:hideMark/>
          </w:tcPr>
          <w:p w14:paraId="2ADE5901"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2F09373B"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20.44</w:t>
            </w:r>
          </w:p>
        </w:tc>
        <w:tc>
          <w:tcPr>
            <w:tcW w:w="3365" w:type="dxa"/>
            <w:tcBorders>
              <w:top w:val="nil"/>
              <w:left w:val="nil"/>
              <w:bottom w:val="single" w:sz="4" w:space="0" w:color="ADD6EA"/>
              <w:right w:val="nil"/>
            </w:tcBorders>
            <w:shd w:val="clear" w:color="000000" w:fill="FFFFFF"/>
            <w:vAlign w:val="center"/>
            <w:hideMark/>
          </w:tcPr>
          <w:p w14:paraId="0F98B14C"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Infectious diseases</w:t>
            </w:r>
          </w:p>
        </w:tc>
        <w:tc>
          <w:tcPr>
            <w:tcW w:w="3345" w:type="dxa"/>
            <w:tcBorders>
              <w:top w:val="nil"/>
              <w:left w:val="nil"/>
              <w:bottom w:val="single" w:sz="4" w:space="0" w:color="ADD6EA"/>
              <w:right w:val="nil"/>
            </w:tcBorders>
            <w:shd w:val="clear" w:color="000000" w:fill="FFFFFF"/>
            <w:vAlign w:val="center"/>
            <w:hideMark/>
          </w:tcPr>
          <w:p w14:paraId="6FD6626F"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Communicable disease control</w:t>
            </w:r>
          </w:p>
        </w:tc>
        <w:tc>
          <w:tcPr>
            <w:tcW w:w="1125" w:type="dxa"/>
            <w:tcBorders>
              <w:top w:val="nil"/>
              <w:left w:val="nil"/>
              <w:bottom w:val="single" w:sz="4" w:space="0" w:color="ADD6EA"/>
              <w:right w:val="nil"/>
            </w:tcBorders>
            <w:shd w:val="clear" w:color="000000" w:fill="FFFFFF"/>
            <w:vAlign w:val="center"/>
            <w:hideMark/>
          </w:tcPr>
          <w:p w14:paraId="0E8B3483"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4.2</w:t>
            </w:r>
          </w:p>
        </w:tc>
      </w:tr>
      <w:tr w:rsidR="006C1CF0" w:rsidRPr="00121114" w14:paraId="05FC86B6" w14:textId="77777777" w:rsidTr="00A912DF">
        <w:trPr>
          <w:trHeight w:val="285"/>
        </w:trPr>
        <w:tc>
          <w:tcPr>
            <w:tcW w:w="259" w:type="dxa"/>
            <w:tcBorders>
              <w:top w:val="nil"/>
              <w:left w:val="nil"/>
              <w:bottom w:val="single" w:sz="4" w:space="0" w:color="ADD6EA"/>
              <w:right w:val="nil"/>
            </w:tcBorders>
            <w:shd w:val="clear" w:color="000000" w:fill="FFFFFF"/>
            <w:hideMark/>
          </w:tcPr>
          <w:p w14:paraId="41217B92"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3C8E5C8B"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20.49</w:t>
            </w:r>
          </w:p>
        </w:tc>
        <w:tc>
          <w:tcPr>
            <w:tcW w:w="3365" w:type="dxa"/>
            <w:tcBorders>
              <w:top w:val="nil"/>
              <w:left w:val="nil"/>
              <w:bottom w:val="single" w:sz="4" w:space="0" w:color="ADD6EA"/>
              <w:right w:val="nil"/>
            </w:tcBorders>
            <w:shd w:val="clear" w:color="000000" w:fill="FFFFFF"/>
            <w:vAlign w:val="center"/>
            <w:hideMark/>
          </w:tcPr>
          <w:p w14:paraId="3C81056E" w14:textId="20CB0FFD"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Geriatric evaluation and management</w:t>
            </w:r>
          </w:p>
        </w:tc>
        <w:tc>
          <w:tcPr>
            <w:tcW w:w="3345" w:type="dxa"/>
            <w:tcBorders>
              <w:top w:val="nil"/>
              <w:left w:val="nil"/>
              <w:bottom w:val="single" w:sz="4" w:space="0" w:color="ADD6EA"/>
              <w:right w:val="nil"/>
            </w:tcBorders>
            <w:shd w:val="clear" w:color="000000" w:fill="FFFFFF"/>
            <w:vAlign w:val="center"/>
            <w:hideMark/>
          </w:tcPr>
          <w:p w14:paraId="3CBA2AFF"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Community/home nursing services</w:t>
            </w:r>
          </w:p>
        </w:tc>
        <w:tc>
          <w:tcPr>
            <w:tcW w:w="1125" w:type="dxa"/>
            <w:tcBorders>
              <w:top w:val="nil"/>
              <w:left w:val="nil"/>
              <w:bottom w:val="single" w:sz="4" w:space="0" w:color="ADD6EA"/>
              <w:right w:val="nil"/>
            </w:tcBorders>
            <w:shd w:val="clear" w:color="000000" w:fill="FFFFFF"/>
            <w:vAlign w:val="center"/>
            <w:hideMark/>
          </w:tcPr>
          <w:p w14:paraId="4D1050E7"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1.2</w:t>
            </w:r>
          </w:p>
        </w:tc>
      </w:tr>
      <w:tr w:rsidR="006C1CF0" w:rsidRPr="00121114" w14:paraId="54716807" w14:textId="77777777" w:rsidTr="00A912DF">
        <w:trPr>
          <w:trHeight w:val="285"/>
        </w:trPr>
        <w:tc>
          <w:tcPr>
            <w:tcW w:w="259" w:type="dxa"/>
            <w:tcBorders>
              <w:top w:val="nil"/>
              <w:left w:val="nil"/>
              <w:bottom w:val="single" w:sz="4" w:space="0" w:color="ADD6EA"/>
              <w:right w:val="nil"/>
            </w:tcBorders>
            <w:shd w:val="clear" w:color="000000" w:fill="FFFFFF"/>
            <w:hideMark/>
          </w:tcPr>
          <w:p w14:paraId="43C8B0F6"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053993BB"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20.50</w:t>
            </w:r>
          </w:p>
        </w:tc>
        <w:tc>
          <w:tcPr>
            <w:tcW w:w="3365" w:type="dxa"/>
            <w:tcBorders>
              <w:top w:val="nil"/>
              <w:left w:val="nil"/>
              <w:bottom w:val="single" w:sz="4" w:space="0" w:color="ADD6EA"/>
              <w:right w:val="nil"/>
            </w:tcBorders>
            <w:shd w:val="clear" w:color="000000" w:fill="FFFFFF"/>
            <w:vAlign w:val="center"/>
            <w:hideMark/>
          </w:tcPr>
          <w:p w14:paraId="0CE50F8E"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Psychogeriatric</w:t>
            </w:r>
          </w:p>
        </w:tc>
        <w:tc>
          <w:tcPr>
            <w:tcW w:w="3345" w:type="dxa"/>
            <w:tcBorders>
              <w:top w:val="nil"/>
              <w:left w:val="nil"/>
              <w:bottom w:val="single" w:sz="4" w:space="0" w:color="ADD6EA"/>
              <w:right w:val="nil"/>
            </w:tcBorders>
            <w:shd w:val="clear" w:color="000000" w:fill="FFFFFF"/>
            <w:vAlign w:val="center"/>
            <w:hideMark/>
          </w:tcPr>
          <w:p w14:paraId="4A926AEA"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 mental health services</w:t>
            </w:r>
          </w:p>
        </w:tc>
        <w:tc>
          <w:tcPr>
            <w:tcW w:w="1125" w:type="dxa"/>
            <w:tcBorders>
              <w:top w:val="nil"/>
              <w:left w:val="nil"/>
              <w:bottom w:val="single" w:sz="4" w:space="0" w:color="ADD6EA"/>
              <w:right w:val="nil"/>
            </w:tcBorders>
            <w:shd w:val="clear" w:color="000000" w:fill="FFFFFF"/>
            <w:vAlign w:val="center"/>
            <w:hideMark/>
          </w:tcPr>
          <w:p w14:paraId="6E1C72EA"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0.0</w:t>
            </w:r>
          </w:p>
        </w:tc>
      </w:tr>
      <w:tr w:rsidR="006C1CF0" w:rsidRPr="00121114" w14:paraId="5DB80BE2" w14:textId="77777777" w:rsidTr="00A912DF">
        <w:trPr>
          <w:trHeight w:val="285"/>
        </w:trPr>
        <w:tc>
          <w:tcPr>
            <w:tcW w:w="259" w:type="dxa"/>
            <w:tcBorders>
              <w:top w:val="nil"/>
              <w:left w:val="nil"/>
              <w:bottom w:val="single" w:sz="4" w:space="0" w:color="ADD6EA"/>
              <w:right w:val="nil"/>
            </w:tcBorders>
            <w:shd w:val="clear" w:color="000000" w:fill="FFFFFF"/>
            <w:hideMark/>
          </w:tcPr>
          <w:p w14:paraId="1DB0B979"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1FC82423"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20.52</w:t>
            </w:r>
          </w:p>
        </w:tc>
        <w:tc>
          <w:tcPr>
            <w:tcW w:w="3365" w:type="dxa"/>
            <w:tcBorders>
              <w:top w:val="nil"/>
              <w:left w:val="nil"/>
              <w:bottom w:val="single" w:sz="4" w:space="0" w:color="ADD6EA"/>
              <w:right w:val="nil"/>
            </w:tcBorders>
            <w:shd w:val="clear" w:color="000000" w:fill="FFFFFF"/>
            <w:vAlign w:val="center"/>
            <w:hideMark/>
          </w:tcPr>
          <w:p w14:paraId="5C1F09A3"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Addiction medicine</w:t>
            </w:r>
          </w:p>
        </w:tc>
        <w:tc>
          <w:tcPr>
            <w:tcW w:w="3345" w:type="dxa"/>
            <w:tcBorders>
              <w:top w:val="nil"/>
              <w:left w:val="nil"/>
              <w:bottom w:val="single" w:sz="4" w:space="0" w:color="ADD6EA"/>
              <w:right w:val="nil"/>
            </w:tcBorders>
            <w:shd w:val="clear" w:color="000000" w:fill="FFFFFF"/>
            <w:vAlign w:val="center"/>
            <w:hideMark/>
          </w:tcPr>
          <w:p w14:paraId="2DC19186"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Alcohol and other drug services</w:t>
            </w:r>
          </w:p>
        </w:tc>
        <w:tc>
          <w:tcPr>
            <w:tcW w:w="1125" w:type="dxa"/>
            <w:tcBorders>
              <w:top w:val="nil"/>
              <w:left w:val="nil"/>
              <w:bottom w:val="single" w:sz="4" w:space="0" w:color="ADD6EA"/>
              <w:right w:val="nil"/>
            </w:tcBorders>
            <w:shd w:val="clear" w:color="000000" w:fill="FFFFFF"/>
            <w:vAlign w:val="center"/>
            <w:hideMark/>
          </w:tcPr>
          <w:p w14:paraId="75F89D50"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1.7</w:t>
            </w:r>
          </w:p>
        </w:tc>
      </w:tr>
      <w:tr w:rsidR="006C1CF0" w:rsidRPr="00121114" w14:paraId="6FB056C3" w14:textId="77777777" w:rsidTr="00A912DF">
        <w:trPr>
          <w:trHeight w:val="285"/>
        </w:trPr>
        <w:tc>
          <w:tcPr>
            <w:tcW w:w="259" w:type="dxa"/>
            <w:tcBorders>
              <w:top w:val="nil"/>
              <w:left w:val="nil"/>
              <w:bottom w:val="single" w:sz="4" w:space="0" w:color="ADD6EA"/>
              <w:right w:val="nil"/>
            </w:tcBorders>
            <w:shd w:val="clear" w:color="000000" w:fill="FFFFFF"/>
            <w:hideMark/>
          </w:tcPr>
          <w:p w14:paraId="78ACC6D2"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175471CF"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20.57</w:t>
            </w:r>
          </w:p>
        </w:tc>
        <w:tc>
          <w:tcPr>
            <w:tcW w:w="3365" w:type="dxa"/>
            <w:tcBorders>
              <w:top w:val="nil"/>
              <w:left w:val="nil"/>
              <w:bottom w:val="single" w:sz="4" w:space="0" w:color="ADD6EA"/>
              <w:right w:val="nil"/>
            </w:tcBorders>
            <w:shd w:val="clear" w:color="000000" w:fill="FFFFFF"/>
            <w:vAlign w:val="center"/>
            <w:hideMark/>
          </w:tcPr>
          <w:p w14:paraId="1D9ECE12"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COVID-19 response</w:t>
            </w:r>
          </w:p>
        </w:tc>
        <w:tc>
          <w:tcPr>
            <w:tcW w:w="3345" w:type="dxa"/>
            <w:tcBorders>
              <w:top w:val="nil"/>
              <w:left w:val="nil"/>
              <w:bottom w:val="single" w:sz="4" w:space="0" w:color="ADD6EA"/>
              <w:right w:val="nil"/>
            </w:tcBorders>
            <w:shd w:val="clear" w:color="000000" w:fill="FFFFFF"/>
            <w:vAlign w:val="center"/>
            <w:hideMark/>
          </w:tcPr>
          <w:p w14:paraId="70544108" w14:textId="77777777" w:rsidR="00A97CC8" w:rsidRPr="00786737" w:rsidRDefault="00A97CC8" w:rsidP="00A912DF">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Communicable disease control</w:t>
            </w:r>
          </w:p>
        </w:tc>
        <w:tc>
          <w:tcPr>
            <w:tcW w:w="1125" w:type="dxa"/>
            <w:tcBorders>
              <w:top w:val="nil"/>
              <w:left w:val="nil"/>
              <w:bottom w:val="single" w:sz="4" w:space="0" w:color="ADD6EA"/>
              <w:right w:val="nil"/>
            </w:tcBorders>
            <w:shd w:val="clear" w:color="000000" w:fill="FFFFFF"/>
            <w:vAlign w:val="center"/>
            <w:hideMark/>
          </w:tcPr>
          <w:p w14:paraId="6B4FCE75"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5.3</w:t>
            </w:r>
          </w:p>
        </w:tc>
      </w:tr>
      <w:tr w:rsidR="00A97CC8" w:rsidRPr="00DE1C01" w14:paraId="2CCC0210" w14:textId="77777777" w:rsidTr="00994758">
        <w:trPr>
          <w:trHeight w:val="318"/>
        </w:trPr>
        <w:tc>
          <w:tcPr>
            <w:tcW w:w="1191" w:type="dxa"/>
            <w:gridSpan w:val="2"/>
            <w:tcBorders>
              <w:top w:val="single" w:sz="4" w:space="0" w:color="ADD6EA"/>
              <w:left w:val="nil"/>
              <w:bottom w:val="single" w:sz="4" w:space="0" w:color="ADD6EA"/>
              <w:right w:val="nil"/>
            </w:tcBorders>
            <w:shd w:val="clear" w:color="000000" w:fill="B6D5E4"/>
            <w:noWrap/>
            <w:vAlign w:val="center"/>
            <w:hideMark/>
          </w:tcPr>
          <w:p w14:paraId="5AFD6535" w14:textId="77777777" w:rsidR="00A97CC8" w:rsidRPr="00786737" w:rsidRDefault="00A97CC8" w:rsidP="00994758">
            <w:pPr>
              <w:tabs>
                <w:tab w:val="clear" w:pos="567"/>
              </w:tabs>
              <w:spacing w:before="0" w:line="240" w:lineRule="auto"/>
              <w:rPr>
                <w:rFonts w:ascii="Open Sans Semibold" w:eastAsia="Times New Roman" w:hAnsi="Open Sans Semibold" w:cs="Open Sans Semibold"/>
                <w:color w:val="000000"/>
                <w:sz w:val="16"/>
                <w:szCs w:val="16"/>
                <w:lang w:eastAsia="en-AU"/>
              </w:rPr>
            </w:pPr>
            <w:r w:rsidRPr="00786737">
              <w:rPr>
                <w:rFonts w:ascii="Open Sans Semibold" w:eastAsia="Times New Roman" w:hAnsi="Open Sans Semibold" w:cs="Open Sans Semibold"/>
                <w:color w:val="000000"/>
                <w:sz w:val="16"/>
                <w:szCs w:val="16"/>
                <w:lang w:eastAsia="en-AU"/>
              </w:rPr>
              <w:t>Allied health</w:t>
            </w:r>
          </w:p>
        </w:tc>
        <w:tc>
          <w:tcPr>
            <w:tcW w:w="3365" w:type="dxa"/>
            <w:tcBorders>
              <w:top w:val="nil"/>
              <w:left w:val="nil"/>
              <w:bottom w:val="single" w:sz="4" w:space="0" w:color="ADD6EA"/>
              <w:right w:val="nil"/>
            </w:tcBorders>
            <w:shd w:val="clear" w:color="000000" w:fill="B6D5E4"/>
            <w:vAlign w:val="center"/>
            <w:hideMark/>
          </w:tcPr>
          <w:p w14:paraId="46209186" w14:textId="77777777" w:rsidR="00A97CC8" w:rsidRPr="00786737" w:rsidRDefault="00A97CC8" w:rsidP="00994758">
            <w:pPr>
              <w:tabs>
                <w:tab w:val="clear" w:pos="567"/>
              </w:tabs>
              <w:spacing w:before="0" w:line="240" w:lineRule="auto"/>
              <w:rPr>
                <w:rFonts w:eastAsia="Times New Roman" w:cs="Open Sans Light"/>
                <w:color w:val="000000"/>
                <w:sz w:val="18"/>
                <w:szCs w:val="18"/>
                <w:lang w:eastAsia="en-AU"/>
              </w:rPr>
            </w:pPr>
            <w:r w:rsidRPr="00786737">
              <w:rPr>
                <w:rFonts w:eastAsia="Times New Roman" w:cs="Open Sans Light"/>
                <w:color w:val="000000"/>
                <w:sz w:val="18"/>
                <w:szCs w:val="18"/>
                <w:lang w:eastAsia="en-AU"/>
              </w:rPr>
              <w:t> </w:t>
            </w:r>
          </w:p>
        </w:tc>
        <w:tc>
          <w:tcPr>
            <w:tcW w:w="3345" w:type="dxa"/>
            <w:tcBorders>
              <w:top w:val="nil"/>
              <w:left w:val="nil"/>
              <w:bottom w:val="single" w:sz="4" w:space="0" w:color="ADD6EA"/>
              <w:right w:val="nil"/>
            </w:tcBorders>
            <w:shd w:val="clear" w:color="000000" w:fill="B6D5E4"/>
            <w:hideMark/>
          </w:tcPr>
          <w:p w14:paraId="6A7B9167" w14:textId="77777777" w:rsidR="00A97CC8" w:rsidRPr="00786737" w:rsidRDefault="00A97CC8" w:rsidP="00A97CC8">
            <w:pPr>
              <w:tabs>
                <w:tab w:val="clear" w:pos="567"/>
              </w:tabs>
              <w:spacing w:before="0" w:line="240" w:lineRule="auto"/>
              <w:rPr>
                <w:rFonts w:eastAsia="Times New Roman" w:cs="Open Sans Light"/>
                <w:color w:val="000000"/>
                <w:sz w:val="18"/>
                <w:szCs w:val="18"/>
                <w:lang w:eastAsia="en-AU"/>
              </w:rPr>
            </w:pPr>
            <w:r w:rsidRPr="00786737">
              <w:rPr>
                <w:rFonts w:eastAsia="Times New Roman" w:cs="Open Sans Light"/>
                <w:color w:val="000000"/>
                <w:sz w:val="18"/>
                <w:szCs w:val="18"/>
                <w:lang w:eastAsia="en-AU"/>
              </w:rPr>
              <w:t> </w:t>
            </w:r>
          </w:p>
        </w:tc>
        <w:tc>
          <w:tcPr>
            <w:tcW w:w="1125" w:type="dxa"/>
            <w:tcBorders>
              <w:top w:val="nil"/>
              <w:left w:val="nil"/>
              <w:bottom w:val="single" w:sz="4" w:space="0" w:color="ADD6EA"/>
              <w:right w:val="nil"/>
            </w:tcBorders>
            <w:shd w:val="clear" w:color="000000" w:fill="B6D5E4"/>
            <w:hideMark/>
          </w:tcPr>
          <w:p w14:paraId="21860073" w14:textId="4D167205" w:rsidR="00A97CC8" w:rsidRPr="00786737" w:rsidRDefault="00A97CC8" w:rsidP="00A97CC8">
            <w:pPr>
              <w:tabs>
                <w:tab w:val="clear" w:pos="567"/>
              </w:tabs>
              <w:spacing w:before="0" w:line="240" w:lineRule="auto"/>
              <w:jc w:val="right"/>
              <w:rPr>
                <w:rFonts w:eastAsia="Times New Roman" w:cs="Open Sans Light"/>
                <w:color w:val="AACEE0"/>
                <w:sz w:val="18"/>
                <w:szCs w:val="18"/>
                <w:lang w:eastAsia="en-AU"/>
              </w:rPr>
            </w:pPr>
          </w:p>
        </w:tc>
      </w:tr>
      <w:tr w:rsidR="006C1CF0" w:rsidRPr="00121114" w14:paraId="72860640" w14:textId="77777777" w:rsidTr="002464D7">
        <w:trPr>
          <w:trHeight w:val="285"/>
        </w:trPr>
        <w:tc>
          <w:tcPr>
            <w:tcW w:w="259" w:type="dxa"/>
            <w:tcBorders>
              <w:top w:val="nil"/>
              <w:left w:val="nil"/>
              <w:bottom w:val="single" w:sz="4" w:space="0" w:color="ADD6EA"/>
              <w:right w:val="nil"/>
            </w:tcBorders>
            <w:shd w:val="clear" w:color="000000" w:fill="FFFFFF"/>
            <w:hideMark/>
          </w:tcPr>
          <w:p w14:paraId="2977E1D3"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771F3676"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40.02</w:t>
            </w:r>
          </w:p>
        </w:tc>
        <w:tc>
          <w:tcPr>
            <w:tcW w:w="3365" w:type="dxa"/>
            <w:tcBorders>
              <w:top w:val="nil"/>
              <w:left w:val="nil"/>
              <w:bottom w:val="single" w:sz="4" w:space="0" w:color="ADD6EA"/>
              <w:right w:val="nil"/>
            </w:tcBorders>
            <w:shd w:val="clear" w:color="000000" w:fill="FFFFFF"/>
            <w:vAlign w:val="center"/>
            <w:hideMark/>
          </w:tcPr>
          <w:p w14:paraId="037952C5"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Aged care assessment</w:t>
            </w:r>
          </w:p>
        </w:tc>
        <w:tc>
          <w:tcPr>
            <w:tcW w:w="3345" w:type="dxa"/>
            <w:tcBorders>
              <w:top w:val="nil"/>
              <w:left w:val="nil"/>
              <w:bottom w:val="single" w:sz="4" w:space="0" w:color="ADD6EA"/>
              <w:right w:val="nil"/>
            </w:tcBorders>
            <w:shd w:val="clear" w:color="000000" w:fill="FFFFFF"/>
            <w:vAlign w:val="center"/>
            <w:hideMark/>
          </w:tcPr>
          <w:p w14:paraId="6068F375"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Community/home nursing services</w:t>
            </w:r>
          </w:p>
        </w:tc>
        <w:tc>
          <w:tcPr>
            <w:tcW w:w="1125" w:type="dxa"/>
            <w:tcBorders>
              <w:top w:val="nil"/>
              <w:left w:val="nil"/>
              <w:bottom w:val="single" w:sz="4" w:space="0" w:color="ADD6EA"/>
              <w:right w:val="nil"/>
            </w:tcBorders>
            <w:shd w:val="clear" w:color="000000" w:fill="FFFFFF"/>
            <w:vAlign w:val="center"/>
            <w:hideMark/>
          </w:tcPr>
          <w:p w14:paraId="3550A992" w14:textId="7785706B"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w:t>
            </w:r>
            <w:r w:rsidR="004D6D60">
              <w:rPr>
                <w:rFonts w:eastAsia="Times New Roman" w:cs="Open Sans Light"/>
                <w:color w:val="000000"/>
                <w:sz w:val="16"/>
                <w:szCs w:val="16"/>
                <w:lang w:eastAsia="en-AU"/>
              </w:rPr>
              <w:t>a</w:t>
            </w:r>
            <w:r w:rsidRPr="00786737">
              <w:rPr>
                <w:rFonts w:eastAsia="Times New Roman" w:cs="Open Sans Light"/>
                <w:color w:val="000000"/>
                <w:sz w:val="16"/>
                <w:szCs w:val="16"/>
                <w:lang w:eastAsia="en-AU"/>
              </w:rPr>
              <w:t>)</w:t>
            </w:r>
          </w:p>
        </w:tc>
      </w:tr>
      <w:tr w:rsidR="006C1CF0" w:rsidRPr="00121114" w14:paraId="42FF4065" w14:textId="77777777" w:rsidTr="002464D7">
        <w:trPr>
          <w:trHeight w:val="285"/>
        </w:trPr>
        <w:tc>
          <w:tcPr>
            <w:tcW w:w="259" w:type="dxa"/>
            <w:tcBorders>
              <w:top w:val="nil"/>
              <w:left w:val="nil"/>
              <w:bottom w:val="single" w:sz="4" w:space="0" w:color="ADD6EA"/>
              <w:right w:val="nil"/>
            </w:tcBorders>
            <w:shd w:val="clear" w:color="000000" w:fill="FFFFFF"/>
            <w:hideMark/>
          </w:tcPr>
          <w:p w14:paraId="1AAAB8A4"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227A3AEE"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40.09</w:t>
            </w:r>
          </w:p>
        </w:tc>
        <w:tc>
          <w:tcPr>
            <w:tcW w:w="3365" w:type="dxa"/>
            <w:tcBorders>
              <w:top w:val="nil"/>
              <w:left w:val="nil"/>
              <w:bottom w:val="single" w:sz="4" w:space="0" w:color="ADD6EA"/>
              <w:right w:val="nil"/>
            </w:tcBorders>
            <w:shd w:val="clear" w:color="000000" w:fill="FFFFFF"/>
            <w:vAlign w:val="center"/>
            <w:hideMark/>
          </w:tcPr>
          <w:p w14:paraId="46337DA6"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Physiotherapy</w:t>
            </w:r>
          </w:p>
        </w:tc>
        <w:tc>
          <w:tcPr>
            <w:tcW w:w="3345" w:type="dxa"/>
            <w:tcBorders>
              <w:top w:val="nil"/>
              <w:left w:val="nil"/>
              <w:bottom w:val="single" w:sz="4" w:space="0" w:color="ADD6EA"/>
              <w:right w:val="nil"/>
            </w:tcBorders>
            <w:shd w:val="clear" w:color="000000" w:fill="FFFFFF"/>
            <w:vAlign w:val="center"/>
            <w:hideMark/>
          </w:tcPr>
          <w:p w14:paraId="40682431"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Allied health services</w:t>
            </w:r>
          </w:p>
        </w:tc>
        <w:tc>
          <w:tcPr>
            <w:tcW w:w="1125" w:type="dxa"/>
            <w:tcBorders>
              <w:top w:val="nil"/>
              <w:left w:val="nil"/>
              <w:bottom w:val="single" w:sz="4" w:space="0" w:color="ADD6EA"/>
              <w:right w:val="nil"/>
            </w:tcBorders>
            <w:shd w:val="clear" w:color="000000" w:fill="FFFFFF"/>
            <w:vAlign w:val="center"/>
            <w:hideMark/>
          </w:tcPr>
          <w:p w14:paraId="7641524D"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5.5</w:t>
            </w:r>
          </w:p>
        </w:tc>
      </w:tr>
      <w:tr w:rsidR="006C1CF0" w:rsidRPr="00121114" w14:paraId="1D87EAC6" w14:textId="77777777" w:rsidTr="002464D7">
        <w:trPr>
          <w:trHeight w:val="285"/>
        </w:trPr>
        <w:tc>
          <w:tcPr>
            <w:tcW w:w="259" w:type="dxa"/>
            <w:tcBorders>
              <w:top w:val="nil"/>
              <w:left w:val="nil"/>
              <w:bottom w:val="single" w:sz="4" w:space="0" w:color="ADD6EA"/>
              <w:right w:val="nil"/>
            </w:tcBorders>
            <w:shd w:val="clear" w:color="000000" w:fill="FFFFFF"/>
            <w:hideMark/>
          </w:tcPr>
          <w:p w14:paraId="5556363C"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676B89F0"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40.10</w:t>
            </w:r>
          </w:p>
        </w:tc>
        <w:tc>
          <w:tcPr>
            <w:tcW w:w="3365" w:type="dxa"/>
            <w:tcBorders>
              <w:top w:val="nil"/>
              <w:left w:val="nil"/>
              <w:bottom w:val="single" w:sz="4" w:space="0" w:color="ADD6EA"/>
              <w:right w:val="nil"/>
            </w:tcBorders>
            <w:shd w:val="clear" w:color="000000" w:fill="FFFFFF"/>
            <w:vAlign w:val="center"/>
            <w:hideMark/>
          </w:tcPr>
          <w:p w14:paraId="2397BCD7"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Sexual health</w:t>
            </w:r>
          </w:p>
        </w:tc>
        <w:tc>
          <w:tcPr>
            <w:tcW w:w="3345" w:type="dxa"/>
            <w:tcBorders>
              <w:top w:val="nil"/>
              <w:left w:val="nil"/>
              <w:bottom w:val="single" w:sz="4" w:space="0" w:color="ADD6EA"/>
              <w:right w:val="nil"/>
            </w:tcBorders>
            <w:shd w:val="clear" w:color="000000" w:fill="FFFFFF"/>
            <w:vAlign w:val="center"/>
            <w:hideMark/>
          </w:tcPr>
          <w:p w14:paraId="0F34593A"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Sexual health services</w:t>
            </w:r>
          </w:p>
        </w:tc>
        <w:tc>
          <w:tcPr>
            <w:tcW w:w="1125" w:type="dxa"/>
            <w:tcBorders>
              <w:top w:val="nil"/>
              <w:left w:val="nil"/>
              <w:bottom w:val="single" w:sz="4" w:space="0" w:color="ADD6EA"/>
              <w:right w:val="nil"/>
            </w:tcBorders>
            <w:shd w:val="clear" w:color="000000" w:fill="FFFFFF"/>
            <w:vAlign w:val="center"/>
            <w:hideMark/>
          </w:tcPr>
          <w:p w14:paraId="664FC6BB"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1.0</w:t>
            </w:r>
          </w:p>
        </w:tc>
      </w:tr>
      <w:tr w:rsidR="006C1CF0" w:rsidRPr="00121114" w14:paraId="63F478CA" w14:textId="77777777" w:rsidTr="002464D7">
        <w:trPr>
          <w:trHeight w:val="285"/>
        </w:trPr>
        <w:tc>
          <w:tcPr>
            <w:tcW w:w="259" w:type="dxa"/>
            <w:tcBorders>
              <w:top w:val="nil"/>
              <w:left w:val="nil"/>
              <w:bottom w:val="single" w:sz="4" w:space="0" w:color="ADD6EA"/>
              <w:right w:val="nil"/>
            </w:tcBorders>
            <w:shd w:val="clear" w:color="000000" w:fill="FFFFFF"/>
            <w:hideMark/>
          </w:tcPr>
          <w:p w14:paraId="0246648E"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618C5F05"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40.13</w:t>
            </w:r>
          </w:p>
        </w:tc>
        <w:tc>
          <w:tcPr>
            <w:tcW w:w="3365" w:type="dxa"/>
            <w:tcBorders>
              <w:top w:val="nil"/>
              <w:left w:val="nil"/>
              <w:bottom w:val="single" w:sz="4" w:space="0" w:color="ADD6EA"/>
              <w:right w:val="nil"/>
            </w:tcBorders>
            <w:shd w:val="clear" w:color="000000" w:fill="FFFFFF"/>
            <w:vAlign w:val="center"/>
            <w:hideMark/>
          </w:tcPr>
          <w:p w14:paraId="61262EF0"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Wound management</w:t>
            </w:r>
          </w:p>
        </w:tc>
        <w:tc>
          <w:tcPr>
            <w:tcW w:w="3345" w:type="dxa"/>
            <w:tcBorders>
              <w:top w:val="nil"/>
              <w:left w:val="nil"/>
              <w:bottom w:val="single" w:sz="4" w:space="0" w:color="ADD6EA"/>
              <w:right w:val="nil"/>
            </w:tcBorders>
            <w:shd w:val="clear" w:color="000000" w:fill="FFFFFF"/>
            <w:vAlign w:val="center"/>
            <w:hideMark/>
          </w:tcPr>
          <w:p w14:paraId="10E3A227"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Community/home nursing services</w:t>
            </w:r>
          </w:p>
        </w:tc>
        <w:tc>
          <w:tcPr>
            <w:tcW w:w="1125" w:type="dxa"/>
            <w:tcBorders>
              <w:top w:val="nil"/>
              <w:left w:val="nil"/>
              <w:bottom w:val="single" w:sz="4" w:space="0" w:color="ADD6EA"/>
              <w:right w:val="nil"/>
            </w:tcBorders>
            <w:shd w:val="clear" w:color="000000" w:fill="FFFFFF"/>
            <w:vAlign w:val="center"/>
            <w:hideMark/>
          </w:tcPr>
          <w:p w14:paraId="07D07A67"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4.1</w:t>
            </w:r>
          </w:p>
        </w:tc>
      </w:tr>
      <w:tr w:rsidR="006C1CF0" w:rsidRPr="00121114" w14:paraId="44DC8ACA" w14:textId="77777777" w:rsidTr="002464D7">
        <w:trPr>
          <w:trHeight w:val="285"/>
        </w:trPr>
        <w:tc>
          <w:tcPr>
            <w:tcW w:w="259" w:type="dxa"/>
            <w:tcBorders>
              <w:top w:val="nil"/>
              <w:left w:val="nil"/>
              <w:bottom w:val="single" w:sz="4" w:space="0" w:color="ADD6EA"/>
              <w:right w:val="nil"/>
            </w:tcBorders>
            <w:shd w:val="clear" w:color="000000" w:fill="FFFFFF"/>
            <w:hideMark/>
          </w:tcPr>
          <w:p w14:paraId="34CAC024"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6139E7FD"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40.23</w:t>
            </w:r>
          </w:p>
        </w:tc>
        <w:tc>
          <w:tcPr>
            <w:tcW w:w="3365" w:type="dxa"/>
            <w:tcBorders>
              <w:top w:val="nil"/>
              <w:left w:val="nil"/>
              <w:bottom w:val="single" w:sz="4" w:space="0" w:color="ADD6EA"/>
              <w:right w:val="nil"/>
            </w:tcBorders>
            <w:shd w:val="clear" w:color="000000" w:fill="FFFFFF"/>
            <w:vAlign w:val="center"/>
            <w:hideMark/>
          </w:tcPr>
          <w:p w14:paraId="0585B69F"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Nutrition/dietetics</w:t>
            </w:r>
          </w:p>
        </w:tc>
        <w:tc>
          <w:tcPr>
            <w:tcW w:w="3345" w:type="dxa"/>
            <w:tcBorders>
              <w:top w:val="nil"/>
              <w:left w:val="nil"/>
              <w:bottom w:val="single" w:sz="4" w:space="0" w:color="ADD6EA"/>
              <w:right w:val="nil"/>
            </w:tcBorders>
            <w:shd w:val="clear" w:color="000000" w:fill="FFFFFF"/>
            <w:vAlign w:val="center"/>
            <w:hideMark/>
          </w:tcPr>
          <w:p w14:paraId="75BB9FD7"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Allied health services</w:t>
            </w:r>
          </w:p>
        </w:tc>
        <w:tc>
          <w:tcPr>
            <w:tcW w:w="1125" w:type="dxa"/>
            <w:tcBorders>
              <w:top w:val="nil"/>
              <w:left w:val="nil"/>
              <w:bottom w:val="single" w:sz="4" w:space="0" w:color="ADD6EA"/>
              <w:right w:val="nil"/>
            </w:tcBorders>
            <w:shd w:val="clear" w:color="000000" w:fill="FFFFFF"/>
            <w:vAlign w:val="center"/>
            <w:hideMark/>
          </w:tcPr>
          <w:p w14:paraId="39EFF025"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2.2</w:t>
            </w:r>
          </w:p>
        </w:tc>
      </w:tr>
      <w:tr w:rsidR="006C1CF0" w:rsidRPr="00121114" w14:paraId="3DB706A7" w14:textId="77777777" w:rsidTr="002464D7">
        <w:trPr>
          <w:trHeight w:val="285"/>
        </w:trPr>
        <w:tc>
          <w:tcPr>
            <w:tcW w:w="259" w:type="dxa"/>
            <w:tcBorders>
              <w:top w:val="nil"/>
              <w:left w:val="nil"/>
              <w:bottom w:val="single" w:sz="4" w:space="0" w:color="ADD6EA"/>
              <w:right w:val="nil"/>
            </w:tcBorders>
            <w:shd w:val="clear" w:color="000000" w:fill="FFFFFF"/>
            <w:hideMark/>
          </w:tcPr>
          <w:p w14:paraId="5BC54EEF"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3B7201B6"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40.24</w:t>
            </w:r>
          </w:p>
        </w:tc>
        <w:tc>
          <w:tcPr>
            <w:tcW w:w="3365" w:type="dxa"/>
            <w:tcBorders>
              <w:top w:val="nil"/>
              <w:left w:val="nil"/>
              <w:bottom w:val="single" w:sz="4" w:space="0" w:color="ADD6EA"/>
              <w:right w:val="nil"/>
            </w:tcBorders>
            <w:shd w:val="clear" w:color="000000" w:fill="FFFFFF"/>
            <w:vAlign w:val="center"/>
            <w:hideMark/>
          </w:tcPr>
          <w:p w14:paraId="1FB8899F"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Orthotics</w:t>
            </w:r>
          </w:p>
        </w:tc>
        <w:tc>
          <w:tcPr>
            <w:tcW w:w="3345" w:type="dxa"/>
            <w:tcBorders>
              <w:top w:val="nil"/>
              <w:left w:val="nil"/>
              <w:bottom w:val="single" w:sz="4" w:space="0" w:color="ADD6EA"/>
              <w:right w:val="nil"/>
            </w:tcBorders>
            <w:shd w:val="clear" w:color="000000" w:fill="FFFFFF"/>
            <w:vAlign w:val="center"/>
            <w:hideMark/>
          </w:tcPr>
          <w:p w14:paraId="05845ED3"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Allied health services</w:t>
            </w:r>
          </w:p>
        </w:tc>
        <w:tc>
          <w:tcPr>
            <w:tcW w:w="1125" w:type="dxa"/>
            <w:tcBorders>
              <w:top w:val="nil"/>
              <w:left w:val="nil"/>
              <w:bottom w:val="single" w:sz="4" w:space="0" w:color="ADD6EA"/>
              <w:right w:val="nil"/>
            </w:tcBorders>
            <w:shd w:val="clear" w:color="000000" w:fill="FFFFFF"/>
            <w:vAlign w:val="center"/>
            <w:hideMark/>
          </w:tcPr>
          <w:p w14:paraId="423671C2"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0.6</w:t>
            </w:r>
          </w:p>
        </w:tc>
      </w:tr>
      <w:tr w:rsidR="006C1CF0" w:rsidRPr="00121114" w14:paraId="04C5CCA7" w14:textId="77777777" w:rsidTr="002464D7">
        <w:trPr>
          <w:trHeight w:val="285"/>
        </w:trPr>
        <w:tc>
          <w:tcPr>
            <w:tcW w:w="259" w:type="dxa"/>
            <w:tcBorders>
              <w:top w:val="nil"/>
              <w:left w:val="nil"/>
              <w:bottom w:val="single" w:sz="4" w:space="0" w:color="ADD6EA"/>
              <w:right w:val="nil"/>
            </w:tcBorders>
            <w:shd w:val="clear" w:color="000000" w:fill="FFFFFF"/>
            <w:hideMark/>
          </w:tcPr>
          <w:p w14:paraId="31871314"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25F3BB03"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40.25</w:t>
            </w:r>
          </w:p>
        </w:tc>
        <w:tc>
          <w:tcPr>
            <w:tcW w:w="3365" w:type="dxa"/>
            <w:tcBorders>
              <w:top w:val="nil"/>
              <w:left w:val="nil"/>
              <w:bottom w:val="single" w:sz="4" w:space="0" w:color="ADD6EA"/>
              <w:right w:val="nil"/>
            </w:tcBorders>
            <w:shd w:val="clear" w:color="000000" w:fill="FFFFFF"/>
            <w:vAlign w:val="center"/>
            <w:hideMark/>
          </w:tcPr>
          <w:p w14:paraId="125A2647"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Podiatry</w:t>
            </w:r>
          </w:p>
        </w:tc>
        <w:tc>
          <w:tcPr>
            <w:tcW w:w="3345" w:type="dxa"/>
            <w:tcBorders>
              <w:top w:val="nil"/>
              <w:left w:val="nil"/>
              <w:bottom w:val="single" w:sz="4" w:space="0" w:color="ADD6EA"/>
              <w:right w:val="nil"/>
            </w:tcBorders>
            <w:shd w:val="clear" w:color="000000" w:fill="FFFFFF"/>
            <w:vAlign w:val="center"/>
            <w:hideMark/>
          </w:tcPr>
          <w:p w14:paraId="277B3083"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Allied health services</w:t>
            </w:r>
          </w:p>
        </w:tc>
        <w:tc>
          <w:tcPr>
            <w:tcW w:w="1125" w:type="dxa"/>
            <w:tcBorders>
              <w:top w:val="nil"/>
              <w:left w:val="nil"/>
              <w:bottom w:val="single" w:sz="4" w:space="0" w:color="ADD6EA"/>
              <w:right w:val="nil"/>
            </w:tcBorders>
            <w:shd w:val="clear" w:color="000000" w:fill="FFFFFF"/>
            <w:vAlign w:val="center"/>
            <w:hideMark/>
          </w:tcPr>
          <w:p w14:paraId="3C00C657"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1.4</w:t>
            </w:r>
          </w:p>
        </w:tc>
      </w:tr>
      <w:tr w:rsidR="006C1CF0" w:rsidRPr="00121114" w14:paraId="405B127E" w14:textId="77777777" w:rsidTr="002464D7">
        <w:trPr>
          <w:trHeight w:val="285"/>
        </w:trPr>
        <w:tc>
          <w:tcPr>
            <w:tcW w:w="259" w:type="dxa"/>
            <w:tcBorders>
              <w:top w:val="nil"/>
              <w:left w:val="nil"/>
              <w:bottom w:val="single" w:sz="4" w:space="0" w:color="ADD6EA"/>
              <w:right w:val="nil"/>
            </w:tcBorders>
            <w:shd w:val="clear" w:color="000000" w:fill="FFFFFF"/>
            <w:hideMark/>
          </w:tcPr>
          <w:p w14:paraId="3348DC5D"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0D3AB062"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40.27</w:t>
            </w:r>
          </w:p>
        </w:tc>
        <w:tc>
          <w:tcPr>
            <w:tcW w:w="3365" w:type="dxa"/>
            <w:tcBorders>
              <w:top w:val="nil"/>
              <w:left w:val="nil"/>
              <w:bottom w:val="single" w:sz="4" w:space="0" w:color="ADD6EA"/>
              <w:right w:val="nil"/>
            </w:tcBorders>
            <w:shd w:val="clear" w:color="000000" w:fill="FFFFFF"/>
            <w:vAlign w:val="center"/>
            <w:hideMark/>
          </w:tcPr>
          <w:p w14:paraId="1F8D55DA"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Family planning</w:t>
            </w:r>
          </w:p>
        </w:tc>
        <w:tc>
          <w:tcPr>
            <w:tcW w:w="3345" w:type="dxa"/>
            <w:tcBorders>
              <w:top w:val="nil"/>
              <w:left w:val="nil"/>
              <w:bottom w:val="single" w:sz="4" w:space="0" w:color="ADD6EA"/>
              <w:right w:val="nil"/>
            </w:tcBorders>
            <w:shd w:val="clear" w:color="000000" w:fill="FFFFFF"/>
            <w:vAlign w:val="center"/>
            <w:hideMark/>
          </w:tcPr>
          <w:p w14:paraId="0C235328"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Family and child health services</w:t>
            </w:r>
          </w:p>
        </w:tc>
        <w:tc>
          <w:tcPr>
            <w:tcW w:w="1125" w:type="dxa"/>
            <w:tcBorders>
              <w:top w:val="nil"/>
              <w:left w:val="nil"/>
              <w:bottom w:val="single" w:sz="4" w:space="0" w:color="ADD6EA"/>
              <w:right w:val="nil"/>
            </w:tcBorders>
            <w:shd w:val="clear" w:color="000000" w:fill="FFFFFF"/>
            <w:vAlign w:val="center"/>
            <w:hideMark/>
          </w:tcPr>
          <w:p w14:paraId="4239D988" w14:textId="6AF0AF64"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w:t>
            </w:r>
            <w:r w:rsidR="004D6D60">
              <w:rPr>
                <w:rFonts w:eastAsia="Times New Roman" w:cs="Open Sans Light"/>
                <w:color w:val="000000"/>
                <w:sz w:val="16"/>
                <w:szCs w:val="16"/>
                <w:lang w:eastAsia="en-AU"/>
              </w:rPr>
              <w:t>b</w:t>
            </w:r>
            <w:r w:rsidRPr="00786737">
              <w:rPr>
                <w:rFonts w:eastAsia="Times New Roman" w:cs="Open Sans Light"/>
                <w:color w:val="000000"/>
                <w:sz w:val="16"/>
                <w:szCs w:val="16"/>
                <w:lang w:eastAsia="en-AU"/>
              </w:rPr>
              <w:t>)</w:t>
            </w:r>
          </w:p>
        </w:tc>
      </w:tr>
      <w:tr w:rsidR="006C1CF0" w:rsidRPr="00121114" w14:paraId="6B2F5C0B" w14:textId="77777777" w:rsidTr="002464D7">
        <w:trPr>
          <w:trHeight w:val="285"/>
        </w:trPr>
        <w:tc>
          <w:tcPr>
            <w:tcW w:w="259" w:type="dxa"/>
            <w:tcBorders>
              <w:top w:val="nil"/>
              <w:left w:val="nil"/>
              <w:bottom w:val="single" w:sz="4" w:space="0" w:color="ADD6EA"/>
              <w:right w:val="nil"/>
            </w:tcBorders>
            <w:shd w:val="clear" w:color="000000" w:fill="FFFFFF"/>
            <w:hideMark/>
          </w:tcPr>
          <w:p w14:paraId="00E14EAF"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5E943A0F"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40.28</w:t>
            </w:r>
          </w:p>
        </w:tc>
        <w:tc>
          <w:tcPr>
            <w:tcW w:w="3365" w:type="dxa"/>
            <w:tcBorders>
              <w:top w:val="nil"/>
              <w:left w:val="nil"/>
              <w:bottom w:val="single" w:sz="4" w:space="0" w:color="ADD6EA"/>
              <w:right w:val="nil"/>
            </w:tcBorders>
            <w:shd w:val="clear" w:color="000000" w:fill="FFFFFF"/>
            <w:vAlign w:val="center"/>
            <w:hideMark/>
          </w:tcPr>
          <w:p w14:paraId="77842AE9"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Midwifery and maternity</w:t>
            </w:r>
          </w:p>
        </w:tc>
        <w:tc>
          <w:tcPr>
            <w:tcW w:w="3345" w:type="dxa"/>
            <w:tcBorders>
              <w:top w:val="nil"/>
              <w:left w:val="nil"/>
              <w:bottom w:val="single" w:sz="4" w:space="0" w:color="ADD6EA"/>
              <w:right w:val="nil"/>
            </w:tcBorders>
            <w:shd w:val="clear" w:color="000000" w:fill="FFFFFF"/>
            <w:vAlign w:val="center"/>
            <w:hideMark/>
          </w:tcPr>
          <w:p w14:paraId="246F33AB"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Family and child health services</w:t>
            </w:r>
          </w:p>
        </w:tc>
        <w:tc>
          <w:tcPr>
            <w:tcW w:w="1125" w:type="dxa"/>
            <w:tcBorders>
              <w:top w:val="nil"/>
              <w:left w:val="nil"/>
              <w:bottom w:val="single" w:sz="4" w:space="0" w:color="ADD6EA"/>
              <w:right w:val="nil"/>
            </w:tcBorders>
            <w:shd w:val="clear" w:color="000000" w:fill="FFFFFF"/>
            <w:vAlign w:val="center"/>
            <w:hideMark/>
          </w:tcPr>
          <w:p w14:paraId="591DE6E2"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13.9</w:t>
            </w:r>
          </w:p>
        </w:tc>
      </w:tr>
      <w:tr w:rsidR="006C1CF0" w:rsidRPr="00121114" w14:paraId="4A03F1B7" w14:textId="77777777" w:rsidTr="002464D7">
        <w:trPr>
          <w:trHeight w:val="285"/>
        </w:trPr>
        <w:tc>
          <w:tcPr>
            <w:tcW w:w="259" w:type="dxa"/>
            <w:tcBorders>
              <w:top w:val="nil"/>
              <w:left w:val="nil"/>
              <w:bottom w:val="single" w:sz="4" w:space="0" w:color="ADD6EA"/>
              <w:right w:val="nil"/>
            </w:tcBorders>
            <w:shd w:val="clear" w:color="000000" w:fill="FFFFFF"/>
            <w:hideMark/>
          </w:tcPr>
          <w:p w14:paraId="12EAFA13"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5B8869EA"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40.29</w:t>
            </w:r>
          </w:p>
        </w:tc>
        <w:tc>
          <w:tcPr>
            <w:tcW w:w="3365" w:type="dxa"/>
            <w:tcBorders>
              <w:top w:val="nil"/>
              <w:left w:val="nil"/>
              <w:bottom w:val="single" w:sz="4" w:space="0" w:color="ADD6EA"/>
              <w:right w:val="nil"/>
            </w:tcBorders>
            <w:shd w:val="clear" w:color="000000" w:fill="FFFFFF"/>
            <w:vAlign w:val="center"/>
            <w:hideMark/>
          </w:tcPr>
          <w:p w14:paraId="1B542CFF"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Psychology</w:t>
            </w:r>
          </w:p>
        </w:tc>
        <w:tc>
          <w:tcPr>
            <w:tcW w:w="3345" w:type="dxa"/>
            <w:tcBorders>
              <w:top w:val="nil"/>
              <w:left w:val="nil"/>
              <w:bottom w:val="single" w:sz="4" w:space="0" w:color="ADD6EA"/>
              <w:right w:val="nil"/>
            </w:tcBorders>
            <w:shd w:val="clear" w:color="000000" w:fill="FFFFFF"/>
            <w:vAlign w:val="center"/>
            <w:hideMark/>
          </w:tcPr>
          <w:p w14:paraId="074EF733"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 mental health services</w:t>
            </w:r>
          </w:p>
        </w:tc>
        <w:tc>
          <w:tcPr>
            <w:tcW w:w="1125" w:type="dxa"/>
            <w:tcBorders>
              <w:top w:val="nil"/>
              <w:left w:val="nil"/>
              <w:bottom w:val="single" w:sz="4" w:space="0" w:color="ADD6EA"/>
              <w:right w:val="nil"/>
            </w:tcBorders>
            <w:shd w:val="clear" w:color="000000" w:fill="FFFFFF"/>
            <w:vAlign w:val="center"/>
            <w:hideMark/>
          </w:tcPr>
          <w:p w14:paraId="7B6E1AB8"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1.7</w:t>
            </w:r>
          </w:p>
        </w:tc>
      </w:tr>
      <w:tr w:rsidR="006C1CF0" w:rsidRPr="00121114" w14:paraId="1709E17A" w14:textId="77777777" w:rsidTr="002464D7">
        <w:trPr>
          <w:trHeight w:val="285"/>
        </w:trPr>
        <w:tc>
          <w:tcPr>
            <w:tcW w:w="259" w:type="dxa"/>
            <w:tcBorders>
              <w:top w:val="nil"/>
              <w:left w:val="nil"/>
              <w:bottom w:val="single" w:sz="4" w:space="0" w:color="ADD6EA"/>
              <w:right w:val="nil"/>
            </w:tcBorders>
            <w:shd w:val="clear" w:color="000000" w:fill="FFFFFF"/>
            <w:hideMark/>
          </w:tcPr>
          <w:p w14:paraId="145CD07A"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47B68760"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40.30</w:t>
            </w:r>
          </w:p>
        </w:tc>
        <w:tc>
          <w:tcPr>
            <w:tcW w:w="3365" w:type="dxa"/>
            <w:tcBorders>
              <w:top w:val="nil"/>
              <w:left w:val="nil"/>
              <w:bottom w:val="single" w:sz="4" w:space="0" w:color="ADD6EA"/>
              <w:right w:val="nil"/>
            </w:tcBorders>
            <w:shd w:val="clear" w:color="000000" w:fill="FFFFFF"/>
            <w:vAlign w:val="center"/>
            <w:hideMark/>
          </w:tcPr>
          <w:p w14:paraId="40744A69"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Alcohol and other drugs</w:t>
            </w:r>
          </w:p>
        </w:tc>
        <w:tc>
          <w:tcPr>
            <w:tcW w:w="3345" w:type="dxa"/>
            <w:tcBorders>
              <w:top w:val="nil"/>
              <w:left w:val="nil"/>
              <w:bottom w:val="single" w:sz="4" w:space="0" w:color="ADD6EA"/>
              <w:right w:val="nil"/>
            </w:tcBorders>
            <w:shd w:val="clear" w:color="000000" w:fill="FFFFFF"/>
            <w:vAlign w:val="center"/>
            <w:hideMark/>
          </w:tcPr>
          <w:p w14:paraId="4857847F"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Alcohol and other drug services</w:t>
            </w:r>
          </w:p>
        </w:tc>
        <w:tc>
          <w:tcPr>
            <w:tcW w:w="1125" w:type="dxa"/>
            <w:tcBorders>
              <w:top w:val="nil"/>
              <w:left w:val="nil"/>
              <w:bottom w:val="single" w:sz="4" w:space="0" w:color="ADD6EA"/>
              <w:right w:val="nil"/>
            </w:tcBorders>
            <w:shd w:val="clear" w:color="000000" w:fill="FFFFFF"/>
            <w:vAlign w:val="center"/>
            <w:hideMark/>
          </w:tcPr>
          <w:p w14:paraId="6082DA9F"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4.4</w:t>
            </w:r>
          </w:p>
        </w:tc>
      </w:tr>
      <w:tr w:rsidR="006C1CF0" w:rsidRPr="00121114" w14:paraId="6018628D" w14:textId="77777777" w:rsidTr="002464D7">
        <w:trPr>
          <w:trHeight w:val="285"/>
        </w:trPr>
        <w:tc>
          <w:tcPr>
            <w:tcW w:w="259" w:type="dxa"/>
            <w:tcBorders>
              <w:top w:val="nil"/>
              <w:left w:val="nil"/>
              <w:bottom w:val="single" w:sz="4" w:space="0" w:color="ADD6EA"/>
              <w:right w:val="nil"/>
            </w:tcBorders>
            <w:shd w:val="clear" w:color="000000" w:fill="FFFFFF"/>
            <w:hideMark/>
          </w:tcPr>
          <w:p w14:paraId="711BC562"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5170260E"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40.31</w:t>
            </w:r>
          </w:p>
        </w:tc>
        <w:tc>
          <w:tcPr>
            <w:tcW w:w="3365" w:type="dxa"/>
            <w:tcBorders>
              <w:top w:val="nil"/>
              <w:left w:val="nil"/>
              <w:bottom w:val="single" w:sz="4" w:space="0" w:color="ADD6EA"/>
              <w:right w:val="nil"/>
            </w:tcBorders>
            <w:shd w:val="clear" w:color="000000" w:fill="FFFFFF"/>
            <w:vAlign w:val="center"/>
            <w:hideMark/>
          </w:tcPr>
          <w:p w14:paraId="5670BED3"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Burns</w:t>
            </w:r>
          </w:p>
        </w:tc>
        <w:tc>
          <w:tcPr>
            <w:tcW w:w="3345" w:type="dxa"/>
            <w:tcBorders>
              <w:top w:val="nil"/>
              <w:left w:val="nil"/>
              <w:bottom w:val="single" w:sz="4" w:space="0" w:color="ADD6EA"/>
              <w:right w:val="nil"/>
            </w:tcBorders>
            <w:shd w:val="clear" w:color="000000" w:fill="FFFFFF"/>
            <w:vAlign w:val="center"/>
            <w:hideMark/>
          </w:tcPr>
          <w:p w14:paraId="3E559964"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Community/home nursing services</w:t>
            </w:r>
          </w:p>
        </w:tc>
        <w:tc>
          <w:tcPr>
            <w:tcW w:w="1125" w:type="dxa"/>
            <w:tcBorders>
              <w:top w:val="nil"/>
              <w:left w:val="nil"/>
              <w:bottom w:val="single" w:sz="4" w:space="0" w:color="ADD6EA"/>
              <w:right w:val="nil"/>
            </w:tcBorders>
            <w:shd w:val="clear" w:color="000000" w:fill="FFFFFF"/>
            <w:vAlign w:val="center"/>
            <w:hideMark/>
          </w:tcPr>
          <w:p w14:paraId="74EA6B04"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0.1</w:t>
            </w:r>
          </w:p>
        </w:tc>
      </w:tr>
      <w:tr w:rsidR="006C1CF0" w:rsidRPr="00121114" w14:paraId="2A9DE32A" w14:textId="77777777" w:rsidTr="002464D7">
        <w:trPr>
          <w:trHeight w:val="285"/>
        </w:trPr>
        <w:tc>
          <w:tcPr>
            <w:tcW w:w="259" w:type="dxa"/>
            <w:tcBorders>
              <w:top w:val="nil"/>
              <w:left w:val="nil"/>
              <w:bottom w:val="single" w:sz="4" w:space="0" w:color="ADD6EA"/>
              <w:right w:val="nil"/>
            </w:tcBorders>
            <w:shd w:val="clear" w:color="000000" w:fill="FFFFFF"/>
            <w:hideMark/>
          </w:tcPr>
          <w:p w14:paraId="22899CDB"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14534B0A"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40.32</w:t>
            </w:r>
          </w:p>
        </w:tc>
        <w:tc>
          <w:tcPr>
            <w:tcW w:w="3365" w:type="dxa"/>
            <w:tcBorders>
              <w:top w:val="nil"/>
              <w:left w:val="nil"/>
              <w:bottom w:val="single" w:sz="4" w:space="0" w:color="ADD6EA"/>
              <w:right w:val="nil"/>
            </w:tcBorders>
            <w:shd w:val="clear" w:color="000000" w:fill="FFFFFF"/>
            <w:vAlign w:val="center"/>
            <w:hideMark/>
          </w:tcPr>
          <w:p w14:paraId="5A726B10"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Continence</w:t>
            </w:r>
          </w:p>
        </w:tc>
        <w:tc>
          <w:tcPr>
            <w:tcW w:w="3345" w:type="dxa"/>
            <w:tcBorders>
              <w:top w:val="nil"/>
              <w:left w:val="nil"/>
              <w:bottom w:val="single" w:sz="4" w:space="0" w:color="ADD6EA"/>
              <w:right w:val="nil"/>
            </w:tcBorders>
            <w:shd w:val="clear" w:color="000000" w:fill="FFFFFF"/>
            <w:vAlign w:val="center"/>
            <w:hideMark/>
          </w:tcPr>
          <w:p w14:paraId="728239FF"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Continence services</w:t>
            </w:r>
          </w:p>
        </w:tc>
        <w:tc>
          <w:tcPr>
            <w:tcW w:w="1125" w:type="dxa"/>
            <w:tcBorders>
              <w:top w:val="nil"/>
              <w:left w:val="nil"/>
              <w:bottom w:val="single" w:sz="4" w:space="0" w:color="ADD6EA"/>
              <w:right w:val="nil"/>
            </w:tcBorders>
            <w:shd w:val="clear" w:color="000000" w:fill="FFFFFF"/>
            <w:vAlign w:val="center"/>
            <w:hideMark/>
          </w:tcPr>
          <w:p w14:paraId="08F7EF24"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0.6</w:t>
            </w:r>
          </w:p>
        </w:tc>
      </w:tr>
      <w:tr w:rsidR="006C1CF0" w:rsidRPr="00121114" w14:paraId="545457D0" w14:textId="77777777" w:rsidTr="002464D7">
        <w:trPr>
          <w:trHeight w:val="285"/>
        </w:trPr>
        <w:tc>
          <w:tcPr>
            <w:tcW w:w="259" w:type="dxa"/>
            <w:tcBorders>
              <w:top w:val="nil"/>
              <w:left w:val="nil"/>
              <w:bottom w:val="single" w:sz="4" w:space="0" w:color="ADD6EA"/>
              <w:right w:val="nil"/>
            </w:tcBorders>
            <w:shd w:val="clear" w:color="000000" w:fill="FFFFFF"/>
            <w:hideMark/>
          </w:tcPr>
          <w:p w14:paraId="062086BF"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28DE019D"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40.33</w:t>
            </w:r>
          </w:p>
        </w:tc>
        <w:tc>
          <w:tcPr>
            <w:tcW w:w="3365" w:type="dxa"/>
            <w:tcBorders>
              <w:top w:val="nil"/>
              <w:left w:val="nil"/>
              <w:bottom w:val="single" w:sz="4" w:space="0" w:color="ADD6EA"/>
              <w:right w:val="nil"/>
            </w:tcBorders>
            <w:shd w:val="clear" w:color="000000" w:fill="FFFFFF"/>
            <w:vAlign w:val="center"/>
            <w:hideMark/>
          </w:tcPr>
          <w:p w14:paraId="67F0AEA9"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General counselling</w:t>
            </w:r>
          </w:p>
        </w:tc>
        <w:tc>
          <w:tcPr>
            <w:tcW w:w="3345" w:type="dxa"/>
            <w:tcBorders>
              <w:top w:val="nil"/>
              <w:left w:val="nil"/>
              <w:bottom w:val="single" w:sz="4" w:space="0" w:color="ADD6EA"/>
              <w:right w:val="nil"/>
            </w:tcBorders>
            <w:shd w:val="clear" w:color="000000" w:fill="FFFFFF"/>
            <w:vAlign w:val="center"/>
            <w:hideMark/>
          </w:tcPr>
          <w:p w14:paraId="1769864E"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 mental health services</w:t>
            </w:r>
          </w:p>
        </w:tc>
        <w:tc>
          <w:tcPr>
            <w:tcW w:w="1125" w:type="dxa"/>
            <w:tcBorders>
              <w:top w:val="nil"/>
              <w:left w:val="nil"/>
              <w:bottom w:val="single" w:sz="4" w:space="0" w:color="ADD6EA"/>
              <w:right w:val="nil"/>
            </w:tcBorders>
            <w:shd w:val="clear" w:color="000000" w:fill="FFFFFF"/>
            <w:vAlign w:val="center"/>
            <w:hideMark/>
          </w:tcPr>
          <w:p w14:paraId="465209F2"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(b)</w:t>
            </w:r>
          </w:p>
        </w:tc>
      </w:tr>
      <w:tr w:rsidR="006C1CF0" w:rsidRPr="00121114" w14:paraId="60BFC67D" w14:textId="77777777" w:rsidTr="002464D7">
        <w:trPr>
          <w:trHeight w:val="285"/>
        </w:trPr>
        <w:tc>
          <w:tcPr>
            <w:tcW w:w="259" w:type="dxa"/>
            <w:tcBorders>
              <w:top w:val="nil"/>
              <w:left w:val="nil"/>
              <w:bottom w:val="single" w:sz="4" w:space="0" w:color="ADD6EA"/>
              <w:right w:val="nil"/>
            </w:tcBorders>
            <w:shd w:val="clear" w:color="000000" w:fill="FFFFFF"/>
            <w:hideMark/>
          </w:tcPr>
          <w:p w14:paraId="42B9AAAB"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67D52F5F"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40.34</w:t>
            </w:r>
          </w:p>
        </w:tc>
        <w:tc>
          <w:tcPr>
            <w:tcW w:w="3365" w:type="dxa"/>
            <w:tcBorders>
              <w:top w:val="nil"/>
              <w:left w:val="nil"/>
              <w:bottom w:val="single" w:sz="4" w:space="0" w:color="ADD6EA"/>
              <w:right w:val="nil"/>
            </w:tcBorders>
            <w:shd w:val="clear" w:color="000000" w:fill="FFFFFF"/>
            <w:vAlign w:val="center"/>
            <w:hideMark/>
          </w:tcPr>
          <w:p w14:paraId="788733C3"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Specialist mental health</w:t>
            </w:r>
          </w:p>
        </w:tc>
        <w:tc>
          <w:tcPr>
            <w:tcW w:w="3345" w:type="dxa"/>
            <w:tcBorders>
              <w:top w:val="nil"/>
              <w:left w:val="nil"/>
              <w:bottom w:val="single" w:sz="4" w:space="0" w:color="ADD6EA"/>
              <w:right w:val="nil"/>
            </w:tcBorders>
            <w:shd w:val="clear" w:color="000000" w:fill="FFFFFF"/>
            <w:vAlign w:val="center"/>
            <w:hideMark/>
          </w:tcPr>
          <w:p w14:paraId="75D9C163"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 mental health services</w:t>
            </w:r>
          </w:p>
        </w:tc>
        <w:tc>
          <w:tcPr>
            <w:tcW w:w="1125" w:type="dxa"/>
            <w:tcBorders>
              <w:top w:val="nil"/>
              <w:left w:val="nil"/>
              <w:bottom w:val="single" w:sz="4" w:space="0" w:color="ADD6EA"/>
              <w:right w:val="nil"/>
            </w:tcBorders>
            <w:shd w:val="clear" w:color="000000" w:fill="FFFFFF"/>
            <w:vAlign w:val="center"/>
            <w:hideMark/>
          </w:tcPr>
          <w:p w14:paraId="3DDCF56A" w14:textId="086724A0"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w:t>
            </w:r>
            <w:r w:rsidR="004D6D60">
              <w:rPr>
                <w:rFonts w:eastAsia="Times New Roman" w:cs="Open Sans Light"/>
                <w:color w:val="000000"/>
                <w:sz w:val="16"/>
                <w:szCs w:val="16"/>
                <w:lang w:eastAsia="en-AU"/>
              </w:rPr>
              <w:t>c</w:t>
            </w:r>
            <w:r w:rsidRPr="00786737">
              <w:rPr>
                <w:rFonts w:eastAsia="Times New Roman" w:cs="Open Sans Light"/>
                <w:color w:val="000000"/>
                <w:sz w:val="16"/>
                <w:szCs w:val="16"/>
                <w:lang w:eastAsia="en-AU"/>
              </w:rPr>
              <w:t>)</w:t>
            </w:r>
          </w:p>
        </w:tc>
      </w:tr>
      <w:tr w:rsidR="006C1CF0" w:rsidRPr="00121114" w14:paraId="38123C90" w14:textId="77777777" w:rsidTr="002464D7">
        <w:trPr>
          <w:trHeight w:val="285"/>
        </w:trPr>
        <w:tc>
          <w:tcPr>
            <w:tcW w:w="259" w:type="dxa"/>
            <w:tcBorders>
              <w:top w:val="nil"/>
              <w:left w:val="nil"/>
              <w:bottom w:val="single" w:sz="4" w:space="0" w:color="ADD6EA"/>
              <w:right w:val="nil"/>
            </w:tcBorders>
            <w:shd w:val="clear" w:color="000000" w:fill="FFFFFF"/>
            <w:hideMark/>
          </w:tcPr>
          <w:p w14:paraId="382E813A"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6B206369"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40.35</w:t>
            </w:r>
          </w:p>
        </w:tc>
        <w:tc>
          <w:tcPr>
            <w:tcW w:w="3365" w:type="dxa"/>
            <w:tcBorders>
              <w:top w:val="nil"/>
              <w:left w:val="nil"/>
              <w:bottom w:val="single" w:sz="4" w:space="0" w:color="ADD6EA"/>
              <w:right w:val="nil"/>
            </w:tcBorders>
            <w:shd w:val="clear" w:color="000000" w:fill="FFFFFF"/>
            <w:vAlign w:val="center"/>
            <w:hideMark/>
          </w:tcPr>
          <w:p w14:paraId="5492AF13"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Palliative care</w:t>
            </w:r>
          </w:p>
        </w:tc>
        <w:tc>
          <w:tcPr>
            <w:tcW w:w="3345" w:type="dxa"/>
            <w:tcBorders>
              <w:top w:val="nil"/>
              <w:left w:val="nil"/>
              <w:bottom w:val="single" w:sz="4" w:space="0" w:color="ADD6EA"/>
              <w:right w:val="nil"/>
            </w:tcBorders>
            <w:shd w:val="clear" w:color="000000" w:fill="FFFFFF"/>
            <w:vAlign w:val="center"/>
            <w:hideMark/>
          </w:tcPr>
          <w:p w14:paraId="1A535687"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Community/home nursing services</w:t>
            </w:r>
          </w:p>
        </w:tc>
        <w:tc>
          <w:tcPr>
            <w:tcW w:w="1125" w:type="dxa"/>
            <w:tcBorders>
              <w:top w:val="nil"/>
              <w:left w:val="nil"/>
              <w:bottom w:val="single" w:sz="4" w:space="0" w:color="ADD6EA"/>
              <w:right w:val="nil"/>
            </w:tcBorders>
            <w:shd w:val="clear" w:color="000000" w:fill="FFFFFF"/>
            <w:vAlign w:val="center"/>
            <w:hideMark/>
          </w:tcPr>
          <w:p w14:paraId="0A2B3EBB"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5.2</w:t>
            </w:r>
          </w:p>
        </w:tc>
      </w:tr>
      <w:tr w:rsidR="006C1CF0" w:rsidRPr="00121114" w14:paraId="519903A1" w14:textId="77777777" w:rsidTr="002464D7">
        <w:trPr>
          <w:trHeight w:val="285"/>
        </w:trPr>
        <w:tc>
          <w:tcPr>
            <w:tcW w:w="259" w:type="dxa"/>
            <w:tcBorders>
              <w:top w:val="nil"/>
              <w:left w:val="nil"/>
              <w:bottom w:val="single" w:sz="4" w:space="0" w:color="ADD6EA"/>
              <w:right w:val="nil"/>
            </w:tcBorders>
            <w:shd w:val="clear" w:color="000000" w:fill="FFFFFF"/>
            <w:hideMark/>
          </w:tcPr>
          <w:p w14:paraId="2EAA35BB"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52DC2378"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40.36</w:t>
            </w:r>
          </w:p>
        </w:tc>
        <w:tc>
          <w:tcPr>
            <w:tcW w:w="3365" w:type="dxa"/>
            <w:tcBorders>
              <w:top w:val="nil"/>
              <w:left w:val="nil"/>
              <w:bottom w:val="single" w:sz="4" w:space="0" w:color="ADD6EA"/>
              <w:right w:val="nil"/>
            </w:tcBorders>
            <w:shd w:val="clear" w:color="000000" w:fill="FFFFFF"/>
            <w:vAlign w:val="center"/>
            <w:hideMark/>
          </w:tcPr>
          <w:p w14:paraId="624998F2" w14:textId="04D79BD8"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Geriatric evaluation and management</w:t>
            </w:r>
          </w:p>
        </w:tc>
        <w:tc>
          <w:tcPr>
            <w:tcW w:w="3345" w:type="dxa"/>
            <w:tcBorders>
              <w:top w:val="nil"/>
              <w:left w:val="nil"/>
              <w:bottom w:val="single" w:sz="4" w:space="0" w:color="ADD6EA"/>
              <w:right w:val="nil"/>
            </w:tcBorders>
            <w:shd w:val="clear" w:color="000000" w:fill="FFFFFF"/>
            <w:vAlign w:val="center"/>
            <w:hideMark/>
          </w:tcPr>
          <w:p w14:paraId="3C7D5A66"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Community/home nursing services</w:t>
            </w:r>
          </w:p>
        </w:tc>
        <w:tc>
          <w:tcPr>
            <w:tcW w:w="1125" w:type="dxa"/>
            <w:tcBorders>
              <w:top w:val="nil"/>
              <w:left w:val="nil"/>
              <w:bottom w:val="single" w:sz="4" w:space="0" w:color="ADD6EA"/>
              <w:right w:val="nil"/>
            </w:tcBorders>
            <w:shd w:val="clear" w:color="000000" w:fill="FFFFFF"/>
            <w:vAlign w:val="center"/>
            <w:hideMark/>
          </w:tcPr>
          <w:p w14:paraId="3001D6C5"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1.1</w:t>
            </w:r>
          </w:p>
        </w:tc>
      </w:tr>
      <w:tr w:rsidR="006C1CF0" w:rsidRPr="00121114" w14:paraId="521D8278" w14:textId="77777777" w:rsidTr="002464D7">
        <w:trPr>
          <w:trHeight w:val="285"/>
        </w:trPr>
        <w:tc>
          <w:tcPr>
            <w:tcW w:w="259" w:type="dxa"/>
            <w:tcBorders>
              <w:top w:val="nil"/>
              <w:left w:val="nil"/>
              <w:bottom w:val="single" w:sz="4" w:space="0" w:color="ADD6EA"/>
              <w:right w:val="nil"/>
            </w:tcBorders>
            <w:shd w:val="clear" w:color="000000" w:fill="FFFFFF"/>
            <w:hideMark/>
          </w:tcPr>
          <w:p w14:paraId="762D1CF0"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3BBC2124"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40.37</w:t>
            </w:r>
          </w:p>
        </w:tc>
        <w:tc>
          <w:tcPr>
            <w:tcW w:w="3365" w:type="dxa"/>
            <w:tcBorders>
              <w:top w:val="nil"/>
              <w:left w:val="nil"/>
              <w:bottom w:val="single" w:sz="4" w:space="0" w:color="ADD6EA"/>
              <w:right w:val="nil"/>
            </w:tcBorders>
            <w:shd w:val="clear" w:color="000000" w:fill="FFFFFF"/>
            <w:vAlign w:val="center"/>
            <w:hideMark/>
          </w:tcPr>
          <w:p w14:paraId="3B5048F5"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Psychogeriatric</w:t>
            </w:r>
          </w:p>
        </w:tc>
        <w:tc>
          <w:tcPr>
            <w:tcW w:w="3345" w:type="dxa"/>
            <w:tcBorders>
              <w:top w:val="nil"/>
              <w:left w:val="nil"/>
              <w:bottom w:val="single" w:sz="4" w:space="0" w:color="ADD6EA"/>
              <w:right w:val="nil"/>
            </w:tcBorders>
            <w:shd w:val="clear" w:color="000000" w:fill="FFFFFF"/>
            <w:vAlign w:val="center"/>
            <w:hideMark/>
          </w:tcPr>
          <w:p w14:paraId="120BA18B"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Community/home nursing services</w:t>
            </w:r>
          </w:p>
        </w:tc>
        <w:tc>
          <w:tcPr>
            <w:tcW w:w="1125" w:type="dxa"/>
            <w:tcBorders>
              <w:top w:val="nil"/>
              <w:left w:val="nil"/>
              <w:bottom w:val="single" w:sz="4" w:space="0" w:color="ADD6EA"/>
              <w:right w:val="nil"/>
            </w:tcBorders>
            <w:shd w:val="clear" w:color="000000" w:fill="FFFFFF"/>
            <w:vAlign w:val="center"/>
            <w:hideMark/>
          </w:tcPr>
          <w:p w14:paraId="6341105C"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0.0</w:t>
            </w:r>
          </w:p>
        </w:tc>
      </w:tr>
      <w:tr w:rsidR="006C1CF0" w:rsidRPr="00121114" w14:paraId="7D9D1924" w14:textId="77777777" w:rsidTr="002464D7">
        <w:trPr>
          <w:trHeight w:val="285"/>
        </w:trPr>
        <w:tc>
          <w:tcPr>
            <w:tcW w:w="259" w:type="dxa"/>
            <w:tcBorders>
              <w:top w:val="nil"/>
              <w:left w:val="nil"/>
              <w:bottom w:val="single" w:sz="4" w:space="0" w:color="ADD6EA"/>
              <w:right w:val="nil"/>
            </w:tcBorders>
            <w:shd w:val="clear" w:color="000000" w:fill="FFFFFF"/>
            <w:hideMark/>
          </w:tcPr>
          <w:p w14:paraId="512328C2"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4CDF7B49"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40.38</w:t>
            </w:r>
          </w:p>
        </w:tc>
        <w:tc>
          <w:tcPr>
            <w:tcW w:w="3365" w:type="dxa"/>
            <w:tcBorders>
              <w:top w:val="nil"/>
              <w:left w:val="nil"/>
              <w:bottom w:val="single" w:sz="4" w:space="0" w:color="ADD6EA"/>
              <w:right w:val="nil"/>
            </w:tcBorders>
            <w:shd w:val="clear" w:color="000000" w:fill="FFFFFF"/>
            <w:vAlign w:val="center"/>
            <w:hideMark/>
          </w:tcPr>
          <w:p w14:paraId="34896D12"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Infectious diseases</w:t>
            </w:r>
          </w:p>
        </w:tc>
        <w:tc>
          <w:tcPr>
            <w:tcW w:w="3345" w:type="dxa"/>
            <w:tcBorders>
              <w:top w:val="nil"/>
              <w:left w:val="nil"/>
              <w:bottom w:val="single" w:sz="4" w:space="0" w:color="ADD6EA"/>
              <w:right w:val="nil"/>
            </w:tcBorders>
            <w:shd w:val="clear" w:color="000000" w:fill="FFFFFF"/>
            <w:vAlign w:val="center"/>
            <w:hideMark/>
          </w:tcPr>
          <w:p w14:paraId="172A254E"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Communicable disease control</w:t>
            </w:r>
          </w:p>
        </w:tc>
        <w:tc>
          <w:tcPr>
            <w:tcW w:w="1125" w:type="dxa"/>
            <w:tcBorders>
              <w:top w:val="nil"/>
              <w:left w:val="nil"/>
              <w:bottom w:val="single" w:sz="4" w:space="0" w:color="ADD6EA"/>
              <w:right w:val="nil"/>
            </w:tcBorders>
            <w:shd w:val="clear" w:color="000000" w:fill="FFFFFF"/>
            <w:vAlign w:val="center"/>
            <w:hideMark/>
          </w:tcPr>
          <w:p w14:paraId="46E5EC0A"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0.9</w:t>
            </w:r>
          </w:p>
        </w:tc>
      </w:tr>
      <w:tr w:rsidR="006C1CF0" w:rsidRPr="00121114" w14:paraId="179FE3C9" w14:textId="77777777" w:rsidTr="002464D7">
        <w:trPr>
          <w:trHeight w:val="285"/>
        </w:trPr>
        <w:tc>
          <w:tcPr>
            <w:tcW w:w="259" w:type="dxa"/>
            <w:tcBorders>
              <w:top w:val="nil"/>
              <w:left w:val="nil"/>
              <w:bottom w:val="single" w:sz="4" w:space="0" w:color="ADD6EA"/>
              <w:right w:val="nil"/>
            </w:tcBorders>
            <w:shd w:val="clear" w:color="000000" w:fill="FFFFFF"/>
            <w:hideMark/>
          </w:tcPr>
          <w:p w14:paraId="0EDA6E4C"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6CC60298"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40.51</w:t>
            </w:r>
          </w:p>
        </w:tc>
        <w:tc>
          <w:tcPr>
            <w:tcW w:w="3365" w:type="dxa"/>
            <w:tcBorders>
              <w:top w:val="nil"/>
              <w:left w:val="nil"/>
              <w:bottom w:val="single" w:sz="4" w:space="0" w:color="ADD6EA"/>
              <w:right w:val="nil"/>
            </w:tcBorders>
            <w:shd w:val="clear" w:color="000000" w:fill="FFFFFF"/>
            <w:vAlign w:val="center"/>
            <w:hideMark/>
          </w:tcPr>
          <w:p w14:paraId="035E68C6"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Breast</w:t>
            </w:r>
          </w:p>
        </w:tc>
        <w:tc>
          <w:tcPr>
            <w:tcW w:w="3345" w:type="dxa"/>
            <w:tcBorders>
              <w:top w:val="nil"/>
              <w:left w:val="nil"/>
              <w:bottom w:val="single" w:sz="4" w:space="0" w:color="ADD6EA"/>
              <w:right w:val="nil"/>
            </w:tcBorders>
            <w:shd w:val="clear" w:color="000000" w:fill="FFFFFF"/>
            <w:vAlign w:val="center"/>
            <w:hideMark/>
          </w:tcPr>
          <w:p w14:paraId="57E6289A" w14:textId="0192CD64"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Cancer screening (bundled with main s</w:t>
            </w:r>
            <w:r w:rsidR="00DB01ED" w:rsidRPr="00786737">
              <w:rPr>
                <w:rFonts w:eastAsia="Times New Roman" w:cs="Open Sans Light"/>
                <w:color w:val="000000"/>
                <w:sz w:val="16"/>
                <w:szCs w:val="16"/>
                <w:lang w:eastAsia="en-AU"/>
              </w:rPr>
              <w:t>vc</w:t>
            </w:r>
            <w:r w:rsidRPr="00786737">
              <w:rPr>
                <w:rFonts w:eastAsia="Times New Roman" w:cs="Open Sans Light"/>
                <w:color w:val="000000"/>
                <w:sz w:val="16"/>
                <w:szCs w:val="16"/>
                <w:lang w:eastAsia="en-AU"/>
              </w:rPr>
              <w:t>)</w:t>
            </w:r>
          </w:p>
        </w:tc>
        <w:tc>
          <w:tcPr>
            <w:tcW w:w="1125" w:type="dxa"/>
            <w:tcBorders>
              <w:top w:val="nil"/>
              <w:left w:val="nil"/>
              <w:bottom w:val="single" w:sz="4" w:space="0" w:color="ADD6EA"/>
              <w:right w:val="nil"/>
            </w:tcBorders>
            <w:shd w:val="clear" w:color="000000" w:fill="FFFFFF"/>
            <w:vAlign w:val="center"/>
            <w:hideMark/>
          </w:tcPr>
          <w:p w14:paraId="33B09063"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0.5</w:t>
            </w:r>
          </w:p>
        </w:tc>
      </w:tr>
      <w:tr w:rsidR="006C1CF0" w:rsidRPr="00121114" w14:paraId="3B51B98A" w14:textId="77777777" w:rsidTr="002464D7">
        <w:trPr>
          <w:trHeight w:val="285"/>
        </w:trPr>
        <w:tc>
          <w:tcPr>
            <w:tcW w:w="259" w:type="dxa"/>
            <w:tcBorders>
              <w:top w:val="nil"/>
              <w:left w:val="nil"/>
              <w:bottom w:val="single" w:sz="4" w:space="0" w:color="ADD6EA"/>
              <w:right w:val="nil"/>
            </w:tcBorders>
            <w:shd w:val="clear" w:color="000000" w:fill="FFFFFF"/>
            <w:hideMark/>
          </w:tcPr>
          <w:p w14:paraId="6BF243E0"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4822C882"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40.55</w:t>
            </w:r>
          </w:p>
        </w:tc>
        <w:tc>
          <w:tcPr>
            <w:tcW w:w="3365" w:type="dxa"/>
            <w:tcBorders>
              <w:top w:val="nil"/>
              <w:left w:val="nil"/>
              <w:bottom w:val="single" w:sz="4" w:space="0" w:color="ADD6EA"/>
              <w:right w:val="nil"/>
            </w:tcBorders>
            <w:shd w:val="clear" w:color="000000" w:fill="FFFFFF"/>
            <w:vAlign w:val="center"/>
            <w:hideMark/>
          </w:tcPr>
          <w:p w14:paraId="7972FEDC"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Paediatrics</w:t>
            </w:r>
          </w:p>
        </w:tc>
        <w:tc>
          <w:tcPr>
            <w:tcW w:w="3345" w:type="dxa"/>
            <w:tcBorders>
              <w:top w:val="nil"/>
              <w:left w:val="nil"/>
              <w:bottom w:val="single" w:sz="4" w:space="0" w:color="ADD6EA"/>
              <w:right w:val="nil"/>
            </w:tcBorders>
            <w:shd w:val="clear" w:color="000000" w:fill="FFFFFF"/>
            <w:vAlign w:val="center"/>
            <w:hideMark/>
          </w:tcPr>
          <w:p w14:paraId="4BA843BE"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Family and child health services</w:t>
            </w:r>
          </w:p>
        </w:tc>
        <w:tc>
          <w:tcPr>
            <w:tcW w:w="1125" w:type="dxa"/>
            <w:tcBorders>
              <w:top w:val="nil"/>
              <w:left w:val="nil"/>
              <w:bottom w:val="single" w:sz="4" w:space="0" w:color="ADD6EA"/>
              <w:right w:val="nil"/>
            </w:tcBorders>
            <w:shd w:val="clear" w:color="000000" w:fill="FFFFFF"/>
            <w:vAlign w:val="center"/>
            <w:hideMark/>
          </w:tcPr>
          <w:p w14:paraId="113BB9C0"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2.1</w:t>
            </w:r>
          </w:p>
        </w:tc>
      </w:tr>
      <w:tr w:rsidR="006C1CF0" w:rsidRPr="00121114" w14:paraId="29BB833C" w14:textId="77777777" w:rsidTr="002464D7">
        <w:trPr>
          <w:trHeight w:val="285"/>
        </w:trPr>
        <w:tc>
          <w:tcPr>
            <w:tcW w:w="259" w:type="dxa"/>
            <w:tcBorders>
              <w:top w:val="nil"/>
              <w:left w:val="nil"/>
              <w:bottom w:val="single" w:sz="4" w:space="0" w:color="ADD6EA"/>
              <w:right w:val="nil"/>
            </w:tcBorders>
            <w:shd w:val="clear" w:color="000000" w:fill="FFFFFF"/>
            <w:hideMark/>
          </w:tcPr>
          <w:p w14:paraId="4947C537"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61659FE7"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40.56</w:t>
            </w:r>
          </w:p>
        </w:tc>
        <w:tc>
          <w:tcPr>
            <w:tcW w:w="3365" w:type="dxa"/>
            <w:tcBorders>
              <w:top w:val="nil"/>
              <w:left w:val="nil"/>
              <w:bottom w:val="single" w:sz="4" w:space="0" w:color="ADD6EA"/>
              <w:right w:val="nil"/>
            </w:tcBorders>
            <w:shd w:val="clear" w:color="000000" w:fill="FFFFFF"/>
            <w:vAlign w:val="center"/>
            <w:hideMark/>
          </w:tcPr>
          <w:p w14:paraId="12B4415B"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Falls prevention</w:t>
            </w:r>
          </w:p>
        </w:tc>
        <w:tc>
          <w:tcPr>
            <w:tcW w:w="3345" w:type="dxa"/>
            <w:tcBorders>
              <w:top w:val="nil"/>
              <w:left w:val="nil"/>
              <w:bottom w:val="single" w:sz="4" w:space="0" w:color="ADD6EA"/>
              <w:right w:val="nil"/>
            </w:tcBorders>
            <w:shd w:val="clear" w:color="000000" w:fill="FFFFFF"/>
            <w:vAlign w:val="center"/>
            <w:hideMark/>
          </w:tcPr>
          <w:p w14:paraId="283BEAC5"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Community/home nursing services</w:t>
            </w:r>
          </w:p>
        </w:tc>
        <w:tc>
          <w:tcPr>
            <w:tcW w:w="1125" w:type="dxa"/>
            <w:tcBorders>
              <w:top w:val="nil"/>
              <w:left w:val="nil"/>
              <w:bottom w:val="single" w:sz="4" w:space="0" w:color="ADD6EA"/>
              <w:right w:val="nil"/>
            </w:tcBorders>
            <w:shd w:val="clear" w:color="000000" w:fill="FFFFFF"/>
            <w:vAlign w:val="center"/>
            <w:hideMark/>
          </w:tcPr>
          <w:p w14:paraId="1DAA4F93"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0.1</w:t>
            </w:r>
          </w:p>
        </w:tc>
      </w:tr>
      <w:tr w:rsidR="006C1CF0" w:rsidRPr="00121114" w14:paraId="70667F3C" w14:textId="77777777" w:rsidTr="002464D7">
        <w:trPr>
          <w:trHeight w:val="285"/>
        </w:trPr>
        <w:tc>
          <w:tcPr>
            <w:tcW w:w="259" w:type="dxa"/>
            <w:tcBorders>
              <w:top w:val="nil"/>
              <w:left w:val="nil"/>
              <w:bottom w:val="single" w:sz="4" w:space="0" w:color="ADD6EA"/>
              <w:right w:val="nil"/>
            </w:tcBorders>
            <w:shd w:val="clear" w:color="000000" w:fill="FFFFFF"/>
            <w:hideMark/>
          </w:tcPr>
          <w:p w14:paraId="19A65D8E"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1E5FD260"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40.57</w:t>
            </w:r>
          </w:p>
        </w:tc>
        <w:tc>
          <w:tcPr>
            <w:tcW w:w="3365" w:type="dxa"/>
            <w:tcBorders>
              <w:top w:val="nil"/>
              <w:left w:val="nil"/>
              <w:bottom w:val="single" w:sz="4" w:space="0" w:color="ADD6EA"/>
              <w:right w:val="nil"/>
            </w:tcBorders>
            <w:shd w:val="clear" w:color="000000" w:fill="FFFFFF"/>
            <w:vAlign w:val="center"/>
            <w:hideMark/>
          </w:tcPr>
          <w:p w14:paraId="5D1672C8"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Cognition and memory</w:t>
            </w:r>
          </w:p>
        </w:tc>
        <w:tc>
          <w:tcPr>
            <w:tcW w:w="3345" w:type="dxa"/>
            <w:tcBorders>
              <w:top w:val="nil"/>
              <w:left w:val="nil"/>
              <w:bottom w:val="single" w:sz="4" w:space="0" w:color="ADD6EA"/>
              <w:right w:val="nil"/>
            </w:tcBorders>
            <w:shd w:val="clear" w:color="000000" w:fill="FFFFFF"/>
            <w:vAlign w:val="center"/>
            <w:hideMark/>
          </w:tcPr>
          <w:p w14:paraId="413E4E8E"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Community/home nursing services</w:t>
            </w:r>
          </w:p>
        </w:tc>
        <w:tc>
          <w:tcPr>
            <w:tcW w:w="1125" w:type="dxa"/>
            <w:tcBorders>
              <w:top w:val="nil"/>
              <w:left w:val="nil"/>
              <w:bottom w:val="single" w:sz="4" w:space="0" w:color="ADD6EA"/>
              <w:right w:val="nil"/>
            </w:tcBorders>
            <w:shd w:val="clear" w:color="000000" w:fill="FFFFFF"/>
            <w:vAlign w:val="center"/>
            <w:hideMark/>
          </w:tcPr>
          <w:p w14:paraId="0E5866A5"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0.4</w:t>
            </w:r>
          </w:p>
        </w:tc>
      </w:tr>
      <w:tr w:rsidR="006C1CF0" w:rsidRPr="00121114" w14:paraId="587904D0" w14:textId="77777777" w:rsidTr="002464D7">
        <w:trPr>
          <w:trHeight w:val="285"/>
        </w:trPr>
        <w:tc>
          <w:tcPr>
            <w:tcW w:w="259" w:type="dxa"/>
            <w:tcBorders>
              <w:top w:val="nil"/>
              <w:left w:val="nil"/>
              <w:bottom w:val="single" w:sz="4" w:space="0" w:color="ADD6EA"/>
              <w:right w:val="nil"/>
            </w:tcBorders>
            <w:shd w:val="clear" w:color="000000" w:fill="FFFFFF"/>
            <w:hideMark/>
          </w:tcPr>
          <w:p w14:paraId="272C22F3"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63458B62"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40.58</w:t>
            </w:r>
          </w:p>
        </w:tc>
        <w:tc>
          <w:tcPr>
            <w:tcW w:w="3365" w:type="dxa"/>
            <w:tcBorders>
              <w:top w:val="nil"/>
              <w:left w:val="nil"/>
              <w:bottom w:val="single" w:sz="4" w:space="0" w:color="ADD6EA"/>
              <w:right w:val="nil"/>
            </w:tcBorders>
            <w:shd w:val="clear" w:color="000000" w:fill="FFFFFF"/>
            <w:vAlign w:val="center"/>
            <w:hideMark/>
          </w:tcPr>
          <w:p w14:paraId="7E0116E6"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Hospital avoidance programs</w:t>
            </w:r>
          </w:p>
        </w:tc>
        <w:tc>
          <w:tcPr>
            <w:tcW w:w="3345" w:type="dxa"/>
            <w:tcBorders>
              <w:top w:val="nil"/>
              <w:left w:val="nil"/>
              <w:bottom w:val="single" w:sz="4" w:space="0" w:color="ADD6EA"/>
              <w:right w:val="nil"/>
            </w:tcBorders>
            <w:shd w:val="clear" w:color="000000" w:fill="FFFFFF"/>
            <w:vAlign w:val="center"/>
            <w:hideMark/>
          </w:tcPr>
          <w:p w14:paraId="0AD86FC4"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Chronic disease management</w:t>
            </w:r>
          </w:p>
        </w:tc>
        <w:tc>
          <w:tcPr>
            <w:tcW w:w="1125" w:type="dxa"/>
            <w:tcBorders>
              <w:top w:val="nil"/>
              <w:left w:val="nil"/>
              <w:bottom w:val="single" w:sz="4" w:space="0" w:color="ADD6EA"/>
              <w:right w:val="nil"/>
            </w:tcBorders>
            <w:shd w:val="clear" w:color="000000" w:fill="FFFFFF"/>
            <w:vAlign w:val="center"/>
            <w:hideMark/>
          </w:tcPr>
          <w:p w14:paraId="2C446F92"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8.5</w:t>
            </w:r>
          </w:p>
        </w:tc>
      </w:tr>
      <w:tr w:rsidR="006C1CF0" w:rsidRPr="00121114" w14:paraId="00026088" w14:textId="77777777" w:rsidTr="002464D7">
        <w:trPr>
          <w:trHeight w:val="285"/>
        </w:trPr>
        <w:tc>
          <w:tcPr>
            <w:tcW w:w="259" w:type="dxa"/>
            <w:tcBorders>
              <w:top w:val="nil"/>
              <w:left w:val="nil"/>
              <w:bottom w:val="single" w:sz="4" w:space="0" w:color="ADD6EA"/>
              <w:right w:val="nil"/>
            </w:tcBorders>
            <w:shd w:val="clear" w:color="000000" w:fill="FFFFFF"/>
            <w:hideMark/>
          </w:tcPr>
          <w:p w14:paraId="35BA720F"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4CB682C3"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40.60</w:t>
            </w:r>
          </w:p>
        </w:tc>
        <w:tc>
          <w:tcPr>
            <w:tcW w:w="3365" w:type="dxa"/>
            <w:tcBorders>
              <w:top w:val="nil"/>
              <w:left w:val="nil"/>
              <w:bottom w:val="single" w:sz="4" w:space="0" w:color="ADD6EA"/>
              <w:right w:val="nil"/>
            </w:tcBorders>
            <w:shd w:val="clear" w:color="000000" w:fill="FFFFFF"/>
            <w:vAlign w:val="center"/>
            <w:hideMark/>
          </w:tcPr>
          <w:p w14:paraId="10C36077"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Pulmonary rehabilitation</w:t>
            </w:r>
          </w:p>
        </w:tc>
        <w:tc>
          <w:tcPr>
            <w:tcW w:w="3345" w:type="dxa"/>
            <w:tcBorders>
              <w:top w:val="nil"/>
              <w:left w:val="nil"/>
              <w:bottom w:val="single" w:sz="4" w:space="0" w:color="ADD6EA"/>
              <w:right w:val="nil"/>
            </w:tcBorders>
            <w:shd w:val="clear" w:color="000000" w:fill="FFFFFF"/>
            <w:vAlign w:val="center"/>
            <w:hideMark/>
          </w:tcPr>
          <w:p w14:paraId="32585EBE" w14:textId="77777777" w:rsidR="00A97CC8" w:rsidRPr="00786737" w:rsidRDefault="00A97CC8" w:rsidP="0099475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Chronic disease management</w:t>
            </w:r>
          </w:p>
        </w:tc>
        <w:tc>
          <w:tcPr>
            <w:tcW w:w="1125" w:type="dxa"/>
            <w:tcBorders>
              <w:top w:val="nil"/>
              <w:left w:val="nil"/>
              <w:bottom w:val="single" w:sz="4" w:space="0" w:color="ADD6EA"/>
              <w:right w:val="nil"/>
            </w:tcBorders>
            <w:shd w:val="clear" w:color="000000" w:fill="FFFFFF"/>
            <w:vAlign w:val="center"/>
            <w:hideMark/>
          </w:tcPr>
          <w:p w14:paraId="03376AA1"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0.4</w:t>
            </w:r>
          </w:p>
        </w:tc>
      </w:tr>
      <w:tr w:rsidR="006C1CF0" w:rsidRPr="00121114" w14:paraId="546EF464" w14:textId="77777777" w:rsidTr="002464D7">
        <w:trPr>
          <w:trHeight w:val="285"/>
        </w:trPr>
        <w:tc>
          <w:tcPr>
            <w:tcW w:w="259" w:type="dxa"/>
            <w:tcBorders>
              <w:top w:val="nil"/>
              <w:left w:val="nil"/>
              <w:bottom w:val="single" w:sz="4" w:space="0" w:color="ADD6EA"/>
              <w:right w:val="nil"/>
            </w:tcBorders>
            <w:shd w:val="clear" w:color="000000" w:fill="FFFFFF"/>
            <w:hideMark/>
          </w:tcPr>
          <w:p w14:paraId="763E042B" w14:textId="77777777" w:rsidR="00A97CC8" w:rsidRPr="00786737" w:rsidRDefault="00A97CC8" w:rsidP="00A97CC8">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lastRenderedPageBreak/>
              <w:t> </w:t>
            </w:r>
          </w:p>
        </w:tc>
        <w:tc>
          <w:tcPr>
            <w:tcW w:w="932" w:type="dxa"/>
            <w:tcBorders>
              <w:top w:val="nil"/>
              <w:left w:val="nil"/>
              <w:bottom w:val="single" w:sz="4" w:space="0" w:color="ADD6EA"/>
              <w:right w:val="nil"/>
            </w:tcBorders>
            <w:shd w:val="clear" w:color="000000" w:fill="FFFFFF"/>
            <w:vAlign w:val="center"/>
            <w:hideMark/>
          </w:tcPr>
          <w:p w14:paraId="4432D063" w14:textId="77777777" w:rsidR="00A97CC8" w:rsidRPr="00786737" w:rsidRDefault="00A97CC8" w:rsidP="002464D7">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40.63</w:t>
            </w:r>
          </w:p>
        </w:tc>
        <w:tc>
          <w:tcPr>
            <w:tcW w:w="3365" w:type="dxa"/>
            <w:tcBorders>
              <w:top w:val="nil"/>
              <w:left w:val="nil"/>
              <w:bottom w:val="single" w:sz="4" w:space="0" w:color="ADD6EA"/>
              <w:right w:val="nil"/>
            </w:tcBorders>
            <w:shd w:val="clear" w:color="000000" w:fill="FFFFFF"/>
            <w:vAlign w:val="center"/>
            <w:hideMark/>
          </w:tcPr>
          <w:p w14:paraId="6C714F3D" w14:textId="77777777" w:rsidR="00A97CC8" w:rsidRPr="00786737" w:rsidRDefault="00A97CC8" w:rsidP="002464D7">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COVID-19 response</w:t>
            </w:r>
          </w:p>
        </w:tc>
        <w:tc>
          <w:tcPr>
            <w:tcW w:w="3345" w:type="dxa"/>
            <w:tcBorders>
              <w:top w:val="nil"/>
              <w:left w:val="nil"/>
              <w:bottom w:val="single" w:sz="4" w:space="0" w:color="ADD6EA"/>
              <w:right w:val="nil"/>
            </w:tcBorders>
            <w:shd w:val="clear" w:color="000000" w:fill="FFFFFF"/>
            <w:vAlign w:val="center"/>
            <w:hideMark/>
          </w:tcPr>
          <w:p w14:paraId="51F9B8DE" w14:textId="77777777" w:rsidR="00A97CC8" w:rsidRPr="00786737" w:rsidRDefault="00A97CC8" w:rsidP="002464D7">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Communicable disease control</w:t>
            </w:r>
          </w:p>
        </w:tc>
        <w:tc>
          <w:tcPr>
            <w:tcW w:w="1125" w:type="dxa"/>
            <w:tcBorders>
              <w:top w:val="nil"/>
              <w:left w:val="nil"/>
              <w:bottom w:val="single" w:sz="4" w:space="0" w:color="ADD6EA"/>
              <w:right w:val="nil"/>
            </w:tcBorders>
            <w:shd w:val="clear" w:color="000000" w:fill="FFFFFF"/>
            <w:vAlign w:val="center"/>
            <w:hideMark/>
          </w:tcPr>
          <w:p w14:paraId="7435F117"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25.3</w:t>
            </w:r>
          </w:p>
        </w:tc>
      </w:tr>
      <w:tr w:rsidR="006C1CF0" w:rsidRPr="00121114" w14:paraId="4151DC02" w14:textId="77777777" w:rsidTr="002464D7">
        <w:trPr>
          <w:trHeight w:val="285"/>
        </w:trPr>
        <w:tc>
          <w:tcPr>
            <w:tcW w:w="259" w:type="dxa"/>
            <w:tcBorders>
              <w:top w:val="nil"/>
              <w:left w:val="nil"/>
              <w:bottom w:val="single" w:sz="4" w:space="0" w:color="ADD6EA"/>
              <w:right w:val="nil"/>
            </w:tcBorders>
            <w:shd w:val="clear" w:color="000000" w:fill="FFFFFF"/>
            <w:hideMark/>
          </w:tcPr>
          <w:p w14:paraId="3FA2960A" w14:textId="77777777" w:rsidR="00A97CC8" w:rsidRPr="00D070A0" w:rsidRDefault="00A97CC8" w:rsidP="00A97CC8">
            <w:pPr>
              <w:tabs>
                <w:tab w:val="clear" w:pos="567"/>
              </w:tabs>
              <w:spacing w:before="0" w:line="240" w:lineRule="auto"/>
              <w:rPr>
                <w:rFonts w:ascii="Open Sans" w:eastAsia="Times New Roman" w:hAnsi="Open Sans" w:cs="Open Sans"/>
                <w:color w:val="000000"/>
                <w:sz w:val="16"/>
                <w:szCs w:val="16"/>
                <w:lang w:eastAsia="en-AU"/>
              </w:rPr>
            </w:pPr>
            <w:r w:rsidRPr="00D070A0">
              <w:rPr>
                <w:rFonts w:ascii="Open Sans" w:eastAsia="Times New Roman" w:hAnsi="Open Sans" w:cs="Open Sans"/>
                <w:color w:val="000000"/>
                <w:sz w:val="16"/>
                <w:szCs w:val="16"/>
                <w:lang w:eastAsia="en-AU"/>
              </w:rPr>
              <w:t> </w:t>
            </w:r>
          </w:p>
        </w:tc>
        <w:tc>
          <w:tcPr>
            <w:tcW w:w="932" w:type="dxa"/>
            <w:tcBorders>
              <w:top w:val="nil"/>
              <w:left w:val="nil"/>
              <w:bottom w:val="single" w:sz="4" w:space="0" w:color="ADD6EA"/>
              <w:right w:val="nil"/>
            </w:tcBorders>
            <w:shd w:val="clear" w:color="000000" w:fill="FFFFFF"/>
            <w:vAlign w:val="center"/>
            <w:hideMark/>
          </w:tcPr>
          <w:p w14:paraId="5B62E52F" w14:textId="77777777" w:rsidR="00A97CC8" w:rsidRPr="00786737" w:rsidRDefault="00A97CC8" w:rsidP="002464D7">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40.64</w:t>
            </w:r>
          </w:p>
        </w:tc>
        <w:tc>
          <w:tcPr>
            <w:tcW w:w="3365" w:type="dxa"/>
            <w:tcBorders>
              <w:top w:val="nil"/>
              <w:left w:val="nil"/>
              <w:bottom w:val="single" w:sz="4" w:space="0" w:color="ADD6EA"/>
              <w:right w:val="nil"/>
            </w:tcBorders>
            <w:shd w:val="clear" w:color="000000" w:fill="FFFFFF"/>
            <w:vAlign w:val="center"/>
            <w:hideMark/>
          </w:tcPr>
          <w:p w14:paraId="7BFF16F5" w14:textId="77777777" w:rsidR="00A97CC8" w:rsidRPr="00786737" w:rsidRDefault="00A97CC8" w:rsidP="002464D7">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Chronic pain management</w:t>
            </w:r>
          </w:p>
        </w:tc>
        <w:tc>
          <w:tcPr>
            <w:tcW w:w="3345" w:type="dxa"/>
            <w:tcBorders>
              <w:top w:val="nil"/>
              <w:left w:val="nil"/>
              <w:bottom w:val="single" w:sz="4" w:space="0" w:color="ADD6EA"/>
              <w:right w:val="nil"/>
            </w:tcBorders>
            <w:shd w:val="clear" w:color="000000" w:fill="FFFFFF"/>
            <w:vAlign w:val="center"/>
            <w:hideMark/>
          </w:tcPr>
          <w:p w14:paraId="0420C1E0" w14:textId="77777777" w:rsidR="00A97CC8" w:rsidRPr="00786737" w:rsidRDefault="00A97CC8" w:rsidP="002464D7">
            <w:pPr>
              <w:tabs>
                <w:tab w:val="clear" w:pos="567"/>
              </w:tabs>
              <w:spacing w:before="0" w:line="240" w:lineRule="auto"/>
              <w:rPr>
                <w:rFonts w:eastAsia="Times New Roman" w:cs="Open Sans Light"/>
                <w:color w:val="000000"/>
                <w:sz w:val="16"/>
                <w:szCs w:val="16"/>
                <w:lang w:eastAsia="en-AU"/>
              </w:rPr>
            </w:pPr>
            <w:r w:rsidRPr="00786737">
              <w:rPr>
                <w:rFonts w:eastAsia="Times New Roman" w:cs="Open Sans Light"/>
                <w:color w:val="000000"/>
                <w:sz w:val="16"/>
                <w:szCs w:val="16"/>
                <w:lang w:eastAsia="en-AU"/>
              </w:rPr>
              <w:t>Chronic disease management</w:t>
            </w:r>
          </w:p>
        </w:tc>
        <w:tc>
          <w:tcPr>
            <w:tcW w:w="1125" w:type="dxa"/>
            <w:tcBorders>
              <w:top w:val="nil"/>
              <w:left w:val="nil"/>
              <w:bottom w:val="single" w:sz="4" w:space="0" w:color="ADD6EA"/>
              <w:right w:val="nil"/>
            </w:tcBorders>
            <w:shd w:val="clear" w:color="000000" w:fill="FFFFFF"/>
            <w:vAlign w:val="center"/>
            <w:hideMark/>
          </w:tcPr>
          <w:p w14:paraId="77BA4E11" w14:textId="77777777" w:rsidR="00A97CC8" w:rsidRPr="00786737" w:rsidRDefault="00A97CC8" w:rsidP="002464D7">
            <w:pPr>
              <w:tabs>
                <w:tab w:val="clear" w:pos="567"/>
              </w:tabs>
              <w:spacing w:before="0" w:line="240" w:lineRule="auto"/>
              <w:jc w:val="right"/>
              <w:rPr>
                <w:rFonts w:eastAsia="Times New Roman" w:cs="Open Sans Light"/>
                <w:color w:val="000000"/>
                <w:sz w:val="16"/>
                <w:szCs w:val="16"/>
                <w:lang w:eastAsia="en-AU"/>
              </w:rPr>
            </w:pPr>
            <w:r w:rsidRPr="00786737">
              <w:rPr>
                <w:rFonts w:eastAsia="Times New Roman" w:cs="Open Sans Light"/>
                <w:color w:val="000000"/>
                <w:sz w:val="16"/>
                <w:szCs w:val="16"/>
                <w:lang w:eastAsia="en-AU"/>
              </w:rPr>
              <w:t>0.5</w:t>
            </w:r>
          </w:p>
        </w:tc>
      </w:tr>
      <w:tr w:rsidR="006C1CF0" w:rsidRPr="00121114" w14:paraId="36AD0C8D" w14:textId="77777777" w:rsidTr="002464D7">
        <w:trPr>
          <w:trHeight w:val="285"/>
        </w:trPr>
        <w:tc>
          <w:tcPr>
            <w:tcW w:w="259" w:type="dxa"/>
            <w:tcBorders>
              <w:top w:val="nil"/>
              <w:left w:val="nil"/>
              <w:bottom w:val="single" w:sz="8" w:space="0" w:color="ADD6EA"/>
              <w:right w:val="nil"/>
            </w:tcBorders>
            <w:shd w:val="clear" w:color="000000" w:fill="B6D5E4"/>
            <w:noWrap/>
            <w:vAlign w:val="center"/>
            <w:hideMark/>
          </w:tcPr>
          <w:p w14:paraId="7C72200D" w14:textId="77777777" w:rsidR="00A97CC8" w:rsidRPr="00D070A0" w:rsidRDefault="00A97CC8" w:rsidP="00A97CC8">
            <w:pPr>
              <w:tabs>
                <w:tab w:val="clear" w:pos="567"/>
              </w:tabs>
              <w:spacing w:before="0" w:line="240" w:lineRule="auto"/>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 </w:t>
            </w:r>
          </w:p>
        </w:tc>
        <w:tc>
          <w:tcPr>
            <w:tcW w:w="932" w:type="dxa"/>
            <w:tcBorders>
              <w:top w:val="nil"/>
              <w:left w:val="nil"/>
              <w:bottom w:val="single" w:sz="4" w:space="0" w:color="ADD6EA"/>
              <w:right w:val="nil"/>
            </w:tcBorders>
            <w:shd w:val="clear" w:color="000000" w:fill="B6D5E4"/>
            <w:noWrap/>
            <w:vAlign w:val="center"/>
            <w:hideMark/>
          </w:tcPr>
          <w:p w14:paraId="41447F12" w14:textId="77777777" w:rsidR="00A97CC8" w:rsidRPr="00D070A0" w:rsidRDefault="00A97CC8" w:rsidP="002464D7">
            <w:pPr>
              <w:tabs>
                <w:tab w:val="clear" w:pos="567"/>
              </w:tabs>
              <w:spacing w:before="0" w:line="240" w:lineRule="auto"/>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Total</w:t>
            </w:r>
          </w:p>
        </w:tc>
        <w:tc>
          <w:tcPr>
            <w:tcW w:w="3365" w:type="dxa"/>
            <w:tcBorders>
              <w:top w:val="nil"/>
              <w:left w:val="nil"/>
              <w:bottom w:val="single" w:sz="8" w:space="0" w:color="ADD6EA"/>
              <w:right w:val="nil"/>
            </w:tcBorders>
            <w:shd w:val="clear" w:color="000000" w:fill="B6D5E4"/>
            <w:noWrap/>
            <w:vAlign w:val="center"/>
            <w:hideMark/>
          </w:tcPr>
          <w:p w14:paraId="7BCBA230" w14:textId="77777777" w:rsidR="00A97CC8" w:rsidRPr="00D070A0" w:rsidRDefault="00A97CC8" w:rsidP="00A97CC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 </w:t>
            </w:r>
          </w:p>
        </w:tc>
        <w:tc>
          <w:tcPr>
            <w:tcW w:w="3345" w:type="dxa"/>
            <w:tcBorders>
              <w:top w:val="nil"/>
              <w:left w:val="nil"/>
              <w:bottom w:val="single" w:sz="8" w:space="0" w:color="ADD6EA"/>
              <w:right w:val="nil"/>
            </w:tcBorders>
            <w:shd w:val="clear" w:color="000000" w:fill="B6D5E4"/>
            <w:noWrap/>
            <w:vAlign w:val="center"/>
            <w:hideMark/>
          </w:tcPr>
          <w:p w14:paraId="4E1A04AC" w14:textId="77777777" w:rsidR="00A97CC8" w:rsidRPr="00D070A0" w:rsidRDefault="00A97CC8" w:rsidP="00A97CC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 </w:t>
            </w:r>
          </w:p>
        </w:tc>
        <w:tc>
          <w:tcPr>
            <w:tcW w:w="1125" w:type="dxa"/>
            <w:tcBorders>
              <w:top w:val="nil"/>
              <w:left w:val="nil"/>
              <w:bottom w:val="single" w:sz="8" w:space="0" w:color="ADD6EA"/>
              <w:right w:val="nil"/>
            </w:tcBorders>
            <w:shd w:val="clear" w:color="000000" w:fill="B6D5E4"/>
            <w:noWrap/>
            <w:vAlign w:val="center"/>
            <w:hideMark/>
          </w:tcPr>
          <w:p w14:paraId="5732106D" w14:textId="77777777" w:rsidR="00A97CC8" w:rsidRPr="00D070A0" w:rsidRDefault="00A97CC8" w:rsidP="00A97CC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100.0</w:t>
            </w:r>
          </w:p>
        </w:tc>
      </w:tr>
    </w:tbl>
    <w:p w14:paraId="77ECBE78" w14:textId="06367D34" w:rsidR="005C0387" w:rsidRPr="007111FA" w:rsidRDefault="00593E78" w:rsidP="008A4480">
      <w:pPr>
        <w:pStyle w:val="CGC2025TableNote"/>
        <w:tabs>
          <w:tab w:val="clear" w:pos="680"/>
          <w:tab w:val="left" w:pos="709"/>
        </w:tabs>
      </w:pPr>
      <w:r w:rsidRPr="00593E78">
        <w:t xml:space="preserve">Note: </w:t>
      </w:r>
      <w:r w:rsidR="008A4480">
        <w:tab/>
      </w:r>
      <w:r w:rsidR="003E5BBC">
        <w:t>a)</w:t>
      </w:r>
      <w:r w:rsidR="003900D8" w:rsidRPr="00593E78">
        <w:t xml:space="preserve">-not priced, </w:t>
      </w:r>
      <w:r w:rsidR="003E5BBC">
        <w:t>b)</w:t>
      </w:r>
      <w:r w:rsidR="00204F62" w:rsidRPr="00593E78">
        <w:t>-out of scope</w:t>
      </w:r>
      <w:r w:rsidR="00763F43" w:rsidRPr="00593E78">
        <w:t xml:space="preserve">, </w:t>
      </w:r>
      <w:r w:rsidR="003E5BBC">
        <w:t>c)</w:t>
      </w:r>
      <w:r w:rsidR="00763F43" w:rsidRPr="00593E78">
        <w:t>-block funded</w:t>
      </w:r>
      <w:r w:rsidR="00763F43" w:rsidRPr="007111FA">
        <w:t>.</w:t>
      </w:r>
    </w:p>
    <w:p w14:paraId="678C52B5" w14:textId="4F549117" w:rsidR="00CB3CD2" w:rsidRPr="007111FA" w:rsidRDefault="00CB3CD2" w:rsidP="008A4480">
      <w:pPr>
        <w:pStyle w:val="CGC2025TableNote"/>
        <w:ind w:firstLine="227"/>
      </w:pPr>
      <w:r w:rsidRPr="007111FA">
        <w:t xml:space="preserve">For </w:t>
      </w:r>
      <w:r w:rsidR="00B70FAD" w:rsidRPr="007111FA">
        <w:t xml:space="preserve">a </w:t>
      </w:r>
      <w:r w:rsidRPr="007111FA">
        <w:t xml:space="preserve">complete list of </w:t>
      </w:r>
      <w:r w:rsidR="00331E2E" w:rsidRPr="007111FA">
        <w:t xml:space="preserve">Tier 2 non-admitted patient services see </w:t>
      </w:r>
      <w:r w:rsidR="00CC595C">
        <w:rPr>
          <w:u w:val="single"/>
        </w:rPr>
        <w:t>Table A-1</w:t>
      </w:r>
      <w:r w:rsidR="00FF1BEE" w:rsidRPr="007111FA">
        <w:rPr>
          <w:u w:val="single"/>
        </w:rPr>
        <w:t>.</w:t>
      </w:r>
    </w:p>
    <w:p w14:paraId="40A89EAF" w14:textId="58B8D469" w:rsidR="00C12D4B" w:rsidRPr="007111FA" w:rsidRDefault="00C12D4B" w:rsidP="008A4480">
      <w:pPr>
        <w:pStyle w:val="CGC2025TableNote"/>
        <w:tabs>
          <w:tab w:val="clear" w:pos="567"/>
          <w:tab w:val="clear" w:pos="680"/>
          <w:tab w:val="left" w:pos="993"/>
          <w:tab w:val="left" w:pos="1134"/>
        </w:tabs>
        <w:ind w:left="574" w:firstLine="0"/>
      </w:pPr>
      <w:r w:rsidRPr="007111FA">
        <w:t xml:space="preserve">The list Includes community mental health services. Although </w:t>
      </w:r>
      <w:r w:rsidR="00F24939" w:rsidRPr="007111FA">
        <w:t xml:space="preserve">the proposal </w:t>
      </w:r>
      <w:r w:rsidR="006A2C0D" w:rsidRPr="007111FA">
        <w:t xml:space="preserve">has </w:t>
      </w:r>
      <w:r w:rsidRPr="007111FA">
        <w:t xml:space="preserve">a separate sub-component on community mental health, this </w:t>
      </w:r>
      <w:r w:rsidR="003E3B0F" w:rsidRPr="007111FA">
        <w:t>on</w:t>
      </w:r>
      <w:r w:rsidRPr="007111FA">
        <w:t>ly account</w:t>
      </w:r>
      <w:r w:rsidR="003E3B0F" w:rsidRPr="007111FA">
        <w:t>s</w:t>
      </w:r>
      <w:r w:rsidRPr="007111FA">
        <w:t xml:space="preserve"> for 80% of state spending on community and public health, leaving the remainder on residential mental health services, grants to </w:t>
      </w:r>
      <w:r w:rsidR="00DB0E2C">
        <w:t>non-government organisations</w:t>
      </w:r>
      <w:r w:rsidR="00DB0E2C" w:rsidRPr="007111FA">
        <w:t xml:space="preserve"> </w:t>
      </w:r>
      <w:r w:rsidRPr="007111FA">
        <w:t>and other indirect expenditure unaccounted.</w:t>
      </w:r>
    </w:p>
    <w:p w14:paraId="71239591" w14:textId="0BA1575B" w:rsidR="00C12D4B" w:rsidRPr="007111FA" w:rsidRDefault="0089328E" w:rsidP="008A4480">
      <w:pPr>
        <w:pStyle w:val="CGC2025TableNote"/>
        <w:tabs>
          <w:tab w:val="clear" w:pos="567"/>
          <w:tab w:val="clear" w:pos="680"/>
          <w:tab w:val="left" w:pos="993"/>
        </w:tabs>
        <w:ind w:left="574" w:firstLine="0"/>
      </w:pPr>
      <w:r w:rsidRPr="007111FA">
        <w:t xml:space="preserve">Community health services include breast </w:t>
      </w:r>
      <w:proofErr w:type="gramStart"/>
      <w:r w:rsidRPr="007111FA">
        <w:t>screening</w:t>
      </w:r>
      <w:proofErr w:type="gramEnd"/>
      <w:r w:rsidRPr="007111FA">
        <w:t xml:space="preserve"> which is a diagnostic service, but diagnostic services are not measured separately in the hospital activity data, being bundled with the requesting specialist service. Hence breast medical consultations and allied health services (20.32 and 40.51) </w:t>
      </w:r>
      <w:r w:rsidR="00617BAC" w:rsidRPr="007111FA">
        <w:t xml:space="preserve">were included </w:t>
      </w:r>
      <w:r w:rsidRPr="007111FA">
        <w:t>to represent breast screening.</w:t>
      </w:r>
    </w:p>
    <w:p w14:paraId="579F1159" w14:textId="6D66AFFE" w:rsidR="00A41510" w:rsidRPr="007111FA" w:rsidRDefault="00077AB5" w:rsidP="00AE031B">
      <w:pPr>
        <w:pStyle w:val="CGC2025TableNote"/>
        <w:tabs>
          <w:tab w:val="clear" w:pos="567"/>
          <w:tab w:val="left" w:pos="426"/>
        </w:tabs>
        <w:ind w:left="426" w:hanging="426"/>
      </w:pPr>
      <w:r w:rsidRPr="007111FA">
        <w:t>Source:</w:t>
      </w:r>
      <w:r w:rsidR="00AE031B" w:rsidRPr="007111FA">
        <w:t xml:space="preserve"> </w:t>
      </w:r>
      <w:r w:rsidRPr="007111FA">
        <w:t xml:space="preserve">Commission </w:t>
      </w:r>
      <w:r w:rsidR="006E72E5" w:rsidRPr="007111FA">
        <w:t>calculation using IHACPA price weights</w:t>
      </w:r>
      <w:r w:rsidR="009455B2" w:rsidRPr="007111FA">
        <w:t xml:space="preserve"> and </w:t>
      </w:r>
      <w:r w:rsidR="00BD2227" w:rsidRPr="007111FA">
        <w:t xml:space="preserve">separations from </w:t>
      </w:r>
      <w:r w:rsidR="00127D1E" w:rsidRPr="007111FA">
        <w:t>AIHW N</w:t>
      </w:r>
      <w:r w:rsidR="00BD2227" w:rsidRPr="007111FA">
        <w:t>on-admitted patient care tables</w:t>
      </w:r>
      <w:r w:rsidR="00BA3FF5" w:rsidRPr="007111FA">
        <w:t>.</w:t>
      </w:r>
    </w:p>
    <w:p w14:paraId="70BE2297" w14:textId="4E0828D1" w:rsidR="003E0CE4" w:rsidRPr="007111FA" w:rsidRDefault="0030203D" w:rsidP="003E0CE4">
      <w:pPr>
        <w:pStyle w:val="CGC2025ParaNumbers"/>
      </w:pPr>
      <w:r w:rsidRPr="007111FA">
        <w:t xml:space="preserve">Based on the </w:t>
      </w:r>
      <w:r w:rsidR="00D47BD0" w:rsidRPr="007111FA">
        <w:t>relative cost</w:t>
      </w:r>
      <w:r w:rsidR="00613C4F" w:rsidRPr="007111FA">
        <w:t xml:space="preserve"> of the different types of non</w:t>
      </w:r>
      <w:r w:rsidR="00613C4F" w:rsidRPr="007111FA">
        <w:noBreakHyphen/>
        <w:t>admitted patient services</w:t>
      </w:r>
      <w:r w:rsidR="00323168" w:rsidRPr="007111FA">
        <w:t xml:space="preserve">, it is likely that </w:t>
      </w:r>
      <w:r w:rsidR="0057277E" w:rsidRPr="007111FA">
        <w:t>allied health</w:t>
      </w:r>
      <w:r w:rsidR="00866E0B" w:rsidRPr="007111FA">
        <w:t xml:space="preserve"> non</w:t>
      </w:r>
      <w:r w:rsidR="00866E0B" w:rsidRPr="007111FA">
        <w:noBreakHyphen/>
        <w:t xml:space="preserve">admitted patient services would be more </w:t>
      </w:r>
      <w:r w:rsidR="009E384B" w:rsidRPr="007111FA">
        <w:t>closely related</w:t>
      </w:r>
      <w:r w:rsidR="00866E0B" w:rsidRPr="007111FA">
        <w:t xml:space="preserve"> to community health services than</w:t>
      </w:r>
      <w:r w:rsidRPr="007111FA">
        <w:t xml:space="preserve"> </w:t>
      </w:r>
      <w:r w:rsidR="00502858" w:rsidRPr="007111FA">
        <w:t xml:space="preserve">medical consultations. </w:t>
      </w:r>
      <w:r w:rsidR="003E0CE4" w:rsidRPr="007111FA">
        <w:t xml:space="preserve">The price weight for </w:t>
      </w:r>
      <w:r w:rsidR="00DD1861" w:rsidRPr="007111FA">
        <w:t>medical consultation</w:t>
      </w:r>
      <w:r w:rsidR="003E0CE4" w:rsidRPr="007111FA">
        <w:t xml:space="preserve"> services relative to comparable </w:t>
      </w:r>
      <w:r w:rsidR="00DD1861" w:rsidRPr="007111FA">
        <w:t>allied health</w:t>
      </w:r>
      <w:r w:rsidR="003E0CE4" w:rsidRPr="007111FA">
        <w:t xml:space="preserve"> services ranges from 1.</w:t>
      </w:r>
      <w:r w:rsidR="00214B30">
        <w:t>2</w:t>
      </w:r>
      <w:r w:rsidR="003E0CE4" w:rsidRPr="007111FA">
        <w:t xml:space="preserve"> to </w:t>
      </w:r>
      <w:r w:rsidR="001B5948" w:rsidRPr="007111FA">
        <w:t>1.9</w:t>
      </w:r>
      <w:r w:rsidR="003E0CE4" w:rsidRPr="007111FA">
        <w:t xml:space="preserve">, indicating the higher complexity of </w:t>
      </w:r>
      <w:r w:rsidR="009C6749" w:rsidRPr="007111FA">
        <w:t>medical consultation</w:t>
      </w:r>
      <w:r w:rsidR="003E0CE4" w:rsidRPr="007111FA">
        <w:t xml:space="preserve"> services</w:t>
      </w:r>
      <w:r w:rsidR="00B10456" w:rsidRPr="007111FA">
        <w:t xml:space="preserve"> (</w:t>
      </w:r>
      <w:r w:rsidR="00CC595C">
        <w:t>Table 3</w:t>
      </w:r>
      <w:r w:rsidR="00B10456" w:rsidRPr="007111FA">
        <w:t>)</w:t>
      </w:r>
      <w:r w:rsidR="003E0CE4" w:rsidRPr="007111FA">
        <w:t>.</w:t>
      </w:r>
    </w:p>
    <w:tbl>
      <w:tblPr>
        <w:tblpPr w:leftFromText="180" w:rightFromText="180" w:vertAnchor="text" w:horzAnchor="margin" w:tblpY="744"/>
        <w:tblW w:w="8942" w:type="dxa"/>
        <w:tblLook w:val="04A0" w:firstRow="1" w:lastRow="0" w:firstColumn="1" w:lastColumn="0" w:noHBand="0" w:noVBand="1"/>
      </w:tblPr>
      <w:tblGrid>
        <w:gridCol w:w="4312"/>
        <w:gridCol w:w="871"/>
        <w:gridCol w:w="276"/>
        <w:gridCol w:w="2640"/>
        <w:gridCol w:w="843"/>
      </w:tblGrid>
      <w:tr w:rsidR="00FF2173" w:rsidRPr="00732CD5" w14:paraId="07EE5B75" w14:textId="77777777" w:rsidTr="00716531">
        <w:trPr>
          <w:trHeight w:val="555"/>
        </w:trPr>
        <w:tc>
          <w:tcPr>
            <w:tcW w:w="4060" w:type="dxa"/>
            <w:tcBorders>
              <w:top w:val="nil"/>
              <w:left w:val="nil"/>
              <w:bottom w:val="nil"/>
              <w:right w:val="nil"/>
            </w:tcBorders>
            <w:shd w:val="clear" w:color="000000" w:fill="006991"/>
            <w:noWrap/>
            <w:vAlign w:val="center"/>
            <w:hideMark/>
          </w:tcPr>
          <w:p w14:paraId="5BDD7E5F" w14:textId="77777777" w:rsidR="000F61C8" w:rsidRPr="00732CD5" w:rsidRDefault="000F61C8" w:rsidP="003D7797">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38" w:name="_Ref158113527"/>
            <w:r w:rsidRPr="00732CD5">
              <w:rPr>
                <w:rFonts w:ascii="Open Sans Semibold" w:eastAsia="Times New Roman" w:hAnsi="Open Sans Semibold" w:cs="Open Sans Semibold"/>
                <w:color w:val="FFFFFF"/>
                <w:sz w:val="16"/>
                <w:szCs w:val="16"/>
                <w:lang w:eastAsia="en-AU"/>
              </w:rPr>
              <w:t>Medical consultations</w:t>
            </w:r>
          </w:p>
        </w:tc>
        <w:tc>
          <w:tcPr>
            <w:tcW w:w="820" w:type="dxa"/>
            <w:tcBorders>
              <w:top w:val="nil"/>
              <w:left w:val="nil"/>
              <w:bottom w:val="nil"/>
              <w:right w:val="nil"/>
            </w:tcBorders>
            <w:shd w:val="clear" w:color="000000" w:fill="006991"/>
            <w:vAlign w:val="center"/>
            <w:hideMark/>
          </w:tcPr>
          <w:p w14:paraId="5B45F9A5" w14:textId="77777777" w:rsidR="000F61C8" w:rsidRPr="00732CD5" w:rsidRDefault="000F61C8" w:rsidP="0071653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32CD5">
              <w:rPr>
                <w:rFonts w:ascii="Open Sans Semibold" w:eastAsia="Times New Roman" w:hAnsi="Open Sans Semibold" w:cs="Open Sans Semibold"/>
                <w:color w:val="FFFFFF"/>
                <w:sz w:val="16"/>
                <w:szCs w:val="16"/>
                <w:lang w:eastAsia="en-AU"/>
              </w:rPr>
              <w:t>Price weight</w:t>
            </w:r>
          </w:p>
        </w:tc>
        <w:tc>
          <w:tcPr>
            <w:tcW w:w="260" w:type="dxa"/>
            <w:tcBorders>
              <w:top w:val="nil"/>
              <w:left w:val="nil"/>
              <w:bottom w:val="nil"/>
              <w:right w:val="nil"/>
            </w:tcBorders>
            <w:shd w:val="clear" w:color="000000" w:fill="006991"/>
            <w:noWrap/>
            <w:vAlign w:val="center"/>
            <w:hideMark/>
          </w:tcPr>
          <w:p w14:paraId="268727CD" w14:textId="77777777" w:rsidR="000F61C8" w:rsidRPr="00732CD5" w:rsidRDefault="000F61C8" w:rsidP="003D7797">
            <w:pPr>
              <w:tabs>
                <w:tab w:val="clear" w:pos="567"/>
              </w:tabs>
              <w:spacing w:before="0" w:line="240" w:lineRule="auto"/>
              <w:rPr>
                <w:rFonts w:ascii="Open Sans Semibold" w:eastAsia="Times New Roman" w:hAnsi="Open Sans Semibold" w:cs="Open Sans Semibold"/>
                <w:color w:val="FFFFFF"/>
                <w:sz w:val="16"/>
                <w:szCs w:val="16"/>
                <w:lang w:eastAsia="en-AU"/>
              </w:rPr>
            </w:pPr>
            <w:r w:rsidRPr="00732CD5">
              <w:rPr>
                <w:rFonts w:ascii="Open Sans Semibold" w:eastAsia="Times New Roman" w:hAnsi="Open Sans Semibold" w:cs="Open Sans Semibold"/>
                <w:color w:val="FFFFFF"/>
                <w:sz w:val="16"/>
                <w:szCs w:val="16"/>
                <w:lang w:eastAsia="en-AU"/>
              </w:rPr>
              <w:t> </w:t>
            </w:r>
          </w:p>
        </w:tc>
        <w:tc>
          <w:tcPr>
            <w:tcW w:w="2486" w:type="dxa"/>
            <w:tcBorders>
              <w:top w:val="nil"/>
              <w:left w:val="nil"/>
              <w:bottom w:val="nil"/>
              <w:right w:val="nil"/>
            </w:tcBorders>
            <w:shd w:val="clear" w:color="000000" w:fill="006991"/>
            <w:noWrap/>
            <w:vAlign w:val="center"/>
            <w:hideMark/>
          </w:tcPr>
          <w:p w14:paraId="2A0EBCCA" w14:textId="77777777" w:rsidR="000F61C8" w:rsidRPr="00732CD5" w:rsidRDefault="000F61C8" w:rsidP="003D7797">
            <w:pPr>
              <w:tabs>
                <w:tab w:val="clear" w:pos="567"/>
              </w:tabs>
              <w:spacing w:before="0" w:line="240" w:lineRule="auto"/>
              <w:rPr>
                <w:rFonts w:ascii="Open Sans Semibold" w:eastAsia="Times New Roman" w:hAnsi="Open Sans Semibold" w:cs="Open Sans Semibold"/>
                <w:color w:val="FFFFFF"/>
                <w:sz w:val="16"/>
                <w:szCs w:val="16"/>
                <w:lang w:eastAsia="en-AU"/>
              </w:rPr>
            </w:pPr>
            <w:r w:rsidRPr="00732CD5">
              <w:rPr>
                <w:rFonts w:ascii="Open Sans Semibold" w:eastAsia="Times New Roman" w:hAnsi="Open Sans Semibold" w:cs="Open Sans Semibold"/>
                <w:color w:val="FFFFFF"/>
                <w:sz w:val="16"/>
                <w:szCs w:val="16"/>
                <w:lang w:eastAsia="en-AU"/>
              </w:rPr>
              <w:t>Allied health</w:t>
            </w:r>
          </w:p>
        </w:tc>
        <w:tc>
          <w:tcPr>
            <w:tcW w:w="794" w:type="dxa"/>
            <w:tcBorders>
              <w:top w:val="nil"/>
              <w:left w:val="nil"/>
              <w:bottom w:val="nil"/>
              <w:right w:val="nil"/>
            </w:tcBorders>
            <w:shd w:val="clear" w:color="000000" w:fill="006991"/>
            <w:vAlign w:val="center"/>
            <w:hideMark/>
          </w:tcPr>
          <w:p w14:paraId="126D58A5" w14:textId="77777777" w:rsidR="000F61C8" w:rsidRPr="00732CD5" w:rsidRDefault="000F61C8" w:rsidP="0071653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32CD5">
              <w:rPr>
                <w:rFonts w:ascii="Open Sans Semibold" w:eastAsia="Times New Roman" w:hAnsi="Open Sans Semibold" w:cs="Open Sans Semibold"/>
                <w:color w:val="FFFFFF"/>
                <w:sz w:val="16"/>
                <w:szCs w:val="16"/>
                <w:lang w:eastAsia="en-AU"/>
              </w:rPr>
              <w:t>Price weight</w:t>
            </w:r>
          </w:p>
        </w:tc>
      </w:tr>
      <w:tr w:rsidR="00FF2173" w:rsidRPr="00732CD5" w14:paraId="27510B3B" w14:textId="77777777" w:rsidTr="00716531">
        <w:trPr>
          <w:trHeight w:val="375"/>
        </w:trPr>
        <w:tc>
          <w:tcPr>
            <w:tcW w:w="4060" w:type="dxa"/>
            <w:tcBorders>
              <w:top w:val="nil"/>
              <w:left w:val="nil"/>
              <w:bottom w:val="single" w:sz="4" w:space="0" w:color="ADD6EA"/>
              <w:right w:val="nil"/>
            </w:tcBorders>
            <w:shd w:val="clear" w:color="000000" w:fill="FFFFFF"/>
            <w:vAlign w:val="center"/>
            <w:hideMark/>
          </w:tcPr>
          <w:p w14:paraId="5E373CBE" w14:textId="77777777" w:rsidR="000F61C8" w:rsidRPr="00732CD5" w:rsidRDefault="000F61C8" w:rsidP="00A912DF">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20.40 Obstetrics – pregnancy without complications</w:t>
            </w:r>
          </w:p>
        </w:tc>
        <w:tc>
          <w:tcPr>
            <w:tcW w:w="820" w:type="dxa"/>
            <w:tcBorders>
              <w:top w:val="nil"/>
              <w:left w:val="nil"/>
              <w:bottom w:val="single" w:sz="4" w:space="0" w:color="ADD6EA"/>
              <w:right w:val="nil"/>
            </w:tcBorders>
            <w:shd w:val="clear" w:color="000000" w:fill="FFFFFF"/>
            <w:vAlign w:val="center"/>
            <w:hideMark/>
          </w:tcPr>
          <w:p w14:paraId="0822296E" w14:textId="77777777" w:rsidR="000F61C8" w:rsidRPr="00732CD5" w:rsidRDefault="000F61C8" w:rsidP="00A912DF">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0.0414</w:t>
            </w:r>
          </w:p>
        </w:tc>
        <w:tc>
          <w:tcPr>
            <w:tcW w:w="260" w:type="dxa"/>
            <w:tcBorders>
              <w:top w:val="nil"/>
              <w:left w:val="nil"/>
              <w:bottom w:val="single" w:sz="4" w:space="0" w:color="ADD6EA"/>
              <w:right w:val="nil"/>
            </w:tcBorders>
            <w:shd w:val="clear" w:color="000000" w:fill="FFFFFF"/>
            <w:vAlign w:val="center"/>
            <w:hideMark/>
          </w:tcPr>
          <w:p w14:paraId="219C23B9"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 </w:t>
            </w:r>
          </w:p>
        </w:tc>
        <w:tc>
          <w:tcPr>
            <w:tcW w:w="2486" w:type="dxa"/>
            <w:tcBorders>
              <w:top w:val="nil"/>
              <w:left w:val="nil"/>
              <w:bottom w:val="single" w:sz="4" w:space="0" w:color="ADD6EA"/>
              <w:right w:val="nil"/>
            </w:tcBorders>
            <w:shd w:val="clear" w:color="000000" w:fill="FFFFFF"/>
            <w:vAlign w:val="center"/>
            <w:hideMark/>
          </w:tcPr>
          <w:p w14:paraId="7E1343F9" w14:textId="77777777" w:rsidR="000F61C8" w:rsidRPr="00732CD5" w:rsidRDefault="000F61C8" w:rsidP="00716531">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40.28 Midwifery and maternity</w:t>
            </w:r>
          </w:p>
        </w:tc>
        <w:tc>
          <w:tcPr>
            <w:tcW w:w="794" w:type="dxa"/>
            <w:tcBorders>
              <w:top w:val="nil"/>
              <w:left w:val="nil"/>
              <w:bottom w:val="single" w:sz="4" w:space="0" w:color="ADD6EA"/>
              <w:right w:val="nil"/>
            </w:tcBorders>
            <w:shd w:val="clear" w:color="000000" w:fill="FFFFFF"/>
            <w:vAlign w:val="center"/>
            <w:hideMark/>
          </w:tcPr>
          <w:p w14:paraId="4423AA82" w14:textId="77777777" w:rsidR="000F61C8" w:rsidRPr="00732CD5" w:rsidRDefault="000F61C8" w:rsidP="00716531">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0.0339</w:t>
            </w:r>
          </w:p>
        </w:tc>
      </w:tr>
      <w:tr w:rsidR="00FF2173" w:rsidRPr="00732CD5" w14:paraId="79CED0B3" w14:textId="77777777" w:rsidTr="00716531">
        <w:trPr>
          <w:trHeight w:val="300"/>
        </w:trPr>
        <w:tc>
          <w:tcPr>
            <w:tcW w:w="4060" w:type="dxa"/>
            <w:tcBorders>
              <w:top w:val="nil"/>
              <w:left w:val="nil"/>
              <w:bottom w:val="single" w:sz="4" w:space="0" w:color="ADD6EA"/>
              <w:right w:val="nil"/>
            </w:tcBorders>
            <w:shd w:val="clear" w:color="000000" w:fill="FFFFFF"/>
            <w:vAlign w:val="center"/>
            <w:hideMark/>
          </w:tcPr>
          <w:p w14:paraId="6B288D47"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20.52 Addiction medicine</w:t>
            </w:r>
          </w:p>
        </w:tc>
        <w:tc>
          <w:tcPr>
            <w:tcW w:w="820" w:type="dxa"/>
            <w:tcBorders>
              <w:top w:val="nil"/>
              <w:left w:val="nil"/>
              <w:bottom w:val="single" w:sz="4" w:space="0" w:color="ADD6EA"/>
              <w:right w:val="nil"/>
            </w:tcBorders>
            <w:shd w:val="clear" w:color="000000" w:fill="FFFFFF"/>
            <w:vAlign w:val="center"/>
            <w:hideMark/>
          </w:tcPr>
          <w:p w14:paraId="0DC0DB80" w14:textId="77777777" w:rsidR="000F61C8" w:rsidRPr="00732CD5" w:rsidRDefault="000F61C8" w:rsidP="00A912DF">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0.0382</w:t>
            </w:r>
          </w:p>
        </w:tc>
        <w:tc>
          <w:tcPr>
            <w:tcW w:w="260" w:type="dxa"/>
            <w:tcBorders>
              <w:top w:val="nil"/>
              <w:left w:val="nil"/>
              <w:bottom w:val="single" w:sz="4" w:space="0" w:color="ADD6EA"/>
              <w:right w:val="nil"/>
            </w:tcBorders>
            <w:shd w:val="clear" w:color="000000" w:fill="FFFFFF"/>
            <w:vAlign w:val="center"/>
            <w:hideMark/>
          </w:tcPr>
          <w:p w14:paraId="3AB176F8"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 </w:t>
            </w:r>
          </w:p>
        </w:tc>
        <w:tc>
          <w:tcPr>
            <w:tcW w:w="2486" w:type="dxa"/>
            <w:tcBorders>
              <w:top w:val="nil"/>
              <w:left w:val="nil"/>
              <w:bottom w:val="single" w:sz="4" w:space="0" w:color="ADD6EA"/>
              <w:right w:val="nil"/>
            </w:tcBorders>
            <w:shd w:val="clear" w:color="auto" w:fill="auto"/>
            <w:vAlign w:val="center"/>
            <w:hideMark/>
          </w:tcPr>
          <w:p w14:paraId="452DEE25" w14:textId="77777777" w:rsidR="000F61C8" w:rsidRPr="00732CD5" w:rsidRDefault="000F61C8" w:rsidP="00716531">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40.3 Alcohol and other drugs</w:t>
            </w:r>
          </w:p>
        </w:tc>
        <w:tc>
          <w:tcPr>
            <w:tcW w:w="794" w:type="dxa"/>
            <w:tcBorders>
              <w:top w:val="nil"/>
              <w:left w:val="nil"/>
              <w:bottom w:val="single" w:sz="4" w:space="0" w:color="ADD6EA"/>
              <w:right w:val="nil"/>
            </w:tcBorders>
            <w:shd w:val="clear" w:color="000000" w:fill="FFFFFF"/>
            <w:vAlign w:val="center"/>
            <w:hideMark/>
          </w:tcPr>
          <w:p w14:paraId="0E15EA6B" w14:textId="77777777" w:rsidR="000F61C8" w:rsidRPr="00732CD5" w:rsidRDefault="000F61C8" w:rsidP="00716531">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0.0275</w:t>
            </w:r>
          </w:p>
        </w:tc>
      </w:tr>
      <w:tr w:rsidR="00FF2173" w:rsidRPr="00732CD5" w14:paraId="2D688C05" w14:textId="77777777" w:rsidTr="00716531">
        <w:trPr>
          <w:trHeight w:val="300"/>
        </w:trPr>
        <w:tc>
          <w:tcPr>
            <w:tcW w:w="4060" w:type="dxa"/>
            <w:tcBorders>
              <w:top w:val="nil"/>
              <w:left w:val="nil"/>
              <w:bottom w:val="single" w:sz="4" w:space="0" w:color="ADD6EA"/>
              <w:right w:val="nil"/>
            </w:tcBorders>
            <w:shd w:val="clear" w:color="000000" w:fill="FFFFFF"/>
            <w:vAlign w:val="center"/>
            <w:hideMark/>
          </w:tcPr>
          <w:p w14:paraId="0E296E53"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20.13 Palliative care</w:t>
            </w:r>
          </w:p>
        </w:tc>
        <w:tc>
          <w:tcPr>
            <w:tcW w:w="820" w:type="dxa"/>
            <w:tcBorders>
              <w:top w:val="nil"/>
              <w:left w:val="nil"/>
              <w:bottom w:val="single" w:sz="4" w:space="0" w:color="ADD6EA"/>
              <w:right w:val="nil"/>
            </w:tcBorders>
            <w:shd w:val="clear" w:color="000000" w:fill="FFFFFF"/>
            <w:vAlign w:val="center"/>
            <w:hideMark/>
          </w:tcPr>
          <w:p w14:paraId="667A0D0A" w14:textId="77777777" w:rsidR="000F61C8" w:rsidRPr="00732CD5" w:rsidRDefault="000F61C8" w:rsidP="00A912DF">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0.0701</w:t>
            </w:r>
          </w:p>
        </w:tc>
        <w:tc>
          <w:tcPr>
            <w:tcW w:w="260" w:type="dxa"/>
            <w:tcBorders>
              <w:top w:val="nil"/>
              <w:left w:val="nil"/>
              <w:bottom w:val="single" w:sz="4" w:space="0" w:color="ADD6EA"/>
              <w:right w:val="nil"/>
            </w:tcBorders>
            <w:shd w:val="clear" w:color="000000" w:fill="FFFFFF"/>
            <w:vAlign w:val="center"/>
            <w:hideMark/>
          </w:tcPr>
          <w:p w14:paraId="73531CE2"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 </w:t>
            </w:r>
          </w:p>
        </w:tc>
        <w:tc>
          <w:tcPr>
            <w:tcW w:w="2486" w:type="dxa"/>
            <w:tcBorders>
              <w:top w:val="nil"/>
              <w:left w:val="nil"/>
              <w:bottom w:val="single" w:sz="4" w:space="0" w:color="ADD6EA"/>
              <w:right w:val="nil"/>
            </w:tcBorders>
            <w:shd w:val="clear" w:color="000000" w:fill="FFFFFF"/>
            <w:vAlign w:val="center"/>
            <w:hideMark/>
          </w:tcPr>
          <w:p w14:paraId="56880BA7" w14:textId="77777777" w:rsidR="000F61C8" w:rsidRPr="00732CD5" w:rsidRDefault="000F61C8" w:rsidP="00716531">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40.35 Palliative care</w:t>
            </w:r>
          </w:p>
        </w:tc>
        <w:tc>
          <w:tcPr>
            <w:tcW w:w="794" w:type="dxa"/>
            <w:tcBorders>
              <w:top w:val="nil"/>
              <w:left w:val="nil"/>
              <w:bottom w:val="single" w:sz="4" w:space="0" w:color="ADD6EA"/>
              <w:right w:val="nil"/>
            </w:tcBorders>
            <w:shd w:val="clear" w:color="000000" w:fill="FFFFFF"/>
            <w:vAlign w:val="center"/>
            <w:hideMark/>
          </w:tcPr>
          <w:p w14:paraId="3C33E1C1" w14:textId="77777777" w:rsidR="000F61C8" w:rsidRPr="00732CD5" w:rsidRDefault="000F61C8" w:rsidP="00716531">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0.0430</w:t>
            </w:r>
          </w:p>
        </w:tc>
      </w:tr>
      <w:tr w:rsidR="00FF2173" w:rsidRPr="00732CD5" w14:paraId="2B00E4C4" w14:textId="77777777" w:rsidTr="00716531">
        <w:trPr>
          <w:trHeight w:val="300"/>
        </w:trPr>
        <w:tc>
          <w:tcPr>
            <w:tcW w:w="4060" w:type="dxa"/>
            <w:tcBorders>
              <w:top w:val="nil"/>
              <w:left w:val="nil"/>
              <w:bottom w:val="single" w:sz="4" w:space="0" w:color="ADD6EA"/>
              <w:right w:val="nil"/>
            </w:tcBorders>
            <w:shd w:val="clear" w:color="000000" w:fill="FFFFFF"/>
            <w:vAlign w:val="center"/>
            <w:hideMark/>
          </w:tcPr>
          <w:p w14:paraId="1ED06CAB" w14:textId="686EC17D"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20.49 Geriatric evaluation and m</w:t>
            </w:r>
            <w:r w:rsidR="00F95CCB">
              <w:rPr>
                <w:rFonts w:eastAsia="Times New Roman" w:cs="Open Sans Light"/>
                <w:color w:val="000000"/>
                <w:sz w:val="16"/>
                <w:szCs w:val="16"/>
                <w:lang w:eastAsia="en-AU"/>
              </w:rPr>
              <w:t>anagement</w:t>
            </w:r>
          </w:p>
        </w:tc>
        <w:tc>
          <w:tcPr>
            <w:tcW w:w="820" w:type="dxa"/>
            <w:tcBorders>
              <w:top w:val="nil"/>
              <w:left w:val="nil"/>
              <w:bottom w:val="single" w:sz="4" w:space="0" w:color="ADD6EA"/>
              <w:right w:val="nil"/>
            </w:tcBorders>
            <w:shd w:val="clear" w:color="000000" w:fill="FFFFFF"/>
            <w:vAlign w:val="center"/>
            <w:hideMark/>
          </w:tcPr>
          <w:p w14:paraId="3CE58F39" w14:textId="77777777" w:rsidR="000F61C8" w:rsidRPr="00732CD5" w:rsidRDefault="000F61C8" w:rsidP="00A912DF">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0.0864</w:t>
            </w:r>
          </w:p>
        </w:tc>
        <w:tc>
          <w:tcPr>
            <w:tcW w:w="260" w:type="dxa"/>
            <w:tcBorders>
              <w:top w:val="nil"/>
              <w:left w:val="nil"/>
              <w:bottom w:val="single" w:sz="4" w:space="0" w:color="ADD6EA"/>
              <w:right w:val="nil"/>
            </w:tcBorders>
            <w:shd w:val="clear" w:color="000000" w:fill="FFFFFF"/>
            <w:vAlign w:val="center"/>
            <w:hideMark/>
          </w:tcPr>
          <w:p w14:paraId="4DB452E6"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 </w:t>
            </w:r>
          </w:p>
        </w:tc>
        <w:tc>
          <w:tcPr>
            <w:tcW w:w="2486" w:type="dxa"/>
            <w:tcBorders>
              <w:top w:val="nil"/>
              <w:left w:val="nil"/>
              <w:bottom w:val="single" w:sz="4" w:space="0" w:color="ADD6EA"/>
              <w:right w:val="nil"/>
            </w:tcBorders>
            <w:shd w:val="clear" w:color="000000" w:fill="FFFFFF"/>
            <w:vAlign w:val="center"/>
            <w:hideMark/>
          </w:tcPr>
          <w:p w14:paraId="19DD2F8D" w14:textId="77777777" w:rsidR="000F61C8" w:rsidRPr="00732CD5" w:rsidRDefault="000F61C8" w:rsidP="00716531">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40.36 Geriatric evaluation</w:t>
            </w:r>
          </w:p>
        </w:tc>
        <w:tc>
          <w:tcPr>
            <w:tcW w:w="794" w:type="dxa"/>
            <w:tcBorders>
              <w:top w:val="nil"/>
              <w:left w:val="nil"/>
              <w:bottom w:val="single" w:sz="4" w:space="0" w:color="ADD6EA"/>
              <w:right w:val="nil"/>
            </w:tcBorders>
            <w:shd w:val="clear" w:color="000000" w:fill="FFFFFF"/>
            <w:vAlign w:val="center"/>
            <w:hideMark/>
          </w:tcPr>
          <w:p w14:paraId="55760093" w14:textId="77777777" w:rsidR="000F61C8" w:rsidRPr="00732CD5" w:rsidRDefault="000F61C8" w:rsidP="00716531">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0.0464</w:t>
            </w:r>
          </w:p>
        </w:tc>
      </w:tr>
      <w:tr w:rsidR="00FF2173" w:rsidRPr="00732CD5" w14:paraId="1BF0AE90" w14:textId="77777777" w:rsidTr="00716531">
        <w:trPr>
          <w:trHeight w:val="300"/>
        </w:trPr>
        <w:tc>
          <w:tcPr>
            <w:tcW w:w="4060" w:type="dxa"/>
            <w:tcBorders>
              <w:top w:val="nil"/>
              <w:left w:val="nil"/>
              <w:bottom w:val="single" w:sz="4" w:space="0" w:color="ADD6EA"/>
              <w:right w:val="nil"/>
            </w:tcBorders>
            <w:shd w:val="clear" w:color="000000" w:fill="FFFFFF"/>
            <w:vAlign w:val="center"/>
            <w:hideMark/>
          </w:tcPr>
          <w:p w14:paraId="5C54F31E"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20.44 Infectious diseases</w:t>
            </w:r>
          </w:p>
        </w:tc>
        <w:tc>
          <w:tcPr>
            <w:tcW w:w="820" w:type="dxa"/>
            <w:tcBorders>
              <w:top w:val="nil"/>
              <w:left w:val="nil"/>
              <w:bottom w:val="single" w:sz="4" w:space="0" w:color="ADD6EA"/>
              <w:right w:val="nil"/>
            </w:tcBorders>
            <w:shd w:val="clear" w:color="000000" w:fill="FFFFFF"/>
            <w:vAlign w:val="center"/>
            <w:hideMark/>
          </w:tcPr>
          <w:p w14:paraId="41FF9D6A" w14:textId="77777777" w:rsidR="000F61C8" w:rsidRPr="00732CD5" w:rsidRDefault="000F61C8" w:rsidP="00A912DF">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0.0903</w:t>
            </w:r>
          </w:p>
        </w:tc>
        <w:tc>
          <w:tcPr>
            <w:tcW w:w="260" w:type="dxa"/>
            <w:tcBorders>
              <w:top w:val="nil"/>
              <w:left w:val="nil"/>
              <w:bottom w:val="single" w:sz="4" w:space="0" w:color="ADD6EA"/>
              <w:right w:val="nil"/>
            </w:tcBorders>
            <w:shd w:val="clear" w:color="000000" w:fill="FFFFFF"/>
            <w:vAlign w:val="center"/>
            <w:hideMark/>
          </w:tcPr>
          <w:p w14:paraId="0646CB58"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 </w:t>
            </w:r>
          </w:p>
        </w:tc>
        <w:tc>
          <w:tcPr>
            <w:tcW w:w="2486" w:type="dxa"/>
            <w:tcBorders>
              <w:top w:val="nil"/>
              <w:left w:val="nil"/>
              <w:bottom w:val="single" w:sz="4" w:space="0" w:color="ADD6EA"/>
              <w:right w:val="nil"/>
            </w:tcBorders>
            <w:shd w:val="clear" w:color="000000" w:fill="FFFFFF"/>
            <w:vAlign w:val="center"/>
            <w:hideMark/>
          </w:tcPr>
          <w:p w14:paraId="64F3AEA8" w14:textId="77777777" w:rsidR="000F61C8" w:rsidRPr="00732CD5" w:rsidRDefault="000F61C8" w:rsidP="00716531">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40.38 Infectious diseases</w:t>
            </w:r>
          </w:p>
        </w:tc>
        <w:tc>
          <w:tcPr>
            <w:tcW w:w="794" w:type="dxa"/>
            <w:tcBorders>
              <w:top w:val="nil"/>
              <w:left w:val="nil"/>
              <w:bottom w:val="single" w:sz="4" w:space="0" w:color="ADD6EA"/>
              <w:right w:val="nil"/>
            </w:tcBorders>
            <w:shd w:val="clear" w:color="000000" w:fill="FFFFFF"/>
            <w:vAlign w:val="center"/>
            <w:hideMark/>
          </w:tcPr>
          <w:p w14:paraId="73804C01" w14:textId="77777777" w:rsidR="000F61C8" w:rsidRPr="00732CD5" w:rsidRDefault="000F61C8" w:rsidP="00716531">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0.0506</w:t>
            </w:r>
          </w:p>
        </w:tc>
      </w:tr>
      <w:tr w:rsidR="00FF2173" w:rsidRPr="00732CD5" w14:paraId="4F6E4BB8" w14:textId="77777777" w:rsidTr="00716531">
        <w:trPr>
          <w:trHeight w:val="300"/>
        </w:trPr>
        <w:tc>
          <w:tcPr>
            <w:tcW w:w="4060" w:type="dxa"/>
            <w:tcBorders>
              <w:top w:val="nil"/>
              <w:left w:val="nil"/>
              <w:bottom w:val="single" w:sz="4" w:space="0" w:color="ADD6EA"/>
              <w:right w:val="nil"/>
            </w:tcBorders>
            <w:shd w:val="clear" w:color="000000" w:fill="FFFFFF"/>
            <w:vAlign w:val="center"/>
            <w:hideMark/>
          </w:tcPr>
          <w:p w14:paraId="7B6588E0"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20.29 Orthopaedics</w:t>
            </w:r>
          </w:p>
        </w:tc>
        <w:tc>
          <w:tcPr>
            <w:tcW w:w="820" w:type="dxa"/>
            <w:tcBorders>
              <w:top w:val="nil"/>
              <w:left w:val="nil"/>
              <w:bottom w:val="single" w:sz="4" w:space="0" w:color="ADD6EA"/>
              <w:right w:val="nil"/>
            </w:tcBorders>
            <w:shd w:val="clear" w:color="000000" w:fill="FFFFFF"/>
            <w:vAlign w:val="center"/>
            <w:hideMark/>
          </w:tcPr>
          <w:p w14:paraId="0140ECEB" w14:textId="77777777" w:rsidR="000F61C8" w:rsidRPr="00732CD5" w:rsidRDefault="000F61C8" w:rsidP="00A912DF">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0.0413</w:t>
            </w:r>
          </w:p>
        </w:tc>
        <w:tc>
          <w:tcPr>
            <w:tcW w:w="260" w:type="dxa"/>
            <w:tcBorders>
              <w:top w:val="nil"/>
              <w:left w:val="nil"/>
              <w:bottom w:val="single" w:sz="4" w:space="0" w:color="ADD6EA"/>
              <w:right w:val="nil"/>
            </w:tcBorders>
            <w:shd w:val="clear" w:color="000000" w:fill="FFFFFF"/>
            <w:vAlign w:val="center"/>
            <w:hideMark/>
          </w:tcPr>
          <w:p w14:paraId="32CDAA72"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 </w:t>
            </w:r>
          </w:p>
        </w:tc>
        <w:tc>
          <w:tcPr>
            <w:tcW w:w="2486" w:type="dxa"/>
            <w:tcBorders>
              <w:top w:val="nil"/>
              <w:left w:val="nil"/>
              <w:bottom w:val="single" w:sz="4" w:space="0" w:color="ADD6EA"/>
              <w:right w:val="nil"/>
            </w:tcBorders>
            <w:shd w:val="clear" w:color="000000" w:fill="FFFFFF"/>
            <w:vAlign w:val="center"/>
            <w:hideMark/>
          </w:tcPr>
          <w:p w14:paraId="17109E4D" w14:textId="77777777" w:rsidR="000F61C8" w:rsidRPr="00732CD5" w:rsidRDefault="000F61C8" w:rsidP="00716531">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40.44 Orthopaedics</w:t>
            </w:r>
          </w:p>
        </w:tc>
        <w:tc>
          <w:tcPr>
            <w:tcW w:w="794" w:type="dxa"/>
            <w:tcBorders>
              <w:top w:val="nil"/>
              <w:left w:val="nil"/>
              <w:bottom w:val="single" w:sz="4" w:space="0" w:color="ADD6EA"/>
              <w:right w:val="nil"/>
            </w:tcBorders>
            <w:shd w:val="clear" w:color="000000" w:fill="FFFFFF"/>
            <w:vAlign w:val="center"/>
            <w:hideMark/>
          </w:tcPr>
          <w:p w14:paraId="7395A881" w14:textId="77777777" w:rsidR="000F61C8" w:rsidRPr="00732CD5" w:rsidRDefault="000F61C8" w:rsidP="00716531">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0.0293</w:t>
            </w:r>
          </w:p>
        </w:tc>
      </w:tr>
      <w:tr w:rsidR="00FF2173" w:rsidRPr="00732CD5" w14:paraId="55FC4C9A" w14:textId="77777777" w:rsidTr="00716531">
        <w:trPr>
          <w:trHeight w:val="300"/>
        </w:trPr>
        <w:tc>
          <w:tcPr>
            <w:tcW w:w="4060" w:type="dxa"/>
            <w:tcBorders>
              <w:top w:val="nil"/>
              <w:left w:val="nil"/>
              <w:bottom w:val="single" w:sz="4" w:space="0" w:color="ADD6EA"/>
              <w:right w:val="nil"/>
            </w:tcBorders>
            <w:shd w:val="clear" w:color="000000" w:fill="FFFFFF"/>
            <w:vAlign w:val="center"/>
            <w:hideMark/>
          </w:tcPr>
          <w:p w14:paraId="555BB4D3"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40.51 Breast</w:t>
            </w:r>
          </w:p>
        </w:tc>
        <w:tc>
          <w:tcPr>
            <w:tcW w:w="820" w:type="dxa"/>
            <w:tcBorders>
              <w:top w:val="nil"/>
              <w:left w:val="nil"/>
              <w:bottom w:val="single" w:sz="4" w:space="0" w:color="ADD6EA"/>
              <w:right w:val="nil"/>
            </w:tcBorders>
            <w:shd w:val="clear" w:color="000000" w:fill="FFFFFF"/>
            <w:vAlign w:val="center"/>
            <w:hideMark/>
          </w:tcPr>
          <w:p w14:paraId="3A34DA78" w14:textId="77777777" w:rsidR="000F61C8" w:rsidRPr="00732CD5" w:rsidRDefault="000F61C8" w:rsidP="00A912DF">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0.0746</w:t>
            </w:r>
          </w:p>
        </w:tc>
        <w:tc>
          <w:tcPr>
            <w:tcW w:w="260" w:type="dxa"/>
            <w:tcBorders>
              <w:top w:val="nil"/>
              <w:left w:val="nil"/>
              <w:bottom w:val="single" w:sz="4" w:space="0" w:color="ADD6EA"/>
              <w:right w:val="nil"/>
            </w:tcBorders>
            <w:shd w:val="clear" w:color="000000" w:fill="FFFFFF"/>
            <w:vAlign w:val="center"/>
            <w:hideMark/>
          </w:tcPr>
          <w:p w14:paraId="18AE02F1"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 </w:t>
            </w:r>
          </w:p>
        </w:tc>
        <w:tc>
          <w:tcPr>
            <w:tcW w:w="2486" w:type="dxa"/>
            <w:tcBorders>
              <w:top w:val="nil"/>
              <w:left w:val="nil"/>
              <w:bottom w:val="single" w:sz="4" w:space="0" w:color="ADD6EA"/>
              <w:right w:val="nil"/>
            </w:tcBorders>
            <w:shd w:val="clear" w:color="000000" w:fill="FFFFFF"/>
            <w:vAlign w:val="center"/>
            <w:hideMark/>
          </w:tcPr>
          <w:p w14:paraId="66B386C1" w14:textId="77777777" w:rsidR="000F61C8" w:rsidRPr="00732CD5" w:rsidRDefault="000F61C8" w:rsidP="00716531">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40.51 Breast</w:t>
            </w:r>
          </w:p>
        </w:tc>
        <w:tc>
          <w:tcPr>
            <w:tcW w:w="794" w:type="dxa"/>
            <w:tcBorders>
              <w:top w:val="nil"/>
              <w:left w:val="nil"/>
              <w:bottom w:val="single" w:sz="4" w:space="0" w:color="ADD6EA"/>
              <w:right w:val="nil"/>
            </w:tcBorders>
            <w:shd w:val="clear" w:color="000000" w:fill="FFFFFF"/>
            <w:vAlign w:val="center"/>
            <w:hideMark/>
          </w:tcPr>
          <w:p w14:paraId="10458497" w14:textId="77777777" w:rsidR="000F61C8" w:rsidRPr="00732CD5" w:rsidRDefault="000F61C8" w:rsidP="00716531">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0.0406</w:t>
            </w:r>
          </w:p>
        </w:tc>
      </w:tr>
      <w:tr w:rsidR="00FF2173" w:rsidRPr="00732CD5" w14:paraId="4402F16D" w14:textId="77777777" w:rsidTr="00716531">
        <w:trPr>
          <w:trHeight w:val="300"/>
        </w:trPr>
        <w:tc>
          <w:tcPr>
            <w:tcW w:w="4060" w:type="dxa"/>
            <w:tcBorders>
              <w:top w:val="nil"/>
              <w:left w:val="nil"/>
              <w:bottom w:val="single" w:sz="4" w:space="0" w:color="ADD6EA"/>
              <w:right w:val="nil"/>
            </w:tcBorders>
            <w:shd w:val="clear" w:color="000000" w:fill="FFFFFF"/>
            <w:vAlign w:val="center"/>
            <w:hideMark/>
          </w:tcPr>
          <w:p w14:paraId="4B138F2E"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20.11 Paediatric medicine</w:t>
            </w:r>
          </w:p>
        </w:tc>
        <w:tc>
          <w:tcPr>
            <w:tcW w:w="820" w:type="dxa"/>
            <w:tcBorders>
              <w:top w:val="nil"/>
              <w:left w:val="nil"/>
              <w:bottom w:val="single" w:sz="4" w:space="0" w:color="ADD6EA"/>
              <w:right w:val="nil"/>
            </w:tcBorders>
            <w:shd w:val="clear" w:color="000000" w:fill="FFFFFF"/>
            <w:vAlign w:val="center"/>
            <w:hideMark/>
          </w:tcPr>
          <w:p w14:paraId="4868AC61" w14:textId="77777777" w:rsidR="000F61C8" w:rsidRPr="00732CD5" w:rsidRDefault="000F61C8" w:rsidP="00A912DF">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0.0682</w:t>
            </w:r>
          </w:p>
        </w:tc>
        <w:tc>
          <w:tcPr>
            <w:tcW w:w="260" w:type="dxa"/>
            <w:tcBorders>
              <w:top w:val="nil"/>
              <w:left w:val="nil"/>
              <w:bottom w:val="single" w:sz="4" w:space="0" w:color="ADD6EA"/>
              <w:right w:val="nil"/>
            </w:tcBorders>
            <w:shd w:val="clear" w:color="000000" w:fill="FFFFFF"/>
            <w:vAlign w:val="center"/>
            <w:hideMark/>
          </w:tcPr>
          <w:p w14:paraId="72A9E8D1"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 </w:t>
            </w:r>
          </w:p>
        </w:tc>
        <w:tc>
          <w:tcPr>
            <w:tcW w:w="2486" w:type="dxa"/>
            <w:tcBorders>
              <w:top w:val="nil"/>
              <w:left w:val="nil"/>
              <w:bottom w:val="single" w:sz="4" w:space="0" w:color="ADD6EA"/>
              <w:right w:val="nil"/>
            </w:tcBorders>
            <w:shd w:val="clear" w:color="000000" w:fill="FFFFFF"/>
            <w:vAlign w:val="center"/>
            <w:hideMark/>
          </w:tcPr>
          <w:p w14:paraId="7B55831F" w14:textId="77777777" w:rsidR="000F61C8" w:rsidRPr="00732CD5" w:rsidRDefault="000F61C8" w:rsidP="00716531">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40.55 Paediatrics</w:t>
            </w:r>
          </w:p>
        </w:tc>
        <w:tc>
          <w:tcPr>
            <w:tcW w:w="794" w:type="dxa"/>
            <w:tcBorders>
              <w:top w:val="nil"/>
              <w:left w:val="nil"/>
              <w:bottom w:val="single" w:sz="4" w:space="0" w:color="ADD6EA"/>
              <w:right w:val="nil"/>
            </w:tcBorders>
            <w:shd w:val="clear" w:color="000000" w:fill="FFFFFF"/>
            <w:vAlign w:val="center"/>
            <w:hideMark/>
          </w:tcPr>
          <w:p w14:paraId="1A943D5E" w14:textId="77777777" w:rsidR="000F61C8" w:rsidRPr="00732CD5" w:rsidRDefault="000F61C8" w:rsidP="00716531">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0.0439</w:t>
            </w:r>
          </w:p>
        </w:tc>
      </w:tr>
      <w:tr w:rsidR="00FF2173" w:rsidRPr="00732CD5" w14:paraId="1112B767" w14:textId="77777777" w:rsidTr="00716531">
        <w:trPr>
          <w:trHeight w:val="300"/>
        </w:trPr>
        <w:tc>
          <w:tcPr>
            <w:tcW w:w="4060" w:type="dxa"/>
            <w:tcBorders>
              <w:top w:val="nil"/>
              <w:left w:val="nil"/>
              <w:bottom w:val="single" w:sz="4" w:space="0" w:color="ADD6EA"/>
              <w:right w:val="nil"/>
            </w:tcBorders>
            <w:shd w:val="clear" w:color="000000" w:fill="FFFFFF"/>
            <w:vAlign w:val="center"/>
            <w:hideMark/>
          </w:tcPr>
          <w:p w14:paraId="3FF4B7DE"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20.57 COVID-19 response</w:t>
            </w:r>
          </w:p>
        </w:tc>
        <w:tc>
          <w:tcPr>
            <w:tcW w:w="820" w:type="dxa"/>
            <w:tcBorders>
              <w:top w:val="nil"/>
              <w:left w:val="nil"/>
              <w:bottom w:val="single" w:sz="4" w:space="0" w:color="ADD6EA"/>
              <w:right w:val="nil"/>
            </w:tcBorders>
            <w:shd w:val="clear" w:color="000000" w:fill="FFFFFF"/>
            <w:vAlign w:val="center"/>
            <w:hideMark/>
          </w:tcPr>
          <w:p w14:paraId="2A3E8E40" w14:textId="77777777" w:rsidR="000F61C8" w:rsidRPr="00732CD5" w:rsidRDefault="000F61C8" w:rsidP="00A912DF">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0.0903</w:t>
            </w:r>
          </w:p>
        </w:tc>
        <w:tc>
          <w:tcPr>
            <w:tcW w:w="260" w:type="dxa"/>
            <w:tcBorders>
              <w:top w:val="nil"/>
              <w:left w:val="nil"/>
              <w:bottom w:val="single" w:sz="4" w:space="0" w:color="ADD6EA"/>
              <w:right w:val="nil"/>
            </w:tcBorders>
            <w:shd w:val="clear" w:color="000000" w:fill="FFFFFF"/>
            <w:vAlign w:val="center"/>
            <w:hideMark/>
          </w:tcPr>
          <w:p w14:paraId="3CE3F57B" w14:textId="77777777" w:rsidR="000F61C8" w:rsidRPr="00732CD5" w:rsidRDefault="000F61C8" w:rsidP="003D7797">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 </w:t>
            </w:r>
          </w:p>
        </w:tc>
        <w:tc>
          <w:tcPr>
            <w:tcW w:w="2486" w:type="dxa"/>
            <w:tcBorders>
              <w:top w:val="nil"/>
              <w:left w:val="nil"/>
              <w:bottom w:val="single" w:sz="4" w:space="0" w:color="ADD6EA"/>
              <w:right w:val="nil"/>
            </w:tcBorders>
            <w:shd w:val="clear" w:color="000000" w:fill="FFFFFF"/>
            <w:vAlign w:val="center"/>
            <w:hideMark/>
          </w:tcPr>
          <w:p w14:paraId="104D4D6C" w14:textId="77777777" w:rsidR="000F61C8" w:rsidRPr="00732CD5" w:rsidRDefault="000F61C8" w:rsidP="00716531">
            <w:pPr>
              <w:tabs>
                <w:tab w:val="clear" w:pos="567"/>
              </w:tabs>
              <w:spacing w:before="0" w:line="240" w:lineRule="auto"/>
              <w:rPr>
                <w:rFonts w:eastAsia="Times New Roman" w:cs="Open Sans Light"/>
                <w:color w:val="000000"/>
                <w:sz w:val="16"/>
                <w:szCs w:val="16"/>
                <w:lang w:eastAsia="en-AU"/>
              </w:rPr>
            </w:pPr>
            <w:r w:rsidRPr="00732CD5">
              <w:rPr>
                <w:rFonts w:eastAsia="Times New Roman" w:cs="Open Sans Light"/>
                <w:color w:val="000000"/>
                <w:sz w:val="16"/>
                <w:szCs w:val="16"/>
                <w:lang w:eastAsia="en-AU"/>
              </w:rPr>
              <w:t>40.63 COVID-19 response</w:t>
            </w:r>
          </w:p>
        </w:tc>
        <w:tc>
          <w:tcPr>
            <w:tcW w:w="794" w:type="dxa"/>
            <w:tcBorders>
              <w:top w:val="nil"/>
              <w:left w:val="nil"/>
              <w:bottom w:val="single" w:sz="4" w:space="0" w:color="ADD6EA"/>
              <w:right w:val="nil"/>
            </w:tcBorders>
            <w:shd w:val="clear" w:color="000000" w:fill="FFFFFF"/>
            <w:vAlign w:val="center"/>
            <w:hideMark/>
          </w:tcPr>
          <w:p w14:paraId="009FE4A1" w14:textId="77777777" w:rsidR="000F61C8" w:rsidRPr="00732CD5" w:rsidRDefault="000F61C8" w:rsidP="00716531">
            <w:pPr>
              <w:tabs>
                <w:tab w:val="clear" w:pos="567"/>
              </w:tabs>
              <w:spacing w:before="0" w:line="240" w:lineRule="auto"/>
              <w:jc w:val="right"/>
              <w:rPr>
                <w:rFonts w:eastAsia="Times New Roman" w:cs="Open Sans Light"/>
                <w:color w:val="000000"/>
                <w:sz w:val="16"/>
                <w:szCs w:val="16"/>
                <w:lang w:eastAsia="en-AU"/>
              </w:rPr>
            </w:pPr>
            <w:r w:rsidRPr="00732CD5">
              <w:rPr>
                <w:rFonts w:eastAsia="Times New Roman" w:cs="Open Sans Light"/>
                <w:color w:val="000000"/>
                <w:sz w:val="16"/>
                <w:szCs w:val="16"/>
                <w:lang w:eastAsia="en-AU"/>
              </w:rPr>
              <w:t>0.0506</w:t>
            </w:r>
          </w:p>
        </w:tc>
      </w:tr>
    </w:tbl>
    <w:p w14:paraId="5F0EFFC6" w14:textId="15160DEE" w:rsidR="000E1A49" w:rsidRDefault="000E1A49" w:rsidP="00A03BAA">
      <w:pPr>
        <w:pStyle w:val="CGC2025Caption"/>
        <w:tabs>
          <w:tab w:val="left" w:pos="1134"/>
        </w:tabs>
        <w:ind w:left="1134" w:hanging="1134"/>
      </w:pPr>
      <w:bookmarkStart w:id="39" w:name="_Ref164848834"/>
      <w:r w:rsidRPr="00E90DF5">
        <w:t xml:space="preserve">Table </w:t>
      </w:r>
      <w:r>
        <w:fldChar w:fldCharType="begin"/>
      </w:r>
      <w:r>
        <w:instrText>SEQ Table \* ARABIC</w:instrText>
      </w:r>
      <w:r>
        <w:fldChar w:fldCharType="separate"/>
      </w:r>
      <w:r w:rsidR="00581B01">
        <w:rPr>
          <w:noProof/>
        </w:rPr>
        <w:t>3</w:t>
      </w:r>
      <w:r>
        <w:fldChar w:fldCharType="end"/>
      </w:r>
      <w:bookmarkEnd w:id="38"/>
      <w:bookmarkEnd w:id="39"/>
      <w:r w:rsidRPr="00E90DF5">
        <w:t xml:space="preserve">  </w:t>
      </w:r>
      <w:r w:rsidR="00A03BAA">
        <w:tab/>
      </w:r>
      <w:r w:rsidR="00695309">
        <w:t>P</w:t>
      </w:r>
      <w:r w:rsidRPr="00E90DF5">
        <w:t>rice weights</w:t>
      </w:r>
      <w:r w:rsidR="00762A01" w:rsidRPr="00E90DF5">
        <w:t xml:space="preserve"> for </w:t>
      </w:r>
      <w:r w:rsidR="00695309">
        <w:t xml:space="preserve">selected </w:t>
      </w:r>
      <w:r w:rsidR="00762A01" w:rsidRPr="00E90DF5">
        <w:t>medical consultations</w:t>
      </w:r>
      <w:r w:rsidRPr="00E90DF5">
        <w:t xml:space="preserve"> and </w:t>
      </w:r>
      <w:r w:rsidR="00762A01" w:rsidRPr="00E90DF5">
        <w:t>allied health</w:t>
      </w:r>
      <w:r w:rsidRPr="00E90DF5">
        <w:t xml:space="preserve"> services, 2021</w:t>
      </w:r>
      <w:r w:rsidR="002C7517">
        <w:t>–</w:t>
      </w:r>
      <w:r w:rsidRPr="00E90DF5">
        <w:t>22</w:t>
      </w:r>
    </w:p>
    <w:p w14:paraId="53705355" w14:textId="73B91B2E" w:rsidR="00B0066C" w:rsidRPr="00E90DF5" w:rsidRDefault="00B0066C" w:rsidP="00EA3996">
      <w:pPr>
        <w:pStyle w:val="CGC2025TableNote"/>
        <w:ind w:left="680" w:hanging="567"/>
      </w:pPr>
      <w:r w:rsidRPr="00E90DF5">
        <w:t xml:space="preserve">Source: </w:t>
      </w:r>
      <w:r w:rsidR="009240E4">
        <w:t>Independent Health and Aged Care Pricing Authority,</w:t>
      </w:r>
      <w:r w:rsidRPr="00E90DF5">
        <w:t xml:space="preserve"> </w:t>
      </w:r>
      <w:r w:rsidR="009240E4">
        <w:t xml:space="preserve">National Weighted Activity Unit data </w:t>
      </w:r>
      <w:r w:rsidR="00D54DE7" w:rsidRPr="00E90DF5">
        <w:t xml:space="preserve">calculator for </w:t>
      </w:r>
      <w:r w:rsidR="003A0A41" w:rsidRPr="00E90DF5">
        <w:t xml:space="preserve">non-admitted </w:t>
      </w:r>
      <w:r w:rsidR="001048D6" w:rsidRPr="00E90DF5">
        <w:t>activity</w:t>
      </w:r>
      <w:r w:rsidR="00B223FA" w:rsidRPr="00E90DF5">
        <w:t xml:space="preserve"> </w:t>
      </w:r>
      <w:r w:rsidR="001048D6" w:rsidRPr="00E90DF5">
        <w:t>(</w:t>
      </w:r>
      <w:r w:rsidR="00C3760B" w:rsidRPr="00E90DF5">
        <w:t>2021</w:t>
      </w:r>
      <w:r w:rsidR="00562B39">
        <w:t>–</w:t>
      </w:r>
      <w:r w:rsidR="00C3760B" w:rsidRPr="00E90DF5">
        <w:t>22</w:t>
      </w:r>
      <w:r w:rsidR="001048D6" w:rsidRPr="00E90DF5">
        <w:t>)</w:t>
      </w:r>
      <w:r w:rsidR="00C3760B" w:rsidRPr="00E90DF5">
        <w:t>.</w:t>
      </w:r>
    </w:p>
    <w:p w14:paraId="02F2D4A9" w14:textId="7439D145" w:rsidR="00BB25DE" w:rsidRPr="00E90DF5" w:rsidRDefault="00BB25DE" w:rsidP="00BB25DE">
      <w:pPr>
        <w:pStyle w:val="CGC2025ParaNumbers"/>
      </w:pPr>
      <w:r w:rsidRPr="00E90DF5">
        <w:t xml:space="preserve">On the information available, there appears to be </w:t>
      </w:r>
      <w:r w:rsidR="007F6358" w:rsidRPr="00E90DF5">
        <w:t>a closer re</w:t>
      </w:r>
      <w:r w:rsidR="00A900EC" w:rsidRPr="00E90DF5">
        <w:t>lationship</w:t>
      </w:r>
      <w:r w:rsidRPr="00E90DF5">
        <w:t xml:space="preserve"> in service type</w:t>
      </w:r>
      <w:r w:rsidR="00DC0594" w:rsidRPr="00E90DF5">
        <w:t>s</w:t>
      </w:r>
      <w:r w:rsidR="009C5B60" w:rsidRPr="00E90DF5">
        <w:t xml:space="preserve"> between community health services and </w:t>
      </w:r>
      <w:r w:rsidRPr="00E90DF5">
        <w:t>non</w:t>
      </w:r>
      <w:r w:rsidRPr="00E90DF5">
        <w:noBreakHyphen/>
        <w:t>admitted patient services provided by allied health professionals and clinical nurse specialists.</w:t>
      </w:r>
    </w:p>
    <w:p w14:paraId="2575BDA6" w14:textId="1FDC83A3" w:rsidR="00B73909" w:rsidRPr="00E90DF5" w:rsidRDefault="0067213E" w:rsidP="008D1675">
      <w:pPr>
        <w:pStyle w:val="CGC2025ParaNumbers"/>
      </w:pPr>
      <w:r w:rsidRPr="00E90DF5">
        <w:t>In terms of a</w:t>
      </w:r>
      <w:r w:rsidR="00B02476" w:rsidRPr="00E90DF5">
        <w:t>ccessibility</w:t>
      </w:r>
      <w:r w:rsidRPr="00E90DF5">
        <w:t>,</w:t>
      </w:r>
      <w:r w:rsidR="008D1675" w:rsidRPr="00E90DF5">
        <w:t xml:space="preserve"> information on wait times </w:t>
      </w:r>
      <w:r w:rsidR="002316A2" w:rsidRPr="00E90DF5">
        <w:t xml:space="preserve">for </w:t>
      </w:r>
      <w:r w:rsidR="00174FEC" w:rsidRPr="00E90DF5">
        <w:t>some</w:t>
      </w:r>
      <w:r w:rsidR="008D1675" w:rsidRPr="00E90DF5">
        <w:t xml:space="preserve"> community and public health </w:t>
      </w:r>
      <w:r w:rsidR="00174FEC" w:rsidRPr="00E90DF5">
        <w:t>services</w:t>
      </w:r>
      <w:r w:rsidR="008D1675" w:rsidRPr="00E90DF5">
        <w:t xml:space="preserve"> </w:t>
      </w:r>
      <w:r w:rsidRPr="00E90DF5">
        <w:t>is shown in</w:t>
      </w:r>
      <w:r w:rsidR="008D1675" w:rsidRPr="00E90DF5">
        <w:t xml:space="preserve"> </w:t>
      </w:r>
      <w:r w:rsidR="00CC595C">
        <w:t>Table 4</w:t>
      </w:r>
      <w:r w:rsidR="008D1675" w:rsidRPr="00E90DF5">
        <w:t>. All services requir</w:t>
      </w:r>
      <w:r w:rsidR="00174FEC" w:rsidRPr="00E90DF5">
        <w:t>e</w:t>
      </w:r>
      <w:r w:rsidR="008D1675" w:rsidRPr="00E90DF5">
        <w:t xml:space="preserve"> bookings or referrals, which </w:t>
      </w:r>
      <w:r w:rsidR="00966DCE" w:rsidRPr="00E90DF5">
        <w:t xml:space="preserve">involve </w:t>
      </w:r>
      <w:r w:rsidR="008D1675" w:rsidRPr="00E90DF5">
        <w:t>some waiting time. The wait times vary according to the type of service</w:t>
      </w:r>
      <w:r w:rsidR="00A2193F" w:rsidRPr="00E90DF5">
        <w:t>.</w:t>
      </w:r>
      <w:r w:rsidR="008D1675" w:rsidRPr="00E90DF5">
        <w:t xml:space="preserve"> </w:t>
      </w:r>
      <w:proofErr w:type="gramStart"/>
      <w:r w:rsidR="00B24DE2" w:rsidRPr="00E90DF5">
        <w:t>T</w:t>
      </w:r>
      <w:r w:rsidR="008D1675" w:rsidRPr="00E90DF5">
        <w:t>he majority of</w:t>
      </w:r>
      <w:proofErr w:type="gramEnd"/>
      <w:r w:rsidR="008D1675" w:rsidRPr="00E90DF5">
        <w:t xml:space="preserve"> services </w:t>
      </w:r>
      <w:r w:rsidR="00386EE2" w:rsidRPr="00E90DF5">
        <w:t xml:space="preserve">involve </w:t>
      </w:r>
      <w:r w:rsidR="008D1675" w:rsidRPr="00E90DF5">
        <w:t xml:space="preserve">medium length wait times (1 to 3 months), waiting for booking dates or waiting </w:t>
      </w:r>
      <w:r w:rsidR="00A2193F" w:rsidRPr="00E90DF5">
        <w:t>to reach</w:t>
      </w:r>
      <w:r w:rsidR="008D1675" w:rsidRPr="00E90DF5">
        <w:t xml:space="preserve"> the </w:t>
      </w:r>
      <w:r w:rsidR="00896CC3" w:rsidRPr="00E90DF5">
        <w:t>a</w:t>
      </w:r>
      <w:r w:rsidR="008D1675" w:rsidRPr="00E90DF5">
        <w:t xml:space="preserve">ge </w:t>
      </w:r>
      <w:r w:rsidR="00896CC3" w:rsidRPr="00E90DF5">
        <w:t xml:space="preserve">eligibility </w:t>
      </w:r>
      <w:r w:rsidR="00941FC1" w:rsidRPr="00E90DF5">
        <w:t>for the service</w:t>
      </w:r>
      <w:r w:rsidR="008D1675" w:rsidRPr="00E90DF5">
        <w:t xml:space="preserve">. </w:t>
      </w:r>
    </w:p>
    <w:p w14:paraId="1D076193" w14:textId="132A877A" w:rsidR="00E33E38" w:rsidRPr="006005B2" w:rsidRDefault="004043DC" w:rsidP="00F95625">
      <w:pPr>
        <w:pStyle w:val="Caption"/>
        <w:keepLines w:val="0"/>
        <w:rPr>
          <w:rFonts w:ascii="Work Sans" w:hAnsi="Work Sans"/>
        </w:rPr>
      </w:pPr>
      <w:bookmarkStart w:id="40" w:name="_Ref155177875"/>
      <w:r w:rsidRPr="006005B2">
        <w:rPr>
          <w:rFonts w:ascii="Work Sans" w:hAnsi="Work Sans"/>
        </w:rPr>
        <w:lastRenderedPageBreak/>
        <w:t xml:space="preserve">Table </w:t>
      </w:r>
      <w:r w:rsidRPr="006005B2">
        <w:rPr>
          <w:rFonts w:ascii="Work Sans" w:hAnsi="Work Sans"/>
        </w:rPr>
        <w:fldChar w:fldCharType="begin"/>
      </w:r>
      <w:r w:rsidRPr="006005B2">
        <w:rPr>
          <w:rFonts w:ascii="Work Sans" w:hAnsi="Work Sans"/>
        </w:rPr>
        <w:instrText xml:space="preserve"> SEQ Table \* ARABIC </w:instrText>
      </w:r>
      <w:r w:rsidRPr="006005B2">
        <w:rPr>
          <w:rFonts w:ascii="Work Sans" w:hAnsi="Work Sans"/>
        </w:rPr>
        <w:fldChar w:fldCharType="separate"/>
      </w:r>
      <w:r w:rsidR="00581B01">
        <w:rPr>
          <w:rFonts w:ascii="Work Sans" w:hAnsi="Work Sans"/>
          <w:noProof/>
        </w:rPr>
        <w:t>4</w:t>
      </w:r>
      <w:r w:rsidRPr="006005B2">
        <w:rPr>
          <w:rFonts w:ascii="Work Sans" w:hAnsi="Work Sans"/>
        </w:rPr>
        <w:fldChar w:fldCharType="end"/>
      </w:r>
      <w:bookmarkEnd w:id="40"/>
      <w:r w:rsidRPr="006005B2">
        <w:rPr>
          <w:rFonts w:ascii="Work Sans" w:hAnsi="Work Sans"/>
        </w:rPr>
        <w:tab/>
      </w:r>
      <w:r w:rsidR="0069349F" w:rsidRPr="006005B2">
        <w:rPr>
          <w:rFonts w:ascii="Work Sans" w:hAnsi="Work Sans"/>
        </w:rPr>
        <w:t>Estimat</w:t>
      </w:r>
      <w:r w:rsidR="00586676">
        <w:rPr>
          <w:rFonts w:ascii="Work Sans" w:hAnsi="Work Sans"/>
        </w:rPr>
        <w:t>ed</w:t>
      </w:r>
      <w:r w:rsidRPr="006005B2">
        <w:rPr>
          <w:rFonts w:ascii="Work Sans" w:hAnsi="Work Sans"/>
        </w:rPr>
        <w:t xml:space="preserve"> wait times </w:t>
      </w:r>
      <w:r w:rsidR="00624631" w:rsidRPr="006005B2">
        <w:rPr>
          <w:rFonts w:ascii="Work Sans" w:hAnsi="Work Sans"/>
        </w:rPr>
        <w:t>for</w:t>
      </w:r>
      <w:r w:rsidRPr="006005B2">
        <w:rPr>
          <w:rFonts w:ascii="Work Sans" w:hAnsi="Work Sans"/>
        </w:rPr>
        <w:t xml:space="preserve"> </w:t>
      </w:r>
      <w:r w:rsidR="00A87D01" w:rsidRPr="006005B2">
        <w:rPr>
          <w:rFonts w:ascii="Work Sans" w:hAnsi="Work Sans"/>
        </w:rPr>
        <w:t>c</w:t>
      </w:r>
      <w:r w:rsidR="0069349F" w:rsidRPr="006005B2">
        <w:rPr>
          <w:rFonts w:ascii="Work Sans" w:hAnsi="Work Sans"/>
        </w:rPr>
        <w:t xml:space="preserve">ommunity health </w:t>
      </w:r>
      <w:proofErr w:type="gramStart"/>
      <w:r w:rsidR="0069349F" w:rsidRPr="006005B2">
        <w:rPr>
          <w:rFonts w:ascii="Work Sans" w:hAnsi="Work Sans"/>
        </w:rPr>
        <w:t>services</w:t>
      </w:r>
      <w:proofErr w:type="gramEnd"/>
      <w:r w:rsidR="003B19D8" w:rsidRPr="006005B2">
        <w:rPr>
          <w:rFonts w:ascii="Work Sans" w:hAnsi="Work Sans"/>
        </w:rPr>
        <w:t xml:space="preserve"> </w:t>
      </w:r>
    </w:p>
    <w:tbl>
      <w:tblPr>
        <w:tblW w:w="8942" w:type="dxa"/>
        <w:tblLook w:val="04A0" w:firstRow="1" w:lastRow="0" w:firstColumn="1" w:lastColumn="0" w:noHBand="0" w:noVBand="1"/>
      </w:tblPr>
      <w:tblGrid>
        <w:gridCol w:w="2590"/>
        <w:gridCol w:w="1072"/>
        <w:gridCol w:w="5280"/>
      </w:tblGrid>
      <w:tr w:rsidR="00B33803" w:rsidRPr="00121114" w14:paraId="3C602F66" w14:textId="77777777" w:rsidTr="008849C6">
        <w:trPr>
          <w:trHeight w:val="375"/>
        </w:trPr>
        <w:tc>
          <w:tcPr>
            <w:tcW w:w="2560" w:type="dxa"/>
            <w:tcBorders>
              <w:top w:val="nil"/>
              <w:left w:val="nil"/>
              <w:bottom w:val="nil"/>
              <w:right w:val="nil"/>
            </w:tcBorders>
            <w:shd w:val="clear" w:color="000000" w:fill="006991"/>
            <w:noWrap/>
            <w:vAlign w:val="center"/>
            <w:hideMark/>
          </w:tcPr>
          <w:p w14:paraId="689D15FA" w14:textId="77777777" w:rsidR="00B33803" w:rsidRPr="0000022F" w:rsidRDefault="00B33803" w:rsidP="008849C6">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00022F">
              <w:rPr>
                <w:rFonts w:ascii="Open Sans Semibold" w:eastAsia="Times New Roman" w:hAnsi="Open Sans Semibold" w:cs="Open Sans Semibold"/>
                <w:color w:val="FFFFFF"/>
                <w:sz w:val="16"/>
                <w:szCs w:val="16"/>
                <w:lang w:eastAsia="en-AU"/>
              </w:rPr>
              <w:t>Group of services</w:t>
            </w:r>
          </w:p>
        </w:tc>
        <w:tc>
          <w:tcPr>
            <w:tcW w:w="1060" w:type="dxa"/>
            <w:tcBorders>
              <w:top w:val="nil"/>
              <w:left w:val="nil"/>
              <w:bottom w:val="nil"/>
              <w:right w:val="nil"/>
            </w:tcBorders>
            <w:shd w:val="clear" w:color="000000" w:fill="006991"/>
            <w:noWrap/>
            <w:vAlign w:val="center"/>
            <w:hideMark/>
          </w:tcPr>
          <w:p w14:paraId="6D60F91C" w14:textId="77777777" w:rsidR="00B33803" w:rsidRPr="0000022F" w:rsidRDefault="00B33803" w:rsidP="008849C6">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00022F">
              <w:rPr>
                <w:rFonts w:ascii="Open Sans Semibold" w:eastAsia="Times New Roman" w:hAnsi="Open Sans Semibold" w:cs="Open Sans Semibold"/>
                <w:color w:val="FFFFFF"/>
                <w:sz w:val="16"/>
                <w:szCs w:val="16"/>
                <w:lang w:eastAsia="en-AU"/>
              </w:rPr>
              <w:t xml:space="preserve">Wait time </w:t>
            </w:r>
          </w:p>
        </w:tc>
        <w:tc>
          <w:tcPr>
            <w:tcW w:w="5220" w:type="dxa"/>
            <w:tcBorders>
              <w:top w:val="nil"/>
              <w:left w:val="nil"/>
              <w:bottom w:val="nil"/>
              <w:right w:val="nil"/>
            </w:tcBorders>
            <w:shd w:val="clear" w:color="000000" w:fill="006991"/>
            <w:noWrap/>
            <w:vAlign w:val="center"/>
            <w:hideMark/>
          </w:tcPr>
          <w:p w14:paraId="3C419E3C" w14:textId="77777777" w:rsidR="00B33803" w:rsidRPr="0000022F" w:rsidRDefault="00B33803" w:rsidP="008849C6">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00022F">
              <w:rPr>
                <w:rFonts w:ascii="Open Sans Semibold" w:eastAsia="Times New Roman" w:hAnsi="Open Sans Semibold" w:cs="Open Sans Semibold"/>
                <w:color w:val="FFFFFF"/>
                <w:sz w:val="16"/>
                <w:szCs w:val="16"/>
                <w:lang w:eastAsia="en-AU"/>
              </w:rPr>
              <w:t>Explanation</w:t>
            </w:r>
          </w:p>
        </w:tc>
      </w:tr>
      <w:tr w:rsidR="00B33803" w:rsidRPr="00121114" w14:paraId="06335DAB" w14:textId="77777777" w:rsidTr="008849C6">
        <w:trPr>
          <w:trHeight w:val="510"/>
        </w:trPr>
        <w:tc>
          <w:tcPr>
            <w:tcW w:w="2560" w:type="dxa"/>
            <w:tcBorders>
              <w:top w:val="single" w:sz="4" w:space="0" w:color="D6E7F0"/>
              <w:left w:val="nil"/>
              <w:bottom w:val="single" w:sz="4" w:space="0" w:color="D6E7F0"/>
              <w:right w:val="nil"/>
            </w:tcBorders>
            <w:shd w:val="clear" w:color="auto" w:fill="auto"/>
            <w:noWrap/>
            <w:hideMark/>
          </w:tcPr>
          <w:p w14:paraId="51074075" w14:textId="77777777"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Public dental</w:t>
            </w:r>
          </w:p>
        </w:tc>
        <w:tc>
          <w:tcPr>
            <w:tcW w:w="1060" w:type="dxa"/>
            <w:tcBorders>
              <w:top w:val="single" w:sz="4" w:space="0" w:color="D6E7F0"/>
              <w:left w:val="nil"/>
              <w:bottom w:val="single" w:sz="4" w:space="0" w:color="D6E7F0"/>
              <w:right w:val="nil"/>
            </w:tcBorders>
            <w:shd w:val="clear" w:color="auto" w:fill="auto"/>
            <w:noWrap/>
            <w:hideMark/>
          </w:tcPr>
          <w:p w14:paraId="1E40B1A1" w14:textId="77777777"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Very long</w:t>
            </w:r>
          </w:p>
        </w:tc>
        <w:tc>
          <w:tcPr>
            <w:tcW w:w="5220" w:type="dxa"/>
            <w:tcBorders>
              <w:top w:val="single" w:sz="4" w:space="0" w:color="D6E7F0"/>
              <w:left w:val="nil"/>
              <w:bottom w:val="single" w:sz="4" w:space="0" w:color="D6E7F0"/>
              <w:right w:val="nil"/>
            </w:tcBorders>
            <w:shd w:val="clear" w:color="auto" w:fill="auto"/>
            <w:hideMark/>
          </w:tcPr>
          <w:p w14:paraId="32EB4142" w14:textId="4D5CC906"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AIHW provides data for the medium wait times of all states, the national average being 630 days.</w:t>
            </w:r>
            <w:r w:rsidR="00E81373" w:rsidRPr="00A94BA5">
              <w:rPr>
                <w:rStyle w:val="FootnoteReference"/>
                <w:rFonts w:ascii="Open Sans Light" w:eastAsia="Times New Roman" w:hAnsi="Open Sans Light" w:cs="Open Sans Light"/>
                <w:color w:val="000000"/>
                <w:sz w:val="16"/>
                <w:szCs w:val="16"/>
                <w:lang w:eastAsia="en-AU"/>
              </w:rPr>
              <w:footnoteReference w:id="8"/>
            </w:r>
          </w:p>
        </w:tc>
      </w:tr>
      <w:tr w:rsidR="00B33803" w:rsidRPr="00121114" w14:paraId="304E6238" w14:textId="77777777" w:rsidTr="008849C6">
        <w:trPr>
          <w:trHeight w:val="1020"/>
        </w:trPr>
        <w:tc>
          <w:tcPr>
            <w:tcW w:w="2560" w:type="dxa"/>
            <w:tcBorders>
              <w:top w:val="nil"/>
              <w:left w:val="nil"/>
              <w:bottom w:val="single" w:sz="4" w:space="0" w:color="D6E7F0"/>
              <w:right w:val="nil"/>
            </w:tcBorders>
            <w:shd w:val="clear" w:color="auto" w:fill="auto"/>
            <w:noWrap/>
            <w:hideMark/>
          </w:tcPr>
          <w:p w14:paraId="7B9D10AE" w14:textId="77777777"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Alcohol and drug services</w:t>
            </w:r>
          </w:p>
        </w:tc>
        <w:tc>
          <w:tcPr>
            <w:tcW w:w="1060" w:type="dxa"/>
            <w:tcBorders>
              <w:top w:val="nil"/>
              <w:left w:val="nil"/>
              <w:bottom w:val="single" w:sz="4" w:space="0" w:color="D6E7F0"/>
              <w:right w:val="nil"/>
            </w:tcBorders>
            <w:shd w:val="clear" w:color="auto" w:fill="auto"/>
            <w:noWrap/>
            <w:hideMark/>
          </w:tcPr>
          <w:p w14:paraId="5395DFD1" w14:textId="77777777"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Medium</w:t>
            </w:r>
          </w:p>
        </w:tc>
        <w:tc>
          <w:tcPr>
            <w:tcW w:w="5220" w:type="dxa"/>
            <w:tcBorders>
              <w:top w:val="nil"/>
              <w:left w:val="nil"/>
              <w:bottom w:val="single" w:sz="4" w:space="0" w:color="D6E7F0"/>
              <w:right w:val="nil"/>
            </w:tcBorders>
            <w:shd w:val="clear" w:color="auto" w:fill="auto"/>
            <w:hideMark/>
          </w:tcPr>
          <w:p w14:paraId="37B83177" w14:textId="0168C2C4"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Phone counselling is instant, in-person counselling and assessments have weeks of wait times on average</w:t>
            </w:r>
            <w:r w:rsidR="008F2116" w:rsidRPr="00D070A0">
              <w:rPr>
                <w:rFonts w:eastAsia="Times New Roman" w:cs="Open Sans Light"/>
                <w:color w:val="000000"/>
                <w:sz w:val="16"/>
                <w:szCs w:val="16"/>
                <w:lang w:eastAsia="en-AU"/>
              </w:rPr>
              <w:t>, w</w:t>
            </w:r>
            <w:r w:rsidRPr="00D070A0">
              <w:rPr>
                <w:rFonts w:eastAsia="Times New Roman" w:cs="Open Sans Light"/>
                <w:color w:val="000000"/>
                <w:sz w:val="16"/>
                <w:szCs w:val="16"/>
                <w:lang w:eastAsia="en-AU"/>
              </w:rPr>
              <w:t>hilst rehab has very long wait times. However, counselling and assessments are the most common services.</w:t>
            </w:r>
          </w:p>
        </w:tc>
      </w:tr>
      <w:tr w:rsidR="00B33803" w:rsidRPr="00121114" w14:paraId="70D09916" w14:textId="77777777" w:rsidTr="008849C6">
        <w:trPr>
          <w:trHeight w:val="1020"/>
        </w:trPr>
        <w:tc>
          <w:tcPr>
            <w:tcW w:w="2560" w:type="dxa"/>
            <w:tcBorders>
              <w:top w:val="nil"/>
              <w:left w:val="nil"/>
              <w:bottom w:val="single" w:sz="4" w:space="0" w:color="D6E7F0"/>
              <w:right w:val="nil"/>
            </w:tcBorders>
            <w:shd w:val="clear" w:color="auto" w:fill="auto"/>
            <w:noWrap/>
            <w:hideMark/>
          </w:tcPr>
          <w:p w14:paraId="4A1ADCD4" w14:textId="19C68D39"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 xml:space="preserve">Cancer </w:t>
            </w:r>
            <w:r w:rsidR="0017192C" w:rsidRPr="00D070A0">
              <w:rPr>
                <w:rFonts w:eastAsia="Times New Roman" w:cs="Open Sans Light"/>
                <w:color w:val="000000"/>
                <w:sz w:val="16"/>
                <w:szCs w:val="16"/>
                <w:lang w:eastAsia="en-AU"/>
              </w:rPr>
              <w:t>s</w:t>
            </w:r>
            <w:r w:rsidRPr="00D070A0">
              <w:rPr>
                <w:rFonts w:eastAsia="Times New Roman" w:cs="Open Sans Light"/>
                <w:color w:val="000000"/>
                <w:sz w:val="16"/>
                <w:szCs w:val="16"/>
                <w:lang w:eastAsia="en-AU"/>
              </w:rPr>
              <w:t>creening</w:t>
            </w:r>
          </w:p>
        </w:tc>
        <w:tc>
          <w:tcPr>
            <w:tcW w:w="1060" w:type="dxa"/>
            <w:tcBorders>
              <w:top w:val="nil"/>
              <w:left w:val="nil"/>
              <w:bottom w:val="single" w:sz="4" w:space="0" w:color="D6E7F0"/>
              <w:right w:val="nil"/>
            </w:tcBorders>
            <w:shd w:val="clear" w:color="auto" w:fill="auto"/>
            <w:noWrap/>
            <w:hideMark/>
          </w:tcPr>
          <w:p w14:paraId="03968CBB" w14:textId="77777777"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Medium</w:t>
            </w:r>
          </w:p>
        </w:tc>
        <w:tc>
          <w:tcPr>
            <w:tcW w:w="5220" w:type="dxa"/>
            <w:tcBorders>
              <w:top w:val="nil"/>
              <w:left w:val="nil"/>
              <w:bottom w:val="single" w:sz="4" w:space="0" w:color="D6E7F0"/>
              <w:right w:val="nil"/>
            </w:tcBorders>
            <w:shd w:val="clear" w:color="auto" w:fill="auto"/>
            <w:hideMark/>
          </w:tcPr>
          <w:p w14:paraId="41A1A1FF" w14:textId="76E54E2A"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 xml:space="preserve">The wait between a positive screen and diagnostic assessment for bowel cancer is </w:t>
            </w:r>
            <w:r w:rsidR="004A7340" w:rsidRPr="00D070A0">
              <w:rPr>
                <w:rFonts w:eastAsia="Times New Roman" w:cs="Open Sans Light"/>
                <w:color w:val="000000"/>
                <w:sz w:val="16"/>
                <w:szCs w:val="16"/>
                <w:lang w:eastAsia="en-AU"/>
              </w:rPr>
              <w:t xml:space="preserve">58 days based on </w:t>
            </w:r>
            <w:r w:rsidR="00DB35F1" w:rsidRPr="00D070A0">
              <w:rPr>
                <w:rFonts w:eastAsia="Times New Roman" w:cs="Open Sans Light"/>
                <w:color w:val="000000"/>
                <w:sz w:val="16"/>
                <w:szCs w:val="16"/>
                <w:lang w:eastAsia="en-AU"/>
              </w:rPr>
              <w:t xml:space="preserve">the </w:t>
            </w:r>
            <w:r w:rsidRPr="00D070A0">
              <w:rPr>
                <w:rFonts w:eastAsia="Times New Roman" w:cs="Open Sans Light"/>
                <w:color w:val="000000"/>
                <w:sz w:val="16"/>
                <w:szCs w:val="16"/>
                <w:lang w:eastAsia="en-AU"/>
              </w:rPr>
              <w:t xml:space="preserve">national </w:t>
            </w:r>
            <w:r w:rsidR="00D434AF" w:rsidRPr="00D070A0">
              <w:rPr>
                <w:rFonts w:eastAsia="Times New Roman" w:cs="Open Sans Light"/>
                <w:color w:val="000000"/>
                <w:sz w:val="16"/>
                <w:szCs w:val="16"/>
                <w:lang w:eastAsia="en-AU"/>
              </w:rPr>
              <w:t>median</w:t>
            </w:r>
            <w:r w:rsidRPr="00D070A0">
              <w:rPr>
                <w:rFonts w:eastAsia="Times New Roman" w:cs="Open Sans Light"/>
                <w:color w:val="000000"/>
                <w:sz w:val="16"/>
                <w:szCs w:val="16"/>
                <w:lang w:eastAsia="en-AU"/>
              </w:rPr>
              <w:t xml:space="preserve">. </w:t>
            </w:r>
            <w:r w:rsidR="00973FCF" w:rsidRPr="00D070A0">
              <w:rPr>
                <w:rFonts w:eastAsia="Times New Roman" w:cs="Open Sans Light"/>
                <w:color w:val="000000"/>
                <w:sz w:val="16"/>
                <w:szCs w:val="16"/>
                <w:lang w:eastAsia="en-AU"/>
              </w:rPr>
              <w:t>B</w:t>
            </w:r>
            <w:r w:rsidRPr="00D070A0">
              <w:rPr>
                <w:rFonts w:eastAsia="Times New Roman" w:cs="Open Sans Light"/>
                <w:color w:val="000000"/>
                <w:sz w:val="16"/>
                <w:szCs w:val="16"/>
                <w:lang w:eastAsia="en-AU"/>
              </w:rPr>
              <w:t>reast cancer has a quicker screening process</w:t>
            </w:r>
            <w:r w:rsidR="00973FCF" w:rsidRPr="00D070A0">
              <w:rPr>
                <w:rFonts w:eastAsia="Times New Roman" w:cs="Open Sans Light"/>
                <w:color w:val="000000"/>
                <w:sz w:val="16"/>
                <w:szCs w:val="16"/>
                <w:lang w:eastAsia="en-AU"/>
              </w:rPr>
              <w:t xml:space="preserve"> b</w:t>
            </w:r>
            <w:r w:rsidRPr="00D070A0">
              <w:rPr>
                <w:rFonts w:eastAsia="Times New Roman" w:cs="Open Sans Light"/>
                <w:color w:val="000000"/>
                <w:sz w:val="16"/>
                <w:szCs w:val="16"/>
                <w:lang w:eastAsia="en-AU"/>
              </w:rPr>
              <w:t xml:space="preserve">ut only </w:t>
            </w:r>
            <w:r w:rsidR="00482DAF" w:rsidRPr="00D070A0">
              <w:rPr>
                <w:rFonts w:eastAsia="Times New Roman" w:cs="Open Sans Light"/>
                <w:color w:val="000000"/>
                <w:sz w:val="16"/>
                <w:szCs w:val="16"/>
                <w:lang w:eastAsia="en-AU"/>
              </w:rPr>
              <w:t>for</w:t>
            </w:r>
            <w:r w:rsidRPr="00D070A0">
              <w:rPr>
                <w:rFonts w:eastAsia="Times New Roman" w:cs="Open Sans Light"/>
                <w:color w:val="000000"/>
                <w:sz w:val="16"/>
                <w:szCs w:val="16"/>
                <w:lang w:eastAsia="en-AU"/>
              </w:rPr>
              <w:t xml:space="preserve"> the targeted age bracket of 50-7</w:t>
            </w:r>
            <w:r w:rsidR="00170426">
              <w:rPr>
                <w:rFonts w:eastAsia="Times New Roman" w:cs="Open Sans Light"/>
                <w:color w:val="000000"/>
                <w:sz w:val="16"/>
                <w:szCs w:val="16"/>
                <w:lang w:eastAsia="en-AU"/>
              </w:rPr>
              <w:t>4</w:t>
            </w:r>
            <w:r w:rsidRPr="00D070A0">
              <w:rPr>
                <w:rFonts w:eastAsia="Times New Roman" w:cs="Open Sans Light"/>
                <w:color w:val="000000"/>
                <w:sz w:val="16"/>
                <w:szCs w:val="16"/>
                <w:lang w:eastAsia="en-AU"/>
              </w:rPr>
              <w:t>.</w:t>
            </w:r>
            <w:r w:rsidR="00A1728E" w:rsidRPr="00A94BA5">
              <w:rPr>
                <w:rStyle w:val="FootnoteReference"/>
                <w:rFonts w:ascii="Open Sans Light" w:eastAsia="Times New Roman" w:hAnsi="Open Sans Light" w:cs="Open Sans Light"/>
                <w:color w:val="000000"/>
                <w:sz w:val="16"/>
                <w:szCs w:val="16"/>
                <w:lang w:eastAsia="en-AU"/>
              </w:rPr>
              <w:footnoteReference w:id="9"/>
            </w:r>
          </w:p>
        </w:tc>
      </w:tr>
      <w:tr w:rsidR="00B33803" w:rsidRPr="00121114" w14:paraId="716CB562" w14:textId="77777777" w:rsidTr="008849C6">
        <w:trPr>
          <w:trHeight w:val="1020"/>
        </w:trPr>
        <w:tc>
          <w:tcPr>
            <w:tcW w:w="2560" w:type="dxa"/>
            <w:tcBorders>
              <w:top w:val="nil"/>
              <w:left w:val="nil"/>
              <w:bottom w:val="single" w:sz="4" w:space="0" w:color="D6E7F0"/>
              <w:right w:val="nil"/>
            </w:tcBorders>
            <w:shd w:val="clear" w:color="auto" w:fill="auto"/>
            <w:noWrap/>
            <w:hideMark/>
          </w:tcPr>
          <w:p w14:paraId="0D8DDEF3" w14:textId="22F2B0E8"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Organi</w:t>
            </w:r>
            <w:r w:rsidR="00A94BA5">
              <w:rPr>
                <w:rFonts w:eastAsia="Times New Roman" w:cs="Open Sans Light"/>
                <w:color w:val="000000"/>
                <w:sz w:val="16"/>
                <w:szCs w:val="16"/>
                <w:lang w:eastAsia="en-AU"/>
              </w:rPr>
              <w:t>s</w:t>
            </w:r>
            <w:r w:rsidRPr="00D070A0">
              <w:rPr>
                <w:rFonts w:eastAsia="Times New Roman" w:cs="Open Sans Light"/>
                <w:color w:val="000000"/>
                <w:sz w:val="16"/>
                <w:szCs w:val="16"/>
                <w:lang w:eastAsia="en-AU"/>
              </w:rPr>
              <w:t>ed immunisations</w:t>
            </w:r>
          </w:p>
        </w:tc>
        <w:tc>
          <w:tcPr>
            <w:tcW w:w="1060" w:type="dxa"/>
            <w:tcBorders>
              <w:top w:val="nil"/>
              <w:left w:val="nil"/>
              <w:bottom w:val="single" w:sz="4" w:space="0" w:color="D6E7F0"/>
              <w:right w:val="nil"/>
            </w:tcBorders>
            <w:shd w:val="clear" w:color="auto" w:fill="auto"/>
            <w:noWrap/>
            <w:hideMark/>
          </w:tcPr>
          <w:p w14:paraId="16AED0CB" w14:textId="25C30D89" w:rsidR="00B33803" w:rsidRPr="00D070A0" w:rsidRDefault="00F017C5"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Medium</w:t>
            </w:r>
            <w:r w:rsidR="00B33803" w:rsidRPr="00D070A0">
              <w:rPr>
                <w:rFonts w:eastAsia="Times New Roman" w:cs="Open Sans Light"/>
                <w:color w:val="000000"/>
                <w:sz w:val="16"/>
                <w:szCs w:val="16"/>
                <w:lang w:eastAsia="en-AU"/>
              </w:rPr>
              <w:t xml:space="preserve"> </w:t>
            </w:r>
          </w:p>
        </w:tc>
        <w:tc>
          <w:tcPr>
            <w:tcW w:w="5220" w:type="dxa"/>
            <w:tcBorders>
              <w:top w:val="nil"/>
              <w:left w:val="nil"/>
              <w:bottom w:val="single" w:sz="4" w:space="0" w:color="D6E7F0"/>
              <w:right w:val="nil"/>
            </w:tcBorders>
            <w:shd w:val="clear" w:color="auto" w:fill="auto"/>
            <w:hideMark/>
          </w:tcPr>
          <w:p w14:paraId="4B8CBE48" w14:textId="63670D32"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Organi</w:t>
            </w:r>
            <w:r w:rsidR="00A94BA5">
              <w:rPr>
                <w:rFonts w:eastAsia="Times New Roman" w:cs="Open Sans Light"/>
                <w:color w:val="000000"/>
                <w:sz w:val="16"/>
                <w:szCs w:val="16"/>
                <w:lang w:eastAsia="en-AU"/>
              </w:rPr>
              <w:t>s</w:t>
            </w:r>
            <w:r w:rsidRPr="00D070A0">
              <w:rPr>
                <w:rFonts w:eastAsia="Times New Roman" w:cs="Open Sans Light"/>
                <w:color w:val="000000"/>
                <w:sz w:val="16"/>
                <w:szCs w:val="16"/>
                <w:lang w:eastAsia="en-AU"/>
              </w:rPr>
              <w:t xml:space="preserve">ed immunisations </w:t>
            </w:r>
            <w:r w:rsidR="00482DAF" w:rsidRPr="00D070A0">
              <w:rPr>
                <w:rFonts w:eastAsia="Times New Roman" w:cs="Open Sans Light"/>
                <w:color w:val="000000"/>
                <w:sz w:val="16"/>
                <w:szCs w:val="16"/>
                <w:lang w:eastAsia="en-AU"/>
              </w:rPr>
              <w:t>are</w:t>
            </w:r>
            <w:r w:rsidRPr="00D070A0">
              <w:rPr>
                <w:rFonts w:eastAsia="Times New Roman" w:cs="Open Sans Light"/>
                <w:color w:val="000000"/>
                <w:sz w:val="16"/>
                <w:szCs w:val="16"/>
                <w:lang w:eastAsia="en-AU"/>
              </w:rPr>
              <w:t xml:space="preserve"> mainly scheduled for children and </w:t>
            </w:r>
            <w:r w:rsidR="00A76DBE" w:rsidRPr="00D070A0">
              <w:rPr>
                <w:rFonts w:eastAsia="Times New Roman" w:cs="Open Sans Light"/>
                <w:color w:val="000000"/>
                <w:sz w:val="16"/>
                <w:szCs w:val="16"/>
                <w:lang w:eastAsia="en-AU"/>
              </w:rPr>
              <w:t>apply to specific</w:t>
            </w:r>
            <w:r w:rsidRPr="00D070A0">
              <w:rPr>
                <w:rFonts w:eastAsia="Times New Roman" w:cs="Open Sans Light"/>
                <w:color w:val="000000"/>
                <w:sz w:val="16"/>
                <w:szCs w:val="16"/>
                <w:lang w:eastAsia="en-AU"/>
              </w:rPr>
              <w:t xml:space="preserve"> age bracket</w:t>
            </w:r>
            <w:r w:rsidR="00DB35F1" w:rsidRPr="00D070A0">
              <w:rPr>
                <w:rFonts w:eastAsia="Times New Roman" w:cs="Open Sans Light"/>
                <w:color w:val="000000"/>
                <w:sz w:val="16"/>
                <w:szCs w:val="16"/>
                <w:lang w:eastAsia="en-AU"/>
              </w:rPr>
              <w:t>s</w:t>
            </w:r>
            <w:r w:rsidRPr="00D070A0">
              <w:rPr>
                <w:rFonts w:eastAsia="Times New Roman" w:cs="Open Sans Light"/>
                <w:color w:val="000000"/>
                <w:sz w:val="16"/>
                <w:szCs w:val="16"/>
                <w:lang w:eastAsia="en-AU"/>
              </w:rPr>
              <w:t>. Booking</w:t>
            </w:r>
            <w:r w:rsidR="002259DF" w:rsidRPr="00D070A0">
              <w:rPr>
                <w:rFonts w:eastAsia="Times New Roman" w:cs="Open Sans Light"/>
                <w:color w:val="000000"/>
                <w:sz w:val="16"/>
                <w:szCs w:val="16"/>
                <w:lang w:eastAsia="en-AU"/>
              </w:rPr>
              <w:t xml:space="preserve">s </w:t>
            </w:r>
            <w:r w:rsidRPr="00D070A0">
              <w:rPr>
                <w:rFonts w:eastAsia="Times New Roman" w:cs="Open Sans Light"/>
                <w:color w:val="000000"/>
                <w:sz w:val="16"/>
                <w:szCs w:val="16"/>
                <w:lang w:eastAsia="en-AU"/>
              </w:rPr>
              <w:t xml:space="preserve">and catch-up immunisations </w:t>
            </w:r>
            <w:r w:rsidR="00E4592A" w:rsidRPr="00D070A0">
              <w:rPr>
                <w:rFonts w:eastAsia="Times New Roman" w:cs="Open Sans Light"/>
                <w:color w:val="000000"/>
                <w:sz w:val="16"/>
                <w:szCs w:val="16"/>
                <w:lang w:eastAsia="en-AU"/>
              </w:rPr>
              <w:t xml:space="preserve">are available </w:t>
            </w:r>
            <w:r w:rsidRPr="00D070A0">
              <w:rPr>
                <w:rFonts w:eastAsia="Times New Roman" w:cs="Open Sans Light"/>
                <w:color w:val="000000"/>
                <w:sz w:val="16"/>
                <w:szCs w:val="16"/>
                <w:lang w:eastAsia="en-AU"/>
              </w:rPr>
              <w:t xml:space="preserve">as well, however normally immunisations </w:t>
            </w:r>
            <w:r w:rsidR="00B029FE" w:rsidRPr="00D070A0">
              <w:rPr>
                <w:rFonts w:eastAsia="Times New Roman" w:cs="Open Sans Light"/>
                <w:color w:val="000000"/>
                <w:sz w:val="16"/>
                <w:szCs w:val="16"/>
                <w:lang w:eastAsia="en-AU"/>
              </w:rPr>
              <w:t>apply to specific</w:t>
            </w:r>
            <w:r w:rsidRPr="00D070A0">
              <w:rPr>
                <w:rFonts w:eastAsia="Times New Roman" w:cs="Open Sans Light"/>
                <w:color w:val="000000"/>
                <w:sz w:val="16"/>
                <w:szCs w:val="16"/>
                <w:lang w:eastAsia="en-AU"/>
              </w:rPr>
              <w:t xml:space="preserve"> age brackets.</w:t>
            </w:r>
          </w:p>
        </w:tc>
      </w:tr>
      <w:tr w:rsidR="00B33803" w:rsidRPr="00121114" w14:paraId="65E0449E" w14:textId="77777777" w:rsidTr="008849C6">
        <w:trPr>
          <w:trHeight w:val="510"/>
        </w:trPr>
        <w:tc>
          <w:tcPr>
            <w:tcW w:w="2560" w:type="dxa"/>
            <w:tcBorders>
              <w:top w:val="nil"/>
              <w:left w:val="nil"/>
              <w:bottom w:val="single" w:sz="4" w:space="0" w:color="D6E7F0"/>
              <w:right w:val="nil"/>
            </w:tcBorders>
            <w:shd w:val="clear" w:color="auto" w:fill="auto"/>
            <w:noWrap/>
            <w:hideMark/>
          </w:tcPr>
          <w:p w14:paraId="727759A6" w14:textId="77777777"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Public podiatry</w:t>
            </w:r>
          </w:p>
        </w:tc>
        <w:tc>
          <w:tcPr>
            <w:tcW w:w="1060" w:type="dxa"/>
            <w:tcBorders>
              <w:top w:val="nil"/>
              <w:left w:val="nil"/>
              <w:bottom w:val="single" w:sz="4" w:space="0" w:color="D6E7F0"/>
              <w:right w:val="nil"/>
            </w:tcBorders>
            <w:shd w:val="clear" w:color="auto" w:fill="auto"/>
            <w:noWrap/>
            <w:hideMark/>
          </w:tcPr>
          <w:p w14:paraId="67B7289E" w14:textId="77777777"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Medium</w:t>
            </w:r>
          </w:p>
        </w:tc>
        <w:tc>
          <w:tcPr>
            <w:tcW w:w="5220" w:type="dxa"/>
            <w:tcBorders>
              <w:top w:val="nil"/>
              <w:left w:val="nil"/>
              <w:bottom w:val="single" w:sz="4" w:space="0" w:color="D6E7F0"/>
              <w:right w:val="nil"/>
            </w:tcBorders>
            <w:shd w:val="clear" w:color="auto" w:fill="auto"/>
            <w:hideMark/>
          </w:tcPr>
          <w:p w14:paraId="789E2437" w14:textId="01C564C0"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Limited information</w:t>
            </w:r>
            <w:r w:rsidR="003234E1" w:rsidRPr="00D070A0">
              <w:rPr>
                <w:rFonts w:eastAsia="Times New Roman" w:cs="Open Sans Light"/>
                <w:color w:val="000000"/>
                <w:sz w:val="16"/>
                <w:szCs w:val="16"/>
                <w:lang w:eastAsia="en-AU"/>
              </w:rPr>
              <w:t>. A</w:t>
            </w:r>
            <w:r w:rsidRPr="00D070A0">
              <w:rPr>
                <w:rFonts w:eastAsia="Times New Roman" w:cs="Open Sans Light"/>
                <w:color w:val="000000"/>
                <w:sz w:val="16"/>
                <w:szCs w:val="16"/>
                <w:lang w:eastAsia="en-AU"/>
              </w:rPr>
              <w:t>llied health and other community health providers suggest medium weight times.</w:t>
            </w:r>
          </w:p>
        </w:tc>
      </w:tr>
      <w:tr w:rsidR="00B33803" w:rsidRPr="00121114" w14:paraId="29C8AAB0" w14:textId="77777777" w:rsidTr="008849C6">
        <w:trPr>
          <w:trHeight w:val="510"/>
        </w:trPr>
        <w:tc>
          <w:tcPr>
            <w:tcW w:w="2560" w:type="dxa"/>
            <w:tcBorders>
              <w:top w:val="nil"/>
              <w:left w:val="nil"/>
              <w:bottom w:val="single" w:sz="4" w:space="0" w:color="D6E7F0"/>
              <w:right w:val="nil"/>
            </w:tcBorders>
            <w:shd w:val="clear" w:color="auto" w:fill="auto"/>
            <w:noWrap/>
            <w:hideMark/>
          </w:tcPr>
          <w:p w14:paraId="67B55E4D" w14:textId="314B85B7"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 xml:space="preserve">Maternal </w:t>
            </w:r>
            <w:r w:rsidR="0017192C" w:rsidRPr="00D070A0">
              <w:rPr>
                <w:rFonts w:eastAsia="Times New Roman" w:cs="Open Sans Light"/>
                <w:color w:val="000000"/>
                <w:sz w:val="16"/>
                <w:szCs w:val="16"/>
                <w:lang w:eastAsia="en-AU"/>
              </w:rPr>
              <w:t>c</w:t>
            </w:r>
            <w:r w:rsidRPr="00D070A0">
              <w:rPr>
                <w:rFonts w:eastAsia="Times New Roman" w:cs="Open Sans Light"/>
                <w:color w:val="000000"/>
                <w:sz w:val="16"/>
                <w:szCs w:val="16"/>
                <w:lang w:eastAsia="en-AU"/>
              </w:rPr>
              <w:t xml:space="preserve">hild and </w:t>
            </w:r>
            <w:r w:rsidR="0017192C" w:rsidRPr="00D070A0">
              <w:rPr>
                <w:rFonts w:eastAsia="Times New Roman" w:cs="Open Sans Light"/>
                <w:color w:val="000000"/>
                <w:sz w:val="16"/>
                <w:szCs w:val="16"/>
                <w:lang w:eastAsia="en-AU"/>
              </w:rPr>
              <w:t>f</w:t>
            </w:r>
            <w:r w:rsidRPr="00D070A0">
              <w:rPr>
                <w:rFonts w:eastAsia="Times New Roman" w:cs="Open Sans Light"/>
                <w:color w:val="000000"/>
                <w:sz w:val="16"/>
                <w:szCs w:val="16"/>
                <w:lang w:eastAsia="en-AU"/>
              </w:rPr>
              <w:t>amily health</w:t>
            </w:r>
          </w:p>
        </w:tc>
        <w:tc>
          <w:tcPr>
            <w:tcW w:w="1060" w:type="dxa"/>
            <w:tcBorders>
              <w:top w:val="nil"/>
              <w:left w:val="nil"/>
              <w:bottom w:val="single" w:sz="4" w:space="0" w:color="D6E7F0"/>
              <w:right w:val="nil"/>
            </w:tcBorders>
            <w:shd w:val="clear" w:color="auto" w:fill="auto"/>
            <w:noWrap/>
            <w:hideMark/>
          </w:tcPr>
          <w:p w14:paraId="33EFA84F" w14:textId="0FB4CF0B" w:rsidR="00B33803" w:rsidRPr="00D070A0" w:rsidRDefault="009247E2"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Medium</w:t>
            </w:r>
            <w:r w:rsidR="00B33803" w:rsidRPr="00D070A0">
              <w:rPr>
                <w:rFonts w:eastAsia="Times New Roman" w:cs="Open Sans Light"/>
                <w:color w:val="000000"/>
                <w:sz w:val="16"/>
                <w:szCs w:val="16"/>
                <w:lang w:eastAsia="en-AU"/>
              </w:rPr>
              <w:t xml:space="preserve"> </w:t>
            </w:r>
          </w:p>
        </w:tc>
        <w:tc>
          <w:tcPr>
            <w:tcW w:w="5220" w:type="dxa"/>
            <w:tcBorders>
              <w:top w:val="nil"/>
              <w:left w:val="nil"/>
              <w:bottom w:val="single" w:sz="4" w:space="0" w:color="D6E7F0"/>
              <w:right w:val="nil"/>
            </w:tcBorders>
            <w:shd w:val="clear" w:color="auto" w:fill="auto"/>
            <w:hideMark/>
          </w:tcPr>
          <w:p w14:paraId="0C18AD9A" w14:textId="77777777" w:rsidR="00B33803" w:rsidRPr="00D070A0" w:rsidRDefault="00B33803"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 xml:space="preserve">Scheduled visits for maternal child health, where bookings are made according to the age bracket of the child. </w:t>
            </w:r>
          </w:p>
        </w:tc>
      </w:tr>
    </w:tbl>
    <w:p w14:paraId="2D818095" w14:textId="4F631C78" w:rsidR="003B19D8" w:rsidRPr="006005B2" w:rsidRDefault="00EC217C" w:rsidP="00D9095E">
      <w:pPr>
        <w:pStyle w:val="CGC2025TableNote"/>
        <w:tabs>
          <w:tab w:val="clear" w:pos="680"/>
          <w:tab w:val="left" w:pos="709"/>
        </w:tabs>
      </w:pPr>
      <w:r w:rsidRPr="006005B2">
        <w:t xml:space="preserve">Note: </w:t>
      </w:r>
      <w:r w:rsidR="00D9095E">
        <w:tab/>
      </w:r>
      <w:r w:rsidR="00397BF0" w:rsidRPr="006005B2">
        <w:t>Very long: 6+ months, long: 3-6 months, medium: 1-3 months, short: 1</w:t>
      </w:r>
      <w:r w:rsidR="003958F0">
        <w:t>–</w:t>
      </w:r>
      <w:r w:rsidR="00397BF0" w:rsidRPr="006005B2">
        <w:t>4 week(s), instant 1</w:t>
      </w:r>
      <w:r w:rsidR="003958F0">
        <w:t>–</w:t>
      </w:r>
      <w:r w:rsidR="00397BF0" w:rsidRPr="006005B2">
        <w:t xml:space="preserve">7 days.  </w:t>
      </w:r>
    </w:p>
    <w:p w14:paraId="3E5D78C3" w14:textId="67425707" w:rsidR="00145654" w:rsidRPr="006005B2" w:rsidRDefault="00C71257" w:rsidP="00B41512">
      <w:pPr>
        <w:pStyle w:val="CGC2025ParaNumbers"/>
      </w:pPr>
      <w:r w:rsidRPr="006005B2">
        <w:t>Non</w:t>
      </w:r>
      <w:r w:rsidRPr="006005B2">
        <w:noBreakHyphen/>
        <w:t xml:space="preserve">admitted patient services also require referrals and bookings. </w:t>
      </w:r>
      <w:r w:rsidR="00145654" w:rsidRPr="006005B2">
        <w:t>In contrast, emergency departments are staffed 24 hours a day and do not require referrals. In 2022–23 50% of patients were seen within 20 minutes and 90% of patients were seen within 2 hours and 4 minutes.</w:t>
      </w:r>
      <w:r w:rsidR="00D35230">
        <w:rPr>
          <w:rStyle w:val="FootnoteReference"/>
        </w:rPr>
        <w:footnoteReference w:id="10"/>
      </w:r>
    </w:p>
    <w:p w14:paraId="57F71C89" w14:textId="68A5D1C0" w:rsidR="00B41512" w:rsidRPr="006005B2" w:rsidRDefault="00930CD6" w:rsidP="00B41512">
      <w:pPr>
        <w:pStyle w:val="CGC2025ParaNumbers"/>
      </w:pPr>
      <w:r w:rsidRPr="006005B2">
        <w:t xml:space="preserve">Access times across community health services are therefore likely to be </w:t>
      </w:r>
      <w:r w:rsidR="00B41512" w:rsidRPr="006005B2">
        <w:t>generally more in line with wait times for non</w:t>
      </w:r>
      <w:r w:rsidR="00B41512" w:rsidRPr="006005B2">
        <w:noBreakHyphen/>
        <w:t xml:space="preserve">admitted patient services than emergency department services. </w:t>
      </w:r>
    </w:p>
    <w:p w14:paraId="3D1975D7" w14:textId="406A2327" w:rsidR="0072534C" w:rsidRPr="006005B2" w:rsidRDefault="002643EC" w:rsidP="0072534C">
      <w:pPr>
        <w:pStyle w:val="CGC2025ParaNumbers"/>
      </w:pPr>
      <w:r w:rsidRPr="006005B2">
        <w:t>Queensland</w:t>
      </w:r>
      <w:r w:rsidR="00FC3E97" w:rsidRPr="006005B2">
        <w:t xml:space="preserve"> </w:t>
      </w:r>
      <w:r w:rsidR="00C64A4F" w:rsidRPr="006005B2">
        <w:t>considered there was limited evidence</w:t>
      </w:r>
      <w:r w:rsidR="00FC3E97" w:rsidRPr="006005B2">
        <w:t xml:space="preserve"> </w:t>
      </w:r>
      <w:r w:rsidR="003D017B" w:rsidRPr="006005B2">
        <w:t>to support the inclusion of non</w:t>
      </w:r>
      <w:r w:rsidR="003D017B" w:rsidRPr="006005B2">
        <w:noBreakHyphen/>
        <w:t>admitted patient services in the proxy</w:t>
      </w:r>
      <w:r w:rsidR="000823BE" w:rsidRPr="006005B2">
        <w:t xml:space="preserve">. </w:t>
      </w:r>
      <w:r w:rsidR="00DA392C">
        <w:t>T</w:t>
      </w:r>
      <w:r w:rsidR="00B674C9" w:rsidRPr="006005B2">
        <w:t>o not overcorrect, Queensland</w:t>
      </w:r>
      <w:r w:rsidR="00B923E9" w:rsidRPr="006005B2">
        <w:t xml:space="preserve"> </w:t>
      </w:r>
      <w:r w:rsidRPr="006005B2">
        <w:t>suggest</w:t>
      </w:r>
      <w:r w:rsidR="00F84923" w:rsidRPr="006005B2">
        <w:t>ed</w:t>
      </w:r>
      <w:r w:rsidRPr="006005B2">
        <w:t xml:space="preserve"> a 75</w:t>
      </w:r>
      <w:r w:rsidR="00292F6F">
        <w:t>:</w:t>
      </w:r>
      <w:r w:rsidRPr="006005B2">
        <w:t>25 weighting for the emergency department and non</w:t>
      </w:r>
      <w:r w:rsidRPr="006005B2">
        <w:noBreakHyphen/>
        <w:t>admitted patient combined proxy</w:t>
      </w:r>
      <w:r w:rsidR="008A4462" w:rsidRPr="006005B2">
        <w:t xml:space="preserve">. </w:t>
      </w:r>
      <w:r w:rsidR="008C6360" w:rsidRPr="006005B2">
        <w:t>T</w:t>
      </w:r>
      <w:r w:rsidRPr="006005B2">
        <w:t xml:space="preserve">his </w:t>
      </w:r>
      <w:r w:rsidR="00892351" w:rsidRPr="006005B2">
        <w:t xml:space="preserve">would </w:t>
      </w:r>
      <w:r w:rsidRPr="006005B2">
        <w:t>compare to a weighting of 2</w:t>
      </w:r>
      <w:r w:rsidR="00A5234B" w:rsidRPr="006005B2">
        <w:t>6</w:t>
      </w:r>
      <w:r w:rsidR="00B46D61">
        <w:t>:</w:t>
      </w:r>
      <w:r w:rsidR="002125AC" w:rsidRPr="006005B2">
        <w:t>74</w:t>
      </w:r>
      <w:r w:rsidRPr="006005B2">
        <w:t xml:space="preserve"> </w:t>
      </w:r>
      <w:r w:rsidR="00233EE9" w:rsidRPr="006005B2">
        <w:t>if</w:t>
      </w:r>
      <w:r w:rsidRPr="006005B2">
        <w:t xml:space="preserve"> </w:t>
      </w:r>
      <w:r w:rsidR="00892351" w:rsidRPr="006005B2">
        <w:t xml:space="preserve">all </w:t>
      </w:r>
      <w:r w:rsidRPr="006005B2">
        <w:t>non</w:t>
      </w:r>
      <w:r w:rsidRPr="006005B2">
        <w:noBreakHyphen/>
        <w:t>admitted patient</w:t>
      </w:r>
      <w:r w:rsidR="00892351" w:rsidRPr="006005B2">
        <w:t xml:space="preserve"> services</w:t>
      </w:r>
      <w:r w:rsidR="00F42290" w:rsidRPr="006005B2">
        <w:t xml:space="preserve"> were included</w:t>
      </w:r>
      <w:r w:rsidRPr="006005B2">
        <w:t>.</w:t>
      </w:r>
      <w:r w:rsidR="00F42290" w:rsidRPr="006005B2">
        <w:t xml:space="preserve"> </w:t>
      </w:r>
    </w:p>
    <w:p w14:paraId="5CB7A5EC" w14:textId="10CA5A22" w:rsidR="008C6360" w:rsidRPr="00003456" w:rsidRDefault="00252C4E" w:rsidP="0072534C">
      <w:pPr>
        <w:pStyle w:val="CGC2025ParaNumbers"/>
      </w:pPr>
      <w:r w:rsidRPr="00003456">
        <w:t xml:space="preserve">However, the Commission is not </w:t>
      </w:r>
      <w:r w:rsidR="006E096E">
        <w:t>proposing</w:t>
      </w:r>
      <w:r w:rsidR="006E096E" w:rsidRPr="00003456">
        <w:t xml:space="preserve"> </w:t>
      </w:r>
      <w:r w:rsidRPr="00003456">
        <w:t xml:space="preserve">to </w:t>
      </w:r>
      <w:r w:rsidR="00EB745D" w:rsidRPr="00003456">
        <w:t>include all non</w:t>
      </w:r>
      <w:r w:rsidR="00C30559" w:rsidRPr="00003456">
        <w:noBreakHyphen/>
        <w:t xml:space="preserve">admitted patient activity </w:t>
      </w:r>
      <w:r w:rsidR="004638C2" w:rsidRPr="00003456">
        <w:t xml:space="preserve">in the proxy indicator, </w:t>
      </w:r>
      <w:r w:rsidR="002159E1" w:rsidRPr="00003456">
        <w:t>only those services</w:t>
      </w:r>
      <w:r w:rsidR="00E15479" w:rsidRPr="00003456">
        <w:t xml:space="preserve"> that are </w:t>
      </w:r>
      <w:proofErr w:type="gramStart"/>
      <w:r w:rsidR="00E15479" w:rsidRPr="00003456">
        <w:t>similar to</w:t>
      </w:r>
      <w:proofErr w:type="gramEnd"/>
      <w:r w:rsidR="00E15479" w:rsidRPr="00003456">
        <w:t xml:space="preserve"> community and public health</w:t>
      </w:r>
      <w:r w:rsidR="00B4559A" w:rsidRPr="00003456">
        <w:t xml:space="preserve">, </w:t>
      </w:r>
      <w:r w:rsidR="004638C2" w:rsidRPr="00003456">
        <w:t xml:space="preserve">as discussed earlier. </w:t>
      </w:r>
      <w:r w:rsidR="00A065A9" w:rsidRPr="00003456">
        <w:t xml:space="preserve">The ratio </w:t>
      </w:r>
      <w:r w:rsidR="003C3295" w:rsidRPr="00003456">
        <w:t>would</w:t>
      </w:r>
      <w:r w:rsidR="00C232F3" w:rsidRPr="00003456">
        <w:t xml:space="preserve"> be based on the relative amount of activity </w:t>
      </w:r>
      <w:r w:rsidR="00283645" w:rsidRPr="00003456">
        <w:t xml:space="preserve">in </w:t>
      </w:r>
      <w:r w:rsidR="00044B6D" w:rsidRPr="00003456">
        <w:t>emergency department triage category 4 and 5</w:t>
      </w:r>
      <w:r w:rsidR="004638C2" w:rsidRPr="00003456">
        <w:t xml:space="preserve"> </w:t>
      </w:r>
      <w:r w:rsidR="00C17FDD" w:rsidRPr="00003456">
        <w:t>and the subset of non</w:t>
      </w:r>
      <w:r w:rsidR="00C17FDD" w:rsidRPr="00003456">
        <w:noBreakHyphen/>
        <w:t>admitted</w:t>
      </w:r>
      <w:r w:rsidR="004638C2" w:rsidRPr="00003456">
        <w:t xml:space="preserve"> </w:t>
      </w:r>
      <w:r w:rsidR="000D3258" w:rsidRPr="00003456">
        <w:t xml:space="preserve">patient services </w:t>
      </w:r>
      <w:r w:rsidR="009B2DA4" w:rsidRPr="00003456">
        <w:t>in each year.</w:t>
      </w:r>
      <w:r w:rsidR="00C30559" w:rsidRPr="00003456">
        <w:t xml:space="preserve"> </w:t>
      </w:r>
      <w:proofErr w:type="gramStart"/>
      <w:r w:rsidR="007556D4" w:rsidRPr="00003456">
        <w:t>On the basis of</w:t>
      </w:r>
      <w:proofErr w:type="gramEnd"/>
      <w:r w:rsidR="007556D4" w:rsidRPr="00003456">
        <w:t xml:space="preserve"> the analysis presented </w:t>
      </w:r>
      <w:r w:rsidR="007556D4" w:rsidRPr="00003456">
        <w:lastRenderedPageBreak/>
        <w:t>earlier</w:t>
      </w:r>
      <w:r w:rsidR="00F97D55" w:rsidRPr="00003456">
        <w:t>,</w:t>
      </w:r>
      <w:r w:rsidR="007556D4" w:rsidRPr="00003456">
        <w:t xml:space="preserve"> the Commission does not consider </w:t>
      </w:r>
      <w:r w:rsidR="00E564B4" w:rsidRPr="00003456">
        <w:t xml:space="preserve">the proposed approach </w:t>
      </w:r>
      <w:r w:rsidR="007556D4" w:rsidRPr="00003456">
        <w:t xml:space="preserve">is overstating the </w:t>
      </w:r>
      <w:r w:rsidR="006D1C53" w:rsidRPr="00003456">
        <w:t>weight given to</w:t>
      </w:r>
      <w:r w:rsidR="007556D4" w:rsidRPr="00003456">
        <w:t xml:space="preserve"> non</w:t>
      </w:r>
      <w:r w:rsidR="007556D4" w:rsidRPr="00003456">
        <w:noBreakHyphen/>
        <w:t>admitted patient service</w:t>
      </w:r>
      <w:r w:rsidR="006D1C53" w:rsidRPr="00003456">
        <w:t xml:space="preserve"> activity.</w:t>
      </w:r>
      <w:r w:rsidR="002643EC" w:rsidRPr="00003456">
        <w:t xml:space="preserve"> </w:t>
      </w:r>
    </w:p>
    <w:p w14:paraId="4F4B6509" w14:textId="4DA75D36" w:rsidR="00596E37" w:rsidRPr="00003456" w:rsidRDefault="00596E37" w:rsidP="0040676F">
      <w:pPr>
        <w:pStyle w:val="CGC2025ParaNumbers"/>
      </w:pPr>
      <w:r w:rsidRPr="00003456">
        <w:t xml:space="preserve">South Australia </w:t>
      </w:r>
      <w:r w:rsidR="00F23F72" w:rsidRPr="00003456">
        <w:t>propos</w:t>
      </w:r>
      <w:r w:rsidR="0040676F" w:rsidRPr="00003456">
        <w:t>ed</w:t>
      </w:r>
      <w:r w:rsidR="00F23F72" w:rsidRPr="00003456">
        <w:t xml:space="preserve"> that the data </w:t>
      </w:r>
      <w:r w:rsidR="00821BA3" w:rsidRPr="00003456">
        <w:t>on non</w:t>
      </w:r>
      <w:r w:rsidR="00821BA3" w:rsidRPr="00003456">
        <w:noBreakHyphen/>
        <w:t>admitted patient activity</w:t>
      </w:r>
      <w:r w:rsidR="00F23F72" w:rsidRPr="00003456">
        <w:t xml:space="preserve"> be used at the aggregate level</w:t>
      </w:r>
      <w:r w:rsidR="00821BA3" w:rsidRPr="00003456">
        <w:t xml:space="preserve">. </w:t>
      </w:r>
      <w:r w:rsidR="007519D3" w:rsidRPr="00003456">
        <w:t>This</w:t>
      </w:r>
      <w:r w:rsidR="00E7140C" w:rsidRPr="00003456">
        <w:t xml:space="preserve"> option</w:t>
      </w:r>
      <w:r w:rsidR="00E31426" w:rsidRPr="00003456">
        <w:t xml:space="preserve"> cannot be implemented</w:t>
      </w:r>
      <w:r w:rsidR="00A61876" w:rsidRPr="00003456">
        <w:t xml:space="preserve"> because patient</w:t>
      </w:r>
      <w:r w:rsidR="00A61876" w:rsidRPr="00003456">
        <w:noBreakHyphen/>
        <w:t>level data are needed to allow activity to be cross</w:t>
      </w:r>
      <w:r w:rsidR="00A61876" w:rsidRPr="00003456">
        <w:noBreakHyphen/>
        <w:t>classified by socio-demographic composition group</w:t>
      </w:r>
      <w:r w:rsidR="00E31426" w:rsidRPr="00003456">
        <w:t>.</w:t>
      </w:r>
    </w:p>
    <w:p w14:paraId="5D5BB505" w14:textId="77777777" w:rsidR="00690237" w:rsidRPr="00003456" w:rsidRDefault="00690237" w:rsidP="00690237">
      <w:pPr>
        <w:pStyle w:val="Heading4"/>
      </w:pPr>
      <w:r w:rsidRPr="00003456">
        <w:t>Commission draft position</w:t>
      </w:r>
    </w:p>
    <w:p w14:paraId="12305A9F" w14:textId="09A20582" w:rsidR="004720A6" w:rsidRPr="00003456" w:rsidRDefault="004720A6" w:rsidP="004720A6">
      <w:pPr>
        <w:pStyle w:val="CGC2025ParaNumbers"/>
      </w:pPr>
      <w:r w:rsidRPr="00003456">
        <w:t xml:space="preserve">The Commission </w:t>
      </w:r>
      <w:r w:rsidR="00A8225F" w:rsidRPr="00003456">
        <w:t>proposes</w:t>
      </w:r>
      <w:r w:rsidRPr="00003456">
        <w:t xml:space="preserve"> to broaden the proxy indicator of community and public health activity (outside of ambulatory community mental health) to include a combination of emergency department triage category 4 and 5 plus a subset of non</w:t>
      </w:r>
      <w:r w:rsidR="00461025" w:rsidRPr="00003456">
        <w:noBreakHyphen/>
      </w:r>
      <w:r w:rsidRPr="00003456">
        <w:t xml:space="preserve">admitted patient </w:t>
      </w:r>
      <w:r w:rsidR="006739B7">
        <w:t xml:space="preserve">allied health services </w:t>
      </w:r>
      <w:proofErr w:type="gramStart"/>
      <w:r w:rsidR="00886D81">
        <w:t>similar to</w:t>
      </w:r>
      <w:proofErr w:type="gramEnd"/>
      <w:r w:rsidR="00886D81">
        <w:t xml:space="preserve"> community health services, as outlined in </w:t>
      </w:r>
      <w:r w:rsidR="00365C78">
        <w:fldChar w:fldCharType="begin"/>
      </w:r>
      <w:r w:rsidR="00365C78">
        <w:instrText xml:space="preserve"> REF _Ref158796140 \h </w:instrText>
      </w:r>
      <w:r w:rsidR="00365C78">
        <w:fldChar w:fldCharType="separate"/>
      </w:r>
      <w:r w:rsidR="00581B01" w:rsidRPr="00DB0F54">
        <w:t xml:space="preserve">Table </w:t>
      </w:r>
      <w:r w:rsidR="00581B01">
        <w:rPr>
          <w:noProof/>
        </w:rPr>
        <w:t>2</w:t>
      </w:r>
      <w:r w:rsidR="00365C78">
        <w:fldChar w:fldCharType="end"/>
      </w:r>
      <w:r w:rsidRPr="00003456">
        <w:t xml:space="preserve">. Based on the share of </w:t>
      </w:r>
      <w:r w:rsidR="00D927A4">
        <w:t xml:space="preserve">activity </w:t>
      </w:r>
      <w:r w:rsidRPr="00003456">
        <w:t>on these services, the proxy w</w:t>
      </w:r>
      <w:r w:rsidR="00B716BC" w:rsidRPr="00003456">
        <w:t>ould</w:t>
      </w:r>
      <w:r w:rsidRPr="00003456">
        <w:t xml:space="preserve"> be around 55% emergency department triage category 4 and 5 and 45%</w:t>
      </w:r>
      <w:r w:rsidR="00D60980">
        <w:t> </w:t>
      </w:r>
      <w:r w:rsidRPr="00003456">
        <w:t>non</w:t>
      </w:r>
      <w:r w:rsidR="00D60980">
        <w:noBreakHyphen/>
      </w:r>
      <w:r w:rsidRPr="00003456">
        <w:t>admitted patient services.</w:t>
      </w:r>
      <w:r w:rsidR="00501B66">
        <w:rPr>
          <w:rStyle w:val="FootnoteReference"/>
        </w:rPr>
        <w:footnoteReference w:id="11"/>
      </w:r>
    </w:p>
    <w:p w14:paraId="7A361078" w14:textId="655E58A6" w:rsidR="004B164F" w:rsidRPr="00003456" w:rsidRDefault="004B164F" w:rsidP="00A94BA5">
      <w:pPr>
        <w:pStyle w:val="Heading35"/>
      </w:pPr>
      <w:r w:rsidRPr="00003456">
        <w:t>Separate assessment of public health</w:t>
      </w:r>
    </w:p>
    <w:p w14:paraId="530A771F" w14:textId="1BF55C2B" w:rsidR="008F71FD" w:rsidRPr="0042392A" w:rsidRDefault="008F71FD" w:rsidP="008F71FD">
      <w:pPr>
        <w:pStyle w:val="Heading4"/>
      </w:pPr>
      <w:r w:rsidRPr="0042392A">
        <w:t>State views</w:t>
      </w:r>
    </w:p>
    <w:p w14:paraId="4AE99DFA" w14:textId="1CCCF641" w:rsidR="00636A4D" w:rsidRPr="0042392A" w:rsidRDefault="62A6EF17" w:rsidP="00B77C93">
      <w:pPr>
        <w:pStyle w:val="CGC2025ParaNumbers"/>
      </w:pPr>
      <w:r w:rsidRPr="0042392A">
        <w:t xml:space="preserve">New South Wales, Victoria and </w:t>
      </w:r>
      <w:r w:rsidR="146A25DD" w:rsidRPr="0042392A">
        <w:t xml:space="preserve">Tasmania </w:t>
      </w:r>
      <w:r w:rsidR="775E07F9" w:rsidRPr="0042392A">
        <w:t>said that</w:t>
      </w:r>
      <w:r w:rsidR="4DEAEAEC" w:rsidRPr="0042392A">
        <w:t xml:space="preserve"> public health expenses should be assessed separately to</w:t>
      </w:r>
      <w:r w:rsidR="2B81DFE3" w:rsidRPr="0042392A">
        <w:t xml:space="preserve"> </w:t>
      </w:r>
      <w:r w:rsidR="69F4D35B" w:rsidRPr="0042392A">
        <w:t>community health expenses.</w:t>
      </w:r>
      <w:r w:rsidR="28ABFD50" w:rsidRPr="0042392A">
        <w:t xml:space="preserve"> </w:t>
      </w:r>
      <w:r w:rsidR="69F4D35B" w:rsidRPr="0042392A">
        <w:t xml:space="preserve">New South Wales and Victoria </w:t>
      </w:r>
      <w:r w:rsidR="775E07F9" w:rsidRPr="0042392A">
        <w:t>said that</w:t>
      </w:r>
      <w:r w:rsidR="69F4D35B" w:rsidRPr="0042392A">
        <w:t xml:space="preserve"> </w:t>
      </w:r>
      <w:r w:rsidR="007C45BE" w:rsidRPr="0042392A">
        <w:t xml:space="preserve">public health </w:t>
      </w:r>
      <w:r w:rsidR="0622CFB4" w:rsidRPr="0042392A">
        <w:t xml:space="preserve">expenses </w:t>
      </w:r>
      <w:r w:rsidR="2ED8D18E" w:rsidRPr="0042392A">
        <w:t xml:space="preserve">should </w:t>
      </w:r>
      <w:r w:rsidR="0622CFB4" w:rsidRPr="0042392A">
        <w:t>be assessed equal per capita</w:t>
      </w:r>
      <w:r w:rsidR="6FBC1C6D" w:rsidRPr="0042392A">
        <w:t xml:space="preserve">. </w:t>
      </w:r>
    </w:p>
    <w:p w14:paraId="70EA5AA1" w14:textId="7581EF94" w:rsidR="00B77C93" w:rsidRPr="0042392A" w:rsidRDefault="00942A39" w:rsidP="001F5B6D">
      <w:pPr>
        <w:pStyle w:val="CGC2025ParaNumbers"/>
      </w:pPr>
      <w:r w:rsidRPr="0042392A">
        <w:t>New South Wales said p</w:t>
      </w:r>
      <w:r w:rsidR="00B77C93" w:rsidRPr="0042392A">
        <w:t>ublic health services are relatively standardised, with only minor variations for targeted groups</w:t>
      </w:r>
      <w:r w:rsidR="00C700AC" w:rsidRPr="0042392A">
        <w:t xml:space="preserve">. It said </w:t>
      </w:r>
      <w:r w:rsidR="00B77C93" w:rsidRPr="0042392A">
        <w:t xml:space="preserve">there is little evidence that different groups require materially different expenditure or involve varying degrees of complexity. </w:t>
      </w:r>
      <w:r w:rsidR="00A90CDF" w:rsidRPr="0042392A">
        <w:t>It said that</w:t>
      </w:r>
      <w:r w:rsidR="00B77C93" w:rsidRPr="0042392A">
        <w:t xml:space="preserve"> communicable disease control and environmental health are standardised services, provided in a near-equivalent manner for all citizens.</w:t>
      </w:r>
      <w:r w:rsidR="007E33AC" w:rsidRPr="0042392A">
        <w:t xml:space="preserve"> </w:t>
      </w:r>
      <w:r w:rsidR="00A90CDF" w:rsidRPr="0042392A">
        <w:t>It said that w</w:t>
      </w:r>
      <w:r w:rsidR="008612AB" w:rsidRPr="0042392A">
        <w:t>hile cancer screening, organised immunisation, and health promotion have some targeted expenditure for socio-demographic cohorts, these drivers would be significantly less than for other elements of community and public health services.</w:t>
      </w:r>
    </w:p>
    <w:p w14:paraId="70E94F66" w14:textId="7C81FD3C" w:rsidR="001E6521" w:rsidRPr="0042392A" w:rsidRDefault="001E6521" w:rsidP="001E50B2">
      <w:pPr>
        <w:pStyle w:val="CGC2025ParaNumbers"/>
      </w:pPr>
      <w:r w:rsidRPr="0042392A">
        <w:t>Victoria said that</w:t>
      </w:r>
      <w:r w:rsidR="00AB2A40" w:rsidRPr="0042392A">
        <w:t>,</w:t>
      </w:r>
      <w:r w:rsidR="00A859D4" w:rsidRPr="0042392A">
        <w:t xml:space="preserve"> c</w:t>
      </w:r>
      <w:r w:rsidRPr="0042392A">
        <w:t>onceptually</w:t>
      </w:r>
      <w:r w:rsidR="00AB2A40" w:rsidRPr="0042392A">
        <w:t>,</w:t>
      </w:r>
      <w:r w:rsidRPr="0042392A">
        <w:t xml:space="preserve"> community health and public health are different services, with different drivers. </w:t>
      </w:r>
      <w:r w:rsidR="006C2434" w:rsidRPr="0042392A">
        <w:t>It said c</w:t>
      </w:r>
      <w:r w:rsidRPr="0042392A">
        <w:t xml:space="preserve">ommunity health services are often delivered through local health clinics that provide primary care and related services for local communities. </w:t>
      </w:r>
      <w:r w:rsidR="006C2434" w:rsidRPr="0042392A">
        <w:t>It said, i</w:t>
      </w:r>
      <w:r w:rsidRPr="0042392A">
        <w:t>n contrast, public health generally relates to state-wide services and functions, aimed at improving the wellbeing of all residents of a state generally. These public health programs may be targeted to specific groups, however, predominantly are whole-of</w:t>
      </w:r>
      <w:r w:rsidR="637324FD" w:rsidRPr="0042392A">
        <w:t>-</w:t>
      </w:r>
      <w:r w:rsidRPr="0042392A">
        <w:t xml:space="preserve">state activities. </w:t>
      </w:r>
      <w:r w:rsidR="0003100F" w:rsidRPr="0042392A">
        <w:t>It said p</w:t>
      </w:r>
      <w:r w:rsidRPr="0042392A">
        <w:t>ublic health services are not the same as hospital services, which is the current proxy data used</w:t>
      </w:r>
      <w:r w:rsidR="00BC20A9" w:rsidRPr="0042392A">
        <w:t xml:space="preserve"> in the assessment</w:t>
      </w:r>
      <w:r w:rsidRPr="0042392A">
        <w:t>.</w:t>
      </w:r>
    </w:p>
    <w:p w14:paraId="50C73C70" w14:textId="2F9A3342" w:rsidR="001B1D24" w:rsidRPr="00E03088" w:rsidRDefault="001B1D24" w:rsidP="0001423A">
      <w:pPr>
        <w:pStyle w:val="Heading4"/>
      </w:pPr>
      <w:r w:rsidRPr="00E03088">
        <w:lastRenderedPageBreak/>
        <w:t>Commission response</w:t>
      </w:r>
    </w:p>
    <w:p w14:paraId="1015030C" w14:textId="0C5AC0FA" w:rsidR="006B4559" w:rsidRPr="00E03088" w:rsidRDefault="006B4559" w:rsidP="00AC69F3">
      <w:pPr>
        <w:pStyle w:val="CGC2025ParaNumbers"/>
      </w:pPr>
      <w:bookmarkStart w:id="41" w:name="_Ref157592460"/>
      <w:r w:rsidRPr="00E03088">
        <w:t xml:space="preserve">In considering the views of New South Wales, Victoria and </w:t>
      </w:r>
      <w:r w:rsidR="00A32E9E" w:rsidRPr="00E03088">
        <w:t>Tasmania</w:t>
      </w:r>
      <w:r w:rsidRPr="00E03088">
        <w:t xml:space="preserve"> the </w:t>
      </w:r>
      <w:r w:rsidR="00A32E9E" w:rsidRPr="00E03088">
        <w:t>Commission</w:t>
      </w:r>
      <w:r w:rsidRPr="00E03088">
        <w:t xml:space="preserve"> con</w:t>
      </w:r>
      <w:r w:rsidR="00A32E9E" w:rsidRPr="00E03088">
        <w:t>sidered</w:t>
      </w:r>
      <w:r w:rsidRPr="00E03088">
        <w:t xml:space="preserve"> the </w:t>
      </w:r>
      <w:r w:rsidR="00A32E9E" w:rsidRPr="00E03088">
        <w:t>conceptual</w:t>
      </w:r>
      <w:r w:rsidRPr="00E03088">
        <w:t xml:space="preserve"> case, </w:t>
      </w:r>
      <w:proofErr w:type="gramStart"/>
      <w:r w:rsidR="00A32E9E" w:rsidRPr="00E03088">
        <w:t>materiality</w:t>
      </w:r>
      <w:proofErr w:type="gramEnd"/>
      <w:r w:rsidRPr="00E03088">
        <w:t xml:space="preserve"> and practicality</w:t>
      </w:r>
      <w:r w:rsidR="00A94765" w:rsidRPr="00E03088">
        <w:t xml:space="preserve"> by</w:t>
      </w:r>
      <w:r w:rsidRPr="00E03088">
        <w:t xml:space="preserve"> </w:t>
      </w:r>
      <w:r w:rsidR="00A32E9E" w:rsidRPr="00E03088">
        <w:t>investigat</w:t>
      </w:r>
      <w:r w:rsidR="00A94765" w:rsidRPr="00E03088">
        <w:t>ing</w:t>
      </w:r>
      <w:r w:rsidRPr="00E03088">
        <w:t xml:space="preserve"> what </w:t>
      </w:r>
      <w:r w:rsidR="00042104" w:rsidRPr="00E03088">
        <w:t>s</w:t>
      </w:r>
      <w:r w:rsidR="00A32E9E" w:rsidRPr="00E03088">
        <w:t>ta</w:t>
      </w:r>
      <w:r w:rsidR="00A3740B" w:rsidRPr="00E03088">
        <w:t>t</w:t>
      </w:r>
      <w:r w:rsidR="00A32E9E" w:rsidRPr="00E03088">
        <w:t>es</w:t>
      </w:r>
      <w:r w:rsidRPr="00E03088">
        <w:t xml:space="preserve"> do</w:t>
      </w:r>
      <w:r w:rsidR="00734C5D" w:rsidRPr="00E03088">
        <w:t xml:space="preserve"> in terms of their </w:t>
      </w:r>
      <w:r w:rsidR="000774CF" w:rsidRPr="00E03088">
        <w:t>spending</w:t>
      </w:r>
      <w:r w:rsidR="00A32E9E" w:rsidRPr="00E03088">
        <w:t xml:space="preserve"> on public health services, and data availability. </w:t>
      </w:r>
    </w:p>
    <w:p w14:paraId="332AE307" w14:textId="402CC3CC" w:rsidR="009E7BF3" w:rsidRPr="00E03088" w:rsidRDefault="00EB39AC" w:rsidP="00AC69F3">
      <w:pPr>
        <w:pStyle w:val="CGC2025ParaNumbers"/>
      </w:pPr>
      <w:r w:rsidRPr="00E03088">
        <w:t xml:space="preserve">A key question for the Commission is whether an equal per capita approach </w:t>
      </w:r>
      <w:r w:rsidR="00262518" w:rsidRPr="00E03088">
        <w:t>(as proposed by New South Wales and Victoria)</w:t>
      </w:r>
      <w:r w:rsidR="00023FE8" w:rsidRPr="00E03088">
        <w:t>,</w:t>
      </w:r>
      <w:r w:rsidR="00262518" w:rsidRPr="00E03088">
        <w:t xml:space="preserve"> </w:t>
      </w:r>
      <w:r w:rsidRPr="00E03088">
        <w:t>or</w:t>
      </w:r>
      <w:r w:rsidR="00F829AB" w:rsidRPr="00E03088">
        <w:t xml:space="preserve"> </w:t>
      </w:r>
      <w:r w:rsidR="00AC69F3" w:rsidRPr="00E03088">
        <w:t xml:space="preserve">a </w:t>
      </w:r>
      <w:r w:rsidR="00F829AB" w:rsidRPr="00E03088">
        <w:t xml:space="preserve">proxy </w:t>
      </w:r>
      <w:r w:rsidR="00AC69F3" w:rsidRPr="00E03088">
        <w:t xml:space="preserve">measure </w:t>
      </w:r>
      <w:r w:rsidR="006F3920" w:rsidRPr="00E03088">
        <w:t>based on hospital activity</w:t>
      </w:r>
      <w:r w:rsidR="00F404A7" w:rsidRPr="00E03088">
        <w:t>,</w:t>
      </w:r>
      <w:r w:rsidR="00AC69F3" w:rsidRPr="00E03088">
        <w:t xml:space="preserve"> </w:t>
      </w:r>
      <w:r w:rsidRPr="00E03088">
        <w:t xml:space="preserve">is a better measure of </w:t>
      </w:r>
      <w:r w:rsidR="003A4553" w:rsidRPr="00E03088">
        <w:t>drivers of differences between s</w:t>
      </w:r>
      <w:r w:rsidR="004A628A" w:rsidRPr="00E03088">
        <w:t>t</w:t>
      </w:r>
      <w:r w:rsidR="003A4553" w:rsidRPr="00E03088">
        <w:t>ates in</w:t>
      </w:r>
      <w:r w:rsidRPr="00E03088">
        <w:t xml:space="preserve"> spending on public health. </w:t>
      </w:r>
      <w:r w:rsidR="00675E84" w:rsidRPr="00E03088">
        <w:t xml:space="preserve">In </w:t>
      </w:r>
      <w:r w:rsidR="00023FE8" w:rsidRPr="00E03088">
        <w:t xml:space="preserve">examining </w:t>
      </w:r>
      <w:r w:rsidR="00675E84" w:rsidRPr="00E03088">
        <w:t>this question</w:t>
      </w:r>
      <w:r w:rsidR="00F404A7" w:rsidRPr="00E03088">
        <w:t>,</w:t>
      </w:r>
      <w:r w:rsidR="00675E84" w:rsidRPr="00E03088">
        <w:t xml:space="preserve"> the Commission </w:t>
      </w:r>
      <w:r w:rsidR="00CD2042" w:rsidRPr="00E03088">
        <w:t xml:space="preserve">considered </w:t>
      </w:r>
      <w:r w:rsidR="00CD4FE5" w:rsidRPr="00E03088">
        <w:t>key</w:t>
      </w:r>
      <w:r w:rsidR="00CD2042" w:rsidRPr="00E03088">
        <w:t xml:space="preserve"> </w:t>
      </w:r>
      <w:r w:rsidR="00675E84" w:rsidRPr="00E03088">
        <w:t xml:space="preserve">public </w:t>
      </w:r>
      <w:r w:rsidR="008B5130" w:rsidRPr="00E03088">
        <w:t xml:space="preserve">health </w:t>
      </w:r>
      <w:r w:rsidR="00675E84" w:rsidRPr="00E03088">
        <w:t>service</w:t>
      </w:r>
      <w:r w:rsidR="00CD2042" w:rsidRPr="00E03088">
        <w:t xml:space="preserve">s and whether they were population based or targeted. </w:t>
      </w:r>
    </w:p>
    <w:p w14:paraId="5A46CCD0" w14:textId="10862F49" w:rsidR="003C5200" w:rsidRPr="00E03088" w:rsidRDefault="003C5200" w:rsidP="001C6605">
      <w:pPr>
        <w:pStyle w:val="CGC2025ParaNumbers"/>
        <w:tabs>
          <w:tab w:val="clear" w:pos="567"/>
        </w:tabs>
      </w:pPr>
      <w:r w:rsidRPr="00E03088">
        <w:t>The Commission found that state</w:t>
      </w:r>
      <w:r w:rsidRPr="00E03088">
        <w:noBreakHyphen/>
        <w:t xml:space="preserve">delivered public health programs </w:t>
      </w:r>
      <w:r w:rsidR="008B19B1" w:rsidRPr="00E03088">
        <w:t xml:space="preserve">generally </w:t>
      </w:r>
      <w:r w:rsidRPr="00E03088">
        <w:t>have some degree of national coordination and are often jointly</w:t>
      </w:r>
      <w:r w:rsidR="006F0840">
        <w:t xml:space="preserve"> </w:t>
      </w:r>
      <w:r w:rsidRPr="00E03088">
        <w:t>funded</w:t>
      </w:r>
      <w:r w:rsidR="005636CF" w:rsidRPr="00E03088">
        <w:t xml:space="preserve"> with the </w:t>
      </w:r>
      <w:r w:rsidR="00095F28" w:rsidRPr="00E03088">
        <w:t>C</w:t>
      </w:r>
      <w:r w:rsidR="0042596E" w:rsidRPr="00E03088">
        <w:t>o</w:t>
      </w:r>
      <w:r w:rsidR="00095F28" w:rsidRPr="00E03088">
        <w:t>mmonwealth</w:t>
      </w:r>
      <w:r w:rsidRPr="00E03088">
        <w:t xml:space="preserve">. As such, priorities for the programs are largely policy neutral. However, there is not a consistent pattern of socio-demographic use or targeting across </w:t>
      </w:r>
      <w:r w:rsidR="007219EF" w:rsidRPr="00E03088">
        <w:t xml:space="preserve">different </w:t>
      </w:r>
      <w:r w:rsidRPr="00E03088">
        <w:t>programs. This makes it challenging to decide whether a hospital</w:t>
      </w:r>
      <w:r w:rsidRPr="00E03088">
        <w:noBreakHyphen/>
        <w:t>based measure of activity, which would reflect higher use of services by First Nations people, people living in remote and low socio</w:t>
      </w:r>
      <w:r w:rsidR="000F0410">
        <w:t>-</w:t>
      </w:r>
      <w:r w:rsidRPr="00E03088">
        <w:t xml:space="preserve">economic status areas and older people, is a better proxy for activity in public health programs than state populations. </w:t>
      </w:r>
    </w:p>
    <w:p w14:paraId="699C9FBE" w14:textId="7BE5649F" w:rsidR="00C35C2A" w:rsidRPr="00E03088" w:rsidRDefault="006F7BD5" w:rsidP="00803D7A">
      <w:pPr>
        <w:pStyle w:val="CGC2025ParaNumbers"/>
      </w:pPr>
      <w:r w:rsidRPr="00E03088">
        <w:t xml:space="preserve">A range of </w:t>
      </w:r>
      <w:r w:rsidR="003A03EC" w:rsidRPr="00E03088">
        <w:t xml:space="preserve">factors </w:t>
      </w:r>
      <w:r w:rsidR="00C97EC3" w:rsidRPr="00E03088">
        <w:t xml:space="preserve">determine the </w:t>
      </w:r>
      <w:r w:rsidR="00152235" w:rsidRPr="00E03088">
        <w:t xml:space="preserve">targets </w:t>
      </w:r>
      <w:r w:rsidR="007E24F1" w:rsidRPr="00E03088">
        <w:t xml:space="preserve">for, </w:t>
      </w:r>
      <w:r w:rsidR="00152235" w:rsidRPr="00E03088">
        <w:t xml:space="preserve">and </w:t>
      </w:r>
      <w:r w:rsidR="00820585" w:rsidRPr="00E03088">
        <w:t xml:space="preserve">use </w:t>
      </w:r>
      <w:r w:rsidR="00E674D9" w:rsidRPr="00E03088">
        <w:t>of</w:t>
      </w:r>
      <w:r w:rsidR="007E24F1" w:rsidRPr="00E03088">
        <w:t>,</w:t>
      </w:r>
      <w:r w:rsidR="00E674D9" w:rsidRPr="00E03088">
        <w:t xml:space="preserve"> p</w:t>
      </w:r>
      <w:r w:rsidR="00803D7A" w:rsidRPr="00E03088">
        <w:t xml:space="preserve">ublic health </w:t>
      </w:r>
      <w:r w:rsidR="00E674D9" w:rsidRPr="00E03088">
        <w:t xml:space="preserve">programs and </w:t>
      </w:r>
      <w:r w:rsidR="00803D7A" w:rsidRPr="00E03088">
        <w:t>services</w:t>
      </w:r>
      <w:r w:rsidR="00240130" w:rsidRPr="00E03088">
        <w:t>.</w:t>
      </w:r>
      <w:r w:rsidR="00803D7A" w:rsidRPr="00E03088">
        <w:t xml:space="preserve"> </w:t>
      </w:r>
      <w:r w:rsidR="00640CA9" w:rsidRPr="00E03088">
        <w:t>Some programs</w:t>
      </w:r>
      <w:r w:rsidR="00803D7A" w:rsidRPr="00E03088">
        <w:t xml:space="preserve"> </w:t>
      </w:r>
      <w:r w:rsidR="0049776E" w:rsidRPr="00E03088">
        <w:t xml:space="preserve">are </w:t>
      </w:r>
      <w:r w:rsidR="00FC0665" w:rsidRPr="00E03088">
        <w:t xml:space="preserve">not </w:t>
      </w:r>
      <w:r w:rsidR="004C2D94" w:rsidRPr="00E03088">
        <w:t>necessarily</w:t>
      </w:r>
      <w:r w:rsidR="0049776E" w:rsidRPr="00E03088">
        <w:t xml:space="preserve"> targeted at</w:t>
      </w:r>
      <w:r w:rsidR="00803D7A" w:rsidRPr="00E03088">
        <w:t xml:space="preserve"> </w:t>
      </w:r>
      <w:proofErr w:type="gramStart"/>
      <w:r w:rsidR="00B82EC1" w:rsidRPr="00E03088">
        <w:t>particular</w:t>
      </w:r>
      <w:r w:rsidR="00267564" w:rsidRPr="00E03088">
        <w:t xml:space="preserve"> socio</w:t>
      </w:r>
      <w:r w:rsidR="00C86043" w:rsidRPr="00E03088">
        <w:noBreakHyphen/>
      </w:r>
      <w:r w:rsidR="00267564" w:rsidRPr="00E03088">
        <w:t>demographic</w:t>
      </w:r>
      <w:proofErr w:type="gramEnd"/>
      <w:r w:rsidR="00267564" w:rsidRPr="00E03088">
        <w:t xml:space="preserve"> population groups</w:t>
      </w:r>
      <w:r w:rsidR="0056391F" w:rsidRPr="00E03088">
        <w:t xml:space="preserve">. </w:t>
      </w:r>
      <w:r w:rsidR="007E5571" w:rsidRPr="00E03088">
        <w:t>The priorities for some programs</w:t>
      </w:r>
      <w:r w:rsidR="00101DC8" w:rsidRPr="00E03088">
        <w:t xml:space="preserve"> change over time </w:t>
      </w:r>
      <w:r w:rsidR="00D80156" w:rsidRPr="00E03088">
        <w:t>as</w:t>
      </w:r>
      <w:r w:rsidR="00101DC8" w:rsidRPr="00E03088">
        <w:t xml:space="preserve"> health priorities</w:t>
      </w:r>
      <w:r w:rsidR="00D80156" w:rsidRPr="00E03088">
        <w:t xml:space="preserve"> change</w:t>
      </w:r>
      <w:r w:rsidR="005C4D0D" w:rsidRPr="00E03088">
        <w:t>.</w:t>
      </w:r>
      <w:r w:rsidR="00334D23" w:rsidRPr="00E03088">
        <w:t xml:space="preserve"> </w:t>
      </w:r>
      <w:r w:rsidR="00A9073F" w:rsidRPr="00E03088">
        <w:t>In some case</w:t>
      </w:r>
      <w:r w:rsidR="00517C15" w:rsidRPr="00E03088">
        <w:t>s</w:t>
      </w:r>
      <w:r w:rsidR="006C4F90" w:rsidRPr="00E03088">
        <w:t>,</w:t>
      </w:r>
      <w:r w:rsidR="00A9073F" w:rsidRPr="00E03088">
        <w:t xml:space="preserve"> the </w:t>
      </w:r>
      <w:r w:rsidR="00517C15" w:rsidRPr="00E03088">
        <w:t>socio</w:t>
      </w:r>
      <w:r w:rsidR="006B6660" w:rsidRPr="00E03088">
        <w:t>-</w:t>
      </w:r>
      <w:r w:rsidR="00517C15" w:rsidRPr="00E03088">
        <w:t xml:space="preserve">demographic groups </w:t>
      </w:r>
      <w:r w:rsidR="0037548B" w:rsidRPr="00E03088">
        <w:t>making the most use</w:t>
      </w:r>
      <w:r w:rsidR="00A9073F" w:rsidRPr="00E03088">
        <w:t xml:space="preserve"> of public health services </w:t>
      </w:r>
      <w:r w:rsidR="000F0AFA" w:rsidRPr="00E03088">
        <w:t>do not nec</w:t>
      </w:r>
      <w:r w:rsidR="00322DAE" w:rsidRPr="00E03088">
        <w:t>essarily align with th</w:t>
      </w:r>
      <w:r w:rsidR="001629CD" w:rsidRPr="00E03088">
        <w:t xml:space="preserve">e </w:t>
      </w:r>
      <w:r w:rsidR="0012467D" w:rsidRPr="00E03088">
        <w:t>target</w:t>
      </w:r>
      <w:r w:rsidR="001629CD" w:rsidRPr="00E03088">
        <w:t xml:space="preserve"> groups for the programs.</w:t>
      </w:r>
      <w:bookmarkEnd w:id="41"/>
      <w:r w:rsidR="00424B42">
        <w:br/>
      </w:r>
    </w:p>
    <w:p w14:paraId="58771F88" w14:textId="1F746585" w:rsidR="002C176A" w:rsidRPr="00D92628" w:rsidRDefault="00972713" w:rsidP="00D92628">
      <w:pPr>
        <w:pStyle w:val="BoxText"/>
        <w:shd w:val="clear" w:color="auto" w:fill="E5F8FF"/>
        <w:tabs>
          <w:tab w:val="left" w:pos="1418"/>
        </w:tabs>
        <w:ind w:left="426"/>
        <w:rPr>
          <w:rFonts w:ascii="Open Sans Semibold" w:hAnsi="Open Sans Semibold" w:cs="Open Sans Semibold"/>
          <w:color w:val="006991"/>
          <w:sz w:val="26"/>
          <w:szCs w:val="26"/>
        </w:rPr>
      </w:pPr>
      <w:r w:rsidRPr="00D92628">
        <w:rPr>
          <w:rFonts w:ascii="Open Sans Semibold" w:hAnsi="Open Sans Semibold" w:cs="Open Sans Semibold"/>
          <w:color w:val="006991"/>
          <w:sz w:val="26"/>
          <w:szCs w:val="26"/>
        </w:rPr>
        <w:t xml:space="preserve">Box </w:t>
      </w:r>
      <w:r w:rsidR="005B51B7" w:rsidRPr="00D92628">
        <w:rPr>
          <w:rFonts w:ascii="Open Sans Semibold" w:hAnsi="Open Sans Semibold" w:cs="Open Sans Semibold"/>
          <w:color w:val="006991"/>
          <w:sz w:val="26"/>
          <w:szCs w:val="26"/>
        </w:rPr>
        <w:t>3</w:t>
      </w:r>
      <w:r w:rsidRPr="00D92628">
        <w:rPr>
          <w:rFonts w:ascii="Open Sans Semibold" w:hAnsi="Open Sans Semibold" w:cs="Open Sans Semibold"/>
          <w:color w:val="006991"/>
          <w:sz w:val="26"/>
          <w:szCs w:val="26"/>
        </w:rPr>
        <w:tab/>
      </w:r>
      <w:r w:rsidR="00424B42" w:rsidRPr="00D92628">
        <w:rPr>
          <w:rFonts w:ascii="Open Sans Semibold" w:hAnsi="Open Sans Semibold" w:cs="Open Sans Semibold"/>
          <w:bCs/>
          <w:color w:val="006991"/>
          <w:sz w:val="26"/>
          <w:szCs w:val="26"/>
        </w:rPr>
        <w:tab/>
      </w:r>
      <w:r w:rsidR="00050EEF" w:rsidRPr="00D92628">
        <w:rPr>
          <w:rFonts w:ascii="Open Sans Semibold" w:hAnsi="Open Sans Semibold" w:cs="Open Sans Semibold"/>
          <w:color w:val="006991"/>
          <w:sz w:val="26"/>
          <w:szCs w:val="26"/>
        </w:rPr>
        <w:t>Public health services</w:t>
      </w:r>
    </w:p>
    <w:p w14:paraId="7C1AD34B" w14:textId="76E55EEA" w:rsidR="00C2615F" w:rsidRPr="006A0C3E" w:rsidRDefault="00C2615F" w:rsidP="00424B42">
      <w:pPr>
        <w:pStyle w:val="BoxText"/>
        <w:shd w:val="clear" w:color="auto" w:fill="E5F8FF"/>
        <w:ind w:left="426"/>
        <w:jc w:val="left"/>
        <w:rPr>
          <w:rFonts w:ascii="Work Sans" w:hAnsi="Work Sans"/>
          <w:sz w:val="20"/>
        </w:rPr>
      </w:pPr>
      <w:r w:rsidRPr="006A0C3E">
        <w:rPr>
          <w:rFonts w:ascii="Work Sans" w:hAnsi="Work Sans"/>
          <w:b/>
          <w:bCs/>
          <w:sz w:val="20"/>
        </w:rPr>
        <w:t>Cancer screening</w:t>
      </w:r>
      <w:r w:rsidR="003A348A" w:rsidRPr="006A0C3E">
        <w:rPr>
          <w:rFonts w:ascii="Work Sans" w:hAnsi="Work Sans"/>
          <w:b/>
          <w:bCs/>
          <w:sz w:val="20"/>
        </w:rPr>
        <w:t xml:space="preserve">. </w:t>
      </w:r>
      <w:r w:rsidRPr="006A0C3E">
        <w:rPr>
          <w:rFonts w:ascii="Work Sans" w:hAnsi="Work Sans"/>
          <w:sz w:val="20"/>
        </w:rPr>
        <w:t xml:space="preserve">The population-based screening programs for breast, cervical and bowel cancers are run through partnerships between Commonwealth and state governments. The programs target certain groups where evidence shows that screening helps to reduce ill health and deaths from cancer. </w:t>
      </w:r>
    </w:p>
    <w:p w14:paraId="2C28D1F1" w14:textId="77777777" w:rsidR="00C2615F" w:rsidRPr="006A0C3E" w:rsidRDefault="00C2615F" w:rsidP="00B731C3">
      <w:pPr>
        <w:pStyle w:val="BoxText"/>
        <w:shd w:val="clear" w:color="auto" w:fill="E5F8FF"/>
        <w:ind w:left="716" w:hanging="290"/>
        <w:jc w:val="left"/>
        <w:rPr>
          <w:rFonts w:ascii="Work Sans" w:hAnsi="Work Sans"/>
          <w:sz w:val="20"/>
        </w:rPr>
      </w:pPr>
      <w:r w:rsidRPr="006A0C3E">
        <w:rPr>
          <w:rFonts w:ascii="Work Sans" w:hAnsi="Work Sans"/>
          <w:sz w:val="20"/>
        </w:rPr>
        <w:t>•</w:t>
      </w:r>
      <w:r w:rsidRPr="006A0C3E">
        <w:rPr>
          <w:rFonts w:ascii="Work Sans" w:hAnsi="Work Sans"/>
          <w:sz w:val="20"/>
        </w:rPr>
        <w:tab/>
      </w:r>
      <w:bookmarkStart w:id="42" w:name="tempbookmark"/>
      <w:r w:rsidRPr="006A0C3E">
        <w:rPr>
          <w:rFonts w:ascii="Work Sans" w:hAnsi="Work Sans"/>
          <w:sz w:val="20"/>
        </w:rPr>
        <w:t>The breast and bowel cancer screening programs target an older cohort (40+) than the cervical cancer screening (20+).</w:t>
      </w:r>
    </w:p>
    <w:p w14:paraId="350AE165" w14:textId="77777777" w:rsidR="00C2615F" w:rsidRPr="006A0C3E" w:rsidRDefault="00C2615F" w:rsidP="00B731C3">
      <w:pPr>
        <w:pStyle w:val="BoxText"/>
        <w:shd w:val="clear" w:color="auto" w:fill="E5F8FF"/>
        <w:ind w:left="716" w:hanging="290"/>
        <w:jc w:val="left"/>
      </w:pPr>
      <w:r w:rsidRPr="006A0C3E">
        <w:t>•</w:t>
      </w:r>
      <w:r w:rsidRPr="006A0C3E">
        <w:tab/>
      </w:r>
      <w:r w:rsidRPr="006A0C3E">
        <w:rPr>
          <w:rFonts w:ascii="Work Sans" w:hAnsi="Work Sans"/>
          <w:sz w:val="20"/>
        </w:rPr>
        <w:t>After adjusting for age, participation in bowel and breast cancer screening was highest in regional areas and lowest in very remote areas. For cervical cancer screening, participation was highest in major cities and declined with remoteness</w:t>
      </w:r>
      <w:r w:rsidRPr="006A0C3E">
        <w:t>.</w:t>
      </w:r>
    </w:p>
    <w:p w14:paraId="7D75A72B" w14:textId="77777777" w:rsidR="00C2615F" w:rsidRPr="006A0C3E" w:rsidRDefault="00C2615F" w:rsidP="00B731C3">
      <w:pPr>
        <w:pStyle w:val="BoxText"/>
        <w:shd w:val="clear" w:color="auto" w:fill="E5F8FF"/>
        <w:ind w:left="716" w:hanging="290"/>
        <w:jc w:val="left"/>
        <w:rPr>
          <w:rFonts w:ascii="Work Sans" w:hAnsi="Work Sans"/>
          <w:sz w:val="20"/>
        </w:rPr>
      </w:pPr>
      <w:r w:rsidRPr="006A0C3E">
        <w:rPr>
          <w:rFonts w:ascii="Work Sans" w:hAnsi="Work Sans"/>
          <w:sz w:val="20"/>
        </w:rPr>
        <w:t>•</w:t>
      </w:r>
      <w:r w:rsidRPr="006A0C3E">
        <w:rPr>
          <w:rFonts w:ascii="Work Sans" w:hAnsi="Work Sans"/>
          <w:sz w:val="20"/>
        </w:rPr>
        <w:tab/>
        <w:t>Participation in bowel and cervical cancer screening was highest for people living in the highest socio-economic areas. Participation in breast cancer screening did not vary much by socio-economic status.</w:t>
      </w:r>
    </w:p>
    <w:bookmarkEnd w:id="42"/>
    <w:p w14:paraId="31658D96" w14:textId="67CA7F85" w:rsidR="005545AE" w:rsidRPr="006A0C3E" w:rsidRDefault="00C2615F" w:rsidP="00B731C3">
      <w:pPr>
        <w:pStyle w:val="BoxText"/>
        <w:shd w:val="clear" w:color="auto" w:fill="E5F8FF"/>
        <w:ind w:left="716" w:hanging="290"/>
        <w:jc w:val="left"/>
        <w:rPr>
          <w:rFonts w:ascii="Work Sans" w:hAnsi="Work Sans"/>
          <w:sz w:val="20"/>
        </w:rPr>
      </w:pPr>
      <w:r w:rsidRPr="006A0C3E">
        <w:rPr>
          <w:rFonts w:ascii="Work Sans" w:hAnsi="Work Sans"/>
          <w:sz w:val="20"/>
        </w:rPr>
        <w:lastRenderedPageBreak/>
        <w:t>•</w:t>
      </w:r>
      <w:r w:rsidRPr="006A0C3E">
        <w:rPr>
          <w:rFonts w:ascii="Work Sans" w:hAnsi="Work Sans"/>
          <w:sz w:val="20"/>
        </w:rPr>
        <w:tab/>
        <w:t>Participation in each of the programs was higher among non</w:t>
      </w:r>
      <w:r w:rsidR="003F4E9F" w:rsidRPr="006A0C3E">
        <w:rPr>
          <w:rFonts w:ascii="Work Sans" w:hAnsi="Work Sans"/>
          <w:sz w:val="20"/>
        </w:rPr>
        <w:t>-</w:t>
      </w:r>
      <w:r w:rsidRPr="006A0C3E">
        <w:rPr>
          <w:rFonts w:ascii="Work Sans" w:hAnsi="Work Sans"/>
          <w:sz w:val="20"/>
        </w:rPr>
        <w:t>Indigenous people than First Nations people.</w:t>
      </w:r>
      <w:r w:rsidR="00B203A6">
        <w:rPr>
          <w:rStyle w:val="FootnoteReference"/>
        </w:rPr>
        <w:footnoteReference w:id="12"/>
      </w:r>
    </w:p>
    <w:p w14:paraId="1A41E2C9" w14:textId="0D793028" w:rsidR="00093933" w:rsidRPr="006A0C3E" w:rsidRDefault="00093933" w:rsidP="00424B42">
      <w:pPr>
        <w:pStyle w:val="BoxText"/>
        <w:shd w:val="clear" w:color="auto" w:fill="E5F8FF"/>
        <w:ind w:left="426"/>
        <w:jc w:val="left"/>
        <w:rPr>
          <w:rFonts w:ascii="Work Sans" w:hAnsi="Work Sans"/>
          <w:sz w:val="20"/>
        </w:rPr>
      </w:pPr>
      <w:r w:rsidRPr="006A0C3E">
        <w:rPr>
          <w:rFonts w:ascii="Work Sans" w:hAnsi="Work Sans"/>
          <w:b/>
          <w:bCs/>
          <w:sz w:val="20"/>
        </w:rPr>
        <w:t>Organised immunisation</w:t>
      </w:r>
      <w:r w:rsidR="003A348A" w:rsidRPr="006A0C3E">
        <w:rPr>
          <w:rFonts w:ascii="Work Sans" w:hAnsi="Work Sans"/>
          <w:b/>
          <w:bCs/>
          <w:sz w:val="20"/>
        </w:rPr>
        <w:t xml:space="preserve">. </w:t>
      </w:r>
      <w:r w:rsidRPr="006A0C3E">
        <w:rPr>
          <w:rFonts w:ascii="Work Sans" w:hAnsi="Work Sans"/>
          <w:sz w:val="20"/>
        </w:rPr>
        <w:t>State governments are responsible for the coordination and oversight of organised immunisation programs, some of which are jointly funded by the Commonwealth. The performance benchmarks for the Essential Vaccines Schedule of the Federation include targets for children and First Nations people.</w:t>
      </w:r>
      <w:r w:rsidR="00A47CCF" w:rsidRPr="006A0C3E">
        <w:rPr>
          <w:rStyle w:val="FootnoteReference"/>
        </w:rPr>
        <w:footnoteReference w:id="13"/>
      </w:r>
      <w:r w:rsidRPr="006A0C3E">
        <w:rPr>
          <w:rFonts w:ascii="Work Sans" w:hAnsi="Work Sans"/>
          <w:sz w:val="20"/>
        </w:rPr>
        <w:t xml:space="preserve"> </w:t>
      </w:r>
    </w:p>
    <w:p w14:paraId="340CDA35" w14:textId="1BE8FC3A" w:rsidR="00093933" w:rsidRPr="006A0C3E" w:rsidRDefault="00093933" w:rsidP="00424B42">
      <w:pPr>
        <w:pStyle w:val="BoxText"/>
        <w:shd w:val="clear" w:color="auto" w:fill="E5F8FF"/>
        <w:ind w:left="426"/>
        <w:jc w:val="left"/>
        <w:rPr>
          <w:rFonts w:ascii="Work Sans" w:hAnsi="Work Sans"/>
          <w:sz w:val="20"/>
        </w:rPr>
      </w:pPr>
      <w:r w:rsidRPr="006A0C3E">
        <w:rPr>
          <w:rFonts w:ascii="Work Sans" w:hAnsi="Work Sans"/>
          <w:b/>
          <w:bCs/>
          <w:sz w:val="20"/>
        </w:rPr>
        <w:t>Communicable disease control</w:t>
      </w:r>
      <w:r w:rsidR="00662069" w:rsidRPr="006A0C3E">
        <w:rPr>
          <w:rFonts w:ascii="Work Sans" w:hAnsi="Work Sans"/>
          <w:b/>
          <w:bCs/>
          <w:sz w:val="20"/>
        </w:rPr>
        <w:t xml:space="preserve">. </w:t>
      </w:r>
      <w:r w:rsidRPr="006A0C3E">
        <w:rPr>
          <w:rFonts w:ascii="Work Sans" w:hAnsi="Work Sans"/>
          <w:sz w:val="20"/>
        </w:rPr>
        <w:t>Commonwealth and state governments fund communicable disease control activities</w:t>
      </w:r>
      <w:r w:rsidR="005B1A8C" w:rsidRPr="006A0C3E">
        <w:rPr>
          <w:rFonts w:ascii="Work Sans" w:hAnsi="Work Sans"/>
          <w:sz w:val="20"/>
        </w:rPr>
        <w:t>,</w:t>
      </w:r>
      <w:r w:rsidRPr="006A0C3E">
        <w:rPr>
          <w:rFonts w:ascii="Work Sans" w:hAnsi="Work Sans"/>
          <w:sz w:val="20"/>
        </w:rPr>
        <w:t xml:space="preserve"> but states have primary responsibility for detecting and controlling communicable diseases. The national strategy for communicable disease control identifies target population groups. High priority areas include populations that suffer a disproportionately high burden of communicable diseases including First Nations people, the elderly, </w:t>
      </w:r>
      <w:r w:rsidR="003B00B2" w:rsidRPr="006A0C3E">
        <w:rPr>
          <w:rFonts w:ascii="Work Sans" w:hAnsi="Work Sans"/>
          <w:sz w:val="20"/>
        </w:rPr>
        <w:t xml:space="preserve">people of lower socio-economic means, and </w:t>
      </w:r>
      <w:r w:rsidRPr="006A0C3E">
        <w:rPr>
          <w:rFonts w:ascii="Work Sans" w:hAnsi="Work Sans"/>
          <w:sz w:val="20"/>
        </w:rPr>
        <w:t>immunocompromised people, such as refugees and immigrants.</w:t>
      </w:r>
      <w:r w:rsidR="001E59EA" w:rsidRPr="006A0C3E">
        <w:rPr>
          <w:rStyle w:val="FootnoteReference"/>
        </w:rPr>
        <w:footnoteReference w:id="14"/>
      </w:r>
      <w:r w:rsidRPr="006A0C3E">
        <w:rPr>
          <w:rFonts w:ascii="Work Sans" w:hAnsi="Work Sans"/>
          <w:sz w:val="20"/>
        </w:rPr>
        <w:t xml:space="preserve"> </w:t>
      </w:r>
    </w:p>
    <w:p w14:paraId="06B86B31" w14:textId="50A44708" w:rsidR="00093933" w:rsidRPr="006A0C3E" w:rsidRDefault="00093933" w:rsidP="00424B42">
      <w:pPr>
        <w:pStyle w:val="BoxText"/>
        <w:shd w:val="clear" w:color="auto" w:fill="E5F8FF"/>
        <w:ind w:left="426"/>
        <w:jc w:val="left"/>
        <w:rPr>
          <w:rFonts w:ascii="Work Sans" w:hAnsi="Work Sans"/>
          <w:sz w:val="20"/>
        </w:rPr>
      </w:pPr>
      <w:r w:rsidRPr="006A0C3E">
        <w:rPr>
          <w:rFonts w:ascii="Work Sans" w:hAnsi="Work Sans"/>
          <w:b/>
          <w:bCs/>
          <w:sz w:val="20"/>
        </w:rPr>
        <w:t>Selected health promotion</w:t>
      </w:r>
      <w:r w:rsidR="003B00B2" w:rsidRPr="006A0C3E">
        <w:rPr>
          <w:rFonts w:ascii="Work Sans" w:hAnsi="Work Sans"/>
          <w:b/>
          <w:bCs/>
          <w:sz w:val="20"/>
        </w:rPr>
        <w:t>.</w:t>
      </w:r>
      <w:r w:rsidR="003B00B2" w:rsidRPr="006A0C3E">
        <w:rPr>
          <w:rFonts w:ascii="Work Sans" w:hAnsi="Work Sans"/>
          <w:sz w:val="20"/>
        </w:rPr>
        <w:t xml:space="preserve"> </w:t>
      </w:r>
      <w:r w:rsidRPr="006A0C3E">
        <w:rPr>
          <w:rFonts w:ascii="Work Sans" w:hAnsi="Work Sans"/>
          <w:sz w:val="20"/>
        </w:rPr>
        <w:t>Health promotion encompasses a combination of actions to enable individuals and communities to increase control over and improve their health.</w:t>
      </w:r>
      <w:r w:rsidR="002002B7" w:rsidRPr="006A0C3E">
        <w:rPr>
          <w:rStyle w:val="FootnoteReference"/>
        </w:rPr>
        <w:footnoteReference w:id="15"/>
      </w:r>
      <w:r w:rsidRPr="006A0C3E">
        <w:rPr>
          <w:rFonts w:ascii="Work Sans" w:hAnsi="Work Sans"/>
          <w:sz w:val="20"/>
        </w:rPr>
        <w:t xml:space="preserve"> State governments have their own public health </w:t>
      </w:r>
      <w:r w:rsidR="002471F2">
        <w:rPr>
          <w:rFonts w:ascii="Work Sans" w:hAnsi="Work Sans"/>
          <w:sz w:val="20"/>
        </w:rPr>
        <w:t>laws</w:t>
      </w:r>
      <w:r w:rsidRPr="006A0C3E">
        <w:rPr>
          <w:rFonts w:ascii="Work Sans" w:hAnsi="Work Sans"/>
          <w:sz w:val="20"/>
        </w:rPr>
        <w:t xml:space="preserve">, which aim to protect, </w:t>
      </w:r>
      <w:proofErr w:type="gramStart"/>
      <w:r w:rsidRPr="006A0C3E">
        <w:rPr>
          <w:rFonts w:ascii="Work Sans" w:hAnsi="Work Sans"/>
          <w:sz w:val="20"/>
        </w:rPr>
        <w:t>promote</w:t>
      </w:r>
      <w:proofErr w:type="gramEnd"/>
      <w:r w:rsidRPr="006A0C3E">
        <w:rPr>
          <w:rFonts w:ascii="Work Sans" w:hAnsi="Work Sans"/>
          <w:sz w:val="20"/>
        </w:rPr>
        <w:t xml:space="preserve"> and improve the health and wellbeing of the public, which are usually enforced by local government. State governments are also responsible for delivering preventive health services such as cancer screening, school-based immunisation programs and implementing settings-based measures for example, smoke-free laws.</w:t>
      </w:r>
      <w:r w:rsidR="00372BF1" w:rsidRPr="006A0C3E">
        <w:rPr>
          <w:rStyle w:val="FootnoteReference"/>
        </w:rPr>
        <w:footnoteReference w:id="16"/>
      </w:r>
      <w:r w:rsidRPr="006A0C3E">
        <w:rPr>
          <w:rFonts w:ascii="Work Sans" w:hAnsi="Work Sans"/>
          <w:sz w:val="20"/>
        </w:rPr>
        <w:t xml:space="preserve"> Priority populations for the National Preventative Health Strategy are:</w:t>
      </w:r>
    </w:p>
    <w:p w14:paraId="6BF4E0FC" w14:textId="77777777" w:rsidR="00093933" w:rsidRPr="006A0C3E" w:rsidRDefault="00093933" w:rsidP="00424B42">
      <w:pPr>
        <w:pStyle w:val="BoxText"/>
        <w:shd w:val="clear" w:color="auto" w:fill="E5F8FF"/>
        <w:ind w:left="426"/>
        <w:rPr>
          <w:rFonts w:ascii="Work Sans" w:hAnsi="Work Sans"/>
          <w:sz w:val="20"/>
        </w:rPr>
      </w:pPr>
      <w:r w:rsidRPr="006A0C3E">
        <w:rPr>
          <w:rFonts w:ascii="Work Sans" w:hAnsi="Work Sans"/>
          <w:sz w:val="20"/>
        </w:rPr>
        <w:t>•</w:t>
      </w:r>
      <w:r w:rsidRPr="006A0C3E">
        <w:rPr>
          <w:rFonts w:ascii="Work Sans" w:hAnsi="Work Sans"/>
          <w:sz w:val="20"/>
        </w:rPr>
        <w:tab/>
        <w:t>First Nations people</w:t>
      </w:r>
    </w:p>
    <w:p w14:paraId="2C680781" w14:textId="6921820B" w:rsidR="00093933" w:rsidRPr="006A0C3E" w:rsidRDefault="00093933" w:rsidP="00424B42">
      <w:pPr>
        <w:pStyle w:val="BoxText"/>
        <w:shd w:val="clear" w:color="auto" w:fill="E5F8FF"/>
        <w:ind w:left="426"/>
        <w:rPr>
          <w:rFonts w:ascii="Work Sans" w:hAnsi="Work Sans"/>
          <w:sz w:val="20"/>
        </w:rPr>
      </w:pPr>
      <w:r w:rsidRPr="006A0C3E">
        <w:rPr>
          <w:rFonts w:ascii="Work Sans" w:hAnsi="Work Sans"/>
          <w:sz w:val="20"/>
        </w:rPr>
        <w:t>•</w:t>
      </w:r>
      <w:r w:rsidRPr="006A0C3E">
        <w:rPr>
          <w:rFonts w:ascii="Work Sans" w:hAnsi="Work Sans"/>
          <w:sz w:val="20"/>
        </w:rPr>
        <w:tab/>
      </w:r>
      <w:r w:rsidR="00AA7378">
        <w:rPr>
          <w:rFonts w:ascii="Work Sans" w:hAnsi="Work Sans"/>
          <w:sz w:val="20"/>
        </w:rPr>
        <w:t>c</w:t>
      </w:r>
      <w:r w:rsidRPr="006A0C3E">
        <w:rPr>
          <w:rFonts w:ascii="Work Sans" w:hAnsi="Work Sans"/>
          <w:sz w:val="20"/>
        </w:rPr>
        <w:t>ulturally and linguistically diverse people</w:t>
      </w:r>
    </w:p>
    <w:p w14:paraId="2DF49F54" w14:textId="12A55A8F" w:rsidR="00093933" w:rsidRPr="006A0C3E" w:rsidRDefault="00093933" w:rsidP="00B731C3">
      <w:pPr>
        <w:pStyle w:val="BoxText"/>
        <w:shd w:val="clear" w:color="auto" w:fill="E5F8FF"/>
        <w:ind w:left="716" w:hanging="290"/>
        <w:rPr>
          <w:rFonts w:ascii="Work Sans" w:hAnsi="Work Sans"/>
          <w:sz w:val="20"/>
        </w:rPr>
      </w:pPr>
      <w:r w:rsidRPr="006A0C3E">
        <w:rPr>
          <w:rFonts w:ascii="Work Sans" w:hAnsi="Work Sans"/>
          <w:sz w:val="20"/>
        </w:rPr>
        <w:t>•</w:t>
      </w:r>
      <w:r w:rsidRPr="006A0C3E">
        <w:rPr>
          <w:rFonts w:ascii="Work Sans" w:hAnsi="Work Sans"/>
          <w:sz w:val="20"/>
        </w:rPr>
        <w:tab/>
      </w:r>
      <w:r w:rsidR="00AA7378">
        <w:rPr>
          <w:rFonts w:ascii="Work Sans" w:hAnsi="Work Sans"/>
          <w:sz w:val="20"/>
        </w:rPr>
        <w:t>l</w:t>
      </w:r>
      <w:r w:rsidRPr="006A0C3E">
        <w:rPr>
          <w:rFonts w:ascii="Work Sans" w:hAnsi="Work Sans"/>
          <w:sz w:val="20"/>
        </w:rPr>
        <w:t xml:space="preserve">esbian, gay, bisexual, transgender, queer or questioning, intersex and/or other sexuality and gender diverse people </w:t>
      </w:r>
    </w:p>
    <w:p w14:paraId="1C912D96" w14:textId="77777777" w:rsidR="00093933" w:rsidRPr="006A0C3E" w:rsidRDefault="00093933" w:rsidP="00424B42">
      <w:pPr>
        <w:pStyle w:val="BoxText"/>
        <w:shd w:val="clear" w:color="auto" w:fill="E5F8FF"/>
        <w:ind w:left="426"/>
        <w:rPr>
          <w:rFonts w:ascii="Work Sans" w:hAnsi="Work Sans"/>
          <w:sz w:val="20"/>
        </w:rPr>
      </w:pPr>
      <w:r w:rsidRPr="006A0C3E">
        <w:rPr>
          <w:rFonts w:ascii="Work Sans" w:hAnsi="Work Sans"/>
          <w:sz w:val="20"/>
        </w:rPr>
        <w:t>•</w:t>
      </w:r>
      <w:r w:rsidRPr="006A0C3E">
        <w:rPr>
          <w:rFonts w:ascii="Work Sans" w:hAnsi="Work Sans"/>
          <w:sz w:val="20"/>
        </w:rPr>
        <w:tab/>
        <w:t>people with mental illness</w:t>
      </w:r>
    </w:p>
    <w:p w14:paraId="088EA5B1" w14:textId="77777777" w:rsidR="00093933" w:rsidRPr="006A0C3E" w:rsidRDefault="00093933" w:rsidP="00424B42">
      <w:pPr>
        <w:pStyle w:val="BoxText"/>
        <w:shd w:val="clear" w:color="auto" w:fill="E5F8FF"/>
        <w:ind w:left="426"/>
        <w:rPr>
          <w:rFonts w:ascii="Work Sans" w:hAnsi="Work Sans"/>
          <w:sz w:val="20"/>
        </w:rPr>
      </w:pPr>
      <w:r w:rsidRPr="006A0C3E">
        <w:rPr>
          <w:rFonts w:ascii="Work Sans" w:hAnsi="Work Sans"/>
          <w:sz w:val="20"/>
        </w:rPr>
        <w:t>•</w:t>
      </w:r>
      <w:r w:rsidRPr="006A0C3E">
        <w:rPr>
          <w:rFonts w:ascii="Work Sans" w:hAnsi="Work Sans"/>
          <w:sz w:val="20"/>
        </w:rPr>
        <w:tab/>
        <w:t>people of low socio-economic status</w:t>
      </w:r>
    </w:p>
    <w:p w14:paraId="637734BD" w14:textId="77777777" w:rsidR="00093933" w:rsidRPr="006A0C3E" w:rsidRDefault="00093933" w:rsidP="00424B42">
      <w:pPr>
        <w:pStyle w:val="BoxText"/>
        <w:shd w:val="clear" w:color="auto" w:fill="E5F8FF"/>
        <w:ind w:left="426"/>
        <w:rPr>
          <w:rFonts w:ascii="Work Sans" w:hAnsi="Work Sans"/>
          <w:sz w:val="20"/>
        </w:rPr>
      </w:pPr>
      <w:r w:rsidRPr="006A0C3E">
        <w:rPr>
          <w:rFonts w:ascii="Work Sans" w:hAnsi="Work Sans"/>
          <w:sz w:val="20"/>
        </w:rPr>
        <w:t>•</w:t>
      </w:r>
      <w:r w:rsidRPr="006A0C3E">
        <w:rPr>
          <w:rFonts w:ascii="Work Sans" w:hAnsi="Work Sans"/>
          <w:sz w:val="20"/>
        </w:rPr>
        <w:tab/>
        <w:t xml:space="preserve">people with disability </w:t>
      </w:r>
    </w:p>
    <w:p w14:paraId="6F2F34C3" w14:textId="7DE0EFC9" w:rsidR="00093933" w:rsidRPr="006A0C3E" w:rsidRDefault="00093933" w:rsidP="00424B42">
      <w:pPr>
        <w:pStyle w:val="BoxText"/>
        <w:shd w:val="clear" w:color="auto" w:fill="E5F8FF"/>
        <w:ind w:left="426"/>
        <w:rPr>
          <w:rFonts w:ascii="Work Sans" w:hAnsi="Work Sans"/>
          <w:sz w:val="20"/>
        </w:rPr>
      </w:pPr>
      <w:r w:rsidRPr="006A0C3E">
        <w:rPr>
          <w:rFonts w:ascii="Work Sans" w:hAnsi="Work Sans"/>
          <w:sz w:val="20"/>
        </w:rPr>
        <w:t>•</w:t>
      </w:r>
      <w:r w:rsidRPr="006A0C3E">
        <w:rPr>
          <w:rFonts w:ascii="Work Sans" w:hAnsi="Work Sans"/>
          <w:sz w:val="20"/>
        </w:rPr>
        <w:tab/>
        <w:t xml:space="preserve">rural, </w:t>
      </w:r>
      <w:proofErr w:type="gramStart"/>
      <w:r w:rsidRPr="006A0C3E">
        <w:rPr>
          <w:rFonts w:ascii="Work Sans" w:hAnsi="Work Sans"/>
          <w:sz w:val="20"/>
        </w:rPr>
        <w:t>regional</w:t>
      </w:r>
      <w:proofErr w:type="gramEnd"/>
      <w:r w:rsidRPr="006A0C3E">
        <w:rPr>
          <w:rFonts w:ascii="Work Sans" w:hAnsi="Work Sans"/>
          <w:sz w:val="20"/>
        </w:rPr>
        <w:t xml:space="preserve"> and remote</w:t>
      </w:r>
      <w:r w:rsidR="009A0767" w:rsidRPr="006A0C3E">
        <w:rPr>
          <w:rFonts w:ascii="Work Sans" w:hAnsi="Work Sans"/>
          <w:sz w:val="20"/>
        </w:rPr>
        <w:t>.</w:t>
      </w:r>
      <w:r w:rsidR="009A0767" w:rsidRPr="006A0C3E">
        <w:rPr>
          <w:rStyle w:val="FootnoteReference"/>
        </w:rPr>
        <w:footnoteReference w:id="17"/>
      </w:r>
      <w:r w:rsidRPr="006A0C3E">
        <w:rPr>
          <w:rFonts w:ascii="Work Sans" w:hAnsi="Work Sans"/>
          <w:sz w:val="20"/>
        </w:rPr>
        <w:t xml:space="preserve"> </w:t>
      </w:r>
    </w:p>
    <w:p w14:paraId="29BD4D3E" w14:textId="6828A52D" w:rsidR="005545AE" w:rsidRPr="00D05215" w:rsidRDefault="00093933" w:rsidP="00424B42">
      <w:pPr>
        <w:pStyle w:val="BoxText"/>
        <w:shd w:val="clear" w:color="auto" w:fill="E5F8FF"/>
        <w:ind w:left="426"/>
        <w:jc w:val="left"/>
        <w:rPr>
          <w:rFonts w:ascii="Work Sans" w:hAnsi="Work Sans"/>
          <w:sz w:val="20"/>
        </w:rPr>
      </w:pPr>
      <w:r w:rsidRPr="00D05215">
        <w:rPr>
          <w:rFonts w:ascii="Work Sans" w:hAnsi="Work Sans"/>
          <w:b/>
          <w:bCs/>
          <w:sz w:val="20"/>
        </w:rPr>
        <w:lastRenderedPageBreak/>
        <w:t>Environmental health</w:t>
      </w:r>
      <w:r w:rsidR="003B00B2" w:rsidRPr="00D05215">
        <w:rPr>
          <w:rFonts w:ascii="Work Sans" w:hAnsi="Work Sans"/>
          <w:b/>
          <w:bCs/>
          <w:sz w:val="20"/>
        </w:rPr>
        <w:t>.</w:t>
      </w:r>
      <w:r w:rsidR="003B00B2" w:rsidRPr="00D05215">
        <w:rPr>
          <w:rFonts w:ascii="Work Sans" w:hAnsi="Work Sans"/>
          <w:sz w:val="20"/>
        </w:rPr>
        <w:t xml:space="preserve"> </w:t>
      </w:r>
      <w:r w:rsidRPr="00D05215">
        <w:rPr>
          <w:rFonts w:ascii="Work Sans" w:hAnsi="Work Sans"/>
          <w:sz w:val="20"/>
        </w:rPr>
        <w:t>Environmental health encompasses the assessment and control of those environmental factors (physical, chemical, biological) that can potentially affect health. Environmental health risks are largely managed by an array of complementary Commonwealth and state and agencies. One of the principles of the Environmental Health Standing Committee</w:t>
      </w:r>
      <w:r w:rsidR="00FB1F49">
        <w:rPr>
          <w:rFonts w:ascii="Work Sans" w:hAnsi="Work Sans"/>
          <w:sz w:val="20"/>
        </w:rPr>
        <w:t>’s</w:t>
      </w:r>
      <w:r w:rsidRPr="00D05215">
        <w:rPr>
          <w:rFonts w:ascii="Work Sans" w:hAnsi="Work Sans"/>
          <w:sz w:val="20"/>
        </w:rPr>
        <w:t xml:space="preserve"> </w:t>
      </w:r>
      <w:r w:rsidRPr="00A94BA5">
        <w:rPr>
          <w:rFonts w:ascii="Work Sans" w:hAnsi="Work Sans"/>
          <w:i/>
          <w:sz w:val="20"/>
        </w:rPr>
        <w:t>Strategic Plan 2020</w:t>
      </w:r>
      <w:r w:rsidR="008A25A5" w:rsidRPr="00A94BA5">
        <w:rPr>
          <w:rFonts w:ascii="Work Sans" w:hAnsi="Work Sans"/>
          <w:i/>
          <w:sz w:val="20"/>
        </w:rPr>
        <w:t>-</w:t>
      </w:r>
      <w:r w:rsidRPr="00A94BA5">
        <w:rPr>
          <w:rFonts w:ascii="Work Sans" w:hAnsi="Work Sans"/>
          <w:i/>
          <w:sz w:val="20"/>
        </w:rPr>
        <w:t>2023</w:t>
      </w:r>
      <w:r w:rsidRPr="00D05215">
        <w:rPr>
          <w:rFonts w:ascii="Work Sans" w:hAnsi="Work Sans"/>
          <w:sz w:val="20"/>
        </w:rPr>
        <w:t xml:space="preserve"> is improving the health of First Nations people. The strategic plan also states a commitment to safeguarding the health of populations that are particularly vulnerable to certain environmental hazards, such as children, the elderly, and people with disabilities.</w:t>
      </w:r>
      <w:r w:rsidR="00232818" w:rsidRPr="00D05215">
        <w:rPr>
          <w:rStyle w:val="FootnoteReference"/>
        </w:rPr>
        <w:footnoteReference w:id="18"/>
      </w:r>
    </w:p>
    <w:p w14:paraId="5445C0E5" w14:textId="67F49BB2" w:rsidR="00013416" w:rsidRPr="00D05215" w:rsidRDefault="007F1B3F" w:rsidP="00D61E3D">
      <w:pPr>
        <w:pStyle w:val="CGC2025ParaNumbers"/>
      </w:pPr>
      <w:bookmarkStart w:id="43" w:name="_Ref157592485"/>
      <w:r>
        <w:t>Table 5</w:t>
      </w:r>
      <w:r w:rsidR="00572E0B" w:rsidRPr="00D05215">
        <w:t xml:space="preserve"> </w:t>
      </w:r>
      <w:r w:rsidR="00212D24" w:rsidRPr="00D05215">
        <w:t xml:space="preserve">provides information on </w:t>
      </w:r>
      <w:r w:rsidR="006305E5" w:rsidRPr="00D05215">
        <w:t xml:space="preserve">the targets for, and use of, public health programs and services by the </w:t>
      </w:r>
      <w:r w:rsidR="00975538" w:rsidRPr="00D05215">
        <w:t>socio</w:t>
      </w:r>
      <w:r w:rsidR="00C43D7B" w:rsidRPr="00D05215">
        <w:t>-</w:t>
      </w:r>
      <w:r w:rsidR="00975538" w:rsidRPr="00D05215">
        <w:t>demographic</w:t>
      </w:r>
      <w:r w:rsidR="006305E5" w:rsidRPr="00D05215">
        <w:t xml:space="preserve"> </w:t>
      </w:r>
      <w:r w:rsidR="00975538" w:rsidRPr="00D05215">
        <w:t xml:space="preserve">groups </w:t>
      </w:r>
      <w:r w:rsidR="008A19DD" w:rsidRPr="00D05215">
        <w:t xml:space="preserve">used in the health assessment. </w:t>
      </w:r>
      <w:r w:rsidR="00B02493" w:rsidRPr="00D05215">
        <w:t>Data limitations mean t</w:t>
      </w:r>
      <w:r w:rsidR="00803D7A" w:rsidRPr="00D05215">
        <w:t xml:space="preserve">here is no way of aggregating </w:t>
      </w:r>
      <w:r w:rsidR="004D5666" w:rsidRPr="00D05215">
        <w:t xml:space="preserve">data on service </w:t>
      </w:r>
      <w:r w:rsidR="00803D7A" w:rsidRPr="00D05215">
        <w:t xml:space="preserve">usage </w:t>
      </w:r>
      <w:r w:rsidR="004D5666" w:rsidRPr="00D05215">
        <w:t>to</w:t>
      </w:r>
      <w:r w:rsidR="00803D7A" w:rsidRPr="00D05215">
        <w:t xml:space="preserve"> determi</w:t>
      </w:r>
      <w:r w:rsidR="004D5666" w:rsidRPr="00D05215">
        <w:t xml:space="preserve">ne </w:t>
      </w:r>
      <w:r w:rsidR="00803D7A" w:rsidRPr="00D05215">
        <w:t>an overall pattern of socio-demographic use</w:t>
      </w:r>
      <w:r w:rsidR="00895D61" w:rsidRPr="00D05215">
        <w:t xml:space="preserve"> for public health services</w:t>
      </w:r>
      <w:r w:rsidR="00D96A0C" w:rsidRPr="00D05215">
        <w:t>.</w:t>
      </w:r>
      <w:bookmarkEnd w:id="43"/>
      <w:r w:rsidR="00EC761F" w:rsidRPr="00D05215">
        <w:t xml:space="preserve"> </w:t>
      </w:r>
    </w:p>
    <w:p w14:paraId="2DF0B274" w14:textId="0647EB13" w:rsidR="002C2B4F" w:rsidRDefault="00B35254" w:rsidP="008C50BD">
      <w:pPr>
        <w:pStyle w:val="CGC2025Caption"/>
        <w:keepNext/>
        <w:tabs>
          <w:tab w:val="left" w:pos="1134"/>
        </w:tabs>
      </w:pPr>
      <w:bookmarkStart w:id="44" w:name="_Ref157520556"/>
      <w:r w:rsidRPr="00D05215">
        <w:t xml:space="preserve">Table </w:t>
      </w:r>
      <w:r>
        <w:fldChar w:fldCharType="begin"/>
      </w:r>
      <w:r>
        <w:instrText>SEQ Table \* ARABIC</w:instrText>
      </w:r>
      <w:r>
        <w:fldChar w:fldCharType="separate"/>
      </w:r>
      <w:r w:rsidR="00581B01">
        <w:rPr>
          <w:noProof/>
        </w:rPr>
        <w:t>5</w:t>
      </w:r>
      <w:r>
        <w:fldChar w:fldCharType="end"/>
      </w:r>
      <w:bookmarkEnd w:id="44"/>
      <w:r w:rsidR="004D5666" w:rsidRPr="00D05215">
        <w:t xml:space="preserve">  </w:t>
      </w:r>
      <w:r w:rsidR="008C50BD">
        <w:tab/>
      </w:r>
      <w:r w:rsidR="008819D7" w:rsidRPr="00D05215">
        <w:t xml:space="preserve">Higher use </w:t>
      </w:r>
      <w:r w:rsidR="003D63D3" w:rsidRPr="00D05215">
        <w:t>or</w:t>
      </w:r>
      <w:r w:rsidR="008819D7" w:rsidRPr="00D05215">
        <w:t xml:space="preserve"> </w:t>
      </w:r>
      <w:r w:rsidR="002204FD" w:rsidRPr="00D05215">
        <w:t>targeting</w:t>
      </w:r>
      <w:r w:rsidR="000B6315" w:rsidRPr="00D05215">
        <w:t xml:space="preserve"> </w:t>
      </w:r>
      <w:r w:rsidR="00ED2773" w:rsidRPr="00D05215">
        <w:t xml:space="preserve">of public health services by socio-demographic </w:t>
      </w:r>
      <w:proofErr w:type="gramStart"/>
      <w:r w:rsidR="00ED2773" w:rsidRPr="00D05215">
        <w:t>group</w:t>
      </w:r>
      <w:proofErr w:type="gramEnd"/>
    </w:p>
    <w:tbl>
      <w:tblPr>
        <w:tblW w:w="8942" w:type="dxa"/>
        <w:tblLook w:val="04A0" w:firstRow="1" w:lastRow="0" w:firstColumn="1" w:lastColumn="0" w:noHBand="0" w:noVBand="1"/>
      </w:tblPr>
      <w:tblGrid>
        <w:gridCol w:w="3330"/>
        <w:gridCol w:w="1065"/>
        <w:gridCol w:w="1559"/>
        <w:gridCol w:w="1276"/>
        <w:gridCol w:w="1712"/>
      </w:tblGrid>
      <w:tr w:rsidR="00F80B21" w:rsidRPr="00541235" w14:paraId="02BFEEE6" w14:textId="77777777">
        <w:trPr>
          <w:trHeight w:val="375"/>
        </w:trPr>
        <w:tc>
          <w:tcPr>
            <w:tcW w:w="3330" w:type="dxa"/>
            <w:tcBorders>
              <w:top w:val="nil"/>
              <w:left w:val="nil"/>
              <w:bottom w:val="nil"/>
              <w:right w:val="nil"/>
            </w:tcBorders>
            <w:shd w:val="clear" w:color="000000" w:fill="006991"/>
            <w:noWrap/>
            <w:vAlign w:val="center"/>
            <w:hideMark/>
          </w:tcPr>
          <w:p w14:paraId="66731A0E" w14:textId="77777777" w:rsidR="00F80B21" w:rsidRPr="00541235" w:rsidRDefault="00F80B21" w:rsidP="00541235">
            <w:pPr>
              <w:tabs>
                <w:tab w:val="clear" w:pos="567"/>
              </w:tabs>
              <w:spacing w:before="0" w:line="240" w:lineRule="auto"/>
              <w:rPr>
                <w:rFonts w:ascii="Open Sans Semibold" w:eastAsia="Times New Roman" w:hAnsi="Open Sans Semibold" w:cs="Open Sans Semibold"/>
                <w:color w:val="FFFFFF"/>
                <w:sz w:val="16"/>
                <w:szCs w:val="16"/>
                <w:lang w:eastAsia="en-AU"/>
              </w:rPr>
            </w:pPr>
            <w:r w:rsidRPr="00541235">
              <w:rPr>
                <w:rFonts w:ascii="Open Sans Semibold" w:eastAsia="Times New Roman" w:hAnsi="Open Sans Semibold" w:cs="Open Sans Semibold"/>
                <w:color w:val="FFFFFF"/>
                <w:sz w:val="16"/>
                <w:szCs w:val="16"/>
                <w:lang w:eastAsia="en-AU"/>
              </w:rPr>
              <w:t>Group of services</w:t>
            </w:r>
          </w:p>
        </w:tc>
        <w:tc>
          <w:tcPr>
            <w:tcW w:w="5612" w:type="dxa"/>
            <w:gridSpan w:val="4"/>
            <w:tcBorders>
              <w:top w:val="nil"/>
              <w:left w:val="nil"/>
              <w:bottom w:val="nil"/>
              <w:right w:val="nil"/>
            </w:tcBorders>
            <w:shd w:val="clear" w:color="000000" w:fill="006991"/>
            <w:noWrap/>
            <w:vAlign w:val="center"/>
            <w:hideMark/>
          </w:tcPr>
          <w:p w14:paraId="7D5A0D5F" w14:textId="15C84FA1" w:rsidR="00F80B21" w:rsidRPr="00541235" w:rsidRDefault="00F80B21" w:rsidP="00541235">
            <w:pPr>
              <w:tabs>
                <w:tab w:val="clear" w:pos="567"/>
              </w:tabs>
              <w:spacing w:before="0" w:line="240" w:lineRule="auto"/>
              <w:rPr>
                <w:rFonts w:ascii="Open Sans Semibold" w:eastAsia="Times New Roman" w:hAnsi="Open Sans Semibold" w:cs="Open Sans Semibold"/>
                <w:color w:val="000000"/>
                <w:sz w:val="16"/>
                <w:szCs w:val="16"/>
                <w:lang w:eastAsia="en-AU"/>
              </w:rPr>
            </w:pPr>
            <w:r w:rsidRPr="00541235">
              <w:rPr>
                <w:rFonts w:ascii="Open Sans Semibold" w:eastAsia="Times New Roman" w:hAnsi="Open Sans Semibold" w:cs="Open Sans Semibold"/>
                <w:color w:val="FFFFFF"/>
                <w:sz w:val="16"/>
                <w:szCs w:val="16"/>
                <w:lang w:eastAsia="en-AU"/>
              </w:rPr>
              <w:t xml:space="preserve">Usage </w:t>
            </w:r>
            <w:r>
              <w:rPr>
                <w:rFonts w:ascii="Open Sans Semibold" w:eastAsia="Times New Roman" w:hAnsi="Open Sans Semibold" w:cs="Open Sans Semibold"/>
                <w:color w:val="FFFFFF"/>
                <w:sz w:val="16"/>
                <w:szCs w:val="16"/>
                <w:lang w:eastAsia="en-AU"/>
              </w:rPr>
              <w:t xml:space="preserve">(or targeting) </w:t>
            </w:r>
            <w:r w:rsidRPr="00541235">
              <w:rPr>
                <w:rFonts w:ascii="Open Sans Semibold" w:eastAsia="Times New Roman" w:hAnsi="Open Sans Semibold" w:cs="Open Sans Semibold"/>
                <w:color w:val="FFFFFF"/>
                <w:sz w:val="16"/>
                <w:szCs w:val="16"/>
                <w:lang w:eastAsia="en-AU"/>
              </w:rPr>
              <w:t xml:space="preserve">of services by socio-demographic groups </w:t>
            </w:r>
            <w:r w:rsidRPr="00541235">
              <w:rPr>
                <w:rFonts w:ascii="Open Sans Semibold" w:eastAsia="Times New Roman" w:hAnsi="Open Sans Semibold" w:cs="Open Sans Semibold"/>
                <w:color w:val="000000"/>
                <w:sz w:val="16"/>
                <w:szCs w:val="16"/>
                <w:lang w:eastAsia="en-AU"/>
              </w:rPr>
              <w:t> </w:t>
            </w:r>
          </w:p>
        </w:tc>
      </w:tr>
      <w:tr w:rsidR="00541235" w:rsidRPr="00541235" w14:paraId="186D9777" w14:textId="77777777" w:rsidTr="008849C6">
        <w:trPr>
          <w:trHeight w:val="255"/>
        </w:trPr>
        <w:tc>
          <w:tcPr>
            <w:tcW w:w="3330" w:type="dxa"/>
            <w:tcBorders>
              <w:top w:val="nil"/>
              <w:left w:val="nil"/>
              <w:bottom w:val="nil"/>
              <w:right w:val="nil"/>
            </w:tcBorders>
            <w:shd w:val="clear" w:color="000000" w:fill="B6D5E4"/>
            <w:noWrap/>
            <w:vAlign w:val="center"/>
            <w:hideMark/>
          </w:tcPr>
          <w:p w14:paraId="183CAAEC" w14:textId="77777777" w:rsidR="00541235" w:rsidRPr="00541235" w:rsidRDefault="00541235" w:rsidP="008849C6">
            <w:pPr>
              <w:tabs>
                <w:tab w:val="clear" w:pos="567"/>
              </w:tabs>
              <w:spacing w:before="0" w:line="240" w:lineRule="auto"/>
              <w:rPr>
                <w:rFonts w:ascii="Calibri" w:eastAsia="Times New Roman" w:hAnsi="Calibri" w:cs="Calibri"/>
                <w:b/>
                <w:bCs/>
                <w:color w:val="000000"/>
                <w:sz w:val="16"/>
                <w:szCs w:val="16"/>
                <w:lang w:eastAsia="en-AU"/>
              </w:rPr>
            </w:pPr>
            <w:r w:rsidRPr="00541235">
              <w:rPr>
                <w:rFonts w:ascii="Calibri" w:eastAsia="Times New Roman" w:hAnsi="Calibri" w:cs="Calibri"/>
                <w:b/>
                <w:bCs/>
                <w:color w:val="000000"/>
                <w:sz w:val="16"/>
                <w:szCs w:val="16"/>
                <w:lang w:eastAsia="en-AU"/>
              </w:rPr>
              <w:t> </w:t>
            </w:r>
          </w:p>
        </w:tc>
        <w:tc>
          <w:tcPr>
            <w:tcW w:w="1065" w:type="dxa"/>
            <w:tcBorders>
              <w:top w:val="nil"/>
              <w:left w:val="nil"/>
              <w:bottom w:val="nil"/>
              <w:right w:val="nil"/>
            </w:tcBorders>
            <w:shd w:val="clear" w:color="000000" w:fill="B6D5E4"/>
            <w:noWrap/>
            <w:vAlign w:val="center"/>
            <w:hideMark/>
          </w:tcPr>
          <w:p w14:paraId="6A75F082" w14:textId="77777777" w:rsidR="00541235" w:rsidRPr="00541235" w:rsidRDefault="00541235" w:rsidP="008849C6">
            <w:pPr>
              <w:tabs>
                <w:tab w:val="clear" w:pos="567"/>
              </w:tabs>
              <w:spacing w:before="0" w:line="240" w:lineRule="auto"/>
              <w:rPr>
                <w:rFonts w:ascii="Open Sans Semibold" w:eastAsia="Times New Roman" w:hAnsi="Open Sans Semibold" w:cs="Open Sans Semibold"/>
                <w:color w:val="000000"/>
                <w:sz w:val="16"/>
                <w:szCs w:val="16"/>
                <w:lang w:eastAsia="en-AU"/>
              </w:rPr>
            </w:pPr>
            <w:r w:rsidRPr="00541235">
              <w:rPr>
                <w:rFonts w:ascii="Open Sans Semibold" w:eastAsia="Times New Roman" w:hAnsi="Open Sans Semibold" w:cs="Open Sans Semibold"/>
                <w:color w:val="000000"/>
                <w:sz w:val="16"/>
                <w:szCs w:val="16"/>
                <w:lang w:eastAsia="en-AU"/>
              </w:rPr>
              <w:t>Age</w:t>
            </w:r>
          </w:p>
        </w:tc>
        <w:tc>
          <w:tcPr>
            <w:tcW w:w="1559" w:type="dxa"/>
            <w:tcBorders>
              <w:top w:val="nil"/>
              <w:left w:val="nil"/>
              <w:bottom w:val="nil"/>
              <w:right w:val="nil"/>
            </w:tcBorders>
            <w:shd w:val="clear" w:color="000000" w:fill="B6D5E4"/>
            <w:noWrap/>
            <w:vAlign w:val="center"/>
            <w:hideMark/>
          </w:tcPr>
          <w:p w14:paraId="499894BA" w14:textId="77777777" w:rsidR="00541235" w:rsidRPr="00541235" w:rsidRDefault="00541235" w:rsidP="008849C6">
            <w:pPr>
              <w:tabs>
                <w:tab w:val="clear" w:pos="567"/>
              </w:tabs>
              <w:spacing w:before="0" w:line="240" w:lineRule="auto"/>
              <w:rPr>
                <w:rFonts w:ascii="Open Sans Semibold" w:eastAsia="Times New Roman" w:hAnsi="Open Sans Semibold" w:cs="Open Sans Semibold"/>
                <w:color w:val="000000"/>
                <w:sz w:val="16"/>
                <w:szCs w:val="16"/>
                <w:lang w:eastAsia="en-AU"/>
              </w:rPr>
            </w:pPr>
            <w:r w:rsidRPr="00541235">
              <w:rPr>
                <w:rFonts w:ascii="Open Sans Semibold" w:eastAsia="Times New Roman" w:hAnsi="Open Sans Semibold" w:cs="Open Sans Semibold"/>
                <w:color w:val="000000"/>
                <w:sz w:val="16"/>
                <w:szCs w:val="16"/>
                <w:lang w:eastAsia="en-AU"/>
              </w:rPr>
              <w:t>Remoteness</w:t>
            </w:r>
          </w:p>
        </w:tc>
        <w:tc>
          <w:tcPr>
            <w:tcW w:w="1276" w:type="dxa"/>
            <w:tcBorders>
              <w:top w:val="nil"/>
              <w:left w:val="nil"/>
              <w:bottom w:val="nil"/>
              <w:right w:val="nil"/>
            </w:tcBorders>
            <w:shd w:val="clear" w:color="000000" w:fill="B6D5E4"/>
            <w:noWrap/>
            <w:vAlign w:val="center"/>
            <w:hideMark/>
          </w:tcPr>
          <w:p w14:paraId="7D8E73D1" w14:textId="77777777" w:rsidR="00541235" w:rsidRPr="00541235" w:rsidRDefault="00541235" w:rsidP="008849C6">
            <w:pPr>
              <w:tabs>
                <w:tab w:val="clear" w:pos="567"/>
              </w:tabs>
              <w:spacing w:before="0" w:line="240" w:lineRule="auto"/>
              <w:rPr>
                <w:rFonts w:ascii="Open Sans Semibold" w:eastAsia="Times New Roman" w:hAnsi="Open Sans Semibold" w:cs="Open Sans Semibold"/>
                <w:color w:val="000000"/>
                <w:sz w:val="16"/>
                <w:szCs w:val="16"/>
                <w:lang w:eastAsia="en-AU"/>
              </w:rPr>
            </w:pPr>
            <w:r w:rsidRPr="00541235">
              <w:rPr>
                <w:rFonts w:ascii="Open Sans Semibold" w:eastAsia="Times New Roman" w:hAnsi="Open Sans Semibold" w:cs="Open Sans Semibold"/>
                <w:color w:val="000000"/>
                <w:sz w:val="16"/>
                <w:szCs w:val="16"/>
                <w:lang w:eastAsia="en-AU"/>
              </w:rPr>
              <w:t>SES</w:t>
            </w:r>
          </w:p>
        </w:tc>
        <w:tc>
          <w:tcPr>
            <w:tcW w:w="1712" w:type="dxa"/>
            <w:tcBorders>
              <w:top w:val="nil"/>
              <w:left w:val="nil"/>
              <w:bottom w:val="nil"/>
              <w:right w:val="nil"/>
            </w:tcBorders>
            <w:shd w:val="clear" w:color="000000" w:fill="B6D5E4"/>
            <w:noWrap/>
            <w:vAlign w:val="center"/>
            <w:hideMark/>
          </w:tcPr>
          <w:p w14:paraId="5CFE075E" w14:textId="46D68E64" w:rsidR="00541235" w:rsidRPr="00541235" w:rsidRDefault="00541235" w:rsidP="008849C6">
            <w:pPr>
              <w:tabs>
                <w:tab w:val="clear" w:pos="567"/>
              </w:tabs>
              <w:spacing w:before="0" w:line="240" w:lineRule="auto"/>
              <w:rPr>
                <w:rFonts w:ascii="Open Sans Semibold" w:eastAsia="Times New Roman" w:hAnsi="Open Sans Semibold" w:cs="Open Sans Semibold"/>
                <w:color w:val="000000"/>
                <w:sz w:val="16"/>
                <w:szCs w:val="16"/>
                <w:lang w:eastAsia="en-AU"/>
              </w:rPr>
            </w:pPr>
            <w:r w:rsidRPr="00541235">
              <w:rPr>
                <w:rFonts w:ascii="Open Sans Semibold" w:eastAsia="Times New Roman" w:hAnsi="Open Sans Semibold" w:cs="Open Sans Semibold"/>
                <w:color w:val="000000"/>
                <w:sz w:val="16"/>
                <w:szCs w:val="16"/>
                <w:lang w:eastAsia="en-AU"/>
              </w:rPr>
              <w:t>Indigen</w:t>
            </w:r>
            <w:r w:rsidR="006F35A0">
              <w:rPr>
                <w:rFonts w:ascii="Open Sans Semibold" w:eastAsia="Times New Roman" w:hAnsi="Open Sans Semibold" w:cs="Open Sans Semibold"/>
                <w:color w:val="000000"/>
                <w:sz w:val="16"/>
                <w:szCs w:val="16"/>
                <w:lang w:eastAsia="en-AU"/>
              </w:rPr>
              <w:t>ous status</w:t>
            </w:r>
          </w:p>
        </w:tc>
      </w:tr>
      <w:tr w:rsidR="00541235" w:rsidRPr="00541235" w14:paraId="36B2B585" w14:textId="77777777" w:rsidTr="008849C6">
        <w:trPr>
          <w:trHeight w:val="300"/>
        </w:trPr>
        <w:tc>
          <w:tcPr>
            <w:tcW w:w="3330" w:type="dxa"/>
            <w:tcBorders>
              <w:top w:val="nil"/>
              <w:left w:val="nil"/>
              <w:bottom w:val="single" w:sz="4" w:space="0" w:color="ADD6EA"/>
              <w:right w:val="nil"/>
            </w:tcBorders>
            <w:shd w:val="clear" w:color="auto" w:fill="auto"/>
            <w:noWrap/>
            <w:hideMark/>
          </w:tcPr>
          <w:p w14:paraId="3F585C70"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Cancer screening</w:t>
            </w:r>
          </w:p>
        </w:tc>
        <w:tc>
          <w:tcPr>
            <w:tcW w:w="1065" w:type="dxa"/>
            <w:tcBorders>
              <w:top w:val="nil"/>
              <w:left w:val="nil"/>
              <w:bottom w:val="single" w:sz="4" w:space="0" w:color="ADD6EA"/>
              <w:right w:val="nil"/>
            </w:tcBorders>
            <w:shd w:val="clear" w:color="auto" w:fill="auto"/>
            <w:hideMark/>
          </w:tcPr>
          <w:p w14:paraId="3BDF14F9"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20+</w:t>
            </w:r>
          </w:p>
        </w:tc>
        <w:tc>
          <w:tcPr>
            <w:tcW w:w="1559" w:type="dxa"/>
            <w:tcBorders>
              <w:top w:val="nil"/>
              <w:left w:val="nil"/>
              <w:bottom w:val="single" w:sz="4" w:space="0" w:color="ADD6EA"/>
              <w:right w:val="nil"/>
            </w:tcBorders>
            <w:shd w:val="clear" w:color="auto" w:fill="auto"/>
            <w:hideMark/>
          </w:tcPr>
          <w:p w14:paraId="78345797"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Urban/regional</w:t>
            </w:r>
          </w:p>
        </w:tc>
        <w:tc>
          <w:tcPr>
            <w:tcW w:w="1276" w:type="dxa"/>
            <w:tcBorders>
              <w:top w:val="nil"/>
              <w:left w:val="nil"/>
              <w:bottom w:val="single" w:sz="4" w:space="0" w:color="ADD6EA"/>
              <w:right w:val="nil"/>
            </w:tcBorders>
            <w:shd w:val="clear" w:color="auto" w:fill="auto"/>
            <w:hideMark/>
          </w:tcPr>
          <w:p w14:paraId="0B113278"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 xml:space="preserve">Higher SES </w:t>
            </w:r>
          </w:p>
        </w:tc>
        <w:tc>
          <w:tcPr>
            <w:tcW w:w="1712" w:type="dxa"/>
            <w:tcBorders>
              <w:top w:val="nil"/>
              <w:left w:val="nil"/>
              <w:bottom w:val="single" w:sz="4" w:space="0" w:color="ADD6EA"/>
              <w:right w:val="nil"/>
            </w:tcBorders>
            <w:shd w:val="clear" w:color="auto" w:fill="auto"/>
            <w:hideMark/>
          </w:tcPr>
          <w:p w14:paraId="2DC9EDC0"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Non-Indigenous</w:t>
            </w:r>
          </w:p>
        </w:tc>
      </w:tr>
      <w:tr w:rsidR="00541235" w:rsidRPr="00541235" w14:paraId="257741EF" w14:textId="77777777" w:rsidTr="008849C6">
        <w:trPr>
          <w:trHeight w:val="300"/>
        </w:trPr>
        <w:tc>
          <w:tcPr>
            <w:tcW w:w="3330" w:type="dxa"/>
            <w:tcBorders>
              <w:top w:val="nil"/>
              <w:left w:val="nil"/>
              <w:bottom w:val="single" w:sz="4" w:space="0" w:color="ADD6EA"/>
              <w:right w:val="nil"/>
            </w:tcBorders>
            <w:shd w:val="clear" w:color="auto" w:fill="auto"/>
            <w:hideMark/>
          </w:tcPr>
          <w:p w14:paraId="00EA6FD5"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Organised immunisation (targeting)</w:t>
            </w:r>
          </w:p>
        </w:tc>
        <w:tc>
          <w:tcPr>
            <w:tcW w:w="1065" w:type="dxa"/>
            <w:tcBorders>
              <w:top w:val="nil"/>
              <w:left w:val="nil"/>
              <w:bottom w:val="single" w:sz="4" w:space="0" w:color="ADD6EA"/>
              <w:right w:val="nil"/>
            </w:tcBorders>
            <w:shd w:val="clear" w:color="auto" w:fill="auto"/>
            <w:hideMark/>
          </w:tcPr>
          <w:p w14:paraId="3CD100EA"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Younger</w:t>
            </w:r>
          </w:p>
        </w:tc>
        <w:tc>
          <w:tcPr>
            <w:tcW w:w="1559" w:type="dxa"/>
            <w:tcBorders>
              <w:top w:val="nil"/>
              <w:left w:val="nil"/>
              <w:bottom w:val="single" w:sz="4" w:space="0" w:color="ADD6EA"/>
              <w:right w:val="nil"/>
            </w:tcBorders>
            <w:shd w:val="clear" w:color="auto" w:fill="auto"/>
            <w:hideMark/>
          </w:tcPr>
          <w:p w14:paraId="391CF63D"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w:t>
            </w:r>
          </w:p>
        </w:tc>
        <w:tc>
          <w:tcPr>
            <w:tcW w:w="1276" w:type="dxa"/>
            <w:tcBorders>
              <w:top w:val="nil"/>
              <w:left w:val="nil"/>
              <w:bottom w:val="single" w:sz="4" w:space="0" w:color="ADD6EA"/>
              <w:right w:val="nil"/>
            </w:tcBorders>
            <w:shd w:val="clear" w:color="auto" w:fill="auto"/>
            <w:hideMark/>
          </w:tcPr>
          <w:p w14:paraId="271F5050"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w:t>
            </w:r>
          </w:p>
        </w:tc>
        <w:tc>
          <w:tcPr>
            <w:tcW w:w="1712" w:type="dxa"/>
            <w:tcBorders>
              <w:top w:val="nil"/>
              <w:left w:val="nil"/>
              <w:bottom w:val="single" w:sz="4" w:space="0" w:color="ADD6EA"/>
              <w:right w:val="nil"/>
            </w:tcBorders>
            <w:shd w:val="clear" w:color="auto" w:fill="auto"/>
            <w:hideMark/>
          </w:tcPr>
          <w:p w14:paraId="7758D1D8" w14:textId="64832392" w:rsidR="00541235" w:rsidRPr="00541235" w:rsidRDefault="006F35A0" w:rsidP="008849C6">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First Nations</w:t>
            </w:r>
          </w:p>
        </w:tc>
      </w:tr>
      <w:tr w:rsidR="00541235" w:rsidRPr="00541235" w14:paraId="6A339A9C" w14:textId="77777777" w:rsidTr="008849C6">
        <w:trPr>
          <w:trHeight w:val="300"/>
        </w:trPr>
        <w:tc>
          <w:tcPr>
            <w:tcW w:w="3330" w:type="dxa"/>
            <w:tcBorders>
              <w:top w:val="nil"/>
              <w:left w:val="nil"/>
              <w:bottom w:val="single" w:sz="4" w:space="0" w:color="ADD6EA"/>
              <w:right w:val="nil"/>
            </w:tcBorders>
            <w:shd w:val="clear" w:color="auto" w:fill="auto"/>
            <w:hideMark/>
          </w:tcPr>
          <w:p w14:paraId="6B29280B"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Selected health promotion (targeting)</w:t>
            </w:r>
          </w:p>
        </w:tc>
        <w:tc>
          <w:tcPr>
            <w:tcW w:w="1065" w:type="dxa"/>
            <w:tcBorders>
              <w:top w:val="nil"/>
              <w:left w:val="nil"/>
              <w:bottom w:val="single" w:sz="4" w:space="0" w:color="ADD6EA"/>
              <w:right w:val="nil"/>
            </w:tcBorders>
            <w:shd w:val="clear" w:color="auto" w:fill="auto"/>
            <w:hideMark/>
          </w:tcPr>
          <w:p w14:paraId="24F20D02"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w:t>
            </w:r>
          </w:p>
        </w:tc>
        <w:tc>
          <w:tcPr>
            <w:tcW w:w="1559" w:type="dxa"/>
            <w:tcBorders>
              <w:top w:val="nil"/>
              <w:left w:val="nil"/>
              <w:bottom w:val="single" w:sz="4" w:space="0" w:color="ADD6EA"/>
              <w:right w:val="nil"/>
            </w:tcBorders>
            <w:shd w:val="clear" w:color="auto" w:fill="auto"/>
            <w:hideMark/>
          </w:tcPr>
          <w:p w14:paraId="74E9C57D"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Regional /remote</w:t>
            </w:r>
          </w:p>
        </w:tc>
        <w:tc>
          <w:tcPr>
            <w:tcW w:w="1276" w:type="dxa"/>
            <w:tcBorders>
              <w:top w:val="nil"/>
              <w:left w:val="nil"/>
              <w:bottom w:val="single" w:sz="4" w:space="0" w:color="ADD6EA"/>
              <w:right w:val="nil"/>
            </w:tcBorders>
            <w:shd w:val="clear" w:color="auto" w:fill="auto"/>
            <w:hideMark/>
          </w:tcPr>
          <w:p w14:paraId="474A3C5A" w14:textId="443C2DAA" w:rsidR="00541235" w:rsidRPr="00541235" w:rsidRDefault="00301E55" w:rsidP="008849C6">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L</w:t>
            </w:r>
            <w:r w:rsidR="00541235" w:rsidRPr="00541235">
              <w:rPr>
                <w:rFonts w:eastAsia="Times New Roman" w:cs="Open Sans Light"/>
                <w:color w:val="000000"/>
                <w:sz w:val="16"/>
                <w:szCs w:val="16"/>
                <w:lang w:eastAsia="en-AU"/>
              </w:rPr>
              <w:t>ower SES</w:t>
            </w:r>
          </w:p>
        </w:tc>
        <w:tc>
          <w:tcPr>
            <w:tcW w:w="1712" w:type="dxa"/>
            <w:tcBorders>
              <w:top w:val="nil"/>
              <w:left w:val="nil"/>
              <w:bottom w:val="single" w:sz="4" w:space="0" w:color="ADD6EA"/>
              <w:right w:val="nil"/>
            </w:tcBorders>
            <w:shd w:val="clear" w:color="auto" w:fill="auto"/>
            <w:hideMark/>
          </w:tcPr>
          <w:p w14:paraId="05FA30ED" w14:textId="01D7D44A" w:rsidR="00541235" w:rsidRPr="00541235" w:rsidRDefault="006F35A0" w:rsidP="008849C6">
            <w:pPr>
              <w:tabs>
                <w:tab w:val="clear" w:pos="567"/>
              </w:tabs>
              <w:spacing w:before="0" w:line="240" w:lineRule="auto"/>
              <w:rPr>
                <w:rFonts w:eastAsia="Times New Roman" w:cs="Open Sans Light"/>
                <w:color w:val="000000"/>
                <w:sz w:val="16"/>
                <w:szCs w:val="16"/>
                <w:lang w:eastAsia="en-AU"/>
              </w:rPr>
            </w:pPr>
            <w:r w:rsidRPr="006F35A0">
              <w:rPr>
                <w:rFonts w:eastAsia="Times New Roman" w:cs="Open Sans Light"/>
                <w:color w:val="000000"/>
                <w:sz w:val="16"/>
                <w:szCs w:val="16"/>
                <w:lang w:eastAsia="en-AU"/>
              </w:rPr>
              <w:t>First Nations</w:t>
            </w:r>
          </w:p>
        </w:tc>
      </w:tr>
      <w:tr w:rsidR="00541235" w:rsidRPr="00541235" w14:paraId="095EFAE2" w14:textId="77777777" w:rsidTr="008849C6">
        <w:trPr>
          <w:trHeight w:val="300"/>
        </w:trPr>
        <w:tc>
          <w:tcPr>
            <w:tcW w:w="3330" w:type="dxa"/>
            <w:tcBorders>
              <w:top w:val="nil"/>
              <w:left w:val="nil"/>
              <w:bottom w:val="single" w:sz="4" w:space="0" w:color="ADD6EA"/>
              <w:right w:val="nil"/>
            </w:tcBorders>
            <w:shd w:val="clear" w:color="auto" w:fill="auto"/>
            <w:hideMark/>
          </w:tcPr>
          <w:p w14:paraId="58BF3A72"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Communicable disease control (targeting)</w:t>
            </w:r>
          </w:p>
        </w:tc>
        <w:tc>
          <w:tcPr>
            <w:tcW w:w="1065" w:type="dxa"/>
            <w:tcBorders>
              <w:top w:val="nil"/>
              <w:left w:val="nil"/>
              <w:bottom w:val="single" w:sz="4" w:space="0" w:color="ADD6EA"/>
              <w:right w:val="nil"/>
            </w:tcBorders>
            <w:shd w:val="clear" w:color="auto" w:fill="auto"/>
            <w:hideMark/>
          </w:tcPr>
          <w:p w14:paraId="3B321735"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Older</w:t>
            </w:r>
          </w:p>
        </w:tc>
        <w:tc>
          <w:tcPr>
            <w:tcW w:w="1559" w:type="dxa"/>
            <w:tcBorders>
              <w:top w:val="nil"/>
              <w:left w:val="nil"/>
              <w:bottom w:val="single" w:sz="4" w:space="0" w:color="ADD6EA"/>
              <w:right w:val="nil"/>
            </w:tcBorders>
            <w:shd w:val="clear" w:color="auto" w:fill="auto"/>
            <w:hideMark/>
          </w:tcPr>
          <w:p w14:paraId="0BB12665"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w:t>
            </w:r>
          </w:p>
        </w:tc>
        <w:tc>
          <w:tcPr>
            <w:tcW w:w="1276" w:type="dxa"/>
            <w:tcBorders>
              <w:top w:val="nil"/>
              <w:left w:val="nil"/>
              <w:bottom w:val="single" w:sz="4" w:space="0" w:color="ADD6EA"/>
              <w:right w:val="nil"/>
            </w:tcBorders>
            <w:shd w:val="clear" w:color="auto" w:fill="auto"/>
            <w:hideMark/>
          </w:tcPr>
          <w:p w14:paraId="261AB7E0" w14:textId="3AB50872" w:rsidR="00541235" w:rsidRPr="00541235" w:rsidRDefault="00301E55" w:rsidP="008849C6">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L</w:t>
            </w:r>
            <w:r w:rsidR="00541235" w:rsidRPr="00541235">
              <w:rPr>
                <w:rFonts w:eastAsia="Times New Roman" w:cs="Open Sans Light"/>
                <w:color w:val="000000"/>
                <w:sz w:val="16"/>
                <w:szCs w:val="16"/>
                <w:lang w:eastAsia="en-AU"/>
              </w:rPr>
              <w:t>ower SES</w:t>
            </w:r>
          </w:p>
        </w:tc>
        <w:tc>
          <w:tcPr>
            <w:tcW w:w="1712" w:type="dxa"/>
            <w:tcBorders>
              <w:top w:val="nil"/>
              <w:left w:val="nil"/>
              <w:bottom w:val="single" w:sz="4" w:space="0" w:color="ADD6EA"/>
              <w:right w:val="nil"/>
            </w:tcBorders>
            <w:shd w:val="clear" w:color="auto" w:fill="auto"/>
            <w:hideMark/>
          </w:tcPr>
          <w:p w14:paraId="6A0CD547" w14:textId="79A37040" w:rsidR="00541235" w:rsidRPr="00541235" w:rsidRDefault="006F35A0" w:rsidP="008849C6">
            <w:pPr>
              <w:tabs>
                <w:tab w:val="clear" w:pos="567"/>
              </w:tabs>
              <w:spacing w:before="0" w:line="240" w:lineRule="auto"/>
              <w:rPr>
                <w:rFonts w:eastAsia="Times New Roman" w:cs="Open Sans Light"/>
                <w:color w:val="000000"/>
                <w:sz w:val="16"/>
                <w:szCs w:val="16"/>
                <w:lang w:eastAsia="en-AU"/>
              </w:rPr>
            </w:pPr>
            <w:r w:rsidRPr="006F35A0">
              <w:rPr>
                <w:rFonts w:eastAsia="Times New Roman" w:cs="Open Sans Light"/>
                <w:color w:val="000000"/>
                <w:sz w:val="16"/>
                <w:szCs w:val="16"/>
                <w:lang w:eastAsia="en-AU"/>
              </w:rPr>
              <w:t>First Nations</w:t>
            </w:r>
            <w:r w:rsidR="00541235" w:rsidRPr="00541235">
              <w:rPr>
                <w:rFonts w:eastAsia="Times New Roman" w:cs="Open Sans Light"/>
                <w:color w:val="000000"/>
                <w:sz w:val="16"/>
                <w:szCs w:val="16"/>
                <w:lang w:eastAsia="en-AU"/>
              </w:rPr>
              <w:t xml:space="preserve"> </w:t>
            </w:r>
          </w:p>
        </w:tc>
      </w:tr>
      <w:tr w:rsidR="00541235" w:rsidRPr="00541235" w14:paraId="2EB3604C" w14:textId="77777777" w:rsidTr="008849C6">
        <w:trPr>
          <w:trHeight w:val="300"/>
        </w:trPr>
        <w:tc>
          <w:tcPr>
            <w:tcW w:w="3330" w:type="dxa"/>
            <w:tcBorders>
              <w:top w:val="nil"/>
              <w:left w:val="nil"/>
              <w:bottom w:val="single" w:sz="4" w:space="0" w:color="ADD6EA"/>
              <w:right w:val="nil"/>
            </w:tcBorders>
            <w:shd w:val="clear" w:color="auto" w:fill="auto"/>
            <w:hideMark/>
          </w:tcPr>
          <w:p w14:paraId="1BCB6DC5"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Environmental health (targeting)</w:t>
            </w:r>
          </w:p>
        </w:tc>
        <w:tc>
          <w:tcPr>
            <w:tcW w:w="1065" w:type="dxa"/>
            <w:tcBorders>
              <w:top w:val="nil"/>
              <w:left w:val="nil"/>
              <w:bottom w:val="single" w:sz="4" w:space="0" w:color="ADD6EA"/>
              <w:right w:val="nil"/>
            </w:tcBorders>
            <w:shd w:val="clear" w:color="auto" w:fill="auto"/>
            <w:hideMark/>
          </w:tcPr>
          <w:p w14:paraId="663EE4D9"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w:t>
            </w:r>
          </w:p>
        </w:tc>
        <w:tc>
          <w:tcPr>
            <w:tcW w:w="1559" w:type="dxa"/>
            <w:tcBorders>
              <w:top w:val="nil"/>
              <w:left w:val="nil"/>
              <w:bottom w:val="single" w:sz="4" w:space="0" w:color="ADD6EA"/>
              <w:right w:val="nil"/>
            </w:tcBorders>
            <w:shd w:val="clear" w:color="auto" w:fill="auto"/>
            <w:hideMark/>
          </w:tcPr>
          <w:p w14:paraId="15DE4136"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w:t>
            </w:r>
          </w:p>
        </w:tc>
        <w:tc>
          <w:tcPr>
            <w:tcW w:w="1276" w:type="dxa"/>
            <w:tcBorders>
              <w:top w:val="nil"/>
              <w:left w:val="nil"/>
              <w:bottom w:val="single" w:sz="4" w:space="0" w:color="ADD6EA"/>
              <w:right w:val="nil"/>
            </w:tcBorders>
            <w:shd w:val="clear" w:color="auto" w:fill="auto"/>
            <w:hideMark/>
          </w:tcPr>
          <w:p w14:paraId="0A786912" w14:textId="77777777" w:rsidR="00541235" w:rsidRPr="00541235" w:rsidRDefault="00541235" w:rsidP="008849C6">
            <w:pPr>
              <w:tabs>
                <w:tab w:val="clear" w:pos="567"/>
              </w:tabs>
              <w:spacing w:before="0" w:line="240" w:lineRule="auto"/>
              <w:rPr>
                <w:rFonts w:eastAsia="Times New Roman" w:cs="Open Sans Light"/>
                <w:color w:val="000000"/>
                <w:sz w:val="16"/>
                <w:szCs w:val="16"/>
                <w:lang w:eastAsia="en-AU"/>
              </w:rPr>
            </w:pPr>
            <w:r w:rsidRPr="00541235">
              <w:rPr>
                <w:rFonts w:eastAsia="Times New Roman" w:cs="Open Sans Light"/>
                <w:color w:val="000000"/>
                <w:sz w:val="16"/>
                <w:szCs w:val="16"/>
                <w:lang w:eastAsia="en-AU"/>
              </w:rPr>
              <w:t>-</w:t>
            </w:r>
          </w:p>
        </w:tc>
        <w:tc>
          <w:tcPr>
            <w:tcW w:w="1712" w:type="dxa"/>
            <w:tcBorders>
              <w:top w:val="nil"/>
              <w:left w:val="nil"/>
              <w:bottom w:val="single" w:sz="4" w:space="0" w:color="ADD6EA"/>
              <w:right w:val="nil"/>
            </w:tcBorders>
            <w:shd w:val="clear" w:color="auto" w:fill="auto"/>
            <w:hideMark/>
          </w:tcPr>
          <w:p w14:paraId="486390B6" w14:textId="6F93DAA6" w:rsidR="00541235" w:rsidRPr="00541235" w:rsidRDefault="006F35A0" w:rsidP="008849C6">
            <w:pPr>
              <w:tabs>
                <w:tab w:val="clear" w:pos="567"/>
              </w:tabs>
              <w:spacing w:before="0" w:line="240" w:lineRule="auto"/>
              <w:rPr>
                <w:rFonts w:eastAsia="Times New Roman" w:cs="Open Sans Light"/>
                <w:color w:val="000000"/>
                <w:sz w:val="16"/>
                <w:szCs w:val="16"/>
                <w:lang w:eastAsia="en-AU"/>
              </w:rPr>
            </w:pPr>
            <w:r w:rsidRPr="006F35A0">
              <w:rPr>
                <w:rFonts w:eastAsia="Times New Roman" w:cs="Open Sans Light"/>
                <w:color w:val="000000"/>
                <w:sz w:val="16"/>
                <w:szCs w:val="16"/>
                <w:lang w:eastAsia="en-AU"/>
              </w:rPr>
              <w:t>First Nations</w:t>
            </w:r>
          </w:p>
        </w:tc>
      </w:tr>
    </w:tbl>
    <w:p w14:paraId="57ACE1A1" w14:textId="4D4EAE74" w:rsidR="004801D2" w:rsidRPr="005A76E2" w:rsidRDefault="00697AC6" w:rsidP="004801D2">
      <w:pPr>
        <w:pStyle w:val="CGC2025TableNote"/>
        <w:ind w:left="567" w:hanging="454"/>
      </w:pPr>
      <w:r w:rsidRPr="005A76E2">
        <w:t xml:space="preserve">Note: </w:t>
      </w:r>
      <w:r w:rsidRPr="005A76E2">
        <w:tab/>
      </w:r>
      <w:r w:rsidR="004801D2" w:rsidRPr="005A76E2">
        <w:t>Selected health promotion, communicable disease control and environmental health use</w:t>
      </w:r>
      <w:r w:rsidR="00B153D2" w:rsidRPr="005A76E2">
        <w:t xml:space="preserve"> the</w:t>
      </w:r>
      <w:r w:rsidR="004801D2" w:rsidRPr="005A76E2">
        <w:t xml:space="preserve"> indirect measurement of</w:t>
      </w:r>
      <w:r w:rsidR="00B153D2" w:rsidRPr="005A76E2">
        <w:t xml:space="preserve"> targeted population groups as an indicator</w:t>
      </w:r>
      <w:r w:rsidR="004801D2" w:rsidRPr="005A76E2">
        <w:t xml:space="preserve"> </w:t>
      </w:r>
      <w:r w:rsidR="003B6A54" w:rsidRPr="005A76E2">
        <w:t xml:space="preserve">of </w:t>
      </w:r>
      <w:r w:rsidR="004801D2" w:rsidRPr="005A76E2">
        <w:t xml:space="preserve">the usage of services. </w:t>
      </w:r>
      <w:r w:rsidR="000E7D40" w:rsidRPr="005A76E2">
        <w:t>No target indicates</w:t>
      </w:r>
      <w:r w:rsidR="004801D2" w:rsidRPr="005A76E2">
        <w:t xml:space="preserve"> that there was no bias to any population group</w:t>
      </w:r>
      <w:r w:rsidR="000E7D40" w:rsidRPr="005A76E2">
        <w:t xml:space="preserve"> in state and/or national strategies. </w:t>
      </w:r>
    </w:p>
    <w:p w14:paraId="7C7C48D8" w14:textId="024E6D1F" w:rsidR="00880C5B" w:rsidRPr="005A76E2" w:rsidRDefault="001D093F" w:rsidP="00AB6D1B">
      <w:pPr>
        <w:pStyle w:val="CGC2025ParaNumbers"/>
      </w:pPr>
      <w:r w:rsidRPr="005A76E2">
        <w:t>Public health spending has increased</w:t>
      </w:r>
      <w:r w:rsidR="006356A8" w:rsidRPr="005A76E2">
        <w:t xml:space="preserve"> in recent years</w:t>
      </w:r>
      <w:r w:rsidR="00A32E9E" w:rsidRPr="005A76E2">
        <w:t xml:space="preserve">, from </w:t>
      </w:r>
      <w:r w:rsidR="00D01673" w:rsidRPr="005A76E2">
        <w:t>1.</w:t>
      </w:r>
      <w:r w:rsidR="0032199B" w:rsidRPr="005A76E2">
        <w:t>4</w:t>
      </w:r>
      <w:r w:rsidR="00A32E9E" w:rsidRPr="005A76E2">
        <w:t xml:space="preserve">% of total spending in </w:t>
      </w:r>
      <w:r w:rsidR="0007483F" w:rsidRPr="005A76E2">
        <w:t>201</w:t>
      </w:r>
      <w:r w:rsidR="0032199B" w:rsidRPr="005A76E2">
        <w:t>4</w:t>
      </w:r>
      <w:r w:rsidR="009410BB">
        <w:t>–</w:t>
      </w:r>
      <w:r w:rsidR="0007483F" w:rsidRPr="005A76E2">
        <w:t>15</w:t>
      </w:r>
      <w:r w:rsidR="00A32E9E" w:rsidRPr="005A76E2">
        <w:t xml:space="preserve"> </w:t>
      </w:r>
      <w:r w:rsidR="00586573" w:rsidRPr="005A76E2">
        <w:t xml:space="preserve">to </w:t>
      </w:r>
      <w:r w:rsidR="00F62C34" w:rsidRPr="005A76E2">
        <w:t>6.6</w:t>
      </w:r>
      <w:r w:rsidR="00586573" w:rsidRPr="005A76E2">
        <w:t>% in 2021</w:t>
      </w:r>
      <w:r w:rsidR="009410BB">
        <w:t>–</w:t>
      </w:r>
      <w:r w:rsidR="00586573" w:rsidRPr="005A76E2">
        <w:t xml:space="preserve">22. </w:t>
      </w:r>
      <w:r w:rsidR="00230ACC" w:rsidRPr="005A76E2">
        <w:t>Spending p</w:t>
      </w:r>
      <w:r w:rsidR="00DA2C4A" w:rsidRPr="005A76E2">
        <w:t>riorities also changed</w:t>
      </w:r>
      <w:r w:rsidR="00D125C9" w:rsidRPr="005A76E2">
        <w:t xml:space="preserve"> </w:t>
      </w:r>
      <w:r w:rsidR="001407FD" w:rsidRPr="005A76E2">
        <w:t xml:space="preserve">significantly </w:t>
      </w:r>
      <w:r w:rsidR="00033045" w:rsidRPr="005A76E2">
        <w:t>during</w:t>
      </w:r>
      <w:r w:rsidR="001407FD" w:rsidRPr="005A76E2">
        <w:t xml:space="preserve"> the </w:t>
      </w:r>
      <w:r w:rsidR="00044339" w:rsidRPr="005A76E2">
        <w:t>COVID</w:t>
      </w:r>
      <w:r w:rsidR="00044339" w:rsidRPr="005A76E2">
        <w:noBreakHyphen/>
        <w:t>19 pandemic</w:t>
      </w:r>
      <w:r w:rsidR="00F82CAE" w:rsidRPr="005A76E2">
        <w:t xml:space="preserve"> (</w:t>
      </w:r>
      <w:r w:rsidR="007F1B3F">
        <w:t>Table 6</w:t>
      </w:r>
      <w:r w:rsidR="007D58B2" w:rsidRPr="005A76E2">
        <w:t>)</w:t>
      </w:r>
      <w:r w:rsidR="00044339" w:rsidRPr="005A76E2">
        <w:t>. A large increase in spending on comm</w:t>
      </w:r>
      <w:r w:rsidR="00412D4E" w:rsidRPr="005A76E2">
        <w:t xml:space="preserve">unicable disease </w:t>
      </w:r>
      <w:r w:rsidR="002D2FD8" w:rsidRPr="005A76E2">
        <w:t>control</w:t>
      </w:r>
      <w:r w:rsidR="001521AA" w:rsidRPr="005A76E2">
        <w:t xml:space="preserve"> meant it accounted for around half of state spending on public health</w:t>
      </w:r>
      <w:r w:rsidR="006D2F58" w:rsidRPr="005A76E2">
        <w:t xml:space="preserve"> in recent years compared </w:t>
      </w:r>
      <w:r w:rsidR="00BF0703">
        <w:t>with</w:t>
      </w:r>
      <w:r w:rsidR="006D2F58" w:rsidRPr="005A76E2">
        <w:t xml:space="preserve"> less than 20% at the time of the 2020 Review</w:t>
      </w:r>
      <w:r w:rsidR="000D226B">
        <w:t xml:space="preserve"> (</w:t>
      </w:r>
      <w:r w:rsidR="000D226B">
        <w:fldChar w:fldCharType="begin"/>
      </w:r>
      <w:r w:rsidR="000D226B">
        <w:instrText xml:space="preserve"> REF _Ref153804699 \h </w:instrText>
      </w:r>
      <w:r w:rsidR="000D226B">
        <w:fldChar w:fldCharType="separate"/>
      </w:r>
      <w:r w:rsidR="00581B01">
        <w:t xml:space="preserve">Table </w:t>
      </w:r>
      <w:r w:rsidR="00581B01">
        <w:rPr>
          <w:noProof/>
        </w:rPr>
        <w:t>13</w:t>
      </w:r>
      <w:r w:rsidR="000D226B">
        <w:fldChar w:fldCharType="end"/>
      </w:r>
      <w:r w:rsidR="000D226B">
        <w:t>)</w:t>
      </w:r>
      <w:r w:rsidR="006D2F58" w:rsidRPr="005A76E2">
        <w:t xml:space="preserve">. Spending on </w:t>
      </w:r>
      <w:r w:rsidR="009F0E9D" w:rsidRPr="005A76E2">
        <w:t>organised immunisation</w:t>
      </w:r>
      <w:r w:rsidR="00FF432C" w:rsidRPr="005A76E2">
        <w:t xml:space="preserve"> and selected health promotion was also much higher in 2021</w:t>
      </w:r>
      <w:r w:rsidR="009410BB">
        <w:t>–</w:t>
      </w:r>
      <w:r w:rsidR="00FF432C" w:rsidRPr="005A76E2">
        <w:t>22 than earlier years</w:t>
      </w:r>
      <w:r w:rsidR="006C084C" w:rsidRPr="005A76E2">
        <w:t>. The socio</w:t>
      </w:r>
      <w:r w:rsidR="008103F9" w:rsidRPr="005A76E2">
        <w:t>-</w:t>
      </w:r>
      <w:r w:rsidR="006C084C" w:rsidRPr="005A76E2">
        <w:t xml:space="preserve">demographic targets for these programs </w:t>
      </w:r>
      <w:r w:rsidR="002C13D0" w:rsidRPr="005A76E2">
        <w:t>are</w:t>
      </w:r>
      <w:r w:rsidR="006C084C" w:rsidRPr="005A76E2">
        <w:t xml:space="preserve"> also likely to have changed </w:t>
      </w:r>
      <w:r w:rsidR="00363FBF" w:rsidRPr="005A76E2">
        <w:t>as priorit</w:t>
      </w:r>
      <w:r w:rsidR="002C13D0" w:rsidRPr="005A76E2">
        <w:t>ies shifted to responding t</w:t>
      </w:r>
      <w:r w:rsidR="00CD3A79" w:rsidRPr="005A76E2">
        <w:t>o the pandemic.</w:t>
      </w:r>
      <w:r w:rsidR="00481A42" w:rsidRPr="005A76E2">
        <w:t xml:space="preserve"> </w:t>
      </w:r>
    </w:p>
    <w:p w14:paraId="43BB8117" w14:textId="52DC177D" w:rsidR="00A42953" w:rsidRDefault="00C846D6" w:rsidP="008C50BD">
      <w:pPr>
        <w:pStyle w:val="CGC2025Caption"/>
        <w:keepNext/>
        <w:keepLines/>
        <w:tabs>
          <w:tab w:val="left" w:pos="1134"/>
        </w:tabs>
        <w:rPr>
          <w:rFonts w:ascii="Open Sans Semibold" w:hAnsi="Open Sans Semibold" w:cs="Open Sans Semibold"/>
          <w:color w:val="E36C0A" w:themeColor="accent6" w:themeShade="BF"/>
          <w:szCs w:val="20"/>
        </w:rPr>
      </w:pPr>
      <w:bookmarkStart w:id="45" w:name="_Ref157773542"/>
      <w:r w:rsidRPr="005A76E2">
        <w:lastRenderedPageBreak/>
        <w:t xml:space="preserve">Table </w:t>
      </w:r>
      <w:r>
        <w:fldChar w:fldCharType="begin"/>
      </w:r>
      <w:r>
        <w:instrText>SEQ Table \* ARABIC</w:instrText>
      </w:r>
      <w:r>
        <w:fldChar w:fldCharType="separate"/>
      </w:r>
      <w:r w:rsidR="00581B01">
        <w:rPr>
          <w:noProof/>
        </w:rPr>
        <w:t>6</w:t>
      </w:r>
      <w:r>
        <w:fldChar w:fldCharType="end"/>
      </w:r>
      <w:bookmarkEnd w:id="45"/>
      <w:r w:rsidRPr="005A76E2">
        <w:tab/>
      </w:r>
      <w:r w:rsidR="00917443" w:rsidRPr="005A76E2">
        <w:t>Public</w:t>
      </w:r>
      <w:r w:rsidR="00A42953" w:rsidRPr="005A76E2">
        <w:t xml:space="preserve"> health expense weights, various years</w:t>
      </w:r>
    </w:p>
    <w:tbl>
      <w:tblPr>
        <w:tblW w:w="8942" w:type="dxa"/>
        <w:tblLook w:val="04A0" w:firstRow="1" w:lastRow="0" w:firstColumn="1" w:lastColumn="0" w:noHBand="0" w:noVBand="1"/>
      </w:tblPr>
      <w:tblGrid>
        <w:gridCol w:w="3075"/>
        <w:gridCol w:w="1682"/>
        <w:gridCol w:w="1395"/>
        <w:gridCol w:w="1395"/>
        <w:gridCol w:w="1395"/>
      </w:tblGrid>
      <w:tr w:rsidR="007521BC" w:rsidRPr="007521BC" w14:paraId="09570FD2" w14:textId="77777777" w:rsidTr="008849C6">
        <w:trPr>
          <w:trHeight w:val="375"/>
        </w:trPr>
        <w:tc>
          <w:tcPr>
            <w:tcW w:w="3000" w:type="dxa"/>
            <w:tcBorders>
              <w:top w:val="nil"/>
              <w:left w:val="nil"/>
              <w:bottom w:val="nil"/>
              <w:right w:val="nil"/>
            </w:tcBorders>
            <w:shd w:val="clear" w:color="000000" w:fill="006991"/>
            <w:vAlign w:val="center"/>
            <w:hideMark/>
          </w:tcPr>
          <w:p w14:paraId="4BD7586D" w14:textId="77777777" w:rsidR="007521BC" w:rsidRPr="007521BC" w:rsidRDefault="007521BC" w:rsidP="007521BC">
            <w:pPr>
              <w:keepNext/>
              <w:keepLines/>
              <w:tabs>
                <w:tab w:val="clear" w:pos="567"/>
              </w:tabs>
              <w:spacing w:before="0" w:line="240" w:lineRule="auto"/>
              <w:rPr>
                <w:rFonts w:ascii="Open Sans Semibold" w:eastAsia="Times New Roman" w:hAnsi="Open Sans Semibold" w:cs="Open Sans Semibold"/>
                <w:b/>
                <w:bCs/>
                <w:color w:val="FFFFFF"/>
                <w:sz w:val="16"/>
                <w:szCs w:val="16"/>
                <w:lang w:eastAsia="en-AU"/>
              </w:rPr>
            </w:pPr>
            <w:r w:rsidRPr="007521BC">
              <w:rPr>
                <w:rFonts w:ascii="Open Sans Semibold" w:eastAsia="Times New Roman" w:hAnsi="Open Sans Semibold" w:cs="Open Sans Semibold"/>
                <w:b/>
                <w:bCs/>
                <w:color w:val="FFFFFF"/>
                <w:sz w:val="16"/>
                <w:szCs w:val="16"/>
                <w:lang w:eastAsia="en-AU"/>
              </w:rPr>
              <w:t> </w:t>
            </w:r>
          </w:p>
        </w:tc>
        <w:tc>
          <w:tcPr>
            <w:tcW w:w="1640" w:type="dxa"/>
            <w:tcBorders>
              <w:top w:val="nil"/>
              <w:left w:val="nil"/>
              <w:bottom w:val="nil"/>
              <w:right w:val="nil"/>
            </w:tcBorders>
            <w:shd w:val="clear" w:color="000000" w:fill="006991"/>
            <w:vAlign w:val="center"/>
            <w:hideMark/>
          </w:tcPr>
          <w:p w14:paraId="1F68269D" w14:textId="673F5FBD" w:rsidR="007521BC" w:rsidRPr="007521BC" w:rsidRDefault="007521BC" w:rsidP="008849C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521BC">
              <w:rPr>
                <w:rFonts w:ascii="Open Sans Semibold" w:eastAsia="Times New Roman" w:hAnsi="Open Sans Semibold" w:cs="Open Sans Semibold"/>
                <w:color w:val="FFFFFF"/>
                <w:sz w:val="16"/>
                <w:szCs w:val="16"/>
                <w:lang w:eastAsia="en-AU"/>
              </w:rPr>
              <w:t>2014</w:t>
            </w:r>
            <w:r w:rsidR="00DC649E">
              <w:rPr>
                <w:rFonts w:ascii="Open Sans Semibold" w:eastAsia="Times New Roman" w:hAnsi="Open Sans Semibold" w:cs="Open Sans Semibold"/>
                <w:color w:val="FFFFFF"/>
                <w:sz w:val="16"/>
                <w:szCs w:val="16"/>
                <w:lang w:eastAsia="en-AU"/>
              </w:rPr>
              <w:t>–</w:t>
            </w:r>
            <w:r w:rsidRPr="007521BC">
              <w:rPr>
                <w:rFonts w:ascii="Open Sans Semibold" w:eastAsia="Times New Roman" w:hAnsi="Open Sans Semibold" w:cs="Open Sans Semibold"/>
                <w:color w:val="FFFFFF"/>
                <w:sz w:val="16"/>
                <w:szCs w:val="16"/>
                <w:lang w:eastAsia="en-AU"/>
              </w:rPr>
              <w:t>15, 2015</w:t>
            </w:r>
            <w:r w:rsidR="00DC649E">
              <w:rPr>
                <w:rFonts w:ascii="Open Sans Semibold" w:eastAsia="Times New Roman" w:hAnsi="Open Sans Semibold" w:cs="Open Sans Semibold"/>
                <w:color w:val="FFFFFF"/>
                <w:sz w:val="16"/>
                <w:szCs w:val="16"/>
                <w:lang w:eastAsia="en-AU"/>
              </w:rPr>
              <w:t>–</w:t>
            </w:r>
            <w:r w:rsidRPr="007521BC">
              <w:rPr>
                <w:rFonts w:ascii="Open Sans Semibold" w:eastAsia="Times New Roman" w:hAnsi="Open Sans Semibold" w:cs="Open Sans Semibold"/>
                <w:color w:val="FFFFFF"/>
                <w:sz w:val="16"/>
                <w:szCs w:val="16"/>
                <w:lang w:eastAsia="en-AU"/>
              </w:rPr>
              <w:t>16</w:t>
            </w:r>
          </w:p>
        </w:tc>
        <w:tc>
          <w:tcPr>
            <w:tcW w:w="1360" w:type="dxa"/>
            <w:tcBorders>
              <w:top w:val="nil"/>
              <w:left w:val="nil"/>
              <w:bottom w:val="nil"/>
              <w:right w:val="nil"/>
            </w:tcBorders>
            <w:shd w:val="clear" w:color="000000" w:fill="006991"/>
            <w:vAlign w:val="center"/>
            <w:hideMark/>
          </w:tcPr>
          <w:p w14:paraId="799E26C7" w14:textId="3FC1DCAF" w:rsidR="007521BC" w:rsidRPr="007521BC" w:rsidRDefault="007521BC" w:rsidP="008849C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521BC">
              <w:rPr>
                <w:rFonts w:ascii="Open Sans Semibold" w:eastAsia="Times New Roman" w:hAnsi="Open Sans Semibold" w:cs="Open Sans Semibold"/>
                <w:color w:val="FFFFFF"/>
                <w:sz w:val="16"/>
                <w:szCs w:val="16"/>
                <w:lang w:eastAsia="en-AU"/>
              </w:rPr>
              <w:t>2019</w:t>
            </w:r>
            <w:r w:rsidR="00DC649E">
              <w:rPr>
                <w:rFonts w:ascii="Open Sans Semibold" w:eastAsia="Times New Roman" w:hAnsi="Open Sans Semibold" w:cs="Open Sans Semibold"/>
                <w:color w:val="FFFFFF"/>
                <w:sz w:val="16"/>
                <w:szCs w:val="16"/>
                <w:lang w:eastAsia="en-AU"/>
              </w:rPr>
              <w:t>–</w:t>
            </w:r>
            <w:r w:rsidRPr="007521BC">
              <w:rPr>
                <w:rFonts w:ascii="Open Sans Semibold" w:eastAsia="Times New Roman" w:hAnsi="Open Sans Semibold" w:cs="Open Sans Semibold"/>
                <w:color w:val="FFFFFF"/>
                <w:sz w:val="16"/>
                <w:szCs w:val="16"/>
                <w:lang w:eastAsia="en-AU"/>
              </w:rPr>
              <w:t>20</w:t>
            </w:r>
          </w:p>
        </w:tc>
        <w:tc>
          <w:tcPr>
            <w:tcW w:w="1360" w:type="dxa"/>
            <w:tcBorders>
              <w:top w:val="nil"/>
              <w:left w:val="nil"/>
              <w:bottom w:val="nil"/>
              <w:right w:val="nil"/>
            </w:tcBorders>
            <w:shd w:val="clear" w:color="000000" w:fill="006991"/>
            <w:vAlign w:val="center"/>
            <w:hideMark/>
          </w:tcPr>
          <w:p w14:paraId="4342A704" w14:textId="66EEFBD5" w:rsidR="007521BC" w:rsidRPr="007521BC" w:rsidRDefault="007521BC" w:rsidP="008849C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521BC">
              <w:rPr>
                <w:rFonts w:ascii="Open Sans Semibold" w:eastAsia="Times New Roman" w:hAnsi="Open Sans Semibold" w:cs="Open Sans Semibold"/>
                <w:color w:val="FFFFFF"/>
                <w:sz w:val="16"/>
                <w:szCs w:val="16"/>
                <w:lang w:eastAsia="en-AU"/>
              </w:rPr>
              <w:t>2020</w:t>
            </w:r>
            <w:r w:rsidR="00DC649E">
              <w:rPr>
                <w:rFonts w:ascii="Open Sans Semibold" w:eastAsia="Times New Roman" w:hAnsi="Open Sans Semibold" w:cs="Open Sans Semibold"/>
                <w:color w:val="FFFFFF"/>
                <w:sz w:val="16"/>
                <w:szCs w:val="16"/>
                <w:lang w:eastAsia="en-AU"/>
              </w:rPr>
              <w:t>–</w:t>
            </w:r>
            <w:r w:rsidRPr="007521BC">
              <w:rPr>
                <w:rFonts w:ascii="Open Sans Semibold" w:eastAsia="Times New Roman" w:hAnsi="Open Sans Semibold" w:cs="Open Sans Semibold"/>
                <w:color w:val="FFFFFF"/>
                <w:sz w:val="16"/>
                <w:szCs w:val="16"/>
                <w:lang w:eastAsia="en-AU"/>
              </w:rPr>
              <w:t>21</w:t>
            </w:r>
          </w:p>
        </w:tc>
        <w:tc>
          <w:tcPr>
            <w:tcW w:w="1360" w:type="dxa"/>
            <w:tcBorders>
              <w:top w:val="nil"/>
              <w:left w:val="nil"/>
              <w:bottom w:val="nil"/>
              <w:right w:val="nil"/>
            </w:tcBorders>
            <w:shd w:val="clear" w:color="000000" w:fill="006991"/>
            <w:vAlign w:val="center"/>
            <w:hideMark/>
          </w:tcPr>
          <w:p w14:paraId="6F0E0EB4" w14:textId="0AB05882" w:rsidR="007521BC" w:rsidRPr="007521BC" w:rsidRDefault="007521BC" w:rsidP="008849C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521BC">
              <w:rPr>
                <w:rFonts w:ascii="Open Sans Semibold" w:eastAsia="Times New Roman" w:hAnsi="Open Sans Semibold" w:cs="Open Sans Semibold"/>
                <w:color w:val="FFFFFF"/>
                <w:sz w:val="16"/>
                <w:szCs w:val="16"/>
                <w:lang w:eastAsia="en-AU"/>
              </w:rPr>
              <w:t>2021</w:t>
            </w:r>
            <w:r w:rsidR="00DC649E">
              <w:rPr>
                <w:rFonts w:ascii="Open Sans Semibold" w:eastAsia="Times New Roman" w:hAnsi="Open Sans Semibold" w:cs="Open Sans Semibold"/>
                <w:color w:val="FFFFFF"/>
                <w:sz w:val="16"/>
                <w:szCs w:val="16"/>
                <w:lang w:eastAsia="en-AU"/>
              </w:rPr>
              <w:t>–</w:t>
            </w:r>
            <w:r w:rsidRPr="007521BC">
              <w:rPr>
                <w:rFonts w:ascii="Open Sans Semibold" w:eastAsia="Times New Roman" w:hAnsi="Open Sans Semibold" w:cs="Open Sans Semibold"/>
                <w:color w:val="FFFFFF"/>
                <w:sz w:val="16"/>
                <w:szCs w:val="16"/>
                <w:lang w:eastAsia="en-AU"/>
              </w:rPr>
              <w:t>22</w:t>
            </w:r>
          </w:p>
        </w:tc>
      </w:tr>
      <w:tr w:rsidR="007521BC" w:rsidRPr="007521BC" w14:paraId="149A74C6" w14:textId="77777777" w:rsidTr="008849C6">
        <w:trPr>
          <w:trHeight w:val="255"/>
        </w:trPr>
        <w:tc>
          <w:tcPr>
            <w:tcW w:w="3000" w:type="dxa"/>
            <w:tcBorders>
              <w:top w:val="nil"/>
              <w:left w:val="nil"/>
              <w:bottom w:val="nil"/>
              <w:right w:val="nil"/>
            </w:tcBorders>
            <w:shd w:val="clear" w:color="000000" w:fill="B6D5E4"/>
            <w:noWrap/>
            <w:vAlign w:val="center"/>
            <w:hideMark/>
          </w:tcPr>
          <w:p w14:paraId="6C06ABA6" w14:textId="77777777" w:rsidR="007521BC" w:rsidRPr="007521BC" w:rsidRDefault="007521BC" w:rsidP="007521BC">
            <w:pPr>
              <w:keepNext/>
              <w:keepLines/>
              <w:tabs>
                <w:tab w:val="clear" w:pos="567"/>
              </w:tabs>
              <w:spacing w:before="0" w:line="240" w:lineRule="auto"/>
              <w:rPr>
                <w:rFonts w:ascii="Calibri" w:eastAsia="Times New Roman" w:hAnsi="Calibri" w:cs="Calibri"/>
                <w:b/>
                <w:bCs/>
                <w:color w:val="000000"/>
                <w:sz w:val="16"/>
                <w:szCs w:val="16"/>
                <w:lang w:eastAsia="en-AU"/>
              </w:rPr>
            </w:pPr>
            <w:r w:rsidRPr="007521BC">
              <w:rPr>
                <w:rFonts w:ascii="Calibri" w:eastAsia="Times New Roman" w:hAnsi="Calibri" w:cs="Calibri"/>
                <w:b/>
                <w:bCs/>
                <w:color w:val="000000"/>
                <w:sz w:val="16"/>
                <w:szCs w:val="16"/>
                <w:lang w:eastAsia="en-AU"/>
              </w:rPr>
              <w:t> </w:t>
            </w:r>
          </w:p>
        </w:tc>
        <w:tc>
          <w:tcPr>
            <w:tcW w:w="1640" w:type="dxa"/>
            <w:tcBorders>
              <w:top w:val="nil"/>
              <w:left w:val="nil"/>
              <w:bottom w:val="nil"/>
              <w:right w:val="nil"/>
            </w:tcBorders>
            <w:shd w:val="clear" w:color="000000" w:fill="B6D5E4"/>
            <w:noWrap/>
            <w:vAlign w:val="center"/>
            <w:hideMark/>
          </w:tcPr>
          <w:p w14:paraId="56F400A1" w14:textId="77777777" w:rsidR="007521BC" w:rsidRPr="007521BC" w:rsidRDefault="007521BC" w:rsidP="008849C6">
            <w:pPr>
              <w:keepNext/>
              <w:keepLines/>
              <w:tabs>
                <w:tab w:val="clear" w:pos="567"/>
              </w:tabs>
              <w:spacing w:before="0" w:line="240" w:lineRule="auto"/>
              <w:jc w:val="right"/>
              <w:rPr>
                <w:rFonts w:ascii="Calibri" w:eastAsia="Times New Roman" w:hAnsi="Calibri" w:cs="Calibri"/>
                <w:b/>
                <w:bCs/>
                <w:color w:val="000000"/>
                <w:sz w:val="16"/>
                <w:szCs w:val="16"/>
                <w:lang w:eastAsia="en-AU"/>
              </w:rPr>
            </w:pPr>
            <w:r w:rsidRPr="007521BC">
              <w:rPr>
                <w:rFonts w:ascii="Calibri" w:eastAsia="Times New Roman" w:hAnsi="Calibri" w:cs="Calibri"/>
                <w:b/>
                <w:bCs/>
                <w:color w:val="000000"/>
                <w:sz w:val="16"/>
                <w:szCs w:val="16"/>
                <w:lang w:eastAsia="en-AU"/>
              </w:rPr>
              <w:t>%</w:t>
            </w:r>
          </w:p>
        </w:tc>
        <w:tc>
          <w:tcPr>
            <w:tcW w:w="1360" w:type="dxa"/>
            <w:tcBorders>
              <w:top w:val="nil"/>
              <w:left w:val="nil"/>
              <w:bottom w:val="nil"/>
              <w:right w:val="nil"/>
            </w:tcBorders>
            <w:shd w:val="clear" w:color="000000" w:fill="B6D5E4"/>
            <w:noWrap/>
            <w:vAlign w:val="center"/>
            <w:hideMark/>
          </w:tcPr>
          <w:p w14:paraId="69C90E1B" w14:textId="77777777" w:rsidR="007521BC" w:rsidRPr="007521BC" w:rsidRDefault="007521BC" w:rsidP="008849C6">
            <w:pPr>
              <w:keepNext/>
              <w:keepLines/>
              <w:tabs>
                <w:tab w:val="clear" w:pos="567"/>
              </w:tabs>
              <w:spacing w:before="0" w:line="240" w:lineRule="auto"/>
              <w:jc w:val="right"/>
              <w:rPr>
                <w:rFonts w:ascii="Calibri" w:eastAsia="Times New Roman" w:hAnsi="Calibri" w:cs="Calibri"/>
                <w:b/>
                <w:bCs/>
                <w:color w:val="000000"/>
                <w:sz w:val="16"/>
                <w:szCs w:val="16"/>
                <w:lang w:eastAsia="en-AU"/>
              </w:rPr>
            </w:pPr>
            <w:r w:rsidRPr="007521BC">
              <w:rPr>
                <w:rFonts w:ascii="Calibri" w:eastAsia="Times New Roman" w:hAnsi="Calibri" w:cs="Calibri"/>
                <w:b/>
                <w:bCs/>
                <w:color w:val="000000"/>
                <w:sz w:val="16"/>
                <w:szCs w:val="16"/>
                <w:lang w:eastAsia="en-AU"/>
              </w:rPr>
              <w:t>%</w:t>
            </w:r>
          </w:p>
        </w:tc>
        <w:tc>
          <w:tcPr>
            <w:tcW w:w="1360" w:type="dxa"/>
            <w:tcBorders>
              <w:top w:val="nil"/>
              <w:left w:val="nil"/>
              <w:bottom w:val="nil"/>
              <w:right w:val="nil"/>
            </w:tcBorders>
            <w:shd w:val="clear" w:color="000000" w:fill="B6D5E4"/>
            <w:noWrap/>
            <w:vAlign w:val="center"/>
            <w:hideMark/>
          </w:tcPr>
          <w:p w14:paraId="612F180B" w14:textId="77777777" w:rsidR="007521BC" w:rsidRPr="007521BC" w:rsidRDefault="007521BC" w:rsidP="008849C6">
            <w:pPr>
              <w:keepNext/>
              <w:keepLines/>
              <w:tabs>
                <w:tab w:val="clear" w:pos="567"/>
              </w:tabs>
              <w:spacing w:before="0" w:line="240" w:lineRule="auto"/>
              <w:jc w:val="right"/>
              <w:rPr>
                <w:rFonts w:ascii="Calibri" w:eastAsia="Times New Roman" w:hAnsi="Calibri" w:cs="Calibri"/>
                <w:b/>
                <w:bCs/>
                <w:color w:val="000000"/>
                <w:sz w:val="16"/>
                <w:szCs w:val="16"/>
                <w:lang w:eastAsia="en-AU"/>
              </w:rPr>
            </w:pPr>
            <w:r w:rsidRPr="007521BC">
              <w:rPr>
                <w:rFonts w:ascii="Calibri" w:eastAsia="Times New Roman" w:hAnsi="Calibri" w:cs="Calibri"/>
                <w:b/>
                <w:bCs/>
                <w:color w:val="000000"/>
                <w:sz w:val="16"/>
                <w:szCs w:val="16"/>
                <w:lang w:eastAsia="en-AU"/>
              </w:rPr>
              <w:t>%</w:t>
            </w:r>
          </w:p>
        </w:tc>
        <w:tc>
          <w:tcPr>
            <w:tcW w:w="1360" w:type="dxa"/>
            <w:tcBorders>
              <w:top w:val="nil"/>
              <w:left w:val="nil"/>
              <w:bottom w:val="nil"/>
              <w:right w:val="nil"/>
            </w:tcBorders>
            <w:shd w:val="clear" w:color="000000" w:fill="B6D5E4"/>
            <w:noWrap/>
            <w:vAlign w:val="center"/>
            <w:hideMark/>
          </w:tcPr>
          <w:p w14:paraId="66BA4FF6" w14:textId="77777777" w:rsidR="007521BC" w:rsidRPr="007521BC" w:rsidRDefault="007521BC" w:rsidP="008849C6">
            <w:pPr>
              <w:keepNext/>
              <w:keepLines/>
              <w:tabs>
                <w:tab w:val="clear" w:pos="567"/>
              </w:tabs>
              <w:spacing w:before="0" w:line="240" w:lineRule="auto"/>
              <w:jc w:val="right"/>
              <w:rPr>
                <w:rFonts w:ascii="Calibri" w:eastAsia="Times New Roman" w:hAnsi="Calibri" w:cs="Calibri"/>
                <w:b/>
                <w:bCs/>
                <w:color w:val="000000"/>
                <w:sz w:val="16"/>
                <w:szCs w:val="16"/>
                <w:lang w:eastAsia="en-AU"/>
              </w:rPr>
            </w:pPr>
            <w:r w:rsidRPr="007521BC">
              <w:rPr>
                <w:rFonts w:ascii="Calibri" w:eastAsia="Times New Roman" w:hAnsi="Calibri" w:cs="Calibri"/>
                <w:b/>
                <w:bCs/>
                <w:color w:val="000000"/>
                <w:sz w:val="16"/>
                <w:szCs w:val="16"/>
                <w:lang w:eastAsia="en-AU"/>
              </w:rPr>
              <w:t>%</w:t>
            </w:r>
          </w:p>
        </w:tc>
      </w:tr>
      <w:tr w:rsidR="007521BC" w:rsidRPr="007521BC" w14:paraId="59294D33" w14:textId="77777777" w:rsidTr="008849C6">
        <w:trPr>
          <w:trHeight w:val="315"/>
        </w:trPr>
        <w:tc>
          <w:tcPr>
            <w:tcW w:w="3000" w:type="dxa"/>
            <w:tcBorders>
              <w:top w:val="single" w:sz="4" w:space="0" w:color="ADD6EA"/>
              <w:left w:val="nil"/>
              <w:bottom w:val="single" w:sz="4" w:space="0" w:color="ADD6EA"/>
              <w:right w:val="nil"/>
            </w:tcBorders>
            <w:shd w:val="clear" w:color="auto" w:fill="auto"/>
            <w:noWrap/>
            <w:vAlign w:val="center"/>
            <w:hideMark/>
          </w:tcPr>
          <w:p w14:paraId="047E92B2" w14:textId="77777777" w:rsidR="007521BC" w:rsidRPr="007521BC" w:rsidRDefault="007521BC" w:rsidP="007521BC">
            <w:pPr>
              <w:keepNext/>
              <w:keepLines/>
              <w:tabs>
                <w:tab w:val="clear" w:pos="567"/>
              </w:tabs>
              <w:spacing w:before="0" w:line="240" w:lineRule="auto"/>
              <w:rPr>
                <w:rFonts w:eastAsia="Times New Roman" w:cs="Open Sans Light"/>
                <w:color w:val="000000"/>
                <w:sz w:val="16"/>
                <w:szCs w:val="16"/>
                <w:lang w:eastAsia="en-AU"/>
              </w:rPr>
            </w:pPr>
            <w:r w:rsidRPr="007521BC">
              <w:rPr>
                <w:rFonts w:eastAsia="Times New Roman" w:cs="Open Sans Light"/>
                <w:color w:val="000000"/>
                <w:sz w:val="16"/>
                <w:szCs w:val="16"/>
                <w:lang w:eastAsia="en-AU"/>
              </w:rPr>
              <w:t>Cancer screening</w:t>
            </w:r>
          </w:p>
        </w:tc>
        <w:tc>
          <w:tcPr>
            <w:tcW w:w="1640" w:type="dxa"/>
            <w:tcBorders>
              <w:top w:val="single" w:sz="4" w:space="0" w:color="ADD6EA"/>
              <w:left w:val="nil"/>
              <w:bottom w:val="single" w:sz="4" w:space="0" w:color="ADD6EA"/>
              <w:right w:val="nil"/>
            </w:tcBorders>
            <w:shd w:val="clear" w:color="auto" w:fill="auto"/>
            <w:noWrap/>
            <w:vAlign w:val="center"/>
            <w:hideMark/>
          </w:tcPr>
          <w:p w14:paraId="06CE6413" w14:textId="77777777" w:rsidR="007521BC" w:rsidRPr="007521BC" w:rsidRDefault="007521BC" w:rsidP="008849C6">
            <w:pPr>
              <w:keepNext/>
              <w:keepLines/>
              <w:tabs>
                <w:tab w:val="clear" w:pos="567"/>
              </w:tabs>
              <w:spacing w:before="0" w:line="240" w:lineRule="auto"/>
              <w:jc w:val="right"/>
              <w:rPr>
                <w:rFonts w:eastAsia="Times New Roman" w:cs="Open Sans Light"/>
                <w:color w:val="000000"/>
                <w:sz w:val="16"/>
                <w:szCs w:val="16"/>
                <w:lang w:eastAsia="en-AU"/>
              </w:rPr>
            </w:pPr>
            <w:r w:rsidRPr="007521BC">
              <w:rPr>
                <w:rFonts w:eastAsia="Times New Roman" w:cs="Open Sans Light"/>
                <w:color w:val="000000"/>
                <w:sz w:val="16"/>
                <w:szCs w:val="16"/>
                <w:lang w:eastAsia="en-AU"/>
              </w:rPr>
              <w:t>16</w:t>
            </w:r>
          </w:p>
        </w:tc>
        <w:tc>
          <w:tcPr>
            <w:tcW w:w="1360" w:type="dxa"/>
            <w:tcBorders>
              <w:top w:val="single" w:sz="4" w:space="0" w:color="ADD6EA"/>
              <w:left w:val="nil"/>
              <w:bottom w:val="single" w:sz="4" w:space="0" w:color="ADD6EA"/>
              <w:right w:val="nil"/>
            </w:tcBorders>
            <w:shd w:val="clear" w:color="auto" w:fill="auto"/>
            <w:noWrap/>
            <w:vAlign w:val="center"/>
            <w:hideMark/>
          </w:tcPr>
          <w:p w14:paraId="36E1E33A"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12</w:t>
            </w:r>
          </w:p>
        </w:tc>
        <w:tc>
          <w:tcPr>
            <w:tcW w:w="1360" w:type="dxa"/>
            <w:tcBorders>
              <w:top w:val="single" w:sz="4" w:space="0" w:color="ADD6EA"/>
              <w:left w:val="nil"/>
              <w:bottom w:val="single" w:sz="4" w:space="0" w:color="ADD6EA"/>
              <w:right w:val="nil"/>
            </w:tcBorders>
            <w:shd w:val="clear" w:color="auto" w:fill="auto"/>
            <w:noWrap/>
            <w:vAlign w:val="center"/>
            <w:hideMark/>
          </w:tcPr>
          <w:p w14:paraId="12D6F600"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6</w:t>
            </w:r>
          </w:p>
        </w:tc>
        <w:tc>
          <w:tcPr>
            <w:tcW w:w="1360" w:type="dxa"/>
            <w:tcBorders>
              <w:top w:val="single" w:sz="4" w:space="0" w:color="ADD6EA"/>
              <w:left w:val="nil"/>
              <w:bottom w:val="single" w:sz="4" w:space="0" w:color="ADD6EA"/>
              <w:right w:val="nil"/>
            </w:tcBorders>
            <w:shd w:val="clear" w:color="auto" w:fill="auto"/>
            <w:noWrap/>
            <w:vAlign w:val="center"/>
            <w:hideMark/>
          </w:tcPr>
          <w:p w14:paraId="5BA80DE1"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4</w:t>
            </w:r>
          </w:p>
        </w:tc>
      </w:tr>
      <w:tr w:rsidR="007521BC" w:rsidRPr="007521BC" w14:paraId="5E744025" w14:textId="77777777" w:rsidTr="008849C6">
        <w:trPr>
          <w:trHeight w:val="315"/>
        </w:trPr>
        <w:tc>
          <w:tcPr>
            <w:tcW w:w="3000" w:type="dxa"/>
            <w:tcBorders>
              <w:top w:val="nil"/>
              <w:left w:val="nil"/>
              <w:bottom w:val="single" w:sz="4" w:space="0" w:color="ADD6EA"/>
              <w:right w:val="nil"/>
            </w:tcBorders>
            <w:shd w:val="clear" w:color="auto" w:fill="auto"/>
            <w:noWrap/>
            <w:vAlign w:val="center"/>
            <w:hideMark/>
          </w:tcPr>
          <w:p w14:paraId="20837CEA" w14:textId="77777777" w:rsidR="007521BC" w:rsidRPr="007521BC" w:rsidRDefault="007521BC" w:rsidP="007521BC">
            <w:pPr>
              <w:keepNext/>
              <w:keepLines/>
              <w:tabs>
                <w:tab w:val="clear" w:pos="567"/>
              </w:tabs>
              <w:spacing w:before="0" w:line="240" w:lineRule="auto"/>
              <w:rPr>
                <w:rFonts w:eastAsia="Times New Roman" w:cs="Open Sans Light"/>
                <w:color w:val="000000"/>
                <w:sz w:val="16"/>
                <w:szCs w:val="16"/>
                <w:lang w:eastAsia="en-AU"/>
              </w:rPr>
            </w:pPr>
            <w:r w:rsidRPr="007521BC">
              <w:rPr>
                <w:rFonts w:eastAsia="Times New Roman" w:cs="Open Sans Light"/>
                <w:color w:val="000000"/>
                <w:sz w:val="16"/>
                <w:szCs w:val="16"/>
                <w:lang w:eastAsia="en-AU"/>
              </w:rPr>
              <w:t>Organised immunisation</w:t>
            </w:r>
          </w:p>
        </w:tc>
        <w:tc>
          <w:tcPr>
            <w:tcW w:w="1640" w:type="dxa"/>
            <w:tcBorders>
              <w:top w:val="nil"/>
              <w:left w:val="nil"/>
              <w:bottom w:val="single" w:sz="4" w:space="0" w:color="ADD6EA"/>
              <w:right w:val="nil"/>
            </w:tcBorders>
            <w:shd w:val="clear" w:color="auto" w:fill="auto"/>
            <w:noWrap/>
            <w:vAlign w:val="center"/>
            <w:hideMark/>
          </w:tcPr>
          <w:p w14:paraId="6F5BD93F" w14:textId="77777777" w:rsidR="007521BC" w:rsidRPr="007521BC" w:rsidRDefault="007521BC" w:rsidP="008849C6">
            <w:pPr>
              <w:keepNext/>
              <w:keepLines/>
              <w:tabs>
                <w:tab w:val="clear" w:pos="567"/>
              </w:tabs>
              <w:spacing w:before="0" w:line="240" w:lineRule="auto"/>
              <w:jc w:val="right"/>
              <w:rPr>
                <w:rFonts w:eastAsia="Times New Roman" w:cs="Open Sans Light"/>
                <w:color w:val="000000"/>
                <w:sz w:val="16"/>
                <w:szCs w:val="16"/>
                <w:lang w:eastAsia="en-AU"/>
              </w:rPr>
            </w:pPr>
            <w:r w:rsidRPr="007521BC">
              <w:rPr>
                <w:rFonts w:eastAsia="Times New Roman" w:cs="Open Sans Light"/>
                <w:color w:val="000000"/>
                <w:sz w:val="16"/>
                <w:szCs w:val="16"/>
                <w:lang w:eastAsia="en-AU"/>
              </w:rPr>
              <w:t>22</w:t>
            </w:r>
          </w:p>
        </w:tc>
        <w:tc>
          <w:tcPr>
            <w:tcW w:w="1360" w:type="dxa"/>
            <w:tcBorders>
              <w:top w:val="nil"/>
              <w:left w:val="nil"/>
              <w:bottom w:val="single" w:sz="4" w:space="0" w:color="ADD6EA"/>
              <w:right w:val="nil"/>
            </w:tcBorders>
            <w:shd w:val="clear" w:color="auto" w:fill="auto"/>
            <w:noWrap/>
            <w:vAlign w:val="center"/>
            <w:hideMark/>
          </w:tcPr>
          <w:p w14:paraId="31AA4797"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16</w:t>
            </w:r>
          </w:p>
        </w:tc>
        <w:tc>
          <w:tcPr>
            <w:tcW w:w="1360" w:type="dxa"/>
            <w:tcBorders>
              <w:top w:val="nil"/>
              <w:left w:val="nil"/>
              <w:bottom w:val="single" w:sz="4" w:space="0" w:color="ADD6EA"/>
              <w:right w:val="nil"/>
            </w:tcBorders>
            <w:shd w:val="clear" w:color="auto" w:fill="auto"/>
            <w:noWrap/>
            <w:vAlign w:val="center"/>
            <w:hideMark/>
          </w:tcPr>
          <w:p w14:paraId="6C892F83"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12</w:t>
            </w:r>
          </w:p>
        </w:tc>
        <w:tc>
          <w:tcPr>
            <w:tcW w:w="1360" w:type="dxa"/>
            <w:tcBorders>
              <w:top w:val="nil"/>
              <w:left w:val="nil"/>
              <w:bottom w:val="single" w:sz="4" w:space="0" w:color="ADD6EA"/>
              <w:right w:val="nil"/>
            </w:tcBorders>
            <w:shd w:val="clear" w:color="auto" w:fill="auto"/>
            <w:noWrap/>
            <w:vAlign w:val="center"/>
            <w:hideMark/>
          </w:tcPr>
          <w:p w14:paraId="65F0B59D"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16</w:t>
            </w:r>
          </w:p>
        </w:tc>
      </w:tr>
      <w:tr w:rsidR="007521BC" w:rsidRPr="007521BC" w14:paraId="16CF9586" w14:textId="77777777" w:rsidTr="008849C6">
        <w:trPr>
          <w:trHeight w:val="315"/>
        </w:trPr>
        <w:tc>
          <w:tcPr>
            <w:tcW w:w="3000" w:type="dxa"/>
            <w:tcBorders>
              <w:top w:val="nil"/>
              <w:left w:val="nil"/>
              <w:bottom w:val="single" w:sz="4" w:space="0" w:color="ADD6EA"/>
              <w:right w:val="nil"/>
            </w:tcBorders>
            <w:shd w:val="clear" w:color="auto" w:fill="auto"/>
            <w:noWrap/>
            <w:vAlign w:val="center"/>
            <w:hideMark/>
          </w:tcPr>
          <w:p w14:paraId="2CCDABCD" w14:textId="77777777" w:rsidR="007521BC" w:rsidRPr="007521BC" w:rsidRDefault="007521BC" w:rsidP="007521BC">
            <w:pPr>
              <w:keepNext/>
              <w:keepLines/>
              <w:tabs>
                <w:tab w:val="clear" w:pos="567"/>
              </w:tabs>
              <w:spacing w:before="0" w:line="240" w:lineRule="auto"/>
              <w:rPr>
                <w:rFonts w:eastAsia="Times New Roman" w:cs="Open Sans Light"/>
                <w:color w:val="000000"/>
                <w:sz w:val="16"/>
                <w:szCs w:val="16"/>
                <w:lang w:eastAsia="en-AU"/>
              </w:rPr>
            </w:pPr>
            <w:r w:rsidRPr="007521BC">
              <w:rPr>
                <w:rFonts w:eastAsia="Times New Roman" w:cs="Open Sans Light"/>
                <w:color w:val="000000"/>
                <w:sz w:val="16"/>
                <w:szCs w:val="16"/>
                <w:lang w:eastAsia="en-AU"/>
              </w:rPr>
              <w:t>Selected health promotion</w:t>
            </w:r>
          </w:p>
        </w:tc>
        <w:tc>
          <w:tcPr>
            <w:tcW w:w="1640" w:type="dxa"/>
            <w:tcBorders>
              <w:top w:val="nil"/>
              <w:left w:val="nil"/>
              <w:bottom w:val="single" w:sz="4" w:space="0" w:color="ADD6EA"/>
              <w:right w:val="nil"/>
            </w:tcBorders>
            <w:shd w:val="clear" w:color="auto" w:fill="auto"/>
            <w:noWrap/>
            <w:vAlign w:val="center"/>
            <w:hideMark/>
          </w:tcPr>
          <w:p w14:paraId="6944A193" w14:textId="77777777" w:rsidR="007521BC" w:rsidRPr="007521BC" w:rsidRDefault="007521BC" w:rsidP="008849C6">
            <w:pPr>
              <w:keepNext/>
              <w:keepLines/>
              <w:tabs>
                <w:tab w:val="clear" w:pos="567"/>
              </w:tabs>
              <w:spacing w:before="0" w:line="240" w:lineRule="auto"/>
              <w:jc w:val="right"/>
              <w:rPr>
                <w:rFonts w:eastAsia="Times New Roman" w:cs="Open Sans Light"/>
                <w:color w:val="000000"/>
                <w:sz w:val="16"/>
                <w:szCs w:val="16"/>
                <w:lang w:eastAsia="en-AU"/>
              </w:rPr>
            </w:pPr>
            <w:r w:rsidRPr="007521BC">
              <w:rPr>
                <w:rFonts w:eastAsia="Times New Roman" w:cs="Open Sans Light"/>
                <w:color w:val="000000"/>
                <w:sz w:val="16"/>
                <w:szCs w:val="16"/>
                <w:lang w:eastAsia="en-AU"/>
              </w:rPr>
              <w:t>26</w:t>
            </w:r>
          </w:p>
        </w:tc>
        <w:tc>
          <w:tcPr>
            <w:tcW w:w="1360" w:type="dxa"/>
            <w:tcBorders>
              <w:top w:val="nil"/>
              <w:left w:val="nil"/>
              <w:bottom w:val="single" w:sz="4" w:space="0" w:color="ADD6EA"/>
              <w:right w:val="nil"/>
            </w:tcBorders>
            <w:shd w:val="clear" w:color="auto" w:fill="auto"/>
            <w:noWrap/>
            <w:vAlign w:val="center"/>
            <w:hideMark/>
          </w:tcPr>
          <w:p w14:paraId="08F776E5"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19</w:t>
            </w:r>
          </w:p>
        </w:tc>
        <w:tc>
          <w:tcPr>
            <w:tcW w:w="1360" w:type="dxa"/>
            <w:tcBorders>
              <w:top w:val="nil"/>
              <w:left w:val="nil"/>
              <w:bottom w:val="single" w:sz="4" w:space="0" w:color="ADD6EA"/>
              <w:right w:val="nil"/>
            </w:tcBorders>
            <w:shd w:val="clear" w:color="auto" w:fill="auto"/>
            <w:noWrap/>
            <w:vAlign w:val="center"/>
            <w:hideMark/>
          </w:tcPr>
          <w:p w14:paraId="1898F7A6"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15</w:t>
            </w:r>
          </w:p>
        </w:tc>
        <w:tc>
          <w:tcPr>
            <w:tcW w:w="1360" w:type="dxa"/>
            <w:tcBorders>
              <w:top w:val="nil"/>
              <w:left w:val="nil"/>
              <w:bottom w:val="single" w:sz="4" w:space="0" w:color="ADD6EA"/>
              <w:right w:val="nil"/>
            </w:tcBorders>
            <w:shd w:val="clear" w:color="auto" w:fill="auto"/>
            <w:noWrap/>
            <w:vAlign w:val="center"/>
            <w:hideMark/>
          </w:tcPr>
          <w:p w14:paraId="3F616795"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17</w:t>
            </w:r>
          </w:p>
        </w:tc>
      </w:tr>
      <w:tr w:rsidR="007521BC" w:rsidRPr="007521BC" w14:paraId="0D7FF15D" w14:textId="77777777" w:rsidTr="008849C6">
        <w:trPr>
          <w:trHeight w:val="315"/>
        </w:trPr>
        <w:tc>
          <w:tcPr>
            <w:tcW w:w="3000" w:type="dxa"/>
            <w:tcBorders>
              <w:top w:val="nil"/>
              <w:left w:val="nil"/>
              <w:bottom w:val="single" w:sz="4" w:space="0" w:color="ADD6EA"/>
              <w:right w:val="nil"/>
            </w:tcBorders>
            <w:shd w:val="clear" w:color="auto" w:fill="auto"/>
            <w:noWrap/>
            <w:vAlign w:val="center"/>
            <w:hideMark/>
          </w:tcPr>
          <w:p w14:paraId="34A7F9B7" w14:textId="77777777" w:rsidR="007521BC" w:rsidRPr="007521BC" w:rsidRDefault="007521BC" w:rsidP="007521BC">
            <w:pPr>
              <w:keepNext/>
              <w:keepLines/>
              <w:tabs>
                <w:tab w:val="clear" w:pos="567"/>
              </w:tabs>
              <w:spacing w:before="0" w:line="240" w:lineRule="auto"/>
              <w:rPr>
                <w:rFonts w:eastAsia="Times New Roman" w:cs="Open Sans Light"/>
                <w:color w:val="000000"/>
                <w:sz w:val="16"/>
                <w:szCs w:val="16"/>
                <w:lang w:eastAsia="en-AU"/>
              </w:rPr>
            </w:pPr>
            <w:r w:rsidRPr="007521BC">
              <w:rPr>
                <w:rFonts w:eastAsia="Times New Roman" w:cs="Open Sans Light"/>
                <w:color w:val="000000"/>
                <w:sz w:val="16"/>
                <w:szCs w:val="16"/>
                <w:lang w:eastAsia="en-AU"/>
              </w:rPr>
              <w:t>Communicable disease control</w:t>
            </w:r>
          </w:p>
        </w:tc>
        <w:tc>
          <w:tcPr>
            <w:tcW w:w="1640" w:type="dxa"/>
            <w:tcBorders>
              <w:top w:val="nil"/>
              <w:left w:val="nil"/>
              <w:bottom w:val="single" w:sz="4" w:space="0" w:color="ADD6EA"/>
              <w:right w:val="nil"/>
            </w:tcBorders>
            <w:shd w:val="clear" w:color="auto" w:fill="auto"/>
            <w:noWrap/>
            <w:vAlign w:val="center"/>
            <w:hideMark/>
          </w:tcPr>
          <w:p w14:paraId="2B23B8A0" w14:textId="77777777" w:rsidR="007521BC" w:rsidRPr="007521BC" w:rsidRDefault="007521BC" w:rsidP="008849C6">
            <w:pPr>
              <w:keepNext/>
              <w:keepLines/>
              <w:tabs>
                <w:tab w:val="clear" w:pos="567"/>
              </w:tabs>
              <w:spacing w:before="0" w:line="240" w:lineRule="auto"/>
              <w:jc w:val="right"/>
              <w:rPr>
                <w:rFonts w:eastAsia="Times New Roman" w:cs="Open Sans Light"/>
                <w:color w:val="000000"/>
                <w:sz w:val="16"/>
                <w:szCs w:val="16"/>
                <w:lang w:eastAsia="en-AU"/>
              </w:rPr>
            </w:pPr>
            <w:r w:rsidRPr="007521BC">
              <w:rPr>
                <w:rFonts w:eastAsia="Times New Roman" w:cs="Open Sans Light"/>
                <w:color w:val="000000"/>
                <w:sz w:val="16"/>
                <w:szCs w:val="16"/>
                <w:lang w:eastAsia="en-AU"/>
              </w:rPr>
              <w:t>17</w:t>
            </w:r>
          </w:p>
        </w:tc>
        <w:tc>
          <w:tcPr>
            <w:tcW w:w="1360" w:type="dxa"/>
            <w:tcBorders>
              <w:top w:val="nil"/>
              <w:left w:val="nil"/>
              <w:bottom w:val="single" w:sz="4" w:space="0" w:color="ADD6EA"/>
              <w:right w:val="nil"/>
            </w:tcBorders>
            <w:shd w:val="clear" w:color="auto" w:fill="auto"/>
            <w:noWrap/>
            <w:vAlign w:val="center"/>
            <w:hideMark/>
          </w:tcPr>
          <w:p w14:paraId="146E8F1F"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30</w:t>
            </w:r>
          </w:p>
        </w:tc>
        <w:tc>
          <w:tcPr>
            <w:tcW w:w="1360" w:type="dxa"/>
            <w:tcBorders>
              <w:top w:val="nil"/>
              <w:left w:val="nil"/>
              <w:bottom w:val="single" w:sz="4" w:space="0" w:color="ADD6EA"/>
              <w:right w:val="nil"/>
            </w:tcBorders>
            <w:shd w:val="clear" w:color="auto" w:fill="auto"/>
            <w:noWrap/>
            <w:vAlign w:val="center"/>
            <w:hideMark/>
          </w:tcPr>
          <w:p w14:paraId="70754631"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50</w:t>
            </w:r>
          </w:p>
        </w:tc>
        <w:tc>
          <w:tcPr>
            <w:tcW w:w="1360" w:type="dxa"/>
            <w:tcBorders>
              <w:top w:val="nil"/>
              <w:left w:val="nil"/>
              <w:bottom w:val="single" w:sz="4" w:space="0" w:color="ADD6EA"/>
              <w:right w:val="nil"/>
            </w:tcBorders>
            <w:shd w:val="clear" w:color="auto" w:fill="auto"/>
            <w:noWrap/>
            <w:vAlign w:val="center"/>
            <w:hideMark/>
          </w:tcPr>
          <w:p w14:paraId="5E12ACE7"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51</w:t>
            </w:r>
          </w:p>
        </w:tc>
      </w:tr>
      <w:tr w:rsidR="007521BC" w:rsidRPr="007521BC" w14:paraId="0160DC42" w14:textId="77777777" w:rsidTr="008849C6">
        <w:trPr>
          <w:trHeight w:val="315"/>
        </w:trPr>
        <w:tc>
          <w:tcPr>
            <w:tcW w:w="3000" w:type="dxa"/>
            <w:tcBorders>
              <w:top w:val="nil"/>
              <w:left w:val="nil"/>
              <w:bottom w:val="single" w:sz="4" w:space="0" w:color="ADD6EA"/>
              <w:right w:val="nil"/>
            </w:tcBorders>
            <w:shd w:val="clear" w:color="auto" w:fill="auto"/>
            <w:noWrap/>
            <w:vAlign w:val="center"/>
            <w:hideMark/>
          </w:tcPr>
          <w:p w14:paraId="005B2F4B" w14:textId="77777777" w:rsidR="007521BC" w:rsidRPr="007521BC" w:rsidRDefault="007521BC" w:rsidP="007521BC">
            <w:pPr>
              <w:keepNext/>
              <w:keepLines/>
              <w:tabs>
                <w:tab w:val="clear" w:pos="567"/>
              </w:tabs>
              <w:spacing w:before="0" w:line="240" w:lineRule="auto"/>
              <w:rPr>
                <w:rFonts w:eastAsia="Times New Roman" w:cs="Open Sans Light"/>
                <w:color w:val="000000"/>
                <w:sz w:val="16"/>
                <w:szCs w:val="16"/>
                <w:lang w:eastAsia="en-AU"/>
              </w:rPr>
            </w:pPr>
            <w:r w:rsidRPr="007521BC">
              <w:rPr>
                <w:rFonts w:eastAsia="Times New Roman" w:cs="Open Sans Light"/>
                <w:color w:val="000000"/>
                <w:sz w:val="16"/>
                <w:szCs w:val="16"/>
                <w:lang w:eastAsia="en-AU"/>
              </w:rPr>
              <w:t>Environmental health</w:t>
            </w:r>
          </w:p>
        </w:tc>
        <w:tc>
          <w:tcPr>
            <w:tcW w:w="1640" w:type="dxa"/>
            <w:tcBorders>
              <w:top w:val="nil"/>
              <w:left w:val="nil"/>
              <w:bottom w:val="single" w:sz="4" w:space="0" w:color="ADD6EA"/>
              <w:right w:val="nil"/>
            </w:tcBorders>
            <w:shd w:val="clear" w:color="auto" w:fill="auto"/>
            <w:noWrap/>
            <w:vAlign w:val="center"/>
            <w:hideMark/>
          </w:tcPr>
          <w:p w14:paraId="4531EDB1" w14:textId="77777777" w:rsidR="007521BC" w:rsidRPr="007521BC" w:rsidRDefault="007521BC" w:rsidP="008849C6">
            <w:pPr>
              <w:keepNext/>
              <w:keepLines/>
              <w:tabs>
                <w:tab w:val="clear" w:pos="567"/>
              </w:tabs>
              <w:spacing w:before="0" w:line="240" w:lineRule="auto"/>
              <w:jc w:val="right"/>
              <w:rPr>
                <w:rFonts w:eastAsia="Times New Roman" w:cs="Open Sans Light"/>
                <w:color w:val="000000"/>
                <w:sz w:val="16"/>
                <w:szCs w:val="16"/>
                <w:lang w:eastAsia="en-AU"/>
              </w:rPr>
            </w:pPr>
            <w:r w:rsidRPr="007521BC">
              <w:rPr>
                <w:rFonts w:eastAsia="Times New Roman" w:cs="Open Sans Light"/>
                <w:color w:val="000000"/>
                <w:sz w:val="16"/>
                <w:szCs w:val="16"/>
                <w:lang w:eastAsia="en-AU"/>
              </w:rPr>
              <w:t>7</w:t>
            </w:r>
          </w:p>
        </w:tc>
        <w:tc>
          <w:tcPr>
            <w:tcW w:w="1360" w:type="dxa"/>
            <w:tcBorders>
              <w:top w:val="nil"/>
              <w:left w:val="nil"/>
              <w:bottom w:val="single" w:sz="4" w:space="0" w:color="ADD6EA"/>
              <w:right w:val="nil"/>
            </w:tcBorders>
            <w:shd w:val="clear" w:color="auto" w:fill="auto"/>
            <w:noWrap/>
            <w:vAlign w:val="center"/>
            <w:hideMark/>
          </w:tcPr>
          <w:p w14:paraId="277887E7"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6</w:t>
            </w:r>
          </w:p>
        </w:tc>
        <w:tc>
          <w:tcPr>
            <w:tcW w:w="1360" w:type="dxa"/>
            <w:tcBorders>
              <w:top w:val="nil"/>
              <w:left w:val="nil"/>
              <w:bottom w:val="single" w:sz="4" w:space="0" w:color="ADD6EA"/>
              <w:right w:val="nil"/>
            </w:tcBorders>
            <w:shd w:val="clear" w:color="auto" w:fill="auto"/>
            <w:noWrap/>
            <w:vAlign w:val="center"/>
            <w:hideMark/>
          </w:tcPr>
          <w:p w14:paraId="560280A8"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5</w:t>
            </w:r>
          </w:p>
        </w:tc>
        <w:tc>
          <w:tcPr>
            <w:tcW w:w="1360" w:type="dxa"/>
            <w:tcBorders>
              <w:top w:val="nil"/>
              <w:left w:val="nil"/>
              <w:bottom w:val="single" w:sz="4" w:space="0" w:color="ADD6EA"/>
              <w:right w:val="nil"/>
            </w:tcBorders>
            <w:shd w:val="clear" w:color="auto" w:fill="auto"/>
            <w:noWrap/>
            <w:vAlign w:val="center"/>
            <w:hideMark/>
          </w:tcPr>
          <w:p w14:paraId="390EA1C5"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2</w:t>
            </w:r>
          </w:p>
        </w:tc>
      </w:tr>
      <w:tr w:rsidR="007521BC" w:rsidRPr="007521BC" w14:paraId="6C701D85" w14:textId="77777777" w:rsidTr="008849C6">
        <w:trPr>
          <w:trHeight w:val="315"/>
        </w:trPr>
        <w:tc>
          <w:tcPr>
            <w:tcW w:w="3000" w:type="dxa"/>
            <w:tcBorders>
              <w:top w:val="nil"/>
              <w:left w:val="nil"/>
              <w:bottom w:val="single" w:sz="4" w:space="0" w:color="ADD6EA"/>
              <w:right w:val="nil"/>
            </w:tcBorders>
            <w:shd w:val="clear" w:color="auto" w:fill="auto"/>
            <w:noWrap/>
            <w:vAlign w:val="center"/>
            <w:hideMark/>
          </w:tcPr>
          <w:p w14:paraId="7BEE93B5" w14:textId="77777777" w:rsidR="007521BC" w:rsidRPr="007521BC" w:rsidRDefault="007521BC" w:rsidP="007521BC">
            <w:pPr>
              <w:keepNext/>
              <w:keepLines/>
              <w:tabs>
                <w:tab w:val="clear" w:pos="567"/>
              </w:tabs>
              <w:spacing w:before="0" w:line="240" w:lineRule="auto"/>
              <w:rPr>
                <w:rFonts w:eastAsia="Times New Roman" w:cs="Open Sans Light"/>
                <w:color w:val="000000"/>
                <w:sz w:val="16"/>
                <w:szCs w:val="16"/>
                <w:lang w:eastAsia="en-AU"/>
              </w:rPr>
            </w:pPr>
            <w:r w:rsidRPr="007521BC">
              <w:rPr>
                <w:rFonts w:eastAsia="Times New Roman" w:cs="Open Sans Light"/>
                <w:color w:val="000000"/>
                <w:sz w:val="16"/>
                <w:szCs w:val="16"/>
                <w:lang w:eastAsia="en-AU"/>
              </w:rPr>
              <w:t>Other public health services</w:t>
            </w:r>
          </w:p>
        </w:tc>
        <w:tc>
          <w:tcPr>
            <w:tcW w:w="1640" w:type="dxa"/>
            <w:tcBorders>
              <w:top w:val="nil"/>
              <w:left w:val="nil"/>
              <w:bottom w:val="single" w:sz="4" w:space="0" w:color="ADD6EA"/>
              <w:right w:val="nil"/>
            </w:tcBorders>
            <w:shd w:val="clear" w:color="auto" w:fill="auto"/>
            <w:noWrap/>
            <w:vAlign w:val="center"/>
            <w:hideMark/>
          </w:tcPr>
          <w:p w14:paraId="0AA58EC1" w14:textId="77777777" w:rsidR="007521BC" w:rsidRPr="007521BC" w:rsidRDefault="007521BC" w:rsidP="008849C6">
            <w:pPr>
              <w:keepNext/>
              <w:keepLines/>
              <w:tabs>
                <w:tab w:val="clear" w:pos="567"/>
              </w:tabs>
              <w:spacing w:before="0" w:line="240" w:lineRule="auto"/>
              <w:jc w:val="right"/>
              <w:rPr>
                <w:rFonts w:eastAsia="Times New Roman" w:cs="Open Sans Light"/>
                <w:color w:val="000000"/>
                <w:sz w:val="16"/>
                <w:szCs w:val="16"/>
                <w:lang w:eastAsia="en-AU"/>
              </w:rPr>
            </w:pPr>
            <w:r w:rsidRPr="007521BC">
              <w:rPr>
                <w:rFonts w:eastAsia="Times New Roman" w:cs="Open Sans Light"/>
                <w:color w:val="000000"/>
                <w:sz w:val="16"/>
                <w:szCs w:val="16"/>
                <w:lang w:eastAsia="en-AU"/>
              </w:rPr>
              <w:t>12</w:t>
            </w:r>
          </w:p>
        </w:tc>
        <w:tc>
          <w:tcPr>
            <w:tcW w:w="1360" w:type="dxa"/>
            <w:tcBorders>
              <w:top w:val="nil"/>
              <w:left w:val="nil"/>
              <w:bottom w:val="single" w:sz="4" w:space="0" w:color="ADD6EA"/>
              <w:right w:val="nil"/>
            </w:tcBorders>
            <w:shd w:val="clear" w:color="auto" w:fill="auto"/>
            <w:noWrap/>
            <w:vAlign w:val="center"/>
            <w:hideMark/>
          </w:tcPr>
          <w:p w14:paraId="0C6234D8"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17</w:t>
            </w:r>
          </w:p>
        </w:tc>
        <w:tc>
          <w:tcPr>
            <w:tcW w:w="1360" w:type="dxa"/>
            <w:tcBorders>
              <w:top w:val="nil"/>
              <w:left w:val="nil"/>
              <w:bottom w:val="single" w:sz="4" w:space="0" w:color="ADD6EA"/>
              <w:right w:val="nil"/>
            </w:tcBorders>
            <w:shd w:val="clear" w:color="auto" w:fill="auto"/>
            <w:noWrap/>
            <w:vAlign w:val="center"/>
            <w:hideMark/>
          </w:tcPr>
          <w:p w14:paraId="2E91F4D2"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13</w:t>
            </w:r>
          </w:p>
        </w:tc>
        <w:tc>
          <w:tcPr>
            <w:tcW w:w="1360" w:type="dxa"/>
            <w:tcBorders>
              <w:top w:val="nil"/>
              <w:left w:val="nil"/>
              <w:bottom w:val="single" w:sz="4" w:space="0" w:color="ADD6EA"/>
              <w:right w:val="nil"/>
            </w:tcBorders>
            <w:shd w:val="clear" w:color="auto" w:fill="auto"/>
            <w:noWrap/>
            <w:vAlign w:val="center"/>
            <w:hideMark/>
          </w:tcPr>
          <w:p w14:paraId="3069F887" w14:textId="77777777" w:rsidR="007521BC" w:rsidRPr="004341DE" w:rsidRDefault="007521BC" w:rsidP="008849C6">
            <w:pPr>
              <w:keepNext/>
              <w:keepLines/>
              <w:tabs>
                <w:tab w:val="clear" w:pos="567"/>
              </w:tabs>
              <w:spacing w:before="0" w:line="240" w:lineRule="auto"/>
              <w:jc w:val="right"/>
              <w:rPr>
                <w:rFonts w:eastAsia="Times New Roman" w:cs="Open Sans Light"/>
                <w:color w:val="000000" w:themeColor="text1"/>
                <w:sz w:val="16"/>
                <w:szCs w:val="16"/>
                <w:lang w:eastAsia="en-AU"/>
              </w:rPr>
            </w:pPr>
            <w:r w:rsidRPr="004341DE">
              <w:rPr>
                <w:rFonts w:eastAsia="Times New Roman" w:cs="Open Sans Light"/>
                <w:color w:val="000000" w:themeColor="text1"/>
                <w:sz w:val="16"/>
                <w:szCs w:val="16"/>
                <w:lang w:eastAsia="en-AU"/>
              </w:rPr>
              <w:t>11</w:t>
            </w:r>
          </w:p>
        </w:tc>
      </w:tr>
      <w:tr w:rsidR="007521BC" w:rsidRPr="007521BC" w14:paraId="47AC0205" w14:textId="77777777" w:rsidTr="008849C6">
        <w:trPr>
          <w:trHeight w:val="315"/>
        </w:trPr>
        <w:tc>
          <w:tcPr>
            <w:tcW w:w="3000" w:type="dxa"/>
            <w:tcBorders>
              <w:top w:val="nil"/>
              <w:left w:val="nil"/>
              <w:right w:val="nil"/>
            </w:tcBorders>
            <w:shd w:val="clear" w:color="000000" w:fill="D6E7F0"/>
            <w:noWrap/>
            <w:vAlign w:val="bottom"/>
            <w:hideMark/>
          </w:tcPr>
          <w:p w14:paraId="2429664A" w14:textId="77777777" w:rsidR="007521BC" w:rsidRPr="007521BC" w:rsidRDefault="007521BC" w:rsidP="007521BC">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7521BC">
              <w:rPr>
                <w:rFonts w:ascii="Open Sans Semibold" w:eastAsia="Times New Roman" w:hAnsi="Open Sans Semibold" w:cs="Open Sans Semibold"/>
                <w:color w:val="000000"/>
                <w:sz w:val="16"/>
                <w:szCs w:val="16"/>
                <w:lang w:eastAsia="en-AU"/>
              </w:rPr>
              <w:t>Total</w:t>
            </w:r>
          </w:p>
        </w:tc>
        <w:tc>
          <w:tcPr>
            <w:tcW w:w="1640" w:type="dxa"/>
            <w:tcBorders>
              <w:top w:val="nil"/>
              <w:left w:val="nil"/>
              <w:right w:val="nil"/>
            </w:tcBorders>
            <w:shd w:val="clear" w:color="000000" w:fill="D6E7F0"/>
            <w:noWrap/>
            <w:vAlign w:val="center"/>
            <w:hideMark/>
          </w:tcPr>
          <w:p w14:paraId="6345D8CE" w14:textId="77777777" w:rsidR="007521BC" w:rsidRPr="007521BC" w:rsidRDefault="007521BC"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521BC">
              <w:rPr>
                <w:rFonts w:ascii="Open Sans Semibold" w:eastAsia="Times New Roman" w:hAnsi="Open Sans Semibold" w:cs="Open Sans Semibold"/>
                <w:color w:val="000000"/>
                <w:sz w:val="16"/>
                <w:szCs w:val="16"/>
                <w:lang w:eastAsia="en-AU"/>
              </w:rPr>
              <w:t>100</w:t>
            </w:r>
          </w:p>
        </w:tc>
        <w:tc>
          <w:tcPr>
            <w:tcW w:w="1360" w:type="dxa"/>
            <w:tcBorders>
              <w:top w:val="nil"/>
              <w:left w:val="nil"/>
              <w:right w:val="nil"/>
            </w:tcBorders>
            <w:shd w:val="clear" w:color="000000" w:fill="D6E7F0"/>
            <w:noWrap/>
            <w:vAlign w:val="center"/>
            <w:hideMark/>
          </w:tcPr>
          <w:p w14:paraId="099B5252" w14:textId="77777777" w:rsidR="007521BC" w:rsidRPr="007521BC" w:rsidRDefault="007521BC"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521BC">
              <w:rPr>
                <w:rFonts w:ascii="Open Sans Semibold" w:eastAsia="Times New Roman" w:hAnsi="Open Sans Semibold" w:cs="Open Sans Semibold"/>
                <w:color w:val="000000"/>
                <w:sz w:val="16"/>
                <w:szCs w:val="16"/>
                <w:lang w:eastAsia="en-AU"/>
              </w:rPr>
              <w:t>100</w:t>
            </w:r>
          </w:p>
        </w:tc>
        <w:tc>
          <w:tcPr>
            <w:tcW w:w="1360" w:type="dxa"/>
            <w:tcBorders>
              <w:top w:val="nil"/>
              <w:left w:val="nil"/>
              <w:right w:val="nil"/>
            </w:tcBorders>
            <w:shd w:val="clear" w:color="000000" w:fill="D6E7F0"/>
            <w:noWrap/>
            <w:vAlign w:val="center"/>
            <w:hideMark/>
          </w:tcPr>
          <w:p w14:paraId="26B1D474" w14:textId="77777777" w:rsidR="007521BC" w:rsidRPr="007521BC" w:rsidRDefault="007521BC"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521BC">
              <w:rPr>
                <w:rFonts w:ascii="Open Sans Semibold" w:eastAsia="Times New Roman" w:hAnsi="Open Sans Semibold" w:cs="Open Sans Semibold"/>
                <w:color w:val="000000"/>
                <w:sz w:val="16"/>
                <w:szCs w:val="16"/>
                <w:lang w:eastAsia="en-AU"/>
              </w:rPr>
              <w:t>100</w:t>
            </w:r>
          </w:p>
        </w:tc>
        <w:tc>
          <w:tcPr>
            <w:tcW w:w="1360" w:type="dxa"/>
            <w:tcBorders>
              <w:top w:val="nil"/>
              <w:left w:val="nil"/>
              <w:right w:val="nil"/>
            </w:tcBorders>
            <w:shd w:val="clear" w:color="000000" w:fill="D6E7F0"/>
            <w:noWrap/>
            <w:vAlign w:val="center"/>
            <w:hideMark/>
          </w:tcPr>
          <w:p w14:paraId="0F30369E" w14:textId="77777777" w:rsidR="007521BC" w:rsidRPr="007521BC" w:rsidRDefault="007521BC"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521BC">
              <w:rPr>
                <w:rFonts w:ascii="Open Sans Semibold" w:eastAsia="Times New Roman" w:hAnsi="Open Sans Semibold" w:cs="Open Sans Semibold"/>
                <w:color w:val="000000"/>
                <w:sz w:val="16"/>
                <w:szCs w:val="16"/>
                <w:lang w:eastAsia="en-AU"/>
              </w:rPr>
              <w:t>100</w:t>
            </w:r>
          </w:p>
        </w:tc>
      </w:tr>
      <w:tr w:rsidR="007521BC" w:rsidRPr="007521BC" w14:paraId="067C729D" w14:textId="77777777" w:rsidTr="008849C6">
        <w:trPr>
          <w:trHeight w:val="315"/>
        </w:trPr>
        <w:tc>
          <w:tcPr>
            <w:tcW w:w="3000" w:type="dxa"/>
            <w:tcBorders>
              <w:top w:val="nil"/>
              <w:left w:val="nil"/>
              <w:right w:val="nil"/>
            </w:tcBorders>
            <w:shd w:val="clear" w:color="000000" w:fill="B6D5E4"/>
            <w:noWrap/>
            <w:vAlign w:val="center"/>
            <w:hideMark/>
          </w:tcPr>
          <w:p w14:paraId="2CD6639E" w14:textId="77777777" w:rsidR="007521BC" w:rsidRPr="007521BC" w:rsidRDefault="007521BC" w:rsidP="007521BC">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7521BC">
              <w:rPr>
                <w:rFonts w:ascii="Open Sans Semibold" w:eastAsia="Times New Roman" w:hAnsi="Open Sans Semibold" w:cs="Open Sans Semibold"/>
                <w:color w:val="000000"/>
                <w:sz w:val="16"/>
                <w:szCs w:val="16"/>
                <w:lang w:eastAsia="en-AU"/>
              </w:rPr>
              <w:t>Proportion of total health spending</w:t>
            </w:r>
          </w:p>
        </w:tc>
        <w:tc>
          <w:tcPr>
            <w:tcW w:w="1640" w:type="dxa"/>
            <w:tcBorders>
              <w:top w:val="nil"/>
              <w:left w:val="nil"/>
              <w:right w:val="nil"/>
            </w:tcBorders>
            <w:shd w:val="clear" w:color="000000" w:fill="B6D5E4"/>
            <w:noWrap/>
            <w:vAlign w:val="center"/>
            <w:hideMark/>
          </w:tcPr>
          <w:p w14:paraId="37B86A28" w14:textId="7055AE50" w:rsidR="007521BC" w:rsidRPr="007521BC" w:rsidRDefault="00020FC4"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2</w:t>
            </w:r>
          </w:p>
        </w:tc>
        <w:tc>
          <w:tcPr>
            <w:tcW w:w="1360" w:type="dxa"/>
            <w:tcBorders>
              <w:top w:val="nil"/>
              <w:left w:val="nil"/>
              <w:right w:val="nil"/>
            </w:tcBorders>
            <w:shd w:val="clear" w:color="000000" w:fill="B6D5E4"/>
            <w:noWrap/>
            <w:vAlign w:val="center"/>
            <w:hideMark/>
          </w:tcPr>
          <w:p w14:paraId="38CD5E7E" w14:textId="6F3FBFAB" w:rsidR="007521BC" w:rsidRPr="007521BC" w:rsidRDefault="00020FC4"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2</w:t>
            </w:r>
          </w:p>
        </w:tc>
        <w:tc>
          <w:tcPr>
            <w:tcW w:w="1360" w:type="dxa"/>
            <w:tcBorders>
              <w:top w:val="nil"/>
              <w:left w:val="nil"/>
              <w:right w:val="nil"/>
            </w:tcBorders>
            <w:shd w:val="clear" w:color="000000" w:fill="B6D5E4"/>
            <w:noWrap/>
            <w:vAlign w:val="center"/>
            <w:hideMark/>
          </w:tcPr>
          <w:p w14:paraId="39AED912" w14:textId="713FD236" w:rsidR="007521BC" w:rsidRPr="007521BC" w:rsidRDefault="00020FC4"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4</w:t>
            </w:r>
          </w:p>
        </w:tc>
        <w:tc>
          <w:tcPr>
            <w:tcW w:w="1360" w:type="dxa"/>
            <w:tcBorders>
              <w:top w:val="nil"/>
              <w:left w:val="nil"/>
              <w:right w:val="nil"/>
            </w:tcBorders>
            <w:shd w:val="clear" w:color="000000" w:fill="B6D5E4"/>
            <w:noWrap/>
            <w:vAlign w:val="center"/>
            <w:hideMark/>
          </w:tcPr>
          <w:p w14:paraId="03CA6474" w14:textId="3F3237CF" w:rsidR="007521BC" w:rsidRPr="007521BC" w:rsidRDefault="00E56905"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7</w:t>
            </w:r>
          </w:p>
        </w:tc>
      </w:tr>
    </w:tbl>
    <w:p w14:paraId="05DE5B4B" w14:textId="77781BFB" w:rsidR="00A42953" w:rsidRPr="00CF6CC1" w:rsidRDefault="00A42953" w:rsidP="007521BC">
      <w:pPr>
        <w:pStyle w:val="CGCTablerow"/>
        <w:keepNext/>
        <w:keepLines/>
        <w:rPr>
          <w:rFonts w:ascii="Work Sans" w:hAnsi="Work Sans"/>
          <w:sz w:val="14"/>
          <w:szCs w:val="14"/>
        </w:rPr>
      </w:pPr>
      <w:r w:rsidRPr="00CF6CC1">
        <w:rPr>
          <w:rStyle w:val="CGC2025TableNoteChar"/>
        </w:rPr>
        <w:t>Source: Unpublished data, Australian Institute of Health and Welfare</w:t>
      </w:r>
      <w:r w:rsidR="00A9493B" w:rsidRPr="00CF6CC1">
        <w:t xml:space="preserve">; </w:t>
      </w:r>
      <w:hyperlink r:id="rId23" w:history="1">
        <w:r w:rsidR="009C23C5" w:rsidRPr="00CF6CC1">
          <w:rPr>
            <w:rStyle w:val="Hyperlink"/>
            <w:rFonts w:ascii="Work Sans" w:hAnsi="Work Sans"/>
            <w:sz w:val="14"/>
            <w:szCs w:val="14"/>
          </w:rPr>
          <w:t>Data cube: Health Expenditure in Australia</w:t>
        </w:r>
      </w:hyperlink>
      <w:r w:rsidR="002A0B8F" w:rsidRPr="00CF6CC1">
        <w:rPr>
          <w:rFonts w:ascii="Work Sans" w:hAnsi="Work Sans"/>
          <w:sz w:val="14"/>
          <w:szCs w:val="14"/>
        </w:rPr>
        <w:t>.</w:t>
      </w:r>
      <w:r w:rsidR="009C23C5" w:rsidRPr="00CF6CC1">
        <w:rPr>
          <w:rFonts w:ascii="Work Sans" w:hAnsi="Work Sans"/>
          <w:sz w:val="14"/>
          <w:szCs w:val="14"/>
        </w:rPr>
        <w:t xml:space="preserve"> </w:t>
      </w:r>
    </w:p>
    <w:p w14:paraId="53CF0489" w14:textId="24118FD2" w:rsidR="00B80881" w:rsidRPr="00CF6CC1" w:rsidRDefault="7864CE03" w:rsidP="00B80881">
      <w:pPr>
        <w:pStyle w:val="Heading4"/>
      </w:pPr>
      <w:r w:rsidRPr="00CF6CC1">
        <w:t>Commission draft position</w:t>
      </w:r>
    </w:p>
    <w:p w14:paraId="65A73A26" w14:textId="7244FBE1" w:rsidR="00CA42DD" w:rsidRPr="00CF6CC1" w:rsidRDefault="00CA42DD" w:rsidP="00442EE3">
      <w:pPr>
        <w:pStyle w:val="CGC2025ParaNumbers"/>
      </w:pPr>
      <w:r w:rsidRPr="00CF6CC1">
        <w:t>For the 2025 Review</w:t>
      </w:r>
      <w:r w:rsidR="00F6770B" w:rsidRPr="00CF6CC1">
        <w:t xml:space="preserve"> the </w:t>
      </w:r>
      <w:r w:rsidR="0069696C" w:rsidRPr="00CF6CC1">
        <w:t>Commission</w:t>
      </w:r>
      <w:r w:rsidR="00CA7450" w:rsidRPr="00CF6CC1">
        <w:t xml:space="preserve"> proposes to</w:t>
      </w:r>
      <w:r w:rsidR="0069696C" w:rsidRPr="00CF6CC1">
        <w:t xml:space="preserve"> use a hospital</w:t>
      </w:r>
      <w:r w:rsidR="0069696C" w:rsidRPr="00CF6CC1">
        <w:noBreakHyphen/>
        <w:t xml:space="preserve">based proxy </w:t>
      </w:r>
      <w:r w:rsidR="00C2797E" w:rsidRPr="00CF6CC1">
        <w:t>(</w:t>
      </w:r>
      <w:r w:rsidR="009D65D7" w:rsidRPr="00CF6CC1">
        <w:t xml:space="preserve">see previous section for details) </w:t>
      </w:r>
      <w:r w:rsidR="0069696C" w:rsidRPr="00CF6CC1">
        <w:t xml:space="preserve">for public health activity </w:t>
      </w:r>
      <w:r w:rsidR="0029614F" w:rsidRPr="00CF6CC1">
        <w:t xml:space="preserve">rather than an equal per capita assessment. </w:t>
      </w:r>
      <w:r w:rsidR="00183779" w:rsidRPr="00CF6CC1">
        <w:t>T</w:t>
      </w:r>
      <w:r w:rsidR="004F7727" w:rsidRPr="00CF6CC1">
        <w:t xml:space="preserve">he Commission </w:t>
      </w:r>
      <w:r w:rsidR="001D3188" w:rsidRPr="00CF6CC1">
        <w:t>considers</w:t>
      </w:r>
      <w:r w:rsidR="004F7727" w:rsidRPr="00CF6CC1">
        <w:t xml:space="preserve"> that</w:t>
      </w:r>
      <w:r w:rsidR="00183779" w:rsidRPr="00CF6CC1">
        <w:t xml:space="preserve">, on balance, </w:t>
      </w:r>
      <w:r w:rsidR="00921DC3" w:rsidRPr="00CF6CC1">
        <w:t xml:space="preserve">using the same proxy </w:t>
      </w:r>
      <w:r w:rsidR="004D0B7E" w:rsidRPr="00CF6CC1">
        <w:t>indicator as for community health (outside of ambulatory community mental health)</w:t>
      </w:r>
      <w:r w:rsidR="004F7727" w:rsidRPr="00CF6CC1">
        <w:t xml:space="preserve"> is simpler and produces </w:t>
      </w:r>
      <w:r w:rsidR="00B13AE1" w:rsidRPr="00CF6CC1">
        <w:t>a reasonable</w:t>
      </w:r>
      <w:r w:rsidR="000C6688" w:rsidRPr="00CF6CC1">
        <w:t xml:space="preserve"> </w:t>
      </w:r>
      <w:r w:rsidR="0026241D" w:rsidRPr="00CF6CC1">
        <w:t xml:space="preserve">estimate of </w:t>
      </w:r>
      <w:r w:rsidR="00ED36C9" w:rsidRPr="00CF6CC1">
        <w:t>state spending needs</w:t>
      </w:r>
      <w:r w:rsidR="00D3307C" w:rsidRPr="00CF6CC1">
        <w:t xml:space="preserve">, given the information </w:t>
      </w:r>
      <w:r w:rsidR="00597E3C" w:rsidRPr="00CF6CC1">
        <w:t>available on use or</w:t>
      </w:r>
      <w:r w:rsidR="004F7727" w:rsidRPr="00CF6CC1">
        <w:t xml:space="preserve"> targeting of </w:t>
      </w:r>
      <w:r w:rsidR="00597E3C" w:rsidRPr="00CF6CC1">
        <w:t xml:space="preserve">public health </w:t>
      </w:r>
      <w:r w:rsidR="004F7727" w:rsidRPr="00CF6CC1">
        <w:t xml:space="preserve">programs. </w:t>
      </w:r>
      <w:r w:rsidR="00E01058" w:rsidRPr="00CF6CC1">
        <w:t>The application of the 12.5% discount to the community and public health assessment (outside of ambulatory community mental health)</w:t>
      </w:r>
      <w:r w:rsidR="003D51BA" w:rsidRPr="00CF6CC1">
        <w:t xml:space="preserve"> </w:t>
      </w:r>
      <w:r w:rsidR="00FD23ED" w:rsidRPr="00CF6CC1">
        <w:t>would be</w:t>
      </w:r>
      <w:r w:rsidR="007E7ADE" w:rsidRPr="00CF6CC1">
        <w:t xml:space="preserve"> appropriate given the </w:t>
      </w:r>
      <w:r w:rsidR="00C027D5" w:rsidRPr="00CF6CC1">
        <w:t>offset</w:t>
      </w:r>
      <w:r w:rsidR="00A378D5" w:rsidRPr="00CF6CC1">
        <w:t>t</w:t>
      </w:r>
      <w:r w:rsidR="00C027D5" w:rsidRPr="00CF6CC1">
        <w:t>ing</w:t>
      </w:r>
      <w:r w:rsidR="003B3120" w:rsidRPr="00CF6CC1">
        <w:t xml:space="preserve"> </w:t>
      </w:r>
      <w:r w:rsidR="00C43D7B" w:rsidRPr="00CF6CC1">
        <w:t>socio-demographic</w:t>
      </w:r>
      <w:r w:rsidR="003B3120" w:rsidRPr="00CF6CC1">
        <w:t xml:space="preserve"> use and targ</w:t>
      </w:r>
      <w:r w:rsidR="00C027D5" w:rsidRPr="00CF6CC1">
        <w:t>e</w:t>
      </w:r>
      <w:r w:rsidR="003B3120" w:rsidRPr="00CF6CC1">
        <w:t>ting</w:t>
      </w:r>
      <w:r w:rsidR="00A378D5" w:rsidRPr="00CF6CC1">
        <w:t xml:space="preserve"> across public health programs</w:t>
      </w:r>
      <w:r w:rsidR="00FB4820">
        <w:t xml:space="preserve"> </w:t>
      </w:r>
      <w:r w:rsidR="00FB4820" w:rsidRPr="00CF6CC1">
        <w:t xml:space="preserve">(see below for </w:t>
      </w:r>
      <w:r w:rsidR="00FB4820">
        <w:t xml:space="preserve">the </w:t>
      </w:r>
      <w:r w:rsidR="00FB4820" w:rsidRPr="00CF6CC1">
        <w:t>Commission decision</w:t>
      </w:r>
      <w:r w:rsidR="00FB4820">
        <w:t xml:space="preserve"> on the discount</w:t>
      </w:r>
      <w:r w:rsidR="00FB4820" w:rsidRPr="00CF6CC1">
        <w:t>)</w:t>
      </w:r>
      <w:r w:rsidR="00A378D5" w:rsidRPr="00CF6CC1">
        <w:t>.</w:t>
      </w:r>
      <w:r w:rsidR="00B118CF" w:rsidRPr="00CF6CC1">
        <w:t xml:space="preserve"> </w:t>
      </w:r>
    </w:p>
    <w:p w14:paraId="6CA56200" w14:textId="43F2F445" w:rsidR="00941BD2" w:rsidRDefault="00941BD2" w:rsidP="00205C28">
      <w:pPr>
        <w:pStyle w:val="Heading35"/>
      </w:pPr>
      <w:r>
        <w:t>12.5% discount</w:t>
      </w:r>
      <w:r w:rsidR="004C1023">
        <w:t xml:space="preserve"> for the community and public health assessment</w:t>
      </w:r>
    </w:p>
    <w:p w14:paraId="346B7477" w14:textId="1837661C" w:rsidR="00305094" w:rsidRPr="00305094" w:rsidRDefault="002A1960" w:rsidP="001441ED">
      <w:pPr>
        <w:pStyle w:val="Heading4"/>
      </w:pPr>
      <w:r>
        <w:t>State views</w:t>
      </w:r>
    </w:p>
    <w:p w14:paraId="008C1B86" w14:textId="688FC0E2" w:rsidR="00725EAE" w:rsidRDefault="00941BD2" w:rsidP="00332608">
      <w:pPr>
        <w:pStyle w:val="CGC2025ParaNumbers"/>
      </w:pPr>
      <w:r>
        <w:t xml:space="preserve">Most states supported the continuation of a 12.5% discount for the community and public health assessment. </w:t>
      </w:r>
      <w:r w:rsidR="00E84AFB">
        <w:t xml:space="preserve">New South Wales </w:t>
      </w:r>
      <w:r w:rsidR="00D50694">
        <w:t>said</w:t>
      </w:r>
      <w:r w:rsidR="0092444E">
        <w:t xml:space="preserve"> the prior reduction in this discount from 25</w:t>
      </w:r>
      <w:r w:rsidR="00021C84">
        <w:t>%</w:t>
      </w:r>
      <w:r w:rsidR="0092444E">
        <w:t xml:space="preserve"> was not clearly evidenced at the time of the 2020 Review and it would not be appropriate to reduce the discount further</w:t>
      </w:r>
      <w:r w:rsidR="00332608">
        <w:t>.</w:t>
      </w:r>
      <w:r w:rsidR="007B5395">
        <w:t xml:space="preserve"> </w:t>
      </w:r>
    </w:p>
    <w:p w14:paraId="16202141" w14:textId="2BDB184E" w:rsidR="00024F07" w:rsidRDefault="007B5395" w:rsidP="00332608">
      <w:pPr>
        <w:pStyle w:val="CGC2025ParaNumbers"/>
      </w:pPr>
      <w:r>
        <w:t xml:space="preserve">Western Australia </w:t>
      </w:r>
      <w:r w:rsidR="0062635E">
        <w:t>sai</w:t>
      </w:r>
      <w:r w:rsidR="003852AC">
        <w:t xml:space="preserve">d the Commission should not discount the portion of the assessment that uses </w:t>
      </w:r>
      <w:r w:rsidR="00E31505">
        <w:t>A</w:t>
      </w:r>
      <w:r w:rsidR="00725EAE">
        <w:t xml:space="preserve">ustralian </w:t>
      </w:r>
      <w:r w:rsidR="00E31505">
        <w:t>I</w:t>
      </w:r>
      <w:r w:rsidR="00725EAE">
        <w:t xml:space="preserve">nstitute of </w:t>
      </w:r>
      <w:r w:rsidR="00E31505">
        <w:t>H</w:t>
      </w:r>
      <w:r w:rsidR="00725EAE">
        <w:t xml:space="preserve">ealth and </w:t>
      </w:r>
      <w:r w:rsidR="00E31505">
        <w:t>W</w:t>
      </w:r>
      <w:r w:rsidR="00725EAE">
        <w:t>elfare</w:t>
      </w:r>
      <w:r w:rsidR="00E31505">
        <w:t xml:space="preserve"> </w:t>
      </w:r>
      <w:r w:rsidR="003852AC">
        <w:t>community mental health activity data</w:t>
      </w:r>
      <w:r w:rsidR="002E4D1B">
        <w:t xml:space="preserve">, as the lack of cost weights </w:t>
      </w:r>
      <w:r w:rsidR="00CB3E52">
        <w:t>means</w:t>
      </w:r>
      <w:r w:rsidR="00ED4FB7">
        <w:t xml:space="preserve"> </w:t>
      </w:r>
      <w:r w:rsidR="00F96016">
        <w:t>the</w:t>
      </w:r>
      <w:r w:rsidR="00ED4FB7">
        <w:t xml:space="preserve"> assessment would </w:t>
      </w:r>
      <w:r w:rsidR="00F81B40">
        <w:t xml:space="preserve">already be </w:t>
      </w:r>
      <w:r w:rsidR="00ED4FB7">
        <w:t>understated</w:t>
      </w:r>
      <w:r w:rsidR="003852AC">
        <w:t>.</w:t>
      </w:r>
    </w:p>
    <w:p w14:paraId="1FAD7AE2" w14:textId="28F3DEED" w:rsidR="00941BD2" w:rsidRDefault="00941BD2" w:rsidP="00941BD2">
      <w:pPr>
        <w:pStyle w:val="CGC2025ParaNumbers"/>
      </w:pPr>
      <w:r>
        <w:t>The Northern Territory said</w:t>
      </w:r>
      <w:r w:rsidRPr="00F0407A">
        <w:t xml:space="preserve"> </w:t>
      </w:r>
      <w:r>
        <w:t xml:space="preserve">that </w:t>
      </w:r>
      <w:r w:rsidR="00CE3CDC">
        <w:t xml:space="preserve">an equal per capita assessment is not supported by either the current proxy or the alternative data, </w:t>
      </w:r>
      <w:r w:rsidR="00C11BB6">
        <w:t xml:space="preserve">making a discount </w:t>
      </w:r>
      <w:r w:rsidR="00C46A9F">
        <w:t>problematic. I</w:t>
      </w:r>
      <w:r w:rsidR="007A26F4">
        <w:t xml:space="preserve">t acknowledged that </w:t>
      </w:r>
      <w:r w:rsidRPr="00F0407A">
        <w:t xml:space="preserve">the Commission’s reason </w:t>
      </w:r>
      <w:r>
        <w:t>for continuing the discount is</w:t>
      </w:r>
      <w:r w:rsidRPr="00F0407A">
        <w:t xml:space="preserve"> consistent with its discounting guidelines</w:t>
      </w:r>
      <w:r>
        <w:t>.</w:t>
      </w:r>
    </w:p>
    <w:p w14:paraId="1DD0C1BE" w14:textId="29C17EB7" w:rsidR="00941BD2" w:rsidRDefault="002943F3" w:rsidP="002943F3">
      <w:pPr>
        <w:pStyle w:val="Heading4"/>
      </w:pPr>
      <w:r>
        <w:lastRenderedPageBreak/>
        <w:t>Commission draft position</w:t>
      </w:r>
    </w:p>
    <w:p w14:paraId="1153803E" w14:textId="0225F058" w:rsidR="0060255B" w:rsidRPr="00816B3E" w:rsidRDefault="009E011E" w:rsidP="0006232D">
      <w:pPr>
        <w:pStyle w:val="CGC2025ParaNumbers"/>
      </w:pPr>
      <w:r>
        <w:t xml:space="preserve">The </w:t>
      </w:r>
      <w:r w:rsidR="00070B47">
        <w:t xml:space="preserve">reliance on a proxy </w:t>
      </w:r>
      <w:r w:rsidR="00874503">
        <w:t xml:space="preserve">measure of activity </w:t>
      </w:r>
      <w:r w:rsidR="00070B47">
        <w:t xml:space="preserve">for </w:t>
      </w:r>
      <w:r w:rsidR="00B9422D">
        <w:t xml:space="preserve">a significant share of </w:t>
      </w:r>
      <w:r w:rsidR="00953D8F">
        <w:t xml:space="preserve">community and public health expenses </w:t>
      </w:r>
      <w:r w:rsidR="007E72C3">
        <w:t>justif</w:t>
      </w:r>
      <w:r w:rsidR="000B0835">
        <w:t>ies</w:t>
      </w:r>
      <w:r w:rsidR="007E72C3">
        <w:t xml:space="preserve"> </w:t>
      </w:r>
      <w:r w:rsidR="00B76298">
        <w:t>a continuation of the 12.5% discount.</w:t>
      </w:r>
      <w:r w:rsidR="00F04C23" w:rsidRPr="00F04C23">
        <w:t xml:space="preserve"> </w:t>
      </w:r>
      <w:r w:rsidR="00595231">
        <w:t xml:space="preserve">It would be applied </w:t>
      </w:r>
      <w:r w:rsidR="00512D6A">
        <w:t>only</w:t>
      </w:r>
      <w:r w:rsidR="00595231">
        <w:t xml:space="preserve"> </w:t>
      </w:r>
      <w:r w:rsidR="00A65C55">
        <w:t xml:space="preserve">to the share of </w:t>
      </w:r>
      <w:r w:rsidR="00F01387">
        <w:t>the assessment that r</w:t>
      </w:r>
      <w:r w:rsidR="0063205D">
        <w:t>elies on proxy data (</w:t>
      </w:r>
      <w:r w:rsidR="00F04C23">
        <w:t>covering around 80% of</w:t>
      </w:r>
      <w:r w:rsidR="0063205D">
        <w:t xml:space="preserve"> total </w:t>
      </w:r>
      <w:r w:rsidR="003F5222">
        <w:t>community and public health expenses</w:t>
      </w:r>
      <w:r w:rsidR="00450229">
        <w:t>)</w:t>
      </w:r>
      <w:r w:rsidR="003F5222">
        <w:t xml:space="preserve">. </w:t>
      </w:r>
      <w:r w:rsidR="0032789C">
        <w:t xml:space="preserve">The </w:t>
      </w:r>
      <w:r w:rsidR="004F1529">
        <w:t xml:space="preserve">expenses </w:t>
      </w:r>
      <w:r w:rsidR="0032789C">
        <w:t>assess</w:t>
      </w:r>
      <w:r w:rsidR="004F1529">
        <w:t xml:space="preserve">ed using </w:t>
      </w:r>
      <w:r w:rsidR="0029221B">
        <w:t xml:space="preserve">the direct measure of activity </w:t>
      </w:r>
      <w:r w:rsidR="003D51BA">
        <w:t xml:space="preserve">(ambulatory community mental health) </w:t>
      </w:r>
      <w:r w:rsidR="0029221B">
        <w:t>would not be discounted.</w:t>
      </w:r>
    </w:p>
    <w:p w14:paraId="093AC855" w14:textId="186EAB32" w:rsidR="00ED712D" w:rsidRPr="00C478DA" w:rsidRDefault="00ED712D" w:rsidP="00745E8D">
      <w:pPr>
        <w:pStyle w:val="Heading3"/>
        <w:keepNext/>
        <w:keepLines/>
      </w:pPr>
      <w:bookmarkStart w:id="46" w:name="_Toc144580239"/>
      <w:r>
        <w:t>Q5</w:t>
      </w:r>
      <w:r w:rsidR="005762BC">
        <w:t>.</w:t>
      </w:r>
      <w:r>
        <w:t xml:space="preserve"> </w:t>
      </w:r>
      <w:r w:rsidRPr="00C478DA">
        <w:t>Do states support the use of Australian Institute for Health and Welfare data to update the non-state services substitutability level for the emergency departments component, while retaining the 2020 Review method for other components?</w:t>
      </w:r>
      <w:bookmarkEnd w:id="46"/>
    </w:p>
    <w:p w14:paraId="3A7DCAFF" w14:textId="77777777" w:rsidR="005357E6" w:rsidRDefault="005357E6" w:rsidP="005357E6">
      <w:pPr>
        <w:pStyle w:val="Heading4"/>
      </w:pPr>
      <w:bookmarkStart w:id="47" w:name="_Toc143786735"/>
      <w:bookmarkEnd w:id="11"/>
      <w:r>
        <w:t>State views</w:t>
      </w:r>
    </w:p>
    <w:p w14:paraId="06E16598" w14:textId="628F236F" w:rsidR="005357E6" w:rsidRDefault="76384201" w:rsidP="001904AA">
      <w:pPr>
        <w:pStyle w:val="CGC2025ParaNumbers"/>
      </w:pPr>
      <w:r>
        <w:t xml:space="preserve">States presented mixed </w:t>
      </w:r>
      <w:r w:rsidR="3980D1F9">
        <w:t xml:space="preserve">views </w:t>
      </w:r>
      <w:r w:rsidR="2A25C33E">
        <w:t xml:space="preserve">on the </w:t>
      </w:r>
      <w:r w:rsidR="2FBA238E">
        <w:t xml:space="preserve">specific </w:t>
      </w:r>
      <w:r w:rsidR="2A25C33E">
        <w:t>propos</w:t>
      </w:r>
      <w:r w:rsidR="2FBA238E">
        <w:t>al</w:t>
      </w:r>
      <w:r w:rsidR="2A25C33E">
        <w:t xml:space="preserve"> </w:t>
      </w:r>
      <w:r w:rsidR="78067BED">
        <w:t>for</w:t>
      </w:r>
      <w:r w:rsidR="72755848">
        <w:t xml:space="preserve"> </w:t>
      </w:r>
      <w:r w:rsidR="5BB0C9E3">
        <w:t xml:space="preserve">updating </w:t>
      </w:r>
      <w:r w:rsidR="53E5E836">
        <w:t xml:space="preserve">the non-state substitutability level for the emergency departments component. </w:t>
      </w:r>
      <w:r w:rsidR="4BFA1364">
        <w:t>In addition, most states raised</w:t>
      </w:r>
      <w:r w:rsidR="740ACCB3">
        <w:t xml:space="preserve"> concerns with the </w:t>
      </w:r>
      <w:r w:rsidR="00F565E1">
        <w:t xml:space="preserve">general approach, or elements of the </w:t>
      </w:r>
      <w:r w:rsidR="740ACCB3">
        <w:t>approach</w:t>
      </w:r>
      <w:r w:rsidR="00F565E1">
        <w:t>,</w:t>
      </w:r>
      <w:r w:rsidR="740ACCB3">
        <w:t xml:space="preserve"> </w:t>
      </w:r>
      <w:r w:rsidR="00F565E1">
        <w:t xml:space="preserve">that </w:t>
      </w:r>
      <w:r w:rsidR="740ACCB3">
        <w:t xml:space="preserve">the Commission </w:t>
      </w:r>
      <w:r w:rsidR="58D54697">
        <w:t xml:space="preserve">uses </w:t>
      </w:r>
      <w:r w:rsidR="0A82633E">
        <w:t>to</w:t>
      </w:r>
      <w:r w:rsidR="58D54697">
        <w:t xml:space="preserve"> </w:t>
      </w:r>
      <w:r w:rsidR="5068E5E1">
        <w:t xml:space="preserve">assess the </w:t>
      </w:r>
      <w:r w:rsidR="2A9E9A0D">
        <w:t xml:space="preserve">impact </w:t>
      </w:r>
      <w:r w:rsidR="0E466DF4">
        <w:t>of</w:t>
      </w:r>
      <w:r w:rsidR="1E2707A3">
        <w:t xml:space="preserve"> non</w:t>
      </w:r>
      <w:r w:rsidR="05CCB981">
        <w:t>-</w:t>
      </w:r>
      <w:r w:rsidR="1E2707A3">
        <w:t>state health services</w:t>
      </w:r>
      <w:r w:rsidR="3A5416FF">
        <w:t xml:space="preserve"> on state health expense needs</w:t>
      </w:r>
      <w:r w:rsidR="1E2707A3">
        <w:t>.</w:t>
      </w:r>
    </w:p>
    <w:p w14:paraId="18EEEEE1" w14:textId="6CBD2A82" w:rsidR="00735503" w:rsidRDefault="00EF6A6F" w:rsidP="00DF3755">
      <w:pPr>
        <w:pStyle w:val="Heading5"/>
      </w:pPr>
      <w:bookmarkStart w:id="48" w:name="_Hlk148711014"/>
      <w:r>
        <w:t>Alternative conceptual framework</w:t>
      </w:r>
    </w:p>
    <w:bookmarkEnd w:id="48"/>
    <w:p w14:paraId="78575917" w14:textId="3E392E49" w:rsidR="00F373F0" w:rsidRPr="00757C1C" w:rsidRDefault="001338E0" w:rsidP="00FA3430">
      <w:pPr>
        <w:pStyle w:val="CGC2025ParaNumbers"/>
      </w:pPr>
      <w:r w:rsidRPr="00757C1C">
        <w:t>New South Wales</w:t>
      </w:r>
      <w:r w:rsidR="00A6091C" w:rsidRPr="00757C1C">
        <w:t>, in a supplementary submission,</w:t>
      </w:r>
      <w:r w:rsidR="00240470" w:rsidRPr="00757C1C">
        <w:t xml:space="preserve"> said that there is an absence of robust and reliable data supporting the conceptual case for a non-state se</w:t>
      </w:r>
      <w:r w:rsidR="00AE3BD7" w:rsidRPr="00757C1C">
        <w:t>ctor</w:t>
      </w:r>
      <w:r w:rsidR="00240470" w:rsidRPr="00757C1C">
        <w:t xml:space="preserve"> adjustment for health services.</w:t>
      </w:r>
      <w:r w:rsidR="00836769" w:rsidRPr="00757C1C">
        <w:t xml:space="preserve"> </w:t>
      </w:r>
      <w:r w:rsidR="004F7246" w:rsidRPr="00757C1C">
        <w:t xml:space="preserve">However, the data used for the analysis </w:t>
      </w:r>
      <w:r w:rsidR="00D531E0" w:rsidRPr="00757C1C">
        <w:t xml:space="preserve">covered </w:t>
      </w:r>
      <w:r w:rsidR="00641DD1" w:rsidRPr="00757C1C">
        <w:t xml:space="preserve">a few years only </w:t>
      </w:r>
      <w:r w:rsidR="00757C1C" w:rsidRPr="00757C1C">
        <w:t xml:space="preserve">and </w:t>
      </w:r>
      <w:r w:rsidR="00641DD1" w:rsidRPr="00757C1C">
        <w:t xml:space="preserve">so </w:t>
      </w:r>
      <w:r w:rsidR="00082E22" w:rsidRPr="00757C1C">
        <w:t>cannot be considered</w:t>
      </w:r>
      <w:r w:rsidR="00AE45BD" w:rsidRPr="00757C1C">
        <w:t xml:space="preserve"> </w:t>
      </w:r>
      <w:r w:rsidR="0005471F" w:rsidRPr="00757C1C">
        <w:t>a</w:t>
      </w:r>
      <w:r w:rsidR="00082E22" w:rsidRPr="00757C1C">
        <w:t xml:space="preserve"> comprehensive </w:t>
      </w:r>
      <w:r w:rsidR="00274CBD" w:rsidRPr="00757C1C">
        <w:t>a</w:t>
      </w:r>
      <w:r w:rsidR="00843434" w:rsidRPr="00757C1C">
        <w:t>ssessment</w:t>
      </w:r>
      <w:r w:rsidR="00757C1C" w:rsidRPr="00757C1C">
        <w:t>.</w:t>
      </w:r>
    </w:p>
    <w:p w14:paraId="40B8F165" w14:textId="28589A17" w:rsidR="00CB363C" w:rsidRPr="00757C1C" w:rsidRDefault="00F373F0" w:rsidP="00F373F0">
      <w:pPr>
        <w:pStyle w:val="CGC2025ParaNumbers"/>
      </w:pPr>
      <w:r w:rsidRPr="00757C1C">
        <w:t>New South Wales</w:t>
      </w:r>
      <w:r w:rsidR="00321402" w:rsidRPr="00757C1C">
        <w:t xml:space="preserve"> presented data </w:t>
      </w:r>
      <w:r w:rsidR="00216274" w:rsidRPr="00757C1C">
        <w:t xml:space="preserve">on the relationship between </w:t>
      </w:r>
      <w:r w:rsidR="008558B8" w:rsidRPr="00757C1C">
        <w:t>state hospital services (</w:t>
      </w:r>
      <w:r w:rsidR="00481C46" w:rsidRPr="00757C1C">
        <w:t>admitted patient, emergency department and non</w:t>
      </w:r>
      <w:r w:rsidR="00481C46" w:rsidRPr="00757C1C">
        <w:noBreakHyphen/>
        <w:t>admitted patient</w:t>
      </w:r>
      <w:r w:rsidR="001E7E8B" w:rsidRPr="00757C1C">
        <w:t xml:space="preserve"> services</w:t>
      </w:r>
      <w:r w:rsidR="008558B8" w:rsidRPr="00757C1C">
        <w:t>)</w:t>
      </w:r>
      <w:r w:rsidR="001E7E8B" w:rsidRPr="00757C1C">
        <w:t xml:space="preserve"> and </w:t>
      </w:r>
      <w:r w:rsidR="00173463" w:rsidRPr="00757C1C">
        <w:t xml:space="preserve">similar </w:t>
      </w:r>
      <w:r w:rsidR="001E7E8B" w:rsidRPr="00757C1C">
        <w:t>ser</w:t>
      </w:r>
      <w:r w:rsidR="00104560" w:rsidRPr="00757C1C">
        <w:t>vices provided by the non</w:t>
      </w:r>
      <w:r w:rsidR="00104560" w:rsidRPr="00757C1C">
        <w:noBreakHyphen/>
        <w:t>state sector</w:t>
      </w:r>
      <w:r w:rsidR="00173463" w:rsidRPr="00757C1C">
        <w:t>.</w:t>
      </w:r>
      <w:r w:rsidRPr="00757C1C">
        <w:t xml:space="preserve"> </w:t>
      </w:r>
      <w:r w:rsidR="00CB363C" w:rsidRPr="00757C1C">
        <w:t>Given th</w:t>
      </w:r>
      <w:r w:rsidR="00466C4B" w:rsidRPr="00757C1C">
        <w:t xml:space="preserve">e absence of evidence that </w:t>
      </w:r>
      <w:r w:rsidR="00585BE6" w:rsidRPr="00757C1C">
        <w:t xml:space="preserve">increased </w:t>
      </w:r>
      <w:r w:rsidR="00466C4B" w:rsidRPr="00757C1C">
        <w:t>non</w:t>
      </w:r>
      <w:r w:rsidR="00466C4B" w:rsidRPr="00757C1C">
        <w:noBreakHyphen/>
        <w:t xml:space="preserve">state sector provision </w:t>
      </w:r>
      <w:r w:rsidR="00585BE6" w:rsidRPr="00757C1C">
        <w:t xml:space="preserve">of health services </w:t>
      </w:r>
      <w:r w:rsidR="00466C4B" w:rsidRPr="00757C1C">
        <w:t xml:space="preserve">reduced the </w:t>
      </w:r>
      <w:r w:rsidR="00585BE6" w:rsidRPr="00757C1C">
        <w:t xml:space="preserve">need for the state sector to </w:t>
      </w:r>
      <w:r w:rsidR="00C72CF2" w:rsidRPr="00757C1C">
        <w:t>provide services</w:t>
      </w:r>
      <w:r w:rsidR="00CB363C" w:rsidRPr="00757C1C">
        <w:t xml:space="preserve">, </w:t>
      </w:r>
      <w:r w:rsidR="009A2850" w:rsidRPr="00757C1C">
        <w:t>New South Wales</w:t>
      </w:r>
      <w:r w:rsidR="00CB363C" w:rsidRPr="00757C1C">
        <w:t xml:space="preserve"> </w:t>
      </w:r>
      <w:r w:rsidR="009A2850" w:rsidRPr="00757C1C">
        <w:t>said</w:t>
      </w:r>
      <w:r w:rsidR="00CB363C" w:rsidRPr="00757C1C">
        <w:t xml:space="preserve"> the Commission should reconsider its application of the adjustment</w:t>
      </w:r>
      <w:r w:rsidR="00FD5D3D" w:rsidRPr="00757C1C">
        <w:t>. It said the</w:t>
      </w:r>
      <w:r w:rsidR="00F74219" w:rsidRPr="00757C1C">
        <w:t xml:space="preserve"> adjustment should be</w:t>
      </w:r>
      <w:r w:rsidR="00CB363C" w:rsidRPr="00757C1C">
        <w:t xml:space="preserve"> </w:t>
      </w:r>
      <w:r w:rsidR="00F74219" w:rsidRPr="00757C1C">
        <w:t>removed</w:t>
      </w:r>
      <w:r w:rsidR="00CB363C" w:rsidRPr="00757C1C">
        <w:t xml:space="preserve"> or heavily discount</w:t>
      </w:r>
      <w:r w:rsidR="00F74219" w:rsidRPr="00757C1C">
        <w:t>ed</w:t>
      </w:r>
      <w:r w:rsidR="00CB363C" w:rsidRPr="00757C1C">
        <w:t>.</w:t>
      </w:r>
    </w:p>
    <w:p w14:paraId="33751DB8" w14:textId="1A79555E" w:rsidR="004051B8" w:rsidRDefault="5E99AE67" w:rsidP="00114100">
      <w:pPr>
        <w:pStyle w:val="CGC2025ParaNumbers"/>
      </w:pPr>
      <w:r>
        <w:t>Western</w:t>
      </w:r>
      <w:r w:rsidR="4D8896DC">
        <w:t> </w:t>
      </w:r>
      <w:r>
        <w:t xml:space="preserve">Australia </w:t>
      </w:r>
      <w:r w:rsidR="007F26AB">
        <w:t xml:space="preserve">said </w:t>
      </w:r>
      <w:r w:rsidR="00932191">
        <w:t xml:space="preserve">the Commission’s approach </w:t>
      </w:r>
      <w:r w:rsidR="00572414">
        <w:t>to recognise the influence of non</w:t>
      </w:r>
      <w:r w:rsidR="00572414">
        <w:noBreakHyphen/>
        <w:t xml:space="preserve">state sector health services provision on state health spending needs </w:t>
      </w:r>
      <w:r w:rsidR="00932191">
        <w:t xml:space="preserve">was </w:t>
      </w:r>
      <w:r w:rsidR="004566F1">
        <w:t>fundamentally wrong</w:t>
      </w:r>
      <w:r w:rsidR="04DB5376">
        <w:t xml:space="preserve"> </w:t>
      </w:r>
      <w:r w:rsidR="00BD565C">
        <w:t xml:space="preserve">and </w:t>
      </w:r>
      <w:r w:rsidR="419E5A7B">
        <w:t>presented an alternative</w:t>
      </w:r>
      <w:r w:rsidR="0426658F">
        <w:t xml:space="preserve"> conceptual</w:t>
      </w:r>
      <w:r w:rsidR="4A09069A">
        <w:t xml:space="preserve"> framework. </w:t>
      </w:r>
    </w:p>
    <w:p w14:paraId="5CD750A5" w14:textId="01E61611" w:rsidR="004A6A2C" w:rsidRDefault="000C0F7B" w:rsidP="001A79C9">
      <w:pPr>
        <w:pStyle w:val="CGC2025ParaNumbers"/>
      </w:pPr>
      <w:r>
        <w:t xml:space="preserve">Western Australia </w:t>
      </w:r>
      <w:r w:rsidR="004849C9">
        <w:t>said</w:t>
      </w:r>
      <w:r>
        <w:t xml:space="preserve"> that s</w:t>
      </w:r>
      <w:r w:rsidR="004051B8">
        <w:t xml:space="preserve">tates respond to the existing level of non-state services. </w:t>
      </w:r>
      <w:r w:rsidR="001A79C9">
        <w:t>T</w:t>
      </w:r>
      <w:r w:rsidR="004A0DA4">
        <w:t xml:space="preserve">he Commission should </w:t>
      </w:r>
      <w:r w:rsidR="000B2BFD">
        <w:t xml:space="preserve">therefore </w:t>
      </w:r>
      <w:r w:rsidR="004A0DA4">
        <w:t xml:space="preserve">be </w:t>
      </w:r>
      <w:r w:rsidR="00251DF6">
        <w:t>trying to estimate</w:t>
      </w:r>
      <w:r w:rsidR="00F058A8">
        <w:t xml:space="preserve"> </w:t>
      </w:r>
      <w:r w:rsidR="009C7B79">
        <w:t>the proportion of non</w:t>
      </w:r>
      <w:r w:rsidR="002B76B6">
        <w:t>-</w:t>
      </w:r>
      <w:r w:rsidR="009C7B79">
        <w:t>state services that are substitutable</w:t>
      </w:r>
      <w:r w:rsidR="22AB0697">
        <w:t xml:space="preserve"> rather than the proportion of state expenses that are substitutable</w:t>
      </w:r>
      <w:r w:rsidR="009C7B79">
        <w:t>.</w:t>
      </w:r>
      <w:r w:rsidR="001A79C9">
        <w:t xml:space="preserve"> </w:t>
      </w:r>
      <w:r w:rsidR="00720F14">
        <w:t>One implication of</w:t>
      </w:r>
      <w:r w:rsidR="007E7DF9">
        <w:t xml:space="preserve"> </w:t>
      </w:r>
      <w:r w:rsidR="002E7566">
        <w:t xml:space="preserve">Western Australia’s </w:t>
      </w:r>
      <w:r w:rsidR="00CC5ED5">
        <w:t>model</w:t>
      </w:r>
      <w:r w:rsidR="007E7DF9">
        <w:t xml:space="preserve"> </w:t>
      </w:r>
      <w:r w:rsidR="004D16C5">
        <w:t>is that</w:t>
      </w:r>
      <w:r w:rsidR="00AC6E6B">
        <w:t xml:space="preserve">, unlike the </w:t>
      </w:r>
      <w:r w:rsidR="00AC6E6B">
        <w:lastRenderedPageBreak/>
        <w:t>Commission’s approach</w:t>
      </w:r>
      <w:r w:rsidR="00174A9F">
        <w:t>,</w:t>
      </w:r>
      <w:r w:rsidR="004D16C5">
        <w:t xml:space="preserve"> the cost to patients of services in the non</w:t>
      </w:r>
      <w:r w:rsidR="004D16C5">
        <w:noBreakHyphen/>
        <w:t xml:space="preserve">state sector is </w:t>
      </w:r>
      <w:r w:rsidR="00656854">
        <w:t>not a re</w:t>
      </w:r>
      <w:r w:rsidR="00445BC1">
        <w:t xml:space="preserve">levant consideration </w:t>
      </w:r>
      <w:r w:rsidR="00F6726F">
        <w:t>in de</w:t>
      </w:r>
      <w:r w:rsidR="00383969">
        <w:t>termining</w:t>
      </w:r>
      <w:r w:rsidR="00E9523A">
        <w:t xml:space="preserve"> substitutable services</w:t>
      </w:r>
      <w:r w:rsidR="00C95696">
        <w:t xml:space="preserve">. </w:t>
      </w:r>
    </w:p>
    <w:p w14:paraId="07F1152C" w14:textId="2272DEAF" w:rsidR="00FF4F1C" w:rsidRDefault="004A6A2C" w:rsidP="005A51D8">
      <w:pPr>
        <w:pStyle w:val="CGC2025ParaNumbers"/>
      </w:pPr>
      <w:r>
        <w:t>I</w:t>
      </w:r>
      <w:r w:rsidR="00AF14A4">
        <w:t>n</w:t>
      </w:r>
      <w:r>
        <w:t xml:space="preserve"> Western Australia’s </w:t>
      </w:r>
      <w:r w:rsidR="00AF14A4">
        <w:t xml:space="preserve">model, </w:t>
      </w:r>
      <w:r w:rsidR="001A79C9">
        <w:t>calculat</w:t>
      </w:r>
      <w:r w:rsidR="00AF14A4">
        <w:t>ing</w:t>
      </w:r>
      <w:r w:rsidR="001A79C9">
        <w:t xml:space="preserve"> the </w:t>
      </w:r>
      <w:r w:rsidR="001F29AC">
        <w:t>size of the non</w:t>
      </w:r>
      <w:r w:rsidR="00D30064">
        <w:t>-</w:t>
      </w:r>
      <w:r w:rsidR="001F29AC">
        <w:t>state sector adjustment</w:t>
      </w:r>
      <w:r w:rsidR="005A51D8">
        <w:t xml:space="preserve"> </w:t>
      </w:r>
      <w:r w:rsidR="21854266">
        <w:t>requires</w:t>
      </w:r>
      <w:r w:rsidR="40C2F2F9">
        <w:t>:</w:t>
      </w:r>
    </w:p>
    <w:p w14:paraId="6CE82406" w14:textId="21AC04A6" w:rsidR="00FF4F1C" w:rsidRDefault="00FC2004" w:rsidP="00FF4F1C">
      <w:pPr>
        <w:pStyle w:val="CGC2025Bullet1"/>
      </w:pPr>
      <w:r>
        <w:t xml:space="preserve">an </w:t>
      </w:r>
      <w:r w:rsidR="004051B8">
        <w:t>estimat</w:t>
      </w:r>
      <w:r w:rsidR="00CC11B0">
        <w:t>e</w:t>
      </w:r>
      <w:r>
        <w:t xml:space="preserve"> of</w:t>
      </w:r>
      <w:r w:rsidR="004051B8">
        <w:t xml:space="preserve"> the share of non-state </w:t>
      </w:r>
      <w:r w:rsidR="00B43681">
        <w:t>services</w:t>
      </w:r>
      <w:r w:rsidR="004051B8">
        <w:t xml:space="preserve"> that are a</w:t>
      </w:r>
      <w:r w:rsidR="001E1256">
        <w:t>lso</w:t>
      </w:r>
      <w:r w:rsidR="004051B8">
        <w:t xml:space="preserve"> provided by the state</w:t>
      </w:r>
      <w:r w:rsidR="00B43681">
        <w:t xml:space="preserve"> (</w:t>
      </w:r>
      <w:r w:rsidR="00A00A4B">
        <w:t>substitutability level)</w:t>
      </w:r>
    </w:p>
    <w:p w14:paraId="4C190D34" w14:textId="4C01648B" w:rsidR="005F3E01" w:rsidRDefault="005F3E01" w:rsidP="005F3E01">
      <w:pPr>
        <w:pStyle w:val="CGC2025Bullet1"/>
      </w:pPr>
      <w:r>
        <w:t xml:space="preserve">an estimate of the unit cost of substitutable state services (to calculate </w:t>
      </w:r>
      <w:r w:rsidRPr="00992282">
        <w:t>the public cost equivalent of these non</w:t>
      </w:r>
      <w:r>
        <w:noBreakHyphen/>
      </w:r>
      <w:r w:rsidRPr="00992282">
        <w:t>state services</w:t>
      </w:r>
      <w:r>
        <w:t>)</w:t>
      </w:r>
      <w:r w:rsidRPr="00992282">
        <w:t xml:space="preserve"> </w:t>
      </w:r>
      <w:r w:rsidR="00A215B8">
        <w:t>–</w:t>
      </w:r>
      <w:r w:rsidRPr="00992282">
        <w:t xml:space="preserve"> </w:t>
      </w:r>
      <w:r w:rsidR="00E52269" w:rsidRPr="00D82BA7">
        <w:t>N</w:t>
      </w:r>
      <w:r w:rsidR="005B05E8" w:rsidRPr="00D82BA7">
        <w:t xml:space="preserve">ew </w:t>
      </w:r>
      <w:r w:rsidR="00E52269" w:rsidRPr="00D82BA7">
        <w:t>S</w:t>
      </w:r>
      <w:r w:rsidR="005B05E8" w:rsidRPr="00D82BA7">
        <w:t xml:space="preserve">outh </w:t>
      </w:r>
      <w:r w:rsidR="00E52269" w:rsidRPr="00D82BA7">
        <w:t>W</w:t>
      </w:r>
      <w:r w:rsidR="005B05E8" w:rsidRPr="00D82BA7">
        <w:t>ales</w:t>
      </w:r>
      <w:r w:rsidR="00E52269" w:rsidRPr="00D82BA7">
        <w:t xml:space="preserve"> also said this in its supplementary </w:t>
      </w:r>
      <w:proofErr w:type="gramStart"/>
      <w:r w:rsidR="00E52269" w:rsidRPr="00D82BA7">
        <w:t>submission</w:t>
      </w:r>
      <w:proofErr w:type="gramEnd"/>
    </w:p>
    <w:p w14:paraId="18CA5C11" w14:textId="4A7E4FCF" w:rsidR="005B3E29" w:rsidRDefault="005B3E29" w:rsidP="00FF4F1C">
      <w:pPr>
        <w:pStyle w:val="CGC2025Bullet1"/>
      </w:pPr>
      <w:r>
        <w:t xml:space="preserve">an estimate of the deficit/surplus </w:t>
      </w:r>
      <w:r w:rsidR="00A219DA">
        <w:t>of non</w:t>
      </w:r>
      <w:r w:rsidR="72049CF2">
        <w:t>-</w:t>
      </w:r>
      <w:r w:rsidR="00A219DA">
        <w:t xml:space="preserve">state service provision </w:t>
      </w:r>
      <w:r>
        <w:t xml:space="preserve">(assessed compared </w:t>
      </w:r>
      <w:r w:rsidR="00F53663">
        <w:t>with</w:t>
      </w:r>
      <w:r>
        <w:t xml:space="preserve"> actual services)</w:t>
      </w:r>
      <w:r w:rsidR="005F3E01">
        <w:t>.</w:t>
      </w:r>
    </w:p>
    <w:p w14:paraId="77B82678" w14:textId="28D4216B" w:rsidR="0026178A" w:rsidRPr="00D82BA7" w:rsidRDefault="0026178A" w:rsidP="0026178A">
      <w:pPr>
        <w:pStyle w:val="CGC2025ParaNumbers"/>
      </w:pPr>
      <w:r w:rsidRPr="00D82BA7">
        <w:t xml:space="preserve">Queensland said that </w:t>
      </w:r>
      <w:r w:rsidR="00296188" w:rsidRPr="00D82BA7">
        <w:t xml:space="preserve">the </w:t>
      </w:r>
      <w:r w:rsidRPr="00D82BA7">
        <w:t xml:space="preserve">relationship </w:t>
      </w:r>
      <w:r w:rsidR="00296188" w:rsidRPr="00D82BA7">
        <w:t>between state and non</w:t>
      </w:r>
      <w:r w:rsidR="00296188" w:rsidRPr="00D82BA7">
        <w:noBreakHyphen/>
        <w:t xml:space="preserve">state </w:t>
      </w:r>
      <w:r w:rsidR="00A20C5E" w:rsidRPr="00D82BA7">
        <w:t xml:space="preserve">sector health provision </w:t>
      </w:r>
      <w:r w:rsidRPr="00D82BA7">
        <w:t xml:space="preserve">is more nuanced than Western Australia’s analysis would suggest and that any non-state sector service provision is likely to be at the margin. Thus, the current proportions </w:t>
      </w:r>
      <w:r w:rsidR="00C32FC4" w:rsidRPr="00D82BA7">
        <w:t xml:space="preserve">used by the Commission </w:t>
      </w:r>
      <w:r w:rsidRPr="00D82BA7">
        <w:t>already likely reflect a ceiling for this activity.</w:t>
      </w:r>
    </w:p>
    <w:p w14:paraId="317B32CF" w14:textId="57B34717" w:rsidR="00AA1B47" w:rsidRPr="00D82BA7" w:rsidRDefault="004D631C" w:rsidP="004D631C">
      <w:pPr>
        <w:pStyle w:val="CGC2025ParaNumbers"/>
      </w:pPr>
      <w:r w:rsidRPr="00D82BA7">
        <w:t xml:space="preserve">Queensland said the changes proposed to the substitutable expenses formula by Western Australia are based around the assumption that </w:t>
      </w:r>
      <w:proofErr w:type="gramStart"/>
      <w:r w:rsidRPr="00D82BA7">
        <w:t>the majority of</w:t>
      </w:r>
      <w:proofErr w:type="gramEnd"/>
      <w:r w:rsidRPr="00D82BA7">
        <w:t xml:space="preserve"> non</w:t>
      </w:r>
      <w:r w:rsidRPr="00D82BA7">
        <w:noBreakHyphen/>
        <w:t>state sector activity could be absorbed by the state sector. However, capacity constraints would indicate that only part of existing public sector activity would be displaced.</w:t>
      </w:r>
    </w:p>
    <w:p w14:paraId="4E6395EB" w14:textId="390866CA" w:rsidR="004051B8" w:rsidRDefault="59395EB5" w:rsidP="00A750FE">
      <w:pPr>
        <w:pStyle w:val="Heading5"/>
      </w:pPr>
      <w:r>
        <w:t>Other o</w:t>
      </w:r>
      <w:r w:rsidR="7EA4A9FB" w:rsidRPr="006A6F35">
        <w:t>verall concerns with the non</w:t>
      </w:r>
      <w:r w:rsidR="00DE15AD">
        <w:noBreakHyphen/>
      </w:r>
      <w:r w:rsidR="7EA4A9FB" w:rsidRPr="006A6F35">
        <w:t>state sector adjustment</w:t>
      </w:r>
    </w:p>
    <w:p w14:paraId="1CF6F69C" w14:textId="3B232EE7" w:rsidR="004051B8" w:rsidRDefault="00A74C0E" w:rsidP="008A34C9">
      <w:pPr>
        <w:pStyle w:val="CGC2025ParaNumbers"/>
      </w:pPr>
      <w:r>
        <w:t>New South Wales</w:t>
      </w:r>
      <w:r w:rsidR="008A34C9">
        <w:t xml:space="preserve"> </w:t>
      </w:r>
      <w:r w:rsidR="004849C9">
        <w:t>said</w:t>
      </w:r>
      <w:r w:rsidR="008A34C9">
        <w:t xml:space="preserve"> that state and non-state services being comparable is not the same as these services being perfect substitutes. Instead, the level of actual substitution in practice is lower than the level of potential substitution</w:t>
      </w:r>
      <w:r w:rsidR="1F8717BD">
        <w:t xml:space="preserve">, citing the use of public </w:t>
      </w:r>
      <w:r w:rsidR="0FF5B7DB">
        <w:t>health</w:t>
      </w:r>
      <w:r w:rsidR="1F8717BD">
        <w:t xml:space="preserve"> services by people </w:t>
      </w:r>
      <w:r w:rsidR="2A588F5E">
        <w:t>with</w:t>
      </w:r>
      <w:r w:rsidR="008A34C9">
        <w:t xml:space="preserve"> </w:t>
      </w:r>
      <w:r w:rsidR="2A588F5E">
        <w:t>private health insurance.</w:t>
      </w:r>
      <w:r w:rsidR="008A34C9">
        <w:t xml:space="preserve"> </w:t>
      </w:r>
      <w:r w:rsidR="00EB6BAE">
        <w:t xml:space="preserve">In </w:t>
      </w:r>
      <w:r w:rsidR="008D6612">
        <w:t>a supplementary submission</w:t>
      </w:r>
      <w:r w:rsidR="000248DF">
        <w:t xml:space="preserve">, New South </w:t>
      </w:r>
      <w:r w:rsidR="00A85BF9">
        <w:t xml:space="preserve">Wales went further and said </w:t>
      </w:r>
      <w:r w:rsidR="0088387E">
        <w:t>that the available data do not support</w:t>
      </w:r>
      <w:r w:rsidR="00600247">
        <w:t xml:space="preserve"> the conceptual case that</w:t>
      </w:r>
      <w:r w:rsidR="00D6062E">
        <w:t xml:space="preserve"> a relationship exists between the provision of state and non</w:t>
      </w:r>
      <w:r w:rsidR="00D6062E">
        <w:noBreakHyphen/>
        <w:t>state service provision.</w:t>
      </w:r>
    </w:p>
    <w:p w14:paraId="093D41DD" w14:textId="46AE91D1" w:rsidR="00B506CC" w:rsidRDefault="7D102E93" w:rsidP="00D01259">
      <w:pPr>
        <w:pStyle w:val="CGC2025ParaNumbers"/>
      </w:pPr>
      <w:bookmarkStart w:id="49" w:name="_Ref151388066"/>
      <w:r>
        <w:t xml:space="preserve">New South Wales </w:t>
      </w:r>
      <w:r w:rsidR="52E083F8">
        <w:t xml:space="preserve">said </w:t>
      </w:r>
      <w:r w:rsidR="6A438647">
        <w:t xml:space="preserve">the potential substitutability does not fully account for </w:t>
      </w:r>
      <w:r w:rsidR="53755660">
        <w:t xml:space="preserve">factors </w:t>
      </w:r>
      <w:r w:rsidR="6A438647">
        <w:t xml:space="preserve">that impact the </w:t>
      </w:r>
      <w:r w:rsidR="5145C7D6">
        <w:t>use</w:t>
      </w:r>
      <w:r w:rsidR="6A438647">
        <w:t xml:space="preserve"> of comparable services. These include:</w:t>
      </w:r>
      <w:bookmarkEnd w:id="49"/>
    </w:p>
    <w:p w14:paraId="42992D1D" w14:textId="36ABBFA7" w:rsidR="00B506CC" w:rsidRDefault="00B506CC" w:rsidP="00367F6D">
      <w:pPr>
        <w:pStyle w:val="CGC2025Bullet1"/>
      </w:pPr>
      <w:r>
        <w:t>non-state services encourag</w:t>
      </w:r>
      <w:r w:rsidR="4523E12D">
        <w:t>e</w:t>
      </w:r>
      <w:r>
        <w:t xml:space="preserve"> additional demand </w:t>
      </w:r>
      <w:r w:rsidR="0897F45E">
        <w:t xml:space="preserve">for </w:t>
      </w:r>
      <w:r w:rsidR="003F6C03">
        <w:t>substitut</w:t>
      </w:r>
      <w:r w:rsidR="00C124FF">
        <w:t xml:space="preserve">able state </w:t>
      </w:r>
      <w:r w:rsidR="0897F45E">
        <w:t xml:space="preserve">health services </w:t>
      </w:r>
      <w:r>
        <w:t xml:space="preserve">rather than </w:t>
      </w:r>
      <w:r w:rsidR="1D5260BA">
        <w:t>offsetting</w:t>
      </w:r>
      <w:r>
        <w:t xml:space="preserve"> existing state </w:t>
      </w:r>
      <w:proofErr w:type="gramStart"/>
      <w:r>
        <w:t>demand</w:t>
      </w:r>
      <w:proofErr w:type="gramEnd"/>
    </w:p>
    <w:p w14:paraId="09648695" w14:textId="031CA170" w:rsidR="00B506CC" w:rsidRDefault="00B506CC" w:rsidP="00367F6D">
      <w:pPr>
        <w:pStyle w:val="CGC2025Bullet1"/>
      </w:pPr>
      <w:r>
        <w:t>the timely availability of non-state services</w:t>
      </w:r>
    </w:p>
    <w:p w14:paraId="3BB1623F" w14:textId="14514D31" w:rsidR="00B506CC" w:rsidRDefault="00B506CC" w:rsidP="00367F6D">
      <w:pPr>
        <w:pStyle w:val="CGC2025Bullet1"/>
      </w:pPr>
      <w:r>
        <w:t xml:space="preserve">non-state services not always having sufficient capacity to fully replace all state substitutable </w:t>
      </w:r>
      <w:proofErr w:type="gramStart"/>
      <w:r>
        <w:t>services</w:t>
      </w:r>
      <w:proofErr w:type="gramEnd"/>
    </w:p>
    <w:p w14:paraId="3EC65B63" w14:textId="7B719CDC" w:rsidR="00C46B42" w:rsidRDefault="00B506CC" w:rsidP="00367F6D">
      <w:pPr>
        <w:pStyle w:val="CGC2025Bullet1"/>
      </w:pPr>
      <w:r>
        <w:t>patient decision-making being outside of state sector control, with patient preferences for state services stemming from both perception and health literacy</w:t>
      </w:r>
      <w:r w:rsidR="00095EB0">
        <w:t>.</w:t>
      </w:r>
    </w:p>
    <w:p w14:paraId="6D39E465" w14:textId="30EC2CB0" w:rsidR="00FB5D78" w:rsidRDefault="00D96A2C" w:rsidP="002A3957">
      <w:pPr>
        <w:pStyle w:val="CGC2025ParaNumbers"/>
      </w:pPr>
      <w:r>
        <w:t>New South Wales</w:t>
      </w:r>
      <w:r w:rsidR="0068266B">
        <w:t xml:space="preserve"> said that t</w:t>
      </w:r>
      <w:r w:rsidR="002A3957">
        <w:t>o recognise that comparable services are not 100</w:t>
      </w:r>
      <w:r w:rsidR="00337E2B">
        <w:t>%</w:t>
      </w:r>
      <w:r w:rsidR="002A3957">
        <w:t xml:space="preserve"> substitutable, the Commission should apply a general discount to its calculation of the proportion of </w:t>
      </w:r>
      <w:r w:rsidR="6DCBBD8C">
        <w:t xml:space="preserve">substitutable </w:t>
      </w:r>
      <w:r w:rsidR="00834746">
        <w:t>expenses</w:t>
      </w:r>
      <w:r w:rsidR="002A3957">
        <w:t xml:space="preserve"> in each component.</w:t>
      </w:r>
    </w:p>
    <w:p w14:paraId="06738418" w14:textId="615E5232" w:rsidR="00AA1983" w:rsidRDefault="00AA1983" w:rsidP="00563ABE">
      <w:pPr>
        <w:pStyle w:val="CGC2025ParaNumbers"/>
      </w:pPr>
      <w:r>
        <w:lastRenderedPageBreak/>
        <w:t xml:space="preserve">New South Wales </w:t>
      </w:r>
      <w:r w:rsidR="005A2B2E">
        <w:t>said</w:t>
      </w:r>
      <w:r>
        <w:t xml:space="preserve"> that </w:t>
      </w:r>
      <w:r w:rsidR="00E53581">
        <w:t xml:space="preserve">there should </w:t>
      </w:r>
      <w:r w:rsidR="005953B9">
        <w:t xml:space="preserve">also </w:t>
      </w:r>
      <w:r w:rsidR="00E53581">
        <w:t xml:space="preserve">be a reduction to non-state substitutability levels to account for the impact of patient perception on substitutability and </w:t>
      </w:r>
      <w:r w:rsidR="003D2362">
        <w:t xml:space="preserve">that </w:t>
      </w:r>
      <w:r w:rsidR="00563ABE">
        <w:t>there is a conceptual case for integrating patient health literacy into the non-state sector adjustment.</w:t>
      </w:r>
    </w:p>
    <w:p w14:paraId="73C312DF" w14:textId="5F15BDDC" w:rsidR="00ED067E" w:rsidRDefault="00ED067E" w:rsidP="00ED067E">
      <w:pPr>
        <w:pStyle w:val="CGC2025ParaNumbers"/>
      </w:pPr>
      <w:bookmarkStart w:id="50" w:name="_Ref150351783"/>
      <w:r>
        <w:t>N</w:t>
      </w:r>
      <w:r w:rsidR="000C237C">
        <w:t xml:space="preserve">ew </w:t>
      </w:r>
      <w:r>
        <w:t>S</w:t>
      </w:r>
      <w:r w:rsidR="000C237C">
        <w:t>o</w:t>
      </w:r>
      <w:r w:rsidR="00317F9C">
        <w:t>u</w:t>
      </w:r>
      <w:r w:rsidR="000C237C">
        <w:t xml:space="preserve">th </w:t>
      </w:r>
      <w:r>
        <w:t>W</w:t>
      </w:r>
      <w:r w:rsidR="000C237C">
        <w:t>ales</w:t>
      </w:r>
      <w:r>
        <w:t xml:space="preserve"> propos</w:t>
      </w:r>
      <w:r w:rsidR="00446F73">
        <w:t>ed</w:t>
      </w:r>
      <w:r>
        <w:t xml:space="preserve"> that the lower of non-state or state sector expenditure for </w:t>
      </w:r>
      <w:r w:rsidR="066B12E2">
        <w:t>each</w:t>
      </w:r>
      <w:r>
        <w:t xml:space="preserve"> component should represent the upper limit on potential substitutable expenditure rather than </w:t>
      </w:r>
      <w:r w:rsidR="41274162">
        <w:t>using</w:t>
      </w:r>
      <w:r w:rsidR="00CF74F3">
        <w:t xml:space="preserve"> </w:t>
      </w:r>
      <w:r>
        <w:t xml:space="preserve">state sector expenditure as the upper limit. </w:t>
      </w:r>
      <w:r w:rsidR="001C7D01">
        <w:t>It said that t</w:t>
      </w:r>
      <w:r>
        <w:t>his would reflect that the state sector does not benefit from substitution beyond the non-state sector’s capacity to supply services.</w:t>
      </w:r>
      <w:bookmarkEnd w:id="50"/>
    </w:p>
    <w:p w14:paraId="73071A87" w14:textId="77777777" w:rsidR="0091458F" w:rsidRDefault="0091458F" w:rsidP="0091458F">
      <w:pPr>
        <w:pStyle w:val="Heading4"/>
      </w:pPr>
      <w:r>
        <w:t>Commission response</w:t>
      </w:r>
    </w:p>
    <w:p w14:paraId="0073AC02" w14:textId="3C58A2DC" w:rsidR="007A6CD1" w:rsidRPr="0094550B" w:rsidRDefault="007A6CD1" w:rsidP="007A6CD1">
      <w:pPr>
        <w:pStyle w:val="CGC2025ParaNumbers"/>
      </w:pPr>
      <w:bookmarkStart w:id="51" w:name="_Ref152756805"/>
      <w:r w:rsidRPr="0094550B">
        <w:t>In the 2015 Review, as part of the move to a direct assessment approach for all state health services, the Commission introduced an adjustment to take account of different levels of non-state provision of health services</w:t>
      </w:r>
      <w:r>
        <w:t xml:space="preserve"> between states</w:t>
      </w:r>
      <w:r w:rsidRPr="0094550B">
        <w:t xml:space="preserve">. </w:t>
      </w:r>
      <w:r w:rsidR="00CD74D3">
        <w:t xml:space="preserve">This was on the </w:t>
      </w:r>
      <w:r w:rsidR="005E773B">
        <w:t>assumption that</w:t>
      </w:r>
      <w:r w:rsidR="00D44E4C">
        <w:t xml:space="preserve"> </w:t>
      </w:r>
      <w:r w:rsidR="00F1147D">
        <w:t xml:space="preserve">states with </w:t>
      </w:r>
      <w:r w:rsidR="00122267">
        <w:t>below</w:t>
      </w:r>
      <w:r w:rsidR="00CC6314">
        <w:t>-</w:t>
      </w:r>
      <w:r w:rsidR="003240DE">
        <w:t xml:space="preserve">average non-state service provision </w:t>
      </w:r>
      <w:r w:rsidR="007E5EC0">
        <w:t>faced</w:t>
      </w:r>
      <w:r w:rsidR="003240DE">
        <w:t xml:space="preserve"> additional costs.</w:t>
      </w:r>
      <w:bookmarkEnd w:id="51"/>
      <w:r w:rsidR="003240DE">
        <w:t xml:space="preserve"> </w:t>
      </w:r>
    </w:p>
    <w:p w14:paraId="2A8D3185" w14:textId="542C196B" w:rsidR="004C50A4" w:rsidRDefault="00CF70B1" w:rsidP="00A047DA">
      <w:pPr>
        <w:pStyle w:val="CGC2025ParaNumbers"/>
      </w:pPr>
      <w:r>
        <w:t>Since then, t</w:t>
      </w:r>
      <w:r w:rsidR="001001A4">
        <w:t xml:space="preserve">he </w:t>
      </w:r>
      <w:r w:rsidR="00D47106">
        <w:t>in</w:t>
      </w:r>
      <w:r w:rsidR="00412E34">
        <w:t>fluence of the non</w:t>
      </w:r>
      <w:r w:rsidR="00412E34">
        <w:noBreakHyphen/>
        <w:t xml:space="preserve">state </w:t>
      </w:r>
      <w:r w:rsidR="00927D08">
        <w:t xml:space="preserve">health sector </w:t>
      </w:r>
      <w:r>
        <w:t>has been</w:t>
      </w:r>
      <w:r w:rsidR="0016036C">
        <w:t xml:space="preserve"> </w:t>
      </w:r>
      <w:proofErr w:type="gramStart"/>
      <w:r w:rsidR="0016036C">
        <w:t>taken</w:t>
      </w:r>
      <w:r w:rsidR="001934AD">
        <w:t xml:space="preserve"> into account</w:t>
      </w:r>
      <w:proofErr w:type="gramEnd"/>
      <w:r w:rsidR="001934AD">
        <w:t xml:space="preserve"> in 2 ways</w:t>
      </w:r>
      <w:r w:rsidR="00EC0CDD">
        <w:t>.</w:t>
      </w:r>
    </w:p>
    <w:p w14:paraId="3A4CBB3B" w14:textId="5DDDBF20" w:rsidR="007E32E4" w:rsidRDefault="00686F46" w:rsidP="007E32E4">
      <w:pPr>
        <w:pStyle w:val="CGC2025Bullet1"/>
      </w:pPr>
      <w:r>
        <w:t>T</w:t>
      </w:r>
      <w:r w:rsidR="00EE1706">
        <w:t>he</w:t>
      </w:r>
      <w:r w:rsidR="00186DB9">
        <w:t xml:space="preserve"> </w:t>
      </w:r>
      <w:r w:rsidR="00393F2E">
        <w:t>socio</w:t>
      </w:r>
      <w:r w:rsidR="00173C5B">
        <w:t>-</w:t>
      </w:r>
      <w:r w:rsidR="00393F2E">
        <w:t>demographic composition assessment</w:t>
      </w:r>
      <w:r w:rsidR="00D40B59">
        <w:t xml:space="preserve"> reflects the higher use </w:t>
      </w:r>
      <w:r w:rsidR="00B81DA7">
        <w:t xml:space="preserve">and cost </w:t>
      </w:r>
      <w:r w:rsidR="00D40B59">
        <w:t xml:space="preserve">of </w:t>
      </w:r>
      <w:r w:rsidR="007D6401">
        <w:t xml:space="preserve">providing </w:t>
      </w:r>
      <w:r w:rsidR="00D40B59">
        <w:t xml:space="preserve">public health services </w:t>
      </w:r>
      <w:r w:rsidR="007D6401">
        <w:t>to</w:t>
      </w:r>
      <w:r w:rsidR="00D40B59">
        <w:t xml:space="preserve"> some population groups</w:t>
      </w:r>
      <w:r w:rsidR="009E395C">
        <w:t>,</w:t>
      </w:r>
      <w:r w:rsidR="00D40B59">
        <w:t xml:space="preserve"> </w:t>
      </w:r>
      <w:r w:rsidR="00FE2E7C">
        <w:t xml:space="preserve">some of which is due to </w:t>
      </w:r>
      <w:r w:rsidR="00551C6D">
        <w:t xml:space="preserve">differences in </w:t>
      </w:r>
      <w:r w:rsidR="00FE2E7C">
        <w:t xml:space="preserve">access to </w:t>
      </w:r>
      <w:r w:rsidR="00CD74D3">
        <w:t xml:space="preserve">non-state </w:t>
      </w:r>
      <w:r w:rsidR="00FE2E7C">
        <w:t>services</w:t>
      </w:r>
      <w:r w:rsidR="00393F2E">
        <w:t xml:space="preserve">. For example, </w:t>
      </w:r>
      <w:r w:rsidR="00DA53D0">
        <w:t>o</w:t>
      </w:r>
      <w:r w:rsidR="00DA53D0" w:rsidRPr="00DA53D0">
        <w:t>ne reason why state expenses per capita are higher in more remote areas is because of lower provision of services by the non-state sector</w:t>
      </w:r>
      <w:r w:rsidR="00B2783E">
        <w:t xml:space="preserve"> in these areas</w:t>
      </w:r>
      <w:r w:rsidR="00DA53D0" w:rsidRPr="00DA53D0">
        <w:t>.</w:t>
      </w:r>
    </w:p>
    <w:p w14:paraId="353AFAB2" w14:textId="0DEFE8A2" w:rsidR="0035786D" w:rsidRDefault="00686F46" w:rsidP="007E32E4">
      <w:pPr>
        <w:pStyle w:val="CGC2025Bullet1"/>
      </w:pPr>
      <w:r>
        <w:t>D</w:t>
      </w:r>
      <w:r w:rsidR="00E4616C">
        <w:t xml:space="preserve">ifferences in </w:t>
      </w:r>
      <w:r w:rsidR="000A32C5" w:rsidRPr="000A32C5">
        <w:t>non</w:t>
      </w:r>
      <w:r w:rsidR="000A32C5">
        <w:noBreakHyphen/>
      </w:r>
      <w:r w:rsidR="000A32C5" w:rsidRPr="000A32C5">
        <w:t>state provision</w:t>
      </w:r>
      <w:r w:rsidR="000A32C5">
        <w:t xml:space="preserve"> between states </w:t>
      </w:r>
      <w:r w:rsidR="008B3947">
        <w:t xml:space="preserve">are </w:t>
      </w:r>
      <w:r w:rsidR="00972197">
        <w:t>picked up through the non</w:t>
      </w:r>
      <w:r w:rsidR="00972197">
        <w:noBreakHyphen/>
        <w:t>state sector adjustment</w:t>
      </w:r>
      <w:r w:rsidR="00DE1E39">
        <w:t>. A</w:t>
      </w:r>
      <w:r w:rsidR="00DE1E39" w:rsidRPr="00DE1E39">
        <w:t>ssessed health expenses resulting from the socio</w:t>
      </w:r>
      <w:r w:rsidR="006521E6">
        <w:noBreakHyphen/>
      </w:r>
      <w:r w:rsidR="00DE1E39" w:rsidRPr="00DE1E39">
        <w:t xml:space="preserve">demographic composition assessment are either decreased or increased depending on whether the </w:t>
      </w:r>
      <w:r w:rsidR="00B009F4">
        <w:t>use</w:t>
      </w:r>
      <w:r w:rsidR="00DE1E39" w:rsidRPr="00DE1E39">
        <w:t xml:space="preserve"> of actual non-state health services exceeds, or falls short of, the assessed </w:t>
      </w:r>
      <w:r w:rsidR="00BE0984">
        <w:t>use</w:t>
      </w:r>
      <w:r w:rsidR="00DE1E39" w:rsidRPr="00DE1E39">
        <w:t xml:space="preserve"> of non</w:t>
      </w:r>
      <w:r w:rsidR="00CC3B98">
        <w:noBreakHyphen/>
      </w:r>
      <w:r w:rsidR="00DE1E39" w:rsidRPr="00DE1E39">
        <w:t>state health services.</w:t>
      </w:r>
    </w:p>
    <w:p w14:paraId="3B9B617C" w14:textId="638924A7" w:rsidR="00B84351" w:rsidRDefault="00877CA7" w:rsidP="0082794E">
      <w:pPr>
        <w:pStyle w:val="CGC2025ParaNumbers"/>
      </w:pPr>
      <w:r>
        <w:t xml:space="preserve">A key </w:t>
      </w:r>
      <w:r w:rsidR="00F82F21">
        <w:t xml:space="preserve">challenge </w:t>
      </w:r>
      <w:r w:rsidR="00273A21">
        <w:t>in</w:t>
      </w:r>
      <w:r w:rsidR="00F82F21">
        <w:t xml:space="preserve"> determin</w:t>
      </w:r>
      <w:r w:rsidR="00273A21">
        <w:t>ing</w:t>
      </w:r>
      <w:r w:rsidR="00F82F21">
        <w:t xml:space="preserve"> the appropriate size of the </w:t>
      </w:r>
      <w:r w:rsidR="00CC3B98">
        <w:t>non</w:t>
      </w:r>
      <w:r w:rsidR="00CC3B98">
        <w:noBreakHyphen/>
        <w:t xml:space="preserve">state sector adjustment </w:t>
      </w:r>
      <w:r w:rsidR="002E6647">
        <w:t xml:space="preserve">is </w:t>
      </w:r>
      <w:r w:rsidR="00E12C2D">
        <w:t xml:space="preserve">that </w:t>
      </w:r>
      <w:r w:rsidR="00843614">
        <w:t>it is no</w:t>
      </w:r>
      <w:r w:rsidR="00500D70">
        <w:t xml:space="preserve">t possible to </w:t>
      </w:r>
      <w:r w:rsidR="007E47EE">
        <w:t xml:space="preserve">quantify </w:t>
      </w:r>
      <w:r w:rsidR="003F1192">
        <w:t xml:space="preserve">how many </w:t>
      </w:r>
      <w:r w:rsidR="00251C58">
        <w:t xml:space="preserve">health services </w:t>
      </w:r>
      <w:r w:rsidR="00F7350B">
        <w:t xml:space="preserve">need to be </w:t>
      </w:r>
      <w:r w:rsidR="008F5834">
        <w:t>provided</w:t>
      </w:r>
      <w:r w:rsidR="00CE52B1">
        <w:t xml:space="preserve">. </w:t>
      </w:r>
      <w:r w:rsidR="00DB229D">
        <w:t xml:space="preserve">Not all </w:t>
      </w:r>
      <w:r w:rsidR="00FD6410">
        <w:t xml:space="preserve">health procedures </w:t>
      </w:r>
      <w:r w:rsidR="00143000">
        <w:t xml:space="preserve">that are </w:t>
      </w:r>
      <w:r w:rsidR="00F6271D">
        <w:t xml:space="preserve">performed </w:t>
      </w:r>
      <w:r w:rsidR="00FD6410">
        <w:t>need to be performed</w:t>
      </w:r>
      <w:r w:rsidR="00F6271D">
        <w:t xml:space="preserve"> by </w:t>
      </w:r>
      <w:r w:rsidR="007902DD">
        <w:t>the state sector</w:t>
      </w:r>
      <w:r w:rsidR="00FD6410">
        <w:t xml:space="preserve">. As such, the </w:t>
      </w:r>
      <w:r w:rsidR="00D12DEE">
        <w:t>provision</w:t>
      </w:r>
      <w:r w:rsidR="00AA39DA">
        <w:t xml:space="preserve"> of a </w:t>
      </w:r>
      <w:r w:rsidR="00D12DEE">
        <w:t xml:space="preserve">service by the </w:t>
      </w:r>
      <w:r w:rsidR="00AA39DA">
        <w:t>non</w:t>
      </w:r>
      <w:r w:rsidR="00AA39DA">
        <w:noBreakHyphen/>
        <w:t xml:space="preserve">state </w:t>
      </w:r>
      <w:r w:rsidR="00D12DEE">
        <w:t xml:space="preserve">sector </w:t>
      </w:r>
      <w:r w:rsidR="00AA39DA">
        <w:t xml:space="preserve">does not </w:t>
      </w:r>
      <w:r w:rsidR="001069C7">
        <w:t>necessarily mean that</w:t>
      </w:r>
      <w:r w:rsidR="0063206A">
        <w:t xml:space="preserve"> </w:t>
      </w:r>
      <w:r w:rsidR="00F4522B">
        <w:t xml:space="preserve">fewer </w:t>
      </w:r>
      <w:r w:rsidR="0077348A">
        <w:t xml:space="preserve">state services </w:t>
      </w:r>
      <w:r w:rsidR="007A191F">
        <w:t>are needed.</w:t>
      </w:r>
      <w:r w:rsidR="007D6EF7">
        <w:rPr>
          <w:rStyle w:val="FootnoteReference"/>
        </w:rPr>
        <w:footnoteReference w:id="19"/>
      </w:r>
      <w:r w:rsidR="00143A84">
        <w:t xml:space="preserve"> </w:t>
      </w:r>
      <w:r w:rsidR="003208A9">
        <w:t>T</w:t>
      </w:r>
      <w:r w:rsidR="00143A84">
        <w:t xml:space="preserve">his </w:t>
      </w:r>
      <w:r w:rsidR="007F1392">
        <w:t xml:space="preserve">is </w:t>
      </w:r>
      <w:proofErr w:type="gramStart"/>
      <w:r w:rsidR="007F1392">
        <w:t>taken</w:t>
      </w:r>
      <w:r w:rsidR="003A3DEB">
        <w:t xml:space="preserve"> into account</w:t>
      </w:r>
      <w:proofErr w:type="gramEnd"/>
      <w:r w:rsidR="003A3DEB">
        <w:t xml:space="preserve"> in</w:t>
      </w:r>
      <w:r w:rsidR="00425D7D">
        <w:t xml:space="preserve"> the</w:t>
      </w:r>
      <w:r w:rsidR="003A1621">
        <w:t xml:space="preserve"> approach</w:t>
      </w:r>
      <w:r w:rsidR="005E426A">
        <w:t xml:space="preserve"> the Commission has used since the 2015 Review as well the </w:t>
      </w:r>
      <w:r w:rsidR="0082794E">
        <w:t>approach advocated by Western Australia.</w:t>
      </w:r>
    </w:p>
    <w:p w14:paraId="33381B01" w14:textId="54714D32" w:rsidR="0094550B" w:rsidRDefault="000E3011" w:rsidP="0091458F">
      <w:pPr>
        <w:pStyle w:val="CGC2025ParaNumbers"/>
      </w:pPr>
      <w:r>
        <w:t>Western Australia</w:t>
      </w:r>
      <w:r w:rsidR="00B230A0">
        <w:t xml:space="preserve"> </w:t>
      </w:r>
      <w:r w:rsidR="00A56ABD">
        <w:t>has</w:t>
      </w:r>
      <w:r w:rsidR="00B230A0">
        <w:t xml:space="preserve"> </w:t>
      </w:r>
      <w:r w:rsidR="00911AF6">
        <w:t xml:space="preserve">taken a different approach to </w:t>
      </w:r>
      <w:r w:rsidR="00D30C66">
        <w:t xml:space="preserve">the </w:t>
      </w:r>
      <w:r w:rsidR="006B374C">
        <w:t>relationship between the substitutabil</w:t>
      </w:r>
      <w:r w:rsidR="004A5279">
        <w:t xml:space="preserve">ity level and </w:t>
      </w:r>
      <w:r w:rsidR="00C3323B">
        <w:t>indicator of non</w:t>
      </w:r>
      <w:r w:rsidR="00C3323B">
        <w:noBreakHyphen/>
        <w:t>state sector activity</w:t>
      </w:r>
      <w:r w:rsidR="006D0A1B">
        <w:t>.</w:t>
      </w:r>
    </w:p>
    <w:p w14:paraId="5F3D888C" w14:textId="18119A7B" w:rsidR="009E6D0D" w:rsidRDefault="009B2B7A" w:rsidP="009B2B7A">
      <w:pPr>
        <w:pStyle w:val="CGC2025ParaNumbers"/>
      </w:pPr>
      <w:r>
        <w:t>I</w:t>
      </w:r>
      <w:r w:rsidR="008B4F73">
        <w:t>n the Commission’s approach, t</w:t>
      </w:r>
      <w:r w:rsidR="00DD6A9E">
        <w:t xml:space="preserve">he substitutability level </w:t>
      </w:r>
      <w:r w:rsidR="00E66E79" w:rsidRPr="0094550B">
        <w:t xml:space="preserve">is the share of state expenses </w:t>
      </w:r>
      <w:r w:rsidR="00E66E79">
        <w:t xml:space="preserve">that </w:t>
      </w:r>
      <w:r w:rsidR="00E66E79" w:rsidRPr="0094550B">
        <w:t xml:space="preserve">are </w:t>
      </w:r>
      <w:r w:rsidR="00E66E79">
        <w:t xml:space="preserve">influenced </w:t>
      </w:r>
      <w:r w:rsidR="00E66E79" w:rsidRPr="0094550B">
        <w:t>by</w:t>
      </w:r>
      <w:r w:rsidR="00E66E79">
        <w:t xml:space="preserve"> </w:t>
      </w:r>
      <w:r w:rsidR="00E66E79" w:rsidRPr="0094550B">
        <w:t>the non-state sector</w:t>
      </w:r>
      <w:r w:rsidR="00744F80">
        <w:t xml:space="preserve">. </w:t>
      </w:r>
      <w:r w:rsidR="0043606F">
        <w:t xml:space="preserve">In Western Australia’s </w:t>
      </w:r>
      <w:r w:rsidR="0043606F">
        <w:lastRenderedPageBreak/>
        <w:t>approach it is the share of non</w:t>
      </w:r>
      <w:r w:rsidR="0043606F">
        <w:noBreakHyphen/>
        <w:t xml:space="preserve">state </w:t>
      </w:r>
      <w:r w:rsidR="008750FA">
        <w:t xml:space="preserve">sector </w:t>
      </w:r>
      <w:r w:rsidR="0043606F">
        <w:t xml:space="preserve">expenses that </w:t>
      </w:r>
      <w:r w:rsidR="003F11DF">
        <w:t>can be undertaken by the state</w:t>
      </w:r>
      <w:r w:rsidR="008750FA">
        <w:t xml:space="preserve"> sector</w:t>
      </w:r>
      <w:r w:rsidR="004018EB">
        <w:t>.</w:t>
      </w:r>
    </w:p>
    <w:p w14:paraId="56AC41CB" w14:textId="16F80117" w:rsidR="009E6D0D" w:rsidRDefault="009B2B7A" w:rsidP="008D1082">
      <w:pPr>
        <w:pStyle w:val="CGC2025ParaNumbers"/>
      </w:pPr>
      <w:r w:rsidRPr="008D1082">
        <w:t>I</w:t>
      </w:r>
      <w:r w:rsidR="008750FA" w:rsidRPr="008D1082">
        <w:t>n</w:t>
      </w:r>
      <w:r w:rsidR="008750FA">
        <w:t xml:space="preserve"> the Commission’s approach, </w:t>
      </w:r>
      <w:r w:rsidR="000B5136">
        <w:t>t</w:t>
      </w:r>
      <w:r w:rsidR="009E6D0D">
        <w:t>he indicator of non</w:t>
      </w:r>
      <w:r w:rsidR="79CC1AB2">
        <w:t>-</w:t>
      </w:r>
      <w:r w:rsidR="009E6D0D">
        <w:t xml:space="preserve">state sector activity is intended to </w:t>
      </w:r>
      <w:r w:rsidR="0039458C">
        <w:t>provide</w:t>
      </w:r>
      <w:r w:rsidR="009E6D0D">
        <w:t xml:space="preserve"> a broad measure of the </w:t>
      </w:r>
      <w:r w:rsidR="008D50D9">
        <w:t xml:space="preserve">differences in the </w:t>
      </w:r>
      <w:r w:rsidR="009E6D0D">
        <w:t>availability of non</w:t>
      </w:r>
      <w:r w:rsidR="008750FA">
        <w:noBreakHyphen/>
      </w:r>
      <w:r w:rsidR="009E6D0D">
        <w:t>state services between states</w:t>
      </w:r>
      <w:r w:rsidR="4BC770AF">
        <w:t xml:space="preserve">. It is </w:t>
      </w:r>
      <w:r w:rsidR="009E6D0D">
        <w:t xml:space="preserve">not </w:t>
      </w:r>
      <w:r w:rsidR="2C3E7E23">
        <w:t>intended to be a</w:t>
      </w:r>
      <w:r w:rsidR="009E6D0D">
        <w:t xml:space="preserve"> precise measure of </w:t>
      </w:r>
      <w:r w:rsidR="00103215">
        <w:t xml:space="preserve">the volume or value </w:t>
      </w:r>
      <w:r w:rsidR="00376597">
        <w:t xml:space="preserve">of </w:t>
      </w:r>
      <w:r w:rsidR="009E6D0D">
        <w:t>substitutable services.</w:t>
      </w:r>
      <w:r w:rsidR="008D1082">
        <w:t xml:space="preserve"> In Western Australia’s approach, </w:t>
      </w:r>
      <w:r w:rsidR="008A6023">
        <w:t xml:space="preserve">the </w:t>
      </w:r>
      <w:r w:rsidR="00245ECB">
        <w:t xml:space="preserve">volume and value of substitutable services are intended to </w:t>
      </w:r>
      <w:r w:rsidR="00E1332A">
        <w:t>be precise measure</w:t>
      </w:r>
      <w:r w:rsidR="00725614">
        <w:t>s</w:t>
      </w:r>
      <w:r w:rsidR="00E1332A">
        <w:t xml:space="preserve"> of the </w:t>
      </w:r>
      <w:r w:rsidR="004F7CC6">
        <w:t>saving to states</w:t>
      </w:r>
      <w:r w:rsidR="00725614">
        <w:t xml:space="preserve"> from the presence of non</w:t>
      </w:r>
      <w:r w:rsidR="00725614">
        <w:noBreakHyphen/>
        <w:t>state services.</w:t>
      </w:r>
    </w:p>
    <w:p w14:paraId="1901806E" w14:textId="7F12462D" w:rsidR="009E6D0D" w:rsidRPr="0094550B" w:rsidRDefault="00206864" w:rsidP="0091458F">
      <w:pPr>
        <w:pStyle w:val="CGC2025ParaNumbers"/>
      </w:pPr>
      <w:r>
        <w:t>Given</w:t>
      </w:r>
      <w:r w:rsidR="004D5EC3">
        <w:t xml:space="preserve"> </w:t>
      </w:r>
      <w:r>
        <w:t>the</w:t>
      </w:r>
      <w:r w:rsidR="005A6F4B">
        <w:t xml:space="preserve"> </w:t>
      </w:r>
      <w:r w:rsidR="009214C3">
        <w:t>different</w:t>
      </w:r>
      <w:r w:rsidR="005A6F4B">
        <w:t xml:space="preserve"> </w:t>
      </w:r>
      <w:r w:rsidR="00926BE5">
        <w:t>conceptual approach</w:t>
      </w:r>
      <w:r>
        <w:t xml:space="preserve"> </w:t>
      </w:r>
      <w:r w:rsidR="00284FDC">
        <w:t xml:space="preserve">by the Commission and Western Australia </w:t>
      </w:r>
      <w:r w:rsidR="00B41CF4">
        <w:t xml:space="preserve">for </w:t>
      </w:r>
      <w:r w:rsidR="00AB0E42">
        <w:t>estimating the</w:t>
      </w:r>
      <w:r w:rsidR="005F41E1">
        <w:t xml:space="preserve"> differing levels of non</w:t>
      </w:r>
      <w:r w:rsidR="00745CB9">
        <w:noBreakHyphen/>
      </w:r>
      <w:r w:rsidR="005F41E1">
        <w:t xml:space="preserve">state </w:t>
      </w:r>
      <w:r w:rsidR="001809DF">
        <w:t xml:space="preserve">sector </w:t>
      </w:r>
      <w:r w:rsidR="005F41E1">
        <w:t xml:space="preserve">provision </w:t>
      </w:r>
      <w:r w:rsidR="00B0290D">
        <w:t>between states</w:t>
      </w:r>
      <w:r w:rsidR="1F44FE6D">
        <w:t xml:space="preserve">, the Commission does not </w:t>
      </w:r>
      <w:r w:rsidR="2D3A0ED1">
        <w:t>consider</w:t>
      </w:r>
      <w:r w:rsidR="006837DA">
        <w:t xml:space="preserve"> </w:t>
      </w:r>
      <w:r w:rsidR="000216FD">
        <w:t xml:space="preserve">it </w:t>
      </w:r>
      <w:r w:rsidR="00507B58">
        <w:t xml:space="preserve">valid to say </w:t>
      </w:r>
      <w:r w:rsidR="00C43D7B">
        <w:t>that</w:t>
      </w:r>
      <w:r w:rsidR="00507B58">
        <w:t xml:space="preserve"> one or </w:t>
      </w:r>
      <w:r w:rsidR="00C43D7B">
        <w:t xml:space="preserve">the </w:t>
      </w:r>
      <w:r w:rsidR="00507B58">
        <w:t xml:space="preserve">other of the approaches is </w:t>
      </w:r>
      <w:r w:rsidR="00CB4C18">
        <w:t>fundamentally flawed or incorrect.</w:t>
      </w:r>
    </w:p>
    <w:p w14:paraId="5B18B7E6" w14:textId="3F6384FC" w:rsidR="008F73A7" w:rsidRDefault="00CB4C18" w:rsidP="00A352E8">
      <w:pPr>
        <w:pStyle w:val="CGC2025ParaNumbers"/>
      </w:pPr>
      <w:r>
        <w:t>T</w:t>
      </w:r>
      <w:r w:rsidR="004B512A">
        <w:t>he Commission</w:t>
      </w:r>
      <w:r>
        <w:t xml:space="preserve"> acknowledges</w:t>
      </w:r>
      <w:r w:rsidR="004B512A">
        <w:t xml:space="preserve"> that Western Aust</w:t>
      </w:r>
      <w:r w:rsidR="00A7762D">
        <w:t xml:space="preserve">ralia </w:t>
      </w:r>
      <w:r w:rsidR="008D5E28">
        <w:t>present</w:t>
      </w:r>
      <w:r w:rsidR="00FB7ACD">
        <w:t>ed</w:t>
      </w:r>
      <w:r w:rsidR="008D5E28">
        <w:t xml:space="preserve"> a conceptually valid </w:t>
      </w:r>
      <w:r w:rsidR="00EF64E9">
        <w:t xml:space="preserve">alternative </w:t>
      </w:r>
      <w:r w:rsidR="098A30C2">
        <w:t xml:space="preserve">method </w:t>
      </w:r>
      <w:r w:rsidR="00B41CF4">
        <w:t xml:space="preserve">for </w:t>
      </w:r>
      <w:r w:rsidR="001215F2">
        <w:t>determin</w:t>
      </w:r>
      <w:r w:rsidR="00B41CF4">
        <w:t>ing</w:t>
      </w:r>
      <w:r w:rsidR="001215F2">
        <w:t xml:space="preserve"> the extent to which the non</w:t>
      </w:r>
      <w:r w:rsidR="1516E22F">
        <w:t>-</w:t>
      </w:r>
      <w:r w:rsidR="001215F2">
        <w:t>state sector</w:t>
      </w:r>
      <w:r w:rsidR="00071DE6">
        <w:t xml:space="preserve"> </w:t>
      </w:r>
      <w:r w:rsidR="03A0460B">
        <w:t xml:space="preserve">reduces the need for </w:t>
      </w:r>
      <w:r w:rsidR="00A879A2">
        <w:t xml:space="preserve">state health </w:t>
      </w:r>
      <w:r w:rsidR="5BCFD906">
        <w:t>spending</w:t>
      </w:r>
      <w:r w:rsidR="00A879A2">
        <w:t>.</w:t>
      </w:r>
      <w:r w:rsidR="00A352E8">
        <w:t xml:space="preserve"> </w:t>
      </w:r>
    </w:p>
    <w:p w14:paraId="2434AD2F" w14:textId="1038C183" w:rsidR="0C1D270C" w:rsidRDefault="004B614A" w:rsidP="47F6FF17">
      <w:pPr>
        <w:pStyle w:val="CGC2025ParaNumbers"/>
      </w:pPr>
      <w:r>
        <w:t>T</w:t>
      </w:r>
      <w:r w:rsidR="28AE2717">
        <w:t xml:space="preserve">he Commission and Western Australia agree that not all services provided by </w:t>
      </w:r>
      <w:r w:rsidR="00E5584A">
        <w:t>non</w:t>
      </w:r>
      <w:r w:rsidR="0063406D">
        <w:noBreakHyphen/>
      </w:r>
      <w:r w:rsidR="00E5584A">
        <w:t xml:space="preserve">state health services </w:t>
      </w:r>
      <w:r w:rsidR="00AE023B">
        <w:t xml:space="preserve">influence </w:t>
      </w:r>
      <w:r w:rsidR="00D57C8F">
        <w:t>the level of service provision of the state sector</w:t>
      </w:r>
      <w:r w:rsidR="28AE2717">
        <w:t xml:space="preserve">. </w:t>
      </w:r>
      <w:r w:rsidR="0075004B">
        <w:t>Both the Commission</w:t>
      </w:r>
      <w:r w:rsidR="009E594D">
        <w:t xml:space="preserve">’s current and Western Australia’s </w:t>
      </w:r>
      <w:r w:rsidR="2CFC5482">
        <w:t xml:space="preserve">proposed methods </w:t>
      </w:r>
      <w:r w:rsidR="009E594D">
        <w:t>a</w:t>
      </w:r>
      <w:r w:rsidR="00816763">
        <w:t>ssess the differenc</w:t>
      </w:r>
      <w:r w:rsidR="0043473B">
        <w:t xml:space="preserve">e </w:t>
      </w:r>
      <w:r w:rsidR="006E5159">
        <w:t xml:space="preserve">between </w:t>
      </w:r>
      <w:r w:rsidR="00CD1EFF">
        <w:t>an</w:t>
      </w:r>
      <w:r w:rsidR="006E5159">
        <w:t xml:space="preserve"> actual and assessed </w:t>
      </w:r>
      <w:r w:rsidR="00CD1EFF">
        <w:t>measure</w:t>
      </w:r>
      <w:r w:rsidR="006E5159">
        <w:t xml:space="preserve"> of </w:t>
      </w:r>
      <w:r w:rsidR="00800D62">
        <w:t xml:space="preserve">substitutable </w:t>
      </w:r>
      <w:r w:rsidR="006E5159">
        <w:t xml:space="preserve">services provided by the </w:t>
      </w:r>
      <w:r w:rsidR="0094439A">
        <w:t>non</w:t>
      </w:r>
      <w:r w:rsidR="0094439A">
        <w:noBreakHyphen/>
        <w:t>state</w:t>
      </w:r>
      <w:r w:rsidR="006E5159">
        <w:t xml:space="preserve"> sector.</w:t>
      </w:r>
      <w:r w:rsidR="0030555A">
        <w:t xml:space="preserve"> </w:t>
      </w:r>
    </w:p>
    <w:p w14:paraId="2990129A" w14:textId="469B1D1E" w:rsidR="007F7A79" w:rsidRDefault="1BCC8648" w:rsidP="00A352E8">
      <w:pPr>
        <w:pStyle w:val="CGC2025ParaNumbers"/>
      </w:pPr>
      <w:r>
        <w:t xml:space="preserve">The method proposed by Western Australia </w:t>
      </w:r>
      <w:r w:rsidR="008A7618">
        <w:t xml:space="preserve">is a more direct approach </w:t>
      </w:r>
      <w:r w:rsidR="002628FE">
        <w:t>than the Commission’s</w:t>
      </w:r>
      <w:r w:rsidR="0880CA39">
        <w:t>. As a result</w:t>
      </w:r>
      <w:r w:rsidR="00766919">
        <w:t>,</w:t>
      </w:r>
      <w:r w:rsidR="002628FE">
        <w:t xml:space="preserve"> </w:t>
      </w:r>
      <w:r w:rsidR="003E0775">
        <w:t>it is</w:t>
      </w:r>
      <w:r w:rsidR="00F66CB0">
        <w:t xml:space="preserve"> highly </w:t>
      </w:r>
      <w:r w:rsidR="003E0775">
        <w:t>reliant on</w:t>
      </w:r>
      <w:r w:rsidR="007A141C">
        <w:t xml:space="preserve"> </w:t>
      </w:r>
      <w:r w:rsidR="006B1DE2">
        <w:t>accurate activity and public cost</w:t>
      </w:r>
      <w:r w:rsidR="00A94F90">
        <w:t xml:space="preserve"> </w:t>
      </w:r>
      <w:r w:rsidR="00CB2C00">
        <w:t>data</w:t>
      </w:r>
      <w:r w:rsidR="006B1DE2">
        <w:t xml:space="preserve"> being available</w:t>
      </w:r>
      <w:r w:rsidR="002628FE">
        <w:t xml:space="preserve">. </w:t>
      </w:r>
      <w:r w:rsidR="4CEBFDE4">
        <w:t>To identify substitutable services, i</w:t>
      </w:r>
      <w:r w:rsidR="00C0149B">
        <w:t xml:space="preserve">nformation is needed on the </w:t>
      </w:r>
      <w:r w:rsidR="00726ECE">
        <w:t xml:space="preserve">specific </w:t>
      </w:r>
      <w:r w:rsidR="00C0149B">
        <w:t>types of services provided in the state and non</w:t>
      </w:r>
      <w:r w:rsidR="2D990395">
        <w:t>-</w:t>
      </w:r>
      <w:r w:rsidR="00C0149B">
        <w:t>state sec</w:t>
      </w:r>
      <w:r w:rsidR="00622161">
        <w:t>tors</w:t>
      </w:r>
      <w:r w:rsidR="00126003">
        <w:t>.</w:t>
      </w:r>
      <w:r w:rsidR="00A44725">
        <w:t xml:space="preserve"> </w:t>
      </w:r>
      <w:r w:rsidR="01731ECC">
        <w:t>In addition</w:t>
      </w:r>
      <w:r w:rsidR="0023633C">
        <w:t xml:space="preserve">, </w:t>
      </w:r>
      <w:r w:rsidR="000F3742">
        <w:t xml:space="preserve">data on service costs </w:t>
      </w:r>
      <w:r w:rsidR="00FB7ACD">
        <w:t>are</w:t>
      </w:r>
      <w:r w:rsidR="000F3742">
        <w:t xml:space="preserve"> required to </w:t>
      </w:r>
      <w:r w:rsidR="00DC2A24">
        <w:t>estimate the</w:t>
      </w:r>
      <w:r w:rsidR="0009310B">
        <w:t xml:space="preserve"> </w:t>
      </w:r>
      <w:r w:rsidR="0009310B" w:rsidRPr="00992282">
        <w:t xml:space="preserve">public cost equivalent of </w:t>
      </w:r>
      <w:r w:rsidR="00E1668D">
        <w:t xml:space="preserve">substitutable </w:t>
      </w:r>
      <w:r w:rsidR="0009310B" w:rsidRPr="00992282">
        <w:t>non</w:t>
      </w:r>
      <w:r w:rsidR="067F715C">
        <w:t>-</w:t>
      </w:r>
      <w:r w:rsidR="0009310B" w:rsidRPr="00992282">
        <w:t>state services</w:t>
      </w:r>
      <w:r w:rsidR="00A14CAB">
        <w:t>.</w:t>
      </w:r>
      <w:r w:rsidR="00DC2A24">
        <w:t xml:space="preserve"> </w:t>
      </w:r>
      <w:r w:rsidR="00980226">
        <w:t xml:space="preserve">The </w:t>
      </w:r>
      <w:r w:rsidR="002831CF">
        <w:t>avail</w:t>
      </w:r>
      <w:r w:rsidR="001D7A03">
        <w:t xml:space="preserve">ability of the data needed </w:t>
      </w:r>
      <w:r w:rsidR="00F12E6B">
        <w:t xml:space="preserve">to implement Western Australia’s approach </w:t>
      </w:r>
      <w:r w:rsidR="000C6C56">
        <w:t xml:space="preserve">varies </w:t>
      </w:r>
      <w:r w:rsidR="00752030">
        <w:t xml:space="preserve">across </w:t>
      </w:r>
      <w:r w:rsidR="005E56AB">
        <w:t xml:space="preserve">the components in the health </w:t>
      </w:r>
      <w:r w:rsidR="00BB5A47">
        <w:t xml:space="preserve">assessment, </w:t>
      </w:r>
      <w:r w:rsidR="00BB147E">
        <w:t>with good data on admitted patient services and poor data on community health services</w:t>
      </w:r>
      <w:r w:rsidR="00C85621">
        <w:t xml:space="preserve">. </w:t>
      </w:r>
    </w:p>
    <w:p w14:paraId="73337E98" w14:textId="257C7347" w:rsidR="00EF3E9C" w:rsidRDefault="00100E40" w:rsidP="00245FF4">
      <w:pPr>
        <w:pStyle w:val="CGC2025ParaNumbers"/>
      </w:pPr>
      <w:r>
        <w:t xml:space="preserve">The </w:t>
      </w:r>
      <w:r w:rsidR="00D80AE3">
        <w:t>2</w:t>
      </w:r>
      <w:r>
        <w:t xml:space="preserve"> approaches may </w:t>
      </w:r>
      <w:r w:rsidR="00D04E35">
        <w:t xml:space="preserve">produce </w:t>
      </w:r>
      <w:r w:rsidR="00C3070C">
        <w:t>similar</w:t>
      </w:r>
      <w:r w:rsidR="00D04E35">
        <w:t xml:space="preserve"> </w:t>
      </w:r>
      <w:r w:rsidR="00D30EC7">
        <w:t>outcomes if</w:t>
      </w:r>
      <w:r w:rsidR="002C02FE">
        <w:t xml:space="preserve"> </w:t>
      </w:r>
      <w:r w:rsidR="00BA0F68">
        <w:t>analogou</w:t>
      </w:r>
      <w:r w:rsidR="00C3070C">
        <w:t>s</w:t>
      </w:r>
      <w:r w:rsidR="007C67CA">
        <w:t xml:space="preserve"> assumptions </w:t>
      </w:r>
      <w:r w:rsidR="007F01CB">
        <w:t>are applied</w:t>
      </w:r>
      <w:r w:rsidR="00250B87">
        <w:t>.</w:t>
      </w:r>
    </w:p>
    <w:p w14:paraId="41FAF1E7" w14:textId="06DC8EA8" w:rsidR="006273A8" w:rsidRDefault="00D7241D" w:rsidP="0091458F">
      <w:pPr>
        <w:pStyle w:val="CGC2025ParaNumbers"/>
      </w:pPr>
      <w:r>
        <w:t>S</w:t>
      </w:r>
      <w:r w:rsidR="007C08EF">
        <w:t>eparate to t</w:t>
      </w:r>
      <w:r w:rsidR="009E3D1A">
        <w:t xml:space="preserve">he </w:t>
      </w:r>
      <w:r w:rsidR="00E64CEA">
        <w:t>submission made by Western Australia, t</w:t>
      </w:r>
      <w:r w:rsidR="006273A8">
        <w:t>he Commission agrees</w:t>
      </w:r>
      <w:r w:rsidR="00E472AC">
        <w:t xml:space="preserve"> that the</w:t>
      </w:r>
      <w:r w:rsidR="006273A8">
        <w:t xml:space="preserve"> factors identified by New South Wales</w:t>
      </w:r>
      <w:r w:rsidR="008713E1">
        <w:t xml:space="preserve"> </w:t>
      </w:r>
      <w:r w:rsidR="00E472AC">
        <w:t xml:space="preserve">are likely to </w:t>
      </w:r>
      <w:r w:rsidR="008713E1">
        <w:t xml:space="preserve">impact the </w:t>
      </w:r>
      <w:r w:rsidR="00F12284">
        <w:t xml:space="preserve">extent to which </w:t>
      </w:r>
      <w:r w:rsidR="000F5032">
        <w:t>non</w:t>
      </w:r>
      <w:r w:rsidR="009B0696">
        <w:t>-</w:t>
      </w:r>
      <w:r w:rsidR="000F5032">
        <w:t xml:space="preserve">state services </w:t>
      </w:r>
      <w:r w:rsidR="00223920">
        <w:t>reduce demand for state health services</w:t>
      </w:r>
      <w:r w:rsidR="008D3922">
        <w:t xml:space="preserve">. </w:t>
      </w:r>
      <w:r w:rsidR="00304246">
        <w:t xml:space="preserve">These </w:t>
      </w:r>
      <w:r w:rsidR="009D1D49">
        <w:t>factors</w:t>
      </w:r>
      <w:r w:rsidR="00601AF1">
        <w:t xml:space="preserve"> are not quantifiable</w:t>
      </w:r>
      <w:r w:rsidR="00AE2235">
        <w:t xml:space="preserve">, although </w:t>
      </w:r>
      <w:r w:rsidR="009D64B9">
        <w:t>in a supplem</w:t>
      </w:r>
      <w:r w:rsidR="005A1ED2">
        <w:t xml:space="preserve">entary submission New South Wales </w:t>
      </w:r>
      <w:r w:rsidR="000476DD">
        <w:t>presented data that</w:t>
      </w:r>
      <w:r w:rsidR="00CB1F09">
        <w:t xml:space="preserve"> </w:t>
      </w:r>
      <w:r w:rsidR="00A85D43">
        <w:t xml:space="preserve">supported </w:t>
      </w:r>
      <w:r w:rsidR="00DA4B83">
        <w:t xml:space="preserve">an argument that </w:t>
      </w:r>
      <w:r w:rsidR="008B3BFF">
        <w:t>no substitutability existed between state and non</w:t>
      </w:r>
      <w:r w:rsidR="008B3BFF">
        <w:noBreakHyphen/>
        <w:t>state service provision</w:t>
      </w:r>
      <w:r w:rsidR="00F76144">
        <w:t>.</w:t>
      </w:r>
      <w:r w:rsidR="00601AF1">
        <w:t xml:space="preserve"> </w:t>
      </w:r>
      <w:r w:rsidR="00235023">
        <w:t>This</w:t>
      </w:r>
      <w:r w:rsidR="006538A0">
        <w:t xml:space="preserve"> will be </w:t>
      </w:r>
      <w:r w:rsidR="002E62E0">
        <w:t>considered</w:t>
      </w:r>
      <w:r w:rsidR="006538A0">
        <w:t xml:space="preserve"> </w:t>
      </w:r>
      <w:r w:rsidR="0069633D">
        <w:t>in the</w:t>
      </w:r>
      <w:r w:rsidR="00093A01">
        <w:t xml:space="preserve"> judg</w:t>
      </w:r>
      <w:r w:rsidR="00FB7ACD">
        <w:t>e</w:t>
      </w:r>
      <w:r w:rsidR="00093A01">
        <w:t>ments t</w:t>
      </w:r>
      <w:r w:rsidR="00CE548D">
        <w:t>he</w:t>
      </w:r>
      <w:r w:rsidR="00093A01">
        <w:t xml:space="preserve"> Commission </w:t>
      </w:r>
      <w:r w:rsidR="001A647F">
        <w:t>makes on the substit</w:t>
      </w:r>
      <w:r w:rsidR="00717029">
        <w:t>utability levels in each component of the health assessment</w:t>
      </w:r>
      <w:r w:rsidR="00447B9D">
        <w:t xml:space="preserve"> </w:t>
      </w:r>
      <w:r w:rsidR="008166B6">
        <w:t>in the 2025 Review</w:t>
      </w:r>
      <w:r w:rsidR="00717029">
        <w:t>.</w:t>
      </w:r>
    </w:p>
    <w:p w14:paraId="5B32DF96" w14:textId="1492B3E5" w:rsidR="002962CE" w:rsidRDefault="000B7A51" w:rsidP="00F86F1F">
      <w:pPr>
        <w:pStyle w:val="CGC2025ParaNumbers"/>
      </w:pPr>
      <w:proofErr w:type="gramStart"/>
      <w:r>
        <w:lastRenderedPageBreak/>
        <w:t>In regard to</w:t>
      </w:r>
      <w:proofErr w:type="gramEnd"/>
      <w:r>
        <w:t xml:space="preserve"> </w:t>
      </w:r>
      <w:r w:rsidR="002962CE">
        <w:t xml:space="preserve">New South </w:t>
      </w:r>
      <w:proofErr w:type="spellStart"/>
      <w:r w:rsidR="002962CE">
        <w:t>Wales</w:t>
      </w:r>
      <w:r>
        <w:t>’</w:t>
      </w:r>
      <w:proofErr w:type="spellEnd"/>
      <w:r w:rsidR="002962CE">
        <w:t xml:space="preserve"> point that the non</w:t>
      </w:r>
      <w:r w:rsidR="5ADD2D00">
        <w:t>-</w:t>
      </w:r>
      <w:r w:rsidR="002962CE">
        <w:t>state sector adjustment should not exceed actual non-state provision</w:t>
      </w:r>
      <w:r w:rsidR="00EE3255">
        <w:t xml:space="preserve">, </w:t>
      </w:r>
      <w:bookmarkStart w:id="52" w:name="_Hlk151463782"/>
      <w:r w:rsidR="00EE3255">
        <w:t>i</w:t>
      </w:r>
      <w:r w:rsidR="002962CE">
        <w:t>t</w:t>
      </w:r>
      <w:r w:rsidR="00C355FA">
        <w:t xml:space="preserve"> is relevant</w:t>
      </w:r>
      <w:r w:rsidR="002962CE">
        <w:t xml:space="preserve"> that the indicators of non</w:t>
      </w:r>
      <w:r w:rsidR="004F3471">
        <w:t>-</w:t>
      </w:r>
      <w:r w:rsidR="002962CE">
        <w:t>state sector activity used by the Commission do not represent the full scope of non</w:t>
      </w:r>
      <w:r w:rsidR="002962CE">
        <w:noBreakHyphen/>
        <w:t xml:space="preserve">state sector services. </w:t>
      </w:r>
      <w:r w:rsidR="00916DE7">
        <w:t xml:space="preserve">The </w:t>
      </w:r>
      <w:r w:rsidR="00914368">
        <w:t>non</w:t>
      </w:r>
      <w:r w:rsidR="2E3DCAD1">
        <w:t>-</w:t>
      </w:r>
      <w:r w:rsidR="00914368">
        <w:t xml:space="preserve">state sector </w:t>
      </w:r>
      <w:r w:rsidR="00916DE7">
        <w:t>indicator</w:t>
      </w:r>
      <w:r w:rsidR="00781F2C">
        <w:t xml:space="preserve"> is intended to </w:t>
      </w:r>
      <w:r w:rsidR="00284CCB">
        <w:t>provide a</w:t>
      </w:r>
      <w:r w:rsidR="00D3288C">
        <w:t xml:space="preserve"> broad </w:t>
      </w:r>
      <w:r w:rsidR="00284CCB">
        <w:t xml:space="preserve">indication </w:t>
      </w:r>
      <w:r w:rsidR="00ED40CD">
        <w:t xml:space="preserve">of the </w:t>
      </w:r>
      <w:r w:rsidR="007536AB">
        <w:t>amount of non</w:t>
      </w:r>
      <w:r w:rsidR="007536AB">
        <w:noBreakHyphen/>
        <w:t xml:space="preserve">state </w:t>
      </w:r>
      <w:r w:rsidR="00104306">
        <w:t xml:space="preserve">sector </w:t>
      </w:r>
      <w:r w:rsidR="00B0731B">
        <w:t xml:space="preserve">health </w:t>
      </w:r>
      <w:r w:rsidR="00141BA0">
        <w:t xml:space="preserve">service </w:t>
      </w:r>
      <w:r w:rsidR="00B0731B">
        <w:t>provision</w:t>
      </w:r>
      <w:r w:rsidR="003E4E7C">
        <w:t xml:space="preserve"> across </w:t>
      </w:r>
      <w:r w:rsidR="009346CE">
        <w:t>socio</w:t>
      </w:r>
      <w:r w:rsidR="00C45572">
        <w:noBreakHyphen/>
      </w:r>
      <w:r w:rsidR="009346CE">
        <w:t xml:space="preserve">demographic </w:t>
      </w:r>
      <w:r w:rsidR="004F70D4">
        <w:t>drivers</w:t>
      </w:r>
      <w:r w:rsidR="00967D61">
        <w:t xml:space="preserve">, not a precise measure of the volume </w:t>
      </w:r>
      <w:r w:rsidR="00DC572C">
        <w:t xml:space="preserve">or value </w:t>
      </w:r>
      <w:r w:rsidR="00F008FA">
        <w:t>of substitutable services.</w:t>
      </w:r>
      <w:bookmarkEnd w:id="52"/>
      <w:r w:rsidR="00E04EBA" w:rsidRPr="00E04EBA">
        <w:t xml:space="preserve"> </w:t>
      </w:r>
    </w:p>
    <w:p w14:paraId="37634AA6" w14:textId="4887327B" w:rsidR="0091458F" w:rsidRDefault="0091458F" w:rsidP="0091458F">
      <w:pPr>
        <w:pStyle w:val="Heading4"/>
      </w:pPr>
      <w:r>
        <w:t xml:space="preserve">Commission </w:t>
      </w:r>
      <w:r w:rsidR="00F1608A">
        <w:t>d</w:t>
      </w:r>
      <w:r w:rsidR="00C929FB">
        <w:t>raft position</w:t>
      </w:r>
    </w:p>
    <w:p w14:paraId="22BBD15F" w14:textId="1A837371" w:rsidR="00106293" w:rsidRPr="007D6FA6" w:rsidRDefault="00D26E87" w:rsidP="00412D56">
      <w:pPr>
        <w:pStyle w:val="CGC2025ParaNumbers"/>
      </w:pPr>
      <w:r>
        <w:t>The Comm</w:t>
      </w:r>
      <w:r w:rsidR="00706257">
        <w:t>i</w:t>
      </w:r>
      <w:r>
        <w:t>ssion considers that the current approach underpinning the non-state sector adjustment</w:t>
      </w:r>
      <w:r w:rsidR="00896FC8">
        <w:t>,</w:t>
      </w:r>
      <w:r>
        <w:t xml:space="preserve"> </w:t>
      </w:r>
      <w:r w:rsidR="00A45207">
        <w:t>while</w:t>
      </w:r>
      <w:r w:rsidR="00675BE8">
        <w:t xml:space="preserve"> pragmatic</w:t>
      </w:r>
      <w:r w:rsidR="00896FC8">
        <w:t>,</w:t>
      </w:r>
      <w:r w:rsidR="00675BE8" w:rsidDel="00A45207">
        <w:t xml:space="preserve"> </w:t>
      </w:r>
      <w:r w:rsidR="00B960D5">
        <w:t>remains appropriate</w:t>
      </w:r>
      <w:r w:rsidR="00A532E4">
        <w:t xml:space="preserve"> for the 2025 Review</w:t>
      </w:r>
      <w:r w:rsidR="00B960D5">
        <w:t>.</w:t>
      </w:r>
      <w:r w:rsidR="00706257">
        <w:t xml:space="preserve"> </w:t>
      </w:r>
      <w:r w:rsidR="0039779A" w:rsidRPr="007D6FA6">
        <w:t xml:space="preserve">Given the </w:t>
      </w:r>
      <w:r w:rsidR="00584825" w:rsidRPr="007D6FA6">
        <w:t xml:space="preserve">available </w:t>
      </w:r>
      <w:r w:rsidR="0039779A" w:rsidRPr="007D6FA6">
        <w:t>data and the uncertainty about the relationship between state and non</w:t>
      </w:r>
      <w:r w:rsidR="0039779A" w:rsidRPr="007D6FA6">
        <w:noBreakHyphen/>
        <w:t>state health provision, the current approach is likely to produce a more reliable adjustment tha</w:t>
      </w:r>
      <w:r w:rsidR="0039779A">
        <w:t>n</w:t>
      </w:r>
      <w:r w:rsidR="0039779A" w:rsidRPr="007D6FA6">
        <w:t xml:space="preserve"> the approach advocated by Western Australia. </w:t>
      </w:r>
      <w:r w:rsidR="001D0FCA">
        <w:t>The Commission will, however</w:t>
      </w:r>
      <w:r w:rsidR="005F1E20">
        <w:t>, seek to improve on its current approach based on the feedback from states, as discussed below</w:t>
      </w:r>
      <w:r w:rsidR="00F15AB2">
        <w:t>.</w:t>
      </w:r>
    </w:p>
    <w:p w14:paraId="1E321149" w14:textId="57252870" w:rsidR="00F86F1F" w:rsidRPr="007D6FA6" w:rsidRDefault="00F15AB2" w:rsidP="00DF0FBA">
      <w:pPr>
        <w:pStyle w:val="CGC2025ParaNumbers"/>
      </w:pPr>
      <w:r>
        <w:t>The broad range of comments by states on the factors influencing the non</w:t>
      </w:r>
      <w:r w:rsidR="007350AA">
        <w:t xml:space="preserve">-state sector adjustment, along with </w:t>
      </w:r>
      <w:r w:rsidR="00CC32DE">
        <w:t xml:space="preserve">the evidence presented by New South Wales in its </w:t>
      </w:r>
      <w:r w:rsidR="003553B9">
        <w:t xml:space="preserve">supplementary submission </w:t>
      </w:r>
      <w:r w:rsidR="00110575">
        <w:t>o</w:t>
      </w:r>
      <w:r w:rsidR="00D41B46">
        <w:t>f no relationship between state and non</w:t>
      </w:r>
      <w:r w:rsidR="00D41B46">
        <w:noBreakHyphen/>
      </w:r>
      <w:r w:rsidR="0064194E">
        <w:t xml:space="preserve">state </w:t>
      </w:r>
      <w:r w:rsidR="000D66F9">
        <w:t xml:space="preserve">health </w:t>
      </w:r>
      <w:r w:rsidR="00550E55">
        <w:t>service provision</w:t>
      </w:r>
      <w:r w:rsidR="00185212">
        <w:t xml:space="preserve">, </w:t>
      </w:r>
      <w:r w:rsidR="0043305A">
        <w:t>problems</w:t>
      </w:r>
      <w:r w:rsidR="007350AA">
        <w:t xml:space="preserve"> with </w:t>
      </w:r>
      <w:r w:rsidR="0043305A">
        <w:t>the data used by the C</w:t>
      </w:r>
      <w:r w:rsidR="00A47039">
        <w:t>o</w:t>
      </w:r>
      <w:r w:rsidR="0043305A">
        <w:t>mmission</w:t>
      </w:r>
      <w:r w:rsidR="00A47039">
        <w:t>, and the</w:t>
      </w:r>
      <w:r w:rsidR="007350AA">
        <w:t xml:space="preserve"> significance</w:t>
      </w:r>
      <w:r w:rsidR="00A47039">
        <w:t xml:space="preserve"> of the </w:t>
      </w:r>
      <w:r w:rsidR="007F1B27">
        <w:t>non</w:t>
      </w:r>
      <w:r w:rsidR="007F1B27">
        <w:noBreakHyphen/>
        <w:t xml:space="preserve">state sector adjustment </w:t>
      </w:r>
      <w:r w:rsidR="00A37B9A">
        <w:t>on GST distribution</w:t>
      </w:r>
      <w:r w:rsidR="007350AA">
        <w:t>, suggest that more detailed consideration of this element of the health assessment is warranted between reviews.</w:t>
      </w:r>
    </w:p>
    <w:p w14:paraId="0F9FC1CB" w14:textId="77777777" w:rsidR="002F460D" w:rsidRDefault="002F460D" w:rsidP="00FB7ACD">
      <w:pPr>
        <w:pStyle w:val="Heading35"/>
      </w:pPr>
      <w:r>
        <w:t>U</w:t>
      </w:r>
      <w:r w:rsidRPr="00703340">
        <w:t>pdat</w:t>
      </w:r>
      <w:r>
        <w:t>ing</w:t>
      </w:r>
      <w:r w:rsidRPr="00703340">
        <w:t xml:space="preserve"> the non-state services substitutability level for emergency departments</w:t>
      </w:r>
    </w:p>
    <w:p w14:paraId="79F58A20" w14:textId="24E1D65F" w:rsidR="00AF53E2" w:rsidRPr="00AF53E2" w:rsidRDefault="2EFD1040" w:rsidP="009532D8">
      <w:pPr>
        <w:pStyle w:val="Heading4"/>
      </w:pPr>
      <w:r>
        <w:t>State views</w:t>
      </w:r>
    </w:p>
    <w:p w14:paraId="2D36B520" w14:textId="636D7A5F" w:rsidR="004A41CB" w:rsidRDefault="00EB012F" w:rsidP="004A41CB">
      <w:pPr>
        <w:pStyle w:val="CGC2025ParaNumbers"/>
      </w:pPr>
      <w:r>
        <w:t>A</w:t>
      </w:r>
      <w:r w:rsidR="004A41CB">
        <w:t>ll states except Western Australia and the Northern Territory broadly supported the Commission’s proposed approach</w:t>
      </w:r>
      <w:r w:rsidRPr="00EB012F">
        <w:t xml:space="preserve"> </w:t>
      </w:r>
      <w:r>
        <w:t>for updating the emergency department non-state sector substitutability level</w:t>
      </w:r>
      <w:r w:rsidR="004A41CB">
        <w:t xml:space="preserve">. </w:t>
      </w:r>
    </w:p>
    <w:p w14:paraId="1D607D57" w14:textId="51759DF2" w:rsidR="00462C93" w:rsidRPr="00F41F8D" w:rsidRDefault="00462C93" w:rsidP="00CC709D">
      <w:pPr>
        <w:pStyle w:val="CGC2025ParaNumbers"/>
      </w:pPr>
      <w:r w:rsidRPr="00F41F8D">
        <w:t>In a suppleme</w:t>
      </w:r>
      <w:r w:rsidR="002A400A" w:rsidRPr="00F41F8D">
        <w:t xml:space="preserve">ntary submission, New South Wales said </w:t>
      </w:r>
      <w:r w:rsidR="007E5C5A" w:rsidRPr="00F41F8D">
        <w:t xml:space="preserve">the decision to go to a </w:t>
      </w:r>
      <w:r w:rsidR="00D83E4F">
        <w:t>general practitioner</w:t>
      </w:r>
      <w:r w:rsidR="007E5C5A" w:rsidRPr="00F41F8D">
        <w:t xml:space="preserve"> </w:t>
      </w:r>
      <w:r w:rsidR="00D83E4F">
        <w:t>(</w:t>
      </w:r>
      <w:r w:rsidR="007E5C5A" w:rsidRPr="00F41F8D">
        <w:t>GP</w:t>
      </w:r>
      <w:r w:rsidR="00D83E4F">
        <w:t>)</w:t>
      </w:r>
      <w:r w:rsidR="007E5C5A" w:rsidRPr="00F41F8D">
        <w:t xml:space="preserve"> or an emergency department is influenced by a wide range of price and non-price factors.</w:t>
      </w:r>
      <w:r w:rsidR="00B22190" w:rsidRPr="00F41F8D">
        <w:t xml:space="preserve"> </w:t>
      </w:r>
      <w:r w:rsidR="00CC709D" w:rsidRPr="00F41F8D">
        <w:t xml:space="preserve">For example, it said that data indicate that the lack of availability of GPs in rural areas results in higher numbers of </w:t>
      </w:r>
      <w:r w:rsidR="00186E30" w:rsidRPr="00F41F8D">
        <w:t>emergency department</w:t>
      </w:r>
      <w:r w:rsidR="00CC709D" w:rsidRPr="00F41F8D">
        <w:t xml:space="preserve"> presentations. </w:t>
      </w:r>
      <w:r w:rsidR="00BD4C2D" w:rsidRPr="00F41F8D">
        <w:t xml:space="preserve">It also said that the provision </w:t>
      </w:r>
      <w:r w:rsidR="00840BD3" w:rsidRPr="00F41F8D">
        <w:t>by the non</w:t>
      </w:r>
      <w:r w:rsidR="00840BD3" w:rsidRPr="00F41F8D">
        <w:noBreakHyphen/>
        <w:t>state sector of specialist services</w:t>
      </w:r>
      <w:r w:rsidR="007F24F4" w:rsidRPr="00F41F8D">
        <w:t xml:space="preserve"> (such as pathology and imaging services</w:t>
      </w:r>
      <w:r w:rsidR="00186E30" w:rsidRPr="00F41F8D">
        <w:t xml:space="preserve">) should be </w:t>
      </w:r>
      <w:proofErr w:type="gramStart"/>
      <w:r w:rsidR="00186E30" w:rsidRPr="00F41F8D">
        <w:t>taken into account</w:t>
      </w:r>
      <w:proofErr w:type="gramEnd"/>
      <w:r w:rsidR="00BD18BE" w:rsidRPr="00F41F8D">
        <w:t xml:space="preserve"> in estimating the non</w:t>
      </w:r>
      <w:r w:rsidR="00BD18BE" w:rsidRPr="00F41F8D">
        <w:noBreakHyphen/>
        <w:t xml:space="preserve">state sector substitutability level for </w:t>
      </w:r>
      <w:r w:rsidR="008A4613" w:rsidRPr="00F41F8D">
        <w:t>the emergency department services assessment.</w:t>
      </w:r>
    </w:p>
    <w:p w14:paraId="26CF5263" w14:textId="6B7E9020" w:rsidR="004A41CB" w:rsidRDefault="004A41CB" w:rsidP="004A41CB">
      <w:pPr>
        <w:pStyle w:val="CGC2025ParaNumbers"/>
      </w:pPr>
      <w:r>
        <w:t xml:space="preserve">Victoria said it would prefer that the Commission contract an expert to review this approach for the 2025 Review, potentially recommending a way to update the </w:t>
      </w:r>
      <w:r w:rsidRPr="007E6C6C">
        <w:lastRenderedPageBreak/>
        <w:t>Austral</w:t>
      </w:r>
      <w:r w:rsidR="00421550">
        <w:t>as</w:t>
      </w:r>
      <w:r w:rsidRPr="007E6C6C">
        <w:t xml:space="preserve">ian College </w:t>
      </w:r>
      <w:r w:rsidR="00003281">
        <w:t>for</w:t>
      </w:r>
      <w:r w:rsidRPr="007E6C6C">
        <w:t xml:space="preserve"> Emergency Medicine</w:t>
      </w:r>
      <w:r w:rsidR="00B226FF">
        <w:t>'s</w:t>
      </w:r>
      <w:r w:rsidRPr="007E6C6C">
        <w:t xml:space="preserve"> </w:t>
      </w:r>
      <w:r>
        <w:t>method or another similar method in the absence of the data required to make a straightforward update.</w:t>
      </w:r>
      <w:r w:rsidR="005A524D">
        <w:rPr>
          <w:rStyle w:val="FootnoteReference"/>
        </w:rPr>
        <w:footnoteReference w:id="20"/>
      </w:r>
    </w:p>
    <w:p w14:paraId="7A98578F" w14:textId="716C16A8" w:rsidR="004A41CB" w:rsidRDefault="004A41CB" w:rsidP="004A41CB">
      <w:pPr>
        <w:pStyle w:val="CGC2025ParaNumbers"/>
      </w:pPr>
      <w:r>
        <w:t>Western Australia said that the Australian Institute of Health and Welfare</w:t>
      </w:r>
      <w:r w:rsidR="001A505B">
        <w:t>’s</w:t>
      </w:r>
      <w:r>
        <w:t xml:space="preserve"> method for measuring substitutable services could not be assumed to move consistently with the </w:t>
      </w:r>
      <w:bookmarkStart w:id="53" w:name="_Hlk151535034"/>
      <w:r w:rsidRPr="007E6C6C">
        <w:t>Austral</w:t>
      </w:r>
      <w:r w:rsidR="000C1691">
        <w:t>as</w:t>
      </w:r>
      <w:r w:rsidRPr="007E6C6C">
        <w:t xml:space="preserve">ian College </w:t>
      </w:r>
      <w:r w:rsidR="001247C9">
        <w:t>for</w:t>
      </w:r>
      <w:r w:rsidRPr="007E6C6C">
        <w:t xml:space="preserve"> Emergency Medicine</w:t>
      </w:r>
      <w:r w:rsidR="001A505B">
        <w:t>’s</w:t>
      </w:r>
      <w:r w:rsidRPr="007E6C6C">
        <w:t xml:space="preserve"> </w:t>
      </w:r>
      <w:bookmarkEnd w:id="53"/>
      <w:r>
        <w:t xml:space="preserve">(existing) </w:t>
      </w:r>
      <w:r w:rsidRPr="007E6C6C">
        <w:t>metho</w:t>
      </w:r>
      <w:r>
        <w:t>d.</w:t>
      </w:r>
      <w:r w:rsidR="00245E61">
        <w:rPr>
          <w:rStyle w:val="FootnoteReference"/>
        </w:rPr>
        <w:footnoteReference w:id="21"/>
      </w:r>
      <w:r>
        <w:t xml:space="preserve"> The Northern Territory said that the substitution rate should remain at 30%.</w:t>
      </w:r>
    </w:p>
    <w:p w14:paraId="4164009C" w14:textId="46CAB5FC" w:rsidR="004A41CB" w:rsidRDefault="004A41CB" w:rsidP="004A41CB">
      <w:pPr>
        <w:pStyle w:val="CGC2025ParaNumbers"/>
      </w:pPr>
      <w:r>
        <w:t>Further, Western Australia said that separate substitutability levels should be used for each remoteness region. Both the Australian Institute of Health and Welfare</w:t>
      </w:r>
      <w:r w:rsidR="00612C55">
        <w:t>’s</w:t>
      </w:r>
      <w:r>
        <w:t xml:space="preserve"> and </w:t>
      </w:r>
      <w:r w:rsidRPr="007E6C6C">
        <w:t>Australian College of Emergency Medicine</w:t>
      </w:r>
      <w:r w:rsidR="00612C55">
        <w:t>’s</w:t>
      </w:r>
      <w:r w:rsidRPr="007E6C6C">
        <w:t xml:space="preserve"> </w:t>
      </w:r>
      <w:r>
        <w:t xml:space="preserve">methods show increasing substitutability levels as remoteness increases. </w:t>
      </w:r>
    </w:p>
    <w:p w14:paraId="7B33D98C" w14:textId="77777777" w:rsidR="00BA0825" w:rsidRDefault="00BA0825" w:rsidP="00BA0825">
      <w:pPr>
        <w:pStyle w:val="Heading4"/>
      </w:pPr>
      <w:r>
        <w:t>Commission response</w:t>
      </w:r>
    </w:p>
    <w:p w14:paraId="56BAE189" w14:textId="2362D050" w:rsidR="00010AB1" w:rsidRDefault="004916AE" w:rsidP="00A13116">
      <w:pPr>
        <w:pStyle w:val="CGC2025ParaNumbers"/>
      </w:pPr>
      <w:bookmarkStart w:id="54" w:name="_Hlk165282644"/>
      <w:r>
        <w:t xml:space="preserve">The </w:t>
      </w:r>
      <w:r w:rsidR="003746D2" w:rsidRPr="003746D2">
        <w:t>Austral</w:t>
      </w:r>
      <w:r w:rsidR="00BE1188">
        <w:t>as</w:t>
      </w:r>
      <w:r w:rsidR="003746D2" w:rsidRPr="003746D2">
        <w:t xml:space="preserve">ian College </w:t>
      </w:r>
      <w:r w:rsidR="00BE1188">
        <w:t>for</w:t>
      </w:r>
      <w:r w:rsidR="003746D2" w:rsidRPr="003746D2">
        <w:t xml:space="preserve"> Emergency Medicine</w:t>
      </w:r>
      <w:r w:rsidR="00EF0414">
        <w:t>’s</w:t>
      </w:r>
      <w:r>
        <w:t xml:space="preserve"> </w:t>
      </w:r>
      <w:r w:rsidR="005E0E82">
        <w:t xml:space="preserve">and </w:t>
      </w:r>
      <w:r w:rsidR="003746D2" w:rsidRPr="003746D2">
        <w:t>Australian Institute of Health and Welfare</w:t>
      </w:r>
      <w:r w:rsidR="00EF0414">
        <w:t>’s</w:t>
      </w:r>
      <w:r w:rsidR="005E0E82">
        <w:t xml:space="preserve"> methods </w:t>
      </w:r>
      <w:r w:rsidR="00E331BD">
        <w:t xml:space="preserve">calculate </w:t>
      </w:r>
      <w:r w:rsidR="00421F02">
        <w:t>the proportion of</w:t>
      </w:r>
      <w:r w:rsidR="00E02210">
        <w:t xml:space="preserve"> </w:t>
      </w:r>
      <w:r w:rsidR="00315219">
        <w:t xml:space="preserve">emergency department presentations </w:t>
      </w:r>
      <w:r w:rsidR="00C92262">
        <w:t xml:space="preserve">that are potentially </w:t>
      </w:r>
      <w:r w:rsidR="00735D0A">
        <w:t>treatable</w:t>
      </w:r>
      <w:r w:rsidR="00C92262">
        <w:t xml:space="preserve"> by GPs</w:t>
      </w:r>
      <w:r w:rsidR="00A265C5">
        <w:t xml:space="preserve">. </w:t>
      </w:r>
      <w:bookmarkEnd w:id="54"/>
      <w:r w:rsidR="00494418">
        <w:t xml:space="preserve">The </w:t>
      </w:r>
      <w:bookmarkStart w:id="55" w:name="_Hlk151535331"/>
      <w:r w:rsidR="008D11A7" w:rsidRPr="008D11A7">
        <w:t>Austral</w:t>
      </w:r>
      <w:r w:rsidR="007525D9">
        <w:t>as</w:t>
      </w:r>
      <w:r w:rsidR="008D11A7" w:rsidRPr="008D11A7">
        <w:t xml:space="preserve">ian College </w:t>
      </w:r>
      <w:r w:rsidR="007525D9">
        <w:t>for</w:t>
      </w:r>
      <w:r w:rsidR="008D11A7" w:rsidRPr="008D11A7">
        <w:t xml:space="preserve"> Emergency </w:t>
      </w:r>
      <w:bookmarkEnd w:id="55"/>
      <w:r w:rsidR="008D11A7" w:rsidRPr="008D11A7">
        <w:t>Medicine</w:t>
      </w:r>
      <w:r w:rsidR="00EF0414">
        <w:t>’s</w:t>
      </w:r>
      <w:r w:rsidR="008D11A7" w:rsidRPr="008D11A7">
        <w:t xml:space="preserve"> </w:t>
      </w:r>
      <w:r w:rsidR="00757FBE">
        <w:t xml:space="preserve">method </w:t>
      </w:r>
      <w:r w:rsidR="00E227DC">
        <w:t>is based on</w:t>
      </w:r>
      <w:r w:rsidR="00717D49">
        <w:t xml:space="preserve"> self-referred</w:t>
      </w:r>
      <w:r w:rsidR="00C62BA1">
        <w:t xml:space="preserve">, non-ambulance </w:t>
      </w:r>
      <w:r w:rsidR="00E12128">
        <w:t xml:space="preserve">presentations </w:t>
      </w:r>
      <w:r w:rsidR="00C42CF0">
        <w:t xml:space="preserve">with a medical consultation time less than </w:t>
      </w:r>
      <w:r w:rsidR="00913076">
        <w:t>one</w:t>
      </w:r>
      <w:r w:rsidR="00C42CF0">
        <w:t xml:space="preserve"> hour. </w:t>
      </w:r>
      <w:bookmarkStart w:id="56" w:name="_Hlk153544834"/>
      <w:r w:rsidR="008C111F">
        <w:t xml:space="preserve">The </w:t>
      </w:r>
      <w:r w:rsidR="00230847" w:rsidRPr="00230847">
        <w:t>Australian Institute of Health and Welfare</w:t>
      </w:r>
      <w:r w:rsidR="00EF0414">
        <w:t>’s</w:t>
      </w:r>
      <w:r w:rsidR="00230847" w:rsidRPr="00230847">
        <w:t xml:space="preserve"> </w:t>
      </w:r>
      <w:r w:rsidR="00990366">
        <w:t>method</w:t>
      </w:r>
      <w:r w:rsidR="00693806">
        <w:t xml:space="preserve"> is</w:t>
      </w:r>
      <w:r w:rsidR="004535D8">
        <w:t xml:space="preserve"> based on </w:t>
      </w:r>
      <w:r w:rsidR="009E5672">
        <w:t>self-referred</w:t>
      </w:r>
      <w:r w:rsidR="0061463B">
        <w:t>, non-ambulance</w:t>
      </w:r>
      <w:r w:rsidR="004B5586">
        <w:t xml:space="preserve">, police or community service </w:t>
      </w:r>
      <w:r w:rsidR="00266778">
        <w:t xml:space="preserve">emergency department </w:t>
      </w:r>
      <w:r w:rsidR="00180E2E">
        <w:t>presentations</w:t>
      </w:r>
      <w:r w:rsidR="000B3675">
        <w:t xml:space="preserve"> </w:t>
      </w:r>
      <w:r w:rsidR="00C125EF">
        <w:t>classified as</w:t>
      </w:r>
      <w:r w:rsidR="000E07EC">
        <w:t xml:space="preserve"> triage 4 and 5 </w:t>
      </w:r>
      <w:r w:rsidR="0010551C">
        <w:t>(less urgent)</w:t>
      </w:r>
      <w:bookmarkEnd w:id="56"/>
      <w:r w:rsidR="00515193">
        <w:t>.</w:t>
      </w:r>
      <w:r w:rsidR="00F70E68">
        <w:t xml:space="preserve"> </w:t>
      </w:r>
      <w:r w:rsidR="00465811">
        <w:t>Given the similar</w:t>
      </w:r>
      <w:r w:rsidR="00E75332">
        <w:t>ity in the methods</w:t>
      </w:r>
      <w:r w:rsidR="002227FD">
        <w:t>,</w:t>
      </w:r>
      <w:r w:rsidR="007E2026">
        <w:t xml:space="preserve"> </w:t>
      </w:r>
      <w:r w:rsidR="000A1E21">
        <w:t>it is reasonable to expect that there would be similarities</w:t>
      </w:r>
      <w:r w:rsidR="007E2026">
        <w:t xml:space="preserve"> </w:t>
      </w:r>
      <w:r w:rsidR="00531627">
        <w:t xml:space="preserve">in movement </w:t>
      </w:r>
      <w:r w:rsidR="00533495">
        <w:t xml:space="preserve">in </w:t>
      </w:r>
      <w:r w:rsidR="007E2026">
        <w:t xml:space="preserve">the </w:t>
      </w:r>
      <w:r w:rsidR="003072E4" w:rsidRPr="003072E4">
        <w:t>Austral</w:t>
      </w:r>
      <w:r w:rsidR="009716D7">
        <w:t>as</w:t>
      </w:r>
      <w:r w:rsidR="003072E4" w:rsidRPr="003072E4">
        <w:t xml:space="preserve">ian College </w:t>
      </w:r>
      <w:r w:rsidR="000619E8">
        <w:t>for</w:t>
      </w:r>
      <w:r w:rsidR="003072E4" w:rsidRPr="003072E4">
        <w:t xml:space="preserve"> Emergency Medicine</w:t>
      </w:r>
      <w:r w:rsidR="00A070EA">
        <w:t>’s</w:t>
      </w:r>
      <w:r w:rsidR="003072E4" w:rsidRPr="003072E4">
        <w:t xml:space="preserve"> </w:t>
      </w:r>
      <w:r w:rsidR="007E2026">
        <w:t xml:space="preserve">and </w:t>
      </w:r>
      <w:r w:rsidR="003072E4" w:rsidRPr="003072E4">
        <w:t>Australian Institute of Health and Welfare</w:t>
      </w:r>
      <w:r w:rsidR="00F91B91">
        <w:t>’s</w:t>
      </w:r>
      <w:r w:rsidR="003072E4" w:rsidRPr="003072E4">
        <w:t xml:space="preserve"> </w:t>
      </w:r>
      <w:r w:rsidR="007E2026">
        <w:t>indicators</w:t>
      </w:r>
      <w:r w:rsidR="00915DF8">
        <w:t>.</w:t>
      </w:r>
      <w:r w:rsidR="00B04A43">
        <w:t xml:space="preserve"> </w:t>
      </w:r>
      <w:r w:rsidR="00F169BC">
        <w:t>Updating the substitutability level</w:t>
      </w:r>
      <w:r w:rsidR="00417CB4">
        <w:t xml:space="preserve"> </w:t>
      </w:r>
      <w:r w:rsidR="006C6CE6">
        <w:t xml:space="preserve">using the </w:t>
      </w:r>
      <w:r w:rsidR="00A13116" w:rsidRPr="00A13116">
        <w:t>Australian Institute of Health and Welfare</w:t>
      </w:r>
      <w:r w:rsidR="00F91B91">
        <w:t>’s</w:t>
      </w:r>
      <w:r w:rsidR="00A13116" w:rsidRPr="00A13116">
        <w:t xml:space="preserve"> </w:t>
      </w:r>
      <w:r w:rsidR="006C6CE6">
        <w:t>indicator</w:t>
      </w:r>
      <w:r w:rsidR="00B04A43">
        <w:t xml:space="preserve"> </w:t>
      </w:r>
      <w:r w:rsidR="00E95B7E">
        <w:t>is preferable to not updating</w:t>
      </w:r>
      <w:r w:rsidR="00B00C0C">
        <w:t xml:space="preserve"> it.</w:t>
      </w:r>
    </w:p>
    <w:p w14:paraId="6AE18F93" w14:textId="468622DD" w:rsidR="00BA0825" w:rsidRDefault="0697BAF2" w:rsidP="00BA0825">
      <w:pPr>
        <w:pStyle w:val="CGC2025ParaNumbers"/>
      </w:pPr>
      <w:r>
        <w:t xml:space="preserve">Separate substitutability levels for each remoteness area </w:t>
      </w:r>
      <w:r w:rsidR="009B1429">
        <w:t xml:space="preserve">would add further complexity </w:t>
      </w:r>
      <w:r w:rsidR="00E675E4">
        <w:t xml:space="preserve">to an </w:t>
      </w:r>
      <w:r>
        <w:t xml:space="preserve">already </w:t>
      </w:r>
      <w:r w:rsidR="00E675E4">
        <w:t>complex adjustment to take account of</w:t>
      </w:r>
      <w:r>
        <w:t xml:space="preserve"> differences in non</w:t>
      </w:r>
      <w:r w:rsidR="00785CCA">
        <w:noBreakHyphen/>
      </w:r>
      <w:r>
        <w:t xml:space="preserve">state sector service provision </w:t>
      </w:r>
      <w:r w:rsidR="00B61082">
        <w:t>between states</w:t>
      </w:r>
      <w:r>
        <w:t xml:space="preserve">. </w:t>
      </w:r>
      <w:r w:rsidR="00A2764E">
        <w:t>It</w:t>
      </w:r>
      <w:r w:rsidR="008D2073" w:rsidRPr="008D2073">
        <w:t xml:space="preserve"> </w:t>
      </w:r>
      <w:r w:rsidR="00A2764E">
        <w:t xml:space="preserve">would also require </w:t>
      </w:r>
      <w:r w:rsidR="00567AD4">
        <w:t>actual non</w:t>
      </w:r>
      <w:r w:rsidR="00567AD4">
        <w:noBreakHyphen/>
        <w:t xml:space="preserve">state sector service provision disaggregated by remoteness area. </w:t>
      </w:r>
      <w:r w:rsidR="0081162F">
        <w:t xml:space="preserve">The proposal should form part of the </w:t>
      </w:r>
      <w:r w:rsidR="008D2073" w:rsidRPr="007D6FA6">
        <w:t xml:space="preserve">more detailed consideration of this element of the health assessment </w:t>
      </w:r>
      <w:r w:rsidR="008D2073">
        <w:t>between reviews</w:t>
      </w:r>
      <w:r w:rsidR="0081162F">
        <w:t>.</w:t>
      </w:r>
    </w:p>
    <w:p w14:paraId="69B92340" w14:textId="20DE56DE" w:rsidR="00F00940" w:rsidRPr="00F41F8D" w:rsidRDefault="00A65192" w:rsidP="00E002F8">
      <w:pPr>
        <w:pStyle w:val="CGC2025ParaNumbers"/>
      </w:pPr>
      <w:r w:rsidRPr="00F41F8D">
        <w:t>Both the Austral</w:t>
      </w:r>
      <w:r w:rsidR="00C86A54">
        <w:t>as</w:t>
      </w:r>
      <w:r w:rsidRPr="00F41F8D">
        <w:t xml:space="preserve">ian College </w:t>
      </w:r>
      <w:r w:rsidR="00C86A54">
        <w:t>for</w:t>
      </w:r>
      <w:r w:rsidRPr="00F41F8D">
        <w:t xml:space="preserve"> Emergency Medicine</w:t>
      </w:r>
      <w:r w:rsidR="00D55E1C">
        <w:t>’s</w:t>
      </w:r>
      <w:r w:rsidRPr="00F41F8D">
        <w:t xml:space="preserve"> and Australian Institute of Health and Welfare</w:t>
      </w:r>
      <w:r w:rsidR="00D55E1C">
        <w:t>’s</w:t>
      </w:r>
      <w:r w:rsidRPr="00F41F8D">
        <w:t xml:space="preserve"> methods </w:t>
      </w:r>
      <w:r w:rsidR="00580A92" w:rsidRPr="00F41F8D">
        <w:t>focus on</w:t>
      </w:r>
      <w:r w:rsidRPr="00F41F8D">
        <w:t xml:space="preserve"> the proportion of emergency department presentations that are potentially treatable by GPs.</w:t>
      </w:r>
      <w:r w:rsidR="00580A92" w:rsidRPr="00F41F8D">
        <w:t xml:space="preserve"> Broadening the analysis to include </w:t>
      </w:r>
      <w:r w:rsidR="000730C2" w:rsidRPr="00F41F8D">
        <w:t>non</w:t>
      </w:r>
      <w:r w:rsidR="000730C2" w:rsidRPr="00F41F8D">
        <w:noBreakHyphen/>
        <w:t>state sector specialist services in addition to GP services,</w:t>
      </w:r>
      <w:r w:rsidR="00E002F8" w:rsidRPr="00F41F8D">
        <w:t xml:space="preserve"> as proposed by New South Wales,</w:t>
      </w:r>
      <w:r w:rsidR="000730C2" w:rsidRPr="00F41F8D">
        <w:t xml:space="preserve"> </w:t>
      </w:r>
      <w:bookmarkStart w:id="57" w:name="_Hlk165287856"/>
      <w:r w:rsidR="00E002F8" w:rsidRPr="00F41F8D">
        <w:t>should also form part of the more detailed consideration of the non</w:t>
      </w:r>
      <w:r w:rsidR="00E002F8" w:rsidRPr="00F41F8D">
        <w:noBreakHyphen/>
        <w:t>state sector adjustment between reviews</w:t>
      </w:r>
      <w:bookmarkEnd w:id="57"/>
      <w:r w:rsidR="00E002F8" w:rsidRPr="00F41F8D">
        <w:t>.</w:t>
      </w:r>
    </w:p>
    <w:p w14:paraId="00B83284" w14:textId="25EE5638" w:rsidR="00C431E6" w:rsidRDefault="006D7F14" w:rsidP="00C431E6">
      <w:pPr>
        <w:pStyle w:val="CGC2025ParaNumbers"/>
      </w:pPr>
      <w:r>
        <w:lastRenderedPageBreak/>
        <w:t>T</w:t>
      </w:r>
      <w:r w:rsidRPr="006D7F14">
        <w:t>he Commission explored the possibility of engaging</w:t>
      </w:r>
      <w:r w:rsidR="00C431E6" w:rsidRPr="00C431E6">
        <w:t xml:space="preserve"> an external expert to review the approach</w:t>
      </w:r>
      <w:r w:rsidRPr="006D7F14">
        <w:t>, but this did</w:t>
      </w:r>
      <w:r w:rsidR="00E11D56">
        <w:t xml:space="preserve"> not </w:t>
      </w:r>
      <w:r w:rsidRPr="006D7F14">
        <w:t>prove feasible</w:t>
      </w:r>
      <w:r w:rsidR="00E11D56">
        <w:t xml:space="preserve"> </w:t>
      </w:r>
      <w:r w:rsidR="00801329">
        <w:t>within the timel</w:t>
      </w:r>
      <w:r w:rsidR="003D7AE5">
        <w:t xml:space="preserve">ine of </w:t>
      </w:r>
      <w:r w:rsidR="00E11D56">
        <w:t xml:space="preserve">the </w:t>
      </w:r>
      <w:r w:rsidRPr="006D7F14">
        <w:t>2025</w:t>
      </w:r>
      <w:r w:rsidR="00E11D56">
        <w:t xml:space="preserve"> Review. </w:t>
      </w:r>
      <w:r w:rsidR="00C431E6">
        <w:t xml:space="preserve"> </w:t>
      </w:r>
    </w:p>
    <w:p w14:paraId="0F733358" w14:textId="77777777" w:rsidR="006B6AB6" w:rsidRDefault="006B6AB6" w:rsidP="006B6AB6">
      <w:pPr>
        <w:pStyle w:val="Heading4"/>
      </w:pPr>
      <w:r>
        <w:t>Commission draft position</w:t>
      </w:r>
    </w:p>
    <w:p w14:paraId="731AA2D4" w14:textId="7CD5C708" w:rsidR="00D63398" w:rsidRDefault="00D63398" w:rsidP="00BA0825">
      <w:pPr>
        <w:pStyle w:val="CGC2025ParaNumbers"/>
      </w:pPr>
      <w:r>
        <w:t xml:space="preserve">For the </w:t>
      </w:r>
      <w:r w:rsidRPr="00BA0825">
        <w:rPr>
          <w:bCs/>
        </w:rPr>
        <w:t>emergency departments component</w:t>
      </w:r>
      <w:r>
        <w:t xml:space="preserve">, the Commission </w:t>
      </w:r>
      <w:r w:rsidR="008F193E">
        <w:t xml:space="preserve">proposes </w:t>
      </w:r>
      <w:r>
        <w:t xml:space="preserve">to update the substitutability level using the </w:t>
      </w:r>
      <w:r w:rsidRPr="008E690B">
        <w:t>Australian Institute of Health and Welfare</w:t>
      </w:r>
      <w:r w:rsidR="00467E75">
        <w:t>’s</w:t>
      </w:r>
      <w:r w:rsidRPr="008E690B">
        <w:t xml:space="preserve"> method for measuring substitutable services</w:t>
      </w:r>
      <w:r>
        <w:t>.</w:t>
      </w:r>
      <w:r w:rsidR="00EC0F7A">
        <w:t xml:space="preserve"> This method </w:t>
      </w:r>
      <w:r w:rsidR="00F06CBC">
        <w:t xml:space="preserve">produces an estimate </w:t>
      </w:r>
      <w:r w:rsidR="00187639">
        <w:t>of 13%</w:t>
      </w:r>
      <w:r w:rsidR="00D0495A">
        <w:t xml:space="preserve">, </w:t>
      </w:r>
      <w:proofErr w:type="gramStart"/>
      <w:r w:rsidR="00D0495A">
        <w:t>similar to</w:t>
      </w:r>
      <w:proofErr w:type="gramEnd"/>
      <w:r w:rsidR="00D0495A">
        <w:t xml:space="preserve"> the </w:t>
      </w:r>
      <w:r w:rsidR="00B80E92">
        <w:t xml:space="preserve">level </w:t>
      </w:r>
      <w:r w:rsidR="00F06CBC" w:rsidRPr="00F06CBC">
        <w:t>from the 2020 Review (</w:t>
      </w:r>
      <w:r w:rsidR="000A41F6">
        <w:t>15</w:t>
      </w:r>
      <w:r w:rsidR="00F06CBC" w:rsidRPr="00F06CBC">
        <w:t xml:space="preserve">%). The Commission </w:t>
      </w:r>
      <w:r w:rsidR="0002496A">
        <w:t>proposes to</w:t>
      </w:r>
      <w:r w:rsidR="00F06CBC" w:rsidRPr="00F06CBC">
        <w:t xml:space="preserve"> </w:t>
      </w:r>
      <w:r w:rsidR="00105F41">
        <w:t>maintain the substitut</w:t>
      </w:r>
      <w:r w:rsidR="005F445A">
        <w:t xml:space="preserve">ability level at </w:t>
      </w:r>
      <w:r w:rsidR="00AD77F2" w:rsidRPr="00AD77F2">
        <w:t>1</w:t>
      </w:r>
      <w:r w:rsidR="005F445A">
        <w:t>5</w:t>
      </w:r>
      <w:r w:rsidR="00302F4F" w:rsidRPr="00AD77F2">
        <w:t>%</w:t>
      </w:r>
      <w:r w:rsidR="00302F4F">
        <w:t>.</w:t>
      </w:r>
    </w:p>
    <w:p w14:paraId="05C761C6" w14:textId="77777777" w:rsidR="006B2BAB" w:rsidRDefault="006B2BAB" w:rsidP="00FB7ACD">
      <w:pPr>
        <w:pStyle w:val="Heading35"/>
      </w:pPr>
      <w:r>
        <w:t xml:space="preserve">Admitted </w:t>
      </w:r>
      <w:proofErr w:type="gramStart"/>
      <w:r>
        <w:t>patients</w:t>
      </w:r>
      <w:proofErr w:type="gramEnd"/>
    </w:p>
    <w:p w14:paraId="65C9C315" w14:textId="17FDE281" w:rsidR="00BA0825" w:rsidRDefault="00BA0825" w:rsidP="009532D8">
      <w:pPr>
        <w:pStyle w:val="Heading4"/>
      </w:pPr>
      <w:r>
        <w:t>State views</w:t>
      </w:r>
    </w:p>
    <w:p w14:paraId="53FA56E3" w14:textId="2A50CBEC" w:rsidR="00CD73D6" w:rsidRPr="00F41F8D" w:rsidRDefault="00CD73D6" w:rsidP="00A93048">
      <w:pPr>
        <w:pStyle w:val="CGC2025ParaNumbers"/>
      </w:pPr>
      <w:r w:rsidRPr="00F41F8D">
        <w:t>New South Wales</w:t>
      </w:r>
      <w:r w:rsidR="00C1484F" w:rsidRPr="00F41F8D">
        <w:t xml:space="preserve"> said that the </w:t>
      </w:r>
      <w:r w:rsidR="002C59F8" w:rsidRPr="00F41F8D">
        <w:t xml:space="preserve">indicator of </w:t>
      </w:r>
      <w:r w:rsidR="00401161" w:rsidRPr="00F41F8D">
        <w:t>non</w:t>
      </w:r>
      <w:r w:rsidR="00401161" w:rsidRPr="00F41F8D">
        <w:noBreakHyphen/>
        <w:t xml:space="preserve">state sector activity </w:t>
      </w:r>
      <w:r w:rsidR="002C3BFD" w:rsidRPr="00F41F8D">
        <w:t xml:space="preserve">used </w:t>
      </w:r>
      <w:r w:rsidR="00401161" w:rsidRPr="00F41F8D">
        <w:t>in the admitted patient ass</w:t>
      </w:r>
      <w:r w:rsidR="00906E78" w:rsidRPr="00F41F8D">
        <w:t xml:space="preserve">essment (private </w:t>
      </w:r>
      <w:r w:rsidR="00224074" w:rsidRPr="00F41F8D">
        <w:t>patient separations funded by private health insurance</w:t>
      </w:r>
      <w:r w:rsidR="00E543CC" w:rsidRPr="00F41F8D">
        <w:t>)</w:t>
      </w:r>
      <w:r w:rsidR="00FD1F8C" w:rsidRPr="00F41F8D">
        <w:t xml:space="preserve"> is likely to be policy influenced.</w:t>
      </w:r>
      <w:r w:rsidR="00E543CC" w:rsidRPr="00F41F8D">
        <w:t xml:space="preserve"> </w:t>
      </w:r>
      <w:r w:rsidR="00AA0F73" w:rsidRPr="00F41F8D">
        <w:t>This was based on a compar</w:t>
      </w:r>
      <w:r w:rsidR="009C78DF" w:rsidRPr="00F41F8D">
        <w:t>ison of state shares of separations funded by private health insurance</w:t>
      </w:r>
      <w:r w:rsidR="00B16350" w:rsidRPr="00F41F8D">
        <w:t xml:space="preserve"> </w:t>
      </w:r>
      <w:r w:rsidR="0019062A" w:rsidRPr="00F41F8D">
        <w:t xml:space="preserve">with state shares of the population with private </w:t>
      </w:r>
      <w:r w:rsidR="003029CC" w:rsidRPr="00F41F8D">
        <w:t xml:space="preserve">health insurance. </w:t>
      </w:r>
      <w:r w:rsidR="00614287" w:rsidRPr="00F41F8D">
        <w:t xml:space="preserve">This analysis showed that some states had </w:t>
      </w:r>
      <w:r w:rsidR="00943E6F" w:rsidRPr="00F41F8D">
        <w:t>much lower shares of separations funded by private health insurance</w:t>
      </w:r>
      <w:r w:rsidR="00B43465" w:rsidRPr="00F41F8D">
        <w:t xml:space="preserve"> tha</w:t>
      </w:r>
      <w:r w:rsidR="008F29AF" w:rsidRPr="00F41F8D">
        <w:t xml:space="preserve">n </w:t>
      </w:r>
      <w:r w:rsidR="00860F21" w:rsidRPr="00F41F8D">
        <w:t xml:space="preserve">would be suggested by their </w:t>
      </w:r>
      <w:r w:rsidR="009E0936" w:rsidRPr="00F41F8D">
        <w:t>private health insurance coverage.</w:t>
      </w:r>
    </w:p>
    <w:p w14:paraId="72D553FC" w14:textId="66A1CB12" w:rsidR="009E0936" w:rsidRPr="00F41F8D" w:rsidRDefault="007C6FB3" w:rsidP="00A93048">
      <w:pPr>
        <w:pStyle w:val="CGC2025ParaNumbers"/>
      </w:pPr>
      <w:r w:rsidRPr="00F41F8D">
        <w:t xml:space="preserve">New South Wales also said that </w:t>
      </w:r>
      <w:r w:rsidR="00830262" w:rsidRPr="00F41F8D">
        <w:t xml:space="preserve">the Commission should not use separate sources of data to measure actual and assessed </w:t>
      </w:r>
      <w:r w:rsidR="00B355C5" w:rsidRPr="00F41F8D">
        <w:t>non</w:t>
      </w:r>
      <w:r w:rsidR="00B355C5" w:rsidRPr="00F41F8D">
        <w:noBreakHyphen/>
        <w:t xml:space="preserve">state sector activity. It said </w:t>
      </w:r>
      <w:r w:rsidR="00B53B9A" w:rsidRPr="00F41F8D">
        <w:t>use of Australian Prudential Regulation Authority data on actual service provision, rather tha</w:t>
      </w:r>
      <w:r w:rsidR="0086486E">
        <w:t>n</w:t>
      </w:r>
      <w:r w:rsidR="00B355C5" w:rsidRPr="00F41F8D" w:rsidDel="00FB127E">
        <w:t xml:space="preserve"> </w:t>
      </w:r>
      <w:r w:rsidR="00B355C5" w:rsidRPr="00F41F8D">
        <w:t xml:space="preserve">Australian Institute of Health and </w:t>
      </w:r>
      <w:r w:rsidR="001F108E" w:rsidRPr="00F41F8D">
        <w:t>Welfare data</w:t>
      </w:r>
      <w:r w:rsidR="00B53B9A" w:rsidRPr="00F41F8D">
        <w:t>,</w:t>
      </w:r>
      <w:r w:rsidR="001F108E" w:rsidRPr="00F41F8D">
        <w:t xml:space="preserve"> </w:t>
      </w:r>
      <w:r w:rsidR="00B53B9A" w:rsidRPr="00F41F8D">
        <w:t>ha</w:t>
      </w:r>
      <w:r w:rsidR="007811AF">
        <w:t>d</w:t>
      </w:r>
      <w:r w:rsidR="00B53B9A" w:rsidRPr="00F41F8D">
        <w:t xml:space="preserve"> a material effect on the non</w:t>
      </w:r>
      <w:r w:rsidR="00B53B9A" w:rsidRPr="00F41F8D">
        <w:noBreakHyphen/>
        <w:t>state sector adjustment.</w:t>
      </w:r>
      <w:r w:rsidR="001F108E" w:rsidRPr="00F41F8D">
        <w:t xml:space="preserve"> </w:t>
      </w:r>
    </w:p>
    <w:p w14:paraId="4EAD866F" w14:textId="25735115" w:rsidR="00A07537" w:rsidRDefault="00A93048" w:rsidP="00A93048">
      <w:pPr>
        <w:pStyle w:val="CGC2025ParaNumbers"/>
      </w:pPr>
      <w:r>
        <w:t xml:space="preserve">Victoria </w:t>
      </w:r>
      <w:r w:rsidR="001C7D01">
        <w:t xml:space="preserve">said it </w:t>
      </w:r>
      <w:r w:rsidR="00655E46">
        <w:t>was</w:t>
      </w:r>
      <w:r w:rsidRPr="00A93048">
        <w:t xml:space="preserve"> concerned with the use of judgement in </w:t>
      </w:r>
      <w:r w:rsidR="00241E1E">
        <w:t xml:space="preserve">deciding </w:t>
      </w:r>
      <w:r w:rsidRPr="00A93048">
        <w:t>the substitutability level</w:t>
      </w:r>
      <w:r w:rsidR="00241E1E">
        <w:t xml:space="preserve">. </w:t>
      </w:r>
    </w:p>
    <w:p w14:paraId="6C2DDEC0" w14:textId="0EB2CFA0" w:rsidR="00186CE2" w:rsidRDefault="00186CE2" w:rsidP="00176CC1">
      <w:pPr>
        <w:pStyle w:val="CGC2025ParaNumbers"/>
      </w:pPr>
      <w:r>
        <w:t xml:space="preserve">Victoria </w:t>
      </w:r>
      <w:r w:rsidR="001C7D01">
        <w:t xml:space="preserve">said </w:t>
      </w:r>
      <w:r w:rsidR="008761CC">
        <w:t>it agrees</w:t>
      </w:r>
      <w:r>
        <w:t xml:space="preserve"> that there may be a conceptual case that </w:t>
      </w:r>
      <w:r w:rsidR="00176CC1">
        <w:t>the calculated</w:t>
      </w:r>
      <w:r>
        <w:t xml:space="preserve"> rate is </w:t>
      </w:r>
      <w:r w:rsidR="00176CC1">
        <w:t xml:space="preserve">too </w:t>
      </w:r>
      <w:r>
        <w:t xml:space="preserve">high, as not all who have private insurance use it when they go to a public hospital for </w:t>
      </w:r>
      <w:r w:rsidR="00176CC1">
        <w:t>admitted patient</w:t>
      </w:r>
      <w:r>
        <w:t xml:space="preserve"> services, for example</w:t>
      </w:r>
      <w:r w:rsidR="0096144D">
        <w:t>,</w:t>
      </w:r>
      <w:r>
        <w:t xml:space="preserve"> due to potential out-of-pocket fees.</w:t>
      </w:r>
      <w:r w:rsidR="00176CC1">
        <w:t xml:space="preserve"> </w:t>
      </w:r>
    </w:p>
    <w:p w14:paraId="343DED67" w14:textId="35B2E225" w:rsidR="001C55A7" w:rsidRDefault="00872121" w:rsidP="001C55A7">
      <w:pPr>
        <w:pStyle w:val="CGC2025ParaNumbers"/>
      </w:pPr>
      <w:r>
        <w:t xml:space="preserve">Victoria </w:t>
      </w:r>
      <w:r w:rsidR="00BD20D9">
        <w:t>said that</w:t>
      </w:r>
      <w:r w:rsidR="001C55A7">
        <w:t xml:space="preserve"> without further evidence, </w:t>
      </w:r>
      <w:r w:rsidR="00BD20D9">
        <w:t>it</w:t>
      </w:r>
      <w:r w:rsidR="001C55A7">
        <w:t xml:space="preserve"> consider</w:t>
      </w:r>
      <w:r w:rsidR="00655E46">
        <w:t>ed</w:t>
      </w:r>
      <w:r w:rsidR="001C55A7">
        <w:t xml:space="preserve"> th</w:t>
      </w:r>
      <w:r w:rsidR="00510BFB">
        <w:t>at</w:t>
      </w:r>
      <w:r w:rsidR="001C55A7">
        <w:t xml:space="preserve"> discretionary judg</w:t>
      </w:r>
      <w:r w:rsidR="0073793F">
        <w:t>e</w:t>
      </w:r>
      <w:r w:rsidR="001C55A7">
        <w:t xml:space="preserve">ment cannot be applied to the substitutability level. </w:t>
      </w:r>
      <w:r w:rsidR="00BD20D9">
        <w:t>It said i</w:t>
      </w:r>
      <w:r w:rsidR="001C55A7">
        <w:t xml:space="preserve">f the </w:t>
      </w:r>
      <w:r w:rsidR="005D5EAC">
        <w:t>Commission</w:t>
      </w:r>
      <w:r w:rsidR="001C55A7">
        <w:t xml:space="preserve"> concludes an adjustment is warranted on conceptual grounds, then the standard discounting approach should be applied. Victoria </w:t>
      </w:r>
      <w:r w:rsidR="00BD20D9">
        <w:t>said</w:t>
      </w:r>
      <w:r w:rsidR="001C55A7">
        <w:t xml:space="preserve"> the low discount of 12.5</w:t>
      </w:r>
      <w:r w:rsidR="00510F22">
        <w:t>%</w:t>
      </w:r>
      <w:r w:rsidR="00913D96">
        <w:t> </w:t>
      </w:r>
      <w:r w:rsidR="00BD20D9">
        <w:t xml:space="preserve">should </w:t>
      </w:r>
      <w:r w:rsidR="00364C4A">
        <w:t>be</w:t>
      </w:r>
      <w:r w:rsidR="001C55A7">
        <w:t xml:space="preserve"> applied to th</w:t>
      </w:r>
      <w:r w:rsidR="008E3E4F">
        <w:t>e non</w:t>
      </w:r>
      <w:r w:rsidR="00C92E0E">
        <w:t>-</w:t>
      </w:r>
      <w:r w:rsidR="008E3E4F">
        <w:t>state sector adjustment</w:t>
      </w:r>
      <w:r w:rsidR="001C55A7">
        <w:t xml:space="preserve"> overall.</w:t>
      </w:r>
    </w:p>
    <w:p w14:paraId="73369B4A" w14:textId="3644A1DA" w:rsidR="00596D15" w:rsidRDefault="00596D15" w:rsidP="00095AC7">
      <w:pPr>
        <w:pStyle w:val="CGC2025ParaNumbers"/>
      </w:pPr>
      <w:r>
        <w:t>Queensland propose</w:t>
      </w:r>
      <w:r w:rsidR="00655E46">
        <w:t>d</w:t>
      </w:r>
      <w:r w:rsidR="00E57CC9">
        <w:t xml:space="preserve"> using </w:t>
      </w:r>
      <w:r w:rsidR="00E823C7">
        <w:t>private patient bed days rather than separations as the indicator of non</w:t>
      </w:r>
      <w:r w:rsidR="0042701E">
        <w:t>-</w:t>
      </w:r>
      <w:r w:rsidR="00E823C7">
        <w:t>state sector</w:t>
      </w:r>
      <w:r w:rsidR="00F51950">
        <w:t xml:space="preserve"> </w:t>
      </w:r>
      <w:r w:rsidR="006C5D4B">
        <w:t>activity</w:t>
      </w:r>
      <w:r w:rsidR="00B94E24">
        <w:t xml:space="preserve"> for admitted patient services. </w:t>
      </w:r>
      <w:r w:rsidR="00963552">
        <w:t>It said h</w:t>
      </w:r>
      <w:r w:rsidR="00811E9C">
        <w:t xml:space="preserve">ospital separations </w:t>
      </w:r>
      <w:r w:rsidR="00497739">
        <w:t xml:space="preserve">provide no indication of the </w:t>
      </w:r>
      <w:r w:rsidR="000E55B9">
        <w:t xml:space="preserve">different </w:t>
      </w:r>
      <w:r w:rsidR="0076078C">
        <w:t xml:space="preserve">costs of treating patients for </w:t>
      </w:r>
      <w:r w:rsidR="00A83E82">
        <w:t xml:space="preserve">different </w:t>
      </w:r>
      <w:r w:rsidR="00082D42">
        <w:t>types of a</w:t>
      </w:r>
      <w:r w:rsidR="00757F74">
        <w:t xml:space="preserve">ilments. </w:t>
      </w:r>
      <w:r w:rsidR="00F12CEE">
        <w:t xml:space="preserve">Queensland </w:t>
      </w:r>
      <w:r w:rsidR="00F34AFE">
        <w:t>said</w:t>
      </w:r>
      <w:r w:rsidR="00F12CEE">
        <w:t xml:space="preserve"> that </w:t>
      </w:r>
      <w:r w:rsidR="00C57A14">
        <w:t xml:space="preserve">bed days </w:t>
      </w:r>
      <w:r w:rsidR="00041C73">
        <w:t>provide more infor</w:t>
      </w:r>
      <w:r w:rsidR="00FD3D67">
        <w:t xml:space="preserve">mation on </w:t>
      </w:r>
      <w:r w:rsidR="00C83265">
        <w:t xml:space="preserve">the </w:t>
      </w:r>
      <w:r w:rsidR="00C12523">
        <w:t xml:space="preserve">relative costs of </w:t>
      </w:r>
      <w:r w:rsidR="00FA16EA">
        <w:t>service provision</w:t>
      </w:r>
      <w:r w:rsidR="002B3B29">
        <w:t xml:space="preserve"> and therefore </w:t>
      </w:r>
      <w:r w:rsidR="00A3468E">
        <w:t xml:space="preserve">provide </w:t>
      </w:r>
      <w:r w:rsidR="005431F8">
        <w:t>a better indicator of non</w:t>
      </w:r>
      <w:r w:rsidR="005718CD">
        <w:t>-</w:t>
      </w:r>
      <w:r w:rsidR="005431F8">
        <w:t>state sector activity than separations.</w:t>
      </w:r>
    </w:p>
    <w:p w14:paraId="27409A73" w14:textId="6DA9605B" w:rsidR="005E2AAE" w:rsidRDefault="00114DCF" w:rsidP="007435D7">
      <w:pPr>
        <w:pStyle w:val="CGC2025ParaNumbers"/>
      </w:pPr>
      <w:r>
        <w:lastRenderedPageBreak/>
        <w:t>Western Australia</w:t>
      </w:r>
      <w:r w:rsidR="00026939" w:rsidRPr="00026939">
        <w:t xml:space="preserve"> </w:t>
      </w:r>
      <w:r w:rsidR="00026939">
        <w:t>suggest</w:t>
      </w:r>
      <w:r w:rsidR="004406CD">
        <w:t>ed</w:t>
      </w:r>
      <w:r w:rsidR="007C0C55">
        <w:t xml:space="preserve"> </w:t>
      </w:r>
      <w:r w:rsidR="1CE6617A">
        <w:t xml:space="preserve">broadening the </w:t>
      </w:r>
      <w:r w:rsidR="2FF4612F">
        <w:t>indicator of non</w:t>
      </w:r>
      <w:r w:rsidR="00EF456E">
        <w:noBreakHyphen/>
      </w:r>
      <w:r w:rsidR="2FF4612F">
        <w:t>state sector activity to include self</w:t>
      </w:r>
      <w:r w:rsidR="003153C9">
        <w:noBreakHyphen/>
      </w:r>
      <w:r w:rsidR="563F3423">
        <w:t>insured</w:t>
      </w:r>
      <w:r w:rsidR="2FF4612F">
        <w:t xml:space="preserve"> </w:t>
      </w:r>
      <w:r w:rsidR="008EF928">
        <w:t xml:space="preserve">private </w:t>
      </w:r>
      <w:r w:rsidR="164238B6">
        <w:t>patients</w:t>
      </w:r>
      <w:r w:rsidR="008EF928">
        <w:t xml:space="preserve">, in addition to </w:t>
      </w:r>
      <w:r w:rsidR="6F236046">
        <w:t xml:space="preserve">private </w:t>
      </w:r>
      <w:r w:rsidR="4BD5A6BB">
        <w:t>health insurance</w:t>
      </w:r>
      <w:r w:rsidR="24F9B39B">
        <w:t>-</w:t>
      </w:r>
      <w:r w:rsidR="5C457D01">
        <w:t>funded patients</w:t>
      </w:r>
      <w:r w:rsidR="4C2BCBB2">
        <w:t>.</w:t>
      </w:r>
      <w:r w:rsidR="629C88A2">
        <w:t xml:space="preserve"> </w:t>
      </w:r>
      <w:r w:rsidR="7DC7C5AD">
        <w:t xml:space="preserve">As these patients would have the choice of being public patients (just like patients </w:t>
      </w:r>
      <w:r w:rsidR="00EC63AF">
        <w:t xml:space="preserve">with </w:t>
      </w:r>
      <w:r w:rsidR="7DC7C5AD">
        <w:t>private health insurance), they also substitute for public patient separations</w:t>
      </w:r>
      <w:r w:rsidR="7277B3DD">
        <w:t>.</w:t>
      </w:r>
      <w:r w:rsidR="00C378F0">
        <w:t xml:space="preserve"> </w:t>
      </w:r>
      <w:r w:rsidR="007435D7">
        <w:t xml:space="preserve">Western Australia </w:t>
      </w:r>
      <w:r w:rsidR="00632865">
        <w:t xml:space="preserve">also </w:t>
      </w:r>
      <w:r w:rsidR="007435D7">
        <w:t xml:space="preserve">said the Commission </w:t>
      </w:r>
      <w:r w:rsidR="000D7A03">
        <w:t xml:space="preserve">should </w:t>
      </w:r>
      <w:r w:rsidR="009509D1">
        <w:t>i</w:t>
      </w:r>
      <w:r w:rsidR="00D52C10">
        <w:t>nclud</w:t>
      </w:r>
      <w:r w:rsidR="000D7A03">
        <w:t>e</w:t>
      </w:r>
      <w:r w:rsidR="00D52C10">
        <w:t xml:space="preserve"> both </w:t>
      </w:r>
      <w:r w:rsidR="003E28A5">
        <w:t xml:space="preserve">people with </w:t>
      </w:r>
      <w:r w:rsidR="00D52C10">
        <w:t>private</w:t>
      </w:r>
      <w:r w:rsidR="009509D1">
        <w:t xml:space="preserve"> health insurance and </w:t>
      </w:r>
      <w:r w:rsidR="003E28A5">
        <w:t xml:space="preserve">those that </w:t>
      </w:r>
      <w:r w:rsidR="009509D1">
        <w:t>self-</w:t>
      </w:r>
      <w:r w:rsidR="003E28A5">
        <w:t>insure</w:t>
      </w:r>
      <w:r w:rsidR="009509D1">
        <w:t xml:space="preserve"> </w:t>
      </w:r>
      <w:r w:rsidR="00FA372A">
        <w:t>in the group of</w:t>
      </w:r>
      <w:r w:rsidR="00DB7375">
        <w:t xml:space="preserve"> people that </w:t>
      </w:r>
      <w:r w:rsidR="006650FB">
        <w:t>could use non</w:t>
      </w:r>
      <w:r w:rsidR="00DB0E88">
        <w:t>-</w:t>
      </w:r>
      <w:r w:rsidR="006650FB">
        <w:t>state health services,</w:t>
      </w:r>
      <w:r w:rsidR="00FA372A">
        <w:t xml:space="preserve"> </w:t>
      </w:r>
      <w:r w:rsidR="00312710">
        <w:t>when estimating the substitutability level</w:t>
      </w:r>
      <w:r w:rsidR="00A95100">
        <w:t>.</w:t>
      </w:r>
    </w:p>
    <w:p w14:paraId="1FC81F5E" w14:textId="25395BF0" w:rsidR="00D50E5C" w:rsidRPr="00F41F8D" w:rsidRDefault="00D50E5C" w:rsidP="004C5478">
      <w:pPr>
        <w:pStyle w:val="CGC2025ParaNumbers"/>
      </w:pPr>
      <w:r w:rsidRPr="00F41F8D">
        <w:t xml:space="preserve">Queensland </w:t>
      </w:r>
      <w:r w:rsidR="00930F74" w:rsidRPr="00F41F8D">
        <w:t xml:space="preserve">did not support the inclusion of </w:t>
      </w:r>
      <w:r w:rsidR="003D6D73" w:rsidRPr="00F41F8D">
        <w:t>self</w:t>
      </w:r>
      <w:r w:rsidR="003D6D73" w:rsidRPr="00F41F8D">
        <w:noBreakHyphen/>
        <w:t>insured patients</w:t>
      </w:r>
      <w:r w:rsidR="004C5478" w:rsidRPr="00F41F8D">
        <w:t xml:space="preserve"> in the substitutability </w:t>
      </w:r>
      <w:r w:rsidR="004B5FB4">
        <w:t xml:space="preserve">level </w:t>
      </w:r>
      <w:r w:rsidR="004C5478" w:rsidRPr="00F41F8D">
        <w:t>as this group is not considered to be comparable with patients covered by private health insurance.</w:t>
      </w:r>
    </w:p>
    <w:p w14:paraId="133669CC" w14:textId="7D15EE2B" w:rsidR="002D067F" w:rsidRDefault="00C61075" w:rsidP="00C61075">
      <w:pPr>
        <w:pStyle w:val="CGC2025ParaNumbers"/>
      </w:pPr>
      <w:r>
        <w:t xml:space="preserve">Western </w:t>
      </w:r>
      <w:r w:rsidR="0044120B">
        <w:t xml:space="preserve">Australia </w:t>
      </w:r>
      <w:r w:rsidR="005608F3">
        <w:t>said i</w:t>
      </w:r>
      <w:r w:rsidR="00520A93">
        <w:t>t</w:t>
      </w:r>
      <w:r w:rsidR="005608F3">
        <w:t xml:space="preserve"> was not appropriate for the Commission to reduce</w:t>
      </w:r>
      <w:r w:rsidR="007C2846">
        <w:t xml:space="preserve"> the calculated substitutability rate </w:t>
      </w:r>
      <w:r w:rsidR="00FC0BC4">
        <w:t>(23</w:t>
      </w:r>
      <w:r w:rsidR="004461C1">
        <w:t>–</w:t>
      </w:r>
      <w:r w:rsidR="00FC0BC4">
        <w:t>27%)</w:t>
      </w:r>
      <w:r w:rsidR="005820A0">
        <w:t xml:space="preserve"> </w:t>
      </w:r>
      <w:r w:rsidR="006802EA">
        <w:t>to 1</w:t>
      </w:r>
      <w:r w:rsidR="00BC6DAE">
        <w:t>5%</w:t>
      </w:r>
      <w:r w:rsidR="00B5782C">
        <w:t xml:space="preserve">, a reduction </w:t>
      </w:r>
      <w:r w:rsidR="00E5705F">
        <w:t>of 33</w:t>
      </w:r>
      <w:r w:rsidR="004461C1">
        <w:t>–</w:t>
      </w:r>
      <w:r w:rsidR="00E5705F">
        <w:t>44% based on judgement</w:t>
      </w:r>
      <w:r w:rsidR="00162392">
        <w:t xml:space="preserve">. </w:t>
      </w:r>
      <w:r w:rsidR="00A91FB0">
        <w:t xml:space="preserve">Western Australia suggested </w:t>
      </w:r>
      <w:r w:rsidR="008F2249">
        <w:t>a 12</w:t>
      </w:r>
      <w:r w:rsidR="00AC2211">
        <w:t xml:space="preserve">.5% discount (for </w:t>
      </w:r>
      <w:r w:rsidR="00692C9F">
        <w:t xml:space="preserve">low </w:t>
      </w:r>
      <w:r w:rsidR="004E65BC">
        <w:t>un</w:t>
      </w:r>
      <w:r w:rsidR="00692C9F">
        <w:t>reliability</w:t>
      </w:r>
      <w:proofErr w:type="gramStart"/>
      <w:r w:rsidR="00692C9F">
        <w:t>)</w:t>
      </w:r>
      <w:proofErr w:type="gramEnd"/>
      <w:r w:rsidR="00692C9F">
        <w:t xml:space="preserve"> or </w:t>
      </w:r>
      <w:r w:rsidR="00973CAE">
        <w:t xml:space="preserve">a 25% discount (for </w:t>
      </w:r>
      <w:r w:rsidR="0091071D">
        <w:t>medium unreliability</w:t>
      </w:r>
      <w:r w:rsidR="00E666D3">
        <w:t xml:space="preserve">) was </w:t>
      </w:r>
      <w:r w:rsidR="00001030">
        <w:t>more reasonable</w:t>
      </w:r>
      <w:r w:rsidR="001C1D5E">
        <w:t>.</w:t>
      </w:r>
    </w:p>
    <w:p w14:paraId="4A389B1F" w14:textId="7D1BA47E" w:rsidR="00B14F76" w:rsidRPr="00F41F8D" w:rsidRDefault="00B14F76" w:rsidP="00526F94">
      <w:pPr>
        <w:pStyle w:val="CGC2025ParaNumbers"/>
      </w:pPr>
      <w:r w:rsidRPr="00F41F8D">
        <w:t xml:space="preserve">Queensland said </w:t>
      </w:r>
      <w:r w:rsidR="00526F94" w:rsidRPr="00F41F8D">
        <w:t>it agrees with the Commission’s view that the 2</w:t>
      </w:r>
      <w:r w:rsidR="0006649D">
        <w:t>3–</w:t>
      </w:r>
      <w:r w:rsidR="00526F94" w:rsidRPr="00F41F8D">
        <w:t>27% range is likely overstated.</w:t>
      </w:r>
    </w:p>
    <w:p w14:paraId="18C039E0" w14:textId="1DAA57CE" w:rsidR="00920BC5" w:rsidRDefault="006F4AB7" w:rsidP="006F4AB7">
      <w:pPr>
        <w:pStyle w:val="CGC2025ParaNumbers"/>
      </w:pPr>
      <w:r>
        <w:t xml:space="preserve">Tasmania </w:t>
      </w:r>
      <w:r w:rsidR="00A74ADD">
        <w:t xml:space="preserve">and the Northern Territory </w:t>
      </w:r>
      <w:r>
        <w:t>support</w:t>
      </w:r>
      <w:r w:rsidR="004406CD">
        <w:t>ed</w:t>
      </w:r>
      <w:r>
        <w:t xml:space="preserve"> retaining the 2020 Review methodology to update the substitutability levels for admitted patients.</w:t>
      </w:r>
    </w:p>
    <w:p w14:paraId="40294833" w14:textId="66905F7A" w:rsidR="00621413" w:rsidRDefault="00C30BCC" w:rsidP="00C30BCC">
      <w:pPr>
        <w:pStyle w:val="Heading4"/>
      </w:pPr>
      <w:bookmarkStart w:id="58" w:name="_Ref149141783"/>
      <w:r>
        <w:t>Commission response</w:t>
      </w:r>
    </w:p>
    <w:p w14:paraId="0EDE696D" w14:textId="02A78F21" w:rsidR="00107E4D" w:rsidRDefault="006B5898" w:rsidP="00806822">
      <w:pPr>
        <w:pStyle w:val="CGC2025ParaNumbers"/>
      </w:pPr>
      <w:r>
        <w:t xml:space="preserve">The </w:t>
      </w:r>
      <w:r w:rsidR="00BD1C68">
        <w:t xml:space="preserve">estimated </w:t>
      </w:r>
      <w:r w:rsidR="00225F59">
        <w:t>share of comparable services</w:t>
      </w:r>
      <w:r w:rsidR="00CE493C">
        <w:t xml:space="preserve"> (</w:t>
      </w:r>
      <w:r w:rsidR="00225F59">
        <w:t xml:space="preserve">the </w:t>
      </w:r>
      <w:r>
        <w:t xml:space="preserve">proportion of admitted patient services </w:t>
      </w:r>
      <w:r w:rsidR="000B6184">
        <w:t xml:space="preserve">that </w:t>
      </w:r>
      <w:r w:rsidR="00533279">
        <w:t xml:space="preserve">are also </w:t>
      </w:r>
      <w:r w:rsidR="007C4FF8">
        <w:t>undertaken in the non</w:t>
      </w:r>
      <w:r w:rsidR="0028152F">
        <w:noBreakHyphen/>
      </w:r>
      <w:r w:rsidR="007C4FF8">
        <w:t>state sector</w:t>
      </w:r>
      <w:r w:rsidR="00CE493C">
        <w:t>)</w:t>
      </w:r>
      <w:r w:rsidR="007C4FF8">
        <w:t xml:space="preserve"> </w:t>
      </w:r>
      <w:r w:rsidR="007649DB">
        <w:t xml:space="preserve">remains at </w:t>
      </w:r>
      <w:r>
        <w:t>between 50%</w:t>
      </w:r>
      <w:r w:rsidR="00913D96">
        <w:t> </w:t>
      </w:r>
      <w:r>
        <w:t>and 60%</w:t>
      </w:r>
      <w:r w:rsidR="007649DB">
        <w:t>, using the latest available data.</w:t>
      </w:r>
      <w:r w:rsidR="00043AA1">
        <w:rPr>
          <w:rStyle w:val="FootnoteReference"/>
        </w:rPr>
        <w:footnoteReference w:id="22"/>
      </w:r>
    </w:p>
    <w:p w14:paraId="205CB6B8" w14:textId="452FA95D" w:rsidR="00806822" w:rsidRDefault="00131B59" w:rsidP="00806822">
      <w:pPr>
        <w:pStyle w:val="CGC2025ParaNumbers"/>
      </w:pPr>
      <w:r>
        <w:t>Several</w:t>
      </w:r>
      <w:r w:rsidR="00806822">
        <w:t xml:space="preserve"> other factors need to be </w:t>
      </w:r>
      <w:proofErr w:type="gramStart"/>
      <w:r w:rsidR="00806822">
        <w:t>taken into account</w:t>
      </w:r>
      <w:proofErr w:type="gramEnd"/>
      <w:r w:rsidR="00806822">
        <w:t xml:space="preserve"> to determine the extent to which these services are substitutable and therefore reduce demand for state admitted patient services.</w:t>
      </w:r>
    </w:p>
    <w:p w14:paraId="11801F08" w14:textId="5D133A33" w:rsidR="002F1061" w:rsidRDefault="00720C90" w:rsidP="00353F04">
      <w:pPr>
        <w:pStyle w:val="CGC2025ParaNumbers"/>
      </w:pPr>
      <w:r>
        <w:t xml:space="preserve">The cost of </w:t>
      </w:r>
      <w:r w:rsidR="00B81B7D">
        <w:t>hospital services is one factor</w:t>
      </w:r>
      <w:r w:rsidR="002F12CD">
        <w:t xml:space="preserve">. </w:t>
      </w:r>
      <w:r w:rsidR="00D76F49">
        <w:t xml:space="preserve">The Commission </w:t>
      </w:r>
      <w:r w:rsidR="00255F75">
        <w:t xml:space="preserve">previously </w:t>
      </w:r>
      <w:r w:rsidR="004B7CBC">
        <w:t>stated that a</w:t>
      </w:r>
      <w:r w:rsidR="00E94A33">
        <w:t xml:space="preserve"> person without private health insurance </w:t>
      </w:r>
      <w:r w:rsidR="00130CD1">
        <w:t>would</w:t>
      </w:r>
      <w:r w:rsidR="00E94A33">
        <w:t xml:space="preserve"> rarely attend a private hospital, regardless of the availability of private health services in their </w:t>
      </w:r>
      <w:r w:rsidR="0052115B">
        <w:t>s</w:t>
      </w:r>
      <w:r w:rsidR="00E94A33">
        <w:t>tate.</w:t>
      </w:r>
      <w:r w:rsidR="0052115B">
        <w:t xml:space="preserve"> </w:t>
      </w:r>
      <w:r w:rsidR="00C21245">
        <w:t>T</w:t>
      </w:r>
      <w:r w:rsidR="0052115B">
        <w:t xml:space="preserve">he </w:t>
      </w:r>
      <w:r w:rsidR="00022EEB">
        <w:t xml:space="preserve">national </w:t>
      </w:r>
      <w:r w:rsidR="00EA5C20">
        <w:t xml:space="preserve">rate of private health insurance hospital cover </w:t>
      </w:r>
      <w:r w:rsidR="007A3489">
        <w:t xml:space="preserve">(currently </w:t>
      </w:r>
      <w:r w:rsidR="00536345">
        <w:t>4</w:t>
      </w:r>
      <w:r w:rsidR="00E1589C">
        <w:t>5</w:t>
      </w:r>
      <w:r w:rsidR="00536345">
        <w:t>%</w:t>
      </w:r>
      <w:r w:rsidR="008A08B6">
        <w:t xml:space="preserve">) </w:t>
      </w:r>
      <w:r w:rsidR="0072039B">
        <w:t xml:space="preserve">was </w:t>
      </w:r>
      <w:r w:rsidR="007B1156">
        <w:t>applied to</w:t>
      </w:r>
      <w:r w:rsidR="0072039B">
        <w:t xml:space="preserve"> </w:t>
      </w:r>
      <w:r w:rsidR="00AB2E9D">
        <w:t xml:space="preserve">the share of comparable </w:t>
      </w:r>
      <w:r w:rsidR="00D002F4">
        <w:t xml:space="preserve">state </w:t>
      </w:r>
      <w:r w:rsidR="005A4CB4">
        <w:t>and non</w:t>
      </w:r>
      <w:r w:rsidR="00944B89">
        <w:t>-</w:t>
      </w:r>
      <w:r w:rsidR="005A4CB4">
        <w:t xml:space="preserve">state </w:t>
      </w:r>
      <w:r w:rsidR="002100CD">
        <w:t xml:space="preserve">services </w:t>
      </w:r>
      <w:r w:rsidR="005A4CB4">
        <w:t xml:space="preserve">to </w:t>
      </w:r>
      <w:r w:rsidR="00C223DF">
        <w:t xml:space="preserve">determine a potential substitutability </w:t>
      </w:r>
      <w:r w:rsidR="004C5750">
        <w:t>level.</w:t>
      </w:r>
    </w:p>
    <w:p w14:paraId="645E1E1E" w14:textId="4C5477E3" w:rsidR="00B20160" w:rsidRDefault="00187052" w:rsidP="00130CD1">
      <w:pPr>
        <w:pStyle w:val="CGC2025ParaNumbers"/>
      </w:pPr>
      <w:bookmarkStart w:id="59" w:name="_Ref152684472"/>
      <w:r>
        <w:t xml:space="preserve">However, </w:t>
      </w:r>
      <w:r w:rsidR="00786BA6">
        <w:t>t</w:t>
      </w:r>
      <w:r w:rsidR="00236BD0">
        <w:t>here are also some patient</w:t>
      </w:r>
      <w:r w:rsidR="002E4A7A">
        <w:t>s</w:t>
      </w:r>
      <w:r w:rsidR="00236BD0">
        <w:t xml:space="preserve"> that are prepared to </w:t>
      </w:r>
      <w:r w:rsidR="003506A6">
        <w:t>pay</w:t>
      </w:r>
      <w:r w:rsidR="00496D97">
        <w:t xml:space="preserve"> the full cost of private services </w:t>
      </w:r>
      <w:r w:rsidR="003F7249">
        <w:t>(</w:t>
      </w:r>
      <w:r w:rsidR="000547C0">
        <w:t>self</w:t>
      </w:r>
      <w:r w:rsidR="000547C0">
        <w:noBreakHyphen/>
        <w:t>funded patients</w:t>
      </w:r>
      <w:r w:rsidR="003F7249">
        <w:t>)</w:t>
      </w:r>
      <w:r w:rsidR="000547C0">
        <w:t>.</w:t>
      </w:r>
      <w:r w:rsidR="00EC1219">
        <w:t xml:space="preserve"> The </w:t>
      </w:r>
      <w:r w:rsidR="00345DAA">
        <w:t xml:space="preserve">private activity funded </w:t>
      </w:r>
      <w:r w:rsidR="00473A4B">
        <w:t>by</w:t>
      </w:r>
      <w:r w:rsidR="00345DAA">
        <w:t xml:space="preserve"> </w:t>
      </w:r>
      <w:r w:rsidR="009B5099">
        <w:t>self-funded patients</w:t>
      </w:r>
      <w:r w:rsidR="00345DAA">
        <w:t xml:space="preserve"> </w:t>
      </w:r>
      <w:r w:rsidR="001D57E0">
        <w:t xml:space="preserve">(around </w:t>
      </w:r>
      <w:r w:rsidR="006D0A5E">
        <w:t>3.6</w:t>
      </w:r>
      <w:r w:rsidR="00E63779">
        <w:t xml:space="preserve">% of </w:t>
      </w:r>
      <w:r w:rsidR="00FC1687">
        <w:t>total public and private ho</w:t>
      </w:r>
      <w:r w:rsidR="00FE7330">
        <w:t xml:space="preserve">spital activity) </w:t>
      </w:r>
      <w:r w:rsidR="00442292">
        <w:t>s</w:t>
      </w:r>
      <w:r w:rsidR="00345DAA">
        <w:t xml:space="preserve">hould </w:t>
      </w:r>
      <w:r w:rsidR="007F0ED2">
        <w:t xml:space="preserve">also </w:t>
      </w:r>
      <w:r w:rsidR="00345DAA">
        <w:t xml:space="preserve">be </w:t>
      </w:r>
      <w:proofErr w:type="gramStart"/>
      <w:r w:rsidR="00345DAA">
        <w:lastRenderedPageBreak/>
        <w:t>taken into account</w:t>
      </w:r>
      <w:proofErr w:type="gramEnd"/>
      <w:r w:rsidR="00367D71">
        <w:t xml:space="preserve"> in estimating the substitutability level</w:t>
      </w:r>
      <w:r w:rsidR="00E42628">
        <w:t>.</w:t>
      </w:r>
      <w:r w:rsidR="001A308D">
        <w:rPr>
          <w:rStyle w:val="FootnoteReference"/>
        </w:rPr>
        <w:footnoteReference w:id="23"/>
      </w:r>
      <w:r w:rsidR="00051D97">
        <w:t xml:space="preserve"> </w:t>
      </w:r>
      <w:r w:rsidR="00AA77C8">
        <w:t>T</w:t>
      </w:r>
      <w:r w:rsidR="00192C2C">
        <w:t xml:space="preserve">he </w:t>
      </w:r>
      <w:r w:rsidR="00141107">
        <w:t xml:space="preserve">proportion of </w:t>
      </w:r>
      <w:r w:rsidR="001A2C97">
        <w:t>people</w:t>
      </w:r>
      <w:r w:rsidR="00141107">
        <w:t xml:space="preserve"> </w:t>
      </w:r>
      <w:r w:rsidR="00D87056">
        <w:t>with private hea</w:t>
      </w:r>
      <w:r w:rsidR="00E27E5F">
        <w:t>l</w:t>
      </w:r>
      <w:r w:rsidR="00D87056">
        <w:t xml:space="preserve">th </w:t>
      </w:r>
      <w:r w:rsidR="00356EE5">
        <w:t>insurance cover</w:t>
      </w:r>
      <w:r w:rsidR="00D87056">
        <w:t xml:space="preserve"> </w:t>
      </w:r>
      <w:r w:rsidR="007C351A">
        <w:t xml:space="preserve">or </w:t>
      </w:r>
      <w:r w:rsidR="006D3C6D">
        <w:t xml:space="preserve">who </w:t>
      </w:r>
      <w:r w:rsidR="00315A91">
        <w:t>self</w:t>
      </w:r>
      <w:r w:rsidR="00315A91">
        <w:noBreakHyphen/>
      </w:r>
      <w:r w:rsidR="006D3C6D">
        <w:t xml:space="preserve">funded </w:t>
      </w:r>
      <w:r w:rsidR="004A233A">
        <w:t>their admitted pa</w:t>
      </w:r>
      <w:r w:rsidR="00C82B4A">
        <w:t>tient treatment</w:t>
      </w:r>
      <w:r w:rsidR="00E27E5F">
        <w:t xml:space="preserve"> is estimated at </w:t>
      </w:r>
      <w:r w:rsidR="00852F54">
        <w:t>49</w:t>
      </w:r>
      <w:r w:rsidR="00E27E5F">
        <w:t>%.</w:t>
      </w:r>
      <w:bookmarkEnd w:id="59"/>
    </w:p>
    <w:p w14:paraId="0075D357" w14:textId="2452472C" w:rsidR="00497B71" w:rsidRDefault="00F65735" w:rsidP="00130CD1">
      <w:pPr>
        <w:pStyle w:val="CGC2025ParaNumbers"/>
      </w:pPr>
      <w:r>
        <w:t xml:space="preserve">For the 2025 Review, the Commission </w:t>
      </w:r>
      <w:r w:rsidR="00B867D7">
        <w:t>proposes to</w:t>
      </w:r>
      <w:r>
        <w:t xml:space="preserve"> </w:t>
      </w:r>
      <w:r w:rsidR="000E0204">
        <w:t>reduce the share of comparable ser</w:t>
      </w:r>
      <w:r w:rsidR="002F6194">
        <w:t xml:space="preserve">vices </w:t>
      </w:r>
      <w:r w:rsidR="00870C25">
        <w:t xml:space="preserve">from </w:t>
      </w:r>
      <w:r w:rsidR="002F6194">
        <w:t>50</w:t>
      </w:r>
      <w:r w:rsidR="00631079">
        <w:t>–</w:t>
      </w:r>
      <w:r w:rsidR="002F6194">
        <w:t>60%</w:t>
      </w:r>
      <w:r w:rsidR="00A860EF">
        <w:t xml:space="preserve"> </w:t>
      </w:r>
      <w:r w:rsidR="00530703" w:rsidRPr="00027E33">
        <w:t xml:space="preserve">to </w:t>
      </w:r>
      <w:r w:rsidR="00C35C07" w:rsidRPr="00027E33">
        <w:t>2</w:t>
      </w:r>
      <w:r w:rsidR="00A0248D" w:rsidRPr="00027E33">
        <w:t>5</w:t>
      </w:r>
      <w:r w:rsidR="00631079">
        <w:t>–</w:t>
      </w:r>
      <w:r w:rsidR="00A0248D" w:rsidRPr="00027E33">
        <w:t>29</w:t>
      </w:r>
      <w:r w:rsidR="00C35C07">
        <w:t>%</w:t>
      </w:r>
      <w:r w:rsidR="00EE0C96">
        <w:t xml:space="preserve">, </w:t>
      </w:r>
      <w:r w:rsidR="0087555D">
        <w:t xml:space="preserve">after </w:t>
      </w:r>
      <w:r w:rsidR="00C54698">
        <w:t xml:space="preserve">taking account </w:t>
      </w:r>
      <w:r w:rsidR="00DF4DAD">
        <w:t xml:space="preserve">of </w:t>
      </w:r>
      <w:r w:rsidR="00631105">
        <w:t>the private health insurance coverage</w:t>
      </w:r>
      <w:r w:rsidR="0080535B">
        <w:t xml:space="preserve"> </w:t>
      </w:r>
      <w:r w:rsidR="00996B1F">
        <w:t xml:space="preserve">rate </w:t>
      </w:r>
      <w:r w:rsidR="00DF4DAD">
        <w:t xml:space="preserve">and </w:t>
      </w:r>
      <w:r w:rsidR="00745E63">
        <w:t>self</w:t>
      </w:r>
      <w:r w:rsidR="00745E63">
        <w:noBreakHyphen/>
        <w:t xml:space="preserve">funded </w:t>
      </w:r>
      <w:r w:rsidR="00A912D4">
        <w:t>hospital activity</w:t>
      </w:r>
      <w:r w:rsidR="008A6239">
        <w:t>.</w:t>
      </w:r>
    </w:p>
    <w:p w14:paraId="1B0CCEE1" w14:textId="6BD7BA06" w:rsidR="006E0851" w:rsidRDefault="00E67863" w:rsidP="000A412A">
      <w:pPr>
        <w:pStyle w:val="CGC2025ParaNumbers"/>
      </w:pPr>
      <w:r>
        <w:t xml:space="preserve">This </w:t>
      </w:r>
      <w:r w:rsidR="007C79D1">
        <w:t xml:space="preserve">range </w:t>
      </w:r>
      <w:r w:rsidR="00AA45B9">
        <w:t>would be an upper bound</w:t>
      </w:r>
      <w:r w:rsidR="00991BF9">
        <w:t>.</w:t>
      </w:r>
      <w:r w:rsidR="00AA45B9">
        <w:t xml:space="preserve"> </w:t>
      </w:r>
      <w:r w:rsidR="00991BF9">
        <w:t>N</w:t>
      </w:r>
      <w:r w:rsidR="008661F9">
        <w:t>ot all privately insured patients choose to utilise their private health insurance due to policy excesses and gap</w:t>
      </w:r>
      <w:r w:rsidR="00C93116">
        <w:t xml:space="preserve"> payments</w:t>
      </w:r>
      <w:r w:rsidR="008661F9">
        <w:t xml:space="preserve"> charged by specialists</w:t>
      </w:r>
      <w:r w:rsidR="00C93116">
        <w:t>.</w:t>
      </w:r>
      <w:r w:rsidR="00991BF9">
        <w:t xml:space="preserve"> </w:t>
      </w:r>
      <w:r w:rsidR="0017361E">
        <w:t>The range of factors identified by New South Wales (listed in paragraph </w:t>
      </w:r>
      <w:r w:rsidR="0017361E">
        <w:fldChar w:fldCharType="begin"/>
      </w:r>
      <w:r w:rsidR="0017361E">
        <w:instrText xml:space="preserve"> REF _Ref151388066 \r \h </w:instrText>
      </w:r>
      <w:r w:rsidR="0017361E">
        <w:fldChar w:fldCharType="separate"/>
      </w:r>
      <w:r w:rsidR="00695309">
        <w:t>117</w:t>
      </w:r>
      <w:r w:rsidR="0017361E">
        <w:fldChar w:fldCharType="end"/>
      </w:r>
      <w:r w:rsidR="0017361E">
        <w:t>) also suggest the substitutability level should be lower.</w:t>
      </w:r>
    </w:p>
    <w:p w14:paraId="026CA3CB" w14:textId="06205DB2" w:rsidR="00A87FB7" w:rsidRDefault="003B3391" w:rsidP="000A412A">
      <w:pPr>
        <w:pStyle w:val="CGC2025ParaNumbers"/>
      </w:pPr>
      <w:r>
        <w:t>Given the significant uncerta</w:t>
      </w:r>
      <w:r w:rsidR="00E55533">
        <w:t xml:space="preserve">inties </w:t>
      </w:r>
      <w:r w:rsidR="00507316">
        <w:t xml:space="preserve">associated with </w:t>
      </w:r>
      <w:r w:rsidR="00834C44">
        <w:t>determining the ex</w:t>
      </w:r>
      <w:r w:rsidR="00C6692C">
        <w:t xml:space="preserve">tent to which </w:t>
      </w:r>
      <w:r w:rsidR="005846E8">
        <w:t>non</w:t>
      </w:r>
      <w:r w:rsidR="00BF4AAC">
        <w:noBreakHyphen/>
      </w:r>
      <w:r w:rsidR="005846E8">
        <w:t xml:space="preserve">state funded services </w:t>
      </w:r>
      <w:r w:rsidR="00065DBB">
        <w:t>reduce demand for state</w:t>
      </w:r>
      <w:r w:rsidR="00CA798E">
        <w:t xml:space="preserve"> </w:t>
      </w:r>
      <w:r w:rsidR="00355922">
        <w:t>services</w:t>
      </w:r>
      <w:r w:rsidR="00B372BE">
        <w:t xml:space="preserve">, an alternative </w:t>
      </w:r>
      <w:r w:rsidR="009B5575">
        <w:t>approach</w:t>
      </w:r>
      <w:r w:rsidR="00B372BE">
        <w:t xml:space="preserve"> would be to </w:t>
      </w:r>
      <w:r w:rsidR="00855B7F">
        <w:t xml:space="preserve">limit </w:t>
      </w:r>
      <w:r w:rsidR="00396605">
        <w:t xml:space="preserve">the concept of </w:t>
      </w:r>
      <w:r w:rsidR="00A27C90">
        <w:t>sub</w:t>
      </w:r>
      <w:r w:rsidR="002E2276">
        <w:t xml:space="preserve">stitutability </w:t>
      </w:r>
      <w:r w:rsidR="00055069">
        <w:t xml:space="preserve">to </w:t>
      </w:r>
      <w:r w:rsidR="00772B2C">
        <w:t>circumstance</w:t>
      </w:r>
      <w:r w:rsidR="00C67905">
        <w:t>s</w:t>
      </w:r>
      <w:r w:rsidR="00772B2C">
        <w:t xml:space="preserve"> where </w:t>
      </w:r>
      <w:r w:rsidR="00775815">
        <w:t xml:space="preserve">there is </w:t>
      </w:r>
      <w:r w:rsidR="00FE6B92">
        <w:t xml:space="preserve">a </w:t>
      </w:r>
      <w:r w:rsidR="00797470">
        <w:t xml:space="preserve">clearer relationship </w:t>
      </w:r>
      <w:r w:rsidR="0038708F">
        <w:t>b</w:t>
      </w:r>
      <w:r w:rsidR="00964EDF">
        <w:t xml:space="preserve">etween </w:t>
      </w:r>
      <w:r w:rsidR="009728D9">
        <w:t>non</w:t>
      </w:r>
      <w:r w:rsidR="00B3734B">
        <w:noBreakHyphen/>
      </w:r>
      <w:r w:rsidR="009728D9">
        <w:t xml:space="preserve">state </w:t>
      </w:r>
      <w:r w:rsidR="00BD650D">
        <w:t>and</w:t>
      </w:r>
      <w:r w:rsidR="003B37F0">
        <w:t xml:space="preserve"> state fund</w:t>
      </w:r>
      <w:r w:rsidR="007B7548">
        <w:t>ed services</w:t>
      </w:r>
      <w:r w:rsidR="003B37F0">
        <w:t xml:space="preserve">. </w:t>
      </w:r>
    </w:p>
    <w:p w14:paraId="11B10226" w14:textId="41711DE3" w:rsidR="00EA103B" w:rsidRPr="00111614" w:rsidRDefault="002B7CB6" w:rsidP="00FC7194">
      <w:pPr>
        <w:pStyle w:val="CGC2025ParaNumbers"/>
      </w:pPr>
      <w:r>
        <w:t xml:space="preserve">One option is to </w:t>
      </w:r>
      <w:r w:rsidR="009C380A">
        <w:t xml:space="preserve">limit </w:t>
      </w:r>
      <w:r w:rsidR="008E3A0A">
        <w:t xml:space="preserve">the concept of substitutability </w:t>
      </w:r>
      <w:r w:rsidR="00064B9D">
        <w:t>to</w:t>
      </w:r>
      <w:r w:rsidR="000106BB">
        <w:t xml:space="preserve"> just the</w:t>
      </w:r>
      <w:r w:rsidR="003B37F0">
        <w:t xml:space="preserve"> </w:t>
      </w:r>
      <w:r w:rsidR="00D86F66">
        <w:t xml:space="preserve">private patients </w:t>
      </w:r>
      <w:r w:rsidR="00FD647A">
        <w:t xml:space="preserve">that </w:t>
      </w:r>
      <w:r w:rsidR="00D86F66">
        <w:t>are treated in public hospitals.</w:t>
      </w:r>
      <w:r>
        <w:t xml:space="preserve"> </w:t>
      </w:r>
      <w:r w:rsidR="00DB28A1" w:rsidRPr="00111614">
        <w:t>In 202</w:t>
      </w:r>
      <w:r w:rsidR="00224E5A" w:rsidRPr="00111614">
        <w:t>0</w:t>
      </w:r>
      <w:r w:rsidR="002546AB">
        <w:t>–</w:t>
      </w:r>
      <w:r w:rsidR="00DB28A1" w:rsidRPr="00111614">
        <w:t>2</w:t>
      </w:r>
      <w:r w:rsidR="00224E5A" w:rsidRPr="00111614">
        <w:t>1</w:t>
      </w:r>
      <w:r w:rsidR="00836FC5" w:rsidRPr="00111614">
        <w:t xml:space="preserve">, </w:t>
      </w:r>
      <w:r w:rsidR="00FC7194" w:rsidRPr="00FC7194">
        <w:t>around 12% of public hospital separations</w:t>
      </w:r>
      <w:r w:rsidR="006E0153">
        <w:t xml:space="preserve"> were private</w:t>
      </w:r>
      <w:r w:rsidR="00F9010C">
        <w:t>ly funded</w:t>
      </w:r>
      <w:r w:rsidR="00FC7194" w:rsidRPr="00FC7194">
        <w:t>.</w:t>
      </w:r>
      <w:r w:rsidR="00E2301D" w:rsidRPr="00111614">
        <w:rPr>
          <w:rStyle w:val="FootnoteReference"/>
        </w:rPr>
        <w:footnoteReference w:id="24"/>
      </w:r>
      <w:r w:rsidR="00FC7194" w:rsidRPr="00FC7194">
        <w:t xml:space="preserve"> </w:t>
      </w:r>
      <w:proofErr w:type="gramStart"/>
      <w:r w:rsidR="00526A63">
        <w:t>N</w:t>
      </w:r>
      <w:r w:rsidR="00356695" w:rsidRPr="00111614">
        <w:t>on-state</w:t>
      </w:r>
      <w:proofErr w:type="gramEnd"/>
      <w:r w:rsidR="00356695" w:rsidRPr="00111614">
        <w:t xml:space="preserve"> sources of funding </w:t>
      </w:r>
      <w:r w:rsidR="003139A3">
        <w:t xml:space="preserve">for these patients </w:t>
      </w:r>
      <w:r w:rsidR="00356695" w:rsidRPr="00111614">
        <w:t xml:space="preserve">accounted for </w:t>
      </w:r>
      <w:r w:rsidR="00224E5A" w:rsidRPr="00111614">
        <w:t xml:space="preserve">around </w:t>
      </w:r>
      <w:r w:rsidR="003A388E" w:rsidRPr="00D75D53">
        <w:t>8</w:t>
      </w:r>
      <w:r w:rsidR="003A388E" w:rsidRPr="00111614">
        <w:t>%</w:t>
      </w:r>
      <w:r w:rsidR="00406721" w:rsidRPr="00111614">
        <w:t xml:space="preserve"> </w:t>
      </w:r>
      <w:r w:rsidR="00E943D5" w:rsidRPr="00111614">
        <w:t xml:space="preserve">of </w:t>
      </w:r>
      <w:r w:rsidR="00ED4A62" w:rsidRPr="00111614">
        <w:t>pub</w:t>
      </w:r>
      <w:r w:rsidR="00EA15D6" w:rsidRPr="00111614">
        <w:t xml:space="preserve">lic hospital </w:t>
      </w:r>
      <w:r w:rsidR="003F19B4" w:rsidRPr="00111614">
        <w:t>funding</w:t>
      </w:r>
      <w:r w:rsidR="008405A6" w:rsidRPr="00111614">
        <w:t xml:space="preserve">, excluding Commonwealth payments under the National Health Reform </w:t>
      </w:r>
      <w:r w:rsidR="006D1159" w:rsidRPr="00111614">
        <w:t xml:space="preserve">Agreement and </w:t>
      </w:r>
      <w:r w:rsidR="00CF70DC" w:rsidRPr="00111614">
        <w:t>rel</w:t>
      </w:r>
      <w:r w:rsidR="005A6635" w:rsidRPr="00111614">
        <w:t>evant national partnership agreements</w:t>
      </w:r>
      <w:r w:rsidR="001C4105" w:rsidRPr="00111614">
        <w:t>.</w:t>
      </w:r>
      <w:r w:rsidR="005B4F37" w:rsidRPr="00111614">
        <w:rPr>
          <w:rStyle w:val="FootnoteReference"/>
        </w:rPr>
        <w:footnoteReference w:id="25"/>
      </w:r>
      <w:r w:rsidR="005A6635" w:rsidRPr="00111614">
        <w:t xml:space="preserve"> </w:t>
      </w:r>
    </w:p>
    <w:p w14:paraId="2254EFB3" w14:textId="688CAC00" w:rsidR="00F33736" w:rsidRDefault="00C10A7A" w:rsidP="000A412A">
      <w:pPr>
        <w:pStyle w:val="CGC2025ParaNumbers"/>
      </w:pPr>
      <w:r>
        <w:t>The C</w:t>
      </w:r>
      <w:r w:rsidR="00897CB0">
        <w:t>o</w:t>
      </w:r>
      <w:r>
        <w:t>mm</w:t>
      </w:r>
      <w:r w:rsidR="00897CB0">
        <w:t xml:space="preserve">ission </w:t>
      </w:r>
      <w:r w:rsidR="003C31E8">
        <w:t xml:space="preserve">considers that </w:t>
      </w:r>
      <w:r w:rsidR="006615DB">
        <w:t>the</w:t>
      </w:r>
      <w:r w:rsidR="00D31EAB">
        <w:t xml:space="preserve"> substitutability level </w:t>
      </w:r>
      <w:r w:rsidR="00172EDD">
        <w:t xml:space="preserve">resulting from this approach </w:t>
      </w:r>
      <w:r w:rsidR="003A7B7A">
        <w:t>(</w:t>
      </w:r>
      <w:r w:rsidR="00D31EAB" w:rsidRPr="00D75D53">
        <w:t>8</w:t>
      </w:r>
      <w:r w:rsidR="00D31EAB">
        <w:t>%</w:t>
      </w:r>
      <w:r w:rsidR="003A7B7A">
        <w:t xml:space="preserve">) should be seen as </w:t>
      </w:r>
      <w:r w:rsidR="006F3D59">
        <w:t xml:space="preserve">a lower bound </w:t>
      </w:r>
      <w:r w:rsidR="003D3E37">
        <w:t xml:space="preserve">rather </w:t>
      </w:r>
      <w:r w:rsidR="00CE4D73">
        <w:t>than</w:t>
      </w:r>
      <w:r w:rsidR="003D3E37">
        <w:t xml:space="preserve"> the best estimate </w:t>
      </w:r>
      <w:r w:rsidR="006A12AB">
        <w:t xml:space="preserve">for </w:t>
      </w:r>
      <w:r w:rsidR="004D66FB">
        <w:t xml:space="preserve">the admitted patient </w:t>
      </w:r>
      <w:r w:rsidR="00FE3C87">
        <w:t>non</w:t>
      </w:r>
      <w:r w:rsidR="00FE3C87">
        <w:noBreakHyphen/>
        <w:t>state sector substitutability level</w:t>
      </w:r>
      <w:r w:rsidR="003D3E37">
        <w:t>.</w:t>
      </w:r>
      <w:r w:rsidR="00EC4CA0">
        <w:t xml:space="preserve"> </w:t>
      </w:r>
      <w:r w:rsidR="00E00E00">
        <w:t>Activity in private hospitals</w:t>
      </w:r>
      <w:r w:rsidR="003D3E37">
        <w:t xml:space="preserve"> would </w:t>
      </w:r>
      <w:r w:rsidR="000F2F2F">
        <w:t>relieve</w:t>
      </w:r>
      <w:r w:rsidR="003D3E37">
        <w:t xml:space="preserve"> some pressure on </w:t>
      </w:r>
      <w:r w:rsidR="00E836C2">
        <w:t>public hospitals</w:t>
      </w:r>
      <w:r w:rsidR="0032479C">
        <w:t xml:space="preserve">, even though the </w:t>
      </w:r>
      <w:r w:rsidR="009B0B72">
        <w:t>extent is uncertain</w:t>
      </w:r>
      <w:r w:rsidR="00A02AA9">
        <w:t>.</w:t>
      </w:r>
      <w:r w:rsidR="003041AD">
        <w:t xml:space="preserve"> </w:t>
      </w:r>
    </w:p>
    <w:p w14:paraId="714F8BE8" w14:textId="136FE632" w:rsidR="002D2930" w:rsidRDefault="00992FDE" w:rsidP="00F94156">
      <w:pPr>
        <w:pStyle w:val="CGC2025ParaNumbers"/>
      </w:pPr>
      <w:r>
        <w:t xml:space="preserve">Determining </w:t>
      </w:r>
      <w:r w:rsidR="00174633">
        <w:t xml:space="preserve">the </w:t>
      </w:r>
      <w:r w:rsidR="0017361E">
        <w:t xml:space="preserve">best estimate for the substitutability level between the upper bound of </w:t>
      </w:r>
      <w:r w:rsidR="00B50346" w:rsidRPr="00C2663C">
        <w:t>25</w:t>
      </w:r>
      <w:r w:rsidR="00B22CD9">
        <w:t>–</w:t>
      </w:r>
      <w:r w:rsidR="00B50346" w:rsidRPr="00C2663C">
        <w:t>29</w:t>
      </w:r>
      <w:r w:rsidR="00B50346">
        <w:t xml:space="preserve">% and the lower bound of </w:t>
      </w:r>
      <w:r w:rsidR="00B50346" w:rsidRPr="00C2663C">
        <w:t>8</w:t>
      </w:r>
      <w:r w:rsidR="00B50346">
        <w:t xml:space="preserve">% </w:t>
      </w:r>
      <w:r w:rsidR="00167F3A">
        <w:t>is a judg</w:t>
      </w:r>
      <w:r w:rsidR="002342E8">
        <w:t>e</w:t>
      </w:r>
      <w:r w:rsidR="00167F3A">
        <w:t>ment call</w:t>
      </w:r>
      <w:r w:rsidR="002342E8">
        <w:t xml:space="preserve">. </w:t>
      </w:r>
      <w:r w:rsidR="00F721D8">
        <w:t xml:space="preserve">The Commission has not been able to </w:t>
      </w:r>
      <w:r w:rsidR="004F791A">
        <w:t xml:space="preserve">identify </w:t>
      </w:r>
      <w:r w:rsidR="00FC3F97">
        <w:t>a reason</w:t>
      </w:r>
      <w:r w:rsidR="004F791A">
        <w:t xml:space="preserve"> to </w:t>
      </w:r>
      <w:r w:rsidR="004B5A6E">
        <w:t xml:space="preserve">change </w:t>
      </w:r>
      <w:r w:rsidR="00E81392">
        <w:t>from</w:t>
      </w:r>
      <w:r w:rsidR="00AB3F32">
        <w:t xml:space="preserve"> a substitutability level of</w:t>
      </w:r>
      <w:r w:rsidR="00AB177E">
        <w:t xml:space="preserve"> 15%</w:t>
      </w:r>
      <w:r w:rsidR="002D2930">
        <w:t>.</w:t>
      </w:r>
    </w:p>
    <w:p w14:paraId="7FBFAB69" w14:textId="222AC50A" w:rsidR="00A16943" w:rsidRPr="00CB14ED" w:rsidRDefault="00285A20" w:rsidP="00A16943">
      <w:pPr>
        <w:pStyle w:val="CGC2025ParaNumbers"/>
      </w:pPr>
      <w:bookmarkStart w:id="60" w:name="_Ref152762565"/>
      <w:r w:rsidRPr="00CB14ED">
        <w:t>I</w:t>
      </w:r>
      <w:r w:rsidR="002564DA" w:rsidRPr="00CB14ED">
        <w:t xml:space="preserve">n terms of the indicator </w:t>
      </w:r>
      <w:r w:rsidR="00A7634C" w:rsidRPr="00CB14ED">
        <w:t>of non</w:t>
      </w:r>
      <w:r w:rsidR="00387493" w:rsidRPr="00CB14ED">
        <w:noBreakHyphen/>
      </w:r>
      <w:r w:rsidR="00A7634C" w:rsidRPr="00CB14ED">
        <w:t>state sector activity</w:t>
      </w:r>
      <w:r w:rsidR="00EA103B" w:rsidRPr="00CB14ED">
        <w:t>, t</w:t>
      </w:r>
      <w:r w:rsidR="00F84437" w:rsidRPr="00CB14ED">
        <w:t>he Commission agrees with Queensland that an indicator of activity that takes account of factors that contribute to per</w:t>
      </w:r>
      <w:r w:rsidR="00FD3E95">
        <w:t>-</w:t>
      </w:r>
      <w:r w:rsidR="00F84437" w:rsidRPr="00CB14ED">
        <w:t xml:space="preserve">person service costs would be better than </w:t>
      </w:r>
      <w:r w:rsidR="0077051F" w:rsidRPr="00CB14ED">
        <w:t xml:space="preserve">hospital </w:t>
      </w:r>
      <w:r w:rsidR="00F84437" w:rsidRPr="00CB14ED">
        <w:t>separations.</w:t>
      </w:r>
      <w:r w:rsidR="006816AB" w:rsidRPr="00CB14ED">
        <w:t xml:space="preserve"> </w:t>
      </w:r>
      <w:bookmarkEnd w:id="60"/>
      <w:r w:rsidR="00153924" w:rsidRPr="00CB14ED">
        <w:t>Queensland suggested</w:t>
      </w:r>
      <w:r w:rsidR="00A16943" w:rsidRPr="00CB14ED">
        <w:t xml:space="preserve"> bed days</w:t>
      </w:r>
      <w:r w:rsidR="00290E14" w:rsidRPr="00CB14ED">
        <w:t>,</w:t>
      </w:r>
      <w:r w:rsidR="00A16943" w:rsidRPr="00CB14ED">
        <w:t xml:space="preserve"> </w:t>
      </w:r>
      <w:r w:rsidR="00153924" w:rsidRPr="00CB14ED">
        <w:t>however</w:t>
      </w:r>
      <w:r w:rsidR="00290E14" w:rsidRPr="00CB14ED">
        <w:t xml:space="preserve"> </w:t>
      </w:r>
      <w:r w:rsidR="00F805EC" w:rsidRPr="00CB14ED">
        <w:t>expenses (</w:t>
      </w:r>
      <w:r w:rsidR="00B33114">
        <w:t xml:space="preserve">as measured by </w:t>
      </w:r>
      <w:r w:rsidR="00B37C5A" w:rsidRPr="00CB14ED">
        <w:t>medical benefits</w:t>
      </w:r>
      <w:r w:rsidR="00667596" w:rsidRPr="00CB14ED">
        <w:t xml:space="preserve"> paid by private health insurance funds</w:t>
      </w:r>
      <w:r w:rsidR="00F805EC" w:rsidRPr="00CB14ED">
        <w:t xml:space="preserve">) </w:t>
      </w:r>
      <w:r w:rsidR="00A16943" w:rsidRPr="00CB14ED">
        <w:t xml:space="preserve">may provide additional information on the level of </w:t>
      </w:r>
      <w:r w:rsidR="00A16943" w:rsidRPr="00CB14ED">
        <w:lastRenderedPageBreak/>
        <w:t xml:space="preserve">complexity associated with </w:t>
      </w:r>
      <w:r w:rsidR="006B3426" w:rsidRPr="00CB14ED">
        <w:t>the cost of treating patients</w:t>
      </w:r>
      <w:r w:rsidR="00A16943" w:rsidRPr="00CB14ED">
        <w:t xml:space="preserve"> and other factors that affect costs. </w:t>
      </w:r>
    </w:p>
    <w:p w14:paraId="54833426" w14:textId="745B35A8" w:rsidR="00D17CCE" w:rsidRPr="00CB14ED" w:rsidRDefault="00D17CCE" w:rsidP="00A16943">
      <w:pPr>
        <w:pStyle w:val="CGC2025ParaNumbers"/>
      </w:pPr>
      <w:r w:rsidRPr="00CB14ED">
        <w:fldChar w:fldCharType="begin"/>
      </w:r>
      <w:r w:rsidRPr="00CB14ED">
        <w:instrText xml:space="preserve"> REF _Ref158118531 \h </w:instrText>
      </w:r>
      <w:r w:rsidR="00442AB8" w:rsidRPr="00CB14ED">
        <w:instrText xml:space="preserve"> \* MERGEFORMAT </w:instrText>
      </w:r>
      <w:r w:rsidRPr="00CB14ED">
        <w:fldChar w:fldCharType="separate"/>
      </w:r>
      <w:r w:rsidR="00581B01" w:rsidRPr="00CB14ED">
        <w:t xml:space="preserve">Table </w:t>
      </w:r>
      <w:r w:rsidR="00581B01">
        <w:rPr>
          <w:noProof/>
        </w:rPr>
        <w:t>7</w:t>
      </w:r>
      <w:r w:rsidRPr="00CB14ED">
        <w:fldChar w:fldCharType="end"/>
      </w:r>
      <w:r w:rsidR="00E13FBC" w:rsidRPr="00CB14ED">
        <w:t xml:space="preserve"> </w:t>
      </w:r>
      <w:r w:rsidR="00184572" w:rsidRPr="00CB14ED">
        <w:t xml:space="preserve">provides information on </w:t>
      </w:r>
      <w:r w:rsidR="000A2612" w:rsidRPr="00CB14ED">
        <w:t xml:space="preserve">the </w:t>
      </w:r>
      <w:r w:rsidR="00260970" w:rsidRPr="00CB14ED">
        <w:t xml:space="preserve">consistency of </w:t>
      </w:r>
      <w:r w:rsidR="003C121F" w:rsidRPr="00CB14ED">
        <w:t xml:space="preserve">average </w:t>
      </w:r>
      <w:r w:rsidR="003E6DBB" w:rsidRPr="00CB14ED">
        <w:t>expenses</w:t>
      </w:r>
      <w:r w:rsidR="006C3BB9" w:rsidRPr="00CB14ED">
        <w:t xml:space="preserve"> </w:t>
      </w:r>
      <w:r w:rsidR="00E41CD9" w:rsidRPr="00CB14ED">
        <w:t xml:space="preserve">per </w:t>
      </w:r>
      <w:r w:rsidR="003D2CA9" w:rsidRPr="00CB14ED">
        <w:t xml:space="preserve">separation </w:t>
      </w:r>
      <w:r w:rsidR="006C3BB9" w:rsidRPr="00CB14ED">
        <w:t>a</w:t>
      </w:r>
      <w:r w:rsidR="00A5077C" w:rsidRPr="00CB14ED">
        <w:t xml:space="preserve">cross states. </w:t>
      </w:r>
      <w:r w:rsidR="002A39FD" w:rsidRPr="00CB14ED">
        <w:t>Using data on medical benefits paid per separation by</w:t>
      </w:r>
      <w:r w:rsidR="00EA13A8" w:rsidRPr="00CB14ED">
        <w:t xml:space="preserve"> di</w:t>
      </w:r>
      <w:r w:rsidR="00D6777A" w:rsidRPr="00CB14ED">
        <w:t>agnosis</w:t>
      </w:r>
      <w:r w:rsidR="00401221">
        <w:noBreakHyphen/>
      </w:r>
      <w:r w:rsidR="00844D94" w:rsidRPr="00CB14ED">
        <w:t>related group</w:t>
      </w:r>
      <w:r w:rsidR="00D1560E" w:rsidRPr="00CB14ED">
        <w:t xml:space="preserve"> for </w:t>
      </w:r>
      <w:r w:rsidR="00647CFD" w:rsidRPr="00CB14ED">
        <w:t>5 states</w:t>
      </w:r>
      <w:r w:rsidR="009A6D0D" w:rsidRPr="00CB14ED">
        <w:t xml:space="preserve">, </w:t>
      </w:r>
      <w:r w:rsidR="00E73FEB" w:rsidRPr="00CB14ED">
        <w:t>t</w:t>
      </w:r>
      <w:r w:rsidR="00AD6531" w:rsidRPr="00CB14ED">
        <w:t>he</w:t>
      </w:r>
      <w:r w:rsidR="00654E81" w:rsidRPr="00CB14ED">
        <w:t xml:space="preserve"> ratio of state benefits paid to the Australian average</w:t>
      </w:r>
      <w:r w:rsidR="00655C50" w:rsidRPr="00CB14ED">
        <w:t xml:space="preserve"> was calculated</w:t>
      </w:r>
      <w:r w:rsidR="006E42E5" w:rsidRPr="00CB14ED">
        <w:t xml:space="preserve">. </w:t>
      </w:r>
      <w:r w:rsidR="00007022" w:rsidRPr="00CB14ED">
        <w:t>The proporti</w:t>
      </w:r>
      <w:r w:rsidR="00967482" w:rsidRPr="00CB14ED">
        <w:t xml:space="preserve">on of separations </w:t>
      </w:r>
      <w:r w:rsidR="00F35130" w:rsidRPr="00CB14ED">
        <w:t>close to 1.0</w:t>
      </w:r>
      <w:r w:rsidR="00772F8B" w:rsidRPr="00CB14ED">
        <w:t xml:space="preserve"> indicates </w:t>
      </w:r>
      <w:r w:rsidR="00786888" w:rsidRPr="00CB14ED">
        <w:t xml:space="preserve">how </w:t>
      </w:r>
      <w:r w:rsidR="001C5219" w:rsidRPr="00CB14ED">
        <w:t xml:space="preserve">close </w:t>
      </w:r>
      <w:r w:rsidR="00786888" w:rsidRPr="00CB14ED">
        <w:t xml:space="preserve">expenses in each state are to the Australian average. </w:t>
      </w:r>
      <w:r w:rsidR="00E24EFC" w:rsidRPr="00CB14ED">
        <w:t>For example, f</w:t>
      </w:r>
      <w:r w:rsidR="004A0548" w:rsidRPr="00CB14ED">
        <w:t xml:space="preserve">or </w:t>
      </w:r>
      <w:r w:rsidR="00C85514" w:rsidRPr="00CB14ED">
        <w:t>N</w:t>
      </w:r>
      <w:r w:rsidR="000657B8">
        <w:t xml:space="preserve">ew </w:t>
      </w:r>
      <w:r w:rsidR="00C85514" w:rsidRPr="00CB14ED">
        <w:t>S</w:t>
      </w:r>
      <w:r w:rsidR="000657B8">
        <w:t xml:space="preserve">outh </w:t>
      </w:r>
      <w:r w:rsidR="00C85514" w:rsidRPr="00CB14ED">
        <w:t>W</w:t>
      </w:r>
      <w:r w:rsidR="000657B8">
        <w:t>ales</w:t>
      </w:r>
      <w:r w:rsidR="00DB5C55" w:rsidRPr="00CB14ED">
        <w:t xml:space="preserve"> and Queensland</w:t>
      </w:r>
      <w:r w:rsidR="00C85514" w:rsidRPr="00CB14ED">
        <w:t xml:space="preserve">, </w:t>
      </w:r>
      <w:r w:rsidR="00786C55" w:rsidRPr="00CB14ED">
        <w:t xml:space="preserve">a large proportion </w:t>
      </w:r>
      <w:r w:rsidR="00C85514" w:rsidRPr="00CB14ED">
        <w:t xml:space="preserve">of </w:t>
      </w:r>
      <w:r w:rsidR="00A85917" w:rsidRPr="00CB14ED">
        <w:t>separation</w:t>
      </w:r>
      <w:r w:rsidR="00CA387A" w:rsidRPr="00CB14ED">
        <w:t xml:space="preserve">s </w:t>
      </w:r>
      <w:r w:rsidR="005A6D44" w:rsidRPr="00CB14ED">
        <w:t>(80% for N</w:t>
      </w:r>
      <w:r w:rsidR="00B80B65">
        <w:t xml:space="preserve">ew </w:t>
      </w:r>
      <w:r w:rsidR="005A6D44" w:rsidRPr="00CB14ED">
        <w:t>S</w:t>
      </w:r>
      <w:r w:rsidR="00B80B65">
        <w:t xml:space="preserve">outh </w:t>
      </w:r>
      <w:r w:rsidR="005A6D44" w:rsidRPr="00CB14ED">
        <w:t>W</w:t>
      </w:r>
      <w:r w:rsidR="00B80B65">
        <w:t>ales</w:t>
      </w:r>
      <w:r w:rsidR="005A6D44" w:rsidRPr="00CB14ED">
        <w:t xml:space="preserve"> and 86% for Queensland) </w:t>
      </w:r>
      <w:r w:rsidR="00B35238" w:rsidRPr="00CB14ED">
        <w:t xml:space="preserve">have average benefits </w:t>
      </w:r>
      <w:r w:rsidR="001616AF" w:rsidRPr="00CB14ED">
        <w:t xml:space="preserve">between </w:t>
      </w:r>
      <w:r w:rsidR="00864400" w:rsidRPr="00CB14ED">
        <w:t>90</w:t>
      </w:r>
      <w:r w:rsidR="00E43138" w:rsidRPr="00CB14ED">
        <w:t>%</w:t>
      </w:r>
      <w:r w:rsidR="004049B5">
        <w:t>–</w:t>
      </w:r>
      <w:r w:rsidR="00864400" w:rsidRPr="00CB14ED">
        <w:t>110%</w:t>
      </w:r>
      <w:r w:rsidR="004D34B6" w:rsidRPr="00CB14ED">
        <w:t xml:space="preserve"> of the national average</w:t>
      </w:r>
      <w:r w:rsidR="005B45F6" w:rsidRPr="00CB14ED">
        <w:t>.</w:t>
      </w:r>
      <w:r w:rsidR="001B792F" w:rsidRPr="00CB14ED">
        <w:t xml:space="preserve"> </w:t>
      </w:r>
      <w:r w:rsidR="005C34D6" w:rsidRPr="00CB14ED">
        <w:t xml:space="preserve">Based on the </w:t>
      </w:r>
      <w:r w:rsidR="007B3581" w:rsidRPr="00CB14ED">
        <w:t>80</w:t>
      </w:r>
      <w:r w:rsidR="004049B5">
        <w:t>–</w:t>
      </w:r>
      <w:r w:rsidR="0065116F" w:rsidRPr="00CB14ED">
        <w:t xml:space="preserve">120% threshold, </w:t>
      </w:r>
      <w:r w:rsidR="00871F9A" w:rsidRPr="00CB14ED">
        <w:t>the proportions</w:t>
      </w:r>
      <w:r w:rsidR="00604E31" w:rsidRPr="00CB14ED">
        <w:t xml:space="preserve"> for </w:t>
      </w:r>
      <w:r w:rsidR="004708EC" w:rsidRPr="00CB14ED">
        <w:t xml:space="preserve">all 5 states </w:t>
      </w:r>
      <w:r w:rsidR="000D5D24" w:rsidRPr="00CB14ED">
        <w:t>are 84% or higher.</w:t>
      </w:r>
      <w:r w:rsidR="002C345E" w:rsidRPr="00CB14ED">
        <w:t xml:space="preserve"> </w:t>
      </w:r>
    </w:p>
    <w:p w14:paraId="2B755A94" w14:textId="765E3F39" w:rsidR="001A50EA" w:rsidRPr="00CB14ED" w:rsidRDefault="002C55A1" w:rsidP="00A16943">
      <w:pPr>
        <w:pStyle w:val="CGC2025ParaNumbers"/>
      </w:pPr>
      <w:r w:rsidRPr="00CB14ED">
        <w:t xml:space="preserve">The implication </w:t>
      </w:r>
      <w:r w:rsidR="003B4DFC" w:rsidRPr="00CB14ED">
        <w:t>for the Commission</w:t>
      </w:r>
      <w:r w:rsidRPr="00CB14ED">
        <w:t xml:space="preserve"> of </w:t>
      </w:r>
      <w:r w:rsidR="00D91E08" w:rsidRPr="00CB14ED">
        <w:t xml:space="preserve">using </w:t>
      </w:r>
      <w:r w:rsidR="00D21B8E" w:rsidRPr="00CB14ED">
        <w:t xml:space="preserve">expenses as a proxy indicator </w:t>
      </w:r>
      <w:r w:rsidRPr="00CB14ED">
        <w:t xml:space="preserve">of </w:t>
      </w:r>
      <w:r w:rsidR="001520C1" w:rsidRPr="00CB14ED">
        <w:t xml:space="preserve">activity </w:t>
      </w:r>
      <w:r w:rsidR="00F8509C" w:rsidRPr="00CB14ED">
        <w:t>when there are</w:t>
      </w:r>
      <w:r w:rsidRPr="00CB14ED">
        <w:t xml:space="preserve"> differences in </w:t>
      </w:r>
      <w:r w:rsidR="00FA692F" w:rsidRPr="00CB14ED">
        <w:t>average expenses per separation across states</w:t>
      </w:r>
      <w:r w:rsidR="00A701C4" w:rsidRPr="00CB14ED">
        <w:t xml:space="preserve"> is that </w:t>
      </w:r>
      <w:r w:rsidR="00CE60E8" w:rsidRPr="00CB14ED">
        <w:t xml:space="preserve">a state </w:t>
      </w:r>
      <w:r w:rsidR="003F2610" w:rsidRPr="00CB14ED">
        <w:t xml:space="preserve">with </w:t>
      </w:r>
      <w:r w:rsidR="00494DB0" w:rsidRPr="00CB14ED">
        <w:t>above</w:t>
      </w:r>
      <w:r w:rsidR="00494DB0" w:rsidRPr="00CB14ED">
        <w:noBreakHyphen/>
        <w:t xml:space="preserve">average </w:t>
      </w:r>
      <w:r w:rsidR="00AD796F" w:rsidRPr="00CB14ED">
        <w:t xml:space="preserve">per separation </w:t>
      </w:r>
      <w:r w:rsidR="00494DB0" w:rsidRPr="00CB14ED">
        <w:t>ex</w:t>
      </w:r>
      <w:r w:rsidR="0097593F" w:rsidRPr="00CB14ED">
        <w:t>penses</w:t>
      </w:r>
      <w:r w:rsidR="00AD796F" w:rsidRPr="00CB14ED">
        <w:t xml:space="preserve"> will </w:t>
      </w:r>
      <w:r w:rsidR="00B72D78" w:rsidRPr="00CB14ED">
        <w:t xml:space="preserve">appear </w:t>
      </w:r>
      <w:r w:rsidR="00BE1D87" w:rsidRPr="00CB14ED">
        <w:t xml:space="preserve">to </w:t>
      </w:r>
      <w:r w:rsidR="00EC6C43" w:rsidRPr="00CB14ED">
        <w:t xml:space="preserve">have a </w:t>
      </w:r>
      <w:r w:rsidR="00AF2A4B" w:rsidRPr="00CB14ED">
        <w:t>higher level of activity than a state with below</w:t>
      </w:r>
      <w:r w:rsidR="00D32777">
        <w:t>-</w:t>
      </w:r>
      <w:r w:rsidR="00AF2A4B" w:rsidRPr="00CB14ED">
        <w:t>average expenses per separation</w:t>
      </w:r>
      <w:r w:rsidR="00104B36" w:rsidRPr="00CB14ED">
        <w:t xml:space="preserve">, for </w:t>
      </w:r>
      <w:r w:rsidR="00A80088" w:rsidRPr="00CB14ED">
        <w:t xml:space="preserve">an </w:t>
      </w:r>
      <w:r w:rsidR="00DA1A98" w:rsidRPr="00CB14ED">
        <w:t>equivalent</w:t>
      </w:r>
      <w:r w:rsidR="00570F58" w:rsidRPr="00CB14ED">
        <w:t xml:space="preserve"> </w:t>
      </w:r>
      <w:r w:rsidR="00A80088" w:rsidRPr="00CB14ED">
        <w:t>level</w:t>
      </w:r>
      <w:r w:rsidR="000E4B63" w:rsidRPr="00CB14ED">
        <w:t xml:space="preserve"> of activity</w:t>
      </w:r>
      <w:r w:rsidR="000532CE" w:rsidRPr="00CB14ED">
        <w:t xml:space="preserve"> (</w:t>
      </w:r>
      <w:r w:rsidR="00436019" w:rsidRPr="00CB14ED">
        <w:t xml:space="preserve">standardised </w:t>
      </w:r>
      <w:proofErr w:type="spellStart"/>
      <w:r w:rsidR="00436019" w:rsidRPr="00CB14ED">
        <w:t>casemix</w:t>
      </w:r>
      <w:proofErr w:type="spellEnd"/>
      <w:r w:rsidR="00913889" w:rsidRPr="00CB14ED">
        <w:t xml:space="preserve">). </w:t>
      </w:r>
    </w:p>
    <w:p w14:paraId="7B3D17FC" w14:textId="0B414175" w:rsidR="00734D6F" w:rsidRPr="00CB14ED" w:rsidRDefault="00B12137" w:rsidP="00D871C8">
      <w:pPr>
        <w:pStyle w:val="CGC2025Caption"/>
        <w:keepNext/>
        <w:ind w:left="1134" w:hanging="1134"/>
      </w:pPr>
      <w:bookmarkStart w:id="61" w:name="_Ref158118531"/>
      <w:r w:rsidRPr="00CB14ED">
        <w:t xml:space="preserve">Table </w:t>
      </w:r>
      <w:r>
        <w:fldChar w:fldCharType="begin"/>
      </w:r>
      <w:r>
        <w:instrText>SEQ Table \* ARABIC</w:instrText>
      </w:r>
      <w:r>
        <w:fldChar w:fldCharType="separate"/>
      </w:r>
      <w:r w:rsidR="00581B01">
        <w:rPr>
          <w:noProof/>
        </w:rPr>
        <w:t>7</w:t>
      </w:r>
      <w:r>
        <w:fldChar w:fldCharType="end"/>
      </w:r>
      <w:bookmarkEnd w:id="61"/>
      <w:r w:rsidR="00D05783" w:rsidRPr="00CB14ED">
        <w:tab/>
      </w:r>
      <w:r w:rsidR="009964F3" w:rsidRPr="00CB14ED">
        <w:t>P</w:t>
      </w:r>
      <w:r w:rsidR="00394A41" w:rsidRPr="00CB14ED">
        <w:t xml:space="preserve">rivate hospital </w:t>
      </w:r>
      <w:r w:rsidR="00955C98" w:rsidRPr="00CB14ED">
        <w:t>benefits paid</w:t>
      </w:r>
      <w:r w:rsidR="003938D1" w:rsidRPr="00CB14ED">
        <w:t xml:space="preserve"> </w:t>
      </w:r>
      <w:r w:rsidR="00214F0D" w:rsidRPr="00CB14ED">
        <w:t>per separation</w:t>
      </w:r>
      <w:r w:rsidR="000C0EA3" w:rsidRPr="00CB14ED">
        <w:t xml:space="preserve"> by state</w:t>
      </w:r>
      <w:r w:rsidR="00244270" w:rsidRPr="00CB14ED">
        <w:t>:</w:t>
      </w:r>
      <w:r w:rsidR="000C0EA3" w:rsidRPr="00CB14ED">
        <w:t xml:space="preserve"> ratio to </w:t>
      </w:r>
      <w:r w:rsidR="00374943" w:rsidRPr="00CB14ED">
        <w:t>national average, 2022</w:t>
      </w:r>
      <w:r w:rsidR="00D32777">
        <w:t>–</w:t>
      </w:r>
      <w:proofErr w:type="gramStart"/>
      <w:r w:rsidR="00374943" w:rsidRPr="00CB14ED">
        <w:t>23</w:t>
      </w:r>
      <w:proofErr w:type="gramEnd"/>
    </w:p>
    <w:tbl>
      <w:tblPr>
        <w:tblW w:w="8942" w:type="dxa"/>
        <w:tblLook w:val="04A0" w:firstRow="1" w:lastRow="0" w:firstColumn="1" w:lastColumn="0" w:noHBand="0" w:noVBand="1"/>
      </w:tblPr>
      <w:tblGrid>
        <w:gridCol w:w="3313"/>
        <w:gridCol w:w="1257"/>
        <w:gridCol w:w="1093"/>
        <w:gridCol w:w="1093"/>
        <w:gridCol w:w="1093"/>
        <w:gridCol w:w="1093"/>
      </w:tblGrid>
      <w:tr w:rsidR="00C82C2A" w:rsidRPr="00DE1C01" w14:paraId="7C8DDDF4" w14:textId="77777777" w:rsidTr="008849C6">
        <w:trPr>
          <w:trHeight w:val="375"/>
        </w:trPr>
        <w:tc>
          <w:tcPr>
            <w:tcW w:w="3239" w:type="dxa"/>
            <w:vMerge w:val="restart"/>
            <w:tcBorders>
              <w:top w:val="nil"/>
              <w:left w:val="nil"/>
              <w:bottom w:val="single" w:sz="4" w:space="0" w:color="ADD6EA"/>
              <w:right w:val="nil"/>
            </w:tcBorders>
            <w:shd w:val="clear" w:color="000000" w:fill="006991"/>
            <w:vAlign w:val="center"/>
            <w:hideMark/>
          </w:tcPr>
          <w:p w14:paraId="55042795" w14:textId="77777777" w:rsidR="00FC5031" w:rsidRDefault="00C82C2A" w:rsidP="008849C6">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 xml:space="preserve">Ratio to Australian average </w:t>
            </w:r>
          </w:p>
          <w:p w14:paraId="4AB2017E" w14:textId="76F44A5F" w:rsidR="00C82C2A" w:rsidRPr="00DE1C01" w:rsidRDefault="00C82C2A" w:rsidP="008849C6">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benefits per separation</w:t>
            </w:r>
          </w:p>
        </w:tc>
        <w:tc>
          <w:tcPr>
            <w:tcW w:w="5501" w:type="dxa"/>
            <w:gridSpan w:val="5"/>
            <w:tcBorders>
              <w:top w:val="nil"/>
              <w:left w:val="nil"/>
              <w:bottom w:val="single" w:sz="4" w:space="0" w:color="ADD6EA"/>
              <w:right w:val="nil"/>
            </w:tcBorders>
            <w:shd w:val="clear" w:color="000000" w:fill="006991"/>
            <w:noWrap/>
            <w:vAlign w:val="center"/>
            <w:hideMark/>
          </w:tcPr>
          <w:p w14:paraId="29F0237B" w14:textId="77777777" w:rsidR="00C82C2A" w:rsidRPr="00DE1C01" w:rsidRDefault="00C82C2A" w:rsidP="009E4544">
            <w:pPr>
              <w:keepNext/>
              <w:keepLines/>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Proportion of separations (%)</w:t>
            </w:r>
          </w:p>
        </w:tc>
      </w:tr>
      <w:tr w:rsidR="00C82C2A" w:rsidRPr="00DE1C01" w14:paraId="51CE65BC" w14:textId="77777777" w:rsidTr="008849C6">
        <w:trPr>
          <w:trHeight w:val="300"/>
        </w:trPr>
        <w:tc>
          <w:tcPr>
            <w:tcW w:w="3239" w:type="dxa"/>
            <w:vMerge/>
            <w:tcBorders>
              <w:top w:val="nil"/>
              <w:left w:val="nil"/>
              <w:bottom w:val="single" w:sz="4" w:space="0" w:color="ADD6EA"/>
              <w:right w:val="nil"/>
            </w:tcBorders>
            <w:vAlign w:val="center"/>
            <w:hideMark/>
          </w:tcPr>
          <w:p w14:paraId="6988C34A" w14:textId="77777777" w:rsidR="00C82C2A" w:rsidRPr="00DE1C01" w:rsidRDefault="00C82C2A" w:rsidP="008849C6">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1229" w:type="dxa"/>
            <w:tcBorders>
              <w:top w:val="nil"/>
              <w:left w:val="nil"/>
              <w:bottom w:val="nil"/>
              <w:right w:val="nil"/>
            </w:tcBorders>
            <w:shd w:val="clear" w:color="000000" w:fill="006991"/>
            <w:noWrap/>
            <w:vAlign w:val="center"/>
            <w:hideMark/>
          </w:tcPr>
          <w:p w14:paraId="3EB8CC38" w14:textId="77777777" w:rsidR="00C82C2A" w:rsidRPr="00DE1C01" w:rsidRDefault="00C82C2A" w:rsidP="008849C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NSW</w:t>
            </w:r>
          </w:p>
        </w:tc>
        <w:tc>
          <w:tcPr>
            <w:tcW w:w="1068" w:type="dxa"/>
            <w:tcBorders>
              <w:top w:val="nil"/>
              <w:left w:val="nil"/>
              <w:bottom w:val="nil"/>
              <w:right w:val="nil"/>
            </w:tcBorders>
            <w:shd w:val="clear" w:color="000000" w:fill="006991"/>
            <w:noWrap/>
            <w:vAlign w:val="center"/>
            <w:hideMark/>
          </w:tcPr>
          <w:p w14:paraId="527F4E1E" w14:textId="77777777" w:rsidR="00C82C2A" w:rsidRPr="00DE1C01" w:rsidRDefault="00C82C2A" w:rsidP="008849C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Vic</w:t>
            </w:r>
          </w:p>
        </w:tc>
        <w:tc>
          <w:tcPr>
            <w:tcW w:w="1068" w:type="dxa"/>
            <w:tcBorders>
              <w:top w:val="nil"/>
              <w:left w:val="nil"/>
              <w:bottom w:val="nil"/>
              <w:right w:val="nil"/>
            </w:tcBorders>
            <w:shd w:val="clear" w:color="000000" w:fill="006991"/>
            <w:noWrap/>
            <w:vAlign w:val="center"/>
            <w:hideMark/>
          </w:tcPr>
          <w:p w14:paraId="78E4C390" w14:textId="77777777" w:rsidR="00C82C2A" w:rsidRPr="00DE1C01" w:rsidRDefault="00C82C2A" w:rsidP="008849C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Qld</w:t>
            </w:r>
          </w:p>
        </w:tc>
        <w:tc>
          <w:tcPr>
            <w:tcW w:w="1068" w:type="dxa"/>
            <w:tcBorders>
              <w:top w:val="nil"/>
              <w:left w:val="nil"/>
              <w:bottom w:val="nil"/>
              <w:right w:val="nil"/>
            </w:tcBorders>
            <w:shd w:val="clear" w:color="000000" w:fill="006991"/>
            <w:noWrap/>
            <w:vAlign w:val="center"/>
            <w:hideMark/>
          </w:tcPr>
          <w:p w14:paraId="7B2F7660" w14:textId="77777777" w:rsidR="00C82C2A" w:rsidRPr="00DE1C01" w:rsidRDefault="00C82C2A" w:rsidP="008849C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WA</w:t>
            </w:r>
          </w:p>
        </w:tc>
        <w:tc>
          <w:tcPr>
            <w:tcW w:w="1068" w:type="dxa"/>
            <w:tcBorders>
              <w:top w:val="nil"/>
              <w:left w:val="nil"/>
              <w:bottom w:val="nil"/>
              <w:right w:val="nil"/>
            </w:tcBorders>
            <w:shd w:val="clear" w:color="000000" w:fill="006991"/>
            <w:noWrap/>
            <w:vAlign w:val="center"/>
            <w:hideMark/>
          </w:tcPr>
          <w:p w14:paraId="66DD45DF" w14:textId="77777777" w:rsidR="00C82C2A" w:rsidRPr="00DE1C01" w:rsidRDefault="00C82C2A" w:rsidP="008849C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SA</w:t>
            </w:r>
          </w:p>
        </w:tc>
      </w:tr>
      <w:tr w:rsidR="00C82C2A" w:rsidRPr="00442AB8" w14:paraId="42F7895B" w14:textId="77777777" w:rsidTr="008849C6">
        <w:trPr>
          <w:trHeight w:val="300"/>
        </w:trPr>
        <w:tc>
          <w:tcPr>
            <w:tcW w:w="3239" w:type="dxa"/>
            <w:tcBorders>
              <w:top w:val="nil"/>
              <w:left w:val="nil"/>
              <w:bottom w:val="single" w:sz="4" w:space="0" w:color="ADD6EA"/>
              <w:right w:val="nil"/>
            </w:tcBorders>
            <w:shd w:val="clear" w:color="auto" w:fill="auto"/>
            <w:noWrap/>
            <w:vAlign w:val="center"/>
            <w:hideMark/>
          </w:tcPr>
          <w:p w14:paraId="7621C272"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0.3</w:t>
            </w:r>
          </w:p>
        </w:tc>
        <w:tc>
          <w:tcPr>
            <w:tcW w:w="1229" w:type="dxa"/>
            <w:tcBorders>
              <w:top w:val="single" w:sz="4" w:space="0" w:color="ADD6EA"/>
              <w:left w:val="nil"/>
              <w:bottom w:val="single" w:sz="4" w:space="0" w:color="ADD6EA"/>
              <w:right w:val="nil"/>
            </w:tcBorders>
            <w:shd w:val="clear" w:color="auto" w:fill="auto"/>
            <w:noWrap/>
            <w:vAlign w:val="center"/>
            <w:hideMark/>
          </w:tcPr>
          <w:p w14:paraId="082D97DD"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0.0</w:t>
            </w:r>
          </w:p>
        </w:tc>
        <w:tc>
          <w:tcPr>
            <w:tcW w:w="1068" w:type="dxa"/>
            <w:tcBorders>
              <w:top w:val="single" w:sz="4" w:space="0" w:color="ADD6EA"/>
              <w:left w:val="nil"/>
              <w:bottom w:val="single" w:sz="4" w:space="0" w:color="ADD6EA"/>
              <w:right w:val="nil"/>
            </w:tcBorders>
            <w:shd w:val="clear" w:color="auto" w:fill="auto"/>
            <w:noWrap/>
            <w:vAlign w:val="center"/>
            <w:hideMark/>
          </w:tcPr>
          <w:p w14:paraId="5827A3EB"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0.2</w:t>
            </w:r>
          </w:p>
        </w:tc>
        <w:tc>
          <w:tcPr>
            <w:tcW w:w="1068" w:type="dxa"/>
            <w:tcBorders>
              <w:top w:val="single" w:sz="4" w:space="0" w:color="ADD6EA"/>
              <w:left w:val="nil"/>
              <w:bottom w:val="single" w:sz="4" w:space="0" w:color="ADD6EA"/>
              <w:right w:val="nil"/>
            </w:tcBorders>
            <w:shd w:val="clear" w:color="auto" w:fill="auto"/>
            <w:noWrap/>
            <w:vAlign w:val="center"/>
            <w:hideMark/>
          </w:tcPr>
          <w:p w14:paraId="03C855C7"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 </w:t>
            </w:r>
          </w:p>
        </w:tc>
        <w:tc>
          <w:tcPr>
            <w:tcW w:w="1068" w:type="dxa"/>
            <w:tcBorders>
              <w:top w:val="single" w:sz="4" w:space="0" w:color="ADD6EA"/>
              <w:left w:val="nil"/>
              <w:bottom w:val="single" w:sz="4" w:space="0" w:color="ADD6EA"/>
              <w:right w:val="nil"/>
            </w:tcBorders>
            <w:shd w:val="clear" w:color="auto" w:fill="auto"/>
            <w:noWrap/>
            <w:vAlign w:val="center"/>
            <w:hideMark/>
          </w:tcPr>
          <w:p w14:paraId="378F59E2"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 </w:t>
            </w:r>
          </w:p>
        </w:tc>
        <w:tc>
          <w:tcPr>
            <w:tcW w:w="1068" w:type="dxa"/>
            <w:tcBorders>
              <w:top w:val="single" w:sz="4" w:space="0" w:color="ADD6EA"/>
              <w:left w:val="nil"/>
              <w:bottom w:val="single" w:sz="4" w:space="0" w:color="ADD6EA"/>
              <w:right w:val="nil"/>
            </w:tcBorders>
            <w:shd w:val="clear" w:color="auto" w:fill="auto"/>
            <w:noWrap/>
            <w:vAlign w:val="center"/>
            <w:hideMark/>
          </w:tcPr>
          <w:p w14:paraId="1177FB7C"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0.2</w:t>
            </w:r>
          </w:p>
        </w:tc>
      </w:tr>
      <w:tr w:rsidR="00C82C2A" w:rsidRPr="00442AB8" w14:paraId="3E4AB981" w14:textId="77777777" w:rsidTr="008849C6">
        <w:trPr>
          <w:trHeight w:val="300"/>
        </w:trPr>
        <w:tc>
          <w:tcPr>
            <w:tcW w:w="3239" w:type="dxa"/>
            <w:tcBorders>
              <w:top w:val="nil"/>
              <w:left w:val="nil"/>
              <w:bottom w:val="single" w:sz="4" w:space="0" w:color="ADD6EA"/>
              <w:right w:val="nil"/>
            </w:tcBorders>
            <w:shd w:val="clear" w:color="auto" w:fill="auto"/>
            <w:noWrap/>
            <w:vAlign w:val="center"/>
            <w:hideMark/>
          </w:tcPr>
          <w:p w14:paraId="2D5D4293"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0.4</w:t>
            </w:r>
          </w:p>
        </w:tc>
        <w:tc>
          <w:tcPr>
            <w:tcW w:w="1229" w:type="dxa"/>
            <w:tcBorders>
              <w:top w:val="nil"/>
              <w:left w:val="nil"/>
              <w:bottom w:val="single" w:sz="4" w:space="0" w:color="ADD6EA"/>
              <w:right w:val="nil"/>
            </w:tcBorders>
            <w:shd w:val="clear" w:color="auto" w:fill="auto"/>
            <w:noWrap/>
            <w:vAlign w:val="center"/>
            <w:hideMark/>
          </w:tcPr>
          <w:p w14:paraId="6DCFC50F"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0.0</w:t>
            </w:r>
          </w:p>
        </w:tc>
        <w:tc>
          <w:tcPr>
            <w:tcW w:w="1068" w:type="dxa"/>
            <w:tcBorders>
              <w:top w:val="nil"/>
              <w:left w:val="nil"/>
              <w:bottom w:val="single" w:sz="4" w:space="0" w:color="ADD6EA"/>
              <w:right w:val="nil"/>
            </w:tcBorders>
            <w:shd w:val="clear" w:color="auto" w:fill="auto"/>
            <w:noWrap/>
            <w:vAlign w:val="center"/>
            <w:hideMark/>
          </w:tcPr>
          <w:p w14:paraId="56C7D17A"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0.0</w:t>
            </w:r>
          </w:p>
        </w:tc>
        <w:tc>
          <w:tcPr>
            <w:tcW w:w="1068" w:type="dxa"/>
            <w:tcBorders>
              <w:top w:val="nil"/>
              <w:left w:val="nil"/>
              <w:bottom w:val="single" w:sz="4" w:space="0" w:color="ADD6EA"/>
              <w:right w:val="nil"/>
            </w:tcBorders>
            <w:shd w:val="clear" w:color="auto" w:fill="auto"/>
            <w:noWrap/>
            <w:vAlign w:val="center"/>
            <w:hideMark/>
          </w:tcPr>
          <w:p w14:paraId="4ABC0711"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0.0</w:t>
            </w:r>
          </w:p>
        </w:tc>
        <w:tc>
          <w:tcPr>
            <w:tcW w:w="1068" w:type="dxa"/>
            <w:tcBorders>
              <w:top w:val="nil"/>
              <w:left w:val="nil"/>
              <w:bottom w:val="single" w:sz="4" w:space="0" w:color="ADD6EA"/>
              <w:right w:val="nil"/>
            </w:tcBorders>
            <w:shd w:val="clear" w:color="auto" w:fill="auto"/>
            <w:noWrap/>
            <w:vAlign w:val="center"/>
            <w:hideMark/>
          </w:tcPr>
          <w:p w14:paraId="2A67F789"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0.0</w:t>
            </w:r>
          </w:p>
        </w:tc>
        <w:tc>
          <w:tcPr>
            <w:tcW w:w="1068" w:type="dxa"/>
            <w:tcBorders>
              <w:top w:val="nil"/>
              <w:left w:val="nil"/>
              <w:bottom w:val="single" w:sz="4" w:space="0" w:color="ADD6EA"/>
              <w:right w:val="nil"/>
            </w:tcBorders>
            <w:shd w:val="clear" w:color="auto" w:fill="auto"/>
            <w:noWrap/>
            <w:vAlign w:val="center"/>
            <w:hideMark/>
          </w:tcPr>
          <w:p w14:paraId="71900CDF"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0.4</w:t>
            </w:r>
          </w:p>
        </w:tc>
      </w:tr>
      <w:tr w:rsidR="00C82C2A" w:rsidRPr="00442AB8" w14:paraId="4BDAC0DC" w14:textId="77777777" w:rsidTr="008849C6">
        <w:trPr>
          <w:trHeight w:val="300"/>
        </w:trPr>
        <w:tc>
          <w:tcPr>
            <w:tcW w:w="3239" w:type="dxa"/>
            <w:tcBorders>
              <w:top w:val="nil"/>
              <w:left w:val="nil"/>
              <w:bottom w:val="single" w:sz="4" w:space="0" w:color="ADD6EA"/>
              <w:right w:val="nil"/>
            </w:tcBorders>
            <w:shd w:val="clear" w:color="auto" w:fill="auto"/>
            <w:noWrap/>
            <w:vAlign w:val="center"/>
            <w:hideMark/>
          </w:tcPr>
          <w:p w14:paraId="53BB5251"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0.5</w:t>
            </w:r>
          </w:p>
        </w:tc>
        <w:tc>
          <w:tcPr>
            <w:tcW w:w="1229" w:type="dxa"/>
            <w:tcBorders>
              <w:top w:val="nil"/>
              <w:left w:val="nil"/>
              <w:bottom w:val="single" w:sz="4" w:space="0" w:color="ADD6EA"/>
              <w:right w:val="nil"/>
            </w:tcBorders>
            <w:shd w:val="clear" w:color="auto" w:fill="auto"/>
            <w:noWrap/>
            <w:vAlign w:val="center"/>
            <w:hideMark/>
          </w:tcPr>
          <w:p w14:paraId="5451E011"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0.0</w:t>
            </w:r>
          </w:p>
        </w:tc>
        <w:tc>
          <w:tcPr>
            <w:tcW w:w="1068" w:type="dxa"/>
            <w:tcBorders>
              <w:top w:val="nil"/>
              <w:left w:val="nil"/>
              <w:bottom w:val="single" w:sz="4" w:space="0" w:color="ADD6EA"/>
              <w:right w:val="nil"/>
            </w:tcBorders>
            <w:shd w:val="clear" w:color="auto" w:fill="auto"/>
            <w:noWrap/>
            <w:vAlign w:val="center"/>
            <w:hideMark/>
          </w:tcPr>
          <w:p w14:paraId="640DC291"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1.1</w:t>
            </w:r>
          </w:p>
        </w:tc>
        <w:tc>
          <w:tcPr>
            <w:tcW w:w="1068" w:type="dxa"/>
            <w:tcBorders>
              <w:top w:val="nil"/>
              <w:left w:val="nil"/>
              <w:bottom w:val="single" w:sz="4" w:space="0" w:color="ADD6EA"/>
              <w:right w:val="nil"/>
            </w:tcBorders>
            <w:shd w:val="clear" w:color="auto" w:fill="auto"/>
            <w:noWrap/>
            <w:vAlign w:val="center"/>
            <w:hideMark/>
          </w:tcPr>
          <w:p w14:paraId="7EEE1F12"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0.2</w:t>
            </w:r>
          </w:p>
        </w:tc>
        <w:tc>
          <w:tcPr>
            <w:tcW w:w="1068" w:type="dxa"/>
            <w:tcBorders>
              <w:top w:val="nil"/>
              <w:left w:val="nil"/>
              <w:bottom w:val="single" w:sz="4" w:space="0" w:color="ADD6EA"/>
              <w:right w:val="nil"/>
            </w:tcBorders>
            <w:shd w:val="clear" w:color="auto" w:fill="auto"/>
            <w:noWrap/>
            <w:vAlign w:val="center"/>
            <w:hideMark/>
          </w:tcPr>
          <w:p w14:paraId="102AF30C"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0.1</w:t>
            </w:r>
          </w:p>
        </w:tc>
        <w:tc>
          <w:tcPr>
            <w:tcW w:w="1068" w:type="dxa"/>
            <w:tcBorders>
              <w:top w:val="nil"/>
              <w:left w:val="nil"/>
              <w:bottom w:val="single" w:sz="4" w:space="0" w:color="ADD6EA"/>
              <w:right w:val="nil"/>
            </w:tcBorders>
            <w:shd w:val="clear" w:color="auto" w:fill="auto"/>
            <w:noWrap/>
            <w:vAlign w:val="center"/>
            <w:hideMark/>
          </w:tcPr>
          <w:p w14:paraId="5ABAD06D"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1.0</w:t>
            </w:r>
          </w:p>
        </w:tc>
      </w:tr>
      <w:tr w:rsidR="00C82C2A" w:rsidRPr="00442AB8" w14:paraId="2AAC1AEA" w14:textId="77777777" w:rsidTr="008849C6">
        <w:trPr>
          <w:trHeight w:val="300"/>
        </w:trPr>
        <w:tc>
          <w:tcPr>
            <w:tcW w:w="3239" w:type="dxa"/>
            <w:tcBorders>
              <w:top w:val="nil"/>
              <w:left w:val="nil"/>
              <w:bottom w:val="single" w:sz="4" w:space="0" w:color="ADD6EA"/>
              <w:right w:val="nil"/>
            </w:tcBorders>
            <w:shd w:val="clear" w:color="auto" w:fill="auto"/>
            <w:noWrap/>
            <w:vAlign w:val="center"/>
            <w:hideMark/>
          </w:tcPr>
          <w:p w14:paraId="22259AE7"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0.6</w:t>
            </w:r>
          </w:p>
        </w:tc>
        <w:tc>
          <w:tcPr>
            <w:tcW w:w="1229" w:type="dxa"/>
            <w:tcBorders>
              <w:top w:val="nil"/>
              <w:left w:val="nil"/>
              <w:bottom w:val="single" w:sz="4" w:space="0" w:color="ADD6EA"/>
              <w:right w:val="nil"/>
            </w:tcBorders>
            <w:shd w:val="clear" w:color="auto" w:fill="auto"/>
            <w:noWrap/>
            <w:vAlign w:val="center"/>
            <w:hideMark/>
          </w:tcPr>
          <w:p w14:paraId="17B467BD"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0.4</w:t>
            </w:r>
          </w:p>
        </w:tc>
        <w:tc>
          <w:tcPr>
            <w:tcW w:w="1068" w:type="dxa"/>
            <w:tcBorders>
              <w:top w:val="nil"/>
              <w:left w:val="nil"/>
              <w:bottom w:val="single" w:sz="4" w:space="0" w:color="ADD6EA"/>
              <w:right w:val="nil"/>
            </w:tcBorders>
            <w:shd w:val="clear" w:color="auto" w:fill="auto"/>
            <w:noWrap/>
            <w:vAlign w:val="center"/>
            <w:hideMark/>
          </w:tcPr>
          <w:p w14:paraId="7EFC6CA3"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0.6</w:t>
            </w:r>
          </w:p>
        </w:tc>
        <w:tc>
          <w:tcPr>
            <w:tcW w:w="1068" w:type="dxa"/>
            <w:tcBorders>
              <w:top w:val="nil"/>
              <w:left w:val="nil"/>
              <w:bottom w:val="single" w:sz="4" w:space="0" w:color="ADD6EA"/>
              <w:right w:val="nil"/>
            </w:tcBorders>
            <w:shd w:val="clear" w:color="auto" w:fill="auto"/>
            <w:noWrap/>
            <w:vAlign w:val="center"/>
            <w:hideMark/>
          </w:tcPr>
          <w:p w14:paraId="34E0A526"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0.1</w:t>
            </w:r>
          </w:p>
        </w:tc>
        <w:tc>
          <w:tcPr>
            <w:tcW w:w="1068" w:type="dxa"/>
            <w:tcBorders>
              <w:top w:val="nil"/>
              <w:left w:val="nil"/>
              <w:bottom w:val="single" w:sz="4" w:space="0" w:color="ADD6EA"/>
              <w:right w:val="nil"/>
            </w:tcBorders>
            <w:shd w:val="clear" w:color="auto" w:fill="auto"/>
            <w:noWrap/>
            <w:vAlign w:val="center"/>
            <w:hideMark/>
          </w:tcPr>
          <w:p w14:paraId="292C6711"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1.2</w:t>
            </w:r>
          </w:p>
        </w:tc>
        <w:tc>
          <w:tcPr>
            <w:tcW w:w="1068" w:type="dxa"/>
            <w:tcBorders>
              <w:top w:val="nil"/>
              <w:left w:val="nil"/>
              <w:bottom w:val="single" w:sz="4" w:space="0" w:color="ADD6EA"/>
              <w:right w:val="nil"/>
            </w:tcBorders>
            <w:shd w:val="clear" w:color="auto" w:fill="auto"/>
            <w:noWrap/>
            <w:vAlign w:val="center"/>
            <w:hideMark/>
          </w:tcPr>
          <w:p w14:paraId="277ABCDC"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1.5</w:t>
            </w:r>
          </w:p>
        </w:tc>
      </w:tr>
      <w:tr w:rsidR="00C82C2A" w:rsidRPr="00442AB8" w14:paraId="6F6A2052" w14:textId="77777777" w:rsidTr="008849C6">
        <w:trPr>
          <w:trHeight w:val="300"/>
        </w:trPr>
        <w:tc>
          <w:tcPr>
            <w:tcW w:w="3239" w:type="dxa"/>
            <w:tcBorders>
              <w:top w:val="nil"/>
              <w:left w:val="nil"/>
              <w:bottom w:val="single" w:sz="4" w:space="0" w:color="ADD6EA"/>
              <w:right w:val="nil"/>
            </w:tcBorders>
            <w:shd w:val="clear" w:color="000000" w:fill="DDEBF7"/>
            <w:noWrap/>
            <w:vAlign w:val="center"/>
            <w:hideMark/>
          </w:tcPr>
          <w:p w14:paraId="2791586E"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0.7</w:t>
            </w:r>
          </w:p>
        </w:tc>
        <w:tc>
          <w:tcPr>
            <w:tcW w:w="1229" w:type="dxa"/>
            <w:tcBorders>
              <w:top w:val="nil"/>
              <w:left w:val="nil"/>
              <w:bottom w:val="single" w:sz="4" w:space="0" w:color="ADD6EA"/>
              <w:right w:val="nil"/>
            </w:tcBorders>
            <w:shd w:val="clear" w:color="000000" w:fill="DDEBF7"/>
            <w:noWrap/>
            <w:vAlign w:val="center"/>
            <w:hideMark/>
          </w:tcPr>
          <w:p w14:paraId="0DFA2A23"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2.3</w:t>
            </w:r>
          </w:p>
        </w:tc>
        <w:tc>
          <w:tcPr>
            <w:tcW w:w="1068" w:type="dxa"/>
            <w:tcBorders>
              <w:top w:val="nil"/>
              <w:left w:val="nil"/>
              <w:bottom w:val="single" w:sz="4" w:space="0" w:color="ADD6EA"/>
              <w:right w:val="nil"/>
            </w:tcBorders>
            <w:shd w:val="clear" w:color="000000" w:fill="DDEBF7"/>
            <w:noWrap/>
            <w:vAlign w:val="center"/>
            <w:hideMark/>
          </w:tcPr>
          <w:p w14:paraId="512F40B4"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2.3</w:t>
            </w:r>
          </w:p>
        </w:tc>
        <w:tc>
          <w:tcPr>
            <w:tcW w:w="1068" w:type="dxa"/>
            <w:tcBorders>
              <w:top w:val="nil"/>
              <w:left w:val="nil"/>
              <w:bottom w:val="single" w:sz="4" w:space="0" w:color="ADD6EA"/>
              <w:right w:val="nil"/>
            </w:tcBorders>
            <w:shd w:val="clear" w:color="000000" w:fill="DDEBF7"/>
            <w:noWrap/>
            <w:vAlign w:val="center"/>
            <w:hideMark/>
          </w:tcPr>
          <w:p w14:paraId="1CD217E1"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0.3</w:t>
            </w:r>
          </w:p>
        </w:tc>
        <w:tc>
          <w:tcPr>
            <w:tcW w:w="1068" w:type="dxa"/>
            <w:tcBorders>
              <w:top w:val="nil"/>
              <w:left w:val="nil"/>
              <w:bottom w:val="single" w:sz="4" w:space="0" w:color="ADD6EA"/>
              <w:right w:val="nil"/>
            </w:tcBorders>
            <w:shd w:val="clear" w:color="000000" w:fill="DDEBF7"/>
            <w:noWrap/>
            <w:vAlign w:val="center"/>
            <w:hideMark/>
          </w:tcPr>
          <w:p w14:paraId="42EAC816"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0.5</w:t>
            </w:r>
          </w:p>
        </w:tc>
        <w:tc>
          <w:tcPr>
            <w:tcW w:w="1068" w:type="dxa"/>
            <w:tcBorders>
              <w:top w:val="nil"/>
              <w:left w:val="nil"/>
              <w:bottom w:val="single" w:sz="4" w:space="0" w:color="ADD6EA"/>
              <w:right w:val="nil"/>
            </w:tcBorders>
            <w:shd w:val="clear" w:color="000000" w:fill="DDEBF7"/>
            <w:noWrap/>
            <w:vAlign w:val="center"/>
            <w:hideMark/>
          </w:tcPr>
          <w:p w14:paraId="440ADA6B"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10.3</w:t>
            </w:r>
          </w:p>
        </w:tc>
      </w:tr>
      <w:tr w:rsidR="00C82C2A" w:rsidRPr="00442AB8" w14:paraId="64326A36" w14:textId="77777777" w:rsidTr="008849C6">
        <w:trPr>
          <w:trHeight w:val="300"/>
        </w:trPr>
        <w:tc>
          <w:tcPr>
            <w:tcW w:w="3239" w:type="dxa"/>
            <w:tcBorders>
              <w:top w:val="nil"/>
              <w:left w:val="nil"/>
              <w:bottom w:val="single" w:sz="4" w:space="0" w:color="ADD6EA"/>
              <w:right w:val="nil"/>
            </w:tcBorders>
            <w:shd w:val="clear" w:color="000000" w:fill="BDD7EE"/>
            <w:noWrap/>
            <w:vAlign w:val="center"/>
            <w:hideMark/>
          </w:tcPr>
          <w:p w14:paraId="5566E7BE"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0.8</w:t>
            </w:r>
          </w:p>
        </w:tc>
        <w:tc>
          <w:tcPr>
            <w:tcW w:w="1229" w:type="dxa"/>
            <w:tcBorders>
              <w:top w:val="nil"/>
              <w:left w:val="nil"/>
              <w:bottom w:val="single" w:sz="4" w:space="0" w:color="ADD6EA"/>
              <w:right w:val="nil"/>
            </w:tcBorders>
            <w:shd w:val="clear" w:color="000000" w:fill="BDD7EE"/>
            <w:noWrap/>
            <w:vAlign w:val="center"/>
            <w:hideMark/>
          </w:tcPr>
          <w:p w14:paraId="67D54AE6"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8.0</w:t>
            </w:r>
          </w:p>
        </w:tc>
        <w:tc>
          <w:tcPr>
            <w:tcW w:w="1068" w:type="dxa"/>
            <w:tcBorders>
              <w:top w:val="nil"/>
              <w:left w:val="nil"/>
              <w:bottom w:val="single" w:sz="4" w:space="0" w:color="ADD6EA"/>
              <w:right w:val="nil"/>
            </w:tcBorders>
            <w:shd w:val="clear" w:color="000000" w:fill="BDD7EE"/>
            <w:noWrap/>
            <w:vAlign w:val="center"/>
            <w:hideMark/>
          </w:tcPr>
          <w:p w14:paraId="7CA74273"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28.8</w:t>
            </w:r>
          </w:p>
        </w:tc>
        <w:tc>
          <w:tcPr>
            <w:tcW w:w="1068" w:type="dxa"/>
            <w:tcBorders>
              <w:top w:val="nil"/>
              <w:left w:val="nil"/>
              <w:bottom w:val="single" w:sz="4" w:space="0" w:color="ADD6EA"/>
              <w:right w:val="nil"/>
            </w:tcBorders>
            <w:shd w:val="clear" w:color="000000" w:fill="BDD7EE"/>
            <w:noWrap/>
            <w:vAlign w:val="center"/>
            <w:hideMark/>
          </w:tcPr>
          <w:p w14:paraId="37AD415F"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4.2</w:t>
            </w:r>
          </w:p>
        </w:tc>
        <w:tc>
          <w:tcPr>
            <w:tcW w:w="1068" w:type="dxa"/>
            <w:tcBorders>
              <w:top w:val="nil"/>
              <w:left w:val="nil"/>
              <w:bottom w:val="single" w:sz="4" w:space="0" w:color="ADD6EA"/>
              <w:right w:val="nil"/>
            </w:tcBorders>
            <w:shd w:val="clear" w:color="000000" w:fill="BDD7EE"/>
            <w:noWrap/>
            <w:vAlign w:val="center"/>
            <w:hideMark/>
          </w:tcPr>
          <w:p w14:paraId="0CB19C47"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2.0</w:t>
            </w:r>
          </w:p>
        </w:tc>
        <w:tc>
          <w:tcPr>
            <w:tcW w:w="1068" w:type="dxa"/>
            <w:tcBorders>
              <w:top w:val="nil"/>
              <w:left w:val="nil"/>
              <w:bottom w:val="single" w:sz="4" w:space="0" w:color="ADD6EA"/>
              <w:right w:val="nil"/>
            </w:tcBorders>
            <w:shd w:val="clear" w:color="000000" w:fill="BDD7EE"/>
            <w:noWrap/>
            <w:vAlign w:val="center"/>
            <w:hideMark/>
          </w:tcPr>
          <w:p w14:paraId="14C4FD34"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34.1</w:t>
            </w:r>
          </w:p>
        </w:tc>
      </w:tr>
      <w:tr w:rsidR="00C82C2A" w:rsidRPr="00442AB8" w14:paraId="07ED2C91" w14:textId="77777777" w:rsidTr="008849C6">
        <w:trPr>
          <w:trHeight w:val="300"/>
        </w:trPr>
        <w:tc>
          <w:tcPr>
            <w:tcW w:w="3239" w:type="dxa"/>
            <w:tcBorders>
              <w:top w:val="nil"/>
              <w:left w:val="nil"/>
              <w:bottom w:val="single" w:sz="4" w:space="0" w:color="ADD6EA"/>
              <w:right w:val="nil"/>
            </w:tcBorders>
            <w:shd w:val="clear" w:color="000000" w:fill="9BC2E6"/>
            <w:noWrap/>
            <w:vAlign w:val="center"/>
            <w:hideMark/>
          </w:tcPr>
          <w:p w14:paraId="7D218DE7"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0.9</w:t>
            </w:r>
          </w:p>
        </w:tc>
        <w:tc>
          <w:tcPr>
            <w:tcW w:w="1229" w:type="dxa"/>
            <w:tcBorders>
              <w:top w:val="nil"/>
              <w:left w:val="nil"/>
              <w:bottom w:val="single" w:sz="4" w:space="0" w:color="ADD6EA"/>
              <w:right w:val="nil"/>
            </w:tcBorders>
            <w:shd w:val="clear" w:color="000000" w:fill="9BC2E6"/>
            <w:noWrap/>
            <w:vAlign w:val="center"/>
            <w:hideMark/>
          </w:tcPr>
          <w:p w14:paraId="0B4DD387"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23.4</w:t>
            </w:r>
          </w:p>
        </w:tc>
        <w:tc>
          <w:tcPr>
            <w:tcW w:w="1068" w:type="dxa"/>
            <w:tcBorders>
              <w:top w:val="nil"/>
              <w:left w:val="nil"/>
              <w:bottom w:val="single" w:sz="4" w:space="0" w:color="ADD6EA"/>
              <w:right w:val="nil"/>
            </w:tcBorders>
            <w:shd w:val="clear" w:color="000000" w:fill="9BC2E6"/>
            <w:noWrap/>
            <w:vAlign w:val="center"/>
            <w:hideMark/>
          </w:tcPr>
          <w:p w14:paraId="43B89837"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29.6</w:t>
            </w:r>
          </w:p>
        </w:tc>
        <w:tc>
          <w:tcPr>
            <w:tcW w:w="1068" w:type="dxa"/>
            <w:tcBorders>
              <w:top w:val="nil"/>
              <w:left w:val="nil"/>
              <w:bottom w:val="single" w:sz="4" w:space="0" w:color="ADD6EA"/>
              <w:right w:val="nil"/>
            </w:tcBorders>
            <w:shd w:val="clear" w:color="000000" w:fill="9BC2E6"/>
            <w:noWrap/>
            <w:vAlign w:val="center"/>
            <w:hideMark/>
          </w:tcPr>
          <w:p w14:paraId="1BB45C56"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37.2</w:t>
            </w:r>
          </w:p>
        </w:tc>
        <w:tc>
          <w:tcPr>
            <w:tcW w:w="1068" w:type="dxa"/>
            <w:tcBorders>
              <w:top w:val="nil"/>
              <w:left w:val="nil"/>
              <w:bottom w:val="single" w:sz="4" w:space="0" w:color="ADD6EA"/>
              <w:right w:val="nil"/>
            </w:tcBorders>
            <w:shd w:val="clear" w:color="000000" w:fill="9BC2E6"/>
            <w:noWrap/>
            <w:vAlign w:val="center"/>
            <w:hideMark/>
          </w:tcPr>
          <w:p w14:paraId="7147075C"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23.0</w:t>
            </w:r>
          </w:p>
        </w:tc>
        <w:tc>
          <w:tcPr>
            <w:tcW w:w="1068" w:type="dxa"/>
            <w:tcBorders>
              <w:top w:val="nil"/>
              <w:left w:val="nil"/>
              <w:bottom w:val="single" w:sz="4" w:space="0" w:color="ADD6EA"/>
              <w:right w:val="nil"/>
            </w:tcBorders>
            <w:shd w:val="clear" w:color="000000" w:fill="9BC2E6"/>
            <w:noWrap/>
            <w:vAlign w:val="center"/>
            <w:hideMark/>
          </w:tcPr>
          <w:p w14:paraId="4CF2567F"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19.0</w:t>
            </w:r>
          </w:p>
        </w:tc>
      </w:tr>
      <w:tr w:rsidR="00C82C2A" w:rsidRPr="00442AB8" w14:paraId="64D1D7E2" w14:textId="77777777" w:rsidTr="008849C6">
        <w:trPr>
          <w:trHeight w:val="300"/>
        </w:trPr>
        <w:tc>
          <w:tcPr>
            <w:tcW w:w="3239" w:type="dxa"/>
            <w:tcBorders>
              <w:top w:val="nil"/>
              <w:left w:val="nil"/>
              <w:bottom w:val="single" w:sz="4" w:space="0" w:color="ADD6EA"/>
              <w:right w:val="nil"/>
            </w:tcBorders>
            <w:shd w:val="clear" w:color="000000" w:fill="9BC2E6"/>
            <w:noWrap/>
            <w:vAlign w:val="center"/>
            <w:hideMark/>
          </w:tcPr>
          <w:p w14:paraId="30D375C4"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1.0</w:t>
            </w:r>
          </w:p>
        </w:tc>
        <w:tc>
          <w:tcPr>
            <w:tcW w:w="1229" w:type="dxa"/>
            <w:tcBorders>
              <w:top w:val="nil"/>
              <w:left w:val="nil"/>
              <w:bottom w:val="single" w:sz="4" w:space="0" w:color="ADD6EA"/>
              <w:right w:val="nil"/>
            </w:tcBorders>
            <w:shd w:val="clear" w:color="000000" w:fill="9BC2E6"/>
            <w:noWrap/>
            <w:vAlign w:val="center"/>
            <w:hideMark/>
          </w:tcPr>
          <w:p w14:paraId="3B59B7CB"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48.2</w:t>
            </w:r>
          </w:p>
        </w:tc>
        <w:tc>
          <w:tcPr>
            <w:tcW w:w="1068" w:type="dxa"/>
            <w:tcBorders>
              <w:top w:val="nil"/>
              <w:left w:val="nil"/>
              <w:bottom w:val="single" w:sz="4" w:space="0" w:color="ADD6EA"/>
              <w:right w:val="nil"/>
            </w:tcBorders>
            <w:shd w:val="clear" w:color="000000" w:fill="9BC2E6"/>
            <w:noWrap/>
            <w:vAlign w:val="center"/>
            <w:hideMark/>
          </w:tcPr>
          <w:p w14:paraId="7BECCD8B"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15.4</w:t>
            </w:r>
          </w:p>
        </w:tc>
        <w:tc>
          <w:tcPr>
            <w:tcW w:w="1068" w:type="dxa"/>
            <w:tcBorders>
              <w:top w:val="nil"/>
              <w:left w:val="nil"/>
              <w:bottom w:val="single" w:sz="4" w:space="0" w:color="ADD6EA"/>
              <w:right w:val="nil"/>
            </w:tcBorders>
            <w:shd w:val="clear" w:color="000000" w:fill="9BC2E6"/>
            <w:noWrap/>
            <w:vAlign w:val="center"/>
            <w:hideMark/>
          </w:tcPr>
          <w:p w14:paraId="469655CA"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44.1</w:t>
            </w:r>
          </w:p>
        </w:tc>
        <w:tc>
          <w:tcPr>
            <w:tcW w:w="1068" w:type="dxa"/>
            <w:tcBorders>
              <w:top w:val="nil"/>
              <w:left w:val="nil"/>
              <w:bottom w:val="single" w:sz="4" w:space="0" w:color="ADD6EA"/>
              <w:right w:val="nil"/>
            </w:tcBorders>
            <w:shd w:val="clear" w:color="000000" w:fill="9BC2E6"/>
            <w:noWrap/>
            <w:vAlign w:val="center"/>
            <w:hideMark/>
          </w:tcPr>
          <w:p w14:paraId="10660FCF"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12.7</w:t>
            </w:r>
          </w:p>
        </w:tc>
        <w:tc>
          <w:tcPr>
            <w:tcW w:w="1068" w:type="dxa"/>
            <w:tcBorders>
              <w:top w:val="nil"/>
              <w:left w:val="nil"/>
              <w:bottom w:val="single" w:sz="4" w:space="0" w:color="ADD6EA"/>
              <w:right w:val="nil"/>
            </w:tcBorders>
            <w:shd w:val="clear" w:color="000000" w:fill="9BC2E6"/>
            <w:noWrap/>
            <w:vAlign w:val="center"/>
            <w:hideMark/>
          </w:tcPr>
          <w:p w14:paraId="3679417B"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9.6</w:t>
            </w:r>
          </w:p>
        </w:tc>
      </w:tr>
      <w:tr w:rsidR="00C82C2A" w:rsidRPr="00442AB8" w14:paraId="47700BCC" w14:textId="77777777" w:rsidTr="008849C6">
        <w:trPr>
          <w:trHeight w:val="300"/>
        </w:trPr>
        <w:tc>
          <w:tcPr>
            <w:tcW w:w="3239" w:type="dxa"/>
            <w:tcBorders>
              <w:top w:val="nil"/>
              <w:left w:val="nil"/>
              <w:bottom w:val="single" w:sz="4" w:space="0" w:color="ADD6EA"/>
              <w:right w:val="nil"/>
            </w:tcBorders>
            <w:shd w:val="clear" w:color="000000" w:fill="9BC2E6"/>
            <w:noWrap/>
            <w:vAlign w:val="center"/>
            <w:hideMark/>
          </w:tcPr>
          <w:p w14:paraId="6153EEE3"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1.1</w:t>
            </w:r>
          </w:p>
        </w:tc>
        <w:tc>
          <w:tcPr>
            <w:tcW w:w="1229" w:type="dxa"/>
            <w:tcBorders>
              <w:top w:val="nil"/>
              <w:left w:val="nil"/>
              <w:bottom w:val="single" w:sz="4" w:space="0" w:color="ADD6EA"/>
              <w:right w:val="nil"/>
            </w:tcBorders>
            <w:shd w:val="clear" w:color="000000" w:fill="9BC2E6"/>
            <w:noWrap/>
            <w:vAlign w:val="center"/>
            <w:hideMark/>
          </w:tcPr>
          <w:p w14:paraId="6C0068FB"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8.0</w:t>
            </w:r>
          </w:p>
        </w:tc>
        <w:tc>
          <w:tcPr>
            <w:tcW w:w="1068" w:type="dxa"/>
            <w:tcBorders>
              <w:top w:val="nil"/>
              <w:left w:val="nil"/>
              <w:bottom w:val="single" w:sz="4" w:space="0" w:color="ADD6EA"/>
              <w:right w:val="nil"/>
            </w:tcBorders>
            <w:shd w:val="clear" w:color="000000" w:fill="9BC2E6"/>
            <w:noWrap/>
            <w:vAlign w:val="center"/>
            <w:hideMark/>
          </w:tcPr>
          <w:p w14:paraId="66C86250"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2.8</w:t>
            </w:r>
          </w:p>
        </w:tc>
        <w:tc>
          <w:tcPr>
            <w:tcW w:w="1068" w:type="dxa"/>
            <w:tcBorders>
              <w:top w:val="nil"/>
              <w:left w:val="nil"/>
              <w:bottom w:val="single" w:sz="4" w:space="0" w:color="ADD6EA"/>
              <w:right w:val="nil"/>
            </w:tcBorders>
            <w:shd w:val="clear" w:color="000000" w:fill="9BC2E6"/>
            <w:noWrap/>
            <w:vAlign w:val="center"/>
            <w:hideMark/>
          </w:tcPr>
          <w:p w14:paraId="30707E17"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5.0</w:t>
            </w:r>
          </w:p>
        </w:tc>
        <w:tc>
          <w:tcPr>
            <w:tcW w:w="1068" w:type="dxa"/>
            <w:tcBorders>
              <w:top w:val="nil"/>
              <w:left w:val="nil"/>
              <w:bottom w:val="single" w:sz="4" w:space="0" w:color="ADD6EA"/>
              <w:right w:val="nil"/>
            </w:tcBorders>
            <w:shd w:val="clear" w:color="000000" w:fill="9BC2E6"/>
            <w:noWrap/>
            <w:vAlign w:val="center"/>
            <w:hideMark/>
          </w:tcPr>
          <w:p w14:paraId="66A208D4"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16.9</w:t>
            </w:r>
          </w:p>
        </w:tc>
        <w:tc>
          <w:tcPr>
            <w:tcW w:w="1068" w:type="dxa"/>
            <w:tcBorders>
              <w:top w:val="nil"/>
              <w:left w:val="nil"/>
              <w:bottom w:val="single" w:sz="4" w:space="0" w:color="ADD6EA"/>
              <w:right w:val="nil"/>
            </w:tcBorders>
            <w:shd w:val="clear" w:color="000000" w:fill="9BC2E6"/>
            <w:noWrap/>
            <w:vAlign w:val="center"/>
            <w:hideMark/>
          </w:tcPr>
          <w:p w14:paraId="71398A00"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12.6</w:t>
            </w:r>
          </w:p>
        </w:tc>
      </w:tr>
      <w:tr w:rsidR="00C82C2A" w:rsidRPr="00442AB8" w14:paraId="16AE5FDF" w14:textId="77777777" w:rsidTr="008849C6">
        <w:trPr>
          <w:trHeight w:val="300"/>
        </w:trPr>
        <w:tc>
          <w:tcPr>
            <w:tcW w:w="3239" w:type="dxa"/>
            <w:tcBorders>
              <w:top w:val="nil"/>
              <w:left w:val="nil"/>
              <w:bottom w:val="single" w:sz="4" w:space="0" w:color="ADD6EA"/>
              <w:right w:val="nil"/>
            </w:tcBorders>
            <w:shd w:val="clear" w:color="000000" w:fill="BDD7EE"/>
            <w:noWrap/>
            <w:vAlign w:val="center"/>
            <w:hideMark/>
          </w:tcPr>
          <w:p w14:paraId="30817D3B"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1.2</w:t>
            </w:r>
          </w:p>
        </w:tc>
        <w:tc>
          <w:tcPr>
            <w:tcW w:w="1229" w:type="dxa"/>
            <w:tcBorders>
              <w:top w:val="nil"/>
              <w:left w:val="nil"/>
              <w:bottom w:val="single" w:sz="4" w:space="0" w:color="ADD6EA"/>
              <w:right w:val="nil"/>
            </w:tcBorders>
            <w:shd w:val="clear" w:color="000000" w:fill="BDD7EE"/>
            <w:noWrap/>
            <w:vAlign w:val="center"/>
            <w:hideMark/>
          </w:tcPr>
          <w:p w14:paraId="72AE1E64"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7.3</w:t>
            </w:r>
          </w:p>
        </w:tc>
        <w:tc>
          <w:tcPr>
            <w:tcW w:w="1068" w:type="dxa"/>
            <w:tcBorders>
              <w:top w:val="nil"/>
              <w:left w:val="nil"/>
              <w:bottom w:val="single" w:sz="4" w:space="0" w:color="ADD6EA"/>
              <w:right w:val="nil"/>
            </w:tcBorders>
            <w:shd w:val="clear" w:color="000000" w:fill="BDD7EE"/>
            <w:noWrap/>
            <w:vAlign w:val="center"/>
            <w:hideMark/>
          </w:tcPr>
          <w:p w14:paraId="1CD0D9FE"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12.9</w:t>
            </w:r>
          </w:p>
        </w:tc>
        <w:tc>
          <w:tcPr>
            <w:tcW w:w="1068" w:type="dxa"/>
            <w:tcBorders>
              <w:top w:val="nil"/>
              <w:left w:val="nil"/>
              <w:bottom w:val="single" w:sz="4" w:space="0" w:color="ADD6EA"/>
              <w:right w:val="nil"/>
            </w:tcBorders>
            <w:shd w:val="clear" w:color="000000" w:fill="BDD7EE"/>
            <w:noWrap/>
            <w:vAlign w:val="center"/>
            <w:hideMark/>
          </w:tcPr>
          <w:p w14:paraId="13479BE6"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4.0</w:t>
            </w:r>
          </w:p>
        </w:tc>
        <w:tc>
          <w:tcPr>
            <w:tcW w:w="1068" w:type="dxa"/>
            <w:tcBorders>
              <w:top w:val="nil"/>
              <w:left w:val="nil"/>
              <w:bottom w:val="single" w:sz="4" w:space="0" w:color="ADD6EA"/>
              <w:right w:val="nil"/>
            </w:tcBorders>
            <w:shd w:val="clear" w:color="000000" w:fill="BDD7EE"/>
            <w:noWrap/>
            <w:vAlign w:val="center"/>
            <w:hideMark/>
          </w:tcPr>
          <w:p w14:paraId="3D3489FE"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29.4</w:t>
            </w:r>
          </w:p>
        </w:tc>
        <w:tc>
          <w:tcPr>
            <w:tcW w:w="1068" w:type="dxa"/>
            <w:tcBorders>
              <w:top w:val="nil"/>
              <w:left w:val="nil"/>
              <w:bottom w:val="single" w:sz="4" w:space="0" w:color="ADD6EA"/>
              <w:right w:val="nil"/>
            </w:tcBorders>
            <w:shd w:val="clear" w:color="000000" w:fill="BDD7EE"/>
            <w:noWrap/>
            <w:vAlign w:val="center"/>
            <w:hideMark/>
          </w:tcPr>
          <w:p w14:paraId="239E9B09"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9.1</w:t>
            </w:r>
          </w:p>
        </w:tc>
      </w:tr>
      <w:tr w:rsidR="00C82C2A" w:rsidRPr="00442AB8" w14:paraId="1B6EABB8" w14:textId="77777777" w:rsidTr="008849C6">
        <w:trPr>
          <w:trHeight w:val="300"/>
        </w:trPr>
        <w:tc>
          <w:tcPr>
            <w:tcW w:w="3239" w:type="dxa"/>
            <w:tcBorders>
              <w:top w:val="nil"/>
              <w:left w:val="nil"/>
              <w:bottom w:val="single" w:sz="4" w:space="0" w:color="ADD6EA"/>
              <w:right w:val="nil"/>
            </w:tcBorders>
            <w:shd w:val="clear" w:color="000000" w:fill="DDEBF7"/>
            <w:noWrap/>
            <w:vAlign w:val="center"/>
            <w:hideMark/>
          </w:tcPr>
          <w:p w14:paraId="3AA098F2"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1.5</w:t>
            </w:r>
          </w:p>
        </w:tc>
        <w:tc>
          <w:tcPr>
            <w:tcW w:w="1229" w:type="dxa"/>
            <w:tcBorders>
              <w:top w:val="nil"/>
              <w:left w:val="nil"/>
              <w:bottom w:val="single" w:sz="4" w:space="0" w:color="ADD6EA"/>
              <w:right w:val="nil"/>
            </w:tcBorders>
            <w:shd w:val="clear" w:color="000000" w:fill="DDEBF7"/>
            <w:noWrap/>
            <w:vAlign w:val="center"/>
            <w:hideMark/>
          </w:tcPr>
          <w:p w14:paraId="3E1858D3"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2.2</w:t>
            </w:r>
          </w:p>
        </w:tc>
        <w:tc>
          <w:tcPr>
            <w:tcW w:w="1068" w:type="dxa"/>
            <w:tcBorders>
              <w:top w:val="nil"/>
              <w:left w:val="nil"/>
              <w:bottom w:val="single" w:sz="4" w:space="0" w:color="ADD6EA"/>
              <w:right w:val="nil"/>
            </w:tcBorders>
            <w:shd w:val="clear" w:color="000000" w:fill="DDEBF7"/>
            <w:noWrap/>
            <w:vAlign w:val="center"/>
            <w:hideMark/>
          </w:tcPr>
          <w:p w14:paraId="4714797C"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6.1</w:t>
            </w:r>
          </w:p>
        </w:tc>
        <w:tc>
          <w:tcPr>
            <w:tcW w:w="1068" w:type="dxa"/>
            <w:tcBorders>
              <w:top w:val="nil"/>
              <w:left w:val="nil"/>
              <w:bottom w:val="single" w:sz="4" w:space="0" w:color="ADD6EA"/>
              <w:right w:val="nil"/>
            </w:tcBorders>
            <w:shd w:val="clear" w:color="000000" w:fill="DDEBF7"/>
            <w:noWrap/>
            <w:vAlign w:val="center"/>
            <w:hideMark/>
          </w:tcPr>
          <w:p w14:paraId="778553EC"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4.6</w:t>
            </w:r>
          </w:p>
        </w:tc>
        <w:tc>
          <w:tcPr>
            <w:tcW w:w="1068" w:type="dxa"/>
            <w:tcBorders>
              <w:top w:val="nil"/>
              <w:left w:val="nil"/>
              <w:bottom w:val="single" w:sz="4" w:space="0" w:color="ADD6EA"/>
              <w:right w:val="nil"/>
            </w:tcBorders>
            <w:shd w:val="clear" w:color="000000" w:fill="DDEBF7"/>
            <w:noWrap/>
            <w:vAlign w:val="center"/>
            <w:hideMark/>
          </w:tcPr>
          <w:p w14:paraId="50F188AF"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10.3</w:t>
            </w:r>
          </w:p>
        </w:tc>
        <w:tc>
          <w:tcPr>
            <w:tcW w:w="1068" w:type="dxa"/>
            <w:tcBorders>
              <w:top w:val="nil"/>
              <w:left w:val="nil"/>
              <w:bottom w:val="single" w:sz="4" w:space="0" w:color="ADD6EA"/>
              <w:right w:val="nil"/>
            </w:tcBorders>
            <w:shd w:val="clear" w:color="000000" w:fill="DDEBF7"/>
            <w:noWrap/>
            <w:vAlign w:val="center"/>
            <w:hideMark/>
          </w:tcPr>
          <w:p w14:paraId="5D157677"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1.7</w:t>
            </w:r>
          </w:p>
        </w:tc>
      </w:tr>
      <w:tr w:rsidR="00C82C2A" w:rsidRPr="00442AB8" w14:paraId="1BDA221E" w14:textId="77777777" w:rsidTr="008849C6">
        <w:trPr>
          <w:trHeight w:val="300"/>
        </w:trPr>
        <w:tc>
          <w:tcPr>
            <w:tcW w:w="3239" w:type="dxa"/>
            <w:tcBorders>
              <w:top w:val="nil"/>
              <w:left w:val="nil"/>
              <w:bottom w:val="single" w:sz="4" w:space="0" w:color="ADD6EA"/>
              <w:right w:val="nil"/>
            </w:tcBorders>
            <w:shd w:val="clear" w:color="auto" w:fill="auto"/>
            <w:noWrap/>
            <w:vAlign w:val="center"/>
            <w:hideMark/>
          </w:tcPr>
          <w:p w14:paraId="7FBE6850"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2.0</w:t>
            </w:r>
          </w:p>
        </w:tc>
        <w:tc>
          <w:tcPr>
            <w:tcW w:w="1229" w:type="dxa"/>
            <w:tcBorders>
              <w:top w:val="nil"/>
              <w:left w:val="nil"/>
              <w:bottom w:val="single" w:sz="4" w:space="0" w:color="ADD6EA"/>
              <w:right w:val="nil"/>
            </w:tcBorders>
            <w:shd w:val="clear" w:color="auto" w:fill="auto"/>
            <w:noWrap/>
            <w:vAlign w:val="center"/>
            <w:hideMark/>
          </w:tcPr>
          <w:p w14:paraId="46B4C74A"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0.1</w:t>
            </w:r>
          </w:p>
        </w:tc>
        <w:tc>
          <w:tcPr>
            <w:tcW w:w="1068" w:type="dxa"/>
            <w:tcBorders>
              <w:top w:val="nil"/>
              <w:left w:val="nil"/>
              <w:bottom w:val="single" w:sz="4" w:space="0" w:color="ADD6EA"/>
              <w:right w:val="nil"/>
            </w:tcBorders>
            <w:shd w:val="clear" w:color="auto" w:fill="auto"/>
            <w:noWrap/>
            <w:vAlign w:val="center"/>
            <w:hideMark/>
          </w:tcPr>
          <w:p w14:paraId="204E3009"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0.1</w:t>
            </w:r>
          </w:p>
        </w:tc>
        <w:tc>
          <w:tcPr>
            <w:tcW w:w="1068" w:type="dxa"/>
            <w:tcBorders>
              <w:top w:val="nil"/>
              <w:left w:val="nil"/>
              <w:bottom w:val="single" w:sz="4" w:space="0" w:color="ADD6EA"/>
              <w:right w:val="nil"/>
            </w:tcBorders>
            <w:shd w:val="clear" w:color="auto" w:fill="auto"/>
            <w:noWrap/>
            <w:vAlign w:val="center"/>
            <w:hideMark/>
          </w:tcPr>
          <w:p w14:paraId="72958E0D"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0.2</w:t>
            </w:r>
          </w:p>
        </w:tc>
        <w:tc>
          <w:tcPr>
            <w:tcW w:w="1068" w:type="dxa"/>
            <w:tcBorders>
              <w:top w:val="nil"/>
              <w:left w:val="nil"/>
              <w:bottom w:val="single" w:sz="4" w:space="0" w:color="ADD6EA"/>
              <w:right w:val="nil"/>
            </w:tcBorders>
            <w:shd w:val="clear" w:color="auto" w:fill="auto"/>
            <w:noWrap/>
            <w:vAlign w:val="center"/>
            <w:hideMark/>
          </w:tcPr>
          <w:p w14:paraId="6E777F2F"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3.1</w:t>
            </w:r>
          </w:p>
        </w:tc>
        <w:tc>
          <w:tcPr>
            <w:tcW w:w="1068" w:type="dxa"/>
            <w:tcBorders>
              <w:top w:val="nil"/>
              <w:left w:val="nil"/>
              <w:bottom w:val="single" w:sz="4" w:space="0" w:color="ADD6EA"/>
              <w:right w:val="nil"/>
            </w:tcBorders>
            <w:shd w:val="clear" w:color="auto" w:fill="auto"/>
            <w:noWrap/>
            <w:vAlign w:val="center"/>
            <w:hideMark/>
          </w:tcPr>
          <w:p w14:paraId="79570EA7"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0.2</w:t>
            </w:r>
          </w:p>
        </w:tc>
      </w:tr>
      <w:tr w:rsidR="00C82C2A" w:rsidRPr="00442AB8" w14:paraId="199B6579" w14:textId="77777777" w:rsidTr="008849C6">
        <w:trPr>
          <w:trHeight w:val="300"/>
        </w:trPr>
        <w:tc>
          <w:tcPr>
            <w:tcW w:w="3239" w:type="dxa"/>
            <w:tcBorders>
              <w:top w:val="nil"/>
              <w:left w:val="nil"/>
              <w:bottom w:val="single" w:sz="4" w:space="0" w:color="ADD6EA"/>
              <w:right w:val="nil"/>
            </w:tcBorders>
            <w:shd w:val="clear" w:color="auto" w:fill="auto"/>
            <w:noWrap/>
            <w:vAlign w:val="center"/>
            <w:hideMark/>
          </w:tcPr>
          <w:p w14:paraId="1A5B9FB5"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2.5</w:t>
            </w:r>
          </w:p>
        </w:tc>
        <w:tc>
          <w:tcPr>
            <w:tcW w:w="1229" w:type="dxa"/>
            <w:tcBorders>
              <w:top w:val="nil"/>
              <w:left w:val="nil"/>
              <w:bottom w:val="single" w:sz="4" w:space="0" w:color="ADD6EA"/>
              <w:right w:val="nil"/>
            </w:tcBorders>
            <w:shd w:val="clear" w:color="auto" w:fill="auto"/>
            <w:noWrap/>
            <w:vAlign w:val="center"/>
            <w:hideMark/>
          </w:tcPr>
          <w:p w14:paraId="480AAF2E"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0.0</w:t>
            </w:r>
          </w:p>
        </w:tc>
        <w:tc>
          <w:tcPr>
            <w:tcW w:w="1068" w:type="dxa"/>
            <w:tcBorders>
              <w:top w:val="nil"/>
              <w:left w:val="nil"/>
              <w:bottom w:val="single" w:sz="4" w:space="0" w:color="ADD6EA"/>
              <w:right w:val="nil"/>
            </w:tcBorders>
            <w:shd w:val="clear" w:color="auto" w:fill="auto"/>
            <w:noWrap/>
            <w:vAlign w:val="center"/>
            <w:hideMark/>
          </w:tcPr>
          <w:p w14:paraId="5CEF5C0A"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0.1</w:t>
            </w:r>
          </w:p>
        </w:tc>
        <w:tc>
          <w:tcPr>
            <w:tcW w:w="1068" w:type="dxa"/>
            <w:tcBorders>
              <w:top w:val="nil"/>
              <w:left w:val="nil"/>
              <w:bottom w:val="single" w:sz="4" w:space="0" w:color="ADD6EA"/>
              <w:right w:val="nil"/>
            </w:tcBorders>
            <w:shd w:val="clear" w:color="auto" w:fill="auto"/>
            <w:noWrap/>
            <w:vAlign w:val="center"/>
            <w:hideMark/>
          </w:tcPr>
          <w:p w14:paraId="65AACDC9"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0.0</w:t>
            </w:r>
          </w:p>
        </w:tc>
        <w:tc>
          <w:tcPr>
            <w:tcW w:w="1068" w:type="dxa"/>
            <w:tcBorders>
              <w:top w:val="nil"/>
              <w:left w:val="nil"/>
              <w:bottom w:val="single" w:sz="4" w:space="0" w:color="ADD6EA"/>
              <w:right w:val="nil"/>
            </w:tcBorders>
            <w:shd w:val="clear" w:color="auto" w:fill="auto"/>
            <w:noWrap/>
            <w:vAlign w:val="center"/>
            <w:hideMark/>
          </w:tcPr>
          <w:p w14:paraId="64A59646"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0.4</w:t>
            </w:r>
          </w:p>
        </w:tc>
        <w:tc>
          <w:tcPr>
            <w:tcW w:w="1068" w:type="dxa"/>
            <w:tcBorders>
              <w:top w:val="nil"/>
              <w:left w:val="nil"/>
              <w:bottom w:val="single" w:sz="4" w:space="0" w:color="ADD6EA"/>
              <w:right w:val="nil"/>
            </w:tcBorders>
            <w:shd w:val="clear" w:color="auto" w:fill="auto"/>
            <w:noWrap/>
            <w:vAlign w:val="center"/>
            <w:hideMark/>
          </w:tcPr>
          <w:p w14:paraId="3F82D7BE"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 </w:t>
            </w:r>
          </w:p>
        </w:tc>
      </w:tr>
      <w:tr w:rsidR="00C82C2A" w:rsidRPr="00442AB8" w14:paraId="6DDC9384" w14:textId="77777777" w:rsidTr="008849C6">
        <w:trPr>
          <w:trHeight w:val="300"/>
        </w:trPr>
        <w:tc>
          <w:tcPr>
            <w:tcW w:w="3239" w:type="dxa"/>
            <w:tcBorders>
              <w:top w:val="nil"/>
              <w:left w:val="nil"/>
              <w:bottom w:val="single" w:sz="4" w:space="0" w:color="ADD6EA"/>
              <w:right w:val="nil"/>
            </w:tcBorders>
            <w:shd w:val="clear" w:color="auto" w:fill="auto"/>
            <w:noWrap/>
            <w:vAlign w:val="center"/>
            <w:hideMark/>
          </w:tcPr>
          <w:p w14:paraId="79909770"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3.0</w:t>
            </w:r>
          </w:p>
        </w:tc>
        <w:tc>
          <w:tcPr>
            <w:tcW w:w="1229" w:type="dxa"/>
            <w:tcBorders>
              <w:top w:val="nil"/>
              <w:left w:val="nil"/>
              <w:bottom w:val="single" w:sz="4" w:space="0" w:color="ADD6EA"/>
              <w:right w:val="nil"/>
            </w:tcBorders>
            <w:shd w:val="clear" w:color="auto" w:fill="auto"/>
            <w:noWrap/>
            <w:vAlign w:val="center"/>
            <w:hideMark/>
          </w:tcPr>
          <w:p w14:paraId="3B0EA4A4"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 </w:t>
            </w:r>
          </w:p>
        </w:tc>
        <w:tc>
          <w:tcPr>
            <w:tcW w:w="1068" w:type="dxa"/>
            <w:tcBorders>
              <w:top w:val="nil"/>
              <w:left w:val="nil"/>
              <w:bottom w:val="single" w:sz="4" w:space="0" w:color="ADD6EA"/>
              <w:right w:val="nil"/>
            </w:tcBorders>
            <w:shd w:val="clear" w:color="auto" w:fill="auto"/>
            <w:noWrap/>
            <w:vAlign w:val="center"/>
            <w:hideMark/>
          </w:tcPr>
          <w:p w14:paraId="3BCEF248"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0.0</w:t>
            </w:r>
          </w:p>
        </w:tc>
        <w:tc>
          <w:tcPr>
            <w:tcW w:w="1068" w:type="dxa"/>
            <w:tcBorders>
              <w:top w:val="nil"/>
              <w:left w:val="nil"/>
              <w:bottom w:val="single" w:sz="4" w:space="0" w:color="ADD6EA"/>
              <w:right w:val="nil"/>
            </w:tcBorders>
            <w:shd w:val="clear" w:color="auto" w:fill="auto"/>
            <w:noWrap/>
            <w:vAlign w:val="center"/>
            <w:hideMark/>
          </w:tcPr>
          <w:p w14:paraId="0D3191AC"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0.0</w:t>
            </w:r>
          </w:p>
        </w:tc>
        <w:tc>
          <w:tcPr>
            <w:tcW w:w="1068" w:type="dxa"/>
            <w:tcBorders>
              <w:top w:val="nil"/>
              <w:left w:val="nil"/>
              <w:bottom w:val="single" w:sz="4" w:space="0" w:color="ADD6EA"/>
              <w:right w:val="nil"/>
            </w:tcBorders>
            <w:shd w:val="clear" w:color="auto" w:fill="auto"/>
            <w:noWrap/>
            <w:vAlign w:val="center"/>
            <w:hideMark/>
          </w:tcPr>
          <w:p w14:paraId="41AE1AF9"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0.2</w:t>
            </w:r>
          </w:p>
        </w:tc>
        <w:tc>
          <w:tcPr>
            <w:tcW w:w="1068" w:type="dxa"/>
            <w:tcBorders>
              <w:top w:val="nil"/>
              <w:left w:val="nil"/>
              <w:bottom w:val="single" w:sz="4" w:space="0" w:color="ADD6EA"/>
              <w:right w:val="nil"/>
            </w:tcBorders>
            <w:shd w:val="clear" w:color="auto" w:fill="auto"/>
            <w:noWrap/>
            <w:vAlign w:val="center"/>
            <w:hideMark/>
          </w:tcPr>
          <w:p w14:paraId="4F4D91BB"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0.0</w:t>
            </w:r>
          </w:p>
        </w:tc>
      </w:tr>
      <w:tr w:rsidR="00C82C2A" w:rsidRPr="00442AB8" w14:paraId="68FB9ECD" w14:textId="77777777" w:rsidTr="008849C6">
        <w:trPr>
          <w:trHeight w:val="300"/>
        </w:trPr>
        <w:tc>
          <w:tcPr>
            <w:tcW w:w="3239" w:type="dxa"/>
            <w:tcBorders>
              <w:top w:val="nil"/>
              <w:left w:val="nil"/>
              <w:bottom w:val="single" w:sz="4" w:space="0" w:color="ADD6EA"/>
              <w:right w:val="nil"/>
            </w:tcBorders>
            <w:shd w:val="clear" w:color="auto" w:fill="auto"/>
            <w:noWrap/>
            <w:vAlign w:val="center"/>
            <w:hideMark/>
          </w:tcPr>
          <w:p w14:paraId="42140DF6" w14:textId="77777777" w:rsidR="00C82C2A" w:rsidRPr="00D070A0" w:rsidRDefault="00C82C2A" w:rsidP="008849C6">
            <w:pPr>
              <w:keepNext/>
              <w:keepLines/>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3.5</w:t>
            </w:r>
          </w:p>
        </w:tc>
        <w:tc>
          <w:tcPr>
            <w:tcW w:w="1229" w:type="dxa"/>
            <w:tcBorders>
              <w:top w:val="nil"/>
              <w:left w:val="nil"/>
              <w:bottom w:val="single" w:sz="4" w:space="0" w:color="ADD6EA"/>
              <w:right w:val="nil"/>
            </w:tcBorders>
            <w:shd w:val="clear" w:color="auto" w:fill="auto"/>
            <w:noWrap/>
            <w:vAlign w:val="center"/>
            <w:hideMark/>
          </w:tcPr>
          <w:p w14:paraId="16687C7F"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 </w:t>
            </w:r>
          </w:p>
        </w:tc>
        <w:tc>
          <w:tcPr>
            <w:tcW w:w="1068" w:type="dxa"/>
            <w:tcBorders>
              <w:top w:val="nil"/>
              <w:left w:val="nil"/>
              <w:bottom w:val="single" w:sz="4" w:space="0" w:color="ADD6EA"/>
              <w:right w:val="nil"/>
            </w:tcBorders>
            <w:shd w:val="clear" w:color="auto" w:fill="auto"/>
            <w:noWrap/>
            <w:vAlign w:val="center"/>
            <w:hideMark/>
          </w:tcPr>
          <w:p w14:paraId="417CDDB7"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 </w:t>
            </w:r>
          </w:p>
        </w:tc>
        <w:tc>
          <w:tcPr>
            <w:tcW w:w="1068" w:type="dxa"/>
            <w:tcBorders>
              <w:top w:val="nil"/>
              <w:left w:val="nil"/>
              <w:bottom w:val="single" w:sz="4" w:space="0" w:color="ADD6EA"/>
              <w:right w:val="nil"/>
            </w:tcBorders>
            <w:shd w:val="clear" w:color="auto" w:fill="auto"/>
            <w:noWrap/>
            <w:vAlign w:val="center"/>
            <w:hideMark/>
          </w:tcPr>
          <w:p w14:paraId="6E529D8E"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 </w:t>
            </w:r>
          </w:p>
        </w:tc>
        <w:tc>
          <w:tcPr>
            <w:tcW w:w="1068" w:type="dxa"/>
            <w:tcBorders>
              <w:top w:val="nil"/>
              <w:left w:val="nil"/>
              <w:bottom w:val="single" w:sz="4" w:space="0" w:color="ADD6EA"/>
              <w:right w:val="nil"/>
            </w:tcBorders>
            <w:shd w:val="clear" w:color="auto" w:fill="auto"/>
            <w:noWrap/>
            <w:vAlign w:val="center"/>
            <w:hideMark/>
          </w:tcPr>
          <w:p w14:paraId="727335E3"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0.1</w:t>
            </w:r>
          </w:p>
        </w:tc>
        <w:tc>
          <w:tcPr>
            <w:tcW w:w="1068" w:type="dxa"/>
            <w:tcBorders>
              <w:top w:val="nil"/>
              <w:left w:val="nil"/>
              <w:bottom w:val="single" w:sz="4" w:space="0" w:color="ADD6EA"/>
              <w:right w:val="nil"/>
            </w:tcBorders>
            <w:shd w:val="clear" w:color="auto" w:fill="auto"/>
            <w:noWrap/>
            <w:vAlign w:val="center"/>
            <w:hideMark/>
          </w:tcPr>
          <w:p w14:paraId="48E7357C" w14:textId="77777777" w:rsidR="00C82C2A" w:rsidRPr="00D070A0" w:rsidRDefault="00C82C2A" w:rsidP="008849C6">
            <w:pPr>
              <w:keepNext/>
              <w:keepLines/>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 </w:t>
            </w:r>
          </w:p>
        </w:tc>
      </w:tr>
      <w:tr w:rsidR="00C82C2A" w:rsidRPr="00442AB8" w14:paraId="6130139E" w14:textId="77777777" w:rsidTr="008849C6">
        <w:trPr>
          <w:trHeight w:val="300"/>
        </w:trPr>
        <w:tc>
          <w:tcPr>
            <w:tcW w:w="3239" w:type="dxa"/>
            <w:tcBorders>
              <w:top w:val="nil"/>
              <w:left w:val="nil"/>
              <w:bottom w:val="single" w:sz="4" w:space="0" w:color="ADD6EA"/>
              <w:right w:val="nil"/>
            </w:tcBorders>
            <w:shd w:val="clear" w:color="000000" w:fill="9BC2E6"/>
            <w:noWrap/>
            <w:vAlign w:val="center"/>
            <w:hideMark/>
          </w:tcPr>
          <w:p w14:paraId="40EA4048" w14:textId="35C06B63" w:rsidR="00C82C2A" w:rsidRPr="00D070A0" w:rsidRDefault="00C82C2A" w:rsidP="008849C6">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within 90 - 110%</w:t>
            </w:r>
          </w:p>
        </w:tc>
        <w:tc>
          <w:tcPr>
            <w:tcW w:w="1229" w:type="dxa"/>
            <w:tcBorders>
              <w:top w:val="nil"/>
              <w:left w:val="nil"/>
              <w:bottom w:val="single" w:sz="4" w:space="0" w:color="ADD6EA"/>
              <w:right w:val="nil"/>
            </w:tcBorders>
            <w:shd w:val="clear" w:color="000000" w:fill="9BC2E6"/>
            <w:noWrap/>
            <w:vAlign w:val="center"/>
            <w:hideMark/>
          </w:tcPr>
          <w:p w14:paraId="75B0E21E"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80</w:t>
            </w:r>
          </w:p>
        </w:tc>
        <w:tc>
          <w:tcPr>
            <w:tcW w:w="1068" w:type="dxa"/>
            <w:tcBorders>
              <w:top w:val="nil"/>
              <w:left w:val="nil"/>
              <w:bottom w:val="single" w:sz="4" w:space="0" w:color="ADD6EA"/>
              <w:right w:val="nil"/>
            </w:tcBorders>
            <w:shd w:val="clear" w:color="000000" w:fill="9BC2E6"/>
            <w:noWrap/>
            <w:vAlign w:val="center"/>
            <w:hideMark/>
          </w:tcPr>
          <w:p w14:paraId="1DDFA28B"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48</w:t>
            </w:r>
          </w:p>
        </w:tc>
        <w:tc>
          <w:tcPr>
            <w:tcW w:w="1068" w:type="dxa"/>
            <w:tcBorders>
              <w:top w:val="nil"/>
              <w:left w:val="nil"/>
              <w:bottom w:val="single" w:sz="4" w:space="0" w:color="ADD6EA"/>
              <w:right w:val="nil"/>
            </w:tcBorders>
            <w:shd w:val="clear" w:color="000000" w:fill="9BC2E6"/>
            <w:noWrap/>
            <w:vAlign w:val="center"/>
            <w:hideMark/>
          </w:tcPr>
          <w:p w14:paraId="276B7BE6"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86</w:t>
            </w:r>
          </w:p>
        </w:tc>
        <w:tc>
          <w:tcPr>
            <w:tcW w:w="1068" w:type="dxa"/>
            <w:tcBorders>
              <w:top w:val="nil"/>
              <w:left w:val="nil"/>
              <w:bottom w:val="single" w:sz="4" w:space="0" w:color="ADD6EA"/>
              <w:right w:val="nil"/>
            </w:tcBorders>
            <w:shd w:val="clear" w:color="000000" w:fill="9BC2E6"/>
            <w:noWrap/>
            <w:vAlign w:val="center"/>
            <w:hideMark/>
          </w:tcPr>
          <w:p w14:paraId="617CF261"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53</w:t>
            </w:r>
          </w:p>
        </w:tc>
        <w:tc>
          <w:tcPr>
            <w:tcW w:w="1068" w:type="dxa"/>
            <w:tcBorders>
              <w:top w:val="nil"/>
              <w:left w:val="nil"/>
              <w:bottom w:val="single" w:sz="4" w:space="0" w:color="ADD6EA"/>
              <w:right w:val="nil"/>
            </w:tcBorders>
            <w:shd w:val="clear" w:color="000000" w:fill="9BC2E6"/>
            <w:noWrap/>
            <w:vAlign w:val="center"/>
            <w:hideMark/>
          </w:tcPr>
          <w:p w14:paraId="116B6C8D"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41</w:t>
            </w:r>
          </w:p>
        </w:tc>
      </w:tr>
      <w:tr w:rsidR="00C82C2A" w:rsidRPr="00442AB8" w14:paraId="7878F505" w14:textId="77777777" w:rsidTr="008849C6">
        <w:trPr>
          <w:trHeight w:val="300"/>
        </w:trPr>
        <w:tc>
          <w:tcPr>
            <w:tcW w:w="3239" w:type="dxa"/>
            <w:tcBorders>
              <w:top w:val="nil"/>
              <w:left w:val="nil"/>
              <w:bottom w:val="single" w:sz="4" w:space="0" w:color="ADD6EA"/>
              <w:right w:val="nil"/>
            </w:tcBorders>
            <w:shd w:val="clear" w:color="000000" w:fill="BDD7EE"/>
            <w:noWrap/>
            <w:vAlign w:val="center"/>
            <w:hideMark/>
          </w:tcPr>
          <w:p w14:paraId="0C6D8FA9" w14:textId="77777777" w:rsidR="00C82C2A" w:rsidRPr="00D070A0" w:rsidRDefault="00C82C2A" w:rsidP="008849C6">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within 80-120%</w:t>
            </w:r>
          </w:p>
        </w:tc>
        <w:tc>
          <w:tcPr>
            <w:tcW w:w="1229" w:type="dxa"/>
            <w:tcBorders>
              <w:top w:val="nil"/>
              <w:left w:val="nil"/>
              <w:bottom w:val="single" w:sz="4" w:space="0" w:color="ADD6EA"/>
              <w:right w:val="nil"/>
            </w:tcBorders>
            <w:shd w:val="clear" w:color="000000" w:fill="BDD7EE"/>
            <w:noWrap/>
            <w:vAlign w:val="center"/>
            <w:hideMark/>
          </w:tcPr>
          <w:p w14:paraId="622CF227"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95</w:t>
            </w:r>
          </w:p>
        </w:tc>
        <w:tc>
          <w:tcPr>
            <w:tcW w:w="1068" w:type="dxa"/>
            <w:tcBorders>
              <w:top w:val="nil"/>
              <w:left w:val="nil"/>
              <w:bottom w:val="single" w:sz="4" w:space="0" w:color="ADD6EA"/>
              <w:right w:val="nil"/>
            </w:tcBorders>
            <w:shd w:val="clear" w:color="000000" w:fill="BDD7EE"/>
            <w:noWrap/>
            <w:vAlign w:val="center"/>
            <w:hideMark/>
          </w:tcPr>
          <w:p w14:paraId="71529F00"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89</w:t>
            </w:r>
          </w:p>
        </w:tc>
        <w:tc>
          <w:tcPr>
            <w:tcW w:w="1068" w:type="dxa"/>
            <w:tcBorders>
              <w:top w:val="nil"/>
              <w:left w:val="nil"/>
              <w:bottom w:val="single" w:sz="4" w:space="0" w:color="ADD6EA"/>
              <w:right w:val="nil"/>
            </w:tcBorders>
            <w:shd w:val="clear" w:color="000000" w:fill="BDD7EE"/>
            <w:noWrap/>
            <w:vAlign w:val="center"/>
            <w:hideMark/>
          </w:tcPr>
          <w:p w14:paraId="09AAC53B"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95</w:t>
            </w:r>
          </w:p>
        </w:tc>
        <w:tc>
          <w:tcPr>
            <w:tcW w:w="1068" w:type="dxa"/>
            <w:tcBorders>
              <w:top w:val="nil"/>
              <w:left w:val="nil"/>
              <w:bottom w:val="single" w:sz="4" w:space="0" w:color="ADD6EA"/>
              <w:right w:val="nil"/>
            </w:tcBorders>
            <w:shd w:val="clear" w:color="000000" w:fill="BDD7EE"/>
            <w:noWrap/>
            <w:vAlign w:val="center"/>
            <w:hideMark/>
          </w:tcPr>
          <w:p w14:paraId="775D1038"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84</w:t>
            </w:r>
          </w:p>
        </w:tc>
        <w:tc>
          <w:tcPr>
            <w:tcW w:w="1068" w:type="dxa"/>
            <w:tcBorders>
              <w:top w:val="nil"/>
              <w:left w:val="nil"/>
              <w:bottom w:val="single" w:sz="4" w:space="0" w:color="ADD6EA"/>
              <w:right w:val="nil"/>
            </w:tcBorders>
            <w:shd w:val="clear" w:color="000000" w:fill="BDD7EE"/>
            <w:noWrap/>
            <w:vAlign w:val="center"/>
            <w:hideMark/>
          </w:tcPr>
          <w:p w14:paraId="48441F7E"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84</w:t>
            </w:r>
          </w:p>
        </w:tc>
      </w:tr>
      <w:tr w:rsidR="00C82C2A" w:rsidRPr="00442AB8" w14:paraId="0EE59305" w14:textId="77777777" w:rsidTr="008849C6">
        <w:trPr>
          <w:trHeight w:val="300"/>
        </w:trPr>
        <w:tc>
          <w:tcPr>
            <w:tcW w:w="3239" w:type="dxa"/>
            <w:tcBorders>
              <w:top w:val="nil"/>
              <w:left w:val="nil"/>
              <w:bottom w:val="single" w:sz="4" w:space="0" w:color="ADD6EA"/>
              <w:right w:val="nil"/>
            </w:tcBorders>
            <w:shd w:val="clear" w:color="000000" w:fill="DDEBF7"/>
            <w:noWrap/>
            <w:vAlign w:val="center"/>
            <w:hideMark/>
          </w:tcPr>
          <w:p w14:paraId="535CAF43" w14:textId="77777777" w:rsidR="00C82C2A" w:rsidRPr="00D070A0" w:rsidRDefault="00C82C2A" w:rsidP="008849C6">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within 70-150%</w:t>
            </w:r>
          </w:p>
        </w:tc>
        <w:tc>
          <w:tcPr>
            <w:tcW w:w="1229" w:type="dxa"/>
            <w:tcBorders>
              <w:top w:val="nil"/>
              <w:left w:val="nil"/>
              <w:bottom w:val="single" w:sz="4" w:space="0" w:color="ADD6EA"/>
              <w:right w:val="nil"/>
            </w:tcBorders>
            <w:shd w:val="clear" w:color="000000" w:fill="DDEBF7"/>
            <w:noWrap/>
            <w:vAlign w:val="center"/>
            <w:hideMark/>
          </w:tcPr>
          <w:p w14:paraId="25BC6D4A"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99</w:t>
            </w:r>
          </w:p>
        </w:tc>
        <w:tc>
          <w:tcPr>
            <w:tcW w:w="1068" w:type="dxa"/>
            <w:tcBorders>
              <w:top w:val="nil"/>
              <w:left w:val="nil"/>
              <w:bottom w:val="single" w:sz="4" w:space="0" w:color="ADD6EA"/>
              <w:right w:val="nil"/>
            </w:tcBorders>
            <w:shd w:val="clear" w:color="000000" w:fill="DDEBF7"/>
            <w:noWrap/>
            <w:vAlign w:val="center"/>
            <w:hideMark/>
          </w:tcPr>
          <w:p w14:paraId="48B98274"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98</w:t>
            </w:r>
          </w:p>
        </w:tc>
        <w:tc>
          <w:tcPr>
            <w:tcW w:w="1068" w:type="dxa"/>
            <w:tcBorders>
              <w:top w:val="nil"/>
              <w:left w:val="nil"/>
              <w:bottom w:val="single" w:sz="4" w:space="0" w:color="ADD6EA"/>
              <w:right w:val="nil"/>
            </w:tcBorders>
            <w:shd w:val="clear" w:color="000000" w:fill="DDEBF7"/>
            <w:noWrap/>
            <w:vAlign w:val="center"/>
            <w:hideMark/>
          </w:tcPr>
          <w:p w14:paraId="0FCE7C6D"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99</w:t>
            </w:r>
          </w:p>
        </w:tc>
        <w:tc>
          <w:tcPr>
            <w:tcW w:w="1068" w:type="dxa"/>
            <w:tcBorders>
              <w:top w:val="nil"/>
              <w:left w:val="nil"/>
              <w:bottom w:val="single" w:sz="4" w:space="0" w:color="ADD6EA"/>
              <w:right w:val="nil"/>
            </w:tcBorders>
            <w:shd w:val="clear" w:color="000000" w:fill="DDEBF7"/>
            <w:noWrap/>
            <w:vAlign w:val="center"/>
            <w:hideMark/>
          </w:tcPr>
          <w:p w14:paraId="7F8824BB"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95</w:t>
            </w:r>
          </w:p>
        </w:tc>
        <w:tc>
          <w:tcPr>
            <w:tcW w:w="1068" w:type="dxa"/>
            <w:tcBorders>
              <w:top w:val="nil"/>
              <w:left w:val="nil"/>
              <w:bottom w:val="single" w:sz="4" w:space="0" w:color="ADD6EA"/>
              <w:right w:val="nil"/>
            </w:tcBorders>
            <w:shd w:val="clear" w:color="000000" w:fill="DDEBF7"/>
            <w:noWrap/>
            <w:vAlign w:val="center"/>
            <w:hideMark/>
          </w:tcPr>
          <w:p w14:paraId="24F6108C" w14:textId="77777777" w:rsidR="00C82C2A" w:rsidRPr="00D070A0" w:rsidRDefault="00C82C2A" w:rsidP="008849C6">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97</w:t>
            </w:r>
          </w:p>
        </w:tc>
      </w:tr>
    </w:tbl>
    <w:p w14:paraId="67134B58" w14:textId="1379D8AD" w:rsidR="00C1470C" w:rsidRPr="00CB14ED" w:rsidRDefault="00C1470C" w:rsidP="00C1470C">
      <w:pPr>
        <w:pStyle w:val="CGC2025TableNote"/>
        <w:ind w:left="709" w:hanging="596"/>
      </w:pPr>
      <w:r w:rsidRPr="00CB14ED">
        <w:t>Note:</w:t>
      </w:r>
      <w:r w:rsidRPr="00CB14ED">
        <w:tab/>
      </w:r>
      <w:r w:rsidRPr="00CB14ED">
        <w:tab/>
      </w:r>
      <w:r w:rsidR="0037552E" w:rsidRPr="00CB14ED">
        <w:t>S</w:t>
      </w:r>
      <w:r w:rsidRPr="00CB14ED">
        <w:t>tatistics for the ACT, Northern Territory and Tasmania are not reported due to confidentiality reasons.</w:t>
      </w:r>
    </w:p>
    <w:p w14:paraId="7FA386F9" w14:textId="22C156E4" w:rsidR="00F83843" w:rsidRPr="00CB14ED" w:rsidRDefault="00E27CC1" w:rsidP="00E27CC1">
      <w:pPr>
        <w:pStyle w:val="CGC2025TableNote"/>
      </w:pPr>
      <w:r w:rsidRPr="00CB14ED">
        <w:t>Source:</w:t>
      </w:r>
      <w:r w:rsidR="00E31048" w:rsidRPr="00CB14ED">
        <w:tab/>
      </w:r>
      <w:r w:rsidR="008739F4" w:rsidRPr="00CB14ED">
        <w:t xml:space="preserve">Department of </w:t>
      </w:r>
      <w:r w:rsidR="00D26CBC" w:rsidRPr="00CB14ED">
        <w:t>H</w:t>
      </w:r>
      <w:r w:rsidR="008739F4" w:rsidRPr="00CB14ED">
        <w:t>ealth</w:t>
      </w:r>
      <w:r w:rsidR="00D26CBC" w:rsidRPr="00CB14ED">
        <w:t xml:space="preserve"> </w:t>
      </w:r>
      <w:hyperlink r:id="rId24" w:history="1">
        <w:r w:rsidR="00D26CBC" w:rsidRPr="00CB14ED">
          <w:rPr>
            <w:rStyle w:val="Hyperlink"/>
          </w:rPr>
          <w:t xml:space="preserve">Hospital </w:t>
        </w:r>
        <w:proofErr w:type="spellStart"/>
        <w:r w:rsidR="00D26CBC" w:rsidRPr="00CB14ED">
          <w:rPr>
            <w:rStyle w:val="Hyperlink"/>
          </w:rPr>
          <w:t>Casemix</w:t>
        </w:r>
        <w:proofErr w:type="spellEnd"/>
        <w:r w:rsidR="00D26CBC" w:rsidRPr="00CB14ED">
          <w:rPr>
            <w:rStyle w:val="Hyperlink"/>
          </w:rPr>
          <w:t xml:space="preserve"> </w:t>
        </w:r>
        <w:r w:rsidR="005E26DC" w:rsidRPr="00CB14ED">
          <w:rPr>
            <w:rStyle w:val="Hyperlink"/>
          </w:rPr>
          <w:t>P</w:t>
        </w:r>
        <w:r w:rsidR="00D26CBC" w:rsidRPr="00CB14ED">
          <w:rPr>
            <w:rStyle w:val="Hyperlink"/>
          </w:rPr>
          <w:t xml:space="preserve">rotocol </w:t>
        </w:r>
        <w:r w:rsidR="005E26DC" w:rsidRPr="00CB14ED">
          <w:rPr>
            <w:rStyle w:val="Hyperlink"/>
          </w:rPr>
          <w:t>A</w:t>
        </w:r>
        <w:r w:rsidR="00D26CBC" w:rsidRPr="00CB14ED">
          <w:rPr>
            <w:rStyle w:val="Hyperlink"/>
          </w:rPr>
          <w:t xml:space="preserve">nnual </w:t>
        </w:r>
        <w:r w:rsidR="005E26DC" w:rsidRPr="00CB14ED">
          <w:rPr>
            <w:rStyle w:val="Hyperlink"/>
          </w:rPr>
          <w:t>R</w:t>
        </w:r>
        <w:r w:rsidR="00D26CBC" w:rsidRPr="00CB14ED">
          <w:rPr>
            <w:rStyle w:val="Hyperlink"/>
          </w:rPr>
          <w:t>eport (</w:t>
        </w:r>
        <w:r w:rsidR="005E26DC" w:rsidRPr="00CB14ED">
          <w:rPr>
            <w:rStyle w:val="Hyperlink"/>
          </w:rPr>
          <w:t>P</w:t>
        </w:r>
        <w:r w:rsidR="00D26CBC" w:rsidRPr="00CB14ED">
          <w:rPr>
            <w:rStyle w:val="Hyperlink"/>
          </w:rPr>
          <w:t>reliminary) 2022-23</w:t>
        </w:r>
      </w:hyperlink>
      <w:r w:rsidR="00D26CBC" w:rsidRPr="00CB14ED">
        <w:t>, Table 10.</w:t>
      </w:r>
      <w:r w:rsidR="008739F4" w:rsidRPr="00CB14ED">
        <w:t xml:space="preserve"> </w:t>
      </w:r>
    </w:p>
    <w:p w14:paraId="0B0D8214" w14:textId="77777777" w:rsidR="00513C32" w:rsidRDefault="00513C32">
      <w:pPr>
        <w:tabs>
          <w:tab w:val="clear" w:pos="567"/>
        </w:tabs>
        <w:spacing w:before="0" w:after="200" w:line="276" w:lineRule="auto"/>
        <w:rPr>
          <w:rFonts w:ascii="Work Sans" w:hAnsi="Work Sans"/>
          <w:szCs w:val="24"/>
        </w:rPr>
      </w:pPr>
      <w:r>
        <w:br w:type="page"/>
      </w:r>
    </w:p>
    <w:p w14:paraId="5F4B47A5" w14:textId="113DCDD1" w:rsidR="00A94BA5" w:rsidRPr="00CB14ED" w:rsidRDefault="0007076D" w:rsidP="0007076D">
      <w:pPr>
        <w:pStyle w:val="CGC2025ParaNumbers"/>
      </w:pPr>
      <w:r>
        <w:lastRenderedPageBreak/>
        <w:t xml:space="preserve">Table 8 </w:t>
      </w:r>
      <w:r w:rsidR="002020B1" w:rsidRPr="00CB14ED">
        <w:t xml:space="preserve">compares </w:t>
      </w:r>
      <w:r w:rsidR="00FC60FE" w:rsidRPr="00CB14ED">
        <w:t>4</w:t>
      </w:r>
      <w:r w:rsidR="00F80C7F" w:rsidRPr="00CB14ED">
        <w:t xml:space="preserve"> </w:t>
      </w:r>
      <w:r w:rsidR="00D85921" w:rsidRPr="00CB14ED">
        <w:t xml:space="preserve">potential </w:t>
      </w:r>
      <w:r w:rsidR="00F31EB7" w:rsidRPr="00CB14ED">
        <w:t xml:space="preserve">measures </w:t>
      </w:r>
      <w:r w:rsidR="000D4793" w:rsidRPr="00CB14ED">
        <w:t xml:space="preserve">of </w:t>
      </w:r>
      <w:r w:rsidR="003D7D47" w:rsidRPr="00CB14ED">
        <w:t>admitted private patient activity – separations</w:t>
      </w:r>
      <w:r w:rsidR="00F868B9" w:rsidRPr="00CB14ED">
        <w:t>, bed days</w:t>
      </w:r>
      <w:r w:rsidR="00B67EB2" w:rsidRPr="00CB14ED">
        <w:t xml:space="preserve">, </w:t>
      </w:r>
      <w:r w:rsidR="000F6D58" w:rsidRPr="00CB14ED">
        <w:t xml:space="preserve">and 2 measures of </w:t>
      </w:r>
      <w:r w:rsidR="003D7D47" w:rsidRPr="00CB14ED">
        <w:t>expenses</w:t>
      </w:r>
      <w:r w:rsidR="000F6D58" w:rsidRPr="00CB14ED">
        <w:t xml:space="preserve">. </w:t>
      </w:r>
      <w:r w:rsidR="00E17857" w:rsidRPr="00CB14ED">
        <w:t>Private patient expenses includ</w:t>
      </w:r>
      <w:r w:rsidR="00116967" w:rsidRPr="00CB14ED">
        <w:t>e</w:t>
      </w:r>
      <w:r w:rsidR="00E17857" w:rsidRPr="00CB14ED">
        <w:t xml:space="preserve"> both privately </w:t>
      </w:r>
      <w:r w:rsidR="00334402" w:rsidRPr="00CB14ED">
        <w:t xml:space="preserve">insured </w:t>
      </w:r>
      <w:r w:rsidR="00E17857" w:rsidRPr="00CB14ED">
        <w:t xml:space="preserve">and </w:t>
      </w:r>
      <w:r w:rsidR="00334402" w:rsidRPr="00CB14ED">
        <w:t>self-insured</w:t>
      </w:r>
      <w:r w:rsidR="00FB16F0" w:rsidRPr="00CB14ED">
        <w:t xml:space="preserve"> patients</w:t>
      </w:r>
      <w:r w:rsidR="00471F39" w:rsidRPr="00CB14ED">
        <w:t>,</w:t>
      </w:r>
      <w:r w:rsidR="0086139D" w:rsidRPr="00CB14ED">
        <w:t xml:space="preserve"> </w:t>
      </w:r>
      <w:r w:rsidR="008A680F" w:rsidRPr="00CB14ED">
        <w:t>as it would be appropriate to align the indicator of activity</w:t>
      </w:r>
      <w:r w:rsidR="00910942" w:rsidRPr="00CB14ED">
        <w:t xml:space="preserve"> with </w:t>
      </w:r>
      <w:r w:rsidR="00277633" w:rsidRPr="00CB14ED">
        <w:t>the factors considered in calculating the substitutability level.</w:t>
      </w:r>
    </w:p>
    <w:p w14:paraId="43D666F6" w14:textId="14EEB8A3" w:rsidR="00BF4C18" w:rsidRPr="00CB14ED" w:rsidRDefault="00BF4C18" w:rsidP="00D871C8">
      <w:pPr>
        <w:pStyle w:val="CGC2025Caption"/>
        <w:keepNext/>
        <w:ind w:left="1134" w:hanging="1134"/>
      </w:pPr>
      <w:bookmarkStart w:id="62" w:name="_Ref158028309"/>
      <w:r w:rsidRPr="00CB14ED">
        <w:t xml:space="preserve">Table </w:t>
      </w:r>
      <w:r>
        <w:fldChar w:fldCharType="begin"/>
      </w:r>
      <w:r>
        <w:instrText>SEQ Table \* ARABIC</w:instrText>
      </w:r>
      <w:r>
        <w:fldChar w:fldCharType="separate"/>
      </w:r>
      <w:r w:rsidR="00581B01">
        <w:rPr>
          <w:noProof/>
        </w:rPr>
        <w:t>8</w:t>
      </w:r>
      <w:r>
        <w:fldChar w:fldCharType="end"/>
      </w:r>
      <w:bookmarkEnd w:id="62"/>
      <w:r w:rsidR="00E61E7D" w:rsidRPr="00CB14ED">
        <w:tab/>
      </w:r>
      <w:r w:rsidR="00EA60DF" w:rsidRPr="00CB14ED">
        <w:t xml:space="preserve">State </w:t>
      </w:r>
      <w:r w:rsidR="00E3585B" w:rsidRPr="00CB14ED">
        <w:t xml:space="preserve">share of </w:t>
      </w:r>
      <w:r w:rsidR="00EA60DF" w:rsidRPr="00CB14ED">
        <w:t>p</w:t>
      </w:r>
      <w:r w:rsidR="00D465A8" w:rsidRPr="00CB14ED">
        <w:t xml:space="preserve">rivate patient </w:t>
      </w:r>
      <w:r w:rsidR="004914D9" w:rsidRPr="00CB14ED">
        <w:t>asses</w:t>
      </w:r>
      <w:r w:rsidR="007E0275" w:rsidRPr="00CB14ED">
        <w:t>sed need</w:t>
      </w:r>
      <w:r w:rsidR="0066697C" w:rsidRPr="00CB14ED">
        <w:t>: alternative indi</w:t>
      </w:r>
      <w:r w:rsidR="00D12699" w:rsidRPr="00CB14ED">
        <w:t>cators</w:t>
      </w:r>
      <w:r w:rsidR="00533657" w:rsidRPr="00CB14ED">
        <w:t>, 2021</w:t>
      </w:r>
      <w:r w:rsidR="00845346">
        <w:t>–</w:t>
      </w:r>
      <w:proofErr w:type="gramStart"/>
      <w:r w:rsidR="00533657" w:rsidRPr="00CB14ED">
        <w:t>22</w:t>
      </w:r>
      <w:proofErr w:type="gramEnd"/>
    </w:p>
    <w:tbl>
      <w:tblPr>
        <w:tblW w:w="8942" w:type="dxa"/>
        <w:tblLook w:val="04A0" w:firstRow="1" w:lastRow="0" w:firstColumn="1" w:lastColumn="0" w:noHBand="0" w:noVBand="1"/>
      </w:tblPr>
      <w:tblGrid>
        <w:gridCol w:w="2510"/>
        <w:gridCol w:w="714"/>
        <w:gridCol w:w="714"/>
        <w:gridCol w:w="714"/>
        <w:gridCol w:w="715"/>
        <w:gridCol w:w="715"/>
        <w:gridCol w:w="715"/>
        <w:gridCol w:w="715"/>
        <w:gridCol w:w="715"/>
        <w:gridCol w:w="715"/>
      </w:tblGrid>
      <w:tr w:rsidR="00E01FDE" w:rsidRPr="00CB14ED" w14:paraId="57B2ADD0" w14:textId="77777777" w:rsidTr="00CA416E">
        <w:trPr>
          <w:trHeight w:val="375"/>
        </w:trPr>
        <w:tc>
          <w:tcPr>
            <w:tcW w:w="2460" w:type="dxa"/>
            <w:tcBorders>
              <w:top w:val="nil"/>
              <w:left w:val="nil"/>
              <w:bottom w:val="nil"/>
              <w:right w:val="nil"/>
            </w:tcBorders>
            <w:shd w:val="clear" w:color="000000" w:fill="006991"/>
            <w:vAlign w:val="bottom"/>
            <w:hideMark/>
          </w:tcPr>
          <w:p w14:paraId="071A1FD5" w14:textId="77777777" w:rsidR="00E01FDE" w:rsidRPr="00CB14ED" w:rsidRDefault="00E01FDE" w:rsidP="00E01FDE">
            <w:pPr>
              <w:tabs>
                <w:tab w:val="clear" w:pos="567"/>
              </w:tabs>
              <w:spacing w:before="0" w:line="240" w:lineRule="auto"/>
              <w:rPr>
                <w:rFonts w:ascii="Open Sans Semibold" w:eastAsia="Times New Roman" w:hAnsi="Open Sans Semibold" w:cs="Open Sans Semibold"/>
                <w:color w:val="FFFFFF"/>
                <w:sz w:val="16"/>
                <w:szCs w:val="16"/>
                <w:lang w:eastAsia="en-AU"/>
              </w:rPr>
            </w:pPr>
            <w:r w:rsidRPr="00CB14ED">
              <w:rPr>
                <w:rFonts w:ascii="Open Sans Semibold" w:eastAsia="Times New Roman" w:hAnsi="Open Sans Semibold" w:cs="Open Sans Semibold"/>
                <w:color w:val="FFFFFF"/>
                <w:sz w:val="16"/>
                <w:szCs w:val="16"/>
                <w:lang w:eastAsia="en-AU"/>
              </w:rPr>
              <w:t> </w:t>
            </w:r>
          </w:p>
        </w:tc>
        <w:tc>
          <w:tcPr>
            <w:tcW w:w="700" w:type="dxa"/>
            <w:tcBorders>
              <w:top w:val="nil"/>
              <w:left w:val="nil"/>
              <w:bottom w:val="nil"/>
              <w:right w:val="nil"/>
            </w:tcBorders>
            <w:shd w:val="clear" w:color="000000" w:fill="006991"/>
            <w:vAlign w:val="center"/>
            <w:hideMark/>
          </w:tcPr>
          <w:p w14:paraId="1043E66E"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14ED">
              <w:rPr>
                <w:rFonts w:ascii="Open Sans Semibold" w:eastAsia="Times New Roman" w:hAnsi="Open Sans Semibold" w:cs="Open Sans Semibold"/>
                <w:color w:val="FFFFFF"/>
                <w:sz w:val="16"/>
                <w:szCs w:val="16"/>
                <w:lang w:eastAsia="en-AU"/>
              </w:rPr>
              <w:t>NSW</w:t>
            </w:r>
          </w:p>
        </w:tc>
        <w:tc>
          <w:tcPr>
            <w:tcW w:w="700" w:type="dxa"/>
            <w:tcBorders>
              <w:top w:val="nil"/>
              <w:left w:val="nil"/>
              <w:bottom w:val="nil"/>
              <w:right w:val="nil"/>
            </w:tcBorders>
            <w:shd w:val="clear" w:color="000000" w:fill="006991"/>
            <w:vAlign w:val="center"/>
            <w:hideMark/>
          </w:tcPr>
          <w:p w14:paraId="17EBB858"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14ED">
              <w:rPr>
                <w:rFonts w:ascii="Open Sans Semibold" w:eastAsia="Times New Roman" w:hAnsi="Open Sans Semibold" w:cs="Open Sans Semibold"/>
                <w:color w:val="FFFFFF"/>
                <w:sz w:val="16"/>
                <w:szCs w:val="16"/>
                <w:lang w:eastAsia="en-AU"/>
              </w:rPr>
              <w:t>Vic</w:t>
            </w:r>
          </w:p>
        </w:tc>
        <w:tc>
          <w:tcPr>
            <w:tcW w:w="700" w:type="dxa"/>
            <w:tcBorders>
              <w:top w:val="nil"/>
              <w:left w:val="nil"/>
              <w:bottom w:val="nil"/>
              <w:right w:val="nil"/>
            </w:tcBorders>
            <w:shd w:val="clear" w:color="000000" w:fill="006991"/>
            <w:vAlign w:val="center"/>
            <w:hideMark/>
          </w:tcPr>
          <w:p w14:paraId="490BCC27"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14ED">
              <w:rPr>
                <w:rFonts w:ascii="Open Sans Semibold" w:eastAsia="Times New Roman" w:hAnsi="Open Sans Semibold" w:cs="Open Sans Semibold"/>
                <w:color w:val="FFFFFF"/>
                <w:sz w:val="16"/>
                <w:szCs w:val="16"/>
                <w:lang w:eastAsia="en-AU"/>
              </w:rPr>
              <w:t>Qld</w:t>
            </w:r>
          </w:p>
        </w:tc>
        <w:tc>
          <w:tcPr>
            <w:tcW w:w="700" w:type="dxa"/>
            <w:tcBorders>
              <w:top w:val="nil"/>
              <w:left w:val="nil"/>
              <w:bottom w:val="nil"/>
              <w:right w:val="nil"/>
            </w:tcBorders>
            <w:shd w:val="clear" w:color="000000" w:fill="006991"/>
            <w:vAlign w:val="center"/>
            <w:hideMark/>
          </w:tcPr>
          <w:p w14:paraId="64A3D93F"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14ED">
              <w:rPr>
                <w:rFonts w:ascii="Open Sans Semibold" w:eastAsia="Times New Roman" w:hAnsi="Open Sans Semibold" w:cs="Open Sans Semibold"/>
                <w:color w:val="FFFFFF"/>
                <w:sz w:val="16"/>
                <w:szCs w:val="16"/>
                <w:lang w:eastAsia="en-AU"/>
              </w:rPr>
              <w:t>WA</w:t>
            </w:r>
          </w:p>
        </w:tc>
        <w:tc>
          <w:tcPr>
            <w:tcW w:w="700" w:type="dxa"/>
            <w:tcBorders>
              <w:top w:val="nil"/>
              <w:left w:val="nil"/>
              <w:bottom w:val="nil"/>
              <w:right w:val="nil"/>
            </w:tcBorders>
            <w:shd w:val="clear" w:color="000000" w:fill="006991"/>
            <w:vAlign w:val="center"/>
            <w:hideMark/>
          </w:tcPr>
          <w:p w14:paraId="7CD220FF"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14ED">
              <w:rPr>
                <w:rFonts w:ascii="Open Sans Semibold" w:eastAsia="Times New Roman" w:hAnsi="Open Sans Semibold" w:cs="Open Sans Semibold"/>
                <w:color w:val="FFFFFF"/>
                <w:sz w:val="16"/>
                <w:szCs w:val="16"/>
                <w:lang w:eastAsia="en-AU"/>
              </w:rPr>
              <w:t>SA</w:t>
            </w:r>
          </w:p>
        </w:tc>
        <w:tc>
          <w:tcPr>
            <w:tcW w:w="700" w:type="dxa"/>
            <w:tcBorders>
              <w:top w:val="nil"/>
              <w:left w:val="nil"/>
              <w:bottom w:val="nil"/>
              <w:right w:val="nil"/>
            </w:tcBorders>
            <w:shd w:val="clear" w:color="000000" w:fill="006991"/>
            <w:vAlign w:val="center"/>
            <w:hideMark/>
          </w:tcPr>
          <w:p w14:paraId="2448D20C"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14ED">
              <w:rPr>
                <w:rFonts w:ascii="Open Sans Semibold" w:eastAsia="Times New Roman" w:hAnsi="Open Sans Semibold" w:cs="Open Sans Semibold"/>
                <w:color w:val="FFFFFF"/>
                <w:sz w:val="16"/>
                <w:szCs w:val="16"/>
                <w:lang w:eastAsia="en-AU"/>
              </w:rPr>
              <w:t>Tas</w:t>
            </w:r>
          </w:p>
        </w:tc>
        <w:tc>
          <w:tcPr>
            <w:tcW w:w="700" w:type="dxa"/>
            <w:tcBorders>
              <w:top w:val="nil"/>
              <w:left w:val="nil"/>
              <w:bottom w:val="nil"/>
              <w:right w:val="nil"/>
            </w:tcBorders>
            <w:shd w:val="clear" w:color="000000" w:fill="006991"/>
            <w:vAlign w:val="center"/>
            <w:hideMark/>
          </w:tcPr>
          <w:p w14:paraId="18AED022"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14ED">
              <w:rPr>
                <w:rFonts w:ascii="Open Sans Semibold" w:eastAsia="Times New Roman" w:hAnsi="Open Sans Semibold" w:cs="Open Sans Semibold"/>
                <w:color w:val="FFFFFF"/>
                <w:sz w:val="16"/>
                <w:szCs w:val="16"/>
                <w:lang w:eastAsia="en-AU"/>
              </w:rPr>
              <w:t>ACT</w:t>
            </w:r>
          </w:p>
        </w:tc>
        <w:tc>
          <w:tcPr>
            <w:tcW w:w="700" w:type="dxa"/>
            <w:tcBorders>
              <w:top w:val="nil"/>
              <w:left w:val="nil"/>
              <w:bottom w:val="nil"/>
              <w:right w:val="nil"/>
            </w:tcBorders>
            <w:shd w:val="clear" w:color="000000" w:fill="006991"/>
            <w:vAlign w:val="center"/>
            <w:hideMark/>
          </w:tcPr>
          <w:p w14:paraId="05735D8E"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14ED">
              <w:rPr>
                <w:rFonts w:ascii="Open Sans Semibold" w:eastAsia="Times New Roman" w:hAnsi="Open Sans Semibold" w:cs="Open Sans Semibold"/>
                <w:color w:val="FFFFFF"/>
                <w:sz w:val="16"/>
                <w:szCs w:val="16"/>
                <w:lang w:eastAsia="en-AU"/>
              </w:rPr>
              <w:t>NT</w:t>
            </w:r>
          </w:p>
        </w:tc>
        <w:tc>
          <w:tcPr>
            <w:tcW w:w="700" w:type="dxa"/>
            <w:tcBorders>
              <w:top w:val="nil"/>
              <w:left w:val="nil"/>
              <w:bottom w:val="nil"/>
              <w:right w:val="nil"/>
            </w:tcBorders>
            <w:shd w:val="clear" w:color="000000" w:fill="006991"/>
            <w:vAlign w:val="center"/>
            <w:hideMark/>
          </w:tcPr>
          <w:p w14:paraId="35D8C2B7"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14ED">
              <w:rPr>
                <w:rFonts w:ascii="Open Sans Semibold" w:eastAsia="Times New Roman" w:hAnsi="Open Sans Semibold" w:cs="Open Sans Semibold"/>
                <w:color w:val="FFFFFF"/>
                <w:sz w:val="16"/>
                <w:szCs w:val="16"/>
                <w:lang w:eastAsia="en-AU"/>
              </w:rPr>
              <w:t>Total</w:t>
            </w:r>
          </w:p>
        </w:tc>
      </w:tr>
      <w:tr w:rsidR="00E01FDE" w:rsidRPr="00CB14ED" w14:paraId="5FC21995" w14:textId="77777777" w:rsidTr="00CA416E">
        <w:trPr>
          <w:trHeight w:val="255"/>
        </w:trPr>
        <w:tc>
          <w:tcPr>
            <w:tcW w:w="2460" w:type="dxa"/>
            <w:tcBorders>
              <w:top w:val="single" w:sz="4" w:space="0" w:color="ADD6EA"/>
              <w:left w:val="nil"/>
              <w:bottom w:val="nil"/>
              <w:right w:val="nil"/>
            </w:tcBorders>
            <w:shd w:val="clear" w:color="000000" w:fill="B6D5E4"/>
            <w:vAlign w:val="bottom"/>
            <w:hideMark/>
          </w:tcPr>
          <w:p w14:paraId="7CC2DB67" w14:textId="77777777" w:rsidR="00E01FDE" w:rsidRPr="00CB14ED" w:rsidRDefault="00E01FDE" w:rsidP="00E01FDE">
            <w:pPr>
              <w:tabs>
                <w:tab w:val="clear" w:pos="567"/>
              </w:tabs>
              <w:spacing w:before="0" w:line="240" w:lineRule="auto"/>
              <w:rPr>
                <w:rFonts w:ascii="Open Sans Semibold" w:eastAsia="Times New Roman" w:hAnsi="Open Sans Semibold" w:cs="Open Sans Semibold"/>
                <w:color w:val="000000"/>
                <w:sz w:val="16"/>
                <w:szCs w:val="16"/>
                <w:lang w:eastAsia="en-AU"/>
              </w:rPr>
            </w:pPr>
            <w:r w:rsidRPr="00CB14ED">
              <w:rPr>
                <w:rFonts w:ascii="Open Sans Semibold" w:eastAsia="Times New Roman" w:hAnsi="Open Sans Semibold" w:cs="Open Sans Semibold"/>
                <w:color w:val="000000"/>
                <w:sz w:val="16"/>
                <w:szCs w:val="16"/>
                <w:lang w:eastAsia="en-AU"/>
              </w:rPr>
              <w:t> </w:t>
            </w:r>
          </w:p>
        </w:tc>
        <w:tc>
          <w:tcPr>
            <w:tcW w:w="700" w:type="dxa"/>
            <w:tcBorders>
              <w:top w:val="single" w:sz="4" w:space="0" w:color="ADD6EA"/>
              <w:left w:val="nil"/>
              <w:bottom w:val="nil"/>
              <w:right w:val="nil"/>
            </w:tcBorders>
            <w:shd w:val="clear" w:color="000000" w:fill="B6D5E4"/>
            <w:noWrap/>
            <w:vAlign w:val="center"/>
            <w:hideMark/>
          </w:tcPr>
          <w:p w14:paraId="5A67EC43"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14ED">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5FDFAB44"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14ED">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22BA433F"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14ED">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5EB27ECF"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14ED">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00B7AA83"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14ED">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211518DE"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14ED">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4167B5BF"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14ED">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42B42F19"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14ED">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157FB7FD" w14:textId="77777777" w:rsidR="00E01FDE" w:rsidRPr="00CB14ED" w:rsidRDefault="00E01FDE"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14ED">
              <w:rPr>
                <w:rFonts w:ascii="Open Sans Semibold" w:eastAsia="Times New Roman" w:hAnsi="Open Sans Semibold" w:cs="Open Sans Semibold"/>
                <w:color w:val="000000"/>
                <w:sz w:val="16"/>
                <w:szCs w:val="16"/>
                <w:lang w:eastAsia="en-AU"/>
              </w:rPr>
              <w:t>%</w:t>
            </w:r>
          </w:p>
        </w:tc>
      </w:tr>
      <w:tr w:rsidR="00E01FDE" w:rsidRPr="00CB14ED" w14:paraId="518097BC" w14:textId="77777777" w:rsidTr="00CA416E">
        <w:trPr>
          <w:trHeight w:val="315"/>
        </w:trPr>
        <w:tc>
          <w:tcPr>
            <w:tcW w:w="2460" w:type="dxa"/>
            <w:tcBorders>
              <w:top w:val="single" w:sz="4" w:space="0" w:color="ADD6EA"/>
              <w:left w:val="nil"/>
              <w:bottom w:val="single" w:sz="4" w:space="0" w:color="ADD6EA"/>
              <w:right w:val="nil"/>
            </w:tcBorders>
            <w:shd w:val="clear" w:color="auto" w:fill="auto"/>
            <w:vAlign w:val="center"/>
            <w:hideMark/>
          </w:tcPr>
          <w:p w14:paraId="345C5D92" w14:textId="08DD2B4C" w:rsidR="00E01FDE" w:rsidRPr="00CB14ED" w:rsidRDefault="00E01FDE" w:rsidP="00CA416E">
            <w:pPr>
              <w:tabs>
                <w:tab w:val="clear" w:pos="567"/>
              </w:tabs>
              <w:spacing w:before="0" w:line="240" w:lineRule="auto"/>
              <w:rPr>
                <w:rFonts w:eastAsia="Times New Roman" w:cs="Open Sans Light"/>
                <w:color w:val="000000"/>
                <w:sz w:val="16"/>
                <w:szCs w:val="16"/>
                <w:lang w:eastAsia="en-AU"/>
              </w:rPr>
            </w:pPr>
            <w:r w:rsidRPr="00CB14ED">
              <w:rPr>
                <w:rFonts w:eastAsia="Times New Roman" w:cs="Open Sans Light"/>
                <w:color w:val="000000"/>
                <w:sz w:val="16"/>
                <w:szCs w:val="16"/>
                <w:lang w:eastAsia="en-AU"/>
              </w:rPr>
              <w:t>Separations</w:t>
            </w:r>
            <w:r w:rsidR="00B14583" w:rsidRPr="00CB14ED">
              <w:rPr>
                <w:rFonts w:eastAsia="Times New Roman" w:cs="Open Sans Light"/>
                <w:color w:val="000000"/>
                <w:sz w:val="16"/>
                <w:szCs w:val="16"/>
                <w:lang w:eastAsia="en-AU"/>
              </w:rPr>
              <w:t xml:space="preserve"> (a)</w:t>
            </w:r>
          </w:p>
        </w:tc>
        <w:tc>
          <w:tcPr>
            <w:tcW w:w="700" w:type="dxa"/>
            <w:tcBorders>
              <w:top w:val="single" w:sz="4" w:space="0" w:color="ADD6EA"/>
              <w:left w:val="nil"/>
              <w:bottom w:val="single" w:sz="4" w:space="0" w:color="ADD6EA"/>
              <w:right w:val="nil"/>
            </w:tcBorders>
            <w:shd w:val="clear" w:color="auto" w:fill="auto"/>
            <w:vAlign w:val="center"/>
            <w:hideMark/>
          </w:tcPr>
          <w:p w14:paraId="567E67DB"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32.4</w:t>
            </w:r>
          </w:p>
        </w:tc>
        <w:tc>
          <w:tcPr>
            <w:tcW w:w="700" w:type="dxa"/>
            <w:tcBorders>
              <w:top w:val="single" w:sz="4" w:space="0" w:color="ADD6EA"/>
              <w:left w:val="nil"/>
              <w:bottom w:val="single" w:sz="4" w:space="0" w:color="ADD6EA"/>
              <w:right w:val="nil"/>
            </w:tcBorders>
            <w:shd w:val="clear" w:color="auto" w:fill="auto"/>
            <w:vAlign w:val="center"/>
            <w:hideMark/>
          </w:tcPr>
          <w:p w14:paraId="4A6310C7"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26.1</w:t>
            </w:r>
          </w:p>
        </w:tc>
        <w:tc>
          <w:tcPr>
            <w:tcW w:w="700" w:type="dxa"/>
            <w:tcBorders>
              <w:top w:val="single" w:sz="4" w:space="0" w:color="ADD6EA"/>
              <w:left w:val="nil"/>
              <w:bottom w:val="single" w:sz="4" w:space="0" w:color="ADD6EA"/>
              <w:right w:val="nil"/>
            </w:tcBorders>
            <w:shd w:val="clear" w:color="auto" w:fill="auto"/>
            <w:vAlign w:val="center"/>
            <w:hideMark/>
          </w:tcPr>
          <w:p w14:paraId="5587826D"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19.4</w:t>
            </w:r>
          </w:p>
        </w:tc>
        <w:tc>
          <w:tcPr>
            <w:tcW w:w="700" w:type="dxa"/>
            <w:tcBorders>
              <w:top w:val="single" w:sz="4" w:space="0" w:color="ADD6EA"/>
              <w:left w:val="nil"/>
              <w:bottom w:val="single" w:sz="4" w:space="0" w:color="ADD6EA"/>
              <w:right w:val="nil"/>
            </w:tcBorders>
            <w:shd w:val="clear" w:color="auto" w:fill="auto"/>
            <w:vAlign w:val="center"/>
            <w:hideMark/>
          </w:tcPr>
          <w:p w14:paraId="4AA36B29"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10.7</w:t>
            </w:r>
          </w:p>
        </w:tc>
        <w:tc>
          <w:tcPr>
            <w:tcW w:w="700" w:type="dxa"/>
            <w:tcBorders>
              <w:top w:val="single" w:sz="4" w:space="0" w:color="ADD6EA"/>
              <w:left w:val="nil"/>
              <w:bottom w:val="single" w:sz="4" w:space="0" w:color="ADD6EA"/>
              <w:right w:val="nil"/>
            </w:tcBorders>
            <w:shd w:val="clear" w:color="auto" w:fill="auto"/>
            <w:vAlign w:val="center"/>
            <w:hideMark/>
          </w:tcPr>
          <w:p w14:paraId="7A52DC62"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7.1</w:t>
            </w:r>
          </w:p>
        </w:tc>
        <w:tc>
          <w:tcPr>
            <w:tcW w:w="700" w:type="dxa"/>
            <w:tcBorders>
              <w:top w:val="single" w:sz="4" w:space="0" w:color="ADD6EA"/>
              <w:left w:val="nil"/>
              <w:bottom w:val="single" w:sz="4" w:space="0" w:color="ADD6EA"/>
              <w:right w:val="nil"/>
            </w:tcBorders>
            <w:shd w:val="clear" w:color="auto" w:fill="auto"/>
            <w:vAlign w:val="center"/>
            <w:hideMark/>
          </w:tcPr>
          <w:p w14:paraId="57DD894C"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1.9</w:t>
            </w:r>
          </w:p>
        </w:tc>
        <w:tc>
          <w:tcPr>
            <w:tcW w:w="700" w:type="dxa"/>
            <w:tcBorders>
              <w:top w:val="single" w:sz="4" w:space="0" w:color="ADD6EA"/>
              <w:left w:val="nil"/>
              <w:bottom w:val="single" w:sz="4" w:space="0" w:color="ADD6EA"/>
              <w:right w:val="nil"/>
            </w:tcBorders>
            <w:shd w:val="clear" w:color="auto" w:fill="auto"/>
            <w:vAlign w:val="center"/>
            <w:hideMark/>
          </w:tcPr>
          <w:p w14:paraId="68E8FF73"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2.1</w:t>
            </w:r>
          </w:p>
        </w:tc>
        <w:tc>
          <w:tcPr>
            <w:tcW w:w="700" w:type="dxa"/>
            <w:tcBorders>
              <w:top w:val="single" w:sz="4" w:space="0" w:color="ADD6EA"/>
              <w:left w:val="nil"/>
              <w:bottom w:val="single" w:sz="4" w:space="0" w:color="ADD6EA"/>
              <w:right w:val="nil"/>
            </w:tcBorders>
            <w:shd w:val="clear" w:color="auto" w:fill="auto"/>
            <w:vAlign w:val="center"/>
            <w:hideMark/>
          </w:tcPr>
          <w:p w14:paraId="4D9CCC9F"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0.4</w:t>
            </w:r>
          </w:p>
        </w:tc>
        <w:tc>
          <w:tcPr>
            <w:tcW w:w="700" w:type="dxa"/>
            <w:tcBorders>
              <w:top w:val="single" w:sz="4" w:space="0" w:color="ADD6EA"/>
              <w:left w:val="nil"/>
              <w:bottom w:val="single" w:sz="4" w:space="0" w:color="ADD6EA"/>
              <w:right w:val="nil"/>
            </w:tcBorders>
            <w:shd w:val="clear" w:color="auto" w:fill="auto"/>
            <w:vAlign w:val="center"/>
            <w:hideMark/>
          </w:tcPr>
          <w:p w14:paraId="1362D48B"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100.0</w:t>
            </w:r>
          </w:p>
        </w:tc>
      </w:tr>
      <w:tr w:rsidR="00E01FDE" w:rsidRPr="00CB14ED" w14:paraId="52F8C6E3" w14:textId="77777777" w:rsidTr="00CA416E">
        <w:trPr>
          <w:trHeight w:val="315"/>
        </w:trPr>
        <w:tc>
          <w:tcPr>
            <w:tcW w:w="2460" w:type="dxa"/>
            <w:tcBorders>
              <w:top w:val="nil"/>
              <w:left w:val="nil"/>
              <w:bottom w:val="single" w:sz="4" w:space="0" w:color="ADD6EA"/>
              <w:right w:val="nil"/>
            </w:tcBorders>
            <w:shd w:val="clear" w:color="auto" w:fill="auto"/>
            <w:vAlign w:val="center"/>
            <w:hideMark/>
          </w:tcPr>
          <w:p w14:paraId="4D49ECD3" w14:textId="613E41CC" w:rsidR="00E01FDE" w:rsidRPr="00CB14ED" w:rsidRDefault="00E01FDE" w:rsidP="00CA416E">
            <w:pPr>
              <w:tabs>
                <w:tab w:val="clear" w:pos="567"/>
              </w:tabs>
              <w:spacing w:before="0" w:line="240" w:lineRule="auto"/>
              <w:rPr>
                <w:rFonts w:eastAsia="Times New Roman" w:cs="Open Sans Light"/>
                <w:color w:val="000000"/>
                <w:sz w:val="16"/>
                <w:szCs w:val="16"/>
                <w:lang w:eastAsia="en-AU"/>
              </w:rPr>
            </w:pPr>
            <w:r w:rsidRPr="00CB14ED">
              <w:rPr>
                <w:rFonts w:eastAsia="Times New Roman" w:cs="Open Sans Light"/>
                <w:color w:val="000000"/>
                <w:sz w:val="16"/>
                <w:szCs w:val="16"/>
                <w:lang w:eastAsia="en-AU"/>
              </w:rPr>
              <w:t>Bed days</w:t>
            </w:r>
            <w:r w:rsidR="00B14583" w:rsidRPr="00CB14ED">
              <w:rPr>
                <w:rFonts w:eastAsia="Times New Roman" w:cs="Open Sans Light"/>
                <w:color w:val="000000"/>
                <w:sz w:val="16"/>
                <w:szCs w:val="16"/>
                <w:lang w:eastAsia="en-AU"/>
              </w:rPr>
              <w:t xml:space="preserve"> (a)</w:t>
            </w:r>
          </w:p>
        </w:tc>
        <w:tc>
          <w:tcPr>
            <w:tcW w:w="700" w:type="dxa"/>
            <w:tcBorders>
              <w:top w:val="nil"/>
              <w:left w:val="nil"/>
              <w:bottom w:val="single" w:sz="4" w:space="0" w:color="ADD6EA"/>
              <w:right w:val="nil"/>
            </w:tcBorders>
            <w:shd w:val="clear" w:color="auto" w:fill="auto"/>
            <w:vAlign w:val="center"/>
            <w:hideMark/>
          </w:tcPr>
          <w:p w14:paraId="280F3937"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32.5</w:t>
            </w:r>
          </w:p>
        </w:tc>
        <w:tc>
          <w:tcPr>
            <w:tcW w:w="700" w:type="dxa"/>
            <w:tcBorders>
              <w:top w:val="nil"/>
              <w:left w:val="nil"/>
              <w:bottom w:val="single" w:sz="4" w:space="0" w:color="ADD6EA"/>
              <w:right w:val="nil"/>
            </w:tcBorders>
            <w:shd w:val="clear" w:color="auto" w:fill="auto"/>
            <w:vAlign w:val="center"/>
            <w:hideMark/>
          </w:tcPr>
          <w:p w14:paraId="6B12AF4C"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26.1</w:t>
            </w:r>
          </w:p>
        </w:tc>
        <w:tc>
          <w:tcPr>
            <w:tcW w:w="700" w:type="dxa"/>
            <w:tcBorders>
              <w:top w:val="nil"/>
              <w:left w:val="nil"/>
              <w:bottom w:val="single" w:sz="4" w:space="0" w:color="ADD6EA"/>
              <w:right w:val="nil"/>
            </w:tcBorders>
            <w:shd w:val="clear" w:color="auto" w:fill="auto"/>
            <w:vAlign w:val="center"/>
            <w:hideMark/>
          </w:tcPr>
          <w:p w14:paraId="46DBD8EA"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19.2</w:t>
            </w:r>
          </w:p>
        </w:tc>
        <w:tc>
          <w:tcPr>
            <w:tcW w:w="700" w:type="dxa"/>
            <w:tcBorders>
              <w:top w:val="nil"/>
              <w:left w:val="nil"/>
              <w:bottom w:val="single" w:sz="4" w:space="0" w:color="ADD6EA"/>
              <w:right w:val="nil"/>
            </w:tcBorders>
            <w:shd w:val="clear" w:color="auto" w:fill="auto"/>
            <w:vAlign w:val="center"/>
            <w:hideMark/>
          </w:tcPr>
          <w:p w14:paraId="7B1D6ED5"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10.6</w:t>
            </w:r>
          </w:p>
        </w:tc>
        <w:tc>
          <w:tcPr>
            <w:tcW w:w="700" w:type="dxa"/>
            <w:tcBorders>
              <w:top w:val="nil"/>
              <w:left w:val="nil"/>
              <w:bottom w:val="single" w:sz="4" w:space="0" w:color="ADD6EA"/>
              <w:right w:val="nil"/>
            </w:tcBorders>
            <w:shd w:val="clear" w:color="auto" w:fill="auto"/>
            <w:vAlign w:val="center"/>
            <w:hideMark/>
          </w:tcPr>
          <w:p w14:paraId="3331DBD0"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7.3</w:t>
            </w:r>
          </w:p>
        </w:tc>
        <w:tc>
          <w:tcPr>
            <w:tcW w:w="700" w:type="dxa"/>
            <w:tcBorders>
              <w:top w:val="nil"/>
              <w:left w:val="nil"/>
              <w:bottom w:val="single" w:sz="4" w:space="0" w:color="ADD6EA"/>
              <w:right w:val="nil"/>
            </w:tcBorders>
            <w:shd w:val="clear" w:color="auto" w:fill="auto"/>
            <w:vAlign w:val="center"/>
            <w:hideMark/>
          </w:tcPr>
          <w:p w14:paraId="1ACA8CE9"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1.9</w:t>
            </w:r>
          </w:p>
        </w:tc>
        <w:tc>
          <w:tcPr>
            <w:tcW w:w="700" w:type="dxa"/>
            <w:tcBorders>
              <w:top w:val="nil"/>
              <w:left w:val="nil"/>
              <w:bottom w:val="single" w:sz="4" w:space="0" w:color="ADD6EA"/>
              <w:right w:val="nil"/>
            </w:tcBorders>
            <w:shd w:val="clear" w:color="auto" w:fill="auto"/>
            <w:vAlign w:val="center"/>
            <w:hideMark/>
          </w:tcPr>
          <w:p w14:paraId="678C9205"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2.0</w:t>
            </w:r>
          </w:p>
        </w:tc>
        <w:tc>
          <w:tcPr>
            <w:tcW w:w="700" w:type="dxa"/>
            <w:tcBorders>
              <w:top w:val="nil"/>
              <w:left w:val="nil"/>
              <w:bottom w:val="single" w:sz="4" w:space="0" w:color="ADD6EA"/>
              <w:right w:val="nil"/>
            </w:tcBorders>
            <w:shd w:val="clear" w:color="auto" w:fill="auto"/>
            <w:vAlign w:val="center"/>
            <w:hideMark/>
          </w:tcPr>
          <w:p w14:paraId="16CABFAE"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0.3</w:t>
            </w:r>
          </w:p>
        </w:tc>
        <w:tc>
          <w:tcPr>
            <w:tcW w:w="700" w:type="dxa"/>
            <w:tcBorders>
              <w:top w:val="nil"/>
              <w:left w:val="nil"/>
              <w:bottom w:val="single" w:sz="4" w:space="0" w:color="ADD6EA"/>
              <w:right w:val="nil"/>
            </w:tcBorders>
            <w:shd w:val="clear" w:color="auto" w:fill="auto"/>
            <w:vAlign w:val="center"/>
            <w:hideMark/>
          </w:tcPr>
          <w:p w14:paraId="7B284555"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100.0</w:t>
            </w:r>
          </w:p>
        </w:tc>
      </w:tr>
      <w:tr w:rsidR="00E01FDE" w:rsidRPr="00CB14ED" w14:paraId="2FA162EF" w14:textId="77777777" w:rsidTr="00CA416E">
        <w:trPr>
          <w:trHeight w:val="315"/>
        </w:trPr>
        <w:tc>
          <w:tcPr>
            <w:tcW w:w="2460" w:type="dxa"/>
            <w:tcBorders>
              <w:top w:val="nil"/>
              <w:left w:val="nil"/>
              <w:bottom w:val="single" w:sz="4" w:space="0" w:color="ADD6EA"/>
              <w:right w:val="nil"/>
            </w:tcBorders>
            <w:shd w:val="clear" w:color="auto" w:fill="auto"/>
            <w:vAlign w:val="center"/>
            <w:hideMark/>
          </w:tcPr>
          <w:p w14:paraId="2CF2D9CB" w14:textId="32F4E476" w:rsidR="00E01FDE" w:rsidRPr="00CB14ED" w:rsidRDefault="00E01FDE" w:rsidP="00CA416E">
            <w:pPr>
              <w:tabs>
                <w:tab w:val="clear" w:pos="567"/>
              </w:tabs>
              <w:spacing w:before="0" w:line="240" w:lineRule="auto"/>
              <w:rPr>
                <w:rFonts w:eastAsia="Times New Roman" w:cs="Open Sans Light"/>
                <w:color w:val="000000"/>
                <w:sz w:val="16"/>
                <w:szCs w:val="16"/>
                <w:lang w:eastAsia="en-AU"/>
              </w:rPr>
            </w:pPr>
            <w:r w:rsidRPr="00CB14ED">
              <w:rPr>
                <w:rFonts w:eastAsia="Times New Roman" w:cs="Open Sans Light"/>
                <w:color w:val="000000"/>
                <w:sz w:val="16"/>
                <w:szCs w:val="16"/>
                <w:lang w:eastAsia="en-AU"/>
              </w:rPr>
              <w:t>Expenses</w:t>
            </w:r>
            <w:r w:rsidR="009120B8" w:rsidRPr="00CB14ED">
              <w:rPr>
                <w:rFonts w:eastAsia="Times New Roman" w:cs="Open Sans Light"/>
                <w:color w:val="000000"/>
                <w:sz w:val="16"/>
                <w:szCs w:val="16"/>
                <w:lang w:eastAsia="en-AU"/>
              </w:rPr>
              <w:t xml:space="preserve"> (a)</w:t>
            </w:r>
          </w:p>
        </w:tc>
        <w:tc>
          <w:tcPr>
            <w:tcW w:w="700" w:type="dxa"/>
            <w:tcBorders>
              <w:top w:val="nil"/>
              <w:left w:val="nil"/>
              <w:bottom w:val="single" w:sz="4" w:space="0" w:color="ADD6EA"/>
              <w:right w:val="nil"/>
            </w:tcBorders>
            <w:shd w:val="clear" w:color="auto" w:fill="auto"/>
            <w:vAlign w:val="center"/>
            <w:hideMark/>
          </w:tcPr>
          <w:p w14:paraId="7B9A06BA"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32.3</w:t>
            </w:r>
          </w:p>
        </w:tc>
        <w:tc>
          <w:tcPr>
            <w:tcW w:w="700" w:type="dxa"/>
            <w:tcBorders>
              <w:top w:val="nil"/>
              <w:left w:val="nil"/>
              <w:bottom w:val="single" w:sz="4" w:space="0" w:color="ADD6EA"/>
              <w:right w:val="nil"/>
            </w:tcBorders>
            <w:shd w:val="clear" w:color="auto" w:fill="auto"/>
            <w:vAlign w:val="center"/>
            <w:hideMark/>
          </w:tcPr>
          <w:p w14:paraId="5F01006F"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25.9</w:t>
            </w:r>
          </w:p>
        </w:tc>
        <w:tc>
          <w:tcPr>
            <w:tcW w:w="700" w:type="dxa"/>
            <w:tcBorders>
              <w:top w:val="nil"/>
              <w:left w:val="nil"/>
              <w:bottom w:val="single" w:sz="4" w:space="0" w:color="ADD6EA"/>
              <w:right w:val="nil"/>
            </w:tcBorders>
            <w:shd w:val="clear" w:color="auto" w:fill="auto"/>
            <w:vAlign w:val="center"/>
            <w:hideMark/>
          </w:tcPr>
          <w:p w14:paraId="447A8DB2"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19.5</w:t>
            </w:r>
          </w:p>
        </w:tc>
        <w:tc>
          <w:tcPr>
            <w:tcW w:w="700" w:type="dxa"/>
            <w:tcBorders>
              <w:top w:val="nil"/>
              <w:left w:val="nil"/>
              <w:bottom w:val="single" w:sz="4" w:space="0" w:color="ADD6EA"/>
              <w:right w:val="nil"/>
            </w:tcBorders>
            <w:shd w:val="clear" w:color="auto" w:fill="auto"/>
            <w:vAlign w:val="center"/>
            <w:hideMark/>
          </w:tcPr>
          <w:p w14:paraId="2C9ACAAB"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10.6</w:t>
            </w:r>
          </w:p>
        </w:tc>
        <w:tc>
          <w:tcPr>
            <w:tcW w:w="700" w:type="dxa"/>
            <w:tcBorders>
              <w:top w:val="nil"/>
              <w:left w:val="nil"/>
              <w:bottom w:val="single" w:sz="4" w:space="0" w:color="ADD6EA"/>
              <w:right w:val="nil"/>
            </w:tcBorders>
            <w:shd w:val="clear" w:color="auto" w:fill="auto"/>
            <w:vAlign w:val="center"/>
            <w:hideMark/>
          </w:tcPr>
          <w:p w14:paraId="495DD644"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7.2</w:t>
            </w:r>
          </w:p>
        </w:tc>
        <w:tc>
          <w:tcPr>
            <w:tcW w:w="700" w:type="dxa"/>
            <w:tcBorders>
              <w:top w:val="nil"/>
              <w:left w:val="nil"/>
              <w:bottom w:val="single" w:sz="4" w:space="0" w:color="ADD6EA"/>
              <w:right w:val="nil"/>
            </w:tcBorders>
            <w:shd w:val="clear" w:color="auto" w:fill="auto"/>
            <w:vAlign w:val="center"/>
            <w:hideMark/>
          </w:tcPr>
          <w:p w14:paraId="2FF1C7DE"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2.1</w:t>
            </w:r>
          </w:p>
        </w:tc>
        <w:tc>
          <w:tcPr>
            <w:tcW w:w="700" w:type="dxa"/>
            <w:tcBorders>
              <w:top w:val="nil"/>
              <w:left w:val="nil"/>
              <w:bottom w:val="single" w:sz="4" w:space="0" w:color="ADD6EA"/>
              <w:right w:val="nil"/>
            </w:tcBorders>
            <w:shd w:val="clear" w:color="auto" w:fill="auto"/>
            <w:vAlign w:val="center"/>
            <w:hideMark/>
          </w:tcPr>
          <w:p w14:paraId="698D6F54"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2.0</w:t>
            </w:r>
          </w:p>
        </w:tc>
        <w:tc>
          <w:tcPr>
            <w:tcW w:w="700" w:type="dxa"/>
            <w:tcBorders>
              <w:top w:val="nil"/>
              <w:left w:val="nil"/>
              <w:bottom w:val="single" w:sz="4" w:space="0" w:color="ADD6EA"/>
              <w:right w:val="nil"/>
            </w:tcBorders>
            <w:shd w:val="clear" w:color="auto" w:fill="auto"/>
            <w:vAlign w:val="center"/>
            <w:hideMark/>
          </w:tcPr>
          <w:p w14:paraId="71F4E7FE"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0.4</w:t>
            </w:r>
          </w:p>
        </w:tc>
        <w:tc>
          <w:tcPr>
            <w:tcW w:w="700" w:type="dxa"/>
            <w:tcBorders>
              <w:top w:val="nil"/>
              <w:left w:val="nil"/>
              <w:bottom w:val="single" w:sz="4" w:space="0" w:color="ADD6EA"/>
              <w:right w:val="nil"/>
            </w:tcBorders>
            <w:shd w:val="clear" w:color="auto" w:fill="auto"/>
            <w:vAlign w:val="center"/>
            <w:hideMark/>
          </w:tcPr>
          <w:p w14:paraId="5B74EC7D"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100.0</w:t>
            </w:r>
          </w:p>
        </w:tc>
      </w:tr>
      <w:tr w:rsidR="00E01FDE" w:rsidRPr="00CB14ED" w14:paraId="6087084A" w14:textId="77777777" w:rsidTr="00CA416E">
        <w:trPr>
          <w:trHeight w:val="315"/>
        </w:trPr>
        <w:tc>
          <w:tcPr>
            <w:tcW w:w="2460" w:type="dxa"/>
            <w:tcBorders>
              <w:top w:val="nil"/>
              <w:left w:val="nil"/>
              <w:bottom w:val="single" w:sz="4" w:space="0" w:color="ADD6EA"/>
              <w:right w:val="nil"/>
            </w:tcBorders>
            <w:shd w:val="clear" w:color="auto" w:fill="auto"/>
            <w:vAlign w:val="center"/>
            <w:hideMark/>
          </w:tcPr>
          <w:p w14:paraId="5D5D3766" w14:textId="77777777" w:rsidR="00E01FDE" w:rsidRPr="00CB14ED" w:rsidRDefault="00E01FDE" w:rsidP="00CA416E">
            <w:pPr>
              <w:tabs>
                <w:tab w:val="clear" w:pos="567"/>
              </w:tabs>
              <w:spacing w:before="0" w:line="240" w:lineRule="auto"/>
              <w:rPr>
                <w:rFonts w:eastAsia="Times New Roman" w:cs="Open Sans Light"/>
                <w:color w:val="000000"/>
                <w:sz w:val="16"/>
                <w:szCs w:val="16"/>
                <w:lang w:eastAsia="en-AU"/>
              </w:rPr>
            </w:pPr>
            <w:r w:rsidRPr="00CB14ED">
              <w:rPr>
                <w:rFonts w:eastAsia="Times New Roman" w:cs="Open Sans Light"/>
                <w:color w:val="000000"/>
                <w:sz w:val="16"/>
                <w:szCs w:val="16"/>
                <w:lang w:eastAsia="en-AU"/>
              </w:rPr>
              <w:t>PHI and self-funded expenses</w:t>
            </w:r>
          </w:p>
        </w:tc>
        <w:tc>
          <w:tcPr>
            <w:tcW w:w="700" w:type="dxa"/>
            <w:tcBorders>
              <w:top w:val="nil"/>
              <w:left w:val="nil"/>
              <w:bottom w:val="single" w:sz="4" w:space="0" w:color="ADD6EA"/>
              <w:right w:val="nil"/>
            </w:tcBorders>
            <w:shd w:val="clear" w:color="auto" w:fill="auto"/>
            <w:vAlign w:val="center"/>
            <w:hideMark/>
          </w:tcPr>
          <w:p w14:paraId="5C233652"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32.3</w:t>
            </w:r>
          </w:p>
        </w:tc>
        <w:tc>
          <w:tcPr>
            <w:tcW w:w="700" w:type="dxa"/>
            <w:tcBorders>
              <w:top w:val="nil"/>
              <w:left w:val="nil"/>
              <w:bottom w:val="single" w:sz="4" w:space="0" w:color="ADD6EA"/>
              <w:right w:val="nil"/>
            </w:tcBorders>
            <w:shd w:val="clear" w:color="auto" w:fill="auto"/>
            <w:vAlign w:val="center"/>
            <w:hideMark/>
          </w:tcPr>
          <w:p w14:paraId="4DE7C1B4"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25.9</w:t>
            </w:r>
          </w:p>
        </w:tc>
        <w:tc>
          <w:tcPr>
            <w:tcW w:w="700" w:type="dxa"/>
            <w:tcBorders>
              <w:top w:val="nil"/>
              <w:left w:val="nil"/>
              <w:bottom w:val="single" w:sz="4" w:space="0" w:color="ADD6EA"/>
              <w:right w:val="nil"/>
            </w:tcBorders>
            <w:shd w:val="clear" w:color="auto" w:fill="auto"/>
            <w:vAlign w:val="center"/>
            <w:hideMark/>
          </w:tcPr>
          <w:p w14:paraId="4EFEEF08"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19.5</w:t>
            </w:r>
          </w:p>
        </w:tc>
        <w:tc>
          <w:tcPr>
            <w:tcW w:w="700" w:type="dxa"/>
            <w:tcBorders>
              <w:top w:val="nil"/>
              <w:left w:val="nil"/>
              <w:bottom w:val="single" w:sz="4" w:space="0" w:color="ADD6EA"/>
              <w:right w:val="nil"/>
            </w:tcBorders>
            <w:shd w:val="clear" w:color="auto" w:fill="auto"/>
            <w:vAlign w:val="center"/>
            <w:hideMark/>
          </w:tcPr>
          <w:p w14:paraId="2524DB2D"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10.6</w:t>
            </w:r>
          </w:p>
        </w:tc>
        <w:tc>
          <w:tcPr>
            <w:tcW w:w="700" w:type="dxa"/>
            <w:tcBorders>
              <w:top w:val="nil"/>
              <w:left w:val="nil"/>
              <w:bottom w:val="single" w:sz="4" w:space="0" w:color="ADD6EA"/>
              <w:right w:val="nil"/>
            </w:tcBorders>
            <w:shd w:val="clear" w:color="auto" w:fill="auto"/>
            <w:vAlign w:val="center"/>
            <w:hideMark/>
          </w:tcPr>
          <w:p w14:paraId="11F91BF3"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7.2</w:t>
            </w:r>
          </w:p>
        </w:tc>
        <w:tc>
          <w:tcPr>
            <w:tcW w:w="700" w:type="dxa"/>
            <w:tcBorders>
              <w:top w:val="nil"/>
              <w:left w:val="nil"/>
              <w:bottom w:val="single" w:sz="4" w:space="0" w:color="ADD6EA"/>
              <w:right w:val="nil"/>
            </w:tcBorders>
            <w:shd w:val="clear" w:color="auto" w:fill="auto"/>
            <w:vAlign w:val="center"/>
            <w:hideMark/>
          </w:tcPr>
          <w:p w14:paraId="1CB20183"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2.1</w:t>
            </w:r>
          </w:p>
        </w:tc>
        <w:tc>
          <w:tcPr>
            <w:tcW w:w="700" w:type="dxa"/>
            <w:tcBorders>
              <w:top w:val="nil"/>
              <w:left w:val="nil"/>
              <w:bottom w:val="single" w:sz="4" w:space="0" w:color="ADD6EA"/>
              <w:right w:val="nil"/>
            </w:tcBorders>
            <w:shd w:val="clear" w:color="auto" w:fill="auto"/>
            <w:vAlign w:val="center"/>
            <w:hideMark/>
          </w:tcPr>
          <w:p w14:paraId="73F0B5F6"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1.9</w:t>
            </w:r>
          </w:p>
        </w:tc>
        <w:tc>
          <w:tcPr>
            <w:tcW w:w="700" w:type="dxa"/>
            <w:tcBorders>
              <w:top w:val="nil"/>
              <w:left w:val="nil"/>
              <w:bottom w:val="single" w:sz="4" w:space="0" w:color="ADD6EA"/>
              <w:right w:val="nil"/>
            </w:tcBorders>
            <w:shd w:val="clear" w:color="auto" w:fill="auto"/>
            <w:vAlign w:val="center"/>
            <w:hideMark/>
          </w:tcPr>
          <w:p w14:paraId="7481811F"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0.4</w:t>
            </w:r>
          </w:p>
        </w:tc>
        <w:tc>
          <w:tcPr>
            <w:tcW w:w="700" w:type="dxa"/>
            <w:tcBorders>
              <w:top w:val="nil"/>
              <w:left w:val="nil"/>
              <w:bottom w:val="single" w:sz="4" w:space="0" w:color="ADD6EA"/>
              <w:right w:val="nil"/>
            </w:tcBorders>
            <w:shd w:val="clear" w:color="auto" w:fill="auto"/>
            <w:vAlign w:val="center"/>
            <w:hideMark/>
          </w:tcPr>
          <w:p w14:paraId="27436BB0" w14:textId="77777777" w:rsidR="00E01FDE" w:rsidRPr="00CB14ED" w:rsidRDefault="00E01FDE" w:rsidP="00CA416E">
            <w:pPr>
              <w:tabs>
                <w:tab w:val="clear" w:pos="567"/>
              </w:tabs>
              <w:spacing w:before="0" w:line="240" w:lineRule="auto"/>
              <w:jc w:val="right"/>
              <w:rPr>
                <w:rFonts w:eastAsia="Times New Roman" w:cs="Open Sans Light"/>
                <w:color w:val="000000"/>
                <w:sz w:val="16"/>
                <w:szCs w:val="16"/>
                <w:lang w:eastAsia="en-AU"/>
              </w:rPr>
            </w:pPr>
            <w:r w:rsidRPr="00CB14ED">
              <w:rPr>
                <w:rFonts w:eastAsia="Times New Roman" w:cs="Open Sans Light"/>
                <w:color w:val="000000"/>
                <w:sz w:val="16"/>
                <w:szCs w:val="16"/>
                <w:lang w:eastAsia="en-AU"/>
              </w:rPr>
              <w:t>100.0</w:t>
            </w:r>
          </w:p>
        </w:tc>
      </w:tr>
    </w:tbl>
    <w:p w14:paraId="30D2D4FC" w14:textId="66DB2462" w:rsidR="009120B8" w:rsidRPr="00CB14ED" w:rsidRDefault="009120B8" w:rsidP="005420CD">
      <w:pPr>
        <w:pStyle w:val="CGC2025TableNote"/>
        <w:numPr>
          <w:ilvl w:val="0"/>
          <w:numId w:val="26"/>
        </w:numPr>
      </w:pPr>
      <w:r w:rsidRPr="00CB14ED">
        <w:t>Priv</w:t>
      </w:r>
      <w:r w:rsidR="00E97F37" w:rsidRPr="00CB14ED">
        <w:t>ately insured or PHI-funded</w:t>
      </w:r>
      <w:r w:rsidR="005420CD" w:rsidRPr="00CB14ED">
        <w:t>.</w:t>
      </w:r>
    </w:p>
    <w:p w14:paraId="432E2F6E" w14:textId="46EA97EA" w:rsidR="00533657" w:rsidRPr="00CB14ED" w:rsidRDefault="00131023" w:rsidP="00131023">
      <w:pPr>
        <w:pStyle w:val="CGC2025TableNote"/>
      </w:pPr>
      <w:r w:rsidRPr="00CB14ED">
        <w:t>Source: Commission calculation using AIHW data on private separations, bed days and expenses.</w:t>
      </w:r>
    </w:p>
    <w:p w14:paraId="0926B060" w14:textId="0EA58D17" w:rsidR="00F07DEC" w:rsidRPr="00CB14ED" w:rsidRDefault="0007076D" w:rsidP="00F84437">
      <w:pPr>
        <w:pStyle w:val="CGC2025ParaNumbers"/>
      </w:pPr>
      <w:r>
        <w:t xml:space="preserve">Table 9 </w:t>
      </w:r>
      <w:r w:rsidR="00081F21" w:rsidRPr="00CB14ED">
        <w:t>shows</w:t>
      </w:r>
      <w:r w:rsidR="00E70177" w:rsidRPr="00CB14ED">
        <w:t xml:space="preserve"> the distribution of actual </w:t>
      </w:r>
      <w:r w:rsidR="00734E23" w:rsidRPr="00CB14ED">
        <w:t>activity</w:t>
      </w:r>
      <w:r w:rsidR="001453B0" w:rsidRPr="00CB14ED">
        <w:t xml:space="preserve"> by state</w:t>
      </w:r>
      <w:r w:rsidR="007A1DBE" w:rsidRPr="00CB14ED">
        <w:t xml:space="preserve"> based on separations and expenses. State breakdowns of actual activity are only available for separations and expenses, not bed days</w:t>
      </w:r>
      <w:r w:rsidR="00AD4C9E" w:rsidRPr="00CB14ED">
        <w:t xml:space="preserve"> or self-insured </w:t>
      </w:r>
      <w:r w:rsidR="00EB0E9F" w:rsidRPr="00CB14ED">
        <w:t>patients</w:t>
      </w:r>
      <w:r w:rsidR="007A1DBE" w:rsidRPr="00CB14ED">
        <w:t>.</w:t>
      </w:r>
      <w:r w:rsidR="00150D0E" w:rsidRPr="00CB14ED">
        <w:t xml:space="preserve"> </w:t>
      </w:r>
    </w:p>
    <w:p w14:paraId="4A4147CB" w14:textId="6A031097" w:rsidR="00595F28" w:rsidRPr="00CB14ED" w:rsidRDefault="00595F28" w:rsidP="00D871C8">
      <w:pPr>
        <w:pStyle w:val="CGC2025Caption"/>
        <w:keepNext/>
        <w:tabs>
          <w:tab w:val="left" w:pos="1134"/>
        </w:tabs>
      </w:pPr>
      <w:bookmarkStart w:id="63" w:name="_Ref158114214"/>
      <w:r w:rsidRPr="00CB14ED">
        <w:t xml:space="preserve">Table </w:t>
      </w:r>
      <w:r>
        <w:fldChar w:fldCharType="begin"/>
      </w:r>
      <w:r>
        <w:instrText>SEQ Table \* ARABIC</w:instrText>
      </w:r>
      <w:r>
        <w:fldChar w:fldCharType="separate"/>
      </w:r>
      <w:r w:rsidR="00581B01">
        <w:rPr>
          <w:noProof/>
        </w:rPr>
        <w:t>9</w:t>
      </w:r>
      <w:r>
        <w:fldChar w:fldCharType="end"/>
      </w:r>
      <w:bookmarkEnd w:id="63"/>
      <w:r w:rsidR="005E2FB9" w:rsidRPr="00CB14ED">
        <w:tab/>
        <w:t xml:space="preserve">State share of private </w:t>
      </w:r>
      <w:r w:rsidR="00857BDF" w:rsidRPr="00CB14ED">
        <w:t xml:space="preserve">patient </w:t>
      </w:r>
      <w:r w:rsidR="005E2FB9" w:rsidRPr="00CB14ED">
        <w:t xml:space="preserve">actual </w:t>
      </w:r>
      <w:r w:rsidR="009324BE" w:rsidRPr="00CB14ED">
        <w:t>activity</w:t>
      </w:r>
      <w:r w:rsidR="005E2FB9" w:rsidRPr="00CB14ED">
        <w:t>: alternative indicators, 2021</w:t>
      </w:r>
      <w:r w:rsidR="007A1FFF">
        <w:t>–</w:t>
      </w:r>
      <w:r w:rsidR="005E2FB9" w:rsidRPr="00CB14ED">
        <w:t>22</w:t>
      </w:r>
    </w:p>
    <w:tbl>
      <w:tblPr>
        <w:tblW w:w="8942" w:type="dxa"/>
        <w:tblLook w:val="04A0" w:firstRow="1" w:lastRow="0" w:firstColumn="1" w:lastColumn="0" w:noHBand="0" w:noVBand="1"/>
      </w:tblPr>
      <w:tblGrid>
        <w:gridCol w:w="2510"/>
        <w:gridCol w:w="714"/>
        <w:gridCol w:w="714"/>
        <w:gridCol w:w="714"/>
        <w:gridCol w:w="715"/>
        <w:gridCol w:w="715"/>
        <w:gridCol w:w="715"/>
        <w:gridCol w:w="715"/>
        <w:gridCol w:w="715"/>
        <w:gridCol w:w="715"/>
      </w:tblGrid>
      <w:tr w:rsidR="00454F26" w:rsidRPr="00DE1C01" w14:paraId="47423478" w14:textId="77777777" w:rsidTr="00CA416E">
        <w:trPr>
          <w:trHeight w:val="375"/>
        </w:trPr>
        <w:tc>
          <w:tcPr>
            <w:tcW w:w="2460" w:type="dxa"/>
            <w:tcBorders>
              <w:top w:val="nil"/>
              <w:left w:val="nil"/>
              <w:bottom w:val="nil"/>
              <w:right w:val="nil"/>
            </w:tcBorders>
            <w:shd w:val="clear" w:color="000000" w:fill="006991"/>
            <w:vAlign w:val="bottom"/>
            <w:hideMark/>
          </w:tcPr>
          <w:p w14:paraId="48D242AC" w14:textId="77777777" w:rsidR="00454F26" w:rsidRPr="00DE1C01" w:rsidRDefault="00454F26" w:rsidP="0002028C">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 </w:t>
            </w:r>
          </w:p>
        </w:tc>
        <w:tc>
          <w:tcPr>
            <w:tcW w:w="700" w:type="dxa"/>
            <w:tcBorders>
              <w:top w:val="nil"/>
              <w:left w:val="nil"/>
              <w:bottom w:val="nil"/>
              <w:right w:val="nil"/>
            </w:tcBorders>
            <w:shd w:val="clear" w:color="000000" w:fill="006991"/>
            <w:vAlign w:val="center"/>
            <w:hideMark/>
          </w:tcPr>
          <w:p w14:paraId="45549800"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NSW</w:t>
            </w:r>
          </w:p>
        </w:tc>
        <w:tc>
          <w:tcPr>
            <w:tcW w:w="700" w:type="dxa"/>
            <w:tcBorders>
              <w:top w:val="nil"/>
              <w:left w:val="nil"/>
              <w:bottom w:val="nil"/>
              <w:right w:val="nil"/>
            </w:tcBorders>
            <w:shd w:val="clear" w:color="000000" w:fill="006991"/>
            <w:vAlign w:val="center"/>
            <w:hideMark/>
          </w:tcPr>
          <w:p w14:paraId="595817D5"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Vic</w:t>
            </w:r>
          </w:p>
        </w:tc>
        <w:tc>
          <w:tcPr>
            <w:tcW w:w="700" w:type="dxa"/>
            <w:tcBorders>
              <w:top w:val="nil"/>
              <w:left w:val="nil"/>
              <w:bottom w:val="nil"/>
              <w:right w:val="nil"/>
            </w:tcBorders>
            <w:shd w:val="clear" w:color="000000" w:fill="006991"/>
            <w:vAlign w:val="center"/>
            <w:hideMark/>
          </w:tcPr>
          <w:p w14:paraId="23972C6F"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Qld</w:t>
            </w:r>
          </w:p>
        </w:tc>
        <w:tc>
          <w:tcPr>
            <w:tcW w:w="700" w:type="dxa"/>
            <w:tcBorders>
              <w:top w:val="nil"/>
              <w:left w:val="nil"/>
              <w:bottom w:val="nil"/>
              <w:right w:val="nil"/>
            </w:tcBorders>
            <w:shd w:val="clear" w:color="000000" w:fill="006991"/>
            <w:vAlign w:val="center"/>
            <w:hideMark/>
          </w:tcPr>
          <w:p w14:paraId="799060EF"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WA</w:t>
            </w:r>
          </w:p>
        </w:tc>
        <w:tc>
          <w:tcPr>
            <w:tcW w:w="700" w:type="dxa"/>
            <w:tcBorders>
              <w:top w:val="nil"/>
              <w:left w:val="nil"/>
              <w:bottom w:val="nil"/>
              <w:right w:val="nil"/>
            </w:tcBorders>
            <w:shd w:val="clear" w:color="000000" w:fill="006991"/>
            <w:vAlign w:val="center"/>
            <w:hideMark/>
          </w:tcPr>
          <w:p w14:paraId="32E39D06"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SA</w:t>
            </w:r>
          </w:p>
        </w:tc>
        <w:tc>
          <w:tcPr>
            <w:tcW w:w="700" w:type="dxa"/>
            <w:tcBorders>
              <w:top w:val="nil"/>
              <w:left w:val="nil"/>
              <w:bottom w:val="nil"/>
              <w:right w:val="nil"/>
            </w:tcBorders>
            <w:shd w:val="clear" w:color="000000" w:fill="006991"/>
            <w:vAlign w:val="center"/>
            <w:hideMark/>
          </w:tcPr>
          <w:p w14:paraId="610BADBE"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Tas</w:t>
            </w:r>
          </w:p>
        </w:tc>
        <w:tc>
          <w:tcPr>
            <w:tcW w:w="700" w:type="dxa"/>
            <w:tcBorders>
              <w:top w:val="nil"/>
              <w:left w:val="nil"/>
              <w:bottom w:val="nil"/>
              <w:right w:val="nil"/>
            </w:tcBorders>
            <w:shd w:val="clear" w:color="000000" w:fill="006991"/>
            <w:vAlign w:val="center"/>
            <w:hideMark/>
          </w:tcPr>
          <w:p w14:paraId="18154591"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ACT</w:t>
            </w:r>
          </w:p>
        </w:tc>
        <w:tc>
          <w:tcPr>
            <w:tcW w:w="700" w:type="dxa"/>
            <w:tcBorders>
              <w:top w:val="nil"/>
              <w:left w:val="nil"/>
              <w:bottom w:val="nil"/>
              <w:right w:val="nil"/>
            </w:tcBorders>
            <w:shd w:val="clear" w:color="000000" w:fill="006991"/>
            <w:vAlign w:val="center"/>
            <w:hideMark/>
          </w:tcPr>
          <w:p w14:paraId="031A829A"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NT</w:t>
            </w:r>
          </w:p>
        </w:tc>
        <w:tc>
          <w:tcPr>
            <w:tcW w:w="700" w:type="dxa"/>
            <w:tcBorders>
              <w:top w:val="nil"/>
              <w:left w:val="nil"/>
              <w:bottom w:val="nil"/>
              <w:right w:val="nil"/>
            </w:tcBorders>
            <w:shd w:val="clear" w:color="000000" w:fill="006991"/>
            <w:vAlign w:val="center"/>
            <w:hideMark/>
          </w:tcPr>
          <w:p w14:paraId="2B1106E4"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Total</w:t>
            </w:r>
          </w:p>
        </w:tc>
      </w:tr>
      <w:tr w:rsidR="00454F26" w:rsidRPr="00DE1C01" w14:paraId="0370575A" w14:textId="77777777" w:rsidTr="00CA416E">
        <w:trPr>
          <w:trHeight w:val="255"/>
        </w:trPr>
        <w:tc>
          <w:tcPr>
            <w:tcW w:w="2460" w:type="dxa"/>
            <w:tcBorders>
              <w:top w:val="single" w:sz="4" w:space="0" w:color="ADD6EA"/>
              <w:left w:val="nil"/>
              <w:bottom w:val="nil"/>
              <w:right w:val="nil"/>
            </w:tcBorders>
            <w:shd w:val="clear" w:color="000000" w:fill="B6D5E4"/>
            <w:vAlign w:val="bottom"/>
            <w:hideMark/>
          </w:tcPr>
          <w:p w14:paraId="51E3AFB1" w14:textId="77777777" w:rsidR="00454F26" w:rsidRPr="00DE1C01" w:rsidRDefault="00454F26" w:rsidP="0002028C">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 </w:t>
            </w:r>
          </w:p>
        </w:tc>
        <w:tc>
          <w:tcPr>
            <w:tcW w:w="700" w:type="dxa"/>
            <w:tcBorders>
              <w:top w:val="single" w:sz="4" w:space="0" w:color="ADD6EA"/>
              <w:left w:val="nil"/>
              <w:bottom w:val="nil"/>
              <w:right w:val="nil"/>
            </w:tcBorders>
            <w:shd w:val="clear" w:color="000000" w:fill="B6D5E4"/>
            <w:noWrap/>
            <w:vAlign w:val="center"/>
            <w:hideMark/>
          </w:tcPr>
          <w:p w14:paraId="26D7F9CF"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4697523D"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363AD869"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0A8CFD5A"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5DE02AED"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7BDBC001"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3861D482"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1C2259AB"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w:t>
            </w:r>
          </w:p>
        </w:tc>
        <w:tc>
          <w:tcPr>
            <w:tcW w:w="700" w:type="dxa"/>
            <w:tcBorders>
              <w:top w:val="single" w:sz="4" w:space="0" w:color="ADD6EA"/>
              <w:left w:val="nil"/>
              <w:bottom w:val="nil"/>
              <w:right w:val="nil"/>
            </w:tcBorders>
            <w:shd w:val="clear" w:color="000000" w:fill="B6D5E4"/>
            <w:noWrap/>
            <w:vAlign w:val="center"/>
            <w:hideMark/>
          </w:tcPr>
          <w:p w14:paraId="6CD6B1D0" w14:textId="77777777" w:rsidR="00454F26" w:rsidRPr="00DE1C01" w:rsidRDefault="00454F2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w:t>
            </w:r>
          </w:p>
        </w:tc>
      </w:tr>
      <w:tr w:rsidR="00454F26" w:rsidRPr="00442AB8" w14:paraId="33BF78A4" w14:textId="77777777" w:rsidTr="00CA416E">
        <w:trPr>
          <w:trHeight w:val="315"/>
        </w:trPr>
        <w:tc>
          <w:tcPr>
            <w:tcW w:w="2460" w:type="dxa"/>
            <w:tcBorders>
              <w:top w:val="single" w:sz="4" w:space="0" w:color="ADD6EA"/>
              <w:left w:val="nil"/>
              <w:bottom w:val="single" w:sz="4" w:space="0" w:color="ADD6EA"/>
              <w:right w:val="nil"/>
            </w:tcBorders>
            <w:shd w:val="clear" w:color="auto" w:fill="auto"/>
            <w:vAlign w:val="center"/>
            <w:hideMark/>
          </w:tcPr>
          <w:p w14:paraId="07D3C2A2" w14:textId="77777777" w:rsidR="00454F26" w:rsidRPr="00D070A0" w:rsidRDefault="00454F26" w:rsidP="00CA416E">
            <w:pPr>
              <w:keepNext/>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Separations</w:t>
            </w:r>
          </w:p>
        </w:tc>
        <w:tc>
          <w:tcPr>
            <w:tcW w:w="700" w:type="dxa"/>
            <w:tcBorders>
              <w:top w:val="single" w:sz="4" w:space="0" w:color="ADD6EA"/>
              <w:left w:val="nil"/>
              <w:bottom w:val="single" w:sz="4" w:space="0" w:color="ADD6EA"/>
              <w:right w:val="nil"/>
            </w:tcBorders>
            <w:shd w:val="clear" w:color="auto" w:fill="auto"/>
            <w:vAlign w:val="center"/>
            <w:hideMark/>
          </w:tcPr>
          <w:p w14:paraId="61DE7766"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31.3</w:t>
            </w:r>
          </w:p>
        </w:tc>
        <w:tc>
          <w:tcPr>
            <w:tcW w:w="700" w:type="dxa"/>
            <w:tcBorders>
              <w:top w:val="single" w:sz="4" w:space="0" w:color="ADD6EA"/>
              <w:left w:val="nil"/>
              <w:bottom w:val="single" w:sz="4" w:space="0" w:color="ADD6EA"/>
              <w:right w:val="nil"/>
            </w:tcBorders>
            <w:shd w:val="clear" w:color="auto" w:fill="auto"/>
            <w:vAlign w:val="center"/>
            <w:hideMark/>
          </w:tcPr>
          <w:p w14:paraId="2E9766E3"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23.8</w:t>
            </w:r>
          </w:p>
        </w:tc>
        <w:tc>
          <w:tcPr>
            <w:tcW w:w="700" w:type="dxa"/>
            <w:tcBorders>
              <w:top w:val="single" w:sz="4" w:space="0" w:color="ADD6EA"/>
              <w:left w:val="nil"/>
              <w:bottom w:val="single" w:sz="4" w:space="0" w:color="ADD6EA"/>
              <w:right w:val="nil"/>
            </w:tcBorders>
            <w:shd w:val="clear" w:color="auto" w:fill="auto"/>
            <w:vAlign w:val="center"/>
            <w:hideMark/>
          </w:tcPr>
          <w:p w14:paraId="0152DC59"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22.7</w:t>
            </w:r>
          </w:p>
        </w:tc>
        <w:tc>
          <w:tcPr>
            <w:tcW w:w="700" w:type="dxa"/>
            <w:tcBorders>
              <w:top w:val="single" w:sz="4" w:space="0" w:color="ADD6EA"/>
              <w:left w:val="nil"/>
              <w:bottom w:val="single" w:sz="4" w:space="0" w:color="ADD6EA"/>
              <w:right w:val="nil"/>
            </w:tcBorders>
            <w:shd w:val="clear" w:color="auto" w:fill="auto"/>
            <w:vAlign w:val="center"/>
            <w:hideMark/>
          </w:tcPr>
          <w:p w14:paraId="62DBF98D"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10.4</w:t>
            </w:r>
          </w:p>
        </w:tc>
        <w:tc>
          <w:tcPr>
            <w:tcW w:w="700" w:type="dxa"/>
            <w:tcBorders>
              <w:top w:val="single" w:sz="4" w:space="0" w:color="ADD6EA"/>
              <w:left w:val="nil"/>
              <w:bottom w:val="single" w:sz="4" w:space="0" w:color="ADD6EA"/>
              <w:right w:val="nil"/>
            </w:tcBorders>
            <w:shd w:val="clear" w:color="auto" w:fill="auto"/>
            <w:vAlign w:val="center"/>
            <w:hideMark/>
          </w:tcPr>
          <w:p w14:paraId="2C019168"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7.6</w:t>
            </w:r>
          </w:p>
        </w:tc>
        <w:tc>
          <w:tcPr>
            <w:tcW w:w="700" w:type="dxa"/>
            <w:tcBorders>
              <w:top w:val="single" w:sz="4" w:space="0" w:color="ADD6EA"/>
              <w:left w:val="nil"/>
              <w:bottom w:val="single" w:sz="4" w:space="0" w:color="ADD6EA"/>
              <w:right w:val="nil"/>
            </w:tcBorders>
            <w:shd w:val="clear" w:color="auto" w:fill="auto"/>
            <w:vAlign w:val="center"/>
            <w:hideMark/>
          </w:tcPr>
          <w:p w14:paraId="53341966"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2.4</w:t>
            </w:r>
          </w:p>
        </w:tc>
        <w:tc>
          <w:tcPr>
            <w:tcW w:w="700" w:type="dxa"/>
            <w:tcBorders>
              <w:top w:val="single" w:sz="4" w:space="0" w:color="ADD6EA"/>
              <w:left w:val="nil"/>
              <w:bottom w:val="single" w:sz="4" w:space="0" w:color="ADD6EA"/>
              <w:right w:val="nil"/>
            </w:tcBorders>
            <w:shd w:val="clear" w:color="auto" w:fill="auto"/>
            <w:vAlign w:val="center"/>
            <w:hideMark/>
          </w:tcPr>
          <w:p w14:paraId="10BF36FF"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1.3</w:t>
            </w:r>
          </w:p>
        </w:tc>
        <w:tc>
          <w:tcPr>
            <w:tcW w:w="700" w:type="dxa"/>
            <w:tcBorders>
              <w:top w:val="single" w:sz="4" w:space="0" w:color="ADD6EA"/>
              <w:left w:val="nil"/>
              <w:bottom w:val="single" w:sz="4" w:space="0" w:color="ADD6EA"/>
              <w:right w:val="nil"/>
            </w:tcBorders>
            <w:shd w:val="clear" w:color="auto" w:fill="auto"/>
            <w:vAlign w:val="center"/>
            <w:hideMark/>
          </w:tcPr>
          <w:p w14:paraId="12AD9F6B"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0.4</w:t>
            </w:r>
          </w:p>
        </w:tc>
        <w:tc>
          <w:tcPr>
            <w:tcW w:w="700" w:type="dxa"/>
            <w:tcBorders>
              <w:top w:val="single" w:sz="4" w:space="0" w:color="ADD6EA"/>
              <w:left w:val="nil"/>
              <w:bottom w:val="single" w:sz="4" w:space="0" w:color="ADD6EA"/>
              <w:right w:val="nil"/>
            </w:tcBorders>
            <w:shd w:val="clear" w:color="auto" w:fill="auto"/>
            <w:vAlign w:val="center"/>
            <w:hideMark/>
          </w:tcPr>
          <w:p w14:paraId="29C989FD"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100.0</w:t>
            </w:r>
          </w:p>
        </w:tc>
      </w:tr>
      <w:tr w:rsidR="00454F26" w:rsidRPr="00442AB8" w14:paraId="502ECBE3" w14:textId="77777777" w:rsidTr="00CA416E">
        <w:trPr>
          <w:trHeight w:val="315"/>
        </w:trPr>
        <w:tc>
          <w:tcPr>
            <w:tcW w:w="2460" w:type="dxa"/>
            <w:tcBorders>
              <w:top w:val="nil"/>
              <w:left w:val="nil"/>
              <w:bottom w:val="single" w:sz="4" w:space="0" w:color="ADD6EA"/>
              <w:right w:val="nil"/>
            </w:tcBorders>
            <w:shd w:val="clear" w:color="auto" w:fill="auto"/>
            <w:vAlign w:val="center"/>
            <w:hideMark/>
          </w:tcPr>
          <w:p w14:paraId="5383FB3A" w14:textId="3C2F956B" w:rsidR="00454F26" w:rsidRPr="00D070A0" w:rsidRDefault="002E75C2" w:rsidP="00CA416E">
            <w:pPr>
              <w:keepNext/>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E</w:t>
            </w:r>
            <w:r w:rsidR="00454F26" w:rsidRPr="00D070A0">
              <w:rPr>
                <w:rFonts w:eastAsia="Times New Roman" w:cs="Open Sans Light"/>
                <w:color w:val="000000"/>
                <w:sz w:val="16"/>
                <w:szCs w:val="16"/>
                <w:lang w:eastAsia="en-AU"/>
              </w:rPr>
              <w:t>xpenses</w:t>
            </w:r>
          </w:p>
        </w:tc>
        <w:tc>
          <w:tcPr>
            <w:tcW w:w="700" w:type="dxa"/>
            <w:tcBorders>
              <w:top w:val="nil"/>
              <w:left w:val="nil"/>
              <w:bottom w:val="single" w:sz="4" w:space="0" w:color="ADD6EA"/>
              <w:right w:val="nil"/>
            </w:tcBorders>
            <w:shd w:val="clear" w:color="auto" w:fill="auto"/>
            <w:vAlign w:val="center"/>
            <w:hideMark/>
          </w:tcPr>
          <w:p w14:paraId="0949BD23"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30.6</w:t>
            </w:r>
          </w:p>
        </w:tc>
        <w:tc>
          <w:tcPr>
            <w:tcW w:w="700" w:type="dxa"/>
            <w:tcBorders>
              <w:top w:val="nil"/>
              <w:left w:val="nil"/>
              <w:bottom w:val="single" w:sz="4" w:space="0" w:color="ADD6EA"/>
              <w:right w:val="nil"/>
            </w:tcBorders>
            <w:shd w:val="clear" w:color="auto" w:fill="auto"/>
            <w:vAlign w:val="center"/>
            <w:hideMark/>
          </w:tcPr>
          <w:p w14:paraId="6CE98BC1"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23.3</w:t>
            </w:r>
          </w:p>
        </w:tc>
        <w:tc>
          <w:tcPr>
            <w:tcW w:w="700" w:type="dxa"/>
            <w:tcBorders>
              <w:top w:val="nil"/>
              <w:left w:val="nil"/>
              <w:bottom w:val="single" w:sz="4" w:space="0" w:color="ADD6EA"/>
              <w:right w:val="nil"/>
            </w:tcBorders>
            <w:shd w:val="clear" w:color="auto" w:fill="auto"/>
            <w:vAlign w:val="center"/>
            <w:hideMark/>
          </w:tcPr>
          <w:p w14:paraId="56A3531D"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21.4</w:t>
            </w:r>
          </w:p>
        </w:tc>
        <w:tc>
          <w:tcPr>
            <w:tcW w:w="700" w:type="dxa"/>
            <w:tcBorders>
              <w:top w:val="nil"/>
              <w:left w:val="nil"/>
              <w:bottom w:val="single" w:sz="4" w:space="0" w:color="ADD6EA"/>
              <w:right w:val="nil"/>
            </w:tcBorders>
            <w:shd w:val="clear" w:color="auto" w:fill="auto"/>
            <w:vAlign w:val="center"/>
            <w:hideMark/>
          </w:tcPr>
          <w:p w14:paraId="52B85DDE"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12.7</w:t>
            </w:r>
          </w:p>
        </w:tc>
        <w:tc>
          <w:tcPr>
            <w:tcW w:w="700" w:type="dxa"/>
            <w:tcBorders>
              <w:top w:val="nil"/>
              <w:left w:val="nil"/>
              <w:bottom w:val="single" w:sz="4" w:space="0" w:color="ADD6EA"/>
              <w:right w:val="nil"/>
            </w:tcBorders>
            <w:shd w:val="clear" w:color="auto" w:fill="auto"/>
            <w:vAlign w:val="center"/>
            <w:hideMark/>
          </w:tcPr>
          <w:p w14:paraId="05F601CB"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7.9</w:t>
            </w:r>
          </w:p>
        </w:tc>
        <w:tc>
          <w:tcPr>
            <w:tcW w:w="700" w:type="dxa"/>
            <w:tcBorders>
              <w:top w:val="nil"/>
              <w:left w:val="nil"/>
              <w:bottom w:val="single" w:sz="4" w:space="0" w:color="ADD6EA"/>
              <w:right w:val="nil"/>
            </w:tcBorders>
            <w:shd w:val="clear" w:color="auto" w:fill="auto"/>
            <w:vAlign w:val="center"/>
            <w:hideMark/>
          </w:tcPr>
          <w:p w14:paraId="49AF6AB0"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2.3</w:t>
            </w:r>
          </w:p>
        </w:tc>
        <w:tc>
          <w:tcPr>
            <w:tcW w:w="700" w:type="dxa"/>
            <w:tcBorders>
              <w:top w:val="nil"/>
              <w:left w:val="nil"/>
              <w:bottom w:val="single" w:sz="4" w:space="0" w:color="ADD6EA"/>
              <w:right w:val="nil"/>
            </w:tcBorders>
            <w:shd w:val="clear" w:color="auto" w:fill="auto"/>
            <w:vAlign w:val="center"/>
            <w:hideMark/>
          </w:tcPr>
          <w:p w14:paraId="699CC6A4"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1.4</w:t>
            </w:r>
          </w:p>
        </w:tc>
        <w:tc>
          <w:tcPr>
            <w:tcW w:w="700" w:type="dxa"/>
            <w:tcBorders>
              <w:top w:val="nil"/>
              <w:left w:val="nil"/>
              <w:bottom w:val="single" w:sz="4" w:space="0" w:color="ADD6EA"/>
              <w:right w:val="nil"/>
            </w:tcBorders>
            <w:shd w:val="clear" w:color="auto" w:fill="auto"/>
            <w:vAlign w:val="center"/>
            <w:hideMark/>
          </w:tcPr>
          <w:p w14:paraId="3E7D6037"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0.5</w:t>
            </w:r>
          </w:p>
        </w:tc>
        <w:tc>
          <w:tcPr>
            <w:tcW w:w="700" w:type="dxa"/>
            <w:tcBorders>
              <w:top w:val="nil"/>
              <w:left w:val="nil"/>
              <w:bottom w:val="single" w:sz="4" w:space="0" w:color="ADD6EA"/>
              <w:right w:val="nil"/>
            </w:tcBorders>
            <w:shd w:val="clear" w:color="auto" w:fill="auto"/>
            <w:vAlign w:val="center"/>
            <w:hideMark/>
          </w:tcPr>
          <w:p w14:paraId="6AE0E144" w14:textId="77777777" w:rsidR="00454F26" w:rsidRPr="00D070A0" w:rsidRDefault="00454F26" w:rsidP="00CA416E">
            <w:pPr>
              <w:keepNext/>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100.0</w:t>
            </w:r>
          </w:p>
        </w:tc>
      </w:tr>
    </w:tbl>
    <w:p w14:paraId="7BFA6638" w14:textId="3496CBAA" w:rsidR="00595F28" w:rsidRPr="00CB14ED" w:rsidRDefault="00FE7ED2" w:rsidP="0002028C">
      <w:pPr>
        <w:pStyle w:val="CGC2025TableNote"/>
        <w:keepNext/>
      </w:pPr>
      <w:r w:rsidRPr="00CB14ED">
        <w:t xml:space="preserve">Source: Commission calculation using APRA data on </w:t>
      </w:r>
      <w:r w:rsidR="00432634" w:rsidRPr="00CB14ED">
        <w:t>privately insured patient</w:t>
      </w:r>
      <w:r w:rsidRPr="00CB14ED">
        <w:t xml:space="preserve"> separations and expenses.</w:t>
      </w:r>
    </w:p>
    <w:p w14:paraId="68F7A61D" w14:textId="6590C1B0" w:rsidR="007B7480" w:rsidRPr="00CB14ED" w:rsidRDefault="0007076D" w:rsidP="00F729AD">
      <w:pPr>
        <w:pStyle w:val="CGC2025ParaNumbers"/>
      </w:pPr>
      <w:r>
        <w:t xml:space="preserve">Table 10 </w:t>
      </w:r>
      <w:r w:rsidR="007A6B3C" w:rsidRPr="00CB14ED">
        <w:t xml:space="preserve">and </w:t>
      </w:r>
      <w:r>
        <w:t>Figure 5</w:t>
      </w:r>
      <w:r w:rsidR="007A6B3C" w:rsidRPr="00CB14ED">
        <w:t xml:space="preserve"> </w:t>
      </w:r>
      <w:r w:rsidR="00F729AD" w:rsidRPr="00CB14ED">
        <w:t xml:space="preserve">show the </w:t>
      </w:r>
      <w:r w:rsidR="00BC4940" w:rsidRPr="00CB14ED">
        <w:t>difference between assessed and actual activity</w:t>
      </w:r>
      <w:r w:rsidR="004B738B" w:rsidRPr="00CB14ED">
        <w:t xml:space="preserve"> for the alternative measures</w:t>
      </w:r>
      <w:r w:rsidR="008808DC" w:rsidRPr="00CB14ED">
        <w:t xml:space="preserve"> (the non</w:t>
      </w:r>
      <w:r w:rsidR="008808DC" w:rsidRPr="00CB14ED">
        <w:noBreakHyphen/>
        <w:t>state sector adjustment)</w:t>
      </w:r>
      <w:r w:rsidR="00214224" w:rsidRPr="00CB14ED">
        <w:t xml:space="preserve">. </w:t>
      </w:r>
      <w:r w:rsidR="00E549AD" w:rsidRPr="00CB14ED">
        <w:t xml:space="preserve">The choice of indicator </w:t>
      </w:r>
      <w:r w:rsidR="003B0C79" w:rsidRPr="00CB14ED">
        <w:t>would likely result in a</w:t>
      </w:r>
      <w:r w:rsidR="00E549AD" w:rsidRPr="00CB14ED">
        <w:t xml:space="preserve"> material</w:t>
      </w:r>
      <w:r w:rsidR="003B0C79" w:rsidRPr="00CB14ED">
        <w:t xml:space="preserve"> change </w:t>
      </w:r>
      <w:r w:rsidR="00603F6A" w:rsidRPr="00CB14ED">
        <w:t xml:space="preserve">($12 per capita) </w:t>
      </w:r>
      <w:r w:rsidR="003B0C79" w:rsidRPr="00CB14ED">
        <w:t>to the distribution of GST for</w:t>
      </w:r>
      <w:r w:rsidR="00FB4962" w:rsidRPr="00CB14ED">
        <w:t xml:space="preserve"> </w:t>
      </w:r>
      <w:r w:rsidR="00603F6A" w:rsidRPr="00CB14ED">
        <w:t>Queensland</w:t>
      </w:r>
      <w:r w:rsidR="00A8173B" w:rsidRPr="00CB14ED">
        <w:t xml:space="preserve">, </w:t>
      </w:r>
      <w:r w:rsidR="00FB4962" w:rsidRPr="00CB14ED">
        <w:t>Western Australia</w:t>
      </w:r>
      <w:r w:rsidR="009C62EA" w:rsidRPr="00CB14ED">
        <w:t xml:space="preserve">, </w:t>
      </w:r>
      <w:proofErr w:type="gramStart"/>
      <w:r w:rsidR="00FB4962" w:rsidRPr="00CB14ED">
        <w:t>Tasmania</w:t>
      </w:r>
      <w:proofErr w:type="gramEnd"/>
      <w:r w:rsidR="009C62EA" w:rsidRPr="00CB14ED">
        <w:t xml:space="preserve"> and the ACT</w:t>
      </w:r>
      <w:r w:rsidR="00FB4962" w:rsidRPr="00CB14ED">
        <w:t>.</w:t>
      </w:r>
      <w:r w:rsidR="004E3169" w:rsidRPr="00CB14ED">
        <w:t xml:space="preserve"> </w:t>
      </w:r>
    </w:p>
    <w:p w14:paraId="5F29BEBF" w14:textId="6E0BB226" w:rsidR="00F07DEC" w:rsidRPr="00CB14ED" w:rsidRDefault="00F07DEC" w:rsidP="007E48DE">
      <w:pPr>
        <w:pStyle w:val="CGC2025Caption"/>
        <w:ind w:left="1134" w:hanging="1134"/>
      </w:pPr>
      <w:bookmarkStart w:id="64" w:name="_Ref158037025"/>
      <w:r w:rsidRPr="00CB14ED">
        <w:t xml:space="preserve">Table </w:t>
      </w:r>
      <w:r>
        <w:fldChar w:fldCharType="begin"/>
      </w:r>
      <w:r>
        <w:instrText>SEQ Table \* ARABIC</w:instrText>
      </w:r>
      <w:r>
        <w:fldChar w:fldCharType="separate"/>
      </w:r>
      <w:r w:rsidR="00581B01">
        <w:rPr>
          <w:noProof/>
        </w:rPr>
        <w:t>10</w:t>
      </w:r>
      <w:r>
        <w:fldChar w:fldCharType="end"/>
      </w:r>
      <w:bookmarkEnd w:id="64"/>
      <w:r w:rsidR="003C55C3" w:rsidRPr="00CB14ED">
        <w:tab/>
      </w:r>
      <w:r w:rsidR="00470F3E" w:rsidRPr="00CB14ED">
        <w:t>Admitted patient n</w:t>
      </w:r>
      <w:r w:rsidR="00D635A4" w:rsidRPr="00CB14ED">
        <w:t>on-state sector adjustment</w:t>
      </w:r>
      <w:r w:rsidR="0034194E" w:rsidRPr="00CB14ED">
        <w:t>: alternative indicators</w:t>
      </w:r>
      <w:r w:rsidR="0015697A" w:rsidRPr="00CB14ED">
        <w:t>, 2021</w:t>
      </w:r>
      <w:r w:rsidR="00A87E82">
        <w:t>–</w:t>
      </w:r>
      <w:proofErr w:type="gramStart"/>
      <w:r w:rsidR="0015697A" w:rsidRPr="00CB14ED">
        <w:t>22</w:t>
      </w:r>
      <w:proofErr w:type="gramEnd"/>
    </w:p>
    <w:tbl>
      <w:tblPr>
        <w:tblW w:w="8942" w:type="dxa"/>
        <w:tblLook w:val="04A0" w:firstRow="1" w:lastRow="0" w:firstColumn="1" w:lastColumn="0" w:noHBand="0" w:noVBand="1"/>
      </w:tblPr>
      <w:tblGrid>
        <w:gridCol w:w="2510"/>
        <w:gridCol w:w="714"/>
        <w:gridCol w:w="714"/>
        <w:gridCol w:w="714"/>
        <w:gridCol w:w="715"/>
        <w:gridCol w:w="715"/>
        <w:gridCol w:w="715"/>
        <w:gridCol w:w="715"/>
        <w:gridCol w:w="715"/>
        <w:gridCol w:w="715"/>
      </w:tblGrid>
      <w:tr w:rsidR="00C924D6" w:rsidRPr="00DE1C01" w14:paraId="1FFF0EC5" w14:textId="77777777" w:rsidTr="00CA416E">
        <w:trPr>
          <w:trHeight w:val="375"/>
        </w:trPr>
        <w:tc>
          <w:tcPr>
            <w:tcW w:w="2460" w:type="dxa"/>
            <w:tcBorders>
              <w:top w:val="nil"/>
              <w:left w:val="nil"/>
              <w:bottom w:val="nil"/>
              <w:right w:val="nil"/>
            </w:tcBorders>
            <w:shd w:val="clear" w:color="000000" w:fill="006991"/>
            <w:vAlign w:val="bottom"/>
            <w:hideMark/>
          </w:tcPr>
          <w:p w14:paraId="68ABE281" w14:textId="77777777" w:rsidR="00C924D6" w:rsidRPr="00DE1C01" w:rsidRDefault="00C924D6" w:rsidP="00C924D6">
            <w:pPr>
              <w:tabs>
                <w:tab w:val="clear" w:pos="567"/>
              </w:tabs>
              <w:spacing w:before="0" w:line="240" w:lineRule="auto"/>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 </w:t>
            </w:r>
          </w:p>
        </w:tc>
        <w:tc>
          <w:tcPr>
            <w:tcW w:w="700" w:type="dxa"/>
            <w:tcBorders>
              <w:top w:val="nil"/>
              <w:left w:val="nil"/>
              <w:bottom w:val="nil"/>
              <w:right w:val="nil"/>
            </w:tcBorders>
            <w:shd w:val="clear" w:color="000000" w:fill="006991"/>
            <w:vAlign w:val="center"/>
            <w:hideMark/>
          </w:tcPr>
          <w:p w14:paraId="251D6913"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NSW</w:t>
            </w:r>
          </w:p>
        </w:tc>
        <w:tc>
          <w:tcPr>
            <w:tcW w:w="700" w:type="dxa"/>
            <w:tcBorders>
              <w:top w:val="nil"/>
              <w:left w:val="nil"/>
              <w:bottom w:val="nil"/>
              <w:right w:val="nil"/>
            </w:tcBorders>
            <w:shd w:val="clear" w:color="000000" w:fill="006991"/>
            <w:vAlign w:val="center"/>
            <w:hideMark/>
          </w:tcPr>
          <w:p w14:paraId="7454BB31"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Vic</w:t>
            </w:r>
          </w:p>
        </w:tc>
        <w:tc>
          <w:tcPr>
            <w:tcW w:w="700" w:type="dxa"/>
            <w:tcBorders>
              <w:top w:val="nil"/>
              <w:left w:val="nil"/>
              <w:bottom w:val="nil"/>
              <w:right w:val="nil"/>
            </w:tcBorders>
            <w:shd w:val="clear" w:color="000000" w:fill="006991"/>
            <w:vAlign w:val="center"/>
            <w:hideMark/>
          </w:tcPr>
          <w:p w14:paraId="719E36F7"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Qld</w:t>
            </w:r>
          </w:p>
        </w:tc>
        <w:tc>
          <w:tcPr>
            <w:tcW w:w="700" w:type="dxa"/>
            <w:tcBorders>
              <w:top w:val="nil"/>
              <w:left w:val="nil"/>
              <w:bottom w:val="nil"/>
              <w:right w:val="nil"/>
            </w:tcBorders>
            <w:shd w:val="clear" w:color="000000" w:fill="006991"/>
            <w:vAlign w:val="center"/>
            <w:hideMark/>
          </w:tcPr>
          <w:p w14:paraId="5DAF9EC9"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WA</w:t>
            </w:r>
          </w:p>
        </w:tc>
        <w:tc>
          <w:tcPr>
            <w:tcW w:w="700" w:type="dxa"/>
            <w:tcBorders>
              <w:top w:val="nil"/>
              <w:left w:val="nil"/>
              <w:bottom w:val="nil"/>
              <w:right w:val="nil"/>
            </w:tcBorders>
            <w:shd w:val="clear" w:color="000000" w:fill="006991"/>
            <w:vAlign w:val="center"/>
            <w:hideMark/>
          </w:tcPr>
          <w:p w14:paraId="356B6501"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SA</w:t>
            </w:r>
          </w:p>
        </w:tc>
        <w:tc>
          <w:tcPr>
            <w:tcW w:w="700" w:type="dxa"/>
            <w:tcBorders>
              <w:top w:val="nil"/>
              <w:left w:val="nil"/>
              <w:bottom w:val="nil"/>
              <w:right w:val="nil"/>
            </w:tcBorders>
            <w:shd w:val="clear" w:color="000000" w:fill="006991"/>
            <w:vAlign w:val="center"/>
            <w:hideMark/>
          </w:tcPr>
          <w:p w14:paraId="740EA4FC"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Tas</w:t>
            </w:r>
          </w:p>
        </w:tc>
        <w:tc>
          <w:tcPr>
            <w:tcW w:w="700" w:type="dxa"/>
            <w:tcBorders>
              <w:top w:val="nil"/>
              <w:left w:val="nil"/>
              <w:bottom w:val="nil"/>
              <w:right w:val="nil"/>
            </w:tcBorders>
            <w:shd w:val="clear" w:color="000000" w:fill="006991"/>
            <w:vAlign w:val="center"/>
            <w:hideMark/>
          </w:tcPr>
          <w:p w14:paraId="70DC5EA4"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ACT</w:t>
            </w:r>
          </w:p>
        </w:tc>
        <w:tc>
          <w:tcPr>
            <w:tcW w:w="700" w:type="dxa"/>
            <w:tcBorders>
              <w:top w:val="nil"/>
              <w:left w:val="nil"/>
              <w:bottom w:val="nil"/>
              <w:right w:val="nil"/>
            </w:tcBorders>
            <w:shd w:val="clear" w:color="000000" w:fill="006991"/>
            <w:vAlign w:val="center"/>
            <w:hideMark/>
          </w:tcPr>
          <w:p w14:paraId="5127A699"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NT</w:t>
            </w:r>
          </w:p>
        </w:tc>
        <w:tc>
          <w:tcPr>
            <w:tcW w:w="700" w:type="dxa"/>
            <w:tcBorders>
              <w:top w:val="nil"/>
              <w:left w:val="nil"/>
              <w:bottom w:val="nil"/>
              <w:right w:val="nil"/>
            </w:tcBorders>
            <w:shd w:val="clear" w:color="000000" w:fill="006991"/>
            <w:vAlign w:val="center"/>
            <w:hideMark/>
          </w:tcPr>
          <w:p w14:paraId="792F2082"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E1C01">
              <w:rPr>
                <w:rFonts w:ascii="Open Sans Semibold" w:eastAsia="Times New Roman" w:hAnsi="Open Sans Semibold" w:cs="Open Sans Semibold"/>
                <w:color w:val="FFFFFF"/>
                <w:sz w:val="16"/>
                <w:szCs w:val="16"/>
                <w:lang w:eastAsia="en-AU"/>
              </w:rPr>
              <w:t>Total</w:t>
            </w:r>
          </w:p>
        </w:tc>
      </w:tr>
      <w:tr w:rsidR="00C924D6" w:rsidRPr="00DE1C01" w14:paraId="39F68471" w14:textId="77777777" w:rsidTr="00CA416E">
        <w:trPr>
          <w:trHeight w:val="255"/>
        </w:trPr>
        <w:tc>
          <w:tcPr>
            <w:tcW w:w="2460" w:type="dxa"/>
            <w:tcBorders>
              <w:top w:val="single" w:sz="4" w:space="0" w:color="ADD6EA"/>
              <w:left w:val="nil"/>
              <w:bottom w:val="nil"/>
              <w:right w:val="nil"/>
            </w:tcBorders>
            <w:shd w:val="clear" w:color="000000" w:fill="B6D5E4"/>
            <w:vAlign w:val="bottom"/>
            <w:hideMark/>
          </w:tcPr>
          <w:p w14:paraId="16E652A4" w14:textId="77777777" w:rsidR="00C924D6" w:rsidRPr="00DE1C01" w:rsidRDefault="00C924D6" w:rsidP="00C924D6">
            <w:pPr>
              <w:tabs>
                <w:tab w:val="clear" w:pos="567"/>
              </w:tabs>
              <w:spacing w:before="0" w:line="240" w:lineRule="auto"/>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 </w:t>
            </w:r>
          </w:p>
        </w:tc>
        <w:tc>
          <w:tcPr>
            <w:tcW w:w="700" w:type="dxa"/>
            <w:tcBorders>
              <w:top w:val="single" w:sz="4" w:space="0" w:color="ADD6EA"/>
              <w:left w:val="nil"/>
              <w:bottom w:val="nil"/>
              <w:right w:val="nil"/>
            </w:tcBorders>
            <w:shd w:val="clear" w:color="000000" w:fill="B6D5E4"/>
            <w:noWrap/>
            <w:vAlign w:val="center"/>
            <w:hideMark/>
          </w:tcPr>
          <w:p w14:paraId="1CFD2476"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366C9643"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7ECD688B"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2930A564"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4A45C1C6"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7127979A"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16EFE483"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0C1E28EB"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7C14831A" w14:textId="77777777" w:rsidR="00C924D6" w:rsidRPr="00DE1C01"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E1C01">
              <w:rPr>
                <w:rFonts w:ascii="Open Sans Semibold" w:eastAsia="Times New Roman" w:hAnsi="Open Sans Semibold" w:cs="Open Sans Semibold"/>
                <w:color w:val="000000"/>
                <w:sz w:val="16"/>
                <w:szCs w:val="16"/>
                <w:lang w:eastAsia="en-AU"/>
              </w:rPr>
              <w:t>$m</w:t>
            </w:r>
          </w:p>
        </w:tc>
      </w:tr>
      <w:tr w:rsidR="00C924D6" w:rsidRPr="00442AB8" w14:paraId="777F7B8B" w14:textId="77777777" w:rsidTr="00CA416E">
        <w:trPr>
          <w:trHeight w:val="300"/>
        </w:trPr>
        <w:tc>
          <w:tcPr>
            <w:tcW w:w="2460" w:type="dxa"/>
            <w:tcBorders>
              <w:top w:val="single" w:sz="4" w:space="0" w:color="ADD6EA"/>
              <w:left w:val="nil"/>
              <w:bottom w:val="single" w:sz="4" w:space="0" w:color="ADD6EA"/>
              <w:right w:val="nil"/>
            </w:tcBorders>
            <w:shd w:val="clear" w:color="auto" w:fill="auto"/>
            <w:vAlign w:val="center"/>
            <w:hideMark/>
          </w:tcPr>
          <w:p w14:paraId="4143B09A" w14:textId="77777777" w:rsidR="00C924D6" w:rsidRPr="00D070A0" w:rsidRDefault="00C924D6" w:rsidP="00CA416E">
            <w:pPr>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Separations</w:t>
            </w:r>
          </w:p>
        </w:tc>
        <w:tc>
          <w:tcPr>
            <w:tcW w:w="700" w:type="dxa"/>
            <w:tcBorders>
              <w:top w:val="single" w:sz="4" w:space="0" w:color="ADD6EA"/>
              <w:left w:val="nil"/>
              <w:bottom w:val="single" w:sz="4" w:space="0" w:color="ADD6EA"/>
              <w:right w:val="nil"/>
            </w:tcBorders>
            <w:shd w:val="clear" w:color="auto" w:fill="auto"/>
            <w:vAlign w:val="center"/>
            <w:hideMark/>
          </w:tcPr>
          <w:p w14:paraId="5CDADDB5"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99</w:t>
            </w:r>
          </w:p>
        </w:tc>
        <w:tc>
          <w:tcPr>
            <w:tcW w:w="700" w:type="dxa"/>
            <w:tcBorders>
              <w:top w:val="single" w:sz="4" w:space="0" w:color="ADD6EA"/>
              <w:left w:val="nil"/>
              <w:bottom w:val="single" w:sz="4" w:space="0" w:color="ADD6EA"/>
              <w:right w:val="nil"/>
            </w:tcBorders>
            <w:shd w:val="clear" w:color="auto" w:fill="auto"/>
            <w:vAlign w:val="center"/>
            <w:hideMark/>
          </w:tcPr>
          <w:p w14:paraId="537859D2"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207</w:t>
            </w:r>
          </w:p>
        </w:tc>
        <w:tc>
          <w:tcPr>
            <w:tcW w:w="700" w:type="dxa"/>
            <w:tcBorders>
              <w:top w:val="single" w:sz="4" w:space="0" w:color="ADD6EA"/>
              <w:left w:val="nil"/>
              <w:bottom w:val="single" w:sz="4" w:space="0" w:color="ADD6EA"/>
              <w:right w:val="nil"/>
            </w:tcBorders>
            <w:shd w:val="clear" w:color="auto" w:fill="auto"/>
            <w:vAlign w:val="center"/>
            <w:hideMark/>
          </w:tcPr>
          <w:p w14:paraId="4B1AAACD"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-305</w:t>
            </w:r>
          </w:p>
        </w:tc>
        <w:tc>
          <w:tcPr>
            <w:tcW w:w="700" w:type="dxa"/>
            <w:tcBorders>
              <w:top w:val="single" w:sz="4" w:space="0" w:color="ADD6EA"/>
              <w:left w:val="nil"/>
              <w:bottom w:val="single" w:sz="4" w:space="0" w:color="ADD6EA"/>
              <w:right w:val="nil"/>
            </w:tcBorders>
            <w:shd w:val="clear" w:color="auto" w:fill="auto"/>
            <w:vAlign w:val="center"/>
            <w:hideMark/>
          </w:tcPr>
          <w:p w14:paraId="59174852"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22</w:t>
            </w:r>
          </w:p>
        </w:tc>
        <w:tc>
          <w:tcPr>
            <w:tcW w:w="700" w:type="dxa"/>
            <w:tcBorders>
              <w:top w:val="single" w:sz="4" w:space="0" w:color="ADD6EA"/>
              <w:left w:val="nil"/>
              <w:bottom w:val="single" w:sz="4" w:space="0" w:color="ADD6EA"/>
              <w:right w:val="nil"/>
            </w:tcBorders>
            <w:shd w:val="clear" w:color="auto" w:fill="auto"/>
            <w:vAlign w:val="center"/>
            <w:hideMark/>
          </w:tcPr>
          <w:p w14:paraId="6D3E676D"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-38</w:t>
            </w:r>
          </w:p>
        </w:tc>
        <w:tc>
          <w:tcPr>
            <w:tcW w:w="700" w:type="dxa"/>
            <w:tcBorders>
              <w:top w:val="single" w:sz="4" w:space="0" w:color="ADD6EA"/>
              <w:left w:val="nil"/>
              <w:bottom w:val="single" w:sz="4" w:space="0" w:color="ADD6EA"/>
              <w:right w:val="nil"/>
            </w:tcBorders>
            <w:shd w:val="clear" w:color="auto" w:fill="auto"/>
            <w:vAlign w:val="center"/>
            <w:hideMark/>
          </w:tcPr>
          <w:p w14:paraId="0E12A12F"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-44</w:t>
            </w:r>
          </w:p>
        </w:tc>
        <w:tc>
          <w:tcPr>
            <w:tcW w:w="700" w:type="dxa"/>
            <w:tcBorders>
              <w:top w:val="single" w:sz="4" w:space="0" w:color="ADD6EA"/>
              <w:left w:val="nil"/>
              <w:bottom w:val="single" w:sz="4" w:space="0" w:color="ADD6EA"/>
              <w:right w:val="nil"/>
            </w:tcBorders>
            <w:shd w:val="clear" w:color="auto" w:fill="auto"/>
            <w:vAlign w:val="center"/>
            <w:hideMark/>
          </w:tcPr>
          <w:p w14:paraId="7BBE40CB"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65</w:t>
            </w:r>
          </w:p>
        </w:tc>
        <w:tc>
          <w:tcPr>
            <w:tcW w:w="700" w:type="dxa"/>
            <w:tcBorders>
              <w:top w:val="single" w:sz="4" w:space="0" w:color="ADD6EA"/>
              <w:left w:val="nil"/>
              <w:bottom w:val="single" w:sz="4" w:space="0" w:color="ADD6EA"/>
              <w:right w:val="nil"/>
            </w:tcBorders>
            <w:shd w:val="clear" w:color="auto" w:fill="auto"/>
            <w:vAlign w:val="center"/>
            <w:hideMark/>
          </w:tcPr>
          <w:p w14:paraId="4CC898D7"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-7</w:t>
            </w:r>
          </w:p>
        </w:tc>
        <w:tc>
          <w:tcPr>
            <w:tcW w:w="700" w:type="dxa"/>
            <w:tcBorders>
              <w:top w:val="single" w:sz="4" w:space="0" w:color="ADD6EA"/>
              <w:left w:val="nil"/>
              <w:bottom w:val="single" w:sz="4" w:space="0" w:color="ADD6EA"/>
              <w:right w:val="nil"/>
            </w:tcBorders>
            <w:shd w:val="clear" w:color="auto" w:fill="auto"/>
            <w:vAlign w:val="center"/>
            <w:hideMark/>
          </w:tcPr>
          <w:p w14:paraId="469C5BED"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w:t>
            </w:r>
          </w:p>
        </w:tc>
      </w:tr>
      <w:tr w:rsidR="00C924D6" w:rsidRPr="00442AB8" w14:paraId="597BC19C" w14:textId="77777777" w:rsidTr="00CA416E">
        <w:trPr>
          <w:trHeight w:val="300"/>
        </w:trPr>
        <w:tc>
          <w:tcPr>
            <w:tcW w:w="2460" w:type="dxa"/>
            <w:tcBorders>
              <w:top w:val="nil"/>
              <w:left w:val="nil"/>
              <w:bottom w:val="single" w:sz="4" w:space="0" w:color="ADD6EA"/>
              <w:right w:val="nil"/>
            </w:tcBorders>
            <w:shd w:val="clear" w:color="auto" w:fill="auto"/>
            <w:vAlign w:val="center"/>
            <w:hideMark/>
          </w:tcPr>
          <w:p w14:paraId="70B38BA3" w14:textId="77777777" w:rsidR="00C924D6" w:rsidRPr="00D070A0" w:rsidRDefault="00C924D6" w:rsidP="00CA416E">
            <w:pPr>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Expenses</w:t>
            </w:r>
          </w:p>
        </w:tc>
        <w:tc>
          <w:tcPr>
            <w:tcW w:w="700" w:type="dxa"/>
            <w:tcBorders>
              <w:top w:val="nil"/>
              <w:left w:val="nil"/>
              <w:bottom w:val="single" w:sz="4" w:space="0" w:color="ADD6EA"/>
              <w:right w:val="nil"/>
            </w:tcBorders>
            <w:shd w:val="clear" w:color="auto" w:fill="auto"/>
            <w:vAlign w:val="center"/>
            <w:hideMark/>
          </w:tcPr>
          <w:p w14:paraId="3300EE11"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152</w:t>
            </w:r>
          </w:p>
        </w:tc>
        <w:tc>
          <w:tcPr>
            <w:tcW w:w="700" w:type="dxa"/>
            <w:tcBorders>
              <w:top w:val="nil"/>
              <w:left w:val="nil"/>
              <w:bottom w:val="single" w:sz="4" w:space="0" w:color="ADD6EA"/>
              <w:right w:val="nil"/>
            </w:tcBorders>
            <w:shd w:val="clear" w:color="auto" w:fill="auto"/>
            <w:vAlign w:val="center"/>
            <w:hideMark/>
          </w:tcPr>
          <w:p w14:paraId="45B9D3C6"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239</w:t>
            </w:r>
          </w:p>
        </w:tc>
        <w:tc>
          <w:tcPr>
            <w:tcW w:w="700" w:type="dxa"/>
            <w:tcBorders>
              <w:top w:val="nil"/>
              <w:left w:val="nil"/>
              <w:bottom w:val="single" w:sz="4" w:space="0" w:color="ADD6EA"/>
              <w:right w:val="nil"/>
            </w:tcBorders>
            <w:shd w:val="clear" w:color="auto" w:fill="auto"/>
            <w:vAlign w:val="center"/>
            <w:hideMark/>
          </w:tcPr>
          <w:p w14:paraId="04FE255B"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-166</w:t>
            </w:r>
          </w:p>
        </w:tc>
        <w:tc>
          <w:tcPr>
            <w:tcW w:w="700" w:type="dxa"/>
            <w:tcBorders>
              <w:top w:val="nil"/>
              <w:left w:val="nil"/>
              <w:bottom w:val="single" w:sz="4" w:space="0" w:color="ADD6EA"/>
              <w:right w:val="nil"/>
            </w:tcBorders>
            <w:shd w:val="clear" w:color="auto" w:fill="auto"/>
            <w:vAlign w:val="center"/>
            <w:hideMark/>
          </w:tcPr>
          <w:p w14:paraId="24EBC00B"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-194</w:t>
            </w:r>
          </w:p>
        </w:tc>
        <w:tc>
          <w:tcPr>
            <w:tcW w:w="700" w:type="dxa"/>
            <w:tcBorders>
              <w:top w:val="nil"/>
              <w:left w:val="nil"/>
              <w:bottom w:val="single" w:sz="4" w:space="0" w:color="ADD6EA"/>
              <w:right w:val="nil"/>
            </w:tcBorders>
            <w:shd w:val="clear" w:color="auto" w:fill="auto"/>
            <w:vAlign w:val="center"/>
            <w:hideMark/>
          </w:tcPr>
          <w:p w14:paraId="03333161"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-58</w:t>
            </w:r>
          </w:p>
        </w:tc>
        <w:tc>
          <w:tcPr>
            <w:tcW w:w="700" w:type="dxa"/>
            <w:tcBorders>
              <w:top w:val="nil"/>
              <w:left w:val="nil"/>
              <w:bottom w:val="single" w:sz="4" w:space="0" w:color="ADD6EA"/>
              <w:right w:val="nil"/>
            </w:tcBorders>
            <w:shd w:val="clear" w:color="auto" w:fill="auto"/>
            <w:vAlign w:val="center"/>
            <w:hideMark/>
          </w:tcPr>
          <w:p w14:paraId="5DF9FF5F"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-15</w:t>
            </w:r>
          </w:p>
        </w:tc>
        <w:tc>
          <w:tcPr>
            <w:tcW w:w="700" w:type="dxa"/>
            <w:tcBorders>
              <w:top w:val="nil"/>
              <w:left w:val="nil"/>
              <w:bottom w:val="single" w:sz="4" w:space="0" w:color="ADD6EA"/>
              <w:right w:val="nil"/>
            </w:tcBorders>
            <w:shd w:val="clear" w:color="auto" w:fill="auto"/>
            <w:vAlign w:val="center"/>
            <w:hideMark/>
          </w:tcPr>
          <w:p w14:paraId="5AC6D500"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51</w:t>
            </w:r>
          </w:p>
        </w:tc>
        <w:tc>
          <w:tcPr>
            <w:tcW w:w="700" w:type="dxa"/>
            <w:tcBorders>
              <w:top w:val="nil"/>
              <w:left w:val="nil"/>
              <w:bottom w:val="single" w:sz="4" w:space="0" w:color="ADD6EA"/>
              <w:right w:val="nil"/>
            </w:tcBorders>
            <w:shd w:val="clear" w:color="auto" w:fill="auto"/>
            <w:vAlign w:val="center"/>
            <w:hideMark/>
          </w:tcPr>
          <w:p w14:paraId="18E64AA7"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-8</w:t>
            </w:r>
          </w:p>
        </w:tc>
        <w:tc>
          <w:tcPr>
            <w:tcW w:w="700" w:type="dxa"/>
            <w:tcBorders>
              <w:top w:val="nil"/>
              <w:left w:val="nil"/>
              <w:bottom w:val="single" w:sz="4" w:space="0" w:color="ADD6EA"/>
              <w:right w:val="nil"/>
            </w:tcBorders>
            <w:shd w:val="clear" w:color="auto" w:fill="auto"/>
            <w:vAlign w:val="center"/>
            <w:hideMark/>
          </w:tcPr>
          <w:p w14:paraId="55CAA07D"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w:t>
            </w:r>
          </w:p>
        </w:tc>
      </w:tr>
      <w:tr w:rsidR="00C924D6" w:rsidRPr="00442AB8" w14:paraId="5F6574C0" w14:textId="77777777" w:rsidTr="00CA416E">
        <w:trPr>
          <w:trHeight w:val="255"/>
        </w:trPr>
        <w:tc>
          <w:tcPr>
            <w:tcW w:w="2460" w:type="dxa"/>
            <w:tcBorders>
              <w:top w:val="nil"/>
              <w:left w:val="nil"/>
              <w:bottom w:val="nil"/>
              <w:right w:val="nil"/>
            </w:tcBorders>
            <w:shd w:val="clear" w:color="000000" w:fill="B6D5E4"/>
            <w:vAlign w:val="center"/>
            <w:hideMark/>
          </w:tcPr>
          <w:p w14:paraId="7BBF7494" w14:textId="77777777" w:rsidR="00C924D6" w:rsidRPr="00D070A0" w:rsidRDefault="00C924D6" w:rsidP="00CA416E">
            <w:pPr>
              <w:tabs>
                <w:tab w:val="clear" w:pos="567"/>
              </w:tabs>
              <w:spacing w:before="0" w:line="240" w:lineRule="auto"/>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 </w:t>
            </w:r>
          </w:p>
        </w:tc>
        <w:tc>
          <w:tcPr>
            <w:tcW w:w="700" w:type="dxa"/>
            <w:tcBorders>
              <w:top w:val="nil"/>
              <w:left w:val="nil"/>
              <w:bottom w:val="nil"/>
              <w:right w:val="nil"/>
            </w:tcBorders>
            <w:shd w:val="clear" w:color="000000" w:fill="B6D5E4"/>
            <w:noWrap/>
            <w:vAlign w:val="center"/>
            <w:hideMark/>
          </w:tcPr>
          <w:p w14:paraId="7AE85C14" w14:textId="77777777" w:rsidR="00C924D6" w:rsidRPr="00D070A0"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$pc</w:t>
            </w:r>
          </w:p>
        </w:tc>
        <w:tc>
          <w:tcPr>
            <w:tcW w:w="700" w:type="dxa"/>
            <w:tcBorders>
              <w:top w:val="nil"/>
              <w:left w:val="nil"/>
              <w:bottom w:val="nil"/>
              <w:right w:val="nil"/>
            </w:tcBorders>
            <w:shd w:val="clear" w:color="000000" w:fill="B6D5E4"/>
            <w:noWrap/>
            <w:vAlign w:val="center"/>
            <w:hideMark/>
          </w:tcPr>
          <w:p w14:paraId="3F217775" w14:textId="77777777" w:rsidR="00C924D6" w:rsidRPr="00D070A0"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$pc</w:t>
            </w:r>
          </w:p>
        </w:tc>
        <w:tc>
          <w:tcPr>
            <w:tcW w:w="700" w:type="dxa"/>
            <w:tcBorders>
              <w:top w:val="nil"/>
              <w:left w:val="nil"/>
              <w:bottom w:val="nil"/>
              <w:right w:val="nil"/>
            </w:tcBorders>
            <w:shd w:val="clear" w:color="000000" w:fill="B6D5E4"/>
            <w:noWrap/>
            <w:vAlign w:val="center"/>
            <w:hideMark/>
          </w:tcPr>
          <w:p w14:paraId="01F097A7" w14:textId="77777777" w:rsidR="00C924D6" w:rsidRPr="00D070A0"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$pc</w:t>
            </w:r>
          </w:p>
        </w:tc>
        <w:tc>
          <w:tcPr>
            <w:tcW w:w="700" w:type="dxa"/>
            <w:tcBorders>
              <w:top w:val="nil"/>
              <w:left w:val="nil"/>
              <w:bottom w:val="nil"/>
              <w:right w:val="nil"/>
            </w:tcBorders>
            <w:shd w:val="clear" w:color="000000" w:fill="B6D5E4"/>
            <w:noWrap/>
            <w:vAlign w:val="center"/>
            <w:hideMark/>
          </w:tcPr>
          <w:p w14:paraId="05F69479" w14:textId="77777777" w:rsidR="00C924D6" w:rsidRPr="00D070A0"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$pc</w:t>
            </w:r>
          </w:p>
        </w:tc>
        <w:tc>
          <w:tcPr>
            <w:tcW w:w="700" w:type="dxa"/>
            <w:tcBorders>
              <w:top w:val="nil"/>
              <w:left w:val="nil"/>
              <w:bottom w:val="nil"/>
              <w:right w:val="nil"/>
            </w:tcBorders>
            <w:shd w:val="clear" w:color="000000" w:fill="B6D5E4"/>
            <w:noWrap/>
            <w:vAlign w:val="center"/>
            <w:hideMark/>
          </w:tcPr>
          <w:p w14:paraId="5FAA9F47" w14:textId="77777777" w:rsidR="00C924D6" w:rsidRPr="00D070A0"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$pc</w:t>
            </w:r>
          </w:p>
        </w:tc>
        <w:tc>
          <w:tcPr>
            <w:tcW w:w="700" w:type="dxa"/>
            <w:tcBorders>
              <w:top w:val="nil"/>
              <w:left w:val="nil"/>
              <w:bottom w:val="nil"/>
              <w:right w:val="nil"/>
            </w:tcBorders>
            <w:shd w:val="clear" w:color="000000" w:fill="B6D5E4"/>
            <w:noWrap/>
            <w:vAlign w:val="center"/>
            <w:hideMark/>
          </w:tcPr>
          <w:p w14:paraId="2FAD55E7" w14:textId="77777777" w:rsidR="00C924D6" w:rsidRPr="00D070A0"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$pc</w:t>
            </w:r>
          </w:p>
        </w:tc>
        <w:tc>
          <w:tcPr>
            <w:tcW w:w="700" w:type="dxa"/>
            <w:tcBorders>
              <w:top w:val="nil"/>
              <w:left w:val="nil"/>
              <w:bottom w:val="nil"/>
              <w:right w:val="nil"/>
            </w:tcBorders>
            <w:shd w:val="clear" w:color="000000" w:fill="B6D5E4"/>
            <w:noWrap/>
            <w:vAlign w:val="center"/>
            <w:hideMark/>
          </w:tcPr>
          <w:p w14:paraId="27C557C9" w14:textId="77777777" w:rsidR="00C924D6" w:rsidRPr="00D070A0"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$pc</w:t>
            </w:r>
          </w:p>
        </w:tc>
        <w:tc>
          <w:tcPr>
            <w:tcW w:w="700" w:type="dxa"/>
            <w:tcBorders>
              <w:top w:val="nil"/>
              <w:left w:val="nil"/>
              <w:bottom w:val="nil"/>
              <w:right w:val="nil"/>
            </w:tcBorders>
            <w:shd w:val="clear" w:color="000000" w:fill="B6D5E4"/>
            <w:noWrap/>
            <w:vAlign w:val="center"/>
            <w:hideMark/>
          </w:tcPr>
          <w:p w14:paraId="58C57DD4" w14:textId="77777777" w:rsidR="00C924D6" w:rsidRPr="00D070A0"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$pc</w:t>
            </w:r>
          </w:p>
        </w:tc>
        <w:tc>
          <w:tcPr>
            <w:tcW w:w="700" w:type="dxa"/>
            <w:tcBorders>
              <w:top w:val="nil"/>
              <w:left w:val="nil"/>
              <w:bottom w:val="nil"/>
              <w:right w:val="nil"/>
            </w:tcBorders>
            <w:shd w:val="clear" w:color="000000" w:fill="B6D5E4"/>
            <w:noWrap/>
            <w:vAlign w:val="center"/>
            <w:hideMark/>
          </w:tcPr>
          <w:p w14:paraId="2B79169E" w14:textId="77777777" w:rsidR="00C924D6" w:rsidRPr="00D070A0" w:rsidRDefault="00C924D6"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70A0">
              <w:rPr>
                <w:rFonts w:ascii="Open Sans Semibold" w:eastAsia="Times New Roman" w:hAnsi="Open Sans Semibold" w:cs="Open Sans Semibold"/>
                <w:color w:val="000000"/>
                <w:sz w:val="16"/>
                <w:szCs w:val="16"/>
                <w:lang w:eastAsia="en-AU"/>
              </w:rPr>
              <w:t>$pc</w:t>
            </w:r>
          </w:p>
        </w:tc>
      </w:tr>
      <w:tr w:rsidR="00C924D6" w:rsidRPr="00442AB8" w14:paraId="1DB7EA72" w14:textId="77777777" w:rsidTr="00CA416E">
        <w:trPr>
          <w:trHeight w:val="300"/>
        </w:trPr>
        <w:tc>
          <w:tcPr>
            <w:tcW w:w="2460" w:type="dxa"/>
            <w:tcBorders>
              <w:top w:val="single" w:sz="4" w:space="0" w:color="ADD6EA"/>
              <w:left w:val="nil"/>
              <w:bottom w:val="single" w:sz="4" w:space="0" w:color="ADD6EA"/>
              <w:right w:val="nil"/>
            </w:tcBorders>
            <w:shd w:val="clear" w:color="auto" w:fill="auto"/>
            <w:vAlign w:val="center"/>
            <w:hideMark/>
          </w:tcPr>
          <w:p w14:paraId="523CE348" w14:textId="77777777" w:rsidR="00C924D6" w:rsidRPr="00D070A0" w:rsidRDefault="00C924D6" w:rsidP="00CA416E">
            <w:pPr>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Separations</w:t>
            </w:r>
          </w:p>
        </w:tc>
        <w:tc>
          <w:tcPr>
            <w:tcW w:w="700" w:type="dxa"/>
            <w:tcBorders>
              <w:top w:val="single" w:sz="4" w:space="0" w:color="ADD6EA"/>
              <w:left w:val="nil"/>
              <w:bottom w:val="single" w:sz="4" w:space="0" w:color="ADD6EA"/>
              <w:right w:val="nil"/>
            </w:tcBorders>
            <w:shd w:val="clear" w:color="auto" w:fill="auto"/>
            <w:vAlign w:val="center"/>
            <w:hideMark/>
          </w:tcPr>
          <w:p w14:paraId="04E832D4"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12</w:t>
            </w:r>
          </w:p>
        </w:tc>
        <w:tc>
          <w:tcPr>
            <w:tcW w:w="700" w:type="dxa"/>
            <w:tcBorders>
              <w:top w:val="single" w:sz="4" w:space="0" w:color="ADD6EA"/>
              <w:left w:val="nil"/>
              <w:bottom w:val="single" w:sz="4" w:space="0" w:color="ADD6EA"/>
              <w:right w:val="nil"/>
            </w:tcBorders>
            <w:shd w:val="clear" w:color="auto" w:fill="auto"/>
            <w:vAlign w:val="center"/>
            <w:hideMark/>
          </w:tcPr>
          <w:p w14:paraId="5AF2912E"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32</w:t>
            </w:r>
          </w:p>
        </w:tc>
        <w:tc>
          <w:tcPr>
            <w:tcW w:w="700" w:type="dxa"/>
            <w:tcBorders>
              <w:top w:val="single" w:sz="4" w:space="0" w:color="ADD6EA"/>
              <w:left w:val="nil"/>
              <w:bottom w:val="single" w:sz="4" w:space="0" w:color="ADD6EA"/>
              <w:right w:val="nil"/>
            </w:tcBorders>
            <w:shd w:val="clear" w:color="auto" w:fill="auto"/>
            <w:vAlign w:val="center"/>
            <w:hideMark/>
          </w:tcPr>
          <w:p w14:paraId="26B88B52"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-58</w:t>
            </w:r>
          </w:p>
        </w:tc>
        <w:tc>
          <w:tcPr>
            <w:tcW w:w="700" w:type="dxa"/>
            <w:tcBorders>
              <w:top w:val="single" w:sz="4" w:space="0" w:color="ADD6EA"/>
              <w:left w:val="nil"/>
              <w:bottom w:val="single" w:sz="4" w:space="0" w:color="ADD6EA"/>
              <w:right w:val="nil"/>
            </w:tcBorders>
            <w:shd w:val="clear" w:color="auto" w:fill="auto"/>
            <w:vAlign w:val="center"/>
            <w:hideMark/>
          </w:tcPr>
          <w:p w14:paraId="10C59B10"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8</w:t>
            </w:r>
          </w:p>
        </w:tc>
        <w:tc>
          <w:tcPr>
            <w:tcW w:w="700" w:type="dxa"/>
            <w:tcBorders>
              <w:top w:val="single" w:sz="4" w:space="0" w:color="ADD6EA"/>
              <w:left w:val="nil"/>
              <w:bottom w:val="single" w:sz="4" w:space="0" w:color="ADD6EA"/>
              <w:right w:val="nil"/>
            </w:tcBorders>
            <w:shd w:val="clear" w:color="auto" w:fill="auto"/>
            <w:vAlign w:val="center"/>
            <w:hideMark/>
          </w:tcPr>
          <w:p w14:paraId="07DA793A"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-21</w:t>
            </w:r>
          </w:p>
        </w:tc>
        <w:tc>
          <w:tcPr>
            <w:tcW w:w="700" w:type="dxa"/>
            <w:tcBorders>
              <w:top w:val="single" w:sz="4" w:space="0" w:color="ADD6EA"/>
              <w:left w:val="nil"/>
              <w:bottom w:val="single" w:sz="4" w:space="0" w:color="ADD6EA"/>
              <w:right w:val="nil"/>
            </w:tcBorders>
            <w:shd w:val="clear" w:color="auto" w:fill="auto"/>
            <w:vAlign w:val="center"/>
            <w:hideMark/>
          </w:tcPr>
          <w:p w14:paraId="63695353"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-76</w:t>
            </w:r>
          </w:p>
        </w:tc>
        <w:tc>
          <w:tcPr>
            <w:tcW w:w="700" w:type="dxa"/>
            <w:tcBorders>
              <w:top w:val="single" w:sz="4" w:space="0" w:color="ADD6EA"/>
              <w:left w:val="nil"/>
              <w:bottom w:val="single" w:sz="4" w:space="0" w:color="ADD6EA"/>
              <w:right w:val="nil"/>
            </w:tcBorders>
            <w:shd w:val="clear" w:color="auto" w:fill="auto"/>
            <w:vAlign w:val="center"/>
            <w:hideMark/>
          </w:tcPr>
          <w:p w14:paraId="5AAE8C44"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144</w:t>
            </w:r>
          </w:p>
        </w:tc>
        <w:tc>
          <w:tcPr>
            <w:tcW w:w="700" w:type="dxa"/>
            <w:tcBorders>
              <w:top w:val="single" w:sz="4" w:space="0" w:color="ADD6EA"/>
              <w:left w:val="nil"/>
              <w:bottom w:val="single" w:sz="4" w:space="0" w:color="ADD6EA"/>
              <w:right w:val="nil"/>
            </w:tcBorders>
            <w:shd w:val="clear" w:color="auto" w:fill="auto"/>
            <w:vAlign w:val="center"/>
            <w:hideMark/>
          </w:tcPr>
          <w:p w14:paraId="7547E2DE"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-30</w:t>
            </w:r>
          </w:p>
        </w:tc>
        <w:tc>
          <w:tcPr>
            <w:tcW w:w="700" w:type="dxa"/>
            <w:tcBorders>
              <w:top w:val="single" w:sz="4" w:space="0" w:color="ADD6EA"/>
              <w:left w:val="nil"/>
              <w:bottom w:val="single" w:sz="4" w:space="0" w:color="ADD6EA"/>
              <w:right w:val="nil"/>
            </w:tcBorders>
            <w:shd w:val="clear" w:color="auto" w:fill="auto"/>
            <w:vAlign w:val="center"/>
            <w:hideMark/>
          </w:tcPr>
          <w:p w14:paraId="61D75A81"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w:t>
            </w:r>
          </w:p>
        </w:tc>
      </w:tr>
      <w:tr w:rsidR="00C924D6" w:rsidRPr="00442AB8" w14:paraId="105C349D" w14:textId="77777777" w:rsidTr="00CA416E">
        <w:trPr>
          <w:trHeight w:val="300"/>
        </w:trPr>
        <w:tc>
          <w:tcPr>
            <w:tcW w:w="2460" w:type="dxa"/>
            <w:tcBorders>
              <w:top w:val="nil"/>
              <w:left w:val="nil"/>
              <w:bottom w:val="single" w:sz="4" w:space="0" w:color="ADD6EA"/>
              <w:right w:val="nil"/>
            </w:tcBorders>
            <w:shd w:val="clear" w:color="auto" w:fill="auto"/>
            <w:vAlign w:val="center"/>
            <w:hideMark/>
          </w:tcPr>
          <w:p w14:paraId="33A9DA40" w14:textId="77777777" w:rsidR="00C924D6" w:rsidRPr="00D070A0" w:rsidRDefault="00C924D6" w:rsidP="00CA416E">
            <w:pPr>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Expenses</w:t>
            </w:r>
          </w:p>
        </w:tc>
        <w:tc>
          <w:tcPr>
            <w:tcW w:w="700" w:type="dxa"/>
            <w:tcBorders>
              <w:top w:val="nil"/>
              <w:left w:val="nil"/>
              <w:bottom w:val="single" w:sz="4" w:space="0" w:color="ADD6EA"/>
              <w:right w:val="nil"/>
            </w:tcBorders>
            <w:shd w:val="clear" w:color="auto" w:fill="auto"/>
            <w:vAlign w:val="center"/>
            <w:hideMark/>
          </w:tcPr>
          <w:p w14:paraId="1626A3FE"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19</w:t>
            </w:r>
          </w:p>
        </w:tc>
        <w:tc>
          <w:tcPr>
            <w:tcW w:w="700" w:type="dxa"/>
            <w:tcBorders>
              <w:top w:val="nil"/>
              <w:left w:val="nil"/>
              <w:bottom w:val="single" w:sz="4" w:space="0" w:color="ADD6EA"/>
              <w:right w:val="nil"/>
            </w:tcBorders>
            <w:shd w:val="clear" w:color="auto" w:fill="auto"/>
            <w:vAlign w:val="center"/>
            <w:hideMark/>
          </w:tcPr>
          <w:p w14:paraId="636DF979"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36</w:t>
            </w:r>
          </w:p>
        </w:tc>
        <w:tc>
          <w:tcPr>
            <w:tcW w:w="700" w:type="dxa"/>
            <w:tcBorders>
              <w:top w:val="nil"/>
              <w:left w:val="nil"/>
              <w:bottom w:val="single" w:sz="4" w:space="0" w:color="ADD6EA"/>
              <w:right w:val="nil"/>
            </w:tcBorders>
            <w:shd w:val="clear" w:color="auto" w:fill="auto"/>
            <w:vAlign w:val="center"/>
            <w:hideMark/>
          </w:tcPr>
          <w:p w14:paraId="0D088BA0"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-31</w:t>
            </w:r>
          </w:p>
        </w:tc>
        <w:tc>
          <w:tcPr>
            <w:tcW w:w="700" w:type="dxa"/>
            <w:tcBorders>
              <w:top w:val="nil"/>
              <w:left w:val="nil"/>
              <w:bottom w:val="single" w:sz="4" w:space="0" w:color="ADD6EA"/>
              <w:right w:val="nil"/>
            </w:tcBorders>
            <w:shd w:val="clear" w:color="auto" w:fill="auto"/>
            <w:vAlign w:val="center"/>
            <w:hideMark/>
          </w:tcPr>
          <w:p w14:paraId="1BE1257C"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-70</w:t>
            </w:r>
          </w:p>
        </w:tc>
        <w:tc>
          <w:tcPr>
            <w:tcW w:w="700" w:type="dxa"/>
            <w:tcBorders>
              <w:top w:val="nil"/>
              <w:left w:val="nil"/>
              <w:bottom w:val="single" w:sz="4" w:space="0" w:color="ADD6EA"/>
              <w:right w:val="nil"/>
            </w:tcBorders>
            <w:shd w:val="clear" w:color="auto" w:fill="auto"/>
            <w:vAlign w:val="center"/>
            <w:hideMark/>
          </w:tcPr>
          <w:p w14:paraId="2767CDE8"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-32</w:t>
            </w:r>
          </w:p>
        </w:tc>
        <w:tc>
          <w:tcPr>
            <w:tcW w:w="700" w:type="dxa"/>
            <w:tcBorders>
              <w:top w:val="nil"/>
              <w:left w:val="nil"/>
              <w:bottom w:val="single" w:sz="4" w:space="0" w:color="ADD6EA"/>
              <w:right w:val="nil"/>
            </w:tcBorders>
            <w:shd w:val="clear" w:color="auto" w:fill="auto"/>
            <w:vAlign w:val="center"/>
            <w:hideMark/>
          </w:tcPr>
          <w:p w14:paraId="5452F82D"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-26</w:t>
            </w:r>
          </w:p>
        </w:tc>
        <w:tc>
          <w:tcPr>
            <w:tcW w:w="700" w:type="dxa"/>
            <w:tcBorders>
              <w:top w:val="nil"/>
              <w:left w:val="nil"/>
              <w:bottom w:val="single" w:sz="4" w:space="0" w:color="ADD6EA"/>
              <w:right w:val="nil"/>
            </w:tcBorders>
            <w:shd w:val="clear" w:color="auto" w:fill="auto"/>
            <w:vAlign w:val="center"/>
            <w:hideMark/>
          </w:tcPr>
          <w:p w14:paraId="0E07A759"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112</w:t>
            </w:r>
          </w:p>
        </w:tc>
        <w:tc>
          <w:tcPr>
            <w:tcW w:w="700" w:type="dxa"/>
            <w:tcBorders>
              <w:top w:val="nil"/>
              <w:left w:val="nil"/>
              <w:bottom w:val="single" w:sz="4" w:space="0" w:color="ADD6EA"/>
              <w:right w:val="nil"/>
            </w:tcBorders>
            <w:shd w:val="clear" w:color="auto" w:fill="auto"/>
            <w:vAlign w:val="center"/>
            <w:hideMark/>
          </w:tcPr>
          <w:p w14:paraId="56ABC25E"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-34</w:t>
            </w:r>
          </w:p>
        </w:tc>
        <w:tc>
          <w:tcPr>
            <w:tcW w:w="700" w:type="dxa"/>
            <w:tcBorders>
              <w:top w:val="nil"/>
              <w:left w:val="nil"/>
              <w:bottom w:val="single" w:sz="4" w:space="0" w:color="ADD6EA"/>
              <w:right w:val="nil"/>
            </w:tcBorders>
            <w:shd w:val="clear" w:color="auto" w:fill="auto"/>
            <w:vAlign w:val="center"/>
            <w:hideMark/>
          </w:tcPr>
          <w:p w14:paraId="164C8377"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w:t>
            </w:r>
          </w:p>
        </w:tc>
      </w:tr>
      <w:tr w:rsidR="00C924D6" w:rsidRPr="00442AB8" w14:paraId="53CFF6F9" w14:textId="77777777" w:rsidTr="00CA416E">
        <w:trPr>
          <w:trHeight w:val="300"/>
        </w:trPr>
        <w:tc>
          <w:tcPr>
            <w:tcW w:w="2460" w:type="dxa"/>
            <w:tcBorders>
              <w:top w:val="nil"/>
              <w:left w:val="nil"/>
              <w:bottom w:val="single" w:sz="4" w:space="0" w:color="ADD6EA"/>
              <w:right w:val="nil"/>
            </w:tcBorders>
            <w:shd w:val="clear" w:color="auto" w:fill="auto"/>
            <w:vAlign w:val="center"/>
            <w:hideMark/>
          </w:tcPr>
          <w:p w14:paraId="3C5B3058" w14:textId="77777777" w:rsidR="00C924D6" w:rsidRPr="00D070A0" w:rsidRDefault="00C924D6" w:rsidP="00CA416E">
            <w:pPr>
              <w:tabs>
                <w:tab w:val="clear" w:pos="567"/>
              </w:tabs>
              <w:spacing w:before="0" w:line="240" w:lineRule="auto"/>
              <w:rPr>
                <w:rFonts w:eastAsia="Times New Roman" w:cs="Open Sans Light"/>
                <w:color w:val="000000"/>
                <w:sz w:val="16"/>
                <w:szCs w:val="16"/>
                <w:lang w:eastAsia="en-AU"/>
              </w:rPr>
            </w:pPr>
            <w:r w:rsidRPr="00D070A0">
              <w:rPr>
                <w:rFonts w:eastAsia="Times New Roman" w:cs="Open Sans Light"/>
                <w:color w:val="000000"/>
                <w:sz w:val="16"/>
                <w:szCs w:val="16"/>
                <w:lang w:eastAsia="en-AU"/>
              </w:rPr>
              <w:t>Difference</w:t>
            </w:r>
          </w:p>
        </w:tc>
        <w:tc>
          <w:tcPr>
            <w:tcW w:w="700" w:type="dxa"/>
            <w:tcBorders>
              <w:top w:val="nil"/>
              <w:left w:val="nil"/>
              <w:bottom w:val="single" w:sz="4" w:space="0" w:color="ADD6EA"/>
              <w:right w:val="nil"/>
            </w:tcBorders>
            <w:shd w:val="clear" w:color="auto" w:fill="auto"/>
            <w:vAlign w:val="center"/>
            <w:hideMark/>
          </w:tcPr>
          <w:p w14:paraId="115A7A7C"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7</w:t>
            </w:r>
          </w:p>
        </w:tc>
        <w:tc>
          <w:tcPr>
            <w:tcW w:w="700" w:type="dxa"/>
            <w:tcBorders>
              <w:top w:val="nil"/>
              <w:left w:val="nil"/>
              <w:bottom w:val="single" w:sz="4" w:space="0" w:color="ADD6EA"/>
              <w:right w:val="nil"/>
            </w:tcBorders>
            <w:shd w:val="clear" w:color="auto" w:fill="auto"/>
            <w:vAlign w:val="center"/>
            <w:hideMark/>
          </w:tcPr>
          <w:p w14:paraId="5719AAB5"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5</w:t>
            </w:r>
          </w:p>
        </w:tc>
        <w:tc>
          <w:tcPr>
            <w:tcW w:w="700" w:type="dxa"/>
            <w:tcBorders>
              <w:top w:val="nil"/>
              <w:left w:val="nil"/>
              <w:bottom w:val="single" w:sz="4" w:space="0" w:color="ADD6EA"/>
              <w:right w:val="nil"/>
            </w:tcBorders>
            <w:shd w:val="clear" w:color="auto" w:fill="auto"/>
            <w:vAlign w:val="center"/>
            <w:hideMark/>
          </w:tcPr>
          <w:p w14:paraId="0EB6BC6C"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26</w:t>
            </w:r>
          </w:p>
        </w:tc>
        <w:tc>
          <w:tcPr>
            <w:tcW w:w="700" w:type="dxa"/>
            <w:tcBorders>
              <w:top w:val="nil"/>
              <w:left w:val="nil"/>
              <w:bottom w:val="single" w:sz="4" w:space="0" w:color="ADD6EA"/>
              <w:right w:val="nil"/>
            </w:tcBorders>
            <w:shd w:val="clear" w:color="auto" w:fill="auto"/>
            <w:vAlign w:val="center"/>
            <w:hideMark/>
          </w:tcPr>
          <w:p w14:paraId="13672679"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-78</w:t>
            </w:r>
          </w:p>
        </w:tc>
        <w:tc>
          <w:tcPr>
            <w:tcW w:w="700" w:type="dxa"/>
            <w:tcBorders>
              <w:top w:val="nil"/>
              <w:left w:val="nil"/>
              <w:bottom w:val="single" w:sz="4" w:space="0" w:color="ADD6EA"/>
              <w:right w:val="nil"/>
            </w:tcBorders>
            <w:shd w:val="clear" w:color="auto" w:fill="auto"/>
            <w:vAlign w:val="center"/>
            <w:hideMark/>
          </w:tcPr>
          <w:p w14:paraId="773B9C03"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-11</w:t>
            </w:r>
          </w:p>
        </w:tc>
        <w:tc>
          <w:tcPr>
            <w:tcW w:w="700" w:type="dxa"/>
            <w:tcBorders>
              <w:top w:val="nil"/>
              <w:left w:val="nil"/>
              <w:bottom w:val="single" w:sz="4" w:space="0" w:color="ADD6EA"/>
              <w:right w:val="nil"/>
            </w:tcBorders>
            <w:shd w:val="clear" w:color="auto" w:fill="auto"/>
            <w:vAlign w:val="center"/>
            <w:hideMark/>
          </w:tcPr>
          <w:p w14:paraId="44DD17CD"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51</w:t>
            </w:r>
          </w:p>
        </w:tc>
        <w:tc>
          <w:tcPr>
            <w:tcW w:w="700" w:type="dxa"/>
            <w:tcBorders>
              <w:top w:val="nil"/>
              <w:left w:val="nil"/>
              <w:bottom w:val="single" w:sz="4" w:space="0" w:color="ADD6EA"/>
              <w:right w:val="nil"/>
            </w:tcBorders>
            <w:shd w:val="clear" w:color="auto" w:fill="auto"/>
            <w:vAlign w:val="center"/>
            <w:hideMark/>
          </w:tcPr>
          <w:p w14:paraId="70E6DEEC"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-32</w:t>
            </w:r>
          </w:p>
        </w:tc>
        <w:tc>
          <w:tcPr>
            <w:tcW w:w="700" w:type="dxa"/>
            <w:tcBorders>
              <w:top w:val="nil"/>
              <w:left w:val="nil"/>
              <w:bottom w:val="single" w:sz="4" w:space="0" w:color="ADD6EA"/>
              <w:right w:val="nil"/>
            </w:tcBorders>
            <w:shd w:val="clear" w:color="auto" w:fill="auto"/>
            <w:vAlign w:val="center"/>
            <w:hideMark/>
          </w:tcPr>
          <w:p w14:paraId="64030090"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-4</w:t>
            </w:r>
          </w:p>
        </w:tc>
        <w:tc>
          <w:tcPr>
            <w:tcW w:w="700" w:type="dxa"/>
            <w:tcBorders>
              <w:top w:val="nil"/>
              <w:left w:val="nil"/>
              <w:bottom w:val="single" w:sz="4" w:space="0" w:color="ADD6EA"/>
              <w:right w:val="nil"/>
            </w:tcBorders>
            <w:shd w:val="clear" w:color="auto" w:fill="auto"/>
            <w:vAlign w:val="center"/>
            <w:hideMark/>
          </w:tcPr>
          <w:p w14:paraId="623985D4" w14:textId="77777777" w:rsidR="00C924D6" w:rsidRPr="00D070A0" w:rsidRDefault="00C924D6" w:rsidP="00CA416E">
            <w:pPr>
              <w:tabs>
                <w:tab w:val="clear" w:pos="567"/>
              </w:tabs>
              <w:spacing w:before="0" w:line="240" w:lineRule="auto"/>
              <w:jc w:val="right"/>
              <w:rPr>
                <w:rFonts w:eastAsia="Times New Roman" w:cs="Open Sans Light"/>
                <w:color w:val="000000"/>
                <w:sz w:val="16"/>
                <w:szCs w:val="16"/>
                <w:lang w:eastAsia="en-AU"/>
              </w:rPr>
            </w:pPr>
            <w:r w:rsidRPr="00D070A0">
              <w:rPr>
                <w:rFonts w:eastAsia="Times New Roman" w:cs="Open Sans Light"/>
                <w:color w:val="000000"/>
                <w:sz w:val="16"/>
                <w:szCs w:val="16"/>
                <w:lang w:eastAsia="en-AU"/>
              </w:rPr>
              <w:t>0</w:t>
            </w:r>
          </w:p>
        </w:tc>
      </w:tr>
    </w:tbl>
    <w:p w14:paraId="23E0097D" w14:textId="1156759F" w:rsidR="001715DC" w:rsidRPr="00CB14ED" w:rsidRDefault="001715DC" w:rsidP="0054488D">
      <w:pPr>
        <w:pStyle w:val="CGC2025TableNote"/>
        <w:ind w:left="686" w:hanging="573"/>
      </w:pPr>
      <w:r w:rsidRPr="00CB14ED">
        <w:t xml:space="preserve">Source: Commission calculation using </w:t>
      </w:r>
      <w:r w:rsidR="00FE233B" w:rsidRPr="00CB14ED">
        <w:t>A</w:t>
      </w:r>
      <w:r w:rsidR="00FE233B">
        <w:t>ustralian Institute of Health and Welfare</w:t>
      </w:r>
      <w:r w:rsidRPr="00CB14ED">
        <w:t xml:space="preserve"> and A</w:t>
      </w:r>
      <w:r w:rsidR="009A7273">
        <w:t>ustralian Prudential Regulation Authority</w:t>
      </w:r>
      <w:r w:rsidRPr="00CB14ED">
        <w:t xml:space="preserve"> data on private</w:t>
      </w:r>
      <w:r w:rsidR="00194090" w:rsidRPr="00CB14ED">
        <w:t>ly insured</w:t>
      </w:r>
      <w:r w:rsidRPr="00CB14ED">
        <w:t xml:space="preserve"> </w:t>
      </w:r>
      <w:r w:rsidR="00194090" w:rsidRPr="00CB14ED">
        <w:t>patient</w:t>
      </w:r>
      <w:r w:rsidRPr="00CB14ED">
        <w:t xml:space="preserve"> separations</w:t>
      </w:r>
      <w:r w:rsidR="00D82C4D" w:rsidRPr="00CB14ED">
        <w:t xml:space="preserve"> </w:t>
      </w:r>
      <w:r w:rsidRPr="00CB14ED">
        <w:t>and expenses.</w:t>
      </w:r>
    </w:p>
    <w:p w14:paraId="1B639C79" w14:textId="32A72292" w:rsidR="00811692" w:rsidRPr="00CB14ED" w:rsidRDefault="00FD6B8D" w:rsidP="00D871C8">
      <w:pPr>
        <w:pStyle w:val="CGC2025Caption"/>
        <w:keepNext/>
        <w:tabs>
          <w:tab w:val="left" w:pos="1134"/>
        </w:tabs>
      </w:pPr>
      <w:bookmarkStart w:id="65" w:name="_Ref151384724"/>
      <w:r w:rsidRPr="00CB14ED">
        <w:lastRenderedPageBreak/>
        <w:t xml:space="preserve">Figure </w:t>
      </w:r>
      <w:r>
        <w:fldChar w:fldCharType="begin"/>
      </w:r>
      <w:r>
        <w:instrText>SEQ Figure \* ARABIC</w:instrText>
      </w:r>
      <w:r>
        <w:fldChar w:fldCharType="separate"/>
      </w:r>
      <w:r w:rsidR="00581B01">
        <w:rPr>
          <w:noProof/>
        </w:rPr>
        <w:t>5</w:t>
      </w:r>
      <w:r>
        <w:fldChar w:fldCharType="end"/>
      </w:r>
      <w:bookmarkEnd w:id="65"/>
      <w:r w:rsidR="001C35C2" w:rsidRPr="00CB14ED">
        <w:tab/>
      </w:r>
      <w:r w:rsidR="00852F29" w:rsidRPr="00CB14ED">
        <w:t xml:space="preserve">Admitted </w:t>
      </w:r>
      <w:r w:rsidR="00D65C15" w:rsidRPr="00CB14ED">
        <w:t>patient n</w:t>
      </w:r>
      <w:r w:rsidR="004B44ED" w:rsidRPr="00CB14ED">
        <w:t>on-st</w:t>
      </w:r>
      <w:r w:rsidR="000D0B84" w:rsidRPr="00CB14ED">
        <w:t>ate sector adjustment</w:t>
      </w:r>
      <w:r w:rsidR="000A357A" w:rsidRPr="00CB14ED">
        <w:t xml:space="preserve">: alternative </w:t>
      </w:r>
      <w:proofErr w:type="gramStart"/>
      <w:r w:rsidR="000A357A" w:rsidRPr="00CB14ED">
        <w:t>indicators</w:t>
      </w:r>
      <w:proofErr w:type="gramEnd"/>
    </w:p>
    <w:p w14:paraId="2F003DB1" w14:textId="75E7E069" w:rsidR="006E4380" w:rsidRPr="00CB14ED" w:rsidRDefault="00093DDB" w:rsidP="000C2CCB">
      <w:pPr>
        <w:pStyle w:val="CGCTablerow"/>
      </w:pPr>
      <w:r w:rsidRPr="00CB14ED">
        <w:rPr>
          <w:noProof/>
        </w:rPr>
        <w:drawing>
          <wp:inline distT="0" distB="0" distL="0" distR="0" wp14:anchorId="4CD8B3D5" wp14:editId="36BB2E8C">
            <wp:extent cx="5652000" cy="3564000"/>
            <wp:effectExtent l="0" t="0" r="6350" b="0"/>
            <wp:docPr id="387516904" name="Picture 387516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2000" cy="3564000"/>
                    </a:xfrm>
                    <a:prstGeom prst="rect">
                      <a:avLst/>
                    </a:prstGeom>
                    <a:noFill/>
                    <a:ln>
                      <a:noFill/>
                    </a:ln>
                  </pic:spPr>
                </pic:pic>
              </a:graphicData>
            </a:graphic>
          </wp:inline>
        </w:drawing>
      </w:r>
    </w:p>
    <w:p w14:paraId="5EBD40C8" w14:textId="60FA5D11" w:rsidR="00D260F3" w:rsidRPr="00CB14ED" w:rsidRDefault="00D260F3" w:rsidP="002E047C">
      <w:pPr>
        <w:pStyle w:val="CGC2025TableNote"/>
        <w:ind w:left="709" w:hanging="596"/>
      </w:pPr>
      <w:r w:rsidRPr="00CB14ED">
        <w:t xml:space="preserve">Source: </w:t>
      </w:r>
      <w:r w:rsidR="00157E31" w:rsidRPr="00CB14ED">
        <w:t xml:space="preserve">Commission calculation using </w:t>
      </w:r>
      <w:r w:rsidR="009A7273" w:rsidRPr="00CB14ED">
        <w:t>A</w:t>
      </w:r>
      <w:r w:rsidR="009A7273">
        <w:t>ustralian Institute of Health and Welfare</w:t>
      </w:r>
      <w:r w:rsidR="009A7273" w:rsidRPr="00CB14ED">
        <w:t xml:space="preserve"> and A</w:t>
      </w:r>
      <w:r w:rsidR="009A7273">
        <w:t>ustralian Prudential Regulation Authority</w:t>
      </w:r>
      <w:r w:rsidR="009A7273" w:rsidRPr="00CB14ED">
        <w:t xml:space="preserve"> </w:t>
      </w:r>
      <w:r w:rsidR="00157E31" w:rsidRPr="00CB14ED">
        <w:t xml:space="preserve">on </w:t>
      </w:r>
      <w:r w:rsidR="001036BE" w:rsidRPr="00CB14ED">
        <w:t>private</w:t>
      </w:r>
      <w:r w:rsidR="0024440B" w:rsidRPr="00CB14ED">
        <w:t>ly insured</w:t>
      </w:r>
      <w:r w:rsidR="001036BE" w:rsidRPr="00CB14ED">
        <w:t xml:space="preserve"> </w:t>
      </w:r>
      <w:r w:rsidR="00624D0A" w:rsidRPr="00CB14ED">
        <w:t xml:space="preserve">patient </w:t>
      </w:r>
      <w:r w:rsidR="00731650" w:rsidRPr="00CB14ED">
        <w:t>separations</w:t>
      </w:r>
      <w:r w:rsidR="00683B44" w:rsidRPr="00CB14ED">
        <w:t xml:space="preserve"> </w:t>
      </w:r>
      <w:r w:rsidR="00954A1E" w:rsidRPr="00CB14ED">
        <w:t xml:space="preserve">and </w:t>
      </w:r>
      <w:r w:rsidR="00731650" w:rsidRPr="00CB14ED">
        <w:t>expenses</w:t>
      </w:r>
      <w:r w:rsidR="004C3CD1" w:rsidRPr="00CB14ED">
        <w:t>.</w:t>
      </w:r>
    </w:p>
    <w:bookmarkEnd w:id="58"/>
    <w:p w14:paraId="44EC8153" w14:textId="3667394E" w:rsidR="00847421" w:rsidRPr="000A2DC0" w:rsidRDefault="005635E9" w:rsidP="001503EB">
      <w:pPr>
        <w:pStyle w:val="CGC2025ParaNumbers"/>
      </w:pPr>
      <w:r w:rsidRPr="000A2DC0">
        <w:t xml:space="preserve">Further work is needed to understand why </w:t>
      </w:r>
      <w:r w:rsidR="000831D0" w:rsidRPr="000A2DC0">
        <w:t xml:space="preserve">the relationship between </w:t>
      </w:r>
      <w:r w:rsidR="007D4248" w:rsidRPr="000A2DC0">
        <w:t>hospital activity</w:t>
      </w:r>
      <w:r w:rsidR="002D2D5A" w:rsidRPr="000A2DC0">
        <w:t xml:space="preserve"> funded by private health insurance and </w:t>
      </w:r>
      <w:r w:rsidR="006D779D" w:rsidRPr="000A2DC0">
        <w:t xml:space="preserve">private health insurance coverage differs across states. </w:t>
      </w:r>
      <w:r w:rsidR="009E7184" w:rsidRPr="000A2DC0">
        <w:t xml:space="preserve">This work </w:t>
      </w:r>
      <w:r w:rsidR="000A2DC0">
        <w:t>could</w:t>
      </w:r>
      <w:r w:rsidR="001503EB">
        <w:t xml:space="preserve"> f</w:t>
      </w:r>
      <w:r w:rsidR="001503EB" w:rsidRPr="000A2DC0">
        <w:t>orm part of the more detailed consideration of the non</w:t>
      </w:r>
      <w:r w:rsidR="009E7184" w:rsidRPr="000A2DC0">
        <w:noBreakHyphen/>
      </w:r>
      <w:r w:rsidR="001503EB" w:rsidRPr="000A2DC0">
        <w:t>state sector adjustment between reviews</w:t>
      </w:r>
      <w:r w:rsidR="009E7184" w:rsidRPr="000A2DC0">
        <w:t>.</w:t>
      </w:r>
    </w:p>
    <w:p w14:paraId="3E01EBD0" w14:textId="679D4909" w:rsidR="00EF393A" w:rsidRPr="000A2DC0" w:rsidRDefault="003A7BC5" w:rsidP="00380C56">
      <w:pPr>
        <w:pStyle w:val="CGC2025ParaNumbers"/>
      </w:pPr>
      <w:r w:rsidRPr="000A2DC0">
        <w:t xml:space="preserve">The Commission </w:t>
      </w:r>
      <w:r w:rsidR="001B7722" w:rsidRPr="000A2DC0">
        <w:t xml:space="preserve">uses data </w:t>
      </w:r>
      <w:r w:rsidR="002951AB" w:rsidRPr="000A2DC0">
        <w:t xml:space="preserve">from the Australian Prudential Regulation Authority </w:t>
      </w:r>
      <w:r w:rsidR="000F32D0" w:rsidRPr="000A2DC0">
        <w:t xml:space="preserve">on </w:t>
      </w:r>
      <w:r w:rsidR="00380C56" w:rsidRPr="000A2DC0">
        <w:t>actual hospital activity funded by private health insurance</w:t>
      </w:r>
      <w:r w:rsidR="002F6F12" w:rsidRPr="000A2DC0">
        <w:t xml:space="preserve"> because the data available from the Australian Institute of Health and Welfare </w:t>
      </w:r>
      <w:r w:rsidR="00E20A0B">
        <w:t>are</w:t>
      </w:r>
      <w:r w:rsidR="00346813" w:rsidRPr="000A2DC0">
        <w:t xml:space="preserve"> not disaggregated for the 3</w:t>
      </w:r>
      <w:r w:rsidR="00CD415B" w:rsidRPr="000A2DC0">
        <w:t> </w:t>
      </w:r>
      <w:r w:rsidR="00346813" w:rsidRPr="000A2DC0">
        <w:t xml:space="preserve">smallest states (Tasmania, the </w:t>
      </w:r>
      <w:proofErr w:type="gramStart"/>
      <w:r w:rsidR="00346813" w:rsidRPr="000A2DC0">
        <w:t>ACT</w:t>
      </w:r>
      <w:proofErr w:type="gramEnd"/>
      <w:r w:rsidR="00346813" w:rsidRPr="000A2DC0">
        <w:t xml:space="preserve"> and the Northern Territory). </w:t>
      </w:r>
      <w:r w:rsidR="004D1357" w:rsidRPr="000A2DC0">
        <w:t xml:space="preserve">Australian Institute of Health and Welfare data </w:t>
      </w:r>
      <w:r w:rsidR="00E20A0B">
        <w:t>are</w:t>
      </w:r>
      <w:r w:rsidR="004D1357" w:rsidRPr="000A2DC0">
        <w:t xml:space="preserve"> required to </w:t>
      </w:r>
      <w:r w:rsidR="00EF78CA" w:rsidRPr="000A2DC0">
        <w:t xml:space="preserve">calculate assessed </w:t>
      </w:r>
      <w:r w:rsidR="001678E3" w:rsidRPr="000A2DC0">
        <w:t xml:space="preserve">activity funded by private health insurance because </w:t>
      </w:r>
      <w:r w:rsidR="00A52874" w:rsidRPr="000A2DC0">
        <w:t>disaggregated data cross</w:t>
      </w:r>
      <w:r w:rsidR="00A52874" w:rsidRPr="000A2DC0">
        <w:noBreakHyphen/>
        <w:t>classified by socio</w:t>
      </w:r>
      <w:r w:rsidR="00513BAC">
        <w:noBreakHyphen/>
      </w:r>
      <w:r w:rsidR="00A52874" w:rsidRPr="000A2DC0">
        <w:t xml:space="preserve">demographic </w:t>
      </w:r>
      <w:r w:rsidR="001B7E10" w:rsidRPr="000A2DC0">
        <w:t xml:space="preserve">group </w:t>
      </w:r>
      <w:r w:rsidR="002037D4">
        <w:t>are</w:t>
      </w:r>
      <w:r w:rsidR="001B7E10" w:rsidRPr="000A2DC0">
        <w:t xml:space="preserve"> required. </w:t>
      </w:r>
      <w:r w:rsidR="00346813" w:rsidRPr="000A2DC0">
        <w:t>The</w:t>
      </w:r>
      <w:r w:rsidR="00346813" w:rsidRPr="000A2DC0" w:rsidDel="00830160">
        <w:t xml:space="preserve"> </w:t>
      </w:r>
      <w:r w:rsidR="00830160" w:rsidRPr="000A2DC0">
        <w:t>2</w:t>
      </w:r>
      <w:r w:rsidR="00346813" w:rsidRPr="000A2DC0">
        <w:t xml:space="preserve"> data series were broadly aligned </w:t>
      </w:r>
      <w:r w:rsidR="00DC1A9C" w:rsidRPr="000A2DC0">
        <w:t>prior to COVID</w:t>
      </w:r>
      <w:r w:rsidR="00DC1A9C" w:rsidRPr="000A2DC0">
        <w:noBreakHyphen/>
        <w:t xml:space="preserve">19 and then </w:t>
      </w:r>
      <w:r w:rsidR="009E2078" w:rsidRPr="000A2DC0">
        <w:t xml:space="preserve">started to deviate. </w:t>
      </w:r>
      <w:r w:rsidR="00B26004">
        <w:t xml:space="preserve">As part of the </w:t>
      </w:r>
      <w:r w:rsidR="009B2587">
        <w:t>work between reviews on the non</w:t>
      </w:r>
      <w:r w:rsidR="009B2587">
        <w:noBreakHyphen/>
        <w:t xml:space="preserve">state sector adjustment, the Commission will </w:t>
      </w:r>
      <w:r w:rsidR="00FB545F">
        <w:t xml:space="preserve">monitor the exiting data </w:t>
      </w:r>
      <w:r w:rsidR="002C1D72" w:rsidRPr="000A2DC0">
        <w:t xml:space="preserve">series </w:t>
      </w:r>
      <w:r w:rsidR="00FB545F">
        <w:t xml:space="preserve">to see if they </w:t>
      </w:r>
      <w:r w:rsidR="002C1D72" w:rsidRPr="000A2DC0">
        <w:t xml:space="preserve">realign </w:t>
      </w:r>
      <w:r w:rsidR="004536BA" w:rsidRPr="000A2DC0">
        <w:t>once the COVID</w:t>
      </w:r>
      <w:r w:rsidR="004536BA" w:rsidRPr="000A2DC0">
        <w:noBreakHyphen/>
        <w:t xml:space="preserve">19 affected activity has passed, </w:t>
      </w:r>
      <w:r w:rsidR="00C32A4A">
        <w:t xml:space="preserve">as well as </w:t>
      </w:r>
      <w:r w:rsidR="004536BA" w:rsidRPr="000A2DC0">
        <w:t xml:space="preserve">explore alternative </w:t>
      </w:r>
      <w:r w:rsidR="00875C61">
        <w:t>indicators of non</w:t>
      </w:r>
      <w:r w:rsidR="00354291">
        <w:noBreakHyphen/>
      </w:r>
      <w:r w:rsidR="00875C61">
        <w:t>state sector activity</w:t>
      </w:r>
      <w:r w:rsidR="001E4D8E" w:rsidRPr="000A2DC0">
        <w:t>.</w:t>
      </w:r>
    </w:p>
    <w:p w14:paraId="7FF94EF1" w14:textId="1A0146B2" w:rsidR="00831E28" w:rsidRPr="00CB14ED" w:rsidRDefault="00831E28" w:rsidP="00831E28">
      <w:pPr>
        <w:pStyle w:val="Heading4"/>
      </w:pPr>
      <w:r w:rsidRPr="00CB14ED">
        <w:t>Commission draft position</w:t>
      </w:r>
    </w:p>
    <w:p w14:paraId="1D229FCC" w14:textId="017F04CE" w:rsidR="005A2B97" w:rsidRPr="00EE0AB7" w:rsidRDefault="00D15CE1" w:rsidP="00E51938">
      <w:pPr>
        <w:pStyle w:val="CGC2025ParaNumbers"/>
      </w:pPr>
      <w:r w:rsidRPr="00EE0AB7">
        <w:t>After updating the</w:t>
      </w:r>
      <w:r w:rsidR="00823C2D">
        <w:t>se</w:t>
      </w:r>
      <w:r w:rsidRPr="00EE0AB7">
        <w:t xml:space="preserve"> data </w:t>
      </w:r>
      <w:r w:rsidR="00746E5F" w:rsidRPr="00EE0AB7">
        <w:t xml:space="preserve">to calculate the share of </w:t>
      </w:r>
      <w:r w:rsidR="008B5825" w:rsidRPr="00EE0AB7">
        <w:t xml:space="preserve">admitted patient services that </w:t>
      </w:r>
      <w:r w:rsidR="00EB6A81" w:rsidRPr="00EE0AB7">
        <w:t>are also undertaken in t</w:t>
      </w:r>
      <w:r w:rsidR="001310F9" w:rsidRPr="00EE0AB7">
        <w:t>he non</w:t>
      </w:r>
      <w:r w:rsidR="001310F9" w:rsidRPr="00EE0AB7">
        <w:noBreakHyphen/>
        <w:t>state sector</w:t>
      </w:r>
      <w:r w:rsidR="00832BE5" w:rsidRPr="00EE0AB7">
        <w:t xml:space="preserve"> </w:t>
      </w:r>
      <w:r w:rsidR="003A334E" w:rsidRPr="00EE0AB7">
        <w:t xml:space="preserve">and reducing this </w:t>
      </w:r>
      <w:r w:rsidR="005258B9" w:rsidRPr="00EE0AB7">
        <w:t xml:space="preserve">share by the </w:t>
      </w:r>
      <w:r w:rsidR="00AE626E" w:rsidRPr="00EE0AB7">
        <w:t>proportion of people that have private health insurance or self</w:t>
      </w:r>
      <w:r w:rsidR="00AE626E" w:rsidRPr="00EE0AB7">
        <w:noBreakHyphen/>
        <w:t xml:space="preserve">fund their private </w:t>
      </w:r>
      <w:r w:rsidR="00067934" w:rsidRPr="00EE0AB7">
        <w:t>hospital treatment</w:t>
      </w:r>
      <w:r w:rsidR="009C439D" w:rsidRPr="00EE0AB7">
        <w:t xml:space="preserve">, the Commission estimated that the upper bound </w:t>
      </w:r>
      <w:r w:rsidR="000263F0" w:rsidRPr="00EE0AB7">
        <w:t>for the non</w:t>
      </w:r>
      <w:r w:rsidR="000263F0" w:rsidRPr="00EE0AB7">
        <w:noBreakHyphen/>
        <w:t>state sector substitutability level was 25</w:t>
      </w:r>
      <w:r w:rsidR="00F6253E">
        <w:t>–</w:t>
      </w:r>
      <w:r w:rsidR="000263F0" w:rsidRPr="00EE0AB7">
        <w:t xml:space="preserve">29%. </w:t>
      </w:r>
      <w:r w:rsidR="00EB2856" w:rsidRPr="00EE0AB7">
        <w:t xml:space="preserve">The Commission also </w:t>
      </w:r>
      <w:r w:rsidR="009F1EF0" w:rsidRPr="00EE0AB7">
        <w:t xml:space="preserve">estimated that the lower bound was around 8%, based on </w:t>
      </w:r>
      <w:r w:rsidR="00546CDE" w:rsidRPr="00EE0AB7">
        <w:t xml:space="preserve">private patient </w:t>
      </w:r>
      <w:r w:rsidR="007A11B4" w:rsidRPr="00EE0AB7">
        <w:t xml:space="preserve">funding </w:t>
      </w:r>
      <w:r w:rsidR="00D53868" w:rsidRPr="00EE0AB7">
        <w:t xml:space="preserve">of public </w:t>
      </w:r>
      <w:r w:rsidR="00D53868" w:rsidRPr="00EE0AB7">
        <w:lastRenderedPageBreak/>
        <w:t>hospital</w:t>
      </w:r>
      <w:r w:rsidR="00391737" w:rsidRPr="00EE0AB7">
        <w:t xml:space="preserve"> activity</w:t>
      </w:r>
      <w:r w:rsidR="00B57E1A" w:rsidRPr="00EE0AB7">
        <w:t xml:space="preserve">. </w:t>
      </w:r>
      <w:r w:rsidR="008A6B86" w:rsidRPr="00EE0AB7">
        <w:t>In the absence of information to determine a precise figure, t</w:t>
      </w:r>
      <w:r w:rsidR="00A16856" w:rsidRPr="00EE0AB7">
        <w:t xml:space="preserve">he Commission used judgement to </w:t>
      </w:r>
      <w:r w:rsidR="00AE4803">
        <w:t xml:space="preserve">propose </w:t>
      </w:r>
      <w:r w:rsidR="00A16856" w:rsidRPr="00EE0AB7">
        <w:t xml:space="preserve">that </w:t>
      </w:r>
      <w:r w:rsidR="00BF4852" w:rsidRPr="00EE0AB7">
        <w:t>15% remain</w:t>
      </w:r>
      <w:r w:rsidR="00705A14">
        <w:t>s</w:t>
      </w:r>
      <w:r w:rsidR="00BF4852" w:rsidRPr="00EE0AB7">
        <w:t xml:space="preserve"> the </w:t>
      </w:r>
      <w:r w:rsidR="007A34CE">
        <w:t>appropriate</w:t>
      </w:r>
      <w:r w:rsidR="00BF4852" w:rsidRPr="00EE0AB7">
        <w:t xml:space="preserve"> estimate for the substitutability level.</w:t>
      </w:r>
    </w:p>
    <w:p w14:paraId="6383D81B" w14:textId="23638FB3" w:rsidR="00F947CD" w:rsidRPr="00815090" w:rsidRDefault="00362E85" w:rsidP="005D4440">
      <w:pPr>
        <w:pStyle w:val="CGC2025ParaNumbers"/>
      </w:pPr>
      <w:bookmarkStart w:id="66" w:name="_Hlk151987481"/>
      <w:r w:rsidRPr="00815090">
        <w:t xml:space="preserve">An ideal measure of </w:t>
      </w:r>
      <w:r w:rsidR="00BE784D" w:rsidRPr="00815090">
        <w:t>private patient activity does not exi</w:t>
      </w:r>
      <w:r w:rsidR="00AF48C4" w:rsidRPr="00815090">
        <w:t>s</w:t>
      </w:r>
      <w:r w:rsidR="00BE784D" w:rsidRPr="00815090">
        <w:t xml:space="preserve">t </w:t>
      </w:r>
      <w:r w:rsidR="008D4308" w:rsidRPr="00815090">
        <w:t>(there is</w:t>
      </w:r>
      <w:r w:rsidR="00CE6BC0" w:rsidRPr="00815090">
        <w:t xml:space="preserve"> not an equivalent to </w:t>
      </w:r>
      <w:r w:rsidR="00712BD8" w:rsidRPr="00815090">
        <w:t xml:space="preserve">the national weighted activity unit </w:t>
      </w:r>
      <w:r w:rsidR="00B70E64" w:rsidRPr="00815090">
        <w:t>used t</w:t>
      </w:r>
      <w:r w:rsidR="00FB3BFB" w:rsidRPr="00815090">
        <w:t>o measure</w:t>
      </w:r>
      <w:r w:rsidR="00E809E9" w:rsidRPr="00815090">
        <w:t xml:space="preserve"> public patient activity). </w:t>
      </w:r>
      <w:r w:rsidR="00644678" w:rsidRPr="00815090">
        <w:t xml:space="preserve">Hospital separations </w:t>
      </w:r>
      <w:r w:rsidR="00B830CD" w:rsidRPr="00815090">
        <w:t xml:space="preserve">take no account of complexity and other factors that contribute to the cost of </w:t>
      </w:r>
      <w:r w:rsidR="00B97C3E" w:rsidRPr="00815090">
        <w:t>a hospital service.</w:t>
      </w:r>
      <w:r w:rsidR="00B830CD" w:rsidRPr="00815090">
        <w:t xml:space="preserve"> </w:t>
      </w:r>
      <w:r w:rsidR="002C35E4" w:rsidRPr="00815090">
        <w:t>Patient bed days would be an improvement on separations</w:t>
      </w:r>
      <w:r w:rsidR="0041669D" w:rsidRPr="00815090">
        <w:t>,</w:t>
      </w:r>
      <w:r w:rsidR="002C35E4" w:rsidRPr="00815090">
        <w:t xml:space="preserve"> but </w:t>
      </w:r>
      <w:r w:rsidR="00593B3E" w:rsidRPr="00815090">
        <w:t xml:space="preserve">data on actual </w:t>
      </w:r>
      <w:r w:rsidR="008763B3" w:rsidRPr="00815090">
        <w:t xml:space="preserve">private patient bed days by state </w:t>
      </w:r>
      <w:r w:rsidR="002E4260">
        <w:t>are</w:t>
      </w:r>
      <w:r w:rsidR="008763B3" w:rsidRPr="00815090">
        <w:t xml:space="preserve"> not available. </w:t>
      </w:r>
    </w:p>
    <w:p w14:paraId="3C436152" w14:textId="1E9010EC" w:rsidR="00831E28" w:rsidRPr="00815090" w:rsidRDefault="008A6B86" w:rsidP="005D4440">
      <w:pPr>
        <w:pStyle w:val="CGC2025ParaNumbers"/>
      </w:pPr>
      <w:r w:rsidRPr="00815090">
        <w:t>T</w:t>
      </w:r>
      <w:r w:rsidR="00E51938" w:rsidRPr="00815090">
        <w:t xml:space="preserve">he </w:t>
      </w:r>
      <w:r w:rsidR="005F49A4" w:rsidRPr="00815090">
        <w:t xml:space="preserve">Commission </w:t>
      </w:r>
      <w:r w:rsidR="007149A3" w:rsidRPr="00815090">
        <w:t>proposes</w:t>
      </w:r>
      <w:r w:rsidR="005F49A4" w:rsidRPr="00815090">
        <w:t xml:space="preserve"> to </w:t>
      </w:r>
      <w:r w:rsidR="0078434C" w:rsidRPr="00815090">
        <w:t xml:space="preserve">use </w:t>
      </w:r>
      <w:r w:rsidR="00FB05BE">
        <w:t xml:space="preserve">expenses </w:t>
      </w:r>
      <w:r w:rsidR="00FC4BE4">
        <w:t xml:space="preserve">measured by </w:t>
      </w:r>
      <w:r w:rsidR="0078434C" w:rsidRPr="00815090">
        <w:t>benefits paid by private health insurance funds as the proxy</w:t>
      </w:r>
      <w:r w:rsidR="00E51938" w:rsidRPr="00815090">
        <w:t xml:space="preserve"> indicator </w:t>
      </w:r>
      <w:bookmarkEnd w:id="66"/>
      <w:r w:rsidR="008119BA" w:rsidRPr="00815090">
        <w:t>of private patient activity</w:t>
      </w:r>
      <w:r w:rsidR="002F6F69" w:rsidRPr="00815090">
        <w:t xml:space="preserve">. </w:t>
      </w:r>
      <w:r w:rsidR="00117249" w:rsidRPr="00815090">
        <w:t xml:space="preserve">This measure is </w:t>
      </w:r>
      <w:r w:rsidR="00612384" w:rsidRPr="00815090">
        <w:t>not ideal</w:t>
      </w:r>
      <w:r w:rsidR="00117249" w:rsidRPr="00815090">
        <w:t xml:space="preserve"> due to differences across state</w:t>
      </w:r>
      <w:r w:rsidR="008E325C" w:rsidRPr="00815090">
        <w:t>s</w:t>
      </w:r>
      <w:r w:rsidR="00117249" w:rsidRPr="00815090">
        <w:t xml:space="preserve"> in </w:t>
      </w:r>
      <w:r w:rsidR="00D66E2D">
        <w:t xml:space="preserve">average </w:t>
      </w:r>
      <w:r w:rsidR="00CA6217" w:rsidRPr="00815090">
        <w:t>be</w:t>
      </w:r>
      <w:r w:rsidR="008E325C" w:rsidRPr="00815090">
        <w:t>ne</w:t>
      </w:r>
      <w:r w:rsidR="00CA6217" w:rsidRPr="00815090">
        <w:t>fits paid for equivalent hospital services</w:t>
      </w:r>
      <w:r w:rsidR="00784336">
        <w:t xml:space="preserve">, as shown in </w:t>
      </w:r>
      <w:r w:rsidR="00784336">
        <w:fldChar w:fldCharType="begin"/>
      </w:r>
      <w:r w:rsidR="00784336">
        <w:instrText xml:space="preserve"> REF _Ref158118531 \h </w:instrText>
      </w:r>
      <w:r w:rsidR="00784336">
        <w:fldChar w:fldCharType="separate"/>
      </w:r>
      <w:r w:rsidR="00581B01" w:rsidRPr="00CB14ED">
        <w:t xml:space="preserve">Table </w:t>
      </w:r>
      <w:r w:rsidR="00581B01">
        <w:rPr>
          <w:noProof/>
        </w:rPr>
        <w:t>7</w:t>
      </w:r>
      <w:r w:rsidR="00784336">
        <w:fldChar w:fldCharType="end"/>
      </w:r>
      <w:r w:rsidR="0082150E" w:rsidRPr="00815090">
        <w:t>. However</w:t>
      </w:r>
      <w:r w:rsidR="000B17A8" w:rsidRPr="00815090">
        <w:t>, given the</w:t>
      </w:r>
      <w:r w:rsidR="00EA1247">
        <w:t xml:space="preserve"> relatively small differences</w:t>
      </w:r>
      <w:r w:rsidR="00B050E5">
        <w:t xml:space="preserve"> in </w:t>
      </w:r>
      <w:r w:rsidR="0045619A" w:rsidRPr="00815090">
        <w:t>benefits paid for equivalent hospital services</w:t>
      </w:r>
      <w:r w:rsidR="00E95692">
        <w:t xml:space="preserve"> across states</w:t>
      </w:r>
      <w:r w:rsidR="005600C6" w:rsidRPr="00815090">
        <w:t xml:space="preserve">, </w:t>
      </w:r>
      <w:r w:rsidR="00FC4BE4">
        <w:t>expenses</w:t>
      </w:r>
      <w:r w:rsidR="005600C6" w:rsidRPr="00815090">
        <w:t xml:space="preserve"> are </w:t>
      </w:r>
      <w:r w:rsidR="007149A3" w:rsidRPr="00815090">
        <w:t>considered</w:t>
      </w:r>
      <w:r w:rsidR="005600C6" w:rsidRPr="00815090">
        <w:t xml:space="preserve"> to </w:t>
      </w:r>
      <w:r w:rsidR="00CE00B4" w:rsidRPr="00815090">
        <w:t xml:space="preserve">provide a </w:t>
      </w:r>
      <w:r w:rsidR="00647BFA" w:rsidRPr="00815090">
        <w:t xml:space="preserve">better measure of activity </w:t>
      </w:r>
      <w:r w:rsidR="001B318B" w:rsidRPr="00815090">
        <w:t>than separations.</w:t>
      </w:r>
    </w:p>
    <w:p w14:paraId="66EBD258" w14:textId="77777777" w:rsidR="005756BC" w:rsidRDefault="005756BC" w:rsidP="005358DF">
      <w:pPr>
        <w:pStyle w:val="Heading35"/>
      </w:pPr>
      <w:r>
        <w:t>Non-admitted patients</w:t>
      </w:r>
    </w:p>
    <w:p w14:paraId="799B6C03" w14:textId="5E715128" w:rsidR="002557EA" w:rsidRDefault="002557EA" w:rsidP="00CE67DC">
      <w:pPr>
        <w:pStyle w:val="Heading4"/>
      </w:pPr>
      <w:r>
        <w:t>State views</w:t>
      </w:r>
    </w:p>
    <w:p w14:paraId="0DAD01F7" w14:textId="78F559F3" w:rsidR="006C3FCC" w:rsidRDefault="00B0579E" w:rsidP="00B0579E">
      <w:pPr>
        <w:pStyle w:val="CGC2025ParaNumbers"/>
      </w:pPr>
      <w:r w:rsidRPr="00B0579E">
        <w:t>Queensland support</w:t>
      </w:r>
      <w:r w:rsidR="005E2F12">
        <w:t>ed</w:t>
      </w:r>
      <w:r w:rsidRPr="00B0579E">
        <w:t xml:space="preserve"> the reduction in </w:t>
      </w:r>
      <w:r w:rsidR="00CC2764">
        <w:t xml:space="preserve">the </w:t>
      </w:r>
      <w:r w:rsidRPr="00B0579E">
        <w:t>non-admitted patient substitutability rate from 30</w:t>
      </w:r>
      <w:r w:rsidR="00DF2582">
        <w:t>%</w:t>
      </w:r>
      <w:r w:rsidRPr="00B0579E">
        <w:t xml:space="preserve"> to 25</w:t>
      </w:r>
      <w:r w:rsidR="00DF2582">
        <w:t>%</w:t>
      </w:r>
      <w:r w:rsidRPr="00B0579E">
        <w:t xml:space="preserve">. </w:t>
      </w:r>
      <w:r w:rsidR="00963552">
        <w:t>It said t</w:t>
      </w:r>
      <w:r w:rsidRPr="00B0579E">
        <w:t>he Commission’s approach in the 2020</w:t>
      </w:r>
      <w:r w:rsidR="00DF2582">
        <w:t> </w:t>
      </w:r>
      <w:r w:rsidRPr="00B0579E">
        <w:t>Review to determine the substitutability rate for non-admitted patients was comprehensive and rigorous. Queensland agrees that this method can be relied upon again and used with updated data for the 2025 Review.</w:t>
      </w:r>
    </w:p>
    <w:p w14:paraId="16266C77" w14:textId="025B51FB" w:rsidR="000B68B8" w:rsidRDefault="1ED8C769" w:rsidP="00CB34BB">
      <w:pPr>
        <w:pStyle w:val="CGC2025ParaNumbers"/>
      </w:pPr>
      <w:r>
        <w:t>Western Australia said t</w:t>
      </w:r>
      <w:r w:rsidR="6EB407E0">
        <w:t xml:space="preserve">he </w:t>
      </w:r>
      <w:r w:rsidR="00641156">
        <w:t>Commission is mixing up</w:t>
      </w:r>
      <w:r w:rsidR="34358FBF">
        <w:t xml:space="preserve"> the proportion of state services that are </w:t>
      </w:r>
      <w:r w:rsidR="00D57BC4">
        <w:t>comparable</w:t>
      </w:r>
      <w:r w:rsidR="00641156">
        <w:t xml:space="preserve"> with</w:t>
      </w:r>
      <w:r w:rsidR="29A87B26">
        <w:t xml:space="preserve"> the proportion of </w:t>
      </w:r>
      <w:r w:rsidR="00641156">
        <w:t>non-</w:t>
      </w:r>
      <w:r w:rsidR="29A87B26">
        <w:t xml:space="preserve">state services that </w:t>
      </w:r>
      <w:r w:rsidR="40C7E416">
        <w:t>are substitutable</w:t>
      </w:r>
      <w:r w:rsidR="00641156">
        <w:t xml:space="preserve">. </w:t>
      </w:r>
      <w:r w:rsidR="00A4435E">
        <w:t>It said m</w:t>
      </w:r>
      <w:r w:rsidR="00641156">
        <w:t>ultiplying these by each other is meaningless.</w:t>
      </w:r>
      <w:r w:rsidR="7B16199B">
        <w:t xml:space="preserve"> </w:t>
      </w:r>
    </w:p>
    <w:p w14:paraId="6059097D" w14:textId="593CEFC8" w:rsidR="00E901B7" w:rsidRDefault="0F2DE086" w:rsidP="00CB34BB">
      <w:pPr>
        <w:pStyle w:val="CGC2025ParaNumbers"/>
      </w:pPr>
      <w:r>
        <w:t xml:space="preserve">Western Australia </w:t>
      </w:r>
      <w:r w:rsidR="0BD4DA09">
        <w:t>and South Aust</w:t>
      </w:r>
      <w:r w:rsidR="2F15714A">
        <w:t>r</w:t>
      </w:r>
      <w:r w:rsidR="0BD4DA09">
        <w:t>alia</w:t>
      </w:r>
      <w:r w:rsidR="24649D8F">
        <w:t xml:space="preserve"> </w:t>
      </w:r>
      <w:r w:rsidR="21B07265">
        <w:t>said that</w:t>
      </w:r>
      <w:r>
        <w:t xml:space="preserve"> the assumption that half of non</w:t>
      </w:r>
      <w:r w:rsidR="008F5BE4">
        <w:noBreakHyphen/>
      </w:r>
      <w:r>
        <w:t>admitted patient services are linked to a previous hospital attendance is overstated</w:t>
      </w:r>
      <w:r w:rsidR="56B9A7B7">
        <w:t>, while the ACT said the</w:t>
      </w:r>
      <w:r w:rsidR="008CB6CE">
        <w:t xml:space="preserve"> assumption could be reviewed</w:t>
      </w:r>
      <w:r>
        <w:t xml:space="preserve">. </w:t>
      </w:r>
    </w:p>
    <w:p w14:paraId="72F9B101" w14:textId="2C74D4CF" w:rsidR="00317F9C" w:rsidRDefault="00B845C1" w:rsidP="00F90685">
      <w:pPr>
        <w:pStyle w:val="CGC2025ParaNumbers"/>
      </w:pPr>
      <w:r>
        <w:t>The Western Australian Health Department’s best estimate of outpatient activity that is linked/related to an inpatient episode is in the range of 10</w:t>
      </w:r>
      <w:r w:rsidR="008F5BE4">
        <w:t>–</w:t>
      </w:r>
      <w:r>
        <w:t>15%, depending on the number of</w:t>
      </w:r>
      <w:r w:rsidRPr="0042170B">
        <w:t xml:space="preserve"> </w:t>
      </w:r>
      <w:r>
        <w:t>days from the inpatient episode.</w:t>
      </w:r>
      <w:r w:rsidR="003A3A66">
        <w:t xml:space="preserve"> </w:t>
      </w:r>
      <w:r w:rsidR="00F90685">
        <w:t>High level analysis of 2022</w:t>
      </w:r>
      <w:r w:rsidR="008F5BE4">
        <w:t>–</w:t>
      </w:r>
      <w:r w:rsidR="00F90685">
        <w:t xml:space="preserve">23 administrative data by the South Australian Department for Health and Wellbeing indicates that the proportion of </w:t>
      </w:r>
      <w:r w:rsidR="000F6F72">
        <w:t>non</w:t>
      </w:r>
      <w:r w:rsidR="152088D5">
        <w:t>-</w:t>
      </w:r>
      <w:r w:rsidR="000F6F72">
        <w:t>admitted</w:t>
      </w:r>
      <w:r w:rsidR="00F90685">
        <w:t xml:space="preserve"> patients with a previous </w:t>
      </w:r>
      <w:r w:rsidR="000F6F72">
        <w:t>admitted patient</w:t>
      </w:r>
      <w:r w:rsidR="00F90685">
        <w:t xml:space="preserve"> episode in South Australia is likely to be around 25%.</w:t>
      </w:r>
    </w:p>
    <w:p w14:paraId="47845FB5" w14:textId="6E96002D" w:rsidR="00CB21A5" w:rsidRDefault="18723105" w:rsidP="00CB21A5">
      <w:pPr>
        <w:pStyle w:val="CGC2025ParaNumbers"/>
      </w:pPr>
      <w:r>
        <w:t xml:space="preserve">In addition, </w:t>
      </w:r>
      <w:r w:rsidR="43B82ADE">
        <w:t xml:space="preserve">South Australia </w:t>
      </w:r>
      <w:r w:rsidR="746080CF">
        <w:t xml:space="preserve">said </w:t>
      </w:r>
      <w:r>
        <w:t xml:space="preserve">the 50% assumption does not </w:t>
      </w:r>
      <w:proofErr w:type="gramStart"/>
      <w:r>
        <w:t>take into account</w:t>
      </w:r>
      <w:proofErr w:type="gramEnd"/>
      <w:r>
        <w:t xml:space="preserve"> that not all </w:t>
      </w:r>
      <w:r w:rsidR="1822C044">
        <w:t>non</w:t>
      </w:r>
      <w:r w:rsidR="3D2E8511">
        <w:t>-</w:t>
      </w:r>
      <w:r w:rsidR="1822C044">
        <w:t>admitted</w:t>
      </w:r>
      <w:r>
        <w:t xml:space="preserve"> patients with a prior hospital admission are accessing a </w:t>
      </w:r>
      <w:r w:rsidR="1822C044">
        <w:t>non</w:t>
      </w:r>
      <w:r w:rsidR="004B24E8">
        <w:noBreakHyphen/>
      </w:r>
      <w:r w:rsidR="14168BAB">
        <w:t>admitted</w:t>
      </w:r>
      <w:r>
        <w:t xml:space="preserve"> service because of that admission. As some previously admitted patients access </w:t>
      </w:r>
      <w:r w:rsidR="13467EEE">
        <w:t>non</w:t>
      </w:r>
      <w:r w:rsidR="2EF720B3">
        <w:t>-</w:t>
      </w:r>
      <w:r w:rsidR="13467EEE">
        <w:t>admitted patient</w:t>
      </w:r>
      <w:r>
        <w:t xml:space="preserve"> services for conditions not related to their admission, simply applying a proportion based on total </w:t>
      </w:r>
      <w:r w:rsidR="3FCABC36">
        <w:t>non-admitted</w:t>
      </w:r>
      <w:r>
        <w:t xml:space="preserve"> and </w:t>
      </w:r>
      <w:r w:rsidR="1ED379A6">
        <w:t xml:space="preserve">admitted </w:t>
      </w:r>
      <w:r w:rsidR="1ED379A6">
        <w:lastRenderedPageBreak/>
        <w:t>pa</w:t>
      </w:r>
      <w:r w:rsidR="2422F639">
        <w:t>tient</w:t>
      </w:r>
      <w:r>
        <w:t xml:space="preserve"> episodes does not accurately capture the concept the Commission is seeking to reflect through the 50% discount.</w:t>
      </w:r>
      <w:r w:rsidR="2422F639">
        <w:t xml:space="preserve"> </w:t>
      </w:r>
    </w:p>
    <w:p w14:paraId="38B61781" w14:textId="6EA25F91" w:rsidR="00D8684E" w:rsidRDefault="00D8684E" w:rsidP="00D8684E">
      <w:pPr>
        <w:pStyle w:val="CGC2025ParaNumbers"/>
      </w:pPr>
      <w:r>
        <w:t xml:space="preserve">On this basis, South Australia </w:t>
      </w:r>
      <w:r w:rsidR="00963552">
        <w:t>said</w:t>
      </w:r>
      <w:r>
        <w:t xml:space="preserve"> the Commission </w:t>
      </w:r>
      <w:r w:rsidR="00963552">
        <w:t xml:space="preserve">should </w:t>
      </w:r>
      <w:r>
        <w:t>investigate the appropriateness of the 50% discount. This could be based on administrative data from the states, with an appropriate adjustment if required</w:t>
      </w:r>
      <w:r w:rsidR="00686F84">
        <w:t>,</w:t>
      </w:r>
      <w:r>
        <w:t xml:space="preserve"> to recognise that not all outpatients with a previous hospital admission seek </w:t>
      </w:r>
      <w:r w:rsidR="00353135">
        <w:t>non</w:t>
      </w:r>
      <w:r w:rsidR="27FE8BA7">
        <w:t>-</w:t>
      </w:r>
      <w:r w:rsidR="00353135">
        <w:t>admitted patient</w:t>
      </w:r>
      <w:r>
        <w:t xml:space="preserve"> services because of the admission.</w:t>
      </w:r>
    </w:p>
    <w:p w14:paraId="49FF9E28" w14:textId="13C2E7AC" w:rsidR="006F4AB7" w:rsidRDefault="006F4AB7" w:rsidP="00B74555">
      <w:pPr>
        <w:pStyle w:val="CGC2025ParaNumbers"/>
      </w:pPr>
      <w:r>
        <w:t>Tasmania support</w:t>
      </w:r>
      <w:r w:rsidR="00EC034E">
        <w:t>ed</w:t>
      </w:r>
      <w:r>
        <w:t xml:space="preserve"> retaining the 2020 Review methodology to update the substitutability levels for non-admitted patients.</w:t>
      </w:r>
    </w:p>
    <w:p w14:paraId="2DF199BB" w14:textId="2B185FF0" w:rsidR="00CA32E8" w:rsidRDefault="003A1449" w:rsidP="00FA48B3">
      <w:pPr>
        <w:pStyle w:val="CGC2025ParaNumbers"/>
      </w:pPr>
      <w:r>
        <w:t xml:space="preserve">The Northern Territory said </w:t>
      </w:r>
      <w:r w:rsidR="00A60AA7">
        <w:t xml:space="preserve">there is </w:t>
      </w:r>
      <w:r w:rsidR="0047411E">
        <w:t xml:space="preserve">a weak </w:t>
      </w:r>
      <w:r w:rsidR="00A60AA7">
        <w:t xml:space="preserve">conceptual case </w:t>
      </w:r>
      <w:r w:rsidR="0047411E">
        <w:t xml:space="preserve">for an assumption </w:t>
      </w:r>
      <w:r w:rsidR="00A60AA7">
        <w:t>that a service with a nominal out-of-pocket cost ceases to be substitutable with state services</w:t>
      </w:r>
      <w:r w:rsidR="00F83379">
        <w:t>.</w:t>
      </w:r>
      <w:r w:rsidR="001114E3">
        <w:t xml:space="preserve"> </w:t>
      </w:r>
    </w:p>
    <w:p w14:paraId="276BBD27" w14:textId="21A758F0" w:rsidR="003A1449" w:rsidRDefault="00F504B9" w:rsidP="00243E4A">
      <w:pPr>
        <w:pStyle w:val="CGC2025ParaNumbers"/>
      </w:pPr>
      <w:r>
        <w:t xml:space="preserve">The Northern Territory </w:t>
      </w:r>
      <w:r w:rsidR="009E43F3">
        <w:t xml:space="preserve">said </w:t>
      </w:r>
      <w:r w:rsidR="003A1449">
        <w:t xml:space="preserve">that </w:t>
      </w:r>
      <w:r w:rsidR="00243E4A">
        <w:t xml:space="preserve">there is a </w:t>
      </w:r>
      <w:r w:rsidR="00243E4A" w:rsidRPr="00243E4A">
        <w:t>significant degree of discretion required in determining substitutability ratios and submits that the substitutability ratio of 30%</w:t>
      </w:r>
      <w:r w:rsidR="00F21628">
        <w:t> </w:t>
      </w:r>
      <w:r w:rsidR="00243E4A" w:rsidRPr="00243E4A">
        <w:t>should continue for non-admitted patients</w:t>
      </w:r>
      <w:r w:rsidR="00243E4A">
        <w:t>.</w:t>
      </w:r>
    </w:p>
    <w:p w14:paraId="79CBD6B2" w14:textId="1DE8C1D8" w:rsidR="00F62998" w:rsidRDefault="00F62998" w:rsidP="00F62998">
      <w:pPr>
        <w:pStyle w:val="Heading4"/>
      </w:pPr>
      <w:r>
        <w:t>Commission response</w:t>
      </w:r>
    </w:p>
    <w:p w14:paraId="093FDCEA" w14:textId="1AABD154" w:rsidR="00F62998" w:rsidRPr="00A9078B" w:rsidRDefault="00F62998" w:rsidP="00633DEF">
      <w:pPr>
        <w:pStyle w:val="CGC2025ParaNumbers"/>
      </w:pPr>
      <w:bookmarkStart w:id="67" w:name="_Ref152757160"/>
      <w:r w:rsidRPr="00A9078B">
        <w:t xml:space="preserve">For non-admitted patients, the Commission uses </w:t>
      </w:r>
      <w:r w:rsidR="00837EAA" w:rsidRPr="00A9078B">
        <w:t xml:space="preserve">the </w:t>
      </w:r>
      <w:r w:rsidR="00572E65">
        <w:t>mid</w:t>
      </w:r>
      <w:r w:rsidR="00572E65">
        <w:noBreakHyphen/>
        <w:t>point</w:t>
      </w:r>
      <w:r w:rsidR="00837EAA" w:rsidRPr="00A9078B">
        <w:t xml:space="preserve"> of </w:t>
      </w:r>
      <w:r w:rsidR="009726FA">
        <w:t>2</w:t>
      </w:r>
      <w:r w:rsidR="009726FA" w:rsidRPr="00A9078B">
        <w:t xml:space="preserve"> </w:t>
      </w:r>
      <w:r w:rsidR="00837EAA" w:rsidRPr="00A9078B">
        <w:t>methods</w:t>
      </w:r>
      <w:r w:rsidRPr="00A9078B">
        <w:t xml:space="preserve"> to determine the </w:t>
      </w:r>
      <w:r w:rsidR="00A0421B">
        <w:t>non</w:t>
      </w:r>
      <w:r w:rsidR="00A0421B">
        <w:noBreakHyphen/>
        <w:t xml:space="preserve">state sector </w:t>
      </w:r>
      <w:r w:rsidRPr="00A9078B">
        <w:t>substitutability level.</w:t>
      </w:r>
      <w:bookmarkEnd w:id="67"/>
    </w:p>
    <w:p w14:paraId="3897FC30" w14:textId="338C25A8" w:rsidR="00EA3E2A" w:rsidRPr="00EA3E2A" w:rsidRDefault="00910B33" w:rsidP="00EA3E2A">
      <w:pPr>
        <w:pStyle w:val="Heading5"/>
      </w:pPr>
      <w:r w:rsidRPr="00A9078B">
        <w:t>Method</w:t>
      </w:r>
      <w:r w:rsidR="6EB610B6" w:rsidRPr="00A9078B">
        <w:t xml:space="preserve"> 1: comparable state services</w:t>
      </w:r>
    </w:p>
    <w:p w14:paraId="5D625A42" w14:textId="18784949" w:rsidR="00633DEF" w:rsidRDefault="000E1EB9" w:rsidP="00633DEF">
      <w:pPr>
        <w:pStyle w:val="CGC2025ParaNumbers"/>
      </w:pPr>
      <w:r w:rsidRPr="00A9078B">
        <w:t xml:space="preserve">This method </w:t>
      </w:r>
      <w:r w:rsidR="00741BB8">
        <w:t>first</w:t>
      </w:r>
      <w:r w:rsidRPr="00A9078B">
        <w:t xml:space="preserve"> estimates </w:t>
      </w:r>
      <w:r w:rsidR="002E2EEC">
        <w:t>‘</w:t>
      </w:r>
      <w:r w:rsidRPr="00A9078B">
        <w:t>comparable</w:t>
      </w:r>
      <w:r w:rsidR="002E2EEC">
        <w:t>’</w:t>
      </w:r>
      <w:r w:rsidRPr="00A9078B">
        <w:t xml:space="preserve"> services based on the </w:t>
      </w:r>
      <w:r w:rsidR="006C29A9">
        <w:t xml:space="preserve">similarity of services undertaken in </w:t>
      </w:r>
      <w:r w:rsidR="00CC1F28">
        <w:t xml:space="preserve">public </w:t>
      </w:r>
      <w:r w:rsidR="0019471E">
        <w:t xml:space="preserve">hospitals </w:t>
      </w:r>
      <w:r w:rsidR="00144B4E">
        <w:t xml:space="preserve">and </w:t>
      </w:r>
      <w:r w:rsidR="00D16F08">
        <w:t>the non</w:t>
      </w:r>
      <w:r w:rsidR="00D16F08">
        <w:noBreakHyphen/>
        <w:t>state sector</w:t>
      </w:r>
      <w:r w:rsidR="00BC35CB">
        <w:t xml:space="preserve">. </w:t>
      </w:r>
      <w:r w:rsidR="000D7C79">
        <w:t xml:space="preserve">The </w:t>
      </w:r>
      <w:proofErr w:type="gramStart"/>
      <w:r w:rsidR="009578E8">
        <w:t>amount</w:t>
      </w:r>
      <w:proofErr w:type="gramEnd"/>
      <w:r w:rsidR="009578E8">
        <w:t xml:space="preserve"> of comparable </w:t>
      </w:r>
      <w:r w:rsidR="009F1509">
        <w:t xml:space="preserve">services that </w:t>
      </w:r>
      <w:r w:rsidR="002E2EEC">
        <w:t>are likely to be</w:t>
      </w:r>
      <w:r w:rsidR="000D7C79">
        <w:t xml:space="preserve"> </w:t>
      </w:r>
      <w:r w:rsidR="00EF4BC0">
        <w:t>‘subst</w:t>
      </w:r>
      <w:r w:rsidR="005979FA">
        <w:t xml:space="preserve">itutable’ </w:t>
      </w:r>
      <w:r w:rsidR="00F3699A">
        <w:t xml:space="preserve">are then estimated </w:t>
      </w:r>
      <w:r w:rsidR="00975C2A">
        <w:t xml:space="preserve">based </w:t>
      </w:r>
      <w:r w:rsidR="00866023">
        <w:t xml:space="preserve">on </w:t>
      </w:r>
      <w:r w:rsidR="003474EA">
        <w:t>the likel</w:t>
      </w:r>
      <w:r w:rsidR="005B7BFB">
        <w:t xml:space="preserve">ihood of </w:t>
      </w:r>
      <w:r w:rsidR="00A22369">
        <w:t xml:space="preserve">patients choosing to use </w:t>
      </w:r>
      <w:r w:rsidR="0023140D">
        <w:t>non</w:t>
      </w:r>
      <w:r w:rsidR="0023140D">
        <w:noBreakHyphen/>
        <w:t xml:space="preserve">state </w:t>
      </w:r>
      <w:r w:rsidR="006A03C5">
        <w:t xml:space="preserve">services rather than state services. </w:t>
      </w:r>
    </w:p>
    <w:p w14:paraId="22288FA0" w14:textId="74A2DB68" w:rsidR="00E143E8" w:rsidRPr="00A9078B" w:rsidRDefault="6EB610B6" w:rsidP="000205B3">
      <w:pPr>
        <w:pStyle w:val="CGC2025ParaNumbers"/>
      </w:pPr>
      <w:r w:rsidRPr="00A9078B">
        <w:t>In the 2020 Review the Commission considered that the proportion of state services that were also undertaken in the non</w:t>
      </w:r>
      <w:r w:rsidR="26FC1289" w:rsidRPr="00A9078B">
        <w:t>-</w:t>
      </w:r>
      <w:r w:rsidRPr="00A9078B">
        <w:t xml:space="preserve">state sector </w:t>
      </w:r>
      <w:r w:rsidR="000205B3">
        <w:t xml:space="preserve">(that is, comparable services) </w:t>
      </w:r>
      <w:r w:rsidRPr="00A9078B">
        <w:t>was around 70%</w:t>
      </w:r>
      <w:r w:rsidR="00C018AA" w:rsidRPr="00A9078B">
        <w:t xml:space="preserve">. </w:t>
      </w:r>
      <w:r w:rsidR="0055041A">
        <w:t>Using the latest available data, t</w:t>
      </w:r>
      <w:r w:rsidRPr="00A9078B">
        <w:t xml:space="preserve">he equivalent figure </w:t>
      </w:r>
      <w:r w:rsidR="008D7403">
        <w:t>has reduced to</w:t>
      </w:r>
      <w:r w:rsidRPr="00A9078B">
        <w:t xml:space="preserve"> 6</w:t>
      </w:r>
      <w:r w:rsidR="0088403A">
        <w:t>5</w:t>
      </w:r>
      <w:r w:rsidRPr="00A9078B">
        <w:t>%</w:t>
      </w:r>
      <w:r w:rsidR="009303A4">
        <w:t>,</w:t>
      </w:r>
      <w:r w:rsidR="00864741" w:rsidRPr="00A9078B">
        <w:t xml:space="preserve"> mainly due </w:t>
      </w:r>
      <w:r w:rsidR="00392D65">
        <w:t xml:space="preserve">to </w:t>
      </w:r>
      <w:r w:rsidR="00864741" w:rsidRPr="00A9078B">
        <w:t xml:space="preserve">the lower expenditure share of consultation clinics, where </w:t>
      </w:r>
      <w:r w:rsidR="00FE732C">
        <w:t>comparable</w:t>
      </w:r>
      <w:r w:rsidR="00864741" w:rsidRPr="00A9078B">
        <w:t xml:space="preserve"> non-state services are available (</w:t>
      </w:r>
      <w:r w:rsidR="00B21536">
        <w:t>Table 11</w:t>
      </w:r>
      <w:r w:rsidR="00864741" w:rsidRPr="00A9078B">
        <w:t xml:space="preserve">). </w:t>
      </w:r>
    </w:p>
    <w:p w14:paraId="67121B63" w14:textId="77777777" w:rsidR="00513C32" w:rsidRDefault="00513C32">
      <w:pPr>
        <w:tabs>
          <w:tab w:val="clear" w:pos="567"/>
        </w:tabs>
        <w:spacing w:before="0" w:after="200" w:line="276" w:lineRule="auto"/>
        <w:rPr>
          <w:rFonts w:ascii="Work Sans" w:hAnsi="Work Sans"/>
          <w:b/>
        </w:rPr>
      </w:pPr>
      <w:bookmarkStart w:id="68" w:name="_Ref166759564"/>
      <w:r>
        <w:br w:type="page"/>
      </w:r>
    </w:p>
    <w:p w14:paraId="2B5C8CB3" w14:textId="2043E0C1" w:rsidR="00DB34D3" w:rsidRDefault="00DB34D3" w:rsidP="002C03F9">
      <w:pPr>
        <w:pStyle w:val="CGC2025Caption"/>
        <w:keepNext/>
        <w:tabs>
          <w:tab w:val="left" w:pos="1134"/>
        </w:tabs>
      </w:pPr>
      <w:r>
        <w:lastRenderedPageBreak/>
        <w:t xml:space="preserve">Table </w:t>
      </w:r>
      <w:r>
        <w:fldChar w:fldCharType="begin"/>
      </w:r>
      <w:r>
        <w:instrText>SEQ Table \* ARABIC</w:instrText>
      </w:r>
      <w:r>
        <w:fldChar w:fldCharType="separate"/>
      </w:r>
      <w:r w:rsidR="00581B01">
        <w:rPr>
          <w:noProof/>
        </w:rPr>
        <w:t>11</w:t>
      </w:r>
      <w:r>
        <w:fldChar w:fldCharType="end"/>
      </w:r>
      <w:bookmarkEnd w:id="68"/>
      <w:r>
        <w:tab/>
      </w:r>
      <w:r w:rsidR="00130834">
        <w:t>E</w:t>
      </w:r>
      <w:r>
        <w:t>stimating comparable</w:t>
      </w:r>
      <w:r w:rsidR="00130834">
        <w:t xml:space="preserve"> services</w:t>
      </w:r>
      <w:r w:rsidR="00497F32">
        <w:t xml:space="preserve"> (method 1)</w:t>
      </w:r>
    </w:p>
    <w:tbl>
      <w:tblPr>
        <w:tblW w:w="8942" w:type="dxa"/>
        <w:tblLook w:val="04A0" w:firstRow="1" w:lastRow="0" w:firstColumn="1" w:lastColumn="0" w:noHBand="0" w:noVBand="1"/>
      </w:tblPr>
      <w:tblGrid>
        <w:gridCol w:w="1298"/>
        <w:gridCol w:w="968"/>
        <w:gridCol w:w="1092"/>
        <w:gridCol w:w="1257"/>
        <w:gridCol w:w="1463"/>
        <w:gridCol w:w="1401"/>
        <w:gridCol w:w="1463"/>
      </w:tblGrid>
      <w:tr w:rsidR="00F54873" w:rsidRPr="00FE274B" w14:paraId="3707F3C3" w14:textId="77777777" w:rsidTr="00580637">
        <w:trPr>
          <w:trHeight w:val="702"/>
        </w:trPr>
        <w:tc>
          <w:tcPr>
            <w:tcW w:w="1260" w:type="dxa"/>
            <w:tcBorders>
              <w:top w:val="nil"/>
              <w:left w:val="nil"/>
              <w:bottom w:val="nil"/>
              <w:right w:val="nil"/>
            </w:tcBorders>
            <w:shd w:val="clear" w:color="000000" w:fill="006991"/>
            <w:vAlign w:val="center"/>
            <w:hideMark/>
          </w:tcPr>
          <w:p w14:paraId="2EC6FEAC" w14:textId="77777777" w:rsidR="00F54873" w:rsidRPr="00FE274B" w:rsidRDefault="00F54873" w:rsidP="00580637">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FE274B">
              <w:rPr>
                <w:rFonts w:ascii="Open Sans Semibold" w:eastAsia="Times New Roman" w:hAnsi="Open Sans Semibold" w:cs="Open Sans Semibold"/>
                <w:color w:val="FFFFFF"/>
                <w:sz w:val="16"/>
                <w:szCs w:val="16"/>
                <w:lang w:eastAsia="en-AU"/>
              </w:rPr>
              <w:t>Group of services</w:t>
            </w:r>
          </w:p>
        </w:tc>
        <w:tc>
          <w:tcPr>
            <w:tcW w:w="940" w:type="dxa"/>
            <w:tcBorders>
              <w:top w:val="nil"/>
              <w:left w:val="nil"/>
              <w:bottom w:val="nil"/>
              <w:right w:val="nil"/>
            </w:tcBorders>
            <w:shd w:val="clear" w:color="000000" w:fill="006991"/>
            <w:noWrap/>
            <w:vAlign w:val="center"/>
            <w:hideMark/>
          </w:tcPr>
          <w:p w14:paraId="2324D16C" w14:textId="77777777" w:rsidR="00F54873" w:rsidRPr="00FE274B" w:rsidRDefault="00F54873" w:rsidP="00580637">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FE274B">
              <w:rPr>
                <w:rFonts w:ascii="Open Sans Semibold" w:eastAsia="Times New Roman" w:hAnsi="Open Sans Semibold" w:cs="Open Sans Semibold"/>
                <w:color w:val="FFFFFF"/>
                <w:sz w:val="16"/>
                <w:szCs w:val="16"/>
                <w:lang w:eastAsia="en-AU"/>
              </w:rPr>
              <w:t> </w:t>
            </w:r>
          </w:p>
        </w:tc>
        <w:tc>
          <w:tcPr>
            <w:tcW w:w="1060" w:type="dxa"/>
            <w:tcBorders>
              <w:top w:val="nil"/>
              <w:left w:val="nil"/>
              <w:bottom w:val="single" w:sz="8" w:space="0" w:color="ADD6EA"/>
              <w:right w:val="nil"/>
            </w:tcBorders>
            <w:shd w:val="clear" w:color="000000" w:fill="006991"/>
            <w:vAlign w:val="center"/>
            <w:hideMark/>
          </w:tcPr>
          <w:p w14:paraId="5682D3E8" w14:textId="77777777" w:rsidR="00F54873" w:rsidRPr="00FE274B" w:rsidRDefault="00F54873" w:rsidP="00580637">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274B">
              <w:rPr>
                <w:rFonts w:ascii="Open Sans Semibold" w:eastAsia="Times New Roman" w:hAnsi="Open Sans Semibold" w:cs="Open Sans Semibold"/>
                <w:color w:val="FFFFFF"/>
                <w:sz w:val="16"/>
                <w:szCs w:val="16"/>
                <w:lang w:eastAsia="en-AU"/>
              </w:rPr>
              <w:t xml:space="preserve">Share of </w:t>
            </w:r>
            <w:r w:rsidRPr="00FE274B">
              <w:rPr>
                <w:rFonts w:ascii="Open Sans Semibold" w:eastAsia="Times New Roman" w:hAnsi="Open Sans Semibold" w:cs="Open Sans Semibold"/>
                <w:color w:val="FFFFFF"/>
                <w:sz w:val="16"/>
                <w:szCs w:val="16"/>
                <w:lang w:eastAsia="en-AU"/>
              </w:rPr>
              <w:br/>
              <w:t>activity</w:t>
            </w:r>
          </w:p>
        </w:tc>
        <w:tc>
          <w:tcPr>
            <w:tcW w:w="1220" w:type="dxa"/>
            <w:tcBorders>
              <w:top w:val="nil"/>
              <w:left w:val="nil"/>
              <w:bottom w:val="nil"/>
              <w:right w:val="nil"/>
            </w:tcBorders>
            <w:shd w:val="clear" w:color="000000" w:fill="006991"/>
            <w:vAlign w:val="center"/>
            <w:hideMark/>
          </w:tcPr>
          <w:p w14:paraId="7408438B" w14:textId="14296A4F" w:rsidR="00F54873" w:rsidRPr="00FE274B" w:rsidRDefault="00F54873" w:rsidP="00580637">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274B">
              <w:rPr>
                <w:rFonts w:ascii="Open Sans Semibold" w:eastAsia="Times New Roman" w:hAnsi="Open Sans Semibold" w:cs="Open Sans Semibold"/>
                <w:color w:val="FFFFFF"/>
                <w:sz w:val="16"/>
                <w:szCs w:val="16"/>
                <w:lang w:eastAsia="en-AU"/>
              </w:rPr>
              <w:t>Average expen</w:t>
            </w:r>
            <w:r w:rsidR="000860A5">
              <w:rPr>
                <w:rFonts w:ascii="Open Sans Semibold" w:eastAsia="Times New Roman" w:hAnsi="Open Sans Semibold" w:cs="Open Sans Semibold"/>
                <w:color w:val="FFFFFF"/>
                <w:sz w:val="16"/>
                <w:szCs w:val="16"/>
                <w:lang w:eastAsia="en-AU"/>
              </w:rPr>
              <w:t>se per service</w:t>
            </w:r>
            <w:r w:rsidRPr="00FE274B">
              <w:rPr>
                <w:rFonts w:ascii="Open Sans Semibold" w:eastAsia="Times New Roman" w:hAnsi="Open Sans Semibold" w:cs="Open Sans Semibold"/>
                <w:color w:val="FFFFFF"/>
                <w:sz w:val="16"/>
                <w:szCs w:val="16"/>
                <w:lang w:eastAsia="en-AU"/>
              </w:rPr>
              <w:t xml:space="preserve"> </w:t>
            </w:r>
          </w:p>
        </w:tc>
        <w:tc>
          <w:tcPr>
            <w:tcW w:w="1420" w:type="dxa"/>
            <w:tcBorders>
              <w:top w:val="nil"/>
              <w:left w:val="nil"/>
              <w:bottom w:val="nil"/>
              <w:right w:val="nil"/>
            </w:tcBorders>
            <w:shd w:val="clear" w:color="000000" w:fill="006991"/>
            <w:vAlign w:val="center"/>
            <w:hideMark/>
          </w:tcPr>
          <w:p w14:paraId="7C142AA5" w14:textId="7C22DC56" w:rsidR="00F54873" w:rsidRPr="00FE274B" w:rsidRDefault="00F54873" w:rsidP="00580637">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274B">
              <w:rPr>
                <w:rFonts w:ascii="Open Sans Semibold" w:eastAsia="Times New Roman" w:hAnsi="Open Sans Semibold" w:cs="Open Sans Semibold"/>
                <w:color w:val="FFFFFF"/>
                <w:sz w:val="16"/>
                <w:szCs w:val="16"/>
                <w:lang w:eastAsia="en-AU"/>
              </w:rPr>
              <w:t>Share of expen</w:t>
            </w:r>
            <w:r w:rsidR="002C5950">
              <w:rPr>
                <w:rFonts w:ascii="Open Sans Semibold" w:eastAsia="Times New Roman" w:hAnsi="Open Sans Semibold" w:cs="Open Sans Semibold"/>
                <w:color w:val="FFFFFF"/>
                <w:sz w:val="16"/>
                <w:szCs w:val="16"/>
                <w:lang w:eastAsia="en-AU"/>
              </w:rPr>
              <w:t>ses</w:t>
            </w:r>
          </w:p>
        </w:tc>
        <w:tc>
          <w:tcPr>
            <w:tcW w:w="1360" w:type="dxa"/>
            <w:tcBorders>
              <w:top w:val="nil"/>
              <w:left w:val="nil"/>
              <w:bottom w:val="nil"/>
              <w:right w:val="nil"/>
            </w:tcBorders>
            <w:shd w:val="clear" w:color="000000" w:fill="006991"/>
            <w:vAlign w:val="center"/>
            <w:hideMark/>
          </w:tcPr>
          <w:p w14:paraId="37A418E5" w14:textId="1B4ACF60" w:rsidR="00F54873" w:rsidRPr="00FE274B" w:rsidRDefault="00F54873" w:rsidP="00580637">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 xml:space="preserve">Substitutable </w:t>
            </w:r>
            <w:r w:rsidRPr="00FE274B">
              <w:rPr>
                <w:rFonts w:ascii="Open Sans Semibold" w:eastAsia="Times New Roman" w:hAnsi="Open Sans Semibold" w:cs="Open Sans Semibold"/>
                <w:color w:val="FFFFFF"/>
                <w:sz w:val="16"/>
                <w:szCs w:val="16"/>
                <w:lang w:eastAsia="en-AU"/>
              </w:rPr>
              <w:t>service available</w:t>
            </w:r>
            <w:r>
              <w:rPr>
                <w:rFonts w:ascii="Open Sans Semibold" w:eastAsia="Times New Roman" w:hAnsi="Open Sans Semibold" w:cs="Open Sans Semibold"/>
                <w:color w:val="FFFFFF"/>
                <w:sz w:val="16"/>
                <w:szCs w:val="16"/>
                <w:lang w:eastAsia="en-AU"/>
              </w:rPr>
              <w:t xml:space="preserve"> (a)</w:t>
            </w:r>
          </w:p>
        </w:tc>
        <w:tc>
          <w:tcPr>
            <w:tcW w:w="1420" w:type="dxa"/>
            <w:tcBorders>
              <w:top w:val="nil"/>
              <w:left w:val="nil"/>
              <w:bottom w:val="nil"/>
              <w:right w:val="nil"/>
            </w:tcBorders>
            <w:shd w:val="clear" w:color="000000" w:fill="006991"/>
            <w:vAlign w:val="center"/>
            <w:hideMark/>
          </w:tcPr>
          <w:p w14:paraId="2D5BD505" w14:textId="560BEC07" w:rsidR="00F54873" w:rsidRPr="00FE274B" w:rsidRDefault="00F54873" w:rsidP="00580637">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E274B">
              <w:rPr>
                <w:rFonts w:ascii="Open Sans Semibold" w:eastAsia="Times New Roman" w:hAnsi="Open Sans Semibold" w:cs="Open Sans Semibold"/>
                <w:color w:val="FFFFFF"/>
                <w:sz w:val="16"/>
                <w:szCs w:val="16"/>
                <w:lang w:eastAsia="en-AU"/>
              </w:rPr>
              <w:t>NAP substitutability</w:t>
            </w:r>
            <w:r>
              <w:rPr>
                <w:rFonts w:ascii="Open Sans Semibold" w:eastAsia="Times New Roman" w:hAnsi="Open Sans Semibold" w:cs="Open Sans Semibold"/>
                <w:color w:val="FFFFFF"/>
                <w:sz w:val="16"/>
                <w:szCs w:val="16"/>
                <w:lang w:eastAsia="en-AU"/>
              </w:rPr>
              <w:t xml:space="preserve"> (b)</w:t>
            </w:r>
          </w:p>
        </w:tc>
      </w:tr>
      <w:tr w:rsidR="00F54873" w:rsidRPr="00FE274B" w14:paraId="18B2D457" w14:textId="77777777" w:rsidTr="00580637">
        <w:trPr>
          <w:trHeight w:val="270"/>
        </w:trPr>
        <w:tc>
          <w:tcPr>
            <w:tcW w:w="1260" w:type="dxa"/>
            <w:tcBorders>
              <w:top w:val="single" w:sz="8" w:space="0" w:color="ADD6EA"/>
              <w:left w:val="nil"/>
              <w:bottom w:val="nil"/>
              <w:right w:val="nil"/>
            </w:tcBorders>
            <w:shd w:val="clear" w:color="000000" w:fill="B6D5E4"/>
            <w:noWrap/>
            <w:vAlign w:val="center"/>
            <w:hideMark/>
          </w:tcPr>
          <w:p w14:paraId="471F5C9A" w14:textId="77777777" w:rsidR="00F54873" w:rsidRPr="00FE274B" w:rsidRDefault="00F54873" w:rsidP="00580637">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 </w:t>
            </w:r>
          </w:p>
        </w:tc>
        <w:tc>
          <w:tcPr>
            <w:tcW w:w="940" w:type="dxa"/>
            <w:tcBorders>
              <w:top w:val="single" w:sz="8" w:space="0" w:color="ADD6EA"/>
              <w:left w:val="nil"/>
              <w:bottom w:val="nil"/>
              <w:right w:val="nil"/>
            </w:tcBorders>
            <w:shd w:val="clear" w:color="000000" w:fill="B6D5E4"/>
            <w:noWrap/>
            <w:vAlign w:val="center"/>
            <w:hideMark/>
          </w:tcPr>
          <w:p w14:paraId="193054D7" w14:textId="77777777" w:rsidR="00F54873" w:rsidRPr="00FE274B" w:rsidRDefault="00F54873" w:rsidP="00580637">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 </w:t>
            </w:r>
          </w:p>
        </w:tc>
        <w:tc>
          <w:tcPr>
            <w:tcW w:w="1060" w:type="dxa"/>
            <w:tcBorders>
              <w:top w:val="nil"/>
              <w:left w:val="nil"/>
              <w:bottom w:val="nil"/>
              <w:right w:val="nil"/>
            </w:tcBorders>
            <w:shd w:val="clear" w:color="000000" w:fill="B6D5E4"/>
            <w:noWrap/>
            <w:vAlign w:val="center"/>
            <w:hideMark/>
          </w:tcPr>
          <w:p w14:paraId="6E338E39" w14:textId="77777777" w:rsidR="00F54873" w:rsidRPr="00FE274B" w:rsidRDefault="00F54873" w:rsidP="00580637">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w:t>
            </w:r>
          </w:p>
        </w:tc>
        <w:tc>
          <w:tcPr>
            <w:tcW w:w="1220" w:type="dxa"/>
            <w:tcBorders>
              <w:top w:val="single" w:sz="8" w:space="0" w:color="ADD6EA"/>
              <w:left w:val="nil"/>
              <w:bottom w:val="nil"/>
              <w:right w:val="nil"/>
            </w:tcBorders>
            <w:shd w:val="clear" w:color="000000" w:fill="B6D5E4"/>
            <w:noWrap/>
            <w:vAlign w:val="center"/>
            <w:hideMark/>
          </w:tcPr>
          <w:p w14:paraId="4AE423E8" w14:textId="77777777" w:rsidR="00F54873" w:rsidRPr="00FE274B" w:rsidRDefault="00F54873" w:rsidP="00580637">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w:t>
            </w:r>
          </w:p>
        </w:tc>
        <w:tc>
          <w:tcPr>
            <w:tcW w:w="1420" w:type="dxa"/>
            <w:tcBorders>
              <w:top w:val="single" w:sz="8" w:space="0" w:color="ADD6EA"/>
              <w:left w:val="nil"/>
              <w:bottom w:val="nil"/>
              <w:right w:val="nil"/>
            </w:tcBorders>
            <w:shd w:val="clear" w:color="000000" w:fill="B6D5E4"/>
            <w:noWrap/>
            <w:vAlign w:val="center"/>
            <w:hideMark/>
          </w:tcPr>
          <w:p w14:paraId="2D425738" w14:textId="77777777" w:rsidR="00F54873" w:rsidRPr="00FE274B" w:rsidRDefault="00F54873" w:rsidP="00580637">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w:t>
            </w:r>
          </w:p>
        </w:tc>
        <w:tc>
          <w:tcPr>
            <w:tcW w:w="1360" w:type="dxa"/>
            <w:tcBorders>
              <w:top w:val="single" w:sz="8" w:space="0" w:color="ADD6EA"/>
              <w:left w:val="nil"/>
              <w:bottom w:val="nil"/>
              <w:right w:val="nil"/>
            </w:tcBorders>
            <w:shd w:val="clear" w:color="000000" w:fill="B6D5E4"/>
            <w:noWrap/>
            <w:vAlign w:val="center"/>
            <w:hideMark/>
          </w:tcPr>
          <w:p w14:paraId="0495DA28" w14:textId="77777777" w:rsidR="00F54873" w:rsidRPr="00FE274B" w:rsidRDefault="00F54873" w:rsidP="00580637">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 </w:t>
            </w:r>
          </w:p>
        </w:tc>
        <w:tc>
          <w:tcPr>
            <w:tcW w:w="1420" w:type="dxa"/>
            <w:tcBorders>
              <w:top w:val="single" w:sz="8" w:space="0" w:color="ADD6EA"/>
              <w:left w:val="nil"/>
              <w:bottom w:val="nil"/>
              <w:right w:val="nil"/>
            </w:tcBorders>
            <w:shd w:val="clear" w:color="000000" w:fill="B6D5E4"/>
            <w:noWrap/>
            <w:vAlign w:val="center"/>
            <w:hideMark/>
          </w:tcPr>
          <w:p w14:paraId="03DEE2E3" w14:textId="77777777" w:rsidR="00F54873" w:rsidRPr="00FE274B" w:rsidRDefault="00F54873" w:rsidP="00580637">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w:t>
            </w:r>
          </w:p>
        </w:tc>
      </w:tr>
      <w:tr w:rsidR="00F54873" w:rsidRPr="00FE274B" w14:paraId="0F0CBE65" w14:textId="77777777" w:rsidTr="00CA416E">
        <w:trPr>
          <w:trHeight w:val="270"/>
        </w:trPr>
        <w:tc>
          <w:tcPr>
            <w:tcW w:w="2200" w:type="dxa"/>
            <w:gridSpan w:val="2"/>
            <w:tcBorders>
              <w:top w:val="single" w:sz="4" w:space="0" w:color="ADD6EA"/>
              <w:left w:val="nil"/>
              <w:bottom w:val="single" w:sz="4" w:space="0" w:color="ADD6EA"/>
              <w:right w:val="nil"/>
            </w:tcBorders>
            <w:shd w:val="clear" w:color="auto" w:fill="auto"/>
            <w:noWrap/>
            <w:vAlign w:val="center"/>
            <w:hideMark/>
          </w:tcPr>
          <w:p w14:paraId="1F88D816" w14:textId="77777777" w:rsidR="00F54873" w:rsidRPr="00FE274B" w:rsidRDefault="00F54873" w:rsidP="00CA416E">
            <w:pPr>
              <w:keepNext/>
              <w:tabs>
                <w:tab w:val="clear" w:pos="567"/>
              </w:tabs>
              <w:spacing w:before="0" w:line="240" w:lineRule="auto"/>
              <w:rPr>
                <w:rFonts w:eastAsia="Times New Roman" w:cs="Open Sans Light"/>
                <w:color w:val="000000"/>
                <w:sz w:val="16"/>
                <w:szCs w:val="16"/>
                <w:lang w:eastAsia="en-AU"/>
              </w:rPr>
            </w:pPr>
            <w:r w:rsidRPr="00FE274B">
              <w:rPr>
                <w:rFonts w:eastAsia="Times New Roman" w:cs="Open Sans Light"/>
                <w:color w:val="000000"/>
                <w:sz w:val="16"/>
                <w:szCs w:val="16"/>
                <w:lang w:eastAsia="en-AU"/>
              </w:rPr>
              <w:t>Procedure clinics</w:t>
            </w:r>
          </w:p>
        </w:tc>
        <w:tc>
          <w:tcPr>
            <w:tcW w:w="1060" w:type="dxa"/>
            <w:tcBorders>
              <w:top w:val="single" w:sz="4" w:space="0" w:color="ADD6EA"/>
              <w:left w:val="nil"/>
              <w:bottom w:val="single" w:sz="4" w:space="0" w:color="ADD6EA"/>
              <w:right w:val="nil"/>
            </w:tcBorders>
            <w:shd w:val="clear" w:color="000000" w:fill="FFFFFF"/>
            <w:noWrap/>
            <w:vAlign w:val="center"/>
            <w:hideMark/>
          </w:tcPr>
          <w:p w14:paraId="5FD68C99" w14:textId="02D91DB4"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1</w:t>
            </w:r>
            <w:r>
              <w:rPr>
                <w:rFonts w:eastAsia="Times New Roman" w:cs="Open Sans Light"/>
                <w:color w:val="000000"/>
                <w:sz w:val="16"/>
                <w:szCs w:val="16"/>
                <w:lang w:eastAsia="en-AU"/>
              </w:rPr>
              <w:t>2</w:t>
            </w:r>
          </w:p>
        </w:tc>
        <w:tc>
          <w:tcPr>
            <w:tcW w:w="1220" w:type="dxa"/>
            <w:tcBorders>
              <w:top w:val="single" w:sz="4" w:space="0" w:color="ADD6EA"/>
              <w:left w:val="nil"/>
              <w:bottom w:val="single" w:sz="4" w:space="0" w:color="ADD6EA"/>
              <w:right w:val="nil"/>
            </w:tcBorders>
            <w:shd w:val="clear" w:color="000000" w:fill="FFFFFF"/>
            <w:noWrap/>
            <w:vAlign w:val="center"/>
            <w:hideMark/>
          </w:tcPr>
          <w:p w14:paraId="44DCA3CC" w14:textId="0A6E4F3F"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5</w:t>
            </w:r>
            <w:r>
              <w:rPr>
                <w:rFonts w:eastAsia="Times New Roman" w:cs="Open Sans Light"/>
                <w:color w:val="000000"/>
                <w:sz w:val="16"/>
                <w:szCs w:val="16"/>
                <w:lang w:eastAsia="en-AU"/>
              </w:rPr>
              <w:t>92</w:t>
            </w:r>
          </w:p>
        </w:tc>
        <w:tc>
          <w:tcPr>
            <w:tcW w:w="1420" w:type="dxa"/>
            <w:tcBorders>
              <w:top w:val="single" w:sz="4" w:space="0" w:color="ADD6EA"/>
              <w:left w:val="nil"/>
              <w:bottom w:val="single" w:sz="4" w:space="0" w:color="ADD6EA"/>
              <w:right w:val="nil"/>
            </w:tcBorders>
            <w:shd w:val="clear" w:color="000000" w:fill="FFFFFF"/>
            <w:noWrap/>
            <w:vAlign w:val="center"/>
            <w:hideMark/>
          </w:tcPr>
          <w:p w14:paraId="5F849742" w14:textId="35907309"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21</w:t>
            </w:r>
          </w:p>
        </w:tc>
        <w:tc>
          <w:tcPr>
            <w:tcW w:w="1360" w:type="dxa"/>
            <w:tcBorders>
              <w:top w:val="single" w:sz="4" w:space="0" w:color="ADD6EA"/>
              <w:left w:val="nil"/>
              <w:bottom w:val="single" w:sz="4" w:space="0" w:color="ADD6EA"/>
              <w:right w:val="nil"/>
            </w:tcBorders>
            <w:shd w:val="clear" w:color="000000" w:fill="FFFFFF"/>
            <w:noWrap/>
            <w:vAlign w:val="center"/>
            <w:hideMark/>
          </w:tcPr>
          <w:p w14:paraId="60AA5DB9" w14:textId="77777777"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Yes</w:t>
            </w:r>
          </w:p>
        </w:tc>
        <w:tc>
          <w:tcPr>
            <w:tcW w:w="1420" w:type="dxa"/>
            <w:tcBorders>
              <w:top w:val="single" w:sz="4" w:space="0" w:color="ADD6EA"/>
              <w:left w:val="nil"/>
              <w:bottom w:val="single" w:sz="4" w:space="0" w:color="ADD6EA"/>
              <w:right w:val="nil"/>
            </w:tcBorders>
            <w:shd w:val="clear" w:color="000000" w:fill="FFFFFF"/>
            <w:noWrap/>
            <w:vAlign w:val="center"/>
            <w:hideMark/>
          </w:tcPr>
          <w:p w14:paraId="02DA62CB" w14:textId="6C7F645A"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21</w:t>
            </w:r>
          </w:p>
        </w:tc>
      </w:tr>
      <w:tr w:rsidR="00F54873" w:rsidRPr="00FE274B" w14:paraId="6076FBA5" w14:textId="77777777" w:rsidTr="00CA416E">
        <w:trPr>
          <w:trHeight w:val="270"/>
        </w:trPr>
        <w:tc>
          <w:tcPr>
            <w:tcW w:w="2200" w:type="dxa"/>
            <w:gridSpan w:val="2"/>
            <w:tcBorders>
              <w:top w:val="single" w:sz="4" w:space="0" w:color="ADD6EA"/>
              <w:left w:val="nil"/>
              <w:bottom w:val="single" w:sz="4" w:space="0" w:color="ADD6EA"/>
              <w:right w:val="nil"/>
            </w:tcBorders>
            <w:shd w:val="clear" w:color="auto" w:fill="auto"/>
            <w:noWrap/>
            <w:vAlign w:val="center"/>
            <w:hideMark/>
          </w:tcPr>
          <w:p w14:paraId="76F0E874" w14:textId="77777777" w:rsidR="00F54873" w:rsidRPr="00FE274B" w:rsidRDefault="00F54873" w:rsidP="00CA416E">
            <w:pPr>
              <w:keepNext/>
              <w:tabs>
                <w:tab w:val="clear" w:pos="567"/>
              </w:tabs>
              <w:spacing w:before="0" w:line="240" w:lineRule="auto"/>
              <w:rPr>
                <w:rFonts w:eastAsia="Times New Roman" w:cs="Open Sans Light"/>
                <w:color w:val="000000"/>
                <w:sz w:val="16"/>
                <w:szCs w:val="16"/>
                <w:lang w:eastAsia="en-AU"/>
              </w:rPr>
            </w:pPr>
            <w:r w:rsidRPr="00FE274B">
              <w:rPr>
                <w:rFonts w:eastAsia="Times New Roman" w:cs="Open Sans Light"/>
                <w:color w:val="000000"/>
                <w:sz w:val="16"/>
                <w:szCs w:val="16"/>
                <w:lang w:eastAsia="en-AU"/>
              </w:rPr>
              <w:t xml:space="preserve">Consultation clinics </w:t>
            </w:r>
          </w:p>
        </w:tc>
        <w:tc>
          <w:tcPr>
            <w:tcW w:w="1060" w:type="dxa"/>
            <w:tcBorders>
              <w:top w:val="nil"/>
              <w:left w:val="nil"/>
              <w:bottom w:val="single" w:sz="4" w:space="0" w:color="ADD6EA"/>
              <w:right w:val="nil"/>
            </w:tcBorders>
            <w:shd w:val="clear" w:color="000000" w:fill="FFFFFF"/>
            <w:noWrap/>
            <w:vAlign w:val="center"/>
            <w:hideMark/>
          </w:tcPr>
          <w:p w14:paraId="1312B117" w14:textId="03377766"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3</w:t>
            </w:r>
            <w:r>
              <w:rPr>
                <w:rFonts w:eastAsia="Times New Roman" w:cs="Open Sans Light"/>
                <w:color w:val="000000"/>
                <w:sz w:val="16"/>
                <w:szCs w:val="16"/>
                <w:lang w:eastAsia="en-AU"/>
              </w:rPr>
              <w:t>8</w:t>
            </w:r>
          </w:p>
        </w:tc>
        <w:tc>
          <w:tcPr>
            <w:tcW w:w="1220" w:type="dxa"/>
            <w:tcBorders>
              <w:top w:val="nil"/>
              <w:left w:val="nil"/>
              <w:bottom w:val="single" w:sz="4" w:space="0" w:color="ADD6EA"/>
              <w:right w:val="nil"/>
            </w:tcBorders>
            <w:shd w:val="clear" w:color="000000" w:fill="FFFFFF"/>
            <w:noWrap/>
            <w:vAlign w:val="center"/>
            <w:hideMark/>
          </w:tcPr>
          <w:p w14:paraId="4F207813" w14:textId="678A1AD4"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4</w:t>
            </w:r>
            <w:r>
              <w:rPr>
                <w:rFonts w:eastAsia="Times New Roman" w:cs="Open Sans Light"/>
                <w:color w:val="000000"/>
                <w:sz w:val="16"/>
                <w:szCs w:val="16"/>
                <w:lang w:eastAsia="en-AU"/>
              </w:rPr>
              <w:t>06</w:t>
            </w:r>
          </w:p>
        </w:tc>
        <w:tc>
          <w:tcPr>
            <w:tcW w:w="1420" w:type="dxa"/>
            <w:tcBorders>
              <w:top w:val="nil"/>
              <w:left w:val="nil"/>
              <w:bottom w:val="single" w:sz="4" w:space="0" w:color="ADD6EA"/>
              <w:right w:val="nil"/>
            </w:tcBorders>
            <w:shd w:val="clear" w:color="000000" w:fill="FFFFFF"/>
            <w:noWrap/>
            <w:vAlign w:val="center"/>
            <w:hideMark/>
          </w:tcPr>
          <w:p w14:paraId="2BAB5E00" w14:textId="0B451409"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4</w:t>
            </w:r>
            <w:r>
              <w:rPr>
                <w:rFonts w:eastAsia="Times New Roman" w:cs="Open Sans Light"/>
                <w:color w:val="000000"/>
                <w:sz w:val="16"/>
                <w:szCs w:val="16"/>
                <w:lang w:eastAsia="en-AU"/>
              </w:rPr>
              <w:t>4</w:t>
            </w:r>
          </w:p>
        </w:tc>
        <w:tc>
          <w:tcPr>
            <w:tcW w:w="1360" w:type="dxa"/>
            <w:tcBorders>
              <w:top w:val="nil"/>
              <w:left w:val="nil"/>
              <w:bottom w:val="single" w:sz="4" w:space="0" w:color="ADD6EA"/>
              <w:right w:val="nil"/>
            </w:tcBorders>
            <w:shd w:val="clear" w:color="000000" w:fill="FFFFFF"/>
            <w:noWrap/>
            <w:vAlign w:val="center"/>
            <w:hideMark/>
          </w:tcPr>
          <w:p w14:paraId="43F2CFF4" w14:textId="77777777"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Yes</w:t>
            </w:r>
          </w:p>
        </w:tc>
        <w:tc>
          <w:tcPr>
            <w:tcW w:w="1420" w:type="dxa"/>
            <w:tcBorders>
              <w:top w:val="nil"/>
              <w:left w:val="nil"/>
              <w:bottom w:val="single" w:sz="4" w:space="0" w:color="ADD6EA"/>
              <w:right w:val="nil"/>
            </w:tcBorders>
            <w:shd w:val="clear" w:color="000000" w:fill="FFFFFF"/>
            <w:noWrap/>
            <w:vAlign w:val="center"/>
            <w:hideMark/>
          </w:tcPr>
          <w:p w14:paraId="5520A56C" w14:textId="1C593105"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4</w:t>
            </w:r>
            <w:r>
              <w:rPr>
                <w:rFonts w:eastAsia="Times New Roman" w:cs="Open Sans Light"/>
                <w:color w:val="000000"/>
                <w:sz w:val="16"/>
                <w:szCs w:val="16"/>
                <w:lang w:eastAsia="en-AU"/>
              </w:rPr>
              <w:t>4</w:t>
            </w:r>
          </w:p>
        </w:tc>
      </w:tr>
      <w:tr w:rsidR="00F54873" w:rsidRPr="00FE274B" w14:paraId="3917EC34" w14:textId="77777777" w:rsidTr="00CA416E">
        <w:trPr>
          <w:trHeight w:val="270"/>
        </w:trPr>
        <w:tc>
          <w:tcPr>
            <w:tcW w:w="2200" w:type="dxa"/>
            <w:gridSpan w:val="2"/>
            <w:tcBorders>
              <w:top w:val="single" w:sz="4" w:space="0" w:color="ADD6EA"/>
              <w:left w:val="nil"/>
              <w:bottom w:val="single" w:sz="4" w:space="0" w:color="ADD6EA"/>
              <w:right w:val="nil"/>
            </w:tcBorders>
            <w:shd w:val="clear" w:color="auto" w:fill="auto"/>
            <w:noWrap/>
            <w:vAlign w:val="center"/>
            <w:hideMark/>
          </w:tcPr>
          <w:p w14:paraId="4FA0D9DC" w14:textId="77777777" w:rsidR="00F54873" w:rsidRPr="00FE274B" w:rsidRDefault="00F54873" w:rsidP="00CA416E">
            <w:pPr>
              <w:keepNext/>
              <w:tabs>
                <w:tab w:val="clear" w:pos="567"/>
              </w:tabs>
              <w:spacing w:before="0" w:line="240" w:lineRule="auto"/>
              <w:rPr>
                <w:rFonts w:eastAsia="Times New Roman" w:cs="Open Sans Light"/>
                <w:color w:val="000000"/>
                <w:sz w:val="16"/>
                <w:szCs w:val="16"/>
                <w:lang w:eastAsia="en-AU"/>
              </w:rPr>
            </w:pPr>
            <w:r w:rsidRPr="00FE274B">
              <w:rPr>
                <w:rFonts w:eastAsia="Times New Roman" w:cs="Open Sans Light"/>
                <w:color w:val="000000"/>
                <w:sz w:val="16"/>
                <w:szCs w:val="16"/>
                <w:lang w:eastAsia="en-AU"/>
              </w:rPr>
              <w:t>Allied health clinics</w:t>
            </w:r>
          </w:p>
        </w:tc>
        <w:tc>
          <w:tcPr>
            <w:tcW w:w="1060" w:type="dxa"/>
            <w:tcBorders>
              <w:top w:val="nil"/>
              <w:left w:val="nil"/>
              <w:bottom w:val="single" w:sz="4" w:space="0" w:color="ADD6EA"/>
              <w:right w:val="nil"/>
            </w:tcBorders>
            <w:shd w:val="clear" w:color="000000" w:fill="FFFFFF"/>
            <w:noWrap/>
            <w:vAlign w:val="center"/>
            <w:hideMark/>
          </w:tcPr>
          <w:p w14:paraId="68D29C7E" w14:textId="3AAC521D"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5</w:t>
            </w:r>
            <w:r>
              <w:rPr>
                <w:rFonts w:eastAsia="Times New Roman" w:cs="Open Sans Light"/>
                <w:color w:val="000000"/>
                <w:sz w:val="16"/>
                <w:szCs w:val="16"/>
                <w:lang w:eastAsia="en-AU"/>
              </w:rPr>
              <w:t>0</w:t>
            </w:r>
          </w:p>
        </w:tc>
        <w:tc>
          <w:tcPr>
            <w:tcW w:w="1220" w:type="dxa"/>
            <w:tcBorders>
              <w:top w:val="nil"/>
              <w:left w:val="nil"/>
              <w:bottom w:val="single" w:sz="4" w:space="0" w:color="ADD6EA"/>
              <w:right w:val="nil"/>
            </w:tcBorders>
            <w:shd w:val="clear" w:color="000000" w:fill="FFFFFF"/>
            <w:noWrap/>
            <w:vAlign w:val="center"/>
            <w:hideMark/>
          </w:tcPr>
          <w:p w14:paraId="72CA8A3A" w14:textId="44F81F5F"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2</w:t>
            </w:r>
            <w:r>
              <w:rPr>
                <w:rFonts w:eastAsia="Times New Roman" w:cs="Open Sans Light"/>
                <w:color w:val="000000"/>
                <w:sz w:val="16"/>
                <w:szCs w:val="16"/>
                <w:lang w:eastAsia="en-AU"/>
              </w:rPr>
              <w:t>4</w:t>
            </w:r>
            <w:r w:rsidRPr="00FE274B">
              <w:rPr>
                <w:rFonts w:eastAsia="Times New Roman" w:cs="Open Sans Light"/>
                <w:color w:val="000000"/>
                <w:sz w:val="16"/>
                <w:szCs w:val="16"/>
                <w:lang w:eastAsia="en-AU"/>
              </w:rPr>
              <w:t>8</w:t>
            </w:r>
          </w:p>
        </w:tc>
        <w:tc>
          <w:tcPr>
            <w:tcW w:w="1420" w:type="dxa"/>
            <w:tcBorders>
              <w:top w:val="nil"/>
              <w:left w:val="nil"/>
              <w:bottom w:val="single" w:sz="4" w:space="0" w:color="ADD6EA"/>
              <w:right w:val="nil"/>
            </w:tcBorders>
            <w:shd w:val="clear" w:color="000000" w:fill="FFFFFF"/>
            <w:noWrap/>
            <w:vAlign w:val="center"/>
            <w:hideMark/>
          </w:tcPr>
          <w:p w14:paraId="5F25C7F5" w14:textId="4CD56C7D"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3</w:t>
            </w:r>
            <w:r>
              <w:rPr>
                <w:rFonts w:eastAsia="Times New Roman" w:cs="Open Sans Light"/>
                <w:color w:val="000000"/>
                <w:sz w:val="16"/>
                <w:szCs w:val="16"/>
                <w:lang w:eastAsia="en-AU"/>
              </w:rPr>
              <w:t>5</w:t>
            </w:r>
          </w:p>
        </w:tc>
        <w:tc>
          <w:tcPr>
            <w:tcW w:w="1360" w:type="dxa"/>
            <w:tcBorders>
              <w:top w:val="nil"/>
              <w:left w:val="nil"/>
              <w:bottom w:val="single" w:sz="4" w:space="0" w:color="ADD6EA"/>
              <w:right w:val="nil"/>
            </w:tcBorders>
            <w:shd w:val="clear" w:color="000000" w:fill="FFFFFF"/>
            <w:noWrap/>
            <w:vAlign w:val="center"/>
            <w:hideMark/>
          </w:tcPr>
          <w:p w14:paraId="6B33A758" w14:textId="77777777"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No</w:t>
            </w:r>
          </w:p>
        </w:tc>
        <w:tc>
          <w:tcPr>
            <w:tcW w:w="1420" w:type="dxa"/>
            <w:tcBorders>
              <w:top w:val="nil"/>
              <w:left w:val="nil"/>
              <w:bottom w:val="single" w:sz="4" w:space="0" w:color="ADD6EA"/>
              <w:right w:val="nil"/>
            </w:tcBorders>
            <w:shd w:val="clear" w:color="000000" w:fill="FFFFFF"/>
            <w:noWrap/>
            <w:vAlign w:val="center"/>
            <w:hideMark/>
          </w:tcPr>
          <w:p w14:paraId="37A7BD5A" w14:textId="77777777" w:rsidR="00F54873" w:rsidRPr="00FE274B" w:rsidRDefault="00F54873" w:rsidP="00CA416E">
            <w:pPr>
              <w:keepNext/>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0</w:t>
            </w:r>
          </w:p>
        </w:tc>
      </w:tr>
      <w:tr w:rsidR="00F54873" w:rsidRPr="00FE274B" w14:paraId="0077247D" w14:textId="77777777" w:rsidTr="00CA416E">
        <w:trPr>
          <w:trHeight w:val="270"/>
        </w:trPr>
        <w:tc>
          <w:tcPr>
            <w:tcW w:w="3260" w:type="dxa"/>
            <w:gridSpan w:val="3"/>
            <w:tcBorders>
              <w:top w:val="single" w:sz="4" w:space="0" w:color="ADD6EA"/>
              <w:left w:val="nil"/>
              <w:bottom w:val="single" w:sz="4" w:space="0" w:color="ADD6EA"/>
              <w:right w:val="nil"/>
            </w:tcBorders>
            <w:shd w:val="clear" w:color="000000" w:fill="D6E7F0"/>
            <w:noWrap/>
            <w:vAlign w:val="center"/>
            <w:hideMark/>
          </w:tcPr>
          <w:p w14:paraId="65CD5DCE" w14:textId="77777777" w:rsidR="00F54873" w:rsidRPr="00FE274B" w:rsidRDefault="00F54873" w:rsidP="00CA416E">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Potential substitutability (%)</w:t>
            </w:r>
          </w:p>
        </w:tc>
        <w:tc>
          <w:tcPr>
            <w:tcW w:w="1220" w:type="dxa"/>
            <w:tcBorders>
              <w:top w:val="nil"/>
              <w:left w:val="nil"/>
              <w:bottom w:val="single" w:sz="4" w:space="0" w:color="ADD6EA"/>
              <w:right w:val="nil"/>
            </w:tcBorders>
            <w:shd w:val="clear" w:color="000000" w:fill="D6E7F0"/>
            <w:noWrap/>
            <w:vAlign w:val="center"/>
            <w:hideMark/>
          </w:tcPr>
          <w:p w14:paraId="12949CA7" w14:textId="77777777" w:rsidR="00F54873" w:rsidRPr="00FE274B" w:rsidRDefault="00F54873" w:rsidP="002C03F9">
            <w:pPr>
              <w:keepNext/>
              <w:tabs>
                <w:tab w:val="clear" w:pos="567"/>
              </w:tabs>
              <w:spacing w:before="0" w:line="240" w:lineRule="auto"/>
              <w:jc w:val="right"/>
              <w:rPr>
                <w:rFonts w:ascii="Open Sans Semibold" w:eastAsia="Times New Roman" w:hAnsi="Open Sans Semibold" w:cs="Open Sans Semibold"/>
                <w:b/>
                <w:bCs/>
                <w:color w:val="000000"/>
                <w:sz w:val="16"/>
                <w:szCs w:val="16"/>
                <w:lang w:eastAsia="en-AU"/>
              </w:rPr>
            </w:pPr>
            <w:r w:rsidRPr="00FE274B">
              <w:rPr>
                <w:rFonts w:ascii="Open Sans Semibold" w:eastAsia="Times New Roman" w:hAnsi="Open Sans Semibold" w:cs="Open Sans Semibold"/>
                <w:b/>
                <w:bCs/>
                <w:color w:val="000000"/>
                <w:sz w:val="16"/>
                <w:szCs w:val="16"/>
                <w:lang w:eastAsia="en-AU"/>
              </w:rPr>
              <w:t> </w:t>
            </w:r>
          </w:p>
        </w:tc>
        <w:tc>
          <w:tcPr>
            <w:tcW w:w="1420" w:type="dxa"/>
            <w:tcBorders>
              <w:top w:val="nil"/>
              <w:left w:val="nil"/>
              <w:bottom w:val="single" w:sz="4" w:space="0" w:color="ADD6EA"/>
              <w:right w:val="nil"/>
            </w:tcBorders>
            <w:shd w:val="clear" w:color="000000" w:fill="D6E7F0"/>
            <w:noWrap/>
            <w:vAlign w:val="center"/>
            <w:hideMark/>
          </w:tcPr>
          <w:p w14:paraId="6A4A6CF6" w14:textId="77777777" w:rsidR="00F54873" w:rsidRPr="00FE274B" w:rsidRDefault="00F54873" w:rsidP="002C03F9">
            <w:pPr>
              <w:keepNext/>
              <w:tabs>
                <w:tab w:val="clear" w:pos="567"/>
              </w:tabs>
              <w:spacing w:before="0" w:line="240" w:lineRule="auto"/>
              <w:jc w:val="right"/>
              <w:rPr>
                <w:rFonts w:ascii="Open Sans Semibold" w:eastAsia="Times New Roman" w:hAnsi="Open Sans Semibold" w:cs="Open Sans Semibold"/>
                <w:b/>
                <w:bCs/>
                <w:color w:val="000000"/>
                <w:sz w:val="16"/>
                <w:szCs w:val="16"/>
                <w:lang w:eastAsia="en-AU"/>
              </w:rPr>
            </w:pPr>
            <w:r w:rsidRPr="00FE274B">
              <w:rPr>
                <w:rFonts w:ascii="Open Sans Semibold" w:eastAsia="Times New Roman" w:hAnsi="Open Sans Semibold" w:cs="Open Sans Semibold"/>
                <w:b/>
                <w:bCs/>
                <w:color w:val="000000"/>
                <w:sz w:val="16"/>
                <w:szCs w:val="16"/>
                <w:lang w:eastAsia="en-AU"/>
              </w:rPr>
              <w:t> </w:t>
            </w:r>
          </w:p>
        </w:tc>
        <w:tc>
          <w:tcPr>
            <w:tcW w:w="1360" w:type="dxa"/>
            <w:tcBorders>
              <w:top w:val="nil"/>
              <w:left w:val="nil"/>
              <w:bottom w:val="single" w:sz="4" w:space="0" w:color="ADD6EA"/>
              <w:right w:val="nil"/>
            </w:tcBorders>
            <w:shd w:val="clear" w:color="000000" w:fill="D6E7F0"/>
            <w:noWrap/>
            <w:vAlign w:val="center"/>
            <w:hideMark/>
          </w:tcPr>
          <w:p w14:paraId="594AB4F9" w14:textId="77777777" w:rsidR="00F54873" w:rsidRPr="00FE274B" w:rsidRDefault="00F54873" w:rsidP="002C03F9">
            <w:pPr>
              <w:keepNext/>
              <w:tabs>
                <w:tab w:val="clear" w:pos="567"/>
              </w:tabs>
              <w:spacing w:before="0" w:line="240" w:lineRule="auto"/>
              <w:jc w:val="center"/>
              <w:rPr>
                <w:rFonts w:ascii="Open Sans Semibold" w:eastAsia="Times New Roman" w:hAnsi="Open Sans Semibold" w:cs="Open Sans Semibold"/>
                <w:b/>
                <w:bCs/>
                <w:color w:val="000000"/>
                <w:sz w:val="16"/>
                <w:szCs w:val="16"/>
                <w:lang w:eastAsia="en-AU"/>
              </w:rPr>
            </w:pPr>
            <w:r w:rsidRPr="00FE274B">
              <w:rPr>
                <w:rFonts w:ascii="Open Sans Semibold" w:eastAsia="Times New Roman" w:hAnsi="Open Sans Semibold" w:cs="Open Sans Semibold"/>
                <w:b/>
                <w:bCs/>
                <w:color w:val="000000"/>
                <w:sz w:val="16"/>
                <w:szCs w:val="16"/>
                <w:lang w:eastAsia="en-AU"/>
              </w:rPr>
              <w:t> </w:t>
            </w:r>
          </w:p>
        </w:tc>
        <w:tc>
          <w:tcPr>
            <w:tcW w:w="1420" w:type="dxa"/>
            <w:tcBorders>
              <w:top w:val="nil"/>
              <w:left w:val="nil"/>
              <w:bottom w:val="single" w:sz="4" w:space="0" w:color="ADD6EA"/>
              <w:right w:val="nil"/>
            </w:tcBorders>
            <w:shd w:val="clear" w:color="000000" w:fill="D6E7F0"/>
            <w:noWrap/>
            <w:vAlign w:val="center"/>
            <w:hideMark/>
          </w:tcPr>
          <w:p w14:paraId="220DA4C7" w14:textId="6418F4B0" w:rsidR="00F54873" w:rsidRPr="00FE274B" w:rsidRDefault="00F54873"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6</w:t>
            </w:r>
            <w:r>
              <w:rPr>
                <w:rFonts w:ascii="Open Sans Semibold" w:eastAsia="Times New Roman" w:hAnsi="Open Sans Semibold" w:cs="Open Sans Semibold"/>
                <w:color w:val="000000"/>
                <w:sz w:val="16"/>
                <w:szCs w:val="16"/>
                <w:lang w:eastAsia="en-AU"/>
              </w:rPr>
              <w:t>5</w:t>
            </w:r>
          </w:p>
        </w:tc>
      </w:tr>
      <w:tr w:rsidR="00F54873" w:rsidRPr="00FE274B" w14:paraId="12EC8F2B" w14:textId="77777777" w:rsidTr="00CA416E">
        <w:trPr>
          <w:trHeight w:val="270"/>
        </w:trPr>
        <w:tc>
          <w:tcPr>
            <w:tcW w:w="5900" w:type="dxa"/>
            <w:gridSpan w:val="5"/>
            <w:tcBorders>
              <w:top w:val="single" w:sz="4" w:space="0" w:color="ADD6EA"/>
              <w:left w:val="nil"/>
              <w:bottom w:val="single" w:sz="4" w:space="0" w:color="ADD6EA"/>
              <w:right w:val="nil"/>
            </w:tcBorders>
            <w:shd w:val="clear" w:color="000000" w:fill="D6E7F0"/>
            <w:noWrap/>
            <w:vAlign w:val="center"/>
            <w:hideMark/>
          </w:tcPr>
          <w:p w14:paraId="75BF79BE" w14:textId="1D0DE0B0" w:rsidR="00F54873" w:rsidRPr="00FE274B" w:rsidRDefault="00F54873" w:rsidP="00CA416E">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 xml:space="preserve">Proportion of related AP and NAP episodes to total NAP episodes </w:t>
            </w:r>
          </w:p>
        </w:tc>
        <w:tc>
          <w:tcPr>
            <w:tcW w:w="1360" w:type="dxa"/>
            <w:tcBorders>
              <w:top w:val="nil"/>
              <w:left w:val="nil"/>
              <w:bottom w:val="single" w:sz="4" w:space="0" w:color="ADD6EA"/>
              <w:right w:val="nil"/>
            </w:tcBorders>
            <w:shd w:val="clear" w:color="000000" w:fill="D6E7F0"/>
            <w:noWrap/>
            <w:vAlign w:val="center"/>
            <w:hideMark/>
          </w:tcPr>
          <w:p w14:paraId="35A27CFC" w14:textId="77777777" w:rsidR="00F54873" w:rsidRPr="00FE274B" w:rsidRDefault="00F54873" w:rsidP="002C03F9">
            <w:pPr>
              <w:keepNext/>
              <w:tabs>
                <w:tab w:val="clear" w:pos="567"/>
              </w:tabs>
              <w:spacing w:before="0" w:line="240" w:lineRule="auto"/>
              <w:jc w:val="center"/>
              <w:rPr>
                <w:rFonts w:ascii="Open Sans Semibold" w:eastAsia="Times New Roman" w:hAnsi="Open Sans Semibold" w:cs="Open Sans Semibold"/>
                <w:b/>
                <w:bCs/>
                <w:color w:val="000000"/>
                <w:sz w:val="16"/>
                <w:szCs w:val="16"/>
                <w:lang w:eastAsia="en-AU"/>
              </w:rPr>
            </w:pPr>
            <w:r w:rsidRPr="00FE274B">
              <w:rPr>
                <w:rFonts w:ascii="Open Sans Semibold" w:eastAsia="Times New Roman" w:hAnsi="Open Sans Semibold" w:cs="Open Sans Semibold"/>
                <w:b/>
                <w:bCs/>
                <w:color w:val="000000"/>
                <w:sz w:val="16"/>
                <w:szCs w:val="16"/>
                <w:lang w:eastAsia="en-AU"/>
              </w:rPr>
              <w:t> </w:t>
            </w:r>
          </w:p>
        </w:tc>
        <w:tc>
          <w:tcPr>
            <w:tcW w:w="1420" w:type="dxa"/>
            <w:tcBorders>
              <w:top w:val="nil"/>
              <w:left w:val="nil"/>
              <w:bottom w:val="single" w:sz="4" w:space="0" w:color="ADD6EA"/>
              <w:right w:val="nil"/>
            </w:tcBorders>
            <w:shd w:val="clear" w:color="000000" w:fill="D6E7F0"/>
            <w:noWrap/>
            <w:vAlign w:val="center"/>
            <w:hideMark/>
          </w:tcPr>
          <w:p w14:paraId="35A19562" w14:textId="223F6E2A" w:rsidR="00F54873" w:rsidRPr="00D73604" w:rsidRDefault="00D73604"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73604">
              <w:rPr>
                <w:rFonts w:ascii="Open Sans Semibold" w:eastAsia="Times New Roman" w:hAnsi="Open Sans Semibold" w:cs="Open Sans Semibold"/>
                <w:color w:val="000000"/>
                <w:sz w:val="16"/>
                <w:szCs w:val="16"/>
                <w:lang w:eastAsia="en-AU"/>
              </w:rPr>
              <w:t>43</w:t>
            </w:r>
          </w:p>
        </w:tc>
      </w:tr>
      <w:tr w:rsidR="00F54873" w:rsidRPr="00FE274B" w14:paraId="2D7062DD" w14:textId="77777777" w:rsidTr="00CA416E">
        <w:trPr>
          <w:trHeight w:val="270"/>
        </w:trPr>
        <w:tc>
          <w:tcPr>
            <w:tcW w:w="2200" w:type="dxa"/>
            <w:gridSpan w:val="2"/>
            <w:tcBorders>
              <w:top w:val="nil"/>
              <w:left w:val="nil"/>
              <w:bottom w:val="single" w:sz="8" w:space="0" w:color="ADD6EA"/>
              <w:right w:val="nil"/>
            </w:tcBorders>
            <w:shd w:val="clear" w:color="000000" w:fill="B6D5E4"/>
            <w:noWrap/>
            <w:vAlign w:val="center"/>
            <w:hideMark/>
          </w:tcPr>
          <w:p w14:paraId="183D31CD" w14:textId="77777777" w:rsidR="00F54873" w:rsidRPr="00FE274B" w:rsidRDefault="00F54873" w:rsidP="00CA416E">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Actual substitutability (%)</w:t>
            </w:r>
          </w:p>
        </w:tc>
        <w:tc>
          <w:tcPr>
            <w:tcW w:w="1060" w:type="dxa"/>
            <w:tcBorders>
              <w:top w:val="nil"/>
              <w:left w:val="nil"/>
              <w:bottom w:val="single" w:sz="8" w:space="0" w:color="ADD6EA"/>
              <w:right w:val="nil"/>
            </w:tcBorders>
            <w:shd w:val="clear" w:color="000000" w:fill="B6D5E4"/>
            <w:noWrap/>
            <w:vAlign w:val="center"/>
            <w:hideMark/>
          </w:tcPr>
          <w:p w14:paraId="7EAC3C64" w14:textId="77777777" w:rsidR="00F54873" w:rsidRPr="00FE274B" w:rsidRDefault="00F54873" w:rsidP="002C03F9">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 </w:t>
            </w:r>
          </w:p>
        </w:tc>
        <w:tc>
          <w:tcPr>
            <w:tcW w:w="1220" w:type="dxa"/>
            <w:tcBorders>
              <w:top w:val="nil"/>
              <w:left w:val="nil"/>
              <w:bottom w:val="single" w:sz="8" w:space="0" w:color="ADD6EA"/>
              <w:right w:val="nil"/>
            </w:tcBorders>
            <w:shd w:val="clear" w:color="000000" w:fill="B6D5E4"/>
            <w:noWrap/>
            <w:vAlign w:val="center"/>
            <w:hideMark/>
          </w:tcPr>
          <w:p w14:paraId="3095CE00" w14:textId="77777777" w:rsidR="00F54873" w:rsidRPr="00FE274B" w:rsidRDefault="00F54873" w:rsidP="002C03F9">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 </w:t>
            </w:r>
          </w:p>
        </w:tc>
        <w:tc>
          <w:tcPr>
            <w:tcW w:w="1420" w:type="dxa"/>
            <w:tcBorders>
              <w:top w:val="nil"/>
              <w:left w:val="nil"/>
              <w:bottom w:val="single" w:sz="8" w:space="0" w:color="ADD6EA"/>
              <w:right w:val="nil"/>
            </w:tcBorders>
            <w:shd w:val="clear" w:color="000000" w:fill="B6D5E4"/>
            <w:noWrap/>
            <w:vAlign w:val="center"/>
            <w:hideMark/>
          </w:tcPr>
          <w:p w14:paraId="7E0CB1A2" w14:textId="77777777" w:rsidR="00F54873" w:rsidRPr="00FE274B" w:rsidRDefault="00F54873" w:rsidP="002C03F9">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 </w:t>
            </w:r>
          </w:p>
        </w:tc>
        <w:tc>
          <w:tcPr>
            <w:tcW w:w="1360" w:type="dxa"/>
            <w:tcBorders>
              <w:top w:val="nil"/>
              <w:left w:val="nil"/>
              <w:bottom w:val="single" w:sz="8" w:space="0" w:color="ADD6EA"/>
              <w:right w:val="nil"/>
            </w:tcBorders>
            <w:shd w:val="clear" w:color="000000" w:fill="B6D5E4"/>
            <w:noWrap/>
            <w:vAlign w:val="center"/>
            <w:hideMark/>
          </w:tcPr>
          <w:p w14:paraId="669F4535" w14:textId="77777777" w:rsidR="00F54873" w:rsidRPr="00FE274B" w:rsidRDefault="00F54873" w:rsidP="002C03F9">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 </w:t>
            </w:r>
          </w:p>
        </w:tc>
        <w:tc>
          <w:tcPr>
            <w:tcW w:w="1420" w:type="dxa"/>
            <w:tcBorders>
              <w:top w:val="nil"/>
              <w:left w:val="nil"/>
              <w:bottom w:val="single" w:sz="8" w:space="0" w:color="ADD6EA"/>
              <w:right w:val="nil"/>
            </w:tcBorders>
            <w:shd w:val="clear" w:color="000000" w:fill="B6D5E4"/>
            <w:noWrap/>
            <w:vAlign w:val="center"/>
            <w:hideMark/>
          </w:tcPr>
          <w:p w14:paraId="072EE769" w14:textId="33AE8F82" w:rsidR="00F54873" w:rsidRPr="00FE274B" w:rsidRDefault="00F54873"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E274B">
              <w:rPr>
                <w:rFonts w:ascii="Open Sans Semibold" w:eastAsia="Times New Roman" w:hAnsi="Open Sans Semibold" w:cs="Open Sans Semibold"/>
                <w:color w:val="000000"/>
                <w:sz w:val="16"/>
                <w:szCs w:val="16"/>
                <w:lang w:eastAsia="en-AU"/>
              </w:rPr>
              <w:t>3</w:t>
            </w:r>
            <w:r>
              <w:rPr>
                <w:rFonts w:ascii="Open Sans Semibold" w:eastAsia="Times New Roman" w:hAnsi="Open Sans Semibold" w:cs="Open Sans Semibold"/>
                <w:color w:val="000000"/>
                <w:sz w:val="16"/>
                <w:szCs w:val="16"/>
                <w:lang w:eastAsia="en-AU"/>
              </w:rPr>
              <w:t>6</w:t>
            </w:r>
          </w:p>
        </w:tc>
      </w:tr>
    </w:tbl>
    <w:p w14:paraId="1034F731" w14:textId="729A69E6" w:rsidR="000507E9" w:rsidRDefault="00881CEB" w:rsidP="002C03F9">
      <w:pPr>
        <w:pStyle w:val="CGC2025TableNote"/>
        <w:keepNext/>
        <w:numPr>
          <w:ilvl w:val="0"/>
          <w:numId w:val="27"/>
        </w:numPr>
        <w:tabs>
          <w:tab w:val="clear" w:pos="567"/>
          <w:tab w:val="left" w:pos="709"/>
        </w:tabs>
      </w:pPr>
      <w:r w:rsidRPr="00881CEB">
        <w:t xml:space="preserve">Although all </w:t>
      </w:r>
      <w:r w:rsidR="004953D1">
        <w:t>s</w:t>
      </w:r>
      <w:r w:rsidRPr="00881CEB">
        <w:t>tate-provided allied health services are also available in the private sector, most are linked to an earlier admitted patient episode. In addition, only a very limited number of patients who meet specific eligibility requirements (for example, those with a chronic medical condition or with an assessed mental disorder) are eligible for Medicare allied health items. State provided allied health services are generally not substitutable.</w:t>
      </w:r>
    </w:p>
    <w:p w14:paraId="57C071E1" w14:textId="4B4DF98A" w:rsidR="00F34FA3" w:rsidRDefault="00E65619" w:rsidP="002C03F9">
      <w:pPr>
        <w:pStyle w:val="CGC2025TableNote"/>
        <w:keepNext/>
        <w:numPr>
          <w:ilvl w:val="0"/>
          <w:numId w:val="27"/>
        </w:numPr>
        <w:tabs>
          <w:tab w:val="clear" w:pos="567"/>
          <w:tab w:val="left" w:pos="709"/>
        </w:tabs>
      </w:pPr>
      <w:r>
        <w:t xml:space="preserve">Actual substitutability = </w:t>
      </w:r>
      <w:r w:rsidR="00872D51">
        <w:t xml:space="preserve">potential substitutability </w:t>
      </w:r>
      <w:r w:rsidR="008D3032">
        <w:t>* (1</w:t>
      </w:r>
      <w:r w:rsidR="00C14E4F">
        <w:t xml:space="preserve">–proportion </w:t>
      </w:r>
      <w:r w:rsidR="007A1ECF">
        <w:t xml:space="preserve">of related </w:t>
      </w:r>
      <w:r w:rsidR="007C00E9">
        <w:t xml:space="preserve">non-admitted </w:t>
      </w:r>
      <w:r w:rsidR="003C1D1B">
        <w:t>and admitted patient episodes</w:t>
      </w:r>
      <w:r w:rsidR="004B121A">
        <w:t>)</w:t>
      </w:r>
      <w:r w:rsidR="00EA1457">
        <w:t>.</w:t>
      </w:r>
    </w:p>
    <w:p w14:paraId="694D504A" w14:textId="47051CC8" w:rsidR="00C65D26" w:rsidRDefault="003D262B" w:rsidP="002C03F9">
      <w:pPr>
        <w:pStyle w:val="CGC2025TableNote"/>
        <w:keepNext/>
        <w:ind w:left="709" w:hanging="596"/>
      </w:pPr>
      <w:r>
        <w:t>Source:</w:t>
      </w:r>
      <w:r w:rsidR="00640718">
        <w:tab/>
      </w:r>
      <w:r w:rsidR="0075517E">
        <w:tab/>
      </w:r>
      <w:r w:rsidR="00E54AAC">
        <w:t xml:space="preserve">Commission calculation using </w:t>
      </w:r>
      <w:r w:rsidR="003832AD" w:rsidRPr="00CB14ED">
        <w:t>A</w:t>
      </w:r>
      <w:r w:rsidR="003832AD">
        <w:t>ustralian Institute of Health and Welfare</w:t>
      </w:r>
      <w:r w:rsidR="003832AD" w:rsidRPr="00CB14ED">
        <w:t xml:space="preserve"> and </w:t>
      </w:r>
      <w:r w:rsidR="00C80F38">
        <w:t>non-admitted patient care tables</w:t>
      </w:r>
      <w:r w:rsidR="00F076E4">
        <w:t>, 201</w:t>
      </w:r>
      <w:r w:rsidR="00A471CF">
        <w:t>9</w:t>
      </w:r>
      <w:r w:rsidR="00287148">
        <w:t>–</w:t>
      </w:r>
      <w:r w:rsidR="00A471CF">
        <w:t>20 to 2022</w:t>
      </w:r>
      <w:r w:rsidR="00287148">
        <w:t>–</w:t>
      </w:r>
      <w:r w:rsidR="00A471CF">
        <w:t xml:space="preserve">23; </w:t>
      </w:r>
      <w:r w:rsidR="006369BB">
        <w:t>Independent Health and Aged Care Pricing Authority</w:t>
      </w:r>
      <w:r w:rsidR="00E54AAC">
        <w:t xml:space="preserve"> National Hospital </w:t>
      </w:r>
      <w:r w:rsidR="00193844">
        <w:t>Cost Data Collection</w:t>
      </w:r>
      <w:r w:rsidR="008F14B2">
        <w:t xml:space="preserve"> Public sector infographic</w:t>
      </w:r>
      <w:r w:rsidR="00C879DA">
        <w:t xml:space="preserve">, </w:t>
      </w:r>
      <w:r w:rsidR="006831F1">
        <w:t>2018</w:t>
      </w:r>
      <w:r w:rsidR="00287148">
        <w:t>–</w:t>
      </w:r>
      <w:r w:rsidR="006831F1">
        <w:t>19</w:t>
      </w:r>
      <w:r w:rsidR="00F15132">
        <w:t xml:space="preserve"> to </w:t>
      </w:r>
      <w:r w:rsidR="00C879DA">
        <w:t>2020</w:t>
      </w:r>
      <w:r w:rsidR="00287148">
        <w:t>–</w:t>
      </w:r>
      <w:r w:rsidR="00C879DA">
        <w:t>21</w:t>
      </w:r>
      <w:r w:rsidR="007C4B45">
        <w:t>.</w:t>
      </w:r>
    </w:p>
    <w:p w14:paraId="2D7985E5" w14:textId="7A93E237" w:rsidR="001C71EB" w:rsidRDefault="002917EF" w:rsidP="000C7795">
      <w:pPr>
        <w:pStyle w:val="CGC2025ParaNumbers"/>
      </w:pPr>
      <w:r>
        <w:t xml:space="preserve">However, </w:t>
      </w:r>
      <w:r w:rsidR="009D1A83">
        <w:t xml:space="preserve">the share of </w:t>
      </w:r>
      <w:r w:rsidR="000C7795">
        <w:t xml:space="preserve">services </w:t>
      </w:r>
      <w:r w:rsidR="009D1A83">
        <w:t xml:space="preserve">that </w:t>
      </w:r>
      <w:r w:rsidR="000C7795">
        <w:t>are</w:t>
      </w:r>
      <w:r w:rsidR="001F5216">
        <w:t xml:space="preserve"> </w:t>
      </w:r>
      <w:r w:rsidR="000C7795">
        <w:t xml:space="preserve">comparable </w:t>
      </w:r>
      <w:r w:rsidR="00E922EA">
        <w:t xml:space="preserve">is </w:t>
      </w:r>
      <w:r w:rsidR="001F5216">
        <w:t xml:space="preserve">likely to be </w:t>
      </w:r>
      <w:r w:rsidR="00C5120A">
        <w:t>greater tha</w:t>
      </w:r>
      <w:r w:rsidR="00E4367D">
        <w:t>n</w:t>
      </w:r>
      <w:r w:rsidR="00C5120A">
        <w:t xml:space="preserve"> the share that </w:t>
      </w:r>
      <w:r w:rsidR="00E922EA">
        <w:t xml:space="preserve">is </w:t>
      </w:r>
      <w:r w:rsidR="00C5120A">
        <w:t>substitutable</w:t>
      </w:r>
      <w:r w:rsidR="001F5216">
        <w:t xml:space="preserve">. Patients requiring more complex treatment, or procedures associated with rare diseases, may have no option but to be treated in public hospitals. Also, patients who had commenced treatment in a public hospital may prefer to access follow-up non-admitted patient services in the public system. </w:t>
      </w:r>
    </w:p>
    <w:p w14:paraId="79E33616" w14:textId="5CA66214" w:rsidR="009D1D74" w:rsidRDefault="00CD3A58" w:rsidP="000C7795">
      <w:pPr>
        <w:pStyle w:val="CGC2025ParaNumbers"/>
      </w:pPr>
      <w:r>
        <w:t>I</w:t>
      </w:r>
      <w:r w:rsidR="00DF60EC">
        <w:t>n the 2020 Review</w:t>
      </w:r>
      <w:r w:rsidR="00EE4E25">
        <w:t xml:space="preserve">, to estimate </w:t>
      </w:r>
      <w:r w:rsidR="001B08D3">
        <w:t>substitutable services,</w:t>
      </w:r>
      <w:r w:rsidR="00533D10">
        <w:t xml:space="preserve"> the </w:t>
      </w:r>
      <w:r>
        <w:t>Commission decided to</w:t>
      </w:r>
      <w:r w:rsidR="000F5E8D">
        <w:t xml:space="preserve"> halve</w:t>
      </w:r>
      <w:r w:rsidR="00CB70CA">
        <w:t xml:space="preserve"> the</w:t>
      </w:r>
      <w:r>
        <w:t xml:space="preserve"> </w:t>
      </w:r>
      <w:r w:rsidR="001B08D3">
        <w:t>share</w:t>
      </w:r>
      <w:r w:rsidR="00C4691F" w:rsidRPr="00C4691F">
        <w:t xml:space="preserve"> of services considered </w:t>
      </w:r>
      <w:r w:rsidR="001B08D3">
        <w:t>comparable</w:t>
      </w:r>
      <w:r w:rsidR="00C4691F" w:rsidRPr="00C4691F">
        <w:t xml:space="preserve"> </w:t>
      </w:r>
      <w:proofErr w:type="gramStart"/>
      <w:r w:rsidR="00C4691F" w:rsidRPr="00C4691F">
        <w:t xml:space="preserve">on the basis </w:t>
      </w:r>
      <w:r w:rsidR="005601FB">
        <w:t>of</w:t>
      </w:r>
      <w:proofErr w:type="gramEnd"/>
      <w:r w:rsidR="005601FB">
        <w:t xml:space="preserve"> survey data </w:t>
      </w:r>
      <w:r w:rsidR="00C4691F" w:rsidRPr="00C4691F">
        <w:t xml:space="preserve">that </w:t>
      </w:r>
      <w:r w:rsidR="005636D5">
        <w:t>showed</w:t>
      </w:r>
      <w:r w:rsidR="00ED5510">
        <w:t xml:space="preserve"> </w:t>
      </w:r>
      <w:r w:rsidR="00C4691F" w:rsidRPr="00C4691F">
        <w:t xml:space="preserve">about 50% of </w:t>
      </w:r>
      <w:r w:rsidR="00B43DFE">
        <w:t xml:space="preserve">non-admitted patient </w:t>
      </w:r>
      <w:r w:rsidR="00C4691F" w:rsidRPr="00C4691F">
        <w:t xml:space="preserve">services </w:t>
      </w:r>
      <w:r w:rsidR="00CC0BEF">
        <w:t xml:space="preserve">were for </w:t>
      </w:r>
      <w:r w:rsidR="0084537F">
        <w:t xml:space="preserve">people that </w:t>
      </w:r>
      <w:r w:rsidR="0073009A">
        <w:t xml:space="preserve">also </w:t>
      </w:r>
      <w:r w:rsidR="00FC42CA">
        <w:t>received admitted patient services</w:t>
      </w:r>
      <w:r w:rsidR="00C55F57">
        <w:t>.</w:t>
      </w:r>
      <w:r w:rsidR="00204C9A">
        <w:t xml:space="preserve"> </w:t>
      </w:r>
    </w:p>
    <w:p w14:paraId="1E1322E1" w14:textId="163187C7" w:rsidR="00F62998" w:rsidRPr="004A4306" w:rsidRDefault="00F62998" w:rsidP="000C7795">
      <w:pPr>
        <w:pStyle w:val="CGC2025ParaNumbers"/>
      </w:pPr>
      <w:r w:rsidRPr="004A4306">
        <w:t xml:space="preserve">However, as South Australia pointed out, the survey data the Commission used </w:t>
      </w:r>
      <w:r w:rsidR="00D54905" w:rsidRPr="004A4306">
        <w:t>as</w:t>
      </w:r>
      <w:r w:rsidRPr="004A4306">
        <w:t xml:space="preserve"> the </w:t>
      </w:r>
      <w:r w:rsidR="00D54905" w:rsidRPr="004A4306">
        <w:t>basis for this estimate</w:t>
      </w:r>
      <w:r w:rsidRPr="004A4306">
        <w:t xml:space="preserve"> do not accurately capture the concept the Commission is seeking. </w:t>
      </w:r>
      <w:r w:rsidR="00DB5CC2" w:rsidRPr="004A4306">
        <w:t xml:space="preserve">Not all non-admitted patients with </w:t>
      </w:r>
      <w:r w:rsidR="001C0AD1" w:rsidRPr="004A4306">
        <w:t xml:space="preserve">a </w:t>
      </w:r>
      <w:r w:rsidR="006A6AD4" w:rsidRPr="004A4306">
        <w:t xml:space="preserve">hospital </w:t>
      </w:r>
      <w:r w:rsidR="00DB5CC2" w:rsidRPr="004A4306">
        <w:t xml:space="preserve">admission </w:t>
      </w:r>
      <w:r w:rsidR="006A6AD4" w:rsidRPr="004A4306">
        <w:t xml:space="preserve">would be </w:t>
      </w:r>
      <w:r w:rsidR="00DB5CC2" w:rsidRPr="004A4306">
        <w:t xml:space="preserve">accessing </w:t>
      </w:r>
      <w:r w:rsidR="001361FF" w:rsidRPr="004A4306">
        <w:t>the</w:t>
      </w:r>
      <w:r w:rsidR="00DB5CC2" w:rsidRPr="004A4306">
        <w:t xml:space="preserve"> non-admitted service because of that admission</w:t>
      </w:r>
      <w:r w:rsidR="00E95341" w:rsidRPr="004A4306">
        <w:t>,</w:t>
      </w:r>
      <w:r w:rsidR="00033B1E" w:rsidRPr="004A4306">
        <w:t xml:space="preserve"> as th</w:t>
      </w:r>
      <w:r w:rsidR="00BF25C4" w:rsidRPr="004A4306">
        <w:t>e</w:t>
      </w:r>
      <w:r w:rsidR="00470ACC" w:rsidRPr="004A4306">
        <w:t>se</w:t>
      </w:r>
      <w:r w:rsidR="00E737D8" w:rsidRPr="004A4306">
        <w:t xml:space="preserve"> </w:t>
      </w:r>
      <w:r w:rsidR="00077426" w:rsidRPr="004A4306">
        <w:t>may be unrelated</w:t>
      </w:r>
      <w:r w:rsidR="001361FF" w:rsidRPr="004A4306">
        <w:t>.</w:t>
      </w:r>
    </w:p>
    <w:p w14:paraId="7214F92B" w14:textId="07898C1A" w:rsidR="00553439" w:rsidRPr="004A4306" w:rsidRDefault="007B0945" w:rsidP="000C7795">
      <w:pPr>
        <w:pStyle w:val="CGC2025ParaNumbers"/>
      </w:pPr>
      <w:r w:rsidRPr="004A4306">
        <w:t xml:space="preserve">The </w:t>
      </w:r>
      <w:r w:rsidR="003D56C7" w:rsidRPr="004A4306">
        <w:t>Commission</w:t>
      </w:r>
      <w:r w:rsidRPr="004A4306">
        <w:t xml:space="preserve"> ask</w:t>
      </w:r>
      <w:r w:rsidR="003D56C7" w:rsidRPr="004A4306">
        <w:t>ed</w:t>
      </w:r>
      <w:r w:rsidRPr="004A4306">
        <w:t xml:space="preserve"> states for data on the share of </w:t>
      </w:r>
      <w:r w:rsidR="00C84217" w:rsidRPr="004A4306">
        <w:t xml:space="preserve">related </w:t>
      </w:r>
      <w:r w:rsidRPr="004A4306">
        <w:t xml:space="preserve">non-admitted </w:t>
      </w:r>
      <w:r w:rsidR="008F70C6" w:rsidRPr="004A4306">
        <w:t xml:space="preserve">and admitted </w:t>
      </w:r>
      <w:r w:rsidR="004A3819" w:rsidRPr="004A4306">
        <w:t xml:space="preserve">patient </w:t>
      </w:r>
      <w:r w:rsidR="00A257F1" w:rsidRPr="004A4306">
        <w:t>episodes</w:t>
      </w:r>
      <w:r w:rsidRPr="004A4306">
        <w:t>.</w:t>
      </w:r>
      <w:r w:rsidR="00905EB2" w:rsidRPr="004A4306">
        <w:t xml:space="preserve"> Data provided by </w:t>
      </w:r>
      <w:r w:rsidR="00365F7E">
        <w:t>6</w:t>
      </w:r>
      <w:r w:rsidR="00905EB2" w:rsidRPr="004A4306">
        <w:t xml:space="preserve"> states indicate that the relevant proportion is </w:t>
      </w:r>
      <w:r w:rsidR="0078073E" w:rsidRPr="004A4306">
        <w:t>4</w:t>
      </w:r>
      <w:r w:rsidR="0066502F">
        <w:t>3</w:t>
      </w:r>
      <w:r w:rsidR="00905EB2" w:rsidRPr="004A4306">
        <w:t xml:space="preserve">% — that is, </w:t>
      </w:r>
      <w:r w:rsidR="00D4769D" w:rsidRPr="004A4306">
        <w:t>4</w:t>
      </w:r>
      <w:r w:rsidR="0066502F">
        <w:t>3</w:t>
      </w:r>
      <w:r w:rsidR="00905EB2" w:rsidRPr="004A4306">
        <w:t xml:space="preserve">% of </w:t>
      </w:r>
      <w:r w:rsidR="00C54188" w:rsidRPr="004A4306">
        <w:t xml:space="preserve">patients </w:t>
      </w:r>
      <w:r w:rsidR="00A4772A" w:rsidRPr="004A4306">
        <w:t xml:space="preserve">that </w:t>
      </w:r>
      <w:r w:rsidR="00905EB2" w:rsidRPr="004A4306">
        <w:t xml:space="preserve">accessed </w:t>
      </w:r>
      <w:r w:rsidR="00155F15" w:rsidRPr="004A4306">
        <w:t xml:space="preserve">non-admitted </w:t>
      </w:r>
      <w:r w:rsidR="00905EB2" w:rsidRPr="004A4306">
        <w:t>service</w:t>
      </w:r>
      <w:r w:rsidR="0070109A" w:rsidRPr="004A4306">
        <w:t>s</w:t>
      </w:r>
      <w:r w:rsidR="00905EB2" w:rsidRPr="004A4306">
        <w:t xml:space="preserve"> </w:t>
      </w:r>
      <w:r w:rsidR="003E74CF" w:rsidRPr="004A4306">
        <w:t>had</w:t>
      </w:r>
      <w:r w:rsidR="00905EB2" w:rsidRPr="004A4306">
        <w:t xml:space="preserve"> a prior related hospital admission. This implies that of the comparable </w:t>
      </w:r>
      <w:r w:rsidR="00553107" w:rsidRPr="004A4306">
        <w:t>non</w:t>
      </w:r>
      <w:r w:rsidR="00C758A9" w:rsidRPr="004A4306">
        <w:noBreakHyphen/>
      </w:r>
      <w:r w:rsidR="00553107" w:rsidRPr="004A4306">
        <w:t xml:space="preserve">admitted patient </w:t>
      </w:r>
      <w:r w:rsidR="00905EB2" w:rsidRPr="004A4306">
        <w:t>services</w:t>
      </w:r>
      <w:r w:rsidR="00DA48B3" w:rsidRPr="004A4306">
        <w:t xml:space="preserve"> (</w:t>
      </w:r>
      <w:r w:rsidR="00E242C5" w:rsidRPr="004A4306">
        <w:t>6</w:t>
      </w:r>
      <w:r w:rsidR="0079248F" w:rsidRPr="004A4306">
        <w:t>5</w:t>
      </w:r>
      <w:r w:rsidR="00E242C5" w:rsidRPr="004A4306">
        <w:t>% of total services)</w:t>
      </w:r>
      <w:r w:rsidR="00905EB2" w:rsidRPr="004A4306">
        <w:t xml:space="preserve">, </w:t>
      </w:r>
      <w:r w:rsidR="00751554" w:rsidRPr="004A4306">
        <w:t>3</w:t>
      </w:r>
      <w:r w:rsidR="00E059E4">
        <w:t>7</w:t>
      </w:r>
      <w:r w:rsidR="00905EB2" w:rsidRPr="004A4306">
        <w:t>% may be substitutable.</w:t>
      </w:r>
    </w:p>
    <w:p w14:paraId="79C2A600" w14:textId="41BD9AE0" w:rsidR="006767AA" w:rsidRPr="00D77643" w:rsidRDefault="00B3182D" w:rsidP="000C7795">
      <w:pPr>
        <w:pStyle w:val="CGC2025ParaNumbers"/>
      </w:pPr>
      <w:r w:rsidRPr="00D77643">
        <w:t xml:space="preserve">The </w:t>
      </w:r>
      <w:r w:rsidR="004E2AC2" w:rsidRPr="00D77643">
        <w:t>Commission liaised with states</w:t>
      </w:r>
      <w:r w:rsidR="0047414B" w:rsidRPr="00D77643">
        <w:t xml:space="preserve"> to </w:t>
      </w:r>
      <w:r w:rsidR="00DA48C3" w:rsidRPr="00D77643">
        <w:t>achieve</w:t>
      </w:r>
      <w:r w:rsidR="00F36FC2" w:rsidRPr="00D77643">
        <w:t xml:space="preserve"> consistency </w:t>
      </w:r>
      <w:r w:rsidR="00D12127" w:rsidRPr="00D77643">
        <w:t>in h</w:t>
      </w:r>
      <w:r w:rsidR="00610B45" w:rsidRPr="00D77643">
        <w:t xml:space="preserve">ow </w:t>
      </w:r>
      <w:r w:rsidR="0089537B" w:rsidRPr="00D77643">
        <w:t xml:space="preserve">the </w:t>
      </w:r>
      <w:r w:rsidR="00900A7A" w:rsidRPr="00D77643">
        <w:t>estimates</w:t>
      </w:r>
      <w:r w:rsidR="00F05787" w:rsidRPr="00D77643">
        <w:t xml:space="preserve"> were</w:t>
      </w:r>
      <w:r w:rsidR="00705062" w:rsidRPr="00D77643">
        <w:t xml:space="preserve"> </w:t>
      </w:r>
      <w:r w:rsidR="00846B97" w:rsidRPr="00D77643">
        <w:t>made</w:t>
      </w:r>
      <w:r w:rsidR="00720074" w:rsidRPr="00D77643">
        <w:t xml:space="preserve">, but </w:t>
      </w:r>
      <w:r w:rsidR="00633DC9" w:rsidRPr="00D77643">
        <w:t>perfect alignment in approaches w</w:t>
      </w:r>
      <w:r w:rsidR="00B8403D" w:rsidRPr="00D77643">
        <w:t>as</w:t>
      </w:r>
      <w:r w:rsidR="00633DC9" w:rsidRPr="00D77643">
        <w:t xml:space="preserve"> not possible</w:t>
      </w:r>
      <w:r w:rsidR="00215CAD" w:rsidRPr="00D77643">
        <w:t xml:space="preserve">. </w:t>
      </w:r>
      <w:r w:rsidR="00633DC9" w:rsidRPr="00D77643">
        <w:t>The Commission</w:t>
      </w:r>
      <w:r w:rsidR="008141DD" w:rsidRPr="00D77643">
        <w:t xml:space="preserve"> </w:t>
      </w:r>
      <w:r w:rsidR="00951262" w:rsidRPr="00D77643">
        <w:t>tested</w:t>
      </w:r>
      <w:r w:rsidR="008141DD" w:rsidRPr="00D77643">
        <w:t xml:space="preserve"> </w:t>
      </w:r>
      <w:r w:rsidR="00633DC9" w:rsidRPr="00D77643">
        <w:t xml:space="preserve">the </w:t>
      </w:r>
      <w:r w:rsidR="00D77F4C" w:rsidRPr="00D77643">
        <w:t>sensitivity</w:t>
      </w:r>
      <w:r w:rsidR="00EB1F6F" w:rsidRPr="00D77643">
        <w:t xml:space="preserve"> </w:t>
      </w:r>
      <w:r w:rsidR="00633DC9" w:rsidRPr="00D77643">
        <w:t>of results</w:t>
      </w:r>
      <w:r w:rsidR="007C6955" w:rsidRPr="00D77643">
        <w:t xml:space="preserve"> </w:t>
      </w:r>
      <w:r w:rsidR="00EB1F6F" w:rsidRPr="00D77643">
        <w:t xml:space="preserve">by varying </w:t>
      </w:r>
      <w:r w:rsidR="00052761" w:rsidRPr="00D77643">
        <w:t>state</w:t>
      </w:r>
      <w:r w:rsidR="00451227" w:rsidRPr="00D77643">
        <w:t xml:space="preserve"> inputs</w:t>
      </w:r>
      <w:r w:rsidR="001F020A" w:rsidRPr="00D77643">
        <w:t xml:space="preserve"> </w:t>
      </w:r>
      <w:r w:rsidR="0001758C" w:rsidRPr="00D77643">
        <w:t>where</w:t>
      </w:r>
      <w:r w:rsidR="00366BF0" w:rsidRPr="00D77643">
        <w:t xml:space="preserve"> data caveats</w:t>
      </w:r>
      <w:r w:rsidR="0085658C" w:rsidRPr="00D77643">
        <w:t xml:space="preserve"> indicated </w:t>
      </w:r>
      <w:r w:rsidR="00F0581F" w:rsidRPr="00D77643">
        <w:t xml:space="preserve">possible </w:t>
      </w:r>
      <w:r w:rsidR="004B44E9" w:rsidRPr="00D77643">
        <w:t>inconsistency but</w:t>
      </w:r>
      <w:r w:rsidR="00977150" w:rsidRPr="00D77643">
        <w:t xml:space="preserve"> ended up with</w:t>
      </w:r>
      <w:r w:rsidR="00CE0E13" w:rsidRPr="00D77643">
        <w:t xml:space="preserve"> substitutability levels</w:t>
      </w:r>
      <w:r w:rsidR="00C33A70" w:rsidRPr="00D77643">
        <w:t xml:space="preserve"> </w:t>
      </w:r>
      <w:r w:rsidR="008711EF" w:rsidRPr="00D77643">
        <w:t>that rounded up to 30</w:t>
      </w:r>
      <w:r w:rsidR="00A05A0C" w:rsidRPr="00D77643">
        <w:t>%</w:t>
      </w:r>
      <w:r w:rsidR="00366BF0" w:rsidRPr="00D77643">
        <w:t xml:space="preserve">. </w:t>
      </w:r>
    </w:p>
    <w:p w14:paraId="05A924B3" w14:textId="4C29E430" w:rsidR="008E14A4" w:rsidRDefault="00034E97" w:rsidP="008E14A4">
      <w:pPr>
        <w:pStyle w:val="Heading5"/>
      </w:pPr>
      <w:r>
        <w:t>Method</w:t>
      </w:r>
      <w:r w:rsidR="6EB610B6" w:rsidRPr="57530D56">
        <w:t xml:space="preserve"> 2: affordable services</w:t>
      </w:r>
      <w:r w:rsidR="6EB610B6">
        <w:t xml:space="preserve"> </w:t>
      </w:r>
    </w:p>
    <w:p w14:paraId="378E4782" w14:textId="57738459" w:rsidR="00692BAE" w:rsidRDefault="00CC7F7E" w:rsidP="000C7795">
      <w:pPr>
        <w:pStyle w:val="CGC2025ParaNumbers"/>
      </w:pPr>
      <w:r>
        <w:t>T</w:t>
      </w:r>
      <w:r w:rsidR="6EB610B6">
        <w:t>he Commission</w:t>
      </w:r>
      <w:r w:rsidR="007F42A6">
        <w:t xml:space="preserve"> </w:t>
      </w:r>
      <w:r w:rsidR="6EB610B6">
        <w:t>consider</w:t>
      </w:r>
      <w:r w:rsidR="00623EF0">
        <w:t>s</w:t>
      </w:r>
      <w:r w:rsidR="6EB610B6">
        <w:t xml:space="preserve"> that the cost of services in the non-state sector </w:t>
      </w:r>
      <w:r w:rsidR="00B60FA7">
        <w:t>is</w:t>
      </w:r>
      <w:r w:rsidR="6EB610B6">
        <w:t xml:space="preserve"> a relevant factor in determining the level of substitutable services. </w:t>
      </w:r>
      <w:r w:rsidR="00794E1E">
        <w:t xml:space="preserve">To get a sense </w:t>
      </w:r>
      <w:r w:rsidR="00821942">
        <w:t xml:space="preserve">of </w:t>
      </w:r>
      <w:r w:rsidR="00ED76D2">
        <w:lastRenderedPageBreak/>
        <w:t xml:space="preserve">the </w:t>
      </w:r>
      <w:r w:rsidR="00361328">
        <w:t>extent that non</w:t>
      </w:r>
      <w:r w:rsidR="00361328">
        <w:noBreakHyphen/>
        <w:t>state services are affordable</w:t>
      </w:r>
      <w:r w:rsidR="005A7E5E">
        <w:t xml:space="preserve">, </w:t>
      </w:r>
      <w:r w:rsidR="00692BAE" w:rsidRPr="00692BAE">
        <w:t xml:space="preserve">the proportion of </w:t>
      </w:r>
      <w:r w:rsidR="00B9566F">
        <w:t xml:space="preserve">similar </w:t>
      </w:r>
      <w:r w:rsidR="00692BAE" w:rsidRPr="00692BAE">
        <w:t>non</w:t>
      </w:r>
      <w:r w:rsidR="00BA7613">
        <w:noBreakHyphen/>
      </w:r>
      <w:r w:rsidR="00692BAE" w:rsidRPr="00692BAE">
        <w:t xml:space="preserve">state services </w:t>
      </w:r>
      <w:r w:rsidR="00B9566F">
        <w:t xml:space="preserve">(private operations and specialist services) </w:t>
      </w:r>
      <w:r w:rsidR="00692BAE" w:rsidRPr="00692BAE">
        <w:t>that are bulk billed</w:t>
      </w:r>
      <w:r w:rsidR="00BA7613">
        <w:t xml:space="preserve"> is </w:t>
      </w:r>
      <w:r w:rsidR="001D6ACB">
        <w:t>calculated</w:t>
      </w:r>
      <w:r w:rsidR="00C5079E">
        <w:t>.</w:t>
      </w:r>
    </w:p>
    <w:p w14:paraId="06813340" w14:textId="19A0D52B" w:rsidR="00F62998" w:rsidRDefault="00CE38DE" w:rsidP="000C7795">
      <w:pPr>
        <w:pStyle w:val="CGC2025ParaNumbers"/>
      </w:pPr>
      <w:r>
        <w:t xml:space="preserve">Western Australia said it </w:t>
      </w:r>
      <w:r w:rsidR="00333496">
        <w:t xml:space="preserve">was not appropriate </w:t>
      </w:r>
      <w:r w:rsidR="00CB6FA6">
        <w:t xml:space="preserve">to use </w:t>
      </w:r>
      <w:bookmarkStart w:id="69" w:name="_Hlk151463170"/>
      <w:r w:rsidR="00CB6FA6">
        <w:t>t</w:t>
      </w:r>
      <w:r w:rsidR="00CB6FA6" w:rsidRPr="00CB6FA6">
        <w:t>he proportion of non</w:t>
      </w:r>
      <w:r w:rsidR="00CB6FA6">
        <w:noBreakHyphen/>
      </w:r>
      <w:r w:rsidR="00CB6FA6" w:rsidRPr="00CB6FA6">
        <w:t>state services that are bulk billed</w:t>
      </w:r>
      <w:bookmarkEnd w:id="69"/>
      <w:r w:rsidR="00CB6FA6" w:rsidRPr="00CB6FA6">
        <w:t xml:space="preserve"> to determine the </w:t>
      </w:r>
      <w:r w:rsidR="00655528" w:rsidRPr="00655528">
        <w:t>proportion of state services that are substitutable</w:t>
      </w:r>
      <w:r w:rsidR="00655528">
        <w:t xml:space="preserve">. </w:t>
      </w:r>
      <w:r w:rsidR="00A060EA">
        <w:t xml:space="preserve">If the Commission </w:t>
      </w:r>
      <w:r w:rsidR="005426EB">
        <w:t xml:space="preserve">intended to use this </w:t>
      </w:r>
      <w:r w:rsidR="005409DB">
        <w:t xml:space="preserve">to determine the </w:t>
      </w:r>
      <w:r w:rsidR="00A74C29">
        <w:t xml:space="preserve">exact </w:t>
      </w:r>
      <w:r w:rsidR="007C585E">
        <w:t xml:space="preserve">value of state services that </w:t>
      </w:r>
      <w:r w:rsidR="000E56E7">
        <w:t>are substitutable</w:t>
      </w:r>
      <w:r w:rsidR="005409DB">
        <w:t xml:space="preserve">, Western Australia’s criticism </w:t>
      </w:r>
      <w:r w:rsidR="00D37B04">
        <w:t xml:space="preserve">would be valid. However, </w:t>
      </w:r>
      <w:r w:rsidR="008469BF">
        <w:t>private operations and specialis</w:t>
      </w:r>
      <w:r w:rsidR="000E4F32">
        <w:t>t</w:t>
      </w:r>
      <w:r w:rsidR="008469BF">
        <w:t xml:space="preserve"> services are</w:t>
      </w:r>
      <w:r w:rsidR="007354BE">
        <w:t xml:space="preserve"> </w:t>
      </w:r>
      <w:r w:rsidR="00B14ADB">
        <w:t>only</w:t>
      </w:r>
      <w:r w:rsidR="007354BE" w:rsidRPr="007354BE">
        <w:t xml:space="preserve"> intended to provide a</w:t>
      </w:r>
      <w:r w:rsidR="009C2972">
        <w:t xml:space="preserve"> broad</w:t>
      </w:r>
      <w:r w:rsidR="007354BE" w:rsidRPr="007354BE">
        <w:t xml:space="preserve"> indication of the amount of non</w:t>
      </w:r>
      <w:r w:rsidR="00D55C36">
        <w:noBreakHyphen/>
      </w:r>
      <w:r w:rsidR="007354BE" w:rsidRPr="007354BE">
        <w:t>state sector health provision, not a precise measure of the volume of substitutable services.</w:t>
      </w:r>
      <w:r w:rsidR="008772F7">
        <w:t xml:space="preserve"> </w:t>
      </w:r>
      <w:r w:rsidR="00277B05">
        <w:t xml:space="preserve">The rate of bulk billing for these services </w:t>
      </w:r>
      <w:r w:rsidR="00CF02A4">
        <w:t xml:space="preserve">provides an indication </w:t>
      </w:r>
      <w:r w:rsidR="002D46AA">
        <w:t xml:space="preserve">of the extent to which patients may use these services rather than </w:t>
      </w:r>
      <w:r w:rsidR="005700E1">
        <w:t>state services</w:t>
      </w:r>
      <w:r w:rsidR="00CD54E1">
        <w:t xml:space="preserve"> if cost is a factor </w:t>
      </w:r>
      <w:r w:rsidR="007D33DF">
        <w:t>for them.</w:t>
      </w:r>
    </w:p>
    <w:p w14:paraId="60F57264" w14:textId="57A26BF4" w:rsidR="0069414B" w:rsidRDefault="0065548D" w:rsidP="000C7795">
      <w:pPr>
        <w:pStyle w:val="CGC2025ParaNumbers"/>
      </w:pPr>
      <w:r w:rsidRPr="0065548D">
        <w:t>In the 2020 Review the alternative substitutability level based on affordable non</w:t>
      </w:r>
      <w:r w:rsidR="001C22C0">
        <w:noBreakHyphen/>
      </w:r>
      <w:r w:rsidRPr="0065548D">
        <w:t xml:space="preserve">state services was 22%. The equivalent figure now is slightly lower at </w:t>
      </w:r>
      <w:r w:rsidR="00B64091">
        <w:t>20</w:t>
      </w:r>
      <w:r w:rsidRPr="0065548D">
        <w:t>%</w:t>
      </w:r>
      <w:r w:rsidR="00F21628">
        <w:t> </w:t>
      </w:r>
      <w:r w:rsidRPr="0065548D">
        <w:t>(</w:t>
      </w:r>
      <w:r w:rsidR="00B81826">
        <w:t>Table 12</w:t>
      </w:r>
      <w:r w:rsidRPr="0065548D">
        <w:t>).</w:t>
      </w:r>
    </w:p>
    <w:p w14:paraId="0ED9A00E" w14:textId="3485C3F2" w:rsidR="00497F32" w:rsidRDefault="00497F32" w:rsidP="008E14A4">
      <w:pPr>
        <w:pStyle w:val="CGC2025Caption"/>
        <w:tabs>
          <w:tab w:val="left" w:pos="1134"/>
        </w:tabs>
      </w:pPr>
      <w:bookmarkStart w:id="70" w:name="_Ref166761961"/>
      <w:r>
        <w:t xml:space="preserve">Table </w:t>
      </w:r>
      <w:r>
        <w:fldChar w:fldCharType="begin"/>
      </w:r>
      <w:r>
        <w:instrText>SEQ Table \* ARABIC</w:instrText>
      </w:r>
      <w:r>
        <w:fldChar w:fldCharType="separate"/>
      </w:r>
      <w:r w:rsidR="00581B01">
        <w:rPr>
          <w:noProof/>
        </w:rPr>
        <w:t>12</w:t>
      </w:r>
      <w:r>
        <w:fldChar w:fldCharType="end"/>
      </w:r>
      <w:bookmarkEnd w:id="70"/>
      <w:r>
        <w:tab/>
        <w:t>Estimating affordable services (method 2)</w:t>
      </w:r>
    </w:p>
    <w:tbl>
      <w:tblPr>
        <w:tblW w:w="8942" w:type="dxa"/>
        <w:tblLook w:val="04A0" w:firstRow="1" w:lastRow="0" w:firstColumn="1" w:lastColumn="0" w:noHBand="0" w:noVBand="1"/>
      </w:tblPr>
      <w:tblGrid>
        <w:gridCol w:w="2305"/>
        <w:gridCol w:w="258"/>
        <w:gridCol w:w="974"/>
        <w:gridCol w:w="1187"/>
        <w:gridCol w:w="1380"/>
        <w:gridCol w:w="258"/>
        <w:gridCol w:w="1226"/>
        <w:gridCol w:w="1438"/>
      </w:tblGrid>
      <w:tr w:rsidR="00E3364D" w:rsidRPr="00E3364D" w14:paraId="35990989" w14:textId="77777777" w:rsidTr="00CA416E">
        <w:trPr>
          <w:trHeight w:val="780"/>
        </w:trPr>
        <w:tc>
          <w:tcPr>
            <w:tcW w:w="2563" w:type="dxa"/>
            <w:gridSpan w:val="2"/>
            <w:tcBorders>
              <w:top w:val="nil"/>
              <w:left w:val="nil"/>
              <w:bottom w:val="nil"/>
              <w:right w:val="nil"/>
            </w:tcBorders>
            <w:shd w:val="clear" w:color="000000" w:fill="006991"/>
            <w:noWrap/>
            <w:vAlign w:val="center"/>
            <w:hideMark/>
          </w:tcPr>
          <w:p w14:paraId="22C82868" w14:textId="77777777" w:rsidR="00E3364D" w:rsidRPr="00E3364D" w:rsidRDefault="00E3364D" w:rsidP="00E3364D">
            <w:pPr>
              <w:tabs>
                <w:tab w:val="clear" w:pos="567"/>
              </w:tabs>
              <w:spacing w:before="0" w:line="240" w:lineRule="auto"/>
              <w:rPr>
                <w:rFonts w:ascii="Open Sans Semibold" w:eastAsia="Times New Roman" w:hAnsi="Open Sans Semibold" w:cs="Open Sans Semibold"/>
                <w:color w:val="FFFFFF"/>
                <w:sz w:val="16"/>
                <w:szCs w:val="16"/>
                <w:lang w:eastAsia="en-AU"/>
              </w:rPr>
            </w:pPr>
            <w:r w:rsidRPr="00E3364D">
              <w:rPr>
                <w:rFonts w:ascii="Open Sans Semibold" w:eastAsia="Times New Roman" w:hAnsi="Open Sans Semibold" w:cs="Open Sans Semibold"/>
                <w:color w:val="FFFFFF"/>
                <w:sz w:val="16"/>
                <w:szCs w:val="16"/>
                <w:lang w:eastAsia="en-AU"/>
              </w:rPr>
              <w:t> Group of services</w:t>
            </w:r>
          </w:p>
        </w:tc>
        <w:tc>
          <w:tcPr>
            <w:tcW w:w="974" w:type="dxa"/>
            <w:tcBorders>
              <w:top w:val="nil"/>
              <w:left w:val="nil"/>
              <w:bottom w:val="single" w:sz="8" w:space="0" w:color="ADD6EA"/>
              <w:right w:val="nil"/>
            </w:tcBorders>
            <w:shd w:val="clear" w:color="000000" w:fill="006991"/>
            <w:vAlign w:val="center"/>
            <w:hideMark/>
          </w:tcPr>
          <w:p w14:paraId="73C2EC3A" w14:textId="77777777"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3364D">
              <w:rPr>
                <w:rFonts w:ascii="Open Sans Semibold" w:eastAsia="Times New Roman" w:hAnsi="Open Sans Semibold" w:cs="Open Sans Semibold"/>
                <w:color w:val="FFFFFF"/>
                <w:sz w:val="16"/>
                <w:szCs w:val="16"/>
                <w:lang w:eastAsia="en-AU"/>
              </w:rPr>
              <w:t xml:space="preserve">Share of </w:t>
            </w:r>
            <w:r w:rsidRPr="00E3364D">
              <w:rPr>
                <w:rFonts w:ascii="Open Sans Semibold" w:eastAsia="Times New Roman" w:hAnsi="Open Sans Semibold" w:cs="Open Sans Semibold"/>
                <w:color w:val="FFFFFF"/>
                <w:sz w:val="16"/>
                <w:szCs w:val="16"/>
                <w:lang w:eastAsia="en-AU"/>
              </w:rPr>
              <w:br/>
              <w:t>activity</w:t>
            </w:r>
          </w:p>
        </w:tc>
        <w:tc>
          <w:tcPr>
            <w:tcW w:w="1187" w:type="dxa"/>
            <w:tcBorders>
              <w:top w:val="nil"/>
              <w:left w:val="nil"/>
              <w:bottom w:val="nil"/>
              <w:right w:val="nil"/>
            </w:tcBorders>
            <w:shd w:val="clear" w:color="000000" w:fill="006991"/>
            <w:vAlign w:val="center"/>
            <w:hideMark/>
          </w:tcPr>
          <w:p w14:paraId="17ED7418" w14:textId="7A9177E0"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3364D">
              <w:rPr>
                <w:rFonts w:ascii="Open Sans Semibold" w:eastAsia="Times New Roman" w:hAnsi="Open Sans Semibold" w:cs="Open Sans Semibold"/>
                <w:color w:val="FFFFFF"/>
                <w:sz w:val="16"/>
                <w:szCs w:val="16"/>
                <w:lang w:eastAsia="en-AU"/>
              </w:rPr>
              <w:t>Average expen</w:t>
            </w:r>
            <w:r w:rsidR="008B38B7">
              <w:rPr>
                <w:rFonts w:ascii="Open Sans Semibold" w:eastAsia="Times New Roman" w:hAnsi="Open Sans Semibold" w:cs="Open Sans Semibold"/>
                <w:color w:val="FFFFFF"/>
                <w:sz w:val="16"/>
                <w:szCs w:val="16"/>
                <w:lang w:eastAsia="en-AU"/>
              </w:rPr>
              <w:t>s</w:t>
            </w:r>
            <w:r w:rsidRPr="00E3364D">
              <w:rPr>
                <w:rFonts w:ascii="Open Sans Semibold" w:eastAsia="Times New Roman" w:hAnsi="Open Sans Semibold" w:cs="Open Sans Semibold"/>
                <w:color w:val="FFFFFF"/>
                <w:sz w:val="16"/>
                <w:szCs w:val="16"/>
                <w:lang w:eastAsia="en-AU"/>
              </w:rPr>
              <w:t xml:space="preserve">e </w:t>
            </w:r>
            <w:r w:rsidRPr="00E3364D">
              <w:rPr>
                <w:rFonts w:ascii="Open Sans Semibold" w:eastAsia="Times New Roman" w:hAnsi="Open Sans Semibold" w:cs="Open Sans Semibold"/>
                <w:color w:val="FFFFFF"/>
                <w:sz w:val="16"/>
                <w:szCs w:val="16"/>
                <w:lang w:eastAsia="en-AU"/>
              </w:rPr>
              <w:br/>
              <w:t>per service</w:t>
            </w:r>
          </w:p>
        </w:tc>
        <w:tc>
          <w:tcPr>
            <w:tcW w:w="1380" w:type="dxa"/>
            <w:tcBorders>
              <w:top w:val="nil"/>
              <w:left w:val="nil"/>
              <w:bottom w:val="nil"/>
              <w:right w:val="nil"/>
            </w:tcBorders>
            <w:shd w:val="clear" w:color="000000" w:fill="006991"/>
            <w:vAlign w:val="center"/>
            <w:hideMark/>
          </w:tcPr>
          <w:p w14:paraId="0B8B7C7C" w14:textId="37ADBE39"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3364D">
              <w:rPr>
                <w:rFonts w:ascii="Open Sans Semibold" w:eastAsia="Times New Roman" w:hAnsi="Open Sans Semibold" w:cs="Open Sans Semibold"/>
                <w:color w:val="FFFFFF"/>
                <w:sz w:val="16"/>
                <w:szCs w:val="16"/>
                <w:lang w:eastAsia="en-AU"/>
              </w:rPr>
              <w:t>Share of expen</w:t>
            </w:r>
            <w:r w:rsidR="008B38B7">
              <w:rPr>
                <w:rFonts w:ascii="Open Sans Semibold" w:eastAsia="Times New Roman" w:hAnsi="Open Sans Semibold" w:cs="Open Sans Semibold"/>
                <w:color w:val="FFFFFF"/>
                <w:sz w:val="16"/>
                <w:szCs w:val="16"/>
                <w:lang w:eastAsia="en-AU"/>
              </w:rPr>
              <w:t>s</w:t>
            </w:r>
            <w:r w:rsidRPr="00E3364D">
              <w:rPr>
                <w:rFonts w:ascii="Open Sans Semibold" w:eastAsia="Times New Roman" w:hAnsi="Open Sans Semibold" w:cs="Open Sans Semibold"/>
                <w:color w:val="FFFFFF"/>
                <w:sz w:val="16"/>
                <w:szCs w:val="16"/>
                <w:lang w:eastAsia="en-AU"/>
              </w:rPr>
              <w:t>e</w:t>
            </w:r>
            <w:r w:rsidR="008B38B7">
              <w:rPr>
                <w:rFonts w:ascii="Open Sans Semibold" w:eastAsia="Times New Roman" w:hAnsi="Open Sans Semibold" w:cs="Open Sans Semibold"/>
                <w:color w:val="FFFFFF"/>
                <w:sz w:val="16"/>
                <w:szCs w:val="16"/>
                <w:lang w:eastAsia="en-AU"/>
              </w:rPr>
              <w:t>s</w:t>
            </w:r>
          </w:p>
        </w:tc>
        <w:tc>
          <w:tcPr>
            <w:tcW w:w="258" w:type="dxa"/>
            <w:tcBorders>
              <w:top w:val="nil"/>
              <w:left w:val="nil"/>
              <w:bottom w:val="nil"/>
              <w:right w:val="nil"/>
            </w:tcBorders>
            <w:shd w:val="clear" w:color="000000" w:fill="006991"/>
            <w:vAlign w:val="center"/>
            <w:hideMark/>
          </w:tcPr>
          <w:p w14:paraId="01336AA1" w14:textId="77777777"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3364D">
              <w:rPr>
                <w:rFonts w:ascii="Open Sans Semibold" w:eastAsia="Times New Roman" w:hAnsi="Open Sans Semibold" w:cs="Open Sans Semibold"/>
                <w:color w:val="FFFFFF"/>
                <w:sz w:val="16"/>
                <w:szCs w:val="16"/>
                <w:lang w:eastAsia="en-AU"/>
              </w:rPr>
              <w:t> </w:t>
            </w:r>
          </w:p>
        </w:tc>
        <w:tc>
          <w:tcPr>
            <w:tcW w:w="1226" w:type="dxa"/>
            <w:tcBorders>
              <w:top w:val="nil"/>
              <w:left w:val="nil"/>
              <w:bottom w:val="nil"/>
              <w:right w:val="nil"/>
            </w:tcBorders>
            <w:shd w:val="clear" w:color="000000" w:fill="006991"/>
            <w:vAlign w:val="center"/>
            <w:hideMark/>
          </w:tcPr>
          <w:p w14:paraId="2C8E6434" w14:textId="77777777"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FFFFFF"/>
                <w:sz w:val="15"/>
                <w:szCs w:val="15"/>
                <w:lang w:eastAsia="en-AU"/>
              </w:rPr>
            </w:pPr>
            <w:r w:rsidRPr="00E3364D">
              <w:rPr>
                <w:rFonts w:ascii="Open Sans Semibold" w:eastAsia="Times New Roman" w:hAnsi="Open Sans Semibold" w:cs="Open Sans Semibold"/>
                <w:color w:val="FFFFFF"/>
                <w:sz w:val="15"/>
                <w:szCs w:val="15"/>
                <w:lang w:eastAsia="en-AU"/>
              </w:rPr>
              <w:t>Substitutable service available</w:t>
            </w:r>
          </w:p>
        </w:tc>
        <w:tc>
          <w:tcPr>
            <w:tcW w:w="1438" w:type="dxa"/>
            <w:tcBorders>
              <w:top w:val="nil"/>
              <w:left w:val="nil"/>
              <w:bottom w:val="nil"/>
              <w:right w:val="nil"/>
            </w:tcBorders>
            <w:shd w:val="clear" w:color="000000" w:fill="006991"/>
            <w:vAlign w:val="center"/>
            <w:hideMark/>
          </w:tcPr>
          <w:p w14:paraId="6DA6DDD4" w14:textId="0C001AF5"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3364D">
              <w:rPr>
                <w:rFonts w:ascii="Open Sans Semibold" w:eastAsia="Times New Roman" w:hAnsi="Open Sans Semibold" w:cs="Open Sans Semibold"/>
                <w:color w:val="FFFFFF"/>
                <w:sz w:val="16"/>
                <w:szCs w:val="16"/>
                <w:lang w:eastAsia="en-AU"/>
              </w:rPr>
              <w:t>NAP substitutability</w:t>
            </w:r>
          </w:p>
        </w:tc>
      </w:tr>
      <w:tr w:rsidR="00F10215" w:rsidRPr="00E3364D" w14:paraId="1C157301" w14:textId="77777777" w:rsidTr="00CA416E">
        <w:trPr>
          <w:trHeight w:val="259"/>
        </w:trPr>
        <w:tc>
          <w:tcPr>
            <w:tcW w:w="2305" w:type="dxa"/>
            <w:tcBorders>
              <w:top w:val="single" w:sz="8" w:space="0" w:color="ADD6EA"/>
              <w:left w:val="nil"/>
              <w:bottom w:val="nil"/>
              <w:right w:val="nil"/>
            </w:tcBorders>
            <w:shd w:val="clear" w:color="000000" w:fill="B6D5E4"/>
            <w:noWrap/>
            <w:vAlign w:val="center"/>
            <w:hideMark/>
          </w:tcPr>
          <w:p w14:paraId="4B0FA436" w14:textId="77777777" w:rsidR="00E3364D" w:rsidRPr="00E3364D" w:rsidRDefault="00E3364D" w:rsidP="00E3364D">
            <w:pPr>
              <w:tabs>
                <w:tab w:val="clear" w:pos="567"/>
              </w:tabs>
              <w:spacing w:before="0" w:line="240" w:lineRule="auto"/>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 </w:t>
            </w:r>
          </w:p>
        </w:tc>
        <w:tc>
          <w:tcPr>
            <w:tcW w:w="258" w:type="dxa"/>
            <w:tcBorders>
              <w:top w:val="single" w:sz="8" w:space="0" w:color="ADD6EA"/>
              <w:left w:val="nil"/>
              <w:bottom w:val="nil"/>
              <w:right w:val="nil"/>
            </w:tcBorders>
            <w:shd w:val="clear" w:color="000000" w:fill="B6D5E4"/>
            <w:noWrap/>
            <w:vAlign w:val="center"/>
            <w:hideMark/>
          </w:tcPr>
          <w:p w14:paraId="321B847C" w14:textId="77777777" w:rsidR="00E3364D" w:rsidRPr="00E3364D" w:rsidRDefault="00E3364D" w:rsidP="00E3364D">
            <w:pPr>
              <w:tabs>
                <w:tab w:val="clear" w:pos="567"/>
              </w:tabs>
              <w:spacing w:before="0" w:line="240" w:lineRule="auto"/>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 </w:t>
            </w:r>
          </w:p>
        </w:tc>
        <w:tc>
          <w:tcPr>
            <w:tcW w:w="974" w:type="dxa"/>
            <w:tcBorders>
              <w:top w:val="nil"/>
              <w:left w:val="nil"/>
              <w:bottom w:val="nil"/>
              <w:right w:val="nil"/>
            </w:tcBorders>
            <w:shd w:val="clear" w:color="000000" w:fill="B6D5E4"/>
            <w:noWrap/>
            <w:vAlign w:val="center"/>
            <w:hideMark/>
          </w:tcPr>
          <w:p w14:paraId="64B64CDB" w14:textId="77777777"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w:t>
            </w:r>
          </w:p>
        </w:tc>
        <w:tc>
          <w:tcPr>
            <w:tcW w:w="1187" w:type="dxa"/>
            <w:tcBorders>
              <w:top w:val="single" w:sz="8" w:space="0" w:color="ADD6EA"/>
              <w:left w:val="nil"/>
              <w:bottom w:val="nil"/>
              <w:right w:val="nil"/>
            </w:tcBorders>
            <w:shd w:val="clear" w:color="000000" w:fill="B6D5E4"/>
            <w:noWrap/>
            <w:vAlign w:val="center"/>
            <w:hideMark/>
          </w:tcPr>
          <w:p w14:paraId="40AF5629" w14:textId="77777777"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w:t>
            </w:r>
          </w:p>
        </w:tc>
        <w:tc>
          <w:tcPr>
            <w:tcW w:w="1380" w:type="dxa"/>
            <w:tcBorders>
              <w:top w:val="single" w:sz="8" w:space="0" w:color="ADD6EA"/>
              <w:left w:val="nil"/>
              <w:bottom w:val="nil"/>
              <w:right w:val="nil"/>
            </w:tcBorders>
            <w:shd w:val="clear" w:color="000000" w:fill="B6D5E4"/>
            <w:noWrap/>
            <w:vAlign w:val="center"/>
            <w:hideMark/>
          </w:tcPr>
          <w:p w14:paraId="21892C40" w14:textId="77777777"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w:t>
            </w:r>
          </w:p>
        </w:tc>
        <w:tc>
          <w:tcPr>
            <w:tcW w:w="258" w:type="dxa"/>
            <w:tcBorders>
              <w:top w:val="single" w:sz="8" w:space="0" w:color="ADD6EA"/>
              <w:left w:val="nil"/>
              <w:bottom w:val="nil"/>
              <w:right w:val="nil"/>
            </w:tcBorders>
            <w:shd w:val="clear" w:color="000000" w:fill="B6D5E4"/>
            <w:noWrap/>
            <w:vAlign w:val="center"/>
            <w:hideMark/>
          </w:tcPr>
          <w:p w14:paraId="2673666C" w14:textId="77777777"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 </w:t>
            </w:r>
          </w:p>
        </w:tc>
        <w:tc>
          <w:tcPr>
            <w:tcW w:w="1226" w:type="dxa"/>
            <w:tcBorders>
              <w:top w:val="single" w:sz="8" w:space="0" w:color="ADD6EA"/>
              <w:left w:val="nil"/>
              <w:bottom w:val="nil"/>
              <w:right w:val="nil"/>
            </w:tcBorders>
            <w:shd w:val="clear" w:color="000000" w:fill="B6D5E4"/>
            <w:noWrap/>
            <w:vAlign w:val="center"/>
            <w:hideMark/>
          </w:tcPr>
          <w:p w14:paraId="342D088A" w14:textId="77777777"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w:t>
            </w:r>
          </w:p>
        </w:tc>
        <w:tc>
          <w:tcPr>
            <w:tcW w:w="1438" w:type="dxa"/>
            <w:tcBorders>
              <w:top w:val="single" w:sz="8" w:space="0" w:color="ADD6EA"/>
              <w:left w:val="nil"/>
              <w:bottom w:val="nil"/>
              <w:right w:val="nil"/>
            </w:tcBorders>
            <w:shd w:val="clear" w:color="000000" w:fill="B6D5E4"/>
            <w:noWrap/>
            <w:vAlign w:val="center"/>
            <w:hideMark/>
          </w:tcPr>
          <w:p w14:paraId="3EAD5EAA" w14:textId="77777777" w:rsidR="00E3364D" w:rsidRPr="00E3364D" w:rsidRDefault="00E3364D"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w:t>
            </w:r>
          </w:p>
        </w:tc>
      </w:tr>
      <w:tr w:rsidR="006A269A" w:rsidRPr="00E3364D" w14:paraId="49A702B3" w14:textId="77777777" w:rsidTr="00CA416E">
        <w:trPr>
          <w:trHeight w:val="315"/>
        </w:trPr>
        <w:tc>
          <w:tcPr>
            <w:tcW w:w="2305" w:type="dxa"/>
            <w:tcBorders>
              <w:top w:val="single" w:sz="4" w:space="0" w:color="ADD6EA"/>
              <w:left w:val="nil"/>
              <w:bottom w:val="single" w:sz="4" w:space="0" w:color="ADD6EA"/>
              <w:right w:val="nil"/>
            </w:tcBorders>
            <w:shd w:val="clear" w:color="auto" w:fill="auto"/>
            <w:noWrap/>
            <w:vAlign w:val="center"/>
            <w:hideMark/>
          </w:tcPr>
          <w:p w14:paraId="7DE9BFA2" w14:textId="77777777" w:rsidR="006A269A" w:rsidRPr="00E3364D" w:rsidRDefault="006A269A" w:rsidP="00CA416E">
            <w:pPr>
              <w:tabs>
                <w:tab w:val="clear" w:pos="567"/>
              </w:tabs>
              <w:spacing w:before="0" w:line="240" w:lineRule="auto"/>
              <w:rPr>
                <w:rFonts w:eastAsia="Times New Roman" w:cs="Open Sans Light"/>
                <w:color w:val="000000"/>
                <w:sz w:val="16"/>
                <w:szCs w:val="16"/>
                <w:lang w:eastAsia="en-AU"/>
              </w:rPr>
            </w:pPr>
            <w:r w:rsidRPr="00E3364D">
              <w:rPr>
                <w:rFonts w:eastAsia="Times New Roman" w:cs="Open Sans Light"/>
                <w:color w:val="000000"/>
                <w:sz w:val="16"/>
                <w:szCs w:val="16"/>
                <w:lang w:eastAsia="en-AU"/>
              </w:rPr>
              <w:t>Procedure clinics</w:t>
            </w:r>
          </w:p>
        </w:tc>
        <w:tc>
          <w:tcPr>
            <w:tcW w:w="258" w:type="dxa"/>
            <w:tcBorders>
              <w:top w:val="single" w:sz="4" w:space="0" w:color="ADD6EA"/>
              <w:left w:val="nil"/>
              <w:bottom w:val="single" w:sz="4" w:space="0" w:color="ADD6EA"/>
              <w:right w:val="nil"/>
            </w:tcBorders>
            <w:shd w:val="clear" w:color="000000" w:fill="FFFFFF"/>
            <w:noWrap/>
            <w:vAlign w:val="center"/>
            <w:hideMark/>
          </w:tcPr>
          <w:p w14:paraId="0B6994A1" w14:textId="77777777" w:rsidR="006A269A" w:rsidRPr="00E3364D" w:rsidRDefault="006A269A" w:rsidP="006A269A">
            <w:pPr>
              <w:tabs>
                <w:tab w:val="clear" w:pos="567"/>
              </w:tabs>
              <w:spacing w:before="0" w:line="240" w:lineRule="auto"/>
              <w:rPr>
                <w:rFonts w:eastAsia="Times New Roman" w:cs="Open Sans Light"/>
                <w:color w:val="000000"/>
                <w:sz w:val="16"/>
                <w:szCs w:val="16"/>
                <w:lang w:eastAsia="en-AU"/>
              </w:rPr>
            </w:pPr>
            <w:r w:rsidRPr="00E3364D">
              <w:rPr>
                <w:rFonts w:eastAsia="Times New Roman" w:cs="Open Sans Light"/>
                <w:color w:val="000000"/>
                <w:sz w:val="16"/>
                <w:szCs w:val="16"/>
                <w:lang w:eastAsia="en-AU"/>
              </w:rPr>
              <w:t> </w:t>
            </w:r>
          </w:p>
        </w:tc>
        <w:tc>
          <w:tcPr>
            <w:tcW w:w="974" w:type="dxa"/>
            <w:tcBorders>
              <w:top w:val="single" w:sz="4" w:space="0" w:color="ADD6EA"/>
              <w:left w:val="nil"/>
              <w:bottom w:val="single" w:sz="4" w:space="0" w:color="ADD6EA"/>
              <w:right w:val="nil"/>
            </w:tcBorders>
            <w:shd w:val="clear" w:color="000000" w:fill="FFFFFF"/>
            <w:noWrap/>
            <w:vAlign w:val="center"/>
            <w:hideMark/>
          </w:tcPr>
          <w:p w14:paraId="6C7791D1" w14:textId="4546F963"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1</w:t>
            </w:r>
            <w:r>
              <w:rPr>
                <w:rFonts w:eastAsia="Times New Roman" w:cs="Open Sans Light"/>
                <w:color w:val="000000"/>
                <w:sz w:val="16"/>
                <w:szCs w:val="16"/>
                <w:lang w:eastAsia="en-AU"/>
              </w:rPr>
              <w:t>2</w:t>
            </w:r>
          </w:p>
        </w:tc>
        <w:tc>
          <w:tcPr>
            <w:tcW w:w="1187" w:type="dxa"/>
            <w:tcBorders>
              <w:top w:val="single" w:sz="4" w:space="0" w:color="ADD6EA"/>
              <w:left w:val="nil"/>
              <w:bottom w:val="single" w:sz="4" w:space="0" w:color="ADD6EA"/>
              <w:right w:val="nil"/>
            </w:tcBorders>
            <w:shd w:val="clear" w:color="000000" w:fill="FFFFFF"/>
            <w:noWrap/>
            <w:vAlign w:val="center"/>
            <w:hideMark/>
          </w:tcPr>
          <w:p w14:paraId="4221FB02" w14:textId="65419973"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5</w:t>
            </w:r>
            <w:r>
              <w:rPr>
                <w:rFonts w:eastAsia="Times New Roman" w:cs="Open Sans Light"/>
                <w:color w:val="000000"/>
                <w:sz w:val="16"/>
                <w:szCs w:val="16"/>
                <w:lang w:eastAsia="en-AU"/>
              </w:rPr>
              <w:t>92</w:t>
            </w:r>
          </w:p>
        </w:tc>
        <w:tc>
          <w:tcPr>
            <w:tcW w:w="1380" w:type="dxa"/>
            <w:tcBorders>
              <w:top w:val="single" w:sz="4" w:space="0" w:color="ADD6EA"/>
              <w:left w:val="nil"/>
              <w:bottom w:val="single" w:sz="4" w:space="0" w:color="ADD6EA"/>
              <w:right w:val="nil"/>
            </w:tcBorders>
            <w:shd w:val="clear" w:color="000000" w:fill="FFFFFF"/>
            <w:noWrap/>
            <w:vAlign w:val="center"/>
            <w:hideMark/>
          </w:tcPr>
          <w:p w14:paraId="2CA74DC6" w14:textId="0321B001"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21</w:t>
            </w:r>
          </w:p>
        </w:tc>
        <w:tc>
          <w:tcPr>
            <w:tcW w:w="258" w:type="dxa"/>
            <w:tcBorders>
              <w:top w:val="single" w:sz="4" w:space="0" w:color="ADD6EA"/>
              <w:left w:val="nil"/>
              <w:bottom w:val="single" w:sz="4" w:space="0" w:color="ADD6EA"/>
              <w:right w:val="nil"/>
            </w:tcBorders>
            <w:shd w:val="clear" w:color="000000" w:fill="FFFFFF"/>
            <w:noWrap/>
            <w:vAlign w:val="center"/>
            <w:hideMark/>
          </w:tcPr>
          <w:p w14:paraId="295F7ACD" w14:textId="77777777"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 </w:t>
            </w:r>
          </w:p>
        </w:tc>
        <w:tc>
          <w:tcPr>
            <w:tcW w:w="1226" w:type="dxa"/>
            <w:tcBorders>
              <w:top w:val="single" w:sz="4" w:space="0" w:color="ADD6EA"/>
              <w:left w:val="nil"/>
              <w:bottom w:val="single" w:sz="4" w:space="0" w:color="ADD6EA"/>
              <w:right w:val="nil"/>
            </w:tcBorders>
            <w:shd w:val="clear" w:color="000000" w:fill="FFFFFF"/>
            <w:noWrap/>
            <w:vAlign w:val="center"/>
            <w:hideMark/>
          </w:tcPr>
          <w:p w14:paraId="4EF6C418" w14:textId="32706F76"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22</w:t>
            </w:r>
          </w:p>
        </w:tc>
        <w:tc>
          <w:tcPr>
            <w:tcW w:w="1438" w:type="dxa"/>
            <w:tcBorders>
              <w:top w:val="single" w:sz="4" w:space="0" w:color="ADD6EA"/>
              <w:left w:val="nil"/>
              <w:bottom w:val="single" w:sz="4" w:space="0" w:color="ADD6EA"/>
              <w:right w:val="nil"/>
            </w:tcBorders>
            <w:shd w:val="clear" w:color="000000" w:fill="FFFFFF"/>
            <w:noWrap/>
            <w:vAlign w:val="center"/>
            <w:hideMark/>
          </w:tcPr>
          <w:p w14:paraId="6BCD9A58" w14:textId="7B6EEFFC"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4</w:t>
            </w:r>
            <w:r>
              <w:rPr>
                <w:rFonts w:eastAsia="Times New Roman" w:cs="Open Sans Light"/>
                <w:color w:val="000000"/>
                <w:sz w:val="16"/>
                <w:szCs w:val="16"/>
                <w:lang w:eastAsia="en-AU"/>
              </w:rPr>
              <w:t>.</w:t>
            </w:r>
            <w:r w:rsidR="00BB1248">
              <w:rPr>
                <w:rFonts w:eastAsia="Times New Roman" w:cs="Open Sans Light"/>
                <w:color w:val="000000"/>
                <w:sz w:val="16"/>
                <w:szCs w:val="16"/>
                <w:lang w:eastAsia="en-AU"/>
              </w:rPr>
              <w:t>6</w:t>
            </w:r>
          </w:p>
        </w:tc>
      </w:tr>
      <w:tr w:rsidR="006A269A" w:rsidRPr="00E3364D" w14:paraId="40563F3C" w14:textId="77777777" w:rsidTr="00CA416E">
        <w:trPr>
          <w:trHeight w:val="315"/>
        </w:trPr>
        <w:tc>
          <w:tcPr>
            <w:tcW w:w="2305" w:type="dxa"/>
            <w:tcBorders>
              <w:top w:val="nil"/>
              <w:left w:val="nil"/>
              <w:bottom w:val="single" w:sz="4" w:space="0" w:color="ADD6EA"/>
              <w:right w:val="nil"/>
            </w:tcBorders>
            <w:shd w:val="clear" w:color="auto" w:fill="auto"/>
            <w:noWrap/>
            <w:vAlign w:val="center"/>
            <w:hideMark/>
          </w:tcPr>
          <w:p w14:paraId="271F7A0D" w14:textId="77777777" w:rsidR="006A269A" w:rsidRPr="00E3364D" w:rsidRDefault="006A269A" w:rsidP="00CA416E">
            <w:pPr>
              <w:tabs>
                <w:tab w:val="clear" w:pos="567"/>
              </w:tabs>
              <w:spacing w:before="0" w:line="240" w:lineRule="auto"/>
              <w:rPr>
                <w:rFonts w:eastAsia="Times New Roman" w:cs="Open Sans Light"/>
                <w:color w:val="000000"/>
                <w:sz w:val="16"/>
                <w:szCs w:val="16"/>
                <w:lang w:eastAsia="en-AU"/>
              </w:rPr>
            </w:pPr>
            <w:r w:rsidRPr="00E3364D">
              <w:rPr>
                <w:rFonts w:eastAsia="Times New Roman" w:cs="Open Sans Light"/>
                <w:color w:val="000000"/>
                <w:sz w:val="16"/>
                <w:szCs w:val="16"/>
                <w:lang w:eastAsia="en-AU"/>
              </w:rPr>
              <w:t xml:space="preserve">Consultation clinics </w:t>
            </w:r>
          </w:p>
        </w:tc>
        <w:tc>
          <w:tcPr>
            <w:tcW w:w="258" w:type="dxa"/>
            <w:tcBorders>
              <w:top w:val="nil"/>
              <w:left w:val="nil"/>
              <w:bottom w:val="single" w:sz="4" w:space="0" w:color="ADD6EA"/>
              <w:right w:val="nil"/>
            </w:tcBorders>
            <w:shd w:val="clear" w:color="000000" w:fill="FFFFFF"/>
            <w:noWrap/>
            <w:vAlign w:val="center"/>
            <w:hideMark/>
          </w:tcPr>
          <w:p w14:paraId="7D9A0336" w14:textId="77777777" w:rsidR="006A269A" w:rsidRPr="00E3364D" w:rsidRDefault="006A269A" w:rsidP="006A269A">
            <w:pPr>
              <w:tabs>
                <w:tab w:val="clear" w:pos="567"/>
              </w:tabs>
              <w:spacing w:before="0" w:line="240" w:lineRule="auto"/>
              <w:rPr>
                <w:rFonts w:eastAsia="Times New Roman" w:cs="Open Sans Light"/>
                <w:color w:val="000000"/>
                <w:sz w:val="16"/>
                <w:szCs w:val="16"/>
                <w:lang w:eastAsia="en-AU"/>
              </w:rPr>
            </w:pPr>
            <w:r w:rsidRPr="00E3364D">
              <w:rPr>
                <w:rFonts w:eastAsia="Times New Roman" w:cs="Open Sans Light"/>
                <w:color w:val="000000"/>
                <w:sz w:val="16"/>
                <w:szCs w:val="16"/>
                <w:lang w:eastAsia="en-AU"/>
              </w:rPr>
              <w:t> </w:t>
            </w:r>
          </w:p>
        </w:tc>
        <w:tc>
          <w:tcPr>
            <w:tcW w:w="974" w:type="dxa"/>
            <w:tcBorders>
              <w:top w:val="nil"/>
              <w:left w:val="nil"/>
              <w:bottom w:val="single" w:sz="4" w:space="0" w:color="ADD6EA"/>
              <w:right w:val="nil"/>
            </w:tcBorders>
            <w:shd w:val="clear" w:color="000000" w:fill="FFFFFF"/>
            <w:noWrap/>
            <w:vAlign w:val="center"/>
            <w:hideMark/>
          </w:tcPr>
          <w:p w14:paraId="187A1B31" w14:textId="1F478117"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3</w:t>
            </w:r>
            <w:r>
              <w:rPr>
                <w:rFonts w:eastAsia="Times New Roman" w:cs="Open Sans Light"/>
                <w:color w:val="000000"/>
                <w:sz w:val="16"/>
                <w:szCs w:val="16"/>
                <w:lang w:eastAsia="en-AU"/>
              </w:rPr>
              <w:t>8</w:t>
            </w:r>
          </w:p>
        </w:tc>
        <w:tc>
          <w:tcPr>
            <w:tcW w:w="1187" w:type="dxa"/>
            <w:tcBorders>
              <w:top w:val="nil"/>
              <w:left w:val="nil"/>
              <w:bottom w:val="single" w:sz="4" w:space="0" w:color="ADD6EA"/>
              <w:right w:val="nil"/>
            </w:tcBorders>
            <w:shd w:val="clear" w:color="000000" w:fill="FFFFFF"/>
            <w:noWrap/>
            <w:vAlign w:val="center"/>
            <w:hideMark/>
          </w:tcPr>
          <w:p w14:paraId="1F71E1EC" w14:textId="7A575B73"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4</w:t>
            </w:r>
            <w:r>
              <w:rPr>
                <w:rFonts w:eastAsia="Times New Roman" w:cs="Open Sans Light"/>
                <w:color w:val="000000"/>
                <w:sz w:val="16"/>
                <w:szCs w:val="16"/>
                <w:lang w:eastAsia="en-AU"/>
              </w:rPr>
              <w:t>06</w:t>
            </w:r>
          </w:p>
        </w:tc>
        <w:tc>
          <w:tcPr>
            <w:tcW w:w="1380" w:type="dxa"/>
            <w:tcBorders>
              <w:top w:val="nil"/>
              <w:left w:val="nil"/>
              <w:bottom w:val="single" w:sz="4" w:space="0" w:color="ADD6EA"/>
              <w:right w:val="nil"/>
            </w:tcBorders>
            <w:shd w:val="clear" w:color="000000" w:fill="FFFFFF"/>
            <w:noWrap/>
            <w:vAlign w:val="center"/>
            <w:hideMark/>
          </w:tcPr>
          <w:p w14:paraId="6EF4DA45" w14:textId="645EE960"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4</w:t>
            </w:r>
            <w:r>
              <w:rPr>
                <w:rFonts w:eastAsia="Times New Roman" w:cs="Open Sans Light"/>
                <w:color w:val="000000"/>
                <w:sz w:val="16"/>
                <w:szCs w:val="16"/>
                <w:lang w:eastAsia="en-AU"/>
              </w:rPr>
              <w:t>4</w:t>
            </w:r>
          </w:p>
        </w:tc>
        <w:tc>
          <w:tcPr>
            <w:tcW w:w="258" w:type="dxa"/>
            <w:tcBorders>
              <w:top w:val="nil"/>
              <w:left w:val="nil"/>
              <w:bottom w:val="single" w:sz="4" w:space="0" w:color="ADD6EA"/>
              <w:right w:val="nil"/>
            </w:tcBorders>
            <w:shd w:val="clear" w:color="000000" w:fill="FFFFFF"/>
            <w:noWrap/>
            <w:vAlign w:val="center"/>
            <w:hideMark/>
          </w:tcPr>
          <w:p w14:paraId="42668A78" w14:textId="77777777"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 </w:t>
            </w:r>
          </w:p>
        </w:tc>
        <w:tc>
          <w:tcPr>
            <w:tcW w:w="1226" w:type="dxa"/>
            <w:tcBorders>
              <w:top w:val="nil"/>
              <w:left w:val="nil"/>
              <w:bottom w:val="single" w:sz="4" w:space="0" w:color="ADD6EA"/>
              <w:right w:val="nil"/>
            </w:tcBorders>
            <w:shd w:val="clear" w:color="000000" w:fill="FFFFFF"/>
            <w:noWrap/>
            <w:vAlign w:val="center"/>
            <w:hideMark/>
          </w:tcPr>
          <w:p w14:paraId="72DAEBBE" w14:textId="6A56242D"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34</w:t>
            </w:r>
          </w:p>
        </w:tc>
        <w:tc>
          <w:tcPr>
            <w:tcW w:w="1438" w:type="dxa"/>
            <w:tcBorders>
              <w:top w:val="nil"/>
              <w:left w:val="nil"/>
              <w:bottom w:val="single" w:sz="4" w:space="0" w:color="ADD6EA"/>
              <w:right w:val="nil"/>
            </w:tcBorders>
            <w:shd w:val="clear" w:color="000000" w:fill="FFFFFF"/>
            <w:noWrap/>
            <w:vAlign w:val="center"/>
            <w:hideMark/>
          </w:tcPr>
          <w:p w14:paraId="5392C32C" w14:textId="2794B003"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1</w:t>
            </w:r>
            <w:r>
              <w:rPr>
                <w:rFonts w:eastAsia="Times New Roman" w:cs="Open Sans Light"/>
                <w:color w:val="000000"/>
                <w:sz w:val="16"/>
                <w:szCs w:val="16"/>
                <w:lang w:eastAsia="en-AU"/>
              </w:rPr>
              <w:t>5.</w:t>
            </w:r>
            <w:r w:rsidR="00BB1248">
              <w:rPr>
                <w:rFonts w:eastAsia="Times New Roman" w:cs="Open Sans Light"/>
                <w:color w:val="000000"/>
                <w:sz w:val="16"/>
                <w:szCs w:val="16"/>
                <w:lang w:eastAsia="en-AU"/>
              </w:rPr>
              <w:t>1</w:t>
            </w:r>
          </w:p>
        </w:tc>
      </w:tr>
      <w:tr w:rsidR="006A269A" w:rsidRPr="00E3364D" w14:paraId="1FE7EEEE" w14:textId="77777777" w:rsidTr="00CA416E">
        <w:trPr>
          <w:trHeight w:val="315"/>
        </w:trPr>
        <w:tc>
          <w:tcPr>
            <w:tcW w:w="2305" w:type="dxa"/>
            <w:tcBorders>
              <w:top w:val="nil"/>
              <w:left w:val="nil"/>
              <w:bottom w:val="single" w:sz="4" w:space="0" w:color="ADD6EA"/>
              <w:right w:val="nil"/>
            </w:tcBorders>
            <w:shd w:val="clear" w:color="auto" w:fill="auto"/>
            <w:noWrap/>
            <w:vAlign w:val="center"/>
            <w:hideMark/>
          </w:tcPr>
          <w:p w14:paraId="47C4A8E1" w14:textId="77777777" w:rsidR="006A269A" w:rsidRPr="00E3364D" w:rsidRDefault="006A269A" w:rsidP="00CA416E">
            <w:pPr>
              <w:tabs>
                <w:tab w:val="clear" w:pos="567"/>
              </w:tabs>
              <w:spacing w:before="0" w:line="240" w:lineRule="auto"/>
              <w:rPr>
                <w:rFonts w:eastAsia="Times New Roman" w:cs="Open Sans Light"/>
                <w:color w:val="000000"/>
                <w:sz w:val="16"/>
                <w:szCs w:val="16"/>
                <w:lang w:eastAsia="en-AU"/>
              </w:rPr>
            </w:pPr>
            <w:r w:rsidRPr="00E3364D">
              <w:rPr>
                <w:rFonts w:eastAsia="Times New Roman" w:cs="Open Sans Light"/>
                <w:color w:val="000000"/>
                <w:sz w:val="16"/>
                <w:szCs w:val="16"/>
                <w:lang w:eastAsia="en-AU"/>
              </w:rPr>
              <w:t>Allied health clinics</w:t>
            </w:r>
          </w:p>
        </w:tc>
        <w:tc>
          <w:tcPr>
            <w:tcW w:w="258" w:type="dxa"/>
            <w:tcBorders>
              <w:top w:val="nil"/>
              <w:left w:val="nil"/>
              <w:bottom w:val="single" w:sz="4" w:space="0" w:color="ADD6EA"/>
              <w:right w:val="nil"/>
            </w:tcBorders>
            <w:shd w:val="clear" w:color="000000" w:fill="FFFFFF"/>
            <w:noWrap/>
            <w:vAlign w:val="center"/>
            <w:hideMark/>
          </w:tcPr>
          <w:p w14:paraId="5E8F8F89" w14:textId="77777777" w:rsidR="006A269A" w:rsidRPr="00E3364D" w:rsidRDefault="006A269A" w:rsidP="006A269A">
            <w:pPr>
              <w:tabs>
                <w:tab w:val="clear" w:pos="567"/>
              </w:tabs>
              <w:spacing w:before="0" w:line="240" w:lineRule="auto"/>
              <w:rPr>
                <w:rFonts w:eastAsia="Times New Roman" w:cs="Open Sans Light"/>
                <w:color w:val="000000"/>
                <w:sz w:val="16"/>
                <w:szCs w:val="16"/>
                <w:lang w:eastAsia="en-AU"/>
              </w:rPr>
            </w:pPr>
            <w:r w:rsidRPr="00E3364D">
              <w:rPr>
                <w:rFonts w:eastAsia="Times New Roman" w:cs="Open Sans Light"/>
                <w:color w:val="000000"/>
                <w:sz w:val="16"/>
                <w:szCs w:val="16"/>
                <w:lang w:eastAsia="en-AU"/>
              </w:rPr>
              <w:t> </w:t>
            </w:r>
          </w:p>
        </w:tc>
        <w:tc>
          <w:tcPr>
            <w:tcW w:w="974" w:type="dxa"/>
            <w:tcBorders>
              <w:top w:val="nil"/>
              <w:left w:val="nil"/>
              <w:bottom w:val="single" w:sz="4" w:space="0" w:color="ADD6EA"/>
              <w:right w:val="nil"/>
            </w:tcBorders>
            <w:shd w:val="clear" w:color="000000" w:fill="FFFFFF"/>
            <w:noWrap/>
            <w:vAlign w:val="center"/>
            <w:hideMark/>
          </w:tcPr>
          <w:p w14:paraId="448265C4" w14:textId="7219A6CF"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5</w:t>
            </w:r>
            <w:r>
              <w:rPr>
                <w:rFonts w:eastAsia="Times New Roman" w:cs="Open Sans Light"/>
                <w:color w:val="000000"/>
                <w:sz w:val="16"/>
                <w:szCs w:val="16"/>
                <w:lang w:eastAsia="en-AU"/>
              </w:rPr>
              <w:t>0</w:t>
            </w:r>
          </w:p>
        </w:tc>
        <w:tc>
          <w:tcPr>
            <w:tcW w:w="1187" w:type="dxa"/>
            <w:tcBorders>
              <w:top w:val="nil"/>
              <w:left w:val="nil"/>
              <w:bottom w:val="single" w:sz="4" w:space="0" w:color="ADD6EA"/>
              <w:right w:val="nil"/>
            </w:tcBorders>
            <w:shd w:val="clear" w:color="000000" w:fill="FFFFFF"/>
            <w:noWrap/>
            <w:vAlign w:val="center"/>
            <w:hideMark/>
          </w:tcPr>
          <w:p w14:paraId="5986F8BA" w14:textId="36931A3F"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2</w:t>
            </w:r>
            <w:r>
              <w:rPr>
                <w:rFonts w:eastAsia="Times New Roman" w:cs="Open Sans Light"/>
                <w:color w:val="000000"/>
                <w:sz w:val="16"/>
                <w:szCs w:val="16"/>
                <w:lang w:eastAsia="en-AU"/>
              </w:rPr>
              <w:t>4</w:t>
            </w:r>
            <w:r w:rsidRPr="00FE274B">
              <w:rPr>
                <w:rFonts w:eastAsia="Times New Roman" w:cs="Open Sans Light"/>
                <w:color w:val="000000"/>
                <w:sz w:val="16"/>
                <w:szCs w:val="16"/>
                <w:lang w:eastAsia="en-AU"/>
              </w:rPr>
              <w:t>8</w:t>
            </w:r>
          </w:p>
        </w:tc>
        <w:tc>
          <w:tcPr>
            <w:tcW w:w="1380" w:type="dxa"/>
            <w:tcBorders>
              <w:top w:val="nil"/>
              <w:left w:val="nil"/>
              <w:bottom w:val="single" w:sz="4" w:space="0" w:color="ADD6EA"/>
              <w:right w:val="nil"/>
            </w:tcBorders>
            <w:shd w:val="clear" w:color="000000" w:fill="FFFFFF"/>
            <w:noWrap/>
            <w:vAlign w:val="center"/>
            <w:hideMark/>
          </w:tcPr>
          <w:p w14:paraId="2A00E052" w14:textId="1C4ACD99"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FE274B">
              <w:rPr>
                <w:rFonts w:eastAsia="Times New Roman" w:cs="Open Sans Light"/>
                <w:color w:val="000000"/>
                <w:sz w:val="16"/>
                <w:szCs w:val="16"/>
                <w:lang w:eastAsia="en-AU"/>
              </w:rPr>
              <w:t>3</w:t>
            </w:r>
            <w:r>
              <w:rPr>
                <w:rFonts w:eastAsia="Times New Roman" w:cs="Open Sans Light"/>
                <w:color w:val="000000"/>
                <w:sz w:val="16"/>
                <w:szCs w:val="16"/>
                <w:lang w:eastAsia="en-AU"/>
              </w:rPr>
              <w:t>5</w:t>
            </w:r>
          </w:p>
        </w:tc>
        <w:tc>
          <w:tcPr>
            <w:tcW w:w="258" w:type="dxa"/>
            <w:tcBorders>
              <w:top w:val="nil"/>
              <w:left w:val="nil"/>
              <w:bottom w:val="single" w:sz="4" w:space="0" w:color="ADD6EA"/>
              <w:right w:val="nil"/>
            </w:tcBorders>
            <w:shd w:val="clear" w:color="000000" w:fill="FFFFFF"/>
            <w:noWrap/>
            <w:vAlign w:val="center"/>
            <w:hideMark/>
          </w:tcPr>
          <w:p w14:paraId="7EAA8114" w14:textId="77777777"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 </w:t>
            </w:r>
          </w:p>
        </w:tc>
        <w:tc>
          <w:tcPr>
            <w:tcW w:w="1226" w:type="dxa"/>
            <w:tcBorders>
              <w:top w:val="nil"/>
              <w:left w:val="nil"/>
              <w:bottom w:val="single" w:sz="4" w:space="0" w:color="ADD6EA"/>
              <w:right w:val="nil"/>
            </w:tcBorders>
            <w:shd w:val="clear" w:color="000000" w:fill="FFFFFF"/>
            <w:noWrap/>
            <w:vAlign w:val="center"/>
            <w:hideMark/>
          </w:tcPr>
          <w:p w14:paraId="6E26CD8E" w14:textId="77777777"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0</w:t>
            </w:r>
          </w:p>
        </w:tc>
        <w:tc>
          <w:tcPr>
            <w:tcW w:w="1438" w:type="dxa"/>
            <w:tcBorders>
              <w:top w:val="nil"/>
              <w:left w:val="nil"/>
              <w:bottom w:val="single" w:sz="4" w:space="0" w:color="ADD6EA"/>
              <w:right w:val="nil"/>
            </w:tcBorders>
            <w:shd w:val="clear" w:color="000000" w:fill="FFFFFF"/>
            <w:noWrap/>
            <w:vAlign w:val="center"/>
            <w:hideMark/>
          </w:tcPr>
          <w:p w14:paraId="61A8B300" w14:textId="77777777" w:rsidR="006A269A" w:rsidRPr="00E3364D" w:rsidRDefault="006A269A" w:rsidP="00CA416E">
            <w:pPr>
              <w:tabs>
                <w:tab w:val="clear" w:pos="567"/>
              </w:tabs>
              <w:spacing w:before="0" w:line="240" w:lineRule="auto"/>
              <w:jc w:val="right"/>
              <w:rPr>
                <w:rFonts w:eastAsia="Times New Roman" w:cs="Open Sans Light"/>
                <w:color w:val="000000"/>
                <w:sz w:val="16"/>
                <w:szCs w:val="16"/>
                <w:lang w:eastAsia="en-AU"/>
              </w:rPr>
            </w:pPr>
            <w:r w:rsidRPr="00E3364D">
              <w:rPr>
                <w:rFonts w:eastAsia="Times New Roman" w:cs="Open Sans Light"/>
                <w:color w:val="000000"/>
                <w:sz w:val="16"/>
                <w:szCs w:val="16"/>
                <w:lang w:eastAsia="en-AU"/>
              </w:rPr>
              <w:t>0</w:t>
            </w:r>
          </w:p>
        </w:tc>
      </w:tr>
      <w:tr w:rsidR="00F10215" w:rsidRPr="00E3364D" w14:paraId="61A03550" w14:textId="77777777" w:rsidTr="00CA416E">
        <w:trPr>
          <w:trHeight w:val="315"/>
        </w:trPr>
        <w:tc>
          <w:tcPr>
            <w:tcW w:w="2305" w:type="dxa"/>
            <w:tcBorders>
              <w:top w:val="nil"/>
              <w:left w:val="nil"/>
              <w:bottom w:val="nil"/>
              <w:right w:val="nil"/>
            </w:tcBorders>
            <w:shd w:val="clear" w:color="000000" w:fill="D6E7F0"/>
            <w:noWrap/>
            <w:vAlign w:val="center"/>
            <w:hideMark/>
          </w:tcPr>
          <w:p w14:paraId="1FC5D177" w14:textId="77777777" w:rsidR="00E3364D" w:rsidRPr="00E3364D" w:rsidRDefault="00E3364D" w:rsidP="00CA416E">
            <w:pPr>
              <w:tabs>
                <w:tab w:val="clear" w:pos="567"/>
              </w:tabs>
              <w:spacing w:before="0" w:line="240" w:lineRule="auto"/>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Total</w:t>
            </w:r>
          </w:p>
        </w:tc>
        <w:tc>
          <w:tcPr>
            <w:tcW w:w="258" w:type="dxa"/>
            <w:tcBorders>
              <w:top w:val="nil"/>
              <w:left w:val="nil"/>
              <w:bottom w:val="nil"/>
              <w:right w:val="nil"/>
            </w:tcBorders>
            <w:shd w:val="clear" w:color="000000" w:fill="D6E7F0"/>
            <w:noWrap/>
            <w:vAlign w:val="center"/>
            <w:hideMark/>
          </w:tcPr>
          <w:p w14:paraId="03019422" w14:textId="77777777" w:rsidR="00E3364D" w:rsidRPr="00E3364D" w:rsidRDefault="00E3364D" w:rsidP="00E3364D">
            <w:pPr>
              <w:tabs>
                <w:tab w:val="clear" w:pos="567"/>
              </w:tabs>
              <w:spacing w:before="0" w:line="240" w:lineRule="auto"/>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 </w:t>
            </w:r>
          </w:p>
        </w:tc>
        <w:tc>
          <w:tcPr>
            <w:tcW w:w="974" w:type="dxa"/>
            <w:tcBorders>
              <w:top w:val="nil"/>
              <w:left w:val="nil"/>
              <w:bottom w:val="nil"/>
              <w:right w:val="nil"/>
            </w:tcBorders>
            <w:shd w:val="clear" w:color="000000" w:fill="D6E7F0"/>
            <w:noWrap/>
            <w:vAlign w:val="center"/>
            <w:hideMark/>
          </w:tcPr>
          <w:p w14:paraId="6E9C7DEB" w14:textId="77777777" w:rsidR="00E3364D" w:rsidRPr="00E3364D" w:rsidRDefault="00E3364D" w:rsidP="00E3364D">
            <w:pPr>
              <w:tabs>
                <w:tab w:val="clear" w:pos="567"/>
              </w:tabs>
              <w:spacing w:before="0" w:line="240" w:lineRule="auto"/>
              <w:jc w:val="right"/>
              <w:rPr>
                <w:rFonts w:ascii="Open Sans Semibold" w:eastAsia="Times New Roman" w:hAnsi="Open Sans Semibold" w:cs="Open Sans Semibold"/>
                <w:b/>
                <w:bCs/>
                <w:color w:val="000000"/>
                <w:sz w:val="16"/>
                <w:szCs w:val="16"/>
                <w:lang w:eastAsia="en-AU"/>
              </w:rPr>
            </w:pPr>
            <w:r w:rsidRPr="00E3364D">
              <w:rPr>
                <w:rFonts w:ascii="Open Sans Semibold" w:eastAsia="Times New Roman" w:hAnsi="Open Sans Semibold" w:cs="Open Sans Semibold"/>
                <w:b/>
                <w:bCs/>
                <w:color w:val="000000"/>
                <w:sz w:val="16"/>
                <w:szCs w:val="16"/>
                <w:lang w:eastAsia="en-AU"/>
              </w:rPr>
              <w:t> </w:t>
            </w:r>
          </w:p>
        </w:tc>
        <w:tc>
          <w:tcPr>
            <w:tcW w:w="1187" w:type="dxa"/>
            <w:tcBorders>
              <w:top w:val="nil"/>
              <w:left w:val="nil"/>
              <w:bottom w:val="nil"/>
              <w:right w:val="nil"/>
            </w:tcBorders>
            <w:shd w:val="clear" w:color="000000" w:fill="D6E7F0"/>
            <w:noWrap/>
            <w:vAlign w:val="center"/>
            <w:hideMark/>
          </w:tcPr>
          <w:p w14:paraId="0497889A" w14:textId="77777777" w:rsidR="00E3364D" w:rsidRPr="00E3364D" w:rsidRDefault="00E3364D" w:rsidP="00E3364D">
            <w:pPr>
              <w:tabs>
                <w:tab w:val="clear" w:pos="567"/>
              </w:tabs>
              <w:spacing w:before="0" w:line="240" w:lineRule="auto"/>
              <w:jc w:val="right"/>
              <w:rPr>
                <w:rFonts w:ascii="Open Sans Semibold" w:eastAsia="Times New Roman" w:hAnsi="Open Sans Semibold" w:cs="Open Sans Semibold"/>
                <w:b/>
                <w:bCs/>
                <w:color w:val="000000"/>
                <w:sz w:val="16"/>
                <w:szCs w:val="16"/>
                <w:lang w:eastAsia="en-AU"/>
              </w:rPr>
            </w:pPr>
            <w:r w:rsidRPr="00E3364D">
              <w:rPr>
                <w:rFonts w:ascii="Open Sans Semibold" w:eastAsia="Times New Roman" w:hAnsi="Open Sans Semibold" w:cs="Open Sans Semibold"/>
                <w:b/>
                <w:bCs/>
                <w:color w:val="000000"/>
                <w:sz w:val="16"/>
                <w:szCs w:val="16"/>
                <w:lang w:eastAsia="en-AU"/>
              </w:rPr>
              <w:t> </w:t>
            </w:r>
          </w:p>
        </w:tc>
        <w:tc>
          <w:tcPr>
            <w:tcW w:w="1380" w:type="dxa"/>
            <w:tcBorders>
              <w:top w:val="nil"/>
              <w:left w:val="nil"/>
              <w:bottom w:val="nil"/>
              <w:right w:val="nil"/>
            </w:tcBorders>
            <w:shd w:val="clear" w:color="000000" w:fill="D6E7F0"/>
            <w:noWrap/>
            <w:vAlign w:val="center"/>
            <w:hideMark/>
          </w:tcPr>
          <w:p w14:paraId="44603976" w14:textId="693281D1" w:rsidR="00E3364D" w:rsidRPr="00E3364D" w:rsidRDefault="00E3364D" w:rsidP="00E336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p>
        </w:tc>
        <w:tc>
          <w:tcPr>
            <w:tcW w:w="258" w:type="dxa"/>
            <w:tcBorders>
              <w:top w:val="nil"/>
              <w:left w:val="nil"/>
              <w:bottom w:val="nil"/>
              <w:right w:val="nil"/>
            </w:tcBorders>
            <w:shd w:val="clear" w:color="000000" w:fill="D6E7F0"/>
            <w:noWrap/>
            <w:vAlign w:val="center"/>
            <w:hideMark/>
          </w:tcPr>
          <w:p w14:paraId="3A894294" w14:textId="77777777" w:rsidR="00E3364D" w:rsidRPr="00E3364D" w:rsidRDefault="00E3364D" w:rsidP="00E336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 </w:t>
            </w:r>
          </w:p>
        </w:tc>
        <w:tc>
          <w:tcPr>
            <w:tcW w:w="1226" w:type="dxa"/>
            <w:tcBorders>
              <w:top w:val="nil"/>
              <w:left w:val="nil"/>
              <w:bottom w:val="nil"/>
              <w:right w:val="nil"/>
            </w:tcBorders>
            <w:shd w:val="clear" w:color="000000" w:fill="D6E7F0"/>
            <w:noWrap/>
            <w:vAlign w:val="center"/>
            <w:hideMark/>
          </w:tcPr>
          <w:p w14:paraId="3ECBF205" w14:textId="77777777" w:rsidR="00E3364D" w:rsidRPr="00E3364D" w:rsidRDefault="00E3364D" w:rsidP="00E3364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E3364D">
              <w:rPr>
                <w:rFonts w:ascii="Open Sans Semibold" w:eastAsia="Times New Roman" w:hAnsi="Open Sans Semibold" w:cs="Open Sans Semibold"/>
                <w:color w:val="000000"/>
                <w:sz w:val="16"/>
                <w:szCs w:val="16"/>
                <w:lang w:eastAsia="en-AU"/>
              </w:rPr>
              <w:t> </w:t>
            </w:r>
          </w:p>
        </w:tc>
        <w:tc>
          <w:tcPr>
            <w:tcW w:w="1438" w:type="dxa"/>
            <w:tcBorders>
              <w:top w:val="nil"/>
              <w:left w:val="nil"/>
              <w:bottom w:val="nil"/>
              <w:right w:val="nil"/>
            </w:tcBorders>
            <w:shd w:val="clear" w:color="000000" w:fill="D6E7F0"/>
            <w:noWrap/>
            <w:vAlign w:val="center"/>
            <w:hideMark/>
          </w:tcPr>
          <w:p w14:paraId="311083E2" w14:textId="361DE867" w:rsidR="00E3364D" w:rsidRPr="00E3364D" w:rsidRDefault="001B4548" w:rsidP="00CA41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20</w:t>
            </w:r>
          </w:p>
        </w:tc>
      </w:tr>
    </w:tbl>
    <w:p w14:paraId="457FB3D0" w14:textId="568B9F17" w:rsidR="00EB7EFF" w:rsidRDefault="00F10215" w:rsidP="00ED13C9">
      <w:pPr>
        <w:pStyle w:val="CGC2025TableNote"/>
        <w:ind w:left="709" w:hanging="596"/>
      </w:pPr>
      <w:r w:rsidRPr="00F10215">
        <w:t>Source:</w:t>
      </w:r>
      <w:r w:rsidRPr="00F10215">
        <w:tab/>
      </w:r>
      <w:r w:rsidRPr="00F10215">
        <w:tab/>
        <w:t xml:space="preserve">Commission calculation </w:t>
      </w:r>
      <w:r w:rsidR="003832AD" w:rsidRPr="00CB14ED">
        <w:t>A</w:t>
      </w:r>
      <w:r w:rsidR="003832AD">
        <w:t>ustralian Institute of Health and Welfare</w:t>
      </w:r>
      <w:r w:rsidR="003832AD" w:rsidRPr="00CB14ED">
        <w:t xml:space="preserve"> </w:t>
      </w:r>
      <w:r w:rsidR="00CA3F74">
        <w:t>non-admitted patient care tables, 2019</w:t>
      </w:r>
      <w:r w:rsidR="00707AF2">
        <w:t>–</w:t>
      </w:r>
      <w:r w:rsidR="00CA3F74">
        <w:t xml:space="preserve">20 to </w:t>
      </w:r>
      <w:r w:rsidR="002E047C">
        <w:br/>
      </w:r>
      <w:r w:rsidR="00CA3F74">
        <w:t>2022</w:t>
      </w:r>
      <w:r w:rsidR="00707AF2">
        <w:t>–</w:t>
      </w:r>
      <w:r w:rsidR="00CA3F74">
        <w:t>23; I</w:t>
      </w:r>
      <w:r w:rsidR="00897FB1">
        <w:t xml:space="preserve">ndependent </w:t>
      </w:r>
      <w:r w:rsidR="00CA3F74">
        <w:t>H</w:t>
      </w:r>
      <w:r w:rsidR="00897FB1">
        <w:t>ealth</w:t>
      </w:r>
      <w:r w:rsidR="006369BB">
        <w:t xml:space="preserve"> and</w:t>
      </w:r>
      <w:r w:rsidR="00897FB1">
        <w:t xml:space="preserve"> </w:t>
      </w:r>
      <w:r w:rsidR="00CA3F74">
        <w:t>A</w:t>
      </w:r>
      <w:r w:rsidR="006369BB">
        <w:t xml:space="preserve">ged </w:t>
      </w:r>
      <w:r w:rsidR="00CA3F74">
        <w:t>C</w:t>
      </w:r>
      <w:r w:rsidR="006369BB">
        <w:t xml:space="preserve">are </w:t>
      </w:r>
      <w:r w:rsidR="00CA3F74">
        <w:t>P</w:t>
      </w:r>
      <w:r w:rsidR="006369BB">
        <w:t xml:space="preserve">ricing </w:t>
      </w:r>
      <w:r w:rsidR="00CA3F74">
        <w:t>A</w:t>
      </w:r>
      <w:r w:rsidR="006369BB">
        <w:t>uthority</w:t>
      </w:r>
      <w:r w:rsidR="00CA3F74">
        <w:t xml:space="preserve"> National Hospital Cost Data Collection Public sector infographic, 2018</w:t>
      </w:r>
      <w:r w:rsidR="00707AF2">
        <w:t>–</w:t>
      </w:r>
      <w:r w:rsidR="00CA3F74">
        <w:t>19 to 2020</w:t>
      </w:r>
      <w:r w:rsidR="00707AF2">
        <w:t>–</w:t>
      </w:r>
      <w:r w:rsidR="00CA3F74">
        <w:t>21</w:t>
      </w:r>
      <w:r w:rsidRPr="00F10215">
        <w:t>; Medicare annual statistics state and territory, 2019</w:t>
      </w:r>
      <w:r w:rsidR="00707AF2">
        <w:t>–</w:t>
      </w:r>
      <w:r w:rsidRPr="00F10215">
        <w:t>20 to 2022</w:t>
      </w:r>
      <w:r w:rsidR="00707AF2">
        <w:t>–</w:t>
      </w:r>
      <w:r w:rsidRPr="00F10215">
        <w:t>23.</w:t>
      </w:r>
    </w:p>
    <w:p w14:paraId="585B85BE" w14:textId="77777777" w:rsidR="00AE225E" w:rsidRDefault="00AE225E" w:rsidP="00AE225E">
      <w:pPr>
        <w:pStyle w:val="Heading4"/>
      </w:pPr>
      <w:r>
        <w:t>Commission draft position</w:t>
      </w:r>
    </w:p>
    <w:p w14:paraId="4F5C9524" w14:textId="693B350D" w:rsidR="008343CB" w:rsidRPr="00DF082A" w:rsidRDefault="008343CB" w:rsidP="00397F5D">
      <w:pPr>
        <w:pStyle w:val="CGC2025ParaNumbers"/>
        <w:rPr>
          <w:color w:val="000000" w:themeColor="text1"/>
        </w:rPr>
      </w:pPr>
      <w:bookmarkStart w:id="71" w:name="_Hlk151464716"/>
      <w:r w:rsidRPr="00DF082A">
        <w:rPr>
          <w:color w:val="000000" w:themeColor="text1"/>
        </w:rPr>
        <w:t xml:space="preserve">As in the 2020 Review, the Commission </w:t>
      </w:r>
      <w:r w:rsidR="00E50C25" w:rsidRPr="00DF082A">
        <w:rPr>
          <w:color w:val="000000" w:themeColor="text1"/>
        </w:rPr>
        <w:t xml:space="preserve">proposes that </w:t>
      </w:r>
      <w:r w:rsidRPr="00DF082A">
        <w:rPr>
          <w:color w:val="000000" w:themeColor="text1"/>
        </w:rPr>
        <w:t xml:space="preserve">the final estimate for the substitutability level </w:t>
      </w:r>
      <w:r w:rsidR="00E50C25" w:rsidRPr="00DF082A">
        <w:rPr>
          <w:color w:val="000000" w:themeColor="text1"/>
        </w:rPr>
        <w:t>be</w:t>
      </w:r>
      <w:r w:rsidR="00AF3B2A" w:rsidRPr="00DF082A">
        <w:rPr>
          <w:color w:val="000000" w:themeColor="text1"/>
        </w:rPr>
        <w:t xml:space="preserve"> </w:t>
      </w:r>
      <w:r w:rsidRPr="00DF082A">
        <w:rPr>
          <w:color w:val="000000" w:themeColor="text1"/>
        </w:rPr>
        <w:t>the midpoint between the 2 methods</w:t>
      </w:r>
      <w:bookmarkStart w:id="72" w:name="_Hlk150353881"/>
      <w:r w:rsidRPr="00DF082A">
        <w:rPr>
          <w:color w:val="000000" w:themeColor="text1"/>
        </w:rPr>
        <w:t>.</w:t>
      </w:r>
      <w:bookmarkEnd w:id="72"/>
    </w:p>
    <w:p w14:paraId="65F7393B" w14:textId="1A7BB724" w:rsidR="00AE225E" w:rsidRPr="00DF082A" w:rsidRDefault="00C13E8A" w:rsidP="00397F5D">
      <w:pPr>
        <w:pStyle w:val="CGC2025ParaNumbers"/>
        <w:rPr>
          <w:color w:val="000000" w:themeColor="text1"/>
        </w:rPr>
      </w:pPr>
      <w:r w:rsidRPr="00DF082A">
        <w:rPr>
          <w:color w:val="000000" w:themeColor="text1"/>
        </w:rPr>
        <w:t>Based on the latest available data</w:t>
      </w:r>
      <w:r w:rsidR="00CA1CA6" w:rsidRPr="00DF082A">
        <w:rPr>
          <w:color w:val="000000" w:themeColor="text1"/>
        </w:rPr>
        <w:t xml:space="preserve"> from </w:t>
      </w:r>
      <w:r w:rsidR="000376A7" w:rsidRPr="00DF082A">
        <w:rPr>
          <w:color w:val="000000" w:themeColor="text1"/>
        </w:rPr>
        <w:t>5</w:t>
      </w:r>
      <w:r w:rsidR="00CA1CA6" w:rsidRPr="00DF082A">
        <w:rPr>
          <w:color w:val="000000" w:themeColor="text1"/>
        </w:rPr>
        <w:t xml:space="preserve"> states</w:t>
      </w:r>
      <w:r w:rsidR="00862199" w:rsidRPr="00DF082A">
        <w:rPr>
          <w:color w:val="000000" w:themeColor="text1"/>
        </w:rPr>
        <w:t xml:space="preserve">, method 1 </w:t>
      </w:r>
      <w:r w:rsidR="00781F6B" w:rsidRPr="00DF082A">
        <w:rPr>
          <w:color w:val="000000" w:themeColor="text1"/>
        </w:rPr>
        <w:t xml:space="preserve">produces a substitutability rate of </w:t>
      </w:r>
      <w:r w:rsidR="005C6667" w:rsidRPr="00DF082A">
        <w:rPr>
          <w:color w:val="000000" w:themeColor="text1"/>
        </w:rPr>
        <w:t>3</w:t>
      </w:r>
      <w:r w:rsidR="00A42062">
        <w:rPr>
          <w:color w:val="000000" w:themeColor="text1"/>
        </w:rPr>
        <w:t>7</w:t>
      </w:r>
      <w:r w:rsidR="005C6667" w:rsidRPr="00DF082A">
        <w:rPr>
          <w:color w:val="000000" w:themeColor="text1"/>
        </w:rPr>
        <w:t xml:space="preserve">% </w:t>
      </w:r>
      <w:r w:rsidR="00531A8B" w:rsidRPr="00DF082A">
        <w:rPr>
          <w:color w:val="000000" w:themeColor="text1"/>
        </w:rPr>
        <w:t>and method</w:t>
      </w:r>
      <w:r w:rsidR="00C67154" w:rsidRPr="00DF082A">
        <w:rPr>
          <w:color w:val="000000" w:themeColor="text1"/>
        </w:rPr>
        <w:t> </w:t>
      </w:r>
      <w:r w:rsidR="00531A8B" w:rsidRPr="00DF082A">
        <w:rPr>
          <w:color w:val="000000" w:themeColor="text1"/>
        </w:rPr>
        <w:t>2</w:t>
      </w:r>
      <w:r w:rsidR="00C67154" w:rsidRPr="00DF082A">
        <w:rPr>
          <w:color w:val="000000" w:themeColor="text1"/>
        </w:rPr>
        <w:t xml:space="preserve"> </w:t>
      </w:r>
      <w:r w:rsidR="00B4672C" w:rsidRPr="00DF082A">
        <w:rPr>
          <w:color w:val="000000" w:themeColor="text1"/>
        </w:rPr>
        <w:t xml:space="preserve">a rate of </w:t>
      </w:r>
      <w:r w:rsidR="00FC535E" w:rsidRPr="00DF082A">
        <w:rPr>
          <w:color w:val="000000" w:themeColor="text1"/>
        </w:rPr>
        <w:t>20</w:t>
      </w:r>
      <w:r w:rsidR="00DC68E5" w:rsidRPr="00DF082A">
        <w:rPr>
          <w:color w:val="000000" w:themeColor="text1"/>
        </w:rPr>
        <w:t>%</w:t>
      </w:r>
      <w:r w:rsidR="006B0B3B" w:rsidRPr="00DF082A">
        <w:rPr>
          <w:color w:val="000000" w:themeColor="text1"/>
        </w:rPr>
        <w:t>,</w:t>
      </w:r>
      <w:r w:rsidR="00691170" w:rsidRPr="00DF082A">
        <w:rPr>
          <w:color w:val="000000" w:themeColor="text1"/>
        </w:rPr>
        <w:t xml:space="preserve"> with a midpoint</w:t>
      </w:r>
      <w:r w:rsidR="00F860CF" w:rsidRPr="00DF082A">
        <w:rPr>
          <w:color w:val="000000" w:themeColor="text1"/>
        </w:rPr>
        <w:t xml:space="preserve"> of </w:t>
      </w:r>
      <w:r w:rsidR="00CA1CA6" w:rsidRPr="00DF082A">
        <w:rPr>
          <w:color w:val="000000" w:themeColor="text1"/>
        </w:rPr>
        <w:t>2</w:t>
      </w:r>
      <w:r w:rsidR="009E1C65" w:rsidRPr="00DF082A">
        <w:rPr>
          <w:color w:val="000000" w:themeColor="text1"/>
        </w:rPr>
        <w:t>8</w:t>
      </w:r>
      <w:r w:rsidR="00F860CF" w:rsidRPr="00DF082A">
        <w:rPr>
          <w:color w:val="000000" w:themeColor="text1"/>
        </w:rPr>
        <w:t>%</w:t>
      </w:r>
      <w:r w:rsidR="00DC68E5" w:rsidRPr="00DF082A">
        <w:rPr>
          <w:color w:val="000000" w:themeColor="text1"/>
        </w:rPr>
        <w:t>.</w:t>
      </w:r>
      <w:r w:rsidR="00AF1828" w:rsidRPr="00DF082A">
        <w:rPr>
          <w:color w:val="000000" w:themeColor="text1"/>
        </w:rPr>
        <w:t xml:space="preserve"> </w:t>
      </w:r>
      <w:r w:rsidR="00843D63" w:rsidRPr="00DF082A">
        <w:rPr>
          <w:color w:val="000000" w:themeColor="text1"/>
        </w:rPr>
        <w:t>The mid</w:t>
      </w:r>
      <w:r w:rsidR="00A27D1C" w:rsidRPr="00DF082A">
        <w:rPr>
          <w:color w:val="000000" w:themeColor="text1"/>
        </w:rPr>
        <w:t xml:space="preserve">point </w:t>
      </w:r>
      <w:r w:rsidR="007B2342" w:rsidRPr="00DF082A">
        <w:rPr>
          <w:color w:val="000000" w:themeColor="text1"/>
        </w:rPr>
        <w:t xml:space="preserve">is close to the </w:t>
      </w:r>
      <w:r w:rsidR="009328CD" w:rsidRPr="00DF082A">
        <w:rPr>
          <w:color w:val="000000" w:themeColor="text1"/>
        </w:rPr>
        <w:t xml:space="preserve">2020 Review </w:t>
      </w:r>
      <w:r w:rsidR="008A40B5" w:rsidRPr="00DF082A">
        <w:rPr>
          <w:color w:val="000000" w:themeColor="text1"/>
        </w:rPr>
        <w:t>value of 30%</w:t>
      </w:r>
      <w:r w:rsidR="00214615" w:rsidRPr="00DF082A">
        <w:rPr>
          <w:color w:val="000000" w:themeColor="text1"/>
        </w:rPr>
        <w:t xml:space="preserve">. The </w:t>
      </w:r>
      <w:r w:rsidR="00AF3B2A" w:rsidRPr="00DF082A">
        <w:rPr>
          <w:color w:val="000000" w:themeColor="text1"/>
        </w:rPr>
        <w:t xml:space="preserve">Commission proposes to </w:t>
      </w:r>
      <w:r w:rsidR="0036263C" w:rsidRPr="00DF082A">
        <w:rPr>
          <w:color w:val="000000" w:themeColor="text1"/>
        </w:rPr>
        <w:t>main</w:t>
      </w:r>
      <w:r w:rsidR="007027DD" w:rsidRPr="00DF082A">
        <w:rPr>
          <w:color w:val="000000" w:themeColor="text1"/>
        </w:rPr>
        <w:t xml:space="preserve">tain </w:t>
      </w:r>
      <w:r w:rsidR="00E0364A" w:rsidRPr="00DF082A">
        <w:rPr>
          <w:color w:val="000000" w:themeColor="text1"/>
        </w:rPr>
        <w:t xml:space="preserve">the </w:t>
      </w:r>
      <w:r w:rsidR="00D37AFF" w:rsidRPr="00DF082A">
        <w:rPr>
          <w:color w:val="000000" w:themeColor="text1"/>
        </w:rPr>
        <w:t xml:space="preserve">substitutability level at 30% </w:t>
      </w:r>
      <w:r w:rsidR="00C53FD5" w:rsidRPr="00DF082A">
        <w:rPr>
          <w:color w:val="000000" w:themeColor="text1"/>
        </w:rPr>
        <w:t>for the 2025 Review</w:t>
      </w:r>
      <w:r w:rsidR="00CF2616" w:rsidRPr="00DF082A">
        <w:rPr>
          <w:color w:val="000000" w:themeColor="text1"/>
        </w:rPr>
        <w:t>.</w:t>
      </w:r>
      <w:r w:rsidR="00D31822" w:rsidRPr="00DF082A">
        <w:rPr>
          <w:color w:val="000000" w:themeColor="text1"/>
        </w:rPr>
        <w:t xml:space="preserve"> </w:t>
      </w:r>
    </w:p>
    <w:bookmarkEnd w:id="71"/>
    <w:p w14:paraId="2137A61E" w14:textId="78090614" w:rsidR="005756BC" w:rsidRDefault="00726809" w:rsidP="008E14A4">
      <w:pPr>
        <w:pStyle w:val="Heading35"/>
      </w:pPr>
      <w:r>
        <w:t>Community and public health</w:t>
      </w:r>
    </w:p>
    <w:p w14:paraId="7595A74B" w14:textId="73357C87" w:rsidR="00F62998" w:rsidRDefault="001B31B7" w:rsidP="00CE67DC">
      <w:pPr>
        <w:pStyle w:val="Heading4"/>
      </w:pPr>
      <w:r>
        <w:t>State views</w:t>
      </w:r>
    </w:p>
    <w:p w14:paraId="727F651C" w14:textId="1A8623EE" w:rsidR="00D64874" w:rsidRDefault="00A15EC9" w:rsidP="00F464A6">
      <w:pPr>
        <w:pStyle w:val="CGC2025ParaNumbers"/>
      </w:pPr>
      <w:r>
        <w:t xml:space="preserve">The Northern Territory </w:t>
      </w:r>
      <w:r w:rsidR="005A4DC4">
        <w:t>said</w:t>
      </w:r>
      <w:r>
        <w:t xml:space="preserve"> that </w:t>
      </w:r>
      <w:r w:rsidR="000C4676">
        <w:t xml:space="preserve">the </w:t>
      </w:r>
      <w:r w:rsidR="00FA60F2">
        <w:t xml:space="preserve">health services provided by </w:t>
      </w:r>
      <w:r w:rsidR="00915411">
        <w:t>Commonwealth</w:t>
      </w:r>
      <w:r w:rsidR="4A9C0A0C">
        <w:t xml:space="preserve"> </w:t>
      </w:r>
      <w:r w:rsidR="00915411">
        <w:t xml:space="preserve">funded </w:t>
      </w:r>
      <w:bookmarkStart w:id="73" w:name="_Hlk149142609"/>
      <w:r w:rsidR="00792F8B">
        <w:t>First</w:t>
      </w:r>
      <w:r w:rsidR="00DF6540">
        <w:t xml:space="preserve"> Nations</w:t>
      </w:r>
      <w:r w:rsidR="00F464A6" w:rsidRPr="00F464A6">
        <w:t xml:space="preserve"> community health organisations</w:t>
      </w:r>
      <w:r w:rsidR="00F464A6">
        <w:t xml:space="preserve"> </w:t>
      </w:r>
      <w:bookmarkEnd w:id="73"/>
      <w:r w:rsidR="00F464A6">
        <w:t xml:space="preserve">should not be </w:t>
      </w:r>
      <w:proofErr w:type="gramStart"/>
      <w:r w:rsidR="00FA60F2">
        <w:t>taken into account</w:t>
      </w:r>
      <w:proofErr w:type="gramEnd"/>
      <w:r w:rsidR="00FA60F2">
        <w:t xml:space="preserve"> in the non</w:t>
      </w:r>
      <w:r w:rsidR="00FD2571">
        <w:t>-</w:t>
      </w:r>
      <w:r w:rsidR="00FA60F2">
        <w:t>state sector adjustment for community and public health.</w:t>
      </w:r>
      <w:r w:rsidR="001B2FA0">
        <w:t xml:space="preserve"> </w:t>
      </w:r>
    </w:p>
    <w:p w14:paraId="263B6ED5" w14:textId="4BE21C64" w:rsidR="006A1B5B" w:rsidRDefault="56A11D2E" w:rsidP="00FA3278">
      <w:pPr>
        <w:pStyle w:val="CGC2025ParaNumbers"/>
      </w:pPr>
      <w:r>
        <w:t xml:space="preserve">The Northern Territory said that the assessment of non-state </w:t>
      </w:r>
      <w:r w:rsidR="0A0D2A57">
        <w:t>health services is overly simplistic</w:t>
      </w:r>
      <w:r w:rsidR="00E0019B">
        <w:t xml:space="preserve">. </w:t>
      </w:r>
      <w:r w:rsidR="00FA3278">
        <w:t xml:space="preserve">It said the </w:t>
      </w:r>
      <w:r w:rsidR="0084619C">
        <w:t xml:space="preserve">quality of the primary health network differs significantly </w:t>
      </w:r>
      <w:r w:rsidR="0084619C">
        <w:lastRenderedPageBreak/>
        <w:t>between states</w:t>
      </w:r>
      <w:r w:rsidR="00FA3278">
        <w:t xml:space="preserve"> and </w:t>
      </w:r>
      <w:r w:rsidR="005214B7">
        <w:t>Commonwealth funding of</w:t>
      </w:r>
      <w:r w:rsidR="0084619C">
        <w:t xml:space="preserve"> </w:t>
      </w:r>
      <w:r w:rsidR="00DF6540">
        <w:t>First Nations</w:t>
      </w:r>
      <w:r w:rsidR="00792F8B" w:rsidRPr="00F464A6">
        <w:t xml:space="preserve"> community health organisations</w:t>
      </w:r>
      <w:r w:rsidR="00792F8B">
        <w:t xml:space="preserve"> </w:t>
      </w:r>
      <w:r w:rsidR="0084619C">
        <w:t>are partly intended to address these differences by increasing the availability of health services</w:t>
      </w:r>
      <w:r w:rsidR="690F3E08">
        <w:t xml:space="preserve">. </w:t>
      </w:r>
      <w:r w:rsidR="6BF620DD">
        <w:t xml:space="preserve">It </w:t>
      </w:r>
      <w:r w:rsidR="00070049">
        <w:t xml:space="preserve">also </w:t>
      </w:r>
      <w:r w:rsidR="6BF620DD">
        <w:t xml:space="preserve">said </w:t>
      </w:r>
      <w:r w:rsidR="37683D94">
        <w:t>b</w:t>
      </w:r>
      <w:r w:rsidR="593E1D9D">
        <w:t xml:space="preserve">y assuming each </w:t>
      </w:r>
      <w:r w:rsidR="7F771117">
        <w:t>First Nations</w:t>
      </w:r>
      <w:r w:rsidR="593E1D9D">
        <w:t xml:space="preserve"> person in a remote area requires the same </w:t>
      </w:r>
      <w:r w:rsidR="68758773">
        <w:t>number of non</w:t>
      </w:r>
      <w:r w:rsidR="4123D19A">
        <w:t>-</w:t>
      </w:r>
      <w:r w:rsidR="68758773">
        <w:t>state community health practitioner</w:t>
      </w:r>
      <w:r w:rsidR="75379C92">
        <w:t>s</w:t>
      </w:r>
      <w:r w:rsidR="593E1D9D">
        <w:t>, the Commission is implicitly assuming there are no differences in primary health care between states other than remoteness.</w:t>
      </w:r>
    </w:p>
    <w:p w14:paraId="4B06051A" w14:textId="1667FB6F" w:rsidR="0053141B" w:rsidRDefault="00AA3D82" w:rsidP="000A6650">
      <w:pPr>
        <w:pStyle w:val="CGC2025ParaNumbers"/>
      </w:pPr>
      <w:r>
        <w:t xml:space="preserve">The Northern Territory said that the predominant purpose of Commonwealth </w:t>
      </w:r>
      <w:r w:rsidR="00D61DD3">
        <w:t>spending</w:t>
      </w:r>
      <w:r>
        <w:t xml:space="preserve"> in the </w:t>
      </w:r>
      <w:r w:rsidR="00DE38A2">
        <w:t xml:space="preserve">Northern </w:t>
      </w:r>
      <w:r>
        <w:t>Territory is to offset the much lower non</w:t>
      </w:r>
      <w:r w:rsidR="00DE38A2">
        <w:noBreakHyphen/>
      </w:r>
      <w:r>
        <w:t>government sector spending</w:t>
      </w:r>
      <w:r w:rsidR="00DE38A2">
        <w:t xml:space="preserve"> compared </w:t>
      </w:r>
      <w:r w:rsidR="00621BA6">
        <w:t>with</w:t>
      </w:r>
      <w:r w:rsidR="00DE38A2">
        <w:t xml:space="preserve"> other states</w:t>
      </w:r>
      <w:r>
        <w:t xml:space="preserve">. </w:t>
      </w:r>
      <w:r w:rsidR="00D61DD3">
        <w:t>It said the Northern Territory</w:t>
      </w:r>
      <w:r w:rsidR="00BA6CCD">
        <w:t xml:space="preserve"> receives around 30% less Medicare </w:t>
      </w:r>
      <w:r w:rsidR="000A30A5">
        <w:t xml:space="preserve">Benefits Scheme </w:t>
      </w:r>
      <w:r w:rsidR="00BA6CCD">
        <w:t>funds than the national average</w:t>
      </w:r>
      <w:r w:rsidR="008A6DF0">
        <w:t>.</w:t>
      </w:r>
    </w:p>
    <w:p w14:paraId="7D058FAF" w14:textId="706F2611" w:rsidR="005916B8" w:rsidRDefault="001B31B7" w:rsidP="001B31B7">
      <w:pPr>
        <w:pStyle w:val="Heading4"/>
      </w:pPr>
      <w:r>
        <w:t>Commission response</w:t>
      </w:r>
    </w:p>
    <w:p w14:paraId="17748BBB" w14:textId="5D53F0DD" w:rsidR="004E1AEC" w:rsidRDefault="008A6DF0" w:rsidP="00101701">
      <w:pPr>
        <w:pStyle w:val="CGC2025ParaNumbers"/>
      </w:pPr>
      <w:r>
        <w:t xml:space="preserve">The </w:t>
      </w:r>
      <w:r w:rsidR="006E7D39">
        <w:t>non</w:t>
      </w:r>
      <w:r w:rsidR="006E7D39">
        <w:noBreakHyphen/>
        <w:t xml:space="preserve">state sector adjustment </w:t>
      </w:r>
      <w:r w:rsidR="002B439F">
        <w:t>for community and public health consists of 2</w:t>
      </w:r>
      <w:r w:rsidR="00F21628">
        <w:t> </w:t>
      </w:r>
      <w:r w:rsidR="002B439F">
        <w:t xml:space="preserve">elements. </w:t>
      </w:r>
      <w:r w:rsidR="008D6BF1">
        <w:t xml:space="preserve">One element assesses differences between states in the provision of </w:t>
      </w:r>
      <w:r w:rsidR="008F7105">
        <w:t xml:space="preserve">services funded by the Commonwealth’s Medicare Benefits Scheme. The second </w:t>
      </w:r>
      <w:r w:rsidR="00106A6F">
        <w:t xml:space="preserve">element </w:t>
      </w:r>
      <w:r w:rsidR="00A045C7" w:rsidRPr="00A045C7">
        <w:t>assesses differences between states in the provision of services funded by the Commonwealth’s</w:t>
      </w:r>
      <w:r w:rsidR="00251382">
        <w:t xml:space="preserve"> </w:t>
      </w:r>
      <w:r w:rsidR="00AB6599">
        <w:t xml:space="preserve">Indigenous Australians’ Health Program </w:t>
      </w:r>
      <w:r w:rsidR="009C79DF">
        <w:t>and delivered</w:t>
      </w:r>
      <w:r w:rsidR="00AB6599">
        <w:t xml:space="preserve"> </w:t>
      </w:r>
      <w:r w:rsidR="00AC1C60">
        <w:t>by Aboriginal Community Controlled Health Services</w:t>
      </w:r>
      <w:r w:rsidR="009C79DF">
        <w:t>.</w:t>
      </w:r>
    </w:p>
    <w:p w14:paraId="28CE8540" w14:textId="5E508F40" w:rsidR="00145924" w:rsidRDefault="00145924" w:rsidP="00DA7322">
      <w:pPr>
        <w:pStyle w:val="CGC2025ParaNumbers"/>
      </w:pPr>
      <w:r>
        <w:t>To the ex</w:t>
      </w:r>
      <w:r w:rsidR="000A30A5">
        <w:t xml:space="preserve">tent that the Northern Territory receives less </w:t>
      </w:r>
      <w:r w:rsidR="00862B30" w:rsidRPr="00862B30">
        <w:t>Medicare Benefits Scheme funds than the national average</w:t>
      </w:r>
      <w:r w:rsidR="00862B30">
        <w:t xml:space="preserve">, this will be </w:t>
      </w:r>
      <w:proofErr w:type="gramStart"/>
      <w:r w:rsidR="00862B30">
        <w:t xml:space="preserve">taken </w:t>
      </w:r>
      <w:r w:rsidR="004361DE">
        <w:t>into account</w:t>
      </w:r>
      <w:proofErr w:type="gramEnd"/>
      <w:r w:rsidR="004361DE">
        <w:t xml:space="preserve"> in the </w:t>
      </w:r>
      <w:r w:rsidR="00F31D2E">
        <w:t>first element of the non</w:t>
      </w:r>
      <w:r w:rsidR="00F31D2E">
        <w:noBreakHyphen/>
        <w:t>state sector adjustment.</w:t>
      </w:r>
    </w:p>
    <w:p w14:paraId="2644BC48" w14:textId="7CA31549" w:rsidR="00BB79D7" w:rsidRDefault="000354CA" w:rsidP="00101701">
      <w:pPr>
        <w:pStyle w:val="CGC2025ParaNumbers"/>
      </w:pPr>
      <w:r>
        <w:t>Commonwealth</w:t>
      </w:r>
      <w:r>
        <w:noBreakHyphen/>
        <w:t>funded health services</w:t>
      </w:r>
      <w:r w:rsidR="6145F472">
        <w:t xml:space="preserve"> alleviate pressure on </w:t>
      </w:r>
      <w:r w:rsidR="508F8C7E">
        <w:t>state services in the same wa</w:t>
      </w:r>
      <w:r w:rsidR="4BB472E7">
        <w:t>y</w:t>
      </w:r>
      <w:r w:rsidR="508F8C7E">
        <w:t xml:space="preserve"> as </w:t>
      </w:r>
      <w:r w:rsidR="009F1F8A">
        <w:t>privately</w:t>
      </w:r>
      <w:r w:rsidR="0058674D">
        <w:noBreakHyphen/>
      </w:r>
      <w:r w:rsidR="009F1F8A">
        <w:t>funded</w:t>
      </w:r>
      <w:r w:rsidR="508F8C7E">
        <w:t xml:space="preserve"> services.</w:t>
      </w:r>
    </w:p>
    <w:p w14:paraId="223D30B5" w14:textId="27EEF69E" w:rsidR="000A5AF0" w:rsidRDefault="00D8115E" w:rsidP="009D1275">
      <w:pPr>
        <w:pStyle w:val="CGC2025ParaNumbers"/>
      </w:pPr>
      <w:proofErr w:type="gramStart"/>
      <w:r>
        <w:t>In regard to</w:t>
      </w:r>
      <w:proofErr w:type="gramEnd"/>
      <w:r>
        <w:t xml:space="preserve"> the</w:t>
      </w:r>
      <w:r w:rsidR="00AD6CD8">
        <w:t xml:space="preserve"> indicator to measure </w:t>
      </w:r>
      <w:r w:rsidR="00DB7D6C">
        <w:t xml:space="preserve">how </w:t>
      </w:r>
      <w:r w:rsidR="00AD6CD8">
        <w:t>activity</w:t>
      </w:r>
      <w:r w:rsidR="00DB7D6C">
        <w:t xml:space="preserve"> differs </w:t>
      </w:r>
      <w:r w:rsidR="00BA14B5">
        <w:t>between</w:t>
      </w:r>
      <w:r w:rsidR="00DB7D6C">
        <w:t xml:space="preserve"> states</w:t>
      </w:r>
      <w:r w:rsidR="009C7310">
        <w:t xml:space="preserve">, </w:t>
      </w:r>
      <w:r w:rsidR="006C7328">
        <w:t>d</w:t>
      </w:r>
      <w:r w:rsidR="007E5D09">
        <w:t>ata exist</w:t>
      </w:r>
      <w:r w:rsidR="008E14A4">
        <w:t xml:space="preserve"> </w:t>
      </w:r>
      <w:r w:rsidR="007E5D09">
        <w:t xml:space="preserve">on </w:t>
      </w:r>
      <w:r w:rsidR="003727F3">
        <w:t xml:space="preserve">the </w:t>
      </w:r>
      <w:r w:rsidR="00F50CB7">
        <w:t xml:space="preserve">number of clients using </w:t>
      </w:r>
      <w:r w:rsidR="00F84801">
        <w:t>services by</w:t>
      </w:r>
      <w:r w:rsidR="00635046">
        <w:t xml:space="preserve"> these organisations as well as </w:t>
      </w:r>
      <w:r w:rsidR="00E0733C">
        <w:t xml:space="preserve">the </w:t>
      </w:r>
      <w:r w:rsidR="00B37030">
        <w:t xml:space="preserve">number of </w:t>
      </w:r>
      <w:r w:rsidR="00997BB8">
        <w:t>ep</w:t>
      </w:r>
      <w:r w:rsidR="005A17FA">
        <w:t>isodes</w:t>
      </w:r>
      <w:r w:rsidR="00FE2173">
        <w:t xml:space="preserve">. </w:t>
      </w:r>
      <w:r w:rsidR="00C93D97">
        <w:t xml:space="preserve">Employment levels </w:t>
      </w:r>
      <w:r w:rsidR="004219BD">
        <w:t>are used</w:t>
      </w:r>
      <w:r w:rsidR="00C93D97">
        <w:t xml:space="preserve"> by the Commission because</w:t>
      </w:r>
      <w:r w:rsidR="000829F8">
        <w:t xml:space="preserve"> </w:t>
      </w:r>
      <w:r w:rsidR="003707D3">
        <w:t>it consider</w:t>
      </w:r>
      <w:r w:rsidR="00D1456E">
        <w:t>s</w:t>
      </w:r>
      <w:r w:rsidR="003707D3">
        <w:t xml:space="preserve"> </w:t>
      </w:r>
      <w:r w:rsidR="00C8666F">
        <w:t>they</w:t>
      </w:r>
      <w:r w:rsidR="00D1041A">
        <w:t xml:space="preserve"> </w:t>
      </w:r>
      <w:r w:rsidR="00D1456E">
        <w:t>take</w:t>
      </w:r>
      <w:r w:rsidR="00600748">
        <w:t xml:space="preserve"> </w:t>
      </w:r>
      <w:r w:rsidR="00F71974">
        <w:t xml:space="preserve">better account of the resource intensity of different </w:t>
      </w:r>
      <w:r w:rsidR="000A5AF0">
        <w:t>types of services.</w:t>
      </w:r>
      <w:r w:rsidR="00DB7D6C">
        <w:t xml:space="preserve"> </w:t>
      </w:r>
    </w:p>
    <w:p w14:paraId="0B6E058B" w14:textId="221B762C" w:rsidR="00EB3525" w:rsidRDefault="002126BF">
      <w:pPr>
        <w:pStyle w:val="CGC2025ParaNumbers"/>
      </w:pPr>
      <w:bookmarkStart w:id="74" w:name="_Ref152757263"/>
      <w:r>
        <w:t xml:space="preserve">Since the release of the </w:t>
      </w:r>
      <w:r w:rsidR="009F203D">
        <w:t xml:space="preserve">health consultation paper, </w:t>
      </w:r>
      <w:r w:rsidR="00C8639B">
        <w:t xml:space="preserve">expense </w:t>
      </w:r>
      <w:r w:rsidR="009F203D">
        <w:t xml:space="preserve">data </w:t>
      </w:r>
      <w:r w:rsidR="00C8639B">
        <w:t xml:space="preserve">for </w:t>
      </w:r>
      <w:r w:rsidR="008572B3">
        <w:t>2019</w:t>
      </w:r>
      <w:r w:rsidR="00FD2A4F">
        <w:t>–</w:t>
      </w:r>
      <w:r w:rsidR="008572B3">
        <w:t xml:space="preserve">20 to </w:t>
      </w:r>
      <w:r w:rsidR="00C8639B">
        <w:t>2021</w:t>
      </w:r>
      <w:r w:rsidR="00FD2A4F">
        <w:t>–</w:t>
      </w:r>
      <w:r w:rsidR="00C8639B">
        <w:t xml:space="preserve">22 </w:t>
      </w:r>
      <w:r w:rsidR="009F203D">
        <w:t>ha</w:t>
      </w:r>
      <w:r w:rsidR="00D8588B">
        <w:t>ve</w:t>
      </w:r>
      <w:r w:rsidR="009F203D">
        <w:t xml:space="preserve"> </w:t>
      </w:r>
      <w:r w:rsidR="000F0349">
        <w:t>become available</w:t>
      </w:r>
      <w:r w:rsidR="00C8639B">
        <w:t xml:space="preserve">, </w:t>
      </w:r>
      <w:r w:rsidR="000F0349">
        <w:t>allow</w:t>
      </w:r>
      <w:r w:rsidR="006A6227">
        <w:t>ing</w:t>
      </w:r>
      <w:r w:rsidR="000F0349">
        <w:t xml:space="preserve"> the </w:t>
      </w:r>
      <w:r w:rsidR="006F7892">
        <w:t>non</w:t>
      </w:r>
      <w:r w:rsidR="006F7892">
        <w:noBreakHyphen/>
        <w:t xml:space="preserve">state sector </w:t>
      </w:r>
      <w:r w:rsidR="000F0349">
        <w:t xml:space="preserve">substitutability level for the </w:t>
      </w:r>
      <w:r w:rsidR="009F6B4E">
        <w:t xml:space="preserve">community and public </w:t>
      </w:r>
      <w:r w:rsidR="001F2EAC">
        <w:t xml:space="preserve">component to be updated. </w:t>
      </w:r>
      <w:bookmarkEnd w:id="74"/>
      <w:r w:rsidR="00A81DEA">
        <w:t>Expense weight</w:t>
      </w:r>
      <w:r w:rsidR="00055753">
        <w:t>s</w:t>
      </w:r>
      <w:r w:rsidR="00A81DEA">
        <w:t xml:space="preserve"> </w:t>
      </w:r>
      <w:r w:rsidR="00212A89">
        <w:t xml:space="preserve">for several years </w:t>
      </w:r>
      <w:r w:rsidR="00A81DEA">
        <w:t>are provided</w:t>
      </w:r>
      <w:r w:rsidR="00C03A0B">
        <w:t xml:space="preserve"> </w:t>
      </w:r>
      <w:r w:rsidR="00212A89">
        <w:t xml:space="preserve">in </w:t>
      </w:r>
      <w:r w:rsidR="00B81826">
        <w:t>Table 13</w:t>
      </w:r>
      <w:r w:rsidR="00A81DEA">
        <w:t xml:space="preserve">. The </w:t>
      </w:r>
      <w:r w:rsidR="00597592">
        <w:t xml:space="preserve">values for the later years show that </w:t>
      </w:r>
      <w:r w:rsidR="00275D99">
        <w:t xml:space="preserve">expenses </w:t>
      </w:r>
      <w:r w:rsidR="009E1639">
        <w:t xml:space="preserve">on </w:t>
      </w:r>
      <w:r w:rsidR="00275D99">
        <w:t>some elements of community health are heavily COVID</w:t>
      </w:r>
      <w:r w:rsidR="004E28B3">
        <w:noBreakHyphen/>
        <w:t>19</w:t>
      </w:r>
      <w:r w:rsidR="00A54DA1">
        <w:t xml:space="preserve"> </w:t>
      </w:r>
      <w:r w:rsidR="00275D99">
        <w:t>affected.</w:t>
      </w:r>
      <w:r w:rsidR="00752DB7">
        <w:t xml:space="preserve"> The last row of the table shows the </w:t>
      </w:r>
      <w:r w:rsidR="00AB6EEB">
        <w:t xml:space="preserve">substitutability level </w:t>
      </w:r>
      <w:r w:rsidR="00FB31CB">
        <w:t xml:space="preserve">corresponding to </w:t>
      </w:r>
      <w:r w:rsidR="00406FFD">
        <w:t xml:space="preserve">the </w:t>
      </w:r>
      <w:r w:rsidR="00C24715">
        <w:t>expense weights</w:t>
      </w:r>
      <w:r w:rsidR="00406FFD">
        <w:t xml:space="preserve"> for each year</w:t>
      </w:r>
      <w:r w:rsidR="00C24715">
        <w:t>.</w:t>
      </w:r>
    </w:p>
    <w:p w14:paraId="73DB7F0A" w14:textId="5AD75CCF" w:rsidR="00934699" w:rsidRDefault="00934699" w:rsidP="0008558D">
      <w:pPr>
        <w:pStyle w:val="CGC2025Caption"/>
        <w:keepNext/>
        <w:tabs>
          <w:tab w:val="left" w:pos="1134"/>
        </w:tabs>
      </w:pPr>
      <w:bookmarkStart w:id="75" w:name="_Ref153804699"/>
      <w:r>
        <w:lastRenderedPageBreak/>
        <w:t xml:space="preserve">Table </w:t>
      </w:r>
      <w:r>
        <w:fldChar w:fldCharType="begin"/>
      </w:r>
      <w:r>
        <w:instrText>SEQ Table \* ARABIC</w:instrText>
      </w:r>
      <w:r>
        <w:fldChar w:fldCharType="separate"/>
      </w:r>
      <w:r w:rsidR="00581B01">
        <w:rPr>
          <w:noProof/>
        </w:rPr>
        <w:t>13</w:t>
      </w:r>
      <w:r>
        <w:fldChar w:fldCharType="end"/>
      </w:r>
      <w:bookmarkEnd w:id="75"/>
      <w:r w:rsidR="004F46F4">
        <w:tab/>
        <w:t xml:space="preserve">Community </w:t>
      </w:r>
      <w:r w:rsidR="00C5664E">
        <w:t xml:space="preserve">and public </w:t>
      </w:r>
      <w:r w:rsidR="004F46F4">
        <w:t>health e</w:t>
      </w:r>
      <w:r w:rsidR="00D34965">
        <w:t>xpense weights</w:t>
      </w:r>
    </w:p>
    <w:tbl>
      <w:tblPr>
        <w:tblW w:w="8942" w:type="dxa"/>
        <w:tblLook w:val="04A0" w:firstRow="1" w:lastRow="0" w:firstColumn="1" w:lastColumn="0" w:noHBand="0" w:noVBand="1"/>
      </w:tblPr>
      <w:tblGrid>
        <w:gridCol w:w="2552"/>
        <w:gridCol w:w="1737"/>
        <w:gridCol w:w="1551"/>
        <w:gridCol w:w="1551"/>
        <w:gridCol w:w="1551"/>
      </w:tblGrid>
      <w:tr w:rsidR="00AA3946" w:rsidRPr="00AA3946" w14:paraId="12C7EBCD" w14:textId="77777777" w:rsidTr="00CA416E">
        <w:trPr>
          <w:trHeight w:val="372"/>
        </w:trPr>
        <w:tc>
          <w:tcPr>
            <w:tcW w:w="2552" w:type="dxa"/>
            <w:tcBorders>
              <w:top w:val="nil"/>
              <w:left w:val="nil"/>
              <w:bottom w:val="nil"/>
              <w:right w:val="nil"/>
            </w:tcBorders>
            <w:shd w:val="clear" w:color="000000" w:fill="006991"/>
            <w:vAlign w:val="center"/>
            <w:hideMark/>
          </w:tcPr>
          <w:p w14:paraId="152D1F79" w14:textId="77777777" w:rsidR="00AA3946" w:rsidRPr="007B724F" w:rsidRDefault="00AA3946" w:rsidP="003A035F">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7B724F">
              <w:rPr>
                <w:rFonts w:ascii="Open Sans Semibold" w:eastAsia="Times New Roman" w:hAnsi="Open Sans Semibold" w:cs="Open Sans Semibold"/>
                <w:color w:val="FFFFFF"/>
                <w:sz w:val="16"/>
                <w:szCs w:val="16"/>
                <w:lang w:eastAsia="en-AU"/>
              </w:rPr>
              <w:t>Group of services</w:t>
            </w:r>
          </w:p>
        </w:tc>
        <w:tc>
          <w:tcPr>
            <w:tcW w:w="1737" w:type="dxa"/>
            <w:tcBorders>
              <w:top w:val="nil"/>
              <w:left w:val="nil"/>
              <w:bottom w:val="nil"/>
              <w:right w:val="nil"/>
            </w:tcBorders>
            <w:shd w:val="clear" w:color="000000" w:fill="006991"/>
            <w:vAlign w:val="center"/>
            <w:hideMark/>
          </w:tcPr>
          <w:p w14:paraId="7F1D34C1" w14:textId="175AC9AC" w:rsidR="00AA3946" w:rsidRPr="007B724F" w:rsidRDefault="00AA394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B724F">
              <w:rPr>
                <w:rFonts w:ascii="Open Sans Semibold" w:eastAsia="Times New Roman" w:hAnsi="Open Sans Semibold" w:cs="Open Sans Semibold"/>
                <w:color w:val="FFFFFF"/>
                <w:sz w:val="16"/>
                <w:szCs w:val="16"/>
                <w:lang w:eastAsia="en-AU"/>
              </w:rPr>
              <w:t>2014</w:t>
            </w:r>
            <w:r w:rsidR="00F32B12" w:rsidRPr="007B724F">
              <w:rPr>
                <w:rFonts w:ascii="Open Sans Semibold" w:eastAsia="Times New Roman" w:hAnsi="Open Sans Semibold" w:cs="Open Sans Semibold"/>
                <w:color w:val="FFFFFF"/>
                <w:sz w:val="16"/>
                <w:szCs w:val="16"/>
                <w:lang w:eastAsia="en-AU"/>
              </w:rPr>
              <w:t>–</w:t>
            </w:r>
            <w:r w:rsidRPr="007B724F">
              <w:rPr>
                <w:rFonts w:ascii="Open Sans Semibold" w:eastAsia="Times New Roman" w:hAnsi="Open Sans Semibold" w:cs="Open Sans Semibold"/>
                <w:color w:val="FFFFFF"/>
                <w:sz w:val="16"/>
                <w:szCs w:val="16"/>
                <w:lang w:eastAsia="en-AU"/>
              </w:rPr>
              <w:t>15, 2015</w:t>
            </w:r>
            <w:r w:rsidR="00F32B12" w:rsidRPr="007B724F">
              <w:rPr>
                <w:rFonts w:ascii="Open Sans Semibold" w:eastAsia="Times New Roman" w:hAnsi="Open Sans Semibold" w:cs="Open Sans Semibold"/>
                <w:color w:val="FFFFFF"/>
                <w:sz w:val="16"/>
                <w:szCs w:val="16"/>
                <w:lang w:eastAsia="en-AU"/>
              </w:rPr>
              <w:t>–</w:t>
            </w:r>
            <w:r w:rsidRPr="007B724F">
              <w:rPr>
                <w:rFonts w:ascii="Open Sans Semibold" w:eastAsia="Times New Roman" w:hAnsi="Open Sans Semibold" w:cs="Open Sans Semibold"/>
                <w:color w:val="FFFFFF"/>
                <w:sz w:val="16"/>
                <w:szCs w:val="16"/>
                <w:lang w:eastAsia="en-AU"/>
              </w:rPr>
              <w:t>16</w:t>
            </w:r>
          </w:p>
        </w:tc>
        <w:tc>
          <w:tcPr>
            <w:tcW w:w="1551" w:type="dxa"/>
            <w:tcBorders>
              <w:top w:val="nil"/>
              <w:left w:val="nil"/>
              <w:bottom w:val="nil"/>
              <w:right w:val="nil"/>
            </w:tcBorders>
            <w:shd w:val="clear" w:color="000000" w:fill="006991"/>
            <w:vAlign w:val="center"/>
            <w:hideMark/>
          </w:tcPr>
          <w:p w14:paraId="1E7DBB1D" w14:textId="75E78050" w:rsidR="00AA3946" w:rsidRPr="007B724F" w:rsidRDefault="00AA394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B724F">
              <w:rPr>
                <w:rFonts w:ascii="Open Sans Semibold" w:eastAsia="Times New Roman" w:hAnsi="Open Sans Semibold" w:cs="Open Sans Semibold"/>
                <w:color w:val="FFFFFF"/>
                <w:sz w:val="16"/>
                <w:szCs w:val="16"/>
                <w:lang w:eastAsia="en-AU"/>
              </w:rPr>
              <w:t>2019</w:t>
            </w:r>
            <w:r w:rsidR="00F32B12" w:rsidRPr="007B724F">
              <w:rPr>
                <w:rFonts w:ascii="Open Sans Semibold" w:eastAsia="Times New Roman" w:hAnsi="Open Sans Semibold" w:cs="Open Sans Semibold"/>
                <w:color w:val="FFFFFF"/>
                <w:sz w:val="16"/>
                <w:szCs w:val="16"/>
                <w:lang w:eastAsia="en-AU"/>
              </w:rPr>
              <w:t>–</w:t>
            </w:r>
            <w:r w:rsidRPr="007B724F">
              <w:rPr>
                <w:rFonts w:ascii="Open Sans Semibold" w:eastAsia="Times New Roman" w:hAnsi="Open Sans Semibold" w:cs="Open Sans Semibold"/>
                <w:color w:val="FFFFFF"/>
                <w:sz w:val="16"/>
                <w:szCs w:val="16"/>
                <w:lang w:eastAsia="en-AU"/>
              </w:rPr>
              <w:t>20</w:t>
            </w:r>
          </w:p>
        </w:tc>
        <w:tc>
          <w:tcPr>
            <w:tcW w:w="1551" w:type="dxa"/>
            <w:tcBorders>
              <w:top w:val="nil"/>
              <w:left w:val="nil"/>
              <w:bottom w:val="nil"/>
              <w:right w:val="nil"/>
            </w:tcBorders>
            <w:shd w:val="clear" w:color="000000" w:fill="006991"/>
            <w:vAlign w:val="center"/>
            <w:hideMark/>
          </w:tcPr>
          <w:p w14:paraId="588009B2" w14:textId="47286D11" w:rsidR="00AA3946" w:rsidRPr="007B724F" w:rsidRDefault="00AA394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B724F">
              <w:rPr>
                <w:rFonts w:ascii="Open Sans Semibold" w:eastAsia="Times New Roman" w:hAnsi="Open Sans Semibold" w:cs="Open Sans Semibold"/>
                <w:color w:val="FFFFFF"/>
                <w:sz w:val="16"/>
                <w:szCs w:val="16"/>
                <w:lang w:eastAsia="en-AU"/>
              </w:rPr>
              <w:t>2020</w:t>
            </w:r>
            <w:r w:rsidR="00F32B12" w:rsidRPr="007B724F">
              <w:rPr>
                <w:rFonts w:ascii="Open Sans Semibold" w:eastAsia="Times New Roman" w:hAnsi="Open Sans Semibold" w:cs="Open Sans Semibold"/>
                <w:color w:val="FFFFFF"/>
                <w:sz w:val="16"/>
                <w:szCs w:val="16"/>
                <w:lang w:eastAsia="en-AU"/>
              </w:rPr>
              <w:t>–</w:t>
            </w:r>
            <w:r w:rsidRPr="007B724F">
              <w:rPr>
                <w:rFonts w:ascii="Open Sans Semibold" w:eastAsia="Times New Roman" w:hAnsi="Open Sans Semibold" w:cs="Open Sans Semibold"/>
                <w:color w:val="FFFFFF"/>
                <w:sz w:val="16"/>
                <w:szCs w:val="16"/>
                <w:lang w:eastAsia="en-AU"/>
              </w:rPr>
              <w:t>21</w:t>
            </w:r>
          </w:p>
        </w:tc>
        <w:tc>
          <w:tcPr>
            <w:tcW w:w="1551" w:type="dxa"/>
            <w:tcBorders>
              <w:top w:val="nil"/>
              <w:left w:val="nil"/>
              <w:bottom w:val="nil"/>
              <w:right w:val="nil"/>
            </w:tcBorders>
            <w:shd w:val="clear" w:color="000000" w:fill="006991"/>
            <w:vAlign w:val="center"/>
            <w:hideMark/>
          </w:tcPr>
          <w:p w14:paraId="4300DA6A" w14:textId="3DD56C6A" w:rsidR="00AA3946" w:rsidRPr="007B724F" w:rsidRDefault="00AA3946" w:rsidP="00CA416E">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B724F">
              <w:rPr>
                <w:rFonts w:ascii="Open Sans Semibold" w:eastAsia="Times New Roman" w:hAnsi="Open Sans Semibold" w:cs="Open Sans Semibold"/>
                <w:color w:val="FFFFFF"/>
                <w:sz w:val="16"/>
                <w:szCs w:val="16"/>
                <w:lang w:eastAsia="en-AU"/>
              </w:rPr>
              <w:t>2021</w:t>
            </w:r>
            <w:r w:rsidR="00F32B12" w:rsidRPr="007B724F">
              <w:rPr>
                <w:rFonts w:ascii="Open Sans Semibold" w:eastAsia="Times New Roman" w:hAnsi="Open Sans Semibold" w:cs="Open Sans Semibold"/>
                <w:color w:val="FFFFFF"/>
                <w:sz w:val="16"/>
                <w:szCs w:val="16"/>
                <w:lang w:eastAsia="en-AU"/>
              </w:rPr>
              <w:t>–</w:t>
            </w:r>
            <w:r w:rsidRPr="007B724F">
              <w:rPr>
                <w:rFonts w:ascii="Open Sans Semibold" w:eastAsia="Times New Roman" w:hAnsi="Open Sans Semibold" w:cs="Open Sans Semibold"/>
                <w:color w:val="FFFFFF"/>
                <w:sz w:val="16"/>
                <w:szCs w:val="16"/>
                <w:lang w:eastAsia="en-AU"/>
              </w:rPr>
              <w:t>22</w:t>
            </w:r>
          </w:p>
        </w:tc>
      </w:tr>
      <w:tr w:rsidR="00AA3946" w:rsidRPr="00AA3946" w14:paraId="5A7D19AF" w14:textId="77777777" w:rsidTr="00CA416E">
        <w:trPr>
          <w:trHeight w:val="259"/>
        </w:trPr>
        <w:tc>
          <w:tcPr>
            <w:tcW w:w="2552" w:type="dxa"/>
            <w:tcBorders>
              <w:top w:val="single" w:sz="4" w:space="0" w:color="ADD6EA"/>
              <w:left w:val="nil"/>
              <w:bottom w:val="single" w:sz="4" w:space="0" w:color="ADD6EA"/>
              <w:right w:val="nil"/>
            </w:tcBorders>
            <w:shd w:val="clear" w:color="000000" w:fill="B6D5E4"/>
            <w:vAlign w:val="bottom"/>
            <w:hideMark/>
          </w:tcPr>
          <w:p w14:paraId="1AADE267" w14:textId="77777777" w:rsidR="00AA3946" w:rsidRPr="00AA3946" w:rsidRDefault="00AA3946" w:rsidP="003A035F">
            <w:pPr>
              <w:keepNext/>
              <w:tabs>
                <w:tab w:val="clear" w:pos="567"/>
              </w:tabs>
              <w:spacing w:before="0" w:line="240" w:lineRule="auto"/>
              <w:rPr>
                <w:rFonts w:ascii="Open Sans Semibold" w:eastAsia="Times New Roman" w:hAnsi="Open Sans Semibold" w:cs="Open Sans Semibold"/>
                <w:b/>
                <w:bCs/>
                <w:color w:val="000000"/>
                <w:sz w:val="16"/>
                <w:szCs w:val="16"/>
                <w:lang w:eastAsia="en-AU"/>
              </w:rPr>
            </w:pPr>
            <w:r w:rsidRPr="00AA3946">
              <w:rPr>
                <w:rFonts w:ascii="Open Sans Semibold" w:eastAsia="Times New Roman" w:hAnsi="Open Sans Semibold" w:cs="Open Sans Semibold"/>
                <w:b/>
                <w:bCs/>
                <w:color w:val="000000"/>
                <w:sz w:val="16"/>
                <w:szCs w:val="16"/>
                <w:lang w:eastAsia="en-AU"/>
              </w:rPr>
              <w:t> </w:t>
            </w:r>
          </w:p>
        </w:tc>
        <w:tc>
          <w:tcPr>
            <w:tcW w:w="1737" w:type="dxa"/>
            <w:tcBorders>
              <w:top w:val="single" w:sz="4" w:space="0" w:color="ADD6EA"/>
              <w:left w:val="nil"/>
              <w:bottom w:val="single" w:sz="4" w:space="0" w:color="ADD6EA"/>
              <w:right w:val="nil"/>
            </w:tcBorders>
            <w:shd w:val="clear" w:color="000000" w:fill="B6D5E4"/>
            <w:noWrap/>
            <w:vAlign w:val="center"/>
            <w:hideMark/>
          </w:tcPr>
          <w:p w14:paraId="1BD35579"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w:t>
            </w:r>
          </w:p>
        </w:tc>
        <w:tc>
          <w:tcPr>
            <w:tcW w:w="1551" w:type="dxa"/>
            <w:tcBorders>
              <w:top w:val="single" w:sz="4" w:space="0" w:color="ADD6EA"/>
              <w:left w:val="nil"/>
              <w:bottom w:val="single" w:sz="4" w:space="0" w:color="ADD6EA"/>
              <w:right w:val="nil"/>
            </w:tcBorders>
            <w:shd w:val="clear" w:color="000000" w:fill="B6D5E4"/>
            <w:noWrap/>
            <w:vAlign w:val="center"/>
            <w:hideMark/>
          </w:tcPr>
          <w:p w14:paraId="1582C473"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w:t>
            </w:r>
          </w:p>
        </w:tc>
        <w:tc>
          <w:tcPr>
            <w:tcW w:w="1551" w:type="dxa"/>
            <w:tcBorders>
              <w:top w:val="single" w:sz="4" w:space="0" w:color="ADD6EA"/>
              <w:left w:val="nil"/>
              <w:bottom w:val="single" w:sz="4" w:space="0" w:color="ADD6EA"/>
              <w:right w:val="nil"/>
            </w:tcBorders>
            <w:shd w:val="clear" w:color="000000" w:fill="B6D5E4"/>
            <w:noWrap/>
            <w:vAlign w:val="center"/>
            <w:hideMark/>
          </w:tcPr>
          <w:p w14:paraId="54B719D0" w14:textId="02531DB6" w:rsidR="00AA3946" w:rsidRPr="00AA3946" w:rsidRDefault="006907FA"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w:t>
            </w:r>
            <w:r w:rsidR="00AA3946" w:rsidRPr="00AA3946">
              <w:rPr>
                <w:rFonts w:ascii="Open Sans Semibold" w:eastAsia="Times New Roman" w:hAnsi="Open Sans Semibold" w:cs="Open Sans Semibold"/>
                <w:color w:val="000000"/>
                <w:sz w:val="16"/>
                <w:szCs w:val="16"/>
                <w:lang w:eastAsia="en-AU"/>
              </w:rPr>
              <w:t> </w:t>
            </w:r>
          </w:p>
        </w:tc>
        <w:tc>
          <w:tcPr>
            <w:tcW w:w="1551" w:type="dxa"/>
            <w:tcBorders>
              <w:top w:val="single" w:sz="4" w:space="0" w:color="ADD6EA"/>
              <w:left w:val="nil"/>
              <w:bottom w:val="single" w:sz="4" w:space="0" w:color="ADD6EA"/>
              <w:right w:val="nil"/>
            </w:tcBorders>
            <w:shd w:val="clear" w:color="000000" w:fill="B6D5E4"/>
            <w:noWrap/>
            <w:vAlign w:val="center"/>
            <w:hideMark/>
          </w:tcPr>
          <w:p w14:paraId="0F661695" w14:textId="49A7807F" w:rsidR="00AA3946" w:rsidRPr="00AA3946" w:rsidRDefault="006907FA"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907FA">
              <w:rPr>
                <w:rFonts w:ascii="Open Sans Semibold" w:eastAsia="Times New Roman" w:hAnsi="Open Sans Semibold" w:cs="Open Sans Semibold"/>
                <w:color w:val="000000"/>
                <w:sz w:val="16"/>
                <w:szCs w:val="16"/>
                <w:lang w:eastAsia="en-AU"/>
              </w:rPr>
              <w:t>%</w:t>
            </w:r>
            <w:r w:rsidR="00AA3946" w:rsidRPr="00AA3946">
              <w:rPr>
                <w:rFonts w:ascii="Open Sans Semibold" w:eastAsia="Times New Roman" w:hAnsi="Open Sans Semibold" w:cs="Open Sans Semibold"/>
                <w:color w:val="000000"/>
                <w:sz w:val="16"/>
                <w:szCs w:val="16"/>
                <w:lang w:eastAsia="en-AU"/>
              </w:rPr>
              <w:t> </w:t>
            </w:r>
          </w:p>
        </w:tc>
      </w:tr>
      <w:tr w:rsidR="00AA3946" w:rsidRPr="00AA3946" w14:paraId="5DD6ADC6" w14:textId="77777777" w:rsidTr="00CA416E">
        <w:trPr>
          <w:trHeight w:val="318"/>
        </w:trPr>
        <w:tc>
          <w:tcPr>
            <w:tcW w:w="2552" w:type="dxa"/>
            <w:tcBorders>
              <w:top w:val="nil"/>
              <w:left w:val="nil"/>
              <w:bottom w:val="single" w:sz="4" w:space="0" w:color="ADD6EA"/>
              <w:right w:val="nil"/>
            </w:tcBorders>
            <w:shd w:val="clear" w:color="000000" w:fill="D6E7F0"/>
            <w:vAlign w:val="center"/>
            <w:hideMark/>
          </w:tcPr>
          <w:p w14:paraId="0C4F3A53" w14:textId="77777777" w:rsidR="00AA3946" w:rsidRPr="00AA3946" w:rsidRDefault="00AA3946" w:rsidP="00CA416E">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Community health services</w:t>
            </w:r>
          </w:p>
        </w:tc>
        <w:tc>
          <w:tcPr>
            <w:tcW w:w="1737" w:type="dxa"/>
            <w:tcBorders>
              <w:top w:val="nil"/>
              <w:left w:val="nil"/>
              <w:bottom w:val="single" w:sz="4" w:space="0" w:color="ADD6EA"/>
              <w:right w:val="nil"/>
            </w:tcBorders>
            <w:shd w:val="clear" w:color="000000" w:fill="D6E7F0"/>
            <w:noWrap/>
            <w:vAlign w:val="center"/>
            <w:hideMark/>
          </w:tcPr>
          <w:p w14:paraId="567D3D45"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 </w:t>
            </w:r>
          </w:p>
        </w:tc>
        <w:tc>
          <w:tcPr>
            <w:tcW w:w="1551" w:type="dxa"/>
            <w:tcBorders>
              <w:top w:val="nil"/>
              <w:left w:val="nil"/>
              <w:bottom w:val="single" w:sz="4" w:space="0" w:color="ADD6EA"/>
              <w:right w:val="nil"/>
            </w:tcBorders>
            <w:shd w:val="clear" w:color="000000" w:fill="D6E7F0"/>
            <w:noWrap/>
            <w:vAlign w:val="center"/>
            <w:hideMark/>
          </w:tcPr>
          <w:p w14:paraId="1DA465F9"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 </w:t>
            </w:r>
          </w:p>
        </w:tc>
        <w:tc>
          <w:tcPr>
            <w:tcW w:w="1551" w:type="dxa"/>
            <w:tcBorders>
              <w:top w:val="nil"/>
              <w:left w:val="nil"/>
              <w:bottom w:val="single" w:sz="4" w:space="0" w:color="ADD6EA"/>
              <w:right w:val="nil"/>
            </w:tcBorders>
            <w:shd w:val="clear" w:color="000000" w:fill="D6E7F0"/>
            <w:noWrap/>
            <w:vAlign w:val="center"/>
            <w:hideMark/>
          </w:tcPr>
          <w:p w14:paraId="46E8B622"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 </w:t>
            </w:r>
          </w:p>
        </w:tc>
        <w:tc>
          <w:tcPr>
            <w:tcW w:w="1551" w:type="dxa"/>
            <w:tcBorders>
              <w:top w:val="nil"/>
              <w:left w:val="nil"/>
              <w:bottom w:val="single" w:sz="4" w:space="0" w:color="ADD6EA"/>
              <w:right w:val="nil"/>
            </w:tcBorders>
            <w:shd w:val="clear" w:color="000000" w:fill="D6E7F0"/>
            <w:noWrap/>
            <w:vAlign w:val="center"/>
            <w:hideMark/>
          </w:tcPr>
          <w:p w14:paraId="68A0046D"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 </w:t>
            </w:r>
          </w:p>
        </w:tc>
      </w:tr>
      <w:tr w:rsidR="00AA3946" w:rsidRPr="00AA3946" w14:paraId="3CF39380" w14:textId="77777777" w:rsidTr="00CA416E">
        <w:trPr>
          <w:trHeight w:val="318"/>
        </w:trPr>
        <w:tc>
          <w:tcPr>
            <w:tcW w:w="2552" w:type="dxa"/>
            <w:tcBorders>
              <w:top w:val="nil"/>
              <w:left w:val="nil"/>
              <w:bottom w:val="single" w:sz="4" w:space="0" w:color="ADD6EA"/>
              <w:right w:val="nil"/>
            </w:tcBorders>
            <w:shd w:val="clear" w:color="auto" w:fill="auto"/>
            <w:noWrap/>
            <w:vAlign w:val="center"/>
            <w:hideMark/>
          </w:tcPr>
          <w:p w14:paraId="0FD57F84" w14:textId="77777777" w:rsidR="00AA3946" w:rsidRPr="00AA3946" w:rsidRDefault="00AA3946" w:rsidP="00CA416E">
            <w:pPr>
              <w:keepNext/>
              <w:tabs>
                <w:tab w:val="clear" w:pos="567"/>
              </w:tabs>
              <w:spacing w:before="0" w:line="240" w:lineRule="auto"/>
              <w:rPr>
                <w:rFonts w:eastAsia="Times New Roman" w:cs="Open Sans Light"/>
                <w:color w:val="000000"/>
                <w:sz w:val="16"/>
                <w:szCs w:val="16"/>
                <w:lang w:eastAsia="en-AU"/>
              </w:rPr>
            </w:pPr>
            <w:r w:rsidRPr="00AA3946">
              <w:rPr>
                <w:rFonts w:eastAsia="Times New Roman" w:cs="Open Sans Light"/>
                <w:color w:val="000000"/>
                <w:sz w:val="16"/>
                <w:szCs w:val="16"/>
                <w:lang w:eastAsia="en-AU"/>
              </w:rPr>
              <w:t xml:space="preserve">Public dental services </w:t>
            </w:r>
          </w:p>
        </w:tc>
        <w:tc>
          <w:tcPr>
            <w:tcW w:w="1737" w:type="dxa"/>
            <w:tcBorders>
              <w:top w:val="nil"/>
              <w:left w:val="nil"/>
              <w:bottom w:val="single" w:sz="4" w:space="0" w:color="ADD6EA"/>
              <w:right w:val="nil"/>
            </w:tcBorders>
            <w:shd w:val="clear" w:color="auto" w:fill="auto"/>
            <w:noWrap/>
            <w:vAlign w:val="center"/>
            <w:hideMark/>
          </w:tcPr>
          <w:p w14:paraId="0C89A4BA" w14:textId="77777777" w:rsidR="00AA3946" w:rsidRPr="00AA3946" w:rsidRDefault="00AA3946" w:rsidP="00CA416E">
            <w:pPr>
              <w:keepNext/>
              <w:tabs>
                <w:tab w:val="clear" w:pos="567"/>
              </w:tabs>
              <w:spacing w:before="0" w:line="240" w:lineRule="auto"/>
              <w:jc w:val="right"/>
              <w:rPr>
                <w:rFonts w:eastAsia="Times New Roman" w:cs="Open Sans Light"/>
                <w:color w:val="000000"/>
                <w:sz w:val="16"/>
                <w:szCs w:val="16"/>
                <w:lang w:eastAsia="en-AU"/>
              </w:rPr>
            </w:pPr>
            <w:r w:rsidRPr="00AA3946">
              <w:rPr>
                <w:rFonts w:eastAsia="Times New Roman" w:cs="Open Sans Light"/>
                <w:color w:val="000000"/>
                <w:sz w:val="16"/>
                <w:szCs w:val="16"/>
                <w:lang w:eastAsia="en-AU"/>
              </w:rPr>
              <w:t>5</w:t>
            </w:r>
          </w:p>
        </w:tc>
        <w:tc>
          <w:tcPr>
            <w:tcW w:w="1551" w:type="dxa"/>
            <w:tcBorders>
              <w:top w:val="nil"/>
              <w:left w:val="nil"/>
              <w:bottom w:val="single" w:sz="4" w:space="0" w:color="ADD6EA"/>
              <w:right w:val="nil"/>
            </w:tcBorders>
            <w:shd w:val="clear" w:color="auto" w:fill="auto"/>
            <w:noWrap/>
            <w:vAlign w:val="center"/>
            <w:hideMark/>
          </w:tcPr>
          <w:p w14:paraId="178128C6"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3</w:t>
            </w:r>
          </w:p>
        </w:tc>
        <w:tc>
          <w:tcPr>
            <w:tcW w:w="1551" w:type="dxa"/>
            <w:tcBorders>
              <w:top w:val="nil"/>
              <w:left w:val="nil"/>
              <w:bottom w:val="single" w:sz="4" w:space="0" w:color="ADD6EA"/>
              <w:right w:val="nil"/>
            </w:tcBorders>
            <w:shd w:val="clear" w:color="auto" w:fill="auto"/>
            <w:noWrap/>
            <w:vAlign w:val="center"/>
            <w:hideMark/>
          </w:tcPr>
          <w:p w14:paraId="5105E60E"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2</w:t>
            </w:r>
          </w:p>
        </w:tc>
        <w:tc>
          <w:tcPr>
            <w:tcW w:w="1551" w:type="dxa"/>
            <w:tcBorders>
              <w:top w:val="nil"/>
              <w:left w:val="nil"/>
              <w:bottom w:val="single" w:sz="4" w:space="0" w:color="ADD6EA"/>
              <w:right w:val="nil"/>
            </w:tcBorders>
            <w:shd w:val="clear" w:color="auto" w:fill="auto"/>
            <w:noWrap/>
            <w:vAlign w:val="center"/>
            <w:hideMark/>
          </w:tcPr>
          <w:p w14:paraId="6A5794C7"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2</w:t>
            </w:r>
          </w:p>
        </w:tc>
      </w:tr>
      <w:tr w:rsidR="00AA3946" w:rsidRPr="00AA3946" w14:paraId="32A0E479" w14:textId="77777777" w:rsidTr="00CA416E">
        <w:trPr>
          <w:trHeight w:val="318"/>
        </w:trPr>
        <w:tc>
          <w:tcPr>
            <w:tcW w:w="2552" w:type="dxa"/>
            <w:tcBorders>
              <w:top w:val="nil"/>
              <w:left w:val="nil"/>
              <w:bottom w:val="single" w:sz="4" w:space="0" w:color="ADD6EA"/>
              <w:right w:val="nil"/>
            </w:tcBorders>
            <w:shd w:val="clear" w:color="auto" w:fill="auto"/>
            <w:noWrap/>
            <w:vAlign w:val="center"/>
            <w:hideMark/>
          </w:tcPr>
          <w:p w14:paraId="676E5CFB" w14:textId="77777777" w:rsidR="00AA3946" w:rsidRPr="00AA3946" w:rsidRDefault="00AA3946" w:rsidP="00CA416E">
            <w:pPr>
              <w:keepNext/>
              <w:tabs>
                <w:tab w:val="clear" w:pos="567"/>
              </w:tabs>
              <w:spacing w:before="0" w:line="240" w:lineRule="auto"/>
              <w:rPr>
                <w:rFonts w:eastAsia="Times New Roman" w:cs="Open Sans Light"/>
                <w:color w:val="000000"/>
                <w:sz w:val="16"/>
                <w:szCs w:val="16"/>
                <w:lang w:eastAsia="en-AU"/>
              </w:rPr>
            </w:pPr>
            <w:r w:rsidRPr="00AA3946">
              <w:rPr>
                <w:rFonts w:eastAsia="Times New Roman" w:cs="Open Sans Light"/>
                <w:color w:val="000000"/>
                <w:sz w:val="16"/>
                <w:szCs w:val="16"/>
                <w:lang w:eastAsia="en-AU"/>
              </w:rPr>
              <w:t>Alcohol and other drug services</w:t>
            </w:r>
          </w:p>
        </w:tc>
        <w:tc>
          <w:tcPr>
            <w:tcW w:w="1737" w:type="dxa"/>
            <w:tcBorders>
              <w:top w:val="nil"/>
              <w:left w:val="nil"/>
              <w:bottom w:val="single" w:sz="4" w:space="0" w:color="ADD6EA"/>
              <w:right w:val="nil"/>
            </w:tcBorders>
            <w:shd w:val="clear" w:color="auto" w:fill="auto"/>
            <w:noWrap/>
            <w:vAlign w:val="center"/>
            <w:hideMark/>
          </w:tcPr>
          <w:p w14:paraId="0FF1EDF7" w14:textId="77777777" w:rsidR="00AA3946" w:rsidRPr="00AA3946" w:rsidRDefault="00AA3946" w:rsidP="00CA416E">
            <w:pPr>
              <w:keepNext/>
              <w:tabs>
                <w:tab w:val="clear" w:pos="567"/>
              </w:tabs>
              <w:spacing w:before="0" w:line="240" w:lineRule="auto"/>
              <w:jc w:val="right"/>
              <w:rPr>
                <w:rFonts w:eastAsia="Times New Roman" w:cs="Open Sans Light"/>
                <w:color w:val="000000"/>
                <w:sz w:val="16"/>
                <w:szCs w:val="16"/>
                <w:lang w:eastAsia="en-AU"/>
              </w:rPr>
            </w:pPr>
            <w:r w:rsidRPr="00AA3946">
              <w:rPr>
                <w:rFonts w:eastAsia="Times New Roman" w:cs="Open Sans Light"/>
                <w:color w:val="000000"/>
                <w:sz w:val="16"/>
                <w:szCs w:val="16"/>
                <w:lang w:eastAsia="en-AU"/>
              </w:rPr>
              <w:t>4</w:t>
            </w:r>
          </w:p>
        </w:tc>
        <w:tc>
          <w:tcPr>
            <w:tcW w:w="1551" w:type="dxa"/>
            <w:tcBorders>
              <w:top w:val="nil"/>
              <w:left w:val="nil"/>
              <w:bottom w:val="single" w:sz="4" w:space="0" w:color="ADD6EA"/>
              <w:right w:val="nil"/>
            </w:tcBorders>
            <w:shd w:val="clear" w:color="auto" w:fill="auto"/>
            <w:noWrap/>
            <w:vAlign w:val="center"/>
            <w:hideMark/>
          </w:tcPr>
          <w:p w14:paraId="4F42DBF8"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3</w:t>
            </w:r>
          </w:p>
        </w:tc>
        <w:tc>
          <w:tcPr>
            <w:tcW w:w="1551" w:type="dxa"/>
            <w:tcBorders>
              <w:top w:val="nil"/>
              <w:left w:val="nil"/>
              <w:bottom w:val="single" w:sz="4" w:space="0" w:color="ADD6EA"/>
              <w:right w:val="nil"/>
            </w:tcBorders>
            <w:shd w:val="clear" w:color="auto" w:fill="auto"/>
            <w:noWrap/>
            <w:vAlign w:val="center"/>
            <w:hideMark/>
          </w:tcPr>
          <w:p w14:paraId="52FD9E9F"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2</w:t>
            </w:r>
          </w:p>
        </w:tc>
        <w:tc>
          <w:tcPr>
            <w:tcW w:w="1551" w:type="dxa"/>
            <w:tcBorders>
              <w:top w:val="nil"/>
              <w:left w:val="nil"/>
              <w:bottom w:val="single" w:sz="4" w:space="0" w:color="ADD6EA"/>
              <w:right w:val="nil"/>
            </w:tcBorders>
            <w:shd w:val="clear" w:color="auto" w:fill="auto"/>
            <w:noWrap/>
            <w:vAlign w:val="center"/>
            <w:hideMark/>
          </w:tcPr>
          <w:p w14:paraId="66BB1852"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2</w:t>
            </w:r>
          </w:p>
        </w:tc>
      </w:tr>
      <w:tr w:rsidR="00AA3946" w:rsidRPr="00AA3946" w14:paraId="7230DD31" w14:textId="77777777" w:rsidTr="00CA416E">
        <w:trPr>
          <w:trHeight w:val="318"/>
        </w:trPr>
        <w:tc>
          <w:tcPr>
            <w:tcW w:w="2552" w:type="dxa"/>
            <w:tcBorders>
              <w:top w:val="nil"/>
              <w:left w:val="nil"/>
              <w:bottom w:val="single" w:sz="4" w:space="0" w:color="ADD6EA"/>
              <w:right w:val="nil"/>
            </w:tcBorders>
            <w:shd w:val="clear" w:color="auto" w:fill="auto"/>
            <w:noWrap/>
            <w:vAlign w:val="center"/>
            <w:hideMark/>
          </w:tcPr>
          <w:p w14:paraId="6169B1E6" w14:textId="77777777" w:rsidR="00AA3946" w:rsidRPr="00AA3946" w:rsidRDefault="00AA3946" w:rsidP="00CA416E">
            <w:pPr>
              <w:keepNext/>
              <w:tabs>
                <w:tab w:val="clear" w:pos="567"/>
              </w:tabs>
              <w:spacing w:before="0" w:line="240" w:lineRule="auto"/>
              <w:rPr>
                <w:rFonts w:eastAsia="Times New Roman" w:cs="Open Sans Light"/>
                <w:color w:val="000000"/>
                <w:sz w:val="16"/>
                <w:szCs w:val="16"/>
                <w:lang w:eastAsia="en-AU"/>
              </w:rPr>
            </w:pPr>
            <w:r w:rsidRPr="00AA3946">
              <w:rPr>
                <w:rFonts w:eastAsia="Times New Roman" w:cs="Open Sans Light"/>
                <w:color w:val="000000"/>
                <w:sz w:val="16"/>
                <w:szCs w:val="16"/>
                <w:lang w:eastAsia="en-AU"/>
              </w:rPr>
              <w:t>Community mental health services</w:t>
            </w:r>
          </w:p>
        </w:tc>
        <w:tc>
          <w:tcPr>
            <w:tcW w:w="1737" w:type="dxa"/>
            <w:tcBorders>
              <w:top w:val="nil"/>
              <w:left w:val="nil"/>
              <w:bottom w:val="single" w:sz="4" w:space="0" w:color="ADD6EA"/>
              <w:right w:val="nil"/>
            </w:tcBorders>
            <w:shd w:val="clear" w:color="auto" w:fill="auto"/>
            <w:noWrap/>
            <w:vAlign w:val="center"/>
            <w:hideMark/>
          </w:tcPr>
          <w:p w14:paraId="2EDAAA62" w14:textId="77777777" w:rsidR="00AA3946" w:rsidRPr="00AA3946" w:rsidRDefault="00AA3946" w:rsidP="00CA416E">
            <w:pPr>
              <w:keepNext/>
              <w:tabs>
                <w:tab w:val="clear" w:pos="567"/>
              </w:tabs>
              <w:spacing w:before="0" w:line="240" w:lineRule="auto"/>
              <w:jc w:val="right"/>
              <w:rPr>
                <w:rFonts w:eastAsia="Times New Roman" w:cs="Open Sans Light"/>
                <w:color w:val="000000"/>
                <w:sz w:val="16"/>
                <w:szCs w:val="16"/>
                <w:lang w:eastAsia="en-AU"/>
              </w:rPr>
            </w:pPr>
            <w:r w:rsidRPr="00AA3946">
              <w:rPr>
                <w:rFonts w:eastAsia="Times New Roman" w:cs="Open Sans Light"/>
                <w:color w:val="000000"/>
                <w:sz w:val="16"/>
                <w:szCs w:val="16"/>
                <w:lang w:eastAsia="en-AU"/>
              </w:rPr>
              <w:t>19</w:t>
            </w:r>
          </w:p>
        </w:tc>
        <w:tc>
          <w:tcPr>
            <w:tcW w:w="1551" w:type="dxa"/>
            <w:tcBorders>
              <w:top w:val="nil"/>
              <w:left w:val="nil"/>
              <w:bottom w:val="single" w:sz="4" w:space="0" w:color="ADD6EA"/>
              <w:right w:val="nil"/>
            </w:tcBorders>
            <w:shd w:val="clear" w:color="auto" w:fill="auto"/>
            <w:noWrap/>
            <w:vAlign w:val="center"/>
            <w:hideMark/>
          </w:tcPr>
          <w:p w14:paraId="15C745AD"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18</w:t>
            </w:r>
          </w:p>
        </w:tc>
        <w:tc>
          <w:tcPr>
            <w:tcW w:w="1551" w:type="dxa"/>
            <w:tcBorders>
              <w:top w:val="nil"/>
              <w:left w:val="nil"/>
              <w:bottom w:val="single" w:sz="4" w:space="0" w:color="ADD6EA"/>
              <w:right w:val="nil"/>
            </w:tcBorders>
            <w:shd w:val="clear" w:color="auto" w:fill="auto"/>
            <w:noWrap/>
            <w:vAlign w:val="center"/>
            <w:hideMark/>
          </w:tcPr>
          <w:p w14:paraId="18C8A9AF"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16</w:t>
            </w:r>
          </w:p>
        </w:tc>
        <w:tc>
          <w:tcPr>
            <w:tcW w:w="1551" w:type="dxa"/>
            <w:tcBorders>
              <w:top w:val="nil"/>
              <w:left w:val="nil"/>
              <w:bottom w:val="single" w:sz="4" w:space="0" w:color="ADD6EA"/>
              <w:right w:val="nil"/>
            </w:tcBorders>
            <w:shd w:val="clear" w:color="auto" w:fill="auto"/>
            <w:noWrap/>
            <w:vAlign w:val="center"/>
            <w:hideMark/>
          </w:tcPr>
          <w:p w14:paraId="65225C03"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13</w:t>
            </w:r>
          </w:p>
        </w:tc>
      </w:tr>
      <w:tr w:rsidR="00AA3946" w:rsidRPr="00AA3946" w14:paraId="64FC50DA" w14:textId="77777777" w:rsidTr="00CA416E">
        <w:trPr>
          <w:trHeight w:val="318"/>
        </w:trPr>
        <w:tc>
          <w:tcPr>
            <w:tcW w:w="2552" w:type="dxa"/>
            <w:tcBorders>
              <w:top w:val="nil"/>
              <w:left w:val="nil"/>
              <w:bottom w:val="nil"/>
              <w:right w:val="nil"/>
            </w:tcBorders>
            <w:shd w:val="clear" w:color="auto" w:fill="auto"/>
            <w:noWrap/>
            <w:vAlign w:val="center"/>
            <w:hideMark/>
          </w:tcPr>
          <w:p w14:paraId="57A2958A" w14:textId="77777777" w:rsidR="00AA3946" w:rsidRPr="00AA3946" w:rsidRDefault="00AA3946" w:rsidP="00CA416E">
            <w:pPr>
              <w:keepNext/>
              <w:tabs>
                <w:tab w:val="clear" w:pos="567"/>
              </w:tabs>
              <w:spacing w:before="0" w:line="240" w:lineRule="auto"/>
              <w:rPr>
                <w:rFonts w:eastAsia="Times New Roman" w:cs="Open Sans Light"/>
                <w:color w:val="000000"/>
                <w:sz w:val="16"/>
                <w:szCs w:val="16"/>
                <w:lang w:eastAsia="en-AU"/>
              </w:rPr>
            </w:pPr>
            <w:r w:rsidRPr="00AA3946">
              <w:rPr>
                <w:rFonts w:eastAsia="Times New Roman" w:cs="Open Sans Light"/>
                <w:color w:val="000000"/>
                <w:sz w:val="16"/>
                <w:szCs w:val="16"/>
                <w:lang w:eastAsia="en-AU"/>
              </w:rPr>
              <w:t>Other community health services</w:t>
            </w:r>
          </w:p>
        </w:tc>
        <w:tc>
          <w:tcPr>
            <w:tcW w:w="1737" w:type="dxa"/>
            <w:tcBorders>
              <w:top w:val="nil"/>
              <w:left w:val="nil"/>
              <w:bottom w:val="nil"/>
              <w:right w:val="nil"/>
            </w:tcBorders>
            <w:shd w:val="clear" w:color="auto" w:fill="auto"/>
            <w:noWrap/>
            <w:vAlign w:val="center"/>
            <w:hideMark/>
          </w:tcPr>
          <w:p w14:paraId="134FA8FA" w14:textId="77777777" w:rsidR="00AA3946" w:rsidRPr="00AA3946" w:rsidRDefault="00AA3946" w:rsidP="00CA416E">
            <w:pPr>
              <w:keepNext/>
              <w:tabs>
                <w:tab w:val="clear" w:pos="567"/>
              </w:tabs>
              <w:spacing w:before="0" w:line="240" w:lineRule="auto"/>
              <w:jc w:val="right"/>
              <w:rPr>
                <w:rFonts w:eastAsia="Times New Roman" w:cs="Open Sans Light"/>
                <w:color w:val="000000"/>
                <w:sz w:val="16"/>
                <w:szCs w:val="16"/>
                <w:lang w:eastAsia="en-AU"/>
              </w:rPr>
            </w:pPr>
            <w:r w:rsidRPr="00AA3946">
              <w:rPr>
                <w:rFonts w:eastAsia="Times New Roman" w:cs="Open Sans Light"/>
                <w:color w:val="000000"/>
                <w:sz w:val="16"/>
                <w:szCs w:val="16"/>
                <w:lang w:eastAsia="en-AU"/>
              </w:rPr>
              <w:t>54</w:t>
            </w:r>
          </w:p>
        </w:tc>
        <w:tc>
          <w:tcPr>
            <w:tcW w:w="1551" w:type="dxa"/>
            <w:tcBorders>
              <w:top w:val="nil"/>
              <w:left w:val="nil"/>
              <w:bottom w:val="nil"/>
              <w:right w:val="nil"/>
            </w:tcBorders>
            <w:shd w:val="clear" w:color="auto" w:fill="auto"/>
            <w:noWrap/>
            <w:vAlign w:val="center"/>
            <w:hideMark/>
          </w:tcPr>
          <w:p w14:paraId="72122A20"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55</w:t>
            </w:r>
          </w:p>
        </w:tc>
        <w:tc>
          <w:tcPr>
            <w:tcW w:w="1551" w:type="dxa"/>
            <w:tcBorders>
              <w:top w:val="nil"/>
              <w:left w:val="nil"/>
              <w:bottom w:val="nil"/>
              <w:right w:val="nil"/>
            </w:tcBorders>
            <w:shd w:val="clear" w:color="auto" w:fill="auto"/>
            <w:noWrap/>
            <w:vAlign w:val="center"/>
            <w:hideMark/>
          </w:tcPr>
          <w:p w14:paraId="3DE70D61"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47</w:t>
            </w:r>
          </w:p>
        </w:tc>
        <w:tc>
          <w:tcPr>
            <w:tcW w:w="1551" w:type="dxa"/>
            <w:tcBorders>
              <w:top w:val="nil"/>
              <w:left w:val="nil"/>
              <w:bottom w:val="nil"/>
              <w:right w:val="nil"/>
            </w:tcBorders>
            <w:shd w:val="clear" w:color="auto" w:fill="auto"/>
            <w:noWrap/>
            <w:vAlign w:val="center"/>
            <w:hideMark/>
          </w:tcPr>
          <w:p w14:paraId="63F91089"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40</w:t>
            </w:r>
          </w:p>
        </w:tc>
      </w:tr>
      <w:tr w:rsidR="00AA3946" w:rsidRPr="00AA3946" w14:paraId="05536D1B" w14:textId="77777777" w:rsidTr="00CA416E">
        <w:trPr>
          <w:trHeight w:val="318"/>
        </w:trPr>
        <w:tc>
          <w:tcPr>
            <w:tcW w:w="2552" w:type="dxa"/>
            <w:tcBorders>
              <w:top w:val="single" w:sz="4" w:space="0" w:color="ADD6EA"/>
              <w:left w:val="nil"/>
              <w:bottom w:val="single" w:sz="4" w:space="0" w:color="ADD6EA"/>
              <w:right w:val="nil"/>
            </w:tcBorders>
            <w:shd w:val="clear" w:color="000000" w:fill="D6E7F0"/>
            <w:vAlign w:val="center"/>
            <w:hideMark/>
          </w:tcPr>
          <w:p w14:paraId="3EB6A96A" w14:textId="77777777" w:rsidR="00AA3946" w:rsidRPr="00AA3946" w:rsidRDefault="00AA3946" w:rsidP="00CA416E">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Public health services</w:t>
            </w:r>
          </w:p>
        </w:tc>
        <w:tc>
          <w:tcPr>
            <w:tcW w:w="1737" w:type="dxa"/>
            <w:tcBorders>
              <w:top w:val="single" w:sz="4" w:space="0" w:color="ADD6EA"/>
              <w:left w:val="nil"/>
              <w:bottom w:val="single" w:sz="4" w:space="0" w:color="ADD6EA"/>
              <w:right w:val="nil"/>
            </w:tcBorders>
            <w:shd w:val="clear" w:color="000000" w:fill="D6E7F0"/>
            <w:noWrap/>
            <w:vAlign w:val="center"/>
            <w:hideMark/>
          </w:tcPr>
          <w:p w14:paraId="008E28C5"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 </w:t>
            </w:r>
          </w:p>
        </w:tc>
        <w:tc>
          <w:tcPr>
            <w:tcW w:w="1551" w:type="dxa"/>
            <w:tcBorders>
              <w:top w:val="single" w:sz="4" w:space="0" w:color="ADD6EA"/>
              <w:left w:val="nil"/>
              <w:bottom w:val="single" w:sz="4" w:space="0" w:color="ADD6EA"/>
              <w:right w:val="nil"/>
            </w:tcBorders>
            <w:shd w:val="clear" w:color="000000" w:fill="D6E7F0"/>
            <w:noWrap/>
            <w:vAlign w:val="center"/>
            <w:hideMark/>
          </w:tcPr>
          <w:p w14:paraId="68BEB833"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sz w:val="16"/>
                <w:szCs w:val="16"/>
                <w:lang w:eastAsia="en-AU"/>
              </w:rPr>
            </w:pPr>
            <w:r w:rsidRPr="00AA3946">
              <w:rPr>
                <w:rFonts w:ascii="Open Sans Semibold" w:eastAsia="Times New Roman" w:hAnsi="Open Sans Semibold" w:cs="Open Sans Semibold"/>
                <w:sz w:val="16"/>
                <w:szCs w:val="16"/>
                <w:lang w:eastAsia="en-AU"/>
              </w:rPr>
              <w:t> </w:t>
            </w:r>
          </w:p>
        </w:tc>
        <w:tc>
          <w:tcPr>
            <w:tcW w:w="1551" w:type="dxa"/>
            <w:tcBorders>
              <w:top w:val="single" w:sz="4" w:space="0" w:color="ADD6EA"/>
              <w:left w:val="nil"/>
              <w:bottom w:val="single" w:sz="4" w:space="0" w:color="ADD6EA"/>
              <w:right w:val="nil"/>
            </w:tcBorders>
            <w:shd w:val="clear" w:color="000000" w:fill="D6E7F0"/>
            <w:noWrap/>
            <w:vAlign w:val="center"/>
            <w:hideMark/>
          </w:tcPr>
          <w:p w14:paraId="77AD63ED"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sz w:val="16"/>
                <w:szCs w:val="16"/>
                <w:lang w:eastAsia="en-AU"/>
              </w:rPr>
            </w:pPr>
            <w:r w:rsidRPr="00AA3946">
              <w:rPr>
                <w:rFonts w:ascii="Open Sans Semibold" w:eastAsia="Times New Roman" w:hAnsi="Open Sans Semibold" w:cs="Open Sans Semibold"/>
                <w:sz w:val="16"/>
                <w:szCs w:val="16"/>
                <w:lang w:eastAsia="en-AU"/>
              </w:rPr>
              <w:t> </w:t>
            </w:r>
          </w:p>
        </w:tc>
        <w:tc>
          <w:tcPr>
            <w:tcW w:w="1551" w:type="dxa"/>
            <w:tcBorders>
              <w:top w:val="single" w:sz="4" w:space="0" w:color="ADD6EA"/>
              <w:left w:val="nil"/>
              <w:bottom w:val="single" w:sz="4" w:space="0" w:color="ADD6EA"/>
              <w:right w:val="nil"/>
            </w:tcBorders>
            <w:shd w:val="clear" w:color="000000" w:fill="D6E7F0"/>
            <w:noWrap/>
            <w:vAlign w:val="center"/>
            <w:hideMark/>
          </w:tcPr>
          <w:p w14:paraId="51DF79E0"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sz w:val="16"/>
                <w:szCs w:val="16"/>
                <w:lang w:eastAsia="en-AU"/>
              </w:rPr>
            </w:pPr>
            <w:r w:rsidRPr="00AA3946">
              <w:rPr>
                <w:rFonts w:ascii="Open Sans Semibold" w:eastAsia="Times New Roman" w:hAnsi="Open Sans Semibold" w:cs="Open Sans Semibold"/>
                <w:sz w:val="16"/>
                <w:szCs w:val="16"/>
                <w:lang w:eastAsia="en-AU"/>
              </w:rPr>
              <w:t> </w:t>
            </w:r>
          </w:p>
        </w:tc>
      </w:tr>
      <w:tr w:rsidR="00AA3946" w:rsidRPr="00AA3946" w14:paraId="74F48862" w14:textId="77777777" w:rsidTr="00CA416E">
        <w:trPr>
          <w:trHeight w:val="318"/>
        </w:trPr>
        <w:tc>
          <w:tcPr>
            <w:tcW w:w="2552" w:type="dxa"/>
            <w:tcBorders>
              <w:top w:val="nil"/>
              <w:left w:val="nil"/>
              <w:bottom w:val="single" w:sz="4" w:space="0" w:color="ADD6EA"/>
              <w:right w:val="nil"/>
            </w:tcBorders>
            <w:shd w:val="clear" w:color="auto" w:fill="auto"/>
            <w:noWrap/>
            <w:vAlign w:val="center"/>
            <w:hideMark/>
          </w:tcPr>
          <w:p w14:paraId="6C8D5968" w14:textId="77777777" w:rsidR="00AA3946" w:rsidRPr="00AA3946" w:rsidRDefault="00AA3946" w:rsidP="00CA416E">
            <w:pPr>
              <w:keepNext/>
              <w:tabs>
                <w:tab w:val="clear" w:pos="567"/>
              </w:tabs>
              <w:spacing w:before="0" w:line="240" w:lineRule="auto"/>
              <w:rPr>
                <w:rFonts w:eastAsia="Times New Roman" w:cs="Open Sans Light"/>
                <w:color w:val="000000"/>
                <w:sz w:val="16"/>
                <w:szCs w:val="16"/>
                <w:lang w:eastAsia="en-AU"/>
              </w:rPr>
            </w:pPr>
            <w:r w:rsidRPr="00AA3946">
              <w:rPr>
                <w:rFonts w:eastAsia="Times New Roman" w:cs="Open Sans Light"/>
                <w:color w:val="000000"/>
                <w:sz w:val="16"/>
                <w:szCs w:val="16"/>
                <w:lang w:eastAsia="en-AU"/>
              </w:rPr>
              <w:t>Cancer screening</w:t>
            </w:r>
          </w:p>
        </w:tc>
        <w:tc>
          <w:tcPr>
            <w:tcW w:w="1737" w:type="dxa"/>
            <w:tcBorders>
              <w:top w:val="nil"/>
              <w:left w:val="nil"/>
              <w:bottom w:val="single" w:sz="4" w:space="0" w:color="ADD6EA"/>
              <w:right w:val="nil"/>
            </w:tcBorders>
            <w:shd w:val="clear" w:color="auto" w:fill="auto"/>
            <w:noWrap/>
            <w:vAlign w:val="center"/>
            <w:hideMark/>
          </w:tcPr>
          <w:p w14:paraId="05ABD841" w14:textId="77777777" w:rsidR="00AA3946" w:rsidRPr="00AA3946" w:rsidRDefault="00AA3946" w:rsidP="00CA416E">
            <w:pPr>
              <w:keepNext/>
              <w:tabs>
                <w:tab w:val="clear" w:pos="567"/>
              </w:tabs>
              <w:spacing w:before="0" w:line="240" w:lineRule="auto"/>
              <w:jc w:val="right"/>
              <w:rPr>
                <w:rFonts w:eastAsia="Times New Roman" w:cs="Open Sans Light"/>
                <w:color w:val="000000"/>
                <w:sz w:val="16"/>
                <w:szCs w:val="16"/>
                <w:lang w:eastAsia="en-AU"/>
              </w:rPr>
            </w:pPr>
            <w:r w:rsidRPr="00AA3946">
              <w:rPr>
                <w:rFonts w:eastAsia="Times New Roman" w:cs="Open Sans Light"/>
                <w:color w:val="000000"/>
                <w:sz w:val="16"/>
                <w:szCs w:val="16"/>
                <w:lang w:eastAsia="en-AU"/>
              </w:rPr>
              <w:t>3</w:t>
            </w:r>
          </w:p>
        </w:tc>
        <w:tc>
          <w:tcPr>
            <w:tcW w:w="1551" w:type="dxa"/>
            <w:tcBorders>
              <w:top w:val="nil"/>
              <w:left w:val="nil"/>
              <w:bottom w:val="single" w:sz="4" w:space="0" w:color="ADD6EA"/>
              <w:right w:val="nil"/>
            </w:tcBorders>
            <w:shd w:val="clear" w:color="auto" w:fill="auto"/>
            <w:noWrap/>
            <w:vAlign w:val="center"/>
            <w:hideMark/>
          </w:tcPr>
          <w:p w14:paraId="2C93F7A0"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3</w:t>
            </w:r>
          </w:p>
        </w:tc>
        <w:tc>
          <w:tcPr>
            <w:tcW w:w="1551" w:type="dxa"/>
            <w:tcBorders>
              <w:top w:val="nil"/>
              <w:left w:val="nil"/>
              <w:bottom w:val="single" w:sz="4" w:space="0" w:color="ADD6EA"/>
              <w:right w:val="nil"/>
            </w:tcBorders>
            <w:shd w:val="clear" w:color="auto" w:fill="auto"/>
            <w:noWrap/>
            <w:vAlign w:val="center"/>
            <w:hideMark/>
          </w:tcPr>
          <w:p w14:paraId="438F8FF0"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2</w:t>
            </w:r>
          </w:p>
        </w:tc>
        <w:tc>
          <w:tcPr>
            <w:tcW w:w="1551" w:type="dxa"/>
            <w:tcBorders>
              <w:top w:val="nil"/>
              <w:left w:val="nil"/>
              <w:bottom w:val="single" w:sz="4" w:space="0" w:color="ADD6EA"/>
              <w:right w:val="nil"/>
            </w:tcBorders>
            <w:shd w:val="clear" w:color="auto" w:fill="auto"/>
            <w:noWrap/>
            <w:vAlign w:val="center"/>
            <w:hideMark/>
          </w:tcPr>
          <w:p w14:paraId="7591C9B8"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2</w:t>
            </w:r>
          </w:p>
        </w:tc>
      </w:tr>
      <w:tr w:rsidR="00AA3946" w:rsidRPr="00AA3946" w14:paraId="7CF81E50" w14:textId="77777777" w:rsidTr="00CA416E">
        <w:trPr>
          <w:trHeight w:val="318"/>
        </w:trPr>
        <w:tc>
          <w:tcPr>
            <w:tcW w:w="2552" w:type="dxa"/>
            <w:tcBorders>
              <w:top w:val="nil"/>
              <w:left w:val="nil"/>
              <w:bottom w:val="single" w:sz="4" w:space="0" w:color="ADD6EA"/>
              <w:right w:val="nil"/>
            </w:tcBorders>
            <w:shd w:val="clear" w:color="auto" w:fill="auto"/>
            <w:noWrap/>
            <w:vAlign w:val="center"/>
            <w:hideMark/>
          </w:tcPr>
          <w:p w14:paraId="64211135" w14:textId="77777777" w:rsidR="00AA3946" w:rsidRPr="00AA3946" w:rsidRDefault="00AA3946" w:rsidP="00CA416E">
            <w:pPr>
              <w:keepNext/>
              <w:tabs>
                <w:tab w:val="clear" w:pos="567"/>
              </w:tabs>
              <w:spacing w:before="0" w:line="240" w:lineRule="auto"/>
              <w:rPr>
                <w:rFonts w:eastAsia="Times New Roman" w:cs="Open Sans Light"/>
                <w:color w:val="000000"/>
                <w:sz w:val="16"/>
                <w:szCs w:val="16"/>
                <w:lang w:eastAsia="en-AU"/>
              </w:rPr>
            </w:pPr>
            <w:r w:rsidRPr="00AA3946">
              <w:rPr>
                <w:rFonts w:eastAsia="Times New Roman" w:cs="Open Sans Light"/>
                <w:color w:val="000000"/>
                <w:sz w:val="16"/>
                <w:szCs w:val="16"/>
                <w:lang w:eastAsia="en-AU"/>
              </w:rPr>
              <w:t>Organised immunisation</w:t>
            </w:r>
          </w:p>
        </w:tc>
        <w:tc>
          <w:tcPr>
            <w:tcW w:w="1737" w:type="dxa"/>
            <w:tcBorders>
              <w:top w:val="nil"/>
              <w:left w:val="nil"/>
              <w:bottom w:val="single" w:sz="4" w:space="0" w:color="ADD6EA"/>
              <w:right w:val="nil"/>
            </w:tcBorders>
            <w:shd w:val="clear" w:color="auto" w:fill="auto"/>
            <w:noWrap/>
            <w:vAlign w:val="center"/>
            <w:hideMark/>
          </w:tcPr>
          <w:p w14:paraId="639E16F6" w14:textId="77777777" w:rsidR="00AA3946" w:rsidRPr="00AA3946" w:rsidRDefault="00AA3946" w:rsidP="00CA416E">
            <w:pPr>
              <w:keepNext/>
              <w:tabs>
                <w:tab w:val="clear" w:pos="567"/>
              </w:tabs>
              <w:spacing w:before="0" w:line="240" w:lineRule="auto"/>
              <w:jc w:val="right"/>
              <w:rPr>
                <w:rFonts w:eastAsia="Times New Roman" w:cs="Open Sans Light"/>
                <w:color w:val="000000"/>
                <w:sz w:val="16"/>
                <w:szCs w:val="16"/>
                <w:lang w:eastAsia="en-AU"/>
              </w:rPr>
            </w:pPr>
            <w:r w:rsidRPr="00AA3946">
              <w:rPr>
                <w:rFonts w:eastAsia="Times New Roman" w:cs="Open Sans Light"/>
                <w:color w:val="000000"/>
                <w:sz w:val="16"/>
                <w:szCs w:val="16"/>
                <w:lang w:eastAsia="en-AU"/>
              </w:rPr>
              <w:t>4</w:t>
            </w:r>
          </w:p>
        </w:tc>
        <w:tc>
          <w:tcPr>
            <w:tcW w:w="1551" w:type="dxa"/>
            <w:tcBorders>
              <w:top w:val="nil"/>
              <w:left w:val="nil"/>
              <w:bottom w:val="single" w:sz="4" w:space="0" w:color="ADD6EA"/>
              <w:right w:val="nil"/>
            </w:tcBorders>
            <w:shd w:val="clear" w:color="auto" w:fill="auto"/>
            <w:noWrap/>
            <w:vAlign w:val="center"/>
            <w:hideMark/>
          </w:tcPr>
          <w:p w14:paraId="42E3CD1C"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3</w:t>
            </w:r>
          </w:p>
        </w:tc>
        <w:tc>
          <w:tcPr>
            <w:tcW w:w="1551" w:type="dxa"/>
            <w:tcBorders>
              <w:top w:val="nil"/>
              <w:left w:val="nil"/>
              <w:bottom w:val="single" w:sz="4" w:space="0" w:color="ADD6EA"/>
              <w:right w:val="nil"/>
            </w:tcBorders>
            <w:shd w:val="clear" w:color="auto" w:fill="auto"/>
            <w:noWrap/>
            <w:vAlign w:val="center"/>
            <w:hideMark/>
          </w:tcPr>
          <w:p w14:paraId="38407AAC"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4</w:t>
            </w:r>
          </w:p>
        </w:tc>
        <w:tc>
          <w:tcPr>
            <w:tcW w:w="1551" w:type="dxa"/>
            <w:tcBorders>
              <w:top w:val="nil"/>
              <w:left w:val="nil"/>
              <w:bottom w:val="single" w:sz="4" w:space="0" w:color="ADD6EA"/>
              <w:right w:val="nil"/>
            </w:tcBorders>
            <w:shd w:val="clear" w:color="auto" w:fill="auto"/>
            <w:noWrap/>
            <w:vAlign w:val="center"/>
            <w:hideMark/>
          </w:tcPr>
          <w:p w14:paraId="1CAEE79C"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7</w:t>
            </w:r>
          </w:p>
        </w:tc>
      </w:tr>
      <w:tr w:rsidR="00AA3946" w:rsidRPr="00AA3946" w14:paraId="4514A1D2" w14:textId="77777777" w:rsidTr="00CA416E">
        <w:trPr>
          <w:trHeight w:val="318"/>
        </w:trPr>
        <w:tc>
          <w:tcPr>
            <w:tcW w:w="2552" w:type="dxa"/>
            <w:tcBorders>
              <w:top w:val="nil"/>
              <w:left w:val="nil"/>
              <w:bottom w:val="single" w:sz="4" w:space="0" w:color="ADD6EA"/>
              <w:right w:val="nil"/>
            </w:tcBorders>
            <w:shd w:val="clear" w:color="auto" w:fill="auto"/>
            <w:noWrap/>
            <w:vAlign w:val="center"/>
            <w:hideMark/>
          </w:tcPr>
          <w:p w14:paraId="55AFF0AD" w14:textId="77777777" w:rsidR="00AA3946" w:rsidRPr="00AA3946" w:rsidRDefault="00AA3946" w:rsidP="00CA416E">
            <w:pPr>
              <w:keepNext/>
              <w:tabs>
                <w:tab w:val="clear" w:pos="567"/>
              </w:tabs>
              <w:spacing w:before="0" w:line="240" w:lineRule="auto"/>
              <w:rPr>
                <w:rFonts w:eastAsia="Times New Roman" w:cs="Open Sans Light"/>
                <w:color w:val="000000"/>
                <w:sz w:val="16"/>
                <w:szCs w:val="16"/>
                <w:lang w:eastAsia="en-AU"/>
              </w:rPr>
            </w:pPr>
            <w:r w:rsidRPr="00AA3946">
              <w:rPr>
                <w:rFonts w:eastAsia="Times New Roman" w:cs="Open Sans Light"/>
                <w:color w:val="000000"/>
                <w:sz w:val="16"/>
                <w:szCs w:val="16"/>
                <w:lang w:eastAsia="en-AU"/>
              </w:rPr>
              <w:t>Selected health promotion</w:t>
            </w:r>
          </w:p>
        </w:tc>
        <w:tc>
          <w:tcPr>
            <w:tcW w:w="1737" w:type="dxa"/>
            <w:tcBorders>
              <w:top w:val="nil"/>
              <w:left w:val="nil"/>
              <w:bottom w:val="single" w:sz="4" w:space="0" w:color="ADD6EA"/>
              <w:right w:val="nil"/>
            </w:tcBorders>
            <w:shd w:val="clear" w:color="auto" w:fill="auto"/>
            <w:noWrap/>
            <w:vAlign w:val="center"/>
            <w:hideMark/>
          </w:tcPr>
          <w:p w14:paraId="59B10260" w14:textId="77777777" w:rsidR="00AA3946" w:rsidRPr="00AA3946" w:rsidRDefault="00AA3946" w:rsidP="00CA416E">
            <w:pPr>
              <w:keepNext/>
              <w:tabs>
                <w:tab w:val="clear" w:pos="567"/>
              </w:tabs>
              <w:spacing w:before="0" w:line="240" w:lineRule="auto"/>
              <w:jc w:val="right"/>
              <w:rPr>
                <w:rFonts w:eastAsia="Times New Roman" w:cs="Open Sans Light"/>
                <w:color w:val="000000"/>
                <w:sz w:val="16"/>
                <w:szCs w:val="16"/>
                <w:lang w:eastAsia="en-AU"/>
              </w:rPr>
            </w:pPr>
            <w:r w:rsidRPr="00AA3946">
              <w:rPr>
                <w:rFonts w:eastAsia="Times New Roman" w:cs="Open Sans Light"/>
                <w:color w:val="000000"/>
                <w:sz w:val="16"/>
                <w:szCs w:val="16"/>
                <w:lang w:eastAsia="en-AU"/>
              </w:rPr>
              <w:t>5</w:t>
            </w:r>
          </w:p>
        </w:tc>
        <w:tc>
          <w:tcPr>
            <w:tcW w:w="1551" w:type="dxa"/>
            <w:tcBorders>
              <w:top w:val="nil"/>
              <w:left w:val="nil"/>
              <w:bottom w:val="single" w:sz="4" w:space="0" w:color="ADD6EA"/>
              <w:right w:val="nil"/>
            </w:tcBorders>
            <w:shd w:val="clear" w:color="auto" w:fill="auto"/>
            <w:noWrap/>
            <w:vAlign w:val="center"/>
            <w:hideMark/>
          </w:tcPr>
          <w:p w14:paraId="76B4FB6E"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4</w:t>
            </w:r>
          </w:p>
        </w:tc>
        <w:tc>
          <w:tcPr>
            <w:tcW w:w="1551" w:type="dxa"/>
            <w:tcBorders>
              <w:top w:val="nil"/>
              <w:left w:val="nil"/>
              <w:bottom w:val="single" w:sz="4" w:space="0" w:color="ADD6EA"/>
              <w:right w:val="nil"/>
            </w:tcBorders>
            <w:shd w:val="clear" w:color="auto" w:fill="auto"/>
            <w:noWrap/>
            <w:vAlign w:val="center"/>
            <w:hideMark/>
          </w:tcPr>
          <w:p w14:paraId="181EB402"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5</w:t>
            </w:r>
          </w:p>
        </w:tc>
        <w:tc>
          <w:tcPr>
            <w:tcW w:w="1551" w:type="dxa"/>
            <w:tcBorders>
              <w:top w:val="nil"/>
              <w:left w:val="nil"/>
              <w:bottom w:val="single" w:sz="4" w:space="0" w:color="ADD6EA"/>
              <w:right w:val="nil"/>
            </w:tcBorders>
            <w:shd w:val="clear" w:color="auto" w:fill="auto"/>
            <w:noWrap/>
            <w:vAlign w:val="center"/>
            <w:hideMark/>
          </w:tcPr>
          <w:p w14:paraId="6CEC6CBE"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7</w:t>
            </w:r>
          </w:p>
        </w:tc>
      </w:tr>
      <w:tr w:rsidR="00AA3946" w:rsidRPr="00AA3946" w14:paraId="173B72E8" w14:textId="77777777" w:rsidTr="00CA416E">
        <w:trPr>
          <w:trHeight w:val="318"/>
        </w:trPr>
        <w:tc>
          <w:tcPr>
            <w:tcW w:w="2552" w:type="dxa"/>
            <w:tcBorders>
              <w:top w:val="nil"/>
              <w:left w:val="nil"/>
              <w:bottom w:val="single" w:sz="4" w:space="0" w:color="ADD6EA"/>
              <w:right w:val="nil"/>
            </w:tcBorders>
            <w:shd w:val="clear" w:color="auto" w:fill="auto"/>
            <w:noWrap/>
            <w:vAlign w:val="center"/>
            <w:hideMark/>
          </w:tcPr>
          <w:p w14:paraId="4390C53D" w14:textId="77777777" w:rsidR="00AA3946" w:rsidRPr="00AA3946" w:rsidRDefault="00AA3946" w:rsidP="00CA416E">
            <w:pPr>
              <w:keepNext/>
              <w:tabs>
                <w:tab w:val="clear" w:pos="567"/>
              </w:tabs>
              <w:spacing w:before="0" w:line="240" w:lineRule="auto"/>
              <w:rPr>
                <w:rFonts w:eastAsia="Times New Roman" w:cs="Open Sans Light"/>
                <w:color w:val="000000"/>
                <w:sz w:val="16"/>
                <w:szCs w:val="16"/>
                <w:lang w:eastAsia="en-AU"/>
              </w:rPr>
            </w:pPr>
            <w:r w:rsidRPr="00AA3946">
              <w:rPr>
                <w:rFonts w:eastAsia="Times New Roman" w:cs="Open Sans Light"/>
                <w:color w:val="000000"/>
                <w:sz w:val="16"/>
                <w:szCs w:val="16"/>
                <w:lang w:eastAsia="en-AU"/>
              </w:rPr>
              <w:t>Communicable disease control</w:t>
            </w:r>
          </w:p>
        </w:tc>
        <w:tc>
          <w:tcPr>
            <w:tcW w:w="1737" w:type="dxa"/>
            <w:tcBorders>
              <w:top w:val="nil"/>
              <w:left w:val="nil"/>
              <w:bottom w:val="single" w:sz="4" w:space="0" w:color="ADD6EA"/>
              <w:right w:val="nil"/>
            </w:tcBorders>
            <w:shd w:val="clear" w:color="auto" w:fill="auto"/>
            <w:noWrap/>
            <w:vAlign w:val="center"/>
            <w:hideMark/>
          </w:tcPr>
          <w:p w14:paraId="23EB87BC" w14:textId="77777777" w:rsidR="00AA3946" w:rsidRPr="00AA3946" w:rsidRDefault="00AA3946" w:rsidP="00CA416E">
            <w:pPr>
              <w:keepNext/>
              <w:tabs>
                <w:tab w:val="clear" w:pos="567"/>
              </w:tabs>
              <w:spacing w:before="0" w:line="240" w:lineRule="auto"/>
              <w:jc w:val="right"/>
              <w:rPr>
                <w:rFonts w:eastAsia="Times New Roman" w:cs="Open Sans Light"/>
                <w:color w:val="000000"/>
                <w:sz w:val="16"/>
                <w:szCs w:val="16"/>
                <w:lang w:eastAsia="en-AU"/>
              </w:rPr>
            </w:pPr>
            <w:r w:rsidRPr="00AA3946">
              <w:rPr>
                <w:rFonts w:eastAsia="Times New Roman" w:cs="Open Sans Light"/>
                <w:color w:val="000000"/>
                <w:sz w:val="16"/>
                <w:szCs w:val="16"/>
                <w:lang w:eastAsia="en-AU"/>
              </w:rPr>
              <w:t>3</w:t>
            </w:r>
          </w:p>
        </w:tc>
        <w:tc>
          <w:tcPr>
            <w:tcW w:w="1551" w:type="dxa"/>
            <w:tcBorders>
              <w:top w:val="nil"/>
              <w:left w:val="nil"/>
              <w:bottom w:val="single" w:sz="4" w:space="0" w:color="ADD6EA"/>
              <w:right w:val="nil"/>
            </w:tcBorders>
            <w:shd w:val="clear" w:color="auto" w:fill="auto"/>
            <w:noWrap/>
            <w:vAlign w:val="center"/>
            <w:hideMark/>
          </w:tcPr>
          <w:p w14:paraId="1DC2F138"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6</w:t>
            </w:r>
          </w:p>
        </w:tc>
        <w:tc>
          <w:tcPr>
            <w:tcW w:w="1551" w:type="dxa"/>
            <w:tcBorders>
              <w:top w:val="nil"/>
              <w:left w:val="nil"/>
              <w:bottom w:val="single" w:sz="4" w:space="0" w:color="ADD6EA"/>
              <w:right w:val="nil"/>
            </w:tcBorders>
            <w:shd w:val="clear" w:color="auto" w:fill="auto"/>
            <w:noWrap/>
            <w:vAlign w:val="center"/>
            <w:hideMark/>
          </w:tcPr>
          <w:p w14:paraId="5AACB47A"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16</w:t>
            </w:r>
          </w:p>
        </w:tc>
        <w:tc>
          <w:tcPr>
            <w:tcW w:w="1551" w:type="dxa"/>
            <w:tcBorders>
              <w:top w:val="nil"/>
              <w:left w:val="nil"/>
              <w:bottom w:val="single" w:sz="4" w:space="0" w:color="ADD6EA"/>
              <w:right w:val="nil"/>
            </w:tcBorders>
            <w:shd w:val="clear" w:color="auto" w:fill="auto"/>
            <w:noWrap/>
            <w:vAlign w:val="center"/>
            <w:hideMark/>
          </w:tcPr>
          <w:p w14:paraId="2E94A2EF"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22</w:t>
            </w:r>
          </w:p>
        </w:tc>
      </w:tr>
      <w:tr w:rsidR="00AA3946" w:rsidRPr="00AA3946" w14:paraId="3E89383E" w14:textId="77777777" w:rsidTr="00CA416E">
        <w:trPr>
          <w:trHeight w:val="318"/>
        </w:trPr>
        <w:tc>
          <w:tcPr>
            <w:tcW w:w="2552" w:type="dxa"/>
            <w:tcBorders>
              <w:top w:val="nil"/>
              <w:left w:val="nil"/>
              <w:bottom w:val="single" w:sz="4" w:space="0" w:color="ADD6EA"/>
              <w:right w:val="nil"/>
            </w:tcBorders>
            <w:shd w:val="clear" w:color="auto" w:fill="auto"/>
            <w:noWrap/>
            <w:vAlign w:val="center"/>
            <w:hideMark/>
          </w:tcPr>
          <w:p w14:paraId="5EB3FE14" w14:textId="77777777" w:rsidR="00AA3946" w:rsidRPr="00AA3946" w:rsidRDefault="00AA3946" w:rsidP="00CA416E">
            <w:pPr>
              <w:keepNext/>
              <w:tabs>
                <w:tab w:val="clear" w:pos="567"/>
              </w:tabs>
              <w:spacing w:before="0" w:line="240" w:lineRule="auto"/>
              <w:rPr>
                <w:rFonts w:eastAsia="Times New Roman" w:cs="Open Sans Light"/>
                <w:color w:val="000000"/>
                <w:sz w:val="16"/>
                <w:szCs w:val="16"/>
                <w:lang w:eastAsia="en-AU"/>
              </w:rPr>
            </w:pPr>
            <w:r w:rsidRPr="00AA3946">
              <w:rPr>
                <w:rFonts w:eastAsia="Times New Roman" w:cs="Open Sans Light"/>
                <w:color w:val="000000"/>
                <w:sz w:val="16"/>
                <w:szCs w:val="16"/>
                <w:lang w:eastAsia="en-AU"/>
              </w:rPr>
              <w:t>Environmental health</w:t>
            </w:r>
          </w:p>
        </w:tc>
        <w:tc>
          <w:tcPr>
            <w:tcW w:w="1737" w:type="dxa"/>
            <w:tcBorders>
              <w:top w:val="nil"/>
              <w:left w:val="nil"/>
              <w:bottom w:val="single" w:sz="4" w:space="0" w:color="ADD6EA"/>
              <w:right w:val="nil"/>
            </w:tcBorders>
            <w:shd w:val="clear" w:color="auto" w:fill="auto"/>
            <w:noWrap/>
            <w:vAlign w:val="center"/>
            <w:hideMark/>
          </w:tcPr>
          <w:p w14:paraId="3A273044" w14:textId="77777777" w:rsidR="00AA3946" w:rsidRPr="00AA3946" w:rsidRDefault="00AA3946" w:rsidP="00CA416E">
            <w:pPr>
              <w:keepNext/>
              <w:tabs>
                <w:tab w:val="clear" w:pos="567"/>
              </w:tabs>
              <w:spacing w:before="0" w:line="240" w:lineRule="auto"/>
              <w:jc w:val="right"/>
              <w:rPr>
                <w:rFonts w:eastAsia="Times New Roman" w:cs="Open Sans Light"/>
                <w:color w:val="000000"/>
                <w:sz w:val="16"/>
                <w:szCs w:val="16"/>
                <w:lang w:eastAsia="en-AU"/>
              </w:rPr>
            </w:pPr>
            <w:r w:rsidRPr="00AA3946">
              <w:rPr>
                <w:rFonts w:eastAsia="Times New Roman" w:cs="Open Sans Light"/>
                <w:color w:val="000000"/>
                <w:sz w:val="16"/>
                <w:szCs w:val="16"/>
                <w:lang w:eastAsia="en-AU"/>
              </w:rPr>
              <w:t>1</w:t>
            </w:r>
          </w:p>
        </w:tc>
        <w:tc>
          <w:tcPr>
            <w:tcW w:w="1551" w:type="dxa"/>
            <w:tcBorders>
              <w:top w:val="nil"/>
              <w:left w:val="nil"/>
              <w:bottom w:val="single" w:sz="4" w:space="0" w:color="ADD6EA"/>
              <w:right w:val="nil"/>
            </w:tcBorders>
            <w:shd w:val="clear" w:color="auto" w:fill="auto"/>
            <w:noWrap/>
            <w:vAlign w:val="center"/>
            <w:hideMark/>
          </w:tcPr>
          <w:p w14:paraId="0C7362DE"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1</w:t>
            </w:r>
          </w:p>
        </w:tc>
        <w:tc>
          <w:tcPr>
            <w:tcW w:w="1551" w:type="dxa"/>
            <w:tcBorders>
              <w:top w:val="nil"/>
              <w:left w:val="nil"/>
              <w:bottom w:val="single" w:sz="4" w:space="0" w:color="ADD6EA"/>
              <w:right w:val="nil"/>
            </w:tcBorders>
            <w:shd w:val="clear" w:color="auto" w:fill="auto"/>
            <w:noWrap/>
            <w:vAlign w:val="center"/>
            <w:hideMark/>
          </w:tcPr>
          <w:p w14:paraId="41A4A109"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2</w:t>
            </w:r>
          </w:p>
        </w:tc>
        <w:tc>
          <w:tcPr>
            <w:tcW w:w="1551" w:type="dxa"/>
            <w:tcBorders>
              <w:top w:val="nil"/>
              <w:left w:val="nil"/>
              <w:bottom w:val="single" w:sz="4" w:space="0" w:color="ADD6EA"/>
              <w:right w:val="nil"/>
            </w:tcBorders>
            <w:shd w:val="clear" w:color="auto" w:fill="auto"/>
            <w:noWrap/>
            <w:vAlign w:val="center"/>
            <w:hideMark/>
          </w:tcPr>
          <w:p w14:paraId="63C2AD8F"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1</w:t>
            </w:r>
          </w:p>
        </w:tc>
      </w:tr>
      <w:tr w:rsidR="00AA3946" w:rsidRPr="00AA3946" w14:paraId="2F2C4C52" w14:textId="77777777" w:rsidTr="00CA416E">
        <w:trPr>
          <w:trHeight w:val="318"/>
        </w:trPr>
        <w:tc>
          <w:tcPr>
            <w:tcW w:w="2552" w:type="dxa"/>
            <w:tcBorders>
              <w:top w:val="nil"/>
              <w:left w:val="nil"/>
              <w:bottom w:val="nil"/>
              <w:right w:val="nil"/>
            </w:tcBorders>
            <w:shd w:val="clear" w:color="auto" w:fill="auto"/>
            <w:noWrap/>
            <w:vAlign w:val="center"/>
            <w:hideMark/>
          </w:tcPr>
          <w:p w14:paraId="313F6E94" w14:textId="77777777" w:rsidR="00AA3946" w:rsidRPr="00AA3946" w:rsidRDefault="00AA3946" w:rsidP="00CA416E">
            <w:pPr>
              <w:keepNext/>
              <w:tabs>
                <w:tab w:val="clear" w:pos="567"/>
              </w:tabs>
              <w:spacing w:before="0" w:line="240" w:lineRule="auto"/>
              <w:rPr>
                <w:rFonts w:eastAsia="Times New Roman" w:cs="Open Sans Light"/>
                <w:color w:val="000000"/>
                <w:sz w:val="16"/>
                <w:szCs w:val="16"/>
                <w:lang w:eastAsia="en-AU"/>
              </w:rPr>
            </w:pPr>
            <w:r w:rsidRPr="00AA3946">
              <w:rPr>
                <w:rFonts w:eastAsia="Times New Roman" w:cs="Open Sans Light"/>
                <w:color w:val="000000"/>
                <w:sz w:val="16"/>
                <w:szCs w:val="16"/>
                <w:lang w:eastAsia="en-AU"/>
              </w:rPr>
              <w:t>Other public health services</w:t>
            </w:r>
          </w:p>
        </w:tc>
        <w:tc>
          <w:tcPr>
            <w:tcW w:w="1737" w:type="dxa"/>
            <w:tcBorders>
              <w:top w:val="nil"/>
              <w:left w:val="nil"/>
              <w:bottom w:val="nil"/>
              <w:right w:val="nil"/>
            </w:tcBorders>
            <w:shd w:val="clear" w:color="auto" w:fill="auto"/>
            <w:noWrap/>
            <w:vAlign w:val="center"/>
            <w:hideMark/>
          </w:tcPr>
          <w:p w14:paraId="6981E540" w14:textId="77777777" w:rsidR="00AA3946" w:rsidRPr="00AA3946" w:rsidRDefault="00AA3946" w:rsidP="00CA416E">
            <w:pPr>
              <w:keepNext/>
              <w:tabs>
                <w:tab w:val="clear" w:pos="567"/>
              </w:tabs>
              <w:spacing w:before="0" w:line="240" w:lineRule="auto"/>
              <w:jc w:val="right"/>
              <w:rPr>
                <w:rFonts w:eastAsia="Times New Roman" w:cs="Open Sans Light"/>
                <w:color w:val="000000"/>
                <w:sz w:val="16"/>
                <w:szCs w:val="16"/>
                <w:lang w:eastAsia="en-AU"/>
              </w:rPr>
            </w:pPr>
            <w:r w:rsidRPr="00AA3946">
              <w:rPr>
                <w:rFonts w:eastAsia="Times New Roman" w:cs="Open Sans Light"/>
                <w:color w:val="000000"/>
                <w:sz w:val="16"/>
                <w:szCs w:val="16"/>
                <w:lang w:eastAsia="en-AU"/>
              </w:rPr>
              <w:t>2</w:t>
            </w:r>
          </w:p>
        </w:tc>
        <w:tc>
          <w:tcPr>
            <w:tcW w:w="1551" w:type="dxa"/>
            <w:tcBorders>
              <w:top w:val="nil"/>
              <w:left w:val="nil"/>
              <w:bottom w:val="nil"/>
              <w:right w:val="nil"/>
            </w:tcBorders>
            <w:shd w:val="clear" w:color="auto" w:fill="auto"/>
            <w:noWrap/>
            <w:vAlign w:val="center"/>
            <w:hideMark/>
          </w:tcPr>
          <w:p w14:paraId="3744BF03"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4</w:t>
            </w:r>
          </w:p>
        </w:tc>
        <w:tc>
          <w:tcPr>
            <w:tcW w:w="1551" w:type="dxa"/>
            <w:tcBorders>
              <w:top w:val="nil"/>
              <w:left w:val="nil"/>
              <w:bottom w:val="nil"/>
              <w:right w:val="nil"/>
            </w:tcBorders>
            <w:shd w:val="clear" w:color="auto" w:fill="auto"/>
            <w:noWrap/>
            <w:vAlign w:val="center"/>
            <w:hideMark/>
          </w:tcPr>
          <w:p w14:paraId="6360AC1B"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4</w:t>
            </w:r>
          </w:p>
        </w:tc>
        <w:tc>
          <w:tcPr>
            <w:tcW w:w="1551" w:type="dxa"/>
            <w:tcBorders>
              <w:top w:val="nil"/>
              <w:left w:val="nil"/>
              <w:bottom w:val="nil"/>
              <w:right w:val="nil"/>
            </w:tcBorders>
            <w:shd w:val="clear" w:color="auto" w:fill="auto"/>
            <w:noWrap/>
            <w:vAlign w:val="center"/>
            <w:hideMark/>
          </w:tcPr>
          <w:p w14:paraId="0EB775BB" w14:textId="77777777" w:rsidR="00AA3946" w:rsidRPr="00AA3946" w:rsidRDefault="00AA3946" w:rsidP="00CA416E">
            <w:pPr>
              <w:keepNext/>
              <w:tabs>
                <w:tab w:val="clear" w:pos="567"/>
              </w:tabs>
              <w:spacing w:before="0" w:line="240" w:lineRule="auto"/>
              <w:jc w:val="right"/>
              <w:rPr>
                <w:rFonts w:eastAsia="Times New Roman" w:cs="Open Sans Light"/>
                <w:sz w:val="16"/>
                <w:szCs w:val="16"/>
                <w:lang w:eastAsia="en-AU"/>
              </w:rPr>
            </w:pPr>
            <w:r w:rsidRPr="00AA3946">
              <w:rPr>
                <w:rFonts w:eastAsia="Times New Roman" w:cs="Open Sans Light"/>
                <w:sz w:val="16"/>
                <w:szCs w:val="16"/>
                <w:lang w:eastAsia="en-AU"/>
              </w:rPr>
              <w:t>5</w:t>
            </w:r>
          </w:p>
        </w:tc>
      </w:tr>
      <w:tr w:rsidR="00AA3946" w:rsidRPr="00AA3946" w14:paraId="238C313C" w14:textId="77777777" w:rsidTr="00CA416E">
        <w:trPr>
          <w:trHeight w:val="318"/>
        </w:trPr>
        <w:tc>
          <w:tcPr>
            <w:tcW w:w="2552" w:type="dxa"/>
            <w:tcBorders>
              <w:top w:val="single" w:sz="4" w:space="0" w:color="ADD6EA"/>
              <w:left w:val="nil"/>
              <w:bottom w:val="single" w:sz="4" w:space="0" w:color="ADD6EA"/>
              <w:right w:val="nil"/>
            </w:tcBorders>
            <w:shd w:val="clear" w:color="000000" w:fill="D6E7F0"/>
            <w:vAlign w:val="center"/>
            <w:hideMark/>
          </w:tcPr>
          <w:p w14:paraId="5178A0E8" w14:textId="77777777" w:rsidR="00AA3946" w:rsidRPr="00AA3946" w:rsidRDefault="00AA3946" w:rsidP="00CA416E">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Total</w:t>
            </w:r>
          </w:p>
        </w:tc>
        <w:tc>
          <w:tcPr>
            <w:tcW w:w="1737" w:type="dxa"/>
            <w:tcBorders>
              <w:top w:val="single" w:sz="4" w:space="0" w:color="ADD6EA"/>
              <w:left w:val="nil"/>
              <w:bottom w:val="single" w:sz="4" w:space="0" w:color="ADD6EA"/>
              <w:right w:val="nil"/>
            </w:tcBorders>
            <w:shd w:val="clear" w:color="000000" w:fill="D6E7F0"/>
            <w:noWrap/>
            <w:vAlign w:val="center"/>
            <w:hideMark/>
          </w:tcPr>
          <w:p w14:paraId="1BC1CA30"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100</w:t>
            </w:r>
          </w:p>
        </w:tc>
        <w:tc>
          <w:tcPr>
            <w:tcW w:w="1551" w:type="dxa"/>
            <w:tcBorders>
              <w:top w:val="single" w:sz="4" w:space="0" w:color="ADD6EA"/>
              <w:left w:val="nil"/>
              <w:bottom w:val="single" w:sz="4" w:space="0" w:color="ADD6EA"/>
              <w:right w:val="nil"/>
            </w:tcBorders>
            <w:shd w:val="clear" w:color="000000" w:fill="D6E7F0"/>
            <w:noWrap/>
            <w:vAlign w:val="center"/>
            <w:hideMark/>
          </w:tcPr>
          <w:p w14:paraId="7476481C"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100</w:t>
            </w:r>
          </w:p>
        </w:tc>
        <w:tc>
          <w:tcPr>
            <w:tcW w:w="1551" w:type="dxa"/>
            <w:tcBorders>
              <w:top w:val="single" w:sz="4" w:space="0" w:color="ADD6EA"/>
              <w:left w:val="nil"/>
              <w:bottom w:val="single" w:sz="4" w:space="0" w:color="ADD6EA"/>
              <w:right w:val="nil"/>
            </w:tcBorders>
            <w:shd w:val="clear" w:color="000000" w:fill="D6E7F0"/>
            <w:noWrap/>
            <w:vAlign w:val="center"/>
            <w:hideMark/>
          </w:tcPr>
          <w:p w14:paraId="78B94E9B"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100</w:t>
            </w:r>
          </w:p>
        </w:tc>
        <w:tc>
          <w:tcPr>
            <w:tcW w:w="1551" w:type="dxa"/>
            <w:tcBorders>
              <w:top w:val="single" w:sz="4" w:space="0" w:color="ADD6EA"/>
              <w:left w:val="nil"/>
              <w:bottom w:val="single" w:sz="4" w:space="0" w:color="ADD6EA"/>
              <w:right w:val="nil"/>
            </w:tcBorders>
            <w:shd w:val="clear" w:color="000000" w:fill="D6E7F0"/>
            <w:noWrap/>
            <w:vAlign w:val="center"/>
            <w:hideMark/>
          </w:tcPr>
          <w:p w14:paraId="78099AFF"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100</w:t>
            </w:r>
          </w:p>
        </w:tc>
      </w:tr>
      <w:tr w:rsidR="00AA3946" w:rsidRPr="00AA3946" w14:paraId="32DF0973" w14:textId="77777777" w:rsidTr="00CA416E">
        <w:trPr>
          <w:trHeight w:val="318"/>
        </w:trPr>
        <w:tc>
          <w:tcPr>
            <w:tcW w:w="2552" w:type="dxa"/>
            <w:tcBorders>
              <w:top w:val="nil"/>
              <w:left w:val="nil"/>
              <w:bottom w:val="single" w:sz="4" w:space="0" w:color="ADD6EA"/>
              <w:right w:val="nil"/>
            </w:tcBorders>
            <w:shd w:val="clear" w:color="000000" w:fill="B6D5E4"/>
            <w:vAlign w:val="center"/>
            <w:hideMark/>
          </w:tcPr>
          <w:p w14:paraId="5449835E" w14:textId="77777777" w:rsidR="00AA3946" w:rsidRPr="00AA3946" w:rsidRDefault="00AA3946" w:rsidP="00CA416E">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Substitutability level</w:t>
            </w:r>
          </w:p>
        </w:tc>
        <w:tc>
          <w:tcPr>
            <w:tcW w:w="1737" w:type="dxa"/>
            <w:tcBorders>
              <w:top w:val="nil"/>
              <w:left w:val="nil"/>
              <w:bottom w:val="single" w:sz="4" w:space="0" w:color="ADD6EA"/>
              <w:right w:val="nil"/>
            </w:tcBorders>
            <w:shd w:val="clear" w:color="000000" w:fill="B6D5E4"/>
            <w:noWrap/>
            <w:vAlign w:val="center"/>
            <w:hideMark/>
          </w:tcPr>
          <w:p w14:paraId="23418C4F"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63</w:t>
            </w:r>
          </w:p>
        </w:tc>
        <w:tc>
          <w:tcPr>
            <w:tcW w:w="1551" w:type="dxa"/>
            <w:tcBorders>
              <w:top w:val="nil"/>
              <w:left w:val="nil"/>
              <w:bottom w:val="single" w:sz="4" w:space="0" w:color="ADD6EA"/>
              <w:right w:val="nil"/>
            </w:tcBorders>
            <w:shd w:val="clear" w:color="000000" w:fill="B6D5E4"/>
            <w:noWrap/>
            <w:vAlign w:val="center"/>
            <w:hideMark/>
          </w:tcPr>
          <w:p w14:paraId="24B08067"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62</w:t>
            </w:r>
          </w:p>
        </w:tc>
        <w:tc>
          <w:tcPr>
            <w:tcW w:w="1551" w:type="dxa"/>
            <w:tcBorders>
              <w:top w:val="nil"/>
              <w:left w:val="nil"/>
              <w:bottom w:val="single" w:sz="4" w:space="0" w:color="ADD6EA"/>
              <w:right w:val="nil"/>
            </w:tcBorders>
            <w:shd w:val="clear" w:color="000000" w:fill="B6D5E4"/>
            <w:noWrap/>
            <w:vAlign w:val="center"/>
            <w:hideMark/>
          </w:tcPr>
          <w:p w14:paraId="223AB0C2"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53</w:t>
            </w:r>
          </w:p>
        </w:tc>
        <w:tc>
          <w:tcPr>
            <w:tcW w:w="1551" w:type="dxa"/>
            <w:tcBorders>
              <w:top w:val="nil"/>
              <w:left w:val="nil"/>
              <w:bottom w:val="single" w:sz="4" w:space="0" w:color="ADD6EA"/>
              <w:right w:val="nil"/>
            </w:tcBorders>
            <w:shd w:val="clear" w:color="000000" w:fill="B6D5E4"/>
            <w:noWrap/>
            <w:vAlign w:val="center"/>
            <w:hideMark/>
          </w:tcPr>
          <w:p w14:paraId="409BC4F0" w14:textId="77777777" w:rsidR="00AA3946" w:rsidRPr="00AA3946" w:rsidRDefault="00AA3946" w:rsidP="00CA416E">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A3946">
              <w:rPr>
                <w:rFonts w:ascii="Open Sans Semibold" w:eastAsia="Times New Roman" w:hAnsi="Open Sans Semibold" w:cs="Open Sans Semibold"/>
                <w:color w:val="000000"/>
                <w:sz w:val="16"/>
                <w:szCs w:val="16"/>
                <w:lang w:eastAsia="en-AU"/>
              </w:rPr>
              <w:t>49</w:t>
            </w:r>
          </w:p>
        </w:tc>
      </w:tr>
    </w:tbl>
    <w:p w14:paraId="60454312" w14:textId="5D307C28" w:rsidR="004C42AC" w:rsidRDefault="00080E35" w:rsidP="00DF5687">
      <w:pPr>
        <w:pStyle w:val="CGC2025TableNote"/>
      </w:pPr>
      <w:r>
        <w:t xml:space="preserve">Source: </w:t>
      </w:r>
      <w:r w:rsidR="00F210D0">
        <w:t xml:space="preserve">Unpublished </w:t>
      </w:r>
      <w:r w:rsidR="00AD0439">
        <w:t xml:space="preserve">data, </w:t>
      </w:r>
      <w:r w:rsidR="009D5093">
        <w:t xml:space="preserve">Australian Institute of </w:t>
      </w:r>
      <w:proofErr w:type="gramStart"/>
      <w:r w:rsidR="009D5093">
        <w:t>Health</w:t>
      </w:r>
      <w:proofErr w:type="gramEnd"/>
      <w:r w:rsidR="009D5093">
        <w:t xml:space="preserve"> and Welfare.</w:t>
      </w:r>
    </w:p>
    <w:p w14:paraId="242463C4" w14:textId="683EA308" w:rsidR="00A21A2C" w:rsidRDefault="00A21A2C" w:rsidP="00A21A2C">
      <w:pPr>
        <w:pStyle w:val="CGC2025ParaNumbers"/>
      </w:pPr>
      <w:r>
        <w:t xml:space="preserve">The Commission </w:t>
      </w:r>
      <w:r w:rsidR="00CD54DE">
        <w:t xml:space="preserve">proposes </w:t>
      </w:r>
      <w:r>
        <w:t xml:space="preserve">to maintain the substitutability ranges for the individual health services that make up the community and public health component (see </w:t>
      </w:r>
      <w:r w:rsidR="00B81826">
        <w:t>Table 14</w:t>
      </w:r>
      <w:r>
        <w:t>).</w:t>
      </w:r>
    </w:p>
    <w:p w14:paraId="2314299A" w14:textId="770C8EA2" w:rsidR="00A21A2C" w:rsidRDefault="00A21A2C" w:rsidP="00A21A2C">
      <w:pPr>
        <w:pStyle w:val="CGC2025ParaNumbers"/>
      </w:pPr>
      <w:r>
        <w:t>The calculation of the substitutability level using 2019</w:t>
      </w:r>
      <w:r w:rsidR="00830489">
        <w:t>–</w:t>
      </w:r>
      <w:r>
        <w:t xml:space="preserve">20 expense weights are provided in </w:t>
      </w:r>
      <w:r w:rsidR="00B81826">
        <w:t>Table 14</w:t>
      </w:r>
      <w:r>
        <w:t>. Using the mid</w:t>
      </w:r>
      <w:r>
        <w:noBreakHyphen/>
        <w:t>point of substitutability ranges for each individual health service, the calculated value for the community and public health non</w:t>
      </w:r>
      <w:r>
        <w:noBreakHyphen/>
        <w:t xml:space="preserve">state sector substitutability level is 61.9%. </w:t>
      </w:r>
      <w:bookmarkStart w:id="76" w:name="_Hlk157513285"/>
      <w:r>
        <w:t>This is largely unchanged from the 2020 Review (62.5%). The Commission proposes to again round down the value to 60%.</w:t>
      </w:r>
      <w:bookmarkEnd w:id="76"/>
    </w:p>
    <w:p w14:paraId="43250656" w14:textId="14A74FA7" w:rsidR="001007DD" w:rsidRDefault="001D4321" w:rsidP="0008558D">
      <w:pPr>
        <w:pStyle w:val="CGC2025Caption"/>
        <w:keepNext/>
        <w:tabs>
          <w:tab w:val="left" w:pos="1134"/>
        </w:tabs>
      </w:pPr>
      <w:bookmarkStart w:id="77" w:name="_Ref153805926"/>
      <w:r>
        <w:lastRenderedPageBreak/>
        <w:t xml:space="preserve">Table </w:t>
      </w:r>
      <w:r>
        <w:fldChar w:fldCharType="begin"/>
      </w:r>
      <w:r>
        <w:instrText>SEQ Table \* ARABIC</w:instrText>
      </w:r>
      <w:r>
        <w:fldChar w:fldCharType="separate"/>
      </w:r>
      <w:r w:rsidR="00581B01">
        <w:rPr>
          <w:noProof/>
        </w:rPr>
        <w:t>14</w:t>
      </w:r>
      <w:r>
        <w:fldChar w:fldCharType="end"/>
      </w:r>
      <w:bookmarkEnd w:id="77"/>
      <w:r>
        <w:tab/>
      </w:r>
      <w:r w:rsidR="006C7E91">
        <w:t xml:space="preserve">Estimated substitutability level, </w:t>
      </w:r>
      <w:r w:rsidR="005201B5">
        <w:t xml:space="preserve">Community </w:t>
      </w:r>
      <w:r w:rsidR="00C5664E">
        <w:t xml:space="preserve">and public </w:t>
      </w:r>
      <w:r w:rsidR="005201B5">
        <w:t>health</w:t>
      </w:r>
      <w:r w:rsidR="00745AA2">
        <w:t xml:space="preserve">, 2025 </w:t>
      </w:r>
      <w:proofErr w:type="gramStart"/>
      <w:r w:rsidR="00745AA2">
        <w:t>Review</w:t>
      </w:r>
      <w:proofErr w:type="gramEnd"/>
    </w:p>
    <w:tbl>
      <w:tblPr>
        <w:tblW w:w="8942" w:type="dxa"/>
        <w:tblLook w:val="04A0" w:firstRow="1" w:lastRow="0" w:firstColumn="1" w:lastColumn="0" w:noHBand="0" w:noVBand="1"/>
      </w:tblPr>
      <w:tblGrid>
        <w:gridCol w:w="2867"/>
        <w:gridCol w:w="2025"/>
        <w:gridCol w:w="2025"/>
        <w:gridCol w:w="2025"/>
      </w:tblGrid>
      <w:tr w:rsidR="00DF20C5" w:rsidRPr="00DF20C5" w14:paraId="5027E026" w14:textId="77777777" w:rsidTr="0064077B">
        <w:trPr>
          <w:trHeight w:val="555"/>
        </w:trPr>
        <w:tc>
          <w:tcPr>
            <w:tcW w:w="2860" w:type="dxa"/>
            <w:tcBorders>
              <w:top w:val="nil"/>
              <w:left w:val="nil"/>
              <w:bottom w:val="nil"/>
              <w:right w:val="nil"/>
            </w:tcBorders>
            <w:shd w:val="clear" w:color="000000" w:fill="006991"/>
            <w:vAlign w:val="center"/>
            <w:hideMark/>
          </w:tcPr>
          <w:p w14:paraId="6250B42A" w14:textId="77777777" w:rsidR="00DF20C5" w:rsidRPr="004D54C4" w:rsidRDefault="00DF20C5" w:rsidP="00F36951">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D54C4">
              <w:rPr>
                <w:rFonts w:ascii="Open Sans Semibold" w:eastAsia="Times New Roman" w:hAnsi="Open Sans Semibold" w:cs="Open Sans Semibold"/>
                <w:color w:val="FFFFFF"/>
                <w:sz w:val="16"/>
                <w:szCs w:val="16"/>
                <w:lang w:eastAsia="en-AU"/>
              </w:rPr>
              <w:t>Group of services</w:t>
            </w:r>
          </w:p>
        </w:tc>
        <w:tc>
          <w:tcPr>
            <w:tcW w:w="2020" w:type="dxa"/>
            <w:tcBorders>
              <w:top w:val="nil"/>
              <w:left w:val="nil"/>
              <w:bottom w:val="nil"/>
              <w:right w:val="nil"/>
            </w:tcBorders>
            <w:shd w:val="clear" w:color="000000" w:fill="006991"/>
            <w:vAlign w:val="center"/>
            <w:hideMark/>
          </w:tcPr>
          <w:p w14:paraId="4D1CA066" w14:textId="77777777" w:rsidR="00DF20C5" w:rsidRPr="004D54C4" w:rsidRDefault="00DF20C5" w:rsidP="0064077B">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D54C4">
              <w:rPr>
                <w:rFonts w:ascii="Open Sans Semibold" w:eastAsia="Times New Roman" w:hAnsi="Open Sans Semibold" w:cs="Open Sans Semibold"/>
                <w:color w:val="FFFFFF"/>
                <w:sz w:val="16"/>
                <w:szCs w:val="16"/>
                <w:lang w:eastAsia="en-AU"/>
              </w:rPr>
              <w:t>Substitutability range</w:t>
            </w:r>
          </w:p>
        </w:tc>
        <w:tc>
          <w:tcPr>
            <w:tcW w:w="2020" w:type="dxa"/>
            <w:tcBorders>
              <w:top w:val="nil"/>
              <w:left w:val="nil"/>
              <w:bottom w:val="nil"/>
              <w:right w:val="nil"/>
            </w:tcBorders>
            <w:shd w:val="clear" w:color="000000" w:fill="006991"/>
            <w:vAlign w:val="center"/>
            <w:hideMark/>
          </w:tcPr>
          <w:p w14:paraId="5E424D88" w14:textId="3BB1F404" w:rsidR="00DF20C5" w:rsidRPr="004D54C4" w:rsidRDefault="00DF20C5" w:rsidP="00A21A2C">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D54C4">
              <w:rPr>
                <w:rFonts w:ascii="Open Sans Semibold" w:eastAsia="Times New Roman" w:hAnsi="Open Sans Semibold" w:cs="Open Sans Semibold"/>
                <w:color w:val="FFFFFF"/>
                <w:sz w:val="16"/>
                <w:szCs w:val="16"/>
                <w:lang w:eastAsia="en-AU"/>
              </w:rPr>
              <w:t>Share of expen</w:t>
            </w:r>
            <w:r w:rsidR="008B38B7" w:rsidRPr="004D54C4">
              <w:rPr>
                <w:rFonts w:ascii="Open Sans Semibold" w:eastAsia="Times New Roman" w:hAnsi="Open Sans Semibold" w:cs="Open Sans Semibold"/>
                <w:color w:val="FFFFFF"/>
                <w:sz w:val="16"/>
                <w:szCs w:val="16"/>
                <w:lang w:eastAsia="en-AU"/>
              </w:rPr>
              <w:t>s</w:t>
            </w:r>
            <w:r w:rsidRPr="004D54C4">
              <w:rPr>
                <w:rFonts w:ascii="Open Sans Semibold" w:eastAsia="Times New Roman" w:hAnsi="Open Sans Semibold" w:cs="Open Sans Semibold"/>
                <w:color w:val="FFFFFF"/>
                <w:sz w:val="16"/>
                <w:szCs w:val="16"/>
                <w:lang w:eastAsia="en-AU"/>
              </w:rPr>
              <w:t>e</w:t>
            </w:r>
            <w:r w:rsidR="008B38B7" w:rsidRPr="004D54C4">
              <w:rPr>
                <w:rFonts w:ascii="Open Sans Semibold" w:eastAsia="Times New Roman" w:hAnsi="Open Sans Semibold" w:cs="Open Sans Semibold"/>
                <w:color w:val="FFFFFF"/>
                <w:sz w:val="16"/>
                <w:szCs w:val="16"/>
                <w:lang w:eastAsia="en-AU"/>
              </w:rPr>
              <w:t>s</w:t>
            </w:r>
            <w:r w:rsidRPr="004D54C4">
              <w:rPr>
                <w:rFonts w:ascii="Open Sans Semibold" w:eastAsia="Times New Roman" w:hAnsi="Open Sans Semibold" w:cs="Open Sans Semibold"/>
                <w:color w:val="FFFFFF"/>
                <w:sz w:val="16"/>
                <w:szCs w:val="16"/>
                <w:lang w:eastAsia="en-AU"/>
              </w:rPr>
              <w:t xml:space="preserve"> </w:t>
            </w:r>
            <w:r w:rsidRPr="004D54C4">
              <w:rPr>
                <w:rFonts w:ascii="Open Sans Semibold" w:eastAsia="Times New Roman" w:hAnsi="Open Sans Semibold" w:cs="Open Sans Semibold"/>
                <w:color w:val="FFFFFF"/>
                <w:sz w:val="16"/>
                <w:szCs w:val="16"/>
                <w:lang w:eastAsia="en-AU"/>
              </w:rPr>
              <w:br/>
              <w:t>2019</w:t>
            </w:r>
            <w:r w:rsidR="00C1649C" w:rsidRPr="004D54C4">
              <w:rPr>
                <w:rFonts w:ascii="Open Sans Semibold" w:eastAsia="Times New Roman" w:hAnsi="Open Sans Semibold" w:cs="Open Sans Semibold"/>
                <w:color w:val="FFFFFF"/>
                <w:sz w:val="16"/>
                <w:szCs w:val="16"/>
                <w:lang w:eastAsia="en-AU"/>
              </w:rPr>
              <w:t>–</w:t>
            </w:r>
            <w:r w:rsidRPr="004D54C4">
              <w:rPr>
                <w:rFonts w:ascii="Open Sans Semibold" w:eastAsia="Times New Roman" w:hAnsi="Open Sans Semibold" w:cs="Open Sans Semibold"/>
                <w:color w:val="FFFFFF"/>
                <w:sz w:val="16"/>
                <w:szCs w:val="16"/>
                <w:lang w:eastAsia="en-AU"/>
              </w:rPr>
              <w:t>20</w:t>
            </w:r>
          </w:p>
        </w:tc>
        <w:tc>
          <w:tcPr>
            <w:tcW w:w="2020" w:type="dxa"/>
            <w:tcBorders>
              <w:top w:val="nil"/>
              <w:left w:val="nil"/>
              <w:bottom w:val="nil"/>
              <w:right w:val="nil"/>
            </w:tcBorders>
            <w:shd w:val="clear" w:color="000000" w:fill="006991"/>
            <w:vAlign w:val="center"/>
            <w:hideMark/>
          </w:tcPr>
          <w:p w14:paraId="30A54A80" w14:textId="776EFA7D" w:rsidR="00DF20C5" w:rsidRPr="004D54C4" w:rsidRDefault="00DF20C5" w:rsidP="00A21A2C">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D54C4">
              <w:rPr>
                <w:rFonts w:ascii="Open Sans Semibold" w:eastAsia="Times New Roman" w:hAnsi="Open Sans Semibold" w:cs="Open Sans Semibold"/>
                <w:color w:val="FFFFFF"/>
                <w:sz w:val="16"/>
                <w:szCs w:val="16"/>
                <w:lang w:eastAsia="en-AU"/>
              </w:rPr>
              <w:t>Expen</w:t>
            </w:r>
            <w:r w:rsidR="008B38B7" w:rsidRPr="004D54C4">
              <w:rPr>
                <w:rFonts w:ascii="Open Sans Semibold" w:eastAsia="Times New Roman" w:hAnsi="Open Sans Semibold" w:cs="Open Sans Semibold"/>
                <w:color w:val="FFFFFF"/>
                <w:sz w:val="16"/>
                <w:szCs w:val="16"/>
                <w:lang w:eastAsia="en-AU"/>
              </w:rPr>
              <w:t>s</w:t>
            </w:r>
            <w:r w:rsidRPr="004D54C4">
              <w:rPr>
                <w:rFonts w:ascii="Open Sans Semibold" w:eastAsia="Times New Roman" w:hAnsi="Open Sans Semibold" w:cs="Open Sans Semibold"/>
                <w:color w:val="FFFFFF"/>
                <w:sz w:val="16"/>
                <w:szCs w:val="16"/>
                <w:lang w:eastAsia="en-AU"/>
              </w:rPr>
              <w:t>e weighted substitutability</w:t>
            </w:r>
          </w:p>
        </w:tc>
      </w:tr>
      <w:tr w:rsidR="00DF20C5" w:rsidRPr="00DF20C5" w14:paraId="4A364045" w14:textId="77777777" w:rsidTr="00E728E5">
        <w:trPr>
          <w:trHeight w:val="259"/>
        </w:trPr>
        <w:tc>
          <w:tcPr>
            <w:tcW w:w="2860" w:type="dxa"/>
            <w:tcBorders>
              <w:top w:val="single" w:sz="4" w:space="0" w:color="ADD6EA"/>
              <w:left w:val="nil"/>
              <w:bottom w:val="nil"/>
              <w:right w:val="nil"/>
            </w:tcBorders>
            <w:shd w:val="clear" w:color="000000" w:fill="B6D5E4"/>
            <w:vAlign w:val="center"/>
            <w:hideMark/>
          </w:tcPr>
          <w:p w14:paraId="24CEEEDE" w14:textId="77777777" w:rsidR="00DF20C5" w:rsidRPr="00DF20C5" w:rsidRDefault="00DF20C5" w:rsidP="00F36951">
            <w:pPr>
              <w:keepNext/>
              <w:keepLines/>
              <w:tabs>
                <w:tab w:val="clear" w:pos="567"/>
              </w:tabs>
              <w:spacing w:before="0" w:line="240" w:lineRule="auto"/>
              <w:rPr>
                <w:rFonts w:ascii="Open Sans Semibold" w:eastAsia="Times New Roman" w:hAnsi="Open Sans Semibold" w:cs="Open Sans Semibold"/>
                <w:b/>
                <w:bCs/>
                <w:color w:val="000000"/>
                <w:sz w:val="16"/>
                <w:szCs w:val="16"/>
                <w:lang w:eastAsia="en-AU"/>
              </w:rPr>
            </w:pPr>
            <w:r w:rsidRPr="00DF20C5">
              <w:rPr>
                <w:rFonts w:ascii="Open Sans Semibold" w:eastAsia="Times New Roman" w:hAnsi="Open Sans Semibold" w:cs="Open Sans Semibold"/>
                <w:b/>
                <w:bCs/>
                <w:color w:val="000000"/>
                <w:sz w:val="16"/>
                <w:szCs w:val="16"/>
                <w:lang w:eastAsia="en-AU"/>
              </w:rPr>
              <w:t> </w:t>
            </w:r>
          </w:p>
        </w:tc>
        <w:tc>
          <w:tcPr>
            <w:tcW w:w="2020" w:type="dxa"/>
            <w:tcBorders>
              <w:top w:val="single" w:sz="4" w:space="0" w:color="ADD6EA"/>
              <w:left w:val="nil"/>
              <w:bottom w:val="nil"/>
              <w:right w:val="nil"/>
            </w:tcBorders>
            <w:shd w:val="clear" w:color="000000" w:fill="B6D5E4"/>
            <w:noWrap/>
            <w:vAlign w:val="center"/>
            <w:hideMark/>
          </w:tcPr>
          <w:p w14:paraId="31AE850E" w14:textId="77777777" w:rsidR="00DF20C5" w:rsidRPr="00DF20C5" w:rsidRDefault="00DF20C5" w:rsidP="00E728E5">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w:t>
            </w:r>
          </w:p>
        </w:tc>
        <w:tc>
          <w:tcPr>
            <w:tcW w:w="2020" w:type="dxa"/>
            <w:tcBorders>
              <w:top w:val="nil"/>
              <w:left w:val="nil"/>
              <w:bottom w:val="nil"/>
              <w:right w:val="nil"/>
            </w:tcBorders>
            <w:shd w:val="clear" w:color="000000" w:fill="B6D5E4"/>
            <w:noWrap/>
            <w:vAlign w:val="center"/>
            <w:hideMark/>
          </w:tcPr>
          <w:p w14:paraId="0F332BBA" w14:textId="77777777" w:rsidR="00DF20C5" w:rsidRPr="00DF20C5" w:rsidRDefault="00DF20C5" w:rsidP="00E728E5">
            <w:pPr>
              <w:keepNext/>
              <w:keepLines/>
              <w:tabs>
                <w:tab w:val="clear" w:pos="567"/>
              </w:tabs>
              <w:spacing w:before="0" w:line="240" w:lineRule="auto"/>
              <w:jc w:val="right"/>
              <w:rPr>
                <w:rFonts w:ascii="Calibri" w:eastAsia="Times New Roman" w:hAnsi="Calibri" w:cs="Calibri"/>
                <w:b/>
                <w:bCs/>
                <w:color w:val="000000"/>
                <w:sz w:val="16"/>
                <w:szCs w:val="16"/>
                <w:lang w:eastAsia="en-AU"/>
              </w:rPr>
            </w:pPr>
            <w:r w:rsidRPr="00DF20C5">
              <w:rPr>
                <w:rFonts w:ascii="Calibri" w:eastAsia="Times New Roman" w:hAnsi="Calibri" w:cs="Calibri"/>
                <w:b/>
                <w:bCs/>
                <w:color w:val="000000"/>
                <w:sz w:val="16"/>
                <w:szCs w:val="16"/>
                <w:lang w:eastAsia="en-AU"/>
              </w:rPr>
              <w:t>%</w:t>
            </w:r>
          </w:p>
        </w:tc>
        <w:tc>
          <w:tcPr>
            <w:tcW w:w="2020" w:type="dxa"/>
            <w:tcBorders>
              <w:top w:val="nil"/>
              <w:left w:val="nil"/>
              <w:bottom w:val="nil"/>
              <w:right w:val="nil"/>
            </w:tcBorders>
            <w:shd w:val="clear" w:color="000000" w:fill="B6D5E4"/>
            <w:noWrap/>
            <w:vAlign w:val="center"/>
            <w:hideMark/>
          </w:tcPr>
          <w:p w14:paraId="3921368B" w14:textId="77777777" w:rsidR="00DF20C5" w:rsidRPr="00DF20C5" w:rsidRDefault="00DF20C5" w:rsidP="00E728E5">
            <w:pPr>
              <w:keepNext/>
              <w:keepLines/>
              <w:tabs>
                <w:tab w:val="clear" w:pos="567"/>
              </w:tabs>
              <w:spacing w:before="0" w:line="240" w:lineRule="auto"/>
              <w:jc w:val="right"/>
              <w:rPr>
                <w:rFonts w:ascii="Calibri" w:eastAsia="Times New Roman" w:hAnsi="Calibri" w:cs="Calibri"/>
                <w:b/>
                <w:bCs/>
                <w:color w:val="000000"/>
                <w:sz w:val="16"/>
                <w:szCs w:val="16"/>
                <w:lang w:eastAsia="en-AU"/>
              </w:rPr>
            </w:pPr>
            <w:r w:rsidRPr="00DF20C5">
              <w:rPr>
                <w:rFonts w:ascii="Calibri" w:eastAsia="Times New Roman" w:hAnsi="Calibri" w:cs="Calibri"/>
                <w:b/>
                <w:bCs/>
                <w:color w:val="000000"/>
                <w:sz w:val="16"/>
                <w:szCs w:val="16"/>
                <w:lang w:eastAsia="en-AU"/>
              </w:rPr>
              <w:t>%</w:t>
            </w:r>
          </w:p>
        </w:tc>
      </w:tr>
      <w:tr w:rsidR="00DF20C5" w:rsidRPr="00DF20C5" w14:paraId="21D6948F" w14:textId="77777777" w:rsidTr="00E728E5">
        <w:trPr>
          <w:trHeight w:val="259"/>
        </w:trPr>
        <w:tc>
          <w:tcPr>
            <w:tcW w:w="2860" w:type="dxa"/>
            <w:tcBorders>
              <w:top w:val="single" w:sz="4" w:space="0" w:color="ADD6EA"/>
              <w:left w:val="nil"/>
              <w:bottom w:val="single" w:sz="4" w:space="0" w:color="ADD6EA"/>
              <w:right w:val="nil"/>
            </w:tcBorders>
            <w:shd w:val="clear" w:color="000000" w:fill="D6E7F0"/>
            <w:vAlign w:val="center"/>
            <w:hideMark/>
          </w:tcPr>
          <w:p w14:paraId="1E4C85BD" w14:textId="77777777" w:rsidR="00DF20C5" w:rsidRPr="00DF20C5" w:rsidRDefault="00DF20C5" w:rsidP="00E728E5">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Community health services</w:t>
            </w:r>
          </w:p>
        </w:tc>
        <w:tc>
          <w:tcPr>
            <w:tcW w:w="2020" w:type="dxa"/>
            <w:tcBorders>
              <w:top w:val="single" w:sz="4" w:space="0" w:color="ADD6EA"/>
              <w:left w:val="nil"/>
              <w:bottom w:val="single" w:sz="4" w:space="0" w:color="ADD6EA"/>
              <w:right w:val="nil"/>
            </w:tcBorders>
            <w:shd w:val="clear" w:color="000000" w:fill="D6E7F0"/>
            <w:noWrap/>
            <w:vAlign w:val="center"/>
            <w:hideMark/>
          </w:tcPr>
          <w:p w14:paraId="78B361FF" w14:textId="77777777" w:rsidR="00DF20C5" w:rsidRPr="00DF20C5" w:rsidRDefault="00DF20C5" w:rsidP="00E728E5">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 </w:t>
            </w:r>
          </w:p>
        </w:tc>
        <w:tc>
          <w:tcPr>
            <w:tcW w:w="2020" w:type="dxa"/>
            <w:tcBorders>
              <w:top w:val="single" w:sz="4" w:space="0" w:color="ADD6EA"/>
              <w:left w:val="nil"/>
              <w:bottom w:val="single" w:sz="4" w:space="0" w:color="ADD6EA"/>
              <w:right w:val="nil"/>
            </w:tcBorders>
            <w:shd w:val="clear" w:color="000000" w:fill="D6E7F0"/>
            <w:noWrap/>
            <w:vAlign w:val="center"/>
            <w:hideMark/>
          </w:tcPr>
          <w:p w14:paraId="14C378A3" w14:textId="77777777" w:rsidR="00DF20C5" w:rsidRPr="00DF20C5" w:rsidRDefault="00DF20C5" w:rsidP="00E728E5">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 </w:t>
            </w:r>
          </w:p>
        </w:tc>
        <w:tc>
          <w:tcPr>
            <w:tcW w:w="2020" w:type="dxa"/>
            <w:tcBorders>
              <w:top w:val="single" w:sz="4" w:space="0" w:color="ADD6EA"/>
              <w:left w:val="nil"/>
              <w:bottom w:val="single" w:sz="4" w:space="0" w:color="ADD6EA"/>
              <w:right w:val="nil"/>
            </w:tcBorders>
            <w:shd w:val="clear" w:color="000000" w:fill="D6E7F0"/>
            <w:noWrap/>
            <w:vAlign w:val="center"/>
            <w:hideMark/>
          </w:tcPr>
          <w:p w14:paraId="29F7C894" w14:textId="77777777" w:rsidR="00DF20C5" w:rsidRPr="00DF20C5" w:rsidRDefault="00DF20C5" w:rsidP="00E728E5">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 </w:t>
            </w:r>
          </w:p>
        </w:tc>
      </w:tr>
      <w:tr w:rsidR="00DF20C5" w:rsidRPr="00DF20C5" w14:paraId="783AE225" w14:textId="77777777" w:rsidTr="00E728E5">
        <w:trPr>
          <w:trHeight w:val="312"/>
        </w:trPr>
        <w:tc>
          <w:tcPr>
            <w:tcW w:w="2860" w:type="dxa"/>
            <w:tcBorders>
              <w:top w:val="nil"/>
              <w:left w:val="nil"/>
              <w:bottom w:val="single" w:sz="4" w:space="0" w:color="ADD6EA"/>
              <w:right w:val="nil"/>
            </w:tcBorders>
            <w:shd w:val="clear" w:color="auto" w:fill="auto"/>
            <w:noWrap/>
            <w:vAlign w:val="center"/>
            <w:hideMark/>
          </w:tcPr>
          <w:p w14:paraId="400DEDAB"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 xml:space="preserve">Public dental services </w:t>
            </w:r>
          </w:p>
        </w:tc>
        <w:tc>
          <w:tcPr>
            <w:tcW w:w="2020" w:type="dxa"/>
            <w:tcBorders>
              <w:top w:val="nil"/>
              <w:left w:val="nil"/>
              <w:bottom w:val="single" w:sz="4" w:space="0" w:color="ADD6EA"/>
              <w:right w:val="nil"/>
            </w:tcBorders>
            <w:shd w:val="clear" w:color="auto" w:fill="auto"/>
            <w:noWrap/>
            <w:vAlign w:val="center"/>
            <w:hideMark/>
          </w:tcPr>
          <w:p w14:paraId="71638A0A" w14:textId="01CA039F"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Low (21</w:t>
            </w:r>
            <w:r w:rsidR="002B4007">
              <w:rPr>
                <w:rFonts w:eastAsia="Times New Roman" w:cs="Open Sans Light"/>
                <w:color w:val="000000"/>
                <w:sz w:val="16"/>
                <w:szCs w:val="16"/>
                <w:lang w:eastAsia="en-AU"/>
              </w:rPr>
              <w:t>–</w:t>
            </w:r>
            <w:r w:rsidRPr="00DF20C5">
              <w:rPr>
                <w:rFonts w:eastAsia="Times New Roman" w:cs="Open Sans Light"/>
                <w:color w:val="000000"/>
                <w:sz w:val="16"/>
                <w:szCs w:val="16"/>
                <w:lang w:eastAsia="en-AU"/>
              </w:rPr>
              <w:t>40)</w:t>
            </w:r>
          </w:p>
        </w:tc>
        <w:tc>
          <w:tcPr>
            <w:tcW w:w="2020" w:type="dxa"/>
            <w:tcBorders>
              <w:top w:val="nil"/>
              <w:left w:val="nil"/>
              <w:bottom w:val="single" w:sz="4" w:space="0" w:color="ADD6EA"/>
              <w:right w:val="nil"/>
            </w:tcBorders>
            <w:shd w:val="clear" w:color="auto" w:fill="auto"/>
            <w:noWrap/>
            <w:vAlign w:val="center"/>
            <w:hideMark/>
          </w:tcPr>
          <w:p w14:paraId="12B3A86F" w14:textId="77777777" w:rsidR="00DF20C5" w:rsidRPr="00DF20C5" w:rsidRDefault="00DF20C5" w:rsidP="00E728E5">
            <w:pPr>
              <w:keepNext/>
              <w:keepLines/>
              <w:tabs>
                <w:tab w:val="clear" w:pos="567"/>
              </w:tabs>
              <w:spacing w:before="0" w:line="240" w:lineRule="auto"/>
              <w:jc w:val="right"/>
              <w:rPr>
                <w:rFonts w:eastAsia="Times New Roman" w:cs="Open Sans Light"/>
                <w:color w:val="0D0D0D"/>
                <w:sz w:val="16"/>
                <w:szCs w:val="16"/>
                <w:lang w:eastAsia="en-AU"/>
              </w:rPr>
            </w:pPr>
            <w:r w:rsidRPr="00DF20C5">
              <w:rPr>
                <w:rFonts w:eastAsia="Times New Roman" w:cs="Open Sans Light"/>
                <w:color w:val="0D0D0D"/>
                <w:sz w:val="16"/>
                <w:szCs w:val="16"/>
                <w:lang w:eastAsia="en-AU"/>
              </w:rPr>
              <w:t>3</w:t>
            </w:r>
          </w:p>
        </w:tc>
        <w:tc>
          <w:tcPr>
            <w:tcW w:w="2020" w:type="dxa"/>
            <w:tcBorders>
              <w:top w:val="nil"/>
              <w:left w:val="nil"/>
              <w:bottom w:val="single" w:sz="4" w:space="0" w:color="ADD6EA"/>
              <w:right w:val="nil"/>
            </w:tcBorders>
            <w:shd w:val="clear" w:color="auto" w:fill="auto"/>
            <w:noWrap/>
            <w:vAlign w:val="center"/>
            <w:hideMark/>
          </w:tcPr>
          <w:p w14:paraId="1151551D" w14:textId="77777777" w:rsidR="00DF20C5" w:rsidRPr="00DF20C5" w:rsidRDefault="00DF20C5" w:rsidP="00E728E5">
            <w:pPr>
              <w:keepNext/>
              <w:keepLines/>
              <w:tabs>
                <w:tab w:val="clear" w:pos="567"/>
              </w:tabs>
              <w:spacing w:before="0" w:line="240" w:lineRule="auto"/>
              <w:jc w:val="right"/>
              <w:rPr>
                <w:rFonts w:eastAsia="Times New Roman" w:cs="Open Sans Light"/>
                <w:color w:val="000000"/>
                <w:sz w:val="16"/>
                <w:szCs w:val="16"/>
                <w:lang w:eastAsia="en-AU"/>
              </w:rPr>
            </w:pPr>
            <w:r w:rsidRPr="00DF20C5">
              <w:rPr>
                <w:rFonts w:eastAsia="Times New Roman" w:cs="Open Sans Light"/>
                <w:color w:val="000000"/>
                <w:sz w:val="16"/>
                <w:szCs w:val="16"/>
                <w:lang w:eastAsia="en-AU"/>
              </w:rPr>
              <w:t>0.9</w:t>
            </w:r>
          </w:p>
        </w:tc>
      </w:tr>
      <w:tr w:rsidR="00DF20C5" w:rsidRPr="00DF20C5" w14:paraId="4E61FF8D" w14:textId="77777777" w:rsidTr="00E728E5">
        <w:trPr>
          <w:trHeight w:val="312"/>
        </w:trPr>
        <w:tc>
          <w:tcPr>
            <w:tcW w:w="2860" w:type="dxa"/>
            <w:tcBorders>
              <w:top w:val="nil"/>
              <w:left w:val="nil"/>
              <w:bottom w:val="single" w:sz="4" w:space="0" w:color="ADD6EA"/>
              <w:right w:val="nil"/>
            </w:tcBorders>
            <w:shd w:val="clear" w:color="auto" w:fill="auto"/>
            <w:noWrap/>
            <w:vAlign w:val="center"/>
            <w:hideMark/>
          </w:tcPr>
          <w:p w14:paraId="06029085"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Alcohol and other drug services</w:t>
            </w:r>
          </w:p>
        </w:tc>
        <w:tc>
          <w:tcPr>
            <w:tcW w:w="2020" w:type="dxa"/>
            <w:tcBorders>
              <w:top w:val="nil"/>
              <w:left w:val="nil"/>
              <w:bottom w:val="single" w:sz="4" w:space="0" w:color="ADD6EA"/>
              <w:right w:val="nil"/>
            </w:tcBorders>
            <w:shd w:val="clear" w:color="auto" w:fill="auto"/>
            <w:noWrap/>
            <w:vAlign w:val="center"/>
            <w:hideMark/>
          </w:tcPr>
          <w:p w14:paraId="2B6EE129" w14:textId="3668BE3E"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Medium (41</w:t>
            </w:r>
            <w:r w:rsidR="002B4007">
              <w:rPr>
                <w:rFonts w:eastAsia="Times New Roman" w:cs="Open Sans Light"/>
                <w:color w:val="000000"/>
                <w:sz w:val="16"/>
                <w:szCs w:val="16"/>
                <w:lang w:eastAsia="en-AU"/>
              </w:rPr>
              <w:t>–</w:t>
            </w:r>
            <w:r w:rsidRPr="00DF20C5">
              <w:rPr>
                <w:rFonts w:eastAsia="Times New Roman" w:cs="Open Sans Light"/>
                <w:color w:val="000000"/>
                <w:sz w:val="16"/>
                <w:szCs w:val="16"/>
                <w:lang w:eastAsia="en-AU"/>
              </w:rPr>
              <w:t>60)</w:t>
            </w:r>
          </w:p>
        </w:tc>
        <w:tc>
          <w:tcPr>
            <w:tcW w:w="2020" w:type="dxa"/>
            <w:tcBorders>
              <w:top w:val="nil"/>
              <w:left w:val="nil"/>
              <w:bottom w:val="single" w:sz="4" w:space="0" w:color="ADD6EA"/>
              <w:right w:val="nil"/>
            </w:tcBorders>
            <w:shd w:val="clear" w:color="auto" w:fill="auto"/>
            <w:noWrap/>
            <w:vAlign w:val="center"/>
            <w:hideMark/>
          </w:tcPr>
          <w:p w14:paraId="57C0A721" w14:textId="77777777" w:rsidR="00DF20C5" w:rsidRPr="00DF20C5" w:rsidRDefault="00DF20C5" w:rsidP="00E728E5">
            <w:pPr>
              <w:keepNext/>
              <w:keepLines/>
              <w:tabs>
                <w:tab w:val="clear" w:pos="567"/>
              </w:tabs>
              <w:spacing w:before="0" w:line="240" w:lineRule="auto"/>
              <w:jc w:val="right"/>
              <w:rPr>
                <w:rFonts w:eastAsia="Times New Roman" w:cs="Open Sans Light"/>
                <w:color w:val="0D0D0D"/>
                <w:sz w:val="16"/>
                <w:szCs w:val="16"/>
                <w:lang w:eastAsia="en-AU"/>
              </w:rPr>
            </w:pPr>
            <w:r w:rsidRPr="00DF20C5">
              <w:rPr>
                <w:rFonts w:eastAsia="Times New Roman" w:cs="Open Sans Light"/>
                <w:color w:val="0D0D0D"/>
                <w:sz w:val="16"/>
                <w:szCs w:val="16"/>
                <w:lang w:eastAsia="en-AU"/>
              </w:rPr>
              <w:t>3</w:t>
            </w:r>
          </w:p>
        </w:tc>
        <w:tc>
          <w:tcPr>
            <w:tcW w:w="2020" w:type="dxa"/>
            <w:tcBorders>
              <w:top w:val="nil"/>
              <w:left w:val="nil"/>
              <w:bottom w:val="single" w:sz="4" w:space="0" w:color="ADD6EA"/>
              <w:right w:val="nil"/>
            </w:tcBorders>
            <w:shd w:val="clear" w:color="auto" w:fill="auto"/>
            <w:noWrap/>
            <w:vAlign w:val="center"/>
            <w:hideMark/>
          </w:tcPr>
          <w:p w14:paraId="14D87089" w14:textId="77777777" w:rsidR="00DF20C5" w:rsidRPr="00DF20C5" w:rsidRDefault="00DF20C5" w:rsidP="00E728E5">
            <w:pPr>
              <w:keepNext/>
              <w:keepLines/>
              <w:tabs>
                <w:tab w:val="clear" w:pos="567"/>
              </w:tabs>
              <w:spacing w:before="0" w:line="240" w:lineRule="auto"/>
              <w:jc w:val="right"/>
              <w:rPr>
                <w:rFonts w:eastAsia="Times New Roman" w:cs="Open Sans Light"/>
                <w:color w:val="000000"/>
                <w:sz w:val="16"/>
                <w:szCs w:val="16"/>
                <w:lang w:eastAsia="en-AU"/>
              </w:rPr>
            </w:pPr>
            <w:r w:rsidRPr="00DF20C5">
              <w:rPr>
                <w:rFonts w:eastAsia="Times New Roman" w:cs="Open Sans Light"/>
                <w:color w:val="000000"/>
                <w:sz w:val="16"/>
                <w:szCs w:val="16"/>
                <w:lang w:eastAsia="en-AU"/>
              </w:rPr>
              <w:t>1.5</w:t>
            </w:r>
          </w:p>
        </w:tc>
      </w:tr>
      <w:tr w:rsidR="00DF20C5" w:rsidRPr="00DF20C5" w14:paraId="5ED7D5F9" w14:textId="77777777" w:rsidTr="00E728E5">
        <w:trPr>
          <w:trHeight w:val="312"/>
        </w:trPr>
        <w:tc>
          <w:tcPr>
            <w:tcW w:w="2860" w:type="dxa"/>
            <w:tcBorders>
              <w:top w:val="nil"/>
              <w:left w:val="nil"/>
              <w:bottom w:val="single" w:sz="4" w:space="0" w:color="ADD6EA"/>
              <w:right w:val="nil"/>
            </w:tcBorders>
            <w:shd w:val="clear" w:color="auto" w:fill="auto"/>
            <w:noWrap/>
            <w:vAlign w:val="center"/>
            <w:hideMark/>
          </w:tcPr>
          <w:p w14:paraId="20959E83"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Community mental health services</w:t>
            </w:r>
          </w:p>
        </w:tc>
        <w:tc>
          <w:tcPr>
            <w:tcW w:w="2020" w:type="dxa"/>
            <w:tcBorders>
              <w:top w:val="nil"/>
              <w:left w:val="nil"/>
              <w:bottom w:val="single" w:sz="4" w:space="0" w:color="ADD6EA"/>
              <w:right w:val="nil"/>
            </w:tcBorders>
            <w:shd w:val="clear" w:color="auto" w:fill="auto"/>
            <w:noWrap/>
            <w:vAlign w:val="center"/>
            <w:hideMark/>
          </w:tcPr>
          <w:p w14:paraId="26EEDCB6" w14:textId="7BDE738D"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Low (21</w:t>
            </w:r>
            <w:r w:rsidR="002B4007">
              <w:rPr>
                <w:rFonts w:eastAsia="Times New Roman" w:cs="Open Sans Light"/>
                <w:color w:val="000000"/>
                <w:sz w:val="16"/>
                <w:szCs w:val="16"/>
                <w:lang w:eastAsia="en-AU"/>
              </w:rPr>
              <w:t>–</w:t>
            </w:r>
            <w:r w:rsidRPr="00DF20C5">
              <w:rPr>
                <w:rFonts w:eastAsia="Times New Roman" w:cs="Open Sans Light"/>
                <w:color w:val="000000"/>
                <w:sz w:val="16"/>
                <w:szCs w:val="16"/>
                <w:lang w:eastAsia="en-AU"/>
              </w:rPr>
              <w:t>40)</w:t>
            </w:r>
          </w:p>
        </w:tc>
        <w:tc>
          <w:tcPr>
            <w:tcW w:w="2020" w:type="dxa"/>
            <w:tcBorders>
              <w:top w:val="nil"/>
              <w:left w:val="nil"/>
              <w:bottom w:val="single" w:sz="4" w:space="0" w:color="ADD6EA"/>
              <w:right w:val="nil"/>
            </w:tcBorders>
            <w:shd w:val="clear" w:color="auto" w:fill="auto"/>
            <w:noWrap/>
            <w:vAlign w:val="center"/>
            <w:hideMark/>
          </w:tcPr>
          <w:p w14:paraId="3495F2C8" w14:textId="77777777" w:rsidR="00DF20C5" w:rsidRPr="00DF20C5" w:rsidRDefault="00DF20C5" w:rsidP="00E728E5">
            <w:pPr>
              <w:keepNext/>
              <w:keepLines/>
              <w:tabs>
                <w:tab w:val="clear" w:pos="567"/>
              </w:tabs>
              <w:spacing w:before="0" w:line="240" w:lineRule="auto"/>
              <w:jc w:val="right"/>
              <w:rPr>
                <w:rFonts w:eastAsia="Times New Roman" w:cs="Open Sans Light"/>
                <w:color w:val="0D0D0D"/>
                <w:sz w:val="16"/>
                <w:szCs w:val="16"/>
                <w:lang w:eastAsia="en-AU"/>
              </w:rPr>
            </w:pPr>
            <w:r w:rsidRPr="00DF20C5">
              <w:rPr>
                <w:rFonts w:eastAsia="Times New Roman" w:cs="Open Sans Light"/>
                <w:color w:val="0D0D0D"/>
                <w:sz w:val="16"/>
                <w:szCs w:val="16"/>
                <w:lang w:eastAsia="en-AU"/>
              </w:rPr>
              <w:t>18</w:t>
            </w:r>
          </w:p>
        </w:tc>
        <w:tc>
          <w:tcPr>
            <w:tcW w:w="2020" w:type="dxa"/>
            <w:tcBorders>
              <w:top w:val="nil"/>
              <w:left w:val="nil"/>
              <w:bottom w:val="single" w:sz="4" w:space="0" w:color="ADD6EA"/>
              <w:right w:val="nil"/>
            </w:tcBorders>
            <w:shd w:val="clear" w:color="auto" w:fill="auto"/>
            <w:noWrap/>
            <w:vAlign w:val="center"/>
            <w:hideMark/>
          </w:tcPr>
          <w:p w14:paraId="778FB320" w14:textId="77777777" w:rsidR="00DF20C5" w:rsidRPr="00DF20C5" w:rsidRDefault="00DF20C5" w:rsidP="00E728E5">
            <w:pPr>
              <w:keepNext/>
              <w:keepLines/>
              <w:tabs>
                <w:tab w:val="clear" w:pos="567"/>
              </w:tabs>
              <w:spacing w:before="0" w:line="240" w:lineRule="auto"/>
              <w:jc w:val="right"/>
              <w:rPr>
                <w:rFonts w:eastAsia="Times New Roman" w:cs="Open Sans Light"/>
                <w:color w:val="000000"/>
                <w:sz w:val="16"/>
                <w:szCs w:val="16"/>
                <w:lang w:eastAsia="en-AU"/>
              </w:rPr>
            </w:pPr>
            <w:r w:rsidRPr="00DF20C5">
              <w:rPr>
                <w:rFonts w:eastAsia="Times New Roman" w:cs="Open Sans Light"/>
                <w:color w:val="000000"/>
                <w:sz w:val="16"/>
                <w:szCs w:val="16"/>
                <w:lang w:eastAsia="en-AU"/>
              </w:rPr>
              <w:t>5.4</w:t>
            </w:r>
          </w:p>
        </w:tc>
      </w:tr>
      <w:tr w:rsidR="00DF20C5" w:rsidRPr="00DF20C5" w14:paraId="317DA4DC" w14:textId="77777777" w:rsidTr="00E728E5">
        <w:trPr>
          <w:trHeight w:val="312"/>
        </w:trPr>
        <w:tc>
          <w:tcPr>
            <w:tcW w:w="2860" w:type="dxa"/>
            <w:tcBorders>
              <w:top w:val="nil"/>
              <w:left w:val="nil"/>
              <w:bottom w:val="nil"/>
              <w:right w:val="nil"/>
            </w:tcBorders>
            <w:shd w:val="clear" w:color="auto" w:fill="auto"/>
            <w:noWrap/>
            <w:vAlign w:val="center"/>
            <w:hideMark/>
          </w:tcPr>
          <w:p w14:paraId="19389B55"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Other community health services</w:t>
            </w:r>
          </w:p>
        </w:tc>
        <w:tc>
          <w:tcPr>
            <w:tcW w:w="2020" w:type="dxa"/>
            <w:tcBorders>
              <w:top w:val="nil"/>
              <w:left w:val="nil"/>
              <w:bottom w:val="nil"/>
              <w:right w:val="nil"/>
            </w:tcBorders>
            <w:shd w:val="clear" w:color="auto" w:fill="auto"/>
            <w:noWrap/>
            <w:vAlign w:val="center"/>
            <w:hideMark/>
          </w:tcPr>
          <w:p w14:paraId="2BABD89B" w14:textId="6C115C75"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Very high (81</w:t>
            </w:r>
            <w:r w:rsidR="002B4007">
              <w:rPr>
                <w:rFonts w:eastAsia="Times New Roman" w:cs="Open Sans Light"/>
                <w:color w:val="000000"/>
                <w:sz w:val="16"/>
                <w:szCs w:val="16"/>
                <w:lang w:eastAsia="en-AU"/>
              </w:rPr>
              <w:t>–</w:t>
            </w:r>
            <w:r w:rsidRPr="00DF20C5">
              <w:rPr>
                <w:rFonts w:eastAsia="Times New Roman" w:cs="Open Sans Light"/>
                <w:color w:val="000000"/>
                <w:sz w:val="16"/>
                <w:szCs w:val="16"/>
                <w:lang w:eastAsia="en-AU"/>
              </w:rPr>
              <w:t>100)</w:t>
            </w:r>
          </w:p>
        </w:tc>
        <w:tc>
          <w:tcPr>
            <w:tcW w:w="2020" w:type="dxa"/>
            <w:tcBorders>
              <w:top w:val="nil"/>
              <w:left w:val="nil"/>
              <w:bottom w:val="nil"/>
              <w:right w:val="nil"/>
            </w:tcBorders>
            <w:shd w:val="clear" w:color="auto" w:fill="auto"/>
            <w:noWrap/>
            <w:vAlign w:val="center"/>
            <w:hideMark/>
          </w:tcPr>
          <w:p w14:paraId="7AA18C25" w14:textId="77777777" w:rsidR="00DF20C5" w:rsidRPr="00DF20C5" w:rsidRDefault="00DF20C5" w:rsidP="00E728E5">
            <w:pPr>
              <w:keepNext/>
              <w:keepLines/>
              <w:tabs>
                <w:tab w:val="clear" w:pos="567"/>
              </w:tabs>
              <w:spacing w:before="0" w:line="240" w:lineRule="auto"/>
              <w:jc w:val="right"/>
              <w:rPr>
                <w:rFonts w:eastAsia="Times New Roman" w:cs="Open Sans Light"/>
                <w:color w:val="0D0D0D"/>
                <w:sz w:val="16"/>
                <w:szCs w:val="16"/>
                <w:lang w:eastAsia="en-AU"/>
              </w:rPr>
            </w:pPr>
            <w:r w:rsidRPr="00DF20C5">
              <w:rPr>
                <w:rFonts w:eastAsia="Times New Roman" w:cs="Open Sans Light"/>
                <w:color w:val="0D0D0D"/>
                <w:sz w:val="16"/>
                <w:szCs w:val="16"/>
                <w:lang w:eastAsia="en-AU"/>
              </w:rPr>
              <w:t>55</w:t>
            </w:r>
          </w:p>
        </w:tc>
        <w:tc>
          <w:tcPr>
            <w:tcW w:w="2020" w:type="dxa"/>
            <w:tcBorders>
              <w:top w:val="nil"/>
              <w:left w:val="nil"/>
              <w:bottom w:val="nil"/>
              <w:right w:val="nil"/>
            </w:tcBorders>
            <w:shd w:val="clear" w:color="auto" w:fill="auto"/>
            <w:noWrap/>
            <w:vAlign w:val="center"/>
            <w:hideMark/>
          </w:tcPr>
          <w:p w14:paraId="228A5F7B" w14:textId="77777777" w:rsidR="00DF20C5" w:rsidRPr="00DF20C5" w:rsidRDefault="00DF20C5" w:rsidP="00E728E5">
            <w:pPr>
              <w:keepNext/>
              <w:keepLines/>
              <w:tabs>
                <w:tab w:val="clear" w:pos="567"/>
              </w:tabs>
              <w:spacing w:before="0" w:line="240" w:lineRule="auto"/>
              <w:jc w:val="right"/>
              <w:rPr>
                <w:rFonts w:eastAsia="Times New Roman" w:cs="Open Sans Light"/>
                <w:color w:val="000000"/>
                <w:sz w:val="16"/>
                <w:szCs w:val="16"/>
                <w:lang w:eastAsia="en-AU"/>
              </w:rPr>
            </w:pPr>
            <w:r w:rsidRPr="00DF20C5">
              <w:rPr>
                <w:rFonts w:eastAsia="Times New Roman" w:cs="Open Sans Light"/>
                <w:color w:val="000000"/>
                <w:sz w:val="16"/>
                <w:szCs w:val="16"/>
                <w:lang w:eastAsia="en-AU"/>
              </w:rPr>
              <w:t>49.8</w:t>
            </w:r>
          </w:p>
        </w:tc>
      </w:tr>
      <w:tr w:rsidR="00DF20C5" w:rsidRPr="00DF20C5" w14:paraId="7D3CEC68" w14:textId="77777777" w:rsidTr="00E728E5">
        <w:trPr>
          <w:trHeight w:val="259"/>
        </w:trPr>
        <w:tc>
          <w:tcPr>
            <w:tcW w:w="2860" w:type="dxa"/>
            <w:tcBorders>
              <w:top w:val="single" w:sz="4" w:space="0" w:color="ADD6EA"/>
              <w:left w:val="nil"/>
              <w:bottom w:val="single" w:sz="4" w:space="0" w:color="ADD6EA"/>
              <w:right w:val="nil"/>
            </w:tcBorders>
            <w:shd w:val="clear" w:color="000000" w:fill="D6E7F0"/>
            <w:vAlign w:val="center"/>
            <w:hideMark/>
          </w:tcPr>
          <w:p w14:paraId="3C2A6816" w14:textId="77777777" w:rsidR="00DF20C5" w:rsidRPr="00DF20C5" w:rsidRDefault="00DF20C5" w:rsidP="00E728E5">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Public health services</w:t>
            </w:r>
          </w:p>
        </w:tc>
        <w:tc>
          <w:tcPr>
            <w:tcW w:w="2020" w:type="dxa"/>
            <w:tcBorders>
              <w:top w:val="single" w:sz="4" w:space="0" w:color="ADD6EA"/>
              <w:left w:val="nil"/>
              <w:bottom w:val="single" w:sz="4" w:space="0" w:color="ADD6EA"/>
              <w:right w:val="nil"/>
            </w:tcBorders>
            <w:shd w:val="clear" w:color="000000" w:fill="D6E7F0"/>
            <w:noWrap/>
            <w:vAlign w:val="center"/>
            <w:hideMark/>
          </w:tcPr>
          <w:p w14:paraId="41E7D781" w14:textId="77777777" w:rsidR="00DF20C5" w:rsidRPr="00DF20C5" w:rsidRDefault="00DF20C5" w:rsidP="00E728E5">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 </w:t>
            </w:r>
          </w:p>
        </w:tc>
        <w:tc>
          <w:tcPr>
            <w:tcW w:w="2020" w:type="dxa"/>
            <w:tcBorders>
              <w:top w:val="single" w:sz="4" w:space="0" w:color="ADD6EA"/>
              <w:left w:val="nil"/>
              <w:bottom w:val="single" w:sz="4" w:space="0" w:color="ADD6EA"/>
              <w:right w:val="nil"/>
            </w:tcBorders>
            <w:shd w:val="clear" w:color="000000" w:fill="D6E7F0"/>
            <w:noWrap/>
            <w:vAlign w:val="center"/>
            <w:hideMark/>
          </w:tcPr>
          <w:p w14:paraId="76433C96" w14:textId="77777777" w:rsidR="00DF20C5" w:rsidRPr="00DF20C5" w:rsidRDefault="00DF20C5" w:rsidP="00E728E5">
            <w:pPr>
              <w:keepNext/>
              <w:keepLines/>
              <w:tabs>
                <w:tab w:val="clear" w:pos="567"/>
              </w:tabs>
              <w:spacing w:before="0" w:line="240" w:lineRule="auto"/>
              <w:jc w:val="right"/>
              <w:rPr>
                <w:rFonts w:ascii="Open Sans Semibold" w:eastAsia="Times New Roman" w:hAnsi="Open Sans Semibold" w:cs="Open Sans Semibold"/>
                <w:color w:val="0D0D0D"/>
                <w:sz w:val="16"/>
                <w:szCs w:val="16"/>
                <w:lang w:eastAsia="en-AU"/>
              </w:rPr>
            </w:pPr>
            <w:r w:rsidRPr="00DF20C5">
              <w:rPr>
                <w:rFonts w:ascii="Open Sans Semibold" w:eastAsia="Times New Roman" w:hAnsi="Open Sans Semibold" w:cs="Open Sans Semibold"/>
                <w:color w:val="0D0D0D"/>
                <w:sz w:val="16"/>
                <w:szCs w:val="16"/>
                <w:lang w:eastAsia="en-AU"/>
              </w:rPr>
              <w:t> </w:t>
            </w:r>
          </w:p>
        </w:tc>
        <w:tc>
          <w:tcPr>
            <w:tcW w:w="2020" w:type="dxa"/>
            <w:tcBorders>
              <w:top w:val="single" w:sz="4" w:space="0" w:color="ADD6EA"/>
              <w:left w:val="nil"/>
              <w:bottom w:val="single" w:sz="4" w:space="0" w:color="ADD6EA"/>
              <w:right w:val="nil"/>
            </w:tcBorders>
            <w:shd w:val="clear" w:color="000000" w:fill="D6E7F0"/>
            <w:noWrap/>
            <w:vAlign w:val="center"/>
            <w:hideMark/>
          </w:tcPr>
          <w:p w14:paraId="0C7846B3" w14:textId="77777777" w:rsidR="00DF20C5" w:rsidRPr="00DF20C5" w:rsidRDefault="00DF20C5" w:rsidP="00E728E5">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 </w:t>
            </w:r>
          </w:p>
        </w:tc>
      </w:tr>
      <w:tr w:rsidR="00DF20C5" w:rsidRPr="00DF20C5" w14:paraId="7E7B72F0" w14:textId="77777777" w:rsidTr="00E728E5">
        <w:trPr>
          <w:trHeight w:val="312"/>
        </w:trPr>
        <w:tc>
          <w:tcPr>
            <w:tcW w:w="2860" w:type="dxa"/>
            <w:tcBorders>
              <w:top w:val="nil"/>
              <w:left w:val="nil"/>
              <w:bottom w:val="single" w:sz="4" w:space="0" w:color="ADD6EA"/>
              <w:right w:val="nil"/>
            </w:tcBorders>
            <w:shd w:val="clear" w:color="auto" w:fill="auto"/>
            <w:noWrap/>
            <w:vAlign w:val="center"/>
            <w:hideMark/>
          </w:tcPr>
          <w:p w14:paraId="25465881"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Cancer screening</w:t>
            </w:r>
          </w:p>
        </w:tc>
        <w:tc>
          <w:tcPr>
            <w:tcW w:w="2020" w:type="dxa"/>
            <w:tcBorders>
              <w:top w:val="nil"/>
              <w:left w:val="nil"/>
              <w:bottom w:val="single" w:sz="4" w:space="0" w:color="ADD6EA"/>
              <w:right w:val="nil"/>
            </w:tcBorders>
            <w:shd w:val="clear" w:color="auto" w:fill="auto"/>
            <w:noWrap/>
            <w:vAlign w:val="center"/>
            <w:hideMark/>
          </w:tcPr>
          <w:p w14:paraId="16BE171F" w14:textId="5EAF88FD"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Medium (41</w:t>
            </w:r>
            <w:r w:rsidR="002B4007">
              <w:rPr>
                <w:rFonts w:eastAsia="Times New Roman" w:cs="Open Sans Light"/>
                <w:color w:val="000000"/>
                <w:sz w:val="16"/>
                <w:szCs w:val="16"/>
                <w:lang w:eastAsia="en-AU"/>
              </w:rPr>
              <w:t>–</w:t>
            </w:r>
            <w:r w:rsidRPr="00DF20C5">
              <w:rPr>
                <w:rFonts w:eastAsia="Times New Roman" w:cs="Open Sans Light"/>
                <w:color w:val="000000"/>
                <w:sz w:val="16"/>
                <w:szCs w:val="16"/>
                <w:lang w:eastAsia="en-AU"/>
              </w:rPr>
              <w:t>60)</w:t>
            </w:r>
          </w:p>
        </w:tc>
        <w:tc>
          <w:tcPr>
            <w:tcW w:w="2020" w:type="dxa"/>
            <w:tcBorders>
              <w:top w:val="nil"/>
              <w:left w:val="nil"/>
              <w:bottom w:val="single" w:sz="4" w:space="0" w:color="ADD6EA"/>
              <w:right w:val="nil"/>
            </w:tcBorders>
            <w:shd w:val="clear" w:color="auto" w:fill="auto"/>
            <w:noWrap/>
            <w:vAlign w:val="center"/>
            <w:hideMark/>
          </w:tcPr>
          <w:p w14:paraId="1589B3F7" w14:textId="77777777" w:rsidR="00DF20C5" w:rsidRPr="00DF20C5" w:rsidRDefault="00DF20C5" w:rsidP="00E728E5">
            <w:pPr>
              <w:keepNext/>
              <w:keepLines/>
              <w:tabs>
                <w:tab w:val="clear" w:pos="567"/>
              </w:tabs>
              <w:spacing w:before="0" w:line="240" w:lineRule="auto"/>
              <w:jc w:val="right"/>
              <w:rPr>
                <w:rFonts w:eastAsia="Times New Roman" w:cs="Open Sans Light"/>
                <w:color w:val="0D0D0D"/>
                <w:sz w:val="16"/>
                <w:szCs w:val="16"/>
                <w:lang w:eastAsia="en-AU"/>
              </w:rPr>
            </w:pPr>
            <w:r w:rsidRPr="00DF20C5">
              <w:rPr>
                <w:rFonts w:eastAsia="Times New Roman" w:cs="Open Sans Light"/>
                <w:color w:val="0D0D0D"/>
                <w:sz w:val="16"/>
                <w:szCs w:val="16"/>
                <w:lang w:eastAsia="en-AU"/>
              </w:rPr>
              <w:t>3</w:t>
            </w:r>
          </w:p>
        </w:tc>
        <w:tc>
          <w:tcPr>
            <w:tcW w:w="2020" w:type="dxa"/>
            <w:tcBorders>
              <w:top w:val="nil"/>
              <w:left w:val="nil"/>
              <w:bottom w:val="single" w:sz="4" w:space="0" w:color="ADD6EA"/>
              <w:right w:val="nil"/>
            </w:tcBorders>
            <w:shd w:val="clear" w:color="auto" w:fill="auto"/>
            <w:noWrap/>
            <w:vAlign w:val="center"/>
            <w:hideMark/>
          </w:tcPr>
          <w:p w14:paraId="5EC9CAF1" w14:textId="77777777" w:rsidR="00DF20C5" w:rsidRPr="00DF20C5" w:rsidRDefault="00DF20C5" w:rsidP="00E728E5">
            <w:pPr>
              <w:keepNext/>
              <w:keepLines/>
              <w:tabs>
                <w:tab w:val="clear" w:pos="567"/>
              </w:tabs>
              <w:spacing w:before="0" w:line="240" w:lineRule="auto"/>
              <w:jc w:val="right"/>
              <w:rPr>
                <w:rFonts w:eastAsia="Times New Roman" w:cs="Open Sans Light"/>
                <w:color w:val="000000"/>
                <w:sz w:val="16"/>
                <w:szCs w:val="16"/>
                <w:lang w:eastAsia="en-AU"/>
              </w:rPr>
            </w:pPr>
            <w:r w:rsidRPr="00DF20C5">
              <w:rPr>
                <w:rFonts w:eastAsia="Times New Roman" w:cs="Open Sans Light"/>
                <w:color w:val="000000"/>
                <w:sz w:val="16"/>
                <w:szCs w:val="16"/>
                <w:lang w:eastAsia="en-AU"/>
              </w:rPr>
              <w:t>1.3</w:t>
            </w:r>
          </w:p>
        </w:tc>
      </w:tr>
      <w:tr w:rsidR="00DF20C5" w:rsidRPr="00DF20C5" w14:paraId="24AE95F5" w14:textId="77777777" w:rsidTr="00E728E5">
        <w:trPr>
          <w:trHeight w:val="312"/>
        </w:trPr>
        <w:tc>
          <w:tcPr>
            <w:tcW w:w="2860" w:type="dxa"/>
            <w:tcBorders>
              <w:top w:val="nil"/>
              <w:left w:val="nil"/>
              <w:bottom w:val="single" w:sz="4" w:space="0" w:color="ADD6EA"/>
              <w:right w:val="nil"/>
            </w:tcBorders>
            <w:shd w:val="clear" w:color="auto" w:fill="auto"/>
            <w:noWrap/>
            <w:vAlign w:val="center"/>
            <w:hideMark/>
          </w:tcPr>
          <w:p w14:paraId="60F556E6"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Organised immunisation</w:t>
            </w:r>
          </w:p>
        </w:tc>
        <w:tc>
          <w:tcPr>
            <w:tcW w:w="2020" w:type="dxa"/>
            <w:tcBorders>
              <w:top w:val="nil"/>
              <w:left w:val="nil"/>
              <w:bottom w:val="single" w:sz="4" w:space="0" w:color="ADD6EA"/>
              <w:right w:val="nil"/>
            </w:tcBorders>
            <w:shd w:val="clear" w:color="auto" w:fill="auto"/>
            <w:noWrap/>
            <w:vAlign w:val="center"/>
            <w:hideMark/>
          </w:tcPr>
          <w:p w14:paraId="3F139D2E" w14:textId="7AE80D5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High (61</w:t>
            </w:r>
            <w:r w:rsidR="002B4007">
              <w:rPr>
                <w:rFonts w:eastAsia="Times New Roman" w:cs="Open Sans Light"/>
                <w:color w:val="000000"/>
                <w:sz w:val="16"/>
                <w:szCs w:val="16"/>
                <w:lang w:eastAsia="en-AU"/>
              </w:rPr>
              <w:t>–</w:t>
            </w:r>
            <w:r w:rsidRPr="00DF20C5">
              <w:rPr>
                <w:rFonts w:eastAsia="Times New Roman" w:cs="Open Sans Light"/>
                <w:color w:val="000000"/>
                <w:sz w:val="16"/>
                <w:szCs w:val="16"/>
                <w:lang w:eastAsia="en-AU"/>
              </w:rPr>
              <w:t>80)</w:t>
            </w:r>
          </w:p>
        </w:tc>
        <w:tc>
          <w:tcPr>
            <w:tcW w:w="2020" w:type="dxa"/>
            <w:tcBorders>
              <w:top w:val="nil"/>
              <w:left w:val="nil"/>
              <w:bottom w:val="single" w:sz="4" w:space="0" w:color="ADD6EA"/>
              <w:right w:val="nil"/>
            </w:tcBorders>
            <w:shd w:val="clear" w:color="auto" w:fill="auto"/>
            <w:noWrap/>
            <w:vAlign w:val="center"/>
            <w:hideMark/>
          </w:tcPr>
          <w:p w14:paraId="6E81CF91" w14:textId="77777777" w:rsidR="00DF20C5" w:rsidRPr="00DF20C5" w:rsidRDefault="00DF20C5" w:rsidP="00E728E5">
            <w:pPr>
              <w:keepNext/>
              <w:keepLines/>
              <w:tabs>
                <w:tab w:val="clear" w:pos="567"/>
              </w:tabs>
              <w:spacing w:before="0" w:line="240" w:lineRule="auto"/>
              <w:jc w:val="right"/>
              <w:rPr>
                <w:rFonts w:eastAsia="Times New Roman" w:cs="Open Sans Light"/>
                <w:color w:val="0D0D0D"/>
                <w:sz w:val="16"/>
                <w:szCs w:val="16"/>
                <w:lang w:eastAsia="en-AU"/>
              </w:rPr>
            </w:pPr>
            <w:r w:rsidRPr="00DF20C5">
              <w:rPr>
                <w:rFonts w:eastAsia="Times New Roman" w:cs="Open Sans Light"/>
                <w:color w:val="0D0D0D"/>
                <w:sz w:val="16"/>
                <w:szCs w:val="16"/>
                <w:lang w:eastAsia="en-AU"/>
              </w:rPr>
              <w:t>3</w:t>
            </w:r>
          </w:p>
        </w:tc>
        <w:tc>
          <w:tcPr>
            <w:tcW w:w="2020" w:type="dxa"/>
            <w:tcBorders>
              <w:top w:val="nil"/>
              <w:left w:val="nil"/>
              <w:bottom w:val="single" w:sz="4" w:space="0" w:color="ADD6EA"/>
              <w:right w:val="nil"/>
            </w:tcBorders>
            <w:shd w:val="clear" w:color="auto" w:fill="auto"/>
            <w:noWrap/>
            <w:vAlign w:val="center"/>
            <w:hideMark/>
          </w:tcPr>
          <w:p w14:paraId="0504D010" w14:textId="77777777" w:rsidR="00DF20C5" w:rsidRPr="00DF20C5" w:rsidRDefault="00DF20C5" w:rsidP="00E728E5">
            <w:pPr>
              <w:keepNext/>
              <w:keepLines/>
              <w:tabs>
                <w:tab w:val="clear" w:pos="567"/>
              </w:tabs>
              <w:spacing w:before="0" w:line="240" w:lineRule="auto"/>
              <w:jc w:val="right"/>
              <w:rPr>
                <w:rFonts w:eastAsia="Times New Roman" w:cs="Open Sans Light"/>
                <w:color w:val="000000"/>
                <w:sz w:val="16"/>
                <w:szCs w:val="16"/>
                <w:lang w:eastAsia="en-AU"/>
              </w:rPr>
            </w:pPr>
            <w:r w:rsidRPr="00DF20C5">
              <w:rPr>
                <w:rFonts w:eastAsia="Times New Roman" w:cs="Open Sans Light"/>
                <w:color w:val="000000"/>
                <w:sz w:val="16"/>
                <w:szCs w:val="16"/>
                <w:lang w:eastAsia="en-AU"/>
              </w:rPr>
              <w:t>2.3</w:t>
            </w:r>
          </w:p>
        </w:tc>
      </w:tr>
      <w:tr w:rsidR="00DF20C5" w:rsidRPr="00DF20C5" w14:paraId="7A9D98A6" w14:textId="77777777" w:rsidTr="00E728E5">
        <w:trPr>
          <w:trHeight w:val="312"/>
        </w:trPr>
        <w:tc>
          <w:tcPr>
            <w:tcW w:w="2860" w:type="dxa"/>
            <w:tcBorders>
              <w:top w:val="nil"/>
              <w:left w:val="nil"/>
              <w:bottom w:val="single" w:sz="4" w:space="0" w:color="ADD6EA"/>
              <w:right w:val="nil"/>
            </w:tcBorders>
            <w:shd w:val="clear" w:color="auto" w:fill="auto"/>
            <w:noWrap/>
            <w:vAlign w:val="center"/>
            <w:hideMark/>
          </w:tcPr>
          <w:p w14:paraId="58BBAEEB"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Selected health promotion</w:t>
            </w:r>
          </w:p>
        </w:tc>
        <w:tc>
          <w:tcPr>
            <w:tcW w:w="2020" w:type="dxa"/>
            <w:tcBorders>
              <w:top w:val="nil"/>
              <w:left w:val="nil"/>
              <w:bottom w:val="single" w:sz="4" w:space="0" w:color="ADD6EA"/>
              <w:right w:val="nil"/>
            </w:tcBorders>
            <w:shd w:val="clear" w:color="auto" w:fill="auto"/>
            <w:noWrap/>
            <w:vAlign w:val="center"/>
            <w:hideMark/>
          </w:tcPr>
          <w:p w14:paraId="3332622F" w14:textId="469E6B94"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Very low (0</w:t>
            </w:r>
            <w:r w:rsidR="002B4007">
              <w:rPr>
                <w:rFonts w:eastAsia="Times New Roman" w:cs="Open Sans Light"/>
                <w:color w:val="000000"/>
                <w:sz w:val="16"/>
                <w:szCs w:val="16"/>
                <w:lang w:eastAsia="en-AU"/>
              </w:rPr>
              <w:t>–</w:t>
            </w:r>
            <w:r w:rsidRPr="00DF20C5">
              <w:rPr>
                <w:rFonts w:eastAsia="Times New Roman" w:cs="Open Sans Light"/>
                <w:color w:val="000000"/>
                <w:sz w:val="16"/>
                <w:szCs w:val="16"/>
                <w:lang w:eastAsia="en-AU"/>
              </w:rPr>
              <w:t>20)</w:t>
            </w:r>
          </w:p>
        </w:tc>
        <w:tc>
          <w:tcPr>
            <w:tcW w:w="2020" w:type="dxa"/>
            <w:tcBorders>
              <w:top w:val="nil"/>
              <w:left w:val="nil"/>
              <w:bottom w:val="single" w:sz="4" w:space="0" w:color="ADD6EA"/>
              <w:right w:val="nil"/>
            </w:tcBorders>
            <w:shd w:val="clear" w:color="auto" w:fill="auto"/>
            <w:noWrap/>
            <w:vAlign w:val="center"/>
            <w:hideMark/>
          </w:tcPr>
          <w:p w14:paraId="2EED85BC" w14:textId="77777777" w:rsidR="00DF20C5" w:rsidRPr="00DF20C5" w:rsidRDefault="00DF20C5" w:rsidP="00E728E5">
            <w:pPr>
              <w:keepNext/>
              <w:keepLines/>
              <w:tabs>
                <w:tab w:val="clear" w:pos="567"/>
              </w:tabs>
              <w:spacing w:before="0" w:line="240" w:lineRule="auto"/>
              <w:jc w:val="right"/>
              <w:rPr>
                <w:rFonts w:eastAsia="Times New Roman" w:cs="Open Sans Light"/>
                <w:color w:val="0D0D0D"/>
                <w:sz w:val="16"/>
                <w:szCs w:val="16"/>
                <w:lang w:eastAsia="en-AU"/>
              </w:rPr>
            </w:pPr>
            <w:r w:rsidRPr="00DF20C5">
              <w:rPr>
                <w:rFonts w:eastAsia="Times New Roman" w:cs="Open Sans Light"/>
                <w:color w:val="0D0D0D"/>
                <w:sz w:val="16"/>
                <w:szCs w:val="16"/>
                <w:lang w:eastAsia="en-AU"/>
              </w:rPr>
              <w:t>4</w:t>
            </w:r>
          </w:p>
        </w:tc>
        <w:tc>
          <w:tcPr>
            <w:tcW w:w="2020" w:type="dxa"/>
            <w:tcBorders>
              <w:top w:val="nil"/>
              <w:left w:val="nil"/>
              <w:bottom w:val="single" w:sz="4" w:space="0" w:color="ADD6EA"/>
              <w:right w:val="nil"/>
            </w:tcBorders>
            <w:shd w:val="clear" w:color="auto" w:fill="auto"/>
            <w:noWrap/>
            <w:vAlign w:val="center"/>
            <w:hideMark/>
          </w:tcPr>
          <w:p w14:paraId="69303CE9" w14:textId="77777777" w:rsidR="00DF20C5" w:rsidRPr="00DF20C5" w:rsidRDefault="00DF20C5" w:rsidP="00E728E5">
            <w:pPr>
              <w:keepNext/>
              <w:keepLines/>
              <w:tabs>
                <w:tab w:val="clear" w:pos="567"/>
              </w:tabs>
              <w:spacing w:before="0" w:line="240" w:lineRule="auto"/>
              <w:jc w:val="right"/>
              <w:rPr>
                <w:rFonts w:eastAsia="Times New Roman" w:cs="Open Sans Light"/>
                <w:color w:val="000000"/>
                <w:sz w:val="16"/>
                <w:szCs w:val="16"/>
                <w:lang w:eastAsia="en-AU"/>
              </w:rPr>
            </w:pPr>
            <w:r w:rsidRPr="00DF20C5">
              <w:rPr>
                <w:rFonts w:eastAsia="Times New Roman" w:cs="Open Sans Light"/>
                <w:color w:val="000000"/>
                <w:sz w:val="16"/>
                <w:szCs w:val="16"/>
                <w:lang w:eastAsia="en-AU"/>
              </w:rPr>
              <w:t>0.4</w:t>
            </w:r>
          </w:p>
        </w:tc>
      </w:tr>
      <w:tr w:rsidR="00DF20C5" w:rsidRPr="00DF20C5" w14:paraId="1E7494CF" w14:textId="77777777" w:rsidTr="00E728E5">
        <w:trPr>
          <w:trHeight w:val="312"/>
        </w:trPr>
        <w:tc>
          <w:tcPr>
            <w:tcW w:w="2860" w:type="dxa"/>
            <w:tcBorders>
              <w:top w:val="nil"/>
              <w:left w:val="nil"/>
              <w:bottom w:val="single" w:sz="4" w:space="0" w:color="ADD6EA"/>
              <w:right w:val="nil"/>
            </w:tcBorders>
            <w:shd w:val="clear" w:color="auto" w:fill="auto"/>
            <w:noWrap/>
            <w:vAlign w:val="center"/>
            <w:hideMark/>
          </w:tcPr>
          <w:p w14:paraId="0AF608A0"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Communicable disease control</w:t>
            </w:r>
          </w:p>
        </w:tc>
        <w:tc>
          <w:tcPr>
            <w:tcW w:w="2020" w:type="dxa"/>
            <w:tcBorders>
              <w:top w:val="nil"/>
              <w:left w:val="nil"/>
              <w:bottom w:val="single" w:sz="4" w:space="0" w:color="ADD6EA"/>
              <w:right w:val="nil"/>
            </w:tcBorders>
            <w:shd w:val="clear" w:color="auto" w:fill="auto"/>
            <w:noWrap/>
            <w:vAlign w:val="center"/>
            <w:hideMark/>
          </w:tcPr>
          <w:p w14:paraId="1BB5A065"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Nil</w:t>
            </w:r>
          </w:p>
        </w:tc>
        <w:tc>
          <w:tcPr>
            <w:tcW w:w="2020" w:type="dxa"/>
            <w:tcBorders>
              <w:top w:val="nil"/>
              <w:left w:val="nil"/>
              <w:bottom w:val="single" w:sz="4" w:space="0" w:color="ADD6EA"/>
              <w:right w:val="nil"/>
            </w:tcBorders>
            <w:shd w:val="clear" w:color="auto" w:fill="auto"/>
            <w:noWrap/>
            <w:vAlign w:val="center"/>
            <w:hideMark/>
          </w:tcPr>
          <w:p w14:paraId="21D6F3FF" w14:textId="77777777" w:rsidR="00DF20C5" w:rsidRPr="00DF20C5" w:rsidRDefault="00DF20C5" w:rsidP="00E728E5">
            <w:pPr>
              <w:keepNext/>
              <w:keepLines/>
              <w:tabs>
                <w:tab w:val="clear" w:pos="567"/>
              </w:tabs>
              <w:spacing w:before="0" w:line="240" w:lineRule="auto"/>
              <w:jc w:val="right"/>
              <w:rPr>
                <w:rFonts w:eastAsia="Times New Roman" w:cs="Open Sans Light"/>
                <w:color w:val="0D0D0D"/>
                <w:sz w:val="16"/>
                <w:szCs w:val="16"/>
                <w:lang w:eastAsia="en-AU"/>
              </w:rPr>
            </w:pPr>
            <w:r w:rsidRPr="00DF20C5">
              <w:rPr>
                <w:rFonts w:eastAsia="Times New Roman" w:cs="Open Sans Light"/>
                <w:color w:val="0D0D0D"/>
                <w:sz w:val="16"/>
                <w:szCs w:val="16"/>
                <w:lang w:eastAsia="en-AU"/>
              </w:rPr>
              <w:t>6</w:t>
            </w:r>
          </w:p>
        </w:tc>
        <w:tc>
          <w:tcPr>
            <w:tcW w:w="2020" w:type="dxa"/>
            <w:tcBorders>
              <w:top w:val="nil"/>
              <w:left w:val="nil"/>
              <w:bottom w:val="nil"/>
              <w:right w:val="nil"/>
            </w:tcBorders>
            <w:shd w:val="clear" w:color="auto" w:fill="auto"/>
            <w:noWrap/>
            <w:vAlign w:val="center"/>
            <w:hideMark/>
          </w:tcPr>
          <w:p w14:paraId="4E5B450B" w14:textId="77777777" w:rsidR="00DF20C5" w:rsidRPr="00DF20C5" w:rsidRDefault="00DF20C5" w:rsidP="00E728E5">
            <w:pPr>
              <w:keepNext/>
              <w:keepLines/>
              <w:tabs>
                <w:tab w:val="clear" w:pos="567"/>
              </w:tabs>
              <w:spacing w:before="0" w:line="240" w:lineRule="auto"/>
              <w:jc w:val="right"/>
              <w:rPr>
                <w:rFonts w:eastAsia="Times New Roman" w:cs="Open Sans Light"/>
                <w:color w:val="000000"/>
                <w:sz w:val="16"/>
                <w:szCs w:val="16"/>
                <w:lang w:eastAsia="en-AU"/>
              </w:rPr>
            </w:pPr>
            <w:r w:rsidRPr="00DF20C5">
              <w:rPr>
                <w:rFonts w:eastAsia="Times New Roman" w:cs="Open Sans Light"/>
                <w:color w:val="000000"/>
                <w:sz w:val="16"/>
                <w:szCs w:val="16"/>
                <w:lang w:eastAsia="en-AU"/>
              </w:rPr>
              <w:t>0.0</w:t>
            </w:r>
          </w:p>
        </w:tc>
      </w:tr>
      <w:tr w:rsidR="00DF20C5" w:rsidRPr="00DF20C5" w14:paraId="4ACFE0F2" w14:textId="77777777" w:rsidTr="00E728E5">
        <w:trPr>
          <w:trHeight w:val="312"/>
        </w:trPr>
        <w:tc>
          <w:tcPr>
            <w:tcW w:w="2860" w:type="dxa"/>
            <w:tcBorders>
              <w:top w:val="nil"/>
              <w:left w:val="nil"/>
              <w:bottom w:val="single" w:sz="4" w:space="0" w:color="ADD6EA"/>
              <w:right w:val="nil"/>
            </w:tcBorders>
            <w:shd w:val="clear" w:color="auto" w:fill="auto"/>
            <w:noWrap/>
            <w:vAlign w:val="center"/>
            <w:hideMark/>
          </w:tcPr>
          <w:p w14:paraId="797D8C8E"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Environmental health</w:t>
            </w:r>
          </w:p>
        </w:tc>
        <w:tc>
          <w:tcPr>
            <w:tcW w:w="2020" w:type="dxa"/>
            <w:tcBorders>
              <w:top w:val="nil"/>
              <w:left w:val="nil"/>
              <w:bottom w:val="single" w:sz="4" w:space="0" w:color="ADD6EA"/>
              <w:right w:val="nil"/>
            </w:tcBorders>
            <w:shd w:val="clear" w:color="auto" w:fill="auto"/>
            <w:noWrap/>
            <w:vAlign w:val="center"/>
            <w:hideMark/>
          </w:tcPr>
          <w:p w14:paraId="60862F1A"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Nil</w:t>
            </w:r>
          </w:p>
        </w:tc>
        <w:tc>
          <w:tcPr>
            <w:tcW w:w="2020" w:type="dxa"/>
            <w:tcBorders>
              <w:top w:val="nil"/>
              <w:left w:val="nil"/>
              <w:bottom w:val="single" w:sz="4" w:space="0" w:color="ADD6EA"/>
              <w:right w:val="nil"/>
            </w:tcBorders>
            <w:shd w:val="clear" w:color="auto" w:fill="auto"/>
            <w:noWrap/>
            <w:vAlign w:val="center"/>
            <w:hideMark/>
          </w:tcPr>
          <w:p w14:paraId="16C9DAAE" w14:textId="77777777" w:rsidR="00DF20C5" w:rsidRPr="00DF20C5" w:rsidRDefault="00DF20C5" w:rsidP="00E728E5">
            <w:pPr>
              <w:keepNext/>
              <w:keepLines/>
              <w:tabs>
                <w:tab w:val="clear" w:pos="567"/>
              </w:tabs>
              <w:spacing w:before="0" w:line="240" w:lineRule="auto"/>
              <w:jc w:val="right"/>
              <w:rPr>
                <w:rFonts w:eastAsia="Times New Roman" w:cs="Open Sans Light"/>
                <w:color w:val="0D0D0D"/>
                <w:sz w:val="16"/>
                <w:szCs w:val="16"/>
                <w:lang w:eastAsia="en-AU"/>
              </w:rPr>
            </w:pPr>
            <w:r w:rsidRPr="00DF20C5">
              <w:rPr>
                <w:rFonts w:eastAsia="Times New Roman" w:cs="Open Sans Light"/>
                <w:color w:val="0D0D0D"/>
                <w:sz w:val="16"/>
                <w:szCs w:val="16"/>
                <w:lang w:eastAsia="en-AU"/>
              </w:rPr>
              <w:t>1</w:t>
            </w:r>
          </w:p>
        </w:tc>
        <w:tc>
          <w:tcPr>
            <w:tcW w:w="2020" w:type="dxa"/>
            <w:tcBorders>
              <w:top w:val="nil"/>
              <w:left w:val="nil"/>
              <w:bottom w:val="single" w:sz="4" w:space="0" w:color="ADD6EA"/>
              <w:right w:val="nil"/>
            </w:tcBorders>
            <w:shd w:val="clear" w:color="auto" w:fill="auto"/>
            <w:noWrap/>
            <w:vAlign w:val="center"/>
            <w:hideMark/>
          </w:tcPr>
          <w:p w14:paraId="58D6FDB5" w14:textId="77777777" w:rsidR="00DF20C5" w:rsidRPr="00DF20C5" w:rsidRDefault="00DF20C5" w:rsidP="00E728E5">
            <w:pPr>
              <w:keepNext/>
              <w:keepLines/>
              <w:tabs>
                <w:tab w:val="clear" w:pos="567"/>
              </w:tabs>
              <w:spacing w:before="0" w:line="240" w:lineRule="auto"/>
              <w:jc w:val="right"/>
              <w:rPr>
                <w:rFonts w:eastAsia="Times New Roman" w:cs="Open Sans Light"/>
                <w:color w:val="000000"/>
                <w:sz w:val="16"/>
                <w:szCs w:val="16"/>
                <w:lang w:eastAsia="en-AU"/>
              </w:rPr>
            </w:pPr>
            <w:r w:rsidRPr="00DF20C5">
              <w:rPr>
                <w:rFonts w:eastAsia="Times New Roman" w:cs="Open Sans Light"/>
                <w:color w:val="000000"/>
                <w:sz w:val="16"/>
                <w:szCs w:val="16"/>
                <w:lang w:eastAsia="en-AU"/>
              </w:rPr>
              <w:t>0.0</w:t>
            </w:r>
          </w:p>
        </w:tc>
      </w:tr>
      <w:tr w:rsidR="00DF20C5" w:rsidRPr="00DF20C5" w14:paraId="2CBE9BC8" w14:textId="77777777" w:rsidTr="00E728E5">
        <w:trPr>
          <w:trHeight w:val="312"/>
        </w:trPr>
        <w:tc>
          <w:tcPr>
            <w:tcW w:w="2860" w:type="dxa"/>
            <w:tcBorders>
              <w:top w:val="nil"/>
              <w:left w:val="nil"/>
              <w:bottom w:val="nil"/>
              <w:right w:val="nil"/>
            </w:tcBorders>
            <w:shd w:val="clear" w:color="auto" w:fill="auto"/>
            <w:noWrap/>
            <w:vAlign w:val="center"/>
            <w:hideMark/>
          </w:tcPr>
          <w:p w14:paraId="23F575BD" w14:textId="77777777"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Other public health services</w:t>
            </w:r>
          </w:p>
        </w:tc>
        <w:tc>
          <w:tcPr>
            <w:tcW w:w="2020" w:type="dxa"/>
            <w:tcBorders>
              <w:top w:val="nil"/>
              <w:left w:val="nil"/>
              <w:bottom w:val="nil"/>
              <w:right w:val="nil"/>
            </w:tcBorders>
            <w:shd w:val="clear" w:color="auto" w:fill="auto"/>
            <w:noWrap/>
            <w:vAlign w:val="center"/>
            <w:hideMark/>
          </w:tcPr>
          <w:p w14:paraId="1AB294A0" w14:textId="2C707FF9" w:rsidR="00DF20C5" w:rsidRPr="00DF20C5" w:rsidRDefault="00DF20C5" w:rsidP="00E728E5">
            <w:pPr>
              <w:keepNext/>
              <w:keepLines/>
              <w:tabs>
                <w:tab w:val="clear" w:pos="567"/>
              </w:tabs>
              <w:spacing w:before="0" w:line="240" w:lineRule="auto"/>
              <w:rPr>
                <w:rFonts w:eastAsia="Times New Roman" w:cs="Open Sans Light"/>
                <w:color w:val="000000"/>
                <w:sz w:val="16"/>
                <w:szCs w:val="16"/>
                <w:lang w:eastAsia="en-AU"/>
              </w:rPr>
            </w:pPr>
            <w:r w:rsidRPr="00DF20C5">
              <w:rPr>
                <w:rFonts w:eastAsia="Times New Roman" w:cs="Open Sans Light"/>
                <w:color w:val="000000"/>
                <w:sz w:val="16"/>
                <w:szCs w:val="16"/>
                <w:lang w:eastAsia="en-AU"/>
              </w:rPr>
              <w:t>Very low (0</w:t>
            </w:r>
            <w:r w:rsidR="002B4007">
              <w:rPr>
                <w:rFonts w:eastAsia="Times New Roman" w:cs="Open Sans Light"/>
                <w:color w:val="000000"/>
                <w:sz w:val="16"/>
                <w:szCs w:val="16"/>
                <w:lang w:eastAsia="en-AU"/>
              </w:rPr>
              <w:t>–</w:t>
            </w:r>
            <w:r w:rsidRPr="00DF20C5">
              <w:rPr>
                <w:rFonts w:eastAsia="Times New Roman" w:cs="Open Sans Light"/>
                <w:color w:val="000000"/>
                <w:sz w:val="16"/>
                <w:szCs w:val="16"/>
                <w:lang w:eastAsia="en-AU"/>
              </w:rPr>
              <w:t>20)</w:t>
            </w:r>
          </w:p>
        </w:tc>
        <w:tc>
          <w:tcPr>
            <w:tcW w:w="2020" w:type="dxa"/>
            <w:tcBorders>
              <w:top w:val="nil"/>
              <w:left w:val="nil"/>
              <w:bottom w:val="single" w:sz="4" w:space="0" w:color="ADD6EA"/>
              <w:right w:val="nil"/>
            </w:tcBorders>
            <w:shd w:val="clear" w:color="auto" w:fill="auto"/>
            <w:noWrap/>
            <w:vAlign w:val="center"/>
            <w:hideMark/>
          </w:tcPr>
          <w:p w14:paraId="4FFC841B" w14:textId="77777777" w:rsidR="00DF20C5" w:rsidRPr="00DF20C5" w:rsidRDefault="00DF20C5" w:rsidP="00E728E5">
            <w:pPr>
              <w:keepNext/>
              <w:keepLines/>
              <w:tabs>
                <w:tab w:val="clear" w:pos="567"/>
              </w:tabs>
              <w:spacing w:before="0" w:line="240" w:lineRule="auto"/>
              <w:jc w:val="right"/>
              <w:rPr>
                <w:rFonts w:eastAsia="Times New Roman" w:cs="Open Sans Light"/>
                <w:color w:val="0D0D0D"/>
                <w:sz w:val="16"/>
                <w:szCs w:val="16"/>
                <w:lang w:eastAsia="en-AU"/>
              </w:rPr>
            </w:pPr>
            <w:r w:rsidRPr="00DF20C5">
              <w:rPr>
                <w:rFonts w:eastAsia="Times New Roman" w:cs="Open Sans Light"/>
                <w:color w:val="0D0D0D"/>
                <w:sz w:val="16"/>
                <w:szCs w:val="16"/>
                <w:lang w:eastAsia="en-AU"/>
              </w:rPr>
              <w:t>4</w:t>
            </w:r>
          </w:p>
        </w:tc>
        <w:tc>
          <w:tcPr>
            <w:tcW w:w="2020" w:type="dxa"/>
            <w:tcBorders>
              <w:top w:val="nil"/>
              <w:left w:val="nil"/>
              <w:bottom w:val="single" w:sz="4" w:space="0" w:color="ADD6EA"/>
              <w:right w:val="nil"/>
            </w:tcBorders>
            <w:shd w:val="clear" w:color="auto" w:fill="auto"/>
            <w:noWrap/>
            <w:vAlign w:val="center"/>
            <w:hideMark/>
          </w:tcPr>
          <w:p w14:paraId="2564F2AD" w14:textId="77777777" w:rsidR="00DF20C5" w:rsidRPr="00DF20C5" w:rsidRDefault="00DF20C5" w:rsidP="00E728E5">
            <w:pPr>
              <w:keepNext/>
              <w:keepLines/>
              <w:tabs>
                <w:tab w:val="clear" w:pos="567"/>
              </w:tabs>
              <w:spacing w:before="0" w:line="240" w:lineRule="auto"/>
              <w:jc w:val="right"/>
              <w:rPr>
                <w:rFonts w:eastAsia="Times New Roman" w:cs="Open Sans Light"/>
                <w:color w:val="000000"/>
                <w:sz w:val="16"/>
                <w:szCs w:val="16"/>
                <w:lang w:eastAsia="en-AU"/>
              </w:rPr>
            </w:pPr>
            <w:r w:rsidRPr="00DF20C5">
              <w:rPr>
                <w:rFonts w:eastAsia="Times New Roman" w:cs="Open Sans Light"/>
                <w:color w:val="000000"/>
                <w:sz w:val="16"/>
                <w:szCs w:val="16"/>
                <w:lang w:eastAsia="en-AU"/>
              </w:rPr>
              <w:t>0.4</w:t>
            </w:r>
          </w:p>
        </w:tc>
      </w:tr>
      <w:tr w:rsidR="00DF20C5" w:rsidRPr="00DF20C5" w14:paraId="33D3DD0C" w14:textId="77777777" w:rsidTr="00E728E5">
        <w:trPr>
          <w:trHeight w:val="259"/>
        </w:trPr>
        <w:tc>
          <w:tcPr>
            <w:tcW w:w="2860" w:type="dxa"/>
            <w:tcBorders>
              <w:top w:val="single" w:sz="4" w:space="0" w:color="ADD6EA"/>
              <w:left w:val="nil"/>
              <w:bottom w:val="single" w:sz="4" w:space="0" w:color="ADD6EA"/>
              <w:right w:val="nil"/>
            </w:tcBorders>
            <w:shd w:val="clear" w:color="000000" w:fill="B6D5E4"/>
            <w:noWrap/>
            <w:vAlign w:val="center"/>
            <w:hideMark/>
          </w:tcPr>
          <w:p w14:paraId="276B25B1" w14:textId="77777777" w:rsidR="00DF20C5" w:rsidRPr="00DF20C5" w:rsidRDefault="00DF20C5" w:rsidP="00E728E5">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Total</w:t>
            </w:r>
          </w:p>
        </w:tc>
        <w:tc>
          <w:tcPr>
            <w:tcW w:w="2020" w:type="dxa"/>
            <w:tcBorders>
              <w:top w:val="single" w:sz="4" w:space="0" w:color="ADD6EA"/>
              <w:left w:val="nil"/>
              <w:bottom w:val="single" w:sz="4" w:space="0" w:color="ADD6EA"/>
              <w:right w:val="nil"/>
            </w:tcBorders>
            <w:shd w:val="clear" w:color="000000" w:fill="B6D5E4"/>
            <w:noWrap/>
            <w:vAlign w:val="center"/>
            <w:hideMark/>
          </w:tcPr>
          <w:p w14:paraId="5491CF91" w14:textId="77777777" w:rsidR="00DF20C5" w:rsidRPr="00DF20C5" w:rsidRDefault="00DF20C5" w:rsidP="00A21A2C">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 </w:t>
            </w:r>
          </w:p>
        </w:tc>
        <w:tc>
          <w:tcPr>
            <w:tcW w:w="2020" w:type="dxa"/>
            <w:tcBorders>
              <w:top w:val="nil"/>
              <w:left w:val="nil"/>
              <w:bottom w:val="single" w:sz="4" w:space="0" w:color="ADD6EA"/>
              <w:right w:val="nil"/>
            </w:tcBorders>
            <w:shd w:val="clear" w:color="000000" w:fill="B6D5E4"/>
            <w:noWrap/>
            <w:vAlign w:val="center"/>
            <w:hideMark/>
          </w:tcPr>
          <w:p w14:paraId="78D4C676" w14:textId="77777777" w:rsidR="00DF20C5" w:rsidRPr="00DF20C5" w:rsidRDefault="00DF20C5" w:rsidP="00E728E5">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100</w:t>
            </w:r>
          </w:p>
        </w:tc>
        <w:tc>
          <w:tcPr>
            <w:tcW w:w="2020" w:type="dxa"/>
            <w:tcBorders>
              <w:top w:val="nil"/>
              <w:left w:val="nil"/>
              <w:bottom w:val="single" w:sz="4" w:space="0" w:color="ADD6EA"/>
              <w:right w:val="nil"/>
            </w:tcBorders>
            <w:shd w:val="clear" w:color="000000" w:fill="B6D5E4"/>
            <w:noWrap/>
            <w:vAlign w:val="center"/>
            <w:hideMark/>
          </w:tcPr>
          <w:p w14:paraId="15CEA670" w14:textId="77777777" w:rsidR="00DF20C5" w:rsidRPr="00DF20C5" w:rsidRDefault="00DF20C5" w:rsidP="00E728E5">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F20C5">
              <w:rPr>
                <w:rFonts w:ascii="Open Sans Semibold" w:eastAsia="Times New Roman" w:hAnsi="Open Sans Semibold" w:cs="Open Sans Semibold"/>
                <w:color w:val="000000"/>
                <w:sz w:val="16"/>
                <w:szCs w:val="16"/>
                <w:lang w:eastAsia="en-AU"/>
              </w:rPr>
              <w:t>61.9</w:t>
            </w:r>
          </w:p>
        </w:tc>
      </w:tr>
    </w:tbl>
    <w:p w14:paraId="58DBBA08" w14:textId="73741104" w:rsidR="001D4321" w:rsidRDefault="00745AA2" w:rsidP="00DF5687">
      <w:pPr>
        <w:pStyle w:val="CGC2025TableNote"/>
      </w:pPr>
      <w:r>
        <w:t xml:space="preserve">Source: Commission calculation using </w:t>
      </w:r>
      <w:r w:rsidR="00F210D0">
        <w:t xml:space="preserve">unpublished </w:t>
      </w:r>
      <w:r w:rsidR="00BB4FEC">
        <w:t>2019</w:t>
      </w:r>
      <w:r w:rsidR="002B4007">
        <w:t>–</w:t>
      </w:r>
      <w:r w:rsidR="00BB4FEC">
        <w:t xml:space="preserve">20 </w:t>
      </w:r>
      <w:r>
        <w:t>Australian Institute of Health and Welfare expense data.</w:t>
      </w:r>
    </w:p>
    <w:p w14:paraId="50C6CBC4" w14:textId="77777777" w:rsidR="005540C2" w:rsidRDefault="005540C2" w:rsidP="005540C2">
      <w:pPr>
        <w:pStyle w:val="Heading4"/>
      </w:pPr>
      <w:r>
        <w:t>Commission draft position</w:t>
      </w:r>
    </w:p>
    <w:p w14:paraId="4CB82DED" w14:textId="6811F63C" w:rsidR="005540C2" w:rsidRDefault="00713F2E" w:rsidP="009D1275">
      <w:pPr>
        <w:pStyle w:val="CGC2025ParaNumbers"/>
      </w:pPr>
      <w:r>
        <w:t>T</w:t>
      </w:r>
      <w:r w:rsidR="00B4398D" w:rsidRPr="00764FE6">
        <w:t>he Commission</w:t>
      </w:r>
      <w:r w:rsidR="00B4398D" w:rsidRPr="00764FE6" w:rsidDel="006B075A">
        <w:t xml:space="preserve"> </w:t>
      </w:r>
      <w:r w:rsidR="006B075A">
        <w:t xml:space="preserve">proposes </w:t>
      </w:r>
      <w:r w:rsidR="00B4398D" w:rsidRPr="00764FE6">
        <w:t>to continue to include the</w:t>
      </w:r>
      <w:r w:rsidR="00B4398D">
        <w:t xml:space="preserve"> Commonwealth-funded services provided by </w:t>
      </w:r>
      <w:bookmarkStart w:id="78" w:name="_Hlk149142828"/>
      <w:r w:rsidR="006242C4">
        <w:t>First Nations</w:t>
      </w:r>
      <w:r w:rsidR="00B4398D" w:rsidRPr="00EF0353">
        <w:t xml:space="preserve"> community health organisations</w:t>
      </w:r>
      <w:bookmarkEnd w:id="78"/>
      <w:r w:rsidR="00B4398D">
        <w:t xml:space="preserve"> in </w:t>
      </w:r>
      <w:r w:rsidR="002672F6">
        <w:t>the</w:t>
      </w:r>
      <w:r w:rsidR="00681F8E">
        <w:t xml:space="preserve"> separate </w:t>
      </w:r>
      <w:r w:rsidR="00B4398D">
        <w:t>adjustment</w:t>
      </w:r>
      <w:r w:rsidR="00520701">
        <w:t xml:space="preserve"> for Community Controlled Health Services</w:t>
      </w:r>
      <w:r w:rsidR="00B4398D">
        <w:t>.</w:t>
      </w:r>
      <w:r w:rsidR="00681F8E">
        <w:t xml:space="preserve"> The</w:t>
      </w:r>
      <w:r w:rsidR="0070327C">
        <w:t xml:space="preserve"> use of the</w:t>
      </w:r>
      <w:r w:rsidR="00681F8E">
        <w:t xml:space="preserve">se services </w:t>
      </w:r>
      <w:r w:rsidR="00407ECC">
        <w:t>is</w:t>
      </w:r>
      <w:r w:rsidR="00681F8E">
        <w:t xml:space="preserve"> not included in the </w:t>
      </w:r>
      <w:r w:rsidR="0070327C">
        <w:t xml:space="preserve">broader non-state services adjustment. </w:t>
      </w:r>
    </w:p>
    <w:p w14:paraId="6D9E32B8" w14:textId="0C169416" w:rsidR="009A6D03" w:rsidRDefault="0004303B" w:rsidP="00CE26B9">
      <w:pPr>
        <w:pStyle w:val="CGC2025ParaNumbers"/>
      </w:pPr>
      <w:r>
        <w:t>The COVID</w:t>
      </w:r>
      <w:r>
        <w:noBreakHyphen/>
        <w:t xml:space="preserve">19 pandemic </w:t>
      </w:r>
      <w:r w:rsidR="00F66B91">
        <w:t>has distorted state spending on community</w:t>
      </w:r>
      <w:r w:rsidR="00DC04FE">
        <w:t xml:space="preserve"> </w:t>
      </w:r>
      <w:r w:rsidR="009C0E9F">
        <w:t xml:space="preserve">and public health. </w:t>
      </w:r>
      <w:r w:rsidR="000C19D2">
        <w:t>As such, t</w:t>
      </w:r>
      <w:r w:rsidR="009C0E9F">
        <w:t xml:space="preserve">he Commission </w:t>
      </w:r>
      <w:r w:rsidR="000557E7">
        <w:t>proposes</w:t>
      </w:r>
      <w:r w:rsidR="009C0E9F">
        <w:t xml:space="preserve"> to use 2019</w:t>
      </w:r>
      <w:r w:rsidR="00333A2F">
        <w:t>–</w:t>
      </w:r>
      <w:r w:rsidR="009C0E9F">
        <w:t xml:space="preserve">20 data to update the </w:t>
      </w:r>
      <w:r w:rsidR="002B15ED">
        <w:t xml:space="preserve">calculation </w:t>
      </w:r>
      <w:r w:rsidR="000C19D2">
        <w:t>of the substitutability level rather than data f</w:t>
      </w:r>
      <w:r w:rsidR="008F7118">
        <w:t>or</w:t>
      </w:r>
      <w:r w:rsidR="000C19D2">
        <w:t xml:space="preserve"> more recent years. </w:t>
      </w:r>
      <w:r w:rsidR="00CE26B9" w:rsidRPr="00CE26B9">
        <w:t>The non</w:t>
      </w:r>
      <w:r w:rsidR="00CE26B9">
        <w:noBreakHyphen/>
      </w:r>
      <w:r w:rsidR="00CE26B9" w:rsidRPr="00CE26B9">
        <w:t xml:space="preserve">state sector substitutability level for the </w:t>
      </w:r>
      <w:r w:rsidR="00CE26B9">
        <w:t>community and public health</w:t>
      </w:r>
      <w:r w:rsidR="00CE26B9" w:rsidRPr="00CE26B9">
        <w:t xml:space="preserve"> component for the 2025 Review </w:t>
      </w:r>
      <w:r w:rsidR="00D0454D">
        <w:t xml:space="preserve">is proposed to </w:t>
      </w:r>
      <w:r w:rsidR="00B3039A">
        <w:t xml:space="preserve">remain at </w:t>
      </w:r>
      <w:r w:rsidR="00AB5775">
        <w:t>60</w:t>
      </w:r>
      <w:r w:rsidR="00CE26B9" w:rsidRPr="00CE26B9">
        <w:t>%.</w:t>
      </w:r>
    </w:p>
    <w:p w14:paraId="14B73D82" w14:textId="04731960" w:rsidR="007043EC" w:rsidRDefault="00E61A7F" w:rsidP="00CE26B9">
      <w:pPr>
        <w:pStyle w:val="CGC2025ParaNumbers"/>
      </w:pPr>
      <w:r>
        <w:t xml:space="preserve">The </w:t>
      </w:r>
      <w:r w:rsidR="002F10F6">
        <w:t>substitutability levels</w:t>
      </w:r>
      <w:r w:rsidR="00C63E2C">
        <w:t xml:space="preserve"> </w:t>
      </w:r>
      <w:r w:rsidR="00144309">
        <w:t xml:space="preserve">and indicators </w:t>
      </w:r>
      <w:r w:rsidR="00DB7307">
        <w:t>proposed for the 2025 Review</w:t>
      </w:r>
      <w:r w:rsidR="002006ED">
        <w:t xml:space="preserve"> are summarised in</w:t>
      </w:r>
      <w:r w:rsidR="00244487">
        <w:t xml:space="preserve"> </w:t>
      </w:r>
      <w:r w:rsidR="009B385F">
        <w:t>Table 15</w:t>
      </w:r>
      <w:r w:rsidR="00244487">
        <w:t>.</w:t>
      </w:r>
      <w:r w:rsidR="002F10F6">
        <w:t xml:space="preserve"> </w:t>
      </w:r>
    </w:p>
    <w:p w14:paraId="055C5DAD" w14:textId="2F4265E0" w:rsidR="005B3E0A" w:rsidRDefault="005B3E0A" w:rsidP="0008558D">
      <w:pPr>
        <w:pStyle w:val="CGC2025Caption"/>
        <w:tabs>
          <w:tab w:val="left" w:pos="1134"/>
        </w:tabs>
      </w:pPr>
      <w:bookmarkStart w:id="79" w:name="_Ref158629390"/>
      <w:r>
        <w:t xml:space="preserve">Table </w:t>
      </w:r>
      <w:r>
        <w:fldChar w:fldCharType="begin"/>
      </w:r>
      <w:r>
        <w:instrText>SEQ Table \* ARABIC</w:instrText>
      </w:r>
      <w:r>
        <w:fldChar w:fldCharType="separate"/>
      </w:r>
      <w:r w:rsidR="00581B01">
        <w:rPr>
          <w:noProof/>
        </w:rPr>
        <w:t>15</w:t>
      </w:r>
      <w:r>
        <w:fldChar w:fldCharType="end"/>
      </w:r>
      <w:bookmarkEnd w:id="79"/>
      <w:r w:rsidR="008D69CE">
        <w:tab/>
        <w:t>Proposed substitutability levels</w:t>
      </w:r>
      <w:r w:rsidR="00A96B4D">
        <w:t xml:space="preserve"> and indicators</w:t>
      </w:r>
      <w:r w:rsidR="00244487">
        <w:t xml:space="preserve">, 2025 </w:t>
      </w:r>
      <w:proofErr w:type="gramStart"/>
      <w:r w:rsidR="00244487">
        <w:t>Review</w:t>
      </w:r>
      <w:proofErr w:type="gramEnd"/>
    </w:p>
    <w:tbl>
      <w:tblPr>
        <w:tblW w:w="8942" w:type="dxa"/>
        <w:tblLook w:val="04A0" w:firstRow="1" w:lastRow="0" w:firstColumn="1" w:lastColumn="0" w:noHBand="0" w:noVBand="1"/>
      </w:tblPr>
      <w:tblGrid>
        <w:gridCol w:w="2245"/>
        <w:gridCol w:w="1479"/>
        <w:gridCol w:w="258"/>
        <w:gridCol w:w="2481"/>
        <w:gridCol w:w="2479"/>
      </w:tblGrid>
      <w:tr w:rsidR="00BD706E" w:rsidRPr="00BD706E" w14:paraId="7AF13CA5" w14:textId="77777777" w:rsidTr="00B23BB2">
        <w:trPr>
          <w:trHeight w:val="375"/>
        </w:trPr>
        <w:tc>
          <w:tcPr>
            <w:tcW w:w="2260" w:type="dxa"/>
            <w:tcBorders>
              <w:top w:val="nil"/>
              <w:left w:val="nil"/>
              <w:bottom w:val="nil"/>
              <w:right w:val="nil"/>
            </w:tcBorders>
            <w:shd w:val="clear" w:color="000000" w:fill="006991"/>
            <w:vAlign w:val="center"/>
            <w:hideMark/>
          </w:tcPr>
          <w:p w14:paraId="3C425FBA" w14:textId="77777777" w:rsidR="00BD706E" w:rsidRPr="00BD706E" w:rsidRDefault="00BD706E" w:rsidP="00BD706E">
            <w:pPr>
              <w:tabs>
                <w:tab w:val="clear" w:pos="567"/>
              </w:tabs>
              <w:spacing w:before="0" w:line="240" w:lineRule="auto"/>
              <w:rPr>
                <w:rFonts w:ascii="Open Sans Semibold" w:eastAsia="Times New Roman" w:hAnsi="Open Sans Semibold" w:cs="Open Sans Semibold"/>
                <w:color w:val="FFFFFF"/>
                <w:sz w:val="16"/>
                <w:szCs w:val="16"/>
                <w:lang w:eastAsia="en-AU"/>
              </w:rPr>
            </w:pPr>
            <w:r w:rsidRPr="00BD706E">
              <w:rPr>
                <w:rFonts w:ascii="Open Sans Semibold" w:eastAsia="Times New Roman" w:hAnsi="Open Sans Semibold" w:cs="Open Sans Semibold"/>
                <w:color w:val="FFFFFF"/>
                <w:sz w:val="16"/>
                <w:szCs w:val="16"/>
                <w:lang w:eastAsia="en-AU"/>
              </w:rPr>
              <w:t> </w:t>
            </w:r>
          </w:p>
        </w:tc>
        <w:tc>
          <w:tcPr>
            <w:tcW w:w="1480" w:type="dxa"/>
            <w:tcBorders>
              <w:top w:val="nil"/>
              <w:left w:val="nil"/>
              <w:bottom w:val="nil"/>
              <w:right w:val="nil"/>
            </w:tcBorders>
            <w:shd w:val="clear" w:color="000000" w:fill="006991"/>
            <w:vAlign w:val="center"/>
            <w:hideMark/>
          </w:tcPr>
          <w:p w14:paraId="595F37FD" w14:textId="77777777" w:rsidR="00BD706E" w:rsidRPr="00BD706E" w:rsidRDefault="00BD706E" w:rsidP="00B23BB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D706E">
              <w:rPr>
                <w:rFonts w:ascii="Open Sans Semibold" w:eastAsia="Times New Roman" w:hAnsi="Open Sans Semibold" w:cs="Open Sans Semibold"/>
                <w:color w:val="FFFFFF"/>
                <w:sz w:val="16"/>
                <w:szCs w:val="16"/>
                <w:lang w:eastAsia="en-AU"/>
              </w:rPr>
              <w:t>Substitutability</w:t>
            </w:r>
          </w:p>
        </w:tc>
        <w:tc>
          <w:tcPr>
            <w:tcW w:w="140" w:type="dxa"/>
            <w:tcBorders>
              <w:top w:val="nil"/>
              <w:left w:val="nil"/>
              <w:bottom w:val="nil"/>
              <w:right w:val="nil"/>
            </w:tcBorders>
            <w:shd w:val="clear" w:color="000000" w:fill="006991"/>
            <w:vAlign w:val="center"/>
            <w:hideMark/>
          </w:tcPr>
          <w:p w14:paraId="34F3C173" w14:textId="77777777" w:rsidR="00BD706E" w:rsidRPr="00BD706E" w:rsidRDefault="00BD706E" w:rsidP="00082684">
            <w:pPr>
              <w:tabs>
                <w:tab w:val="clear" w:pos="567"/>
              </w:tabs>
              <w:spacing w:before="0" w:line="240" w:lineRule="auto"/>
              <w:rPr>
                <w:rFonts w:ascii="Open Sans Semibold" w:eastAsia="Times New Roman" w:hAnsi="Open Sans Semibold" w:cs="Open Sans Semibold"/>
                <w:color w:val="FFFFFF"/>
                <w:sz w:val="16"/>
                <w:szCs w:val="16"/>
                <w:lang w:eastAsia="en-AU"/>
              </w:rPr>
            </w:pPr>
            <w:r w:rsidRPr="00BD706E">
              <w:rPr>
                <w:rFonts w:ascii="Open Sans Semibold" w:eastAsia="Times New Roman" w:hAnsi="Open Sans Semibold" w:cs="Open Sans Semibold"/>
                <w:color w:val="FFFFFF"/>
                <w:sz w:val="16"/>
                <w:szCs w:val="16"/>
                <w:lang w:eastAsia="en-AU"/>
              </w:rPr>
              <w:t> </w:t>
            </w:r>
          </w:p>
        </w:tc>
        <w:tc>
          <w:tcPr>
            <w:tcW w:w="2500" w:type="dxa"/>
            <w:tcBorders>
              <w:top w:val="nil"/>
              <w:left w:val="nil"/>
              <w:bottom w:val="nil"/>
              <w:right w:val="nil"/>
            </w:tcBorders>
            <w:shd w:val="clear" w:color="000000" w:fill="006991"/>
            <w:vAlign w:val="center"/>
            <w:hideMark/>
          </w:tcPr>
          <w:p w14:paraId="065118C5" w14:textId="137B2314" w:rsidR="00BD706E" w:rsidRPr="00BD706E" w:rsidRDefault="00BD706E" w:rsidP="00082684">
            <w:pPr>
              <w:tabs>
                <w:tab w:val="clear" w:pos="567"/>
              </w:tabs>
              <w:spacing w:before="0" w:line="240" w:lineRule="auto"/>
              <w:rPr>
                <w:rFonts w:ascii="Open Sans Semibold" w:eastAsia="Times New Roman" w:hAnsi="Open Sans Semibold" w:cs="Open Sans Semibold"/>
                <w:color w:val="FFFFFF"/>
                <w:sz w:val="16"/>
                <w:szCs w:val="16"/>
                <w:lang w:eastAsia="en-AU"/>
              </w:rPr>
            </w:pPr>
            <w:r w:rsidRPr="00BD706E">
              <w:rPr>
                <w:rFonts w:ascii="Open Sans Semibold" w:eastAsia="Times New Roman" w:hAnsi="Open Sans Semibold" w:cs="Open Sans Semibold"/>
                <w:color w:val="FFFFFF"/>
                <w:sz w:val="16"/>
                <w:szCs w:val="16"/>
                <w:lang w:eastAsia="en-AU"/>
              </w:rPr>
              <w:t xml:space="preserve">Indicator </w:t>
            </w:r>
          </w:p>
        </w:tc>
        <w:tc>
          <w:tcPr>
            <w:tcW w:w="2500" w:type="dxa"/>
            <w:tcBorders>
              <w:top w:val="nil"/>
              <w:left w:val="nil"/>
              <w:bottom w:val="nil"/>
              <w:right w:val="nil"/>
            </w:tcBorders>
            <w:shd w:val="clear" w:color="000000" w:fill="006991"/>
            <w:vAlign w:val="center"/>
            <w:hideMark/>
          </w:tcPr>
          <w:p w14:paraId="702FF5AF" w14:textId="77777777" w:rsidR="00BD706E" w:rsidRPr="00BD706E" w:rsidRDefault="00BD706E" w:rsidP="00082684">
            <w:pPr>
              <w:tabs>
                <w:tab w:val="clear" w:pos="567"/>
              </w:tabs>
              <w:spacing w:before="0" w:line="240" w:lineRule="auto"/>
              <w:rPr>
                <w:rFonts w:ascii="Open Sans Semibold" w:eastAsia="Times New Roman" w:hAnsi="Open Sans Semibold" w:cs="Open Sans Semibold"/>
                <w:color w:val="FFFFFF"/>
                <w:sz w:val="16"/>
                <w:szCs w:val="16"/>
                <w:lang w:eastAsia="en-AU"/>
              </w:rPr>
            </w:pPr>
            <w:r w:rsidRPr="00BD706E">
              <w:rPr>
                <w:rFonts w:ascii="Open Sans Semibold" w:eastAsia="Times New Roman" w:hAnsi="Open Sans Semibold" w:cs="Open Sans Semibold"/>
                <w:color w:val="FFFFFF"/>
                <w:sz w:val="16"/>
                <w:szCs w:val="16"/>
                <w:lang w:eastAsia="en-AU"/>
              </w:rPr>
              <w:t>Change since 2020 Review?</w:t>
            </w:r>
          </w:p>
        </w:tc>
      </w:tr>
      <w:tr w:rsidR="00BD706E" w:rsidRPr="00BD706E" w14:paraId="32BAE4B1" w14:textId="77777777" w:rsidTr="00B23BB2">
        <w:trPr>
          <w:trHeight w:val="315"/>
        </w:trPr>
        <w:tc>
          <w:tcPr>
            <w:tcW w:w="2260" w:type="dxa"/>
            <w:tcBorders>
              <w:top w:val="single" w:sz="4" w:space="0" w:color="ADD6EA"/>
              <w:left w:val="nil"/>
              <w:bottom w:val="nil"/>
              <w:right w:val="nil"/>
            </w:tcBorders>
            <w:shd w:val="clear" w:color="000000" w:fill="FFFFFF"/>
            <w:vAlign w:val="center"/>
            <w:hideMark/>
          </w:tcPr>
          <w:p w14:paraId="13B092BC" w14:textId="77777777" w:rsidR="00BD706E" w:rsidRPr="00BD706E" w:rsidRDefault="00BD706E" w:rsidP="00B23BB2">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Admitted patients</w:t>
            </w:r>
          </w:p>
        </w:tc>
        <w:tc>
          <w:tcPr>
            <w:tcW w:w="1480" w:type="dxa"/>
            <w:tcBorders>
              <w:top w:val="single" w:sz="4" w:space="0" w:color="ADD6EA"/>
              <w:left w:val="nil"/>
              <w:bottom w:val="nil"/>
              <w:right w:val="nil"/>
            </w:tcBorders>
            <w:shd w:val="clear" w:color="000000" w:fill="FFFFFF"/>
            <w:vAlign w:val="center"/>
            <w:hideMark/>
          </w:tcPr>
          <w:p w14:paraId="77F9F575" w14:textId="7CFA57CA" w:rsidR="00BD706E" w:rsidRPr="00BD706E" w:rsidRDefault="00BD706E" w:rsidP="00B23BB2">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15%</w:t>
            </w:r>
          </w:p>
        </w:tc>
        <w:tc>
          <w:tcPr>
            <w:tcW w:w="140" w:type="dxa"/>
            <w:tcBorders>
              <w:top w:val="single" w:sz="4" w:space="0" w:color="ADD6EA"/>
              <w:left w:val="nil"/>
              <w:bottom w:val="nil"/>
              <w:right w:val="nil"/>
            </w:tcBorders>
            <w:shd w:val="clear" w:color="000000" w:fill="FFFFFF"/>
            <w:hideMark/>
          </w:tcPr>
          <w:p w14:paraId="4B4A8E6D" w14:textId="77777777" w:rsidR="00BD706E" w:rsidRPr="00BD706E" w:rsidRDefault="00BD706E" w:rsidP="00082684">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 </w:t>
            </w:r>
          </w:p>
        </w:tc>
        <w:tc>
          <w:tcPr>
            <w:tcW w:w="2500" w:type="dxa"/>
            <w:tcBorders>
              <w:top w:val="single" w:sz="4" w:space="0" w:color="ADD6EA"/>
              <w:left w:val="nil"/>
              <w:bottom w:val="nil"/>
              <w:right w:val="nil"/>
            </w:tcBorders>
            <w:shd w:val="clear" w:color="000000" w:fill="FFFFFF"/>
            <w:vAlign w:val="center"/>
            <w:hideMark/>
          </w:tcPr>
          <w:p w14:paraId="0646CE6F" w14:textId="77777777" w:rsidR="00BD706E" w:rsidRPr="00BD706E" w:rsidRDefault="00BD706E" w:rsidP="00B23BB2">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Private patient expenses</w:t>
            </w:r>
          </w:p>
        </w:tc>
        <w:tc>
          <w:tcPr>
            <w:tcW w:w="2500" w:type="dxa"/>
            <w:tcBorders>
              <w:top w:val="single" w:sz="4" w:space="0" w:color="ADD6EA"/>
              <w:left w:val="nil"/>
              <w:bottom w:val="nil"/>
              <w:right w:val="nil"/>
            </w:tcBorders>
            <w:shd w:val="clear" w:color="000000" w:fill="FFFFFF"/>
            <w:vAlign w:val="center"/>
            <w:hideMark/>
          </w:tcPr>
          <w:p w14:paraId="656A1BD7" w14:textId="77777777" w:rsidR="00BD706E" w:rsidRPr="00BD706E" w:rsidRDefault="00BD706E" w:rsidP="00B23BB2">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Yes - to indicator</w:t>
            </w:r>
          </w:p>
        </w:tc>
      </w:tr>
      <w:tr w:rsidR="00BD706E" w:rsidRPr="00BD706E" w14:paraId="369F279A" w14:textId="77777777" w:rsidTr="00B23BB2">
        <w:trPr>
          <w:trHeight w:val="315"/>
        </w:trPr>
        <w:tc>
          <w:tcPr>
            <w:tcW w:w="2260" w:type="dxa"/>
            <w:tcBorders>
              <w:top w:val="single" w:sz="4" w:space="0" w:color="ADD6EA"/>
              <w:left w:val="nil"/>
              <w:bottom w:val="nil"/>
              <w:right w:val="nil"/>
            </w:tcBorders>
            <w:shd w:val="clear" w:color="000000" w:fill="FFFFFF"/>
            <w:vAlign w:val="center"/>
            <w:hideMark/>
          </w:tcPr>
          <w:p w14:paraId="46E42F1F" w14:textId="77777777" w:rsidR="00BD706E" w:rsidRPr="00BD706E" w:rsidRDefault="00BD706E" w:rsidP="00B23BB2">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Emergency departments</w:t>
            </w:r>
          </w:p>
        </w:tc>
        <w:tc>
          <w:tcPr>
            <w:tcW w:w="1480" w:type="dxa"/>
            <w:tcBorders>
              <w:top w:val="single" w:sz="4" w:space="0" w:color="ADD6EA"/>
              <w:left w:val="nil"/>
              <w:bottom w:val="nil"/>
              <w:right w:val="nil"/>
            </w:tcBorders>
            <w:shd w:val="clear" w:color="000000" w:fill="FFFFFF"/>
            <w:vAlign w:val="center"/>
            <w:hideMark/>
          </w:tcPr>
          <w:p w14:paraId="3AF0836A" w14:textId="15399CE1" w:rsidR="00BD706E" w:rsidRPr="00BD706E" w:rsidRDefault="00BD706E" w:rsidP="00B23BB2">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15%</w:t>
            </w:r>
          </w:p>
        </w:tc>
        <w:tc>
          <w:tcPr>
            <w:tcW w:w="140" w:type="dxa"/>
            <w:tcBorders>
              <w:top w:val="single" w:sz="4" w:space="0" w:color="ADD6EA"/>
              <w:left w:val="nil"/>
              <w:bottom w:val="nil"/>
              <w:right w:val="nil"/>
            </w:tcBorders>
            <w:shd w:val="clear" w:color="000000" w:fill="FFFFFF"/>
            <w:hideMark/>
          </w:tcPr>
          <w:p w14:paraId="37EE5A77" w14:textId="77777777" w:rsidR="00BD706E" w:rsidRPr="00BD706E" w:rsidRDefault="00BD706E" w:rsidP="00082684">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 </w:t>
            </w:r>
          </w:p>
        </w:tc>
        <w:tc>
          <w:tcPr>
            <w:tcW w:w="2500" w:type="dxa"/>
            <w:tcBorders>
              <w:top w:val="single" w:sz="4" w:space="0" w:color="ADD6EA"/>
              <w:left w:val="nil"/>
              <w:bottom w:val="nil"/>
              <w:right w:val="nil"/>
            </w:tcBorders>
            <w:shd w:val="clear" w:color="000000" w:fill="FFFFFF"/>
            <w:vAlign w:val="center"/>
            <w:hideMark/>
          </w:tcPr>
          <w:p w14:paraId="4E1162B8" w14:textId="77777777" w:rsidR="00BD706E" w:rsidRPr="00BD706E" w:rsidRDefault="00BD706E" w:rsidP="00B23BB2">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Bulk billed GP benefits paid</w:t>
            </w:r>
          </w:p>
        </w:tc>
        <w:tc>
          <w:tcPr>
            <w:tcW w:w="2500" w:type="dxa"/>
            <w:tcBorders>
              <w:top w:val="single" w:sz="4" w:space="0" w:color="ADD6EA"/>
              <w:left w:val="nil"/>
              <w:bottom w:val="nil"/>
              <w:right w:val="nil"/>
            </w:tcBorders>
            <w:shd w:val="clear" w:color="000000" w:fill="FFFFFF"/>
            <w:vAlign w:val="center"/>
            <w:hideMark/>
          </w:tcPr>
          <w:p w14:paraId="0C04FE5F" w14:textId="5D148E17" w:rsidR="00BD706E" w:rsidRPr="00BD706E" w:rsidRDefault="00FA2F33" w:rsidP="00B23BB2">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BD706E" w:rsidRPr="00BD706E" w14:paraId="361DC04C" w14:textId="77777777" w:rsidTr="00B23BB2">
        <w:trPr>
          <w:trHeight w:val="315"/>
        </w:trPr>
        <w:tc>
          <w:tcPr>
            <w:tcW w:w="2260" w:type="dxa"/>
            <w:tcBorders>
              <w:top w:val="single" w:sz="4" w:space="0" w:color="ADD6EA"/>
              <w:left w:val="nil"/>
              <w:bottom w:val="single" w:sz="4" w:space="0" w:color="ADD6EA"/>
              <w:right w:val="nil"/>
            </w:tcBorders>
            <w:shd w:val="clear" w:color="000000" w:fill="FFFFFF"/>
            <w:vAlign w:val="center"/>
            <w:hideMark/>
          </w:tcPr>
          <w:p w14:paraId="12BF156A" w14:textId="77777777" w:rsidR="00BD706E" w:rsidRPr="00BD706E" w:rsidRDefault="00BD706E" w:rsidP="00B23BB2">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Non-admitted patients</w:t>
            </w:r>
          </w:p>
        </w:tc>
        <w:tc>
          <w:tcPr>
            <w:tcW w:w="1480" w:type="dxa"/>
            <w:tcBorders>
              <w:top w:val="single" w:sz="4" w:space="0" w:color="ADD6EA"/>
              <w:left w:val="nil"/>
              <w:bottom w:val="single" w:sz="4" w:space="0" w:color="ADD6EA"/>
              <w:right w:val="nil"/>
            </w:tcBorders>
            <w:shd w:val="clear" w:color="000000" w:fill="FFFFFF"/>
            <w:vAlign w:val="center"/>
            <w:hideMark/>
          </w:tcPr>
          <w:p w14:paraId="47A54E83" w14:textId="007423EC" w:rsidR="00BD706E" w:rsidRPr="00BD706E" w:rsidRDefault="004C41B3" w:rsidP="00B23BB2">
            <w:pPr>
              <w:tabs>
                <w:tab w:val="clear" w:pos="567"/>
              </w:tabs>
              <w:spacing w:before="0" w:line="240" w:lineRule="auto"/>
              <w:jc w:val="right"/>
              <w:rPr>
                <w:rFonts w:eastAsia="Times New Roman" w:cs="Open Sans Light"/>
                <w:color w:val="000000"/>
                <w:sz w:val="16"/>
                <w:szCs w:val="16"/>
                <w:lang w:eastAsia="en-AU"/>
              </w:rPr>
            </w:pPr>
            <w:r w:rsidRPr="00B46A5F">
              <w:rPr>
                <w:rFonts w:eastAsia="Times New Roman" w:cs="Open Sans Light"/>
                <w:color w:val="000000"/>
                <w:sz w:val="16"/>
                <w:szCs w:val="16"/>
                <w:lang w:eastAsia="en-AU"/>
              </w:rPr>
              <w:t>30</w:t>
            </w:r>
            <w:r w:rsidR="00454DCF" w:rsidRPr="00B46A5F">
              <w:rPr>
                <w:rFonts w:eastAsia="Times New Roman" w:cs="Open Sans Light"/>
                <w:color w:val="000000"/>
                <w:sz w:val="16"/>
                <w:szCs w:val="16"/>
                <w:lang w:eastAsia="en-AU"/>
              </w:rPr>
              <w:t>%</w:t>
            </w:r>
          </w:p>
        </w:tc>
        <w:tc>
          <w:tcPr>
            <w:tcW w:w="140" w:type="dxa"/>
            <w:tcBorders>
              <w:top w:val="single" w:sz="4" w:space="0" w:color="ADD6EA"/>
              <w:left w:val="nil"/>
              <w:bottom w:val="single" w:sz="4" w:space="0" w:color="ADD6EA"/>
              <w:right w:val="nil"/>
            </w:tcBorders>
            <w:shd w:val="clear" w:color="000000" w:fill="FFFFFF"/>
            <w:hideMark/>
          </w:tcPr>
          <w:p w14:paraId="2BC1CA9D" w14:textId="77777777" w:rsidR="00BD706E" w:rsidRPr="00BD706E" w:rsidRDefault="00BD706E" w:rsidP="00082684">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 </w:t>
            </w:r>
          </w:p>
        </w:tc>
        <w:tc>
          <w:tcPr>
            <w:tcW w:w="2500" w:type="dxa"/>
            <w:tcBorders>
              <w:top w:val="single" w:sz="4" w:space="0" w:color="ADD6EA"/>
              <w:left w:val="nil"/>
              <w:bottom w:val="single" w:sz="4" w:space="0" w:color="ADD6EA"/>
              <w:right w:val="nil"/>
            </w:tcBorders>
            <w:shd w:val="clear" w:color="000000" w:fill="FFFFFF"/>
            <w:vAlign w:val="center"/>
            <w:hideMark/>
          </w:tcPr>
          <w:p w14:paraId="4486A667" w14:textId="77777777" w:rsidR="00BD706E" w:rsidRPr="00BD706E" w:rsidRDefault="00BD706E" w:rsidP="00B23BB2">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 xml:space="preserve">Bulk billed operations and </w:t>
            </w:r>
            <w:r w:rsidRPr="00BD706E">
              <w:rPr>
                <w:rFonts w:eastAsia="Times New Roman" w:cs="Open Sans Light"/>
                <w:color w:val="000000"/>
                <w:sz w:val="16"/>
                <w:szCs w:val="16"/>
                <w:lang w:eastAsia="en-AU"/>
              </w:rPr>
              <w:br/>
              <w:t>specialists benefits paid</w:t>
            </w:r>
          </w:p>
        </w:tc>
        <w:tc>
          <w:tcPr>
            <w:tcW w:w="2500" w:type="dxa"/>
            <w:tcBorders>
              <w:top w:val="single" w:sz="4" w:space="0" w:color="ADD6EA"/>
              <w:left w:val="nil"/>
              <w:bottom w:val="single" w:sz="4" w:space="0" w:color="ADD6EA"/>
              <w:right w:val="nil"/>
            </w:tcBorders>
            <w:shd w:val="clear" w:color="000000" w:fill="FFFFFF"/>
            <w:vAlign w:val="center"/>
            <w:hideMark/>
          </w:tcPr>
          <w:p w14:paraId="7CAA8E30" w14:textId="2F360A70" w:rsidR="00BD706E" w:rsidRPr="00BD706E" w:rsidRDefault="00FA2F33" w:rsidP="00B23BB2">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BD706E" w:rsidRPr="00BD706E" w14:paraId="39997B08" w14:textId="77777777" w:rsidTr="00B23BB2">
        <w:trPr>
          <w:trHeight w:val="315"/>
        </w:trPr>
        <w:tc>
          <w:tcPr>
            <w:tcW w:w="2260" w:type="dxa"/>
            <w:tcBorders>
              <w:top w:val="single" w:sz="4" w:space="0" w:color="ADD6EA"/>
              <w:left w:val="nil"/>
              <w:bottom w:val="single" w:sz="4" w:space="0" w:color="ADD6EA"/>
              <w:right w:val="nil"/>
            </w:tcBorders>
            <w:shd w:val="clear" w:color="000000" w:fill="FFFFFF"/>
            <w:vAlign w:val="center"/>
            <w:hideMark/>
          </w:tcPr>
          <w:p w14:paraId="2E66FD00" w14:textId="77777777" w:rsidR="00BD706E" w:rsidRPr="00BD706E" w:rsidRDefault="00BD706E" w:rsidP="00B23BB2">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 xml:space="preserve">Community health </w:t>
            </w:r>
          </w:p>
        </w:tc>
        <w:tc>
          <w:tcPr>
            <w:tcW w:w="1480" w:type="dxa"/>
            <w:tcBorders>
              <w:top w:val="single" w:sz="4" w:space="0" w:color="ADD6EA"/>
              <w:left w:val="nil"/>
              <w:bottom w:val="single" w:sz="4" w:space="0" w:color="ADD6EA"/>
              <w:right w:val="nil"/>
            </w:tcBorders>
            <w:shd w:val="clear" w:color="000000" w:fill="FFFFFF"/>
            <w:vAlign w:val="center"/>
            <w:hideMark/>
          </w:tcPr>
          <w:p w14:paraId="4004B73A" w14:textId="46045999" w:rsidR="00BD706E" w:rsidRPr="00BD706E" w:rsidRDefault="00BD706E" w:rsidP="00B23BB2">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60%</w:t>
            </w:r>
          </w:p>
        </w:tc>
        <w:tc>
          <w:tcPr>
            <w:tcW w:w="140" w:type="dxa"/>
            <w:tcBorders>
              <w:top w:val="single" w:sz="4" w:space="0" w:color="ADD6EA"/>
              <w:left w:val="nil"/>
              <w:bottom w:val="single" w:sz="4" w:space="0" w:color="ADD6EA"/>
              <w:right w:val="nil"/>
            </w:tcBorders>
            <w:shd w:val="clear" w:color="000000" w:fill="FFFFFF"/>
            <w:hideMark/>
          </w:tcPr>
          <w:p w14:paraId="0FF5F7D3" w14:textId="77777777" w:rsidR="00BD706E" w:rsidRPr="00BD706E" w:rsidRDefault="00BD706E" w:rsidP="00082684">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 </w:t>
            </w:r>
          </w:p>
        </w:tc>
        <w:tc>
          <w:tcPr>
            <w:tcW w:w="2500" w:type="dxa"/>
            <w:tcBorders>
              <w:top w:val="single" w:sz="4" w:space="0" w:color="ADD6EA"/>
              <w:left w:val="nil"/>
              <w:bottom w:val="single" w:sz="4" w:space="0" w:color="ADD6EA"/>
              <w:right w:val="nil"/>
            </w:tcBorders>
            <w:shd w:val="clear" w:color="000000" w:fill="FFFFFF"/>
            <w:vAlign w:val="center"/>
            <w:hideMark/>
          </w:tcPr>
          <w:p w14:paraId="6A3125A1" w14:textId="77777777" w:rsidR="00BD706E" w:rsidRPr="00BD706E" w:rsidRDefault="00BD706E" w:rsidP="00B23BB2">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Bulk billed GP benefits paid</w:t>
            </w:r>
          </w:p>
        </w:tc>
        <w:tc>
          <w:tcPr>
            <w:tcW w:w="2500" w:type="dxa"/>
            <w:tcBorders>
              <w:top w:val="single" w:sz="4" w:space="0" w:color="ADD6EA"/>
              <w:left w:val="nil"/>
              <w:bottom w:val="single" w:sz="4" w:space="0" w:color="ADD6EA"/>
              <w:right w:val="nil"/>
            </w:tcBorders>
            <w:shd w:val="clear" w:color="000000" w:fill="FFFFFF"/>
            <w:vAlign w:val="center"/>
            <w:hideMark/>
          </w:tcPr>
          <w:p w14:paraId="7A7D725E" w14:textId="77777777" w:rsidR="00BD706E" w:rsidRPr="00BD706E" w:rsidRDefault="00BD706E" w:rsidP="00B23BB2">
            <w:pPr>
              <w:tabs>
                <w:tab w:val="clear" w:pos="567"/>
              </w:tabs>
              <w:spacing w:before="0" w:line="240" w:lineRule="auto"/>
              <w:rPr>
                <w:rFonts w:eastAsia="Times New Roman" w:cs="Open Sans Light"/>
                <w:color w:val="000000"/>
                <w:sz w:val="16"/>
                <w:szCs w:val="16"/>
                <w:lang w:eastAsia="en-AU"/>
              </w:rPr>
            </w:pPr>
            <w:r w:rsidRPr="00BD706E">
              <w:rPr>
                <w:rFonts w:eastAsia="Times New Roman" w:cs="Open Sans Light"/>
                <w:color w:val="000000"/>
                <w:sz w:val="16"/>
                <w:szCs w:val="16"/>
                <w:lang w:eastAsia="en-AU"/>
              </w:rPr>
              <w:t>No</w:t>
            </w:r>
          </w:p>
        </w:tc>
      </w:tr>
    </w:tbl>
    <w:p w14:paraId="5AD350A8" w14:textId="77777777" w:rsidR="005357E6" w:rsidRDefault="00D52BD8" w:rsidP="00AF60EA">
      <w:pPr>
        <w:pStyle w:val="Heading2"/>
        <w:keepNext/>
      </w:pPr>
      <w:r>
        <w:lastRenderedPageBreak/>
        <w:t xml:space="preserve">Other issues </w:t>
      </w:r>
      <w:r w:rsidR="005357E6">
        <w:t xml:space="preserve">raised by </w:t>
      </w:r>
      <w:proofErr w:type="gramStart"/>
      <w:r w:rsidR="005357E6">
        <w:t>states</w:t>
      </w:r>
      <w:proofErr w:type="gramEnd"/>
    </w:p>
    <w:p w14:paraId="43ADDD41" w14:textId="36904E37" w:rsidR="00E52CCF" w:rsidRDefault="00AD5217" w:rsidP="00AF60EA">
      <w:pPr>
        <w:pStyle w:val="Heading3"/>
        <w:keepNext/>
      </w:pPr>
      <w:r>
        <w:t>Socio-</w:t>
      </w:r>
      <w:r w:rsidR="006E7329">
        <w:t>demographic composition</w:t>
      </w:r>
      <w:r w:rsidR="00A566ED">
        <w:t xml:space="preserve"> </w:t>
      </w:r>
      <w:r w:rsidR="00FD7710">
        <w:t>assessment</w:t>
      </w:r>
    </w:p>
    <w:p w14:paraId="1268C7D7" w14:textId="2E3D702D" w:rsidR="005B1F36" w:rsidRDefault="0005702E" w:rsidP="008653E1">
      <w:pPr>
        <w:pStyle w:val="Heading35"/>
      </w:pPr>
      <w:r>
        <w:t>Greater reliance on actual state health activity</w:t>
      </w:r>
    </w:p>
    <w:p w14:paraId="2F555128" w14:textId="495AF51C" w:rsidR="004060F7" w:rsidRDefault="5FBDE92F" w:rsidP="00AF60EA">
      <w:pPr>
        <w:pStyle w:val="CGC2025ParaNumbers"/>
        <w:keepNext/>
      </w:pPr>
      <w:r>
        <w:t xml:space="preserve">The Northern Territory </w:t>
      </w:r>
      <w:r w:rsidR="4550D525">
        <w:t>said</w:t>
      </w:r>
      <w:r>
        <w:t xml:space="preserve"> that </w:t>
      </w:r>
      <w:r w:rsidR="2AFD837B">
        <w:t xml:space="preserve">the health </w:t>
      </w:r>
      <w:r w:rsidR="5CBC8447">
        <w:t>assess</w:t>
      </w:r>
      <w:r w:rsidR="2AFD837B">
        <w:t>ment</w:t>
      </w:r>
      <w:r w:rsidR="5CBC8447">
        <w:t xml:space="preserve"> </w:t>
      </w:r>
      <w:r w:rsidR="277435EF">
        <w:t xml:space="preserve">should </w:t>
      </w:r>
      <w:r w:rsidR="0FE8785C">
        <w:t xml:space="preserve">rely </w:t>
      </w:r>
      <w:r w:rsidR="3AE98056">
        <w:t xml:space="preserve">less on </w:t>
      </w:r>
      <w:bookmarkStart w:id="80" w:name="_Hlk149144414"/>
      <w:r w:rsidR="0044211A">
        <w:t>socio</w:t>
      </w:r>
      <w:r w:rsidR="00960740">
        <w:noBreakHyphen/>
      </w:r>
      <w:r w:rsidR="0044211A">
        <w:t>demographic</w:t>
      </w:r>
      <w:r w:rsidR="455DA17B">
        <w:t xml:space="preserve"> </w:t>
      </w:r>
      <w:r w:rsidR="6465A611">
        <w:t>cohor</w:t>
      </w:r>
      <w:r w:rsidR="2AFD837B">
        <w:t>t</w:t>
      </w:r>
      <w:r w:rsidR="076817E7">
        <w:t>-</w:t>
      </w:r>
      <w:r w:rsidR="455DA17B">
        <w:t>averaged</w:t>
      </w:r>
      <w:r w:rsidR="2AFD837B">
        <w:t xml:space="preserve"> national weighted activity units </w:t>
      </w:r>
      <w:bookmarkEnd w:id="80"/>
      <w:r w:rsidR="2AFD837B">
        <w:t xml:space="preserve">and </w:t>
      </w:r>
      <w:r w:rsidR="586FA390">
        <w:t>more on actual state</w:t>
      </w:r>
      <w:r w:rsidR="51291D6E">
        <w:t xml:space="preserve"> </w:t>
      </w:r>
      <w:r w:rsidR="4E6C541A">
        <w:t>national weighted act</w:t>
      </w:r>
      <w:r w:rsidR="2C937196">
        <w:t>ivity unit shares</w:t>
      </w:r>
      <w:r w:rsidR="1BD0026C">
        <w:t>.</w:t>
      </w:r>
    </w:p>
    <w:p w14:paraId="75FC2F3D" w14:textId="2245EB10" w:rsidR="00177CC5" w:rsidRDefault="74227BF0" w:rsidP="006928E1">
      <w:pPr>
        <w:pStyle w:val="CGC2025ParaNumbers"/>
      </w:pPr>
      <w:r>
        <w:t xml:space="preserve">The Northern Territory </w:t>
      </w:r>
      <w:r w:rsidR="4550D525">
        <w:t>said</w:t>
      </w:r>
      <w:r>
        <w:t xml:space="preserve"> that </w:t>
      </w:r>
      <w:r w:rsidR="12E50AC7" w:rsidRPr="003E4806">
        <w:t xml:space="preserve">the primary </w:t>
      </w:r>
      <w:r w:rsidR="31FD80DA">
        <w:t xml:space="preserve">reason for differences between </w:t>
      </w:r>
      <w:r w:rsidR="70F88F18">
        <w:t xml:space="preserve">the </w:t>
      </w:r>
      <w:r w:rsidR="31FD80DA">
        <w:t xml:space="preserve">state and </w:t>
      </w:r>
      <w:r w:rsidR="70F88F18">
        <w:t xml:space="preserve">the </w:t>
      </w:r>
      <w:r w:rsidR="31FD80DA">
        <w:t>national</w:t>
      </w:r>
      <w:r w:rsidR="0F82E976">
        <w:t xml:space="preserve"> average</w:t>
      </w:r>
      <w:r w:rsidR="12E50AC7" w:rsidRPr="003E4806">
        <w:t xml:space="preserve"> </w:t>
      </w:r>
      <w:r w:rsidR="12E50AC7">
        <w:t>national weighted activity unit</w:t>
      </w:r>
      <w:r w:rsidR="26BB42A5">
        <w:t>s</w:t>
      </w:r>
      <w:r w:rsidR="12E50AC7" w:rsidRPr="003E4806">
        <w:t xml:space="preserve"> </w:t>
      </w:r>
      <w:r w:rsidR="4E8A24B3">
        <w:t xml:space="preserve">by cohort </w:t>
      </w:r>
      <w:r w:rsidR="12E50AC7" w:rsidRPr="003E4806">
        <w:t>is uncaptured variation in the underlying health of the population within each cohort</w:t>
      </w:r>
      <w:r w:rsidR="41293456">
        <w:t xml:space="preserve">. </w:t>
      </w:r>
      <w:r w:rsidR="2792A1D2">
        <w:t xml:space="preserve">The Northern Territory said that it had </w:t>
      </w:r>
      <w:r w:rsidR="7FC1BEEB" w:rsidRPr="004151BF">
        <w:t xml:space="preserve">substantially poorer baseline health than in equivalent remote, </w:t>
      </w:r>
      <w:r w:rsidR="749A12EB">
        <w:t>First Nations</w:t>
      </w:r>
      <w:r w:rsidR="7FC1BEEB" w:rsidRPr="004151BF">
        <w:t xml:space="preserve"> and aged populations in</w:t>
      </w:r>
      <w:r w:rsidR="23EEF844">
        <w:t xml:space="preserve"> other states.</w:t>
      </w:r>
      <w:r w:rsidR="23125723">
        <w:t xml:space="preserve"> For example, the </w:t>
      </w:r>
      <w:r w:rsidR="63229518">
        <w:t xml:space="preserve">Northern </w:t>
      </w:r>
      <w:r w:rsidR="63229518" w:rsidRPr="006928E1">
        <w:t>Territory has the highest age-standardised rates of admission for kidney</w:t>
      </w:r>
      <w:r w:rsidR="006928E1">
        <w:noBreakHyphen/>
      </w:r>
      <w:r w:rsidR="63229518" w:rsidRPr="006928E1">
        <w:t>related disease, bone, joint and muscular diseases, and injury, poisoning and other external causes</w:t>
      </w:r>
      <w:r w:rsidR="79D3D63B">
        <w:t>.</w:t>
      </w:r>
      <w:r w:rsidR="003B0913">
        <w:t xml:space="preserve"> </w:t>
      </w:r>
      <w:r w:rsidR="00264154">
        <w:t>The No</w:t>
      </w:r>
      <w:r w:rsidR="0066042B">
        <w:t>r</w:t>
      </w:r>
      <w:r w:rsidR="00264154">
        <w:t xml:space="preserve">thern Territory said </w:t>
      </w:r>
      <w:r w:rsidR="00FF1870">
        <w:t>that the r</w:t>
      </w:r>
      <w:r w:rsidR="003B0913">
        <w:t xml:space="preserve">easons </w:t>
      </w:r>
      <w:r w:rsidR="00B47409">
        <w:t>for th</w:t>
      </w:r>
      <w:r w:rsidR="005426F0">
        <w:t>e</w:t>
      </w:r>
      <w:r w:rsidR="00915C6C">
        <w:t xml:space="preserve">se outcomes </w:t>
      </w:r>
      <w:r w:rsidR="00AF6E7A">
        <w:t xml:space="preserve">include lack of aged care services, </w:t>
      </w:r>
      <w:r w:rsidR="003F73F1">
        <w:t xml:space="preserve">overcrowded housing and high rates of homelessness, </w:t>
      </w:r>
      <w:r w:rsidR="003E6B71">
        <w:t xml:space="preserve">unique </w:t>
      </w:r>
      <w:r w:rsidR="00196B7E">
        <w:t xml:space="preserve">geographic </w:t>
      </w:r>
      <w:r w:rsidR="00773E7B">
        <w:t>circumstances, and patient behaviour.</w:t>
      </w:r>
    </w:p>
    <w:p w14:paraId="7329AB73" w14:textId="6158AF7C" w:rsidR="005C0ADB" w:rsidRDefault="00D11E41" w:rsidP="004A37E8">
      <w:pPr>
        <w:pStyle w:val="CGC2025ParaNumbers"/>
      </w:pPr>
      <w:r>
        <w:t xml:space="preserve">The Northern Territory </w:t>
      </w:r>
      <w:r w:rsidR="00ED41CB">
        <w:t xml:space="preserve">said </w:t>
      </w:r>
      <w:r w:rsidRPr="00D11E41">
        <w:t xml:space="preserve">the design of </w:t>
      </w:r>
      <w:r w:rsidR="00ED41CB">
        <w:t>national weighted activity units</w:t>
      </w:r>
      <w:r w:rsidRPr="00D11E41">
        <w:t xml:space="preserve"> already alleviates policy neutrality concerns through national price averaging and accounting for the complexity of activity.</w:t>
      </w:r>
      <w:r w:rsidR="009B5C4A">
        <w:t xml:space="preserve"> It said that </w:t>
      </w:r>
      <w:r w:rsidR="00087BC7">
        <w:t xml:space="preserve">the </w:t>
      </w:r>
      <w:r w:rsidR="009B5C4A">
        <w:t>result</w:t>
      </w:r>
      <w:r w:rsidR="00103F2D">
        <w:t xml:space="preserve"> of </w:t>
      </w:r>
      <w:r w:rsidR="001C7D26">
        <w:t>averaging</w:t>
      </w:r>
      <w:r w:rsidR="00DE0B8A">
        <w:t xml:space="preserve"> is </w:t>
      </w:r>
      <w:r w:rsidR="00221BAF">
        <w:t xml:space="preserve">that </w:t>
      </w:r>
      <w:r w:rsidR="009B5C4A">
        <w:t xml:space="preserve">the </w:t>
      </w:r>
      <w:r w:rsidR="00221BAF">
        <w:t>Northern</w:t>
      </w:r>
      <w:r w:rsidR="00563242">
        <w:t> </w:t>
      </w:r>
      <w:r w:rsidR="009B5C4A">
        <w:t xml:space="preserve">Territory’s assessed </w:t>
      </w:r>
      <w:r w:rsidR="00C72DD5">
        <w:t>national weighted activity units</w:t>
      </w:r>
      <w:r w:rsidR="002F20D0">
        <w:t xml:space="preserve"> are</w:t>
      </w:r>
      <w:r w:rsidR="009B5C4A">
        <w:t xml:space="preserve"> around 20% lower than </w:t>
      </w:r>
      <w:r w:rsidR="004A37E8">
        <w:t>its</w:t>
      </w:r>
      <w:r w:rsidR="009B5C4A">
        <w:t xml:space="preserve"> actual </w:t>
      </w:r>
      <w:r w:rsidR="00C754D0">
        <w:t>national weighted activity units.</w:t>
      </w:r>
    </w:p>
    <w:p w14:paraId="3664A5B6" w14:textId="4B5CAED1" w:rsidR="00EC1032" w:rsidRDefault="00EC1032" w:rsidP="00C61871">
      <w:pPr>
        <w:pStyle w:val="CGC2025ParaNumbers"/>
      </w:pPr>
      <w:r>
        <w:t xml:space="preserve">The Northern Territory said that </w:t>
      </w:r>
      <w:r w:rsidR="0038378B">
        <w:t>assessed</w:t>
      </w:r>
      <w:r w:rsidR="00C61871">
        <w:t xml:space="preserve"> needs</w:t>
      </w:r>
      <w:r>
        <w:t xml:space="preserve"> should be apportioned in line with actual </w:t>
      </w:r>
      <w:r w:rsidR="00C61871">
        <w:t xml:space="preserve">national weighted activity unit </w:t>
      </w:r>
      <w:r>
        <w:t>shares, with consideration given to developing appropriate adjustments to recognise under</w:t>
      </w:r>
      <w:r w:rsidR="00E82C68">
        <w:t>-</w:t>
      </w:r>
      <w:r>
        <w:t>servicing.</w:t>
      </w:r>
    </w:p>
    <w:p w14:paraId="14E91338" w14:textId="21B84646" w:rsidR="00EC1032" w:rsidRDefault="00EC1032" w:rsidP="00073595">
      <w:pPr>
        <w:pStyle w:val="CGC2025ParaNumbers"/>
      </w:pPr>
      <w:r>
        <w:t xml:space="preserve">Alternatively, if adjustments to actual </w:t>
      </w:r>
      <w:r w:rsidR="00185322">
        <w:t>national weighted activity units</w:t>
      </w:r>
      <w:r>
        <w:t xml:space="preserve"> are considered necessary but cannot be developed in time for the 2025 Review, the </w:t>
      </w:r>
      <w:r w:rsidR="00073595">
        <w:t>Northern</w:t>
      </w:r>
      <w:r w:rsidR="009324FA">
        <w:t> </w:t>
      </w:r>
      <w:r>
        <w:t>Territory suggest</w:t>
      </w:r>
      <w:r w:rsidR="00FD7999">
        <w:t>ed</w:t>
      </w:r>
      <w:r>
        <w:t xml:space="preserve"> that approaches to mitigate the limitations of the current methodology include:</w:t>
      </w:r>
    </w:p>
    <w:p w14:paraId="4C930C9B" w14:textId="3DF020CF" w:rsidR="00EC1032" w:rsidRDefault="00E70874" w:rsidP="0008558D">
      <w:pPr>
        <w:pStyle w:val="CGC2025Bullet1"/>
      </w:pPr>
      <w:r>
        <w:t>b</w:t>
      </w:r>
      <w:r w:rsidR="00EC1032">
        <w:t xml:space="preserve">lending average and actual </w:t>
      </w:r>
      <w:r>
        <w:t>national weighted activity unit</w:t>
      </w:r>
      <w:r w:rsidR="00EC1032">
        <w:t xml:space="preserve"> shares (for example, 50% actual and 50% assessed)</w:t>
      </w:r>
      <w:r w:rsidR="00C94E93">
        <w:t>,</w:t>
      </w:r>
      <w:r w:rsidR="00EC1032">
        <w:t xml:space="preserve"> or</w:t>
      </w:r>
    </w:p>
    <w:p w14:paraId="2DC8A69C" w14:textId="5EC0570F" w:rsidR="00EC1032" w:rsidRDefault="009324FA" w:rsidP="0008558D">
      <w:pPr>
        <w:pStyle w:val="CGC2025Bullet1"/>
      </w:pPr>
      <w:r>
        <w:t xml:space="preserve">discounting by </w:t>
      </w:r>
      <w:r w:rsidR="00E70874">
        <w:t>l</w:t>
      </w:r>
      <w:r w:rsidR="00EC1032">
        <w:t xml:space="preserve">imiting the impact of </w:t>
      </w:r>
      <w:r w:rsidR="002F4B36">
        <w:t>national weighted</w:t>
      </w:r>
      <w:r w:rsidR="00105FD8">
        <w:t xml:space="preserve"> activity unit</w:t>
      </w:r>
      <w:r w:rsidR="00EC1032">
        <w:t xml:space="preserve"> averaging (for example, so that averaging does not redistribute more than a set proportion of actual </w:t>
      </w:r>
      <w:r w:rsidR="00AF29A5">
        <w:t>national weighted activity units</w:t>
      </w:r>
      <w:r w:rsidR="00EC1032">
        <w:t>).</w:t>
      </w:r>
    </w:p>
    <w:p w14:paraId="782B0BFB" w14:textId="4E48AD3A" w:rsidR="007B501F" w:rsidRPr="00905F0F" w:rsidRDefault="00C51ACF" w:rsidP="006D5945">
      <w:pPr>
        <w:pStyle w:val="CGC2025ParaNumbers"/>
      </w:pPr>
      <w:r w:rsidRPr="00905F0F">
        <w:t>Queensland su</w:t>
      </w:r>
      <w:r w:rsidR="00DB7E48" w:rsidRPr="00905F0F">
        <w:t xml:space="preserve">pported the </w:t>
      </w:r>
      <w:r w:rsidR="001937CD" w:rsidRPr="00905F0F">
        <w:t>Northern</w:t>
      </w:r>
      <w:r w:rsidR="004667AB" w:rsidRPr="00905F0F">
        <w:t xml:space="preserve"> Territory’s analysis and </w:t>
      </w:r>
      <w:r w:rsidR="00082B1E" w:rsidRPr="00905F0F">
        <w:t xml:space="preserve">proposed solution. </w:t>
      </w:r>
      <w:r w:rsidR="006D5945" w:rsidRPr="00905F0F">
        <w:t>It said that</w:t>
      </w:r>
      <w:r w:rsidR="007A0B9A" w:rsidRPr="00905F0F">
        <w:t xml:space="preserve"> the</w:t>
      </w:r>
      <w:r w:rsidR="006D5945" w:rsidRPr="00905F0F">
        <w:t xml:space="preserve"> </w:t>
      </w:r>
      <w:r w:rsidR="00B03CAD" w:rsidRPr="00905F0F">
        <w:t xml:space="preserve">current </w:t>
      </w:r>
      <w:r w:rsidR="007A0B9A" w:rsidRPr="00905F0F">
        <w:t>averaging process mask</w:t>
      </w:r>
      <w:r w:rsidR="00B03CAD" w:rsidRPr="00905F0F">
        <w:t>s</w:t>
      </w:r>
      <w:r w:rsidR="007A0B9A" w:rsidRPr="00905F0F">
        <w:t xml:space="preserve"> meaningful variations among states </w:t>
      </w:r>
      <w:r w:rsidR="00B03CAD" w:rsidRPr="00905F0F">
        <w:t xml:space="preserve">and </w:t>
      </w:r>
      <w:r w:rsidR="004878AA" w:rsidRPr="00905F0F">
        <w:t xml:space="preserve">that </w:t>
      </w:r>
      <w:r w:rsidR="006D5945" w:rsidRPr="00905F0F">
        <w:t>actual national weighted activity units are a more genuine reflection of underlying health needs.</w:t>
      </w:r>
    </w:p>
    <w:p w14:paraId="355D2A1B" w14:textId="0E37015E" w:rsidR="00C90FFC" w:rsidRPr="00905F0F" w:rsidRDefault="00C90FFC" w:rsidP="007C36D8">
      <w:pPr>
        <w:pStyle w:val="CGC2025ParaNumbers"/>
      </w:pPr>
      <w:r w:rsidRPr="00905F0F">
        <w:t xml:space="preserve">Queensland said that </w:t>
      </w:r>
      <w:r w:rsidR="008A4F74" w:rsidRPr="00905F0F">
        <w:t xml:space="preserve">its </w:t>
      </w:r>
      <w:r w:rsidR="00E02937" w:rsidRPr="00905F0F">
        <w:t xml:space="preserve">population had a disproportionally higher underlying health need compared </w:t>
      </w:r>
      <w:r w:rsidR="00070379">
        <w:t>with</w:t>
      </w:r>
      <w:r w:rsidR="00E02937" w:rsidRPr="00905F0F">
        <w:t xml:space="preserve"> the average of other states. </w:t>
      </w:r>
      <w:r w:rsidR="00EE7C41" w:rsidRPr="00905F0F">
        <w:t>It said that d</w:t>
      </w:r>
      <w:r w:rsidR="007C36D8" w:rsidRPr="00905F0F">
        <w:t xml:space="preserve">espite the </w:t>
      </w:r>
      <w:r w:rsidR="007C36D8" w:rsidRPr="00905F0F">
        <w:lastRenderedPageBreak/>
        <w:t xml:space="preserve">disproportionate and challenging health need in Queensland, the current averaging process assesses the state as having a healthier population than it </w:t>
      </w:r>
      <w:proofErr w:type="gramStart"/>
      <w:r w:rsidR="007C36D8" w:rsidRPr="00905F0F">
        <w:t>actually does</w:t>
      </w:r>
      <w:proofErr w:type="gramEnd"/>
      <w:r w:rsidR="007C36D8" w:rsidRPr="00905F0F">
        <w:t xml:space="preserve">, and attributes higher health activity to a policy choice that implies an </w:t>
      </w:r>
      <w:r w:rsidR="008726DF">
        <w:t>‘</w:t>
      </w:r>
      <w:r w:rsidR="007C36D8" w:rsidRPr="00905F0F">
        <w:t>overservicing</w:t>
      </w:r>
      <w:r w:rsidR="008726DF">
        <w:t>’</w:t>
      </w:r>
      <w:r w:rsidR="007C36D8" w:rsidRPr="00905F0F">
        <w:t xml:space="preserve"> of Queensland</w:t>
      </w:r>
      <w:r w:rsidR="00FE4D7E" w:rsidRPr="00905F0F">
        <w:t>’s</w:t>
      </w:r>
      <w:r w:rsidR="007C36D8" w:rsidRPr="00905F0F">
        <w:t xml:space="preserve"> health needs. </w:t>
      </w:r>
      <w:r w:rsidR="002E6B7E" w:rsidRPr="00905F0F">
        <w:t>It said t</w:t>
      </w:r>
      <w:r w:rsidR="007C36D8" w:rsidRPr="00905F0F">
        <w:t>he current assessment fails to rationalise why, despite this implied overservicing, Queenslanders continue to have poorer health outcomes than the national average.</w:t>
      </w:r>
    </w:p>
    <w:p w14:paraId="3F1C0955" w14:textId="77777777" w:rsidR="00AE3523" w:rsidRPr="00905F0F" w:rsidRDefault="00AE3523" w:rsidP="00AE3523">
      <w:pPr>
        <w:pStyle w:val="Heading4"/>
      </w:pPr>
      <w:r w:rsidRPr="00905F0F">
        <w:t>Commission response</w:t>
      </w:r>
    </w:p>
    <w:p w14:paraId="05B8FFE7" w14:textId="75301C3C" w:rsidR="00971CF1" w:rsidRPr="00905F0F" w:rsidRDefault="00763FB6" w:rsidP="00AE3523">
      <w:pPr>
        <w:pStyle w:val="CGC2025ParaNumbers"/>
      </w:pPr>
      <w:r w:rsidRPr="00905F0F">
        <w:t xml:space="preserve">The health assessment </w:t>
      </w:r>
      <w:r w:rsidR="00D6490E" w:rsidRPr="00905F0F">
        <w:t xml:space="preserve">uses </w:t>
      </w:r>
      <w:r w:rsidR="00340BD9" w:rsidRPr="00905F0F">
        <w:t xml:space="preserve">national </w:t>
      </w:r>
      <w:r w:rsidR="00C03D4D" w:rsidRPr="00905F0F">
        <w:t>weighted activity units</w:t>
      </w:r>
      <w:r w:rsidR="00C63A1A" w:rsidRPr="00905F0F">
        <w:t xml:space="preserve">, disaggregated by </w:t>
      </w:r>
      <w:r w:rsidR="0044211A" w:rsidRPr="00905F0F">
        <w:t>socio</w:t>
      </w:r>
      <w:r w:rsidR="00C61890" w:rsidRPr="00905F0F">
        <w:noBreakHyphen/>
      </w:r>
      <w:r w:rsidR="0044211A" w:rsidRPr="00905F0F">
        <w:t>demographic</w:t>
      </w:r>
      <w:r w:rsidR="00390F40" w:rsidRPr="00905F0F">
        <w:t xml:space="preserve"> groups, at a national level to </w:t>
      </w:r>
      <w:r w:rsidR="00865E4E" w:rsidRPr="00905F0F">
        <w:t>estimate a policy</w:t>
      </w:r>
      <w:r w:rsidR="00B371E0" w:rsidRPr="00905F0F">
        <w:t xml:space="preserve"> </w:t>
      </w:r>
      <w:r w:rsidR="00865E4E" w:rsidRPr="00905F0F">
        <w:t xml:space="preserve">neutral </w:t>
      </w:r>
      <w:r w:rsidR="00CC5E3E" w:rsidRPr="00905F0F">
        <w:t xml:space="preserve">average level of </w:t>
      </w:r>
      <w:r w:rsidR="001F607C" w:rsidRPr="00905F0F">
        <w:t xml:space="preserve">state </w:t>
      </w:r>
      <w:r w:rsidR="003929CD" w:rsidRPr="00905F0F">
        <w:t xml:space="preserve">health </w:t>
      </w:r>
      <w:r w:rsidR="00CC5E3E" w:rsidRPr="00905F0F">
        <w:t>spending</w:t>
      </w:r>
      <w:r w:rsidR="001F607C" w:rsidRPr="00905F0F">
        <w:t xml:space="preserve">. </w:t>
      </w:r>
      <w:r w:rsidR="009D5F94" w:rsidRPr="00905F0F">
        <w:t>Underpinning this approach is an assumption that people in similar ci</w:t>
      </w:r>
      <w:r w:rsidR="008D581D" w:rsidRPr="00905F0F">
        <w:t>rcumstances</w:t>
      </w:r>
      <w:r w:rsidR="002A336F" w:rsidRPr="00905F0F">
        <w:t xml:space="preserve"> are likely to use health services </w:t>
      </w:r>
      <w:r w:rsidR="000167E6" w:rsidRPr="00905F0F">
        <w:t>at a sim</w:t>
      </w:r>
      <w:r w:rsidR="009C536C" w:rsidRPr="00905F0F">
        <w:t>ilar rate</w:t>
      </w:r>
      <w:r w:rsidR="00001D2F" w:rsidRPr="00905F0F">
        <w:t>.</w:t>
      </w:r>
    </w:p>
    <w:p w14:paraId="253DEA6E" w14:textId="711D0D04" w:rsidR="00AA3945" w:rsidRPr="00905F0F" w:rsidRDefault="00AA3945" w:rsidP="00AE3523">
      <w:pPr>
        <w:pStyle w:val="CGC2025ParaNumbers"/>
      </w:pPr>
      <w:r w:rsidRPr="00905F0F">
        <w:t>The Northern Territory</w:t>
      </w:r>
      <w:r w:rsidR="002F3391" w:rsidRPr="00905F0F">
        <w:t xml:space="preserve"> </w:t>
      </w:r>
      <w:r w:rsidR="00FF001C" w:rsidRPr="00905F0F">
        <w:t>presented evidence that this is not the case for it</w:t>
      </w:r>
      <w:r w:rsidR="006B1563" w:rsidRPr="00905F0F">
        <w:t xml:space="preserve">s </w:t>
      </w:r>
      <w:r w:rsidR="00CF1DD6" w:rsidRPr="00905F0F">
        <w:t>remote</w:t>
      </w:r>
      <w:r w:rsidR="00BF21F0" w:rsidRPr="00905F0F">
        <w:t xml:space="preserve">, </w:t>
      </w:r>
      <w:r w:rsidR="00FC70D5" w:rsidRPr="00905F0F">
        <w:t>F</w:t>
      </w:r>
      <w:r w:rsidR="00BF21F0" w:rsidRPr="00905F0F">
        <w:t xml:space="preserve">irst </w:t>
      </w:r>
      <w:r w:rsidR="00FC70D5" w:rsidRPr="00905F0F">
        <w:t>N</w:t>
      </w:r>
      <w:r w:rsidR="00BF21F0" w:rsidRPr="00905F0F">
        <w:t>ations</w:t>
      </w:r>
      <w:r w:rsidR="00FC70D5" w:rsidRPr="00905F0F">
        <w:t xml:space="preserve"> population</w:t>
      </w:r>
      <w:r w:rsidR="00B90C4F" w:rsidRPr="00905F0F">
        <w:t xml:space="preserve">, </w:t>
      </w:r>
      <w:r w:rsidR="00735E23" w:rsidRPr="00905F0F">
        <w:t xml:space="preserve">based on age standardised </w:t>
      </w:r>
      <w:r w:rsidR="00A37F7A" w:rsidRPr="00905F0F">
        <w:t xml:space="preserve">death rates and </w:t>
      </w:r>
      <w:r w:rsidR="008F46A6" w:rsidRPr="00905F0F">
        <w:t xml:space="preserve">hospital admissions for 3 disease groups. </w:t>
      </w:r>
      <w:r w:rsidR="007C52F8" w:rsidRPr="00905F0F">
        <w:t xml:space="preserve">It also </w:t>
      </w:r>
      <w:r w:rsidR="00693051" w:rsidRPr="00905F0F">
        <w:t xml:space="preserve">presented information on the </w:t>
      </w:r>
      <w:r w:rsidR="00FB6384" w:rsidRPr="00905F0F">
        <w:t>difference between assessed and actual national weighted activity units</w:t>
      </w:r>
      <w:r w:rsidR="0025442D" w:rsidRPr="00905F0F">
        <w:t xml:space="preserve">, which showed </w:t>
      </w:r>
      <w:r w:rsidR="00593903" w:rsidRPr="00905F0F">
        <w:t>the Northern Territory’s assessed national weighted activity units being around 20%</w:t>
      </w:r>
      <w:r w:rsidR="002056EF">
        <w:t> </w:t>
      </w:r>
      <w:r w:rsidR="00593903" w:rsidRPr="00905F0F">
        <w:t xml:space="preserve">lower than the actual </w:t>
      </w:r>
      <w:r w:rsidR="008D513B" w:rsidRPr="00905F0F">
        <w:t>national weighted activity units</w:t>
      </w:r>
      <w:r w:rsidR="0078722A" w:rsidRPr="00905F0F">
        <w:t xml:space="preserve">, </w:t>
      </w:r>
      <w:r w:rsidR="009D459A" w:rsidRPr="00905F0F">
        <w:t>implying</w:t>
      </w:r>
      <w:r w:rsidR="0078722A" w:rsidRPr="00905F0F">
        <w:t xml:space="preserve"> that it over</w:t>
      </w:r>
      <w:r w:rsidR="009D459A" w:rsidRPr="00905F0F">
        <w:t>services its population</w:t>
      </w:r>
      <w:r w:rsidR="008D513B" w:rsidRPr="00905F0F">
        <w:t>.</w:t>
      </w:r>
    </w:p>
    <w:p w14:paraId="7E1AFC87" w14:textId="48A56056" w:rsidR="00CB4E3F" w:rsidRPr="00905F0F" w:rsidRDefault="0001477F" w:rsidP="00E3603E">
      <w:pPr>
        <w:pStyle w:val="CGC2025ParaNumbers"/>
      </w:pPr>
      <w:r w:rsidRPr="00905F0F">
        <w:t xml:space="preserve">The Commission does not currently have </w:t>
      </w:r>
      <w:r w:rsidR="00C90650" w:rsidRPr="00905F0F">
        <w:t>access to actual state national weighted activity units. However, s</w:t>
      </w:r>
      <w:r w:rsidR="00573089" w:rsidRPr="00905F0F">
        <w:t xml:space="preserve">tate </w:t>
      </w:r>
      <w:r w:rsidR="0028140E" w:rsidRPr="00905F0F">
        <w:t xml:space="preserve">hospital expenses are related to </w:t>
      </w:r>
      <w:r w:rsidR="00C26BF0" w:rsidRPr="00905F0F">
        <w:t>actual national weighted activity units</w:t>
      </w:r>
      <w:r w:rsidR="00500C8D" w:rsidRPr="00905F0F">
        <w:t xml:space="preserve">. </w:t>
      </w:r>
      <w:r w:rsidR="00ED0C89" w:rsidRPr="00905F0F">
        <w:t>Most h</w:t>
      </w:r>
      <w:r w:rsidR="00B36453" w:rsidRPr="00905F0F">
        <w:t xml:space="preserve">ospitals are funded </w:t>
      </w:r>
      <w:r w:rsidR="00D240ED" w:rsidRPr="00905F0F">
        <w:t xml:space="preserve">based on the national efficient price of hospital services and </w:t>
      </w:r>
      <w:r w:rsidR="00ED0C89" w:rsidRPr="00905F0F">
        <w:t xml:space="preserve">the </w:t>
      </w:r>
      <w:r w:rsidR="0037486A" w:rsidRPr="00905F0F">
        <w:t>volume</w:t>
      </w:r>
      <w:r w:rsidR="00ED0C89" w:rsidRPr="00905F0F">
        <w:t xml:space="preserve"> of services performed in hospital</w:t>
      </w:r>
      <w:r w:rsidR="00D53200" w:rsidRPr="00905F0F">
        <w:t>s,</w:t>
      </w:r>
      <w:r w:rsidR="00D53200">
        <w:t xml:space="preserve"> </w:t>
      </w:r>
      <w:r w:rsidR="00D53200" w:rsidRPr="00905F0F">
        <w:t>measured by</w:t>
      </w:r>
      <w:r w:rsidR="00ED0C89" w:rsidRPr="00905F0F">
        <w:t xml:space="preserve"> national weighted activity units</w:t>
      </w:r>
      <w:r w:rsidR="00D53200" w:rsidRPr="00905F0F">
        <w:t>.</w:t>
      </w:r>
      <w:r w:rsidR="002A4CC1" w:rsidRPr="00905F0F">
        <w:rPr>
          <w:rStyle w:val="FootnoteReference"/>
        </w:rPr>
        <w:footnoteReference w:id="26"/>
      </w:r>
      <w:r w:rsidR="00D53200" w:rsidRPr="00905F0F">
        <w:t xml:space="preserve"> </w:t>
      </w:r>
      <w:r w:rsidR="00AC2687" w:rsidRPr="00905F0F">
        <w:t>However, i</w:t>
      </w:r>
      <w:r w:rsidR="00267F6D" w:rsidRPr="00905F0F">
        <w:t xml:space="preserve">f a hospital is </w:t>
      </w:r>
      <w:r w:rsidR="00A124D0" w:rsidRPr="00905F0F">
        <w:t>provid</w:t>
      </w:r>
      <w:r w:rsidR="00926007" w:rsidRPr="00905F0F">
        <w:t>ing</w:t>
      </w:r>
      <w:r w:rsidR="00A124D0" w:rsidRPr="00905F0F">
        <w:t xml:space="preserve"> services below the national efficient price, states </w:t>
      </w:r>
      <w:r w:rsidR="005F4EBA" w:rsidRPr="00905F0F">
        <w:t xml:space="preserve">have reduced costs, and vice versa. </w:t>
      </w:r>
      <w:r w:rsidR="00335B5E" w:rsidRPr="00905F0F">
        <w:t xml:space="preserve">A comparison </w:t>
      </w:r>
      <w:r w:rsidR="00251C6D" w:rsidRPr="00905F0F">
        <w:t xml:space="preserve">of </w:t>
      </w:r>
      <w:r w:rsidR="00527A3C" w:rsidRPr="00905F0F">
        <w:t xml:space="preserve">state actual and assessed expenses </w:t>
      </w:r>
      <w:r w:rsidR="005F1999" w:rsidRPr="00905F0F">
        <w:t xml:space="preserve">is shown </w:t>
      </w:r>
      <w:r w:rsidR="00F21478" w:rsidRPr="00905F0F">
        <w:t>in</w:t>
      </w:r>
      <w:r w:rsidR="008A4997" w:rsidRPr="00905F0F">
        <w:t xml:space="preserve"> </w:t>
      </w:r>
      <w:r w:rsidR="009B385F">
        <w:t>Table 16</w:t>
      </w:r>
      <w:r w:rsidR="008A4997" w:rsidRPr="00905F0F">
        <w:t xml:space="preserve">. </w:t>
      </w:r>
    </w:p>
    <w:p w14:paraId="6C56C811" w14:textId="121400B6" w:rsidR="00A766D6" w:rsidRPr="00905F0F" w:rsidRDefault="009D459A" w:rsidP="00E3603E">
      <w:pPr>
        <w:pStyle w:val="CGC2025ParaNumbers"/>
      </w:pPr>
      <w:r w:rsidRPr="00905F0F">
        <w:t>Based on the 20</w:t>
      </w:r>
      <w:r w:rsidR="007E6FFC" w:rsidRPr="00905F0F">
        <w:t>20</w:t>
      </w:r>
      <w:r w:rsidRPr="00905F0F">
        <w:t xml:space="preserve"> </w:t>
      </w:r>
      <w:r w:rsidR="007E6FFC" w:rsidRPr="00905F0F">
        <w:t xml:space="preserve">Review </w:t>
      </w:r>
      <w:r w:rsidR="000A18E3" w:rsidRPr="00905F0F">
        <w:t>method there</w:t>
      </w:r>
      <w:r w:rsidR="00004E50" w:rsidRPr="00905F0F">
        <w:t xml:space="preserve"> are reasonably large differences </w:t>
      </w:r>
      <w:r w:rsidR="00615D1E" w:rsidRPr="00905F0F">
        <w:t xml:space="preserve">between </w:t>
      </w:r>
      <w:r w:rsidR="00E64C8E" w:rsidRPr="00905F0F">
        <w:t xml:space="preserve">actual and assessed expenses </w:t>
      </w:r>
      <w:r w:rsidR="005764B1" w:rsidRPr="00905F0F">
        <w:t xml:space="preserve">for </w:t>
      </w:r>
      <w:r w:rsidR="00564F6C" w:rsidRPr="00905F0F">
        <w:t xml:space="preserve">multiple states </w:t>
      </w:r>
      <w:r w:rsidR="001D5943" w:rsidRPr="00905F0F">
        <w:t>in addition to</w:t>
      </w:r>
      <w:r w:rsidR="00ED192A" w:rsidRPr="00905F0F">
        <w:t xml:space="preserve"> </w:t>
      </w:r>
      <w:r w:rsidR="001455BD" w:rsidRPr="00905F0F">
        <w:t xml:space="preserve">Queensland and </w:t>
      </w:r>
      <w:r w:rsidR="00ED192A" w:rsidRPr="00905F0F">
        <w:t xml:space="preserve">the Northern Territory. This may suggest that the </w:t>
      </w:r>
      <w:r w:rsidR="000A18E3" w:rsidRPr="00905F0F">
        <w:t>202</w:t>
      </w:r>
      <w:r w:rsidR="007E6FFC" w:rsidRPr="00905F0F">
        <w:t xml:space="preserve">0 </w:t>
      </w:r>
      <w:r w:rsidR="009D2683">
        <w:t>R</w:t>
      </w:r>
      <w:r w:rsidR="007E6FFC" w:rsidRPr="00905F0F">
        <w:t>eview approach was</w:t>
      </w:r>
      <w:r w:rsidR="00A26111" w:rsidRPr="00905F0F">
        <w:t xml:space="preserve"> </w:t>
      </w:r>
      <w:r w:rsidR="00ED192A" w:rsidRPr="00905F0F">
        <w:t xml:space="preserve">missing drivers of need for socio-demographic groups in addition to those identified by </w:t>
      </w:r>
      <w:r w:rsidR="007C49D1" w:rsidRPr="00905F0F">
        <w:t xml:space="preserve">Queensland and </w:t>
      </w:r>
      <w:r w:rsidR="00ED192A" w:rsidRPr="00905F0F">
        <w:t>the Northern Territory.</w:t>
      </w:r>
      <w:r w:rsidR="00DE734D" w:rsidRPr="00905F0F">
        <w:t xml:space="preserve"> </w:t>
      </w:r>
    </w:p>
    <w:p w14:paraId="58462C49" w14:textId="530443BE" w:rsidR="006C31E0" w:rsidRDefault="00D8696B" w:rsidP="0008558D">
      <w:pPr>
        <w:pStyle w:val="CGC2025Caption"/>
        <w:tabs>
          <w:tab w:val="left" w:pos="1134"/>
        </w:tabs>
      </w:pPr>
      <w:bookmarkStart w:id="81" w:name="_Ref151540058"/>
      <w:r>
        <w:t xml:space="preserve">Table </w:t>
      </w:r>
      <w:r>
        <w:fldChar w:fldCharType="begin"/>
      </w:r>
      <w:r>
        <w:instrText>SEQ Table \* ARABIC</w:instrText>
      </w:r>
      <w:r>
        <w:fldChar w:fldCharType="separate"/>
      </w:r>
      <w:r w:rsidR="00581B01">
        <w:rPr>
          <w:noProof/>
        </w:rPr>
        <w:t>16</w:t>
      </w:r>
      <w:r>
        <w:fldChar w:fldCharType="end"/>
      </w:r>
      <w:bookmarkEnd w:id="81"/>
      <w:r>
        <w:tab/>
        <w:t>Ratio actual to assessed hospital expenses, 2021</w:t>
      </w:r>
      <w:r w:rsidR="00C77549">
        <w:t>–</w:t>
      </w:r>
      <w:proofErr w:type="gramStart"/>
      <w:r>
        <w:t>22</w:t>
      </w:r>
      <w:proofErr w:type="gramEnd"/>
    </w:p>
    <w:tbl>
      <w:tblPr>
        <w:tblW w:w="8942" w:type="dxa"/>
        <w:tblLook w:val="04A0" w:firstRow="1" w:lastRow="0" w:firstColumn="1" w:lastColumn="0" w:noHBand="0" w:noVBand="1"/>
      </w:tblPr>
      <w:tblGrid>
        <w:gridCol w:w="2282"/>
        <w:gridCol w:w="740"/>
        <w:gridCol w:w="740"/>
        <w:gridCol w:w="740"/>
        <w:gridCol w:w="740"/>
        <w:gridCol w:w="740"/>
        <w:gridCol w:w="740"/>
        <w:gridCol w:w="740"/>
        <w:gridCol w:w="740"/>
        <w:gridCol w:w="740"/>
      </w:tblGrid>
      <w:tr w:rsidR="00144B20" w:rsidRPr="00144B20" w14:paraId="6A794008" w14:textId="77777777" w:rsidTr="00DB109A">
        <w:trPr>
          <w:trHeight w:val="375"/>
        </w:trPr>
        <w:tc>
          <w:tcPr>
            <w:tcW w:w="2320" w:type="dxa"/>
            <w:tcBorders>
              <w:top w:val="nil"/>
              <w:left w:val="nil"/>
              <w:bottom w:val="nil"/>
              <w:right w:val="nil"/>
            </w:tcBorders>
            <w:shd w:val="clear" w:color="000000" w:fill="006991"/>
            <w:vAlign w:val="center"/>
            <w:hideMark/>
          </w:tcPr>
          <w:p w14:paraId="171DCCF4" w14:textId="77777777" w:rsidR="00144B20" w:rsidRPr="00144B20" w:rsidRDefault="00144B20" w:rsidP="00144B20">
            <w:pPr>
              <w:tabs>
                <w:tab w:val="clear" w:pos="567"/>
              </w:tabs>
              <w:spacing w:before="0" w:line="240" w:lineRule="auto"/>
              <w:rPr>
                <w:rFonts w:ascii="Open Sans Semibold" w:eastAsia="Times New Roman" w:hAnsi="Open Sans Semibold" w:cs="Open Sans Semibold"/>
                <w:color w:val="FFFFFF"/>
                <w:sz w:val="16"/>
                <w:szCs w:val="16"/>
                <w:lang w:eastAsia="en-AU"/>
              </w:rPr>
            </w:pPr>
            <w:r w:rsidRPr="00144B20">
              <w:rPr>
                <w:rFonts w:ascii="Open Sans Semibold" w:eastAsia="Times New Roman" w:hAnsi="Open Sans Semibold" w:cs="Open Sans Semibold"/>
                <w:color w:val="FFFFFF"/>
                <w:sz w:val="16"/>
                <w:szCs w:val="16"/>
                <w:lang w:eastAsia="en-AU"/>
              </w:rPr>
              <w:t> </w:t>
            </w:r>
          </w:p>
        </w:tc>
        <w:tc>
          <w:tcPr>
            <w:tcW w:w="740" w:type="dxa"/>
            <w:tcBorders>
              <w:top w:val="nil"/>
              <w:left w:val="nil"/>
              <w:bottom w:val="nil"/>
              <w:right w:val="nil"/>
            </w:tcBorders>
            <w:shd w:val="clear" w:color="000000" w:fill="006991"/>
            <w:vAlign w:val="center"/>
            <w:hideMark/>
          </w:tcPr>
          <w:p w14:paraId="6D4C7DB6" w14:textId="77777777" w:rsidR="00144B20" w:rsidRPr="00144B20" w:rsidRDefault="00144B20"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44B20">
              <w:rPr>
                <w:rFonts w:ascii="Open Sans Semibold" w:eastAsia="Times New Roman" w:hAnsi="Open Sans Semibold" w:cs="Open Sans Semibold"/>
                <w:color w:val="FFFFFF"/>
                <w:sz w:val="16"/>
                <w:szCs w:val="16"/>
                <w:lang w:eastAsia="en-AU"/>
              </w:rPr>
              <w:t>NSW</w:t>
            </w:r>
          </w:p>
        </w:tc>
        <w:tc>
          <w:tcPr>
            <w:tcW w:w="740" w:type="dxa"/>
            <w:tcBorders>
              <w:top w:val="nil"/>
              <w:left w:val="nil"/>
              <w:bottom w:val="nil"/>
              <w:right w:val="nil"/>
            </w:tcBorders>
            <w:shd w:val="clear" w:color="000000" w:fill="006991"/>
            <w:vAlign w:val="center"/>
            <w:hideMark/>
          </w:tcPr>
          <w:p w14:paraId="2A7F9D7D" w14:textId="77777777" w:rsidR="00144B20" w:rsidRPr="00144B20" w:rsidRDefault="00144B20"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44B20">
              <w:rPr>
                <w:rFonts w:ascii="Open Sans Semibold" w:eastAsia="Times New Roman" w:hAnsi="Open Sans Semibold" w:cs="Open Sans Semibold"/>
                <w:color w:val="FFFFFF"/>
                <w:sz w:val="16"/>
                <w:szCs w:val="16"/>
                <w:lang w:eastAsia="en-AU"/>
              </w:rPr>
              <w:t>Vic</w:t>
            </w:r>
          </w:p>
        </w:tc>
        <w:tc>
          <w:tcPr>
            <w:tcW w:w="740" w:type="dxa"/>
            <w:tcBorders>
              <w:top w:val="nil"/>
              <w:left w:val="nil"/>
              <w:bottom w:val="nil"/>
              <w:right w:val="nil"/>
            </w:tcBorders>
            <w:shd w:val="clear" w:color="000000" w:fill="006991"/>
            <w:vAlign w:val="center"/>
            <w:hideMark/>
          </w:tcPr>
          <w:p w14:paraId="7CC98D50" w14:textId="77777777" w:rsidR="00144B20" w:rsidRPr="00144B20" w:rsidRDefault="00144B20"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44B20">
              <w:rPr>
                <w:rFonts w:ascii="Open Sans Semibold" w:eastAsia="Times New Roman" w:hAnsi="Open Sans Semibold" w:cs="Open Sans Semibold"/>
                <w:color w:val="FFFFFF"/>
                <w:sz w:val="16"/>
                <w:szCs w:val="16"/>
                <w:lang w:eastAsia="en-AU"/>
              </w:rPr>
              <w:t>Qld</w:t>
            </w:r>
          </w:p>
        </w:tc>
        <w:tc>
          <w:tcPr>
            <w:tcW w:w="740" w:type="dxa"/>
            <w:tcBorders>
              <w:top w:val="nil"/>
              <w:left w:val="nil"/>
              <w:bottom w:val="nil"/>
              <w:right w:val="nil"/>
            </w:tcBorders>
            <w:shd w:val="clear" w:color="000000" w:fill="006991"/>
            <w:vAlign w:val="center"/>
            <w:hideMark/>
          </w:tcPr>
          <w:p w14:paraId="5B3F2C26" w14:textId="77777777" w:rsidR="00144B20" w:rsidRPr="00144B20" w:rsidRDefault="00144B20"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44B20">
              <w:rPr>
                <w:rFonts w:ascii="Open Sans Semibold" w:eastAsia="Times New Roman" w:hAnsi="Open Sans Semibold" w:cs="Open Sans Semibold"/>
                <w:color w:val="FFFFFF"/>
                <w:sz w:val="16"/>
                <w:szCs w:val="16"/>
                <w:lang w:eastAsia="en-AU"/>
              </w:rPr>
              <w:t>WA</w:t>
            </w:r>
          </w:p>
        </w:tc>
        <w:tc>
          <w:tcPr>
            <w:tcW w:w="740" w:type="dxa"/>
            <w:tcBorders>
              <w:top w:val="nil"/>
              <w:left w:val="nil"/>
              <w:bottom w:val="nil"/>
              <w:right w:val="nil"/>
            </w:tcBorders>
            <w:shd w:val="clear" w:color="000000" w:fill="006991"/>
            <w:vAlign w:val="center"/>
            <w:hideMark/>
          </w:tcPr>
          <w:p w14:paraId="218D91D6" w14:textId="77777777" w:rsidR="00144B20" w:rsidRPr="00144B20" w:rsidRDefault="00144B20"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44B20">
              <w:rPr>
                <w:rFonts w:ascii="Open Sans Semibold" w:eastAsia="Times New Roman" w:hAnsi="Open Sans Semibold" w:cs="Open Sans Semibold"/>
                <w:color w:val="FFFFFF"/>
                <w:sz w:val="16"/>
                <w:szCs w:val="16"/>
                <w:lang w:eastAsia="en-AU"/>
              </w:rPr>
              <w:t>SA</w:t>
            </w:r>
          </w:p>
        </w:tc>
        <w:tc>
          <w:tcPr>
            <w:tcW w:w="740" w:type="dxa"/>
            <w:tcBorders>
              <w:top w:val="nil"/>
              <w:left w:val="nil"/>
              <w:bottom w:val="nil"/>
              <w:right w:val="nil"/>
            </w:tcBorders>
            <w:shd w:val="clear" w:color="000000" w:fill="006991"/>
            <w:vAlign w:val="center"/>
            <w:hideMark/>
          </w:tcPr>
          <w:p w14:paraId="4F208506" w14:textId="77777777" w:rsidR="00144B20" w:rsidRPr="00144B20" w:rsidRDefault="00144B20"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44B20">
              <w:rPr>
                <w:rFonts w:ascii="Open Sans Semibold" w:eastAsia="Times New Roman" w:hAnsi="Open Sans Semibold" w:cs="Open Sans Semibold"/>
                <w:color w:val="FFFFFF"/>
                <w:sz w:val="16"/>
                <w:szCs w:val="16"/>
                <w:lang w:eastAsia="en-AU"/>
              </w:rPr>
              <w:t>Tas</w:t>
            </w:r>
          </w:p>
        </w:tc>
        <w:tc>
          <w:tcPr>
            <w:tcW w:w="740" w:type="dxa"/>
            <w:tcBorders>
              <w:top w:val="nil"/>
              <w:left w:val="nil"/>
              <w:bottom w:val="nil"/>
              <w:right w:val="nil"/>
            </w:tcBorders>
            <w:shd w:val="clear" w:color="000000" w:fill="006991"/>
            <w:vAlign w:val="center"/>
            <w:hideMark/>
          </w:tcPr>
          <w:p w14:paraId="2D9C1F8E" w14:textId="77777777" w:rsidR="00144B20" w:rsidRPr="00144B20" w:rsidRDefault="00144B20"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44B20">
              <w:rPr>
                <w:rFonts w:ascii="Open Sans Semibold" w:eastAsia="Times New Roman" w:hAnsi="Open Sans Semibold" w:cs="Open Sans Semibold"/>
                <w:color w:val="FFFFFF"/>
                <w:sz w:val="16"/>
                <w:szCs w:val="16"/>
                <w:lang w:eastAsia="en-AU"/>
              </w:rPr>
              <w:t>ACT</w:t>
            </w:r>
          </w:p>
        </w:tc>
        <w:tc>
          <w:tcPr>
            <w:tcW w:w="740" w:type="dxa"/>
            <w:tcBorders>
              <w:top w:val="nil"/>
              <w:left w:val="nil"/>
              <w:bottom w:val="nil"/>
              <w:right w:val="nil"/>
            </w:tcBorders>
            <w:shd w:val="clear" w:color="000000" w:fill="006991"/>
            <w:vAlign w:val="center"/>
            <w:hideMark/>
          </w:tcPr>
          <w:p w14:paraId="59736566" w14:textId="77777777" w:rsidR="00144B20" w:rsidRPr="00144B20" w:rsidRDefault="00144B20"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44B20">
              <w:rPr>
                <w:rFonts w:ascii="Open Sans Semibold" w:eastAsia="Times New Roman" w:hAnsi="Open Sans Semibold" w:cs="Open Sans Semibold"/>
                <w:color w:val="FFFFFF"/>
                <w:sz w:val="16"/>
                <w:szCs w:val="16"/>
                <w:lang w:eastAsia="en-AU"/>
              </w:rPr>
              <w:t>NT</w:t>
            </w:r>
          </w:p>
        </w:tc>
        <w:tc>
          <w:tcPr>
            <w:tcW w:w="740" w:type="dxa"/>
            <w:tcBorders>
              <w:top w:val="nil"/>
              <w:left w:val="nil"/>
              <w:bottom w:val="nil"/>
              <w:right w:val="nil"/>
            </w:tcBorders>
            <w:shd w:val="clear" w:color="000000" w:fill="006991"/>
            <w:vAlign w:val="center"/>
            <w:hideMark/>
          </w:tcPr>
          <w:p w14:paraId="3B05D997" w14:textId="77777777" w:rsidR="00144B20" w:rsidRPr="00144B20" w:rsidRDefault="00144B20"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44B20">
              <w:rPr>
                <w:rFonts w:ascii="Open Sans Semibold" w:eastAsia="Times New Roman" w:hAnsi="Open Sans Semibold" w:cs="Open Sans Semibold"/>
                <w:color w:val="FFFFFF"/>
                <w:sz w:val="16"/>
                <w:szCs w:val="16"/>
                <w:lang w:eastAsia="en-AU"/>
              </w:rPr>
              <w:t>Total</w:t>
            </w:r>
          </w:p>
        </w:tc>
      </w:tr>
      <w:tr w:rsidR="00144B20" w:rsidRPr="00144B20" w14:paraId="1C390DAD" w14:textId="77777777" w:rsidTr="00DB109A">
        <w:trPr>
          <w:trHeight w:val="315"/>
        </w:trPr>
        <w:tc>
          <w:tcPr>
            <w:tcW w:w="2320" w:type="dxa"/>
            <w:tcBorders>
              <w:top w:val="single" w:sz="4" w:space="0" w:color="ADD6EA"/>
              <w:left w:val="nil"/>
              <w:bottom w:val="single" w:sz="4" w:space="0" w:color="ADD6EA"/>
              <w:right w:val="nil"/>
            </w:tcBorders>
            <w:shd w:val="clear" w:color="auto" w:fill="auto"/>
            <w:vAlign w:val="center"/>
            <w:hideMark/>
          </w:tcPr>
          <w:p w14:paraId="489A6C5D" w14:textId="77777777" w:rsidR="00144B20" w:rsidRPr="00144B20" w:rsidRDefault="00144B20" w:rsidP="00DB109A">
            <w:pPr>
              <w:tabs>
                <w:tab w:val="clear" w:pos="567"/>
              </w:tabs>
              <w:spacing w:before="0" w:line="240" w:lineRule="auto"/>
              <w:rPr>
                <w:rFonts w:eastAsia="Times New Roman" w:cs="Open Sans Light"/>
                <w:color w:val="000000"/>
                <w:sz w:val="16"/>
                <w:szCs w:val="16"/>
                <w:lang w:eastAsia="en-AU"/>
              </w:rPr>
            </w:pPr>
            <w:r w:rsidRPr="00144B20">
              <w:rPr>
                <w:rFonts w:eastAsia="Times New Roman" w:cs="Open Sans Light"/>
                <w:color w:val="000000"/>
                <w:sz w:val="16"/>
                <w:szCs w:val="16"/>
                <w:lang w:eastAsia="en-AU"/>
              </w:rPr>
              <w:t>Admitted patients</w:t>
            </w:r>
          </w:p>
        </w:tc>
        <w:tc>
          <w:tcPr>
            <w:tcW w:w="740" w:type="dxa"/>
            <w:tcBorders>
              <w:top w:val="single" w:sz="4" w:space="0" w:color="ADD6EA"/>
              <w:left w:val="nil"/>
              <w:bottom w:val="single" w:sz="4" w:space="0" w:color="ADD6EA"/>
              <w:right w:val="nil"/>
            </w:tcBorders>
            <w:shd w:val="clear" w:color="auto" w:fill="auto"/>
            <w:noWrap/>
            <w:vAlign w:val="center"/>
            <w:hideMark/>
          </w:tcPr>
          <w:p w14:paraId="673C167B"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0.86</w:t>
            </w:r>
          </w:p>
        </w:tc>
        <w:tc>
          <w:tcPr>
            <w:tcW w:w="740" w:type="dxa"/>
            <w:tcBorders>
              <w:top w:val="single" w:sz="4" w:space="0" w:color="ADD6EA"/>
              <w:left w:val="nil"/>
              <w:bottom w:val="single" w:sz="4" w:space="0" w:color="ADD6EA"/>
              <w:right w:val="nil"/>
            </w:tcBorders>
            <w:shd w:val="clear" w:color="auto" w:fill="auto"/>
            <w:noWrap/>
            <w:vAlign w:val="center"/>
            <w:hideMark/>
          </w:tcPr>
          <w:p w14:paraId="07375FB4"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1.16</w:t>
            </w:r>
          </w:p>
        </w:tc>
        <w:tc>
          <w:tcPr>
            <w:tcW w:w="740" w:type="dxa"/>
            <w:tcBorders>
              <w:top w:val="single" w:sz="4" w:space="0" w:color="ADD6EA"/>
              <w:left w:val="nil"/>
              <w:bottom w:val="single" w:sz="4" w:space="0" w:color="ADD6EA"/>
              <w:right w:val="nil"/>
            </w:tcBorders>
            <w:shd w:val="clear" w:color="auto" w:fill="auto"/>
            <w:noWrap/>
            <w:vAlign w:val="center"/>
            <w:hideMark/>
          </w:tcPr>
          <w:p w14:paraId="725F28E5"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1.04</w:t>
            </w:r>
          </w:p>
        </w:tc>
        <w:tc>
          <w:tcPr>
            <w:tcW w:w="740" w:type="dxa"/>
            <w:tcBorders>
              <w:top w:val="single" w:sz="4" w:space="0" w:color="ADD6EA"/>
              <w:left w:val="nil"/>
              <w:bottom w:val="single" w:sz="4" w:space="0" w:color="ADD6EA"/>
              <w:right w:val="nil"/>
            </w:tcBorders>
            <w:shd w:val="clear" w:color="auto" w:fill="auto"/>
            <w:noWrap/>
            <w:vAlign w:val="center"/>
            <w:hideMark/>
          </w:tcPr>
          <w:p w14:paraId="47B0D559"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0.96</w:t>
            </w:r>
          </w:p>
        </w:tc>
        <w:tc>
          <w:tcPr>
            <w:tcW w:w="740" w:type="dxa"/>
            <w:tcBorders>
              <w:top w:val="single" w:sz="4" w:space="0" w:color="ADD6EA"/>
              <w:left w:val="nil"/>
              <w:bottom w:val="single" w:sz="4" w:space="0" w:color="ADD6EA"/>
              <w:right w:val="nil"/>
            </w:tcBorders>
            <w:shd w:val="clear" w:color="auto" w:fill="auto"/>
            <w:noWrap/>
            <w:vAlign w:val="center"/>
            <w:hideMark/>
          </w:tcPr>
          <w:p w14:paraId="65F5906B"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1.07</w:t>
            </w:r>
          </w:p>
        </w:tc>
        <w:tc>
          <w:tcPr>
            <w:tcW w:w="740" w:type="dxa"/>
            <w:tcBorders>
              <w:top w:val="single" w:sz="4" w:space="0" w:color="ADD6EA"/>
              <w:left w:val="nil"/>
              <w:bottom w:val="single" w:sz="4" w:space="0" w:color="ADD6EA"/>
              <w:right w:val="nil"/>
            </w:tcBorders>
            <w:shd w:val="clear" w:color="auto" w:fill="auto"/>
            <w:noWrap/>
            <w:vAlign w:val="center"/>
            <w:hideMark/>
          </w:tcPr>
          <w:p w14:paraId="18B257F4"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0.75</w:t>
            </w:r>
          </w:p>
        </w:tc>
        <w:tc>
          <w:tcPr>
            <w:tcW w:w="740" w:type="dxa"/>
            <w:tcBorders>
              <w:top w:val="single" w:sz="4" w:space="0" w:color="ADD6EA"/>
              <w:left w:val="nil"/>
              <w:bottom w:val="single" w:sz="4" w:space="0" w:color="ADD6EA"/>
              <w:right w:val="nil"/>
            </w:tcBorders>
            <w:shd w:val="clear" w:color="auto" w:fill="auto"/>
            <w:noWrap/>
            <w:vAlign w:val="center"/>
            <w:hideMark/>
          </w:tcPr>
          <w:p w14:paraId="0CE4E184"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1.19</w:t>
            </w:r>
          </w:p>
        </w:tc>
        <w:tc>
          <w:tcPr>
            <w:tcW w:w="740" w:type="dxa"/>
            <w:tcBorders>
              <w:top w:val="single" w:sz="4" w:space="0" w:color="ADD6EA"/>
              <w:left w:val="nil"/>
              <w:bottom w:val="single" w:sz="4" w:space="0" w:color="ADD6EA"/>
              <w:right w:val="nil"/>
            </w:tcBorders>
            <w:shd w:val="clear" w:color="auto" w:fill="auto"/>
            <w:noWrap/>
            <w:vAlign w:val="center"/>
            <w:hideMark/>
          </w:tcPr>
          <w:p w14:paraId="43AC4F6F"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1.06</w:t>
            </w:r>
          </w:p>
        </w:tc>
        <w:tc>
          <w:tcPr>
            <w:tcW w:w="740" w:type="dxa"/>
            <w:tcBorders>
              <w:top w:val="single" w:sz="4" w:space="0" w:color="ADD6EA"/>
              <w:left w:val="nil"/>
              <w:bottom w:val="single" w:sz="4" w:space="0" w:color="ADD6EA"/>
              <w:right w:val="nil"/>
            </w:tcBorders>
            <w:shd w:val="clear" w:color="auto" w:fill="auto"/>
            <w:noWrap/>
            <w:vAlign w:val="center"/>
            <w:hideMark/>
          </w:tcPr>
          <w:p w14:paraId="44701DEE"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1.00</w:t>
            </w:r>
          </w:p>
        </w:tc>
      </w:tr>
      <w:tr w:rsidR="00144B20" w:rsidRPr="00144B20" w14:paraId="000BCD46" w14:textId="77777777" w:rsidTr="00DB109A">
        <w:trPr>
          <w:trHeight w:val="315"/>
        </w:trPr>
        <w:tc>
          <w:tcPr>
            <w:tcW w:w="2320" w:type="dxa"/>
            <w:tcBorders>
              <w:top w:val="nil"/>
              <w:left w:val="nil"/>
              <w:bottom w:val="single" w:sz="4" w:space="0" w:color="ADD6EA"/>
              <w:right w:val="nil"/>
            </w:tcBorders>
            <w:shd w:val="clear" w:color="auto" w:fill="auto"/>
            <w:vAlign w:val="center"/>
            <w:hideMark/>
          </w:tcPr>
          <w:p w14:paraId="53CE73FF" w14:textId="77777777" w:rsidR="00144B20" w:rsidRPr="00144B20" w:rsidRDefault="00144B20" w:rsidP="00DB109A">
            <w:pPr>
              <w:tabs>
                <w:tab w:val="clear" w:pos="567"/>
              </w:tabs>
              <w:spacing w:before="0" w:line="240" w:lineRule="auto"/>
              <w:rPr>
                <w:rFonts w:eastAsia="Times New Roman" w:cs="Open Sans Light"/>
                <w:color w:val="000000"/>
                <w:sz w:val="16"/>
                <w:szCs w:val="16"/>
                <w:lang w:eastAsia="en-AU"/>
              </w:rPr>
            </w:pPr>
            <w:r w:rsidRPr="00144B20">
              <w:rPr>
                <w:rFonts w:eastAsia="Times New Roman" w:cs="Open Sans Light"/>
                <w:color w:val="000000"/>
                <w:sz w:val="16"/>
                <w:szCs w:val="16"/>
                <w:lang w:eastAsia="en-AU"/>
              </w:rPr>
              <w:t>Emergency departments</w:t>
            </w:r>
          </w:p>
        </w:tc>
        <w:tc>
          <w:tcPr>
            <w:tcW w:w="740" w:type="dxa"/>
            <w:tcBorders>
              <w:top w:val="nil"/>
              <w:left w:val="nil"/>
              <w:bottom w:val="single" w:sz="4" w:space="0" w:color="ADD6EA"/>
              <w:right w:val="nil"/>
            </w:tcBorders>
            <w:shd w:val="clear" w:color="auto" w:fill="auto"/>
            <w:noWrap/>
            <w:vAlign w:val="center"/>
            <w:hideMark/>
          </w:tcPr>
          <w:p w14:paraId="3244E8C9"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1.10</w:t>
            </w:r>
          </w:p>
        </w:tc>
        <w:tc>
          <w:tcPr>
            <w:tcW w:w="740" w:type="dxa"/>
            <w:tcBorders>
              <w:top w:val="nil"/>
              <w:left w:val="nil"/>
              <w:bottom w:val="single" w:sz="4" w:space="0" w:color="ADD6EA"/>
              <w:right w:val="nil"/>
            </w:tcBorders>
            <w:shd w:val="clear" w:color="auto" w:fill="auto"/>
            <w:noWrap/>
            <w:vAlign w:val="center"/>
            <w:hideMark/>
          </w:tcPr>
          <w:p w14:paraId="18A3371F"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0.91</w:t>
            </w:r>
          </w:p>
        </w:tc>
        <w:tc>
          <w:tcPr>
            <w:tcW w:w="740" w:type="dxa"/>
            <w:tcBorders>
              <w:top w:val="nil"/>
              <w:left w:val="nil"/>
              <w:bottom w:val="single" w:sz="4" w:space="0" w:color="ADD6EA"/>
              <w:right w:val="nil"/>
            </w:tcBorders>
            <w:shd w:val="clear" w:color="auto" w:fill="auto"/>
            <w:noWrap/>
            <w:vAlign w:val="center"/>
            <w:hideMark/>
          </w:tcPr>
          <w:p w14:paraId="48865A68"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0.85</w:t>
            </w:r>
          </w:p>
        </w:tc>
        <w:tc>
          <w:tcPr>
            <w:tcW w:w="740" w:type="dxa"/>
            <w:tcBorders>
              <w:top w:val="nil"/>
              <w:left w:val="nil"/>
              <w:bottom w:val="single" w:sz="4" w:space="0" w:color="ADD6EA"/>
              <w:right w:val="nil"/>
            </w:tcBorders>
            <w:shd w:val="clear" w:color="auto" w:fill="auto"/>
            <w:noWrap/>
            <w:vAlign w:val="center"/>
            <w:hideMark/>
          </w:tcPr>
          <w:p w14:paraId="65471FD2"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1.47</w:t>
            </w:r>
          </w:p>
        </w:tc>
        <w:tc>
          <w:tcPr>
            <w:tcW w:w="740" w:type="dxa"/>
            <w:tcBorders>
              <w:top w:val="nil"/>
              <w:left w:val="nil"/>
              <w:bottom w:val="single" w:sz="4" w:space="0" w:color="ADD6EA"/>
              <w:right w:val="nil"/>
            </w:tcBorders>
            <w:shd w:val="clear" w:color="auto" w:fill="auto"/>
            <w:noWrap/>
            <w:vAlign w:val="center"/>
            <w:hideMark/>
          </w:tcPr>
          <w:p w14:paraId="749CA589"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0.52</w:t>
            </w:r>
          </w:p>
        </w:tc>
        <w:tc>
          <w:tcPr>
            <w:tcW w:w="740" w:type="dxa"/>
            <w:tcBorders>
              <w:top w:val="nil"/>
              <w:left w:val="nil"/>
              <w:bottom w:val="single" w:sz="4" w:space="0" w:color="ADD6EA"/>
              <w:right w:val="nil"/>
            </w:tcBorders>
            <w:shd w:val="clear" w:color="auto" w:fill="auto"/>
            <w:noWrap/>
            <w:vAlign w:val="center"/>
            <w:hideMark/>
          </w:tcPr>
          <w:p w14:paraId="38876857"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1.03</w:t>
            </w:r>
          </w:p>
        </w:tc>
        <w:tc>
          <w:tcPr>
            <w:tcW w:w="740" w:type="dxa"/>
            <w:tcBorders>
              <w:top w:val="nil"/>
              <w:left w:val="nil"/>
              <w:bottom w:val="single" w:sz="4" w:space="0" w:color="ADD6EA"/>
              <w:right w:val="nil"/>
            </w:tcBorders>
            <w:shd w:val="clear" w:color="auto" w:fill="auto"/>
            <w:noWrap/>
            <w:vAlign w:val="center"/>
            <w:hideMark/>
          </w:tcPr>
          <w:p w14:paraId="3DBA96EA"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1.55</w:t>
            </w:r>
          </w:p>
        </w:tc>
        <w:tc>
          <w:tcPr>
            <w:tcW w:w="740" w:type="dxa"/>
            <w:tcBorders>
              <w:top w:val="nil"/>
              <w:left w:val="nil"/>
              <w:bottom w:val="single" w:sz="4" w:space="0" w:color="ADD6EA"/>
              <w:right w:val="nil"/>
            </w:tcBorders>
            <w:shd w:val="clear" w:color="auto" w:fill="auto"/>
            <w:noWrap/>
            <w:vAlign w:val="center"/>
            <w:hideMark/>
          </w:tcPr>
          <w:p w14:paraId="3A3C6986"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0.82</w:t>
            </w:r>
          </w:p>
        </w:tc>
        <w:tc>
          <w:tcPr>
            <w:tcW w:w="740" w:type="dxa"/>
            <w:tcBorders>
              <w:top w:val="nil"/>
              <w:left w:val="nil"/>
              <w:bottom w:val="single" w:sz="4" w:space="0" w:color="ADD6EA"/>
              <w:right w:val="nil"/>
            </w:tcBorders>
            <w:shd w:val="clear" w:color="auto" w:fill="auto"/>
            <w:noWrap/>
            <w:vAlign w:val="center"/>
            <w:hideMark/>
          </w:tcPr>
          <w:p w14:paraId="3AA8FD57"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1.00</w:t>
            </w:r>
          </w:p>
        </w:tc>
      </w:tr>
      <w:tr w:rsidR="00144B20" w:rsidRPr="00144B20" w14:paraId="17F75277" w14:textId="77777777" w:rsidTr="00DB109A">
        <w:trPr>
          <w:trHeight w:val="315"/>
        </w:trPr>
        <w:tc>
          <w:tcPr>
            <w:tcW w:w="2320" w:type="dxa"/>
            <w:tcBorders>
              <w:top w:val="nil"/>
              <w:left w:val="nil"/>
              <w:bottom w:val="single" w:sz="4" w:space="0" w:color="ADD6EA"/>
              <w:right w:val="nil"/>
            </w:tcBorders>
            <w:shd w:val="clear" w:color="auto" w:fill="auto"/>
            <w:vAlign w:val="center"/>
            <w:hideMark/>
          </w:tcPr>
          <w:p w14:paraId="5FCEA1A9" w14:textId="77777777" w:rsidR="00144B20" w:rsidRPr="00144B20" w:rsidRDefault="00144B20" w:rsidP="00DB109A">
            <w:pPr>
              <w:tabs>
                <w:tab w:val="clear" w:pos="567"/>
              </w:tabs>
              <w:spacing w:before="0" w:line="240" w:lineRule="auto"/>
              <w:rPr>
                <w:rFonts w:eastAsia="Times New Roman" w:cs="Open Sans Light"/>
                <w:color w:val="000000"/>
                <w:sz w:val="16"/>
                <w:szCs w:val="16"/>
                <w:lang w:eastAsia="en-AU"/>
              </w:rPr>
            </w:pPr>
            <w:r w:rsidRPr="00144B20">
              <w:rPr>
                <w:rFonts w:eastAsia="Times New Roman" w:cs="Open Sans Light"/>
                <w:color w:val="000000"/>
                <w:sz w:val="16"/>
                <w:szCs w:val="16"/>
                <w:lang w:eastAsia="en-AU"/>
              </w:rPr>
              <w:t>Non-admitted patients</w:t>
            </w:r>
          </w:p>
        </w:tc>
        <w:tc>
          <w:tcPr>
            <w:tcW w:w="740" w:type="dxa"/>
            <w:tcBorders>
              <w:top w:val="nil"/>
              <w:left w:val="nil"/>
              <w:bottom w:val="single" w:sz="4" w:space="0" w:color="ADD6EA"/>
              <w:right w:val="nil"/>
            </w:tcBorders>
            <w:shd w:val="clear" w:color="auto" w:fill="auto"/>
            <w:noWrap/>
            <w:vAlign w:val="center"/>
            <w:hideMark/>
          </w:tcPr>
          <w:p w14:paraId="151CC92F"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1.12</w:t>
            </w:r>
          </w:p>
        </w:tc>
        <w:tc>
          <w:tcPr>
            <w:tcW w:w="740" w:type="dxa"/>
            <w:tcBorders>
              <w:top w:val="nil"/>
              <w:left w:val="nil"/>
              <w:bottom w:val="single" w:sz="4" w:space="0" w:color="ADD6EA"/>
              <w:right w:val="nil"/>
            </w:tcBorders>
            <w:shd w:val="clear" w:color="auto" w:fill="auto"/>
            <w:noWrap/>
            <w:vAlign w:val="center"/>
            <w:hideMark/>
          </w:tcPr>
          <w:p w14:paraId="0C5EC9B3"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0.87</w:t>
            </w:r>
          </w:p>
        </w:tc>
        <w:tc>
          <w:tcPr>
            <w:tcW w:w="740" w:type="dxa"/>
            <w:tcBorders>
              <w:top w:val="nil"/>
              <w:left w:val="nil"/>
              <w:bottom w:val="single" w:sz="4" w:space="0" w:color="ADD6EA"/>
              <w:right w:val="nil"/>
            </w:tcBorders>
            <w:shd w:val="clear" w:color="auto" w:fill="auto"/>
            <w:noWrap/>
            <w:vAlign w:val="center"/>
            <w:hideMark/>
          </w:tcPr>
          <w:p w14:paraId="2B6C7F4B"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0.88</w:t>
            </w:r>
          </w:p>
        </w:tc>
        <w:tc>
          <w:tcPr>
            <w:tcW w:w="740" w:type="dxa"/>
            <w:tcBorders>
              <w:top w:val="nil"/>
              <w:left w:val="nil"/>
              <w:bottom w:val="single" w:sz="4" w:space="0" w:color="ADD6EA"/>
              <w:right w:val="nil"/>
            </w:tcBorders>
            <w:shd w:val="clear" w:color="auto" w:fill="auto"/>
            <w:noWrap/>
            <w:vAlign w:val="center"/>
            <w:hideMark/>
          </w:tcPr>
          <w:p w14:paraId="7C5C1A9D"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1.35</w:t>
            </w:r>
          </w:p>
        </w:tc>
        <w:tc>
          <w:tcPr>
            <w:tcW w:w="740" w:type="dxa"/>
            <w:tcBorders>
              <w:top w:val="nil"/>
              <w:left w:val="nil"/>
              <w:bottom w:val="single" w:sz="4" w:space="0" w:color="ADD6EA"/>
              <w:right w:val="nil"/>
            </w:tcBorders>
            <w:shd w:val="clear" w:color="auto" w:fill="auto"/>
            <w:noWrap/>
            <w:vAlign w:val="center"/>
            <w:hideMark/>
          </w:tcPr>
          <w:p w14:paraId="7475E5FA"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0.50</w:t>
            </w:r>
          </w:p>
        </w:tc>
        <w:tc>
          <w:tcPr>
            <w:tcW w:w="740" w:type="dxa"/>
            <w:tcBorders>
              <w:top w:val="nil"/>
              <w:left w:val="nil"/>
              <w:bottom w:val="single" w:sz="4" w:space="0" w:color="ADD6EA"/>
              <w:right w:val="nil"/>
            </w:tcBorders>
            <w:shd w:val="clear" w:color="auto" w:fill="auto"/>
            <w:noWrap/>
            <w:vAlign w:val="center"/>
            <w:hideMark/>
          </w:tcPr>
          <w:p w14:paraId="6A04AC37"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1.21</w:t>
            </w:r>
          </w:p>
        </w:tc>
        <w:tc>
          <w:tcPr>
            <w:tcW w:w="740" w:type="dxa"/>
            <w:tcBorders>
              <w:top w:val="nil"/>
              <w:left w:val="nil"/>
              <w:bottom w:val="single" w:sz="4" w:space="0" w:color="ADD6EA"/>
              <w:right w:val="nil"/>
            </w:tcBorders>
            <w:shd w:val="clear" w:color="auto" w:fill="auto"/>
            <w:noWrap/>
            <w:vAlign w:val="center"/>
            <w:hideMark/>
          </w:tcPr>
          <w:p w14:paraId="504FB8AF"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1.30</w:t>
            </w:r>
          </w:p>
        </w:tc>
        <w:tc>
          <w:tcPr>
            <w:tcW w:w="740" w:type="dxa"/>
            <w:tcBorders>
              <w:top w:val="nil"/>
              <w:left w:val="nil"/>
              <w:bottom w:val="single" w:sz="4" w:space="0" w:color="ADD6EA"/>
              <w:right w:val="nil"/>
            </w:tcBorders>
            <w:shd w:val="clear" w:color="auto" w:fill="auto"/>
            <w:noWrap/>
            <w:vAlign w:val="center"/>
            <w:hideMark/>
          </w:tcPr>
          <w:p w14:paraId="1D6CF156"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1.16</w:t>
            </w:r>
          </w:p>
        </w:tc>
        <w:tc>
          <w:tcPr>
            <w:tcW w:w="740" w:type="dxa"/>
            <w:tcBorders>
              <w:top w:val="nil"/>
              <w:left w:val="nil"/>
              <w:bottom w:val="single" w:sz="4" w:space="0" w:color="ADD6EA"/>
              <w:right w:val="nil"/>
            </w:tcBorders>
            <w:shd w:val="clear" w:color="auto" w:fill="auto"/>
            <w:noWrap/>
            <w:vAlign w:val="center"/>
            <w:hideMark/>
          </w:tcPr>
          <w:p w14:paraId="777328F6" w14:textId="77777777" w:rsidR="00144B20" w:rsidRPr="00144B20" w:rsidRDefault="00144B20" w:rsidP="00DB109A">
            <w:pPr>
              <w:tabs>
                <w:tab w:val="clear" w:pos="567"/>
              </w:tabs>
              <w:spacing w:before="0" w:line="240" w:lineRule="auto"/>
              <w:jc w:val="right"/>
              <w:rPr>
                <w:rFonts w:eastAsia="Times New Roman" w:cs="Open Sans Light"/>
                <w:color w:val="000000"/>
                <w:sz w:val="16"/>
                <w:szCs w:val="16"/>
                <w:lang w:eastAsia="en-AU"/>
              </w:rPr>
            </w:pPr>
            <w:r w:rsidRPr="00144B20">
              <w:rPr>
                <w:rFonts w:eastAsia="Times New Roman" w:cs="Open Sans Light"/>
                <w:color w:val="000000"/>
                <w:sz w:val="16"/>
                <w:szCs w:val="16"/>
                <w:lang w:eastAsia="en-AU"/>
              </w:rPr>
              <w:t>1.00</w:t>
            </w:r>
          </w:p>
        </w:tc>
      </w:tr>
    </w:tbl>
    <w:p w14:paraId="062364B1" w14:textId="4AA92605" w:rsidR="006C31E0" w:rsidRDefault="00D8696B" w:rsidP="00D710A1">
      <w:pPr>
        <w:pStyle w:val="CGC2025TableNote"/>
      </w:pPr>
      <w:r>
        <w:t xml:space="preserve">Source: Commission </w:t>
      </w:r>
      <w:r w:rsidRPr="00D710A1">
        <w:t>calculation</w:t>
      </w:r>
      <w:r>
        <w:t>, 202</w:t>
      </w:r>
      <w:r w:rsidR="00144B20">
        <w:t>4</w:t>
      </w:r>
      <w:r>
        <w:t> Update</w:t>
      </w:r>
      <w:r w:rsidR="00A26111">
        <w:t xml:space="preserve"> using the 2020</w:t>
      </w:r>
      <w:r w:rsidR="005123F8">
        <w:t xml:space="preserve"> Review</w:t>
      </w:r>
      <w:r w:rsidR="00A26111">
        <w:t xml:space="preserve"> method</w:t>
      </w:r>
      <w:r w:rsidR="00C94E93">
        <w:t>.</w:t>
      </w:r>
    </w:p>
    <w:p w14:paraId="3005673B" w14:textId="77777777" w:rsidR="00365F75" w:rsidRDefault="00365F75">
      <w:pPr>
        <w:tabs>
          <w:tab w:val="clear" w:pos="567"/>
        </w:tabs>
        <w:spacing w:before="0" w:after="200" w:line="276" w:lineRule="auto"/>
        <w:rPr>
          <w:rFonts w:ascii="Work Sans" w:hAnsi="Work Sans"/>
          <w:szCs w:val="24"/>
        </w:rPr>
      </w:pPr>
      <w:r>
        <w:br w:type="page"/>
      </w:r>
    </w:p>
    <w:p w14:paraId="13DFFBFA" w14:textId="452ED099" w:rsidR="0052321E" w:rsidRPr="009C225F" w:rsidRDefault="0052321E" w:rsidP="0052321E">
      <w:pPr>
        <w:pStyle w:val="CGC2025ParaNumbers"/>
      </w:pPr>
      <w:r w:rsidRPr="009C225F">
        <w:lastRenderedPageBreak/>
        <w:t xml:space="preserve">The Commission agrees that using national averaging for expense assessments </w:t>
      </w:r>
      <w:r w:rsidR="002C1076" w:rsidRPr="009C225F">
        <w:t xml:space="preserve">could </w:t>
      </w:r>
      <w:r w:rsidRPr="009C225F">
        <w:t>miss state</w:t>
      </w:r>
      <w:r w:rsidRPr="009C225F">
        <w:noBreakHyphen/>
        <w:t>specific differences in service needs. This is more likely to be the case for smaller states because they have less influence on the national average. Further work to understand the extent of the</w:t>
      </w:r>
      <w:r w:rsidR="00C47750" w:rsidRPr="009C225F">
        <w:t xml:space="preserve">se issues </w:t>
      </w:r>
      <w:r w:rsidRPr="009C225F">
        <w:t>is needed.</w:t>
      </w:r>
    </w:p>
    <w:p w14:paraId="26D26577" w14:textId="3B50C80C" w:rsidR="00E169DE" w:rsidRPr="009C225F" w:rsidRDefault="00E169DE" w:rsidP="008E3784">
      <w:pPr>
        <w:pStyle w:val="CGC2025ParaNumbers"/>
      </w:pPr>
      <w:r w:rsidRPr="009C225F">
        <w:t>One problem with the solution proposed by Queensland and the Northern Territory</w:t>
      </w:r>
      <w:r w:rsidR="00AA7A74" w:rsidRPr="009C225F">
        <w:t xml:space="preserve"> is that actual state national weighted activity units can be influenced by </w:t>
      </w:r>
      <w:r w:rsidR="005578C0" w:rsidRPr="009C225F">
        <w:t>state policy decisions.</w:t>
      </w:r>
    </w:p>
    <w:p w14:paraId="07CE9930" w14:textId="660B0A85" w:rsidR="005578C0" w:rsidRPr="009C225F" w:rsidRDefault="005578C0" w:rsidP="005578C0">
      <w:pPr>
        <w:pStyle w:val="CGC2025ParaNumbers"/>
      </w:pPr>
      <w:r w:rsidRPr="009C225F">
        <w:t xml:space="preserve">The </w:t>
      </w:r>
      <w:r w:rsidR="004B131B">
        <w:t>N</w:t>
      </w:r>
      <w:r w:rsidRPr="009C225F">
        <w:t xml:space="preserve">ational </w:t>
      </w:r>
      <w:r w:rsidR="004B131B">
        <w:t>W</w:t>
      </w:r>
      <w:r w:rsidRPr="009C225F">
        <w:t xml:space="preserve">eighted </w:t>
      </w:r>
      <w:r w:rsidR="009E3910">
        <w:t>A</w:t>
      </w:r>
      <w:r w:rsidRPr="009C225F">
        <w:t xml:space="preserve">ctivity </w:t>
      </w:r>
      <w:r w:rsidR="009E3910">
        <w:t>U</w:t>
      </w:r>
      <w:r w:rsidRPr="009C225F">
        <w:t>nit was developed by the Independent Health and Aged Care Pricing Authority to allow different hospital activities to be expressed as a common unit of activity and to set the pricing of public hospital services. The national weighted activity unit accounts for differences in the complexity of patients’ conditions or procedures and individual patient characteristics that lead to increased costs.</w:t>
      </w:r>
      <w:r w:rsidRPr="009C225F">
        <w:rPr>
          <w:rStyle w:val="FootnoteReference"/>
        </w:rPr>
        <w:footnoteReference w:id="27"/>
      </w:r>
    </w:p>
    <w:p w14:paraId="1BD7781E" w14:textId="1480AF9A" w:rsidR="005578C0" w:rsidRPr="009C225F" w:rsidRDefault="005578C0" w:rsidP="005578C0">
      <w:pPr>
        <w:pStyle w:val="CGC2025ParaNumbers"/>
      </w:pPr>
      <w:r w:rsidRPr="009C225F">
        <w:t xml:space="preserve">Differences between states’ hospital activity, as measured by actual national weighted activity units, can occur due to differences in the complexity of procedures performed, differences in the share of higher cost patients treated, and/or differences in the number of procedures performed. The actual number of procedures performed can </w:t>
      </w:r>
      <w:r w:rsidR="002D60F1" w:rsidRPr="009C225F">
        <w:t xml:space="preserve">potentially </w:t>
      </w:r>
      <w:r w:rsidRPr="009C225F">
        <w:t>be influenced by policy choices, for example the resourcing decisions of states. As such, actual state national weighted activity units are not a policy</w:t>
      </w:r>
      <w:r w:rsidR="00F71479">
        <w:t xml:space="preserve"> </w:t>
      </w:r>
      <w:r w:rsidRPr="009C225F">
        <w:t xml:space="preserve">neutral measure of </w:t>
      </w:r>
      <w:r w:rsidR="00E9305E">
        <w:t>assessed</w:t>
      </w:r>
      <w:r w:rsidRPr="009C225F">
        <w:t xml:space="preserve"> GST needs. </w:t>
      </w:r>
    </w:p>
    <w:p w14:paraId="1DDBB079" w14:textId="77777777" w:rsidR="00AE3523" w:rsidRPr="009C225F" w:rsidRDefault="00AE3523" w:rsidP="00AE3523">
      <w:pPr>
        <w:pStyle w:val="Heading4"/>
      </w:pPr>
      <w:r w:rsidRPr="009C225F">
        <w:t>Commission draft position</w:t>
      </w:r>
    </w:p>
    <w:p w14:paraId="203EBD39" w14:textId="4A3EECBC" w:rsidR="00092094" w:rsidRPr="009C225F" w:rsidRDefault="00705B22" w:rsidP="00AE3523">
      <w:pPr>
        <w:pStyle w:val="CGC2025ParaNumbers"/>
      </w:pPr>
      <w:r w:rsidRPr="009C225F">
        <w:t xml:space="preserve">The issues raised by </w:t>
      </w:r>
      <w:r w:rsidR="005F1759" w:rsidRPr="009C225F">
        <w:t>Queensland and</w:t>
      </w:r>
      <w:r w:rsidRPr="009C225F">
        <w:t xml:space="preserve"> the Northern Te</w:t>
      </w:r>
      <w:r w:rsidR="00022114" w:rsidRPr="009C225F">
        <w:t xml:space="preserve">rritory </w:t>
      </w:r>
      <w:r w:rsidR="002F60A0" w:rsidRPr="009C225F">
        <w:t>are fund</w:t>
      </w:r>
      <w:r w:rsidR="0002662F" w:rsidRPr="009C225F">
        <w:t>amental to the</w:t>
      </w:r>
      <w:r w:rsidR="00F70C86" w:rsidRPr="009C225F">
        <w:t xml:space="preserve"> reliability of the health asse</w:t>
      </w:r>
      <w:r w:rsidR="00D4788B" w:rsidRPr="009C225F">
        <w:t>ssment</w:t>
      </w:r>
      <w:r w:rsidR="004632E2" w:rsidRPr="009C225F">
        <w:t xml:space="preserve">. </w:t>
      </w:r>
      <w:r w:rsidR="0078401F" w:rsidRPr="009C225F">
        <w:t xml:space="preserve">If </w:t>
      </w:r>
      <w:r w:rsidR="006B162B" w:rsidRPr="009C225F">
        <w:t xml:space="preserve">people in similar circumstances are likely to use health services at </w:t>
      </w:r>
      <w:r w:rsidR="00F3557F" w:rsidRPr="009C225F">
        <w:t>significantly different</w:t>
      </w:r>
      <w:r w:rsidR="006B162B" w:rsidRPr="009C225F">
        <w:t xml:space="preserve"> rate</w:t>
      </w:r>
      <w:r w:rsidR="00F3557F" w:rsidRPr="009C225F">
        <w:t>s</w:t>
      </w:r>
      <w:r w:rsidR="00131957" w:rsidRPr="009C225F">
        <w:t>,</w:t>
      </w:r>
      <w:r w:rsidR="00F3557F" w:rsidRPr="009C225F">
        <w:t xml:space="preserve"> t</w:t>
      </w:r>
      <w:r w:rsidR="005E4F58" w:rsidRPr="009C225F">
        <w:t xml:space="preserve">here is a conceptual case for </w:t>
      </w:r>
      <w:r w:rsidR="00B32255" w:rsidRPr="009C225F">
        <w:t xml:space="preserve">developing an </w:t>
      </w:r>
      <w:r w:rsidR="004C7A5C" w:rsidRPr="009C225F">
        <w:t xml:space="preserve">alternative method for assessing </w:t>
      </w:r>
      <w:r w:rsidR="00665E33" w:rsidRPr="009C225F">
        <w:t xml:space="preserve">state health expense needs. </w:t>
      </w:r>
      <w:r w:rsidR="00AC3515" w:rsidRPr="009C225F">
        <w:t>E</w:t>
      </w:r>
      <w:r w:rsidR="007313AA" w:rsidRPr="009C225F">
        <w:t>xplor</w:t>
      </w:r>
      <w:r w:rsidR="00AC3515" w:rsidRPr="009C225F">
        <w:t>ing</w:t>
      </w:r>
      <w:r w:rsidR="007313AA" w:rsidRPr="009C225F">
        <w:t xml:space="preserve"> </w:t>
      </w:r>
      <w:r w:rsidR="000D345E" w:rsidRPr="009C225F">
        <w:t>this issue</w:t>
      </w:r>
      <w:r w:rsidR="00AE5767" w:rsidRPr="009C225F">
        <w:t xml:space="preserve"> could</w:t>
      </w:r>
      <w:r w:rsidR="00AC7E91" w:rsidRPr="009C225F">
        <w:t xml:space="preserve"> form part of the Commission’s </w:t>
      </w:r>
      <w:r w:rsidR="00AE5767" w:rsidRPr="009C225F">
        <w:t xml:space="preserve">proposed </w:t>
      </w:r>
      <w:r w:rsidR="00AC7E91" w:rsidRPr="009C225F">
        <w:t>work</w:t>
      </w:r>
      <w:r w:rsidR="00C4410F" w:rsidRPr="009C225F">
        <w:t xml:space="preserve"> program between reviews.</w:t>
      </w:r>
    </w:p>
    <w:p w14:paraId="40E1D4CD" w14:textId="3FF6D379" w:rsidR="0074067C" w:rsidRPr="009C225F" w:rsidRDefault="0074067C" w:rsidP="00AE3523">
      <w:pPr>
        <w:pStyle w:val="CGC2025ParaNumbers"/>
      </w:pPr>
      <w:r w:rsidRPr="009C225F">
        <w:t xml:space="preserve">The solution proposed by </w:t>
      </w:r>
      <w:r w:rsidR="006D47CD" w:rsidRPr="009C225F">
        <w:t xml:space="preserve">Queensland and </w:t>
      </w:r>
      <w:r w:rsidRPr="009C225F">
        <w:t>the Northern Terr</w:t>
      </w:r>
      <w:r w:rsidR="00FE71D0" w:rsidRPr="009C225F">
        <w:t>itory</w:t>
      </w:r>
      <w:r w:rsidR="00EF087F" w:rsidRPr="009C225F">
        <w:t xml:space="preserve"> is problematic because of the potential for </w:t>
      </w:r>
      <w:r w:rsidR="005D4400" w:rsidRPr="009C225F">
        <w:t>actual national weighted activity units to be influenced by state policies</w:t>
      </w:r>
      <w:r w:rsidR="00A351F4" w:rsidRPr="009C225F">
        <w:t>.</w:t>
      </w:r>
    </w:p>
    <w:p w14:paraId="2E7945F6" w14:textId="45B2B53D" w:rsidR="00F562AC" w:rsidRPr="009C225F" w:rsidRDefault="00AE3523" w:rsidP="00F562AC">
      <w:pPr>
        <w:pStyle w:val="CGC2025ParaNumbers"/>
      </w:pPr>
      <w:r w:rsidRPr="009C225F">
        <w:t>The Commission will continue to use socio-demographic cohort</w:t>
      </w:r>
      <w:r w:rsidR="00F14480" w:rsidRPr="009C225F">
        <w:noBreakHyphen/>
      </w:r>
      <w:r w:rsidRPr="009C225F">
        <w:t>averaged national weighted activity units in the health assessment</w:t>
      </w:r>
      <w:r w:rsidR="001934A1" w:rsidRPr="009C225F">
        <w:t xml:space="preserve"> for the 2025 Review and work with states </w:t>
      </w:r>
      <w:r w:rsidR="002F0441" w:rsidRPr="009C225F">
        <w:t>between reviews</w:t>
      </w:r>
      <w:r w:rsidR="00C34866" w:rsidRPr="009C225F">
        <w:t xml:space="preserve"> on the </w:t>
      </w:r>
      <w:r w:rsidR="00E34B0F" w:rsidRPr="009C225F">
        <w:t xml:space="preserve">issues </w:t>
      </w:r>
      <w:r w:rsidR="00C34866" w:rsidRPr="009C225F">
        <w:t xml:space="preserve">identified by </w:t>
      </w:r>
      <w:r w:rsidR="009A7B98" w:rsidRPr="009C225F">
        <w:t xml:space="preserve">Queensland and </w:t>
      </w:r>
      <w:r w:rsidR="00C34866" w:rsidRPr="009C225F">
        <w:t>the Northern</w:t>
      </w:r>
      <w:r w:rsidR="00C94E93">
        <w:t xml:space="preserve"> </w:t>
      </w:r>
      <w:r w:rsidR="00C34866" w:rsidRPr="009C225F">
        <w:t>Territory</w:t>
      </w:r>
      <w:r w:rsidR="00D409DC" w:rsidRPr="009C225F">
        <w:t>,</w:t>
      </w:r>
      <w:r w:rsidR="00C34866" w:rsidRPr="009C225F">
        <w:t xml:space="preserve"> and </w:t>
      </w:r>
      <w:r w:rsidR="00C47551" w:rsidRPr="009C225F">
        <w:t>potential solutions</w:t>
      </w:r>
      <w:r w:rsidRPr="009C225F">
        <w:t>.</w:t>
      </w:r>
    </w:p>
    <w:p w14:paraId="4A38419E" w14:textId="4A3990FD" w:rsidR="00C53522" w:rsidRDefault="00887172" w:rsidP="008653E1">
      <w:pPr>
        <w:pStyle w:val="Heading35"/>
        <w:keepNext/>
      </w:pPr>
      <w:bookmarkStart w:id="82" w:name="_Hlk149049973"/>
      <w:r>
        <w:lastRenderedPageBreak/>
        <w:t>Culturally and linguistically diverse (CALD) populations</w:t>
      </w:r>
    </w:p>
    <w:p w14:paraId="6161903A" w14:textId="6482B261" w:rsidR="00887172" w:rsidRDefault="00887172" w:rsidP="00696D07">
      <w:pPr>
        <w:pStyle w:val="CGC2025ParaNumbers"/>
        <w:keepNext/>
      </w:pPr>
      <w:r>
        <w:t xml:space="preserve">Victoria </w:t>
      </w:r>
      <w:r w:rsidR="005A4DC4">
        <w:t>said</w:t>
      </w:r>
      <w:r>
        <w:t xml:space="preserve"> that culturally and linguistically diverse populations use health services more than other population groups and therefore the Commission should work with states to establish a method for taking account of this in the health system. </w:t>
      </w:r>
    </w:p>
    <w:p w14:paraId="76E6F0C9" w14:textId="1524E55A" w:rsidR="00887172" w:rsidRDefault="00887172" w:rsidP="00887172">
      <w:pPr>
        <w:pStyle w:val="CGC2025ParaNumbers"/>
      </w:pPr>
      <w:r>
        <w:t xml:space="preserve">Victoria presented evidence that </w:t>
      </w:r>
      <w:r w:rsidR="003D10CF">
        <w:t xml:space="preserve">culturally and linguistically diverse </w:t>
      </w:r>
      <w:r>
        <w:t xml:space="preserve">residents have a greater burden of disease and place more demand on mainstream health services than the rest of the population. </w:t>
      </w:r>
    </w:p>
    <w:p w14:paraId="14B0488E" w14:textId="627513BD" w:rsidR="00887172" w:rsidRDefault="00887172" w:rsidP="00887172">
      <w:pPr>
        <w:pStyle w:val="CGC2025ParaNumbers"/>
      </w:pPr>
      <w:r>
        <w:t xml:space="preserve">Victoria acknowledged the difficulty in quantifying the impact of diverse residents on state services due to the challenges in identifying and defining </w:t>
      </w:r>
      <w:r w:rsidR="00A672AD">
        <w:t>culturally and linguistically diverse</w:t>
      </w:r>
      <w:r>
        <w:t xml:space="preserve"> populations. For assessing health expenses needs, Victoria suggest</w:t>
      </w:r>
      <w:r w:rsidR="006A2034">
        <w:t>ed</w:t>
      </w:r>
      <w:r>
        <w:t xml:space="preserve"> focusing on refugees and people seeking asylum, temporary </w:t>
      </w:r>
      <w:proofErr w:type="gramStart"/>
      <w:r>
        <w:t>residents</w:t>
      </w:r>
      <w:proofErr w:type="gramEnd"/>
      <w:r>
        <w:t xml:space="preserve"> and people with low English proficiency.</w:t>
      </w:r>
    </w:p>
    <w:p w14:paraId="49DC3B0A" w14:textId="04E48383" w:rsidR="00887172" w:rsidRDefault="00887172" w:rsidP="00887172">
      <w:pPr>
        <w:pStyle w:val="CGC2025ParaNumbers"/>
      </w:pPr>
      <w:r>
        <w:t xml:space="preserve">Separately, Victoria presented evidence that </w:t>
      </w:r>
      <w:r w:rsidR="00A672AD">
        <w:t>culturally and linguistically diverse</w:t>
      </w:r>
      <w:r>
        <w:t xml:space="preserve"> residents have difficulty accessing a range of government services due to cultural and language barriers. </w:t>
      </w:r>
      <w:r w:rsidR="001E29B5">
        <w:t xml:space="preserve">It argued the </w:t>
      </w:r>
      <w:r>
        <w:t xml:space="preserve">expenses states incur in supporting </w:t>
      </w:r>
      <w:r w:rsidR="00A672AD">
        <w:t>culturally and linguistically diverse</w:t>
      </w:r>
      <w:r>
        <w:t xml:space="preserve"> populations should be assessed separately based on the </w:t>
      </w:r>
      <w:r w:rsidR="00A672AD">
        <w:t>culturally and linguistically diverse</w:t>
      </w:r>
      <w:r>
        <w:t xml:space="preserve"> populations of states.</w:t>
      </w:r>
    </w:p>
    <w:p w14:paraId="20D1C51A" w14:textId="32ED1487" w:rsidR="00887172" w:rsidRDefault="00887172" w:rsidP="00887172">
      <w:pPr>
        <w:pStyle w:val="CGC2025ParaNumbers"/>
      </w:pPr>
      <w:r>
        <w:t>In 2021</w:t>
      </w:r>
      <w:r w:rsidR="006268DB">
        <w:t>–</w:t>
      </w:r>
      <w:r>
        <w:t>22, the Victorian Government committed $103.3 million in funding for programs that support its multicultural communities. Victoria spent $30 million on interpretation and translation services, of which 67% ($21.3 million) was provided by the Department of Health primarily for translation services.</w:t>
      </w:r>
    </w:p>
    <w:p w14:paraId="52A79294" w14:textId="77777777" w:rsidR="00C6585E" w:rsidRDefault="00C6585E" w:rsidP="00C6585E">
      <w:pPr>
        <w:pStyle w:val="Heading4"/>
      </w:pPr>
      <w:r>
        <w:t>Commission response</w:t>
      </w:r>
    </w:p>
    <w:p w14:paraId="32D90947" w14:textId="6B164E42" w:rsidR="00C6585E" w:rsidRDefault="00C6585E" w:rsidP="00C6585E">
      <w:pPr>
        <w:pStyle w:val="CGC2025ParaNumbers"/>
      </w:pPr>
      <w:bookmarkStart w:id="83" w:name="_Ref152757625"/>
      <w:r>
        <w:t xml:space="preserve">In the 2015 and 2020 </w:t>
      </w:r>
      <w:r w:rsidR="001F4F29">
        <w:t>r</w:t>
      </w:r>
      <w:r>
        <w:t>eview</w:t>
      </w:r>
      <w:r w:rsidR="00817B4C">
        <w:t>s</w:t>
      </w:r>
      <w:r>
        <w:t xml:space="preserve"> the Commission considered whether cultural and linguistic diversity should be included as a driver of state spending.</w:t>
      </w:r>
      <w:bookmarkEnd w:id="83"/>
    </w:p>
    <w:p w14:paraId="4B45B05A" w14:textId="31AF1B25" w:rsidR="00C6585E" w:rsidRDefault="00C6585E" w:rsidP="00C6585E">
      <w:pPr>
        <w:pStyle w:val="CGC2025ParaNumbers"/>
      </w:pPr>
      <w:r>
        <w:t xml:space="preserve">In 2015, the Commission accepted the contention by Victoria and New South Wales that people with poor English have a higher cost of using services than people proficient in English. However, in attempting to find strong evidence for a </w:t>
      </w:r>
      <w:r w:rsidR="00A672AD">
        <w:t>culturally and linguistically diverse</w:t>
      </w:r>
      <w:r>
        <w:t xml:space="preserve"> driver, the Commission identified that while costs are often higher for </w:t>
      </w:r>
      <w:r w:rsidR="00A672AD">
        <w:t>culturally and linguistically diverse</w:t>
      </w:r>
      <w:r>
        <w:t xml:space="preserve"> populations, use rates are generally lower.</w:t>
      </w:r>
    </w:p>
    <w:p w14:paraId="4B8B4915" w14:textId="78315428" w:rsidR="00C6585E" w:rsidRDefault="00C6585E" w:rsidP="00C6585E">
      <w:pPr>
        <w:pStyle w:val="CGC2025ParaNumbers"/>
      </w:pPr>
      <w:r>
        <w:t>For health services, using Victorian data on all admitted patient separations, the Commission found in the 2015 </w:t>
      </w:r>
      <w:r w:rsidR="0036016B">
        <w:t>R</w:t>
      </w:r>
      <w:r>
        <w:t>eview that use and cost varied considerably for people born in different countries. The net effect of this is that disaggregating non</w:t>
      </w:r>
      <w:r w:rsidR="00C90BFB">
        <w:noBreakHyphen/>
      </w:r>
      <w:r>
        <w:t>Indigenous hospital use by country of birth has a virtually negligible effect on New</w:t>
      </w:r>
      <w:r w:rsidR="00C90BFB">
        <w:t> </w:t>
      </w:r>
      <w:r>
        <w:t xml:space="preserve">South Wales (+$3 per capita) and Victoria (-$4 per capita). </w:t>
      </w:r>
    </w:p>
    <w:p w14:paraId="397F830C" w14:textId="40DA5A09" w:rsidR="00C6585E" w:rsidRDefault="00C6585E" w:rsidP="00C6585E">
      <w:pPr>
        <w:pStyle w:val="CGC2025ParaNumbers"/>
      </w:pPr>
      <w:r>
        <w:t>Across a range of services, the Commission determined that there was variability in usage between birthplace groups. There was evidence that while some birthplace groups have higher</w:t>
      </w:r>
      <w:r w:rsidR="007977E3">
        <w:t>-</w:t>
      </w:r>
      <w:r>
        <w:t>than</w:t>
      </w:r>
      <w:r w:rsidR="007977E3">
        <w:t>-</w:t>
      </w:r>
      <w:r>
        <w:t xml:space="preserve">average use and/or cost for at least some services, other birthplace groups have lower use and/or costs. However, there was no strong </w:t>
      </w:r>
      <w:r>
        <w:lastRenderedPageBreak/>
        <w:t xml:space="preserve">evidence about which states’ mix of birthplace groups would lead to </w:t>
      </w:r>
      <w:r w:rsidR="005F3E79">
        <w:t>above</w:t>
      </w:r>
      <w:r w:rsidR="00285659">
        <w:t>-</w:t>
      </w:r>
      <w:r>
        <w:t>average cost profile</w:t>
      </w:r>
      <w:r w:rsidR="00A27FFB">
        <w:t>s</w:t>
      </w:r>
      <w:r>
        <w:t xml:space="preserve">, and which would lead to </w:t>
      </w:r>
      <w:r w:rsidR="005F3E79">
        <w:t>below</w:t>
      </w:r>
      <w:r w:rsidR="00285659">
        <w:t>-</w:t>
      </w:r>
      <w:r>
        <w:t>average cost profile</w:t>
      </w:r>
      <w:r w:rsidR="00B61A4A">
        <w:t>s</w:t>
      </w:r>
      <w:r>
        <w:t>.</w:t>
      </w:r>
    </w:p>
    <w:p w14:paraId="6BD323B8" w14:textId="2E03B232" w:rsidR="00C6585E" w:rsidRDefault="00C6585E" w:rsidP="00C6585E">
      <w:pPr>
        <w:pStyle w:val="CGC2025ParaNumbers"/>
      </w:pPr>
      <w:r>
        <w:t xml:space="preserve">The Commission concluded </w:t>
      </w:r>
      <w:r w:rsidR="00AC0325">
        <w:t xml:space="preserve">in the 2015 Review </w:t>
      </w:r>
      <w:r>
        <w:t xml:space="preserve">that it no longer accepted the conceptual case that states with large </w:t>
      </w:r>
      <w:r w:rsidR="00A672AD">
        <w:t>culturally and linguistically diverse</w:t>
      </w:r>
      <w:r>
        <w:t xml:space="preserve"> population have </w:t>
      </w:r>
      <w:r w:rsidR="001D4660">
        <w:t xml:space="preserve">universally </w:t>
      </w:r>
      <w:r>
        <w:t xml:space="preserve">higher costs, and as such no longer made any assessment of </w:t>
      </w:r>
      <w:r w:rsidR="00A672AD">
        <w:t>culturally and linguistically diverse</w:t>
      </w:r>
      <w:r>
        <w:t xml:space="preserve"> populations. The Commission discontinued using language spoken at home in the post-secondary education category and the general assessment of </w:t>
      </w:r>
      <w:r w:rsidR="00A672AD">
        <w:t>culturally and linguistically diverse</w:t>
      </w:r>
      <w:r>
        <w:t xml:space="preserve"> in the other expenses category.</w:t>
      </w:r>
    </w:p>
    <w:p w14:paraId="1E0E4B2C" w14:textId="2887B628" w:rsidR="00C6585E" w:rsidRDefault="00C6585E" w:rsidP="00C6585E">
      <w:pPr>
        <w:pStyle w:val="CGC2025ParaNumbers"/>
      </w:pPr>
      <w:r>
        <w:t xml:space="preserve">In the 2020 Review, the Commission considered the influence of cultural and linguistic diversity in </w:t>
      </w:r>
      <w:r w:rsidR="00092318">
        <w:t xml:space="preserve">several </w:t>
      </w:r>
      <w:r>
        <w:t>assessments.</w:t>
      </w:r>
    </w:p>
    <w:p w14:paraId="25669E3E" w14:textId="76ADB9E8" w:rsidR="00C6585E" w:rsidRDefault="00C6585E" w:rsidP="00C6585E">
      <w:pPr>
        <w:pStyle w:val="CGC2025Bullet1"/>
      </w:pPr>
      <w:r>
        <w:t xml:space="preserve">In the welfare assessment, the Commission accepted the conceptual case that services to </w:t>
      </w:r>
      <w:r w:rsidR="00A672AD">
        <w:t>culturally and linguistically diverse</w:t>
      </w:r>
      <w:r>
        <w:t xml:space="preserve"> people impose an additional cost on states. However, the absence of comprehensive and reliable cost data</w:t>
      </w:r>
      <w:r w:rsidRPr="00B141C6">
        <w:t xml:space="preserve"> </w:t>
      </w:r>
      <w:r>
        <w:t xml:space="preserve">along with </w:t>
      </w:r>
      <w:r w:rsidR="00A672AD">
        <w:t>culturally and linguistically diverse</w:t>
      </w:r>
      <w:r>
        <w:t xml:space="preserve"> use data limited the Commission’s ability to develop a </w:t>
      </w:r>
      <w:r w:rsidR="00A672AD">
        <w:t>culturally and linguistically diverse</w:t>
      </w:r>
      <w:r>
        <w:t xml:space="preserve"> assessment.</w:t>
      </w:r>
    </w:p>
    <w:p w14:paraId="6CD18065" w14:textId="244615D9" w:rsidR="00C6585E" w:rsidRDefault="00C6585E" w:rsidP="00C6585E">
      <w:pPr>
        <w:pStyle w:val="CGC2025Bullet1"/>
      </w:pPr>
      <w:r>
        <w:t xml:space="preserve">In the </w:t>
      </w:r>
      <w:r w:rsidRPr="008F17EE">
        <w:t>housing</w:t>
      </w:r>
      <w:r>
        <w:t xml:space="preserve"> assessment, the Commission found that using </w:t>
      </w:r>
      <w:r w:rsidR="00A672AD">
        <w:t>culturally and linguistically diverse</w:t>
      </w:r>
      <w:r>
        <w:t xml:space="preserve"> </w:t>
      </w:r>
      <w:r w:rsidR="007A14AD">
        <w:t xml:space="preserve">people </w:t>
      </w:r>
      <w:r>
        <w:t>as a driver did not have a material impact on GST</w:t>
      </w:r>
      <w:r w:rsidR="006D25AB" w:rsidRPr="006D25AB">
        <w:t xml:space="preserve"> </w:t>
      </w:r>
      <w:r w:rsidR="006D25AB">
        <w:t>distribution</w:t>
      </w:r>
      <w:r>
        <w:t>.</w:t>
      </w:r>
    </w:p>
    <w:p w14:paraId="3C3794A8" w14:textId="14ADF9C1" w:rsidR="00C6585E" w:rsidRDefault="00C6585E" w:rsidP="00C6585E">
      <w:pPr>
        <w:pStyle w:val="CGC2025Bullet1"/>
      </w:pPr>
      <w:r>
        <w:t xml:space="preserve">In justice there were difficulties in collecting information that both define a </w:t>
      </w:r>
      <w:r w:rsidR="00A672AD">
        <w:t>culturally and linguistically diverse</w:t>
      </w:r>
      <w:r>
        <w:t xml:space="preserve"> prisoner and a </w:t>
      </w:r>
      <w:r w:rsidRPr="008F17EE">
        <w:t>relative</w:t>
      </w:r>
      <w:r>
        <w:t xml:space="preserve"> cost weight. The only known </w:t>
      </w:r>
      <w:r w:rsidR="00A672AD">
        <w:t>culturally and linguistically diverse</w:t>
      </w:r>
      <w:r>
        <w:t xml:space="preserve"> information on prisoners was country of birth. The Commission conside</w:t>
      </w:r>
      <w:r w:rsidR="00364FD1">
        <w:t>r</w:t>
      </w:r>
      <w:r w:rsidR="006662AF">
        <w:t>ed</w:t>
      </w:r>
      <w:r>
        <w:t xml:space="preserve"> being born overseas is not an adequate way to define the </w:t>
      </w:r>
      <w:r w:rsidR="00A672AD">
        <w:t>culturally and linguistically diverse</w:t>
      </w:r>
      <w:r>
        <w:t xml:space="preserve"> population, as many people born overseas have good English and do not require an interpreter. Likewise, there are many people born in Australia, particularly </w:t>
      </w:r>
      <w:r w:rsidR="00715A23">
        <w:t xml:space="preserve">among </w:t>
      </w:r>
      <w:r>
        <w:t xml:space="preserve">the </w:t>
      </w:r>
      <w:r w:rsidR="00E96B90">
        <w:t>First Nations</w:t>
      </w:r>
      <w:r w:rsidR="00E96B90" w:rsidRPr="004B5FDD">
        <w:t xml:space="preserve"> </w:t>
      </w:r>
      <w:r>
        <w:t>population in the Northern Territory, who require additional resources due to cultural and</w:t>
      </w:r>
      <w:r w:rsidRPr="004B5FDD">
        <w:t xml:space="preserve"> </w:t>
      </w:r>
      <w:r>
        <w:t>linguistic differences.</w:t>
      </w:r>
    </w:p>
    <w:p w14:paraId="26A5B41B" w14:textId="08B0EFD3" w:rsidR="00E64983" w:rsidRDefault="00131D2F" w:rsidP="00F74836">
      <w:pPr>
        <w:pStyle w:val="CGC2025ParaNumbers"/>
      </w:pPr>
      <w:r>
        <w:t>The a</w:t>
      </w:r>
      <w:r w:rsidR="00031CFC">
        <w:t xml:space="preserve">nalysis </w:t>
      </w:r>
      <w:r>
        <w:t>presented by Victoria justif</w:t>
      </w:r>
      <w:r w:rsidR="005F4DDA">
        <w:t>ies</w:t>
      </w:r>
      <w:r>
        <w:t xml:space="preserve"> r</w:t>
      </w:r>
      <w:r w:rsidR="008A7CD6">
        <w:t xml:space="preserve">etesting </w:t>
      </w:r>
      <w:r w:rsidR="00E252C7">
        <w:t xml:space="preserve">the materiality of </w:t>
      </w:r>
      <w:r w:rsidR="00A672AD">
        <w:t>cultural and linguist</w:t>
      </w:r>
      <w:r w:rsidR="005758FA">
        <w:t>ic</w:t>
      </w:r>
      <w:r w:rsidR="00A672AD">
        <w:t xml:space="preserve"> divers</w:t>
      </w:r>
      <w:r w:rsidR="00232F1C">
        <w:t>ity</w:t>
      </w:r>
      <w:r w:rsidR="00E252C7">
        <w:t xml:space="preserve"> as a driver of need</w:t>
      </w:r>
      <w:r>
        <w:t xml:space="preserve">. </w:t>
      </w:r>
      <w:r w:rsidR="00FA5F28">
        <w:t xml:space="preserve">A more comprehensive </w:t>
      </w:r>
      <w:r w:rsidR="006A56FF">
        <w:t xml:space="preserve">analysis can now be undertaken </w:t>
      </w:r>
      <w:r w:rsidR="009A5F64">
        <w:t>of</w:t>
      </w:r>
      <w:r w:rsidR="001C0464">
        <w:t xml:space="preserve"> the impact of a </w:t>
      </w:r>
      <w:r w:rsidR="00A672AD">
        <w:t>culturally and linguistically diverse</w:t>
      </w:r>
      <w:r w:rsidR="001C0464">
        <w:t xml:space="preserve"> </w:t>
      </w:r>
      <w:r w:rsidR="002829E2">
        <w:t xml:space="preserve">population </w:t>
      </w:r>
      <w:r w:rsidR="001C0464">
        <w:t>driver on the health assessment</w:t>
      </w:r>
      <w:r w:rsidR="001D30C5">
        <w:t xml:space="preserve">, </w:t>
      </w:r>
      <w:r w:rsidR="008C2598">
        <w:t xml:space="preserve">using country of birth </w:t>
      </w:r>
      <w:r w:rsidR="006E3DFF">
        <w:t xml:space="preserve">as the indicator of </w:t>
      </w:r>
      <w:r w:rsidR="00A672AD">
        <w:t>culturally and linguistically diverse</w:t>
      </w:r>
      <w:r w:rsidR="006E3DFF">
        <w:t xml:space="preserve"> status. </w:t>
      </w:r>
    </w:p>
    <w:p w14:paraId="27140895" w14:textId="3B907796" w:rsidR="00A045C4" w:rsidRDefault="006403EE" w:rsidP="00B806CD">
      <w:pPr>
        <w:pStyle w:val="CGC2025ParaNumbers"/>
      </w:pPr>
      <w:r>
        <w:t xml:space="preserve">However, </w:t>
      </w:r>
      <w:r w:rsidR="00E04B88">
        <w:t xml:space="preserve">it is a significant </w:t>
      </w:r>
      <w:r w:rsidR="006D3639">
        <w:t xml:space="preserve">and sensitive </w:t>
      </w:r>
      <w:r w:rsidR="00E04B88">
        <w:t>issue that would require consultation with states</w:t>
      </w:r>
      <w:r w:rsidR="007D6263">
        <w:t xml:space="preserve">, including on the </w:t>
      </w:r>
      <w:r w:rsidR="005C2AEA" w:rsidRPr="005C2AEA">
        <w:t xml:space="preserve">choice of countries of birth to include in the different use </w:t>
      </w:r>
      <w:r w:rsidR="001A0FC0">
        <w:t>groups</w:t>
      </w:r>
      <w:r w:rsidR="00637013">
        <w:t xml:space="preserve"> </w:t>
      </w:r>
      <w:r w:rsidR="00B806CD" w:rsidRPr="00B806CD">
        <w:t>(high cost/low cost or high/medium/low cost)</w:t>
      </w:r>
      <w:r w:rsidR="002B18E4">
        <w:t>.</w:t>
      </w:r>
      <w:r w:rsidR="00917E56">
        <w:t xml:space="preserve"> </w:t>
      </w:r>
      <w:r w:rsidR="00E434F4">
        <w:t xml:space="preserve">For example, </w:t>
      </w:r>
      <w:r w:rsidR="003079A8">
        <w:t>Victoria suggests the C</w:t>
      </w:r>
      <w:r w:rsidR="00F74836">
        <w:t>ommission</w:t>
      </w:r>
      <w:r w:rsidR="003079A8">
        <w:t xml:space="preserve"> focus on refugees and people seeking asylum, temporary </w:t>
      </w:r>
      <w:proofErr w:type="gramStart"/>
      <w:r w:rsidR="003079A8">
        <w:t>residents</w:t>
      </w:r>
      <w:proofErr w:type="gramEnd"/>
      <w:r w:rsidR="003079A8">
        <w:t xml:space="preserve"> and people with low English proficiency.</w:t>
      </w:r>
      <w:r w:rsidR="00F74836">
        <w:t xml:space="preserve"> </w:t>
      </w:r>
      <w:r w:rsidR="00AF1D7C">
        <w:t xml:space="preserve">However, this information is not </w:t>
      </w:r>
      <w:r w:rsidR="00E84655">
        <w:t xml:space="preserve">collected </w:t>
      </w:r>
      <w:r w:rsidR="00A30B45">
        <w:t xml:space="preserve">from people </w:t>
      </w:r>
      <w:r w:rsidR="00BB7B09">
        <w:t xml:space="preserve">that use </w:t>
      </w:r>
      <w:r w:rsidR="00AA5C4F">
        <w:t xml:space="preserve">state hospital </w:t>
      </w:r>
      <w:r w:rsidR="004272BE">
        <w:t xml:space="preserve">services, </w:t>
      </w:r>
      <w:r w:rsidR="00B7179C">
        <w:t>so jud</w:t>
      </w:r>
      <w:r w:rsidR="00CD22C6">
        <w:t>g</w:t>
      </w:r>
      <w:r w:rsidR="00C94E93">
        <w:t>e</w:t>
      </w:r>
      <w:r w:rsidR="00CD22C6">
        <w:t xml:space="preserve">ment would be needed to </w:t>
      </w:r>
      <w:r w:rsidR="00045166">
        <w:t>relate these factors ba</w:t>
      </w:r>
      <w:r w:rsidR="006F28C5">
        <w:t>ck the information available on country of birth.</w:t>
      </w:r>
      <w:r w:rsidR="004645CA">
        <w:t xml:space="preserve"> </w:t>
      </w:r>
      <w:r w:rsidR="004A2D86">
        <w:t>On</w:t>
      </w:r>
      <w:r w:rsidR="00171988">
        <w:t>c</w:t>
      </w:r>
      <w:r w:rsidR="004A2D86">
        <w:t xml:space="preserve">e appropriate specifications were determined, there would then </w:t>
      </w:r>
      <w:r w:rsidR="00171988">
        <w:t xml:space="preserve">likely </w:t>
      </w:r>
      <w:r w:rsidR="004A2D86">
        <w:t xml:space="preserve">be a considerable lag in obtaining the relevant </w:t>
      </w:r>
      <w:r w:rsidR="00171988">
        <w:t>data</w:t>
      </w:r>
      <w:r w:rsidR="00CF630A">
        <w:t>.</w:t>
      </w:r>
    </w:p>
    <w:p w14:paraId="73A4ED91" w14:textId="436F7FD0" w:rsidR="00240EA1" w:rsidRDefault="000562BE" w:rsidP="00B806CD">
      <w:pPr>
        <w:pStyle w:val="CGC2025ParaNumbers"/>
      </w:pPr>
      <w:r>
        <w:t xml:space="preserve">If a driver </w:t>
      </w:r>
      <w:r w:rsidR="00B80F86">
        <w:t>has a material</w:t>
      </w:r>
      <w:r>
        <w:t xml:space="preserve"> </w:t>
      </w:r>
      <w:r w:rsidR="002B58D7">
        <w:t xml:space="preserve">impact on GST distribution </w:t>
      </w:r>
      <w:r w:rsidR="00CC0369">
        <w:t>for any state</w:t>
      </w:r>
      <w:r w:rsidR="00CB1793">
        <w:t xml:space="preserve"> across all categories</w:t>
      </w:r>
      <w:r w:rsidR="00C94E93">
        <w:t>,</w:t>
      </w:r>
      <w:r w:rsidR="00BA7762">
        <w:t xml:space="preserve"> it is included in </w:t>
      </w:r>
      <w:r w:rsidR="00A9624F">
        <w:t xml:space="preserve">all assessments where there </w:t>
      </w:r>
      <w:r w:rsidR="007B7763">
        <w:t>is</w:t>
      </w:r>
      <w:r w:rsidR="00A9624F">
        <w:t xml:space="preserve"> a conceptual case for its </w:t>
      </w:r>
      <w:r w:rsidR="00A9624F">
        <w:lastRenderedPageBreak/>
        <w:t>inclusion</w:t>
      </w:r>
      <w:r w:rsidR="00C94E93">
        <w:t>,</w:t>
      </w:r>
      <w:r w:rsidR="00A9624F">
        <w:t xml:space="preserve"> and reliable and robust data, regardless of its materiality in individual assessments</w:t>
      </w:r>
      <w:r w:rsidR="00DC79AA">
        <w:t>.</w:t>
      </w:r>
      <w:r w:rsidR="00DB2228">
        <w:rPr>
          <w:rStyle w:val="FootnoteReference"/>
        </w:rPr>
        <w:footnoteReference w:id="28"/>
      </w:r>
      <w:r w:rsidR="00B972F7">
        <w:t xml:space="preserve"> </w:t>
      </w:r>
    </w:p>
    <w:p w14:paraId="3B4ED583" w14:textId="3F393E86" w:rsidR="00C6585E" w:rsidRDefault="00C6585E" w:rsidP="00C6585E">
      <w:pPr>
        <w:pStyle w:val="CGC2025ParaNumbers"/>
      </w:pPr>
      <w:proofErr w:type="gramStart"/>
      <w:r>
        <w:t>In regard to</w:t>
      </w:r>
      <w:proofErr w:type="gramEnd"/>
      <w:r>
        <w:t xml:space="preserve"> Victoria’s suggestion for a separate assessment of expenses </w:t>
      </w:r>
      <w:r w:rsidRPr="005D3EED">
        <w:t xml:space="preserve">states incur </w:t>
      </w:r>
      <w:r>
        <w:t>on multicultural health services and language support</w:t>
      </w:r>
      <w:r w:rsidRPr="005D3EED">
        <w:t xml:space="preserve"> </w:t>
      </w:r>
      <w:r>
        <w:t xml:space="preserve">associated with </w:t>
      </w:r>
      <w:r w:rsidR="002D46BA">
        <w:t>all</w:t>
      </w:r>
      <w:r>
        <w:t xml:space="preserve"> government services, the Commission has undertaken an indicative assessment of these expenses, on the assumption that all states spend at the same per capita level as Victoria. </w:t>
      </w:r>
    </w:p>
    <w:p w14:paraId="5A61CC51" w14:textId="09C27068" w:rsidR="00C6585E" w:rsidRDefault="00C6585E" w:rsidP="00C6585E">
      <w:pPr>
        <w:pStyle w:val="CGC2025ParaNumbers"/>
      </w:pPr>
      <w:r>
        <w:t xml:space="preserve">Two options for defining </w:t>
      </w:r>
      <w:r w:rsidR="00A672AD">
        <w:t>culturally and linguistically diverse</w:t>
      </w:r>
      <w:r>
        <w:t xml:space="preserve"> were considered – English proficiency and </w:t>
      </w:r>
      <w:r w:rsidR="00446C97">
        <w:t>non</w:t>
      </w:r>
      <w:r w:rsidR="00446C97">
        <w:noBreakHyphen/>
        <w:t xml:space="preserve">English speaking </w:t>
      </w:r>
      <w:r>
        <w:t>country of birth.</w:t>
      </w:r>
    </w:p>
    <w:p w14:paraId="74E8356F" w14:textId="039C79B5" w:rsidR="00C6585E" w:rsidRDefault="00C6585E" w:rsidP="00C6585E">
      <w:pPr>
        <w:pStyle w:val="CGC2025ParaNumbers"/>
      </w:pPr>
      <w:r>
        <w:t>The analysis showed that while the prevalence of culturally and linguistically diverse people varied significantly by state (</w:t>
      </w:r>
      <w:r w:rsidR="009B385F">
        <w:t>Figure 6</w:t>
      </w:r>
      <w:r>
        <w:t xml:space="preserve">), the level of spending </w:t>
      </w:r>
      <w:r w:rsidR="005A0423">
        <w:t>across all services</w:t>
      </w:r>
      <w:r>
        <w:t xml:space="preserve"> was not sufficient to result in a materially different distribution of GST compared </w:t>
      </w:r>
      <w:r w:rsidR="00887646">
        <w:t>with</w:t>
      </w:r>
      <w:r>
        <w:t xml:space="preserve"> an equal per capita distribution (</w:t>
      </w:r>
      <w:r w:rsidR="009B385F">
        <w:t>Table 17</w:t>
      </w:r>
      <w:r>
        <w:t xml:space="preserve"> and </w:t>
      </w:r>
      <w:r w:rsidR="009B385F">
        <w:t>Table 18</w:t>
      </w:r>
      <w:r>
        <w:t>).</w:t>
      </w:r>
    </w:p>
    <w:p w14:paraId="0B56E6C1" w14:textId="0A48D98F" w:rsidR="00C6585E" w:rsidRDefault="00C6585E" w:rsidP="0008558D">
      <w:pPr>
        <w:pStyle w:val="CGC2025Caption"/>
        <w:keepNext/>
        <w:tabs>
          <w:tab w:val="left" w:pos="1134"/>
        </w:tabs>
        <w:rPr>
          <w:bCs/>
        </w:rPr>
      </w:pPr>
      <w:bookmarkStart w:id="84" w:name="_Ref149731965"/>
      <w:r>
        <w:t xml:space="preserve">Figure </w:t>
      </w:r>
      <w:r>
        <w:fldChar w:fldCharType="begin"/>
      </w:r>
      <w:r>
        <w:instrText>SEQ Figure \* ARABIC</w:instrText>
      </w:r>
      <w:r>
        <w:fldChar w:fldCharType="separate"/>
      </w:r>
      <w:r w:rsidR="00581B01">
        <w:rPr>
          <w:noProof/>
        </w:rPr>
        <w:t>6</w:t>
      </w:r>
      <w:r>
        <w:fldChar w:fldCharType="end"/>
      </w:r>
      <w:bookmarkEnd w:id="84"/>
      <w:r>
        <w:tab/>
      </w:r>
      <w:r w:rsidRPr="00154F10">
        <w:rPr>
          <w:bCs/>
        </w:rPr>
        <w:t>Prevalence in the population</w:t>
      </w:r>
    </w:p>
    <w:p w14:paraId="390A1AB6" w14:textId="25C4A771" w:rsidR="006F46DD" w:rsidRDefault="004F592D" w:rsidP="00203D8B">
      <w:pPr>
        <w:pStyle w:val="CGCTablerow"/>
        <w:rPr>
          <w:bCs/>
        </w:rPr>
      </w:pPr>
      <w:r w:rsidRPr="004F592D">
        <w:rPr>
          <w:noProof/>
        </w:rPr>
        <w:drawing>
          <wp:inline distT="0" distB="0" distL="0" distR="0" wp14:anchorId="363087FB" wp14:editId="439278DF">
            <wp:extent cx="2843223" cy="1715514"/>
            <wp:effectExtent l="0" t="0" r="0" b="0"/>
            <wp:docPr id="1175934225" name="Picture 117593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72875" cy="1733405"/>
                    </a:xfrm>
                    <a:prstGeom prst="rect">
                      <a:avLst/>
                    </a:prstGeom>
                    <a:noFill/>
                    <a:ln>
                      <a:noFill/>
                    </a:ln>
                  </pic:spPr>
                </pic:pic>
              </a:graphicData>
            </a:graphic>
          </wp:inline>
        </w:drawing>
      </w:r>
      <w:r w:rsidR="00B3791D" w:rsidRPr="00B3791D">
        <w:rPr>
          <w:noProof/>
        </w:rPr>
        <w:drawing>
          <wp:inline distT="0" distB="0" distL="0" distR="0" wp14:anchorId="3CBC827F" wp14:editId="71D66D4B">
            <wp:extent cx="2820390" cy="1709388"/>
            <wp:effectExtent l="0" t="0" r="0" b="5715"/>
            <wp:docPr id="1509866992" name="Picture 150986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4271" cy="1723862"/>
                    </a:xfrm>
                    <a:prstGeom prst="rect">
                      <a:avLst/>
                    </a:prstGeom>
                    <a:noFill/>
                    <a:ln>
                      <a:noFill/>
                    </a:ln>
                  </pic:spPr>
                </pic:pic>
              </a:graphicData>
            </a:graphic>
          </wp:inline>
        </w:drawing>
      </w:r>
    </w:p>
    <w:p w14:paraId="57CC2E2F" w14:textId="77796CC7" w:rsidR="00C6585E" w:rsidRDefault="00C6585E" w:rsidP="00C6585E">
      <w:pPr>
        <w:pStyle w:val="CGC2025TableNote"/>
      </w:pPr>
      <w:bookmarkStart w:id="85" w:name="_Ref149732051"/>
      <w:r>
        <w:t>Source: ABS 2021 Census data</w:t>
      </w:r>
      <w:r w:rsidR="00B44591">
        <w:t xml:space="preserve">; </w:t>
      </w:r>
      <w:r w:rsidR="00AE5D92">
        <w:t>Commission judgement was required in determining the list of non</w:t>
      </w:r>
      <w:r w:rsidR="00AE5D92">
        <w:noBreakHyphen/>
        <w:t>English speaking countrie</w:t>
      </w:r>
      <w:r w:rsidR="002D0630">
        <w:t>s</w:t>
      </w:r>
      <w:r w:rsidR="00C94E93">
        <w:t>.</w:t>
      </w:r>
    </w:p>
    <w:p w14:paraId="4F14A8B3" w14:textId="79CDD69C" w:rsidR="00C6585E" w:rsidRPr="00154F10" w:rsidRDefault="00C6585E" w:rsidP="0008558D">
      <w:pPr>
        <w:pStyle w:val="CGC2025Caption"/>
        <w:keepNext/>
        <w:tabs>
          <w:tab w:val="left" w:pos="1134"/>
        </w:tabs>
      </w:pPr>
      <w:bookmarkStart w:id="86" w:name="_Ref150441528"/>
      <w:r>
        <w:t xml:space="preserve">Table </w:t>
      </w:r>
      <w:r>
        <w:fldChar w:fldCharType="begin"/>
      </w:r>
      <w:r>
        <w:instrText>SEQ Table \* ARABIC</w:instrText>
      </w:r>
      <w:r>
        <w:fldChar w:fldCharType="separate"/>
      </w:r>
      <w:r w:rsidR="00581B01">
        <w:rPr>
          <w:noProof/>
        </w:rPr>
        <w:t>17</w:t>
      </w:r>
      <w:r>
        <w:fldChar w:fldCharType="end"/>
      </w:r>
      <w:bookmarkEnd w:id="85"/>
      <w:bookmarkEnd w:id="86"/>
      <w:r>
        <w:tab/>
      </w:r>
      <w:r w:rsidRPr="00154F10">
        <w:t xml:space="preserve">GST impact </w:t>
      </w:r>
      <w:r>
        <w:t>–</w:t>
      </w:r>
      <w:r w:rsidRPr="00154F10">
        <w:t xml:space="preserve"> </w:t>
      </w:r>
      <w:r>
        <w:t>English proficiency</w:t>
      </w:r>
    </w:p>
    <w:tbl>
      <w:tblPr>
        <w:tblW w:w="8942" w:type="dxa"/>
        <w:tblLook w:val="04A0" w:firstRow="1" w:lastRow="0" w:firstColumn="1" w:lastColumn="0" w:noHBand="0" w:noVBand="1"/>
      </w:tblPr>
      <w:tblGrid>
        <w:gridCol w:w="2265"/>
        <w:gridCol w:w="741"/>
        <w:gridCol w:w="742"/>
        <w:gridCol w:w="742"/>
        <w:gridCol w:w="742"/>
        <w:gridCol w:w="742"/>
        <w:gridCol w:w="742"/>
        <w:gridCol w:w="742"/>
        <w:gridCol w:w="742"/>
        <w:gridCol w:w="742"/>
      </w:tblGrid>
      <w:tr w:rsidR="00820940" w:rsidRPr="00820940" w14:paraId="043C456D" w14:textId="77777777" w:rsidTr="00987640">
        <w:trPr>
          <w:trHeight w:val="375"/>
        </w:trPr>
        <w:tc>
          <w:tcPr>
            <w:tcW w:w="2260" w:type="dxa"/>
            <w:tcBorders>
              <w:top w:val="nil"/>
              <w:left w:val="nil"/>
              <w:bottom w:val="nil"/>
              <w:right w:val="nil"/>
            </w:tcBorders>
            <w:shd w:val="clear" w:color="000000" w:fill="006991"/>
            <w:vAlign w:val="center"/>
            <w:hideMark/>
          </w:tcPr>
          <w:p w14:paraId="69C9F612" w14:textId="77777777" w:rsidR="00820940" w:rsidRPr="00820940" w:rsidRDefault="00820940" w:rsidP="006823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87" w:name="_Ref149732062"/>
            <w:r w:rsidRPr="00820940">
              <w:rPr>
                <w:rFonts w:ascii="Open Sans Semibold" w:eastAsia="Times New Roman" w:hAnsi="Open Sans Semibold" w:cs="Open Sans Semibold"/>
                <w:color w:val="FFFFFF"/>
                <w:sz w:val="16"/>
                <w:szCs w:val="16"/>
                <w:lang w:eastAsia="en-AU"/>
              </w:rPr>
              <w:t> </w:t>
            </w:r>
          </w:p>
        </w:tc>
        <w:tc>
          <w:tcPr>
            <w:tcW w:w="740" w:type="dxa"/>
            <w:tcBorders>
              <w:top w:val="nil"/>
              <w:left w:val="nil"/>
              <w:bottom w:val="nil"/>
              <w:right w:val="nil"/>
            </w:tcBorders>
            <w:shd w:val="clear" w:color="000000" w:fill="006991"/>
            <w:vAlign w:val="center"/>
            <w:hideMark/>
          </w:tcPr>
          <w:p w14:paraId="03F1F206"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20940">
              <w:rPr>
                <w:rFonts w:ascii="Open Sans Semibold" w:eastAsia="Times New Roman" w:hAnsi="Open Sans Semibold" w:cs="Open Sans Semibold"/>
                <w:color w:val="FFFFFF"/>
                <w:sz w:val="16"/>
                <w:szCs w:val="16"/>
                <w:lang w:eastAsia="en-AU"/>
              </w:rPr>
              <w:t>NSW</w:t>
            </w:r>
          </w:p>
        </w:tc>
        <w:tc>
          <w:tcPr>
            <w:tcW w:w="740" w:type="dxa"/>
            <w:tcBorders>
              <w:top w:val="nil"/>
              <w:left w:val="nil"/>
              <w:bottom w:val="nil"/>
              <w:right w:val="nil"/>
            </w:tcBorders>
            <w:shd w:val="clear" w:color="000000" w:fill="006991"/>
            <w:vAlign w:val="center"/>
            <w:hideMark/>
          </w:tcPr>
          <w:p w14:paraId="73DE8FB7"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20940">
              <w:rPr>
                <w:rFonts w:ascii="Open Sans Semibold" w:eastAsia="Times New Roman" w:hAnsi="Open Sans Semibold" w:cs="Open Sans Semibold"/>
                <w:color w:val="FFFFFF"/>
                <w:sz w:val="16"/>
                <w:szCs w:val="16"/>
                <w:lang w:eastAsia="en-AU"/>
              </w:rPr>
              <w:t>Vic</w:t>
            </w:r>
          </w:p>
        </w:tc>
        <w:tc>
          <w:tcPr>
            <w:tcW w:w="740" w:type="dxa"/>
            <w:tcBorders>
              <w:top w:val="nil"/>
              <w:left w:val="nil"/>
              <w:bottom w:val="nil"/>
              <w:right w:val="nil"/>
            </w:tcBorders>
            <w:shd w:val="clear" w:color="000000" w:fill="006991"/>
            <w:vAlign w:val="center"/>
            <w:hideMark/>
          </w:tcPr>
          <w:p w14:paraId="3C3C60E2"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20940">
              <w:rPr>
                <w:rFonts w:ascii="Open Sans Semibold" w:eastAsia="Times New Roman" w:hAnsi="Open Sans Semibold" w:cs="Open Sans Semibold"/>
                <w:color w:val="FFFFFF"/>
                <w:sz w:val="16"/>
                <w:szCs w:val="16"/>
                <w:lang w:eastAsia="en-AU"/>
              </w:rPr>
              <w:t>Qld</w:t>
            </w:r>
          </w:p>
        </w:tc>
        <w:tc>
          <w:tcPr>
            <w:tcW w:w="740" w:type="dxa"/>
            <w:tcBorders>
              <w:top w:val="nil"/>
              <w:left w:val="nil"/>
              <w:bottom w:val="nil"/>
              <w:right w:val="nil"/>
            </w:tcBorders>
            <w:shd w:val="clear" w:color="000000" w:fill="006991"/>
            <w:vAlign w:val="center"/>
            <w:hideMark/>
          </w:tcPr>
          <w:p w14:paraId="735D8C40"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20940">
              <w:rPr>
                <w:rFonts w:ascii="Open Sans Semibold" w:eastAsia="Times New Roman" w:hAnsi="Open Sans Semibold" w:cs="Open Sans Semibold"/>
                <w:color w:val="FFFFFF"/>
                <w:sz w:val="16"/>
                <w:szCs w:val="16"/>
                <w:lang w:eastAsia="en-AU"/>
              </w:rPr>
              <w:t>WA</w:t>
            </w:r>
          </w:p>
        </w:tc>
        <w:tc>
          <w:tcPr>
            <w:tcW w:w="740" w:type="dxa"/>
            <w:tcBorders>
              <w:top w:val="nil"/>
              <w:left w:val="nil"/>
              <w:bottom w:val="nil"/>
              <w:right w:val="nil"/>
            </w:tcBorders>
            <w:shd w:val="clear" w:color="000000" w:fill="006991"/>
            <w:vAlign w:val="center"/>
            <w:hideMark/>
          </w:tcPr>
          <w:p w14:paraId="66DA5E65"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20940">
              <w:rPr>
                <w:rFonts w:ascii="Open Sans Semibold" w:eastAsia="Times New Roman" w:hAnsi="Open Sans Semibold" w:cs="Open Sans Semibold"/>
                <w:color w:val="FFFFFF"/>
                <w:sz w:val="16"/>
                <w:szCs w:val="16"/>
                <w:lang w:eastAsia="en-AU"/>
              </w:rPr>
              <w:t>SA</w:t>
            </w:r>
          </w:p>
        </w:tc>
        <w:tc>
          <w:tcPr>
            <w:tcW w:w="740" w:type="dxa"/>
            <w:tcBorders>
              <w:top w:val="nil"/>
              <w:left w:val="nil"/>
              <w:bottom w:val="nil"/>
              <w:right w:val="nil"/>
            </w:tcBorders>
            <w:shd w:val="clear" w:color="000000" w:fill="006991"/>
            <w:vAlign w:val="center"/>
            <w:hideMark/>
          </w:tcPr>
          <w:p w14:paraId="62643F4D"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20940">
              <w:rPr>
                <w:rFonts w:ascii="Open Sans Semibold" w:eastAsia="Times New Roman" w:hAnsi="Open Sans Semibold" w:cs="Open Sans Semibold"/>
                <w:color w:val="FFFFFF"/>
                <w:sz w:val="16"/>
                <w:szCs w:val="16"/>
                <w:lang w:eastAsia="en-AU"/>
              </w:rPr>
              <w:t>Tas</w:t>
            </w:r>
          </w:p>
        </w:tc>
        <w:tc>
          <w:tcPr>
            <w:tcW w:w="740" w:type="dxa"/>
            <w:tcBorders>
              <w:top w:val="nil"/>
              <w:left w:val="nil"/>
              <w:bottom w:val="nil"/>
              <w:right w:val="nil"/>
            </w:tcBorders>
            <w:shd w:val="clear" w:color="000000" w:fill="006991"/>
            <w:vAlign w:val="center"/>
            <w:hideMark/>
          </w:tcPr>
          <w:p w14:paraId="3ADD5B6B"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20940">
              <w:rPr>
                <w:rFonts w:ascii="Open Sans Semibold" w:eastAsia="Times New Roman" w:hAnsi="Open Sans Semibold" w:cs="Open Sans Semibold"/>
                <w:color w:val="FFFFFF"/>
                <w:sz w:val="16"/>
                <w:szCs w:val="16"/>
                <w:lang w:eastAsia="en-AU"/>
              </w:rPr>
              <w:t>ACT</w:t>
            </w:r>
          </w:p>
        </w:tc>
        <w:tc>
          <w:tcPr>
            <w:tcW w:w="740" w:type="dxa"/>
            <w:tcBorders>
              <w:top w:val="nil"/>
              <w:left w:val="nil"/>
              <w:bottom w:val="nil"/>
              <w:right w:val="nil"/>
            </w:tcBorders>
            <w:shd w:val="clear" w:color="000000" w:fill="006991"/>
            <w:vAlign w:val="center"/>
            <w:hideMark/>
          </w:tcPr>
          <w:p w14:paraId="5908E7AB"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20940">
              <w:rPr>
                <w:rFonts w:ascii="Open Sans Semibold" w:eastAsia="Times New Roman" w:hAnsi="Open Sans Semibold" w:cs="Open Sans Semibold"/>
                <w:color w:val="FFFFFF"/>
                <w:sz w:val="16"/>
                <w:szCs w:val="16"/>
                <w:lang w:eastAsia="en-AU"/>
              </w:rPr>
              <w:t>NT</w:t>
            </w:r>
          </w:p>
        </w:tc>
        <w:tc>
          <w:tcPr>
            <w:tcW w:w="740" w:type="dxa"/>
            <w:tcBorders>
              <w:top w:val="nil"/>
              <w:left w:val="nil"/>
              <w:bottom w:val="nil"/>
              <w:right w:val="nil"/>
            </w:tcBorders>
            <w:shd w:val="clear" w:color="000000" w:fill="006991"/>
            <w:vAlign w:val="center"/>
            <w:hideMark/>
          </w:tcPr>
          <w:p w14:paraId="45AC761E"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20940">
              <w:rPr>
                <w:rFonts w:ascii="Open Sans Semibold" w:eastAsia="Times New Roman" w:hAnsi="Open Sans Semibold" w:cs="Open Sans Semibold"/>
                <w:color w:val="FFFFFF"/>
                <w:sz w:val="16"/>
                <w:szCs w:val="16"/>
                <w:lang w:eastAsia="en-AU"/>
              </w:rPr>
              <w:t>Total</w:t>
            </w:r>
          </w:p>
        </w:tc>
      </w:tr>
      <w:tr w:rsidR="00820940" w:rsidRPr="00820940" w14:paraId="42F7D5F4" w14:textId="77777777" w:rsidTr="00987640">
        <w:trPr>
          <w:trHeight w:val="315"/>
        </w:trPr>
        <w:tc>
          <w:tcPr>
            <w:tcW w:w="2260" w:type="dxa"/>
            <w:tcBorders>
              <w:top w:val="single" w:sz="4" w:space="0" w:color="ADD6EA"/>
              <w:left w:val="nil"/>
              <w:bottom w:val="single" w:sz="4" w:space="0" w:color="ADD6EA"/>
              <w:right w:val="nil"/>
            </w:tcBorders>
            <w:shd w:val="clear" w:color="auto" w:fill="auto"/>
            <w:noWrap/>
            <w:vAlign w:val="center"/>
            <w:hideMark/>
          </w:tcPr>
          <w:p w14:paraId="174028FD" w14:textId="0EA870B7" w:rsidR="00820940" w:rsidRPr="00820940" w:rsidRDefault="00820940" w:rsidP="00FB0D03">
            <w:pPr>
              <w:keepNext/>
              <w:keepLines/>
              <w:tabs>
                <w:tab w:val="clear" w:pos="567"/>
              </w:tabs>
              <w:spacing w:before="0" w:line="240" w:lineRule="auto"/>
              <w:rPr>
                <w:rFonts w:eastAsia="Times New Roman" w:cs="Open Sans Light"/>
                <w:sz w:val="16"/>
                <w:szCs w:val="16"/>
                <w:lang w:eastAsia="en-AU"/>
              </w:rPr>
            </w:pPr>
            <w:r w:rsidRPr="00820940">
              <w:rPr>
                <w:rFonts w:eastAsia="Times New Roman" w:cs="Open Sans Light"/>
                <w:sz w:val="16"/>
                <w:szCs w:val="16"/>
                <w:lang w:eastAsia="en-AU"/>
              </w:rPr>
              <w:t>Natl spend on CALD ($</w:t>
            </w:r>
            <w:r w:rsidR="00AD2D4E">
              <w:rPr>
                <w:rFonts w:eastAsia="Times New Roman" w:cs="Open Sans Light"/>
                <w:sz w:val="16"/>
                <w:szCs w:val="16"/>
                <w:lang w:eastAsia="en-AU"/>
              </w:rPr>
              <w:t>m</w:t>
            </w:r>
            <w:r w:rsidRPr="00820940">
              <w:rPr>
                <w:rFonts w:eastAsia="Times New Roman" w:cs="Open Sans Light"/>
                <w:sz w:val="16"/>
                <w:szCs w:val="16"/>
                <w:lang w:eastAsia="en-AU"/>
              </w:rPr>
              <w:t>)</w:t>
            </w:r>
          </w:p>
        </w:tc>
        <w:tc>
          <w:tcPr>
            <w:tcW w:w="740" w:type="dxa"/>
            <w:tcBorders>
              <w:top w:val="single" w:sz="4" w:space="0" w:color="ADD6EA"/>
              <w:left w:val="nil"/>
              <w:bottom w:val="single" w:sz="4" w:space="0" w:color="ADD6EA"/>
              <w:right w:val="nil"/>
            </w:tcBorders>
            <w:shd w:val="clear" w:color="auto" w:fill="auto"/>
            <w:noWrap/>
            <w:vAlign w:val="center"/>
            <w:hideMark/>
          </w:tcPr>
          <w:p w14:paraId="137122D7"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217</w:t>
            </w:r>
          </w:p>
        </w:tc>
        <w:tc>
          <w:tcPr>
            <w:tcW w:w="740" w:type="dxa"/>
            <w:tcBorders>
              <w:top w:val="single" w:sz="4" w:space="0" w:color="ADD6EA"/>
              <w:left w:val="nil"/>
              <w:bottom w:val="single" w:sz="4" w:space="0" w:color="ADD6EA"/>
              <w:right w:val="nil"/>
            </w:tcBorders>
            <w:shd w:val="clear" w:color="auto" w:fill="auto"/>
            <w:noWrap/>
            <w:vAlign w:val="center"/>
            <w:hideMark/>
          </w:tcPr>
          <w:p w14:paraId="76525D08"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171</w:t>
            </w:r>
          </w:p>
        </w:tc>
        <w:tc>
          <w:tcPr>
            <w:tcW w:w="740" w:type="dxa"/>
            <w:tcBorders>
              <w:top w:val="single" w:sz="4" w:space="0" w:color="ADD6EA"/>
              <w:left w:val="nil"/>
              <w:bottom w:val="single" w:sz="4" w:space="0" w:color="ADD6EA"/>
              <w:right w:val="nil"/>
            </w:tcBorders>
            <w:shd w:val="clear" w:color="auto" w:fill="auto"/>
            <w:noWrap/>
            <w:vAlign w:val="center"/>
            <w:hideMark/>
          </w:tcPr>
          <w:p w14:paraId="50C7EE52"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55</w:t>
            </w:r>
          </w:p>
        </w:tc>
        <w:tc>
          <w:tcPr>
            <w:tcW w:w="740" w:type="dxa"/>
            <w:tcBorders>
              <w:top w:val="single" w:sz="4" w:space="0" w:color="ADD6EA"/>
              <w:left w:val="nil"/>
              <w:bottom w:val="single" w:sz="4" w:space="0" w:color="ADD6EA"/>
              <w:right w:val="nil"/>
            </w:tcBorders>
            <w:shd w:val="clear" w:color="auto" w:fill="auto"/>
            <w:noWrap/>
            <w:vAlign w:val="center"/>
            <w:hideMark/>
          </w:tcPr>
          <w:p w14:paraId="210EA7B8"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36</w:t>
            </w:r>
          </w:p>
        </w:tc>
        <w:tc>
          <w:tcPr>
            <w:tcW w:w="740" w:type="dxa"/>
            <w:tcBorders>
              <w:top w:val="single" w:sz="4" w:space="0" w:color="ADD6EA"/>
              <w:left w:val="nil"/>
              <w:bottom w:val="single" w:sz="4" w:space="0" w:color="ADD6EA"/>
              <w:right w:val="nil"/>
            </w:tcBorders>
            <w:shd w:val="clear" w:color="auto" w:fill="auto"/>
            <w:noWrap/>
            <w:vAlign w:val="center"/>
            <w:hideMark/>
          </w:tcPr>
          <w:p w14:paraId="4A44EED9"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29</w:t>
            </w:r>
          </w:p>
        </w:tc>
        <w:tc>
          <w:tcPr>
            <w:tcW w:w="740" w:type="dxa"/>
            <w:tcBorders>
              <w:top w:val="single" w:sz="4" w:space="0" w:color="ADD6EA"/>
              <w:left w:val="nil"/>
              <w:bottom w:val="single" w:sz="4" w:space="0" w:color="ADD6EA"/>
              <w:right w:val="nil"/>
            </w:tcBorders>
            <w:shd w:val="clear" w:color="auto" w:fill="auto"/>
            <w:noWrap/>
            <w:vAlign w:val="center"/>
            <w:hideMark/>
          </w:tcPr>
          <w:p w14:paraId="518BCCBA"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3</w:t>
            </w:r>
          </w:p>
        </w:tc>
        <w:tc>
          <w:tcPr>
            <w:tcW w:w="740" w:type="dxa"/>
            <w:tcBorders>
              <w:top w:val="single" w:sz="4" w:space="0" w:color="ADD6EA"/>
              <w:left w:val="nil"/>
              <w:bottom w:val="single" w:sz="4" w:space="0" w:color="ADD6EA"/>
              <w:right w:val="nil"/>
            </w:tcBorders>
            <w:shd w:val="clear" w:color="auto" w:fill="auto"/>
            <w:noWrap/>
            <w:vAlign w:val="center"/>
            <w:hideMark/>
          </w:tcPr>
          <w:p w14:paraId="7B39E9DD"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7</w:t>
            </w:r>
          </w:p>
        </w:tc>
        <w:tc>
          <w:tcPr>
            <w:tcW w:w="740" w:type="dxa"/>
            <w:tcBorders>
              <w:top w:val="single" w:sz="4" w:space="0" w:color="ADD6EA"/>
              <w:left w:val="nil"/>
              <w:bottom w:val="single" w:sz="4" w:space="0" w:color="ADD6EA"/>
              <w:right w:val="nil"/>
            </w:tcBorders>
            <w:shd w:val="clear" w:color="auto" w:fill="auto"/>
            <w:noWrap/>
            <w:vAlign w:val="center"/>
            <w:hideMark/>
          </w:tcPr>
          <w:p w14:paraId="77CDAB82"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5</w:t>
            </w:r>
          </w:p>
        </w:tc>
        <w:tc>
          <w:tcPr>
            <w:tcW w:w="740" w:type="dxa"/>
            <w:tcBorders>
              <w:top w:val="single" w:sz="4" w:space="0" w:color="ADD6EA"/>
              <w:left w:val="nil"/>
              <w:bottom w:val="single" w:sz="4" w:space="0" w:color="ADD6EA"/>
              <w:right w:val="nil"/>
            </w:tcBorders>
            <w:shd w:val="clear" w:color="auto" w:fill="auto"/>
            <w:noWrap/>
            <w:vAlign w:val="center"/>
            <w:hideMark/>
          </w:tcPr>
          <w:p w14:paraId="28398D8B"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523</w:t>
            </w:r>
          </w:p>
        </w:tc>
      </w:tr>
      <w:tr w:rsidR="00820940" w:rsidRPr="00820940" w14:paraId="0A0B52EB" w14:textId="77777777" w:rsidTr="00987640">
        <w:trPr>
          <w:trHeight w:val="315"/>
        </w:trPr>
        <w:tc>
          <w:tcPr>
            <w:tcW w:w="2260" w:type="dxa"/>
            <w:tcBorders>
              <w:top w:val="nil"/>
              <w:left w:val="nil"/>
              <w:bottom w:val="single" w:sz="4" w:space="0" w:color="ADD6EA"/>
              <w:right w:val="nil"/>
            </w:tcBorders>
            <w:shd w:val="clear" w:color="auto" w:fill="auto"/>
            <w:noWrap/>
            <w:vAlign w:val="center"/>
            <w:hideMark/>
          </w:tcPr>
          <w:p w14:paraId="38D7BDEB" w14:textId="5996C3F4" w:rsidR="00820940" w:rsidRPr="00820940" w:rsidRDefault="00820940" w:rsidP="00FB0D03">
            <w:pPr>
              <w:keepNext/>
              <w:keepLines/>
              <w:tabs>
                <w:tab w:val="clear" w:pos="567"/>
              </w:tabs>
              <w:spacing w:before="0" w:line="240" w:lineRule="auto"/>
              <w:rPr>
                <w:rFonts w:eastAsia="Times New Roman" w:cs="Open Sans Light"/>
                <w:color w:val="000000"/>
                <w:sz w:val="16"/>
                <w:szCs w:val="16"/>
                <w:lang w:eastAsia="en-AU"/>
              </w:rPr>
            </w:pPr>
            <w:r w:rsidRPr="00820940">
              <w:rPr>
                <w:rFonts w:eastAsia="Times New Roman" w:cs="Open Sans Light"/>
                <w:color w:val="000000"/>
                <w:sz w:val="16"/>
                <w:szCs w:val="16"/>
                <w:lang w:eastAsia="en-AU"/>
              </w:rPr>
              <w:t>EPC share CALD spend ($</w:t>
            </w:r>
            <w:r w:rsidR="00AD2D4E">
              <w:rPr>
                <w:rFonts w:eastAsia="Times New Roman" w:cs="Open Sans Light"/>
                <w:color w:val="000000"/>
                <w:sz w:val="16"/>
                <w:szCs w:val="16"/>
                <w:lang w:eastAsia="en-AU"/>
              </w:rPr>
              <w:t>m</w:t>
            </w:r>
            <w:r w:rsidRPr="00820940">
              <w:rPr>
                <w:rFonts w:eastAsia="Times New Roman" w:cs="Open Sans Light"/>
                <w:color w:val="000000"/>
                <w:sz w:val="16"/>
                <w:szCs w:val="16"/>
                <w:lang w:eastAsia="en-AU"/>
              </w:rPr>
              <w:t>)</w:t>
            </w:r>
          </w:p>
        </w:tc>
        <w:tc>
          <w:tcPr>
            <w:tcW w:w="740" w:type="dxa"/>
            <w:tcBorders>
              <w:top w:val="nil"/>
              <w:left w:val="nil"/>
              <w:bottom w:val="single" w:sz="4" w:space="0" w:color="ADD6EA"/>
              <w:right w:val="nil"/>
            </w:tcBorders>
            <w:shd w:val="clear" w:color="auto" w:fill="auto"/>
            <w:noWrap/>
            <w:vAlign w:val="center"/>
            <w:hideMark/>
          </w:tcPr>
          <w:p w14:paraId="479DB6C3"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165</w:t>
            </w:r>
          </w:p>
        </w:tc>
        <w:tc>
          <w:tcPr>
            <w:tcW w:w="740" w:type="dxa"/>
            <w:tcBorders>
              <w:top w:val="nil"/>
              <w:left w:val="nil"/>
              <w:bottom w:val="single" w:sz="4" w:space="0" w:color="ADD6EA"/>
              <w:right w:val="nil"/>
            </w:tcBorders>
            <w:shd w:val="clear" w:color="auto" w:fill="auto"/>
            <w:noWrap/>
            <w:vAlign w:val="center"/>
            <w:hideMark/>
          </w:tcPr>
          <w:p w14:paraId="0879413E"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133</w:t>
            </w:r>
          </w:p>
        </w:tc>
        <w:tc>
          <w:tcPr>
            <w:tcW w:w="740" w:type="dxa"/>
            <w:tcBorders>
              <w:top w:val="nil"/>
              <w:left w:val="nil"/>
              <w:bottom w:val="single" w:sz="4" w:space="0" w:color="ADD6EA"/>
              <w:right w:val="nil"/>
            </w:tcBorders>
            <w:shd w:val="clear" w:color="auto" w:fill="auto"/>
            <w:noWrap/>
            <w:vAlign w:val="center"/>
            <w:hideMark/>
          </w:tcPr>
          <w:p w14:paraId="2EC8984E"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107</w:t>
            </w:r>
          </w:p>
        </w:tc>
        <w:tc>
          <w:tcPr>
            <w:tcW w:w="740" w:type="dxa"/>
            <w:tcBorders>
              <w:top w:val="nil"/>
              <w:left w:val="nil"/>
              <w:bottom w:val="single" w:sz="4" w:space="0" w:color="ADD6EA"/>
              <w:right w:val="nil"/>
            </w:tcBorders>
            <w:shd w:val="clear" w:color="auto" w:fill="auto"/>
            <w:noWrap/>
            <w:vAlign w:val="center"/>
            <w:hideMark/>
          </w:tcPr>
          <w:p w14:paraId="6087A553"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56</w:t>
            </w:r>
          </w:p>
        </w:tc>
        <w:tc>
          <w:tcPr>
            <w:tcW w:w="740" w:type="dxa"/>
            <w:tcBorders>
              <w:top w:val="nil"/>
              <w:left w:val="nil"/>
              <w:bottom w:val="single" w:sz="4" w:space="0" w:color="ADD6EA"/>
              <w:right w:val="nil"/>
            </w:tcBorders>
            <w:shd w:val="clear" w:color="auto" w:fill="auto"/>
            <w:noWrap/>
            <w:vAlign w:val="center"/>
            <w:hideMark/>
          </w:tcPr>
          <w:p w14:paraId="4EDE5BCF"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37</w:t>
            </w:r>
          </w:p>
        </w:tc>
        <w:tc>
          <w:tcPr>
            <w:tcW w:w="740" w:type="dxa"/>
            <w:tcBorders>
              <w:top w:val="nil"/>
              <w:left w:val="nil"/>
              <w:bottom w:val="single" w:sz="4" w:space="0" w:color="ADD6EA"/>
              <w:right w:val="nil"/>
            </w:tcBorders>
            <w:shd w:val="clear" w:color="auto" w:fill="auto"/>
            <w:noWrap/>
            <w:vAlign w:val="center"/>
            <w:hideMark/>
          </w:tcPr>
          <w:p w14:paraId="4374FB4D"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12</w:t>
            </w:r>
          </w:p>
        </w:tc>
        <w:tc>
          <w:tcPr>
            <w:tcW w:w="740" w:type="dxa"/>
            <w:tcBorders>
              <w:top w:val="nil"/>
              <w:left w:val="nil"/>
              <w:bottom w:val="single" w:sz="4" w:space="0" w:color="ADD6EA"/>
              <w:right w:val="nil"/>
            </w:tcBorders>
            <w:shd w:val="clear" w:color="auto" w:fill="auto"/>
            <w:noWrap/>
            <w:vAlign w:val="center"/>
            <w:hideMark/>
          </w:tcPr>
          <w:p w14:paraId="79D99069"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9</w:t>
            </w:r>
          </w:p>
        </w:tc>
        <w:tc>
          <w:tcPr>
            <w:tcW w:w="740" w:type="dxa"/>
            <w:tcBorders>
              <w:top w:val="nil"/>
              <w:left w:val="nil"/>
              <w:bottom w:val="single" w:sz="4" w:space="0" w:color="ADD6EA"/>
              <w:right w:val="nil"/>
            </w:tcBorders>
            <w:shd w:val="clear" w:color="auto" w:fill="auto"/>
            <w:noWrap/>
            <w:vAlign w:val="center"/>
            <w:hideMark/>
          </w:tcPr>
          <w:p w14:paraId="2A860B60"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5</w:t>
            </w:r>
          </w:p>
        </w:tc>
        <w:tc>
          <w:tcPr>
            <w:tcW w:w="740" w:type="dxa"/>
            <w:tcBorders>
              <w:top w:val="nil"/>
              <w:left w:val="nil"/>
              <w:bottom w:val="single" w:sz="4" w:space="0" w:color="ADD6EA"/>
              <w:right w:val="nil"/>
            </w:tcBorders>
            <w:shd w:val="clear" w:color="auto" w:fill="auto"/>
            <w:noWrap/>
            <w:vAlign w:val="center"/>
            <w:hideMark/>
          </w:tcPr>
          <w:p w14:paraId="736F25D5"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523</w:t>
            </w:r>
          </w:p>
        </w:tc>
      </w:tr>
      <w:tr w:rsidR="00820940" w:rsidRPr="00820940" w14:paraId="064C1771" w14:textId="77777777" w:rsidTr="00987640">
        <w:trPr>
          <w:trHeight w:val="315"/>
        </w:trPr>
        <w:tc>
          <w:tcPr>
            <w:tcW w:w="2260" w:type="dxa"/>
            <w:tcBorders>
              <w:top w:val="nil"/>
              <w:left w:val="nil"/>
              <w:bottom w:val="single" w:sz="4" w:space="0" w:color="ADD6EA"/>
              <w:right w:val="nil"/>
            </w:tcBorders>
            <w:shd w:val="clear" w:color="auto" w:fill="auto"/>
            <w:noWrap/>
            <w:vAlign w:val="center"/>
            <w:hideMark/>
          </w:tcPr>
          <w:p w14:paraId="6F78C2A2" w14:textId="6EF8CB29" w:rsidR="00820940" w:rsidRPr="00820940" w:rsidRDefault="00820940" w:rsidP="00FB0D03">
            <w:pPr>
              <w:keepNext/>
              <w:keepLines/>
              <w:tabs>
                <w:tab w:val="clear" w:pos="567"/>
              </w:tabs>
              <w:spacing w:before="0" w:line="240" w:lineRule="auto"/>
              <w:rPr>
                <w:rFonts w:eastAsia="Times New Roman" w:cs="Open Sans Light"/>
                <w:color w:val="000000"/>
                <w:sz w:val="16"/>
                <w:szCs w:val="16"/>
                <w:lang w:eastAsia="en-AU"/>
              </w:rPr>
            </w:pPr>
            <w:r w:rsidRPr="00820940">
              <w:rPr>
                <w:rFonts w:eastAsia="Times New Roman" w:cs="Open Sans Light"/>
                <w:color w:val="000000"/>
                <w:sz w:val="16"/>
                <w:szCs w:val="16"/>
                <w:lang w:eastAsia="en-AU"/>
              </w:rPr>
              <w:t>Difference from EPC ($</w:t>
            </w:r>
            <w:r w:rsidR="00AD2D4E">
              <w:rPr>
                <w:rFonts w:eastAsia="Times New Roman" w:cs="Open Sans Light"/>
                <w:color w:val="000000"/>
                <w:sz w:val="16"/>
                <w:szCs w:val="16"/>
                <w:lang w:eastAsia="en-AU"/>
              </w:rPr>
              <w:t>m</w:t>
            </w:r>
            <w:r w:rsidRPr="00820940">
              <w:rPr>
                <w:rFonts w:eastAsia="Times New Roman" w:cs="Open Sans Light"/>
                <w:color w:val="000000"/>
                <w:sz w:val="16"/>
                <w:szCs w:val="16"/>
                <w:lang w:eastAsia="en-AU"/>
              </w:rPr>
              <w:t>)</w:t>
            </w:r>
          </w:p>
        </w:tc>
        <w:tc>
          <w:tcPr>
            <w:tcW w:w="740" w:type="dxa"/>
            <w:tcBorders>
              <w:top w:val="nil"/>
              <w:left w:val="nil"/>
              <w:bottom w:val="single" w:sz="4" w:space="0" w:color="ADD6EA"/>
              <w:right w:val="nil"/>
            </w:tcBorders>
            <w:shd w:val="clear" w:color="auto" w:fill="auto"/>
            <w:noWrap/>
            <w:vAlign w:val="center"/>
            <w:hideMark/>
          </w:tcPr>
          <w:p w14:paraId="06CFA2B6"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53</w:t>
            </w:r>
          </w:p>
        </w:tc>
        <w:tc>
          <w:tcPr>
            <w:tcW w:w="740" w:type="dxa"/>
            <w:tcBorders>
              <w:top w:val="nil"/>
              <w:left w:val="nil"/>
              <w:bottom w:val="single" w:sz="4" w:space="0" w:color="ADD6EA"/>
              <w:right w:val="nil"/>
            </w:tcBorders>
            <w:shd w:val="clear" w:color="auto" w:fill="auto"/>
            <w:noWrap/>
            <w:vAlign w:val="center"/>
            <w:hideMark/>
          </w:tcPr>
          <w:p w14:paraId="66A1DC48"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38</w:t>
            </w:r>
          </w:p>
        </w:tc>
        <w:tc>
          <w:tcPr>
            <w:tcW w:w="740" w:type="dxa"/>
            <w:tcBorders>
              <w:top w:val="nil"/>
              <w:left w:val="nil"/>
              <w:bottom w:val="single" w:sz="4" w:space="0" w:color="ADD6EA"/>
              <w:right w:val="nil"/>
            </w:tcBorders>
            <w:shd w:val="clear" w:color="auto" w:fill="auto"/>
            <w:noWrap/>
            <w:vAlign w:val="center"/>
            <w:hideMark/>
          </w:tcPr>
          <w:p w14:paraId="6A8CB0E3"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-52</w:t>
            </w:r>
          </w:p>
        </w:tc>
        <w:tc>
          <w:tcPr>
            <w:tcW w:w="740" w:type="dxa"/>
            <w:tcBorders>
              <w:top w:val="nil"/>
              <w:left w:val="nil"/>
              <w:bottom w:val="single" w:sz="4" w:space="0" w:color="ADD6EA"/>
              <w:right w:val="nil"/>
            </w:tcBorders>
            <w:shd w:val="clear" w:color="auto" w:fill="auto"/>
            <w:noWrap/>
            <w:vAlign w:val="center"/>
            <w:hideMark/>
          </w:tcPr>
          <w:p w14:paraId="326AE289"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-20</w:t>
            </w:r>
          </w:p>
        </w:tc>
        <w:tc>
          <w:tcPr>
            <w:tcW w:w="740" w:type="dxa"/>
            <w:tcBorders>
              <w:top w:val="nil"/>
              <w:left w:val="nil"/>
              <w:bottom w:val="single" w:sz="4" w:space="0" w:color="ADD6EA"/>
              <w:right w:val="nil"/>
            </w:tcBorders>
            <w:shd w:val="clear" w:color="auto" w:fill="auto"/>
            <w:noWrap/>
            <w:vAlign w:val="center"/>
            <w:hideMark/>
          </w:tcPr>
          <w:p w14:paraId="49817517"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-8</w:t>
            </w:r>
          </w:p>
        </w:tc>
        <w:tc>
          <w:tcPr>
            <w:tcW w:w="740" w:type="dxa"/>
            <w:tcBorders>
              <w:top w:val="nil"/>
              <w:left w:val="nil"/>
              <w:bottom w:val="single" w:sz="4" w:space="0" w:color="ADD6EA"/>
              <w:right w:val="nil"/>
            </w:tcBorders>
            <w:shd w:val="clear" w:color="auto" w:fill="auto"/>
            <w:noWrap/>
            <w:vAlign w:val="center"/>
            <w:hideMark/>
          </w:tcPr>
          <w:p w14:paraId="0675CC99"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-9</w:t>
            </w:r>
          </w:p>
        </w:tc>
        <w:tc>
          <w:tcPr>
            <w:tcW w:w="740" w:type="dxa"/>
            <w:tcBorders>
              <w:top w:val="nil"/>
              <w:left w:val="nil"/>
              <w:bottom w:val="single" w:sz="4" w:space="0" w:color="ADD6EA"/>
              <w:right w:val="nil"/>
            </w:tcBorders>
            <w:shd w:val="clear" w:color="auto" w:fill="auto"/>
            <w:noWrap/>
            <w:vAlign w:val="center"/>
            <w:hideMark/>
          </w:tcPr>
          <w:p w14:paraId="7036C9DE"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-2</w:t>
            </w:r>
          </w:p>
        </w:tc>
        <w:tc>
          <w:tcPr>
            <w:tcW w:w="740" w:type="dxa"/>
            <w:tcBorders>
              <w:top w:val="nil"/>
              <w:left w:val="nil"/>
              <w:bottom w:val="single" w:sz="4" w:space="0" w:color="ADD6EA"/>
              <w:right w:val="nil"/>
            </w:tcBorders>
            <w:shd w:val="clear" w:color="auto" w:fill="auto"/>
            <w:noWrap/>
            <w:vAlign w:val="center"/>
            <w:hideMark/>
          </w:tcPr>
          <w:p w14:paraId="00EB4403"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0</w:t>
            </w:r>
          </w:p>
        </w:tc>
        <w:tc>
          <w:tcPr>
            <w:tcW w:w="740" w:type="dxa"/>
            <w:tcBorders>
              <w:top w:val="nil"/>
              <w:left w:val="nil"/>
              <w:bottom w:val="single" w:sz="4" w:space="0" w:color="ADD6EA"/>
              <w:right w:val="nil"/>
            </w:tcBorders>
            <w:shd w:val="clear" w:color="auto" w:fill="auto"/>
            <w:noWrap/>
            <w:vAlign w:val="center"/>
            <w:hideMark/>
          </w:tcPr>
          <w:p w14:paraId="5C9CCC07" w14:textId="77777777" w:rsidR="00820940" w:rsidRPr="00820940" w:rsidRDefault="00820940" w:rsidP="00987640">
            <w:pPr>
              <w:keepNext/>
              <w:keepLines/>
              <w:tabs>
                <w:tab w:val="clear" w:pos="567"/>
              </w:tabs>
              <w:spacing w:before="0" w:line="240" w:lineRule="auto"/>
              <w:jc w:val="right"/>
              <w:rPr>
                <w:rFonts w:ascii="Open Sans" w:eastAsia="Times New Roman" w:hAnsi="Open Sans" w:cs="Open Sans"/>
                <w:color w:val="000000"/>
                <w:sz w:val="16"/>
                <w:szCs w:val="16"/>
                <w:lang w:eastAsia="en-AU"/>
              </w:rPr>
            </w:pPr>
            <w:r w:rsidRPr="00820940">
              <w:rPr>
                <w:rFonts w:ascii="Open Sans" w:eastAsia="Times New Roman" w:hAnsi="Open Sans" w:cs="Open Sans"/>
                <w:color w:val="000000"/>
                <w:sz w:val="16"/>
                <w:szCs w:val="16"/>
                <w:lang w:eastAsia="en-AU"/>
              </w:rPr>
              <w:t>0</w:t>
            </w:r>
          </w:p>
        </w:tc>
      </w:tr>
      <w:tr w:rsidR="00820940" w:rsidRPr="00820940" w14:paraId="589BC5C3" w14:textId="77777777" w:rsidTr="00987640">
        <w:trPr>
          <w:trHeight w:val="315"/>
        </w:trPr>
        <w:tc>
          <w:tcPr>
            <w:tcW w:w="2260" w:type="dxa"/>
            <w:tcBorders>
              <w:top w:val="nil"/>
              <w:left w:val="nil"/>
              <w:bottom w:val="single" w:sz="4" w:space="0" w:color="ADD6EA"/>
              <w:right w:val="nil"/>
            </w:tcBorders>
            <w:shd w:val="clear" w:color="000000" w:fill="D6E7F0"/>
            <w:vAlign w:val="center"/>
            <w:hideMark/>
          </w:tcPr>
          <w:p w14:paraId="302C0266" w14:textId="77777777" w:rsidR="00820940" w:rsidRPr="00820940" w:rsidRDefault="00820940" w:rsidP="00FB0D03">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820940">
              <w:rPr>
                <w:rFonts w:ascii="Open Sans Semibold" w:eastAsia="Times New Roman" w:hAnsi="Open Sans Semibold" w:cs="Open Sans Semibold"/>
                <w:color w:val="000000"/>
                <w:sz w:val="16"/>
                <w:szCs w:val="16"/>
                <w:lang w:eastAsia="en-AU"/>
              </w:rPr>
              <w:t>Difference from EPC ($pc)</w:t>
            </w:r>
          </w:p>
        </w:tc>
        <w:tc>
          <w:tcPr>
            <w:tcW w:w="740" w:type="dxa"/>
            <w:tcBorders>
              <w:top w:val="nil"/>
              <w:left w:val="nil"/>
              <w:bottom w:val="single" w:sz="4" w:space="0" w:color="ADD6EA"/>
              <w:right w:val="nil"/>
            </w:tcBorders>
            <w:shd w:val="clear" w:color="000000" w:fill="D6E7F0"/>
            <w:vAlign w:val="center"/>
            <w:hideMark/>
          </w:tcPr>
          <w:p w14:paraId="2364CD50"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20940">
              <w:rPr>
                <w:rFonts w:ascii="Open Sans Semibold" w:eastAsia="Times New Roman" w:hAnsi="Open Sans Semibold" w:cs="Open Sans Semibold"/>
                <w:color w:val="000000"/>
                <w:sz w:val="16"/>
                <w:szCs w:val="16"/>
                <w:lang w:eastAsia="en-AU"/>
              </w:rPr>
              <w:t>7</w:t>
            </w:r>
          </w:p>
        </w:tc>
        <w:tc>
          <w:tcPr>
            <w:tcW w:w="740" w:type="dxa"/>
            <w:tcBorders>
              <w:top w:val="nil"/>
              <w:left w:val="nil"/>
              <w:bottom w:val="single" w:sz="4" w:space="0" w:color="ADD6EA"/>
              <w:right w:val="nil"/>
            </w:tcBorders>
            <w:shd w:val="clear" w:color="000000" w:fill="D6E7F0"/>
            <w:vAlign w:val="center"/>
            <w:hideMark/>
          </w:tcPr>
          <w:p w14:paraId="6D2529C3"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20940">
              <w:rPr>
                <w:rFonts w:ascii="Open Sans Semibold" w:eastAsia="Times New Roman" w:hAnsi="Open Sans Semibold" w:cs="Open Sans Semibold"/>
                <w:color w:val="000000"/>
                <w:sz w:val="16"/>
                <w:szCs w:val="16"/>
                <w:lang w:eastAsia="en-AU"/>
              </w:rPr>
              <w:t>6</w:t>
            </w:r>
          </w:p>
        </w:tc>
        <w:tc>
          <w:tcPr>
            <w:tcW w:w="740" w:type="dxa"/>
            <w:tcBorders>
              <w:top w:val="nil"/>
              <w:left w:val="nil"/>
              <w:bottom w:val="single" w:sz="4" w:space="0" w:color="ADD6EA"/>
              <w:right w:val="nil"/>
            </w:tcBorders>
            <w:shd w:val="clear" w:color="000000" w:fill="D6E7F0"/>
            <w:vAlign w:val="center"/>
            <w:hideMark/>
          </w:tcPr>
          <w:p w14:paraId="45C0046B"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20940">
              <w:rPr>
                <w:rFonts w:ascii="Open Sans Semibold" w:eastAsia="Times New Roman" w:hAnsi="Open Sans Semibold" w:cs="Open Sans Semibold"/>
                <w:color w:val="000000"/>
                <w:sz w:val="16"/>
                <w:szCs w:val="16"/>
                <w:lang w:eastAsia="en-AU"/>
              </w:rPr>
              <w:t>-10</w:t>
            </w:r>
          </w:p>
        </w:tc>
        <w:tc>
          <w:tcPr>
            <w:tcW w:w="740" w:type="dxa"/>
            <w:tcBorders>
              <w:top w:val="nil"/>
              <w:left w:val="nil"/>
              <w:bottom w:val="single" w:sz="4" w:space="0" w:color="ADD6EA"/>
              <w:right w:val="nil"/>
            </w:tcBorders>
            <w:shd w:val="clear" w:color="000000" w:fill="D6E7F0"/>
            <w:vAlign w:val="center"/>
            <w:hideMark/>
          </w:tcPr>
          <w:p w14:paraId="727649F8"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20940">
              <w:rPr>
                <w:rFonts w:ascii="Open Sans Semibold" w:eastAsia="Times New Roman" w:hAnsi="Open Sans Semibold" w:cs="Open Sans Semibold"/>
                <w:color w:val="000000"/>
                <w:sz w:val="16"/>
                <w:szCs w:val="16"/>
                <w:lang w:eastAsia="en-AU"/>
              </w:rPr>
              <w:t>-7</w:t>
            </w:r>
          </w:p>
        </w:tc>
        <w:tc>
          <w:tcPr>
            <w:tcW w:w="740" w:type="dxa"/>
            <w:tcBorders>
              <w:top w:val="nil"/>
              <w:left w:val="nil"/>
              <w:bottom w:val="single" w:sz="4" w:space="0" w:color="ADD6EA"/>
              <w:right w:val="nil"/>
            </w:tcBorders>
            <w:shd w:val="clear" w:color="000000" w:fill="D6E7F0"/>
            <w:vAlign w:val="center"/>
            <w:hideMark/>
          </w:tcPr>
          <w:p w14:paraId="3F00ABC6"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20940">
              <w:rPr>
                <w:rFonts w:ascii="Open Sans Semibold" w:eastAsia="Times New Roman" w:hAnsi="Open Sans Semibold" w:cs="Open Sans Semibold"/>
                <w:color w:val="000000"/>
                <w:sz w:val="16"/>
                <w:szCs w:val="16"/>
                <w:lang w:eastAsia="en-AU"/>
              </w:rPr>
              <w:t>-4</w:t>
            </w:r>
          </w:p>
        </w:tc>
        <w:tc>
          <w:tcPr>
            <w:tcW w:w="740" w:type="dxa"/>
            <w:tcBorders>
              <w:top w:val="nil"/>
              <w:left w:val="nil"/>
              <w:bottom w:val="single" w:sz="4" w:space="0" w:color="ADD6EA"/>
              <w:right w:val="nil"/>
            </w:tcBorders>
            <w:shd w:val="clear" w:color="000000" w:fill="D6E7F0"/>
            <w:vAlign w:val="center"/>
            <w:hideMark/>
          </w:tcPr>
          <w:p w14:paraId="17CAAE5D"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20940">
              <w:rPr>
                <w:rFonts w:ascii="Open Sans Semibold" w:eastAsia="Times New Roman" w:hAnsi="Open Sans Semibold" w:cs="Open Sans Semibold"/>
                <w:color w:val="000000"/>
                <w:sz w:val="16"/>
                <w:szCs w:val="16"/>
                <w:lang w:eastAsia="en-AU"/>
              </w:rPr>
              <w:t>-15</w:t>
            </w:r>
          </w:p>
        </w:tc>
        <w:tc>
          <w:tcPr>
            <w:tcW w:w="740" w:type="dxa"/>
            <w:tcBorders>
              <w:top w:val="nil"/>
              <w:left w:val="nil"/>
              <w:bottom w:val="single" w:sz="4" w:space="0" w:color="ADD6EA"/>
              <w:right w:val="nil"/>
            </w:tcBorders>
            <w:shd w:val="clear" w:color="000000" w:fill="D6E7F0"/>
            <w:vAlign w:val="center"/>
            <w:hideMark/>
          </w:tcPr>
          <w:p w14:paraId="558FDAAF"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20940">
              <w:rPr>
                <w:rFonts w:ascii="Open Sans Semibold" w:eastAsia="Times New Roman" w:hAnsi="Open Sans Semibold" w:cs="Open Sans Semibold"/>
                <w:color w:val="000000"/>
                <w:sz w:val="16"/>
                <w:szCs w:val="16"/>
                <w:lang w:eastAsia="en-AU"/>
              </w:rPr>
              <w:t>-5</w:t>
            </w:r>
          </w:p>
        </w:tc>
        <w:tc>
          <w:tcPr>
            <w:tcW w:w="740" w:type="dxa"/>
            <w:tcBorders>
              <w:top w:val="nil"/>
              <w:left w:val="nil"/>
              <w:bottom w:val="single" w:sz="4" w:space="0" w:color="ADD6EA"/>
              <w:right w:val="nil"/>
            </w:tcBorders>
            <w:shd w:val="clear" w:color="000000" w:fill="D6E7F0"/>
            <w:vAlign w:val="center"/>
            <w:hideMark/>
          </w:tcPr>
          <w:p w14:paraId="0AC54E8F"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20940">
              <w:rPr>
                <w:rFonts w:ascii="Open Sans Semibold" w:eastAsia="Times New Roman" w:hAnsi="Open Sans Semibold" w:cs="Open Sans Semibold"/>
                <w:color w:val="000000"/>
                <w:sz w:val="16"/>
                <w:szCs w:val="16"/>
                <w:lang w:eastAsia="en-AU"/>
              </w:rPr>
              <w:t>2</w:t>
            </w:r>
          </w:p>
        </w:tc>
        <w:tc>
          <w:tcPr>
            <w:tcW w:w="740" w:type="dxa"/>
            <w:tcBorders>
              <w:top w:val="nil"/>
              <w:left w:val="nil"/>
              <w:bottom w:val="single" w:sz="4" w:space="0" w:color="ADD6EA"/>
              <w:right w:val="nil"/>
            </w:tcBorders>
            <w:shd w:val="clear" w:color="000000" w:fill="D6E7F0"/>
            <w:vAlign w:val="center"/>
            <w:hideMark/>
          </w:tcPr>
          <w:p w14:paraId="4E637567" w14:textId="77777777" w:rsidR="00820940" w:rsidRPr="00820940" w:rsidRDefault="00820940"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20940">
              <w:rPr>
                <w:rFonts w:ascii="Open Sans Semibold" w:eastAsia="Times New Roman" w:hAnsi="Open Sans Semibold" w:cs="Open Sans Semibold"/>
                <w:color w:val="000000"/>
                <w:sz w:val="16"/>
                <w:szCs w:val="16"/>
                <w:lang w:eastAsia="en-AU"/>
              </w:rPr>
              <w:t>0</w:t>
            </w:r>
          </w:p>
        </w:tc>
      </w:tr>
    </w:tbl>
    <w:p w14:paraId="3B9F6A58" w14:textId="2F38EB10" w:rsidR="00C6585E" w:rsidRDefault="00C6585E" w:rsidP="00C6585E">
      <w:pPr>
        <w:pStyle w:val="CGC2025TableNote"/>
      </w:pPr>
      <w:r>
        <w:t xml:space="preserve">Source: </w:t>
      </w:r>
      <w:r w:rsidR="0019612F">
        <w:t xml:space="preserve">Commission calculation using </w:t>
      </w:r>
      <w:r>
        <w:t>Victorian data</w:t>
      </w:r>
      <w:r w:rsidR="00FF044D">
        <w:t xml:space="preserve"> and </w:t>
      </w:r>
      <w:r>
        <w:t>ABS 2021 Census data</w:t>
      </w:r>
      <w:r w:rsidR="00DC4722">
        <w:t>.</w:t>
      </w:r>
    </w:p>
    <w:p w14:paraId="6DBF7687" w14:textId="6A45F79B" w:rsidR="00C6585E" w:rsidRPr="00154F10" w:rsidRDefault="00C6585E" w:rsidP="0008558D">
      <w:pPr>
        <w:pStyle w:val="CGC2025Caption"/>
        <w:keepNext/>
        <w:tabs>
          <w:tab w:val="left" w:pos="1134"/>
        </w:tabs>
        <w:rPr>
          <w:bCs/>
        </w:rPr>
      </w:pPr>
      <w:bookmarkStart w:id="88" w:name="_Ref150441536"/>
      <w:r>
        <w:t xml:space="preserve">Table </w:t>
      </w:r>
      <w:r>
        <w:fldChar w:fldCharType="begin"/>
      </w:r>
      <w:r>
        <w:instrText>SEQ Table \* ARABIC</w:instrText>
      </w:r>
      <w:r>
        <w:fldChar w:fldCharType="separate"/>
      </w:r>
      <w:r w:rsidR="00581B01">
        <w:rPr>
          <w:noProof/>
        </w:rPr>
        <w:t>18</w:t>
      </w:r>
      <w:r>
        <w:fldChar w:fldCharType="end"/>
      </w:r>
      <w:bookmarkEnd w:id="87"/>
      <w:bookmarkEnd w:id="88"/>
      <w:r>
        <w:tab/>
      </w:r>
      <w:r w:rsidRPr="00154F10">
        <w:rPr>
          <w:bCs/>
        </w:rPr>
        <w:t xml:space="preserve">GST impact – </w:t>
      </w:r>
      <w:r w:rsidR="00307E04">
        <w:rPr>
          <w:bCs/>
        </w:rPr>
        <w:t>c</w:t>
      </w:r>
      <w:r w:rsidRPr="00154F10">
        <w:rPr>
          <w:bCs/>
        </w:rPr>
        <w:t>ountry of birth</w:t>
      </w:r>
    </w:p>
    <w:tbl>
      <w:tblPr>
        <w:tblW w:w="8942" w:type="dxa"/>
        <w:tblLook w:val="04A0" w:firstRow="1" w:lastRow="0" w:firstColumn="1" w:lastColumn="0" w:noHBand="0" w:noVBand="1"/>
      </w:tblPr>
      <w:tblGrid>
        <w:gridCol w:w="2265"/>
        <w:gridCol w:w="741"/>
        <w:gridCol w:w="742"/>
        <w:gridCol w:w="742"/>
        <w:gridCol w:w="742"/>
        <w:gridCol w:w="742"/>
        <w:gridCol w:w="742"/>
        <w:gridCol w:w="742"/>
        <w:gridCol w:w="742"/>
        <w:gridCol w:w="742"/>
      </w:tblGrid>
      <w:tr w:rsidR="002B440C" w:rsidRPr="002B440C" w14:paraId="63776FCF" w14:textId="77777777" w:rsidTr="00987640">
        <w:trPr>
          <w:trHeight w:val="375"/>
        </w:trPr>
        <w:tc>
          <w:tcPr>
            <w:tcW w:w="2260" w:type="dxa"/>
            <w:tcBorders>
              <w:top w:val="nil"/>
              <w:left w:val="nil"/>
              <w:bottom w:val="nil"/>
              <w:right w:val="nil"/>
            </w:tcBorders>
            <w:shd w:val="clear" w:color="000000" w:fill="006991"/>
            <w:vAlign w:val="center"/>
            <w:hideMark/>
          </w:tcPr>
          <w:p w14:paraId="6D8D530E" w14:textId="77777777" w:rsidR="002B440C" w:rsidRPr="002B440C" w:rsidRDefault="002B440C" w:rsidP="0080207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B440C">
              <w:rPr>
                <w:rFonts w:ascii="Open Sans Semibold" w:eastAsia="Times New Roman" w:hAnsi="Open Sans Semibold" w:cs="Open Sans Semibold"/>
                <w:color w:val="FFFFFF"/>
                <w:sz w:val="16"/>
                <w:szCs w:val="16"/>
                <w:lang w:eastAsia="en-AU"/>
              </w:rPr>
              <w:t> </w:t>
            </w:r>
          </w:p>
        </w:tc>
        <w:tc>
          <w:tcPr>
            <w:tcW w:w="740" w:type="dxa"/>
            <w:tcBorders>
              <w:top w:val="nil"/>
              <w:left w:val="nil"/>
              <w:bottom w:val="nil"/>
              <w:right w:val="nil"/>
            </w:tcBorders>
            <w:shd w:val="clear" w:color="000000" w:fill="006991"/>
            <w:vAlign w:val="center"/>
            <w:hideMark/>
          </w:tcPr>
          <w:p w14:paraId="61B8345F"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B440C">
              <w:rPr>
                <w:rFonts w:ascii="Open Sans Semibold" w:eastAsia="Times New Roman" w:hAnsi="Open Sans Semibold" w:cs="Open Sans Semibold"/>
                <w:color w:val="FFFFFF"/>
                <w:sz w:val="16"/>
                <w:szCs w:val="16"/>
                <w:lang w:eastAsia="en-AU"/>
              </w:rPr>
              <w:t>NSW</w:t>
            </w:r>
          </w:p>
        </w:tc>
        <w:tc>
          <w:tcPr>
            <w:tcW w:w="740" w:type="dxa"/>
            <w:tcBorders>
              <w:top w:val="nil"/>
              <w:left w:val="nil"/>
              <w:bottom w:val="nil"/>
              <w:right w:val="nil"/>
            </w:tcBorders>
            <w:shd w:val="clear" w:color="000000" w:fill="006991"/>
            <w:vAlign w:val="center"/>
            <w:hideMark/>
          </w:tcPr>
          <w:p w14:paraId="72BE1D1D"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B440C">
              <w:rPr>
                <w:rFonts w:ascii="Open Sans Semibold" w:eastAsia="Times New Roman" w:hAnsi="Open Sans Semibold" w:cs="Open Sans Semibold"/>
                <w:color w:val="FFFFFF"/>
                <w:sz w:val="16"/>
                <w:szCs w:val="16"/>
                <w:lang w:eastAsia="en-AU"/>
              </w:rPr>
              <w:t>Vic</w:t>
            </w:r>
          </w:p>
        </w:tc>
        <w:tc>
          <w:tcPr>
            <w:tcW w:w="740" w:type="dxa"/>
            <w:tcBorders>
              <w:top w:val="nil"/>
              <w:left w:val="nil"/>
              <w:bottom w:val="nil"/>
              <w:right w:val="nil"/>
            </w:tcBorders>
            <w:shd w:val="clear" w:color="000000" w:fill="006991"/>
            <w:vAlign w:val="center"/>
            <w:hideMark/>
          </w:tcPr>
          <w:p w14:paraId="026FE45D"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B440C">
              <w:rPr>
                <w:rFonts w:ascii="Open Sans Semibold" w:eastAsia="Times New Roman" w:hAnsi="Open Sans Semibold" w:cs="Open Sans Semibold"/>
                <w:color w:val="FFFFFF"/>
                <w:sz w:val="16"/>
                <w:szCs w:val="16"/>
                <w:lang w:eastAsia="en-AU"/>
              </w:rPr>
              <w:t>Qld</w:t>
            </w:r>
          </w:p>
        </w:tc>
        <w:tc>
          <w:tcPr>
            <w:tcW w:w="740" w:type="dxa"/>
            <w:tcBorders>
              <w:top w:val="nil"/>
              <w:left w:val="nil"/>
              <w:bottom w:val="nil"/>
              <w:right w:val="nil"/>
            </w:tcBorders>
            <w:shd w:val="clear" w:color="000000" w:fill="006991"/>
            <w:vAlign w:val="center"/>
            <w:hideMark/>
          </w:tcPr>
          <w:p w14:paraId="19987CF5"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B440C">
              <w:rPr>
                <w:rFonts w:ascii="Open Sans Semibold" w:eastAsia="Times New Roman" w:hAnsi="Open Sans Semibold" w:cs="Open Sans Semibold"/>
                <w:color w:val="FFFFFF"/>
                <w:sz w:val="16"/>
                <w:szCs w:val="16"/>
                <w:lang w:eastAsia="en-AU"/>
              </w:rPr>
              <w:t>WA</w:t>
            </w:r>
          </w:p>
        </w:tc>
        <w:tc>
          <w:tcPr>
            <w:tcW w:w="740" w:type="dxa"/>
            <w:tcBorders>
              <w:top w:val="nil"/>
              <w:left w:val="nil"/>
              <w:bottom w:val="nil"/>
              <w:right w:val="nil"/>
            </w:tcBorders>
            <w:shd w:val="clear" w:color="000000" w:fill="006991"/>
            <w:vAlign w:val="center"/>
            <w:hideMark/>
          </w:tcPr>
          <w:p w14:paraId="09FE8D30"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B440C">
              <w:rPr>
                <w:rFonts w:ascii="Open Sans Semibold" w:eastAsia="Times New Roman" w:hAnsi="Open Sans Semibold" w:cs="Open Sans Semibold"/>
                <w:color w:val="FFFFFF"/>
                <w:sz w:val="16"/>
                <w:szCs w:val="16"/>
                <w:lang w:eastAsia="en-AU"/>
              </w:rPr>
              <w:t>SA</w:t>
            </w:r>
          </w:p>
        </w:tc>
        <w:tc>
          <w:tcPr>
            <w:tcW w:w="740" w:type="dxa"/>
            <w:tcBorders>
              <w:top w:val="nil"/>
              <w:left w:val="nil"/>
              <w:bottom w:val="nil"/>
              <w:right w:val="nil"/>
            </w:tcBorders>
            <w:shd w:val="clear" w:color="000000" w:fill="006991"/>
            <w:vAlign w:val="center"/>
            <w:hideMark/>
          </w:tcPr>
          <w:p w14:paraId="057B2E2D"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B440C">
              <w:rPr>
                <w:rFonts w:ascii="Open Sans Semibold" w:eastAsia="Times New Roman" w:hAnsi="Open Sans Semibold" w:cs="Open Sans Semibold"/>
                <w:color w:val="FFFFFF"/>
                <w:sz w:val="16"/>
                <w:szCs w:val="16"/>
                <w:lang w:eastAsia="en-AU"/>
              </w:rPr>
              <w:t>Tas</w:t>
            </w:r>
          </w:p>
        </w:tc>
        <w:tc>
          <w:tcPr>
            <w:tcW w:w="740" w:type="dxa"/>
            <w:tcBorders>
              <w:top w:val="nil"/>
              <w:left w:val="nil"/>
              <w:bottom w:val="nil"/>
              <w:right w:val="nil"/>
            </w:tcBorders>
            <w:shd w:val="clear" w:color="000000" w:fill="006991"/>
            <w:vAlign w:val="center"/>
            <w:hideMark/>
          </w:tcPr>
          <w:p w14:paraId="61A72F9D"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B440C">
              <w:rPr>
                <w:rFonts w:ascii="Open Sans Semibold" w:eastAsia="Times New Roman" w:hAnsi="Open Sans Semibold" w:cs="Open Sans Semibold"/>
                <w:color w:val="FFFFFF"/>
                <w:sz w:val="16"/>
                <w:szCs w:val="16"/>
                <w:lang w:eastAsia="en-AU"/>
              </w:rPr>
              <w:t>ACT</w:t>
            </w:r>
          </w:p>
        </w:tc>
        <w:tc>
          <w:tcPr>
            <w:tcW w:w="740" w:type="dxa"/>
            <w:tcBorders>
              <w:top w:val="nil"/>
              <w:left w:val="nil"/>
              <w:bottom w:val="nil"/>
              <w:right w:val="nil"/>
            </w:tcBorders>
            <w:shd w:val="clear" w:color="000000" w:fill="006991"/>
            <w:vAlign w:val="center"/>
            <w:hideMark/>
          </w:tcPr>
          <w:p w14:paraId="65DA8DDF"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B440C">
              <w:rPr>
                <w:rFonts w:ascii="Open Sans Semibold" w:eastAsia="Times New Roman" w:hAnsi="Open Sans Semibold" w:cs="Open Sans Semibold"/>
                <w:color w:val="FFFFFF"/>
                <w:sz w:val="16"/>
                <w:szCs w:val="16"/>
                <w:lang w:eastAsia="en-AU"/>
              </w:rPr>
              <w:t>NT</w:t>
            </w:r>
          </w:p>
        </w:tc>
        <w:tc>
          <w:tcPr>
            <w:tcW w:w="740" w:type="dxa"/>
            <w:tcBorders>
              <w:top w:val="nil"/>
              <w:left w:val="nil"/>
              <w:bottom w:val="nil"/>
              <w:right w:val="nil"/>
            </w:tcBorders>
            <w:shd w:val="clear" w:color="000000" w:fill="006991"/>
            <w:vAlign w:val="center"/>
            <w:hideMark/>
          </w:tcPr>
          <w:p w14:paraId="0C819D2D"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B440C">
              <w:rPr>
                <w:rFonts w:ascii="Open Sans Semibold" w:eastAsia="Times New Roman" w:hAnsi="Open Sans Semibold" w:cs="Open Sans Semibold"/>
                <w:color w:val="FFFFFF"/>
                <w:sz w:val="16"/>
                <w:szCs w:val="16"/>
                <w:lang w:eastAsia="en-AU"/>
              </w:rPr>
              <w:t>Total</w:t>
            </w:r>
          </w:p>
        </w:tc>
      </w:tr>
      <w:tr w:rsidR="002B440C" w:rsidRPr="002B440C" w14:paraId="1C6566CE" w14:textId="77777777" w:rsidTr="00987640">
        <w:trPr>
          <w:trHeight w:val="315"/>
        </w:trPr>
        <w:tc>
          <w:tcPr>
            <w:tcW w:w="2260" w:type="dxa"/>
            <w:tcBorders>
              <w:top w:val="single" w:sz="4" w:space="0" w:color="ADD6EA"/>
              <w:left w:val="nil"/>
              <w:bottom w:val="single" w:sz="4" w:space="0" w:color="ADD6EA"/>
              <w:right w:val="nil"/>
            </w:tcBorders>
            <w:shd w:val="clear" w:color="auto" w:fill="auto"/>
            <w:noWrap/>
            <w:vAlign w:val="center"/>
            <w:hideMark/>
          </w:tcPr>
          <w:p w14:paraId="78093555" w14:textId="03134BEF" w:rsidR="002B440C" w:rsidRPr="002B440C" w:rsidRDefault="002B440C" w:rsidP="00987640">
            <w:pPr>
              <w:keepNext/>
              <w:keepLines/>
              <w:tabs>
                <w:tab w:val="clear" w:pos="567"/>
              </w:tabs>
              <w:spacing w:before="0" w:line="240" w:lineRule="auto"/>
              <w:rPr>
                <w:rFonts w:eastAsia="Times New Roman" w:cs="Open Sans Light"/>
                <w:sz w:val="16"/>
                <w:szCs w:val="16"/>
                <w:lang w:eastAsia="en-AU"/>
              </w:rPr>
            </w:pPr>
            <w:r w:rsidRPr="002B440C">
              <w:rPr>
                <w:rFonts w:eastAsia="Times New Roman" w:cs="Open Sans Light"/>
                <w:sz w:val="16"/>
                <w:szCs w:val="16"/>
                <w:lang w:eastAsia="en-AU"/>
              </w:rPr>
              <w:t>Natl spend on CALD ($m)</w:t>
            </w:r>
          </w:p>
        </w:tc>
        <w:tc>
          <w:tcPr>
            <w:tcW w:w="740" w:type="dxa"/>
            <w:tcBorders>
              <w:top w:val="single" w:sz="4" w:space="0" w:color="ADD6EA"/>
              <w:left w:val="nil"/>
              <w:bottom w:val="single" w:sz="4" w:space="0" w:color="ADD6EA"/>
              <w:right w:val="nil"/>
            </w:tcBorders>
            <w:shd w:val="clear" w:color="auto" w:fill="auto"/>
            <w:noWrap/>
            <w:vAlign w:val="center"/>
            <w:hideMark/>
          </w:tcPr>
          <w:p w14:paraId="144FF59E"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192</w:t>
            </w:r>
          </w:p>
        </w:tc>
        <w:tc>
          <w:tcPr>
            <w:tcW w:w="740" w:type="dxa"/>
            <w:tcBorders>
              <w:top w:val="single" w:sz="4" w:space="0" w:color="ADD6EA"/>
              <w:left w:val="nil"/>
              <w:bottom w:val="single" w:sz="4" w:space="0" w:color="ADD6EA"/>
              <w:right w:val="nil"/>
            </w:tcBorders>
            <w:shd w:val="clear" w:color="auto" w:fill="auto"/>
            <w:noWrap/>
            <w:vAlign w:val="center"/>
            <w:hideMark/>
          </w:tcPr>
          <w:p w14:paraId="5A8E6C10"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160</w:t>
            </w:r>
          </w:p>
        </w:tc>
        <w:tc>
          <w:tcPr>
            <w:tcW w:w="740" w:type="dxa"/>
            <w:tcBorders>
              <w:top w:val="single" w:sz="4" w:space="0" w:color="ADD6EA"/>
              <w:left w:val="nil"/>
              <w:bottom w:val="single" w:sz="4" w:space="0" w:color="ADD6EA"/>
              <w:right w:val="nil"/>
            </w:tcBorders>
            <w:shd w:val="clear" w:color="auto" w:fill="auto"/>
            <w:noWrap/>
            <w:vAlign w:val="center"/>
            <w:hideMark/>
          </w:tcPr>
          <w:p w14:paraId="24D48E76"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70</w:t>
            </w:r>
          </w:p>
        </w:tc>
        <w:tc>
          <w:tcPr>
            <w:tcW w:w="740" w:type="dxa"/>
            <w:tcBorders>
              <w:top w:val="single" w:sz="4" w:space="0" w:color="ADD6EA"/>
              <w:left w:val="nil"/>
              <w:bottom w:val="single" w:sz="4" w:space="0" w:color="ADD6EA"/>
              <w:right w:val="nil"/>
            </w:tcBorders>
            <w:shd w:val="clear" w:color="auto" w:fill="auto"/>
            <w:noWrap/>
            <w:vAlign w:val="center"/>
            <w:hideMark/>
          </w:tcPr>
          <w:p w14:paraId="096A06E2"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52</w:t>
            </w:r>
          </w:p>
        </w:tc>
        <w:tc>
          <w:tcPr>
            <w:tcW w:w="740" w:type="dxa"/>
            <w:tcBorders>
              <w:top w:val="single" w:sz="4" w:space="0" w:color="ADD6EA"/>
              <w:left w:val="nil"/>
              <w:bottom w:val="single" w:sz="4" w:space="0" w:color="ADD6EA"/>
              <w:right w:val="nil"/>
            </w:tcBorders>
            <w:shd w:val="clear" w:color="auto" w:fill="auto"/>
            <w:noWrap/>
            <w:vAlign w:val="center"/>
            <w:hideMark/>
          </w:tcPr>
          <w:p w14:paraId="4396C08D"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29</w:t>
            </w:r>
          </w:p>
        </w:tc>
        <w:tc>
          <w:tcPr>
            <w:tcW w:w="740" w:type="dxa"/>
            <w:tcBorders>
              <w:top w:val="single" w:sz="4" w:space="0" w:color="ADD6EA"/>
              <w:left w:val="nil"/>
              <w:bottom w:val="single" w:sz="4" w:space="0" w:color="ADD6EA"/>
              <w:right w:val="nil"/>
            </w:tcBorders>
            <w:shd w:val="clear" w:color="auto" w:fill="auto"/>
            <w:noWrap/>
            <w:vAlign w:val="center"/>
            <w:hideMark/>
          </w:tcPr>
          <w:p w14:paraId="0965C0C3"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5</w:t>
            </w:r>
          </w:p>
        </w:tc>
        <w:tc>
          <w:tcPr>
            <w:tcW w:w="740" w:type="dxa"/>
            <w:tcBorders>
              <w:top w:val="single" w:sz="4" w:space="0" w:color="ADD6EA"/>
              <w:left w:val="nil"/>
              <w:bottom w:val="single" w:sz="4" w:space="0" w:color="ADD6EA"/>
              <w:right w:val="nil"/>
            </w:tcBorders>
            <w:shd w:val="clear" w:color="auto" w:fill="auto"/>
            <w:noWrap/>
            <w:vAlign w:val="center"/>
            <w:hideMark/>
          </w:tcPr>
          <w:p w14:paraId="1FA09CA8"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11</w:t>
            </w:r>
          </w:p>
        </w:tc>
        <w:tc>
          <w:tcPr>
            <w:tcW w:w="740" w:type="dxa"/>
            <w:tcBorders>
              <w:top w:val="single" w:sz="4" w:space="0" w:color="ADD6EA"/>
              <w:left w:val="nil"/>
              <w:bottom w:val="single" w:sz="4" w:space="0" w:color="ADD6EA"/>
              <w:right w:val="nil"/>
            </w:tcBorders>
            <w:shd w:val="clear" w:color="auto" w:fill="auto"/>
            <w:noWrap/>
            <w:vAlign w:val="center"/>
            <w:hideMark/>
          </w:tcPr>
          <w:p w14:paraId="6FA6AC20"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4</w:t>
            </w:r>
          </w:p>
        </w:tc>
        <w:tc>
          <w:tcPr>
            <w:tcW w:w="740" w:type="dxa"/>
            <w:tcBorders>
              <w:top w:val="single" w:sz="4" w:space="0" w:color="ADD6EA"/>
              <w:left w:val="nil"/>
              <w:bottom w:val="single" w:sz="4" w:space="0" w:color="ADD6EA"/>
              <w:right w:val="nil"/>
            </w:tcBorders>
            <w:shd w:val="clear" w:color="auto" w:fill="auto"/>
            <w:noWrap/>
            <w:vAlign w:val="center"/>
            <w:hideMark/>
          </w:tcPr>
          <w:p w14:paraId="68263252"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523</w:t>
            </w:r>
          </w:p>
        </w:tc>
      </w:tr>
      <w:tr w:rsidR="002B440C" w:rsidRPr="002B440C" w14:paraId="6871EAB9" w14:textId="77777777" w:rsidTr="00987640">
        <w:trPr>
          <w:trHeight w:val="315"/>
        </w:trPr>
        <w:tc>
          <w:tcPr>
            <w:tcW w:w="2260" w:type="dxa"/>
            <w:tcBorders>
              <w:top w:val="nil"/>
              <w:left w:val="nil"/>
              <w:bottom w:val="single" w:sz="4" w:space="0" w:color="ADD6EA"/>
              <w:right w:val="nil"/>
            </w:tcBorders>
            <w:shd w:val="clear" w:color="auto" w:fill="auto"/>
            <w:noWrap/>
            <w:vAlign w:val="center"/>
            <w:hideMark/>
          </w:tcPr>
          <w:p w14:paraId="7925BFB4" w14:textId="77777777" w:rsidR="002B440C" w:rsidRPr="002B440C" w:rsidRDefault="002B440C" w:rsidP="00987640">
            <w:pPr>
              <w:keepNext/>
              <w:keepLines/>
              <w:tabs>
                <w:tab w:val="clear" w:pos="567"/>
              </w:tabs>
              <w:spacing w:before="0" w:line="240" w:lineRule="auto"/>
              <w:rPr>
                <w:rFonts w:eastAsia="Times New Roman" w:cs="Open Sans Light"/>
                <w:sz w:val="16"/>
                <w:szCs w:val="16"/>
                <w:lang w:eastAsia="en-AU"/>
              </w:rPr>
            </w:pPr>
            <w:r w:rsidRPr="002B440C">
              <w:rPr>
                <w:rFonts w:eastAsia="Times New Roman" w:cs="Open Sans Light"/>
                <w:sz w:val="16"/>
                <w:szCs w:val="16"/>
                <w:lang w:eastAsia="en-AU"/>
              </w:rPr>
              <w:t>EPC share CALD spend ($m)</w:t>
            </w:r>
          </w:p>
        </w:tc>
        <w:tc>
          <w:tcPr>
            <w:tcW w:w="740" w:type="dxa"/>
            <w:tcBorders>
              <w:top w:val="nil"/>
              <w:left w:val="nil"/>
              <w:bottom w:val="single" w:sz="4" w:space="0" w:color="ADD6EA"/>
              <w:right w:val="nil"/>
            </w:tcBorders>
            <w:shd w:val="clear" w:color="auto" w:fill="auto"/>
            <w:noWrap/>
            <w:vAlign w:val="center"/>
            <w:hideMark/>
          </w:tcPr>
          <w:p w14:paraId="3838588C"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165</w:t>
            </w:r>
          </w:p>
        </w:tc>
        <w:tc>
          <w:tcPr>
            <w:tcW w:w="740" w:type="dxa"/>
            <w:tcBorders>
              <w:top w:val="nil"/>
              <w:left w:val="nil"/>
              <w:bottom w:val="single" w:sz="4" w:space="0" w:color="ADD6EA"/>
              <w:right w:val="nil"/>
            </w:tcBorders>
            <w:shd w:val="clear" w:color="auto" w:fill="auto"/>
            <w:noWrap/>
            <w:vAlign w:val="center"/>
            <w:hideMark/>
          </w:tcPr>
          <w:p w14:paraId="64A9CBF2"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133</w:t>
            </w:r>
          </w:p>
        </w:tc>
        <w:tc>
          <w:tcPr>
            <w:tcW w:w="740" w:type="dxa"/>
            <w:tcBorders>
              <w:top w:val="nil"/>
              <w:left w:val="nil"/>
              <w:bottom w:val="single" w:sz="4" w:space="0" w:color="ADD6EA"/>
              <w:right w:val="nil"/>
            </w:tcBorders>
            <w:shd w:val="clear" w:color="auto" w:fill="auto"/>
            <w:noWrap/>
            <w:vAlign w:val="center"/>
            <w:hideMark/>
          </w:tcPr>
          <w:p w14:paraId="610201FE"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107</w:t>
            </w:r>
          </w:p>
        </w:tc>
        <w:tc>
          <w:tcPr>
            <w:tcW w:w="740" w:type="dxa"/>
            <w:tcBorders>
              <w:top w:val="nil"/>
              <w:left w:val="nil"/>
              <w:bottom w:val="single" w:sz="4" w:space="0" w:color="ADD6EA"/>
              <w:right w:val="nil"/>
            </w:tcBorders>
            <w:shd w:val="clear" w:color="auto" w:fill="auto"/>
            <w:noWrap/>
            <w:vAlign w:val="center"/>
            <w:hideMark/>
          </w:tcPr>
          <w:p w14:paraId="25134983"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56</w:t>
            </w:r>
          </w:p>
        </w:tc>
        <w:tc>
          <w:tcPr>
            <w:tcW w:w="740" w:type="dxa"/>
            <w:tcBorders>
              <w:top w:val="nil"/>
              <w:left w:val="nil"/>
              <w:bottom w:val="single" w:sz="4" w:space="0" w:color="ADD6EA"/>
              <w:right w:val="nil"/>
            </w:tcBorders>
            <w:shd w:val="clear" w:color="auto" w:fill="auto"/>
            <w:noWrap/>
            <w:vAlign w:val="center"/>
            <w:hideMark/>
          </w:tcPr>
          <w:p w14:paraId="6FF7F111"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37</w:t>
            </w:r>
          </w:p>
        </w:tc>
        <w:tc>
          <w:tcPr>
            <w:tcW w:w="740" w:type="dxa"/>
            <w:tcBorders>
              <w:top w:val="nil"/>
              <w:left w:val="nil"/>
              <w:bottom w:val="single" w:sz="4" w:space="0" w:color="ADD6EA"/>
              <w:right w:val="nil"/>
            </w:tcBorders>
            <w:shd w:val="clear" w:color="auto" w:fill="auto"/>
            <w:noWrap/>
            <w:vAlign w:val="center"/>
            <w:hideMark/>
          </w:tcPr>
          <w:p w14:paraId="15E80826"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12</w:t>
            </w:r>
          </w:p>
        </w:tc>
        <w:tc>
          <w:tcPr>
            <w:tcW w:w="740" w:type="dxa"/>
            <w:tcBorders>
              <w:top w:val="nil"/>
              <w:left w:val="nil"/>
              <w:bottom w:val="single" w:sz="4" w:space="0" w:color="ADD6EA"/>
              <w:right w:val="nil"/>
            </w:tcBorders>
            <w:shd w:val="clear" w:color="auto" w:fill="auto"/>
            <w:noWrap/>
            <w:vAlign w:val="center"/>
            <w:hideMark/>
          </w:tcPr>
          <w:p w14:paraId="018D4DBC"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9</w:t>
            </w:r>
          </w:p>
        </w:tc>
        <w:tc>
          <w:tcPr>
            <w:tcW w:w="740" w:type="dxa"/>
            <w:tcBorders>
              <w:top w:val="nil"/>
              <w:left w:val="nil"/>
              <w:bottom w:val="single" w:sz="4" w:space="0" w:color="ADD6EA"/>
              <w:right w:val="nil"/>
            </w:tcBorders>
            <w:shd w:val="clear" w:color="auto" w:fill="auto"/>
            <w:noWrap/>
            <w:vAlign w:val="center"/>
            <w:hideMark/>
          </w:tcPr>
          <w:p w14:paraId="24EBD40E"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5</w:t>
            </w:r>
          </w:p>
        </w:tc>
        <w:tc>
          <w:tcPr>
            <w:tcW w:w="740" w:type="dxa"/>
            <w:tcBorders>
              <w:top w:val="nil"/>
              <w:left w:val="nil"/>
              <w:bottom w:val="single" w:sz="4" w:space="0" w:color="ADD6EA"/>
              <w:right w:val="nil"/>
            </w:tcBorders>
            <w:shd w:val="clear" w:color="auto" w:fill="auto"/>
            <w:noWrap/>
            <w:vAlign w:val="center"/>
            <w:hideMark/>
          </w:tcPr>
          <w:p w14:paraId="0632DDC1"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523</w:t>
            </w:r>
          </w:p>
        </w:tc>
      </w:tr>
      <w:tr w:rsidR="002B440C" w:rsidRPr="002B440C" w14:paraId="69FB958C" w14:textId="77777777" w:rsidTr="00987640">
        <w:trPr>
          <w:trHeight w:val="315"/>
        </w:trPr>
        <w:tc>
          <w:tcPr>
            <w:tcW w:w="2260" w:type="dxa"/>
            <w:tcBorders>
              <w:top w:val="nil"/>
              <w:left w:val="nil"/>
              <w:bottom w:val="single" w:sz="4" w:space="0" w:color="ADD6EA"/>
              <w:right w:val="nil"/>
            </w:tcBorders>
            <w:shd w:val="clear" w:color="auto" w:fill="auto"/>
            <w:noWrap/>
            <w:vAlign w:val="center"/>
            <w:hideMark/>
          </w:tcPr>
          <w:p w14:paraId="7546A6D7" w14:textId="77777777" w:rsidR="002B440C" w:rsidRPr="002B440C" w:rsidRDefault="002B440C" w:rsidP="00987640">
            <w:pPr>
              <w:keepNext/>
              <w:keepLines/>
              <w:tabs>
                <w:tab w:val="clear" w:pos="567"/>
              </w:tabs>
              <w:spacing w:before="0" w:line="240" w:lineRule="auto"/>
              <w:rPr>
                <w:rFonts w:eastAsia="Times New Roman" w:cs="Open Sans Light"/>
                <w:sz w:val="16"/>
                <w:szCs w:val="16"/>
                <w:lang w:eastAsia="en-AU"/>
              </w:rPr>
            </w:pPr>
            <w:r w:rsidRPr="002B440C">
              <w:rPr>
                <w:rFonts w:eastAsia="Times New Roman" w:cs="Open Sans Light"/>
                <w:sz w:val="16"/>
                <w:szCs w:val="16"/>
                <w:lang w:eastAsia="en-AU"/>
              </w:rPr>
              <w:t>Difference from EPC ($m)</w:t>
            </w:r>
          </w:p>
        </w:tc>
        <w:tc>
          <w:tcPr>
            <w:tcW w:w="740" w:type="dxa"/>
            <w:tcBorders>
              <w:top w:val="nil"/>
              <w:left w:val="nil"/>
              <w:bottom w:val="single" w:sz="4" w:space="0" w:color="ADD6EA"/>
              <w:right w:val="nil"/>
            </w:tcBorders>
            <w:shd w:val="clear" w:color="auto" w:fill="auto"/>
            <w:noWrap/>
            <w:vAlign w:val="center"/>
            <w:hideMark/>
          </w:tcPr>
          <w:p w14:paraId="327B705B"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27</w:t>
            </w:r>
          </w:p>
        </w:tc>
        <w:tc>
          <w:tcPr>
            <w:tcW w:w="740" w:type="dxa"/>
            <w:tcBorders>
              <w:top w:val="nil"/>
              <w:left w:val="nil"/>
              <w:bottom w:val="single" w:sz="4" w:space="0" w:color="ADD6EA"/>
              <w:right w:val="nil"/>
            </w:tcBorders>
            <w:shd w:val="clear" w:color="auto" w:fill="auto"/>
            <w:noWrap/>
            <w:vAlign w:val="center"/>
            <w:hideMark/>
          </w:tcPr>
          <w:p w14:paraId="44921C6A"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27</w:t>
            </w:r>
          </w:p>
        </w:tc>
        <w:tc>
          <w:tcPr>
            <w:tcW w:w="740" w:type="dxa"/>
            <w:tcBorders>
              <w:top w:val="nil"/>
              <w:left w:val="nil"/>
              <w:bottom w:val="single" w:sz="4" w:space="0" w:color="ADD6EA"/>
              <w:right w:val="nil"/>
            </w:tcBorders>
            <w:shd w:val="clear" w:color="auto" w:fill="auto"/>
            <w:noWrap/>
            <w:vAlign w:val="center"/>
            <w:hideMark/>
          </w:tcPr>
          <w:p w14:paraId="3458E1AE"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-37</w:t>
            </w:r>
          </w:p>
        </w:tc>
        <w:tc>
          <w:tcPr>
            <w:tcW w:w="740" w:type="dxa"/>
            <w:tcBorders>
              <w:top w:val="nil"/>
              <w:left w:val="nil"/>
              <w:bottom w:val="single" w:sz="4" w:space="0" w:color="ADD6EA"/>
              <w:right w:val="nil"/>
            </w:tcBorders>
            <w:shd w:val="clear" w:color="auto" w:fill="auto"/>
            <w:noWrap/>
            <w:vAlign w:val="center"/>
            <w:hideMark/>
          </w:tcPr>
          <w:p w14:paraId="50D69B83"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-4</w:t>
            </w:r>
          </w:p>
        </w:tc>
        <w:tc>
          <w:tcPr>
            <w:tcW w:w="740" w:type="dxa"/>
            <w:tcBorders>
              <w:top w:val="nil"/>
              <w:left w:val="nil"/>
              <w:bottom w:val="single" w:sz="4" w:space="0" w:color="ADD6EA"/>
              <w:right w:val="nil"/>
            </w:tcBorders>
            <w:shd w:val="clear" w:color="auto" w:fill="auto"/>
            <w:noWrap/>
            <w:vAlign w:val="center"/>
            <w:hideMark/>
          </w:tcPr>
          <w:p w14:paraId="5418DF7C"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-7</w:t>
            </w:r>
          </w:p>
        </w:tc>
        <w:tc>
          <w:tcPr>
            <w:tcW w:w="740" w:type="dxa"/>
            <w:tcBorders>
              <w:top w:val="nil"/>
              <w:left w:val="nil"/>
              <w:bottom w:val="single" w:sz="4" w:space="0" w:color="ADD6EA"/>
              <w:right w:val="nil"/>
            </w:tcBorders>
            <w:shd w:val="clear" w:color="auto" w:fill="auto"/>
            <w:noWrap/>
            <w:vAlign w:val="center"/>
            <w:hideMark/>
          </w:tcPr>
          <w:p w14:paraId="59426B4A"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-6</w:t>
            </w:r>
          </w:p>
        </w:tc>
        <w:tc>
          <w:tcPr>
            <w:tcW w:w="740" w:type="dxa"/>
            <w:tcBorders>
              <w:top w:val="nil"/>
              <w:left w:val="nil"/>
              <w:bottom w:val="single" w:sz="4" w:space="0" w:color="ADD6EA"/>
              <w:right w:val="nil"/>
            </w:tcBorders>
            <w:shd w:val="clear" w:color="auto" w:fill="auto"/>
            <w:noWrap/>
            <w:vAlign w:val="center"/>
            <w:hideMark/>
          </w:tcPr>
          <w:p w14:paraId="641AEE84"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1</w:t>
            </w:r>
          </w:p>
        </w:tc>
        <w:tc>
          <w:tcPr>
            <w:tcW w:w="740" w:type="dxa"/>
            <w:tcBorders>
              <w:top w:val="nil"/>
              <w:left w:val="nil"/>
              <w:bottom w:val="single" w:sz="4" w:space="0" w:color="ADD6EA"/>
              <w:right w:val="nil"/>
            </w:tcBorders>
            <w:shd w:val="clear" w:color="auto" w:fill="auto"/>
            <w:noWrap/>
            <w:vAlign w:val="center"/>
            <w:hideMark/>
          </w:tcPr>
          <w:p w14:paraId="783D28B9"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-1</w:t>
            </w:r>
          </w:p>
        </w:tc>
        <w:tc>
          <w:tcPr>
            <w:tcW w:w="740" w:type="dxa"/>
            <w:tcBorders>
              <w:top w:val="nil"/>
              <w:left w:val="nil"/>
              <w:bottom w:val="single" w:sz="4" w:space="0" w:color="ADD6EA"/>
              <w:right w:val="nil"/>
            </w:tcBorders>
            <w:shd w:val="clear" w:color="auto" w:fill="auto"/>
            <w:noWrap/>
            <w:vAlign w:val="center"/>
            <w:hideMark/>
          </w:tcPr>
          <w:p w14:paraId="5D503B30" w14:textId="77777777" w:rsidR="002B440C" w:rsidRPr="002B440C" w:rsidRDefault="002B440C" w:rsidP="00987640">
            <w:pPr>
              <w:keepNext/>
              <w:keepLines/>
              <w:tabs>
                <w:tab w:val="clear" w:pos="567"/>
              </w:tabs>
              <w:spacing w:before="0" w:line="240" w:lineRule="auto"/>
              <w:jc w:val="right"/>
              <w:rPr>
                <w:rFonts w:eastAsia="Times New Roman" w:cs="Open Sans Light"/>
                <w:sz w:val="16"/>
                <w:szCs w:val="16"/>
                <w:lang w:eastAsia="en-AU"/>
              </w:rPr>
            </w:pPr>
            <w:r w:rsidRPr="002B440C">
              <w:rPr>
                <w:rFonts w:eastAsia="Times New Roman" w:cs="Open Sans Light"/>
                <w:sz w:val="16"/>
                <w:szCs w:val="16"/>
                <w:lang w:eastAsia="en-AU"/>
              </w:rPr>
              <w:t>0</w:t>
            </w:r>
          </w:p>
        </w:tc>
      </w:tr>
      <w:tr w:rsidR="002B440C" w:rsidRPr="002B440C" w14:paraId="39542A2D" w14:textId="77777777" w:rsidTr="00987640">
        <w:trPr>
          <w:trHeight w:val="315"/>
        </w:trPr>
        <w:tc>
          <w:tcPr>
            <w:tcW w:w="2260" w:type="dxa"/>
            <w:tcBorders>
              <w:top w:val="nil"/>
              <w:left w:val="nil"/>
              <w:bottom w:val="single" w:sz="4" w:space="0" w:color="ADD6EA"/>
              <w:right w:val="nil"/>
            </w:tcBorders>
            <w:shd w:val="clear" w:color="000000" w:fill="D6E7F0"/>
            <w:vAlign w:val="center"/>
            <w:hideMark/>
          </w:tcPr>
          <w:p w14:paraId="73A51863" w14:textId="77777777" w:rsidR="002B440C" w:rsidRPr="002B440C" w:rsidRDefault="002B440C" w:rsidP="00987640">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2B440C">
              <w:rPr>
                <w:rFonts w:ascii="Open Sans Semibold" w:eastAsia="Times New Roman" w:hAnsi="Open Sans Semibold" w:cs="Open Sans Semibold"/>
                <w:color w:val="000000"/>
                <w:sz w:val="16"/>
                <w:szCs w:val="16"/>
                <w:lang w:eastAsia="en-AU"/>
              </w:rPr>
              <w:t>Difference from EPC ($pc)</w:t>
            </w:r>
          </w:p>
        </w:tc>
        <w:tc>
          <w:tcPr>
            <w:tcW w:w="740" w:type="dxa"/>
            <w:tcBorders>
              <w:top w:val="nil"/>
              <w:left w:val="nil"/>
              <w:bottom w:val="single" w:sz="4" w:space="0" w:color="ADD6EA"/>
              <w:right w:val="nil"/>
            </w:tcBorders>
            <w:shd w:val="clear" w:color="000000" w:fill="D6E7F0"/>
            <w:vAlign w:val="center"/>
            <w:hideMark/>
          </w:tcPr>
          <w:p w14:paraId="1FA589D3"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B440C">
              <w:rPr>
                <w:rFonts w:ascii="Open Sans Semibold" w:eastAsia="Times New Roman" w:hAnsi="Open Sans Semibold" w:cs="Open Sans Semibold"/>
                <w:color w:val="000000"/>
                <w:sz w:val="16"/>
                <w:szCs w:val="16"/>
                <w:lang w:eastAsia="en-AU"/>
              </w:rPr>
              <w:t>3</w:t>
            </w:r>
          </w:p>
        </w:tc>
        <w:tc>
          <w:tcPr>
            <w:tcW w:w="740" w:type="dxa"/>
            <w:tcBorders>
              <w:top w:val="nil"/>
              <w:left w:val="nil"/>
              <w:bottom w:val="single" w:sz="4" w:space="0" w:color="ADD6EA"/>
              <w:right w:val="nil"/>
            </w:tcBorders>
            <w:shd w:val="clear" w:color="000000" w:fill="D6E7F0"/>
            <w:vAlign w:val="center"/>
            <w:hideMark/>
          </w:tcPr>
          <w:p w14:paraId="2CA520DF"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B440C">
              <w:rPr>
                <w:rFonts w:ascii="Open Sans Semibold" w:eastAsia="Times New Roman" w:hAnsi="Open Sans Semibold" w:cs="Open Sans Semibold"/>
                <w:color w:val="000000"/>
                <w:sz w:val="16"/>
                <w:szCs w:val="16"/>
                <w:lang w:eastAsia="en-AU"/>
              </w:rPr>
              <w:t>4</w:t>
            </w:r>
          </w:p>
        </w:tc>
        <w:tc>
          <w:tcPr>
            <w:tcW w:w="740" w:type="dxa"/>
            <w:tcBorders>
              <w:top w:val="nil"/>
              <w:left w:val="nil"/>
              <w:bottom w:val="single" w:sz="4" w:space="0" w:color="ADD6EA"/>
              <w:right w:val="nil"/>
            </w:tcBorders>
            <w:shd w:val="clear" w:color="000000" w:fill="D6E7F0"/>
            <w:vAlign w:val="center"/>
            <w:hideMark/>
          </w:tcPr>
          <w:p w14:paraId="55EACDD9"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B440C">
              <w:rPr>
                <w:rFonts w:ascii="Open Sans Semibold" w:eastAsia="Times New Roman" w:hAnsi="Open Sans Semibold" w:cs="Open Sans Semibold"/>
                <w:color w:val="000000"/>
                <w:sz w:val="16"/>
                <w:szCs w:val="16"/>
                <w:lang w:eastAsia="en-AU"/>
              </w:rPr>
              <w:t>-7</w:t>
            </w:r>
          </w:p>
        </w:tc>
        <w:tc>
          <w:tcPr>
            <w:tcW w:w="740" w:type="dxa"/>
            <w:tcBorders>
              <w:top w:val="nil"/>
              <w:left w:val="nil"/>
              <w:bottom w:val="single" w:sz="4" w:space="0" w:color="ADD6EA"/>
              <w:right w:val="nil"/>
            </w:tcBorders>
            <w:shd w:val="clear" w:color="000000" w:fill="D6E7F0"/>
            <w:vAlign w:val="center"/>
            <w:hideMark/>
          </w:tcPr>
          <w:p w14:paraId="2BE7D892"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B440C">
              <w:rPr>
                <w:rFonts w:ascii="Open Sans Semibold" w:eastAsia="Times New Roman" w:hAnsi="Open Sans Semibold" w:cs="Open Sans Semibold"/>
                <w:color w:val="000000"/>
                <w:sz w:val="16"/>
                <w:szCs w:val="16"/>
                <w:lang w:eastAsia="en-AU"/>
              </w:rPr>
              <w:t>-2</w:t>
            </w:r>
          </w:p>
        </w:tc>
        <w:tc>
          <w:tcPr>
            <w:tcW w:w="740" w:type="dxa"/>
            <w:tcBorders>
              <w:top w:val="nil"/>
              <w:left w:val="nil"/>
              <w:bottom w:val="single" w:sz="4" w:space="0" w:color="ADD6EA"/>
              <w:right w:val="nil"/>
            </w:tcBorders>
            <w:shd w:val="clear" w:color="000000" w:fill="D6E7F0"/>
            <w:vAlign w:val="center"/>
            <w:hideMark/>
          </w:tcPr>
          <w:p w14:paraId="786C319A"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B440C">
              <w:rPr>
                <w:rFonts w:ascii="Open Sans Semibold" w:eastAsia="Times New Roman" w:hAnsi="Open Sans Semibold" w:cs="Open Sans Semibold"/>
                <w:color w:val="000000"/>
                <w:sz w:val="16"/>
                <w:szCs w:val="16"/>
                <w:lang w:eastAsia="en-AU"/>
              </w:rPr>
              <w:t>-4</w:t>
            </w:r>
          </w:p>
        </w:tc>
        <w:tc>
          <w:tcPr>
            <w:tcW w:w="740" w:type="dxa"/>
            <w:tcBorders>
              <w:top w:val="nil"/>
              <w:left w:val="nil"/>
              <w:bottom w:val="single" w:sz="4" w:space="0" w:color="ADD6EA"/>
              <w:right w:val="nil"/>
            </w:tcBorders>
            <w:shd w:val="clear" w:color="000000" w:fill="D6E7F0"/>
            <w:vAlign w:val="center"/>
            <w:hideMark/>
          </w:tcPr>
          <w:p w14:paraId="69B7D59B"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B440C">
              <w:rPr>
                <w:rFonts w:ascii="Open Sans Semibold" w:eastAsia="Times New Roman" w:hAnsi="Open Sans Semibold" w:cs="Open Sans Semibold"/>
                <w:color w:val="000000"/>
                <w:sz w:val="16"/>
                <w:szCs w:val="16"/>
                <w:lang w:eastAsia="en-AU"/>
              </w:rPr>
              <w:t>-11</w:t>
            </w:r>
          </w:p>
        </w:tc>
        <w:tc>
          <w:tcPr>
            <w:tcW w:w="740" w:type="dxa"/>
            <w:tcBorders>
              <w:top w:val="nil"/>
              <w:left w:val="nil"/>
              <w:bottom w:val="single" w:sz="4" w:space="0" w:color="ADD6EA"/>
              <w:right w:val="nil"/>
            </w:tcBorders>
            <w:shd w:val="clear" w:color="000000" w:fill="D6E7F0"/>
            <w:vAlign w:val="center"/>
            <w:hideMark/>
          </w:tcPr>
          <w:p w14:paraId="4C8A9478"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B440C">
              <w:rPr>
                <w:rFonts w:ascii="Open Sans Semibold" w:eastAsia="Times New Roman" w:hAnsi="Open Sans Semibold" w:cs="Open Sans Semibold"/>
                <w:color w:val="000000"/>
                <w:sz w:val="16"/>
                <w:szCs w:val="16"/>
                <w:lang w:eastAsia="en-AU"/>
              </w:rPr>
              <w:t>3</w:t>
            </w:r>
          </w:p>
        </w:tc>
        <w:tc>
          <w:tcPr>
            <w:tcW w:w="740" w:type="dxa"/>
            <w:tcBorders>
              <w:top w:val="nil"/>
              <w:left w:val="nil"/>
              <w:bottom w:val="single" w:sz="4" w:space="0" w:color="ADD6EA"/>
              <w:right w:val="nil"/>
            </w:tcBorders>
            <w:shd w:val="clear" w:color="000000" w:fill="D6E7F0"/>
            <w:vAlign w:val="center"/>
            <w:hideMark/>
          </w:tcPr>
          <w:p w14:paraId="7B6E8E6A"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B440C">
              <w:rPr>
                <w:rFonts w:ascii="Open Sans Semibold" w:eastAsia="Times New Roman" w:hAnsi="Open Sans Semibold" w:cs="Open Sans Semibold"/>
                <w:color w:val="000000"/>
                <w:sz w:val="16"/>
                <w:szCs w:val="16"/>
                <w:lang w:eastAsia="en-AU"/>
              </w:rPr>
              <w:t>-4</w:t>
            </w:r>
          </w:p>
        </w:tc>
        <w:tc>
          <w:tcPr>
            <w:tcW w:w="740" w:type="dxa"/>
            <w:tcBorders>
              <w:top w:val="nil"/>
              <w:left w:val="nil"/>
              <w:bottom w:val="single" w:sz="4" w:space="0" w:color="ADD6EA"/>
              <w:right w:val="nil"/>
            </w:tcBorders>
            <w:shd w:val="clear" w:color="000000" w:fill="D6E7F0"/>
            <w:vAlign w:val="center"/>
            <w:hideMark/>
          </w:tcPr>
          <w:p w14:paraId="5B5A7C01" w14:textId="77777777" w:rsidR="002B440C" w:rsidRPr="002B440C" w:rsidRDefault="002B440C" w:rsidP="00987640">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B440C">
              <w:rPr>
                <w:rFonts w:ascii="Open Sans Semibold" w:eastAsia="Times New Roman" w:hAnsi="Open Sans Semibold" w:cs="Open Sans Semibold"/>
                <w:color w:val="000000"/>
                <w:sz w:val="16"/>
                <w:szCs w:val="16"/>
                <w:lang w:eastAsia="en-AU"/>
              </w:rPr>
              <w:t>0</w:t>
            </w:r>
          </w:p>
        </w:tc>
      </w:tr>
    </w:tbl>
    <w:p w14:paraId="4A8D47B8" w14:textId="16DF4D1B" w:rsidR="00FF044D" w:rsidRDefault="00C6585E" w:rsidP="00FF044D">
      <w:pPr>
        <w:pStyle w:val="CGC2025TableNote"/>
      </w:pPr>
      <w:r>
        <w:t xml:space="preserve">Source: </w:t>
      </w:r>
      <w:r w:rsidR="00FF044D">
        <w:t>Commission calculation using Victorian data and ABS 2021 Census data.</w:t>
      </w:r>
    </w:p>
    <w:p w14:paraId="10E1ABF1" w14:textId="262DEA96" w:rsidR="00C6585E" w:rsidRDefault="00C6585E" w:rsidP="00FF044D">
      <w:pPr>
        <w:pStyle w:val="Heading4"/>
      </w:pPr>
      <w:r>
        <w:lastRenderedPageBreak/>
        <w:t>Commission draft position</w:t>
      </w:r>
    </w:p>
    <w:p w14:paraId="047522F4" w14:textId="1FC9C9B6" w:rsidR="004E663B" w:rsidRDefault="0007162B" w:rsidP="00C6585E">
      <w:pPr>
        <w:pStyle w:val="CGC2025ParaNumbers"/>
      </w:pPr>
      <w:r>
        <w:t xml:space="preserve">The </w:t>
      </w:r>
      <w:r w:rsidR="006F23E8">
        <w:t xml:space="preserve">Commission considers there is a conceptual case </w:t>
      </w:r>
      <w:r w:rsidR="004E663B">
        <w:t xml:space="preserve">that people </w:t>
      </w:r>
      <w:r w:rsidR="008A0F47">
        <w:t>from different cult</w:t>
      </w:r>
      <w:r w:rsidR="00165A2E">
        <w:t xml:space="preserve">ures </w:t>
      </w:r>
      <w:r w:rsidR="000E54EB">
        <w:t>have different use rates of state</w:t>
      </w:r>
      <w:r w:rsidR="0072421D">
        <w:t xml:space="preserve"> health services</w:t>
      </w:r>
      <w:r w:rsidR="00041F62">
        <w:t>.</w:t>
      </w:r>
      <w:r w:rsidR="00F62547">
        <w:t xml:space="preserve"> </w:t>
      </w:r>
    </w:p>
    <w:p w14:paraId="3752024C" w14:textId="3B5A0C7C" w:rsidR="00C6585E" w:rsidRPr="00667107" w:rsidRDefault="00A825A4" w:rsidP="00514D19">
      <w:pPr>
        <w:pStyle w:val="CGC2025ParaNumbers"/>
      </w:pPr>
      <w:r>
        <w:t>A substantial amount of</w:t>
      </w:r>
      <w:r w:rsidR="00ED1B74" w:rsidRPr="00ED1B74">
        <w:t xml:space="preserve"> work </w:t>
      </w:r>
      <w:r w:rsidR="00035E8B">
        <w:t xml:space="preserve">is required </w:t>
      </w:r>
      <w:r w:rsidR="00ED1B74" w:rsidRPr="00ED1B74">
        <w:t>to</w:t>
      </w:r>
      <w:r w:rsidR="00ED1B74">
        <w:t xml:space="preserve"> </w:t>
      </w:r>
      <w:r w:rsidR="005F088C">
        <w:t xml:space="preserve">incorporate </w:t>
      </w:r>
      <w:r w:rsidR="0010450F">
        <w:t>this</w:t>
      </w:r>
      <w:r w:rsidR="005F088C">
        <w:t xml:space="preserve"> driver into the health assessment</w:t>
      </w:r>
      <w:r w:rsidR="00035E8B">
        <w:t xml:space="preserve">, including consultations with states. In particular, the choice of </w:t>
      </w:r>
      <w:r w:rsidR="002447D0">
        <w:t>countries</w:t>
      </w:r>
      <w:r w:rsidR="00D53C42">
        <w:t xml:space="preserve"> of birth</w:t>
      </w:r>
      <w:r w:rsidR="002447D0">
        <w:t xml:space="preserve"> to include </w:t>
      </w:r>
      <w:r w:rsidR="00010CDB">
        <w:t xml:space="preserve">in the low/medium/high </w:t>
      </w:r>
      <w:r w:rsidR="00E762FB">
        <w:t xml:space="preserve">use </w:t>
      </w:r>
      <w:r w:rsidR="00010CDB">
        <w:t>groups</w:t>
      </w:r>
      <w:r w:rsidR="00E762FB">
        <w:t xml:space="preserve"> </w:t>
      </w:r>
      <w:r w:rsidR="00A627B4">
        <w:t xml:space="preserve">is sensitive. </w:t>
      </w:r>
      <w:r w:rsidR="00452183">
        <w:t xml:space="preserve">In addition, the Commission’s disaggregated estimated resident population </w:t>
      </w:r>
      <w:r w:rsidR="00D53C42">
        <w:t xml:space="preserve">data would need to be further disaggregated by </w:t>
      </w:r>
      <w:r w:rsidR="00CA3F92">
        <w:t>countr</w:t>
      </w:r>
      <w:r w:rsidR="000509AA">
        <w:t>y</w:t>
      </w:r>
      <w:r w:rsidR="00CA3F92">
        <w:t xml:space="preserve"> of birth. </w:t>
      </w:r>
      <w:r w:rsidR="00514D19" w:rsidRPr="00667107">
        <w:t>The Commission</w:t>
      </w:r>
      <w:r w:rsidR="00DA7991" w:rsidRPr="00667107">
        <w:t xml:space="preserve"> proposes to </w:t>
      </w:r>
      <w:r w:rsidR="00514D19" w:rsidRPr="00667107">
        <w:t xml:space="preserve">consider how cultural and linguistic diversity affects state service costs as a part of </w:t>
      </w:r>
      <w:r w:rsidR="00C87AA6" w:rsidRPr="00667107">
        <w:t>its</w:t>
      </w:r>
      <w:r w:rsidR="00514D19" w:rsidRPr="00667107">
        <w:t xml:space="preserve"> </w:t>
      </w:r>
      <w:r w:rsidR="00C87AA6" w:rsidRPr="00667107">
        <w:t>proposed f</w:t>
      </w:r>
      <w:r w:rsidR="00514D19" w:rsidRPr="00667107">
        <w:t>orward work program</w:t>
      </w:r>
      <w:r w:rsidR="006C6E95" w:rsidRPr="00667107">
        <w:t>.</w:t>
      </w:r>
    </w:p>
    <w:p w14:paraId="602EE756" w14:textId="4233FE87" w:rsidR="00C6585E" w:rsidRPr="002E39B6" w:rsidRDefault="00C6585E" w:rsidP="00C6585E">
      <w:pPr>
        <w:pStyle w:val="CGC2025ParaNumbers"/>
      </w:pPr>
      <w:r>
        <w:t xml:space="preserve">The Commission </w:t>
      </w:r>
      <w:r w:rsidR="00DB11E3">
        <w:t xml:space="preserve">does not propose to </w:t>
      </w:r>
      <w:r>
        <w:t xml:space="preserve">separately assess state spending on multicultural and language services </w:t>
      </w:r>
      <w:r w:rsidR="00085331">
        <w:t>in the 2025 Review</w:t>
      </w:r>
      <w:r w:rsidR="009E15CB">
        <w:t xml:space="preserve"> </w:t>
      </w:r>
      <w:r>
        <w:t>as it is unlikely to result in a material impact on GST distribution.</w:t>
      </w:r>
    </w:p>
    <w:p w14:paraId="471BF3FA" w14:textId="5DCE5E98" w:rsidR="00C53522" w:rsidRDefault="000C0679" w:rsidP="008653E1">
      <w:pPr>
        <w:pStyle w:val="Heading35"/>
      </w:pPr>
      <w:r>
        <w:t>Modif</w:t>
      </w:r>
      <w:r w:rsidR="008B23E8">
        <w:t>ying</w:t>
      </w:r>
      <w:r w:rsidR="00731E0E">
        <w:t xml:space="preserve"> </w:t>
      </w:r>
      <w:r>
        <w:t>age groups</w:t>
      </w:r>
    </w:p>
    <w:p w14:paraId="3C5562C4" w14:textId="325FE65C" w:rsidR="000C0679" w:rsidRDefault="251CA306" w:rsidP="000C0679">
      <w:pPr>
        <w:pStyle w:val="CGC2025ParaNumbers"/>
      </w:pPr>
      <w:r>
        <w:t xml:space="preserve">New South Wales </w:t>
      </w:r>
      <w:r w:rsidR="28DD43D8">
        <w:t>said</w:t>
      </w:r>
      <w:r>
        <w:t xml:space="preserve"> the Commission </w:t>
      </w:r>
      <w:r w:rsidR="262DC82E">
        <w:t xml:space="preserve">should </w:t>
      </w:r>
      <w:r>
        <w:t xml:space="preserve">consider whether to modify the existing 3 oldest age groups in the health assessment to better capture the effect of age on state health expenses. Given the ageing of the Australian population, </w:t>
      </w:r>
      <w:bookmarkStart w:id="89" w:name="_Hlk150344316"/>
      <w:r>
        <w:t>New</w:t>
      </w:r>
      <w:r w:rsidR="005904E2">
        <w:t> </w:t>
      </w:r>
      <w:r>
        <w:t>South Wales suggest</w:t>
      </w:r>
      <w:r w:rsidR="004801F1">
        <w:t>ed</w:t>
      </w:r>
      <w:r>
        <w:t xml:space="preserve"> groups should be 45</w:t>
      </w:r>
      <w:r w:rsidR="00270374">
        <w:t>–</w:t>
      </w:r>
      <w:r>
        <w:t>69, 70</w:t>
      </w:r>
      <w:r w:rsidR="00270374">
        <w:t>–</w:t>
      </w:r>
      <w:r>
        <w:t>79 and 80+ rather than the existing 45</w:t>
      </w:r>
      <w:r w:rsidR="00270374">
        <w:t>–</w:t>
      </w:r>
      <w:r>
        <w:t>64, 65</w:t>
      </w:r>
      <w:r w:rsidR="00270374">
        <w:t>–</w:t>
      </w:r>
      <w:r>
        <w:t>74 and 75+</w:t>
      </w:r>
      <w:bookmarkEnd w:id="89"/>
      <w:r>
        <w:t>.</w:t>
      </w:r>
    </w:p>
    <w:p w14:paraId="4C51105F" w14:textId="77777777" w:rsidR="00B60C6C" w:rsidRDefault="00B60C6C" w:rsidP="00B60C6C">
      <w:pPr>
        <w:pStyle w:val="Heading4"/>
      </w:pPr>
      <w:r>
        <w:t>Commission response</w:t>
      </w:r>
    </w:p>
    <w:p w14:paraId="173C47B0" w14:textId="66E6D8E6" w:rsidR="003C7A90" w:rsidRDefault="00146DA2" w:rsidP="00BE5C9B">
      <w:pPr>
        <w:pStyle w:val="CGC2025ParaNumbers"/>
      </w:pPr>
      <w:r>
        <w:t xml:space="preserve">The </w:t>
      </w:r>
      <w:r w:rsidR="00754F2F">
        <w:t>impact of s</w:t>
      </w:r>
      <w:r w:rsidR="00CC43FC" w:rsidRPr="00CC43FC">
        <w:t xml:space="preserve">plitting the </w:t>
      </w:r>
      <w:r w:rsidR="007F03F2">
        <w:t xml:space="preserve">oldest </w:t>
      </w:r>
      <w:r w:rsidR="00CC43FC" w:rsidRPr="00CC43FC">
        <w:t>age group</w:t>
      </w:r>
      <w:r w:rsidR="009442B1">
        <w:t xml:space="preserve"> </w:t>
      </w:r>
      <w:r w:rsidR="00F50F91">
        <w:t xml:space="preserve">was tested using </w:t>
      </w:r>
      <w:r w:rsidR="00CC43FC" w:rsidRPr="00CC43FC">
        <w:t xml:space="preserve">admitted patient </w:t>
      </w:r>
      <w:r w:rsidR="005D0D0F">
        <w:t xml:space="preserve">activity </w:t>
      </w:r>
      <w:r w:rsidR="00CC43FC" w:rsidRPr="00CC43FC">
        <w:t xml:space="preserve">data. The </w:t>
      </w:r>
      <w:r w:rsidR="005B12EA">
        <w:t xml:space="preserve">highest </w:t>
      </w:r>
      <w:r w:rsidR="00CC43FC" w:rsidRPr="00CC43FC">
        <w:t>age group</w:t>
      </w:r>
      <w:r w:rsidR="005B12EA">
        <w:t xml:space="preserve"> was </w:t>
      </w:r>
      <w:r w:rsidR="00CC43FC" w:rsidRPr="00CC43FC">
        <w:t>disaggregated into 75</w:t>
      </w:r>
      <w:r w:rsidR="00D46D6C">
        <w:t>–</w:t>
      </w:r>
      <w:r w:rsidR="00CC43FC" w:rsidRPr="00CC43FC">
        <w:t>84 and 85+</w:t>
      </w:r>
      <w:r w:rsidR="00304D13">
        <w:t>. T</w:t>
      </w:r>
      <w:r w:rsidR="00CC43FC" w:rsidRPr="00CC43FC">
        <w:t xml:space="preserve">he other age groups </w:t>
      </w:r>
      <w:r w:rsidR="005C2CA8">
        <w:t xml:space="preserve">could not be modified as the data </w:t>
      </w:r>
      <w:r w:rsidR="00B96759">
        <w:t xml:space="preserve">currently </w:t>
      </w:r>
      <w:r w:rsidR="005C2CA8">
        <w:t xml:space="preserve">available </w:t>
      </w:r>
      <w:r w:rsidR="00CC43FC" w:rsidRPr="00CC43FC">
        <w:t>d</w:t>
      </w:r>
      <w:r w:rsidR="007F1D94">
        <w:t>o</w:t>
      </w:r>
      <w:r w:rsidR="00CC43FC" w:rsidRPr="00CC43FC">
        <w:t xml:space="preserve"> not have a further breakdown. Splitting the </w:t>
      </w:r>
      <w:r w:rsidR="009442B1">
        <w:t xml:space="preserve">highest </w:t>
      </w:r>
      <w:r w:rsidR="00CC43FC" w:rsidRPr="00CC43FC">
        <w:t xml:space="preserve">age group did not have a material impact </w:t>
      </w:r>
      <w:r w:rsidR="002C644A">
        <w:t>as the small number of people aged</w:t>
      </w:r>
      <w:r w:rsidR="00901BD4">
        <w:t xml:space="preserve"> over 85 offset their higher cost</w:t>
      </w:r>
      <w:r w:rsidR="00D00599">
        <w:t xml:space="preserve">s </w:t>
      </w:r>
      <w:r w:rsidR="00CC43FC" w:rsidRPr="00CC43FC">
        <w:t>(</w:t>
      </w:r>
      <w:r w:rsidR="009B385F">
        <w:t>Table 19</w:t>
      </w:r>
      <w:r w:rsidR="005C2CA8">
        <w:t>).</w:t>
      </w:r>
      <w:r w:rsidR="00275BE2">
        <w:t xml:space="preserve"> </w:t>
      </w:r>
      <w:r w:rsidR="003D3FD6">
        <w:t xml:space="preserve">Applying the same analysis to </w:t>
      </w:r>
      <w:r w:rsidR="0065573A">
        <w:t xml:space="preserve">all hospital </w:t>
      </w:r>
      <w:r w:rsidR="00352E40">
        <w:t xml:space="preserve">components </w:t>
      </w:r>
      <w:r w:rsidR="00C848B2">
        <w:t xml:space="preserve">did not make a </w:t>
      </w:r>
      <w:r w:rsidR="00352E40">
        <w:t xml:space="preserve">material </w:t>
      </w:r>
      <w:r w:rsidR="00C848B2">
        <w:t>difference</w:t>
      </w:r>
      <w:r w:rsidR="0038537B">
        <w:t>.</w:t>
      </w:r>
    </w:p>
    <w:p w14:paraId="13C2E9D7" w14:textId="27543672" w:rsidR="008B7B92" w:rsidRDefault="005C2CA8" w:rsidP="0008558D">
      <w:pPr>
        <w:pStyle w:val="CGC2025Caption"/>
        <w:keepNext/>
        <w:keepLines/>
        <w:tabs>
          <w:tab w:val="left" w:pos="1134"/>
        </w:tabs>
      </w:pPr>
      <w:bookmarkStart w:id="90" w:name="_Ref158130149"/>
      <w:r>
        <w:t xml:space="preserve">Table </w:t>
      </w:r>
      <w:r>
        <w:fldChar w:fldCharType="begin"/>
      </w:r>
      <w:r>
        <w:instrText>SEQ Table \* ARABIC</w:instrText>
      </w:r>
      <w:r>
        <w:fldChar w:fldCharType="separate"/>
      </w:r>
      <w:r w:rsidR="00581B01">
        <w:rPr>
          <w:noProof/>
        </w:rPr>
        <w:t>19</w:t>
      </w:r>
      <w:r>
        <w:fldChar w:fldCharType="end"/>
      </w:r>
      <w:bookmarkEnd w:id="90"/>
      <w:r w:rsidR="001D1447">
        <w:tab/>
      </w:r>
      <w:r w:rsidR="00FD4337">
        <w:t xml:space="preserve">Impact of </w:t>
      </w:r>
      <w:r w:rsidR="005F3BA0">
        <w:t>disaggregating</w:t>
      </w:r>
      <w:r w:rsidR="003A2BC1">
        <w:t xml:space="preserve"> </w:t>
      </w:r>
      <w:r w:rsidR="004818E1">
        <w:t xml:space="preserve">highest </w:t>
      </w:r>
      <w:r w:rsidR="003A2BC1">
        <w:t>age group</w:t>
      </w:r>
      <w:r w:rsidR="00AB6F3D">
        <w:t>, health assessment</w:t>
      </w:r>
      <w:r w:rsidR="00D76EB9">
        <w:t>, 202</w:t>
      </w:r>
      <w:r w:rsidR="00FF45F6">
        <w:t>1</w:t>
      </w:r>
      <w:r w:rsidR="00091196">
        <w:t>–</w:t>
      </w:r>
      <w:r w:rsidR="00FF45F6">
        <w:t>22</w:t>
      </w:r>
      <w:r w:rsidR="005F3BA0">
        <w:t xml:space="preserve"> </w:t>
      </w:r>
    </w:p>
    <w:tbl>
      <w:tblPr>
        <w:tblW w:w="8942" w:type="dxa"/>
        <w:tblLook w:val="04A0" w:firstRow="1" w:lastRow="0" w:firstColumn="1" w:lastColumn="0" w:noHBand="0" w:noVBand="1"/>
      </w:tblPr>
      <w:tblGrid>
        <w:gridCol w:w="1901"/>
        <w:gridCol w:w="829"/>
        <w:gridCol w:w="769"/>
        <w:gridCol w:w="769"/>
        <w:gridCol w:w="769"/>
        <w:gridCol w:w="769"/>
        <w:gridCol w:w="769"/>
        <w:gridCol w:w="769"/>
        <w:gridCol w:w="769"/>
        <w:gridCol w:w="829"/>
      </w:tblGrid>
      <w:tr w:rsidR="008B7B92" w:rsidRPr="008B7B92" w14:paraId="5FF1E342" w14:textId="77777777" w:rsidTr="00DB109A">
        <w:trPr>
          <w:trHeight w:val="375"/>
        </w:trPr>
        <w:tc>
          <w:tcPr>
            <w:tcW w:w="1880" w:type="dxa"/>
            <w:tcBorders>
              <w:top w:val="nil"/>
              <w:left w:val="nil"/>
              <w:bottom w:val="nil"/>
              <w:right w:val="nil"/>
            </w:tcBorders>
            <w:shd w:val="clear" w:color="000000" w:fill="006991"/>
            <w:vAlign w:val="center"/>
            <w:hideMark/>
          </w:tcPr>
          <w:p w14:paraId="707BE9DC" w14:textId="77777777" w:rsidR="008B7B92" w:rsidRPr="008B7B92" w:rsidRDefault="008B7B92" w:rsidP="008B7B92">
            <w:pPr>
              <w:tabs>
                <w:tab w:val="clear" w:pos="567"/>
              </w:tabs>
              <w:spacing w:before="0" w:line="240" w:lineRule="auto"/>
              <w:rPr>
                <w:rFonts w:ascii="Open Sans Semibold" w:eastAsia="Times New Roman" w:hAnsi="Open Sans Semibold" w:cs="Open Sans Semibold"/>
                <w:color w:val="FFFFFF"/>
                <w:sz w:val="16"/>
                <w:szCs w:val="16"/>
                <w:lang w:eastAsia="en-AU"/>
              </w:rPr>
            </w:pPr>
            <w:r w:rsidRPr="008B7B92">
              <w:rPr>
                <w:rFonts w:ascii="Open Sans Semibold" w:eastAsia="Times New Roman" w:hAnsi="Open Sans Semibold" w:cs="Open Sans Semibold"/>
                <w:color w:val="FFFFFF"/>
                <w:sz w:val="16"/>
                <w:szCs w:val="16"/>
                <w:lang w:eastAsia="en-AU"/>
              </w:rPr>
              <w:t> </w:t>
            </w:r>
          </w:p>
        </w:tc>
        <w:tc>
          <w:tcPr>
            <w:tcW w:w="820" w:type="dxa"/>
            <w:tcBorders>
              <w:top w:val="nil"/>
              <w:left w:val="nil"/>
              <w:bottom w:val="nil"/>
              <w:right w:val="nil"/>
            </w:tcBorders>
            <w:shd w:val="clear" w:color="000000" w:fill="006991"/>
            <w:vAlign w:val="center"/>
            <w:hideMark/>
          </w:tcPr>
          <w:p w14:paraId="5CC79FD2"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B7B92">
              <w:rPr>
                <w:rFonts w:ascii="Open Sans Semibold" w:eastAsia="Times New Roman" w:hAnsi="Open Sans Semibold" w:cs="Open Sans Semibold"/>
                <w:color w:val="FFFFFF"/>
                <w:sz w:val="16"/>
                <w:szCs w:val="16"/>
                <w:lang w:eastAsia="en-AU"/>
              </w:rPr>
              <w:t>NSW</w:t>
            </w:r>
          </w:p>
        </w:tc>
        <w:tc>
          <w:tcPr>
            <w:tcW w:w="760" w:type="dxa"/>
            <w:tcBorders>
              <w:top w:val="nil"/>
              <w:left w:val="nil"/>
              <w:bottom w:val="nil"/>
              <w:right w:val="nil"/>
            </w:tcBorders>
            <w:shd w:val="clear" w:color="000000" w:fill="006991"/>
            <w:vAlign w:val="center"/>
            <w:hideMark/>
          </w:tcPr>
          <w:p w14:paraId="714B21B7"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B7B92">
              <w:rPr>
                <w:rFonts w:ascii="Open Sans Semibold" w:eastAsia="Times New Roman" w:hAnsi="Open Sans Semibold" w:cs="Open Sans Semibold"/>
                <w:color w:val="FFFFFF"/>
                <w:sz w:val="16"/>
                <w:szCs w:val="16"/>
                <w:lang w:eastAsia="en-AU"/>
              </w:rPr>
              <w:t>Vic</w:t>
            </w:r>
          </w:p>
        </w:tc>
        <w:tc>
          <w:tcPr>
            <w:tcW w:w="760" w:type="dxa"/>
            <w:tcBorders>
              <w:top w:val="nil"/>
              <w:left w:val="nil"/>
              <w:bottom w:val="nil"/>
              <w:right w:val="nil"/>
            </w:tcBorders>
            <w:shd w:val="clear" w:color="000000" w:fill="006991"/>
            <w:vAlign w:val="center"/>
            <w:hideMark/>
          </w:tcPr>
          <w:p w14:paraId="6A594EEE"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B7B92">
              <w:rPr>
                <w:rFonts w:ascii="Open Sans Semibold" w:eastAsia="Times New Roman" w:hAnsi="Open Sans Semibold" w:cs="Open Sans Semibold"/>
                <w:color w:val="FFFFFF"/>
                <w:sz w:val="16"/>
                <w:szCs w:val="16"/>
                <w:lang w:eastAsia="en-AU"/>
              </w:rPr>
              <w:t>Qld</w:t>
            </w:r>
          </w:p>
        </w:tc>
        <w:tc>
          <w:tcPr>
            <w:tcW w:w="760" w:type="dxa"/>
            <w:tcBorders>
              <w:top w:val="nil"/>
              <w:left w:val="nil"/>
              <w:bottom w:val="nil"/>
              <w:right w:val="nil"/>
            </w:tcBorders>
            <w:shd w:val="clear" w:color="000000" w:fill="006991"/>
            <w:vAlign w:val="center"/>
            <w:hideMark/>
          </w:tcPr>
          <w:p w14:paraId="7F35FE90"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B7B92">
              <w:rPr>
                <w:rFonts w:ascii="Open Sans Semibold" w:eastAsia="Times New Roman" w:hAnsi="Open Sans Semibold" w:cs="Open Sans Semibold"/>
                <w:color w:val="FFFFFF"/>
                <w:sz w:val="16"/>
                <w:szCs w:val="16"/>
                <w:lang w:eastAsia="en-AU"/>
              </w:rPr>
              <w:t>WA</w:t>
            </w:r>
          </w:p>
        </w:tc>
        <w:tc>
          <w:tcPr>
            <w:tcW w:w="760" w:type="dxa"/>
            <w:tcBorders>
              <w:top w:val="nil"/>
              <w:left w:val="nil"/>
              <w:bottom w:val="nil"/>
              <w:right w:val="nil"/>
            </w:tcBorders>
            <w:shd w:val="clear" w:color="000000" w:fill="006991"/>
            <w:vAlign w:val="center"/>
            <w:hideMark/>
          </w:tcPr>
          <w:p w14:paraId="5573CF0D"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B7B92">
              <w:rPr>
                <w:rFonts w:ascii="Open Sans Semibold" w:eastAsia="Times New Roman" w:hAnsi="Open Sans Semibold" w:cs="Open Sans Semibold"/>
                <w:color w:val="FFFFFF"/>
                <w:sz w:val="16"/>
                <w:szCs w:val="16"/>
                <w:lang w:eastAsia="en-AU"/>
              </w:rPr>
              <w:t>SA</w:t>
            </w:r>
          </w:p>
        </w:tc>
        <w:tc>
          <w:tcPr>
            <w:tcW w:w="760" w:type="dxa"/>
            <w:tcBorders>
              <w:top w:val="nil"/>
              <w:left w:val="nil"/>
              <w:bottom w:val="nil"/>
              <w:right w:val="nil"/>
            </w:tcBorders>
            <w:shd w:val="clear" w:color="000000" w:fill="006991"/>
            <w:vAlign w:val="center"/>
            <w:hideMark/>
          </w:tcPr>
          <w:p w14:paraId="56DAFF90"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B7B92">
              <w:rPr>
                <w:rFonts w:ascii="Open Sans Semibold" w:eastAsia="Times New Roman" w:hAnsi="Open Sans Semibold" w:cs="Open Sans Semibold"/>
                <w:color w:val="FFFFFF"/>
                <w:sz w:val="16"/>
                <w:szCs w:val="16"/>
                <w:lang w:eastAsia="en-AU"/>
              </w:rPr>
              <w:t>Tas</w:t>
            </w:r>
          </w:p>
        </w:tc>
        <w:tc>
          <w:tcPr>
            <w:tcW w:w="760" w:type="dxa"/>
            <w:tcBorders>
              <w:top w:val="nil"/>
              <w:left w:val="nil"/>
              <w:bottom w:val="nil"/>
              <w:right w:val="nil"/>
            </w:tcBorders>
            <w:shd w:val="clear" w:color="000000" w:fill="006991"/>
            <w:vAlign w:val="center"/>
            <w:hideMark/>
          </w:tcPr>
          <w:p w14:paraId="2A8B08FC"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B7B92">
              <w:rPr>
                <w:rFonts w:ascii="Open Sans Semibold" w:eastAsia="Times New Roman" w:hAnsi="Open Sans Semibold" w:cs="Open Sans Semibold"/>
                <w:color w:val="FFFFFF"/>
                <w:sz w:val="16"/>
                <w:szCs w:val="16"/>
                <w:lang w:eastAsia="en-AU"/>
              </w:rPr>
              <w:t>ACT</w:t>
            </w:r>
          </w:p>
        </w:tc>
        <w:tc>
          <w:tcPr>
            <w:tcW w:w="760" w:type="dxa"/>
            <w:tcBorders>
              <w:top w:val="nil"/>
              <w:left w:val="nil"/>
              <w:bottom w:val="nil"/>
              <w:right w:val="nil"/>
            </w:tcBorders>
            <w:shd w:val="clear" w:color="000000" w:fill="006991"/>
            <w:vAlign w:val="center"/>
            <w:hideMark/>
          </w:tcPr>
          <w:p w14:paraId="32E484F0"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B7B92">
              <w:rPr>
                <w:rFonts w:ascii="Open Sans Semibold" w:eastAsia="Times New Roman" w:hAnsi="Open Sans Semibold" w:cs="Open Sans Semibold"/>
                <w:color w:val="FFFFFF"/>
                <w:sz w:val="16"/>
                <w:szCs w:val="16"/>
                <w:lang w:eastAsia="en-AU"/>
              </w:rPr>
              <w:t>NT</w:t>
            </w:r>
          </w:p>
        </w:tc>
        <w:tc>
          <w:tcPr>
            <w:tcW w:w="820" w:type="dxa"/>
            <w:tcBorders>
              <w:top w:val="nil"/>
              <w:left w:val="nil"/>
              <w:bottom w:val="nil"/>
              <w:right w:val="nil"/>
            </w:tcBorders>
            <w:shd w:val="clear" w:color="000000" w:fill="006991"/>
            <w:vAlign w:val="center"/>
            <w:hideMark/>
          </w:tcPr>
          <w:p w14:paraId="03CCB96B"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B7B92">
              <w:rPr>
                <w:rFonts w:ascii="Open Sans Semibold" w:eastAsia="Times New Roman" w:hAnsi="Open Sans Semibold" w:cs="Open Sans Semibold"/>
                <w:color w:val="FFFFFF"/>
                <w:sz w:val="16"/>
                <w:szCs w:val="16"/>
                <w:lang w:eastAsia="en-AU"/>
              </w:rPr>
              <w:t>Total</w:t>
            </w:r>
          </w:p>
        </w:tc>
      </w:tr>
      <w:tr w:rsidR="008B7B92" w:rsidRPr="008B7B92" w14:paraId="46720891" w14:textId="77777777" w:rsidTr="00DB109A">
        <w:trPr>
          <w:trHeight w:val="315"/>
        </w:trPr>
        <w:tc>
          <w:tcPr>
            <w:tcW w:w="1880" w:type="dxa"/>
            <w:tcBorders>
              <w:top w:val="nil"/>
              <w:left w:val="nil"/>
              <w:bottom w:val="single" w:sz="4" w:space="0" w:color="ADD6EA"/>
              <w:right w:val="nil"/>
            </w:tcBorders>
            <w:shd w:val="clear" w:color="auto" w:fill="auto"/>
            <w:vAlign w:val="center"/>
            <w:hideMark/>
          </w:tcPr>
          <w:p w14:paraId="5DA84D51" w14:textId="77777777" w:rsidR="008B7B92" w:rsidRPr="008B7B92" w:rsidRDefault="008B7B92" w:rsidP="00DB109A">
            <w:pPr>
              <w:tabs>
                <w:tab w:val="clear" w:pos="567"/>
              </w:tabs>
              <w:spacing w:before="0" w:line="240" w:lineRule="auto"/>
              <w:rPr>
                <w:rFonts w:eastAsia="Times New Roman" w:cs="Open Sans Light"/>
                <w:color w:val="000000"/>
                <w:sz w:val="16"/>
                <w:szCs w:val="16"/>
                <w:lang w:eastAsia="en-AU"/>
              </w:rPr>
            </w:pPr>
            <w:r w:rsidRPr="008B7B92">
              <w:rPr>
                <w:rFonts w:eastAsia="Times New Roman" w:cs="Open Sans Light"/>
                <w:color w:val="000000"/>
                <w:sz w:val="16"/>
                <w:szCs w:val="16"/>
                <w:lang w:eastAsia="en-AU"/>
              </w:rPr>
              <w:t>Scenario ($m)</w:t>
            </w:r>
          </w:p>
        </w:tc>
        <w:tc>
          <w:tcPr>
            <w:tcW w:w="820" w:type="dxa"/>
            <w:tcBorders>
              <w:top w:val="nil"/>
              <w:left w:val="nil"/>
              <w:bottom w:val="single" w:sz="4" w:space="0" w:color="ADD6EA"/>
              <w:right w:val="nil"/>
            </w:tcBorders>
            <w:shd w:val="clear" w:color="auto" w:fill="auto"/>
            <w:noWrap/>
            <w:vAlign w:val="center"/>
            <w:hideMark/>
          </w:tcPr>
          <w:p w14:paraId="1CAAFD4F"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17,966</w:t>
            </w:r>
          </w:p>
        </w:tc>
        <w:tc>
          <w:tcPr>
            <w:tcW w:w="760" w:type="dxa"/>
            <w:tcBorders>
              <w:top w:val="nil"/>
              <w:left w:val="nil"/>
              <w:bottom w:val="single" w:sz="4" w:space="0" w:color="ADD6EA"/>
              <w:right w:val="nil"/>
            </w:tcBorders>
            <w:shd w:val="clear" w:color="auto" w:fill="auto"/>
            <w:noWrap/>
            <w:vAlign w:val="center"/>
            <w:hideMark/>
          </w:tcPr>
          <w:p w14:paraId="66C49437"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13,867</w:t>
            </w:r>
          </w:p>
        </w:tc>
        <w:tc>
          <w:tcPr>
            <w:tcW w:w="760" w:type="dxa"/>
            <w:tcBorders>
              <w:top w:val="nil"/>
              <w:left w:val="nil"/>
              <w:bottom w:val="single" w:sz="4" w:space="0" w:color="ADD6EA"/>
              <w:right w:val="nil"/>
            </w:tcBorders>
            <w:shd w:val="clear" w:color="auto" w:fill="auto"/>
            <w:noWrap/>
            <w:vAlign w:val="center"/>
            <w:hideMark/>
          </w:tcPr>
          <w:p w14:paraId="1E76FDFD"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12,202</w:t>
            </w:r>
          </w:p>
        </w:tc>
        <w:tc>
          <w:tcPr>
            <w:tcW w:w="760" w:type="dxa"/>
            <w:tcBorders>
              <w:top w:val="nil"/>
              <w:left w:val="nil"/>
              <w:bottom w:val="single" w:sz="4" w:space="0" w:color="ADD6EA"/>
              <w:right w:val="nil"/>
            </w:tcBorders>
            <w:shd w:val="clear" w:color="auto" w:fill="auto"/>
            <w:noWrap/>
            <w:vAlign w:val="center"/>
            <w:hideMark/>
          </w:tcPr>
          <w:p w14:paraId="55FA9DFD"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6,079</w:t>
            </w:r>
          </w:p>
        </w:tc>
        <w:tc>
          <w:tcPr>
            <w:tcW w:w="760" w:type="dxa"/>
            <w:tcBorders>
              <w:top w:val="nil"/>
              <w:left w:val="nil"/>
              <w:bottom w:val="single" w:sz="4" w:space="0" w:color="ADD6EA"/>
              <w:right w:val="nil"/>
            </w:tcBorders>
            <w:shd w:val="clear" w:color="auto" w:fill="auto"/>
            <w:noWrap/>
            <w:vAlign w:val="center"/>
            <w:hideMark/>
          </w:tcPr>
          <w:p w14:paraId="0A8BCCE7"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4,409</w:t>
            </w:r>
          </w:p>
        </w:tc>
        <w:tc>
          <w:tcPr>
            <w:tcW w:w="760" w:type="dxa"/>
            <w:tcBorders>
              <w:top w:val="nil"/>
              <w:left w:val="nil"/>
              <w:bottom w:val="single" w:sz="4" w:space="0" w:color="ADD6EA"/>
              <w:right w:val="nil"/>
            </w:tcBorders>
            <w:shd w:val="clear" w:color="auto" w:fill="auto"/>
            <w:noWrap/>
            <w:vAlign w:val="center"/>
            <w:hideMark/>
          </w:tcPr>
          <w:p w14:paraId="3040732A"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1,621</w:t>
            </w:r>
          </w:p>
        </w:tc>
        <w:tc>
          <w:tcPr>
            <w:tcW w:w="760" w:type="dxa"/>
            <w:tcBorders>
              <w:top w:val="nil"/>
              <w:left w:val="nil"/>
              <w:bottom w:val="single" w:sz="4" w:space="0" w:color="ADD6EA"/>
              <w:right w:val="nil"/>
            </w:tcBorders>
            <w:shd w:val="clear" w:color="auto" w:fill="auto"/>
            <w:noWrap/>
            <w:vAlign w:val="center"/>
            <w:hideMark/>
          </w:tcPr>
          <w:p w14:paraId="338EE368"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763</w:t>
            </w:r>
          </w:p>
        </w:tc>
        <w:tc>
          <w:tcPr>
            <w:tcW w:w="760" w:type="dxa"/>
            <w:tcBorders>
              <w:top w:val="nil"/>
              <w:left w:val="nil"/>
              <w:bottom w:val="single" w:sz="4" w:space="0" w:color="ADD6EA"/>
              <w:right w:val="nil"/>
            </w:tcBorders>
            <w:shd w:val="clear" w:color="auto" w:fill="auto"/>
            <w:noWrap/>
            <w:vAlign w:val="center"/>
            <w:hideMark/>
          </w:tcPr>
          <w:p w14:paraId="0BB6DBC2"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955</w:t>
            </w:r>
          </w:p>
        </w:tc>
        <w:tc>
          <w:tcPr>
            <w:tcW w:w="820" w:type="dxa"/>
            <w:tcBorders>
              <w:top w:val="nil"/>
              <w:left w:val="nil"/>
              <w:bottom w:val="single" w:sz="4" w:space="0" w:color="ADD6EA"/>
              <w:right w:val="nil"/>
            </w:tcBorders>
            <w:shd w:val="clear" w:color="auto" w:fill="auto"/>
            <w:noWrap/>
            <w:vAlign w:val="center"/>
            <w:hideMark/>
          </w:tcPr>
          <w:p w14:paraId="01196631"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57,862</w:t>
            </w:r>
          </w:p>
        </w:tc>
      </w:tr>
      <w:tr w:rsidR="008B7B92" w:rsidRPr="008B7B92" w14:paraId="719EC5F7" w14:textId="77777777" w:rsidTr="00DB109A">
        <w:trPr>
          <w:trHeight w:val="315"/>
        </w:trPr>
        <w:tc>
          <w:tcPr>
            <w:tcW w:w="1880" w:type="dxa"/>
            <w:tcBorders>
              <w:top w:val="nil"/>
              <w:left w:val="nil"/>
              <w:bottom w:val="nil"/>
              <w:right w:val="nil"/>
            </w:tcBorders>
            <w:shd w:val="clear" w:color="auto" w:fill="auto"/>
            <w:vAlign w:val="center"/>
            <w:hideMark/>
          </w:tcPr>
          <w:p w14:paraId="1FBF874F" w14:textId="77777777" w:rsidR="008B7B92" w:rsidRPr="008B7B92" w:rsidRDefault="008B7B92" w:rsidP="00DB109A">
            <w:pPr>
              <w:tabs>
                <w:tab w:val="clear" w:pos="567"/>
              </w:tabs>
              <w:spacing w:before="0" w:line="240" w:lineRule="auto"/>
              <w:rPr>
                <w:rFonts w:eastAsia="Times New Roman" w:cs="Open Sans Light"/>
                <w:color w:val="000000"/>
                <w:sz w:val="16"/>
                <w:szCs w:val="16"/>
                <w:lang w:eastAsia="en-AU"/>
              </w:rPr>
            </w:pPr>
            <w:r w:rsidRPr="008B7B92">
              <w:rPr>
                <w:rFonts w:eastAsia="Times New Roman" w:cs="Open Sans Light"/>
                <w:color w:val="000000"/>
                <w:sz w:val="16"/>
                <w:szCs w:val="16"/>
                <w:lang w:eastAsia="en-AU"/>
              </w:rPr>
              <w:t>Base ($m)</w:t>
            </w:r>
          </w:p>
        </w:tc>
        <w:tc>
          <w:tcPr>
            <w:tcW w:w="820" w:type="dxa"/>
            <w:tcBorders>
              <w:top w:val="nil"/>
              <w:left w:val="nil"/>
              <w:bottom w:val="nil"/>
              <w:right w:val="nil"/>
            </w:tcBorders>
            <w:shd w:val="clear" w:color="auto" w:fill="auto"/>
            <w:noWrap/>
            <w:vAlign w:val="center"/>
            <w:hideMark/>
          </w:tcPr>
          <w:p w14:paraId="11B69E78"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17,955</w:t>
            </w:r>
          </w:p>
        </w:tc>
        <w:tc>
          <w:tcPr>
            <w:tcW w:w="760" w:type="dxa"/>
            <w:tcBorders>
              <w:top w:val="nil"/>
              <w:left w:val="nil"/>
              <w:bottom w:val="nil"/>
              <w:right w:val="nil"/>
            </w:tcBorders>
            <w:shd w:val="clear" w:color="auto" w:fill="auto"/>
            <w:noWrap/>
            <w:vAlign w:val="center"/>
            <w:hideMark/>
          </w:tcPr>
          <w:p w14:paraId="25EA20FC"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13,855</w:t>
            </w:r>
          </w:p>
        </w:tc>
        <w:tc>
          <w:tcPr>
            <w:tcW w:w="760" w:type="dxa"/>
            <w:tcBorders>
              <w:top w:val="nil"/>
              <w:left w:val="nil"/>
              <w:bottom w:val="nil"/>
              <w:right w:val="nil"/>
            </w:tcBorders>
            <w:shd w:val="clear" w:color="auto" w:fill="auto"/>
            <w:noWrap/>
            <w:vAlign w:val="center"/>
            <w:hideMark/>
          </w:tcPr>
          <w:p w14:paraId="220030A6"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12,222</w:t>
            </w:r>
          </w:p>
        </w:tc>
        <w:tc>
          <w:tcPr>
            <w:tcW w:w="760" w:type="dxa"/>
            <w:tcBorders>
              <w:top w:val="nil"/>
              <w:left w:val="nil"/>
              <w:bottom w:val="nil"/>
              <w:right w:val="nil"/>
            </w:tcBorders>
            <w:shd w:val="clear" w:color="auto" w:fill="auto"/>
            <w:noWrap/>
            <w:vAlign w:val="center"/>
            <w:hideMark/>
          </w:tcPr>
          <w:p w14:paraId="7C57269E"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6,085</w:t>
            </w:r>
          </w:p>
        </w:tc>
        <w:tc>
          <w:tcPr>
            <w:tcW w:w="760" w:type="dxa"/>
            <w:tcBorders>
              <w:top w:val="nil"/>
              <w:left w:val="nil"/>
              <w:bottom w:val="nil"/>
              <w:right w:val="nil"/>
            </w:tcBorders>
            <w:shd w:val="clear" w:color="auto" w:fill="auto"/>
            <w:noWrap/>
            <w:vAlign w:val="center"/>
            <w:hideMark/>
          </w:tcPr>
          <w:p w14:paraId="36718531"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4,403</w:t>
            </w:r>
          </w:p>
        </w:tc>
        <w:tc>
          <w:tcPr>
            <w:tcW w:w="760" w:type="dxa"/>
            <w:tcBorders>
              <w:top w:val="nil"/>
              <w:left w:val="nil"/>
              <w:bottom w:val="nil"/>
              <w:right w:val="nil"/>
            </w:tcBorders>
            <w:shd w:val="clear" w:color="auto" w:fill="auto"/>
            <w:noWrap/>
            <w:vAlign w:val="center"/>
            <w:hideMark/>
          </w:tcPr>
          <w:p w14:paraId="3C0F8424"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1,621</w:t>
            </w:r>
          </w:p>
        </w:tc>
        <w:tc>
          <w:tcPr>
            <w:tcW w:w="760" w:type="dxa"/>
            <w:tcBorders>
              <w:top w:val="nil"/>
              <w:left w:val="nil"/>
              <w:bottom w:val="nil"/>
              <w:right w:val="nil"/>
            </w:tcBorders>
            <w:shd w:val="clear" w:color="auto" w:fill="auto"/>
            <w:noWrap/>
            <w:vAlign w:val="center"/>
            <w:hideMark/>
          </w:tcPr>
          <w:p w14:paraId="3A4D1CAA"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764</w:t>
            </w:r>
          </w:p>
        </w:tc>
        <w:tc>
          <w:tcPr>
            <w:tcW w:w="760" w:type="dxa"/>
            <w:tcBorders>
              <w:top w:val="nil"/>
              <w:left w:val="nil"/>
              <w:bottom w:val="nil"/>
              <w:right w:val="nil"/>
            </w:tcBorders>
            <w:shd w:val="clear" w:color="auto" w:fill="auto"/>
            <w:noWrap/>
            <w:vAlign w:val="center"/>
            <w:hideMark/>
          </w:tcPr>
          <w:p w14:paraId="3B517974"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957</w:t>
            </w:r>
          </w:p>
        </w:tc>
        <w:tc>
          <w:tcPr>
            <w:tcW w:w="820" w:type="dxa"/>
            <w:tcBorders>
              <w:top w:val="nil"/>
              <w:left w:val="nil"/>
              <w:bottom w:val="nil"/>
              <w:right w:val="nil"/>
            </w:tcBorders>
            <w:shd w:val="clear" w:color="auto" w:fill="auto"/>
            <w:noWrap/>
            <w:vAlign w:val="center"/>
            <w:hideMark/>
          </w:tcPr>
          <w:p w14:paraId="3FAD2CDC" w14:textId="77777777" w:rsidR="008B7B92" w:rsidRPr="008B7B92" w:rsidRDefault="008B7B92" w:rsidP="00DB109A">
            <w:pPr>
              <w:tabs>
                <w:tab w:val="clear" w:pos="567"/>
              </w:tabs>
              <w:spacing w:before="0" w:line="240" w:lineRule="auto"/>
              <w:jc w:val="right"/>
              <w:rPr>
                <w:rFonts w:eastAsia="Times New Roman" w:cs="Open Sans Light"/>
                <w:color w:val="000000"/>
                <w:sz w:val="16"/>
                <w:szCs w:val="16"/>
                <w:lang w:eastAsia="en-AU"/>
              </w:rPr>
            </w:pPr>
            <w:r w:rsidRPr="008B7B92">
              <w:rPr>
                <w:rFonts w:eastAsia="Times New Roman" w:cs="Open Sans Light"/>
                <w:color w:val="000000"/>
                <w:sz w:val="16"/>
                <w:szCs w:val="16"/>
                <w:lang w:eastAsia="en-AU"/>
              </w:rPr>
              <w:t>57,862</w:t>
            </w:r>
          </w:p>
        </w:tc>
      </w:tr>
      <w:tr w:rsidR="008B7B92" w:rsidRPr="008B7B92" w14:paraId="317F4F4A" w14:textId="77777777" w:rsidTr="00DB109A">
        <w:trPr>
          <w:trHeight w:val="259"/>
        </w:trPr>
        <w:tc>
          <w:tcPr>
            <w:tcW w:w="1880" w:type="dxa"/>
            <w:tcBorders>
              <w:top w:val="single" w:sz="4" w:space="0" w:color="ADD6EA"/>
              <w:left w:val="nil"/>
              <w:bottom w:val="single" w:sz="4" w:space="0" w:color="ADD6EA"/>
              <w:right w:val="nil"/>
            </w:tcBorders>
            <w:shd w:val="clear" w:color="000000" w:fill="D6E7F0"/>
            <w:vAlign w:val="center"/>
            <w:hideMark/>
          </w:tcPr>
          <w:p w14:paraId="731D90F5" w14:textId="77777777" w:rsidR="008B7B92" w:rsidRPr="008B7B92" w:rsidRDefault="008B7B92" w:rsidP="00DB109A">
            <w:pPr>
              <w:tabs>
                <w:tab w:val="clear" w:pos="567"/>
              </w:tabs>
              <w:spacing w:before="0" w:line="240" w:lineRule="auto"/>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Difference ($m)</w:t>
            </w:r>
          </w:p>
        </w:tc>
        <w:tc>
          <w:tcPr>
            <w:tcW w:w="820" w:type="dxa"/>
            <w:tcBorders>
              <w:top w:val="single" w:sz="4" w:space="0" w:color="ADD6EA"/>
              <w:left w:val="nil"/>
              <w:bottom w:val="single" w:sz="4" w:space="0" w:color="ADD6EA"/>
              <w:right w:val="nil"/>
            </w:tcBorders>
            <w:shd w:val="clear" w:color="000000" w:fill="D6E7F0"/>
            <w:noWrap/>
            <w:vAlign w:val="center"/>
            <w:hideMark/>
          </w:tcPr>
          <w:p w14:paraId="504F0D80"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12</w:t>
            </w:r>
          </w:p>
        </w:tc>
        <w:tc>
          <w:tcPr>
            <w:tcW w:w="760" w:type="dxa"/>
            <w:tcBorders>
              <w:top w:val="single" w:sz="4" w:space="0" w:color="ADD6EA"/>
              <w:left w:val="nil"/>
              <w:bottom w:val="single" w:sz="4" w:space="0" w:color="ADD6EA"/>
              <w:right w:val="nil"/>
            </w:tcBorders>
            <w:shd w:val="clear" w:color="000000" w:fill="D6E7F0"/>
            <w:noWrap/>
            <w:vAlign w:val="center"/>
            <w:hideMark/>
          </w:tcPr>
          <w:p w14:paraId="03C5C324"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12</w:t>
            </w:r>
          </w:p>
        </w:tc>
        <w:tc>
          <w:tcPr>
            <w:tcW w:w="760" w:type="dxa"/>
            <w:tcBorders>
              <w:top w:val="single" w:sz="4" w:space="0" w:color="ADD6EA"/>
              <w:left w:val="nil"/>
              <w:bottom w:val="single" w:sz="4" w:space="0" w:color="ADD6EA"/>
              <w:right w:val="nil"/>
            </w:tcBorders>
            <w:shd w:val="clear" w:color="000000" w:fill="D6E7F0"/>
            <w:noWrap/>
            <w:vAlign w:val="center"/>
            <w:hideMark/>
          </w:tcPr>
          <w:p w14:paraId="54DBF52C"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-20</w:t>
            </w:r>
          </w:p>
        </w:tc>
        <w:tc>
          <w:tcPr>
            <w:tcW w:w="760" w:type="dxa"/>
            <w:tcBorders>
              <w:top w:val="single" w:sz="4" w:space="0" w:color="ADD6EA"/>
              <w:left w:val="nil"/>
              <w:bottom w:val="single" w:sz="4" w:space="0" w:color="ADD6EA"/>
              <w:right w:val="nil"/>
            </w:tcBorders>
            <w:shd w:val="clear" w:color="000000" w:fill="D6E7F0"/>
            <w:noWrap/>
            <w:vAlign w:val="center"/>
            <w:hideMark/>
          </w:tcPr>
          <w:p w14:paraId="15598290"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-6</w:t>
            </w:r>
          </w:p>
        </w:tc>
        <w:tc>
          <w:tcPr>
            <w:tcW w:w="760" w:type="dxa"/>
            <w:tcBorders>
              <w:top w:val="single" w:sz="4" w:space="0" w:color="ADD6EA"/>
              <w:left w:val="nil"/>
              <w:bottom w:val="single" w:sz="4" w:space="0" w:color="ADD6EA"/>
              <w:right w:val="nil"/>
            </w:tcBorders>
            <w:shd w:val="clear" w:color="000000" w:fill="D6E7F0"/>
            <w:noWrap/>
            <w:vAlign w:val="center"/>
            <w:hideMark/>
          </w:tcPr>
          <w:p w14:paraId="25F27F2B"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6</w:t>
            </w:r>
          </w:p>
        </w:tc>
        <w:tc>
          <w:tcPr>
            <w:tcW w:w="760" w:type="dxa"/>
            <w:tcBorders>
              <w:top w:val="single" w:sz="4" w:space="0" w:color="ADD6EA"/>
              <w:left w:val="nil"/>
              <w:bottom w:val="single" w:sz="4" w:space="0" w:color="ADD6EA"/>
              <w:right w:val="nil"/>
            </w:tcBorders>
            <w:shd w:val="clear" w:color="000000" w:fill="D6E7F0"/>
            <w:noWrap/>
            <w:vAlign w:val="center"/>
            <w:hideMark/>
          </w:tcPr>
          <w:p w14:paraId="63055894"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0</w:t>
            </w:r>
          </w:p>
        </w:tc>
        <w:tc>
          <w:tcPr>
            <w:tcW w:w="760" w:type="dxa"/>
            <w:tcBorders>
              <w:top w:val="single" w:sz="4" w:space="0" w:color="ADD6EA"/>
              <w:left w:val="nil"/>
              <w:bottom w:val="single" w:sz="4" w:space="0" w:color="ADD6EA"/>
              <w:right w:val="nil"/>
            </w:tcBorders>
            <w:shd w:val="clear" w:color="000000" w:fill="D6E7F0"/>
            <w:noWrap/>
            <w:vAlign w:val="center"/>
            <w:hideMark/>
          </w:tcPr>
          <w:p w14:paraId="5F241C4D"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-1</w:t>
            </w:r>
          </w:p>
        </w:tc>
        <w:tc>
          <w:tcPr>
            <w:tcW w:w="760" w:type="dxa"/>
            <w:tcBorders>
              <w:top w:val="single" w:sz="4" w:space="0" w:color="ADD6EA"/>
              <w:left w:val="nil"/>
              <w:bottom w:val="single" w:sz="4" w:space="0" w:color="ADD6EA"/>
              <w:right w:val="nil"/>
            </w:tcBorders>
            <w:shd w:val="clear" w:color="000000" w:fill="D6E7F0"/>
            <w:noWrap/>
            <w:vAlign w:val="center"/>
            <w:hideMark/>
          </w:tcPr>
          <w:p w14:paraId="075E9D74"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-2</w:t>
            </w:r>
          </w:p>
        </w:tc>
        <w:tc>
          <w:tcPr>
            <w:tcW w:w="820" w:type="dxa"/>
            <w:tcBorders>
              <w:top w:val="single" w:sz="4" w:space="0" w:color="ADD6EA"/>
              <w:left w:val="nil"/>
              <w:bottom w:val="single" w:sz="4" w:space="0" w:color="ADD6EA"/>
              <w:right w:val="nil"/>
            </w:tcBorders>
            <w:shd w:val="clear" w:color="000000" w:fill="D6E7F0"/>
            <w:noWrap/>
            <w:vAlign w:val="center"/>
            <w:hideMark/>
          </w:tcPr>
          <w:p w14:paraId="53CB18B2"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0</w:t>
            </w:r>
          </w:p>
        </w:tc>
      </w:tr>
      <w:tr w:rsidR="008B7B92" w:rsidRPr="008B7B92" w14:paraId="5A886BDC" w14:textId="77777777" w:rsidTr="00DB109A">
        <w:trPr>
          <w:trHeight w:val="315"/>
        </w:trPr>
        <w:tc>
          <w:tcPr>
            <w:tcW w:w="1880" w:type="dxa"/>
            <w:tcBorders>
              <w:top w:val="nil"/>
              <w:left w:val="nil"/>
              <w:bottom w:val="single" w:sz="4" w:space="0" w:color="ADD6EA"/>
              <w:right w:val="nil"/>
            </w:tcBorders>
            <w:shd w:val="clear" w:color="000000" w:fill="B6D5E4"/>
            <w:noWrap/>
            <w:vAlign w:val="center"/>
            <w:hideMark/>
          </w:tcPr>
          <w:p w14:paraId="7C118F90" w14:textId="77777777" w:rsidR="008B7B92" w:rsidRPr="008B7B92" w:rsidRDefault="008B7B92" w:rsidP="00DB109A">
            <w:pPr>
              <w:tabs>
                <w:tab w:val="clear" w:pos="567"/>
              </w:tabs>
              <w:spacing w:before="0" w:line="240" w:lineRule="auto"/>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Difference ($pc)</w:t>
            </w:r>
          </w:p>
        </w:tc>
        <w:tc>
          <w:tcPr>
            <w:tcW w:w="820" w:type="dxa"/>
            <w:tcBorders>
              <w:top w:val="nil"/>
              <w:left w:val="nil"/>
              <w:bottom w:val="single" w:sz="4" w:space="0" w:color="ADD6EA"/>
              <w:right w:val="nil"/>
            </w:tcBorders>
            <w:shd w:val="clear" w:color="000000" w:fill="B6D5E4"/>
            <w:noWrap/>
            <w:vAlign w:val="center"/>
            <w:hideMark/>
          </w:tcPr>
          <w:p w14:paraId="48BD84AB"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1.4</w:t>
            </w:r>
          </w:p>
        </w:tc>
        <w:tc>
          <w:tcPr>
            <w:tcW w:w="760" w:type="dxa"/>
            <w:tcBorders>
              <w:top w:val="nil"/>
              <w:left w:val="nil"/>
              <w:bottom w:val="single" w:sz="4" w:space="0" w:color="ADD6EA"/>
              <w:right w:val="nil"/>
            </w:tcBorders>
            <w:shd w:val="clear" w:color="000000" w:fill="B6D5E4"/>
            <w:noWrap/>
            <w:vAlign w:val="center"/>
            <w:hideMark/>
          </w:tcPr>
          <w:p w14:paraId="2997699E"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1.8</w:t>
            </w:r>
          </w:p>
        </w:tc>
        <w:tc>
          <w:tcPr>
            <w:tcW w:w="760" w:type="dxa"/>
            <w:tcBorders>
              <w:top w:val="nil"/>
              <w:left w:val="nil"/>
              <w:bottom w:val="single" w:sz="4" w:space="0" w:color="ADD6EA"/>
              <w:right w:val="nil"/>
            </w:tcBorders>
            <w:shd w:val="clear" w:color="000000" w:fill="B6D5E4"/>
            <w:noWrap/>
            <w:vAlign w:val="center"/>
            <w:hideMark/>
          </w:tcPr>
          <w:p w14:paraId="30BB8F8B"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-3.9</w:t>
            </w:r>
          </w:p>
        </w:tc>
        <w:tc>
          <w:tcPr>
            <w:tcW w:w="760" w:type="dxa"/>
            <w:tcBorders>
              <w:top w:val="nil"/>
              <w:left w:val="nil"/>
              <w:bottom w:val="single" w:sz="4" w:space="0" w:color="ADD6EA"/>
              <w:right w:val="nil"/>
            </w:tcBorders>
            <w:shd w:val="clear" w:color="000000" w:fill="B6D5E4"/>
            <w:noWrap/>
            <w:vAlign w:val="center"/>
            <w:hideMark/>
          </w:tcPr>
          <w:p w14:paraId="267E835E"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-2.2</w:t>
            </w:r>
          </w:p>
        </w:tc>
        <w:tc>
          <w:tcPr>
            <w:tcW w:w="760" w:type="dxa"/>
            <w:tcBorders>
              <w:top w:val="nil"/>
              <w:left w:val="nil"/>
              <w:bottom w:val="single" w:sz="4" w:space="0" w:color="ADD6EA"/>
              <w:right w:val="nil"/>
            </w:tcBorders>
            <w:shd w:val="clear" w:color="000000" w:fill="B6D5E4"/>
            <w:noWrap/>
            <w:vAlign w:val="center"/>
            <w:hideMark/>
          </w:tcPr>
          <w:p w14:paraId="5E8265A5"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3.3</w:t>
            </w:r>
          </w:p>
        </w:tc>
        <w:tc>
          <w:tcPr>
            <w:tcW w:w="760" w:type="dxa"/>
            <w:tcBorders>
              <w:top w:val="nil"/>
              <w:left w:val="nil"/>
              <w:bottom w:val="single" w:sz="4" w:space="0" w:color="ADD6EA"/>
              <w:right w:val="nil"/>
            </w:tcBorders>
            <w:shd w:val="clear" w:color="000000" w:fill="B6D5E4"/>
            <w:noWrap/>
            <w:vAlign w:val="center"/>
            <w:hideMark/>
          </w:tcPr>
          <w:p w14:paraId="4B824322"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-0.6</w:t>
            </w:r>
          </w:p>
        </w:tc>
        <w:tc>
          <w:tcPr>
            <w:tcW w:w="760" w:type="dxa"/>
            <w:tcBorders>
              <w:top w:val="nil"/>
              <w:left w:val="nil"/>
              <w:bottom w:val="single" w:sz="4" w:space="0" w:color="ADD6EA"/>
              <w:right w:val="nil"/>
            </w:tcBorders>
            <w:shd w:val="clear" w:color="000000" w:fill="B6D5E4"/>
            <w:noWrap/>
            <w:vAlign w:val="center"/>
            <w:hideMark/>
          </w:tcPr>
          <w:p w14:paraId="5F56412C"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-2.2</w:t>
            </w:r>
          </w:p>
        </w:tc>
        <w:tc>
          <w:tcPr>
            <w:tcW w:w="760" w:type="dxa"/>
            <w:tcBorders>
              <w:top w:val="nil"/>
              <w:left w:val="nil"/>
              <w:bottom w:val="single" w:sz="4" w:space="0" w:color="ADD6EA"/>
              <w:right w:val="nil"/>
            </w:tcBorders>
            <w:shd w:val="clear" w:color="000000" w:fill="B6D5E4"/>
            <w:noWrap/>
            <w:vAlign w:val="center"/>
            <w:hideMark/>
          </w:tcPr>
          <w:p w14:paraId="0B0F1C50"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-8.1</w:t>
            </w:r>
          </w:p>
        </w:tc>
        <w:tc>
          <w:tcPr>
            <w:tcW w:w="820" w:type="dxa"/>
            <w:tcBorders>
              <w:top w:val="nil"/>
              <w:left w:val="nil"/>
              <w:bottom w:val="single" w:sz="4" w:space="0" w:color="ADD6EA"/>
              <w:right w:val="nil"/>
            </w:tcBorders>
            <w:shd w:val="clear" w:color="000000" w:fill="B6D5E4"/>
            <w:noWrap/>
            <w:vAlign w:val="center"/>
            <w:hideMark/>
          </w:tcPr>
          <w:p w14:paraId="5DBDEF0B" w14:textId="77777777" w:rsidR="008B7B92" w:rsidRPr="008B7B92" w:rsidRDefault="008B7B92" w:rsidP="00DB109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B7B92">
              <w:rPr>
                <w:rFonts w:ascii="Open Sans Semibold" w:eastAsia="Times New Roman" w:hAnsi="Open Sans Semibold" w:cs="Open Sans Semibold"/>
                <w:color w:val="000000"/>
                <w:sz w:val="16"/>
                <w:szCs w:val="16"/>
                <w:lang w:eastAsia="en-AU"/>
              </w:rPr>
              <w:t>0.0</w:t>
            </w:r>
          </w:p>
        </w:tc>
      </w:tr>
    </w:tbl>
    <w:p w14:paraId="3E47E658" w14:textId="3C6A25FA" w:rsidR="00CC43FC" w:rsidRDefault="00601D78" w:rsidP="0083218E">
      <w:pPr>
        <w:pStyle w:val="CGC2025TableNote"/>
        <w:ind w:left="680" w:hanging="567"/>
      </w:pPr>
      <w:r>
        <w:t>Source: Commission calculation using 202</w:t>
      </w:r>
      <w:r w:rsidR="00041990">
        <w:t>1</w:t>
      </w:r>
      <w:r w:rsidR="00091196">
        <w:t>–</w:t>
      </w:r>
      <w:r w:rsidR="00041990">
        <w:t>22</w:t>
      </w:r>
      <w:r>
        <w:t xml:space="preserve"> </w:t>
      </w:r>
      <w:r w:rsidR="008553D6">
        <w:t xml:space="preserve">data on </w:t>
      </w:r>
      <w:r>
        <w:t>I</w:t>
      </w:r>
      <w:r w:rsidR="000745ED">
        <w:t xml:space="preserve">ndependent </w:t>
      </w:r>
      <w:r>
        <w:t>H</w:t>
      </w:r>
      <w:r w:rsidR="000745ED">
        <w:t xml:space="preserve">ealth and </w:t>
      </w:r>
      <w:r>
        <w:t>A</w:t>
      </w:r>
      <w:r w:rsidR="000745ED">
        <w:t xml:space="preserve">ged </w:t>
      </w:r>
      <w:r>
        <w:t>C</w:t>
      </w:r>
      <w:r w:rsidR="000745ED">
        <w:t xml:space="preserve">are Pricing </w:t>
      </w:r>
      <w:r>
        <w:t>A</w:t>
      </w:r>
      <w:r w:rsidR="000745ED">
        <w:t>uthority</w:t>
      </w:r>
      <w:r>
        <w:t xml:space="preserve"> N</w:t>
      </w:r>
      <w:r w:rsidR="000745ED">
        <w:t xml:space="preserve">ational </w:t>
      </w:r>
      <w:r>
        <w:t>W</w:t>
      </w:r>
      <w:r w:rsidR="000745ED">
        <w:t xml:space="preserve">eighted Activity </w:t>
      </w:r>
      <w:r>
        <w:t>U</w:t>
      </w:r>
      <w:r w:rsidR="000745ED">
        <w:t>nits</w:t>
      </w:r>
      <w:r w:rsidR="008553D6">
        <w:t xml:space="preserve">, </w:t>
      </w:r>
      <w:r>
        <w:t>ABS population data</w:t>
      </w:r>
      <w:r w:rsidR="008553D6">
        <w:t xml:space="preserve"> and GFS expenses</w:t>
      </w:r>
      <w:r>
        <w:t>.</w:t>
      </w:r>
      <w:r w:rsidR="00CC43FC" w:rsidRPr="00CC43FC">
        <w:t xml:space="preserve">  </w:t>
      </w:r>
    </w:p>
    <w:p w14:paraId="2DB93BB9" w14:textId="77777777" w:rsidR="00CC43FC" w:rsidRDefault="00CC43FC" w:rsidP="00CC43FC">
      <w:pPr>
        <w:pStyle w:val="Heading4"/>
      </w:pPr>
      <w:r>
        <w:t>Commission draft position</w:t>
      </w:r>
    </w:p>
    <w:p w14:paraId="0EC1F934" w14:textId="482B6CCE" w:rsidR="00F2269C" w:rsidRDefault="00C82886" w:rsidP="0028756F">
      <w:pPr>
        <w:pStyle w:val="CGC2025ParaNumbers"/>
      </w:pPr>
      <w:r>
        <w:t xml:space="preserve">The Commission </w:t>
      </w:r>
      <w:r w:rsidR="00D3334B">
        <w:t xml:space="preserve">proposes to </w:t>
      </w:r>
      <w:r>
        <w:t xml:space="preserve">maintain the existing age groups </w:t>
      </w:r>
      <w:r w:rsidR="007471BC">
        <w:t xml:space="preserve">for the 2025 Review </w:t>
      </w:r>
      <w:r>
        <w:t>as splitting the oldest age group d</w:t>
      </w:r>
      <w:r w:rsidR="00973A70">
        <w:t xml:space="preserve">oes </w:t>
      </w:r>
      <w:r>
        <w:t>not have a material impact.</w:t>
      </w:r>
      <w:r w:rsidR="002C3393">
        <w:t xml:space="preserve"> </w:t>
      </w:r>
      <w:r w:rsidR="00B113F3">
        <w:t>This w</w:t>
      </w:r>
      <w:r w:rsidR="00EE38A0">
        <w:t>ill</w:t>
      </w:r>
      <w:r w:rsidR="00B113F3">
        <w:t xml:space="preserve"> be retested </w:t>
      </w:r>
      <w:r w:rsidR="00EF044D">
        <w:t>in</w:t>
      </w:r>
      <w:r w:rsidR="00FB531D">
        <w:t xml:space="preserve"> the next </w:t>
      </w:r>
      <w:r w:rsidR="00AF1E60">
        <w:t>review</w:t>
      </w:r>
      <w:r w:rsidR="00F37F53">
        <w:t>.</w:t>
      </w:r>
    </w:p>
    <w:p w14:paraId="32561347" w14:textId="40F93C9A" w:rsidR="00F2269C" w:rsidRDefault="00567024" w:rsidP="008653E1">
      <w:pPr>
        <w:pStyle w:val="Heading35"/>
      </w:pPr>
      <w:r>
        <w:lastRenderedPageBreak/>
        <w:t xml:space="preserve">Clustered design of Victoria’s health system </w:t>
      </w:r>
    </w:p>
    <w:p w14:paraId="357EB3DC" w14:textId="297F8583" w:rsidR="0028756F" w:rsidRDefault="00F2269C" w:rsidP="0028756F">
      <w:pPr>
        <w:pStyle w:val="CGC2025ParaNumbers"/>
      </w:pPr>
      <w:r>
        <w:t>Victor</w:t>
      </w:r>
      <w:r w:rsidR="0028756F">
        <w:t xml:space="preserve">ia </w:t>
      </w:r>
      <w:r w:rsidR="005A4DC4">
        <w:t>said</w:t>
      </w:r>
      <w:r w:rsidR="0028756F">
        <w:t xml:space="preserve"> that it is not appropriate to apply remoteness weights to national weighted activity units when residents travel from more remote areas for treatment in hospitals located in less remote areas.</w:t>
      </w:r>
    </w:p>
    <w:p w14:paraId="47A0C3F3" w14:textId="12854ADF" w:rsidR="009E7FE1" w:rsidRDefault="0028756F" w:rsidP="0028756F">
      <w:pPr>
        <w:pStyle w:val="CGC2025ParaNumbers"/>
        <w:numPr>
          <w:ilvl w:val="0"/>
          <w:numId w:val="0"/>
        </w:numPr>
        <w:ind w:left="567" w:hanging="567"/>
      </w:pPr>
      <w:r>
        <w:t>129</w:t>
      </w:r>
      <w:r>
        <w:tab/>
        <w:t xml:space="preserve">Victoria’s health system follows a clustered design, where specialised and high-cost services and facilities </w:t>
      </w:r>
      <w:proofErr w:type="gramStart"/>
      <w:r>
        <w:t>are located in</w:t>
      </w:r>
      <w:proofErr w:type="gramEnd"/>
      <w:r>
        <w:t xml:space="preserve"> higher density areas closer to Melbourne’s </w:t>
      </w:r>
      <w:r w:rsidR="000E53FC">
        <w:t>central business district</w:t>
      </w:r>
      <w:r>
        <w:t xml:space="preserve">. This clustering of services allows for efficiency in service delivery. Victoria </w:t>
      </w:r>
      <w:r w:rsidR="00E61F47">
        <w:t>said</w:t>
      </w:r>
      <w:r>
        <w:t xml:space="preserve"> it would be inappropriate to apply a regional cost weighting to these services, as they are not provided in remote areas, despite being for residents from those areas.</w:t>
      </w:r>
    </w:p>
    <w:p w14:paraId="18BA1DF7" w14:textId="306B9DF4" w:rsidR="00686255" w:rsidRDefault="00BD0A26" w:rsidP="00686255">
      <w:pPr>
        <w:pStyle w:val="Heading4"/>
      </w:pPr>
      <w:r>
        <w:t>C</w:t>
      </w:r>
      <w:r w:rsidR="00686255">
        <w:t>ommission draft position</w:t>
      </w:r>
    </w:p>
    <w:p w14:paraId="6B129951" w14:textId="51A11B52" w:rsidR="00BB288C" w:rsidRPr="00130344" w:rsidRDefault="00C870B3" w:rsidP="005E3573">
      <w:pPr>
        <w:pStyle w:val="CGC2025ParaNumbers"/>
      </w:pPr>
      <w:r>
        <w:t>The Independent H</w:t>
      </w:r>
      <w:r w:rsidR="00FC35D1">
        <w:t>ealth</w:t>
      </w:r>
      <w:r>
        <w:t xml:space="preserve"> and Aged Care Pricing Authority applies cost weights for patients travelling from regional and remote areas to major cities for treatment because states incur additional costs in providing services to these people. </w:t>
      </w:r>
      <w:r w:rsidR="00C54786">
        <w:t xml:space="preserve">It is appropriate that the Commission recognise </w:t>
      </w:r>
      <w:r w:rsidR="004843CE">
        <w:t>these costs in its assessments.</w:t>
      </w:r>
    </w:p>
    <w:p w14:paraId="430751E7" w14:textId="6DEB01E2" w:rsidR="005B1F36" w:rsidRDefault="00CC403A" w:rsidP="008653E1">
      <w:pPr>
        <w:pStyle w:val="Heading3"/>
        <w:keepNext/>
      </w:pPr>
      <w:bookmarkStart w:id="91" w:name="_Toc143786736"/>
      <w:bookmarkEnd w:id="47"/>
      <w:bookmarkEnd w:id="82"/>
      <w:r>
        <w:t xml:space="preserve">Discounting the assessment of the National </w:t>
      </w:r>
      <w:r w:rsidR="00E4741F">
        <w:t>Health Reform Agreement</w:t>
      </w:r>
    </w:p>
    <w:p w14:paraId="09DA982B" w14:textId="796E342B" w:rsidR="00215F74" w:rsidRDefault="00E105A8" w:rsidP="003F5082">
      <w:pPr>
        <w:pStyle w:val="CGC2025ParaNumbers"/>
      </w:pPr>
      <w:r>
        <w:t xml:space="preserve">The </w:t>
      </w:r>
      <w:r w:rsidR="00F74E9F">
        <w:t xml:space="preserve">terms of reference </w:t>
      </w:r>
      <w:r w:rsidR="0079739F">
        <w:t xml:space="preserve">for </w:t>
      </w:r>
      <w:r w:rsidR="00215F74">
        <w:t xml:space="preserve">the annual update of GST relativities require the Commission </w:t>
      </w:r>
      <w:r w:rsidR="003E227E">
        <w:t xml:space="preserve">to </w:t>
      </w:r>
      <w:r w:rsidR="00133546">
        <w:t>assess</w:t>
      </w:r>
      <w:r w:rsidR="009B3497">
        <w:t xml:space="preserve"> </w:t>
      </w:r>
      <w:r w:rsidR="00381509">
        <w:t>Commonwealth</w:t>
      </w:r>
      <w:r w:rsidR="007A707F">
        <w:t xml:space="preserve"> </w:t>
      </w:r>
      <w:r w:rsidR="009B3497">
        <w:t>payments</w:t>
      </w:r>
      <w:r w:rsidR="00DD17A5">
        <w:t xml:space="preserve"> </w:t>
      </w:r>
      <w:r w:rsidR="00381509">
        <w:t xml:space="preserve">to states under the </w:t>
      </w:r>
      <w:r w:rsidR="00DD17A5">
        <w:t>National Health Reform Agreement</w:t>
      </w:r>
      <w:r w:rsidR="00C01E70">
        <w:t xml:space="preserve"> (see below)</w:t>
      </w:r>
      <w:r w:rsidR="005A60E8">
        <w:t xml:space="preserve">. </w:t>
      </w:r>
    </w:p>
    <w:p w14:paraId="29A2C72D" w14:textId="5221DD7F" w:rsidR="00130344" w:rsidRDefault="67FF358E" w:rsidP="003F5082">
      <w:pPr>
        <w:pStyle w:val="CGC2025ParaNumbers"/>
      </w:pPr>
      <w:r>
        <w:t>Queensland</w:t>
      </w:r>
      <w:r w:rsidR="6FA6D68D">
        <w:t xml:space="preserve"> </w:t>
      </w:r>
      <w:r w:rsidR="4550D525">
        <w:t>said</w:t>
      </w:r>
      <w:r w:rsidR="6FA6D68D">
        <w:t xml:space="preserve"> that a portion of </w:t>
      </w:r>
      <w:r w:rsidR="66E3E7E2">
        <w:t xml:space="preserve">the payment is used to fund hospital services </w:t>
      </w:r>
      <w:r w:rsidR="7E938E5A">
        <w:t xml:space="preserve">that states are providing because </w:t>
      </w:r>
      <w:r w:rsidR="2C0AA06E">
        <w:t xml:space="preserve">of </w:t>
      </w:r>
      <w:r w:rsidR="4B6EF041">
        <w:t>s</w:t>
      </w:r>
      <w:r w:rsidR="60DE35CA">
        <w:t>hortfalls in the provision of Commonwealth</w:t>
      </w:r>
      <w:r w:rsidR="03F2913C">
        <w:t>-</w:t>
      </w:r>
      <w:r w:rsidR="60DE35CA">
        <w:t xml:space="preserve">funded primary and </w:t>
      </w:r>
      <w:r w:rsidR="5AD744A7">
        <w:t>aged care</w:t>
      </w:r>
      <w:r w:rsidR="1F196081">
        <w:t xml:space="preserve"> services.</w:t>
      </w:r>
      <w:r w:rsidR="100972D6">
        <w:t xml:space="preserve"> Specifically</w:t>
      </w:r>
      <w:r w:rsidR="4583B821">
        <w:t>:</w:t>
      </w:r>
    </w:p>
    <w:p w14:paraId="673E4CF3" w14:textId="66AE05F3" w:rsidR="009235B7" w:rsidRDefault="006C5FA4" w:rsidP="009235B7">
      <w:pPr>
        <w:pStyle w:val="CGC2025Bullet1"/>
      </w:pPr>
      <w:r w:rsidRPr="006C5FA4">
        <w:t xml:space="preserve">Low acuity </w:t>
      </w:r>
      <w:r w:rsidR="00EE7281">
        <w:t>e</w:t>
      </w:r>
      <w:r>
        <w:t xml:space="preserve">mergency </w:t>
      </w:r>
      <w:r w:rsidR="00EE7281">
        <w:t>d</w:t>
      </w:r>
      <w:r>
        <w:t>epartment</w:t>
      </w:r>
      <w:r w:rsidRPr="006C5FA4">
        <w:t xml:space="preserve"> presentations</w:t>
      </w:r>
      <w:r w:rsidR="002015C2">
        <w:t xml:space="preserve">. Queensland </w:t>
      </w:r>
      <w:r w:rsidR="002015C2" w:rsidRPr="002015C2">
        <w:t>estimated 60</w:t>
      </w:r>
      <w:r w:rsidR="002015C2">
        <w:t>%</w:t>
      </w:r>
      <w:r w:rsidR="002015C2" w:rsidRPr="002015C2">
        <w:t xml:space="preserve"> </w:t>
      </w:r>
      <w:r w:rsidR="002015C2">
        <w:t xml:space="preserve">of these </w:t>
      </w:r>
      <w:r w:rsidR="009861F1">
        <w:t xml:space="preserve">presentations </w:t>
      </w:r>
      <w:r w:rsidR="002015C2" w:rsidRPr="002015C2">
        <w:t>could have been cared for via urgent care clinics or GP</w:t>
      </w:r>
      <w:r w:rsidR="002056EF">
        <w:t> </w:t>
      </w:r>
      <w:r w:rsidR="002015C2" w:rsidRPr="002015C2">
        <w:t>appointments</w:t>
      </w:r>
      <w:r w:rsidR="009861F1">
        <w:t xml:space="preserve">. </w:t>
      </w:r>
      <w:bookmarkStart w:id="92" w:name="_Hlk149737001"/>
      <w:r w:rsidR="00083C15">
        <w:t xml:space="preserve">The cost to </w:t>
      </w:r>
      <w:r w:rsidR="00A46029">
        <w:t>Queensland hospitals was estimated at $310 million</w:t>
      </w:r>
      <w:bookmarkEnd w:id="92"/>
      <w:r w:rsidR="00A46029">
        <w:t>.</w:t>
      </w:r>
    </w:p>
    <w:p w14:paraId="038882F4" w14:textId="78E5D7AB" w:rsidR="007E3845" w:rsidRDefault="00CB0EF5" w:rsidP="009235B7">
      <w:pPr>
        <w:pStyle w:val="CGC2025Bullet1"/>
      </w:pPr>
      <w:r w:rsidRPr="00CB0EF5">
        <w:t>Potentially Preventable Hospitalisations</w:t>
      </w:r>
      <w:r w:rsidR="00A46029">
        <w:t>.</w:t>
      </w:r>
      <w:r w:rsidRPr="00CB0EF5">
        <w:t xml:space="preserve"> </w:t>
      </w:r>
      <w:r w:rsidR="00A46029">
        <w:t xml:space="preserve">These </w:t>
      </w:r>
      <w:r w:rsidRPr="00CB0EF5">
        <w:t>are hospitalisations that could have been prevented through the provision of appropriate health interventions and early disease management in primary care and community-based care settings (including by GPs, medical specialists, dentists, nurses, and allied health professionals)</w:t>
      </w:r>
      <w:r w:rsidR="0044053E">
        <w:t xml:space="preserve">. </w:t>
      </w:r>
      <w:r w:rsidR="0044053E" w:rsidRPr="0044053E">
        <w:t>The cost to Queensland hospitals was estimated at $</w:t>
      </w:r>
      <w:r w:rsidR="0044053E">
        <w:t>5</w:t>
      </w:r>
      <w:r w:rsidR="005737E4">
        <w:t>48.9 </w:t>
      </w:r>
      <w:r w:rsidR="0044053E" w:rsidRPr="0044053E">
        <w:t>million</w:t>
      </w:r>
      <w:r w:rsidR="005737E4">
        <w:t>.</w:t>
      </w:r>
    </w:p>
    <w:p w14:paraId="35801A07" w14:textId="377AAF21" w:rsidR="005737E4" w:rsidRDefault="001A5F4F" w:rsidP="009235B7">
      <w:pPr>
        <w:pStyle w:val="CGC2025Bullet1"/>
      </w:pPr>
      <w:r w:rsidRPr="001A5F4F">
        <w:t>Long stay patients</w:t>
      </w:r>
      <w:r>
        <w:t>. These are</w:t>
      </w:r>
      <w:r w:rsidRPr="001A5F4F">
        <w:t xml:space="preserve"> patient</w:t>
      </w:r>
      <w:r>
        <w:t>s</w:t>
      </w:r>
      <w:r w:rsidRPr="001A5F4F">
        <w:t xml:space="preserve"> who has been in hospital for more than 35</w:t>
      </w:r>
      <w:r w:rsidR="001325B2">
        <w:t> </w:t>
      </w:r>
      <w:r w:rsidRPr="001A5F4F">
        <w:t>days and no longer need active treatment. These patients usually require a level of care that could be appropriately provided in the community but may not be available.</w:t>
      </w:r>
      <w:r w:rsidR="00475A5C">
        <w:t xml:space="preserve"> The cost to Queensland hospitals was estimated at </w:t>
      </w:r>
      <w:r w:rsidR="000C120D">
        <w:t>$290</w:t>
      </w:r>
      <w:r w:rsidR="00A10C87">
        <w:t>–</w:t>
      </w:r>
      <w:r w:rsidR="004B57F3">
        <w:rPr>
          <w:rFonts w:ascii="Times New Roman" w:hAnsi="Times New Roman" w:cs="Times New Roman" w:hint="eastAsia"/>
          <w:rtl/>
        </w:rPr>
        <w:t>‍</w:t>
      </w:r>
      <w:r w:rsidR="000C120D">
        <w:t>$445 million.</w:t>
      </w:r>
    </w:p>
    <w:p w14:paraId="4A092F75" w14:textId="068DB33E" w:rsidR="00990804" w:rsidRDefault="00957C55" w:rsidP="003F5082">
      <w:pPr>
        <w:pStyle w:val="CGC2025ParaNumbers"/>
      </w:pPr>
      <w:r>
        <w:t xml:space="preserve">Queensland </w:t>
      </w:r>
      <w:r w:rsidR="00CA444B">
        <w:t xml:space="preserve">said the Commission should </w:t>
      </w:r>
      <w:r w:rsidR="00214662">
        <w:t>discount the assessment</w:t>
      </w:r>
      <w:r w:rsidR="007F5983">
        <w:t xml:space="preserve"> of the </w:t>
      </w:r>
      <w:r w:rsidR="00DD2595">
        <w:t>National</w:t>
      </w:r>
      <w:r w:rsidR="00CA444B">
        <w:t> </w:t>
      </w:r>
      <w:r w:rsidR="00DD2595">
        <w:t xml:space="preserve">Health Reform </w:t>
      </w:r>
      <w:r w:rsidR="000E15FC">
        <w:t>A</w:t>
      </w:r>
      <w:r w:rsidR="00DD2595">
        <w:t xml:space="preserve">greement payments </w:t>
      </w:r>
      <w:r w:rsidR="00D66DF5">
        <w:t>by a minimum of 12.5</w:t>
      </w:r>
      <w:r w:rsidR="004933D1">
        <w:t xml:space="preserve">% </w:t>
      </w:r>
      <w:r w:rsidR="00356254">
        <w:t xml:space="preserve">on the basis that some of the </w:t>
      </w:r>
      <w:r w:rsidR="0008610F">
        <w:t>funding</w:t>
      </w:r>
      <w:r w:rsidR="00356254">
        <w:t xml:space="preserve"> is </w:t>
      </w:r>
      <w:r w:rsidR="00CA5EEF">
        <w:t xml:space="preserve">effectively being </w:t>
      </w:r>
      <w:r w:rsidR="0008610F">
        <w:t xml:space="preserve">used to provide services for </w:t>
      </w:r>
      <w:r w:rsidR="00CA5EEF">
        <w:t>which states are no</w:t>
      </w:r>
      <w:r w:rsidR="00495922">
        <w:t>t</w:t>
      </w:r>
      <w:r w:rsidR="00CA5EEF">
        <w:t xml:space="preserve"> </w:t>
      </w:r>
      <w:r w:rsidR="00E808D4">
        <w:t>responsible.</w:t>
      </w:r>
    </w:p>
    <w:p w14:paraId="37161E12" w14:textId="02A64C8F" w:rsidR="009530A1" w:rsidRDefault="009530A1" w:rsidP="009530A1">
      <w:pPr>
        <w:pStyle w:val="Heading4"/>
      </w:pPr>
      <w:bookmarkStart w:id="93" w:name="_Hlk149057647"/>
      <w:r>
        <w:lastRenderedPageBreak/>
        <w:t xml:space="preserve">Commission </w:t>
      </w:r>
      <w:r w:rsidR="00447BC7">
        <w:t>response</w:t>
      </w:r>
    </w:p>
    <w:p w14:paraId="1515E0AE" w14:textId="5AB1DF28" w:rsidR="00900953" w:rsidRDefault="2FC0E6C1" w:rsidP="00950821">
      <w:pPr>
        <w:pStyle w:val="CGC2025ParaNumbers"/>
      </w:pPr>
      <w:r>
        <w:t>In 2021</w:t>
      </w:r>
      <w:r w:rsidR="00AE7277">
        <w:t>–</w:t>
      </w:r>
      <w:r>
        <w:t xml:space="preserve">22, </w:t>
      </w:r>
      <w:r w:rsidR="55F45C95">
        <w:t xml:space="preserve">Commonwealth payments under the </w:t>
      </w:r>
      <w:bookmarkStart w:id="94" w:name="_Hlk151468437"/>
      <w:r w:rsidR="55F45C95">
        <w:t xml:space="preserve">National Health Reform Agreement </w:t>
      </w:r>
      <w:bookmarkEnd w:id="94"/>
      <w:r w:rsidR="55F45C95">
        <w:t xml:space="preserve">amounted to </w:t>
      </w:r>
      <w:r w:rsidR="2AF22CD8">
        <w:t>around 4</w:t>
      </w:r>
      <w:r w:rsidR="00A150C5">
        <w:t>6</w:t>
      </w:r>
      <w:r w:rsidR="2AF22CD8">
        <w:t>% of Queensland’s total spending on admitted patient services</w:t>
      </w:r>
      <w:r w:rsidR="742136B4">
        <w:t xml:space="preserve"> or </w:t>
      </w:r>
      <w:r w:rsidR="7F06EA9D">
        <w:t>4</w:t>
      </w:r>
      <w:r w:rsidR="005B7B46">
        <w:t>2</w:t>
      </w:r>
      <w:r w:rsidR="17D75E66">
        <w:t>% of admitted patient and emergency department spending</w:t>
      </w:r>
      <w:r w:rsidR="2AF22CD8">
        <w:t>.</w:t>
      </w:r>
      <w:r w:rsidR="0DFD7644">
        <w:t xml:space="preserve"> </w:t>
      </w:r>
      <w:r w:rsidR="0B201716">
        <w:t>Apportioning the costs iden</w:t>
      </w:r>
      <w:r w:rsidR="59B6B5AE">
        <w:t xml:space="preserve">tified by Queensland </w:t>
      </w:r>
      <w:proofErr w:type="gramStart"/>
      <w:r w:rsidR="59B6B5AE">
        <w:t>on the basis of</w:t>
      </w:r>
      <w:proofErr w:type="gramEnd"/>
      <w:r w:rsidR="59B6B5AE">
        <w:t xml:space="preserve"> a Commonwealth/state funding </w:t>
      </w:r>
      <w:r w:rsidR="163C9378">
        <w:t>split</w:t>
      </w:r>
      <w:r w:rsidR="0AB73F6F">
        <w:t xml:space="preserve"> of </w:t>
      </w:r>
      <w:r w:rsidR="010D99DF">
        <w:t>35</w:t>
      </w:r>
      <w:r w:rsidR="008E66C4">
        <w:t>:</w:t>
      </w:r>
      <w:r w:rsidR="010D99DF">
        <w:t xml:space="preserve">65 to </w:t>
      </w:r>
      <w:r w:rsidR="0AB73F6F">
        <w:t>43</w:t>
      </w:r>
      <w:r w:rsidR="008E66C4">
        <w:t>:</w:t>
      </w:r>
      <w:r w:rsidR="0AB73F6F">
        <w:t>5</w:t>
      </w:r>
      <w:r w:rsidR="777C1736">
        <w:t>7</w:t>
      </w:r>
      <w:r w:rsidR="163C9378">
        <w:t xml:space="preserve">, </w:t>
      </w:r>
      <w:r w:rsidR="62F5D9E9">
        <w:t xml:space="preserve">around </w:t>
      </w:r>
      <w:r w:rsidR="777C1736">
        <w:t>7</w:t>
      </w:r>
      <w:r w:rsidR="009A7719">
        <w:t>–</w:t>
      </w:r>
      <w:r w:rsidR="62F5D9E9">
        <w:t>10% of the Commonwealth payment</w:t>
      </w:r>
      <w:r w:rsidR="584B4CCA">
        <w:t xml:space="preserve"> is </w:t>
      </w:r>
      <w:r w:rsidR="62F5D9E9">
        <w:t>used to fund the</w:t>
      </w:r>
      <w:r w:rsidR="3E49D2AB">
        <w:t>se costs.</w:t>
      </w:r>
    </w:p>
    <w:p w14:paraId="3CFBE83A" w14:textId="789D45CC" w:rsidR="002064BB" w:rsidRDefault="00D33FF0" w:rsidP="00950821">
      <w:pPr>
        <w:pStyle w:val="CGC2025ParaNumbers"/>
      </w:pPr>
      <w:r>
        <w:t xml:space="preserve">The </w:t>
      </w:r>
      <w:r w:rsidR="001E4E0C">
        <w:t>Commission uses a discount when it has concerns with the</w:t>
      </w:r>
      <w:r w:rsidR="00614C78">
        <w:t xml:space="preserve"> data used in the assessment or the assessment method. </w:t>
      </w:r>
      <w:r w:rsidR="00AC2856">
        <w:t xml:space="preserve">It is not appropriate to apply a discount </w:t>
      </w:r>
      <w:r w:rsidR="008F326C">
        <w:t xml:space="preserve">for </w:t>
      </w:r>
      <w:r w:rsidR="00AC2856">
        <w:t>t</w:t>
      </w:r>
      <w:r w:rsidR="004F3989">
        <w:t>he problem that Queensland has raised</w:t>
      </w:r>
      <w:r w:rsidR="00AC2856">
        <w:t>.</w:t>
      </w:r>
    </w:p>
    <w:p w14:paraId="41F8B6D4" w14:textId="0742BD6D" w:rsidR="006D32F0" w:rsidRDefault="00C01DA1" w:rsidP="00950821">
      <w:pPr>
        <w:pStyle w:val="CGC2025ParaNumbers"/>
      </w:pPr>
      <w:r>
        <w:t xml:space="preserve">There may be a case to </w:t>
      </w:r>
      <w:r w:rsidR="001627D1">
        <w:t xml:space="preserve">not assess a proportion of the Commonwealth payment on the basis that it is funding services </w:t>
      </w:r>
      <w:r w:rsidR="00834D5E">
        <w:t>t</w:t>
      </w:r>
      <w:r w:rsidR="00DE6B4C">
        <w:t>hat</w:t>
      </w:r>
      <w:r w:rsidR="00834D5E">
        <w:t xml:space="preserve"> a</w:t>
      </w:r>
      <w:r w:rsidR="00DE6B4C">
        <w:t>re</w:t>
      </w:r>
      <w:r w:rsidR="00834D5E">
        <w:t xml:space="preserve"> not a usual state responsibility and </w:t>
      </w:r>
      <w:r w:rsidR="00D81F30">
        <w:t xml:space="preserve">for which </w:t>
      </w:r>
      <w:r w:rsidR="00834D5E">
        <w:t xml:space="preserve">needs are not assessed. </w:t>
      </w:r>
      <w:r w:rsidR="001B43B1">
        <w:t>This is the approach the Commission take</w:t>
      </w:r>
      <w:r w:rsidR="001D730E">
        <w:t>s</w:t>
      </w:r>
      <w:r w:rsidR="001B43B1">
        <w:t xml:space="preserve"> with Commonwealth payments that </w:t>
      </w:r>
      <w:r w:rsidR="00EC211D">
        <w:t>address</w:t>
      </w:r>
      <w:r w:rsidR="0061317B">
        <w:t xml:space="preserve"> structural disadvantage</w:t>
      </w:r>
      <w:r w:rsidR="00B70043">
        <w:t xml:space="preserve"> (such as the stock of social housing in remote First Nations communities).</w:t>
      </w:r>
    </w:p>
    <w:p w14:paraId="407BA407" w14:textId="67195BD5" w:rsidR="00AC2856" w:rsidRDefault="00962BDC" w:rsidP="00950821">
      <w:pPr>
        <w:pStyle w:val="CGC2025ParaNumbers"/>
      </w:pPr>
      <w:r>
        <w:t>T</w:t>
      </w:r>
      <w:r w:rsidR="00DE6B4C">
        <w:t xml:space="preserve">he </w:t>
      </w:r>
      <w:r w:rsidR="00F64745">
        <w:t>National Health Reform A</w:t>
      </w:r>
      <w:r w:rsidR="00DE6B4C">
        <w:t>greement</w:t>
      </w:r>
      <w:r w:rsidR="00F64745">
        <w:t xml:space="preserve"> would need to specify </w:t>
      </w:r>
      <w:r w:rsidR="009E5385">
        <w:t xml:space="preserve">the amount </w:t>
      </w:r>
      <w:r w:rsidR="007C4841">
        <w:t xml:space="preserve">of funding </w:t>
      </w:r>
      <w:r w:rsidR="009E5385">
        <w:t>that relates to non</w:t>
      </w:r>
      <w:r w:rsidR="00D177AB">
        <w:noBreakHyphen/>
      </w:r>
      <w:r w:rsidR="009E5385">
        <w:t>state functions.</w:t>
      </w:r>
    </w:p>
    <w:p w14:paraId="04436081" w14:textId="77777777" w:rsidR="006427F1" w:rsidRDefault="006427F1" w:rsidP="006427F1">
      <w:pPr>
        <w:pStyle w:val="Heading4"/>
      </w:pPr>
      <w:r>
        <w:t>Commission draft position</w:t>
      </w:r>
    </w:p>
    <w:p w14:paraId="3EC297E6" w14:textId="4D852FAB" w:rsidR="004C4855" w:rsidRDefault="00936C72" w:rsidP="00AD7B74">
      <w:pPr>
        <w:pStyle w:val="CGC2025ParaNumbers"/>
      </w:pPr>
      <w:r>
        <w:t xml:space="preserve">If the Commonwealth and states can agree </w:t>
      </w:r>
      <w:r w:rsidR="00AD7B74">
        <w:t xml:space="preserve">that a portion of the </w:t>
      </w:r>
      <w:r w:rsidR="00AD7B74" w:rsidRPr="00AD7B74">
        <w:t>National Health Reform Agreement</w:t>
      </w:r>
      <w:r w:rsidR="00AD7B74">
        <w:t xml:space="preserve"> Commonwealth payment</w:t>
      </w:r>
      <w:r w:rsidR="002A28E4">
        <w:t xml:space="preserve"> funds hospital services </w:t>
      </w:r>
      <w:r w:rsidR="00882390">
        <w:t xml:space="preserve">that </w:t>
      </w:r>
      <w:r w:rsidR="005E5CB2">
        <w:t xml:space="preserve">are not a state responsibility, and </w:t>
      </w:r>
      <w:r w:rsidR="006554D9">
        <w:t xml:space="preserve">that share of the payment is specified in the </w:t>
      </w:r>
      <w:r w:rsidR="00730B97">
        <w:t>a</w:t>
      </w:r>
      <w:r w:rsidR="006554D9">
        <w:t xml:space="preserve">greement, then the Commission will treat that amount as a no impact </w:t>
      </w:r>
      <w:r w:rsidR="006A4C00">
        <w:t>payment.</w:t>
      </w:r>
    </w:p>
    <w:bookmarkEnd w:id="93"/>
    <w:p w14:paraId="2B5B648A" w14:textId="78C6C21B" w:rsidR="0007223E" w:rsidRDefault="00AF2925" w:rsidP="00AD7B74">
      <w:pPr>
        <w:pStyle w:val="CGC2025ParaNumbers"/>
      </w:pPr>
      <w:r>
        <w:t xml:space="preserve">The </w:t>
      </w:r>
      <w:r w:rsidR="002E499F">
        <w:t xml:space="preserve">share of spending </w:t>
      </w:r>
      <w:r w:rsidR="00723BC6">
        <w:t xml:space="preserve">that is </w:t>
      </w:r>
      <w:r w:rsidR="0000042B">
        <w:t>funded by state</w:t>
      </w:r>
      <w:r w:rsidR="002730BC">
        <w:t xml:space="preserve">s </w:t>
      </w:r>
      <w:r w:rsidR="002E499F">
        <w:t xml:space="preserve">on </w:t>
      </w:r>
      <w:r w:rsidR="009D3074">
        <w:t xml:space="preserve">hospital services that are </w:t>
      </w:r>
      <w:r w:rsidR="006A314F">
        <w:t xml:space="preserve">a Commonwealth responsibility </w:t>
      </w:r>
      <w:r w:rsidR="002730BC">
        <w:t xml:space="preserve">will continue to be </w:t>
      </w:r>
      <w:r w:rsidR="005B5C6B">
        <w:t xml:space="preserve">assessed </w:t>
      </w:r>
      <w:r w:rsidR="00653D3A">
        <w:t xml:space="preserve">by the usual drivers of need. </w:t>
      </w:r>
      <w:r w:rsidR="00153C34">
        <w:t xml:space="preserve">State needs to spend on these hospital services </w:t>
      </w:r>
      <w:r w:rsidR="003E23D0">
        <w:t>are likely to be best estimated by the usual health assessment methods.</w:t>
      </w:r>
    </w:p>
    <w:p w14:paraId="5FFB9EAD" w14:textId="45C18030" w:rsidR="00900953" w:rsidRDefault="00DF3930" w:rsidP="00631A8F">
      <w:pPr>
        <w:pStyle w:val="Heading3"/>
        <w:keepNext/>
      </w:pPr>
      <w:r>
        <w:t>Non-hospital patient transport</w:t>
      </w:r>
    </w:p>
    <w:p w14:paraId="4B5AD133" w14:textId="02324F28" w:rsidR="003057D0" w:rsidRDefault="6055EA7B" w:rsidP="005C48DC">
      <w:pPr>
        <w:pStyle w:val="CGC2025ParaNumbers"/>
      </w:pPr>
      <w:r>
        <w:t xml:space="preserve">Victoria </w:t>
      </w:r>
      <w:r w:rsidR="4550D525">
        <w:t>said</w:t>
      </w:r>
      <w:r w:rsidR="51A590D3">
        <w:t xml:space="preserve"> the </w:t>
      </w:r>
      <w:r w:rsidR="31A18BF3">
        <w:t>assessment of non</w:t>
      </w:r>
      <w:r w:rsidR="6CA78007">
        <w:t>-</w:t>
      </w:r>
      <w:r w:rsidR="31A18BF3">
        <w:t xml:space="preserve">hospital patient transport costs </w:t>
      </w:r>
      <w:r w:rsidR="6CD3B606">
        <w:t>is flawed because it assess</w:t>
      </w:r>
      <w:r w:rsidR="199CED9A">
        <w:t>es</w:t>
      </w:r>
      <w:r w:rsidR="6CD3B606">
        <w:t xml:space="preserve"> </w:t>
      </w:r>
      <w:r w:rsidR="2634064A">
        <w:t>Western Australia and the Northern Territory</w:t>
      </w:r>
      <w:r w:rsidR="199CED9A">
        <w:t xml:space="preserve"> to need more than double their actual </w:t>
      </w:r>
      <w:r w:rsidR="0258C3B1">
        <w:t>spending.</w:t>
      </w:r>
    </w:p>
    <w:p w14:paraId="6329EEFD" w14:textId="476051BA" w:rsidR="001234AD" w:rsidRDefault="001234AD" w:rsidP="005C48DC">
      <w:pPr>
        <w:pStyle w:val="CGC2025ParaNumbers"/>
      </w:pPr>
      <w:r>
        <w:t>Victoria present</w:t>
      </w:r>
      <w:r w:rsidR="006D1C06">
        <w:t>ed</w:t>
      </w:r>
      <w:r>
        <w:t xml:space="preserve"> </w:t>
      </w:r>
      <w:r w:rsidR="003822A7">
        <w:t>evidence</w:t>
      </w:r>
      <w:r w:rsidR="002D0BD0">
        <w:t xml:space="preserve"> using data from the 2020 Review </w:t>
      </w:r>
      <w:r w:rsidR="00A27D9D">
        <w:t>that</w:t>
      </w:r>
      <w:r w:rsidR="006E1372">
        <w:t xml:space="preserve"> higher </w:t>
      </w:r>
      <w:r w:rsidR="00C26737">
        <w:t>spending in rem</w:t>
      </w:r>
      <w:r w:rsidR="00013488">
        <w:t>ote areas does not</w:t>
      </w:r>
      <w:r w:rsidR="00653D29">
        <w:t xml:space="preserve"> relate to higher remote population shares.</w:t>
      </w:r>
    </w:p>
    <w:p w14:paraId="53A870C4" w14:textId="3CD79865" w:rsidR="002930E4" w:rsidRDefault="76B8BBC3" w:rsidP="005C48DC">
      <w:pPr>
        <w:pStyle w:val="CGC2025ParaNumbers"/>
      </w:pPr>
      <w:r>
        <w:t xml:space="preserve">Victoria </w:t>
      </w:r>
      <w:r w:rsidR="25D9BD3F">
        <w:t>said</w:t>
      </w:r>
      <w:r>
        <w:t xml:space="preserve"> </w:t>
      </w:r>
      <w:r w:rsidR="66DA8500">
        <w:t xml:space="preserve">that </w:t>
      </w:r>
      <w:r w:rsidR="3B1B953F">
        <w:t>expenses on non</w:t>
      </w:r>
      <w:r w:rsidR="1000FB48">
        <w:t>-</w:t>
      </w:r>
      <w:r w:rsidR="3B1B953F">
        <w:t xml:space="preserve">hospital patient transport </w:t>
      </w:r>
      <w:r w:rsidR="00A26E68">
        <w:t xml:space="preserve">should </w:t>
      </w:r>
      <w:r w:rsidR="3B1B953F">
        <w:t>be assessed in the admitted patient assessment</w:t>
      </w:r>
      <w:r w:rsidR="2B38E7C7">
        <w:t>.</w:t>
      </w:r>
    </w:p>
    <w:p w14:paraId="177648D2" w14:textId="003104F7" w:rsidR="00371489" w:rsidRDefault="00371489" w:rsidP="003B2FE2">
      <w:pPr>
        <w:pStyle w:val="Heading4"/>
      </w:pPr>
      <w:bookmarkStart w:id="95" w:name="_Hlk149113221"/>
      <w:r>
        <w:t xml:space="preserve">Commission </w:t>
      </w:r>
      <w:r w:rsidR="00AD535C">
        <w:t>response</w:t>
      </w:r>
    </w:p>
    <w:p w14:paraId="1DA5F75F" w14:textId="1287787A" w:rsidR="00B22755" w:rsidRDefault="00515F90" w:rsidP="00426DE6">
      <w:pPr>
        <w:pStyle w:val="CGC2025ParaNumbers"/>
      </w:pPr>
      <w:bookmarkStart w:id="96" w:name="_Hlk150412792"/>
      <w:r>
        <w:t xml:space="preserve">Large differences between actual and assessed expenses </w:t>
      </w:r>
      <w:r w:rsidR="0072611B">
        <w:t>are not necessarily an indication that the assessment</w:t>
      </w:r>
      <w:r w:rsidR="00645E81">
        <w:t xml:space="preserve"> is </w:t>
      </w:r>
      <w:r w:rsidR="00842054">
        <w:t>mis</w:t>
      </w:r>
      <w:r w:rsidR="008F3A24">
        <w:t>-</w:t>
      </w:r>
      <w:r w:rsidR="00842054">
        <w:t xml:space="preserve">specified. </w:t>
      </w:r>
      <w:r w:rsidR="00FF5A1D">
        <w:t xml:space="preserve">Actual expenses are affected by </w:t>
      </w:r>
      <w:r w:rsidR="00FF5A1D">
        <w:lastRenderedPageBreak/>
        <w:t>state policy choices, the efficiency of service provi</w:t>
      </w:r>
      <w:r w:rsidR="00E32A44">
        <w:t>sion and</w:t>
      </w:r>
      <w:r w:rsidR="00526542">
        <w:t xml:space="preserve"> the accuracy of expense reporting. </w:t>
      </w:r>
      <w:r w:rsidR="000F79A0">
        <w:t>However,</w:t>
      </w:r>
      <w:r w:rsidR="00526542">
        <w:t xml:space="preserve"> large differences </w:t>
      </w:r>
      <w:r w:rsidR="004076FC">
        <w:t>can</w:t>
      </w:r>
      <w:r w:rsidR="00526542">
        <w:t xml:space="preserve"> justify </w:t>
      </w:r>
      <w:r w:rsidR="00DF2409">
        <w:t xml:space="preserve">a review of the </w:t>
      </w:r>
      <w:r w:rsidR="00303FDB">
        <w:t>assessment.</w:t>
      </w:r>
    </w:p>
    <w:p w14:paraId="5F6C5EFD" w14:textId="6533F592" w:rsidR="00B24B2C" w:rsidRDefault="435F8422" w:rsidP="00426DE6">
      <w:pPr>
        <w:pStyle w:val="CGC2025ParaNumbers"/>
      </w:pPr>
      <w:bookmarkStart w:id="97" w:name="_Hlk152145593"/>
      <w:r>
        <w:t xml:space="preserve">Aeromedical services </w:t>
      </w:r>
      <w:bookmarkEnd w:id="96"/>
      <w:r>
        <w:t xml:space="preserve">and </w:t>
      </w:r>
      <w:r w:rsidR="548D2FE8">
        <w:t xml:space="preserve">the </w:t>
      </w:r>
      <w:r w:rsidR="74F42DC6">
        <w:t>Patient Assist</w:t>
      </w:r>
      <w:r w:rsidR="6DF4A43F">
        <w:t>ance</w:t>
      </w:r>
      <w:r w:rsidR="74F42DC6">
        <w:t xml:space="preserve"> Transport Scheme</w:t>
      </w:r>
      <w:r>
        <w:t xml:space="preserve"> </w:t>
      </w:r>
      <w:bookmarkEnd w:id="97"/>
      <w:r>
        <w:t>are provided disproportionately to people in remote and very remote regions</w:t>
      </w:r>
      <w:r w:rsidR="786148FD">
        <w:t xml:space="preserve">. </w:t>
      </w:r>
      <w:r w:rsidR="00B24B2C">
        <w:t xml:space="preserve">This is the main reason why the Commission has </w:t>
      </w:r>
      <w:r w:rsidR="00DF1B15">
        <w:t>assessed expense</w:t>
      </w:r>
      <w:r w:rsidR="00CD268C">
        <w:t xml:space="preserve">s associated with these </w:t>
      </w:r>
      <w:r w:rsidR="00D73A2A">
        <w:t>services</w:t>
      </w:r>
      <w:r w:rsidR="00DF1B15">
        <w:t xml:space="preserve"> separately to other hospital expense</w:t>
      </w:r>
      <w:r w:rsidR="00D73A2A">
        <w:t>s</w:t>
      </w:r>
      <w:r w:rsidR="00DF1B15">
        <w:t>.</w:t>
      </w:r>
    </w:p>
    <w:p w14:paraId="049BA646" w14:textId="00D2586F" w:rsidR="00CD268C" w:rsidRDefault="00FE1DFE" w:rsidP="00201A5D">
      <w:pPr>
        <w:pStyle w:val="CGC2025ParaNumbers"/>
      </w:pPr>
      <w:r>
        <w:t xml:space="preserve">If the </w:t>
      </w:r>
      <w:r w:rsidR="006B3127">
        <w:t>activity</w:t>
      </w:r>
      <w:r w:rsidR="00917010">
        <w:t xml:space="preserve"> </w:t>
      </w:r>
      <w:r w:rsidR="00201A5D">
        <w:t>associated with a</w:t>
      </w:r>
      <w:r w:rsidR="00201A5D" w:rsidRPr="00201A5D">
        <w:t>eromedical services and the Patient Assistance Transport Scheme</w:t>
      </w:r>
      <w:r w:rsidR="00201A5D">
        <w:t xml:space="preserve"> were included in </w:t>
      </w:r>
      <w:r w:rsidR="0043654F">
        <w:t xml:space="preserve">national weighted activity </w:t>
      </w:r>
      <w:r w:rsidR="00D35035">
        <w:t>units,</w:t>
      </w:r>
      <w:r w:rsidR="006F0CFB">
        <w:t xml:space="preserve"> this would </w:t>
      </w:r>
      <w:r w:rsidR="00776D5A">
        <w:t xml:space="preserve">add weight to </w:t>
      </w:r>
      <w:r w:rsidR="00F747CA">
        <w:t>Victoria’s argument that the expense</w:t>
      </w:r>
      <w:r w:rsidR="00F21612">
        <w:t>s</w:t>
      </w:r>
      <w:r w:rsidR="00F747CA">
        <w:t xml:space="preserve"> be included in the admitted patient assessment.</w:t>
      </w:r>
    </w:p>
    <w:p w14:paraId="77DF43D4" w14:textId="42F4F628" w:rsidR="00457CB9" w:rsidRDefault="786148FD" w:rsidP="0063566A">
      <w:pPr>
        <w:pStyle w:val="CGC2025ParaNumbers"/>
      </w:pPr>
      <w:r>
        <w:t>T</w:t>
      </w:r>
      <w:r w:rsidR="6FBC6B15">
        <w:t xml:space="preserve">he </w:t>
      </w:r>
      <w:r w:rsidR="5D73385F">
        <w:t>activity</w:t>
      </w:r>
      <w:r w:rsidR="7F0E8B86">
        <w:t xml:space="preserve"> associated with </w:t>
      </w:r>
      <w:r w:rsidR="00101868">
        <w:t xml:space="preserve">patient transport </w:t>
      </w:r>
      <w:r w:rsidR="00F225A7">
        <w:t xml:space="preserve">are </w:t>
      </w:r>
      <w:r w:rsidR="5A0A7390">
        <w:t xml:space="preserve">included in the </w:t>
      </w:r>
      <w:r w:rsidR="0B27F2F7">
        <w:t xml:space="preserve">admitted patient </w:t>
      </w:r>
      <w:r w:rsidR="31AED740">
        <w:t>national weighted activity units</w:t>
      </w:r>
      <w:r w:rsidR="008412FA">
        <w:t>,</w:t>
      </w:r>
      <w:r w:rsidR="35AA77E6">
        <w:t xml:space="preserve"> </w:t>
      </w:r>
      <w:r w:rsidR="00C44540">
        <w:t>and</w:t>
      </w:r>
      <w:r w:rsidR="005034A1">
        <w:t xml:space="preserve"> t</w:t>
      </w:r>
      <w:r w:rsidR="5D73385F">
        <w:t xml:space="preserve">he </w:t>
      </w:r>
      <w:r w:rsidR="29799C1F">
        <w:t xml:space="preserve">remoteness costs weights </w:t>
      </w:r>
      <w:r w:rsidR="14E61AD8">
        <w:t>produced by the Independent H</w:t>
      </w:r>
      <w:r w:rsidR="01600AB1">
        <w:t>ealth</w:t>
      </w:r>
      <w:r w:rsidR="14E61AD8">
        <w:t xml:space="preserve"> and Aged Care Pricing Authority </w:t>
      </w:r>
      <w:r w:rsidR="1295F589">
        <w:t>include the cost of</w:t>
      </w:r>
      <w:r w:rsidR="3D88014B">
        <w:t xml:space="preserve"> </w:t>
      </w:r>
      <w:r w:rsidR="1295F589">
        <w:t>patient transport</w:t>
      </w:r>
      <w:r w:rsidR="28F6B69D">
        <w:t>.</w:t>
      </w:r>
      <w:r w:rsidR="0034593D">
        <w:rPr>
          <w:rStyle w:val="FootnoteReference"/>
        </w:rPr>
        <w:footnoteReference w:id="29"/>
      </w:r>
      <w:r w:rsidR="0063566A">
        <w:t xml:space="preserve"> </w:t>
      </w:r>
      <w:r w:rsidR="009138B5">
        <w:t xml:space="preserve">However, </w:t>
      </w:r>
      <w:r w:rsidR="00892B61">
        <w:t xml:space="preserve">states submit </w:t>
      </w:r>
      <w:r w:rsidR="00C41048">
        <w:t xml:space="preserve">patient </w:t>
      </w:r>
      <w:r w:rsidR="006257A0">
        <w:t xml:space="preserve">transport </w:t>
      </w:r>
      <w:r w:rsidR="00C41048">
        <w:t>costs inconsistently</w:t>
      </w:r>
      <w:r w:rsidR="001725A1">
        <w:t xml:space="preserve"> and </w:t>
      </w:r>
      <w:r w:rsidR="00646A48">
        <w:t xml:space="preserve">this </w:t>
      </w:r>
      <w:r w:rsidR="001725A1">
        <w:t>may not be fully reflected in state data submissions</w:t>
      </w:r>
      <w:r w:rsidR="0070736A">
        <w:t>. I</w:t>
      </w:r>
      <w:r w:rsidR="0074104C">
        <w:t xml:space="preserve">t is not clear if </w:t>
      </w:r>
      <w:r w:rsidR="00C10329">
        <w:t xml:space="preserve">the </w:t>
      </w:r>
      <w:r w:rsidR="00255C7B">
        <w:t xml:space="preserve">patient transport costs </w:t>
      </w:r>
      <w:r w:rsidR="00AD5287">
        <w:t xml:space="preserve">used to </w:t>
      </w:r>
      <w:r w:rsidR="0015790F">
        <w:t xml:space="preserve">calculate national weighted activity units </w:t>
      </w:r>
      <w:r w:rsidR="00D74170">
        <w:t xml:space="preserve">include aeromedical services, </w:t>
      </w:r>
      <w:r w:rsidR="0074104C">
        <w:t xml:space="preserve">the </w:t>
      </w:r>
      <w:r w:rsidR="0074104C" w:rsidRPr="00422B07">
        <w:t>Patient Assist</w:t>
      </w:r>
      <w:r w:rsidR="0074104C">
        <w:t>ance</w:t>
      </w:r>
      <w:r w:rsidR="0074104C" w:rsidRPr="00422B07">
        <w:t xml:space="preserve"> Transport Scheme</w:t>
      </w:r>
      <w:r w:rsidR="0074104C">
        <w:t xml:space="preserve"> </w:t>
      </w:r>
      <w:r w:rsidR="00C24530">
        <w:t xml:space="preserve">or both, </w:t>
      </w:r>
      <w:proofErr w:type="gramStart"/>
      <w:r w:rsidR="004904D2">
        <w:t>o</w:t>
      </w:r>
      <w:r w:rsidR="00904A88">
        <w:t>r</w:t>
      </w:r>
      <w:proofErr w:type="gramEnd"/>
      <w:r w:rsidR="00904A88">
        <w:t xml:space="preserve"> whether</w:t>
      </w:r>
      <w:r w:rsidR="004904D2">
        <w:t xml:space="preserve"> these costs are </w:t>
      </w:r>
      <w:r w:rsidR="00072CFE">
        <w:t xml:space="preserve">classified </w:t>
      </w:r>
      <w:r w:rsidR="00463695">
        <w:t>elsewher</w:t>
      </w:r>
      <w:r w:rsidR="00C554DA">
        <w:t>e</w:t>
      </w:r>
      <w:r w:rsidR="001D5D53">
        <w:t xml:space="preserve"> (that is, not </w:t>
      </w:r>
      <w:r w:rsidR="001464E8">
        <w:t>identified as a transport cost)</w:t>
      </w:r>
      <w:r w:rsidR="0074104C">
        <w:t xml:space="preserve">. </w:t>
      </w:r>
    </w:p>
    <w:p w14:paraId="2366BC4E" w14:textId="421B46FB" w:rsidR="00234A70" w:rsidRDefault="0074104C" w:rsidP="0063566A">
      <w:pPr>
        <w:pStyle w:val="CGC2025ParaNumbers"/>
      </w:pPr>
      <w:r>
        <w:t xml:space="preserve">The </w:t>
      </w:r>
      <w:r w:rsidR="00054F5C">
        <w:t xml:space="preserve">classification </w:t>
      </w:r>
      <w:r w:rsidR="00594340">
        <w:t xml:space="preserve">system </w:t>
      </w:r>
      <w:r w:rsidR="004E6AA2">
        <w:t xml:space="preserve">for </w:t>
      </w:r>
      <w:r w:rsidR="00ED0C2E">
        <w:t>the National Hospital Cost Data Collection</w:t>
      </w:r>
      <w:r w:rsidR="00530A9A">
        <w:t xml:space="preserve"> </w:t>
      </w:r>
      <w:r w:rsidR="00611C6A">
        <w:t xml:space="preserve">issued </w:t>
      </w:r>
      <w:r w:rsidR="00E70987">
        <w:t>in 2023</w:t>
      </w:r>
      <w:r w:rsidR="0047035F">
        <w:t xml:space="preserve"> </w:t>
      </w:r>
      <w:r w:rsidR="00B703F2">
        <w:t xml:space="preserve">now </w:t>
      </w:r>
      <w:r w:rsidR="005E2EEC">
        <w:t xml:space="preserve">specifies that </w:t>
      </w:r>
      <w:r w:rsidR="002F2225">
        <w:t>patient transport</w:t>
      </w:r>
      <w:r w:rsidR="00173112">
        <w:t xml:space="preserve"> costs</w:t>
      </w:r>
      <w:r w:rsidR="00923695">
        <w:t xml:space="preserve"> </w:t>
      </w:r>
      <w:r w:rsidR="00D777AD">
        <w:t>for</w:t>
      </w:r>
      <w:r w:rsidR="00923695">
        <w:t xml:space="preserve"> aeromedical </w:t>
      </w:r>
      <w:r w:rsidR="00430750">
        <w:t xml:space="preserve">services and </w:t>
      </w:r>
      <w:r w:rsidR="00FA7F20">
        <w:t>the Patient Assistance Transport Scheme</w:t>
      </w:r>
      <w:r w:rsidR="00430750">
        <w:t xml:space="preserve"> </w:t>
      </w:r>
      <w:r w:rsidR="00D777AD">
        <w:t xml:space="preserve">are in scope and </w:t>
      </w:r>
      <w:r w:rsidR="00023389">
        <w:t>should</w:t>
      </w:r>
      <w:r w:rsidR="006868A4">
        <w:t xml:space="preserve"> </w:t>
      </w:r>
      <w:r w:rsidR="007A2C21">
        <w:t>be submitted.</w:t>
      </w:r>
      <w:r w:rsidR="00B622A9">
        <w:rPr>
          <w:rStyle w:val="FootnoteReference"/>
        </w:rPr>
        <w:footnoteReference w:id="30"/>
      </w:r>
      <w:r w:rsidR="00B622A9">
        <w:t xml:space="preserve"> </w:t>
      </w:r>
      <w:r w:rsidR="007A2C21">
        <w:t xml:space="preserve"> </w:t>
      </w:r>
      <w:r w:rsidR="00D777AD">
        <w:t xml:space="preserve">However, </w:t>
      </w:r>
      <w:r w:rsidR="00A01B2E">
        <w:t xml:space="preserve">it </w:t>
      </w:r>
      <w:r w:rsidR="009442D9">
        <w:t>may take time for state</w:t>
      </w:r>
      <w:r w:rsidR="003D58C9">
        <w:t>s</w:t>
      </w:r>
      <w:r w:rsidR="009442D9">
        <w:t xml:space="preserve"> to comply</w:t>
      </w:r>
      <w:r w:rsidR="00174269">
        <w:t xml:space="preserve"> </w:t>
      </w:r>
      <w:r w:rsidR="00E41482">
        <w:t>fully</w:t>
      </w:r>
      <w:r w:rsidR="002F2225">
        <w:t xml:space="preserve">. </w:t>
      </w:r>
    </w:p>
    <w:p w14:paraId="7A4F2ECF" w14:textId="007AB171" w:rsidR="00234A70" w:rsidRDefault="00234A70" w:rsidP="00234A70">
      <w:pPr>
        <w:pStyle w:val="Heading4"/>
      </w:pPr>
      <w:r>
        <w:t xml:space="preserve">Commission </w:t>
      </w:r>
      <w:r w:rsidR="00AF1DDA">
        <w:t>draft position</w:t>
      </w:r>
    </w:p>
    <w:p w14:paraId="2CF7CFA2" w14:textId="77777777" w:rsidR="00423CD0" w:rsidRDefault="00C6736B" w:rsidP="00422B07">
      <w:pPr>
        <w:pStyle w:val="CGC2025ParaNumbers"/>
      </w:pPr>
      <w:r>
        <w:t>Given</w:t>
      </w:r>
      <w:r w:rsidR="0031297B">
        <w:t xml:space="preserve"> the </w:t>
      </w:r>
      <w:r w:rsidR="00E55001">
        <w:t>uncertainty</w:t>
      </w:r>
      <w:r w:rsidR="000A22B5">
        <w:t xml:space="preserve"> </w:t>
      </w:r>
      <w:r>
        <w:t>about</w:t>
      </w:r>
      <w:r w:rsidR="00E55001">
        <w:t xml:space="preserve"> </w:t>
      </w:r>
      <w:r w:rsidR="0011122E">
        <w:t>the extent that</w:t>
      </w:r>
      <w:r w:rsidR="00565100">
        <w:t xml:space="preserve"> activity associated with patient transport are included in the admitted patient national weighted activity units</w:t>
      </w:r>
      <w:r w:rsidR="00107902">
        <w:t xml:space="preserve">, </w:t>
      </w:r>
      <w:r w:rsidR="00201B5C">
        <w:t>t</w:t>
      </w:r>
      <w:r w:rsidR="000066EA">
        <w:t xml:space="preserve">he costs associated with </w:t>
      </w:r>
      <w:r w:rsidR="00E03F3D">
        <w:t xml:space="preserve">aeromedical services and </w:t>
      </w:r>
      <w:r w:rsidR="00422B07">
        <w:t xml:space="preserve">the </w:t>
      </w:r>
      <w:r w:rsidR="00422B07" w:rsidRPr="00422B07">
        <w:t>Patient Assist</w:t>
      </w:r>
      <w:r w:rsidR="00D058A2">
        <w:t>ance</w:t>
      </w:r>
      <w:r w:rsidR="00422B07" w:rsidRPr="00422B07">
        <w:t xml:space="preserve"> Transport Scheme </w:t>
      </w:r>
      <w:r w:rsidR="00A0287B">
        <w:t>will</w:t>
      </w:r>
      <w:r w:rsidR="00423F9C">
        <w:t xml:space="preserve"> be kept separate and assess</w:t>
      </w:r>
      <w:r w:rsidR="00957ED3">
        <w:t>ed</w:t>
      </w:r>
      <w:r w:rsidR="00423F9C">
        <w:t xml:space="preserve"> </w:t>
      </w:r>
      <w:r w:rsidR="00026D2E">
        <w:t>using the current method</w:t>
      </w:r>
      <w:r w:rsidR="00423CD0">
        <w:t xml:space="preserve"> for the 2025 Review</w:t>
      </w:r>
      <w:r w:rsidR="00026D2E">
        <w:t>.</w:t>
      </w:r>
      <w:r w:rsidR="00583230">
        <w:t xml:space="preserve"> </w:t>
      </w:r>
    </w:p>
    <w:p w14:paraId="48550037" w14:textId="48A6C4A1" w:rsidR="00603CB5" w:rsidRPr="00130344" w:rsidRDefault="00423CD0" w:rsidP="00422B07">
      <w:pPr>
        <w:pStyle w:val="CGC2025ParaNumbers"/>
      </w:pPr>
      <w:r>
        <w:t>The Commission will</w:t>
      </w:r>
      <w:r w:rsidR="005F5DFE">
        <w:t xml:space="preserve"> </w:t>
      </w:r>
      <w:r w:rsidR="006936F6">
        <w:t>continue to engage with the Independent H</w:t>
      </w:r>
      <w:r w:rsidR="003B2BA6">
        <w:t xml:space="preserve">ealth </w:t>
      </w:r>
      <w:r w:rsidR="006936F6">
        <w:t>and Aged Care Pricing Authority</w:t>
      </w:r>
      <w:r w:rsidR="00140F06">
        <w:t xml:space="preserve"> </w:t>
      </w:r>
      <w:r w:rsidR="00F85FE6">
        <w:t xml:space="preserve">between reviews to </w:t>
      </w:r>
      <w:r w:rsidR="00A94B27">
        <w:t xml:space="preserve">determine whether an alternative approach </w:t>
      </w:r>
      <w:r w:rsidR="009009E2">
        <w:t>is appropriate</w:t>
      </w:r>
      <w:r w:rsidR="00593940">
        <w:t xml:space="preserve"> </w:t>
      </w:r>
      <w:r w:rsidR="00A304FC">
        <w:t>in future.</w:t>
      </w:r>
    </w:p>
    <w:bookmarkEnd w:id="95"/>
    <w:p w14:paraId="75381EFB" w14:textId="244B32EE" w:rsidR="00900953" w:rsidRDefault="008F3BEA" w:rsidP="004A5D67">
      <w:pPr>
        <w:pStyle w:val="Heading3"/>
        <w:keepNext/>
      </w:pPr>
      <w:r w:rsidRPr="008F3BEA">
        <w:t>Adjustments for state bilateral cross</w:t>
      </w:r>
      <w:r w:rsidR="00873A83">
        <w:t>-</w:t>
      </w:r>
      <w:r w:rsidRPr="008F3BEA">
        <w:t>border arrangements</w:t>
      </w:r>
    </w:p>
    <w:p w14:paraId="44344B16" w14:textId="4D8C4BCF" w:rsidR="008F3BEA" w:rsidRDefault="010377E3" w:rsidP="00353173">
      <w:pPr>
        <w:pStyle w:val="CGC2025ParaNumbers"/>
      </w:pPr>
      <w:r>
        <w:t>Victoria</w:t>
      </w:r>
      <w:r w:rsidR="0F22AFDC">
        <w:t xml:space="preserve"> said it</w:t>
      </w:r>
      <w:r>
        <w:t xml:space="preserve"> is a net exporter of hospital treatment to other states and territories, so there are consistent funding inflows for interstate patients.</w:t>
      </w:r>
      <w:r w:rsidR="55D391D9">
        <w:t xml:space="preserve"> Victoria </w:t>
      </w:r>
      <w:r w:rsidR="35AAACBC">
        <w:t>said it</w:t>
      </w:r>
      <w:r w:rsidR="55D391D9">
        <w:t xml:space="preserve"> supports the </w:t>
      </w:r>
      <w:r w:rsidR="780E893A">
        <w:t>Commission’s</w:t>
      </w:r>
      <w:r w:rsidR="55D391D9">
        <w:t xml:space="preserve"> current adjustment for cross-border health flows for </w:t>
      </w:r>
      <w:r w:rsidR="55D391D9">
        <w:lastRenderedPageBreak/>
        <w:t>Commonwealth payments under the N</w:t>
      </w:r>
      <w:r w:rsidR="775243D7">
        <w:t xml:space="preserve">ational </w:t>
      </w:r>
      <w:r w:rsidR="760F9126">
        <w:t>Health Reform Agreement</w:t>
      </w:r>
      <w:r w:rsidR="55D391D9">
        <w:t>. However, Victoria question</w:t>
      </w:r>
      <w:r w:rsidR="00814C0E">
        <w:t>ed</w:t>
      </w:r>
      <w:r w:rsidR="55D391D9">
        <w:t xml:space="preserve"> the extent to which this fully captures </w:t>
      </w:r>
      <w:r w:rsidR="2CD7329C">
        <w:t>state</w:t>
      </w:r>
      <w:r w:rsidR="711A0825">
        <w:t>-</w:t>
      </w:r>
      <w:r w:rsidR="2CD7329C">
        <w:t>to</w:t>
      </w:r>
      <w:r w:rsidR="711A0825">
        <w:t>-</w:t>
      </w:r>
      <w:r w:rsidR="2CD7329C">
        <w:t xml:space="preserve">state </w:t>
      </w:r>
      <w:r w:rsidR="55D391D9">
        <w:t xml:space="preserve">cross border </w:t>
      </w:r>
      <w:r w:rsidR="2CD7329C">
        <w:t>payment</w:t>
      </w:r>
      <w:r w:rsidR="098C27E2">
        <w:t>s</w:t>
      </w:r>
      <w:r w:rsidR="55D391D9">
        <w:t>.</w:t>
      </w:r>
    </w:p>
    <w:p w14:paraId="0FC1243E" w14:textId="2A0D39CA" w:rsidR="00353173" w:rsidRDefault="00F4615C" w:rsidP="00D04A95">
      <w:pPr>
        <w:pStyle w:val="CGC2025ParaNumbers"/>
      </w:pPr>
      <w:r>
        <w:t>Victoria request</w:t>
      </w:r>
      <w:r w:rsidR="00C94E93">
        <w:t>ed</w:t>
      </w:r>
      <w:r>
        <w:t xml:space="preserve"> the </w:t>
      </w:r>
      <w:r w:rsidR="0046488F">
        <w:t>Commission</w:t>
      </w:r>
      <w:r>
        <w:t xml:space="preserve"> examine how the state-to-state funding flows for health services impact its assessments and confirm for states they align with </w:t>
      </w:r>
      <w:r w:rsidR="00D04A95">
        <w:t xml:space="preserve">the relevant </w:t>
      </w:r>
      <w:r>
        <w:t>clause of the N</w:t>
      </w:r>
      <w:r w:rsidR="00D04A95">
        <w:t xml:space="preserve">ational </w:t>
      </w:r>
      <w:r>
        <w:t>H</w:t>
      </w:r>
      <w:r w:rsidR="00D04A95">
        <w:t xml:space="preserve">ealth </w:t>
      </w:r>
      <w:r>
        <w:t>R</w:t>
      </w:r>
      <w:r w:rsidR="00D04A95">
        <w:t xml:space="preserve">eform </w:t>
      </w:r>
      <w:r>
        <w:t>A</w:t>
      </w:r>
      <w:r w:rsidR="00D04A95">
        <w:t>greement.</w:t>
      </w:r>
    </w:p>
    <w:p w14:paraId="260B47BA" w14:textId="3EE5BCA7" w:rsidR="00207754" w:rsidRDefault="00207754" w:rsidP="00207754">
      <w:pPr>
        <w:pStyle w:val="Heading4"/>
      </w:pPr>
      <w:r>
        <w:t xml:space="preserve">Commission </w:t>
      </w:r>
      <w:r w:rsidR="00A65060">
        <w:t>response</w:t>
      </w:r>
    </w:p>
    <w:p w14:paraId="1B76FB49" w14:textId="4F7F2C4F" w:rsidR="00207754" w:rsidRPr="00086DAF" w:rsidRDefault="0030469A" w:rsidP="00D04A95">
      <w:pPr>
        <w:pStyle w:val="CGC2025ParaNumbers"/>
      </w:pPr>
      <w:r>
        <w:t xml:space="preserve">Commonwealth payments are an important source of revenue available to states </w:t>
      </w:r>
      <w:r w:rsidR="00BE7B15">
        <w:t>and are</w:t>
      </w:r>
      <w:r>
        <w:t xml:space="preserve"> </w:t>
      </w:r>
      <w:proofErr w:type="gramStart"/>
      <w:r>
        <w:t>taken into account</w:t>
      </w:r>
      <w:proofErr w:type="gramEnd"/>
      <w:r>
        <w:t xml:space="preserve"> when determining each state’s fiscal capacity and GST share.</w:t>
      </w:r>
      <w:r w:rsidR="00377E90">
        <w:t xml:space="preserve"> </w:t>
      </w:r>
      <w:r w:rsidR="00DA7DFC">
        <w:t>In general</w:t>
      </w:r>
      <w:r w:rsidR="00800ADC">
        <w:t>,</w:t>
      </w:r>
      <w:r w:rsidR="00DA7DFC">
        <w:t xml:space="preserve"> the</w:t>
      </w:r>
      <w:r w:rsidR="00DC2B93">
        <w:t xml:space="preserve"> higher the value of Commonwealth payments a state receives, the less its</w:t>
      </w:r>
      <w:r w:rsidR="00DD3637">
        <w:t xml:space="preserve"> </w:t>
      </w:r>
      <w:r w:rsidR="00FE563C">
        <w:t xml:space="preserve">requirement for GST revenue. </w:t>
      </w:r>
    </w:p>
    <w:p w14:paraId="0F597C79" w14:textId="000F1F8A" w:rsidR="00BB0A45" w:rsidRDefault="00466BA3" w:rsidP="00024482">
      <w:pPr>
        <w:pStyle w:val="CGC2025ParaNumbers"/>
      </w:pPr>
      <w:r>
        <w:t xml:space="preserve">The National Health Reform Agreement funding is shared by the Commonwealth and states. </w:t>
      </w:r>
      <w:r w:rsidR="00024482" w:rsidRPr="00024482">
        <w:t>Section A111 of the National Health Reform Agreement relates to the funding arrangements for National Health Reform Commonwealth funding for cross</w:t>
      </w:r>
      <w:r w:rsidR="009F4D4D">
        <w:t>-</w:t>
      </w:r>
      <w:r w:rsidR="00024482" w:rsidRPr="00024482">
        <w:t>border activity. It specifies that the state where a patient normally resides should meet the cost of hospital services.</w:t>
      </w:r>
    </w:p>
    <w:p w14:paraId="0E7EB3C9" w14:textId="3F41FF4E" w:rsidR="00F95B49" w:rsidRDefault="00C44CEB" w:rsidP="00E26EDF">
      <w:pPr>
        <w:pStyle w:val="CGC2025ParaNumbers"/>
      </w:pPr>
      <w:r w:rsidRPr="00C44CEB">
        <w:t>The Commission uses cross</w:t>
      </w:r>
      <w:r w:rsidR="009F4D4D">
        <w:t>-</w:t>
      </w:r>
      <w:r w:rsidRPr="00C44CEB">
        <w:t>border expense data provided by the National Health Funding Body to make cross</w:t>
      </w:r>
      <w:r w:rsidR="009F4D4D">
        <w:t>-</w:t>
      </w:r>
      <w:r w:rsidRPr="00C44CEB">
        <w:t>border adjustments to the National Health Reform Commonwealth payments.</w:t>
      </w:r>
      <w:r>
        <w:t xml:space="preserve"> </w:t>
      </w:r>
      <w:r w:rsidR="00E26EDF" w:rsidRPr="00E26EDF">
        <w:t>The adjust</w:t>
      </w:r>
      <w:r w:rsidR="00554F95">
        <w:t xml:space="preserve">ments </w:t>
      </w:r>
      <w:r w:rsidR="004B03A9">
        <w:t>ensure</w:t>
      </w:r>
      <w:r w:rsidR="00E26EDF" w:rsidRPr="00E26EDF">
        <w:t xml:space="preserve"> that the payment states are recorded as receiving only include services provide</w:t>
      </w:r>
      <w:r w:rsidR="00D85500">
        <w:t>d</w:t>
      </w:r>
      <w:r w:rsidR="00E26EDF" w:rsidRPr="00E26EDF">
        <w:t xml:space="preserve"> to their own residents. States that are net providers of health services to residents of other states have their National Health Reform </w:t>
      </w:r>
      <w:r w:rsidR="007C2BAB">
        <w:t>payments</w:t>
      </w:r>
      <w:r w:rsidR="00E26EDF" w:rsidRPr="00E26EDF">
        <w:t xml:space="preserve"> </w:t>
      </w:r>
      <w:r w:rsidR="003A0254">
        <w:t>reduced</w:t>
      </w:r>
      <w:r w:rsidR="00E26EDF" w:rsidRPr="00E26EDF">
        <w:t>, so they are not penalised for their spending on services provided to residents of other states.</w:t>
      </w:r>
    </w:p>
    <w:p w14:paraId="2E3EBF23" w14:textId="0D1D41E6" w:rsidR="00D51352" w:rsidRDefault="007C6ECA" w:rsidP="00155DA4">
      <w:pPr>
        <w:pStyle w:val="CGC2025ParaNumbers"/>
      </w:pPr>
      <w:r w:rsidRPr="007C6ECA">
        <w:t>The Commission does not make any adjustment to the state share</w:t>
      </w:r>
      <w:r w:rsidR="00967697">
        <w:t xml:space="preserve"> of National Health Reform funding</w:t>
      </w:r>
      <w:r w:rsidRPr="007C6ECA">
        <w:t>.</w:t>
      </w:r>
      <w:r w:rsidR="00155DA4">
        <w:t xml:space="preserve"> </w:t>
      </w:r>
      <w:r w:rsidR="0074712D">
        <w:t xml:space="preserve">Bilateral </w:t>
      </w:r>
      <w:r w:rsidR="001B64EC">
        <w:t>agreements are in place to</w:t>
      </w:r>
      <w:r w:rsidR="0074712D">
        <w:t xml:space="preserve"> </w:t>
      </w:r>
      <w:r w:rsidR="006A3AD5">
        <w:t xml:space="preserve">compensate </w:t>
      </w:r>
      <w:r w:rsidR="00C10EE4">
        <w:t>states for the services provided to residents of other states.</w:t>
      </w:r>
      <w:r w:rsidR="00BA11BE">
        <w:t xml:space="preserve"> </w:t>
      </w:r>
      <w:r w:rsidR="00534048">
        <w:t>There is no need for the Commission to do an</w:t>
      </w:r>
      <w:r w:rsidR="00402A3D">
        <w:t xml:space="preserve">ything </w:t>
      </w:r>
      <w:r w:rsidR="0004348D">
        <w:t xml:space="preserve">about </w:t>
      </w:r>
      <w:r w:rsidR="00A26EE8">
        <w:t>the state share of National Health Reform funding.</w:t>
      </w:r>
      <w:r w:rsidR="00534048">
        <w:t xml:space="preserve"> </w:t>
      </w:r>
    </w:p>
    <w:p w14:paraId="4FCAF58E" w14:textId="77777777" w:rsidR="00BA630A" w:rsidRDefault="00BA630A" w:rsidP="00BA630A">
      <w:pPr>
        <w:pStyle w:val="Heading4"/>
      </w:pPr>
      <w:r>
        <w:t>Commission draft position</w:t>
      </w:r>
    </w:p>
    <w:p w14:paraId="6021C7FD" w14:textId="46A98C23" w:rsidR="00BA630A" w:rsidRDefault="00E60DD6" w:rsidP="00155DA4">
      <w:pPr>
        <w:pStyle w:val="CGC2025ParaNumbers"/>
      </w:pPr>
      <w:r>
        <w:t xml:space="preserve">The Commission proposes to </w:t>
      </w:r>
      <w:r w:rsidR="00A10642">
        <w:t>continue</w:t>
      </w:r>
      <w:r w:rsidR="00A82EDA">
        <w:t xml:space="preserve"> to </w:t>
      </w:r>
      <w:r w:rsidR="0018087A">
        <w:t xml:space="preserve">use cross-border data to </w:t>
      </w:r>
      <w:r w:rsidR="00746045">
        <w:t xml:space="preserve">apply </w:t>
      </w:r>
      <w:r w:rsidR="00013BF2">
        <w:t xml:space="preserve">cross-border adjustments </w:t>
      </w:r>
      <w:r w:rsidR="00D726C7">
        <w:t>to the National Health Reform</w:t>
      </w:r>
      <w:r w:rsidR="000926CF">
        <w:t xml:space="preserve"> </w:t>
      </w:r>
      <w:r w:rsidR="00186726">
        <w:t xml:space="preserve">Agreement </w:t>
      </w:r>
      <w:r w:rsidR="000926CF">
        <w:t>Commonwealth p</w:t>
      </w:r>
      <w:r w:rsidR="00F4686F">
        <w:t xml:space="preserve">ayments. </w:t>
      </w:r>
      <w:r w:rsidR="00186726">
        <w:t xml:space="preserve">No further </w:t>
      </w:r>
      <w:r w:rsidR="008274FD">
        <w:t>action is required</w:t>
      </w:r>
      <w:r w:rsidR="00186726">
        <w:t xml:space="preserve"> to address Victoria’s concerns</w:t>
      </w:r>
      <w:r w:rsidR="008274FD">
        <w:t>.</w:t>
      </w:r>
    </w:p>
    <w:p w14:paraId="56D1BB0A" w14:textId="0A371EA6" w:rsidR="00D52BD8" w:rsidRDefault="00F33D53" w:rsidP="00005831">
      <w:pPr>
        <w:pStyle w:val="Heading2"/>
        <w:keepNext/>
      </w:pPr>
      <w:r>
        <w:t>Draft</w:t>
      </w:r>
      <w:r w:rsidR="00596CF9">
        <w:t xml:space="preserve"> </w:t>
      </w:r>
      <w:r w:rsidR="00FD4B9F">
        <w:t>2025 Review</w:t>
      </w:r>
      <w:r w:rsidR="000046FB">
        <w:t xml:space="preserve"> </w:t>
      </w:r>
      <w:bookmarkEnd w:id="91"/>
      <w:r w:rsidR="00495120">
        <w:t>a</w:t>
      </w:r>
      <w:r w:rsidR="000F4F75">
        <w:t xml:space="preserve">ssessment </w:t>
      </w:r>
      <w:r w:rsidR="00495120">
        <w:t>m</w:t>
      </w:r>
      <w:r w:rsidR="000F4F75">
        <w:t>ethod</w:t>
      </w:r>
    </w:p>
    <w:p w14:paraId="6666C5A5" w14:textId="239D4D6F" w:rsidR="00FE2E18" w:rsidRPr="003E7666" w:rsidRDefault="009B385F" w:rsidP="00FE2E18">
      <w:pPr>
        <w:pStyle w:val="CGC2025ParaNumbers"/>
      </w:pPr>
      <w:r>
        <w:t>Table 20</w:t>
      </w:r>
      <w:r w:rsidR="0013496C">
        <w:t xml:space="preserve"> shows the proposed structure of the </w:t>
      </w:r>
      <w:r w:rsidR="008F1777">
        <w:t xml:space="preserve">2025 Review </w:t>
      </w:r>
      <w:r w:rsidR="0013496C">
        <w:t>health assessment.</w:t>
      </w:r>
    </w:p>
    <w:p w14:paraId="0FB94993" w14:textId="3E5BA134" w:rsidR="00FE2E18" w:rsidRPr="00211078" w:rsidRDefault="00FE2E18" w:rsidP="00AB1B45">
      <w:pPr>
        <w:pStyle w:val="CGC2025Caption"/>
        <w:keepNext/>
        <w:tabs>
          <w:tab w:val="left" w:pos="1134"/>
        </w:tabs>
      </w:pPr>
      <w:bookmarkStart w:id="98" w:name="_Ref136865827"/>
      <w:r>
        <w:lastRenderedPageBreak/>
        <w:t xml:space="preserve">Table </w:t>
      </w:r>
      <w:r>
        <w:fldChar w:fldCharType="begin"/>
      </w:r>
      <w:r>
        <w:instrText>SEQ Table \* ARABIC</w:instrText>
      </w:r>
      <w:r>
        <w:fldChar w:fldCharType="separate"/>
      </w:r>
      <w:r w:rsidR="00581B01" w:rsidRPr="0FEE6682">
        <w:rPr>
          <w:noProof/>
        </w:rPr>
        <w:t>20</w:t>
      </w:r>
      <w:r>
        <w:fldChar w:fldCharType="end"/>
      </w:r>
      <w:bookmarkEnd w:id="98"/>
      <w:r>
        <w:tab/>
        <w:t xml:space="preserve">Proposed structure </w:t>
      </w:r>
      <w:r w:rsidR="0EAB84B3">
        <w:t xml:space="preserve">of </w:t>
      </w:r>
      <w:r>
        <w:t xml:space="preserve">the </w:t>
      </w:r>
      <w:r w:rsidR="008360B3">
        <w:t>health</w:t>
      </w:r>
      <w:r>
        <w:t xml:space="preserve"> </w:t>
      </w:r>
      <w:proofErr w:type="gramStart"/>
      <w:r>
        <w:t>assessment</w:t>
      </w:r>
      <w:proofErr w:type="gramEnd"/>
      <w:r>
        <w:t xml:space="preserve"> </w:t>
      </w:r>
    </w:p>
    <w:tbl>
      <w:tblPr>
        <w:tblW w:w="8942" w:type="dxa"/>
        <w:tblLook w:val="04A0" w:firstRow="1" w:lastRow="0" w:firstColumn="1" w:lastColumn="0" w:noHBand="0" w:noVBand="1"/>
      </w:tblPr>
      <w:tblGrid>
        <w:gridCol w:w="1452"/>
        <w:gridCol w:w="290"/>
        <w:gridCol w:w="1763"/>
        <w:gridCol w:w="3922"/>
        <w:gridCol w:w="258"/>
        <w:gridCol w:w="1257"/>
      </w:tblGrid>
      <w:tr w:rsidR="00C35EA0" w:rsidRPr="00C35EA0" w14:paraId="2318EF4B" w14:textId="77777777" w:rsidTr="009745D4">
        <w:trPr>
          <w:trHeight w:val="510"/>
          <w:tblHeader/>
        </w:trPr>
        <w:tc>
          <w:tcPr>
            <w:tcW w:w="1452" w:type="dxa"/>
            <w:tcBorders>
              <w:top w:val="nil"/>
              <w:left w:val="nil"/>
              <w:bottom w:val="nil"/>
              <w:right w:val="nil"/>
            </w:tcBorders>
            <w:shd w:val="clear" w:color="000000" w:fill="006991"/>
            <w:vAlign w:val="center"/>
            <w:hideMark/>
          </w:tcPr>
          <w:p w14:paraId="6EEEF08F" w14:textId="77777777" w:rsidR="00C35EA0" w:rsidRPr="00C14821" w:rsidRDefault="00C35EA0" w:rsidP="009745D4">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14821">
              <w:rPr>
                <w:rFonts w:ascii="Open Sans Semibold" w:eastAsia="Times New Roman" w:hAnsi="Open Sans Semibold" w:cs="Open Sans Semibold"/>
                <w:color w:val="FFFFFF"/>
                <w:sz w:val="16"/>
                <w:szCs w:val="16"/>
                <w:lang w:eastAsia="en-AU"/>
              </w:rPr>
              <w:t>Component </w:t>
            </w:r>
          </w:p>
        </w:tc>
        <w:tc>
          <w:tcPr>
            <w:tcW w:w="290" w:type="dxa"/>
            <w:tcBorders>
              <w:top w:val="nil"/>
              <w:left w:val="nil"/>
              <w:bottom w:val="nil"/>
              <w:right w:val="nil"/>
            </w:tcBorders>
            <w:shd w:val="clear" w:color="000000" w:fill="006991"/>
            <w:vAlign w:val="center"/>
            <w:hideMark/>
          </w:tcPr>
          <w:p w14:paraId="5F8F942F" w14:textId="77777777" w:rsidR="00C35EA0" w:rsidRPr="00C14821" w:rsidRDefault="00C35EA0" w:rsidP="009745D4">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14821">
              <w:rPr>
                <w:rFonts w:ascii="Arial" w:eastAsia="Times New Roman" w:hAnsi="Arial" w:cs="Arial"/>
                <w:color w:val="FFFFFF"/>
                <w:sz w:val="16"/>
                <w:szCs w:val="16"/>
                <w:lang w:eastAsia="en-AU"/>
              </w:rPr>
              <w:t> </w:t>
            </w:r>
            <w:r w:rsidRPr="00C14821">
              <w:rPr>
                <w:rFonts w:ascii="Open Sans Semibold" w:eastAsia="Times New Roman" w:hAnsi="Open Sans Semibold" w:cs="Open Sans Semibold"/>
                <w:color w:val="FFFFFF"/>
                <w:sz w:val="16"/>
                <w:szCs w:val="16"/>
                <w:lang w:eastAsia="en-AU"/>
              </w:rPr>
              <w:t> </w:t>
            </w:r>
          </w:p>
        </w:tc>
        <w:tc>
          <w:tcPr>
            <w:tcW w:w="1763" w:type="dxa"/>
            <w:tcBorders>
              <w:top w:val="nil"/>
              <w:left w:val="nil"/>
              <w:bottom w:val="nil"/>
              <w:right w:val="nil"/>
            </w:tcBorders>
            <w:shd w:val="clear" w:color="000000" w:fill="006991"/>
            <w:vAlign w:val="center"/>
            <w:hideMark/>
          </w:tcPr>
          <w:p w14:paraId="2234C131" w14:textId="77777777" w:rsidR="00C35EA0" w:rsidRPr="00C14821" w:rsidRDefault="00C35EA0" w:rsidP="009745D4">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14821">
              <w:rPr>
                <w:rFonts w:ascii="Open Sans Semibold" w:eastAsia="Times New Roman" w:hAnsi="Open Sans Semibold" w:cs="Open Sans Semibold"/>
                <w:color w:val="FFFFFF"/>
                <w:sz w:val="16"/>
                <w:szCs w:val="16"/>
                <w:lang w:eastAsia="en-AU"/>
              </w:rPr>
              <w:t>Driver </w:t>
            </w:r>
          </w:p>
        </w:tc>
        <w:tc>
          <w:tcPr>
            <w:tcW w:w="3922" w:type="dxa"/>
            <w:tcBorders>
              <w:top w:val="nil"/>
              <w:left w:val="nil"/>
              <w:bottom w:val="nil"/>
              <w:right w:val="nil"/>
            </w:tcBorders>
            <w:shd w:val="clear" w:color="000000" w:fill="006991"/>
            <w:vAlign w:val="center"/>
            <w:hideMark/>
          </w:tcPr>
          <w:p w14:paraId="5CE440C7" w14:textId="77777777" w:rsidR="00C35EA0" w:rsidRPr="00C14821" w:rsidRDefault="00C35EA0" w:rsidP="009745D4">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14821">
              <w:rPr>
                <w:rFonts w:ascii="Open Sans Semibold" w:eastAsia="Times New Roman" w:hAnsi="Open Sans Semibold" w:cs="Open Sans Semibold"/>
                <w:color w:val="FFFFFF"/>
                <w:sz w:val="16"/>
                <w:szCs w:val="16"/>
                <w:lang w:eastAsia="en-AU"/>
              </w:rPr>
              <w:t>Influence measured by driver </w:t>
            </w:r>
          </w:p>
        </w:tc>
        <w:tc>
          <w:tcPr>
            <w:tcW w:w="258" w:type="dxa"/>
            <w:tcBorders>
              <w:top w:val="nil"/>
              <w:left w:val="nil"/>
              <w:bottom w:val="nil"/>
              <w:right w:val="nil"/>
            </w:tcBorders>
            <w:shd w:val="clear" w:color="000000" w:fill="006991"/>
            <w:vAlign w:val="center"/>
            <w:hideMark/>
          </w:tcPr>
          <w:p w14:paraId="3B95F32D" w14:textId="77777777" w:rsidR="00C35EA0" w:rsidRPr="00C14821" w:rsidRDefault="00C35EA0" w:rsidP="009745D4">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14821">
              <w:rPr>
                <w:rFonts w:ascii="Open Sans Semibold" w:eastAsia="Times New Roman" w:hAnsi="Open Sans Semibold" w:cs="Open Sans Semibold"/>
                <w:color w:val="FFFFFF"/>
                <w:sz w:val="16"/>
                <w:szCs w:val="16"/>
                <w:lang w:eastAsia="en-AU"/>
              </w:rPr>
              <w:t> </w:t>
            </w:r>
          </w:p>
        </w:tc>
        <w:tc>
          <w:tcPr>
            <w:tcW w:w="1257" w:type="dxa"/>
            <w:tcBorders>
              <w:top w:val="nil"/>
              <w:left w:val="nil"/>
              <w:bottom w:val="nil"/>
              <w:right w:val="nil"/>
            </w:tcBorders>
            <w:shd w:val="clear" w:color="000000" w:fill="006991"/>
            <w:vAlign w:val="center"/>
            <w:hideMark/>
          </w:tcPr>
          <w:p w14:paraId="029ED9DF" w14:textId="77777777" w:rsidR="00C35EA0" w:rsidRPr="00C14821" w:rsidRDefault="00C35EA0" w:rsidP="009745D4">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C14821">
              <w:rPr>
                <w:rFonts w:ascii="Open Sans Semibold" w:eastAsia="Times New Roman" w:hAnsi="Open Sans Semibold" w:cs="Open Sans Semibold"/>
                <w:color w:val="FFFFFF"/>
                <w:sz w:val="16"/>
                <w:szCs w:val="16"/>
                <w:lang w:eastAsia="en-AU"/>
              </w:rPr>
              <w:t>Change since 2020 Review?</w:t>
            </w:r>
          </w:p>
        </w:tc>
      </w:tr>
      <w:tr w:rsidR="00C35EA0" w:rsidRPr="00C35EA0" w14:paraId="18D4393D" w14:textId="77777777" w:rsidTr="009745D4">
        <w:trPr>
          <w:trHeight w:val="555"/>
        </w:trPr>
        <w:tc>
          <w:tcPr>
            <w:tcW w:w="1452" w:type="dxa"/>
            <w:tcBorders>
              <w:top w:val="single" w:sz="4" w:space="0" w:color="DDEBF7"/>
              <w:left w:val="nil"/>
              <w:bottom w:val="nil"/>
              <w:right w:val="nil"/>
            </w:tcBorders>
            <w:shd w:val="clear" w:color="auto" w:fill="auto"/>
            <w:hideMark/>
          </w:tcPr>
          <w:p w14:paraId="0EA0DB54"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Admitted patients </w:t>
            </w:r>
          </w:p>
        </w:tc>
        <w:tc>
          <w:tcPr>
            <w:tcW w:w="290" w:type="dxa"/>
            <w:tcBorders>
              <w:top w:val="single" w:sz="4" w:space="0" w:color="DDEBF7"/>
              <w:left w:val="nil"/>
              <w:bottom w:val="single" w:sz="4" w:space="0" w:color="DDEBF7"/>
              <w:right w:val="nil"/>
            </w:tcBorders>
            <w:shd w:val="clear" w:color="auto" w:fill="auto"/>
            <w:hideMark/>
          </w:tcPr>
          <w:p w14:paraId="4C0AF025" w14:textId="77777777" w:rsidR="00C35EA0" w:rsidRPr="00C35EA0" w:rsidRDefault="00C35EA0" w:rsidP="009745D4">
            <w:pPr>
              <w:keepNext/>
              <w:tabs>
                <w:tab w:val="clear" w:pos="567"/>
              </w:tabs>
              <w:spacing w:before="0" w:line="240" w:lineRule="auto"/>
              <w:rPr>
                <w:rFonts w:ascii="Arial" w:eastAsia="Times New Roman" w:hAnsi="Arial" w:cs="Arial"/>
                <w:color w:val="000000"/>
                <w:sz w:val="16"/>
                <w:szCs w:val="16"/>
                <w:lang w:eastAsia="en-AU"/>
              </w:rPr>
            </w:pPr>
            <w:r w:rsidRPr="00C35EA0">
              <w:rPr>
                <w:rFonts w:ascii="Arial" w:eastAsia="Times New Roman" w:hAnsi="Arial" w:cs="Arial"/>
                <w:color w:val="000000"/>
                <w:sz w:val="16"/>
                <w:szCs w:val="16"/>
                <w:lang w:eastAsia="en-AU"/>
              </w:rPr>
              <w:t> </w:t>
            </w:r>
            <w:r w:rsidRPr="00C35EA0">
              <w:rPr>
                <w:rFonts w:eastAsia="Times New Roman" w:cs="Open Sans Light"/>
                <w:color w:val="000000"/>
                <w:sz w:val="16"/>
                <w:szCs w:val="16"/>
                <w:lang w:eastAsia="en-AU"/>
              </w:rPr>
              <w:t> </w:t>
            </w:r>
          </w:p>
        </w:tc>
        <w:tc>
          <w:tcPr>
            <w:tcW w:w="1763" w:type="dxa"/>
            <w:tcBorders>
              <w:top w:val="single" w:sz="4" w:space="0" w:color="DDEBF7"/>
              <w:left w:val="nil"/>
              <w:bottom w:val="single" w:sz="4" w:space="0" w:color="DDEBF7"/>
              <w:right w:val="nil"/>
            </w:tcBorders>
            <w:shd w:val="clear" w:color="auto" w:fill="auto"/>
            <w:hideMark/>
          </w:tcPr>
          <w:p w14:paraId="5AAB91FB"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Socio-demographic composition </w:t>
            </w:r>
          </w:p>
        </w:tc>
        <w:tc>
          <w:tcPr>
            <w:tcW w:w="3922" w:type="dxa"/>
            <w:tcBorders>
              <w:top w:val="single" w:sz="4" w:space="0" w:color="DDEBF7"/>
              <w:left w:val="nil"/>
              <w:bottom w:val="single" w:sz="4" w:space="0" w:color="DDEBF7"/>
              <w:right w:val="nil"/>
            </w:tcBorders>
            <w:shd w:val="clear" w:color="auto" w:fill="auto"/>
            <w:hideMark/>
          </w:tcPr>
          <w:p w14:paraId="030C4286" w14:textId="367D2BC6"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that the use and cost of services varies by age, socio-economic status, remoteness, and Indigenous status</w:t>
            </w:r>
            <w:r w:rsidR="00F20A73">
              <w:rPr>
                <w:rFonts w:eastAsia="Times New Roman" w:cs="Open Sans Light"/>
                <w:color w:val="000000"/>
                <w:sz w:val="16"/>
                <w:szCs w:val="16"/>
                <w:lang w:eastAsia="en-AU"/>
              </w:rPr>
              <w:t>.</w:t>
            </w:r>
          </w:p>
        </w:tc>
        <w:tc>
          <w:tcPr>
            <w:tcW w:w="258" w:type="dxa"/>
            <w:tcBorders>
              <w:top w:val="single" w:sz="4" w:space="0" w:color="DDEBF7"/>
              <w:left w:val="nil"/>
              <w:bottom w:val="single" w:sz="4" w:space="0" w:color="DDEBF7"/>
              <w:right w:val="nil"/>
            </w:tcBorders>
            <w:shd w:val="clear" w:color="auto" w:fill="auto"/>
            <w:hideMark/>
          </w:tcPr>
          <w:p w14:paraId="0860B738"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single" w:sz="4" w:space="0" w:color="DDEBF7"/>
              <w:left w:val="nil"/>
              <w:bottom w:val="single" w:sz="4" w:space="0" w:color="DDEBF7"/>
              <w:right w:val="nil"/>
            </w:tcBorders>
            <w:shd w:val="clear" w:color="auto" w:fill="auto"/>
            <w:hideMark/>
          </w:tcPr>
          <w:p w14:paraId="01619D17"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C35EA0" w:rsidRPr="00C35EA0" w14:paraId="2C08CE82" w14:textId="77777777" w:rsidTr="009745D4">
        <w:trPr>
          <w:trHeight w:val="451"/>
        </w:trPr>
        <w:tc>
          <w:tcPr>
            <w:tcW w:w="1452" w:type="dxa"/>
            <w:tcBorders>
              <w:top w:val="nil"/>
              <w:left w:val="nil"/>
              <w:bottom w:val="nil"/>
              <w:right w:val="nil"/>
            </w:tcBorders>
            <w:shd w:val="clear" w:color="auto" w:fill="auto"/>
            <w:hideMark/>
          </w:tcPr>
          <w:p w14:paraId="20A4A518"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auto" w:fill="auto"/>
            <w:hideMark/>
          </w:tcPr>
          <w:p w14:paraId="675E502B" w14:textId="77777777" w:rsidR="00C35EA0" w:rsidRPr="00C35EA0" w:rsidRDefault="00C35EA0" w:rsidP="009745D4">
            <w:pPr>
              <w:keepNext/>
              <w:tabs>
                <w:tab w:val="clear" w:pos="567"/>
              </w:tabs>
              <w:spacing w:before="0" w:line="240" w:lineRule="auto"/>
              <w:rPr>
                <w:rFonts w:ascii="Arial" w:eastAsia="Times New Roman" w:hAnsi="Arial" w:cs="Arial"/>
                <w:color w:val="000000"/>
                <w:sz w:val="16"/>
                <w:szCs w:val="16"/>
                <w:lang w:eastAsia="en-AU"/>
              </w:rPr>
            </w:pPr>
            <w:r w:rsidRPr="00C35EA0">
              <w:rPr>
                <w:rFonts w:ascii="Arial" w:eastAsia="Times New Roman" w:hAnsi="Arial" w:cs="Arial"/>
                <w:color w:val="000000"/>
                <w:sz w:val="16"/>
                <w:szCs w:val="16"/>
                <w:lang w:eastAsia="en-AU"/>
              </w:rPr>
              <w:t> </w:t>
            </w: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28367011"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Non-state sector (a)</w:t>
            </w:r>
          </w:p>
        </w:tc>
        <w:tc>
          <w:tcPr>
            <w:tcW w:w="3922" w:type="dxa"/>
            <w:tcBorders>
              <w:top w:val="nil"/>
              <w:left w:val="nil"/>
              <w:bottom w:val="single" w:sz="4" w:space="0" w:color="DDEBF7"/>
              <w:right w:val="nil"/>
            </w:tcBorders>
            <w:shd w:val="clear" w:color="auto" w:fill="auto"/>
            <w:hideMark/>
          </w:tcPr>
          <w:p w14:paraId="4B760BF9"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that non-state funded health services such as private health insurance funded hospital services affect state health spending.</w:t>
            </w:r>
          </w:p>
        </w:tc>
        <w:tc>
          <w:tcPr>
            <w:tcW w:w="258" w:type="dxa"/>
            <w:tcBorders>
              <w:top w:val="nil"/>
              <w:left w:val="nil"/>
              <w:bottom w:val="single" w:sz="4" w:space="0" w:color="DDEBF7"/>
              <w:right w:val="nil"/>
            </w:tcBorders>
            <w:shd w:val="clear" w:color="auto" w:fill="auto"/>
            <w:hideMark/>
          </w:tcPr>
          <w:p w14:paraId="0AB63A75"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0BED5CAB" w14:textId="032A0001" w:rsidR="00C35EA0" w:rsidRPr="00C35EA0" w:rsidRDefault="0015552F" w:rsidP="009745D4">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Yes</w:t>
            </w:r>
            <w:r w:rsidR="00E57C15">
              <w:rPr>
                <w:rFonts w:eastAsia="Times New Roman" w:cs="Open Sans Light"/>
                <w:color w:val="000000"/>
                <w:sz w:val="16"/>
                <w:szCs w:val="16"/>
                <w:lang w:eastAsia="en-AU"/>
              </w:rPr>
              <w:t>. Change to indicator</w:t>
            </w:r>
          </w:p>
        </w:tc>
      </w:tr>
      <w:tr w:rsidR="00C35EA0" w:rsidRPr="00C35EA0" w14:paraId="507787A7" w14:textId="77777777" w:rsidTr="009745D4">
        <w:trPr>
          <w:trHeight w:val="255"/>
        </w:trPr>
        <w:tc>
          <w:tcPr>
            <w:tcW w:w="1452" w:type="dxa"/>
            <w:tcBorders>
              <w:top w:val="nil"/>
              <w:left w:val="nil"/>
              <w:bottom w:val="single" w:sz="4" w:space="0" w:color="DDEBF7"/>
              <w:right w:val="nil"/>
            </w:tcBorders>
            <w:shd w:val="clear" w:color="auto" w:fill="auto"/>
            <w:hideMark/>
          </w:tcPr>
          <w:p w14:paraId="68E72884"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290" w:type="dxa"/>
            <w:tcBorders>
              <w:top w:val="nil"/>
              <w:left w:val="nil"/>
              <w:bottom w:val="single" w:sz="4" w:space="0" w:color="DDEBF7"/>
              <w:right w:val="nil"/>
            </w:tcBorders>
            <w:shd w:val="clear" w:color="auto" w:fill="auto"/>
            <w:hideMark/>
          </w:tcPr>
          <w:p w14:paraId="070A4140"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2F75D9F1"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Wage costs </w:t>
            </w:r>
          </w:p>
        </w:tc>
        <w:tc>
          <w:tcPr>
            <w:tcW w:w="3922" w:type="dxa"/>
            <w:tcBorders>
              <w:top w:val="nil"/>
              <w:left w:val="nil"/>
              <w:bottom w:val="single" w:sz="4" w:space="0" w:color="DDEBF7"/>
              <w:right w:val="nil"/>
            </w:tcBorders>
            <w:shd w:val="clear" w:color="auto" w:fill="auto"/>
            <w:hideMark/>
          </w:tcPr>
          <w:p w14:paraId="5736B409" w14:textId="757F3296"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xml:space="preserve">Recognises differences in wage costs </w:t>
            </w:r>
            <w:r w:rsidR="008B6C5A">
              <w:rPr>
                <w:rFonts w:eastAsia="Times New Roman" w:cs="Open Sans Light"/>
                <w:color w:val="000000"/>
                <w:sz w:val="16"/>
                <w:szCs w:val="16"/>
                <w:lang w:eastAsia="en-AU"/>
              </w:rPr>
              <w:t>between</w:t>
            </w:r>
            <w:r w:rsidR="0037778A">
              <w:rPr>
                <w:rFonts w:eastAsia="Times New Roman" w:cs="Open Sans Light"/>
                <w:color w:val="000000"/>
                <w:sz w:val="16"/>
                <w:szCs w:val="16"/>
                <w:lang w:eastAsia="en-AU"/>
              </w:rPr>
              <w:t xml:space="preserve"> </w:t>
            </w:r>
            <w:r w:rsidRPr="00C35EA0">
              <w:rPr>
                <w:rFonts w:eastAsia="Times New Roman" w:cs="Open Sans Light"/>
                <w:color w:val="000000"/>
                <w:sz w:val="16"/>
                <w:szCs w:val="16"/>
                <w:lang w:eastAsia="en-AU"/>
              </w:rPr>
              <w:t>states. </w:t>
            </w:r>
          </w:p>
        </w:tc>
        <w:tc>
          <w:tcPr>
            <w:tcW w:w="258" w:type="dxa"/>
            <w:tcBorders>
              <w:top w:val="nil"/>
              <w:left w:val="nil"/>
              <w:bottom w:val="single" w:sz="4" w:space="0" w:color="DDEBF7"/>
              <w:right w:val="nil"/>
            </w:tcBorders>
            <w:shd w:val="clear" w:color="auto" w:fill="auto"/>
            <w:hideMark/>
          </w:tcPr>
          <w:p w14:paraId="68A5B407"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37F86CED"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C35EA0" w:rsidRPr="00C35EA0" w14:paraId="39500CDB" w14:textId="77777777" w:rsidTr="009745D4">
        <w:trPr>
          <w:trHeight w:val="510"/>
        </w:trPr>
        <w:tc>
          <w:tcPr>
            <w:tcW w:w="1452" w:type="dxa"/>
            <w:tcBorders>
              <w:top w:val="nil"/>
              <w:left w:val="nil"/>
              <w:bottom w:val="single" w:sz="4" w:space="0" w:color="DDEBF7"/>
              <w:right w:val="nil"/>
            </w:tcBorders>
            <w:shd w:val="clear" w:color="auto" w:fill="auto"/>
            <w:hideMark/>
          </w:tcPr>
          <w:p w14:paraId="149BFD6B"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Emergency departments </w:t>
            </w:r>
          </w:p>
        </w:tc>
        <w:tc>
          <w:tcPr>
            <w:tcW w:w="290" w:type="dxa"/>
            <w:tcBorders>
              <w:top w:val="nil"/>
              <w:left w:val="nil"/>
              <w:bottom w:val="single" w:sz="4" w:space="0" w:color="DDEBF7"/>
              <w:right w:val="nil"/>
            </w:tcBorders>
            <w:shd w:val="clear" w:color="auto" w:fill="auto"/>
            <w:hideMark/>
          </w:tcPr>
          <w:p w14:paraId="3F55ACFD" w14:textId="77777777" w:rsidR="00C35EA0" w:rsidRPr="00C35EA0" w:rsidRDefault="00C35EA0" w:rsidP="009745D4">
            <w:pPr>
              <w:keepNext/>
              <w:tabs>
                <w:tab w:val="clear" w:pos="567"/>
              </w:tabs>
              <w:spacing w:before="0" w:line="240" w:lineRule="auto"/>
              <w:rPr>
                <w:rFonts w:ascii="Arial" w:eastAsia="Times New Roman" w:hAnsi="Arial" w:cs="Arial"/>
                <w:color w:val="000000"/>
                <w:sz w:val="16"/>
                <w:szCs w:val="16"/>
                <w:lang w:eastAsia="en-AU"/>
              </w:rPr>
            </w:pPr>
            <w:r w:rsidRPr="00C35EA0">
              <w:rPr>
                <w:rFonts w:ascii="Arial" w:eastAsia="Times New Roman" w:hAnsi="Arial" w:cs="Arial"/>
                <w:color w:val="000000"/>
                <w:sz w:val="16"/>
                <w:szCs w:val="16"/>
                <w:lang w:eastAsia="en-AU"/>
              </w:rPr>
              <w:t> </w:t>
            </w: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54DA4BD0"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Socio-demographic composition </w:t>
            </w:r>
          </w:p>
        </w:tc>
        <w:tc>
          <w:tcPr>
            <w:tcW w:w="3922" w:type="dxa"/>
            <w:tcBorders>
              <w:top w:val="nil"/>
              <w:left w:val="nil"/>
              <w:bottom w:val="single" w:sz="4" w:space="0" w:color="DDEBF7"/>
              <w:right w:val="nil"/>
            </w:tcBorders>
            <w:shd w:val="clear" w:color="auto" w:fill="auto"/>
            <w:hideMark/>
          </w:tcPr>
          <w:p w14:paraId="559B4599" w14:textId="7303C90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that the use and cost of services varies by age, socio-economic status, remoteness, and Indigenous status</w:t>
            </w:r>
            <w:r w:rsidR="002E71B7">
              <w:rPr>
                <w:rFonts w:eastAsia="Times New Roman" w:cs="Open Sans Light"/>
                <w:color w:val="000000"/>
                <w:sz w:val="16"/>
                <w:szCs w:val="16"/>
                <w:lang w:eastAsia="en-AU"/>
              </w:rPr>
              <w:t>.</w:t>
            </w:r>
          </w:p>
        </w:tc>
        <w:tc>
          <w:tcPr>
            <w:tcW w:w="258" w:type="dxa"/>
            <w:tcBorders>
              <w:top w:val="nil"/>
              <w:left w:val="nil"/>
              <w:bottom w:val="single" w:sz="4" w:space="0" w:color="DDEBF7"/>
              <w:right w:val="nil"/>
            </w:tcBorders>
            <w:shd w:val="clear" w:color="auto" w:fill="auto"/>
            <w:hideMark/>
          </w:tcPr>
          <w:p w14:paraId="40C9F305"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1E7CEAFF"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C35EA0" w:rsidRPr="00C35EA0" w14:paraId="0C9DAE2F" w14:textId="77777777" w:rsidTr="009745D4">
        <w:trPr>
          <w:trHeight w:val="510"/>
        </w:trPr>
        <w:tc>
          <w:tcPr>
            <w:tcW w:w="1452" w:type="dxa"/>
            <w:tcBorders>
              <w:top w:val="nil"/>
              <w:left w:val="nil"/>
              <w:bottom w:val="single" w:sz="4" w:space="0" w:color="DDEBF7"/>
              <w:right w:val="nil"/>
            </w:tcBorders>
            <w:shd w:val="clear" w:color="auto" w:fill="auto"/>
            <w:hideMark/>
          </w:tcPr>
          <w:p w14:paraId="4F0A0DB1"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290" w:type="dxa"/>
            <w:tcBorders>
              <w:top w:val="nil"/>
              <w:left w:val="nil"/>
              <w:bottom w:val="single" w:sz="4" w:space="0" w:color="DDEBF7"/>
              <w:right w:val="nil"/>
            </w:tcBorders>
            <w:shd w:val="clear" w:color="auto" w:fill="auto"/>
            <w:hideMark/>
          </w:tcPr>
          <w:p w14:paraId="4FBC1ADD" w14:textId="77777777" w:rsidR="00C35EA0" w:rsidRPr="00C35EA0" w:rsidRDefault="00C35EA0" w:rsidP="009745D4">
            <w:pPr>
              <w:keepNext/>
              <w:tabs>
                <w:tab w:val="clear" w:pos="567"/>
              </w:tabs>
              <w:spacing w:before="0" w:line="240" w:lineRule="auto"/>
              <w:rPr>
                <w:rFonts w:ascii="Arial" w:eastAsia="Times New Roman" w:hAnsi="Arial" w:cs="Arial"/>
                <w:color w:val="000000"/>
                <w:sz w:val="16"/>
                <w:szCs w:val="16"/>
                <w:lang w:eastAsia="en-AU"/>
              </w:rPr>
            </w:pPr>
            <w:r w:rsidRPr="00C35EA0">
              <w:rPr>
                <w:rFonts w:ascii="Arial" w:eastAsia="Times New Roman" w:hAnsi="Arial" w:cs="Arial"/>
                <w:color w:val="000000"/>
                <w:sz w:val="16"/>
                <w:szCs w:val="16"/>
                <w:lang w:eastAsia="en-AU"/>
              </w:rPr>
              <w:t> </w:t>
            </w: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7E5F68C6" w14:textId="0BEFE66F"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Non-state sector</w:t>
            </w:r>
            <w:r w:rsidR="002D35C0">
              <w:rPr>
                <w:rFonts w:eastAsia="Times New Roman" w:cs="Open Sans Light"/>
                <w:color w:val="000000"/>
                <w:sz w:val="16"/>
                <w:szCs w:val="16"/>
                <w:lang w:eastAsia="en-AU"/>
              </w:rPr>
              <w:t xml:space="preserve"> (b)</w:t>
            </w:r>
          </w:p>
        </w:tc>
        <w:tc>
          <w:tcPr>
            <w:tcW w:w="3922" w:type="dxa"/>
            <w:tcBorders>
              <w:top w:val="nil"/>
              <w:left w:val="nil"/>
              <w:bottom w:val="single" w:sz="4" w:space="0" w:color="DDEBF7"/>
              <w:right w:val="nil"/>
            </w:tcBorders>
            <w:shd w:val="clear" w:color="auto" w:fill="auto"/>
            <w:hideMark/>
          </w:tcPr>
          <w:p w14:paraId="2D4361A0"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that non-state health services, such as general practitioners (GPs), affect state health spending.</w:t>
            </w:r>
          </w:p>
        </w:tc>
        <w:tc>
          <w:tcPr>
            <w:tcW w:w="258" w:type="dxa"/>
            <w:tcBorders>
              <w:top w:val="nil"/>
              <w:left w:val="nil"/>
              <w:bottom w:val="single" w:sz="4" w:space="0" w:color="DDEBF7"/>
              <w:right w:val="nil"/>
            </w:tcBorders>
            <w:shd w:val="clear" w:color="auto" w:fill="auto"/>
            <w:hideMark/>
          </w:tcPr>
          <w:p w14:paraId="0D050DF8"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15F5AA94" w14:textId="3221BB50" w:rsidR="00C35EA0" w:rsidRPr="00C35EA0" w:rsidRDefault="00722986" w:rsidP="009745D4">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C35EA0" w:rsidRPr="00C35EA0" w14:paraId="642F5243" w14:textId="77777777" w:rsidTr="009745D4">
        <w:trPr>
          <w:trHeight w:val="255"/>
        </w:trPr>
        <w:tc>
          <w:tcPr>
            <w:tcW w:w="1452" w:type="dxa"/>
            <w:tcBorders>
              <w:top w:val="nil"/>
              <w:left w:val="nil"/>
              <w:bottom w:val="single" w:sz="4" w:space="0" w:color="DDEBF7"/>
              <w:right w:val="nil"/>
            </w:tcBorders>
            <w:shd w:val="clear" w:color="auto" w:fill="auto"/>
            <w:hideMark/>
          </w:tcPr>
          <w:p w14:paraId="18300051"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290" w:type="dxa"/>
            <w:tcBorders>
              <w:top w:val="nil"/>
              <w:left w:val="nil"/>
              <w:bottom w:val="single" w:sz="4" w:space="0" w:color="DDEBF7"/>
              <w:right w:val="nil"/>
            </w:tcBorders>
            <w:shd w:val="clear" w:color="auto" w:fill="auto"/>
            <w:hideMark/>
          </w:tcPr>
          <w:p w14:paraId="0488E298"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1269996B"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Wage costs </w:t>
            </w:r>
          </w:p>
        </w:tc>
        <w:tc>
          <w:tcPr>
            <w:tcW w:w="3922" w:type="dxa"/>
            <w:tcBorders>
              <w:top w:val="nil"/>
              <w:left w:val="nil"/>
              <w:bottom w:val="single" w:sz="4" w:space="0" w:color="DDEBF7"/>
              <w:right w:val="nil"/>
            </w:tcBorders>
            <w:shd w:val="clear" w:color="auto" w:fill="auto"/>
            <w:hideMark/>
          </w:tcPr>
          <w:p w14:paraId="782F5A2F" w14:textId="03DAF43C"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xml:space="preserve">Recognises differences in wage costs </w:t>
            </w:r>
            <w:r w:rsidR="008B6C5A">
              <w:rPr>
                <w:rFonts w:eastAsia="Times New Roman" w:cs="Open Sans Light"/>
                <w:color w:val="000000"/>
                <w:sz w:val="16"/>
                <w:szCs w:val="16"/>
                <w:lang w:eastAsia="en-AU"/>
              </w:rPr>
              <w:t>between</w:t>
            </w:r>
            <w:r w:rsidR="00AA10DA">
              <w:rPr>
                <w:rFonts w:eastAsia="Times New Roman" w:cs="Open Sans Light"/>
                <w:color w:val="000000"/>
                <w:sz w:val="16"/>
                <w:szCs w:val="16"/>
                <w:lang w:eastAsia="en-AU"/>
              </w:rPr>
              <w:t xml:space="preserve"> </w:t>
            </w:r>
            <w:r w:rsidR="00AA10DA" w:rsidRPr="00C35EA0">
              <w:rPr>
                <w:rFonts w:eastAsia="Times New Roman" w:cs="Open Sans Light"/>
                <w:color w:val="000000"/>
                <w:sz w:val="16"/>
                <w:szCs w:val="16"/>
                <w:lang w:eastAsia="en-AU"/>
              </w:rPr>
              <w:t>states.</w:t>
            </w:r>
            <w:r w:rsidRPr="00C35EA0">
              <w:rPr>
                <w:rFonts w:eastAsia="Times New Roman" w:cs="Open Sans Light"/>
                <w:color w:val="000000"/>
                <w:sz w:val="16"/>
                <w:szCs w:val="16"/>
                <w:lang w:eastAsia="en-AU"/>
              </w:rPr>
              <w:t> </w:t>
            </w:r>
          </w:p>
        </w:tc>
        <w:tc>
          <w:tcPr>
            <w:tcW w:w="258" w:type="dxa"/>
            <w:tcBorders>
              <w:top w:val="nil"/>
              <w:left w:val="nil"/>
              <w:bottom w:val="single" w:sz="4" w:space="0" w:color="DDEBF7"/>
              <w:right w:val="nil"/>
            </w:tcBorders>
            <w:shd w:val="clear" w:color="auto" w:fill="auto"/>
            <w:hideMark/>
          </w:tcPr>
          <w:p w14:paraId="4BA3C5BE"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64E5EFD9"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C35EA0" w:rsidRPr="00C35EA0" w14:paraId="0FC62A12" w14:textId="77777777" w:rsidTr="009745D4">
        <w:trPr>
          <w:trHeight w:val="642"/>
        </w:trPr>
        <w:tc>
          <w:tcPr>
            <w:tcW w:w="1452" w:type="dxa"/>
            <w:tcBorders>
              <w:top w:val="nil"/>
              <w:left w:val="nil"/>
              <w:bottom w:val="nil"/>
              <w:right w:val="nil"/>
            </w:tcBorders>
            <w:shd w:val="clear" w:color="auto" w:fill="auto"/>
            <w:hideMark/>
          </w:tcPr>
          <w:p w14:paraId="0673CCE7"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Non-admitted patients </w:t>
            </w:r>
          </w:p>
        </w:tc>
        <w:tc>
          <w:tcPr>
            <w:tcW w:w="290" w:type="dxa"/>
            <w:tcBorders>
              <w:top w:val="nil"/>
              <w:left w:val="nil"/>
              <w:bottom w:val="single" w:sz="4" w:space="0" w:color="DDEBF7"/>
              <w:right w:val="nil"/>
            </w:tcBorders>
            <w:shd w:val="clear" w:color="auto" w:fill="auto"/>
            <w:hideMark/>
          </w:tcPr>
          <w:p w14:paraId="2388775C" w14:textId="77777777" w:rsidR="00C35EA0" w:rsidRPr="00C35EA0" w:rsidRDefault="00C35EA0" w:rsidP="009745D4">
            <w:pPr>
              <w:keepNext/>
              <w:tabs>
                <w:tab w:val="clear" w:pos="567"/>
              </w:tabs>
              <w:spacing w:before="0" w:line="240" w:lineRule="auto"/>
              <w:rPr>
                <w:rFonts w:ascii="Arial" w:eastAsia="Times New Roman" w:hAnsi="Arial" w:cs="Arial"/>
                <w:color w:val="000000"/>
                <w:sz w:val="16"/>
                <w:szCs w:val="16"/>
                <w:lang w:eastAsia="en-AU"/>
              </w:rPr>
            </w:pPr>
            <w:r w:rsidRPr="00C35EA0">
              <w:rPr>
                <w:rFonts w:ascii="Arial" w:eastAsia="Times New Roman" w:hAnsi="Arial" w:cs="Arial"/>
                <w:color w:val="000000"/>
                <w:sz w:val="16"/>
                <w:szCs w:val="16"/>
                <w:lang w:eastAsia="en-AU"/>
              </w:rPr>
              <w:t> </w:t>
            </w: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4557DC2A"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Socio-demographic composition </w:t>
            </w:r>
          </w:p>
        </w:tc>
        <w:tc>
          <w:tcPr>
            <w:tcW w:w="3922" w:type="dxa"/>
            <w:tcBorders>
              <w:top w:val="nil"/>
              <w:left w:val="nil"/>
              <w:bottom w:val="single" w:sz="4" w:space="0" w:color="DDEBF7"/>
              <w:right w:val="nil"/>
            </w:tcBorders>
            <w:shd w:val="clear" w:color="auto" w:fill="auto"/>
            <w:hideMark/>
          </w:tcPr>
          <w:p w14:paraId="56A605A2"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that the use and cost of services varies by age, socio-economic status, remoteness, and Indigenous status. </w:t>
            </w:r>
          </w:p>
        </w:tc>
        <w:tc>
          <w:tcPr>
            <w:tcW w:w="258" w:type="dxa"/>
            <w:tcBorders>
              <w:top w:val="nil"/>
              <w:left w:val="nil"/>
              <w:bottom w:val="single" w:sz="4" w:space="0" w:color="DDEBF7"/>
              <w:right w:val="nil"/>
            </w:tcBorders>
            <w:shd w:val="clear" w:color="auto" w:fill="auto"/>
            <w:hideMark/>
          </w:tcPr>
          <w:p w14:paraId="3A32F18B"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4F69253B"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C35EA0" w:rsidRPr="00C35EA0" w14:paraId="2122D73A" w14:textId="77777777" w:rsidTr="009745D4">
        <w:trPr>
          <w:trHeight w:val="679"/>
        </w:trPr>
        <w:tc>
          <w:tcPr>
            <w:tcW w:w="1452" w:type="dxa"/>
            <w:tcBorders>
              <w:top w:val="nil"/>
              <w:left w:val="nil"/>
              <w:bottom w:val="nil"/>
              <w:right w:val="nil"/>
            </w:tcBorders>
            <w:shd w:val="clear" w:color="auto" w:fill="auto"/>
            <w:hideMark/>
          </w:tcPr>
          <w:p w14:paraId="40489BA7"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auto" w:fill="auto"/>
            <w:hideMark/>
          </w:tcPr>
          <w:p w14:paraId="3C882877"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4E852C0E"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Non-state sector</w:t>
            </w:r>
          </w:p>
        </w:tc>
        <w:tc>
          <w:tcPr>
            <w:tcW w:w="3922" w:type="dxa"/>
            <w:tcBorders>
              <w:top w:val="nil"/>
              <w:left w:val="nil"/>
              <w:bottom w:val="single" w:sz="4" w:space="0" w:color="DDEBF7"/>
              <w:right w:val="nil"/>
            </w:tcBorders>
            <w:shd w:val="clear" w:color="auto" w:fill="auto"/>
            <w:hideMark/>
          </w:tcPr>
          <w:p w14:paraId="65F7F238"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that non-state health services, such as specialists and private health professionals affect state health spending.</w:t>
            </w:r>
          </w:p>
        </w:tc>
        <w:tc>
          <w:tcPr>
            <w:tcW w:w="258" w:type="dxa"/>
            <w:tcBorders>
              <w:top w:val="nil"/>
              <w:left w:val="nil"/>
              <w:bottom w:val="single" w:sz="4" w:space="0" w:color="DDEBF7"/>
              <w:right w:val="nil"/>
            </w:tcBorders>
            <w:shd w:val="clear" w:color="auto" w:fill="auto"/>
            <w:hideMark/>
          </w:tcPr>
          <w:p w14:paraId="74144614"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48D15125"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234EC5">
              <w:rPr>
                <w:rFonts w:eastAsia="Times New Roman" w:cs="Open Sans Light"/>
                <w:color w:val="000000"/>
                <w:sz w:val="16"/>
                <w:szCs w:val="16"/>
                <w:lang w:eastAsia="en-AU"/>
              </w:rPr>
              <w:t>No</w:t>
            </w:r>
          </w:p>
        </w:tc>
      </w:tr>
      <w:tr w:rsidR="00C35EA0" w:rsidRPr="00C35EA0" w14:paraId="56BA3A50" w14:textId="77777777" w:rsidTr="009745D4">
        <w:trPr>
          <w:trHeight w:val="255"/>
        </w:trPr>
        <w:tc>
          <w:tcPr>
            <w:tcW w:w="1452" w:type="dxa"/>
            <w:tcBorders>
              <w:top w:val="nil"/>
              <w:left w:val="nil"/>
              <w:bottom w:val="single" w:sz="4" w:space="0" w:color="DDEBF7"/>
              <w:right w:val="nil"/>
            </w:tcBorders>
            <w:shd w:val="clear" w:color="auto" w:fill="auto"/>
            <w:hideMark/>
          </w:tcPr>
          <w:p w14:paraId="50A79D4B"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290" w:type="dxa"/>
            <w:tcBorders>
              <w:top w:val="nil"/>
              <w:left w:val="nil"/>
              <w:bottom w:val="single" w:sz="4" w:space="0" w:color="DDEBF7"/>
              <w:right w:val="nil"/>
            </w:tcBorders>
            <w:shd w:val="clear" w:color="auto" w:fill="auto"/>
            <w:hideMark/>
          </w:tcPr>
          <w:p w14:paraId="494A1C30"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3B284464"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Wage costs </w:t>
            </w:r>
          </w:p>
        </w:tc>
        <w:tc>
          <w:tcPr>
            <w:tcW w:w="3922" w:type="dxa"/>
            <w:tcBorders>
              <w:top w:val="nil"/>
              <w:left w:val="nil"/>
              <w:bottom w:val="single" w:sz="4" w:space="0" w:color="DDEBF7"/>
              <w:right w:val="nil"/>
            </w:tcBorders>
            <w:shd w:val="clear" w:color="auto" w:fill="auto"/>
            <w:hideMark/>
          </w:tcPr>
          <w:p w14:paraId="12D479D6" w14:textId="42D9EFDA"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xml:space="preserve">Recognises differences in wage costs </w:t>
            </w:r>
            <w:r w:rsidR="008B6C5A">
              <w:rPr>
                <w:rFonts w:eastAsia="Times New Roman" w:cs="Open Sans Light"/>
                <w:color w:val="000000"/>
                <w:sz w:val="16"/>
                <w:szCs w:val="16"/>
                <w:lang w:eastAsia="en-AU"/>
              </w:rPr>
              <w:t>between</w:t>
            </w:r>
            <w:r w:rsidR="00AA10DA">
              <w:rPr>
                <w:rFonts w:eastAsia="Times New Roman" w:cs="Open Sans Light"/>
                <w:color w:val="000000"/>
                <w:sz w:val="16"/>
                <w:szCs w:val="16"/>
                <w:lang w:eastAsia="en-AU"/>
              </w:rPr>
              <w:t xml:space="preserve"> </w:t>
            </w:r>
            <w:r w:rsidR="00AA10DA" w:rsidRPr="00C35EA0">
              <w:rPr>
                <w:rFonts w:eastAsia="Times New Roman" w:cs="Open Sans Light"/>
                <w:color w:val="000000"/>
                <w:sz w:val="16"/>
                <w:szCs w:val="16"/>
                <w:lang w:eastAsia="en-AU"/>
              </w:rPr>
              <w:t>states. </w:t>
            </w:r>
          </w:p>
        </w:tc>
        <w:tc>
          <w:tcPr>
            <w:tcW w:w="258" w:type="dxa"/>
            <w:tcBorders>
              <w:top w:val="nil"/>
              <w:left w:val="nil"/>
              <w:bottom w:val="single" w:sz="4" w:space="0" w:color="DDEBF7"/>
              <w:right w:val="nil"/>
            </w:tcBorders>
            <w:shd w:val="clear" w:color="auto" w:fill="auto"/>
            <w:hideMark/>
          </w:tcPr>
          <w:p w14:paraId="7C52C17C"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0DD59B79"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C35EA0" w:rsidRPr="00C35EA0" w14:paraId="731B12F2" w14:textId="77777777" w:rsidTr="009745D4">
        <w:trPr>
          <w:trHeight w:val="694"/>
        </w:trPr>
        <w:tc>
          <w:tcPr>
            <w:tcW w:w="1452" w:type="dxa"/>
            <w:tcBorders>
              <w:top w:val="nil"/>
              <w:left w:val="nil"/>
              <w:bottom w:val="nil"/>
              <w:right w:val="nil"/>
            </w:tcBorders>
            <w:shd w:val="clear" w:color="auto" w:fill="auto"/>
            <w:hideMark/>
          </w:tcPr>
          <w:p w14:paraId="415BE23C" w14:textId="16CEDDE5"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xml:space="preserve">Community and public health </w:t>
            </w:r>
          </w:p>
        </w:tc>
        <w:tc>
          <w:tcPr>
            <w:tcW w:w="290" w:type="dxa"/>
            <w:tcBorders>
              <w:top w:val="nil"/>
              <w:left w:val="nil"/>
              <w:bottom w:val="single" w:sz="4" w:space="0" w:color="DDEBF7"/>
              <w:right w:val="nil"/>
            </w:tcBorders>
            <w:shd w:val="clear" w:color="auto" w:fill="auto"/>
            <w:hideMark/>
          </w:tcPr>
          <w:p w14:paraId="7D02E319"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72CF24F9" w14:textId="13AAA0A8" w:rsidR="00C35EA0" w:rsidRPr="00C35EA0" w:rsidRDefault="004F4EC9" w:rsidP="009745D4">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Ambulatory </w:t>
            </w:r>
            <w:r w:rsidR="00C35EA0" w:rsidRPr="00C35EA0">
              <w:rPr>
                <w:rFonts w:eastAsia="Times New Roman" w:cs="Open Sans Light"/>
                <w:color w:val="000000"/>
                <w:sz w:val="16"/>
                <w:szCs w:val="16"/>
                <w:lang w:eastAsia="en-AU"/>
              </w:rPr>
              <w:t>community mental health</w:t>
            </w:r>
            <w:r w:rsidR="006358D1">
              <w:rPr>
                <w:rFonts w:eastAsia="Times New Roman" w:cs="Open Sans Light"/>
                <w:color w:val="000000"/>
                <w:sz w:val="16"/>
                <w:szCs w:val="16"/>
                <w:lang w:eastAsia="en-AU"/>
              </w:rPr>
              <w:t xml:space="preserve"> services</w:t>
            </w:r>
            <w:r w:rsidR="002B07D9">
              <w:rPr>
                <w:rFonts w:eastAsia="Times New Roman" w:cs="Open Sans Light"/>
                <w:color w:val="000000"/>
                <w:sz w:val="16"/>
                <w:szCs w:val="16"/>
                <w:lang w:eastAsia="en-AU"/>
              </w:rPr>
              <w:t xml:space="preserve"> (c)</w:t>
            </w:r>
          </w:p>
        </w:tc>
        <w:tc>
          <w:tcPr>
            <w:tcW w:w="3922" w:type="dxa"/>
            <w:tcBorders>
              <w:top w:val="nil"/>
              <w:left w:val="nil"/>
              <w:bottom w:val="single" w:sz="4" w:space="0" w:color="DDEBF7"/>
              <w:right w:val="nil"/>
            </w:tcBorders>
            <w:shd w:val="clear" w:color="auto" w:fill="auto"/>
            <w:hideMark/>
          </w:tcPr>
          <w:p w14:paraId="0FCA5E12"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that the use and cost of services varies by age, socio-economic status, remoteness, and Indigenous status. </w:t>
            </w:r>
          </w:p>
        </w:tc>
        <w:tc>
          <w:tcPr>
            <w:tcW w:w="258" w:type="dxa"/>
            <w:tcBorders>
              <w:top w:val="nil"/>
              <w:left w:val="nil"/>
              <w:bottom w:val="single" w:sz="4" w:space="0" w:color="DDEBF7"/>
              <w:right w:val="nil"/>
            </w:tcBorders>
            <w:shd w:val="clear" w:color="auto" w:fill="auto"/>
            <w:hideMark/>
          </w:tcPr>
          <w:p w14:paraId="61878485"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26F3D40F"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Yes</w:t>
            </w:r>
          </w:p>
        </w:tc>
      </w:tr>
      <w:tr w:rsidR="004F4EC9" w:rsidRPr="00C35EA0" w14:paraId="46191AD3" w14:textId="77777777" w:rsidTr="009745D4">
        <w:trPr>
          <w:trHeight w:val="830"/>
        </w:trPr>
        <w:tc>
          <w:tcPr>
            <w:tcW w:w="1452" w:type="dxa"/>
            <w:tcBorders>
              <w:top w:val="nil"/>
              <w:left w:val="nil"/>
              <w:bottom w:val="nil"/>
              <w:right w:val="nil"/>
            </w:tcBorders>
            <w:shd w:val="clear" w:color="auto" w:fill="auto"/>
          </w:tcPr>
          <w:p w14:paraId="20ACBDB6" w14:textId="77777777" w:rsidR="004F4EC9" w:rsidRPr="00C35EA0" w:rsidRDefault="004F4EC9" w:rsidP="009745D4">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auto" w:fill="auto"/>
          </w:tcPr>
          <w:p w14:paraId="1DF6B4BA" w14:textId="77777777" w:rsidR="004F4EC9" w:rsidRPr="00C35EA0" w:rsidRDefault="004F4EC9" w:rsidP="009745D4">
            <w:pPr>
              <w:keepNext/>
              <w:tabs>
                <w:tab w:val="clear" w:pos="567"/>
              </w:tabs>
              <w:spacing w:before="0" w:line="240" w:lineRule="auto"/>
              <w:rPr>
                <w:rFonts w:eastAsia="Times New Roman" w:cs="Open Sans Light"/>
                <w:color w:val="000000"/>
                <w:sz w:val="16"/>
                <w:szCs w:val="16"/>
                <w:lang w:eastAsia="en-AU"/>
              </w:rPr>
            </w:pPr>
          </w:p>
        </w:tc>
        <w:tc>
          <w:tcPr>
            <w:tcW w:w="1763" w:type="dxa"/>
            <w:tcBorders>
              <w:top w:val="nil"/>
              <w:left w:val="nil"/>
              <w:bottom w:val="single" w:sz="4" w:space="0" w:color="DDEBF7"/>
              <w:right w:val="nil"/>
            </w:tcBorders>
            <w:shd w:val="clear" w:color="auto" w:fill="auto"/>
          </w:tcPr>
          <w:p w14:paraId="76A03768" w14:textId="244A7110" w:rsidR="00255B99" w:rsidRDefault="002B07D9" w:rsidP="009745D4">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Balance of</w:t>
            </w:r>
            <w:r w:rsidR="00340A79">
              <w:rPr>
                <w:rFonts w:eastAsia="Times New Roman" w:cs="Open Sans Light"/>
                <w:color w:val="000000"/>
                <w:sz w:val="16"/>
                <w:szCs w:val="16"/>
                <w:lang w:eastAsia="en-AU"/>
              </w:rPr>
              <w:t xml:space="preserve"> the component </w:t>
            </w:r>
            <w:r w:rsidR="00255B99">
              <w:rPr>
                <w:rFonts w:eastAsia="Times New Roman" w:cs="Open Sans Light"/>
                <w:color w:val="000000"/>
                <w:sz w:val="16"/>
                <w:szCs w:val="16"/>
                <w:lang w:eastAsia="en-AU"/>
              </w:rPr>
              <w:t>–</w:t>
            </w:r>
            <w:r w:rsidR="00340A79">
              <w:rPr>
                <w:rFonts w:eastAsia="Times New Roman" w:cs="Open Sans Light"/>
                <w:color w:val="000000"/>
                <w:sz w:val="16"/>
                <w:szCs w:val="16"/>
                <w:lang w:eastAsia="en-AU"/>
              </w:rPr>
              <w:t xml:space="preserve"> </w:t>
            </w:r>
          </w:p>
          <w:p w14:paraId="1C801399" w14:textId="37142762" w:rsidR="004F4EC9" w:rsidRPr="00C35EA0" w:rsidRDefault="001D78EB" w:rsidP="009745D4">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w:t>
            </w:r>
            <w:r w:rsidR="004F4EC9" w:rsidRPr="00C35EA0">
              <w:rPr>
                <w:rFonts w:eastAsia="Times New Roman" w:cs="Open Sans Light"/>
                <w:color w:val="000000"/>
                <w:sz w:val="16"/>
                <w:szCs w:val="16"/>
                <w:lang w:eastAsia="en-AU"/>
              </w:rPr>
              <w:t>ocio-demographic composition (</w:t>
            </w:r>
            <w:r w:rsidR="004F4EC9">
              <w:rPr>
                <w:rFonts w:eastAsia="Times New Roman" w:cs="Open Sans Light"/>
                <w:color w:val="000000"/>
                <w:sz w:val="16"/>
                <w:szCs w:val="16"/>
                <w:lang w:eastAsia="en-AU"/>
              </w:rPr>
              <w:t>c</w:t>
            </w:r>
            <w:r w:rsidR="004F4EC9" w:rsidRPr="00C35EA0">
              <w:rPr>
                <w:rFonts w:eastAsia="Times New Roman" w:cs="Open Sans Light"/>
                <w:color w:val="000000"/>
                <w:sz w:val="16"/>
                <w:szCs w:val="16"/>
                <w:lang w:eastAsia="en-AU"/>
              </w:rPr>
              <w:t>)</w:t>
            </w:r>
          </w:p>
        </w:tc>
        <w:tc>
          <w:tcPr>
            <w:tcW w:w="3922" w:type="dxa"/>
            <w:tcBorders>
              <w:top w:val="nil"/>
              <w:left w:val="nil"/>
              <w:bottom w:val="single" w:sz="4" w:space="0" w:color="DDEBF7"/>
              <w:right w:val="nil"/>
            </w:tcBorders>
            <w:shd w:val="clear" w:color="auto" w:fill="auto"/>
          </w:tcPr>
          <w:p w14:paraId="787C87C1" w14:textId="4311275A" w:rsidR="004F4EC9" w:rsidRPr="00C35EA0" w:rsidRDefault="004F4EC9"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that the use and cost of services varies by age, socio-economic status, remoteness, and Indigenous status. </w:t>
            </w:r>
          </w:p>
        </w:tc>
        <w:tc>
          <w:tcPr>
            <w:tcW w:w="258" w:type="dxa"/>
            <w:tcBorders>
              <w:top w:val="nil"/>
              <w:left w:val="nil"/>
              <w:bottom w:val="single" w:sz="4" w:space="0" w:color="DDEBF7"/>
              <w:right w:val="nil"/>
            </w:tcBorders>
            <w:shd w:val="clear" w:color="auto" w:fill="auto"/>
          </w:tcPr>
          <w:p w14:paraId="5C70F9A3" w14:textId="041F9133" w:rsidR="004F4EC9" w:rsidRPr="00C35EA0" w:rsidRDefault="004F4EC9"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tcPr>
          <w:p w14:paraId="7525CC3C" w14:textId="4A11FB69" w:rsidR="004F4EC9" w:rsidRPr="00C35EA0" w:rsidRDefault="004F4EC9"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Yes</w:t>
            </w:r>
          </w:p>
        </w:tc>
      </w:tr>
      <w:tr w:rsidR="00C35EA0" w:rsidRPr="00C35EA0" w14:paraId="38610A75" w14:textId="77777777" w:rsidTr="009745D4">
        <w:trPr>
          <w:trHeight w:val="510"/>
        </w:trPr>
        <w:tc>
          <w:tcPr>
            <w:tcW w:w="1452" w:type="dxa"/>
            <w:tcBorders>
              <w:top w:val="nil"/>
              <w:left w:val="nil"/>
              <w:bottom w:val="nil"/>
              <w:right w:val="nil"/>
            </w:tcBorders>
            <w:shd w:val="clear" w:color="auto" w:fill="auto"/>
            <w:hideMark/>
          </w:tcPr>
          <w:p w14:paraId="70B2C366"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auto" w:fill="auto"/>
            <w:hideMark/>
          </w:tcPr>
          <w:p w14:paraId="14FF1911"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19716224"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Non-state sector</w:t>
            </w:r>
          </w:p>
        </w:tc>
        <w:tc>
          <w:tcPr>
            <w:tcW w:w="3922" w:type="dxa"/>
            <w:tcBorders>
              <w:top w:val="nil"/>
              <w:left w:val="nil"/>
              <w:bottom w:val="single" w:sz="4" w:space="0" w:color="DDEBF7"/>
              <w:right w:val="nil"/>
            </w:tcBorders>
            <w:shd w:val="clear" w:color="auto" w:fill="auto"/>
            <w:hideMark/>
          </w:tcPr>
          <w:p w14:paraId="2DCEC510"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that non-state health services, such as general practitioners (GPs), affect state health spending.</w:t>
            </w:r>
          </w:p>
        </w:tc>
        <w:tc>
          <w:tcPr>
            <w:tcW w:w="258" w:type="dxa"/>
            <w:tcBorders>
              <w:top w:val="nil"/>
              <w:left w:val="nil"/>
              <w:bottom w:val="single" w:sz="4" w:space="0" w:color="DDEBF7"/>
              <w:right w:val="nil"/>
            </w:tcBorders>
            <w:shd w:val="clear" w:color="auto" w:fill="auto"/>
            <w:hideMark/>
          </w:tcPr>
          <w:p w14:paraId="706AC350"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4AD3BF5C"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C35EA0" w:rsidRPr="00C35EA0" w14:paraId="396308F7" w14:textId="77777777" w:rsidTr="009745D4">
        <w:trPr>
          <w:trHeight w:val="510"/>
        </w:trPr>
        <w:tc>
          <w:tcPr>
            <w:tcW w:w="1452" w:type="dxa"/>
            <w:tcBorders>
              <w:top w:val="nil"/>
              <w:left w:val="nil"/>
              <w:bottom w:val="nil"/>
              <w:right w:val="nil"/>
            </w:tcBorders>
            <w:shd w:val="clear" w:color="auto" w:fill="auto"/>
            <w:hideMark/>
          </w:tcPr>
          <w:p w14:paraId="7DDB02C4"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auto" w:fill="auto"/>
            <w:hideMark/>
          </w:tcPr>
          <w:p w14:paraId="5606185B"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42E13E57" w14:textId="710B729B" w:rsidR="00C35EA0" w:rsidRPr="00C35EA0" w:rsidRDefault="00E64F0B" w:rsidP="009745D4">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First Nations</w:t>
            </w:r>
            <w:r w:rsidR="00C35EA0" w:rsidRPr="00C35EA0">
              <w:rPr>
                <w:rFonts w:eastAsia="Times New Roman" w:cs="Open Sans Light"/>
                <w:color w:val="000000"/>
                <w:sz w:val="16"/>
                <w:szCs w:val="16"/>
                <w:lang w:eastAsia="en-AU"/>
              </w:rPr>
              <w:t xml:space="preserve"> grants adjustment</w:t>
            </w:r>
          </w:p>
        </w:tc>
        <w:tc>
          <w:tcPr>
            <w:tcW w:w="3922" w:type="dxa"/>
            <w:tcBorders>
              <w:top w:val="nil"/>
              <w:left w:val="nil"/>
              <w:bottom w:val="single" w:sz="4" w:space="0" w:color="DDEBF7"/>
              <w:right w:val="nil"/>
            </w:tcBorders>
            <w:shd w:val="clear" w:color="auto" w:fill="auto"/>
            <w:hideMark/>
          </w:tcPr>
          <w:p w14:paraId="56215CEE" w14:textId="73F2AEA3"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the impact of Commonwealth grants to Aboriginal Community Controlled Health Organisations</w:t>
            </w:r>
            <w:r w:rsidR="00001E30">
              <w:rPr>
                <w:rFonts w:eastAsia="Times New Roman" w:cs="Open Sans Light"/>
                <w:color w:val="000000"/>
                <w:sz w:val="16"/>
                <w:szCs w:val="16"/>
                <w:lang w:eastAsia="en-AU"/>
              </w:rPr>
              <w:t>.</w:t>
            </w:r>
          </w:p>
        </w:tc>
        <w:tc>
          <w:tcPr>
            <w:tcW w:w="258" w:type="dxa"/>
            <w:tcBorders>
              <w:top w:val="nil"/>
              <w:left w:val="nil"/>
              <w:bottom w:val="single" w:sz="4" w:space="0" w:color="DDEBF7"/>
              <w:right w:val="nil"/>
            </w:tcBorders>
            <w:shd w:val="clear" w:color="auto" w:fill="auto"/>
            <w:hideMark/>
          </w:tcPr>
          <w:p w14:paraId="58F701AF"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17086DA5"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C35EA0" w:rsidRPr="00C35EA0" w14:paraId="6E9FB091" w14:textId="77777777" w:rsidTr="009745D4">
        <w:trPr>
          <w:trHeight w:val="510"/>
        </w:trPr>
        <w:tc>
          <w:tcPr>
            <w:tcW w:w="1452" w:type="dxa"/>
            <w:tcBorders>
              <w:top w:val="nil"/>
              <w:left w:val="nil"/>
              <w:bottom w:val="nil"/>
              <w:right w:val="nil"/>
            </w:tcBorders>
            <w:shd w:val="clear" w:color="auto" w:fill="auto"/>
            <w:hideMark/>
          </w:tcPr>
          <w:p w14:paraId="275BC426"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p>
        </w:tc>
        <w:tc>
          <w:tcPr>
            <w:tcW w:w="290" w:type="dxa"/>
            <w:tcBorders>
              <w:top w:val="nil"/>
              <w:left w:val="nil"/>
              <w:bottom w:val="single" w:sz="4" w:space="0" w:color="DDEBF7"/>
              <w:right w:val="nil"/>
            </w:tcBorders>
            <w:shd w:val="clear" w:color="auto" w:fill="auto"/>
            <w:hideMark/>
          </w:tcPr>
          <w:p w14:paraId="0680A62C"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10739A96"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Cross-border</w:t>
            </w:r>
          </w:p>
        </w:tc>
        <w:tc>
          <w:tcPr>
            <w:tcW w:w="3922" w:type="dxa"/>
            <w:tcBorders>
              <w:top w:val="nil"/>
              <w:left w:val="nil"/>
              <w:bottom w:val="single" w:sz="4" w:space="0" w:color="DDEBF7"/>
              <w:right w:val="nil"/>
            </w:tcBorders>
            <w:shd w:val="clear" w:color="auto" w:fill="auto"/>
            <w:hideMark/>
          </w:tcPr>
          <w:p w14:paraId="3DFE3399" w14:textId="3C1E626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xml:space="preserve">Recognises the net cost that the ACT </w:t>
            </w:r>
            <w:r w:rsidR="000F2EF0">
              <w:rPr>
                <w:rFonts w:eastAsia="Times New Roman" w:cs="Open Sans Light"/>
                <w:color w:val="000000"/>
                <w:sz w:val="16"/>
                <w:szCs w:val="16"/>
                <w:lang w:eastAsia="en-AU"/>
              </w:rPr>
              <w:t>in</w:t>
            </w:r>
            <w:r w:rsidRPr="00C35EA0">
              <w:rPr>
                <w:rFonts w:eastAsia="Times New Roman" w:cs="Open Sans Light"/>
                <w:color w:val="000000"/>
                <w:sz w:val="16"/>
                <w:szCs w:val="16"/>
                <w:lang w:eastAsia="en-AU"/>
              </w:rPr>
              <w:t xml:space="preserve">curs in providing services to NSW residents. </w:t>
            </w:r>
          </w:p>
        </w:tc>
        <w:tc>
          <w:tcPr>
            <w:tcW w:w="258" w:type="dxa"/>
            <w:tcBorders>
              <w:top w:val="nil"/>
              <w:left w:val="nil"/>
              <w:bottom w:val="single" w:sz="4" w:space="0" w:color="DDEBF7"/>
              <w:right w:val="nil"/>
            </w:tcBorders>
            <w:shd w:val="clear" w:color="auto" w:fill="auto"/>
            <w:hideMark/>
          </w:tcPr>
          <w:p w14:paraId="5C0E5CE1"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2E0E1DF3"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C35EA0" w:rsidRPr="00C35EA0" w14:paraId="330B0171" w14:textId="77777777" w:rsidTr="009745D4">
        <w:trPr>
          <w:trHeight w:val="255"/>
        </w:trPr>
        <w:tc>
          <w:tcPr>
            <w:tcW w:w="1452" w:type="dxa"/>
            <w:tcBorders>
              <w:top w:val="nil"/>
              <w:left w:val="nil"/>
              <w:bottom w:val="single" w:sz="4" w:space="0" w:color="DDEBF7"/>
              <w:right w:val="nil"/>
            </w:tcBorders>
            <w:shd w:val="clear" w:color="auto" w:fill="auto"/>
            <w:hideMark/>
          </w:tcPr>
          <w:p w14:paraId="7F459AD7"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290" w:type="dxa"/>
            <w:tcBorders>
              <w:top w:val="nil"/>
              <w:left w:val="nil"/>
              <w:bottom w:val="single" w:sz="4" w:space="0" w:color="DDEBF7"/>
              <w:right w:val="nil"/>
            </w:tcBorders>
            <w:shd w:val="clear" w:color="auto" w:fill="auto"/>
            <w:hideMark/>
          </w:tcPr>
          <w:p w14:paraId="2C52272A"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66B52FE0"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Wage costs </w:t>
            </w:r>
          </w:p>
        </w:tc>
        <w:tc>
          <w:tcPr>
            <w:tcW w:w="3922" w:type="dxa"/>
            <w:tcBorders>
              <w:top w:val="nil"/>
              <w:left w:val="nil"/>
              <w:bottom w:val="single" w:sz="4" w:space="0" w:color="DDEBF7"/>
              <w:right w:val="nil"/>
            </w:tcBorders>
            <w:shd w:val="clear" w:color="auto" w:fill="auto"/>
            <w:hideMark/>
          </w:tcPr>
          <w:p w14:paraId="4FFA985D"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differences in wage costs between states. </w:t>
            </w:r>
          </w:p>
        </w:tc>
        <w:tc>
          <w:tcPr>
            <w:tcW w:w="258" w:type="dxa"/>
            <w:tcBorders>
              <w:top w:val="nil"/>
              <w:left w:val="nil"/>
              <w:bottom w:val="single" w:sz="4" w:space="0" w:color="DDEBF7"/>
              <w:right w:val="nil"/>
            </w:tcBorders>
            <w:shd w:val="clear" w:color="auto" w:fill="auto"/>
            <w:hideMark/>
          </w:tcPr>
          <w:p w14:paraId="5BB40884"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24B79CE7"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C35EA0" w:rsidRPr="00C35EA0" w14:paraId="22D79B8A" w14:textId="77777777" w:rsidTr="009745D4">
        <w:trPr>
          <w:trHeight w:val="510"/>
        </w:trPr>
        <w:tc>
          <w:tcPr>
            <w:tcW w:w="1452" w:type="dxa"/>
            <w:tcBorders>
              <w:top w:val="nil"/>
              <w:left w:val="nil"/>
              <w:bottom w:val="single" w:sz="4" w:space="0" w:color="DDEBF7"/>
              <w:right w:val="nil"/>
            </w:tcBorders>
            <w:shd w:val="clear" w:color="auto" w:fill="auto"/>
            <w:hideMark/>
          </w:tcPr>
          <w:p w14:paraId="48431661"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Non-hospital patient transport</w:t>
            </w:r>
          </w:p>
        </w:tc>
        <w:tc>
          <w:tcPr>
            <w:tcW w:w="290" w:type="dxa"/>
            <w:tcBorders>
              <w:top w:val="nil"/>
              <w:left w:val="nil"/>
              <w:bottom w:val="single" w:sz="4" w:space="0" w:color="DDEBF7"/>
              <w:right w:val="nil"/>
            </w:tcBorders>
            <w:shd w:val="clear" w:color="auto" w:fill="auto"/>
            <w:hideMark/>
          </w:tcPr>
          <w:p w14:paraId="50BE6845"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33B30186"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Socio-demographic composition </w:t>
            </w:r>
          </w:p>
        </w:tc>
        <w:tc>
          <w:tcPr>
            <w:tcW w:w="3922" w:type="dxa"/>
            <w:tcBorders>
              <w:top w:val="nil"/>
              <w:left w:val="nil"/>
              <w:bottom w:val="single" w:sz="4" w:space="0" w:color="DDEBF7"/>
              <w:right w:val="nil"/>
            </w:tcBorders>
            <w:shd w:val="clear" w:color="auto" w:fill="auto"/>
            <w:hideMark/>
          </w:tcPr>
          <w:p w14:paraId="754E3F14"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that remoteness influences service use. </w:t>
            </w:r>
          </w:p>
        </w:tc>
        <w:tc>
          <w:tcPr>
            <w:tcW w:w="258" w:type="dxa"/>
            <w:tcBorders>
              <w:top w:val="nil"/>
              <w:left w:val="nil"/>
              <w:bottom w:val="single" w:sz="4" w:space="0" w:color="DDEBF7"/>
              <w:right w:val="nil"/>
            </w:tcBorders>
            <w:shd w:val="clear" w:color="auto" w:fill="auto"/>
            <w:hideMark/>
          </w:tcPr>
          <w:p w14:paraId="55D6D475"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2DA15F73"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C35EA0" w:rsidRPr="00C35EA0" w14:paraId="4A1BCC5E" w14:textId="77777777" w:rsidTr="009745D4">
        <w:trPr>
          <w:trHeight w:val="255"/>
        </w:trPr>
        <w:tc>
          <w:tcPr>
            <w:tcW w:w="1452" w:type="dxa"/>
            <w:tcBorders>
              <w:top w:val="nil"/>
              <w:left w:val="nil"/>
              <w:bottom w:val="single" w:sz="4" w:space="0" w:color="DDEBF7"/>
              <w:right w:val="nil"/>
            </w:tcBorders>
            <w:shd w:val="clear" w:color="auto" w:fill="auto"/>
            <w:hideMark/>
          </w:tcPr>
          <w:p w14:paraId="4476D207"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290" w:type="dxa"/>
            <w:tcBorders>
              <w:top w:val="nil"/>
              <w:left w:val="nil"/>
              <w:bottom w:val="single" w:sz="4" w:space="0" w:color="DDEBF7"/>
              <w:right w:val="nil"/>
            </w:tcBorders>
            <w:shd w:val="clear" w:color="auto" w:fill="auto"/>
            <w:hideMark/>
          </w:tcPr>
          <w:p w14:paraId="1D6428AB"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763" w:type="dxa"/>
            <w:tcBorders>
              <w:top w:val="nil"/>
              <w:left w:val="nil"/>
              <w:bottom w:val="single" w:sz="4" w:space="0" w:color="DDEBF7"/>
              <w:right w:val="nil"/>
            </w:tcBorders>
            <w:shd w:val="clear" w:color="auto" w:fill="auto"/>
            <w:hideMark/>
          </w:tcPr>
          <w:p w14:paraId="2678DE99"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Wage costs </w:t>
            </w:r>
          </w:p>
        </w:tc>
        <w:tc>
          <w:tcPr>
            <w:tcW w:w="3922" w:type="dxa"/>
            <w:tcBorders>
              <w:top w:val="nil"/>
              <w:left w:val="nil"/>
              <w:bottom w:val="single" w:sz="4" w:space="0" w:color="DDEBF7"/>
              <w:right w:val="nil"/>
            </w:tcBorders>
            <w:shd w:val="clear" w:color="auto" w:fill="auto"/>
            <w:hideMark/>
          </w:tcPr>
          <w:p w14:paraId="06004916"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Recognises differences in wage costs between states. </w:t>
            </w:r>
          </w:p>
        </w:tc>
        <w:tc>
          <w:tcPr>
            <w:tcW w:w="258" w:type="dxa"/>
            <w:tcBorders>
              <w:top w:val="nil"/>
              <w:left w:val="nil"/>
              <w:bottom w:val="single" w:sz="4" w:space="0" w:color="DDEBF7"/>
              <w:right w:val="nil"/>
            </w:tcBorders>
            <w:shd w:val="clear" w:color="auto" w:fill="auto"/>
            <w:hideMark/>
          </w:tcPr>
          <w:p w14:paraId="540078A1"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 </w:t>
            </w:r>
          </w:p>
        </w:tc>
        <w:tc>
          <w:tcPr>
            <w:tcW w:w="1257" w:type="dxa"/>
            <w:tcBorders>
              <w:top w:val="nil"/>
              <w:left w:val="nil"/>
              <w:bottom w:val="single" w:sz="4" w:space="0" w:color="DDEBF7"/>
              <w:right w:val="nil"/>
            </w:tcBorders>
            <w:shd w:val="clear" w:color="auto" w:fill="auto"/>
            <w:hideMark/>
          </w:tcPr>
          <w:p w14:paraId="312095B3" w14:textId="77777777" w:rsidR="00C35EA0" w:rsidRPr="00C35EA0" w:rsidRDefault="00C35EA0" w:rsidP="009745D4">
            <w:pPr>
              <w:keepNext/>
              <w:tabs>
                <w:tab w:val="clear" w:pos="567"/>
              </w:tabs>
              <w:spacing w:before="0" w:line="240" w:lineRule="auto"/>
              <w:rPr>
                <w:rFonts w:eastAsia="Times New Roman" w:cs="Open Sans Light"/>
                <w:color w:val="000000"/>
                <w:sz w:val="16"/>
                <w:szCs w:val="16"/>
                <w:lang w:eastAsia="en-AU"/>
              </w:rPr>
            </w:pPr>
            <w:r w:rsidRPr="00C35EA0">
              <w:rPr>
                <w:rFonts w:eastAsia="Times New Roman" w:cs="Open Sans Light"/>
                <w:color w:val="000000"/>
                <w:sz w:val="16"/>
                <w:szCs w:val="16"/>
                <w:lang w:eastAsia="en-AU"/>
              </w:rPr>
              <w:t>No</w:t>
            </w:r>
          </w:p>
        </w:tc>
      </w:tr>
      <w:tr w:rsidR="00EF01C9" w:rsidRPr="00C35EA0" w14:paraId="01FEAD61" w14:textId="77777777" w:rsidTr="009745D4">
        <w:trPr>
          <w:trHeight w:val="255"/>
        </w:trPr>
        <w:tc>
          <w:tcPr>
            <w:tcW w:w="1452" w:type="dxa"/>
            <w:tcBorders>
              <w:top w:val="single" w:sz="4" w:space="0" w:color="DDEBF7"/>
              <w:left w:val="nil"/>
              <w:bottom w:val="single" w:sz="4" w:space="0" w:color="DDEBF7"/>
              <w:right w:val="nil"/>
            </w:tcBorders>
            <w:shd w:val="clear" w:color="auto" w:fill="auto"/>
          </w:tcPr>
          <w:p w14:paraId="2C690DCC" w14:textId="223DC8D9" w:rsidR="00EF01C9" w:rsidRPr="00C35EA0" w:rsidRDefault="00DB6AA9" w:rsidP="009745D4">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National </w:t>
            </w:r>
            <w:r w:rsidR="00C014F1">
              <w:rPr>
                <w:rFonts w:eastAsia="Times New Roman" w:cs="Open Sans Light"/>
                <w:color w:val="000000"/>
                <w:sz w:val="16"/>
                <w:szCs w:val="16"/>
                <w:lang w:eastAsia="en-AU"/>
              </w:rPr>
              <w:t xml:space="preserve">Partnership on </w:t>
            </w:r>
            <w:r w:rsidR="00EF01C9">
              <w:rPr>
                <w:rFonts w:eastAsia="Times New Roman" w:cs="Open Sans Light"/>
                <w:color w:val="000000"/>
                <w:sz w:val="16"/>
                <w:szCs w:val="16"/>
                <w:lang w:eastAsia="en-AU"/>
              </w:rPr>
              <w:t>COVID-19</w:t>
            </w:r>
          </w:p>
        </w:tc>
        <w:tc>
          <w:tcPr>
            <w:tcW w:w="290" w:type="dxa"/>
            <w:tcBorders>
              <w:top w:val="single" w:sz="4" w:space="0" w:color="DDEBF7"/>
              <w:left w:val="nil"/>
              <w:bottom w:val="single" w:sz="4" w:space="0" w:color="DDEBF7"/>
              <w:right w:val="nil"/>
            </w:tcBorders>
            <w:shd w:val="clear" w:color="auto" w:fill="auto"/>
          </w:tcPr>
          <w:p w14:paraId="55430C99" w14:textId="77777777" w:rsidR="00EF01C9" w:rsidRPr="00C35EA0" w:rsidRDefault="00EF01C9" w:rsidP="009745D4">
            <w:pPr>
              <w:keepNext/>
              <w:tabs>
                <w:tab w:val="clear" w:pos="567"/>
              </w:tabs>
              <w:spacing w:before="0" w:line="240" w:lineRule="auto"/>
              <w:rPr>
                <w:rFonts w:eastAsia="Times New Roman" w:cs="Open Sans Light"/>
                <w:color w:val="000000"/>
                <w:sz w:val="16"/>
                <w:szCs w:val="16"/>
                <w:lang w:eastAsia="en-AU"/>
              </w:rPr>
            </w:pPr>
          </w:p>
        </w:tc>
        <w:tc>
          <w:tcPr>
            <w:tcW w:w="1763" w:type="dxa"/>
            <w:tcBorders>
              <w:top w:val="single" w:sz="4" w:space="0" w:color="DDEBF7"/>
              <w:left w:val="nil"/>
              <w:bottom w:val="single" w:sz="4" w:space="0" w:color="DDEBF7"/>
              <w:right w:val="nil"/>
            </w:tcBorders>
            <w:shd w:val="clear" w:color="auto" w:fill="auto"/>
          </w:tcPr>
          <w:p w14:paraId="084719FC" w14:textId="6FCE0533" w:rsidR="00EF01C9" w:rsidRPr="00C35EA0" w:rsidRDefault="00EF01C9" w:rsidP="009745D4">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Actual per capita</w:t>
            </w:r>
          </w:p>
        </w:tc>
        <w:tc>
          <w:tcPr>
            <w:tcW w:w="3922" w:type="dxa"/>
            <w:tcBorders>
              <w:top w:val="single" w:sz="4" w:space="0" w:color="DDEBF7"/>
              <w:left w:val="nil"/>
              <w:bottom w:val="single" w:sz="4" w:space="0" w:color="DDEBF7"/>
              <w:right w:val="nil"/>
            </w:tcBorders>
            <w:shd w:val="clear" w:color="auto" w:fill="auto"/>
          </w:tcPr>
          <w:p w14:paraId="2ABC8834" w14:textId="120D1A08" w:rsidR="00EF01C9" w:rsidRPr="00C35EA0" w:rsidRDefault="00EF01C9" w:rsidP="009745D4">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Recognise</w:t>
            </w:r>
            <w:r w:rsidR="002456D3">
              <w:rPr>
                <w:rFonts w:eastAsia="Times New Roman" w:cs="Open Sans Light"/>
                <w:color w:val="000000"/>
                <w:sz w:val="16"/>
                <w:szCs w:val="16"/>
                <w:lang w:eastAsia="en-AU"/>
              </w:rPr>
              <w:t>s</w:t>
            </w:r>
            <w:r>
              <w:rPr>
                <w:rFonts w:eastAsia="Times New Roman" w:cs="Open Sans Light"/>
                <w:color w:val="000000"/>
                <w:sz w:val="16"/>
                <w:szCs w:val="16"/>
                <w:lang w:eastAsia="en-AU"/>
              </w:rPr>
              <w:t xml:space="preserve"> that</w:t>
            </w:r>
            <w:r w:rsidR="00DB6AA9">
              <w:rPr>
                <w:rFonts w:eastAsia="Times New Roman" w:cs="Open Sans Light"/>
                <w:color w:val="000000"/>
                <w:sz w:val="16"/>
                <w:szCs w:val="16"/>
                <w:lang w:eastAsia="en-AU"/>
              </w:rPr>
              <w:t xml:space="preserve"> </w:t>
            </w:r>
            <w:r w:rsidR="00F87290">
              <w:rPr>
                <w:rFonts w:eastAsia="Times New Roman" w:cs="Open Sans Light"/>
                <w:color w:val="000000"/>
                <w:sz w:val="16"/>
                <w:szCs w:val="16"/>
                <w:lang w:eastAsia="en-AU"/>
              </w:rPr>
              <w:t xml:space="preserve">state spending </w:t>
            </w:r>
            <w:r w:rsidR="00CD381F">
              <w:rPr>
                <w:rFonts w:eastAsia="Times New Roman" w:cs="Open Sans Light"/>
                <w:color w:val="000000"/>
                <w:sz w:val="16"/>
                <w:szCs w:val="16"/>
                <w:lang w:eastAsia="en-AU"/>
              </w:rPr>
              <w:t xml:space="preserve">under the </w:t>
            </w:r>
            <w:r w:rsidR="00CD381F" w:rsidRPr="00DB6AA9">
              <w:rPr>
                <w:rFonts w:eastAsia="Times New Roman" w:cs="Open Sans Light"/>
                <w:color w:val="000000"/>
                <w:sz w:val="16"/>
                <w:szCs w:val="16"/>
                <w:lang w:eastAsia="en-AU"/>
              </w:rPr>
              <w:t xml:space="preserve">National Partnership on COVID-19 </w:t>
            </w:r>
            <w:r w:rsidR="00F87290">
              <w:rPr>
                <w:rFonts w:eastAsia="Times New Roman" w:cs="Open Sans Light"/>
                <w:color w:val="000000"/>
                <w:sz w:val="16"/>
                <w:szCs w:val="16"/>
                <w:lang w:eastAsia="en-AU"/>
              </w:rPr>
              <w:t>re</w:t>
            </w:r>
            <w:r w:rsidR="00CD381F">
              <w:rPr>
                <w:rFonts w:eastAsia="Times New Roman" w:cs="Open Sans Light"/>
                <w:color w:val="000000"/>
                <w:sz w:val="16"/>
                <w:szCs w:val="16"/>
                <w:lang w:eastAsia="en-AU"/>
              </w:rPr>
              <w:t xml:space="preserve">flected </w:t>
            </w:r>
            <w:r w:rsidR="00DB6AA9">
              <w:rPr>
                <w:rFonts w:eastAsia="Times New Roman" w:cs="Open Sans Light"/>
                <w:color w:val="000000"/>
                <w:sz w:val="16"/>
                <w:szCs w:val="16"/>
                <w:lang w:eastAsia="en-AU"/>
              </w:rPr>
              <w:t>circumstance beyond s</w:t>
            </w:r>
            <w:r w:rsidR="00AA78AD">
              <w:rPr>
                <w:rFonts w:eastAsia="Times New Roman" w:cs="Open Sans Light"/>
                <w:color w:val="000000"/>
                <w:sz w:val="16"/>
                <w:szCs w:val="16"/>
                <w:lang w:eastAsia="en-AU"/>
              </w:rPr>
              <w:t>t</w:t>
            </w:r>
            <w:r w:rsidR="00DB6AA9">
              <w:rPr>
                <w:rFonts w:eastAsia="Times New Roman" w:cs="Open Sans Light"/>
                <w:color w:val="000000"/>
                <w:sz w:val="16"/>
                <w:szCs w:val="16"/>
                <w:lang w:eastAsia="en-AU"/>
              </w:rPr>
              <w:t xml:space="preserve">ate control. </w:t>
            </w:r>
          </w:p>
        </w:tc>
        <w:tc>
          <w:tcPr>
            <w:tcW w:w="258" w:type="dxa"/>
            <w:tcBorders>
              <w:top w:val="single" w:sz="4" w:space="0" w:color="DDEBF7"/>
              <w:left w:val="nil"/>
              <w:bottom w:val="single" w:sz="4" w:space="0" w:color="DDEBF7"/>
              <w:right w:val="nil"/>
            </w:tcBorders>
            <w:shd w:val="clear" w:color="auto" w:fill="auto"/>
          </w:tcPr>
          <w:p w14:paraId="1DC1FA73" w14:textId="77777777" w:rsidR="00EF01C9" w:rsidRPr="00C35EA0" w:rsidRDefault="00EF01C9" w:rsidP="009745D4">
            <w:pPr>
              <w:keepNext/>
              <w:tabs>
                <w:tab w:val="clear" w:pos="567"/>
              </w:tabs>
              <w:spacing w:before="0" w:line="240" w:lineRule="auto"/>
              <w:rPr>
                <w:rFonts w:eastAsia="Times New Roman" w:cs="Open Sans Light"/>
                <w:color w:val="000000"/>
                <w:sz w:val="16"/>
                <w:szCs w:val="16"/>
                <w:lang w:eastAsia="en-AU"/>
              </w:rPr>
            </w:pPr>
          </w:p>
        </w:tc>
        <w:tc>
          <w:tcPr>
            <w:tcW w:w="1257" w:type="dxa"/>
            <w:tcBorders>
              <w:top w:val="single" w:sz="4" w:space="0" w:color="DDEBF7"/>
              <w:left w:val="nil"/>
              <w:bottom w:val="single" w:sz="4" w:space="0" w:color="DDEBF7"/>
              <w:right w:val="nil"/>
            </w:tcBorders>
            <w:shd w:val="clear" w:color="auto" w:fill="auto"/>
          </w:tcPr>
          <w:p w14:paraId="35B1D329" w14:textId="0A3F6F82" w:rsidR="00EF01C9" w:rsidRPr="00C35EA0" w:rsidRDefault="00446AF5" w:rsidP="009745D4">
            <w:pPr>
              <w:keepNext/>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Yes</w:t>
            </w:r>
          </w:p>
        </w:tc>
      </w:tr>
    </w:tbl>
    <w:p w14:paraId="61867BB8" w14:textId="44933E61" w:rsidR="0003698D" w:rsidRDefault="00A86955" w:rsidP="00C00853">
      <w:pPr>
        <w:pStyle w:val="CGC2025TableNote"/>
        <w:keepNext/>
        <w:ind w:left="426" w:hanging="313"/>
      </w:pPr>
      <w:r w:rsidRPr="00A86955">
        <w:t>(a)</w:t>
      </w:r>
      <w:r w:rsidRPr="00A86955">
        <w:tab/>
      </w:r>
      <w:r w:rsidR="00F86AEE" w:rsidRPr="00A86955">
        <w:t>The Commission proposes</w:t>
      </w:r>
      <w:r w:rsidR="00F86AEE">
        <w:t xml:space="preserve"> that the non-state sector adjustment</w:t>
      </w:r>
      <w:r w:rsidR="009C58C2">
        <w:t xml:space="preserve"> for admitted patients be based on </w:t>
      </w:r>
      <w:r w:rsidR="00DF2512">
        <w:t>privately</w:t>
      </w:r>
      <w:r w:rsidR="002C1FAF">
        <w:t xml:space="preserve"> insured patient expenses</w:t>
      </w:r>
      <w:r w:rsidR="00962807">
        <w:t>, instead of privately</w:t>
      </w:r>
      <w:r w:rsidR="003D3E87">
        <w:t xml:space="preserve"> </w:t>
      </w:r>
      <w:r w:rsidR="00962807">
        <w:t>insured patient separations.</w:t>
      </w:r>
    </w:p>
    <w:p w14:paraId="063CBC9C" w14:textId="6579D38D" w:rsidR="002D35C0" w:rsidRDefault="0003698D" w:rsidP="00C00853">
      <w:pPr>
        <w:pStyle w:val="CGC2025TableNote"/>
        <w:keepNext/>
        <w:ind w:left="426" w:hanging="313"/>
      </w:pPr>
      <w:r>
        <w:t>(b)</w:t>
      </w:r>
      <w:r>
        <w:tab/>
      </w:r>
      <w:r w:rsidR="00C70641" w:rsidRPr="00A86955">
        <w:t>The Commission proposes</w:t>
      </w:r>
      <w:r w:rsidR="00C70641">
        <w:t xml:space="preserve"> </w:t>
      </w:r>
      <w:r w:rsidR="00A7312A">
        <w:t xml:space="preserve">a change in data source </w:t>
      </w:r>
      <w:r w:rsidR="00C70641">
        <w:t xml:space="preserve">based on </w:t>
      </w:r>
      <w:r w:rsidR="009832C5">
        <w:t>Australian Institute of Health and Welfare data</w:t>
      </w:r>
      <w:r w:rsidR="009E39E6">
        <w:t xml:space="preserve"> on </w:t>
      </w:r>
      <w:r w:rsidR="009E39E6" w:rsidRPr="00BC0642">
        <w:t>the proportion of emergency department presentations that are potentially treatable by GPs.</w:t>
      </w:r>
      <w:r w:rsidR="001001CB">
        <w:t xml:space="preserve"> </w:t>
      </w:r>
    </w:p>
    <w:p w14:paraId="5D7CF283" w14:textId="6FE4F20F" w:rsidR="007C1210" w:rsidRDefault="002D35C0" w:rsidP="00C00853">
      <w:pPr>
        <w:pStyle w:val="CGC2025TableNote"/>
        <w:keepNext/>
        <w:ind w:left="426" w:hanging="313"/>
      </w:pPr>
      <w:r>
        <w:t xml:space="preserve">(c) </w:t>
      </w:r>
      <w:r w:rsidR="00C00853">
        <w:tab/>
      </w:r>
      <w:r w:rsidR="00A86955" w:rsidRPr="00A86955">
        <w:t xml:space="preserve">The Commission proposes </w:t>
      </w:r>
      <w:r w:rsidR="00BA1749">
        <w:t xml:space="preserve">these </w:t>
      </w:r>
      <w:r w:rsidR="00A86955" w:rsidRPr="00A86955">
        <w:t>change</w:t>
      </w:r>
      <w:r w:rsidR="00BA1749">
        <w:t>s</w:t>
      </w:r>
      <w:r w:rsidR="00A86955" w:rsidRPr="00A86955">
        <w:t xml:space="preserve"> to the assessment of community and public health: use the Australian Institute of Health and Welfare data on </w:t>
      </w:r>
      <w:r w:rsidR="00EA7957">
        <w:t xml:space="preserve">ambulatory </w:t>
      </w:r>
      <w:r w:rsidR="00A86955" w:rsidRPr="00A86955">
        <w:t>community mental health to determine per capita use rates for mental health services for the socio-demographic groups used in the health assessment; and expand the current proxy for activity</w:t>
      </w:r>
      <w:r w:rsidR="00792E2E">
        <w:t xml:space="preserve"> </w:t>
      </w:r>
      <w:r w:rsidR="00A86955" w:rsidRPr="00A86955">
        <w:t xml:space="preserve">(emergency department triage categories 4 and 5) to include </w:t>
      </w:r>
      <w:r w:rsidR="00692895">
        <w:t xml:space="preserve">selected </w:t>
      </w:r>
      <w:r w:rsidR="00A86955" w:rsidRPr="00A86955">
        <w:t>non-admitted patient services, applied to the balance of the component.</w:t>
      </w:r>
    </w:p>
    <w:p w14:paraId="4AAAB85A" w14:textId="77777777" w:rsidR="007E4886" w:rsidRDefault="007E4886">
      <w:pPr>
        <w:tabs>
          <w:tab w:val="clear" w:pos="567"/>
        </w:tabs>
        <w:spacing w:before="0" w:after="200" w:line="276" w:lineRule="auto"/>
        <w:rPr>
          <w:rFonts w:ascii="Work Sans" w:eastAsia="Times New Roman" w:hAnsi="Work Sans" w:cs="Open Sans"/>
          <w:b/>
          <w:bCs/>
          <w:color w:val="006991"/>
          <w:sz w:val="36"/>
          <w:szCs w:val="36"/>
        </w:rPr>
      </w:pPr>
      <w:bookmarkStart w:id="99" w:name="_Toc143786737"/>
      <w:r>
        <w:br w:type="page"/>
      </w:r>
    </w:p>
    <w:p w14:paraId="28CBF7A6" w14:textId="010F7FE9" w:rsidR="007319F8" w:rsidRDefault="00D52BD8" w:rsidP="00C8779F">
      <w:pPr>
        <w:pStyle w:val="Heading2"/>
      </w:pPr>
      <w:r>
        <w:lastRenderedPageBreak/>
        <w:t>Indicative distribution impacts</w:t>
      </w:r>
      <w:bookmarkEnd w:id="99"/>
      <w:r w:rsidR="000D15A0">
        <w:t xml:space="preserve"> </w:t>
      </w:r>
    </w:p>
    <w:p w14:paraId="7D5D182E" w14:textId="47379C0E" w:rsidR="0055302C" w:rsidRPr="002B303E" w:rsidRDefault="006D0AF0" w:rsidP="00D300C0">
      <w:pPr>
        <w:pStyle w:val="CGC2025ParaNumbers"/>
      </w:pPr>
      <w:r w:rsidRPr="002B303E">
        <w:t>The</w:t>
      </w:r>
      <w:r w:rsidR="0089547A" w:rsidRPr="002B303E">
        <w:t xml:space="preserve"> </w:t>
      </w:r>
      <w:r w:rsidR="00D11AF4" w:rsidRPr="002B303E">
        <w:t>impact of</w:t>
      </w:r>
      <w:r w:rsidR="0089547A" w:rsidRPr="002B303E">
        <w:t xml:space="preserve"> </w:t>
      </w:r>
      <w:r w:rsidR="001845EA" w:rsidRPr="002B303E">
        <w:t xml:space="preserve">the </w:t>
      </w:r>
      <w:r w:rsidRPr="002B303E">
        <w:t xml:space="preserve">proposed </w:t>
      </w:r>
      <w:r w:rsidR="001845EA" w:rsidRPr="002B303E">
        <w:t>COVID</w:t>
      </w:r>
      <w:r w:rsidR="001845EA" w:rsidRPr="002B303E">
        <w:noBreakHyphen/>
        <w:t>19 and non</w:t>
      </w:r>
      <w:r w:rsidR="001845EA" w:rsidRPr="002B303E">
        <w:noBreakHyphen/>
        <w:t>COVID</w:t>
      </w:r>
      <w:r w:rsidRPr="002B303E">
        <w:noBreakHyphen/>
        <w:t xml:space="preserve">19 </w:t>
      </w:r>
      <w:r w:rsidR="00133D2B" w:rsidRPr="002B303E">
        <w:t>changes</w:t>
      </w:r>
      <w:r w:rsidR="00FE16D3" w:rsidRPr="002B303E">
        <w:t xml:space="preserve"> </w:t>
      </w:r>
      <w:r w:rsidR="004E1C48" w:rsidRPr="002B303E">
        <w:t xml:space="preserve">to the health assessment </w:t>
      </w:r>
      <w:r w:rsidR="000668DE" w:rsidRPr="002B303E">
        <w:t>are</w:t>
      </w:r>
      <w:r w:rsidR="007572C2" w:rsidRPr="002B303E">
        <w:t xml:space="preserve"> </w:t>
      </w:r>
      <w:r w:rsidR="001845EA" w:rsidRPr="002B303E">
        <w:t xml:space="preserve">presented separately because of the </w:t>
      </w:r>
      <w:proofErr w:type="gramStart"/>
      <w:r w:rsidR="006B38D8" w:rsidRPr="002B303E">
        <w:t xml:space="preserve">particular </w:t>
      </w:r>
      <w:r w:rsidR="001845EA" w:rsidRPr="002B303E">
        <w:t>circumstances</w:t>
      </w:r>
      <w:proofErr w:type="gramEnd"/>
      <w:r w:rsidR="001845EA" w:rsidRPr="002B303E">
        <w:t xml:space="preserve"> associated </w:t>
      </w:r>
      <w:r w:rsidR="00C33EC2" w:rsidRPr="002B303E">
        <w:t>with the separate assessment of state expenses on COVID</w:t>
      </w:r>
      <w:r w:rsidR="00C33EC2" w:rsidRPr="002B303E">
        <w:noBreakHyphen/>
        <w:t>19</w:t>
      </w:r>
      <w:r w:rsidR="005A0945" w:rsidRPr="002B303E">
        <w:t xml:space="preserve">. </w:t>
      </w:r>
    </w:p>
    <w:p w14:paraId="4847CD22" w14:textId="7B6B64D7" w:rsidR="004A2C94" w:rsidRPr="002B303E" w:rsidRDefault="00D73107" w:rsidP="00D300C0">
      <w:pPr>
        <w:pStyle w:val="CGC2025ParaNumbers"/>
      </w:pPr>
      <w:r w:rsidRPr="002B303E">
        <w:t xml:space="preserve">First, there is a </w:t>
      </w:r>
      <w:r w:rsidR="007444C1" w:rsidRPr="002B303E">
        <w:t xml:space="preserve">significant </w:t>
      </w:r>
      <w:r w:rsidR="00E93272" w:rsidRPr="002B303E">
        <w:t xml:space="preserve">reduction in </w:t>
      </w:r>
      <w:r w:rsidR="00834E15" w:rsidRPr="002B303E">
        <w:t xml:space="preserve">state spending </w:t>
      </w:r>
      <w:r w:rsidR="00AD2ADC" w:rsidRPr="002B303E">
        <w:t>on COVID</w:t>
      </w:r>
      <w:r w:rsidR="00AD2ADC" w:rsidRPr="002B303E">
        <w:noBreakHyphen/>
        <w:t xml:space="preserve">19 related health services </w:t>
      </w:r>
      <w:r w:rsidR="008A28DC" w:rsidRPr="002B303E">
        <w:t xml:space="preserve">between the assessment years for the 2024 Update and the assessment years </w:t>
      </w:r>
      <w:r w:rsidR="00660549" w:rsidRPr="002B303E">
        <w:t xml:space="preserve">relevant </w:t>
      </w:r>
      <w:r w:rsidR="008A28DC" w:rsidRPr="002B303E">
        <w:t xml:space="preserve">for the </w:t>
      </w:r>
      <w:r w:rsidR="007444C1" w:rsidRPr="002B303E">
        <w:t>2025</w:t>
      </w:r>
      <w:r w:rsidR="008B4AE2">
        <w:t>–</w:t>
      </w:r>
      <w:r w:rsidR="007444C1" w:rsidRPr="002B303E">
        <w:t xml:space="preserve">26 </w:t>
      </w:r>
      <w:r w:rsidR="004308A4" w:rsidRPr="002B303E">
        <w:t xml:space="preserve">GST </w:t>
      </w:r>
      <w:r w:rsidR="007444C1" w:rsidRPr="002B303E">
        <w:t>distribution (</w:t>
      </w:r>
      <w:r w:rsidR="00B212E0" w:rsidRPr="002B303E">
        <w:t xml:space="preserve">to be </w:t>
      </w:r>
      <w:r w:rsidR="004308A4" w:rsidRPr="002B303E">
        <w:t xml:space="preserve">included in the final report of the </w:t>
      </w:r>
      <w:r w:rsidR="007444C1" w:rsidRPr="002B303E">
        <w:t>2025 </w:t>
      </w:r>
      <w:r w:rsidR="00B23333" w:rsidRPr="002B303E">
        <w:t>Review</w:t>
      </w:r>
      <w:r w:rsidR="007444C1" w:rsidRPr="002B303E">
        <w:t>)</w:t>
      </w:r>
      <w:r w:rsidR="008A28DC" w:rsidRPr="002B303E">
        <w:t>.</w:t>
      </w:r>
      <w:r w:rsidR="00640129" w:rsidRPr="002B303E">
        <w:t xml:space="preserve"> </w:t>
      </w:r>
      <w:r w:rsidR="00434967" w:rsidRPr="002B303E">
        <w:t xml:space="preserve">Consequently, rather than </w:t>
      </w:r>
      <w:r w:rsidR="00125ADD" w:rsidRPr="002B303E">
        <w:t xml:space="preserve">providing an indication of the impact of the change </w:t>
      </w:r>
      <w:r w:rsidR="00C30017" w:rsidRPr="002B303E">
        <w:t>in terms of the impact on the 2024 Update,</w:t>
      </w:r>
      <w:r w:rsidR="005A7946" w:rsidRPr="002B303E">
        <w:t xml:space="preserve"> </w:t>
      </w:r>
      <w:r w:rsidR="00AB19E0" w:rsidRPr="002B303E">
        <w:t xml:space="preserve">using </w:t>
      </w:r>
      <w:r w:rsidR="00BD1FFC" w:rsidRPr="002B303E">
        <w:t xml:space="preserve">the assessment years for the 2025 Review is </w:t>
      </w:r>
      <w:r w:rsidR="00B7052D" w:rsidRPr="002B303E">
        <w:t xml:space="preserve">more appropriate.  </w:t>
      </w:r>
    </w:p>
    <w:p w14:paraId="628A5A73" w14:textId="78C219EB" w:rsidR="00A066FB" w:rsidRPr="002B303E" w:rsidRDefault="00A066FB" w:rsidP="00D300C0">
      <w:pPr>
        <w:pStyle w:val="CGC2025ParaNumbers"/>
      </w:pPr>
      <w:r w:rsidRPr="002B303E">
        <w:t xml:space="preserve">Second, </w:t>
      </w:r>
      <w:r w:rsidR="00641168" w:rsidRPr="002B303E">
        <w:t xml:space="preserve">given the </w:t>
      </w:r>
      <w:r w:rsidR="00455A6E" w:rsidRPr="002B303E">
        <w:t>COVID</w:t>
      </w:r>
      <w:r w:rsidR="009326B4" w:rsidRPr="002B303E">
        <w:noBreakHyphen/>
      </w:r>
      <w:r w:rsidR="00455A6E" w:rsidRPr="002B303E">
        <w:t xml:space="preserve">19 Commonwealth payment to the states </w:t>
      </w:r>
      <w:r w:rsidR="009326B4" w:rsidRPr="002B303E">
        <w:t>ended in 2022</w:t>
      </w:r>
      <w:r w:rsidR="00256D01">
        <w:noBreakHyphen/>
      </w:r>
      <w:r w:rsidR="009326B4" w:rsidRPr="002B303E">
        <w:t>23</w:t>
      </w:r>
      <w:r w:rsidR="008D6214">
        <w:t>,</w:t>
      </w:r>
      <w:r w:rsidRPr="002B303E">
        <w:t xml:space="preserve"> </w:t>
      </w:r>
      <w:r w:rsidR="006663C3" w:rsidRPr="002B303E">
        <w:t xml:space="preserve">the </w:t>
      </w:r>
      <w:r w:rsidR="00F23D6A" w:rsidRPr="002B303E">
        <w:t xml:space="preserve">separate assessment of </w:t>
      </w:r>
      <w:r w:rsidR="00674FA6" w:rsidRPr="002B303E">
        <w:t>COVID</w:t>
      </w:r>
      <w:r w:rsidR="00674FA6" w:rsidRPr="002B303E">
        <w:noBreakHyphen/>
        <w:t xml:space="preserve">19 </w:t>
      </w:r>
      <w:r w:rsidR="00A03660" w:rsidRPr="002B303E">
        <w:t>related health expenses w</w:t>
      </w:r>
      <w:r w:rsidR="004479A7" w:rsidRPr="002B303E">
        <w:t xml:space="preserve">ould </w:t>
      </w:r>
      <w:r w:rsidR="00A03660" w:rsidRPr="002B303E">
        <w:t xml:space="preserve">cease in the 2027 Update. To </w:t>
      </w:r>
      <w:r w:rsidR="0015667E" w:rsidRPr="002B303E">
        <w:t>gain a</w:t>
      </w:r>
      <w:r w:rsidR="006A4F66">
        <w:t xml:space="preserve"> better</w:t>
      </w:r>
      <w:r w:rsidR="0015667E" w:rsidRPr="002B303E">
        <w:t xml:space="preserve"> indication of</w:t>
      </w:r>
      <w:r w:rsidR="00350A6A" w:rsidRPr="002B303E">
        <w:t xml:space="preserve"> </w:t>
      </w:r>
      <w:r w:rsidR="00A92BDE" w:rsidRPr="002B303E">
        <w:t>the</w:t>
      </w:r>
      <w:r w:rsidR="003E6C1E" w:rsidRPr="002B303E">
        <w:t xml:space="preserve"> ongoing</w:t>
      </w:r>
      <w:r w:rsidR="00A92BDE" w:rsidRPr="002B303E">
        <w:t xml:space="preserve"> impact of the </w:t>
      </w:r>
      <w:r w:rsidR="005424FE" w:rsidRPr="002B303E">
        <w:t xml:space="preserve">proposed </w:t>
      </w:r>
      <w:r w:rsidR="00C07518" w:rsidRPr="002B303E">
        <w:t>n</w:t>
      </w:r>
      <w:r w:rsidR="005424FE" w:rsidRPr="002B303E">
        <w:t>on</w:t>
      </w:r>
      <w:r w:rsidR="00567BD8">
        <w:t>–</w:t>
      </w:r>
      <w:r w:rsidR="00567BD8">
        <w:rPr>
          <w:rFonts w:ascii="Times New Roman" w:hAnsi="Times New Roman" w:cs="Times New Roman" w:hint="eastAsia"/>
          <w:rtl/>
        </w:rPr>
        <w:t>‍</w:t>
      </w:r>
      <w:r w:rsidR="005424FE" w:rsidRPr="002B303E">
        <w:t>COVID</w:t>
      </w:r>
      <w:r w:rsidR="00C07518" w:rsidRPr="002B303E">
        <w:noBreakHyphen/>
        <w:t>19</w:t>
      </w:r>
      <w:r w:rsidR="005424FE" w:rsidRPr="002B303E">
        <w:t xml:space="preserve"> changes to the health assessment, </w:t>
      </w:r>
      <w:r w:rsidR="001A6682" w:rsidRPr="002B303E">
        <w:t>th</w:t>
      </w:r>
      <w:r w:rsidR="00726B85">
        <w:t>is</w:t>
      </w:r>
      <w:r w:rsidR="001A6682" w:rsidRPr="002B303E">
        <w:t xml:space="preserve"> impact </w:t>
      </w:r>
      <w:r w:rsidR="00163A3A">
        <w:t xml:space="preserve">has been calculated </w:t>
      </w:r>
      <w:r w:rsidR="00726B85">
        <w:t xml:space="preserve">ignoring </w:t>
      </w:r>
      <w:r w:rsidR="00520E8C">
        <w:t>the COVID-</w:t>
      </w:r>
      <w:r w:rsidR="00F56235">
        <w:t>19 change</w:t>
      </w:r>
      <w:r w:rsidR="002C266C">
        <w:t xml:space="preserve">.  </w:t>
      </w:r>
    </w:p>
    <w:p w14:paraId="7B8C077A" w14:textId="0D831770" w:rsidR="001F4043" w:rsidRDefault="00C26F3D" w:rsidP="00C26F3D">
      <w:pPr>
        <w:pStyle w:val="Heading3"/>
      </w:pPr>
      <w:r>
        <w:t>Impacts</w:t>
      </w:r>
      <w:r w:rsidRPr="00C26F3D">
        <w:t xml:space="preserve"> </w:t>
      </w:r>
      <w:r>
        <w:t>from non</w:t>
      </w:r>
      <w:r>
        <w:noBreakHyphen/>
        <w:t>COVID</w:t>
      </w:r>
      <w:r>
        <w:noBreakHyphen/>
        <w:t xml:space="preserve">19 </w:t>
      </w:r>
      <w:proofErr w:type="gramStart"/>
      <w:r>
        <w:t>changes</w:t>
      </w:r>
      <w:proofErr w:type="gramEnd"/>
    </w:p>
    <w:p w14:paraId="061E7D1E" w14:textId="31E07E88" w:rsidR="00F95A50" w:rsidRPr="003509DE" w:rsidRDefault="00ED0ECF" w:rsidP="00D300C0">
      <w:pPr>
        <w:pStyle w:val="CGC2025ParaNumbers"/>
      </w:pPr>
      <w:r w:rsidRPr="003509DE">
        <w:t>T</w:t>
      </w:r>
      <w:r w:rsidR="00F45E60" w:rsidRPr="003509DE">
        <w:t>he indicative impact of the proposed changes to the health assessmen</w:t>
      </w:r>
      <w:r w:rsidR="00F45E60" w:rsidRPr="003509DE">
        <w:rPr>
          <w:shd w:val="clear" w:color="auto" w:fill="FFFFFF" w:themeFill="background1"/>
        </w:rPr>
        <w:t>t</w:t>
      </w:r>
      <w:r w:rsidR="001955E1" w:rsidRPr="003509DE">
        <w:rPr>
          <w:shd w:val="clear" w:color="auto" w:fill="FFFFFF" w:themeFill="background1"/>
        </w:rPr>
        <w:t xml:space="preserve"> on GST</w:t>
      </w:r>
      <w:r w:rsidR="00DB4443">
        <w:rPr>
          <w:shd w:val="clear" w:color="auto" w:fill="FFFFFF" w:themeFill="background1"/>
        </w:rPr>
        <w:t> </w:t>
      </w:r>
      <w:r w:rsidR="001955E1" w:rsidRPr="003509DE">
        <w:rPr>
          <w:shd w:val="clear" w:color="auto" w:fill="FFFFFF" w:themeFill="background1"/>
        </w:rPr>
        <w:t>distribution in 2024</w:t>
      </w:r>
      <w:r w:rsidR="001018A7">
        <w:rPr>
          <w:shd w:val="clear" w:color="auto" w:fill="FFFFFF" w:themeFill="background1"/>
        </w:rPr>
        <w:t>–</w:t>
      </w:r>
      <w:r w:rsidR="001955E1" w:rsidRPr="003509DE">
        <w:rPr>
          <w:shd w:val="clear" w:color="auto" w:fill="FFFFFF" w:themeFill="background1"/>
        </w:rPr>
        <w:t>25</w:t>
      </w:r>
      <w:r w:rsidR="00ED7983" w:rsidRPr="003509DE">
        <w:rPr>
          <w:shd w:val="clear" w:color="auto" w:fill="FFFFFF" w:themeFill="background1"/>
        </w:rPr>
        <w:t>, other than those related to the separate assessment of state spending on COVID</w:t>
      </w:r>
      <w:r w:rsidR="00ED7983" w:rsidRPr="003509DE">
        <w:rPr>
          <w:shd w:val="clear" w:color="auto" w:fill="FFFFFF" w:themeFill="background1"/>
        </w:rPr>
        <w:noBreakHyphen/>
        <w:t>19</w:t>
      </w:r>
      <w:r w:rsidR="00A437A8" w:rsidRPr="003509DE">
        <w:rPr>
          <w:shd w:val="clear" w:color="auto" w:fill="FFFFFF" w:themeFill="background1"/>
        </w:rPr>
        <w:t>,</w:t>
      </w:r>
      <w:r w:rsidR="00ED7983" w:rsidRPr="003509DE">
        <w:rPr>
          <w:shd w:val="clear" w:color="auto" w:fill="FFFFFF" w:themeFill="background1"/>
        </w:rPr>
        <w:t xml:space="preserve"> </w:t>
      </w:r>
      <w:r w:rsidR="00CD6403">
        <w:rPr>
          <w:shd w:val="clear" w:color="auto" w:fill="FFFFFF" w:themeFill="background1"/>
        </w:rPr>
        <w:t>is</w:t>
      </w:r>
      <w:r w:rsidR="00CD6403" w:rsidRPr="003509DE">
        <w:rPr>
          <w:shd w:val="clear" w:color="auto" w:fill="FFFFFF" w:themeFill="background1"/>
        </w:rPr>
        <w:t xml:space="preserve"> </w:t>
      </w:r>
      <w:r w:rsidR="00A437A8" w:rsidRPr="003509DE">
        <w:rPr>
          <w:shd w:val="clear" w:color="auto" w:fill="FFFFFF" w:themeFill="background1"/>
        </w:rPr>
        <w:t>shown in</w:t>
      </w:r>
      <w:r w:rsidR="00D300C0" w:rsidRPr="003509DE">
        <w:t xml:space="preserve"> </w:t>
      </w:r>
      <w:r w:rsidR="006F28CF">
        <w:t>Table 21</w:t>
      </w:r>
      <w:r w:rsidR="00A16B91" w:rsidRPr="003509DE">
        <w:t>.</w:t>
      </w:r>
    </w:p>
    <w:p w14:paraId="67C26DE7" w14:textId="77777777" w:rsidR="00CC4333" w:rsidRPr="003509DE" w:rsidRDefault="00F50B91" w:rsidP="0088154E">
      <w:pPr>
        <w:pStyle w:val="CGC2025ParaNumbers"/>
      </w:pPr>
      <w:r w:rsidRPr="003509DE">
        <w:t>Community and public health expenses are propos</w:t>
      </w:r>
      <w:r w:rsidR="00E67DB6" w:rsidRPr="003509DE">
        <w:t xml:space="preserve">ed to be assessed using different measures </w:t>
      </w:r>
      <w:r w:rsidR="005446F8" w:rsidRPr="003509DE">
        <w:t xml:space="preserve">of activity. </w:t>
      </w:r>
    </w:p>
    <w:p w14:paraId="222EBACA" w14:textId="5280F1CF" w:rsidR="0026399B" w:rsidRPr="003509DE" w:rsidRDefault="00B70AE0" w:rsidP="0088154E">
      <w:pPr>
        <w:pStyle w:val="CGC2025ParaNumbers"/>
      </w:pPr>
      <w:r w:rsidRPr="003509DE">
        <w:t>Broadening the proxy indicator</w:t>
      </w:r>
      <w:r w:rsidR="002E57D7" w:rsidRPr="003509DE">
        <w:t xml:space="preserve"> of </w:t>
      </w:r>
      <w:r w:rsidR="00CC4333" w:rsidRPr="003509DE">
        <w:t xml:space="preserve">community and public health </w:t>
      </w:r>
      <w:r w:rsidR="002E57D7" w:rsidRPr="003509DE">
        <w:t>activity</w:t>
      </w:r>
      <w:r w:rsidR="006D6D9F" w:rsidRPr="003509DE">
        <w:t xml:space="preserve"> </w:t>
      </w:r>
      <w:r w:rsidR="004C4DE9" w:rsidRPr="003509DE">
        <w:t xml:space="preserve">results in </w:t>
      </w:r>
      <w:r w:rsidR="00546063" w:rsidRPr="003509DE">
        <w:t>higher</w:t>
      </w:r>
      <w:r w:rsidR="004C4DE9" w:rsidRPr="003509DE">
        <w:t xml:space="preserve"> assessed </w:t>
      </w:r>
      <w:r w:rsidR="006A7C3C" w:rsidRPr="003509DE">
        <w:t xml:space="preserve">spending </w:t>
      </w:r>
      <w:r w:rsidR="004C4DE9" w:rsidRPr="003509DE">
        <w:t>need</w:t>
      </w:r>
      <w:r w:rsidR="009E52C0" w:rsidRPr="003509DE">
        <w:t>s</w:t>
      </w:r>
      <w:r w:rsidR="004C4DE9" w:rsidRPr="003509DE">
        <w:t xml:space="preserve"> </w:t>
      </w:r>
      <w:r w:rsidR="009E52C0" w:rsidRPr="003509DE">
        <w:t xml:space="preserve">for states with </w:t>
      </w:r>
      <w:r w:rsidR="0087226D" w:rsidRPr="003509DE">
        <w:t>relative</w:t>
      </w:r>
      <w:r w:rsidR="00636A12" w:rsidRPr="003509DE">
        <w:t>ly</w:t>
      </w:r>
      <w:r w:rsidR="0087226D" w:rsidRPr="003509DE">
        <w:t xml:space="preserve"> </w:t>
      </w:r>
      <w:r w:rsidR="0023709B" w:rsidRPr="003509DE">
        <w:t>larger</w:t>
      </w:r>
      <w:r w:rsidR="00145CBF" w:rsidRPr="003509DE">
        <w:t xml:space="preserve"> share</w:t>
      </w:r>
      <w:r w:rsidR="0027651B" w:rsidRPr="003509DE">
        <w:t>s</w:t>
      </w:r>
      <w:r w:rsidR="00145CBF" w:rsidRPr="003509DE">
        <w:t xml:space="preserve"> of their population in</w:t>
      </w:r>
      <w:r w:rsidR="006D6D9F" w:rsidRPr="003509DE">
        <w:t xml:space="preserve"> </w:t>
      </w:r>
      <w:r w:rsidR="0023709B" w:rsidRPr="003509DE">
        <w:t>less</w:t>
      </w:r>
      <w:r w:rsidR="00145CBF" w:rsidRPr="003509DE">
        <w:t xml:space="preserve"> </w:t>
      </w:r>
      <w:r w:rsidR="006D6D9F" w:rsidRPr="003509DE">
        <w:t>remote</w:t>
      </w:r>
      <w:r w:rsidR="00145CBF" w:rsidRPr="003509DE">
        <w:t xml:space="preserve"> areas</w:t>
      </w:r>
      <w:r w:rsidR="007647E8" w:rsidRPr="003509DE">
        <w:t xml:space="preserve"> or </w:t>
      </w:r>
      <w:r w:rsidR="00AB44CD" w:rsidRPr="003509DE">
        <w:t xml:space="preserve">in </w:t>
      </w:r>
      <w:r w:rsidR="007647E8" w:rsidRPr="003509DE">
        <w:t>higher socio</w:t>
      </w:r>
      <w:r w:rsidR="007647E8" w:rsidRPr="003509DE">
        <w:noBreakHyphen/>
        <w:t>economic status cohorts</w:t>
      </w:r>
      <w:r w:rsidR="00DC3DBE" w:rsidRPr="003509DE">
        <w:t>,</w:t>
      </w:r>
      <w:r w:rsidR="00144FED" w:rsidRPr="003509DE">
        <w:t xml:space="preserve"> or</w:t>
      </w:r>
      <w:r w:rsidR="00DC3DBE" w:rsidRPr="003509DE">
        <w:t xml:space="preserve"> </w:t>
      </w:r>
      <w:r w:rsidR="00A44F1B" w:rsidRPr="003509DE">
        <w:t xml:space="preserve">with relatively </w:t>
      </w:r>
      <w:r w:rsidR="00800A8B" w:rsidRPr="003509DE">
        <w:t>larger</w:t>
      </w:r>
      <w:r w:rsidR="00A44F1B" w:rsidRPr="003509DE">
        <w:t xml:space="preserve"> shares of </w:t>
      </w:r>
      <w:r w:rsidR="00800A8B" w:rsidRPr="003509DE">
        <w:t>non</w:t>
      </w:r>
      <w:r w:rsidR="00800A8B" w:rsidRPr="003509DE">
        <w:noBreakHyphen/>
      </w:r>
      <w:r w:rsidR="008E49E5" w:rsidRPr="003509DE">
        <w:t>Indigenous</w:t>
      </w:r>
      <w:r w:rsidR="00A44F1B" w:rsidRPr="003509DE">
        <w:t xml:space="preserve"> </w:t>
      </w:r>
      <w:r w:rsidR="00670505" w:rsidRPr="003509DE">
        <w:t xml:space="preserve">or </w:t>
      </w:r>
      <w:r w:rsidR="008E49E5" w:rsidRPr="003509DE">
        <w:t>younger</w:t>
      </w:r>
      <w:r w:rsidR="00670505" w:rsidRPr="003509DE">
        <w:t xml:space="preserve"> people</w:t>
      </w:r>
      <w:r w:rsidR="002376F8" w:rsidRPr="003509DE">
        <w:t>.</w:t>
      </w:r>
      <w:r w:rsidR="00FF4766" w:rsidRPr="003509DE">
        <w:rPr>
          <w:rStyle w:val="FootnoteReference"/>
        </w:rPr>
        <w:footnoteReference w:id="31"/>
      </w:r>
    </w:p>
    <w:p w14:paraId="073E6554" w14:textId="5F2BCFB9" w:rsidR="00F96F5A" w:rsidRPr="003509DE" w:rsidRDefault="008C0BE4" w:rsidP="003E0DC3">
      <w:pPr>
        <w:pStyle w:val="CGC2025ParaNumbers"/>
      </w:pPr>
      <w:r w:rsidRPr="003509DE">
        <w:t>Assessing expenses on ambulatory specialised community mental health using a direct measure of the use of these services</w:t>
      </w:r>
      <w:r w:rsidR="00854359" w:rsidRPr="003509DE">
        <w:t xml:space="preserve"> results in </w:t>
      </w:r>
      <w:r w:rsidR="008D0043" w:rsidRPr="003509DE">
        <w:t>higher</w:t>
      </w:r>
      <w:r w:rsidR="006A7C3C" w:rsidRPr="003509DE">
        <w:t xml:space="preserve"> assessed spending needs </w:t>
      </w:r>
      <w:r w:rsidR="002E156E" w:rsidRPr="003509DE">
        <w:t xml:space="preserve">mainly </w:t>
      </w:r>
      <w:r w:rsidR="00F9112F" w:rsidRPr="003509DE">
        <w:t xml:space="preserve">for states with </w:t>
      </w:r>
      <w:r w:rsidR="00446280" w:rsidRPr="003509DE">
        <w:t xml:space="preserve">relatively </w:t>
      </w:r>
      <w:r w:rsidR="008E49E5" w:rsidRPr="003509DE">
        <w:t>larger</w:t>
      </w:r>
      <w:r w:rsidR="00446280" w:rsidRPr="003509DE">
        <w:t xml:space="preserve"> shares of their population in </w:t>
      </w:r>
      <w:r w:rsidR="008E49E5" w:rsidRPr="003509DE">
        <w:t>less</w:t>
      </w:r>
      <w:r w:rsidR="00446280" w:rsidRPr="003509DE">
        <w:t xml:space="preserve"> remote areas</w:t>
      </w:r>
      <w:r w:rsidR="004B6803" w:rsidRPr="003509DE">
        <w:t>.</w:t>
      </w:r>
    </w:p>
    <w:p w14:paraId="3A82C3C8" w14:textId="4D5F9B61" w:rsidR="00A84E21" w:rsidRPr="003509DE" w:rsidRDefault="00A84E21" w:rsidP="003E0DC3">
      <w:pPr>
        <w:pStyle w:val="CGC2025ParaNumbers"/>
      </w:pPr>
      <w:r w:rsidRPr="003509DE">
        <w:t xml:space="preserve">The proposed change </w:t>
      </w:r>
      <w:r w:rsidR="00B64141" w:rsidRPr="003509DE">
        <w:t>to</w:t>
      </w:r>
      <w:r w:rsidRPr="003509DE">
        <w:t xml:space="preserve"> the </w:t>
      </w:r>
      <w:r w:rsidR="00B43857" w:rsidRPr="003509DE">
        <w:t xml:space="preserve">indicator of </w:t>
      </w:r>
      <w:r w:rsidR="00A43875" w:rsidRPr="003509DE">
        <w:t>admitted patient non</w:t>
      </w:r>
      <w:r w:rsidR="00A43875" w:rsidRPr="003509DE">
        <w:noBreakHyphen/>
        <w:t xml:space="preserve">state activity </w:t>
      </w:r>
      <w:r w:rsidR="00A30E2B" w:rsidRPr="003509DE">
        <w:t>affects the estimates of states’ actual non</w:t>
      </w:r>
      <w:r w:rsidR="00A30E2B" w:rsidRPr="003509DE">
        <w:noBreakHyphen/>
        <w:t>state sector activity as well as their assessed non</w:t>
      </w:r>
      <w:r w:rsidR="00A30E2B" w:rsidRPr="003509DE">
        <w:noBreakHyphen/>
        <w:t>state sector activity</w:t>
      </w:r>
      <w:r w:rsidR="00CC5949" w:rsidRPr="003509DE">
        <w:t xml:space="preserve">, </w:t>
      </w:r>
      <w:r w:rsidR="00A30E2B" w:rsidRPr="003509DE">
        <w:t>with the non</w:t>
      </w:r>
      <w:r w:rsidR="00A30E2B" w:rsidRPr="003509DE">
        <w:noBreakHyphen/>
        <w:t>state sector adjustment being the difference between the</w:t>
      </w:r>
      <w:r w:rsidR="00D841D0" w:rsidRPr="003509DE">
        <w:t xml:space="preserve">se </w:t>
      </w:r>
      <w:r w:rsidR="006016BE">
        <w:t>2</w:t>
      </w:r>
      <w:r w:rsidR="00D841D0" w:rsidRPr="003509DE">
        <w:t xml:space="preserve"> </w:t>
      </w:r>
      <w:r w:rsidR="004D7BA0" w:rsidRPr="003509DE">
        <w:t>measures.</w:t>
      </w:r>
      <w:r w:rsidR="00DD25DE" w:rsidRPr="003509DE">
        <w:rPr>
          <w:rStyle w:val="FootnoteReference"/>
        </w:rPr>
        <w:footnoteReference w:id="32"/>
      </w:r>
      <w:r w:rsidR="00A43875" w:rsidRPr="003509DE">
        <w:t xml:space="preserve"> </w:t>
      </w:r>
    </w:p>
    <w:p w14:paraId="17543B7A" w14:textId="7DBC427F" w:rsidR="00711C2C" w:rsidRPr="009E3195" w:rsidRDefault="00711C2C" w:rsidP="003E0DC3">
      <w:pPr>
        <w:pStyle w:val="CGC2025ParaNumbers"/>
      </w:pPr>
      <w:r w:rsidRPr="009E3195">
        <w:t>U</w:t>
      </w:r>
      <w:r w:rsidR="008A2DA5">
        <w:t>sing u</w:t>
      </w:r>
      <w:r w:rsidRPr="009E3195">
        <w:t xml:space="preserve">pdated data </w:t>
      </w:r>
      <w:r w:rsidR="00314458" w:rsidRPr="009E3195">
        <w:t xml:space="preserve">on </w:t>
      </w:r>
      <w:r w:rsidR="000B096A" w:rsidRPr="009E3195">
        <w:t>New South Wales residents</w:t>
      </w:r>
      <w:r w:rsidR="00773EA4" w:rsidRPr="009E3195">
        <w:t>’ use</w:t>
      </w:r>
      <w:r w:rsidR="000B096A" w:rsidRPr="009E3195">
        <w:t xml:space="preserve"> of </w:t>
      </w:r>
      <w:r w:rsidR="009F0451" w:rsidRPr="009E3195">
        <w:t xml:space="preserve">ACT services </w:t>
      </w:r>
      <w:r w:rsidR="00640874" w:rsidRPr="009E3195">
        <w:t xml:space="preserve">increases </w:t>
      </w:r>
      <w:r w:rsidR="00871C13" w:rsidRPr="009E3195">
        <w:t>GST</w:t>
      </w:r>
      <w:r w:rsidR="00640874" w:rsidRPr="009E3195">
        <w:t xml:space="preserve"> distribut</w:t>
      </w:r>
      <w:r w:rsidR="00871C13" w:rsidRPr="009E3195">
        <w:t>ion to the ACT a</w:t>
      </w:r>
      <w:r w:rsidR="00254FFC" w:rsidRPr="009E3195">
        <w:t xml:space="preserve">nd reduces </w:t>
      </w:r>
      <w:r w:rsidR="00681CC3" w:rsidRPr="009E3195">
        <w:t xml:space="preserve">it </w:t>
      </w:r>
      <w:r w:rsidR="002F2F91">
        <w:t>for</w:t>
      </w:r>
      <w:r w:rsidR="00681CC3" w:rsidRPr="009E3195">
        <w:t xml:space="preserve"> New South Wales.</w:t>
      </w:r>
    </w:p>
    <w:p w14:paraId="2346780F" w14:textId="348EC604" w:rsidR="00681CC3" w:rsidRPr="009E3195" w:rsidRDefault="00F37A60" w:rsidP="00D04CAF">
      <w:pPr>
        <w:pStyle w:val="CGC2025ParaNumbers"/>
      </w:pPr>
      <w:r w:rsidRPr="009E3195">
        <w:lastRenderedPageBreak/>
        <w:t>U</w:t>
      </w:r>
      <w:r w:rsidR="004D161B">
        <w:t>sing u</w:t>
      </w:r>
      <w:r w:rsidRPr="009E3195">
        <w:t xml:space="preserve">pdated data on the </w:t>
      </w:r>
      <w:r w:rsidR="00A332E1" w:rsidRPr="009E3195">
        <w:t xml:space="preserve">split between </w:t>
      </w:r>
      <w:r w:rsidR="009115BB" w:rsidRPr="009E3195">
        <w:t>state spending on hospital and non</w:t>
      </w:r>
      <w:r w:rsidR="009115BB" w:rsidRPr="009E3195">
        <w:noBreakHyphen/>
        <w:t xml:space="preserve">hospital patient </w:t>
      </w:r>
      <w:r w:rsidR="006B51E1" w:rsidRPr="009E3195">
        <w:t>transport reduce</w:t>
      </w:r>
      <w:r w:rsidR="00F2197F" w:rsidRPr="009E3195">
        <w:t>s</w:t>
      </w:r>
      <w:r w:rsidR="006B51E1" w:rsidRPr="009E3195">
        <w:t xml:space="preserve"> </w:t>
      </w:r>
      <w:r w:rsidR="00935BBD" w:rsidRPr="009E3195">
        <w:t xml:space="preserve">expenses </w:t>
      </w:r>
      <w:r w:rsidR="00D04CAF" w:rsidRPr="009E3195">
        <w:t>for non</w:t>
      </w:r>
      <w:r w:rsidR="00D04CAF" w:rsidRPr="009E3195">
        <w:noBreakHyphen/>
        <w:t xml:space="preserve">hospital patient transport compared </w:t>
      </w:r>
      <w:r w:rsidR="005B44B0">
        <w:t>with</w:t>
      </w:r>
      <w:r w:rsidR="00D04CAF" w:rsidRPr="009E3195">
        <w:t xml:space="preserve"> the 2024 Update</w:t>
      </w:r>
      <w:r w:rsidR="0012217D" w:rsidRPr="009E3195">
        <w:t>. This reduce</w:t>
      </w:r>
      <w:r w:rsidR="00F2197F" w:rsidRPr="009E3195">
        <w:t>s</w:t>
      </w:r>
      <w:r w:rsidR="0012217D" w:rsidRPr="009E3195">
        <w:t xml:space="preserve"> GST distribution to states that </w:t>
      </w:r>
      <w:r w:rsidR="00407030" w:rsidRPr="009E3195">
        <w:t>are assessed to need to spend more than their per capita share on non</w:t>
      </w:r>
      <w:r w:rsidR="00407030" w:rsidRPr="009E3195">
        <w:noBreakHyphen/>
      </w:r>
      <w:r w:rsidR="00A17E68" w:rsidRPr="009E3195">
        <w:t>hospital patient transport.</w:t>
      </w:r>
    </w:p>
    <w:p w14:paraId="131CE7B4" w14:textId="1AF5A8E6" w:rsidR="009D736C" w:rsidRPr="00DB31A1" w:rsidRDefault="008823E6" w:rsidP="00DB4242">
      <w:pPr>
        <w:pStyle w:val="CGC2025Caption"/>
        <w:keepNext/>
        <w:ind w:left="1134" w:hanging="1134"/>
      </w:pPr>
      <w:bookmarkStart w:id="100" w:name="_Ref167097630"/>
      <w:r w:rsidRPr="009E3195">
        <w:t xml:space="preserve">Table </w:t>
      </w:r>
      <w:r w:rsidRPr="009E3195">
        <w:fldChar w:fldCharType="begin"/>
      </w:r>
      <w:r w:rsidRPr="009E3195">
        <w:instrText>SEQ Table \* ARABIC</w:instrText>
      </w:r>
      <w:r w:rsidRPr="009E3195">
        <w:fldChar w:fldCharType="separate"/>
      </w:r>
      <w:r w:rsidR="00581B01">
        <w:rPr>
          <w:noProof/>
        </w:rPr>
        <w:t>21</w:t>
      </w:r>
      <w:r w:rsidRPr="009E3195">
        <w:fldChar w:fldCharType="end"/>
      </w:r>
      <w:bookmarkEnd w:id="100"/>
      <w:r w:rsidR="00CD3275" w:rsidRPr="009E3195">
        <w:tab/>
      </w:r>
      <w:r w:rsidR="00AA49C2" w:rsidRPr="005265D0">
        <w:t>Indicative impact on GST distribution</w:t>
      </w:r>
      <w:r w:rsidR="00A17DA6">
        <w:t xml:space="preserve"> of proposed non-COVID-19 changes</w:t>
      </w:r>
      <w:r w:rsidR="00AA49C2" w:rsidRPr="005265D0">
        <w:t xml:space="preserve"> (disaggregated)</w:t>
      </w:r>
      <w:r w:rsidR="00DA7043" w:rsidRPr="00DB31A1">
        <w:t>, 2024–25</w:t>
      </w:r>
    </w:p>
    <w:tbl>
      <w:tblPr>
        <w:tblW w:w="8942" w:type="dxa"/>
        <w:tblCellMar>
          <w:top w:w="15" w:type="dxa"/>
          <w:bottom w:w="15" w:type="dxa"/>
        </w:tblCellMar>
        <w:tblLook w:val="04A0" w:firstRow="1" w:lastRow="0" w:firstColumn="1" w:lastColumn="0" w:noHBand="0" w:noVBand="1"/>
      </w:tblPr>
      <w:tblGrid>
        <w:gridCol w:w="3487"/>
        <w:gridCol w:w="602"/>
        <w:gridCol w:w="600"/>
        <w:gridCol w:w="599"/>
        <w:gridCol w:w="599"/>
        <w:gridCol w:w="599"/>
        <w:gridCol w:w="599"/>
        <w:gridCol w:w="600"/>
        <w:gridCol w:w="599"/>
        <w:gridCol w:w="658"/>
      </w:tblGrid>
      <w:tr w:rsidR="0000207C" w:rsidRPr="0000207C" w14:paraId="5FB81B04" w14:textId="77777777" w:rsidTr="00C549EC">
        <w:trPr>
          <w:trHeight w:val="556"/>
        </w:trPr>
        <w:tc>
          <w:tcPr>
            <w:tcW w:w="3477" w:type="dxa"/>
            <w:tcBorders>
              <w:top w:val="nil"/>
              <w:left w:val="nil"/>
              <w:bottom w:val="nil"/>
              <w:right w:val="nil"/>
            </w:tcBorders>
            <w:shd w:val="clear" w:color="000000" w:fill="006991"/>
            <w:vAlign w:val="center"/>
            <w:hideMark/>
          </w:tcPr>
          <w:p w14:paraId="1371170B" w14:textId="77777777" w:rsidR="0000207C" w:rsidRPr="0000207C" w:rsidRDefault="0000207C" w:rsidP="0000207C">
            <w:pPr>
              <w:tabs>
                <w:tab w:val="clear" w:pos="567"/>
              </w:tabs>
              <w:spacing w:before="0" w:line="240" w:lineRule="auto"/>
              <w:rPr>
                <w:rFonts w:ascii="Times New Roman" w:eastAsia="Times New Roman" w:hAnsi="Times New Roman" w:cs="Times New Roman"/>
                <w:sz w:val="24"/>
                <w:szCs w:val="24"/>
                <w:lang w:eastAsia="en-AU"/>
              </w:rPr>
            </w:pPr>
          </w:p>
        </w:tc>
        <w:tc>
          <w:tcPr>
            <w:tcW w:w="600" w:type="dxa"/>
            <w:tcBorders>
              <w:top w:val="nil"/>
              <w:left w:val="nil"/>
              <w:bottom w:val="nil"/>
              <w:right w:val="nil"/>
            </w:tcBorders>
            <w:shd w:val="clear" w:color="000000" w:fill="006991"/>
            <w:vAlign w:val="center"/>
            <w:hideMark/>
          </w:tcPr>
          <w:p w14:paraId="748DB571"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0207C">
              <w:rPr>
                <w:rFonts w:ascii="Open Sans Semibold" w:eastAsia="Times New Roman" w:hAnsi="Open Sans Semibold" w:cs="Open Sans Semibold"/>
                <w:color w:val="FFFFFF"/>
                <w:sz w:val="16"/>
                <w:szCs w:val="16"/>
                <w:lang w:eastAsia="en-AU"/>
              </w:rPr>
              <w:t>NSW</w:t>
            </w:r>
          </w:p>
        </w:tc>
        <w:tc>
          <w:tcPr>
            <w:tcW w:w="598" w:type="dxa"/>
            <w:tcBorders>
              <w:top w:val="nil"/>
              <w:left w:val="nil"/>
              <w:bottom w:val="nil"/>
              <w:right w:val="nil"/>
            </w:tcBorders>
            <w:shd w:val="clear" w:color="000000" w:fill="006991"/>
            <w:vAlign w:val="center"/>
            <w:hideMark/>
          </w:tcPr>
          <w:p w14:paraId="7B76B5F2"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0207C">
              <w:rPr>
                <w:rFonts w:ascii="Open Sans Semibold" w:eastAsia="Times New Roman" w:hAnsi="Open Sans Semibold" w:cs="Open Sans Semibold"/>
                <w:color w:val="FFFFFF"/>
                <w:sz w:val="16"/>
                <w:szCs w:val="16"/>
                <w:lang w:eastAsia="en-AU"/>
              </w:rPr>
              <w:t>Vic</w:t>
            </w:r>
          </w:p>
        </w:tc>
        <w:tc>
          <w:tcPr>
            <w:tcW w:w="598" w:type="dxa"/>
            <w:tcBorders>
              <w:top w:val="nil"/>
              <w:left w:val="nil"/>
              <w:bottom w:val="nil"/>
              <w:right w:val="nil"/>
            </w:tcBorders>
            <w:shd w:val="clear" w:color="000000" w:fill="006991"/>
            <w:vAlign w:val="center"/>
            <w:hideMark/>
          </w:tcPr>
          <w:p w14:paraId="142EF589"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0207C">
              <w:rPr>
                <w:rFonts w:ascii="Open Sans Semibold" w:eastAsia="Times New Roman" w:hAnsi="Open Sans Semibold" w:cs="Open Sans Semibold"/>
                <w:color w:val="FFFFFF"/>
                <w:sz w:val="16"/>
                <w:szCs w:val="16"/>
                <w:lang w:eastAsia="en-AU"/>
              </w:rPr>
              <w:t>Qld</w:t>
            </w:r>
          </w:p>
        </w:tc>
        <w:tc>
          <w:tcPr>
            <w:tcW w:w="598" w:type="dxa"/>
            <w:tcBorders>
              <w:top w:val="nil"/>
              <w:left w:val="nil"/>
              <w:bottom w:val="nil"/>
              <w:right w:val="nil"/>
            </w:tcBorders>
            <w:shd w:val="clear" w:color="000000" w:fill="006991"/>
            <w:vAlign w:val="center"/>
            <w:hideMark/>
          </w:tcPr>
          <w:p w14:paraId="688E3C8B"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0207C">
              <w:rPr>
                <w:rFonts w:ascii="Open Sans Semibold" w:eastAsia="Times New Roman" w:hAnsi="Open Sans Semibold" w:cs="Open Sans Semibold"/>
                <w:color w:val="FFFFFF"/>
                <w:sz w:val="16"/>
                <w:szCs w:val="16"/>
                <w:lang w:eastAsia="en-AU"/>
              </w:rPr>
              <w:t>WA</w:t>
            </w:r>
          </w:p>
        </w:tc>
        <w:tc>
          <w:tcPr>
            <w:tcW w:w="598" w:type="dxa"/>
            <w:tcBorders>
              <w:top w:val="nil"/>
              <w:left w:val="nil"/>
              <w:bottom w:val="nil"/>
              <w:right w:val="nil"/>
            </w:tcBorders>
            <w:shd w:val="clear" w:color="000000" w:fill="006991"/>
            <w:vAlign w:val="center"/>
            <w:hideMark/>
          </w:tcPr>
          <w:p w14:paraId="33B58E0B"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0207C">
              <w:rPr>
                <w:rFonts w:ascii="Open Sans Semibold" w:eastAsia="Times New Roman" w:hAnsi="Open Sans Semibold" w:cs="Open Sans Semibold"/>
                <w:color w:val="FFFFFF"/>
                <w:sz w:val="16"/>
                <w:szCs w:val="16"/>
                <w:lang w:eastAsia="en-AU"/>
              </w:rPr>
              <w:t>SA</w:t>
            </w:r>
          </w:p>
        </w:tc>
        <w:tc>
          <w:tcPr>
            <w:tcW w:w="598" w:type="dxa"/>
            <w:tcBorders>
              <w:top w:val="nil"/>
              <w:left w:val="nil"/>
              <w:bottom w:val="nil"/>
              <w:right w:val="nil"/>
            </w:tcBorders>
            <w:shd w:val="clear" w:color="000000" w:fill="006991"/>
            <w:vAlign w:val="center"/>
            <w:hideMark/>
          </w:tcPr>
          <w:p w14:paraId="571704E6"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0207C">
              <w:rPr>
                <w:rFonts w:ascii="Open Sans Semibold" w:eastAsia="Times New Roman" w:hAnsi="Open Sans Semibold" w:cs="Open Sans Semibold"/>
                <w:color w:val="FFFFFF"/>
                <w:sz w:val="16"/>
                <w:szCs w:val="16"/>
                <w:lang w:eastAsia="en-AU"/>
              </w:rPr>
              <w:t>Tas</w:t>
            </w:r>
          </w:p>
        </w:tc>
        <w:tc>
          <w:tcPr>
            <w:tcW w:w="599" w:type="dxa"/>
            <w:tcBorders>
              <w:top w:val="nil"/>
              <w:left w:val="nil"/>
              <w:bottom w:val="nil"/>
              <w:right w:val="nil"/>
            </w:tcBorders>
            <w:shd w:val="clear" w:color="000000" w:fill="006991"/>
            <w:vAlign w:val="center"/>
            <w:hideMark/>
          </w:tcPr>
          <w:p w14:paraId="2923E1A5"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0207C">
              <w:rPr>
                <w:rFonts w:ascii="Open Sans Semibold" w:eastAsia="Times New Roman" w:hAnsi="Open Sans Semibold" w:cs="Open Sans Semibold"/>
                <w:color w:val="FFFFFF"/>
                <w:sz w:val="16"/>
                <w:szCs w:val="16"/>
                <w:lang w:eastAsia="en-AU"/>
              </w:rPr>
              <w:t>ACT</w:t>
            </w:r>
          </w:p>
        </w:tc>
        <w:tc>
          <w:tcPr>
            <w:tcW w:w="598" w:type="dxa"/>
            <w:tcBorders>
              <w:top w:val="nil"/>
              <w:left w:val="nil"/>
              <w:bottom w:val="nil"/>
              <w:right w:val="nil"/>
            </w:tcBorders>
            <w:shd w:val="clear" w:color="000000" w:fill="006991"/>
            <w:vAlign w:val="center"/>
            <w:hideMark/>
          </w:tcPr>
          <w:p w14:paraId="6094349B"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0207C">
              <w:rPr>
                <w:rFonts w:ascii="Open Sans Semibold" w:eastAsia="Times New Roman" w:hAnsi="Open Sans Semibold" w:cs="Open Sans Semibold"/>
                <w:color w:val="FFFFFF"/>
                <w:sz w:val="16"/>
                <w:szCs w:val="16"/>
                <w:lang w:eastAsia="en-AU"/>
              </w:rPr>
              <w:t>NT</w:t>
            </w:r>
          </w:p>
        </w:tc>
        <w:tc>
          <w:tcPr>
            <w:tcW w:w="656" w:type="dxa"/>
            <w:tcBorders>
              <w:top w:val="nil"/>
              <w:left w:val="nil"/>
              <w:bottom w:val="nil"/>
              <w:right w:val="nil"/>
            </w:tcBorders>
            <w:shd w:val="clear" w:color="000000" w:fill="006991"/>
            <w:vAlign w:val="center"/>
            <w:hideMark/>
          </w:tcPr>
          <w:p w14:paraId="30B30AF5"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0207C">
              <w:rPr>
                <w:rFonts w:ascii="Open Sans Semibold" w:eastAsia="Times New Roman" w:hAnsi="Open Sans Semibold" w:cs="Open Sans Semibold"/>
                <w:color w:val="FFFFFF"/>
                <w:sz w:val="16"/>
                <w:szCs w:val="16"/>
                <w:lang w:eastAsia="en-AU"/>
              </w:rPr>
              <w:t>Total Effect</w:t>
            </w:r>
          </w:p>
        </w:tc>
      </w:tr>
      <w:tr w:rsidR="0000207C" w:rsidRPr="0000207C" w14:paraId="0CA831AE" w14:textId="77777777" w:rsidTr="00C549EC">
        <w:trPr>
          <w:trHeight w:val="255"/>
        </w:trPr>
        <w:tc>
          <w:tcPr>
            <w:tcW w:w="3477" w:type="dxa"/>
            <w:tcBorders>
              <w:top w:val="single" w:sz="4" w:space="0" w:color="ADD6EA"/>
              <w:left w:val="nil"/>
              <w:bottom w:val="nil"/>
              <w:right w:val="nil"/>
            </w:tcBorders>
            <w:shd w:val="clear" w:color="000000" w:fill="B6D5E4"/>
            <w:vAlign w:val="bottom"/>
            <w:hideMark/>
          </w:tcPr>
          <w:p w14:paraId="34F14344" w14:textId="77777777" w:rsidR="0000207C" w:rsidRPr="0000207C" w:rsidRDefault="0000207C" w:rsidP="0000207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p>
        </w:tc>
        <w:tc>
          <w:tcPr>
            <w:tcW w:w="600" w:type="dxa"/>
            <w:tcBorders>
              <w:top w:val="single" w:sz="4" w:space="0" w:color="ADD6EA"/>
              <w:left w:val="nil"/>
              <w:bottom w:val="nil"/>
              <w:right w:val="nil"/>
            </w:tcBorders>
            <w:shd w:val="clear" w:color="000000" w:fill="B6D5E4"/>
            <w:vAlign w:val="center"/>
            <w:hideMark/>
          </w:tcPr>
          <w:p w14:paraId="26AE673D"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$m</w:t>
            </w:r>
          </w:p>
        </w:tc>
        <w:tc>
          <w:tcPr>
            <w:tcW w:w="598" w:type="dxa"/>
            <w:tcBorders>
              <w:top w:val="single" w:sz="4" w:space="0" w:color="ADD6EA"/>
              <w:left w:val="nil"/>
              <w:bottom w:val="nil"/>
              <w:right w:val="nil"/>
            </w:tcBorders>
            <w:shd w:val="clear" w:color="000000" w:fill="B6D5E4"/>
            <w:vAlign w:val="center"/>
            <w:hideMark/>
          </w:tcPr>
          <w:p w14:paraId="0BBB5958"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$m</w:t>
            </w:r>
          </w:p>
        </w:tc>
        <w:tc>
          <w:tcPr>
            <w:tcW w:w="598" w:type="dxa"/>
            <w:tcBorders>
              <w:top w:val="single" w:sz="4" w:space="0" w:color="ADD6EA"/>
              <w:left w:val="nil"/>
              <w:bottom w:val="nil"/>
              <w:right w:val="nil"/>
            </w:tcBorders>
            <w:shd w:val="clear" w:color="000000" w:fill="B6D5E4"/>
            <w:vAlign w:val="center"/>
            <w:hideMark/>
          </w:tcPr>
          <w:p w14:paraId="2D5F31B4"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$m</w:t>
            </w:r>
          </w:p>
        </w:tc>
        <w:tc>
          <w:tcPr>
            <w:tcW w:w="598" w:type="dxa"/>
            <w:tcBorders>
              <w:top w:val="single" w:sz="4" w:space="0" w:color="ADD6EA"/>
              <w:left w:val="nil"/>
              <w:bottom w:val="nil"/>
              <w:right w:val="nil"/>
            </w:tcBorders>
            <w:shd w:val="clear" w:color="000000" w:fill="B6D5E4"/>
            <w:vAlign w:val="center"/>
            <w:hideMark/>
          </w:tcPr>
          <w:p w14:paraId="38028ABA"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$m</w:t>
            </w:r>
          </w:p>
        </w:tc>
        <w:tc>
          <w:tcPr>
            <w:tcW w:w="598" w:type="dxa"/>
            <w:tcBorders>
              <w:top w:val="single" w:sz="4" w:space="0" w:color="ADD6EA"/>
              <w:left w:val="nil"/>
              <w:bottom w:val="nil"/>
              <w:right w:val="nil"/>
            </w:tcBorders>
            <w:shd w:val="clear" w:color="000000" w:fill="B6D5E4"/>
            <w:vAlign w:val="center"/>
            <w:hideMark/>
          </w:tcPr>
          <w:p w14:paraId="5490CE39"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$m</w:t>
            </w:r>
          </w:p>
        </w:tc>
        <w:tc>
          <w:tcPr>
            <w:tcW w:w="598" w:type="dxa"/>
            <w:tcBorders>
              <w:top w:val="single" w:sz="4" w:space="0" w:color="ADD6EA"/>
              <w:left w:val="nil"/>
              <w:bottom w:val="nil"/>
              <w:right w:val="nil"/>
            </w:tcBorders>
            <w:shd w:val="clear" w:color="000000" w:fill="B6D5E4"/>
            <w:vAlign w:val="center"/>
            <w:hideMark/>
          </w:tcPr>
          <w:p w14:paraId="52443394"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$m</w:t>
            </w:r>
          </w:p>
        </w:tc>
        <w:tc>
          <w:tcPr>
            <w:tcW w:w="599" w:type="dxa"/>
            <w:tcBorders>
              <w:top w:val="single" w:sz="4" w:space="0" w:color="ADD6EA"/>
              <w:left w:val="nil"/>
              <w:bottom w:val="nil"/>
              <w:right w:val="nil"/>
            </w:tcBorders>
            <w:shd w:val="clear" w:color="000000" w:fill="B6D5E4"/>
            <w:vAlign w:val="center"/>
            <w:hideMark/>
          </w:tcPr>
          <w:p w14:paraId="1D7B8A90"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$m</w:t>
            </w:r>
          </w:p>
        </w:tc>
        <w:tc>
          <w:tcPr>
            <w:tcW w:w="598" w:type="dxa"/>
            <w:tcBorders>
              <w:top w:val="single" w:sz="4" w:space="0" w:color="ADD6EA"/>
              <w:left w:val="nil"/>
              <w:bottom w:val="nil"/>
              <w:right w:val="nil"/>
            </w:tcBorders>
            <w:shd w:val="clear" w:color="000000" w:fill="B6D5E4"/>
            <w:vAlign w:val="center"/>
            <w:hideMark/>
          </w:tcPr>
          <w:p w14:paraId="277F68F7"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$m</w:t>
            </w:r>
          </w:p>
        </w:tc>
        <w:tc>
          <w:tcPr>
            <w:tcW w:w="656" w:type="dxa"/>
            <w:tcBorders>
              <w:top w:val="single" w:sz="4" w:space="0" w:color="ADD6EA"/>
              <w:left w:val="nil"/>
              <w:bottom w:val="nil"/>
              <w:right w:val="nil"/>
            </w:tcBorders>
            <w:shd w:val="clear" w:color="000000" w:fill="B6D5E4"/>
            <w:vAlign w:val="center"/>
            <w:hideMark/>
          </w:tcPr>
          <w:p w14:paraId="5DEA9D7A"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$m</w:t>
            </w:r>
          </w:p>
        </w:tc>
      </w:tr>
      <w:tr w:rsidR="0000207C" w:rsidRPr="0000207C" w14:paraId="25ABA7F9" w14:textId="77777777" w:rsidTr="00C549EC">
        <w:trPr>
          <w:trHeight w:val="315"/>
        </w:trPr>
        <w:tc>
          <w:tcPr>
            <w:tcW w:w="3477" w:type="dxa"/>
            <w:tcBorders>
              <w:top w:val="single" w:sz="4" w:space="0" w:color="ADD6EA"/>
              <w:left w:val="nil"/>
              <w:bottom w:val="nil"/>
              <w:right w:val="nil"/>
            </w:tcBorders>
            <w:shd w:val="clear" w:color="000000" w:fill="FFFFFF"/>
            <w:vAlign w:val="center"/>
            <w:hideMark/>
          </w:tcPr>
          <w:p w14:paraId="2B86AA51" w14:textId="77777777" w:rsidR="0000207C" w:rsidRPr="0000207C" w:rsidRDefault="0000207C" w:rsidP="00C549EC">
            <w:pPr>
              <w:tabs>
                <w:tab w:val="clear" w:pos="567"/>
              </w:tabs>
              <w:spacing w:before="0" w:line="240" w:lineRule="auto"/>
              <w:rPr>
                <w:rFonts w:eastAsia="Times New Roman" w:cs="Open Sans Light"/>
                <w:color w:val="000000"/>
                <w:sz w:val="16"/>
                <w:szCs w:val="16"/>
                <w:lang w:eastAsia="en-AU"/>
              </w:rPr>
            </w:pPr>
            <w:r w:rsidRPr="0000207C">
              <w:rPr>
                <w:rFonts w:eastAsia="Times New Roman" w:cs="Open Sans Light"/>
                <w:color w:val="000000"/>
                <w:sz w:val="16"/>
                <w:szCs w:val="16"/>
                <w:lang w:eastAsia="en-AU"/>
              </w:rPr>
              <w:t>Community health use indicator</w:t>
            </w:r>
          </w:p>
        </w:tc>
        <w:tc>
          <w:tcPr>
            <w:tcW w:w="600" w:type="dxa"/>
            <w:tcBorders>
              <w:top w:val="single" w:sz="4" w:space="0" w:color="ADD6EA"/>
              <w:left w:val="nil"/>
              <w:bottom w:val="nil"/>
              <w:right w:val="nil"/>
            </w:tcBorders>
            <w:shd w:val="clear" w:color="000000" w:fill="FFFFFF"/>
            <w:vAlign w:val="center"/>
            <w:hideMark/>
          </w:tcPr>
          <w:p w14:paraId="6840B18D"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58</w:t>
            </w:r>
          </w:p>
        </w:tc>
        <w:tc>
          <w:tcPr>
            <w:tcW w:w="598" w:type="dxa"/>
            <w:tcBorders>
              <w:top w:val="single" w:sz="4" w:space="0" w:color="ADD6EA"/>
              <w:left w:val="nil"/>
              <w:bottom w:val="nil"/>
              <w:right w:val="nil"/>
            </w:tcBorders>
            <w:shd w:val="clear" w:color="000000" w:fill="FFFFFF"/>
            <w:vAlign w:val="center"/>
            <w:hideMark/>
          </w:tcPr>
          <w:p w14:paraId="14E85D0B"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23</w:t>
            </w:r>
          </w:p>
        </w:tc>
        <w:tc>
          <w:tcPr>
            <w:tcW w:w="598" w:type="dxa"/>
            <w:tcBorders>
              <w:top w:val="single" w:sz="4" w:space="0" w:color="ADD6EA"/>
              <w:left w:val="nil"/>
              <w:bottom w:val="nil"/>
              <w:right w:val="nil"/>
            </w:tcBorders>
            <w:shd w:val="clear" w:color="000000" w:fill="FFFFFF"/>
            <w:vAlign w:val="center"/>
            <w:hideMark/>
          </w:tcPr>
          <w:p w14:paraId="31463B46"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-34</w:t>
            </w:r>
          </w:p>
        </w:tc>
        <w:tc>
          <w:tcPr>
            <w:tcW w:w="598" w:type="dxa"/>
            <w:tcBorders>
              <w:top w:val="single" w:sz="4" w:space="0" w:color="ADD6EA"/>
              <w:left w:val="nil"/>
              <w:bottom w:val="nil"/>
              <w:right w:val="nil"/>
            </w:tcBorders>
            <w:shd w:val="clear" w:color="000000" w:fill="FFFFFF"/>
            <w:vAlign w:val="center"/>
            <w:hideMark/>
          </w:tcPr>
          <w:p w14:paraId="6E5CC2D2"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27</w:t>
            </w:r>
          </w:p>
        </w:tc>
        <w:tc>
          <w:tcPr>
            <w:tcW w:w="598" w:type="dxa"/>
            <w:tcBorders>
              <w:top w:val="single" w:sz="4" w:space="0" w:color="ADD6EA"/>
              <w:left w:val="nil"/>
              <w:bottom w:val="nil"/>
              <w:right w:val="nil"/>
            </w:tcBorders>
            <w:shd w:val="clear" w:color="000000" w:fill="FFFFFF"/>
            <w:vAlign w:val="center"/>
            <w:hideMark/>
          </w:tcPr>
          <w:p w14:paraId="77AADCAF"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-7</w:t>
            </w:r>
          </w:p>
        </w:tc>
        <w:tc>
          <w:tcPr>
            <w:tcW w:w="598" w:type="dxa"/>
            <w:tcBorders>
              <w:top w:val="single" w:sz="4" w:space="0" w:color="ADD6EA"/>
              <w:left w:val="nil"/>
              <w:bottom w:val="nil"/>
              <w:right w:val="nil"/>
            </w:tcBorders>
            <w:shd w:val="clear" w:color="000000" w:fill="FFFFFF"/>
            <w:vAlign w:val="center"/>
            <w:hideMark/>
          </w:tcPr>
          <w:p w14:paraId="70E12314"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-11</w:t>
            </w:r>
          </w:p>
        </w:tc>
        <w:tc>
          <w:tcPr>
            <w:tcW w:w="599" w:type="dxa"/>
            <w:tcBorders>
              <w:top w:val="single" w:sz="4" w:space="0" w:color="ADD6EA"/>
              <w:left w:val="nil"/>
              <w:bottom w:val="nil"/>
              <w:right w:val="nil"/>
            </w:tcBorders>
            <w:shd w:val="clear" w:color="000000" w:fill="FFFFFF"/>
            <w:vAlign w:val="center"/>
            <w:hideMark/>
          </w:tcPr>
          <w:p w14:paraId="080B99B3"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31</w:t>
            </w:r>
          </w:p>
        </w:tc>
        <w:tc>
          <w:tcPr>
            <w:tcW w:w="598" w:type="dxa"/>
            <w:tcBorders>
              <w:top w:val="single" w:sz="4" w:space="0" w:color="ADD6EA"/>
              <w:left w:val="nil"/>
              <w:bottom w:val="nil"/>
              <w:right w:val="nil"/>
            </w:tcBorders>
            <w:shd w:val="clear" w:color="000000" w:fill="FFFFFF"/>
            <w:vAlign w:val="center"/>
            <w:hideMark/>
          </w:tcPr>
          <w:p w14:paraId="40141D01"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-88</w:t>
            </w:r>
          </w:p>
        </w:tc>
        <w:tc>
          <w:tcPr>
            <w:tcW w:w="656" w:type="dxa"/>
            <w:tcBorders>
              <w:top w:val="single" w:sz="4" w:space="0" w:color="ADD6EA"/>
              <w:left w:val="nil"/>
              <w:bottom w:val="nil"/>
              <w:right w:val="nil"/>
            </w:tcBorders>
            <w:shd w:val="clear" w:color="000000" w:fill="FFFFFF"/>
            <w:vAlign w:val="center"/>
            <w:hideMark/>
          </w:tcPr>
          <w:p w14:paraId="5EA972F2"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139</w:t>
            </w:r>
          </w:p>
        </w:tc>
      </w:tr>
      <w:tr w:rsidR="0000207C" w:rsidRPr="0000207C" w14:paraId="3A38CBAC" w14:textId="77777777" w:rsidTr="00C549EC">
        <w:trPr>
          <w:trHeight w:val="315"/>
        </w:trPr>
        <w:tc>
          <w:tcPr>
            <w:tcW w:w="3477" w:type="dxa"/>
            <w:tcBorders>
              <w:top w:val="single" w:sz="4" w:space="0" w:color="ADD6EA"/>
              <w:left w:val="nil"/>
              <w:bottom w:val="nil"/>
              <w:right w:val="nil"/>
            </w:tcBorders>
            <w:shd w:val="clear" w:color="000000" w:fill="FFFFFF"/>
            <w:vAlign w:val="center"/>
            <w:hideMark/>
          </w:tcPr>
          <w:p w14:paraId="4557D12D" w14:textId="7811ED31" w:rsidR="0000207C" w:rsidRPr="0000207C" w:rsidRDefault="00715EFF" w:rsidP="00C549EC">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New ambulatory community m</w:t>
            </w:r>
            <w:r w:rsidRPr="00586F27">
              <w:rPr>
                <w:rFonts w:eastAsia="Times New Roman" w:cs="Open Sans Light"/>
                <w:color w:val="000000"/>
                <w:sz w:val="16"/>
                <w:szCs w:val="16"/>
                <w:lang w:eastAsia="en-AU"/>
              </w:rPr>
              <w:t>ental health</w:t>
            </w:r>
            <w:r>
              <w:rPr>
                <w:rFonts w:eastAsia="Times New Roman" w:cs="Open Sans Light"/>
                <w:color w:val="000000"/>
                <w:sz w:val="16"/>
                <w:szCs w:val="16"/>
                <w:lang w:eastAsia="en-AU"/>
              </w:rPr>
              <w:t xml:space="preserve"> assessment</w:t>
            </w:r>
          </w:p>
        </w:tc>
        <w:tc>
          <w:tcPr>
            <w:tcW w:w="600" w:type="dxa"/>
            <w:tcBorders>
              <w:top w:val="single" w:sz="4" w:space="0" w:color="ADD6EA"/>
              <w:left w:val="nil"/>
              <w:bottom w:val="nil"/>
              <w:right w:val="nil"/>
            </w:tcBorders>
            <w:shd w:val="clear" w:color="000000" w:fill="FFFFFF"/>
            <w:vAlign w:val="center"/>
            <w:hideMark/>
          </w:tcPr>
          <w:p w14:paraId="55007D65"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98</w:t>
            </w:r>
          </w:p>
        </w:tc>
        <w:tc>
          <w:tcPr>
            <w:tcW w:w="598" w:type="dxa"/>
            <w:tcBorders>
              <w:top w:val="single" w:sz="4" w:space="0" w:color="ADD6EA"/>
              <w:left w:val="nil"/>
              <w:bottom w:val="nil"/>
              <w:right w:val="nil"/>
            </w:tcBorders>
            <w:shd w:val="clear" w:color="000000" w:fill="FFFFFF"/>
            <w:vAlign w:val="center"/>
            <w:hideMark/>
          </w:tcPr>
          <w:p w14:paraId="0ED76190"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79</w:t>
            </w:r>
          </w:p>
        </w:tc>
        <w:tc>
          <w:tcPr>
            <w:tcW w:w="598" w:type="dxa"/>
            <w:tcBorders>
              <w:top w:val="single" w:sz="4" w:space="0" w:color="ADD6EA"/>
              <w:left w:val="nil"/>
              <w:bottom w:val="nil"/>
              <w:right w:val="nil"/>
            </w:tcBorders>
            <w:shd w:val="clear" w:color="000000" w:fill="FFFFFF"/>
            <w:vAlign w:val="center"/>
            <w:hideMark/>
          </w:tcPr>
          <w:p w14:paraId="77C68AEE"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-26</w:t>
            </w:r>
          </w:p>
        </w:tc>
        <w:tc>
          <w:tcPr>
            <w:tcW w:w="598" w:type="dxa"/>
            <w:tcBorders>
              <w:top w:val="single" w:sz="4" w:space="0" w:color="ADD6EA"/>
              <w:left w:val="nil"/>
              <w:bottom w:val="nil"/>
              <w:right w:val="nil"/>
            </w:tcBorders>
            <w:shd w:val="clear" w:color="000000" w:fill="FFFFFF"/>
            <w:vAlign w:val="center"/>
            <w:hideMark/>
          </w:tcPr>
          <w:p w14:paraId="16CCC074"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-68</w:t>
            </w:r>
          </w:p>
        </w:tc>
        <w:tc>
          <w:tcPr>
            <w:tcW w:w="598" w:type="dxa"/>
            <w:tcBorders>
              <w:top w:val="single" w:sz="4" w:space="0" w:color="ADD6EA"/>
              <w:left w:val="nil"/>
              <w:bottom w:val="nil"/>
              <w:right w:val="nil"/>
            </w:tcBorders>
            <w:shd w:val="clear" w:color="000000" w:fill="FFFFFF"/>
            <w:vAlign w:val="center"/>
            <w:hideMark/>
          </w:tcPr>
          <w:p w14:paraId="47FFDC82"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-18</w:t>
            </w:r>
          </w:p>
        </w:tc>
        <w:tc>
          <w:tcPr>
            <w:tcW w:w="598" w:type="dxa"/>
            <w:tcBorders>
              <w:top w:val="single" w:sz="4" w:space="0" w:color="ADD6EA"/>
              <w:left w:val="nil"/>
              <w:bottom w:val="nil"/>
              <w:right w:val="nil"/>
            </w:tcBorders>
            <w:shd w:val="clear" w:color="000000" w:fill="FFFFFF"/>
            <w:vAlign w:val="center"/>
            <w:hideMark/>
          </w:tcPr>
          <w:p w14:paraId="3DBB542C"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-35</w:t>
            </w:r>
          </w:p>
        </w:tc>
        <w:tc>
          <w:tcPr>
            <w:tcW w:w="599" w:type="dxa"/>
            <w:tcBorders>
              <w:top w:val="single" w:sz="4" w:space="0" w:color="ADD6EA"/>
              <w:left w:val="nil"/>
              <w:bottom w:val="nil"/>
              <w:right w:val="nil"/>
            </w:tcBorders>
            <w:shd w:val="clear" w:color="000000" w:fill="FFFFFF"/>
            <w:vAlign w:val="center"/>
            <w:hideMark/>
          </w:tcPr>
          <w:p w14:paraId="5698F9DE"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w:t>
            </w:r>
          </w:p>
        </w:tc>
        <w:tc>
          <w:tcPr>
            <w:tcW w:w="598" w:type="dxa"/>
            <w:tcBorders>
              <w:top w:val="single" w:sz="4" w:space="0" w:color="ADD6EA"/>
              <w:left w:val="nil"/>
              <w:bottom w:val="nil"/>
              <w:right w:val="nil"/>
            </w:tcBorders>
            <w:shd w:val="clear" w:color="000000" w:fill="FFFFFF"/>
            <w:vAlign w:val="center"/>
            <w:hideMark/>
          </w:tcPr>
          <w:p w14:paraId="45B6AA57"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-28</w:t>
            </w:r>
          </w:p>
        </w:tc>
        <w:tc>
          <w:tcPr>
            <w:tcW w:w="656" w:type="dxa"/>
            <w:tcBorders>
              <w:top w:val="single" w:sz="4" w:space="0" w:color="ADD6EA"/>
              <w:left w:val="nil"/>
              <w:bottom w:val="nil"/>
              <w:right w:val="nil"/>
            </w:tcBorders>
            <w:shd w:val="clear" w:color="000000" w:fill="FFFFFF"/>
            <w:vAlign w:val="center"/>
            <w:hideMark/>
          </w:tcPr>
          <w:p w14:paraId="0BB1ACA4"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177</w:t>
            </w:r>
          </w:p>
        </w:tc>
      </w:tr>
      <w:tr w:rsidR="0000207C" w:rsidRPr="0000207C" w14:paraId="7F3C75DB" w14:textId="77777777" w:rsidTr="00C549EC">
        <w:trPr>
          <w:trHeight w:val="315"/>
        </w:trPr>
        <w:tc>
          <w:tcPr>
            <w:tcW w:w="3477" w:type="dxa"/>
            <w:tcBorders>
              <w:top w:val="single" w:sz="4" w:space="0" w:color="ADD6EA"/>
              <w:left w:val="nil"/>
              <w:bottom w:val="nil"/>
              <w:right w:val="nil"/>
            </w:tcBorders>
            <w:shd w:val="clear" w:color="000000" w:fill="FFFFFF"/>
            <w:vAlign w:val="center"/>
            <w:hideMark/>
          </w:tcPr>
          <w:p w14:paraId="2FEA52E3" w14:textId="171A5E90" w:rsidR="0000207C" w:rsidRPr="0000207C" w:rsidRDefault="00715EFF" w:rsidP="00C549EC">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Admitted patient n</w:t>
            </w:r>
            <w:r w:rsidRPr="00586F27">
              <w:rPr>
                <w:rFonts w:eastAsia="Times New Roman" w:cs="Open Sans Light"/>
                <w:color w:val="000000"/>
                <w:sz w:val="16"/>
                <w:szCs w:val="16"/>
                <w:lang w:eastAsia="en-AU"/>
              </w:rPr>
              <w:t>on</w:t>
            </w:r>
            <w:r w:rsidR="0000207C" w:rsidRPr="0000207C">
              <w:rPr>
                <w:rFonts w:eastAsia="Times New Roman" w:cs="Open Sans Light"/>
                <w:color w:val="000000"/>
                <w:sz w:val="16"/>
                <w:szCs w:val="16"/>
                <w:lang w:eastAsia="en-AU"/>
              </w:rPr>
              <w:t>-state sector indicator</w:t>
            </w:r>
          </w:p>
        </w:tc>
        <w:tc>
          <w:tcPr>
            <w:tcW w:w="600" w:type="dxa"/>
            <w:tcBorders>
              <w:top w:val="single" w:sz="4" w:space="0" w:color="ADD6EA"/>
              <w:left w:val="nil"/>
              <w:bottom w:val="nil"/>
              <w:right w:val="nil"/>
            </w:tcBorders>
            <w:shd w:val="clear" w:color="000000" w:fill="FFFFFF"/>
            <w:vAlign w:val="center"/>
            <w:hideMark/>
          </w:tcPr>
          <w:p w14:paraId="4B7A9A4B"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68</w:t>
            </w:r>
          </w:p>
        </w:tc>
        <w:tc>
          <w:tcPr>
            <w:tcW w:w="598" w:type="dxa"/>
            <w:tcBorders>
              <w:top w:val="single" w:sz="4" w:space="0" w:color="ADD6EA"/>
              <w:left w:val="nil"/>
              <w:bottom w:val="nil"/>
              <w:right w:val="nil"/>
            </w:tcBorders>
            <w:shd w:val="clear" w:color="000000" w:fill="FFFFFF"/>
            <w:vAlign w:val="center"/>
            <w:hideMark/>
          </w:tcPr>
          <w:p w14:paraId="397E0231"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34</w:t>
            </w:r>
          </w:p>
        </w:tc>
        <w:tc>
          <w:tcPr>
            <w:tcW w:w="598" w:type="dxa"/>
            <w:tcBorders>
              <w:top w:val="single" w:sz="4" w:space="0" w:color="ADD6EA"/>
              <w:left w:val="nil"/>
              <w:bottom w:val="nil"/>
              <w:right w:val="nil"/>
            </w:tcBorders>
            <w:shd w:val="clear" w:color="000000" w:fill="FFFFFF"/>
            <w:vAlign w:val="center"/>
            <w:hideMark/>
          </w:tcPr>
          <w:p w14:paraId="3226EE90"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138</w:t>
            </w:r>
          </w:p>
        </w:tc>
        <w:tc>
          <w:tcPr>
            <w:tcW w:w="598" w:type="dxa"/>
            <w:tcBorders>
              <w:top w:val="single" w:sz="4" w:space="0" w:color="ADD6EA"/>
              <w:left w:val="nil"/>
              <w:bottom w:val="nil"/>
              <w:right w:val="nil"/>
            </w:tcBorders>
            <w:shd w:val="clear" w:color="000000" w:fill="FFFFFF"/>
            <w:vAlign w:val="center"/>
            <w:hideMark/>
          </w:tcPr>
          <w:p w14:paraId="1A9ADF35"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-239</w:t>
            </w:r>
          </w:p>
        </w:tc>
        <w:tc>
          <w:tcPr>
            <w:tcW w:w="598" w:type="dxa"/>
            <w:tcBorders>
              <w:top w:val="single" w:sz="4" w:space="0" w:color="ADD6EA"/>
              <w:left w:val="nil"/>
              <w:bottom w:val="nil"/>
              <w:right w:val="nil"/>
            </w:tcBorders>
            <w:shd w:val="clear" w:color="000000" w:fill="FFFFFF"/>
            <w:vAlign w:val="center"/>
            <w:hideMark/>
          </w:tcPr>
          <w:p w14:paraId="4271C660"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-17</w:t>
            </w:r>
          </w:p>
        </w:tc>
        <w:tc>
          <w:tcPr>
            <w:tcW w:w="598" w:type="dxa"/>
            <w:tcBorders>
              <w:top w:val="single" w:sz="4" w:space="0" w:color="ADD6EA"/>
              <w:left w:val="nil"/>
              <w:bottom w:val="nil"/>
              <w:right w:val="nil"/>
            </w:tcBorders>
            <w:shd w:val="clear" w:color="000000" w:fill="FFFFFF"/>
            <w:vAlign w:val="center"/>
            <w:hideMark/>
          </w:tcPr>
          <w:p w14:paraId="21D42DB7"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33</w:t>
            </w:r>
          </w:p>
        </w:tc>
        <w:tc>
          <w:tcPr>
            <w:tcW w:w="599" w:type="dxa"/>
            <w:tcBorders>
              <w:top w:val="single" w:sz="4" w:space="0" w:color="ADD6EA"/>
              <w:left w:val="nil"/>
              <w:bottom w:val="nil"/>
              <w:right w:val="nil"/>
            </w:tcBorders>
            <w:shd w:val="clear" w:color="000000" w:fill="FFFFFF"/>
            <w:vAlign w:val="center"/>
            <w:hideMark/>
          </w:tcPr>
          <w:p w14:paraId="63EA7AFA"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-17</w:t>
            </w:r>
          </w:p>
        </w:tc>
        <w:tc>
          <w:tcPr>
            <w:tcW w:w="598" w:type="dxa"/>
            <w:tcBorders>
              <w:top w:val="single" w:sz="4" w:space="0" w:color="ADD6EA"/>
              <w:left w:val="nil"/>
              <w:bottom w:val="nil"/>
              <w:right w:val="nil"/>
            </w:tcBorders>
            <w:shd w:val="clear" w:color="000000" w:fill="FFFFFF"/>
            <w:vAlign w:val="center"/>
            <w:hideMark/>
          </w:tcPr>
          <w:p w14:paraId="357CBD2F"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w:t>
            </w:r>
          </w:p>
        </w:tc>
        <w:tc>
          <w:tcPr>
            <w:tcW w:w="656" w:type="dxa"/>
            <w:tcBorders>
              <w:top w:val="single" w:sz="4" w:space="0" w:color="ADD6EA"/>
              <w:left w:val="nil"/>
              <w:bottom w:val="nil"/>
              <w:right w:val="nil"/>
            </w:tcBorders>
            <w:shd w:val="clear" w:color="000000" w:fill="FFFFFF"/>
            <w:vAlign w:val="center"/>
            <w:hideMark/>
          </w:tcPr>
          <w:p w14:paraId="0D72914A"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274</w:t>
            </w:r>
          </w:p>
        </w:tc>
      </w:tr>
      <w:tr w:rsidR="0000207C" w:rsidRPr="0000207C" w14:paraId="31A5E081" w14:textId="77777777" w:rsidTr="00C549EC">
        <w:trPr>
          <w:trHeight w:val="315"/>
        </w:trPr>
        <w:tc>
          <w:tcPr>
            <w:tcW w:w="3477" w:type="dxa"/>
            <w:tcBorders>
              <w:top w:val="single" w:sz="4" w:space="0" w:color="ADD6EA"/>
              <w:left w:val="nil"/>
              <w:bottom w:val="nil"/>
              <w:right w:val="nil"/>
            </w:tcBorders>
            <w:shd w:val="clear" w:color="000000" w:fill="FFFFFF"/>
            <w:vAlign w:val="center"/>
            <w:hideMark/>
          </w:tcPr>
          <w:p w14:paraId="4D8258AE" w14:textId="11CC1801" w:rsidR="0000207C" w:rsidRPr="0000207C" w:rsidRDefault="0000207C" w:rsidP="00C549EC">
            <w:pPr>
              <w:tabs>
                <w:tab w:val="clear" w:pos="567"/>
              </w:tabs>
              <w:spacing w:before="0" w:line="240" w:lineRule="auto"/>
              <w:rPr>
                <w:rFonts w:eastAsia="Times New Roman" w:cs="Open Sans Light"/>
                <w:color w:val="000000"/>
                <w:sz w:val="16"/>
                <w:szCs w:val="16"/>
                <w:lang w:eastAsia="en-AU"/>
              </w:rPr>
            </w:pPr>
            <w:r w:rsidRPr="0000207C">
              <w:rPr>
                <w:rFonts w:eastAsia="Times New Roman" w:cs="Open Sans Light"/>
                <w:color w:val="000000"/>
                <w:sz w:val="16"/>
                <w:szCs w:val="16"/>
                <w:lang w:eastAsia="en-AU"/>
              </w:rPr>
              <w:t xml:space="preserve">Cross </w:t>
            </w:r>
            <w:r w:rsidR="00EA01BA">
              <w:rPr>
                <w:rFonts w:eastAsia="Times New Roman" w:cs="Open Sans Light"/>
                <w:color w:val="000000"/>
                <w:sz w:val="16"/>
                <w:szCs w:val="16"/>
                <w:lang w:eastAsia="en-AU"/>
              </w:rPr>
              <w:t>b</w:t>
            </w:r>
            <w:r w:rsidRPr="0000207C">
              <w:rPr>
                <w:rFonts w:eastAsia="Times New Roman" w:cs="Open Sans Light"/>
                <w:color w:val="000000"/>
                <w:sz w:val="16"/>
                <w:szCs w:val="16"/>
                <w:lang w:eastAsia="en-AU"/>
              </w:rPr>
              <w:t>order</w:t>
            </w:r>
          </w:p>
        </w:tc>
        <w:tc>
          <w:tcPr>
            <w:tcW w:w="600" w:type="dxa"/>
            <w:tcBorders>
              <w:top w:val="single" w:sz="4" w:space="0" w:color="ADD6EA"/>
              <w:left w:val="nil"/>
              <w:bottom w:val="nil"/>
              <w:right w:val="nil"/>
            </w:tcBorders>
            <w:shd w:val="clear" w:color="000000" w:fill="FFFFFF"/>
            <w:vAlign w:val="center"/>
            <w:hideMark/>
          </w:tcPr>
          <w:p w14:paraId="1C90EA73"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-10</w:t>
            </w:r>
          </w:p>
        </w:tc>
        <w:tc>
          <w:tcPr>
            <w:tcW w:w="598" w:type="dxa"/>
            <w:tcBorders>
              <w:top w:val="single" w:sz="4" w:space="0" w:color="ADD6EA"/>
              <w:left w:val="nil"/>
              <w:bottom w:val="nil"/>
              <w:right w:val="nil"/>
            </w:tcBorders>
            <w:shd w:val="clear" w:color="000000" w:fill="FFFFFF"/>
            <w:vAlign w:val="center"/>
            <w:hideMark/>
          </w:tcPr>
          <w:p w14:paraId="7E7EEC14"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6633C535"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6B216B87"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7C26FBBF"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7E94C931"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9" w:type="dxa"/>
            <w:tcBorders>
              <w:top w:val="single" w:sz="4" w:space="0" w:color="ADD6EA"/>
              <w:left w:val="nil"/>
              <w:bottom w:val="nil"/>
              <w:right w:val="nil"/>
            </w:tcBorders>
            <w:shd w:val="clear" w:color="000000" w:fill="FFFFFF"/>
            <w:vAlign w:val="center"/>
            <w:hideMark/>
          </w:tcPr>
          <w:p w14:paraId="2CF751EA"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10</w:t>
            </w:r>
          </w:p>
        </w:tc>
        <w:tc>
          <w:tcPr>
            <w:tcW w:w="598" w:type="dxa"/>
            <w:tcBorders>
              <w:top w:val="single" w:sz="4" w:space="0" w:color="ADD6EA"/>
              <w:left w:val="nil"/>
              <w:bottom w:val="nil"/>
              <w:right w:val="nil"/>
            </w:tcBorders>
            <w:shd w:val="clear" w:color="000000" w:fill="FFFFFF"/>
            <w:vAlign w:val="center"/>
            <w:hideMark/>
          </w:tcPr>
          <w:p w14:paraId="270E5441"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656" w:type="dxa"/>
            <w:tcBorders>
              <w:top w:val="single" w:sz="4" w:space="0" w:color="ADD6EA"/>
              <w:left w:val="nil"/>
              <w:bottom w:val="nil"/>
              <w:right w:val="nil"/>
            </w:tcBorders>
            <w:shd w:val="clear" w:color="000000" w:fill="FFFFFF"/>
            <w:vAlign w:val="center"/>
            <w:hideMark/>
          </w:tcPr>
          <w:p w14:paraId="6BC2F7B6"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10</w:t>
            </w:r>
          </w:p>
        </w:tc>
      </w:tr>
      <w:tr w:rsidR="0000207C" w:rsidRPr="0000207C" w14:paraId="7BC59969" w14:textId="77777777" w:rsidTr="00C549EC">
        <w:trPr>
          <w:trHeight w:val="315"/>
        </w:trPr>
        <w:tc>
          <w:tcPr>
            <w:tcW w:w="3477" w:type="dxa"/>
            <w:tcBorders>
              <w:top w:val="single" w:sz="4" w:space="0" w:color="ADD6EA"/>
              <w:left w:val="nil"/>
              <w:bottom w:val="nil"/>
              <w:right w:val="nil"/>
            </w:tcBorders>
            <w:shd w:val="clear" w:color="000000" w:fill="FFFFFF"/>
            <w:vAlign w:val="center"/>
            <w:hideMark/>
          </w:tcPr>
          <w:p w14:paraId="43A2712E" w14:textId="77F207F4" w:rsidR="0000207C" w:rsidRPr="0000207C" w:rsidRDefault="004F6E82" w:rsidP="00C549EC">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Non-</w:t>
            </w:r>
            <w:r w:rsidR="00E54307">
              <w:rPr>
                <w:rFonts w:eastAsia="Times New Roman" w:cs="Open Sans Light"/>
                <w:color w:val="000000"/>
                <w:sz w:val="16"/>
                <w:szCs w:val="16"/>
                <w:lang w:eastAsia="en-AU"/>
              </w:rPr>
              <w:t xml:space="preserve">hospital </w:t>
            </w:r>
            <w:r w:rsidR="006A056F">
              <w:rPr>
                <w:rFonts w:eastAsia="Times New Roman" w:cs="Open Sans Light"/>
                <w:color w:val="000000"/>
                <w:sz w:val="16"/>
                <w:szCs w:val="16"/>
                <w:lang w:eastAsia="en-AU"/>
              </w:rPr>
              <w:t>p</w:t>
            </w:r>
            <w:r w:rsidR="00E54307">
              <w:rPr>
                <w:rFonts w:eastAsia="Times New Roman" w:cs="Open Sans Light"/>
                <w:color w:val="000000"/>
                <w:sz w:val="16"/>
                <w:szCs w:val="16"/>
                <w:lang w:eastAsia="en-AU"/>
              </w:rPr>
              <w:t>atie</w:t>
            </w:r>
            <w:r w:rsidR="006A056F">
              <w:rPr>
                <w:rFonts w:eastAsia="Times New Roman" w:cs="Open Sans Light"/>
                <w:color w:val="000000"/>
                <w:sz w:val="16"/>
                <w:szCs w:val="16"/>
                <w:lang w:eastAsia="en-AU"/>
              </w:rPr>
              <w:t>nt transport</w:t>
            </w:r>
          </w:p>
        </w:tc>
        <w:tc>
          <w:tcPr>
            <w:tcW w:w="600" w:type="dxa"/>
            <w:tcBorders>
              <w:top w:val="single" w:sz="4" w:space="0" w:color="ADD6EA"/>
              <w:left w:val="nil"/>
              <w:bottom w:val="nil"/>
              <w:right w:val="nil"/>
            </w:tcBorders>
            <w:shd w:val="clear" w:color="000000" w:fill="FFFFFF"/>
            <w:vAlign w:val="center"/>
            <w:hideMark/>
          </w:tcPr>
          <w:p w14:paraId="49DCD404"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9</w:t>
            </w:r>
          </w:p>
        </w:tc>
        <w:tc>
          <w:tcPr>
            <w:tcW w:w="598" w:type="dxa"/>
            <w:tcBorders>
              <w:top w:val="single" w:sz="4" w:space="0" w:color="ADD6EA"/>
              <w:left w:val="nil"/>
              <w:bottom w:val="nil"/>
              <w:right w:val="nil"/>
            </w:tcBorders>
            <w:shd w:val="clear" w:color="000000" w:fill="FFFFFF"/>
            <w:vAlign w:val="center"/>
            <w:hideMark/>
          </w:tcPr>
          <w:p w14:paraId="37BE8348"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7</w:t>
            </w:r>
          </w:p>
        </w:tc>
        <w:tc>
          <w:tcPr>
            <w:tcW w:w="598" w:type="dxa"/>
            <w:tcBorders>
              <w:top w:val="single" w:sz="4" w:space="0" w:color="ADD6EA"/>
              <w:left w:val="nil"/>
              <w:bottom w:val="nil"/>
              <w:right w:val="nil"/>
            </w:tcBorders>
            <w:shd w:val="clear" w:color="000000" w:fill="FFFFFF"/>
            <w:vAlign w:val="center"/>
            <w:hideMark/>
          </w:tcPr>
          <w:p w14:paraId="22BF353A"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w:t>
            </w:r>
          </w:p>
        </w:tc>
        <w:tc>
          <w:tcPr>
            <w:tcW w:w="598" w:type="dxa"/>
            <w:tcBorders>
              <w:top w:val="single" w:sz="4" w:space="0" w:color="ADD6EA"/>
              <w:left w:val="nil"/>
              <w:bottom w:val="nil"/>
              <w:right w:val="nil"/>
            </w:tcBorders>
            <w:shd w:val="clear" w:color="000000" w:fill="FFFFFF"/>
            <w:vAlign w:val="center"/>
            <w:hideMark/>
          </w:tcPr>
          <w:p w14:paraId="1C69C445"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-9</w:t>
            </w:r>
          </w:p>
        </w:tc>
        <w:tc>
          <w:tcPr>
            <w:tcW w:w="598" w:type="dxa"/>
            <w:tcBorders>
              <w:top w:val="single" w:sz="4" w:space="0" w:color="ADD6EA"/>
              <w:left w:val="nil"/>
              <w:bottom w:val="nil"/>
              <w:right w:val="nil"/>
            </w:tcBorders>
            <w:shd w:val="clear" w:color="000000" w:fill="FFFFFF"/>
            <w:vAlign w:val="center"/>
            <w:hideMark/>
          </w:tcPr>
          <w:p w14:paraId="209B4883"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00397AF9"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w:t>
            </w:r>
          </w:p>
        </w:tc>
        <w:tc>
          <w:tcPr>
            <w:tcW w:w="599" w:type="dxa"/>
            <w:tcBorders>
              <w:top w:val="single" w:sz="4" w:space="0" w:color="ADD6EA"/>
              <w:left w:val="nil"/>
              <w:bottom w:val="nil"/>
              <w:right w:val="nil"/>
            </w:tcBorders>
            <w:shd w:val="clear" w:color="000000" w:fill="FFFFFF"/>
            <w:vAlign w:val="center"/>
            <w:hideMark/>
          </w:tcPr>
          <w:p w14:paraId="382F4A78"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0948B74A"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-7</w:t>
            </w:r>
          </w:p>
        </w:tc>
        <w:tc>
          <w:tcPr>
            <w:tcW w:w="656" w:type="dxa"/>
            <w:tcBorders>
              <w:top w:val="single" w:sz="4" w:space="0" w:color="ADD6EA"/>
              <w:left w:val="nil"/>
              <w:bottom w:val="nil"/>
              <w:right w:val="nil"/>
            </w:tcBorders>
            <w:shd w:val="clear" w:color="000000" w:fill="FFFFFF"/>
            <w:vAlign w:val="center"/>
            <w:hideMark/>
          </w:tcPr>
          <w:p w14:paraId="45AC3DA4"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17</w:t>
            </w:r>
          </w:p>
        </w:tc>
      </w:tr>
      <w:tr w:rsidR="0000207C" w:rsidRPr="0000207C" w14:paraId="4CA8794E" w14:textId="77777777" w:rsidTr="00C549EC">
        <w:trPr>
          <w:trHeight w:val="318"/>
        </w:trPr>
        <w:tc>
          <w:tcPr>
            <w:tcW w:w="3477" w:type="dxa"/>
            <w:tcBorders>
              <w:top w:val="single" w:sz="4" w:space="0" w:color="ADD6EA"/>
              <w:left w:val="nil"/>
              <w:bottom w:val="nil"/>
              <w:right w:val="nil"/>
            </w:tcBorders>
            <w:shd w:val="clear" w:color="000000" w:fill="D6E7F0"/>
            <w:vAlign w:val="center"/>
            <w:hideMark/>
          </w:tcPr>
          <w:p w14:paraId="669B535E" w14:textId="77777777" w:rsidR="0000207C" w:rsidRPr="0000207C" w:rsidRDefault="0000207C" w:rsidP="00C549EC">
            <w:pPr>
              <w:tabs>
                <w:tab w:val="clear" w:pos="567"/>
              </w:tabs>
              <w:spacing w:before="0" w:line="240" w:lineRule="auto"/>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nil"/>
              <w:right w:val="nil"/>
            </w:tcBorders>
            <w:shd w:val="clear" w:color="000000" w:fill="D6E7F0"/>
            <w:vAlign w:val="center"/>
            <w:hideMark/>
          </w:tcPr>
          <w:p w14:paraId="6FDA31A9"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223</w:t>
            </w:r>
          </w:p>
        </w:tc>
        <w:tc>
          <w:tcPr>
            <w:tcW w:w="598" w:type="dxa"/>
            <w:tcBorders>
              <w:top w:val="single" w:sz="4" w:space="0" w:color="ADD6EA"/>
              <w:left w:val="nil"/>
              <w:bottom w:val="nil"/>
              <w:right w:val="nil"/>
            </w:tcBorders>
            <w:shd w:val="clear" w:color="000000" w:fill="D6E7F0"/>
            <w:vAlign w:val="center"/>
            <w:hideMark/>
          </w:tcPr>
          <w:p w14:paraId="20B00B8B"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143</w:t>
            </w:r>
          </w:p>
        </w:tc>
        <w:tc>
          <w:tcPr>
            <w:tcW w:w="598" w:type="dxa"/>
            <w:tcBorders>
              <w:top w:val="single" w:sz="4" w:space="0" w:color="ADD6EA"/>
              <w:left w:val="nil"/>
              <w:bottom w:val="nil"/>
              <w:right w:val="nil"/>
            </w:tcBorders>
            <w:shd w:val="clear" w:color="000000" w:fill="D6E7F0"/>
            <w:vAlign w:val="center"/>
            <w:hideMark/>
          </w:tcPr>
          <w:p w14:paraId="1CB7A3BF"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78</w:t>
            </w:r>
          </w:p>
        </w:tc>
        <w:tc>
          <w:tcPr>
            <w:tcW w:w="598" w:type="dxa"/>
            <w:tcBorders>
              <w:top w:val="single" w:sz="4" w:space="0" w:color="ADD6EA"/>
              <w:left w:val="nil"/>
              <w:bottom w:val="nil"/>
              <w:right w:val="nil"/>
            </w:tcBorders>
            <w:shd w:val="clear" w:color="000000" w:fill="D6E7F0"/>
            <w:vAlign w:val="center"/>
            <w:hideMark/>
          </w:tcPr>
          <w:p w14:paraId="4C119E78"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-289</w:t>
            </w:r>
          </w:p>
        </w:tc>
        <w:tc>
          <w:tcPr>
            <w:tcW w:w="598" w:type="dxa"/>
            <w:tcBorders>
              <w:top w:val="single" w:sz="4" w:space="0" w:color="ADD6EA"/>
              <w:left w:val="nil"/>
              <w:bottom w:val="nil"/>
              <w:right w:val="nil"/>
            </w:tcBorders>
            <w:shd w:val="clear" w:color="000000" w:fill="D6E7F0"/>
            <w:vAlign w:val="center"/>
            <w:hideMark/>
          </w:tcPr>
          <w:p w14:paraId="5AF93164"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-42</w:t>
            </w:r>
          </w:p>
        </w:tc>
        <w:tc>
          <w:tcPr>
            <w:tcW w:w="598" w:type="dxa"/>
            <w:tcBorders>
              <w:top w:val="single" w:sz="4" w:space="0" w:color="ADD6EA"/>
              <w:left w:val="nil"/>
              <w:bottom w:val="nil"/>
              <w:right w:val="nil"/>
            </w:tcBorders>
            <w:shd w:val="clear" w:color="000000" w:fill="D6E7F0"/>
            <w:vAlign w:val="center"/>
            <w:hideMark/>
          </w:tcPr>
          <w:p w14:paraId="24E8B454"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-12</w:t>
            </w:r>
          </w:p>
        </w:tc>
        <w:tc>
          <w:tcPr>
            <w:tcW w:w="599" w:type="dxa"/>
            <w:tcBorders>
              <w:top w:val="single" w:sz="4" w:space="0" w:color="ADD6EA"/>
              <w:left w:val="nil"/>
              <w:bottom w:val="nil"/>
              <w:right w:val="nil"/>
            </w:tcBorders>
            <w:shd w:val="clear" w:color="000000" w:fill="D6E7F0"/>
            <w:vAlign w:val="center"/>
            <w:hideMark/>
          </w:tcPr>
          <w:p w14:paraId="0E5ABCAE"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23</w:t>
            </w:r>
          </w:p>
        </w:tc>
        <w:tc>
          <w:tcPr>
            <w:tcW w:w="598" w:type="dxa"/>
            <w:tcBorders>
              <w:top w:val="single" w:sz="4" w:space="0" w:color="ADD6EA"/>
              <w:left w:val="nil"/>
              <w:bottom w:val="nil"/>
              <w:right w:val="nil"/>
            </w:tcBorders>
            <w:shd w:val="clear" w:color="000000" w:fill="D6E7F0"/>
            <w:vAlign w:val="center"/>
            <w:hideMark/>
          </w:tcPr>
          <w:p w14:paraId="4A052199"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-123</w:t>
            </w:r>
          </w:p>
        </w:tc>
        <w:tc>
          <w:tcPr>
            <w:tcW w:w="656" w:type="dxa"/>
            <w:tcBorders>
              <w:top w:val="single" w:sz="4" w:space="0" w:color="ADD6EA"/>
              <w:left w:val="nil"/>
              <w:bottom w:val="nil"/>
              <w:right w:val="nil"/>
            </w:tcBorders>
            <w:shd w:val="clear" w:color="000000" w:fill="D6E7F0"/>
            <w:vAlign w:val="center"/>
            <w:hideMark/>
          </w:tcPr>
          <w:p w14:paraId="41E6C1E0"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466</w:t>
            </w:r>
          </w:p>
        </w:tc>
      </w:tr>
      <w:tr w:rsidR="0000207C" w:rsidRPr="0000207C" w14:paraId="793AC1AF" w14:textId="77777777" w:rsidTr="00C549EC">
        <w:trPr>
          <w:trHeight w:val="255"/>
        </w:trPr>
        <w:tc>
          <w:tcPr>
            <w:tcW w:w="3477" w:type="dxa"/>
            <w:tcBorders>
              <w:top w:val="single" w:sz="4" w:space="0" w:color="ADD6EA"/>
              <w:left w:val="nil"/>
              <w:bottom w:val="nil"/>
              <w:right w:val="nil"/>
            </w:tcBorders>
            <w:shd w:val="clear" w:color="000000" w:fill="B6D5E4"/>
            <w:vAlign w:val="bottom"/>
            <w:hideMark/>
          </w:tcPr>
          <w:p w14:paraId="76427163" w14:textId="77777777" w:rsidR="0000207C" w:rsidRPr="0000207C" w:rsidRDefault="0000207C" w:rsidP="0000207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p>
        </w:tc>
        <w:tc>
          <w:tcPr>
            <w:tcW w:w="600" w:type="dxa"/>
            <w:tcBorders>
              <w:top w:val="single" w:sz="4" w:space="0" w:color="ADD6EA"/>
              <w:left w:val="nil"/>
              <w:bottom w:val="nil"/>
              <w:right w:val="nil"/>
            </w:tcBorders>
            <w:shd w:val="clear" w:color="000000" w:fill="B6D5E4"/>
            <w:vAlign w:val="center"/>
            <w:hideMark/>
          </w:tcPr>
          <w:p w14:paraId="6E04CAD0"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$pc</w:t>
            </w:r>
          </w:p>
        </w:tc>
        <w:tc>
          <w:tcPr>
            <w:tcW w:w="598" w:type="dxa"/>
            <w:tcBorders>
              <w:top w:val="single" w:sz="4" w:space="0" w:color="ADD6EA"/>
              <w:left w:val="nil"/>
              <w:bottom w:val="nil"/>
              <w:right w:val="nil"/>
            </w:tcBorders>
            <w:shd w:val="clear" w:color="000000" w:fill="B6D5E4"/>
            <w:vAlign w:val="center"/>
            <w:hideMark/>
          </w:tcPr>
          <w:p w14:paraId="48E58479"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$pc</w:t>
            </w:r>
          </w:p>
        </w:tc>
        <w:tc>
          <w:tcPr>
            <w:tcW w:w="598" w:type="dxa"/>
            <w:tcBorders>
              <w:top w:val="single" w:sz="4" w:space="0" w:color="ADD6EA"/>
              <w:left w:val="nil"/>
              <w:bottom w:val="nil"/>
              <w:right w:val="nil"/>
            </w:tcBorders>
            <w:shd w:val="clear" w:color="000000" w:fill="B6D5E4"/>
            <w:vAlign w:val="center"/>
            <w:hideMark/>
          </w:tcPr>
          <w:p w14:paraId="2817F9FD"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$pc</w:t>
            </w:r>
          </w:p>
        </w:tc>
        <w:tc>
          <w:tcPr>
            <w:tcW w:w="598" w:type="dxa"/>
            <w:tcBorders>
              <w:top w:val="single" w:sz="4" w:space="0" w:color="ADD6EA"/>
              <w:left w:val="nil"/>
              <w:bottom w:val="nil"/>
              <w:right w:val="nil"/>
            </w:tcBorders>
            <w:shd w:val="clear" w:color="000000" w:fill="B6D5E4"/>
            <w:vAlign w:val="center"/>
            <w:hideMark/>
          </w:tcPr>
          <w:p w14:paraId="3ADE2532"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$pc</w:t>
            </w:r>
          </w:p>
        </w:tc>
        <w:tc>
          <w:tcPr>
            <w:tcW w:w="598" w:type="dxa"/>
            <w:tcBorders>
              <w:top w:val="single" w:sz="4" w:space="0" w:color="ADD6EA"/>
              <w:left w:val="nil"/>
              <w:bottom w:val="nil"/>
              <w:right w:val="nil"/>
            </w:tcBorders>
            <w:shd w:val="clear" w:color="000000" w:fill="B6D5E4"/>
            <w:vAlign w:val="center"/>
            <w:hideMark/>
          </w:tcPr>
          <w:p w14:paraId="7745B12C"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$pc</w:t>
            </w:r>
          </w:p>
        </w:tc>
        <w:tc>
          <w:tcPr>
            <w:tcW w:w="598" w:type="dxa"/>
            <w:tcBorders>
              <w:top w:val="single" w:sz="4" w:space="0" w:color="ADD6EA"/>
              <w:left w:val="nil"/>
              <w:bottom w:val="nil"/>
              <w:right w:val="nil"/>
            </w:tcBorders>
            <w:shd w:val="clear" w:color="000000" w:fill="B6D5E4"/>
            <w:vAlign w:val="center"/>
            <w:hideMark/>
          </w:tcPr>
          <w:p w14:paraId="47AAE629"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$pc</w:t>
            </w:r>
          </w:p>
        </w:tc>
        <w:tc>
          <w:tcPr>
            <w:tcW w:w="599" w:type="dxa"/>
            <w:tcBorders>
              <w:top w:val="single" w:sz="4" w:space="0" w:color="ADD6EA"/>
              <w:left w:val="nil"/>
              <w:bottom w:val="nil"/>
              <w:right w:val="nil"/>
            </w:tcBorders>
            <w:shd w:val="clear" w:color="000000" w:fill="B6D5E4"/>
            <w:vAlign w:val="center"/>
            <w:hideMark/>
          </w:tcPr>
          <w:p w14:paraId="024C926F"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$pc</w:t>
            </w:r>
          </w:p>
        </w:tc>
        <w:tc>
          <w:tcPr>
            <w:tcW w:w="598" w:type="dxa"/>
            <w:tcBorders>
              <w:top w:val="single" w:sz="4" w:space="0" w:color="ADD6EA"/>
              <w:left w:val="nil"/>
              <w:bottom w:val="nil"/>
              <w:right w:val="nil"/>
            </w:tcBorders>
            <w:shd w:val="clear" w:color="000000" w:fill="B6D5E4"/>
            <w:vAlign w:val="center"/>
            <w:hideMark/>
          </w:tcPr>
          <w:p w14:paraId="4E9A5024"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$pc</w:t>
            </w:r>
          </w:p>
        </w:tc>
        <w:tc>
          <w:tcPr>
            <w:tcW w:w="656" w:type="dxa"/>
            <w:tcBorders>
              <w:top w:val="single" w:sz="4" w:space="0" w:color="ADD6EA"/>
              <w:left w:val="nil"/>
              <w:bottom w:val="nil"/>
              <w:right w:val="nil"/>
            </w:tcBorders>
            <w:shd w:val="clear" w:color="000000" w:fill="B6D5E4"/>
            <w:vAlign w:val="center"/>
            <w:hideMark/>
          </w:tcPr>
          <w:p w14:paraId="1101482E"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$pc</w:t>
            </w:r>
          </w:p>
        </w:tc>
      </w:tr>
      <w:tr w:rsidR="0000207C" w:rsidRPr="0000207C" w14:paraId="3E111A05" w14:textId="77777777" w:rsidTr="00C549EC">
        <w:trPr>
          <w:trHeight w:val="315"/>
        </w:trPr>
        <w:tc>
          <w:tcPr>
            <w:tcW w:w="3477" w:type="dxa"/>
            <w:tcBorders>
              <w:top w:val="single" w:sz="4" w:space="0" w:color="ADD6EA"/>
              <w:left w:val="nil"/>
              <w:bottom w:val="nil"/>
              <w:right w:val="nil"/>
            </w:tcBorders>
            <w:shd w:val="clear" w:color="000000" w:fill="FFFFFF"/>
            <w:vAlign w:val="center"/>
            <w:hideMark/>
          </w:tcPr>
          <w:p w14:paraId="5E254085" w14:textId="6909F36E" w:rsidR="0000207C" w:rsidRPr="0000207C" w:rsidRDefault="0000207C" w:rsidP="00C549EC">
            <w:pPr>
              <w:tabs>
                <w:tab w:val="clear" w:pos="567"/>
              </w:tabs>
              <w:spacing w:before="0" w:line="240" w:lineRule="auto"/>
              <w:rPr>
                <w:rFonts w:eastAsia="Times New Roman" w:cs="Open Sans Light"/>
                <w:color w:val="000000"/>
                <w:sz w:val="16"/>
                <w:szCs w:val="16"/>
                <w:lang w:eastAsia="en-AU"/>
              </w:rPr>
            </w:pPr>
            <w:r w:rsidRPr="0000207C">
              <w:rPr>
                <w:rFonts w:eastAsia="Times New Roman" w:cs="Open Sans Light"/>
                <w:color w:val="000000"/>
                <w:sz w:val="16"/>
                <w:szCs w:val="16"/>
                <w:lang w:eastAsia="en-AU"/>
              </w:rPr>
              <w:t>Community health use indicator</w:t>
            </w:r>
          </w:p>
        </w:tc>
        <w:tc>
          <w:tcPr>
            <w:tcW w:w="600" w:type="dxa"/>
            <w:tcBorders>
              <w:top w:val="single" w:sz="4" w:space="0" w:color="ADD6EA"/>
              <w:left w:val="nil"/>
              <w:bottom w:val="nil"/>
              <w:right w:val="nil"/>
            </w:tcBorders>
            <w:shd w:val="clear" w:color="000000" w:fill="FFFFFF"/>
            <w:vAlign w:val="center"/>
            <w:hideMark/>
          </w:tcPr>
          <w:p w14:paraId="56292886"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7</w:t>
            </w:r>
          </w:p>
        </w:tc>
        <w:tc>
          <w:tcPr>
            <w:tcW w:w="598" w:type="dxa"/>
            <w:tcBorders>
              <w:top w:val="single" w:sz="4" w:space="0" w:color="ADD6EA"/>
              <w:left w:val="nil"/>
              <w:bottom w:val="nil"/>
              <w:right w:val="nil"/>
            </w:tcBorders>
            <w:shd w:val="clear" w:color="000000" w:fill="FFFFFF"/>
            <w:vAlign w:val="center"/>
            <w:hideMark/>
          </w:tcPr>
          <w:p w14:paraId="04048057"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3</w:t>
            </w:r>
          </w:p>
        </w:tc>
        <w:tc>
          <w:tcPr>
            <w:tcW w:w="598" w:type="dxa"/>
            <w:tcBorders>
              <w:top w:val="single" w:sz="4" w:space="0" w:color="ADD6EA"/>
              <w:left w:val="nil"/>
              <w:bottom w:val="nil"/>
              <w:right w:val="nil"/>
            </w:tcBorders>
            <w:shd w:val="clear" w:color="000000" w:fill="FFFFFF"/>
            <w:vAlign w:val="center"/>
            <w:hideMark/>
          </w:tcPr>
          <w:p w14:paraId="3BBC2D0C"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-6</w:t>
            </w:r>
          </w:p>
        </w:tc>
        <w:tc>
          <w:tcPr>
            <w:tcW w:w="598" w:type="dxa"/>
            <w:tcBorders>
              <w:top w:val="single" w:sz="4" w:space="0" w:color="ADD6EA"/>
              <w:left w:val="nil"/>
              <w:bottom w:val="nil"/>
              <w:right w:val="nil"/>
            </w:tcBorders>
            <w:shd w:val="clear" w:color="000000" w:fill="FFFFFF"/>
            <w:vAlign w:val="center"/>
            <w:hideMark/>
          </w:tcPr>
          <w:p w14:paraId="3D18FBFA"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9</w:t>
            </w:r>
          </w:p>
        </w:tc>
        <w:tc>
          <w:tcPr>
            <w:tcW w:w="598" w:type="dxa"/>
            <w:tcBorders>
              <w:top w:val="single" w:sz="4" w:space="0" w:color="ADD6EA"/>
              <w:left w:val="nil"/>
              <w:bottom w:val="nil"/>
              <w:right w:val="nil"/>
            </w:tcBorders>
            <w:shd w:val="clear" w:color="000000" w:fill="FFFFFF"/>
            <w:vAlign w:val="center"/>
            <w:hideMark/>
          </w:tcPr>
          <w:p w14:paraId="02877EC4"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-4</w:t>
            </w:r>
          </w:p>
        </w:tc>
        <w:tc>
          <w:tcPr>
            <w:tcW w:w="598" w:type="dxa"/>
            <w:tcBorders>
              <w:top w:val="single" w:sz="4" w:space="0" w:color="ADD6EA"/>
              <w:left w:val="nil"/>
              <w:bottom w:val="nil"/>
              <w:right w:val="nil"/>
            </w:tcBorders>
            <w:shd w:val="clear" w:color="000000" w:fill="FFFFFF"/>
            <w:vAlign w:val="center"/>
            <w:hideMark/>
          </w:tcPr>
          <w:p w14:paraId="2316C99F"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-19</w:t>
            </w:r>
          </w:p>
        </w:tc>
        <w:tc>
          <w:tcPr>
            <w:tcW w:w="599" w:type="dxa"/>
            <w:tcBorders>
              <w:top w:val="single" w:sz="4" w:space="0" w:color="ADD6EA"/>
              <w:left w:val="nil"/>
              <w:bottom w:val="nil"/>
              <w:right w:val="nil"/>
            </w:tcBorders>
            <w:shd w:val="clear" w:color="000000" w:fill="FFFFFF"/>
            <w:vAlign w:val="center"/>
            <w:hideMark/>
          </w:tcPr>
          <w:p w14:paraId="3C4196E1"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65</w:t>
            </w:r>
          </w:p>
        </w:tc>
        <w:tc>
          <w:tcPr>
            <w:tcW w:w="598" w:type="dxa"/>
            <w:tcBorders>
              <w:top w:val="single" w:sz="4" w:space="0" w:color="ADD6EA"/>
              <w:left w:val="nil"/>
              <w:bottom w:val="nil"/>
              <w:right w:val="nil"/>
            </w:tcBorders>
            <w:shd w:val="clear" w:color="000000" w:fill="FFFFFF"/>
            <w:vAlign w:val="center"/>
            <w:hideMark/>
          </w:tcPr>
          <w:p w14:paraId="3B461679"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-341</w:t>
            </w:r>
          </w:p>
        </w:tc>
        <w:tc>
          <w:tcPr>
            <w:tcW w:w="656" w:type="dxa"/>
            <w:tcBorders>
              <w:top w:val="single" w:sz="4" w:space="0" w:color="ADD6EA"/>
              <w:left w:val="nil"/>
              <w:bottom w:val="nil"/>
              <w:right w:val="nil"/>
            </w:tcBorders>
            <w:shd w:val="clear" w:color="000000" w:fill="FFFFFF"/>
            <w:vAlign w:val="center"/>
            <w:hideMark/>
          </w:tcPr>
          <w:p w14:paraId="0AD8E68B"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5</w:t>
            </w:r>
          </w:p>
        </w:tc>
      </w:tr>
      <w:tr w:rsidR="0000207C" w:rsidRPr="0000207C" w14:paraId="3F139279" w14:textId="77777777" w:rsidTr="00C549EC">
        <w:trPr>
          <w:trHeight w:val="315"/>
        </w:trPr>
        <w:tc>
          <w:tcPr>
            <w:tcW w:w="3477" w:type="dxa"/>
            <w:tcBorders>
              <w:top w:val="single" w:sz="4" w:space="0" w:color="ADD6EA"/>
              <w:left w:val="nil"/>
              <w:bottom w:val="nil"/>
              <w:right w:val="nil"/>
            </w:tcBorders>
            <w:shd w:val="clear" w:color="000000" w:fill="FFFFFF"/>
            <w:vAlign w:val="center"/>
            <w:hideMark/>
          </w:tcPr>
          <w:p w14:paraId="311FFC26" w14:textId="6F742173" w:rsidR="0000207C" w:rsidRPr="0000207C" w:rsidRDefault="00715EFF" w:rsidP="00C549EC">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New ambulatory community m</w:t>
            </w:r>
            <w:r w:rsidRPr="00586F27">
              <w:rPr>
                <w:rFonts w:eastAsia="Times New Roman" w:cs="Open Sans Light"/>
                <w:color w:val="000000"/>
                <w:sz w:val="16"/>
                <w:szCs w:val="16"/>
                <w:lang w:eastAsia="en-AU"/>
              </w:rPr>
              <w:t>ental health</w:t>
            </w:r>
            <w:r>
              <w:rPr>
                <w:rFonts w:eastAsia="Times New Roman" w:cs="Open Sans Light"/>
                <w:color w:val="000000"/>
                <w:sz w:val="16"/>
                <w:szCs w:val="16"/>
                <w:lang w:eastAsia="en-AU"/>
              </w:rPr>
              <w:t xml:space="preserve"> assessment</w:t>
            </w:r>
          </w:p>
        </w:tc>
        <w:tc>
          <w:tcPr>
            <w:tcW w:w="600" w:type="dxa"/>
            <w:tcBorders>
              <w:top w:val="single" w:sz="4" w:space="0" w:color="ADD6EA"/>
              <w:left w:val="nil"/>
              <w:bottom w:val="nil"/>
              <w:right w:val="nil"/>
            </w:tcBorders>
            <w:shd w:val="clear" w:color="000000" w:fill="FFFFFF"/>
            <w:vAlign w:val="center"/>
            <w:hideMark/>
          </w:tcPr>
          <w:p w14:paraId="3318F87A"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11</w:t>
            </w:r>
          </w:p>
        </w:tc>
        <w:tc>
          <w:tcPr>
            <w:tcW w:w="598" w:type="dxa"/>
            <w:tcBorders>
              <w:top w:val="single" w:sz="4" w:space="0" w:color="ADD6EA"/>
              <w:left w:val="nil"/>
              <w:bottom w:val="nil"/>
              <w:right w:val="nil"/>
            </w:tcBorders>
            <w:shd w:val="clear" w:color="000000" w:fill="FFFFFF"/>
            <w:vAlign w:val="center"/>
            <w:hideMark/>
          </w:tcPr>
          <w:p w14:paraId="60011C69"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11</w:t>
            </w:r>
          </w:p>
        </w:tc>
        <w:tc>
          <w:tcPr>
            <w:tcW w:w="598" w:type="dxa"/>
            <w:tcBorders>
              <w:top w:val="single" w:sz="4" w:space="0" w:color="ADD6EA"/>
              <w:left w:val="nil"/>
              <w:bottom w:val="nil"/>
              <w:right w:val="nil"/>
            </w:tcBorders>
            <w:shd w:val="clear" w:color="000000" w:fill="FFFFFF"/>
            <w:vAlign w:val="center"/>
            <w:hideMark/>
          </w:tcPr>
          <w:p w14:paraId="25ABDBE9"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-5</w:t>
            </w:r>
          </w:p>
        </w:tc>
        <w:tc>
          <w:tcPr>
            <w:tcW w:w="598" w:type="dxa"/>
            <w:tcBorders>
              <w:top w:val="single" w:sz="4" w:space="0" w:color="ADD6EA"/>
              <w:left w:val="nil"/>
              <w:bottom w:val="nil"/>
              <w:right w:val="nil"/>
            </w:tcBorders>
            <w:shd w:val="clear" w:color="000000" w:fill="FFFFFF"/>
            <w:vAlign w:val="center"/>
            <w:hideMark/>
          </w:tcPr>
          <w:p w14:paraId="4D204579"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-23</w:t>
            </w:r>
          </w:p>
        </w:tc>
        <w:tc>
          <w:tcPr>
            <w:tcW w:w="598" w:type="dxa"/>
            <w:tcBorders>
              <w:top w:val="single" w:sz="4" w:space="0" w:color="ADD6EA"/>
              <w:left w:val="nil"/>
              <w:bottom w:val="nil"/>
              <w:right w:val="nil"/>
            </w:tcBorders>
            <w:shd w:val="clear" w:color="000000" w:fill="FFFFFF"/>
            <w:vAlign w:val="center"/>
            <w:hideMark/>
          </w:tcPr>
          <w:p w14:paraId="6A1605E7"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-9</w:t>
            </w:r>
          </w:p>
        </w:tc>
        <w:tc>
          <w:tcPr>
            <w:tcW w:w="598" w:type="dxa"/>
            <w:tcBorders>
              <w:top w:val="single" w:sz="4" w:space="0" w:color="ADD6EA"/>
              <w:left w:val="nil"/>
              <w:bottom w:val="nil"/>
              <w:right w:val="nil"/>
            </w:tcBorders>
            <w:shd w:val="clear" w:color="000000" w:fill="FFFFFF"/>
            <w:vAlign w:val="center"/>
            <w:hideMark/>
          </w:tcPr>
          <w:p w14:paraId="69ED4BAD"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-59</w:t>
            </w:r>
          </w:p>
        </w:tc>
        <w:tc>
          <w:tcPr>
            <w:tcW w:w="599" w:type="dxa"/>
            <w:tcBorders>
              <w:top w:val="single" w:sz="4" w:space="0" w:color="ADD6EA"/>
              <w:left w:val="nil"/>
              <w:bottom w:val="nil"/>
              <w:right w:val="nil"/>
            </w:tcBorders>
            <w:shd w:val="clear" w:color="000000" w:fill="FFFFFF"/>
            <w:vAlign w:val="center"/>
            <w:hideMark/>
          </w:tcPr>
          <w:p w14:paraId="4F7D271B"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-5</w:t>
            </w:r>
          </w:p>
        </w:tc>
        <w:tc>
          <w:tcPr>
            <w:tcW w:w="598" w:type="dxa"/>
            <w:tcBorders>
              <w:top w:val="single" w:sz="4" w:space="0" w:color="ADD6EA"/>
              <w:left w:val="nil"/>
              <w:bottom w:val="nil"/>
              <w:right w:val="nil"/>
            </w:tcBorders>
            <w:shd w:val="clear" w:color="000000" w:fill="FFFFFF"/>
            <w:vAlign w:val="center"/>
            <w:hideMark/>
          </w:tcPr>
          <w:p w14:paraId="0F5208EF"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-110</w:t>
            </w:r>
          </w:p>
        </w:tc>
        <w:tc>
          <w:tcPr>
            <w:tcW w:w="656" w:type="dxa"/>
            <w:tcBorders>
              <w:top w:val="single" w:sz="4" w:space="0" w:color="ADD6EA"/>
              <w:left w:val="nil"/>
              <w:bottom w:val="nil"/>
              <w:right w:val="nil"/>
            </w:tcBorders>
            <w:shd w:val="clear" w:color="000000" w:fill="FFFFFF"/>
            <w:vAlign w:val="center"/>
            <w:hideMark/>
          </w:tcPr>
          <w:p w14:paraId="592D6F4C"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6</w:t>
            </w:r>
          </w:p>
        </w:tc>
      </w:tr>
      <w:tr w:rsidR="0000207C" w:rsidRPr="0000207C" w14:paraId="30640D76" w14:textId="77777777" w:rsidTr="00C549EC">
        <w:trPr>
          <w:trHeight w:val="315"/>
        </w:trPr>
        <w:tc>
          <w:tcPr>
            <w:tcW w:w="3477" w:type="dxa"/>
            <w:tcBorders>
              <w:top w:val="single" w:sz="4" w:space="0" w:color="ADD6EA"/>
              <w:left w:val="nil"/>
              <w:bottom w:val="nil"/>
              <w:right w:val="nil"/>
            </w:tcBorders>
            <w:shd w:val="clear" w:color="000000" w:fill="FFFFFF"/>
            <w:vAlign w:val="center"/>
            <w:hideMark/>
          </w:tcPr>
          <w:p w14:paraId="6CE6F9F4" w14:textId="4E55941F" w:rsidR="0000207C" w:rsidRPr="0000207C" w:rsidRDefault="00715EFF" w:rsidP="00C549EC">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Admitted patient n</w:t>
            </w:r>
            <w:r w:rsidRPr="00586F27">
              <w:rPr>
                <w:rFonts w:eastAsia="Times New Roman" w:cs="Open Sans Light"/>
                <w:color w:val="000000"/>
                <w:sz w:val="16"/>
                <w:szCs w:val="16"/>
                <w:lang w:eastAsia="en-AU"/>
              </w:rPr>
              <w:t>on</w:t>
            </w:r>
            <w:r w:rsidR="0000207C" w:rsidRPr="0000207C">
              <w:rPr>
                <w:rFonts w:eastAsia="Times New Roman" w:cs="Open Sans Light"/>
                <w:color w:val="000000"/>
                <w:sz w:val="16"/>
                <w:szCs w:val="16"/>
                <w:lang w:eastAsia="en-AU"/>
              </w:rPr>
              <w:t>-state sector indicator</w:t>
            </w:r>
          </w:p>
        </w:tc>
        <w:tc>
          <w:tcPr>
            <w:tcW w:w="600" w:type="dxa"/>
            <w:tcBorders>
              <w:top w:val="single" w:sz="4" w:space="0" w:color="ADD6EA"/>
              <w:left w:val="nil"/>
              <w:bottom w:val="nil"/>
              <w:right w:val="nil"/>
            </w:tcBorders>
            <w:shd w:val="clear" w:color="000000" w:fill="FFFFFF"/>
            <w:vAlign w:val="center"/>
            <w:hideMark/>
          </w:tcPr>
          <w:p w14:paraId="74100936"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8</w:t>
            </w:r>
          </w:p>
        </w:tc>
        <w:tc>
          <w:tcPr>
            <w:tcW w:w="598" w:type="dxa"/>
            <w:tcBorders>
              <w:top w:val="single" w:sz="4" w:space="0" w:color="ADD6EA"/>
              <w:left w:val="nil"/>
              <w:bottom w:val="nil"/>
              <w:right w:val="nil"/>
            </w:tcBorders>
            <w:shd w:val="clear" w:color="000000" w:fill="FFFFFF"/>
            <w:vAlign w:val="center"/>
            <w:hideMark/>
          </w:tcPr>
          <w:p w14:paraId="263E5B53"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5</w:t>
            </w:r>
          </w:p>
        </w:tc>
        <w:tc>
          <w:tcPr>
            <w:tcW w:w="598" w:type="dxa"/>
            <w:tcBorders>
              <w:top w:val="single" w:sz="4" w:space="0" w:color="ADD6EA"/>
              <w:left w:val="nil"/>
              <w:bottom w:val="nil"/>
              <w:right w:val="nil"/>
            </w:tcBorders>
            <w:shd w:val="clear" w:color="000000" w:fill="FFFFFF"/>
            <w:vAlign w:val="center"/>
            <w:hideMark/>
          </w:tcPr>
          <w:p w14:paraId="4142389F"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25</w:t>
            </w:r>
          </w:p>
        </w:tc>
        <w:tc>
          <w:tcPr>
            <w:tcW w:w="598" w:type="dxa"/>
            <w:tcBorders>
              <w:top w:val="single" w:sz="4" w:space="0" w:color="ADD6EA"/>
              <w:left w:val="nil"/>
              <w:bottom w:val="nil"/>
              <w:right w:val="nil"/>
            </w:tcBorders>
            <w:shd w:val="clear" w:color="000000" w:fill="FFFFFF"/>
            <w:vAlign w:val="center"/>
            <w:hideMark/>
          </w:tcPr>
          <w:p w14:paraId="248311D1"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-81</w:t>
            </w:r>
          </w:p>
        </w:tc>
        <w:tc>
          <w:tcPr>
            <w:tcW w:w="598" w:type="dxa"/>
            <w:tcBorders>
              <w:top w:val="single" w:sz="4" w:space="0" w:color="ADD6EA"/>
              <w:left w:val="nil"/>
              <w:bottom w:val="nil"/>
              <w:right w:val="nil"/>
            </w:tcBorders>
            <w:shd w:val="clear" w:color="000000" w:fill="FFFFFF"/>
            <w:vAlign w:val="center"/>
            <w:hideMark/>
          </w:tcPr>
          <w:p w14:paraId="534F4189"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-9</w:t>
            </w:r>
          </w:p>
        </w:tc>
        <w:tc>
          <w:tcPr>
            <w:tcW w:w="598" w:type="dxa"/>
            <w:tcBorders>
              <w:top w:val="single" w:sz="4" w:space="0" w:color="ADD6EA"/>
              <w:left w:val="nil"/>
              <w:bottom w:val="nil"/>
              <w:right w:val="nil"/>
            </w:tcBorders>
            <w:shd w:val="clear" w:color="000000" w:fill="FFFFFF"/>
            <w:vAlign w:val="center"/>
            <w:hideMark/>
          </w:tcPr>
          <w:p w14:paraId="229210F8"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56</w:t>
            </w:r>
          </w:p>
        </w:tc>
        <w:tc>
          <w:tcPr>
            <w:tcW w:w="599" w:type="dxa"/>
            <w:tcBorders>
              <w:top w:val="single" w:sz="4" w:space="0" w:color="ADD6EA"/>
              <w:left w:val="nil"/>
              <w:bottom w:val="nil"/>
              <w:right w:val="nil"/>
            </w:tcBorders>
            <w:shd w:val="clear" w:color="000000" w:fill="FFFFFF"/>
            <w:vAlign w:val="center"/>
            <w:hideMark/>
          </w:tcPr>
          <w:p w14:paraId="58A1B8A8"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-35</w:t>
            </w:r>
          </w:p>
        </w:tc>
        <w:tc>
          <w:tcPr>
            <w:tcW w:w="598" w:type="dxa"/>
            <w:tcBorders>
              <w:top w:val="single" w:sz="4" w:space="0" w:color="ADD6EA"/>
              <w:left w:val="nil"/>
              <w:bottom w:val="nil"/>
              <w:right w:val="nil"/>
            </w:tcBorders>
            <w:shd w:val="clear" w:color="000000" w:fill="FFFFFF"/>
            <w:vAlign w:val="center"/>
            <w:hideMark/>
          </w:tcPr>
          <w:p w14:paraId="4F35F892"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-4</w:t>
            </w:r>
          </w:p>
        </w:tc>
        <w:tc>
          <w:tcPr>
            <w:tcW w:w="656" w:type="dxa"/>
            <w:tcBorders>
              <w:top w:val="single" w:sz="4" w:space="0" w:color="ADD6EA"/>
              <w:left w:val="nil"/>
              <w:bottom w:val="nil"/>
              <w:right w:val="nil"/>
            </w:tcBorders>
            <w:shd w:val="clear" w:color="000000" w:fill="FFFFFF"/>
            <w:vAlign w:val="center"/>
            <w:hideMark/>
          </w:tcPr>
          <w:p w14:paraId="648DD653"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10</w:t>
            </w:r>
          </w:p>
        </w:tc>
      </w:tr>
      <w:tr w:rsidR="0000207C" w:rsidRPr="0000207C" w14:paraId="67D26538" w14:textId="77777777" w:rsidTr="00C549EC">
        <w:trPr>
          <w:trHeight w:val="315"/>
        </w:trPr>
        <w:tc>
          <w:tcPr>
            <w:tcW w:w="3477" w:type="dxa"/>
            <w:tcBorders>
              <w:top w:val="single" w:sz="4" w:space="0" w:color="ADD6EA"/>
              <w:left w:val="nil"/>
              <w:bottom w:val="nil"/>
              <w:right w:val="nil"/>
            </w:tcBorders>
            <w:shd w:val="clear" w:color="000000" w:fill="FFFFFF"/>
            <w:vAlign w:val="center"/>
            <w:hideMark/>
          </w:tcPr>
          <w:p w14:paraId="09654382" w14:textId="2575E5B7" w:rsidR="0000207C" w:rsidRPr="0000207C" w:rsidRDefault="0000207C" w:rsidP="00C549EC">
            <w:pPr>
              <w:tabs>
                <w:tab w:val="clear" w:pos="567"/>
              </w:tabs>
              <w:spacing w:before="0" w:line="240" w:lineRule="auto"/>
              <w:rPr>
                <w:rFonts w:eastAsia="Times New Roman" w:cs="Open Sans Light"/>
                <w:color w:val="000000"/>
                <w:sz w:val="16"/>
                <w:szCs w:val="16"/>
                <w:lang w:eastAsia="en-AU"/>
              </w:rPr>
            </w:pPr>
            <w:r w:rsidRPr="0000207C">
              <w:rPr>
                <w:rFonts w:eastAsia="Times New Roman" w:cs="Open Sans Light"/>
                <w:color w:val="000000"/>
                <w:sz w:val="16"/>
                <w:szCs w:val="16"/>
                <w:lang w:eastAsia="en-AU"/>
              </w:rPr>
              <w:t xml:space="preserve">Cross </w:t>
            </w:r>
            <w:r w:rsidR="00715EFF">
              <w:rPr>
                <w:rFonts w:eastAsia="Times New Roman" w:cs="Open Sans Light"/>
                <w:color w:val="000000"/>
                <w:sz w:val="16"/>
                <w:szCs w:val="16"/>
                <w:lang w:eastAsia="en-AU"/>
              </w:rPr>
              <w:t>b</w:t>
            </w:r>
            <w:r w:rsidR="00715EFF" w:rsidRPr="0000207C">
              <w:rPr>
                <w:rFonts w:eastAsia="Times New Roman" w:cs="Open Sans Light"/>
                <w:color w:val="000000"/>
                <w:sz w:val="16"/>
                <w:szCs w:val="16"/>
                <w:lang w:eastAsia="en-AU"/>
              </w:rPr>
              <w:t>order</w:t>
            </w:r>
          </w:p>
        </w:tc>
        <w:tc>
          <w:tcPr>
            <w:tcW w:w="600" w:type="dxa"/>
            <w:tcBorders>
              <w:top w:val="single" w:sz="4" w:space="0" w:color="ADD6EA"/>
              <w:left w:val="nil"/>
              <w:bottom w:val="nil"/>
              <w:right w:val="nil"/>
            </w:tcBorders>
            <w:shd w:val="clear" w:color="000000" w:fill="FFFFFF"/>
            <w:vAlign w:val="center"/>
            <w:hideMark/>
          </w:tcPr>
          <w:p w14:paraId="0CDB8B53"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w:t>
            </w:r>
          </w:p>
        </w:tc>
        <w:tc>
          <w:tcPr>
            <w:tcW w:w="598" w:type="dxa"/>
            <w:tcBorders>
              <w:top w:val="single" w:sz="4" w:space="0" w:color="ADD6EA"/>
              <w:left w:val="nil"/>
              <w:bottom w:val="nil"/>
              <w:right w:val="nil"/>
            </w:tcBorders>
            <w:shd w:val="clear" w:color="000000" w:fill="FFFFFF"/>
            <w:vAlign w:val="center"/>
            <w:hideMark/>
          </w:tcPr>
          <w:p w14:paraId="5D7CB25D"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13D37101"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31A2F753"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53F6FB53"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451486A1"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9" w:type="dxa"/>
            <w:tcBorders>
              <w:top w:val="single" w:sz="4" w:space="0" w:color="ADD6EA"/>
              <w:left w:val="nil"/>
              <w:bottom w:val="nil"/>
              <w:right w:val="nil"/>
            </w:tcBorders>
            <w:shd w:val="clear" w:color="000000" w:fill="FFFFFF"/>
            <w:vAlign w:val="center"/>
            <w:hideMark/>
          </w:tcPr>
          <w:p w14:paraId="3F7DA269"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22</w:t>
            </w:r>
          </w:p>
        </w:tc>
        <w:tc>
          <w:tcPr>
            <w:tcW w:w="598" w:type="dxa"/>
            <w:tcBorders>
              <w:top w:val="single" w:sz="4" w:space="0" w:color="ADD6EA"/>
              <w:left w:val="nil"/>
              <w:bottom w:val="nil"/>
              <w:right w:val="nil"/>
            </w:tcBorders>
            <w:shd w:val="clear" w:color="000000" w:fill="FFFFFF"/>
            <w:vAlign w:val="center"/>
            <w:hideMark/>
          </w:tcPr>
          <w:p w14:paraId="51CC5A67"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656" w:type="dxa"/>
            <w:tcBorders>
              <w:top w:val="single" w:sz="4" w:space="0" w:color="ADD6EA"/>
              <w:left w:val="nil"/>
              <w:bottom w:val="nil"/>
              <w:right w:val="nil"/>
            </w:tcBorders>
            <w:shd w:val="clear" w:color="000000" w:fill="FFFFFF"/>
            <w:vAlign w:val="center"/>
            <w:hideMark/>
          </w:tcPr>
          <w:p w14:paraId="27B50D77"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r>
      <w:tr w:rsidR="0000207C" w:rsidRPr="0000207C" w14:paraId="37BC81E6" w14:textId="77777777" w:rsidTr="00C549EC">
        <w:trPr>
          <w:trHeight w:val="300"/>
        </w:trPr>
        <w:tc>
          <w:tcPr>
            <w:tcW w:w="3477" w:type="dxa"/>
            <w:tcBorders>
              <w:top w:val="single" w:sz="4" w:space="0" w:color="ADD6EA"/>
              <w:left w:val="nil"/>
              <w:bottom w:val="nil"/>
              <w:right w:val="nil"/>
            </w:tcBorders>
            <w:shd w:val="clear" w:color="000000" w:fill="FFFFFF"/>
            <w:vAlign w:val="center"/>
            <w:hideMark/>
          </w:tcPr>
          <w:p w14:paraId="0D821121" w14:textId="3C09384A" w:rsidR="0000207C" w:rsidRPr="0000207C" w:rsidRDefault="00715EFF" w:rsidP="00C549EC">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Non-hospital patient transport</w:t>
            </w:r>
          </w:p>
        </w:tc>
        <w:tc>
          <w:tcPr>
            <w:tcW w:w="600" w:type="dxa"/>
            <w:tcBorders>
              <w:top w:val="single" w:sz="4" w:space="0" w:color="ADD6EA"/>
              <w:left w:val="nil"/>
              <w:bottom w:val="nil"/>
              <w:right w:val="nil"/>
            </w:tcBorders>
            <w:shd w:val="clear" w:color="000000" w:fill="FFFFFF"/>
            <w:vAlign w:val="center"/>
            <w:hideMark/>
          </w:tcPr>
          <w:p w14:paraId="51D7D529"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w:t>
            </w:r>
          </w:p>
        </w:tc>
        <w:tc>
          <w:tcPr>
            <w:tcW w:w="598" w:type="dxa"/>
            <w:tcBorders>
              <w:top w:val="single" w:sz="4" w:space="0" w:color="ADD6EA"/>
              <w:left w:val="nil"/>
              <w:bottom w:val="nil"/>
              <w:right w:val="nil"/>
            </w:tcBorders>
            <w:shd w:val="clear" w:color="000000" w:fill="FFFFFF"/>
            <w:vAlign w:val="center"/>
            <w:hideMark/>
          </w:tcPr>
          <w:p w14:paraId="60196C3F"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w:t>
            </w:r>
          </w:p>
        </w:tc>
        <w:tc>
          <w:tcPr>
            <w:tcW w:w="598" w:type="dxa"/>
            <w:tcBorders>
              <w:top w:val="single" w:sz="4" w:space="0" w:color="ADD6EA"/>
              <w:left w:val="nil"/>
              <w:bottom w:val="nil"/>
              <w:right w:val="nil"/>
            </w:tcBorders>
            <w:shd w:val="clear" w:color="000000" w:fill="FFFFFF"/>
            <w:vAlign w:val="center"/>
            <w:hideMark/>
          </w:tcPr>
          <w:p w14:paraId="4A5A8B5F"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0EA1973A"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-3</w:t>
            </w:r>
          </w:p>
        </w:tc>
        <w:tc>
          <w:tcPr>
            <w:tcW w:w="598" w:type="dxa"/>
            <w:tcBorders>
              <w:top w:val="single" w:sz="4" w:space="0" w:color="ADD6EA"/>
              <w:left w:val="nil"/>
              <w:bottom w:val="nil"/>
              <w:right w:val="nil"/>
            </w:tcBorders>
            <w:shd w:val="clear" w:color="000000" w:fill="FFFFFF"/>
            <w:vAlign w:val="center"/>
            <w:hideMark/>
          </w:tcPr>
          <w:p w14:paraId="68334C22"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12FC99CF"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w:t>
            </w:r>
          </w:p>
        </w:tc>
        <w:tc>
          <w:tcPr>
            <w:tcW w:w="599" w:type="dxa"/>
            <w:tcBorders>
              <w:top w:val="single" w:sz="4" w:space="0" w:color="ADD6EA"/>
              <w:left w:val="nil"/>
              <w:bottom w:val="nil"/>
              <w:right w:val="nil"/>
            </w:tcBorders>
            <w:shd w:val="clear" w:color="000000" w:fill="FFFFFF"/>
            <w:vAlign w:val="center"/>
            <w:hideMark/>
          </w:tcPr>
          <w:p w14:paraId="7FA54B6C"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0</w:t>
            </w:r>
          </w:p>
        </w:tc>
        <w:tc>
          <w:tcPr>
            <w:tcW w:w="598" w:type="dxa"/>
            <w:tcBorders>
              <w:top w:val="single" w:sz="4" w:space="0" w:color="ADD6EA"/>
              <w:left w:val="nil"/>
              <w:bottom w:val="nil"/>
              <w:right w:val="nil"/>
            </w:tcBorders>
            <w:shd w:val="clear" w:color="000000" w:fill="FFFFFF"/>
            <w:vAlign w:val="center"/>
            <w:hideMark/>
          </w:tcPr>
          <w:p w14:paraId="034B7B67"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-26</w:t>
            </w:r>
          </w:p>
        </w:tc>
        <w:tc>
          <w:tcPr>
            <w:tcW w:w="656" w:type="dxa"/>
            <w:tcBorders>
              <w:top w:val="single" w:sz="4" w:space="0" w:color="ADD6EA"/>
              <w:left w:val="nil"/>
              <w:bottom w:val="nil"/>
              <w:right w:val="nil"/>
            </w:tcBorders>
            <w:shd w:val="clear" w:color="000000" w:fill="FFFFFF"/>
            <w:vAlign w:val="center"/>
            <w:hideMark/>
          </w:tcPr>
          <w:p w14:paraId="01C9D9FD" w14:textId="77777777" w:rsidR="0000207C" w:rsidRPr="0000207C" w:rsidRDefault="0000207C" w:rsidP="00C549EC">
            <w:pPr>
              <w:tabs>
                <w:tab w:val="clear" w:pos="567"/>
              </w:tabs>
              <w:spacing w:before="0" w:line="240" w:lineRule="auto"/>
              <w:jc w:val="right"/>
              <w:rPr>
                <w:rFonts w:eastAsia="Times New Roman" w:cs="Open Sans Light"/>
                <w:color w:val="000000"/>
                <w:sz w:val="16"/>
                <w:szCs w:val="16"/>
                <w:lang w:eastAsia="en-AU"/>
              </w:rPr>
            </w:pPr>
            <w:r w:rsidRPr="0000207C">
              <w:rPr>
                <w:rFonts w:eastAsia="Times New Roman" w:cs="Open Sans Light"/>
                <w:color w:val="000000"/>
                <w:sz w:val="16"/>
                <w:szCs w:val="16"/>
                <w:lang w:eastAsia="en-AU"/>
              </w:rPr>
              <w:t>1</w:t>
            </w:r>
          </w:p>
        </w:tc>
      </w:tr>
      <w:tr w:rsidR="0000207C" w:rsidRPr="0000207C" w14:paraId="54D566AC" w14:textId="77777777" w:rsidTr="00C549EC">
        <w:trPr>
          <w:trHeight w:val="300"/>
        </w:trPr>
        <w:tc>
          <w:tcPr>
            <w:tcW w:w="3477" w:type="dxa"/>
            <w:tcBorders>
              <w:top w:val="single" w:sz="4" w:space="0" w:color="ADD6EA"/>
              <w:left w:val="nil"/>
              <w:bottom w:val="single" w:sz="4" w:space="0" w:color="ADD6EA"/>
              <w:right w:val="nil"/>
            </w:tcBorders>
            <w:shd w:val="clear" w:color="000000" w:fill="D6E7F0"/>
            <w:vAlign w:val="center"/>
            <w:hideMark/>
          </w:tcPr>
          <w:p w14:paraId="55D02DDD" w14:textId="77777777" w:rsidR="0000207C" w:rsidRPr="0000207C" w:rsidRDefault="0000207C" w:rsidP="00C549EC">
            <w:pPr>
              <w:tabs>
                <w:tab w:val="clear" w:pos="567"/>
              </w:tabs>
              <w:spacing w:before="0" w:line="240" w:lineRule="auto"/>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single" w:sz="4" w:space="0" w:color="ADD6EA"/>
              <w:right w:val="nil"/>
            </w:tcBorders>
            <w:shd w:val="clear" w:color="000000" w:fill="D6E7F0"/>
            <w:vAlign w:val="center"/>
            <w:hideMark/>
          </w:tcPr>
          <w:p w14:paraId="2E7C5D44"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26</w:t>
            </w:r>
          </w:p>
        </w:tc>
        <w:tc>
          <w:tcPr>
            <w:tcW w:w="598" w:type="dxa"/>
            <w:tcBorders>
              <w:top w:val="single" w:sz="4" w:space="0" w:color="ADD6EA"/>
              <w:left w:val="nil"/>
              <w:bottom w:val="single" w:sz="4" w:space="0" w:color="ADD6EA"/>
              <w:right w:val="nil"/>
            </w:tcBorders>
            <w:shd w:val="clear" w:color="000000" w:fill="D6E7F0"/>
            <w:vAlign w:val="center"/>
            <w:hideMark/>
          </w:tcPr>
          <w:p w14:paraId="7412B558"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20</w:t>
            </w:r>
          </w:p>
        </w:tc>
        <w:tc>
          <w:tcPr>
            <w:tcW w:w="598" w:type="dxa"/>
            <w:tcBorders>
              <w:top w:val="single" w:sz="4" w:space="0" w:color="ADD6EA"/>
              <w:left w:val="nil"/>
              <w:bottom w:val="single" w:sz="4" w:space="0" w:color="ADD6EA"/>
              <w:right w:val="nil"/>
            </w:tcBorders>
            <w:shd w:val="clear" w:color="000000" w:fill="D6E7F0"/>
            <w:vAlign w:val="center"/>
            <w:hideMark/>
          </w:tcPr>
          <w:p w14:paraId="0CC3E14A"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14</w:t>
            </w:r>
          </w:p>
        </w:tc>
        <w:tc>
          <w:tcPr>
            <w:tcW w:w="598" w:type="dxa"/>
            <w:tcBorders>
              <w:top w:val="single" w:sz="4" w:space="0" w:color="ADD6EA"/>
              <w:left w:val="nil"/>
              <w:bottom w:val="single" w:sz="4" w:space="0" w:color="ADD6EA"/>
              <w:right w:val="nil"/>
            </w:tcBorders>
            <w:shd w:val="clear" w:color="000000" w:fill="D6E7F0"/>
            <w:vAlign w:val="center"/>
            <w:hideMark/>
          </w:tcPr>
          <w:p w14:paraId="51A69226"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-98</w:t>
            </w:r>
          </w:p>
        </w:tc>
        <w:tc>
          <w:tcPr>
            <w:tcW w:w="598" w:type="dxa"/>
            <w:tcBorders>
              <w:top w:val="single" w:sz="4" w:space="0" w:color="ADD6EA"/>
              <w:left w:val="nil"/>
              <w:bottom w:val="single" w:sz="4" w:space="0" w:color="ADD6EA"/>
              <w:right w:val="nil"/>
            </w:tcBorders>
            <w:shd w:val="clear" w:color="000000" w:fill="D6E7F0"/>
            <w:vAlign w:val="center"/>
            <w:hideMark/>
          </w:tcPr>
          <w:p w14:paraId="7E419378"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-22</w:t>
            </w:r>
          </w:p>
        </w:tc>
        <w:tc>
          <w:tcPr>
            <w:tcW w:w="598" w:type="dxa"/>
            <w:tcBorders>
              <w:top w:val="single" w:sz="4" w:space="0" w:color="ADD6EA"/>
              <w:left w:val="nil"/>
              <w:bottom w:val="single" w:sz="4" w:space="0" w:color="ADD6EA"/>
              <w:right w:val="nil"/>
            </w:tcBorders>
            <w:shd w:val="clear" w:color="000000" w:fill="D6E7F0"/>
            <w:vAlign w:val="center"/>
            <w:hideMark/>
          </w:tcPr>
          <w:p w14:paraId="34C3505D"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-20</w:t>
            </w:r>
          </w:p>
        </w:tc>
        <w:tc>
          <w:tcPr>
            <w:tcW w:w="599" w:type="dxa"/>
            <w:tcBorders>
              <w:top w:val="single" w:sz="4" w:space="0" w:color="ADD6EA"/>
              <w:left w:val="nil"/>
              <w:bottom w:val="single" w:sz="4" w:space="0" w:color="ADD6EA"/>
              <w:right w:val="nil"/>
            </w:tcBorders>
            <w:shd w:val="clear" w:color="000000" w:fill="D6E7F0"/>
            <w:vAlign w:val="center"/>
            <w:hideMark/>
          </w:tcPr>
          <w:p w14:paraId="43EEDDAC"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47</w:t>
            </w:r>
          </w:p>
        </w:tc>
        <w:tc>
          <w:tcPr>
            <w:tcW w:w="598" w:type="dxa"/>
            <w:tcBorders>
              <w:top w:val="single" w:sz="4" w:space="0" w:color="ADD6EA"/>
              <w:left w:val="nil"/>
              <w:bottom w:val="single" w:sz="4" w:space="0" w:color="ADD6EA"/>
              <w:right w:val="nil"/>
            </w:tcBorders>
            <w:shd w:val="clear" w:color="000000" w:fill="D6E7F0"/>
            <w:vAlign w:val="center"/>
            <w:hideMark/>
          </w:tcPr>
          <w:p w14:paraId="3DBAD9D0"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-481</w:t>
            </w:r>
          </w:p>
        </w:tc>
        <w:tc>
          <w:tcPr>
            <w:tcW w:w="656" w:type="dxa"/>
            <w:tcBorders>
              <w:top w:val="single" w:sz="4" w:space="0" w:color="ADD6EA"/>
              <w:left w:val="nil"/>
              <w:bottom w:val="single" w:sz="4" w:space="0" w:color="ADD6EA"/>
              <w:right w:val="nil"/>
            </w:tcBorders>
            <w:shd w:val="clear" w:color="000000" w:fill="D6E7F0"/>
            <w:vAlign w:val="center"/>
            <w:hideMark/>
          </w:tcPr>
          <w:p w14:paraId="4442E198" w14:textId="77777777" w:rsidR="0000207C" w:rsidRPr="0000207C" w:rsidRDefault="0000207C"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0207C">
              <w:rPr>
                <w:rFonts w:ascii="Open Sans Semibold" w:eastAsia="Times New Roman" w:hAnsi="Open Sans Semibold" w:cs="Open Sans Semibold"/>
                <w:color w:val="000000"/>
                <w:sz w:val="16"/>
                <w:szCs w:val="16"/>
                <w:lang w:eastAsia="en-AU"/>
              </w:rPr>
              <w:t>17</w:t>
            </w:r>
          </w:p>
        </w:tc>
      </w:tr>
    </w:tbl>
    <w:p w14:paraId="1720097D" w14:textId="54001B16" w:rsidR="00144D68" w:rsidRDefault="00E66A59" w:rsidP="00586F27">
      <w:pPr>
        <w:pStyle w:val="CGC2025TableNote"/>
        <w:keepNext/>
        <w:rPr>
          <w:lang w:eastAsia="en-AU"/>
        </w:rPr>
      </w:pPr>
      <w:r w:rsidRPr="00610740">
        <w:rPr>
          <w:lang w:eastAsia="en-AU"/>
        </w:rPr>
        <w:t>Note:</w:t>
      </w:r>
      <w:r w:rsidR="00A77E07" w:rsidRPr="00610740">
        <w:rPr>
          <w:lang w:eastAsia="en-AU"/>
        </w:rPr>
        <w:tab/>
      </w:r>
      <w:r w:rsidR="00C30EAA" w:rsidRPr="00610740">
        <w:rPr>
          <w:lang w:eastAsia="en-AU"/>
        </w:rPr>
        <w:t xml:space="preserve">The analysis </w:t>
      </w:r>
      <w:r w:rsidR="0074186C" w:rsidRPr="00610740">
        <w:rPr>
          <w:lang w:eastAsia="en-AU"/>
        </w:rPr>
        <w:t>assumes no change to the assessment of COVID</w:t>
      </w:r>
      <w:r w:rsidR="0074186C" w:rsidRPr="00610740">
        <w:rPr>
          <w:lang w:eastAsia="en-AU"/>
        </w:rPr>
        <w:noBreakHyphen/>
        <w:t xml:space="preserve">19 </w:t>
      </w:r>
      <w:r w:rsidR="00B50A63" w:rsidRPr="00610740">
        <w:rPr>
          <w:lang w:eastAsia="en-AU"/>
        </w:rPr>
        <w:t xml:space="preserve">related </w:t>
      </w:r>
      <w:r w:rsidR="0074186C" w:rsidRPr="00610740">
        <w:rPr>
          <w:lang w:eastAsia="en-AU"/>
        </w:rPr>
        <w:t>health</w:t>
      </w:r>
      <w:r w:rsidR="00B50A63" w:rsidRPr="00610740">
        <w:rPr>
          <w:lang w:eastAsia="en-AU"/>
        </w:rPr>
        <w:t xml:space="preserve"> spending.</w:t>
      </w:r>
    </w:p>
    <w:p w14:paraId="11003AA9" w14:textId="094A1722" w:rsidR="00E66A59" w:rsidRDefault="00C30EAA" w:rsidP="00586F27">
      <w:pPr>
        <w:pStyle w:val="CGC2025TableNote"/>
        <w:keepNext/>
        <w:rPr>
          <w:lang w:eastAsia="en-AU"/>
        </w:rPr>
      </w:pPr>
      <w:r>
        <w:rPr>
          <w:lang w:eastAsia="en-AU"/>
        </w:rPr>
        <w:tab/>
      </w:r>
      <w:r>
        <w:rPr>
          <w:lang w:eastAsia="en-AU"/>
        </w:rPr>
        <w:tab/>
      </w:r>
      <w:r w:rsidR="00E66A59" w:rsidRPr="00132E9F">
        <w:rPr>
          <w:lang w:eastAsia="en-AU"/>
        </w:rPr>
        <w:t>Based on no change to the wage costs assessment. The effect of these changes is shown in the wage costs chapter.</w:t>
      </w:r>
    </w:p>
    <w:p w14:paraId="50D72A1A" w14:textId="34470BEA" w:rsidR="00E66A59" w:rsidRDefault="00A77E07" w:rsidP="00586F27">
      <w:pPr>
        <w:pStyle w:val="CGC2025TableNote"/>
        <w:keepNext/>
        <w:rPr>
          <w:lang w:eastAsia="en-AU"/>
        </w:rPr>
      </w:pPr>
      <w:r>
        <w:rPr>
          <w:lang w:eastAsia="en-AU"/>
        </w:rPr>
        <w:tab/>
      </w:r>
      <w:r>
        <w:rPr>
          <w:lang w:eastAsia="en-AU"/>
        </w:rPr>
        <w:tab/>
      </w:r>
      <w:r w:rsidR="00E66A59" w:rsidRPr="00EB7D36">
        <w:rPr>
          <w:lang w:eastAsia="en-AU"/>
        </w:rPr>
        <w:t>The GST pool and population estimates are equivalent to those used in the 2024 Update.</w:t>
      </w:r>
    </w:p>
    <w:p w14:paraId="697716F0" w14:textId="3F55FCE1" w:rsidR="00E66A59" w:rsidRDefault="00A77E07" w:rsidP="00586F27">
      <w:pPr>
        <w:pStyle w:val="CGC2025TableNote"/>
        <w:keepNext/>
        <w:ind w:left="567" w:hanging="454"/>
      </w:pPr>
      <w:r>
        <w:tab/>
      </w:r>
      <w:r w:rsidR="00E66A59">
        <w:t>The data included in the table have not been subject to full quality assurance processes and as such, should be treated as indicative only.</w:t>
      </w:r>
    </w:p>
    <w:p w14:paraId="4C5448D4" w14:textId="7463D5ED" w:rsidR="00624DE0" w:rsidRDefault="00A77E07" w:rsidP="00A52B7C">
      <w:pPr>
        <w:pStyle w:val="CGC2025TableNote"/>
        <w:keepNext/>
        <w:ind w:left="567" w:hanging="454"/>
      </w:pPr>
      <w:r>
        <w:tab/>
      </w:r>
      <w:r w:rsidR="00DC73BC" w:rsidRPr="00DC73BC">
        <w:t>Indicative GST impacts are provided for illustrative purposes only and should not be used to predict impacts on GST</w:t>
      </w:r>
      <w:r w:rsidR="00C00853">
        <w:t> </w:t>
      </w:r>
      <w:r w:rsidR="00DC73BC" w:rsidRPr="00DC73BC">
        <w:t>distribution for 2025</w:t>
      </w:r>
      <w:r w:rsidR="002472FB">
        <w:t>–</w:t>
      </w:r>
      <w:r w:rsidR="00DC73BC" w:rsidRPr="00DC73BC">
        <w:t>26.</w:t>
      </w:r>
    </w:p>
    <w:p w14:paraId="4CBFB427" w14:textId="780D7F01" w:rsidR="005E6A3C" w:rsidRPr="003509DE" w:rsidRDefault="005E6A3C" w:rsidP="005E6A3C">
      <w:pPr>
        <w:pStyle w:val="Heading3"/>
      </w:pPr>
      <w:r w:rsidRPr="003509DE">
        <w:t>Impacts from COVID</w:t>
      </w:r>
      <w:r w:rsidRPr="003509DE">
        <w:noBreakHyphen/>
        <w:t xml:space="preserve">19 </w:t>
      </w:r>
      <w:proofErr w:type="gramStart"/>
      <w:r w:rsidRPr="003509DE">
        <w:t>changes</w:t>
      </w:r>
      <w:proofErr w:type="gramEnd"/>
    </w:p>
    <w:p w14:paraId="7B64FF4B" w14:textId="16993F41" w:rsidR="000C4D1C" w:rsidRPr="003509DE" w:rsidRDefault="002D4D1A" w:rsidP="00E54853">
      <w:pPr>
        <w:pStyle w:val="CGC2025ParaNumbers"/>
      </w:pPr>
      <w:r>
        <w:t>Table 22</w:t>
      </w:r>
      <w:r w:rsidR="00113820" w:rsidRPr="003509DE">
        <w:t xml:space="preserve"> </w:t>
      </w:r>
      <w:r w:rsidR="00CA3E14" w:rsidRPr="003509DE">
        <w:t>sho</w:t>
      </w:r>
      <w:r w:rsidR="002E5004" w:rsidRPr="003509DE">
        <w:t>ws t</w:t>
      </w:r>
      <w:r w:rsidR="00F53283" w:rsidRPr="003509DE">
        <w:t xml:space="preserve">he </w:t>
      </w:r>
      <w:r w:rsidR="00E54853" w:rsidRPr="003509DE">
        <w:t>indicative impact on the GST distribution in 202</w:t>
      </w:r>
      <w:r w:rsidR="005B1467" w:rsidRPr="003509DE">
        <w:t>5</w:t>
      </w:r>
      <w:r w:rsidR="00180CFF">
        <w:t>–</w:t>
      </w:r>
      <w:r w:rsidR="005B1467" w:rsidRPr="003509DE">
        <w:t>26</w:t>
      </w:r>
      <w:r w:rsidR="002E5004" w:rsidRPr="003509DE">
        <w:t xml:space="preserve"> (</w:t>
      </w:r>
      <w:r w:rsidR="00F070D4" w:rsidRPr="003509DE">
        <w:t xml:space="preserve">compared </w:t>
      </w:r>
      <w:r w:rsidR="00180CFF">
        <w:t>with</w:t>
      </w:r>
      <w:r w:rsidR="00F070D4" w:rsidRPr="003509DE">
        <w:t xml:space="preserve"> the </w:t>
      </w:r>
      <w:r w:rsidR="00880577" w:rsidRPr="003509DE">
        <w:t>2024 Update</w:t>
      </w:r>
      <w:r w:rsidR="002E5004" w:rsidRPr="003509DE">
        <w:t>)</w:t>
      </w:r>
      <w:r w:rsidR="00E54853" w:rsidRPr="003509DE">
        <w:t xml:space="preserve"> of the propos</w:t>
      </w:r>
      <w:r w:rsidR="0025123A" w:rsidRPr="003509DE">
        <w:t>al to separately assess state spending on COVID</w:t>
      </w:r>
      <w:r w:rsidR="0025123A" w:rsidRPr="003509DE">
        <w:noBreakHyphen/>
        <w:t>19</w:t>
      </w:r>
      <w:r w:rsidR="00CE66E7" w:rsidRPr="003509DE">
        <w:t>.</w:t>
      </w:r>
      <w:r w:rsidR="00913658" w:rsidRPr="003509DE">
        <w:t xml:space="preserve"> </w:t>
      </w:r>
    </w:p>
    <w:p w14:paraId="2AA9D34B" w14:textId="2E46445B" w:rsidR="00F90E5B" w:rsidRPr="003509DE" w:rsidRDefault="00406D23" w:rsidP="00D300C0">
      <w:pPr>
        <w:pStyle w:val="CGC2025ParaNumbers"/>
      </w:pPr>
      <w:r w:rsidRPr="003509DE">
        <w:t xml:space="preserve">The </w:t>
      </w:r>
      <w:r w:rsidR="00E12B9E" w:rsidRPr="003509DE">
        <w:t xml:space="preserve">change in </w:t>
      </w:r>
      <w:r w:rsidRPr="003509DE">
        <w:t>distribution</w:t>
      </w:r>
      <w:r w:rsidR="00F857DB" w:rsidRPr="003509DE">
        <w:t>s</w:t>
      </w:r>
      <w:r w:rsidRPr="003509DE">
        <w:t xml:space="preserve"> shown in the table are</w:t>
      </w:r>
      <w:r w:rsidR="00F84C5D" w:rsidRPr="003509DE">
        <w:t xml:space="preserve"> the net effect of</w:t>
      </w:r>
      <w:r w:rsidR="00F90E5B" w:rsidRPr="003509DE">
        <w:t>:</w:t>
      </w:r>
    </w:p>
    <w:p w14:paraId="0DAB4C1F" w14:textId="0B475106" w:rsidR="006642B5" w:rsidRPr="003509DE" w:rsidRDefault="006642B5" w:rsidP="006642B5">
      <w:pPr>
        <w:pStyle w:val="CGC2025Bullet1"/>
      </w:pPr>
      <w:r w:rsidRPr="003509DE">
        <w:t>assessing revenue from the Commonwealth</w:t>
      </w:r>
      <w:r w:rsidR="00212280" w:rsidRPr="003509DE">
        <w:t xml:space="preserve"> payment</w:t>
      </w:r>
      <w:r w:rsidRPr="003509DE">
        <w:t xml:space="preserve"> under the National Partnership on COVID</w:t>
      </w:r>
      <w:r w:rsidRPr="003509DE">
        <w:noBreakHyphen/>
        <w:t xml:space="preserve">19 Response on an actual per capita basis compared </w:t>
      </w:r>
      <w:r w:rsidR="00D05178">
        <w:t>with</w:t>
      </w:r>
      <w:r w:rsidRPr="003509DE">
        <w:t xml:space="preserve"> the no impact treatment of the payment in the 2024 </w:t>
      </w:r>
      <w:proofErr w:type="gramStart"/>
      <w:r w:rsidRPr="003509DE">
        <w:t>Update</w:t>
      </w:r>
      <w:proofErr w:type="gramEnd"/>
    </w:p>
    <w:p w14:paraId="77BDF42A" w14:textId="49FC08E7" w:rsidR="000A639A" w:rsidRPr="003509DE" w:rsidRDefault="000A639A" w:rsidP="006642B5">
      <w:pPr>
        <w:pStyle w:val="CGC2025Bullet1"/>
      </w:pPr>
      <w:r w:rsidRPr="003509DE">
        <w:t xml:space="preserve">assessing </w:t>
      </w:r>
      <w:r w:rsidR="00AE63DD" w:rsidRPr="003509DE">
        <w:t xml:space="preserve">state </w:t>
      </w:r>
      <w:r w:rsidR="00212280" w:rsidRPr="003509DE">
        <w:t>spending of the Commonwealth payment</w:t>
      </w:r>
      <w:r w:rsidR="00D40C9D" w:rsidRPr="003509DE">
        <w:t xml:space="preserve"> on an actual per capita basis compared </w:t>
      </w:r>
      <w:r w:rsidR="00D05178">
        <w:t>with</w:t>
      </w:r>
      <w:r w:rsidR="00D40C9D" w:rsidRPr="003509DE">
        <w:t xml:space="preserve"> </w:t>
      </w:r>
      <w:r w:rsidR="00847D42" w:rsidRPr="003509DE">
        <w:t xml:space="preserve">the exclusion of this spending from the assessment in </w:t>
      </w:r>
      <w:r w:rsidR="00D40C9D" w:rsidRPr="003509DE">
        <w:t>the 2024 </w:t>
      </w:r>
      <w:proofErr w:type="gramStart"/>
      <w:r w:rsidR="00D40C9D" w:rsidRPr="003509DE">
        <w:t>Update</w:t>
      </w:r>
      <w:proofErr w:type="gramEnd"/>
    </w:p>
    <w:p w14:paraId="0D7414AE" w14:textId="37D01A29" w:rsidR="008908A2" w:rsidRPr="003509DE" w:rsidRDefault="005C3ABE" w:rsidP="00F90E5B">
      <w:pPr>
        <w:pStyle w:val="CGC2025Bullet1"/>
      </w:pPr>
      <w:r w:rsidRPr="003509DE">
        <w:lastRenderedPageBreak/>
        <w:t>assessing</w:t>
      </w:r>
      <w:r w:rsidR="00406D23" w:rsidRPr="003509DE">
        <w:t xml:space="preserve"> </w:t>
      </w:r>
      <w:r w:rsidR="00662299" w:rsidRPr="003509DE">
        <w:t xml:space="preserve">state spending </w:t>
      </w:r>
      <w:r w:rsidR="00847D42" w:rsidRPr="003509DE">
        <w:t>from own</w:t>
      </w:r>
      <w:r w:rsidR="00847D42" w:rsidRPr="003509DE">
        <w:noBreakHyphen/>
        <w:t xml:space="preserve">source revenue </w:t>
      </w:r>
      <w:r w:rsidR="00662299" w:rsidRPr="003509DE">
        <w:t xml:space="preserve">on </w:t>
      </w:r>
      <w:r w:rsidR="005C5358" w:rsidRPr="003509DE">
        <w:t>COVID</w:t>
      </w:r>
      <w:r w:rsidR="005C5358" w:rsidRPr="003509DE">
        <w:noBreakHyphen/>
        <w:t xml:space="preserve">19 on </w:t>
      </w:r>
      <w:r w:rsidR="00662299" w:rsidRPr="003509DE">
        <w:t xml:space="preserve">an </w:t>
      </w:r>
      <w:r w:rsidR="00C27F1E" w:rsidRPr="003509DE">
        <w:t>actual</w:t>
      </w:r>
      <w:r w:rsidR="00662299" w:rsidRPr="003509DE">
        <w:t xml:space="preserve"> per capita basis</w:t>
      </w:r>
      <w:r w:rsidR="008908A2" w:rsidRPr="003509DE">
        <w:t xml:space="preserve"> compared </w:t>
      </w:r>
      <w:r w:rsidR="00D05178">
        <w:t>with</w:t>
      </w:r>
      <w:r w:rsidR="0021706D" w:rsidRPr="003509DE">
        <w:t xml:space="preserve"> </w:t>
      </w:r>
      <w:r w:rsidR="00D966D5" w:rsidRPr="003509DE">
        <w:t>asses</w:t>
      </w:r>
      <w:r w:rsidR="00322072" w:rsidRPr="003509DE">
        <w:t>sing it in the health assessment</w:t>
      </w:r>
      <w:r w:rsidR="0021706D" w:rsidRPr="003509DE">
        <w:t xml:space="preserve"> in the 2024 Update</w:t>
      </w:r>
      <w:r w:rsidR="00277FAD" w:rsidRPr="003509DE">
        <w:t>.</w:t>
      </w:r>
    </w:p>
    <w:p w14:paraId="720B6E86" w14:textId="2961DFDA" w:rsidR="00C47E1E" w:rsidRPr="00906E25" w:rsidRDefault="00D526A5" w:rsidP="00485118">
      <w:pPr>
        <w:pStyle w:val="CGC2025ParaNumbers"/>
      </w:pPr>
      <w:r w:rsidRPr="00906E25">
        <w:t>Over</w:t>
      </w:r>
      <w:r w:rsidR="0087386C" w:rsidRPr="00906E25">
        <w:t xml:space="preserve"> 2021</w:t>
      </w:r>
      <w:r w:rsidR="00D05178">
        <w:t>–</w:t>
      </w:r>
      <w:r w:rsidR="0087386C" w:rsidRPr="00906E25">
        <w:t>22 and 2022</w:t>
      </w:r>
      <w:r w:rsidR="00D05178">
        <w:t>–</w:t>
      </w:r>
      <w:r w:rsidR="0087386C" w:rsidRPr="00906E25">
        <w:t>23</w:t>
      </w:r>
      <w:r w:rsidR="007C24CD" w:rsidRPr="00906E25">
        <w:t>, New South Wales, Victoria</w:t>
      </w:r>
      <w:r w:rsidR="00F30D18" w:rsidRPr="00906E25">
        <w:t xml:space="preserve">, </w:t>
      </w:r>
      <w:proofErr w:type="gramStart"/>
      <w:r w:rsidR="00F30D18" w:rsidRPr="00906E25">
        <w:t>Tasmania</w:t>
      </w:r>
      <w:proofErr w:type="gramEnd"/>
      <w:r w:rsidR="007C24CD" w:rsidRPr="00906E25">
        <w:t xml:space="preserve"> and the Northern Territory </w:t>
      </w:r>
      <w:r w:rsidR="00582DAA" w:rsidRPr="00906E25">
        <w:t>spent</w:t>
      </w:r>
      <w:r w:rsidR="00534D2B" w:rsidRPr="00906E25">
        <w:t xml:space="preserve"> more than their per capita share o</w:t>
      </w:r>
      <w:r w:rsidR="00582DAA" w:rsidRPr="00906E25">
        <w:t>n COVID</w:t>
      </w:r>
      <w:r w:rsidR="00582DAA" w:rsidRPr="00906E25">
        <w:noBreakHyphen/>
        <w:t>19 related health services</w:t>
      </w:r>
      <w:r w:rsidR="00F30D18" w:rsidRPr="00906E25">
        <w:t xml:space="preserve">. </w:t>
      </w:r>
      <w:r w:rsidR="006C1A61" w:rsidRPr="00906E25">
        <w:t xml:space="preserve">Under an actual per capita assessment method, these states have </w:t>
      </w:r>
      <w:r w:rsidR="00F31CD9" w:rsidRPr="00906E25">
        <w:t>higher</w:t>
      </w:r>
      <w:r w:rsidR="00EE0F8E">
        <w:noBreakHyphen/>
      </w:r>
      <w:r w:rsidR="00F31CD9" w:rsidRPr="00906E25">
        <w:t>than</w:t>
      </w:r>
      <w:r w:rsidR="00EE0F8E">
        <w:noBreakHyphen/>
      </w:r>
      <w:r w:rsidR="00F31CD9" w:rsidRPr="00906E25">
        <w:t>average assessed expenses for COVID</w:t>
      </w:r>
      <w:r w:rsidR="00F31CD9" w:rsidRPr="00906E25">
        <w:noBreakHyphen/>
        <w:t>19 health services</w:t>
      </w:r>
      <w:r w:rsidR="00DF1709" w:rsidRPr="00906E25">
        <w:t xml:space="preserve">. </w:t>
      </w:r>
      <w:r w:rsidR="00956D5C" w:rsidRPr="00906E25">
        <w:t>W</w:t>
      </w:r>
      <w:r w:rsidR="00DF1709" w:rsidRPr="00906E25">
        <w:t xml:space="preserve">hen </w:t>
      </w:r>
      <w:r w:rsidR="00796A1C" w:rsidRPr="00906E25">
        <w:t>compared with how these expenses were assessed under 2020 Review methods</w:t>
      </w:r>
      <w:r w:rsidR="007D5931" w:rsidRPr="00906E25">
        <w:t xml:space="preserve">, </w:t>
      </w:r>
      <w:r w:rsidR="00962CB5">
        <w:t xml:space="preserve">Tasmania and </w:t>
      </w:r>
      <w:r w:rsidR="00D51107" w:rsidRPr="00906E25">
        <w:t xml:space="preserve">the Northern Territory </w:t>
      </w:r>
      <w:r w:rsidR="00C47E1E" w:rsidRPr="00906E25">
        <w:t>receive less GST.</w:t>
      </w:r>
      <w:r w:rsidR="00632BE8" w:rsidRPr="00906E25">
        <w:t xml:space="preserve"> </w:t>
      </w:r>
    </w:p>
    <w:p w14:paraId="021741C8" w14:textId="43ADCE72" w:rsidR="00FE3C4E" w:rsidRDefault="00FE3C4E" w:rsidP="00C427B8">
      <w:pPr>
        <w:pStyle w:val="CGC2025Caption"/>
        <w:ind w:left="1134" w:hanging="1134"/>
      </w:pPr>
      <w:bookmarkStart w:id="101" w:name="_Ref167097671"/>
      <w:r>
        <w:t xml:space="preserve">Table </w:t>
      </w:r>
      <w:r>
        <w:fldChar w:fldCharType="begin"/>
      </w:r>
      <w:r>
        <w:instrText>SEQ Table \* ARABIC</w:instrText>
      </w:r>
      <w:r>
        <w:fldChar w:fldCharType="separate"/>
      </w:r>
      <w:r w:rsidR="00581B01">
        <w:rPr>
          <w:noProof/>
        </w:rPr>
        <w:t>22</w:t>
      </w:r>
      <w:r>
        <w:fldChar w:fldCharType="end"/>
      </w:r>
      <w:bookmarkEnd w:id="101"/>
      <w:r>
        <w:tab/>
      </w:r>
      <w:r w:rsidR="00492076" w:rsidRPr="00C816F1">
        <w:rPr>
          <w:rFonts w:eastAsia="Times New Roman" w:cs="Segoe UI"/>
          <w:bCs/>
          <w:szCs w:val="20"/>
          <w:lang w:eastAsia="en-AU"/>
        </w:rPr>
        <w:t>Indicative impact on GST distribution</w:t>
      </w:r>
      <w:r w:rsidR="00492076">
        <w:rPr>
          <w:rFonts w:eastAsia="Times New Roman" w:cs="Segoe UI"/>
          <w:bCs/>
          <w:szCs w:val="20"/>
          <w:lang w:eastAsia="en-AU"/>
        </w:rPr>
        <w:t xml:space="preserve"> </w:t>
      </w:r>
      <w:r w:rsidR="003C4039">
        <w:rPr>
          <w:rFonts w:eastAsia="Times New Roman" w:cs="Segoe UI"/>
          <w:bCs/>
          <w:szCs w:val="20"/>
          <w:lang w:eastAsia="en-AU"/>
        </w:rPr>
        <w:t xml:space="preserve">of proposed COVID-19 changes </w:t>
      </w:r>
      <w:r w:rsidR="00492076" w:rsidRPr="005265D0">
        <w:rPr>
          <w:rFonts w:eastAsia="Times New Roman" w:cs="Segoe UI"/>
          <w:szCs w:val="20"/>
          <w:lang w:eastAsia="en-AU"/>
        </w:rPr>
        <w:t>(disaggregated)</w:t>
      </w:r>
      <w:r w:rsidR="00492076" w:rsidRPr="00492076">
        <w:rPr>
          <w:rFonts w:eastAsia="Times New Roman" w:cs="Segoe UI"/>
          <w:szCs w:val="20"/>
          <w:lang w:eastAsia="en-AU"/>
        </w:rPr>
        <w:t>,</w:t>
      </w:r>
      <w:r w:rsidR="00492076" w:rsidRPr="00C816F1">
        <w:rPr>
          <w:rFonts w:eastAsia="Times New Roman" w:cs="Segoe UI"/>
          <w:bCs/>
          <w:szCs w:val="20"/>
          <w:lang w:eastAsia="en-AU"/>
        </w:rPr>
        <w:t xml:space="preserve"> </w:t>
      </w:r>
      <w:r w:rsidR="00820DC4" w:rsidRPr="00DB31A1">
        <w:t>202</w:t>
      </w:r>
      <w:r w:rsidR="00820DC4">
        <w:t>5</w:t>
      </w:r>
      <w:r w:rsidR="00820DC4" w:rsidRPr="00DB31A1">
        <w:t>–2</w:t>
      </w:r>
      <w:r w:rsidR="00820DC4">
        <w:t>6</w:t>
      </w:r>
    </w:p>
    <w:tbl>
      <w:tblPr>
        <w:tblW w:w="9460" w:type="dxa"/>
        <w:tblLook w:val="04A0" w:firstRow="1" w:lastRow="0" w:firstColumn="1" w:lastColumn="0" w:noHBand="0" w:noVBand="1"/>
      </w:tblPr>
      <w:tblGrid>
        <w:gridCol w:w="3690"/>
        <w:gridCol w:w="641"/>
        <w:gridCol w:w="639"/>
        <w:gridCol w:w="639"/>
        <w:gridCol w:w="639"/>
        <w:gridCol w:w="639"/>
        <w:gridCol w:w="639"/>
        <w:gridCol w:w="639"/>
        <w:gridCol w:w="639"/>
        <w:gridCol w:w="656"/>
      </w:tblGrid>
      <w:tr w:rsidR="007014F3" w:rsidRPr="007014F3" w14:paraId="004A3167" w14:textId="77777777" w:rsidTr="00C549EC">
        <w:trPr>
          <w:trHeight w:val="556"/>
        </w:trPr>
        <w:tc>
          <w:tcPr>
            <w:tcW w:w="3700" w:type="dxa"/>
            <w:tcBorders>
              <w:top w:val="nil"/>
              <w:left w:val="nil"/>
              <w:bottom w:val="nil"/>
              <w:right w:val="nil"/>
            </w:tcBorders>
            <w:shd w:val="clear" w:color="000000" w:fill="006991"/>
            <w:vAlign w:val="center"/>
            <w:hideMark/>
          </w:tcPr>
          <w:p w14:paraId="640524D4" w14:textId="77777777" w:rsidR="007014F3" w:rsidRPr="007014F3" w:rsidRDefault="007014F3" w:rsidP="007014F3">
            <w:pPr>
              <w:tabs>
                <w:tab w:val="clear" w:pos="567"/>
              </w:tabs>
              <w:spacing w:before="0" w:line="240" w:lineRule="auto"/>
              <w:rPr>
                <w:rFonts w:ascii="Open Sans Semibold" w:eastAsia="Times New Roman" w:hAnsi="Open Sans Semibold" w:cs="Open Sans Semibold"/>
                <w:color w:val="FFFFFF"/>
                <w:sz w:val="16"/>
                <w:szCs w:val="16"/>
                <w:lang w:eastAsia="en-AU"/>
              </w:rPr>
            </w:pPr>
            <w:r w:rsidRPr="007014F3">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3462C37D"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14F3">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4BF27085"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14F3">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2ED37D8D"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14F3">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02845EE5"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14F3">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2B393469"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14F3">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4C9C62FC"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14F3">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268E28ED"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14F3">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36C4DB99"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14F3">
              <w:rPr>
                <w:rFonts w:ascii="Open Sans Semibold" w:eastAsia="Times New Roman" w:hAnsi="Open Sans Semibold" w:cs="Open Sans Semibold"/>
                <w:color w:val="FFFFFF"/>
                <w:sz w:val="16"/>
                <w:szCs w:val="16"/>
                <w:lang w:eastAsia="en-AU"/>
              </w:rPr>
              <w:t>NT</w:t>
            </w:r>
          </w:p>
        </w:tc>
        <w:tc>
          <w:tcPr>
            <w:tcW w:w="640" w:type="dxa"/>
            <w:tcBorders>
              <w:top w:val="nil"/>
              <w:left w:val="nil"/>
              <w:bottom w:val="nil"/>
              <w:right w:val="nil"/>
            </w:tcBorders>
            <w:shd w:val="clear" w:color="000000" w:fill="006991"/>
            <w:vAlign w:val="center"/>
            <w:hideMark/>
          </w:tcPr>
          <w:p w14:paraId="39294BB5"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14F3">
              <w:rPr>
                <w:rFonts w:ascii="Open Sans Semibold" w:eastAsia="Times New Roman" w:hAnsi="Open Sans Semibold" w:cs="Open Sans Semibold"/>
                <w:color w:val="FFFFFF"/>
                <w:sz w:val="16"/>
                <w:szCs w:val="16"/>
                <w:lang w:eastAsia="en-AU"/>
              </w:rPr>
              <w:t>Total Effect</w:t>
            </w:r>
          </w:p>
        </w:tc>
      </w:tr>
      <w:tr w:rsidR="007014F3" w:rsidRPr="007014F3" w14:paraId="452A63DC" w14:textId="77777777" w:rsidTr="00C549EC">
        <w:trPr>
          <w:trHeight w:val="290"/>
        </w:trPr>
        <w:tc>
          <w:tcPr>
            <w:tcW w:w="3700" w:type="dxa"/>
            <w:tcBorders>
              <w:top w:val="single" w:sz="4" w:space="0" w:color="ADD6EA"/>
              <w:left w:val="nil"/>
              <w:bottom w:val="nil"/>
              <w:right w:val="nil"/>
            </w:tcBorders>
            <w:shd w:val="clear" w:color="000000" w:fill="B6D5E4"/>
            <w:vAlign w:val="bottom"/>
            <w:hideMark/>
          </w:tcPr>
          <w:p w14:paraId="3955FD4E" w14:textId="77777777" w:rsidR="007014F3" w:rsidRPr="007014F3" w:rsidRDefault="007014F3" w:rsidP="007014F3">
            <w:pPr>
              <w:tabs>
                <w:tab w:val="clear" w:pos="567"/>
              </w:tabs>
              <w:spacing w:before="0" w:line="240" w:lineRule="auto"/>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32E37EB7"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C81117D"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E88CE89"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41684DB6"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97A2731"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E3E681B"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B2C9D76"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9A1A6E8"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498D19FA"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$m</w:t>
            </w:r>
          </w:p>
        </w:tc>
      </w:tr>
      <w:tr w:rsidR="007014F3" w:rsidRPr="007014F3" w14:paraId="3CCF4A0E" w14:textId="77777777" w:rsidTr="00C549EC">
        <w:trPr>
          <w:trHeight w:val="318"/>
        </w:trPr>
        <w:tc>
          <w:tcPr>
            <w:tcW w:w="3700" w:type="dxa"/>
            <w:tcBorders>
              <w:top w:val="single" w:sz="4" w:space="0" w:color="ADD6EA"/>
              <w:left w:val="nil"/>
              <w:bottom w:val="nil"/>
              <w:right w:val="nil"/>
            </w:tcBorders>
            <w:shd w:val="clear" w:color="000000" w:fill="FFFFFF"/>
            <w:vAlign w:val="center"/>
            <w:hideMark/>
          </w:tcPr>
          <w:p w14:paraId="0645D92D" w14:textId="71F9439D" w:rsidR="007014F3" w:rsidRPr="007014F3" w:rsidRDefault="007014F3" w:rsidP="00C549EC">
            <w:pPr>
              <w:tabs>
                <w:tab w:val="clear" w:pos="567"/>
              </w:tabs>
              <w:spacing w:before="0" w:line="240" w:lineRule="auto"/>
              <w:rPr>
                <w:rFonts w:eastAsia="Times New Roman" w:cs="Open Sans Light"/>
                <w:color w:val="000000"/>
                <w:sz w:val="16"/>
                <w:szCs w:val="16"/>
                <w:lang w:eastAsia="en-AU"/>
              </w:rPr>
            </w:pPr>
            <w:r w:rsidRPr="007014F3">
              <w:rPr>
                <w:rFonts w:eastAsia="Times New Roman" w:cs="Open Sans Light"/>
                <w:color w:val="000000"/>
                <w:sz w:val="16"/>
                <w:szCs w:val="16"/>
                <w:lang w:eastAsia="en-AU"/>
              </w:rPr>
              <w:t>Commonwealth payment for COVID</w:t>
            </w:r>
            <w:r w:rsidR="008E4DE9">
              <w:rPr>
                <w:rFonts w:eastAsia="Times New Roman" w:cs="Open Sans Light"/>
                <w:color w:val="000000"/>
                <w:sz w:val="16"/>
                <w:szCs w:val="16"/>
                <w:lang w:eastAsia="en-AU"/>
              </w:rPr>
              <w:t>-19</w:t>
            </w:r>
          </w:p>
        </w:tc>
        <w:tc>
          <w:tcPr>
            <w:tcW w:w="640" w:type="dxa"/>
            <w:tcBorders>
              <w:top w:val="single" w:sz="4" w:space="0" w:color="ADD6EA"/>
              <w:left w:val="nil"/>
              <w:bottom w:val="nil"/>
              <w:right w:val="nil"/>
            </w:tcBorders>
            <w:shd w:val="clear" w:color="000000" w:fill="FFFFFF"/>
            <w:vAlign w:val="center"/>
            <w:hideMark/>
          </w:tcPr>
          <w:p w14:paraId="40A93631"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-144</w:t>
            </w:r>
          </w:p>
        </w:tc>
        <w:tc>
          <w:tcPr>
            <w:tcW w:w="640" w:type="dxa"/>
            <w:tcBorders>
              <w:top w:val="single" w:sz="4" w:space="0" w:color="ADD6EA"/>
              <w:left w:val="nil"/>
              <w:bottom w:val="nil"/>
              <w:right w:val="nil"/>
            </w:tcBorders>
            <w:shd w:val="clear" w:color="000000" w:fill="FFFFFF"/>
            <w:vAlign w:val="center"/>
            <w:hideMark/>
          </w:tcPr>
          <w:p w14:paraId="3690BB09"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-193</w:t>
            </w:r>
          </w:p>
        </w:tc>
        <w:tc>
          <w:tcPr>
            <w:tcW w:w="640" w:type="dxa"/>
            <w:tcBorders>
              <w:top w:val="single" w:sz="4" w:space="0" w:color="ADD6EA"/>
              <w:left w:val="nil"/>
              <w:bottom w:val="nil"/>
              <w:right w:val="nil"/>
            </w:tcBorders>
            <w:shd w:val="clear" w:color="000000" w:fill="FFFFFF"/>
            <w:vAlign w:val="center"/>
            <w:hideMark/>
          </w:tcPr>
          <w:p w14:paraId="69641BD0"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268</w:t>
            </w:r>
          </w:p>
        </w:tc>
        <w:tc>
          <w:tcPr>
            <w:tcW w:w="640" w:type="dxa"/>
            <w:tcBorders>
              <w:top w:val="single" w:sz="4" w:space="0" w:color="ADD6EA"/>
              <w:left w:val="nil"/>
              <w:bottom w:val="nil"/>
              <w:right w:val="nil"/>
            </w:tcBorders>
            <w:shd w:val="clear" w:color="000000" w:fill="FFFFFF"/>
            <w:vAlign w:val="center"/>
            <w:hideMark/>
          </w:tcPr>
          <w:p w14:paraId="408BE8B5"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14</w:t>
            </w:r>
          </w:p>
        </w:tc>
        <w:tc>
          <w:tcPr>
            <w:tcW w:w="640" w:type="dxa"/>
            <w:tcBorders>
              <w:top w:val="single" w:sz="4" w:space="0" w:color="ADD6EA"/>
              <w:left w:val="nil"/>
              <w:bottom w:val="nil"/>
              <w:right w:val="nil"/>
            </w:tcBorders>
            <w:shd w:val="clear" w:color="000000" w:fill="FFFFFF"/>
            <w:vAlign w:val="center"/>
            <w:hideMark/>
          </w:tcPr>
          <w:p w14:paraId="526B420B"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64</w:t>
            </w:r>
          </w:p>
        </w:tc>
        <w:tc>
          <w:tcPr>
            <w:tcW w:w="640" w:type="dxa"/>
            <w:tcBorders>
              <w:top w:val="single" w:sz="4" w:space="0" w:color="ADD6EA"/>
              <w:left w:val="nil"/>
              <w:bottom w:val="nil"/>
              <w:right w:val="nil"/>
            </w:tcBorders>
            <w:shd w:val="clear" w:color="000000" w:fill="FFFFFF"/>
            <w:vAlign w:val="center"/>
            <w:hideMark/>
          </w:tcPr>
          <w:p w14:paraId="77D1751D"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3986C090"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019624DD"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-10</w:t>
            </w:r>
          </w:p>
        </w:tc>
        <w:tc>
          <w:tcPr>
            <w:tcW w:w="640" w:type="dxa"/>
            <w:tcBorders>
              <w:top w:val="single" w:sz="4" w:space="0" w:color="ADD6EA"/>
              <w:left w:val="nil"/>
              <w:bottom w:val="nil"/>
              <w:right w:val="nil"/>
            </w:tcBorders>
            <w:shd w:val="clear" w:color="000000" w:fill="FFFFFF"/>
            <w:vAlign w:val="center"/>
            <w:hideMark/>
          </w:tcPr>
          <w:p w14:paraId="7810EFE0"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353</w:t>
            </w:r>
          </w:p>
        </w:tc>
      </w:tr>
      <w:tr w:rsidR="007014F3" w:rsidRPr="007014F3" w14:paraId="2444262E" w14:textId="77777777" w:rsidTr="00C549EC">
        <w:trPr>
          <w:trHeight w:val="318"/>
        </w:trPr>
        <w:tc>
          <w:tcPr>
            <w:tcW w:w="3700" w:type="dxa"/>
            <w:tcBorders>
              <w:top w:val="single" w:sz="4" w:space="0" w:color="ADD6EA"/>
              <w:left w:val="nil"/>
              <w:bottom w:val="nil"/>
              <w:right w:val="nil"/>
            </w:tcBorders>
            <w:shd w:val="clear" w:color="000000" w:fill="FFFFFF"/>
            <w:vAlign w:val="center"/>
            <w:hideMark/>
          </w:tcPr>
          <w:p w14:paraId="7758CCD4" w14:textId="77777777" w:rsidR="007014F3" w:rsidRPr="007014F3" w:rsidRDefault="007014F3" w:rsidP="00C549EC">
            <w:pPr>
              <w:tabs>
                <w:tab w:val="clear" w:pos="567"/>
              </w:tabs>
              <w:spacing w:before="0" w:line="240" w:lineRule="auto"/>
              <w:rPr>
                <w:rFonts w:eastAsia="Times New Roman" w:cs="Open Sans Light"/>
                <w:color w:val="000000"/>
                <w:sz w:val="16"/>
                <w:szCs w:val="16"/>
                <w:lang w:eastAsia="en-AU"/>
              </w:rPr>
            </w:pPr>
            <w:r w:rsidRPr="007014F3">
              <w:rPr>
                <w:rFonts w:eastAsia="Times New Roman" w:cs="Open Sans Light"/>
                <w:color w:val="000000"/>
                <w:sz w:val="16"/>
                <w:szCs w:val="16"/>
                <w:lang w:eastAsia="en-AU"/>
              </w:rPr>
              <w:t>State spending of Commonwealth payment</w:t>
            </w:r>
          </w:p>
        </w:tc>
        <w:tc>
          <w:tcPr>
            <w:tcW w:w="640" w:type="dxa"/>
            <w:tcBorders>
              <w:top w:val="single" w:sz="4" w:space="0" w:color="ADD6EA"/>
              <w:left w:val="nil"/>
              <w:bottom w:val="nil"/>
              <w:right w:val="nil"/>
            </w:tcBorders>
            <w:shd w:val="clear" w:color="000000" w:fill="FFFFFF"/>
            <w:vAlign w:val="center"/>
            <w:hideMark/>
          </w:tcPr>
          <w:p w14:paraId="24B6E7BD"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144</w:t>
            </w:r>
          </w:p>
        </w:tc>
        <w:tc>
          <w:tcPr>
            <w:tcW w:w="640" w:type="dxa"/>
            <w:tcBorders>
              <w:top w:val="single" w:sz="4" w:space="0" w:color="ADD6EA"/>
              <w:left w:val="nil"/>
              <w:bottom w:val="nil"/>
              <w:right w:val="nil"/>
            </w:tcBorders>
            <w:shd w:val="clear" w:color="000000" w:fill="FFFFFF"/>
            <w:vAlign w:val="center"/>
            <w:hideMark/>
          </w:tcPr>
          <w:p w14:paraId="17E507EB"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193</w:t>
            </w:r>
          </w:p>
        </w:tc>
        <w:tc>
          <w:tcPr>
            <w:tcW w:w="640" w:type="dxa"/>
            <w:tcBorders>
              <w:top w:val="single" w:sz="4" w:space="0" w:color="ADD6EA"/>
              <w:left w:val="nil"/>
              <w:bottom w:val="nil"/>
              <w:right w:val="nil"/>
            </w:tcBorders>
            <w:shd w:val="clear" w:color="000000" w:fill="FFFFFF"/>
            <w:vAlign w:val="center"/>
            <w:hideMark/>
          </w:tcPr>
          <w:p w14:paraId="486D7612"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-268</w:t>
            </w:r>
          </w:p>
        </w:tc>
        <w:tc>
          <w:tcPr>
            <w:tcW w:w="640" w:type="dxa"/>
            <w:tcBorders>
              <w:top w:val="single" w:sz="4" w:space="0" w:color="ADD6EA"/>
              <w:left w:val="nil"/>
              <w:bottom w:val="nil"/>
              <w:right w:val="nil"/>
            </w:tcBorders>
            <w:shd w:val="clear" w:color="000000" w:fill="FFFFFF"/>
            <w:vAlign w:val="center"/>
            <w:hideMark/>
          </w:tcPr>
          <w:p w14:paraId="2A57771E"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-14</w:t>
            </w:r>
          </w:p>
        </w:tc>
        <w:tc>
          <w:tcPr>
            <w:tcW w:w="640" w:type="dxa"/>
            <w:tcBorders>
              <w:top w:val="single" w:sz="4" w:space="0" w:color="ADD6EA"/>
              <w:left w:val="nil"/>
              <w:bottom w:val="nil"/>
              <w:right w:val="nil"/>
            </w:tcBorders>
            <w:shd w:val="clear" w:color="000000" w:fill="FFFFFF"/>
            <w:vAlign w:val="center"/>
            <w:hideMark/>
          </w:tcPr>
          <w:p w14:paraId="788186EC"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-64</w:t>
            </w:r>
          </w:p>
        </w:tc>
        <w:tc>
          <w:tcPr>
            <w:tcW w:w="640" w:type="dxa"/>
            <w:tcBorders>
              <w:top w:val="single" w:sz="4" w:space="0" w:color="ADD6EA"/>
              <w:left w:val="nil"/>
              <w:bottom w:val="nil"/>
              <w:right w:val="nil"/>
            </w:tcBorders>
            <w:shd w:val="clear" w:color="000000" w:fill="FFFFFF"/>
            <w:vAlign w:val="center"/>
            <w:hideMark/>
          </w:tcPr>
          <w:p w14:paraId="1C220173"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5F9E5A0A"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58F1137D"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10</w:t>
            </w:r>
          </w:p>
        </w:tc>
        <w:tc>
          <w:tcPr>
            <w:tcW w:w="640" w:type="dxa"/>
            <w:tcBorders>
              <w:top w:val="single" w:sz="4" w:space="0" w:color="ADD6EA"/>
              <w:left w:val="nil"/>
              <w:bottom w:val="nil"/>
              <w:right w:val="nil"/>
            </w:tcBorders>
            <w:shd w:val="clear" w:color="000000" w:fill="FFFFFF"/>
            <w:vAlign w:val="center"/>
            <w:hideMark/>
          </w:tcPr>
          <w:p w14:paraId="338584CB"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353</w:t>
            </w:r>
          </w:p>
        </w:tc>
      </w:tr>
      <w:tr w:rsidR="007014F3" w:rsidRPr="007014F3" w14:paraId="7FF4E7AE" w14:textId="77777777" w:rsidTr="00C549EC">
        <w:trPr>
          <w:trHeight w:val="318"/>
        </w:trPr>
        <w:tc>
          <w:tcPr>
            <w:tcW w:w="3700" w:type="dxa"/>
            <w:tcBorders>
              <w:top w:val="single" w:sz="4" w:space="0" w:color="ADD6EA"/>
              <w:left w:val="nil"/>
              <w:bottom w:val="nil"/>
              <w:right w:val="nil"/>
            </w:tcBorders>
            <w:shd w:val="clear" w:color="000000" w:fill="FFFFFF"/>
            <w:vAlign w:val="center"/>
            <w:hideMark/>
          </w:tcPr>
          <w:p w14:paraId="657982A8" w14:textId="202DE5D8" w:rsidR="007014F3" w:rsidRPr="007014F3" w:rsidRDefault="007014F3" w:rsidP="00C549EC">
            <w:pPr>
              <w:tabs>
                <w:tab w:val="clear" w:pos="567"/>
              </w:tabs>
              <w:spacing w:before="0" w:line="240" w:lineRule="auto"/>
              <w:rPr>
                <w:rFonts w:eastAsia="Times New Roman" w:cs="Open Sans Light"/>
                <w:color w:val="000000"/>
                <w:sz w:val="16"/>
                <w:szCs w:val="16"/>
                <w:lang w:eastAsia="en-AU"/>
              </w:rPr>
            </w:pPr>
            <w:r w:rsidRPr="007014F3">
              <w:rPr>
                <w:rFonts w:eastAsia="Times New Roman" w:cs="Open Sans Light"/>
                <w:color w:val="000000"/>
                <w:sz w:val="16"/>
                <w:szCs w:val="16"/>
                <w:lang w:eastAsia="en-AU"/>
              </w:rPr>
              <w:t>State own source COVID</w:t>
            </w:r>
            <w:r w:rsidR="008E4DE9">
              <w:rPr>
                <w:rFonts w:eastAsia="Times New Roman" w:cs="Open Sans Light"/>
                <w:color w:val="000000"/>
                <w:sz w:val="16"/>
                <w:szCs w:val="16"/>
                <w:lang w:eastAsia="en-AU"/>
              </w:rPr>
              <w:t>-19</w:t>
            </w:r>
            <w:r w:rsidRPr="007014F3">
              <w:rPr>
                <w:rFonts w:eastAsia="Times New Roman" w:cs="Open Sans Light"/>
                <w:color w:val="000000"/>
                <w:sz w:val="16"/>
                <w:szCs w:val="16"/>
                <w:lang w:eastAsia="en-AU"/>
              </w:rPr>
              <w:t xml:space="preserve"> spending</w:t>
            </w:r>
          </w:p>
        </w:tc>
        <w:tc>
          <w:tcPr>
            <w:tcW w:w="640" w:type="dxa"/>
            <w:tcBorders>
              <w:top w:val="single" w:sz="4" w:space="0" w:color="ADD6EA"/>
              <w:left w:val="nil"/>
              <w:bottom w:val="nil"/>
              <w:right w:val="nil"/>
            </w:tcBorders>
            <w:shd w:val="clear" w:color="000000" w:fill="FFFFFF"/>
            <w:vAlign w:val="center"/>
            <w:hideMark/>
          </w:tcPr>
          <w:p w14:paraId="01965FF8"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201</w:t>
            </w:r>
          </w:p>
        </w:tc>
        <w:tc>
          <w:tcPr>
            <w:tcW w:w="640" w:type="dxa"/>
            <w:tcBorders>
              <w:top w:val="single" w:sz="4" w:space="0" w:color="ADD6EA"/>
              <w:left w:val="nil"/>
              <w:bottom w:val="nil"/>
              <w:right w:val="nil"/>
            </w:tcBorders>
            <w:shd w:val="clear" w:color="000000" w:fill="FFFFFF"/>
            <w:vAlign w:val="center"/>
            <w:hideMark/>
          </w:tcPr>
          <w:p w14:paraId="00EC6704"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283</w:t>
            </w:r>
          </w:p>
        </w:tc>
        <w:tc>
          <w:tcPr>
            <w:tcW w:w="640" w:type="dxa"/>
            <w:tcBorders>
              <w:top w:val="single" w:sz="4" w:space="0" w:color="ADD6EA"/>
              <w:left w:val="nil"/>
              <w:bottom w:val="nil"/>
              <w:right w:val="nil"/>
            </w:tcBorders>
            <w:shd w:val="clear" w:color="000000" w:fill="FFFFFF"/>
            <w:vAlign w:val="center"/>
            <w:hideMark/>
          </w:tcPr>
          <w:p w14:paraId="0838C798"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-306</w:t>
            </w:r>
          </w:p>
        </w:tc>
        <w:tc>
          <w:tcPr>
            <w:tcW w:w="640" w:type="dxa"/>
            <w:tcBorders>
              <w:top w:val="single" w:sz="4" w:space="0" w:color="ADD6EA"/>
              <w:left w:val="nil"/>
              <w:bottom w:val="nil"/>
              <w:right w:val="nil"/>
            </w:tcBorders>
            <w:shd w:val="clear" w:color="000000" w:fill="FFFFFF"/>
            <w:vAlign w:val="center"/>
            <w:hideMark/>
          </w:tcPr>
          <w:p w14:paraId="054DC79B"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-52</w:t>
            </w:r>
          </w:p>
        </w:tc>
        <w:tc>
          <w:tcPr>
            <w:tcW w:w="640" w:type="dxa"/>
            <w:tcBorders>
              <w:top w:val="single" w:sz="4" w:space="0" w:color="ADD6EA"/>
              <w:left w:val="nil"/>
              <w:bottom w:val="nil"/>
              <w:right w:val="nil"/>
            </w:tcBorders>
            <w:shd w:val="clear" w:color="000000" w:fill="FFFFFF"/>
            <w:vAlign w:val="center"/>
            <w:hideMark/>
          </w:tcPr>
          <w:p w14:paraId="13EF450C"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-75</w:t>
            </w:r>
          </w:p>
        </w:tc>
        <w:tc>
          <w:tcPr>
            <w:tcW w:w="640" w:type="dxa"/>
            <w:tcBorders>
              <w:top w:val="single" w:sz="4" w:space="0" w:color="ADD6EA"/>
              <w:left w:val="nil"/>
              <w:bottom w:val="nil"/>
              <w:right w:val="nil"/>
            </w:tcBorders>
            <w:shd w:val="clear" w:color="000000" w:fill="FFFFFF"/>
            <w:vAlign w:val="center"/>
            <w:hideMark/>
          </w:tcPr>
          <w:p w14:paraId="5D389F87"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-23</w:t>
            </w:r>
          </w:p>
        </w:tc>
        <w:tc>
          <w:tcPr>
            <w:tcW w:w="640" w:type="dxa"/>
            <w:tcBorders>
              <w:top w:val="single" w:sz="4" w:space="0" w:color="ADD6EA"/>
              <w:left w:val="nil"/>
              <w:bottom w:val="nil"/>
              <w:right w:val="nil"/>
            </w:tcBorders>
            <w:shd w:val="clear" w:color="000000" w:fill="FFFFFF"/>
            <w:vAlign w:val="center"/>
            <w:hideMark/>
          </w:tcPr>
          <w:p w14:paraId="604CF60A"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-2</w:t>
            </w:r>
          </w:p>
        </w:tc>
        <w:tc>
          <w:tcPr>
            <w:tcW w:w="640" w:type="dxa"/>
            <w:tcBorders>
              <w:top w:val="single" w:sz="4" w:space="0" w:color="ADD6EA"/>
              <w:left w:val="nil"/>
              <w:bottom w:val="nil"/>
              <w:right w:val="nil"/>
            </w:tcBorders>
            <w:shd w:val="clear" w:color="000000" w:fill="FFFFFF"/>
            <w:vAlign w:val="center"/>
            <w:hideMark/>
          </w:tcPr>
          <w:p w14:paraId="0387C6B0"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-25</w:t>
            </w:r>
          </w:p>
        </w:tc>
        <w:tc>
          <w:tcPr>
            <w:tcW w:w="640" w:type="dxa"/>
            <w:tcBorders>
              <w:top w:val="single" w:sz="4" w:space="0" w:color="ADD6EA"/>
              <w:left w:val="nil"/>
              <w:bottom w:val="nil"/>
              <w:right w:val="nil"/>
            </w:tcBorders>
            <w:shd w:val="clear" w:color="000000" w:fill="FFFFFF"/>
            <w:vAlign w:val="center"/>
            <w:hideMark/>
          </w:tcPr>
          <w:p w14:paraId="0ADDF461"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484</w:t>
            </w:r>
          </w:p>
        </w:tc>
      </w:tr>
      <w:tr w:rsidR="007014F3" w:rsidRPr="007014F3" w14:paraId="01C23FC9" w14:textId="77777777" w:rsidTr="00C549EC">
        <w:trPr>
          <w:trHeight w:val="318"/>
        </w:trPr>
        <w:tc>
          <w:tcPr>
            <w:tcW w:w="3700" w:type="dxa"/>
            <w:tcBorders>
              <w:top w:val="single" w:sz="4" w:space="0" w:color="ADD6EA"/>
              <w:left w:val="nil"/>
              <w:bottom w:val="single" w:sz="4" w:space="0" w:color="ADD6EA"/>
              <w:right w:val="nil"/>
            </w:tcBorders>
            <w:shd w:val="clear" w:color="000000" w:fill="D6E7F0"/>
            <w:vAlign w:val="center"/>
            <w:hideMark/>
          </w:tcPr>
          <w:p w14:paraId="7168F21F" w14:textId="7B728E5E" w:rsidR="007014F3" w:rsidRPr="007014F3" w:rsidRDefault="007014F3" w:rsidP="00C549EC">
            <w:pPr>
              <w:tabs>
                <w:tab w:val="clear" w:pos="567"/>
              </w:tabs>
              <w:spacing w:before="0" w:line="240" w:lineRule="auto"/>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Net effect of treatment of COVID</w:t>
            </w:r>
            <w:r w:rsidR="00241A44">
              <w:rPr>
                <w:rFonts w:ascii="Open Sans Semibold" w:eastAsia="Times New Roman" w:hAnsi="Open Sans Semibold" w:cs="Open Sans Semibold"/>
                <w:color w:val="000000"/>
                <w:sz w:val="16"/>
                <w:szCs w:val="16"/>
                <w:lang w:eastAsia="en-AU"/>
              </w:rPr>
              <w:t>-19</w:t>
            </w:r>
          </w:p>
        </w:tc>
        <w:tc>
          <w:tcPr>
            <w:tcW w:w="640" w:type="dxa"/>
            <w:tcBorders>
              <w:top w:val="single" w:sz="4" w:space="0" w:color="ADD6EA"/>
              <w:left w:val="nil"/>
              <w:bottom w:val="single" w:sz="4" w:space="0" w:color="ADD6EA"/>
              <w:right w:val="nil"/>
            </w:tcBorders>
            <w:shd w:val="clear" w:color="000000" w:fill="D6E7F0"/>
            <w:vAlign w:val="center"/>
            <w:hideMark/>
          </w:tcPr>
          <w:p w14:paraId="621D8F76"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201</w:t>
            </w:r>
          </w:p>
        </w:tc>
        <w:tc>
          <w:tcPr>
            <w:tcW w:w="640" w:type="dxa"/>
            <w:tcBorders>
              <w:top w:val="single" w:sz="4" w:space="0" w:color="ADD6EA"/>
              <w:left w:val="nil"/>
              <w:bottom w:val="single" w:sz="4" w:space="0" w:color="ADD6EA"/>
              <w:right w:val="nil"/>
            </w:tcBorders>
            <w:shd w:val="clear" w:color="000000" w:fill="D6E7F0"/>
            <w:vAlign w:val="center"/>
            <w:hideMark/>
          </w:tcPr>
          <w:p w14:paraId="231599FB"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283</w:t>
            </w:r>
          </w:p>
        </w:tc>
        <w:tc>
          <w:tcPr>
            <w:tcW w:w="640" w:type="dxa"/>
            <w:tcBorders>
              <w:top w:val="single" w:sz="4" w:space="0" w:color="ADD6EA"/>
              <w:left w:val="nil"/>
              <w:bottom w:val="single" w:sz="4" w:space="0" w:color="ADD6EA"/>
              <w:right w:val="nil"/>
            </w:tcBorders>
            <w:shd w:val="clear" w:color="000000" w:fill="D6E7F0"/>
            <w:vAlign w:val="center"/>
            <w:hideMark/>
          </w:tcPr>
          <w:p w14:paraId="0EC0EC2E"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-306</w:t>
            </w:r>
          </w:p>
        </w:tc>
        <w:tc>
          <w:tcPr>
            <w:tcW w:w="640" w:type="dxa"/>
            <w:tcBorders>
              <w:top w:val="single" w:sz="4" w:space="0" w:color="ADD6EA"/>
              <w:left w:val="nil"/>
              <w:bottom w:val="single" w:sz="4" w:space="0" w:color="ADD6EA"/>
              <w:right w:val="nil"/>
            </w:tcBorders>
            <w:shd w:val="clear" w:color="000000" w:fill="D6E7F0"/>
            <w:vAlign w:val="center"/>
            <w:hideMark/>
          </w:tcPr>
          <w:p w14:paraId="1A316AD1"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-52</w:t>
            </w:r>
          </w:p>
        </w:tc>
        <w:tc>
          <w:tcPr>
            <w:tcW w:w="640" w:type="dxa"/>
            <w:tcBorders>
              <w:top w:val="single" w:sz="4" w:space="0" w:color="ADD6EA"/>
              <w:left w:val="nil"/>
              <w:bottom w:val="single" w:sz="4" w:space="0" w:color="ADD6EA"/>
              <w:right w:val="nil"/>
            </w:tcBorders>
            <w:shd w:val="clear" w:color="000000" w:fill="D6E7F0"/>
            <w:vAlign w:val="center"/>
            <w:hideMark/>
          </w:tcPr>
          <w:p w14:paraId="74DBA00D"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-75</w:t>
            </w:r>
          </w:p>
        </w:tc>
        <w:tc>
          <w:tcPr>
            <w:tcW w:w="640" w:type="dxa"/>
            <w:tcBorders>
              <w:top w:val="single" w:sz="4" w:space="0" w:color="ADD6EA"/>
              <w:left w:val="nil"/>
              <w:bottom w:val="single" w:sz="4" w:space="0" w:color="ADD6EA"/>
              <w:right w:val="nil"/>
            </w:tcBorders>
            <w:shd w:val="clear" w:color="000000" w:fill="D6E7F0"/>
            <w:vAlign w:val="center"/>
            <w:hideMark/>
          </w:tcPr>
          <w:p w14:paraId="2898018B"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-23</w:t>
            </w:r>
          </w:p>
        </w:tc>
        <w:tc>
          <w:tcPr>
            <w:tcW w:w="640" w:type="dxa"/>
            <w:tcBorders>
              <w:top w:val="single" w:sz="4" w:space="0" w:color="ADD6EA"/>
              <w:left w:val="nil"/>
              <w:bottom w:val="single" w:sz="4" w:space="0" w:color="ADD6EA"/>
              <w:right w:val="nil"/>
            </w:tcBorders>
            <w:shd w:val="clear" w:color="000000" w:fill="D6E7F0"/>
            <w:vAlign w:val="center"/>
            <w:hideMark/>
          </w:tcPr>
          <w:p w14:paraId="6A7FFDD9"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-2</w:t>
            </w:r>
          </w:p>
        </w:tc>
        <w:tc>
          <w:tcPr>
            <w:tcW w:w="640" w:type="dxa"/>
            <w:tcBorders>
              <w:top w:val="single" w:sz="4" w:space="0" w:color="ADD6EA"/>
              <w:left w:val="nil"/>
              <w:bottom w:val="single" w:sz="4" w:space="0" w:color="ADD6EA"/>
              <w:right w:val="nil"/>
            </w:tcBorders>
            <w:shd w:val="clear" w:color="000000" w:fill="D6E7F0"/>
            <w:vAlign w:val="center"/>
            <w:hideMark/>
          </w:tcPr>
          <w:p w14:paraId="4B3A4B31"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-25</w:t>
            </w:r>
          </w:p>
        </w:tc>
        <w:tc>
          <w:tcPr>
            <w:tcW w:w="640" w:type="dxa"/>
            <w:tcBorders>
              <w:top w:val="single" w:sz="4" w:space="0" w:color="ADD6EA"/>
              <w:left w:val="nil"/>
              <w:bottom w:val="single" w:sz="4" w:space="0" w:color="ADD6EA"/>
              <w:right w:val="nil"/>
            </w:tcBorders>
            <w:shd w:val="clear" w:color="000000" w:fill="D6E7F0"/>
            <w:vAlign w:val="center"/>
            <w:hideMark/>
          </w:tcPr>
          <w:p w14:paraId="16637D15"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484</w:t>
            </w:r>
          </w:p>
        </w:tc>
      </w:tr>
      <w:tr w:rsidR="007014F3" w:rsidRPr="007014F3" w14:paraId="33C26D82" w14:textId="77777777" w:rsidTr="00C549EC">
        <w:trPr>
          <w:trHeight w:val="255"/>
        </w:trPr>
        <w:tc>
          <w:tcPr>
            <w:tcW w:w="3700" w:type="dxa"/>
            <w:tcBorders>
              <w:top w:val="nil"/>
              <w:left w:val="nil"/>
              <w:bottom w:val="nil"/>
              <w:right w:val="nil"/>
            </w:tcBorders>
            <w:shd w:val="clear" w:color="000000" w:fill="B6D5E4"/>
            <w:vAlign w:val="center"/>
            <w:hideMark/>
          </w:tcPr>
          <w:p w14:paraId="1415BB7E" w14:textId="77777777" w:rsidR="007014F3" w:rsidRPr="007014F3" w:rsidRDefault="007014F3" w:rsidP="00C549EC">
            <w:pPr>
              <w:tabs>
                <w:tab w:val="clear" w:pos="567"/>
              </w:tabs>
              <w:spacing w:before="0" w:line="240" w:lineRule="auto"/>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 </w:t>
            </w:r>
          </w:p>
        </w:tc>
        <w:tc>
          <w:tcPr>
            <w:tcW w:w="640" w:type="dxa"/>
            <w:tcBorders>
              <w:top w:val="nil"/>
              <w:left w:val="nil"/>
              <w:bottom w:val="nil"/>
              <w:right w:val="nil"/>
            </w:tcBorders>
            <w:shd w:val="clear" w:color="000000" w:fill="B6D5E4"/>
            <w:vAlign w:val="center"/>
            <w:hideMark/>
          </w:tcPr>
          <w:p w14:paraId="20C69078"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$pc</w:t>
            </w:r>
          </w:p>
        </w:tc>
        <w:tc>
          <w:tcPr>
            <w:tcW w:w="640" w:type="dxa"/>
            <w:tcBorders>
              <w:top w:val="nil"/>
              <w:left w:val="nil"/>
              <w:bottom w:val="nil"/>
              <w:right w:val="nil"/>
            </w:tcBorders>
            <w:shd w:val="clear" w:color="000000" w:fill="B6D5E4"/>
            <w:vAlign w:val="center"/>
            <w:hideMark/>
          </w:tcPr>
          <w:p w14:paraId="7CA0FED7"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$pc</w:t>
            </w:r>
          </w:p>
        </w:tc>
        <w:tc>
          <w:tcPr>
            <w:tcW w:w="640" w:type="dxa"/>
            <w:tcBorders>
              <w:top w:val="nil"/>
              <w:left w:val="nil"/>
              <w:bottom w:val="nil"/>
              <w:right w:val="nil"/>
            </w:tcBorders>
            <w:shd w:val="clear" w:color="000000" w:fill="B6D5E4"/>
            <w:vAlign w:val="center"/>
            <w:hideMark/>
          </w:tcPr>
          <w:p w14:paraId="475D8799"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$pc</w:t>
            </w:r>
          </w:p>
        </w:tc>
        <w:tc>
          <w:tcPr>
            <w:tcW w:w="640" w:type="dxa"/>
            <w:tcBorders>
              <w:top w:val="nil"/>
              <w:left w:val="nil"/>
              <w:bottom w:val="nil"/>
              <w:right w:val="nil"/>
            </w:tcBorders>
            <w:shd w:val="clear" w:color="000000" w:fill="B6D5E4"/>
            <w:vAlign w:val="center"/>
            <w:hideMark/>
          </w:tcPr>
          <w:p w14:paraId="6A27DE68"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$pc</w:t>
            </w:r>
          </w:p>
        </w:tc>
        <w:tc>
          <w:tcPr>
            <w:tcW w:w="640" w:type="dxa"/>
            <w:tcBorders>
              <w:top w:val="nil"/>
              <w:left w:val="nil"/>
              <w:bottom w:val="nil"/>
              <w:right w:val="nil"/>
            </w:tcBorders>
            <w:shd w:val="clear" w:color="000000" w:fill="B6D5E4"/>
            <w:vAlign w:val="center"/>
            <w:hideMark/>
          </w:tcPr>
          <w:p w14:paraId="168C3638"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$pc</w:t>
            </w:r>
          </w:p>
        </w:tc>
        <w:tc>
          <w:tcPr>
            <w:tcW w:w="640" w:type="dxa"/>
            <w:tcBorders>
              <w:top w:val="nil"/>
              <w:left w:val="nil"/>
              <w:bottom w:val="nil"/>
              <w:right w:val="nil"/>
            </w:tcBorders>
            <w:shd w:val="clear" w:color="000000" w:fill="B6D5E4"/>
            <w:vAlign w:val="center"/>
            <w:hideMark/>
          </w:tcPr>
          <w:p w14:paraId="1C08AE2E"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$pc</w:t>
            </w:r>
          </w:p>
        </w:tc>
        <w:tc>
          <w:tcPr>
            <w:tcW w:w="640" w:type="dxa"/>
            <w:tcBorders>
              <w:top w:val="nil"/>
              <w:left w:val="nil"/>
              <w:bottom w:val="nil"/>
              <w:right w:val="nil"/>
            </w:tcBorders>
            <w:shd w:val="clear" w:color="000000" w:fill="B6D5E4"/>
            <w:vAlign w:val="center"/>
            <w:hideMark/>
          </w:tcPr>
          <w:p w14:paraId="140ED828"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$pc</w:t>
            </w:r>
          </w:p>
        </w:tc>
        <w:tc>
          <w:tcPr>
            <w:tcW w:w="640" w:type="dxa"/>
            <w:tcBorders>
              <w:top w:val="nil"/>
              <w:left w:val="nil"/>
              <w:bottom w:val="nil"/>
              <w:right w:val="nil"/>
            </w:tcBorders>
            <w:shd w:val="clear" w:color="000000" w:fill="B6D5E4"/>
            <w:vAlign w:val="center"/>
            <w:hideMark/>
          </w:tcPr>
          <w:p w14:paraId="188727E9"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$pc</w:t>
            </w:r>
          </w:p>
        </w:tc>
        <w:tc>
          <w:tcPr>
            <w:tcW w:w="640" w:type="dxa"/>
            <w:tcBorders>
              <w:top w:val="nil"/>
              <w:left w:val="nil"/>
              <w:bottom w:val="nil"/>
              <w:right w:val="nil"/>
            </w:tcBorders>
            <w:shd w:val="clear" w:color="000000" w:fill="B6D5E4"/>
            <w:vAlign w:val="center"/>
            <w:hideMark/>
          </w:tcPr>
          <w:p w14:paraId="1412E406"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$pc</w:t>
            </w:r>
          </w:p>
        </w:tc>
      </w:tr>
      <w:tr w:rsidR="007014F3" w:rsidRPr="007014F3" w14:paraId="32074228" w14:textId="77777777" w:rsidTr="00C549EC">
        <w:trPr>
          <w:trHeight w:val="318"/>
        </w:trPr>
        <w:tc>
          <w:tcPr>
            <w:tcW w:w="3700" w:type="dxa"/>
            <w:tcBorders>
              <w:top w:val="single" w:sz="4" w:space="0" w:color="ADD6EA"/>
              <w:left w:val="nil"/>
              <w:bottom w:val="nil"/>
              <w:right w:val="nil"/>
            </w:tcBorders>
            <w:shd w:val="clear" w:color="000000" w:fill="FFFFFF"/>
            <w:vAlign w:val="center"/>
            <w:hideMark/>
          </w:tcPr>
          <w:p w14:paraId="44EFD7F6" w14:textId="28629EE0" w:rsidR="007014F3" w:rsidRPr="007014F3" w:rsidRDefault="007014F3" w:rsidP="00C549EC">
            <w:pPr>
              <w:tabs>
                <w:tab w:val="clear" w:pos="567"/>
              </w:tabs>
              <w:spacing w:before="0" w:line="240" w:lineRule="auto"/>
              <w:rPr>
                <w:rFonts w:eastAsia="Times New Roman" w:cs="Open Sans Light"/>
                <w:color w:val="000000"/>
                <w:sz w:val="16"/>
                <w:szCs w:val="16"/>
                <w:lang w:eastAsia="en-AU"/>
              </w:rPr>
            </w:pPr>
            <w:r w:rsidRPr="007014F3">
              <w:rPr>
                <w:rFonts w:eastAsia="Times New Roman" w:cs="Open Sans Light"/>
                <w:color w:val="000000"/>
                <w:sz w:val="16"/>
                <w:szCs w:val="16"/>
                <w:lang w:eastAsia="en-AU"/>
              </w:rPr>
              <w:t>Commonwealth payment for COVID</w:t>
            </w:r>
            <w:r w:rsidR="008E4DE9">
              <w:rPr>
                <w:rFonts w:eastAsia="Times New Roman" w:cs="Open Sans Light"/>
                <w:color w:val="000000"/>
                <w:sz w:val="16"/>
                <w:szCs w:val="16"/>
                <w:lang w:eastAsia="en-AU"/>
              </w:rPr>
              <w:t>-19</w:t>
            </w:r>
          </w:p>
        </w:tc>
        <w:tc>
          <w:tcPr>
            <w:tcW w:w="640" w:type="dxa"/>
            <w:tcBorders>
              <w:top w:val="single" w:sz="4" w:space="0" w:color="ADD6EA"/>
              <w:left w:val="nil"/>
              <w:bottom w:val="nil"/>
              <w:right w:val="nil"/>
            </w:tcBorders>
            <w:shd w:val="clear" w:color="000000" w:fill="FFFFFF"/>
            <w:vAlign w:val="center"/>
            <w:hideMark/>
          </w:tcPr>
          <w:p w14:paraId="403CDA00"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-17</w:t>
            </w:r>
          </w:p>
        </w:tc>
        <w:tc>
          <w:tcPr>
            <w:tcW w:w="640" w:type="dxa"/>
            <w:tcBorders>
              <w:top w:val="single" w:sz="4" w:space="0" w:color="ADD6EA"/>
              <w:left w:val="nil"/>
              <w:bottom w:val="nil"/>
              <w:right w:val="nil"/>
            </w:tcBorders>
            <w:shd w:val="clear" w:color="000000" w:fill="FFFFFF"/>
            <w:vAlign w:val="center"/>
            <w:hideMark/>
          </w:tcPr>
          <w:p w14:paraId="7983FF79"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-27</w:t>
            </w:r>
          </w:p>
        </w:tc>
        <w:tc>
          <w:tcPr>
            <w:tcW w:w="640" w:type="dxa"/>
            <w:tcBorders>
              <w:top w:val="single" w:sz="4" w:space="0" w:color="ADD6EA"/>
              <w:left w:val="nil"/>
              <w:bottom w:val="nil"/>
              <w:right w:val="nil"/>
            </w:tcBorders>
            <w:shd w:val="clear" w:color="000000" w:fill="FFFFFF"/>
            <w:vAlign w:val="center"/>
            <w:hideMark/>
          </w:tcPr>
          <w:p w14:paraId="57ECBE1D"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48</w:t>
            </w:r>
          </w:p>
        </w:tc>
        <w:tc>
          <w:tcPr>
            <w:tcW w:w="640" w:type="dxa"/>
            <w:tcBorders>
              <w:top w:val="single" w:sz="4" w:space="0" w:color="ADD6EA"/>
              <w:left w:val="nil"/>
              <w:bottom w:val="nil"/>
              <w:right w:val="nil"/>
            </w:tcBorders>
            <w:shd w:val="clear" w:color="000000" w:fill="FFFFFF"/>
            <w:vAlign w:val="center"/>
            <w:hideMark/>
          </w:tcPr>
          <w:p w14:paraId="304653CD"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15099D37"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34</w:t>
            </w:r>
          </w:p>
        </w:tc>
        <w:tc>
          <w:tcPr>
            <w:tcW w:w="640" w:type="dxa"/>
            <w:tcBorders>
              <w:top w:val="single" w:sz="4" w:space="0" w:color="ADD6EA"/>
              <w:left w:val="nil"/>
              <w:bottom w:val="nil"/>
              <w:right w:val="nil"/>
            </w:tcBorders>
            <w:shd w:val="clear" w:color="000000" w:fill="FFFFFF"/>
            <w:vAlign w:val="center"/>
            <w:hideMark/>
          </w:tcPr>
          <w:p w14:paraId="2CE1143C"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-11</w:t>
            </w:r>
          </w:p>
        </w:tc>
        <w:tc>
          <w:tcPr>
            <w:tcW w:w="640" w:type="dxa"/>
            <w:tcBorders>
              <w:top w:val="single" w:sz="4" w:space="0" w:color="ADD6EA"/>
              <w:left w:val="nil"/>
              <w:bottom w:val="nil"/>
              <w:right w:val="nil"/>
            </w:tcBorders>
            <w:shd w:val="clear" w:color="000000" w:fill="FFFFFF"/>
            <w:vAlign w:val="center"/>
            <w:hideMark/>
          </w:tcPr>
          <w:p w14:paraId="51D1FFB0"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14</w:t>
            </w:r>
          </w:p>
        </w:tc>
        <w:tc>
          <w:tcPr>
            <w:tcW w:w="640" w:type="dxa"/>
            <w:tcBorders>
              <w:top w:val="single" w:sz="4" w:space="0" w:color="ADD6EA"/>
              <w:left w:val="nil"/>
              <w:bottom w:val="nil"/>
              <w:right w:val="nil"/>
            </w:tcBorders>
            <w:shd w:val="clear" w:color="000000" w:fill="FFFFFF"/>
            <w:vAlign w:val="center"/>
            <w:hideMark/>
          </w:tcPr>
          <w:p w14:paraId="004ADE21"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-37</w:t>
            </w:r>
          </w:p>
        </w:tc>
        <w:tc>
          <w:tcPr>
            <w:tcW w:w="640" w:type="dxa"/>
            <w:tcBorders>
              <w:top w:val="single" w:sz="4" w:space="0" w:color="ADD6EA"/>
              <w:left w:val="nil"/>
              <w:bottom w:val="nil"/>
              <w:right w:val="nil"/>
            </w:tcBorders>
            <w:shd w:val="clear" w:color="000000" w:fill="FFFFFF"/>
            <w:vAlign w:val="center"/>
            <w:hideMark/>
          </w:tcPr>
          <w:p w14:paraId="53384DA3"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13</w:t>
            </w:r>
          </w:p>
        </w:tc>
      </w:tr>
      <w:tr w:rsidR="007014F3" w:rsidRPr="007014F3" w14:paraId="46DDBFDE" w14:textId="77777777" w:rsidTr="00C549EC">
        <w:trPr>
          <w:trHeight w:val="318"/>
        </w:trPr>
        <w:tc>
          <w:tcPr>
            <w:tcW w:w="3700" w:type="dxa"/>
            <w:tcBorders>
              <w:top w:val="single" w:sz="4" w:space="0" w:color="ADD6EA"/>
              <w:left w:val="nil"/>
              <w:bottom w:val="nil"/>
              <w:right w:val="nil"/>
            </w:tcBorders>
            <w:shd w:val="clear" w:color="000000" w:fill="FFFFFF"/>
            <w:vAlign w:val="center"/>
            <w:hideMark/>
          </w:tcPr>
          <w:p w14:paraId="5B81B586" w14:textId="77777777" w:rsidR="007014F3" w:rsidRPr="007014F3" w:rsidRDefault="007014F3" w:rsidP="00C549EC">
            <w:pPr>
              <w:tabs>
                <w:tab w:val="clear" w:pos="567"/>
              </w:tabs>
              <w:spacing w:before="0" w:line="240" w:lineRule="auto"/>
              <w:rPr>
                <w:rFonts w:eastAsia="Times New Roman" w:cs="Open Sans Light"/>
                <w:color w:val="000000"/>
                <w:sz w:val="16"/>
                <w:szCs w:val="16"/>
                <w:lang w:eastAsia="en-AU"/>
              </w:rPr>
            </w:pPr>
            <w:r w:rsidRPr="007014F3">
              <w:rPr>
                <w:rFonts w:eastAsia="Times New Roman" w:cs="Open Sans Light"/>
                <w:color w:val="000000"/>
                <w:sz w:val="16"/>
                <w:szCs w:val="16"/>
                <w:lang w:eastAsia="en-AU"/>
              </w:rPr>
              <w:t>State spending of Commonwealth payment</w:t>
            </w:r>
          </w:p>
        </w:tc>
        <w:tc>
          <w:tcPr>
            <w:tcW w:w="640" w:type="dxa"/>
            <w:tcBorders>
              <w:top w:val="single" w:sz="4" w:space="0" w:color="ADD6EA"/>
              <w:left w:val="nil"/>
              <w:bottom w:val="nil"/>
              <w:right w:val="nil"/>
            </w:tcBorders>
            <w:shd w:val="clear" w:color="000000" w:fill="FFFFFF"/>
            <w:vAlign w:val="center"/>
            <w:hideMark/>
          </w:tcPr>
          <w:p w14:paraId="1A1DA9FA"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17</w:t>
            </w:r>
          </w:p>
        </w:tc>
        <w:tc>
          <w:tcPr>
            <w:tcW w:w="640" w:type="dxa"/>
            <w:tcBorders>
              <w:top w:val="single" w:sz="4" w:space="0" w:color="ADD6EA"/>
              <w:left w:val="nil"/>
              <w:bottom w:val="nil"/>
              <w:right w:val="nil"/>
            </w:tcBorders>
            <w:shd w:val="clear" w:color="000000" w:fill="FFFFFF"/>
            <w:vAlign w:val="center"/>
            <w:hideMark/>
          </w:tcPr>
          <w:p w14:paraId="7F0E9C8E"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27</w:t>
            </w:r>
          </w:p>
        </w:tc>
        <w:tc>
          <w:tcPr>
            <w:tcW w:w="640" w:type="dxa"/>
            <w:tcBorders>
              <w:top w:val="single" w:sz="4" w:space="0" w:color="ADD6EA"/>
              <w:left w:val="nil"/>
              <w:bottom w:val="nil"/>
              <w:right w:val="nil"/>
            </w:tcBorders>
            <w:shd w:val="clear" w:color="000000" w:fill="FFFFFF"/>
            <w:vAlign w:val="center"/>
            <w:hideMark/>
          </w:tcPr>
          <w:p w14:paraId="6E98F163"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-48</w:t>
            </w:r>
          </w:p>
        </w:tc>
        <w:tc>
          <w:tcPr>
            <w:tcW w:w="640" w:type="dxa"/>
            <w:tcBorders>
              <w:top w:val="single" w:sz="4" w:space="0" w:color="ADD6EA"/>
              <w:left w:val="nil"/>
              <w:bottom w:val="nil"/>
              <w:right w:val="nil"/>
            </w:tcBorders>
            <w:shd w:val="clear" w:color="000000" w:fill="FFFFFF"/>
            <w:vAlign w:val="center"/>
            <w:hideMark/>
          </w:tcPr>
          <w:p w14:paraId="7C716244"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24D3BBEC"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-34</w:t>
            </w:r>
          </w:p>
        </w:tc>
        <w:tc>
          <w:tcPr>
            <w:tcW w:w="640" w:type="dxa"/>
            <w:tcBorders>
              <w:top w:val="single" w:sz="4" w:space="0" w:color="ADD6EA"/>
              <w:left w:val="nil"/>
              <w:bottom w:val="nil"/>
              <w:right w:val="nil"/>
            </w:tcBorders>
            <w:shd w:val="clear" w:color="000000" w:fill="FFFFFF"/>
            <w:vAlign w:val="center"/>
            <w:hideMark/>
          </w:tcPr>
          <w:p w14:paraId="69DD11E4"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11</w:t>
            </w:r>
          </w:p>
        </w:tc>
        <w:tc>
          <w:tcPr>
            <w:tcW w:w="640" w:type="dxa"/>
            <w:tcBorders>
              <w:top w:val="single" w:sz="4" w:space="0" w:color="ADD6EA"/>
              <w:left w:val="nil"/>
              <w:bottom w:val="nil"/>
              <w:right w:val="nil"/>
            </w:tcBorders>
            <w:shd w:val="clear" w:color="000000" w:fill="FFFFFF"/>
            <w:vAlign w:val="center"/>
            <w:hideMark/>
          </w:tcPr>
          <w:p w14:paraId="61044AC4"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-14</w:t>
            </w:r>
          </w:p>
        </w:tc>
        <w:tc>
          <w:tcPr>
            <w:tcW w:w="640" w:type="dxa"/>
            <w:tcBorders>
              <w:top w:val="single" w:sz="4" w:space="0" w:color="ADD6EA"/>
              <w:left w:val="nil"/>
              <w:bottom w:val="nil"/>
              <w:right w:val="nil"/>
            </w:tcBorders>
            <w:shd w:val="clear" w:color="000000" w:fill="FFFFFF"/>
            <w:vAlign w:val="center"/>
            <w:hideMark/>
          </w:tcPr>
          <w:p w14:paraId="7CB53377"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37</w:t>
            </w:r>
          </w:p>
        </w:tc>
        <w:tc>
          <w:tcPr>
            <w:tcW w:w="640" w:type="dxa"/>
            <w:tcBorders>
              <w:top w:val="single" w:sz="4" w:space="0" w:color="ADD6EA"/>
              <w:left w:val="nil"/>
              <w:bottom w:val="nil"/>
              <w:right w:val="nil"/>
            </w:tcBorders>
            <w:shd w:val="clear" w:color="000000" w:fill="FFFFFF"/>
            <w:vAlign w:val="center"/>
            <w:hideMark/>
          </w:tcPr>
          <w:p w14:paraId="4E845C82"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13</w:t>
            </w:r>
          </w:p>
        </w:tc>
      </w:tr>
      <w:tr w:rsidR="007014F3" w:rsidRPr="007014F3" w14:paraId="0CC3D8BC" w14:textId="77777777" w:rsidTr="00C549EC">
        <w:trPr>
          <w:trHeight w:val="318"/>
        </w:trPr>
        <w:tc>
          <w:tcPr>
            <w:tcW w:w="3700" w:type="dxa"/>
            <w:tcBorders>
              <w:top w:val="single" w:sz="4" w:space="0" w:color="ADD6EA"/>
              <w:left w:val="nil"/>
              <w:bottom w:val="nil"/>
              <w:right w:val="nil"/>
            </w:tcBorders>
            <w:shd w:val="clear" w:color="000000" w:fill="FFFFFF"/>
            <w:vAlign w:val="center"/>
            <w:hideMark/>
          </w:tcPr>
          <w:p w14:paraId="44167CEB" w14:textId="1A78103F" w:rsidR="007014F3" w:rsidRPr="007014F3" w:rsidRDefault="007014F3" w:rsidP="00C549EC">
            <w:pPr>
              <w:tabs>
                <w:tab w:val="clear" w:pos="567"/>
              </w:tabs>
              <w:spacing w:before="0" w:line="240" w:lineRule="auto"/>
              <w:rPr>
                <w:rFonts w:eastAsia="Times New Roman" w:cs="Open Sans Light"/>
                <w:color w:val="000000"/>
                <w:sz w:val="16"/>
                <w:szCs w:val="16"/>
                <w:lang w:eastAsia="en-AU"/>
              </w:rPr>
            </w:pPr>
            <w:r w:rsidRPr="007014F3">
              <w:rPr>
                <w:rFonts w:eastAsia="Times New Roman" w:cs="Open Sans Light"/>
                <w:color w:val="000000"/>
                <w:sz w:val="16"/>
                <w:szCs w:val="16"/>
                <w:lang w:eastAsia="en-AU"/>
              </w:rPr>
              <w:t>State own source COVID</w:t>
            </w:r>
            <w:r w:rsidR="008E4DE9">
              <w:rPr>
                <w:rFonts w:eastAsia="Times New Roman" w:cs="Open Sans Light"/>
                <w:color w:val="000000"/>
                <w:sz w:val="16"/>
                <w:szCs w:val="16"/>
                <w:lang w:eastAsia="en-AU"/>
              </w:rPr>
              <w:t>-19</w:t>
            </w:r>
            <w:r w:rsidRPr="007014F3">
              <w:rPr>
                <w:rFonts w:eastAsia="Times New Roman" w:cs="Open Sans Light"/>
                <w:color w:val="000000"/>
                <w:sz w:val="16"/>
                <w:szCs w:val="16"/>
                <w:lang w:eastAsia="en-AU"/>
              </w:rPr>
              <w:t xml:space="preserve"> spending</w:t>
            </w:r>
          </w:p>
        </w:tc>
        <w:tc>
          <w:tcPr>
            <w:tcW w:w="640" w:type="dxa"/>
            <w:tcBorders>
              <w:top w:val="single" w:sz="4" w:space="0" w:color="ADD6EA"/>
              <w:left w:val="nil"/>
              <w:bottom w:val="nil"/>
              <w:right w:val="nil"/>
            </w:tcBorders>
            <w:shd w:val="clear" w:color="000000" w:fill="FFFFFF"/>
            <w:vAlign w:val="center"/>
            <w:hideMark/>
          </w:tcPr>
          <w:p w14:paraId="2DC311F9"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24</w:t>
            </w:r>
          </w:p>
        </w:tc>
        <w:tc>
          <w:tcPr>
            <w:tcW w:w="640" w:type="dxa"/>
            <w:tcBorders>
              <w:top w:val="single" w:sz="4" w:space="0" w:color="ADD6EA"/>
              <w:left w:val="nil"/>
              <w:bottom w:val="nil"/>
              <w:right w:val="nil"/>
            </w:tcBorders>
            <w:shd w:val="clear" w:color="000000" w:fill="FFFFFF"/>
            <w:vAlign w:val="center"/>
            <w:hideMark/>
          </w:tcPr>
          <w:p w14:paraId="2F9545B0"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40</w:t>
            </w:r>
          </w:p>
        </w:tc>
        <w:tc>
          <w:tcPr>
            <w:tcW w:w="640" w:type="dxa"/>
            <w:tcBorders>
              <w:top w:val="single" w:sz="4" w:space="0" w:color="ADD6EA"/>
              <w:left w:val="nil"/>
              <w:bottom w:val="nil"/>
              <w:right w:val="nil"/>
            </w:tcBorders>
            <w:shd w:val="clear" w:color="000000" w:fill="FFFFFF"/>
            <w:vAlign w:val="center"/>
            <w:hideMark/>
          </w:tcPr>
          <w:p w14:paraId="0C9F4EAD"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-55</w:t>
            </w:r>
          </w:p>
        </w:tc>
        <w:tc>
          <w:tcPr>
            <w:tcW w:w="640" w:type="dxa"/>
            <w:tcBorders>
              <w:top w:val="single" w:sz="4" w:space="0" w:color="ADD6EA"/>
              <w:left w:val="nil"/>
              <w:bottom w:val="nil"/>
              <w:right w:val="nil"/>
            </w:tcBorders>
            <w:shd w:val="clear" w:color="000000" w:fill="FFFFFF"/>
            <w:vAlign w:val="center"/>
            <w:hideMark/>
          </w:tcPr>
          <w:p w14:paraId="5699FF3D"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-18</w:t>
            </w:r>
          </w:p>
        </w:tc>
        <w:tc>
          <w:tcPr>
            <w:tcW w:w="640" w:type="dxa"/>
            <w:tcBorders>
              <w:top w:val="single" w:sz="4" w:space="0" w:color="ADD6EA"/>
              <w:left w:val="nil"/>
              <w:bottom w:val="nil"/>
              <w:right w:val="nil"/>
            </w:tcBorders>
            <w:shd w:val="clear" w:color="000000" w:fill="FFFFFF"/>
            <w:vAlign w:val="center"/>
            <w:hideMark/>
          </w:tcPr>
          <w:p w14:paraId="6CE1B06F"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-40</w:t>
            </w:r>
          </w:p>
        </w:tc>
        <w:tc>
          <w:tcPr>
            <w:tcW w:w="640" w:type="dxa"/>
            <w:tcBorders>
              <w:top w:val="single" w:sz="4" w:space="0" w:color="ADD6EA"/>
              <w:left w:val="nil"/>
              <w:bottom w:val="nil"/>
              <w:right w:val="nil"/>
            </w:tcBorders>
            <w:shd w:val="clear" w:color="000000" w:fill="FFFFFF"/>
            <w:vAlign w:val="center"/>
            <w:hideMark/>
          </w:tcPr>
          <w:p w14:paraId="293A7408"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-39</w:t>
            </w:r>
          </w:p>
        </w:tc>
        <w:tc>
          <w:tcPr>
            <w:tcW w:w="640" w:type="dxa"/>
            <w:tcBorders>
              <w:top w:val="single" w:sz="4" w:space="0" w:color="ADD6EA"/>
              <w:left w:val="nil"/>
              <w:bottom w:val="nil"/>
              <w:right w:val="nil"/>
            </w:tcBorders>
            <w:shd w:val="clear" w:color="000000" w:fill="FFFFFF"/>
            <w:vAlign w:val="center"/>
            <w:hideMark/>
          </w:tcPr>
          <w:p w14:paraId="42822B5A"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16C5EA5F"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-96</w:t>
            </w:r>
          </w:p>
        </w:tc>
        <w:tc>
          <w:tcPr>
            <w:tcW w:w="640" w:type="dxa"/>
            <w:tcBorders>
              <w:top w:val="single" w:sz="4" w:space="0" w:color="ADD6EA"/>
              <w:left w:val="nil"/>
              <w:bottom w:val="nil"/>
              <w:right w:val="nil"/>
            </w:tcBorders>
            <w:shd w:val="clear" w:color="000000" w:fill="FFFFFF"/>
            <w:vAlign w:val="center"/>
            <w:hideMark/>
          </w:tcPr>
          <w:p w14:paraId="41BD0DB6" w14:textId="77777777" w:rsidR="007014F3" w:rsidRPr="007014F3" w:rsidRDefault="007014F3" w:rsidP="00C549EC">
            <w:pPr>
              <w:tabs>
                <w:tab w:val="clear" w:pos="567"/>
              </w:tabs>
              <w:spacing w:before="0" w:line="240" w:lineRule="auto"/>
              <w:jc w:val="right"/>
              <w:rPr>
                <w:rFonts w:eastAsia="Times New Roman" w:cs="Open Sans Light"/>
                <w:color w:val="000000"/>
                <w:sz w:val="16"/>
                <w:szCs w:val="16"/>
                <w:lang w:eastAsia="en-AU"/>
              </w:rPr>
            </w:pPr>
            <w:r w:rsidRPr="007014F3">
              <w:rPr>
                <w:rFonts w:eastAsia="Times New Roman" w:cs="Open Sans Light"/>
                <w:color w:val="000000"/>
                <w:sz w:val="16"/>
                <w:szCs w:val="16"/>
                <w:lang w:eastAsia="en-AU"/>
              </w:rPr>
              <w:t>18</w:t>
            </w:r>
          </w:p>
        </w:tc>
      </w:tr>
      <w:tr w:rsidR="007014F3" w:rsidRPr="007014F3" w14:paraId="051559D0" w14:textId="77777777" w:rsidTr="00C549EC">
        <w:trPr>
          <w:trHeight w:val="318"/>
        </w:trPr>
        <w:tc>
          <w:tcPr>
            <w:tcW w:w="3700" w:type="dxa"/>
            <w:tcBorders>
              <w:top w:val="single" w:sz="4" w:space="0" w:color="ADD6EA"/>
              <w:left w:val="nil"/>
              <w:bottom w:val="single" w:sz="4" w:space="0" w:color="ADD6EA"/>
              <w:right w:val="nil"/>
            </w:tcBorders>
            <w:shd w:val="clear" w:color="000000" w:fill="D6E7F0"/>
            <w:vAlign w:val="center"/>
            <w:hideMark/>
          </w:tcPr>
          <w:p w14:paraId="505E6110" w14:textId="26C8D77F" w:rsidR="007014F3" w:rsidRPr="007014F3" w:rsidRDefault="007014F3" w:rsidP="00C549EC">
            <w:pPr>
              <w:tabs>
                <w:tab w:val="clear" w:pos="567"/>
              </w:tabs>
              <w:spacing w:before="0" w:line="240" w:lineRule="auto"/>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Net effect of treatment of COVID</w:t>
            </w:r>
            <w:r w:rsidR="00241A44">
              <w:rPr>
                <w:rFonts w:ascii="Open Sans Semibold" w:eastAsia="Times New Roman" w:hAnsi="Open Sans Semibold" w:cs="Open Sans Semibold"/>
                <w:color w:val="000000"/>
                <w:sz w:val="16"/>
                <w:szCs w:val="16"/>
                <w:lang w:eastAsia="en-AU"/>
              </w:rPr>
              <w:t>-19</w:t>
            </w:r>
          </w:p>
        </w:tc>
        <w:tc>
          <w:tcPr>
            <w:tcW w:w="640" w:type="dxa"/>
            <w:tcBorders>
              <w:top w:val="single" w:sz="4" w:space="0" w:color="ADD6EA"/>
              <w:left w:val="nil"/>
              <w:bottom w:val="single" w:sz="4" w:space="0" w:color="ADD6EA"/>
              <w:right w:val="nil"/>
            </w:tcBorders>
            <w:shd w:val="clear" w:color="000000" w:fill="D6E7F0"/>
            <w:vAlign w:val="center"/>
            <w:hideMark/>
          </w:tcPr>
          <w:p w14:paraId="4FBE8891"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24</w:t>
            </w:r>
          </w:p>
        </w:tc>
        <w:tc>
          <w:tcPr>
            <w:tcW w:w="640" w:type="dxa"/>
            <w:tcBorders>
              <w:top w:val="single" w:sz="4" w:space="0" w:color="ADD6EA"/>
              <w:left w:val="nil"/>
              <w:bottom w:val="single" w:sz="4" w:space="0" w:color="ADD6EA"/>
              <w:right w:val="nil"/>
            </w:tcBorders>
            <w:shd w:val="clear" w:color="000000" w:fill="D6E7F0"/>
            <w:vAlign w:val="center"/>
            <w:hideMark/>
          </w:tcPr>
          <w:p w14:paraId="5B89EFC7"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40</w:t>
            </w:r>
          </w:p>
        </w:tc>
        <w:tc>
          <w:tcPr>
            <w:tcW w:w="640" w:type="dxa"/>
            <w:tcBorders>
              <w:top w:val="single" w:sz="4" w:space="0" w:color="ADD6EA"/>
              <w:left w:val="nil"/>
              <w:bottom w:val="single" w:sz="4" w:space="0" w:color="ADD6EA"/>
              <w:right w:val="nil"/>
            </w:tcBorders>
            <w:shd w:val="clear" w:color="000000" w:fill="D6E7F0"/>
            <w:vAlign w:val="center"/>
            <w:hideMark/>
          </w:tcPr>
          <w:p w14:paraId="55C07B9C"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-55</w:t>
            </w:r>
          </w:p>
        </w:tc>
        <w:tc>
          <w:tcPr>
            <w:tcW w:w="640" w:type="dxa"/>
            <w:tcBorders>
              <w:top w:val="single" w:sz="4" w:space="0" w:color="ADD6EA"/>
              <w:left w:val="nil"/>
              <w:bottom w:val="single" w:sz="4" w:space="0" w:color="ADD6EA"/>
              <w:right w:val="nil"/>
            </w:tcBorders>
            <w:shd w:val="clear" w:color="000000" w:fill="D6E7F0"/>
            <w:vAlign w:val="center"/>
            <w:hideMark/>
          </w:tcPr>
          <w:p w14:paraId="5452F31A"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-18</w:t>
            </w:r>
          </w:p>
        </w:tc>
        <w:tc>
          <w:tcPr>
            <w:tcW w:w="640" w:type="dxa"/>
            <w:tcBorders>
              <w:top w:val="single" w:sz="4" w:space="0" w:color="ADD6EA"/>
              <w:left w:val="nil"/>
              <w:bottom w:val="single" w:sz="4" w:space="0" w:color="ADD6EA"/>
              <w:right w:val="nil"/>
            </w:tcBorders>
            <w:shd w:val="clear" w:color="000000" w:fill="D6E7F0"/>
            <w:vAlign w:val="center"/>
            <w:hideMark/>
          </w:tcPr>
          <w:p w14:paraId="0D4507B6"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-40</w:t>
            </w:r>
          </w:p>
        </w:tc>
        <w:tc>
          <w:tcPr>
            <w:tcW w:w="640" w:type="dxa"/>
            <w:tcBorders>
              <w:top w:val="single" w:sz="4" w:space="0" w:color="ADD6EA"/>
              <w:left w:val="nil"/>
              <w:bottom w:val="single" w:sz="4" w:space="0" w:color="ADD6EA"/>
              <w:right w:val="nil"/>
            </w:tcBorders>
            <w:shd w:val="clear" w:color="000000" w:fill="D6E7F0"/>
            <w:vAlign w:val="center"/>
            <w:hideMark/>
          </w:tcPr>
          <w:p w14:paraId="2C458DBC"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-39</w:t>
            </w:r>
          </w:p>
        </w:tc>
        <w:tc>
          <w:tcPr>
            <w:tcW w:w="640" w:type="dxa"/>
            <w:tcBorders>
              <w:top w:val="single" w:sz="4" w:space="0" w:color="ADD6EA"/>
              <w:left w:val="nil"/>
              <w:bottom w:val="single" w:sz="4" w:space="0" w:color="ADD6EA"/>
              <w:right w:val="nil"/>
            </w:tcBorders>
            <w:shd w:val="clear" w:color="000000" w:fill="D6E7F0"/>
            <w:vAlign w:val="center"/>
            <w:hideMark/>
          </w:tcPr>
          <w:p w14:paraId="035B3D1E"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-5</w:t>
            </w:r>
          </w:p>
        </w:tc>
        <w:tc>
          <w:tcPr>
            <w:tcW w:w="640" w:type="dxa"/>
            <w:tcBorders>
              <w:top w:val="single" w:sz="4" w:space="0" w:color="ADD6EA"/>
              <w:left w:val="nil"/>
              <w:bottom w:val="single" w:sz="4" w:space="0" w:color="ADD6EA"/>
              <w:right w:val="nil"/>
            </w:tcBorders>
            <w:shd w:val="clear" w:color="000000" w:fill="D6E7F0"/>
            <w:vAlign w:val="center"/>
            <w:hideMark/>
          </w:tcPr>
          <w:p w14:paraId="5E4456E1"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-96</w:t>
            </w:r>
          </w:p>
        </w:tc>
        <w:tc>
          <w:tcPr>
            <w:tcW w:w="640" w:type="dxa"/>
            <w:tcBorders>
              <w:top w:val="single" w:sz="4" w:space="0" w:color="ADD6EA"/>
              <w:left w:val="nil"/>
              <w:bottom w:val="single" w:sz="4" w:space="0" w:color="ADD6EA"/>
              <w:right w:val="nil"/>
            </w:tcBorders>
            <w:shd w:val="clear" w:color="000000" w:fill="D6E7F0"/>
            <w:vAlign w:val="center"/>
            <w:hideMark/>
          </w:tcPr>
          <w:p w14:paraId="7EC5CB4E" w14:textId="77777777" w:rsidR="007014F3" w:rsidRPr="007014F3" w:rsidRDefault="007014F3" w:rsidP="00C549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014F3">
              <w:rPr>
                <w:rFonts w:ascii="Open Sans Semibold" w:eastAsia="Times New Roman" w:hAnsi="Open Sans Semibold" w:cs="Open Sans Semibold"/>
                <w:color w:val="000000"/>
                <w:sz w:val="16"/>
                <w:szCs w:val="16"/>
                <w:lang w:eastAsia="en-AU"/>
              </w:rPr>
              <w:t>18</w:t>
            </w:r>
          </w:p>
        </w:tc>
      </w:tr>
    </w:tbl>
    <w:p w14:paraId="4B0E3626" w14:textId="421D0D18" w:rsidR="00E90E9F" w:rsidRDefault="00E90E9F" w:rsidP="00E90E9F">
      <w:pPr>
        <w:pStyle w:val="CGC2025TableNote"/>
        <w:rPr>
          <w:lang w:eastAsia="en-AU"/>
        </w:rPr>
      </w:pPr>
      <w:r w:rsidRPr="00132E9F">
        <w:rPr>
          <w:lang w:eastAsia="en-AU"/>
        </w:rPr>
        <w:t>Note:</w:t>
      </w:r>
      <w:r>
        <w:rPr>
          <w:lang w:eastAsia="en-AU"/>
        </w:rPr>
        <w:tab/>
      </w:r>
      <w:r w:rsidRPr="00132E9F">
        <w:rPr>
          <w:lang w:eastAsia="en-AU"/>
        </w:rPr>
        <w:t>Based on no change to the wage costs assessment. The effect of these changes is shown in the wage costs chapter.</w:t>
      </w:r>
    </w:p>
    <w:p w14:paraId="7B401F27" w14:textId="77777777" w:rsidR="00E90E9F" w:rsidRDefault="00E90E9F" w:rsidP="00E90E9F">
      <w:pPr>
        <w:pStyle w:val="CGC2025TableNote"/>
        <w:rPr>
          <w:lang w:eastAsia="en-AU"/>
        </w:rPr>
      </w:pPr>
      <w:r>
        <w:rPr>
          <w:lang w:eastAsia="en-AU"/>
        </w:rPr>
        <w:tab/>
      </w:r>
      <w:r>
        <w:rPr>
          <w:lang w:eastAsia="en-AU"/>
        </w:rPr>
        <w:tab/>
      </w:r>
      <w:r w:rsidRPr="00EB7D36">
        <w:rPr>
          <w:lang w:eastAsia="en-AU"/>
        </w:rPr>
        <w:t>The GST pool and population estimates are equivalent to those used in the 2024 Update.</w:t>
      </w:r>
    </w:p>
    <w:p w14:paraId="65F802B8" w14:textId="77777777" w:rsidR="00E90E9F" w:rsidRDefault="00E90E9F" w:rsidP="00E90E9F">
      <w:pPr>
        <w:pStyle w:val="CGC2025TableNote"/>
        <w:keepNext/>
        <w:ind w:left="567" w:hanging="454"/>
      </w:pPr>
      <w:r>
        <w:tab/>
        <w:t>The data included in the table have not been subject to full quality assurance processes and as such, should be treated as indicative only.</w:t>
      </w:r>
    </w:p>
    <w:p w14:paraId="768D27E1" w14:textId="2FD9D965" w:rsidR="00E90E9F" w:rsidRDefault="00E90E9F" w:rsidP="00E90E9F">
      <w:pPr>
        <w:pStyle w:val="CGC2025TableNote"/>
        <w:keepNext/>
        <w:ind w:left="567" w:hanging="454"/>
      </w:pPr>
      <w:r>
        <w:tab/>
      </w:r>
      <w:r w:rsidRPr="00DC73BC">
        <w:t>Indicative GST impacts are provided for illustrative purposes only and should not be used to predict impacts on GST</w:t>
      </w:r>
      <w:r w:rsidR="00C00853">
        <w:t> </w:t>
      </w:r>
      <w:r w:rsidRPr="00DC73BC">
        <w:t>distribution for 2025</w:t>
      </w:r>
      <w:r w:rsidR="00AA22F9">
        <w:t>–</w:t>
      </w:r>
      <w:r w:rsidRPr="00DC73BC">
        <w:t>26.</w:t>
      </w:r>
    </w:p>
    <w:p w14:paraId="798CA134" w14:textId="2414363B" w:rsidR="00A52B7C" w:rsidRDefault="00A52B7C" w:rsidP="00A52B7C">
      <w:pPr>
        <w:pStyle w:val="CGC2025TableNote"/>
        <w:keepNext/>
        <w:ind w:left="567" w:hanging="454"/>
      </w:pPr>
      <w:r>
        <w:tab/>
      </w:r>
      <w:r w:rsidRPr="00624DE0">
        <w:t xml:space="preserve">The </w:t>
      </w:r>
      <w:r w:rsidR="000D361D">
        <w:t xml:space="preserve">indicative </w:t>
      </w:r>
      <w:r w:rsidR="00DB0B95">
        <w:t xml:space="preserve">impacts </w:t>
      </w:r>
      <w:r w:rsidR="00985E47">
        <w:t xml:space="preserve">are based on the </w:t>
      </w:r>
      <w:r w:rsidRPr="00624DE0">
        <w:t xml:space="preserve">reconciled value of the </w:t>
      </w:r>
      <w:r>
        <w:t xml:space="preserve">Commonwealth </w:t>
      </w:r>
      <w:r w:rsidRPr="00624DE0">
        <w:t xml:space="preserve">payments </w:t>
      </w:r>
      <w:r w:rsidR="000E3A36">
        <w:t>under the National Partnership on COVID</w:t>
      </w:r>
      <w:r w:rsidR="000E3A36">
        <w:noBreakHyphen/>
        <w:t>19 Response</w:t>
      </w:r>
      <w:r w:rsidRPr="00624DE0">
        <w:t>.</w:t>
      </w:r>
    </w:p>
    <w:p w14:paraId="0BF451BD" w14:textId="77777777" w:rsidR="00A52B7C" w:rsidRDefault="00A52B7C" w:rsidP="00E90E9F">
      <w:pPr>
        <w:pStyle w:val="CGC2025TableNote"/>
        <w:keepNext/>
        <w:ind w:left="567" w:hanging="454"/>
      </w:pPr>
    </w:p>
    <w:p w14:paraId="5A6CF526" w14:textId="4B979865" w:rsidR="0050743A" w:rsidRDefault="0050743A">
      <w:pPr>
        <w:tabs>
          <w:tab w:val="clear" w:pos="567"/>
        </w:tabs>
        <w:spacing w:before="0" w:after="200" w:line="276" w:lineRule="auto"/>
        <w:rPr>
          <w:rFonts w:ascii="Work Sans" w:eastAsia="Times New Roman" w:hAnsi="Work Sans" w:cs="Open Sans"/>
          <w:b/>
          <w:bCs/>
          <w:color w:val="006991"/>
          <w:sz w:val="40"/>
          <w:szCs w:val="40"/>
        </w:rPr>
      </w:pPr>
      <w:r>
        <w:br w:type="page"/>
      </w:r>
    </w:p>
    <w:p w14:paraId="3A7B6D49" w14:textId="7AE8AEE4" w:rsidR="00AA38F4" w:rsidRDefault="00AA38F4" w:rsidP="00AA38F4">
      <w:pPr>
        <w:pStyle w:val="Heading2"/>
      </w:pPr>
      <w:r>
        <w:lastRenderedPageBreak/>
        <w:t>Attachment A</w:t>
      </w:r>
      <w:r w:rsidR="00AE250E">
        <w:t>:</w:t>
      </w:r>
      <w:r>
        <w:t xml:space="preserve"> </w:t>
      </w:r>
      <w:bookmarkStart w:id="102" w:name="_Hlk165458557"/>
      <w:r w:rsidRPr="00C427B8">
        <w:rPr>
          <w:b w:val="0"/>
          <w:bCs w:val="0"/>
        </w:rPr>
        <w:t>Tier 2 classification 2021</w:t>
      </w:r>
      <w:r w:rsidR="009B3FD6">
        <w:rPr>
          <w:b w:val="0"/>
          <w:bCs w:val="0"/>
        </w:rPr>
        <w:t>–</w:t>
      </w:r>
      <w:r w:rsidRPr="00C427B8">
        <w:rPr>
          <w:b w:val="0"/>
          <w:bCs w:val="0"/>
        </w:rPr>
        <w:t>22</w:t>
      </w:r>
      <w:bookmarkEnd w:id="102"/>
    </w:p>
    <w:p w14:paraId="2C1C4BC2" w14:textId="4B617C73" w:rsidR="00AA38F4" w:rsidRDefault="00B5190A" w:rsidP="00C427B8">
      <w:pPr>
        <w:pStyle w:val="CGC2025Caption"/>
        <w:tabs>
          <w:tab w:val="left" w:pos="1134"/>
        </w:tabs>
      </w:pPr>
      <w:bookmarkStart w:id="103" w:name="_Ref156818375"/>
      <w:r>
        <w:t>Table A</w:t>
      </w:r>
      <w:r w:rsidR="0096618C">
        <w:t>-</w:t>
      </w:r>
      <w:r>
        <w:fldChar w:fldCharType="begin"/>
      </w:r>
      <w:r>
        <w:instrText>SEQ Table_A \* ARABIC</w:instrText>
      </w:r>
      <w:r>
        <w:fldChar w:fldCharType="separate"/>
      </w:r>
      <w:r w:rsidR="00581B01">
        <w:rPr>
          <w:noProof/>
        </w:rPr>
        <w:t>1</w:t>
      </w:r>
      <w:r>
        <w:fldChar w:fldCharType="end"/>
      </w:r>
      <w:bookmarkEnd w:id="103"/>
      <w:r w:rsidR="00CB5F0B">
        <w:t xml:space="preserve"> </w:t>
      </w:r>
      <w:r w:rsidR="00CB183E">
        <w:tab/>
      </w:r>
      <w:r w:rsidR="00CB5F0B" w:rsidRPr="00CB5F0B">
        <w:t xml:space="preserve">Tier 2 classification </w:t>
      </w:r>
      <w:r w:rsidR="006A52EB">
        <w:t>v7</w:t>
      </w:r>
      <w:r w:rsidR="00F97DA2">
        <w:t>.0</w:t>
      </w:r>
      <w:r w:rsidR="006A52EB">
        <w:t xml:space="preserve"> </w:t>
      </w:r>
      <w:r w:rsidR="00CB5F0B" w:rsidRPr="00CB5F0B">
        <w:t>2021</w:t>
      </w:r>
      <w:r w:rsidR="009B3FD6">
        <w:t>–</w:t>
      </w:r>
      <w:r w:rsidR="00CB5F0B" w:rsidRPr="00CB5F0B">
        <w:t>22</w:t>
      </w:r>
    </w:p>
    <w:tbl>
      <w:tblPr>
        <w:tblW w:w="8942" w:type="dxa"/>
        <w:tblLook w:val="04A0" w:firstRow="1" w:lastRow="0" w:firstColumn="1" w:lastColumn="0" w:noHBand="0" w:noVBand="1"/>
      </w:tblPr>
      <w:tblGrid>
        <w:gridCol w:w="517"/>
        <w:gridCol w:w="1693"/>
        <w:gridCol w:w="6732"/>
      </w:tblGrid>
      <w:tr w:rsidR="00AA38F4" w:rsidRPr="00021546" w14:paraId="06485C88" w14:textId="77777777" w:rsidTr="008A070A">
        <w:trPr>
          <w:trHeight w:val="375"/>
          <w:tblHeader/>
        </w:trPr>
        <w:tc>
          <w:tcPr>
            <w:tcW w:w="2140" w:type="dxa"/>
            <w:gridSpan w:val="2"/>
            <w:tcBorders>
              <w:top w:val="nil"/>
              <w:left w:val="nil"/>
              <w:bottom w:val="single" w:sz="4" w:space="0" w:color="ADD6EA"/>
              <w:right w:val="nil"/>
            </w:tcBorders>
            <w:shd w:val="clear" w:color="000000" w:fill="006991"/>
            <w:vAlign w:val="center"/>
            <w:hideMark/>
          </w:tcPr>
          <w:p w14:paraId="54931AD5" w14:textId="77777777" w:rsidR="00AA38F4" w:rsidRPr="00021546" w:rsidRDefault="00AA38F4" w:rsidP="008A070A">
            <w:pPr>
              <w:tabs>
                <w:tab w:val="clear" w:pos="567"/>
              </w:tabs>
              <w:spacing w:before="0" w:line="240" w:lineRule="auto"/>
              <w:rPr>
                <w:rFonts w:ascii="Open Sans Semibold" w:eastAsia="Times New Roman" w:hAnsi="Open Sans Semibold" w:cs="Open Sans Semibold"/>
                <w:color w:val="FFFFFF"/>
                <w:sz w:val="16"/>
                <w:szCs w:val="16"/>
                <w:lang w:eastAsia="en-AU"/>
              </w:rPr>
            </w:pPr>
            <w:r w:rsidRPr="00021546">
              <w:rPr>
                <w:rFonts w:ascii="Open Sans Semibold" w:eastAsia="Times New Roman" w:hAnsi="Open Sans Semibold" w:cs="Open Sans Semibold"/>
                <w:color w:val="FFFFFF"/>
                <w:sz w:val="16"/>
                <w:szCs w:val="16"/>
                <w:lang w:eastAsia="en-AU"/>
              </w:rPr>
              <w:t>Group and Class</w:t>
            </w:r>
          </w:p>
        </w:tc>
        <w:tc>
          <w:tcPr>
            <w:tcW w:w="6520" w:type="dxa"/>
            <w:tcBorders>
              <w:top w:val="nil"/>
              <w:left w:val="nil"/>
              <w:bottom w:val="nil"/>
              <w:right w:val="nil"/>
            </w:tcBorders>
            <w:shd w:val="clear" w:color="000000" w:fill="006991"/>
            <w:vAlign w:val="center"/>
            <w:hideMark/>
          </w:tcPr>
          <w:p w14:paraId="2A79308D" w14:textId="1C236B7F" w:rsidR="00AA38F4" w:rsidRPr="00021546" w:rsidRDefault="00AA38F4" w:rsidP="008A070A">
            <w:pPr>
              <w:tabs>
                <w:tab w:val="clear" w:pos="567"/>
              </w:tabs>
              <w:spacing w:before="0" w:line="240" w:lineRule="auto"/>
              <w:rPr>
                <w:rFonts w:ascii="Open Sans Semibold" w:eastAsia="Times New Roman" w:hAnsi="Open Sans Semibold" w:cs="Open Sans Semibold"/>
                <w:color w:val="FFFFFF"/>
                <w:sz w:val="16"/>
                <w:szCs w:val="16"/>
                <w:lang w:eastAsia="en-AU"/>
              </w:rPr>
            </w:pPr>
            <w:r w:rsidRPr="00021546">
              <w:rPr>
                <w:rFonts w:ascii="Open Sans Semibold" w:eastAsia="Times New Roman" w:hAnsi="Open Sans Semibold" w:cs="Open Sans Semibold"/>
                <w:color w:val="FFFFFF"/>
                <w:sz w:val="16"/>
                <w:szCs w:val="16"/>
                <w:lang w:eastAsia="en-AU"/>
              </w:rPr>
              <w:t>Description</w:t>
            </w:r>
          </w:p>
        </w:tc>
      </w:tr>
      <w:tr w:rsidR="00AA38F4" w:rsidRPr="00021546" w14:paraId="07970B94" w14:textId="77777777" w:rsidTr="008A070A">
        <w:trPr>
          <w:trHeight w:val="270"/>
        </w:trPr>
        <w:tc>
          <w:tcPr>
            <w:tcW w:w="2140" w:type="dxa"/>
            <w:gridSpan w:val="2"/>
            <w:tcBorders>
              <w:top w:val="single" w:sz="4" w:space="0" w:color="ADD6EA"/>
              <w:left w:val="nil"/>
              <w:bottom w:val="single" w:sz="4" w:space="0" w:color="ADD6EA"/>
              <w:right w:val="nil"/>
            </w:tcBorders>
            <w:shd w:val="clear" w:color="000000" w:fill="B6D5E4"/>
            <w:noWrap/>
            <w:vAlign w:val="center"/>
            <w:hideMark/>
          </w:tcPr>
          <w:p w14:paraId="21126F93" w14:textId="15DFB5AA" w:rsidR="00AA38F4" w:rsidRPr="00021546" w:rsidRDefault="00AA38F4" w:rsidP="008A070A">
            <w:pPr>
              <w:tabs>
                <w:tab w:val="clear" w:pos="567"/>
              </w:tabs>
              <w:spacing w:before="0" w:line="240" w:lineRule="auto"/>
              <w:rPr>
                <w:rFonts w:ascii="Open Sans Semibold" w:eastAsia="Times New Roman" w:hAnsi="Open Sans Semibold" w:cs="Open Sans Semibold"/>
                <w:color w:val="000000"/>
                <w:sz w:val="16"/>
                <w:szCs w:val="16"/>
                <w:lang w:eastAsia="en-AU"/>
              </w:rPr>
            </w:pPr>
            <w:r w:rsidRPr="00021546">
              <w:rPr>
                <w:rFonts w:ascii="Open Sans Semibold" w:eastAsia="Times New Roman" w:hAnsi="Open Sans Semibold" w:cs="Open Sans Semibold"/>
                <w:color w:val="000000"/>
                <w:sz w:val="16"/>
                <w:szCs w:val="16"/>
                <w:lang w:eastAsia="en-AU"/>
              </w:rPr>
              <w:t>Procedures</w:t>
            </w:r>
          </w:p>
        </w:tc>
        <w:tc>
          <w:tcPr>
            <w:tcW w:w="6520" w:type="dxa"/>
            <w:tcBorders>
              <w:top w:val="single" w:sz="4" w:space="0" w:color="ADD6EA"/>
              <w:left w:val="nil"/>
              <w:bottom w:val="single" w:sz="4" w:space="0" w:color="ADD6EA"/>
              <w:right w:val="nil"/>
            </w:tcBorders>
            <w:shd w:val="clear" w:color="000000" w:fill="B6D5E4"/>
            <w:vAlign w:val="center"/>
            <w:hideMark/>
          </w:tcPr>
          <w:p w14:paraId="5B4F2DA5" w14:textId="77777777" w:rsidR="00AA38F4" w:rsidRPr="00021546" w:rsidRDefault="00AA38F4">
            <w:pPr>
              <w:tabs>
                <w:tab w:val="clear" w:pos="567"/>
              </w:tabs>
              <w:spacing w:before="0" w:line="240" w:lineRule="auto"/>
              <w:rPr>
                <w:rFonts w:ascii="Open Sans Semibold" w:eastAsia="Times New Roman" w:hAnsi="Open Sans Semibold" w:cs="Open Sans Semibold"/>
                <w:color w:val="000000"/>
                <w:sz w:val="16"/>
                <w:szCs w:val="16"/>
                <w:lang w:eastAsia="en-AU"/>
              </w:rPr>
            </w:pPr>
            <w:r w:rsidRPr="00021546">
              <w:rPr>
                <w:rFonts w:ascii="Open Sans Semibold" w:eastAsia="Times New Roman" w:hAnsi="Open Sans Semibold" w:cs="Open Sans Semibold"/>
                <w:color w:val="000000"/>
                <w:sz w:val="16"/>
                <w:szCs w:val="16"/>
                <w:lang w:eastAsia="en-AU"/>
              </w:rPr>
              <w:t> </w:t>
            </w:r>
          </w:p>
        </w:tc>
      </w:tr>
      <w:tr w:rsidR="00AA38F4" w:rsidRPr="001E4985" w14:paraId="6D09DAA2"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48A3F12D"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4681EF7"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10.01</w:t>
            </w:r>
          </w:p>
        </w:tc>
        <w:tc>
          <w:tcPr>
            <w:tcW w:w="6520" w:type="dxa"/>
            <w:tcBorders>
              <w:top w:val="nil"/>
              <w:left w:val="nil"/>
              <w:bottom w:val="single" w:sz="4" w:space="0" w:color="ADD6EA"/>
              <w:right w:val="nil"/>
            </w:tcBorders>
            <w:shd w:val="clear" w:color="000000" w:fill="FFFFFF"/>
            <w:hideMark/>
          </w:tcPr>
          <w:p w14:paraId="3978DED8"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Hyperbaric medicine</w:t>
            </w:r>
          </w:p>
        </w:tc>
      </w:tr>
      <w:tr w:rsidR="00AA38F4" w:rsidRPr="001E4985" w14:paraId="20B1C702"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2E1574B6"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82B2756"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10.02</w:t>
            </w:r>
          </w:p>
        </w:tc>
        <w:tc>
          <w:tcPr>
            <w:tcW w:w="6520" w:type="dxa"/>
            <w:tcBorders>
              <w:top w:val="nil"/>
              <w:left w:val="nil"/>
              <w:bottom w:val="single" w:sz="4" w:space="0" w:color="ADD6EA"/>
              <w:right w:val="nil"/>
            </w:tcBorders>
            <w:shd w:val="clear" w:color="000000" w:fill="FFFFFF"/>
            <w:hideMark/>
          </w:tcPr>
          <w:p w14:paraId="7A90D113"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Interventional imaging</w:t>
            </w:r>
          </w:p>
        </w:tc>
      </w:tr>
      <w:tr w:rsidR="00AA38F4" w:rsidRPr="001E4985" w14:paraId="03E25060"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5F2C4A00"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11FDDA2"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10.03</w:t>
            </w:r>
          </w:p>
        </w:tc>
        <w:tc>
          <w:tcPr>
            <w:tcW w:w="6520" w:type="dxa"/>
            <w:tcBorders>
              <w:top w:val="nil"/>
              <w:left w:val="nil"/>
              <w:bottom w:val="single" w:sz="4" w:space="0" w:color="ADD6EA"/>
              <w:right w:val="nil"/>
            </w:tcBorders>
            <w:shd w:val="clear" w:color="000000" w:fill="FFFFFF"/>
            <w:hideMark/>
          </w:tcPr>
          <w:p w14:paraId="7E865E73"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Minor surgical</w:t>
            </w:r>
          </w:p>
        </w:tc>
      </w:tr>
      <w:tr w:rsidR="00AA38F4" w:rsidRPr="001E4985" w14:paraId="10CC95E8"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1C322A40"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B8B95A4"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10.04</w:t>
            </w:r>
          </w:p>
        </w:tc>
        <w:tc>
          <w:tcPr>
            <w:tcW w:w="6520" w:type="dxa"/>
            <w:tcBorders>
              <w:top w:val="nil"/>
              <w:left w:val="nil"/>
              <w:bottom w:val="single" w:sz="4" w:space="0" w:color="ADD6EA"/>
              <w:right w:val="nil"/>
            </w:tcBorders>
            <w:shd w:val="clear" w:color="000000" w:fill="FFFFFF"/>
            <w:hideMark/>
          </w:tcPr>
          <w:p w14:paraId="44F89DDA"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Dental</w:t>
            </w:r>
          </w:p>
        </w:tc>
      </w:tr>
      <w:tr w:rsidR="00AA38F4" w:rsidRPr="001E4985" w14:paraId="7A1238DD"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139F935D"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6BE52575"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10.05</w:t>
            </w:r>
          </w:p>
        </w:tc>
        <w:tc>
          <w:tcPr>
            <w:tcW w:w="6520" w:type="dxa"/>
            <w:tcBorders>
              <w:top w:val="nil"/>
              <w:left w:val="nil"/>
              <w:bottom w:val="single" w:sz="4" w:space="0" w:color="ADD6EA"/>
              <w:right w:val="nil"/>
            </w:tcBorders>
            <w:shd w:val="clear" w:color="000000" w:fill="FFFFFF"/>
            <w:hideMark/>
          </w:tcPr>
          <w:p w14:paraId="50DAEF11"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Angioplasty/angiography</w:t>
            </w:r>
          </w:p>
        </w:tc>
      </w:tr>
      <w:tr w:rsidR="00AA38F4" w:rsidRPr="001E4985" w14:paraId="1363C83A"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281C6063"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63AA713B"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10.06</w:t>
            </w:r>
          </w:p>
        </w:tc>
        <w:tc>
          <w:tcPr>
            <w:tcW w:w="6520" w:type="dxa"/>
            <w:tcBorders>
              <w:top w:val="nil"/>
              <w:left w:val="nil"/>
              <w:bottom w:val="single" w:sz="4" w:space="0" w:color="ADD6EA"/>
              <w:right w:val="nil"/>
            </w:tcBorders>
            <w:shd w:val="clear" w:color="000000" w:fill="FFFFFF"/>
            <w:hideMark/>
          </w:tcPr>
          <w:p w14:paraId="1CC6D846"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Endoscopy – gastrointestinal</w:t>
            </w:r>
          </w:p>
        </w:tc>
      </w:tr>
      <w:tr w:rsidR="00AA38F4" w:rsidRPr="001E4985" w14:paraId="31491437"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760527E4"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ED85954"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10.07</w:t>
            </w:r>
          </w:p>
        </w:tc>
        <w:tc>
          <w:tcPr>
            <w:tcW w:w="6520" w:type="dxa"/>
            <w:tcBorders>
              <w:top w:val="nil"/>
              <w:left w:val="nil"/>
              <w:bottom w:val="single" w:sz="4" w:space="0" w:color="ADD6EA"/>
              <w:right w:val="nil"/>
            </w:tcBorders>
            <w:shd w:val="clear" w:color="000000" w:fill="FFFFFF"/>
            <w:hideMark/>
          </w:tcPr>
          <w:p w14:paraId="0CE7BCF7"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Endoscopy – urological/gynaecological</w:t>
            </w:r>
          </w:p>
        </w:tc>
      </w:tr>
      <w:tr w:rsidR="00AA38F4" w:rsidRPr="001E4985" w14:paraId="16F938BB"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5B995C9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58117AB"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10.08</w:t>
            </w:r>
          </w:p>
        </w:tc>
        <w:tc>
          <w:tcPr>
            <w:tcW w:w="6520" w:type="dxa"/>
            <w:tcBorders>
              <w:top w:val="nil"/>
              <w:left w:val="nil"/>
              <w:bottom w:val="single" w:sz="4" w:space="0" w:color="ADD6EA"/>
              <w:right w:val="nil"/>
            </w:tcBorders>
            <w:shd w:val="clear" w:color="000000" w:fill="FFFFFF"/>
            <w:hideMark/>
          </w:tcPr>
          <w:p w14:paraId="6475D1A9"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Endoscopy – orthopaedic</w:t>
            </w:r>
          </w:p>
        </w:tc>
      </w:tr>
      <w:tr w:rsidR="00AA38F4" w:rsidRPr="001E4985" w14:paraId="2A7744DD"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72022CD5"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87ECB7B"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10.09</w:t>
            </w:r>
          </w:p>
        </w:tc>
        <w:tc>
          <w:tcPr>
            <w:tcW w:w="6520" w:type="dxa"/>
            <w:tcBorders>
              <w:top w:val="nil"/>
              <w:left w:val="nil"/>
              <w:bottom w:val="single" w:sz="4" w:space="0" w:color="ADD6EA"/>
              <w:right w:val="nil"/>
            </w:tcBorders>
            <w:shd w:val="clear" w:color="000000" w:fill="FFFFFF"/>
            <w:hideMark/>
          </w:tcPr>
          <w:p w14:paraId="1351214D"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 xml:space="preserve">Endoscopy – respiratory/ear, </w:t>
            </w:r>
            <w:proofErr w:type="gramStart"/>
            <w:r w:rsidRPr="00C427B8">
              <w:rPr>
                <w:rFonts w:eastAsia="Times New Roman" w:cs="Open Sans Light"/>
                <w:color w:val="000000"/>
                <w:sz w:val="16"/>
                <w:szCs w:val="16"/>
                <w:lang w:eastAsia="en-AU"/>
              </w:rPr>
              <w:t>nose</w:t>
            </w:r>
            <w:proofErr w:type="gramEnd"/>
            <w:r w:rsidRPr="00C427B8">
              <w:rPr>
                <w:rFonts w:eastAsia="Times New Roman" w:cs="Open Sans Light"/>
                <w:color w:val="000000"/>
                <w:sz w:val="16"/>
                <w:szCs w:val="16"/>
                <w:lang w:eastAsia="en-AU"/>
              </w:rPr>
              <w:t xml:space="preserve"> and throat (ENT)</w:t>
            </w:r>
          </w:p>
        </w:tc>
      </w:tr>
      <w:tr w:rsidR="00AA38F4" w:rsidRPr="001E4985" w14:paraId="2D643BF4"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3C99AD79"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6EA0D6F7"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10.10</w:t>
            </w:r>
          </w:p>
        </w:tc>
        <w:tc>
          <w:tcPr>
            <w:tcW w:w="6520" w:type="dxa"/>
            <w:tcBorders>
              <w:top w:val="nil"/>
              <w:left w:val="nil"/>
              <w:bottom w:val="single" w:sz="4" w:space="0" w:color="ADD6EA"/>
              <w:right w:val="nil"/>
            </w:tcBorders>
            <w:shd w:val="clear" w:color="000000" w:fill="FFFFFF"/>
            <w:hideMark/>
          </w:tcPr>
          <w:p w14:paraId="2B63C408"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Renal dialysis – hospital delivered</w:t>
            </w:r>
          </w:p>
        </w:tc>
      </w:tr>
      <w:tr w:rsidR="00AA38F4" w:rsidRPr="001E4985" w14:paraId="3C670BF6"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795CB955"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53EECD5"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10.11</w:t>
            </w:r>
          </w:p>
        </w:tc>
        <w:tc>
          <w:tcPr>
            <w:tcW w:w="6520" w:type="dxa"/>
            <w:tcBorders>
              <w:top w:val="nil"/>
              <w:left w:val="nil"/>
              <w:bottom w:val="single" w:sz="4" w:space="0" w:color="ADD6EA"/>
              <w:right w:val="nil"/>
            </w:tcBorders>
            <w:shd w:val="clear" w:color="000000" w:fill="FFFFFF"/>
            <w:hideMark/>
          </w:tcPr>
          <w:p w14:paraId="0A10AA6F"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Chemotherapy treatment</w:t>
            </w:r>
          </w:p>
        </w:tc>
      </w:tr>
      <w:tr w:rsidR="00AA38F4" w:rsidRPr="001E4985" w14:paraId="6BED4BC2"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5842B994"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2D63B1C"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10.12</w:t>
            </w:r>
          </w:p>
        </w:tc>
        <w:tc>
          <w:tcPr>
            <w:tcW w:w="6520" w:type="dxa"/>
            <w:tcBorders>
              <w:top w:val="nil"/>
              <w:left w:val="nil"/>
              <w:bottom w:val="single" w:sz="4" w:space="0" w:color="ADD6EA"/>
              <w:right w:val="nil"/>
            </w:tcBorders>
            <w:shd w:val="clear" w:color="000000" w:fill="FFFFFF"/>
            <w:hideMark/>
          </w:tcPr>
          <w:p w14:paraId="3FA65A91"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Radiation therapy – treatment</w:t>
            </w:r>
          </w:p>
        </w:tc>
      </w:tr>
      <w:tr w:rsidR="00AA38F4" w:rsidRPr="001E4985" w14:paraId="76E4E04A"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09803E93"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7ED52DD"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10.13</w:t>
            </w:r>
          </w:p>
        </w:tc>
        <w:tc>
          <w:tcPr>
            <w:tcW w:w="6520" w:type="dxa"/>
            <w:tcBorders>
              <w:top w:val="nil"/>
              <w:left w:val="nil"/>
              <w:bottom w:val="single" w:sz="4" w:space="0" w:color="ADD6EA"/>
              <w:right w:val="nil"/>
            </w:tcBorders>
            <w:shd w:val="clear" w:color="000000" w:fill="FFFFFF"/>
            <w:hideMark/>
          </w:tcPr>
          <w:p w14:paraId="0690AA60"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Minor medical procedures</w:t>
            </w:r>
          </w:p>
        </w:tc>
      </w:tr>
      <w:tr w:rsidR="00AA38F4" w:rsidRPr="001E4985" w14:paraId="2B0E5370"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457D78A9"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98AB5F2"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10.14</w:t>
            </w:r>
          </w:p>
        </w:tc>
        <w:tc>
          <w:tcPr>
            <w:tcW w:w="6520" w:type="dxa"/>
            <w:tcBorders>
              <w:top w:val="nil"/>
              <w:left w:val="nil"/>
              <w:bottom w:val="single" w:sz="4" w:space="0" w:color="ADD6EA"/>
              <w:right w:val="nil"/>
            </w:tcBorders>
            <w:shd w:val="clear" w:color="000000" w:fill="FFFFFF"/>
            <w:hideMark/>
          </w:tcPr>
          <w:p w14:paraId="5972FADA"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Pain management interventions</w:t>
            </w:r>
          </w:p>
        </w:tc>
      </w:tr>
      <w:tr w:rsidR="00AA38F4" w:rsidRPr="001E4985" w14:paraId="0B859A56"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5FA3CC26"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9DBAD31"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10.15</w:t>
            </w:r>
          </w:p>
        </w:tc>
        <w:tc>
          <w:tcPr>
            <w:tcW w:w="6520" w:type="dxa"/>
            <w:tcBorders>
              <w:top w:val="nil"/>
              <w:left w:val="nil"/>
              <w:bottom w:val="single" w:sz="4" w:space="0" w:color="ADD6EA"/>
              <w:right w:val="nil"/>
            </w:tcBorders>
            <w:shd w:val="clear" w:color="000000" w:fill="FFFFFF"/>
            <w:hideMark/>
          </w:tcPr>
          <w:p w14:paraId="6B8FED0A"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Renal dialysis – haemodialysis – home delivered</w:t>
            </w:r>
          </w:p>
        </w:tc>
      </w:tr>
      <w:tr w:rsidR="00AA38F4" w:rsidRPr="001E4985" w14:paraId="668152FD"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1F7E98E8"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6BCB095"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10.16</w:t>
            </w:r>
          </w:p>
        </w:tc>
        <w:tc>
          <w:tcPr>
            <w:tcW w:w="6520" w:type="dxa"/>
            <w:tcBorders>
              <w:top w:val="nil"/>
              <w:left w:val="nil"/>
              <w:bottom w:val="single" w:sz="4" w:space="0" w:color="ADD6EA"/>
              <w:right w:val="nil"/>
            </w:tcBorders>
            <w:shd w:val="clear" w:color="000000" w:fill="FFFFFF"/>
            <w:hideMark/>
          </w:tcPr>
          <w:p w14:paraId="1FCF15BA"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Renal dialysis – peritoneal dialysis – home delivered</w:t>
            </w:r>
          </w:p>
        </w:tc>
      </w:tr>
      <w:tr w:rsidR="00AA38F4" w:rsidRPr="001E4985" w14:paraId="24BC13E4"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0A59ACA0"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D401B24"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10.17</w:t>
            </w:r>
          </w:p>
        </w:tc>
        <w:tc>
          <w:tcPr>
            <w:tcW w:w="6520" w:type="dxa"/>
            <w:tcBorders>
              <w:top w:val="nil"/>
              <w:left w:val="nil"/>
              <w:bottom w:val="single" w:sz="4" w:space="0" w:color="ADD6EA"/>
              <w:right w:val="nil"/>
            </w:tcBorders>
            <w:shd w:val="clear" w:color="000000" w:fill="FFFFFF"/>
            <w:hideMark/>
          </w:tcPr>
          <w:p w14:paraId="0F5E0395"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Total parenteral nutrition – home delivered</w:t>
            </w:r>
          </w:p>
        </w:tc>
      </w:tr>
      <w:tr w:rsidR="00AA38F4" w:rsidRPr="001E4985" w14:paraId="43415A79"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5E53E479"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370DD35"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10.18</w:t>
            </w:r>
          </w:p>
        </w:tc>
        <w:tc>
          <w:tcPr>
            <w:tcW w:w="6520" w:type="dxa"/>
            <w:tcBorders>
              <w:top w:val="nil"/>
              <w:left w:val="nil"/>
              <w:bottom w:val="single" w:sz="4" w:space="0" w:color="ADD6EA"/>
              <w:right w:val="nil"/>
            </w:tcBorders>
            <w:shd w:val="clear" w:color="000000" w:fill="FFFFFF"/>
            <w:hideMark/>
          </w:tcPr>
          <w:p w14:paraId="2BE31FA2"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Enteral nutrition – home delivered</w:t>
            </w:r>
          </w:p>
        </w:tc>
      </w:tr>
      <w:tr w:rsidR="00AA38F4" w:rsidRPr="001E4985" w14:paraId="0F2B6ED2"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3D38BEE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4FF9F4C"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10.19</w:t>
            </w:r>
          </w:p>
        </w:tc>
        <w:tc>
          <w:tcPr>
            <w:tcW w:w="6520" w:type="dxa"/>
            <w:tcBorders>
              <w:top w:val="nil"/>
              <w:left w:val="nil"/>
              <w:bottom w:val="single" w:sz="4" w:space="0" w:color="ADD6EA"/>
              <w:right w:val="nil"/>
            </w:tcBorders>
            <w:shd w:val="clear" w:color="000000" w:fill="FFFFFF"/>
            <w:hideMark/>
          </w:tcPr>
          <w:p w14:paraId="1D8EED1F"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Ventilation – home delivered</w:t>
            </w:r>
          </w:p>
        </w:tc>
      </w:tr>
      <w:tr w:rsidR="00AA38F4" w:rsidRPr="001E4985" w14:paraId="492E659C" w14:textId="77777777" w:rsidTr="008A070A">
        <w:trPr>
          <w:trHeight w:val="270"/>
        </w:trPr>
        <w:tc>
          <w:tcPr>
            <w:tcW w:w="500" w:type="dxa"/>
            <w:tcBorders>
              <w:top w:val="nil"/>
              <w:left w:val="nil"/>
              <w:bottom w:val="single" w:sz="4" w:space="0" w:color="ADD6EA"/>
              <w:right w:val="nil"/>
            </w:tcBorders>
            <w:shd w:val="clear" w:color="000000" w:fill="FFFFFF"/>
            <w:vAlign w:val="center"/>
            <w:hideMark/>
          </w:tcPr>
          <w:p w14:paraId="1047166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2324189"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10.20</w:t>
            </w:r>
          </w:p>
        </w:tc>
        <w:tc>
          <w:tcPr>
            <w:tcW w:w="6520" w:type="dxa"/>
            <w:tcBorders>
              <w:top w:val="nil"/>
              <w:left w:val="nil"/>
              <w:bottom w:val="single" w:sz="4" w:space="0" w:color="ADD6EA"/>
              <w:right w:val="nil"/>
            </w:tcBorders>
            <w:shd w:val="clear" w:color="000000" w:fill="FFFFFF"/>
            <w:hideMark/>
          </w:tcPr>
          <w:p w14:paraId="2D08E463" w14:textId="77777777" w:rsidR="00AA38F4" w:rsidRPr="00C427B8" w:rsidRDefault="00AA38F4" w:rsidP="008A070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Radiation therapy – simulation and planning</w:t>
            </w:r>
          </w:p>
        </w:tc>
      </w:tr>
      <w:tr w:rsidR="00AA38F4" w:rsidRPr="00021546" w14:paraId="34B67CE9" w14:textId="77777777" w:rsidTr="008A070A">
        <w:trPr>
          <w:trHeight w:val="285"/>
        </w:trPr>
        <w:tc>
          <w:tcPr>
            <w:tcW w:w="2140" w:type="dxa"/>
            <w:gridSpan w:val="2"/>
            <w:tcBorders>
              <w:top w:val="single" w:sz="4" w:space="0" w:color="ADD6EA"/>
              <w:left w:val="nil"/>
              <w:bottom w:val="single" w:sz="4" w:space="0" w:color="ADD6EA"/>
              <w:right w:val="nil"/>
            </w:tcBorders>
            <w:shd w:val="clear" w:color="000000" w:fill="B6D5E4"/>
            <w:noWrap/>
            <w:vAlign w:val="center"/>
            <w:hideMark/>
          </w:tcPr>
          <w:p w14:paraId="13FCDBA1" w14:textId="77777777" w:rsidR="00AA38F4" w:rsidRPr="00021546" w:rsidRDefault="00AA38F4" w:rsidP="008A070A">
            <w:pPr>
              <w:tabs>
                <w:tab w:val="clear" w:pos="567"/>
              </w:tabs>
              <w:spacing w:before="0" w:line="240" w:lineRule="auto"/>
              <w:rPr>
                <w:rFonts w:ascii="Open Sans Semibold" w:eastAsia="Times New Roman" w:hAnsi="Open Sans Semibold" w:cs="Open Sans Semibold"/>
                <w:color w:val="000000"/>
                <w:sz w:val="16"/>
                <w:szCs w:val="16"/>
                <w:lang w:eastAsia="en-AU"/>
              </w:rPr>
            </w:pPr>
            <w:r w:rsidRPr="00021546">
              <w:rPr>
                <w:rFonts w:ascii="Open Sans Semibold" w:eastAsia="Times New Roman" w:hAnsi="Open Sans Semibold" w:cs="Open Sans Semibold"/>
                <w:color w:val="000000"/>
                <w:sz w:val="16"/>
                <w:szCs w:val="16"/>
                <w:lang w:eastAsia="en-AU"/>
              </w:rPr>
              <w:t>Medical consultations</w:t>
            </w:r>
          </w:p>
        </w:tc>
        <w:tc>
          <w:tcPr>
            <w:tcW w:w="6520" w:type="dxa"/>
            <w:tcBorders>
              <w:top w:val="nil"/>
              <w:left w:val="nil"/>
              <w:bottom w:val="single" w:sz="4" w:space="0" w:color="ADD6EA"/>
              <w:right w:val="nil"/>
            </w:tcBorders>
            <w:shd w:val="clear" w:color="000000" w:fill="B6D5E4"/>
            <w:vAlign w:val="center"/>
            <w:hideMark/>
          </w:tcPr>
          <w:p w14:paraId="66826DAD" w14:textId="77777777" w:rsidR="00AA38F4" w:rsidRPr="00021546" w:rsidRDefault="00AA38F4">
            <w:pPr>
              <w:tabs>
                <w:tab w:val="clear" w:pos="567"/>
              </w:tabs>
              <w:spacing w:before="0" w:line="240" w:lineRule="auto"/>
              <w:rPr>
                <w:rFonts w:ascii="Open Sans Semibold" w:eastAsia="Times New Roman" w:hAnsi="Open Sans Semibold" w:cs="Open Sans Semibold"/>
                <w:color w:val="000000"/>
                <w:sz w:val="16"/>
                <w:szCs w:val="16"/>
                <w:lang w:eastAsia="en-AU"/>
              </w:rPr>
            </w:pPr>
            <w:r w:rsidRPr="00021546">
              <w:rPr>
                <w:rFonts w:ascii="Open Sans Semibold" w:eastAsia="Times New Roman" w:hAnsi="Open Sans Semibold" w:cs="Open Sans Semibold"/>
                <w:color w:val="000000"/>
                <w:sz w:val="16"/>
                <w:szCs w:val="16"/>
                <w:lang w:eastAsia="en-AU"/>
              </w:rPr>
              <w:t> </w:t>
            </w:r>
          </w:p>
        </w:tc>
      </w:tr>
      <w:tr w:rsidR="00AA38F4" w:rsidRPr="001E4985" w14:paraId="70C0574A"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57E2C22C"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13FEF6C"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20.01</w:t>
            </w:r>
          </w:p>
        </w:tc>
        <w:tc>
          <w:tcPr>
            <w:tcW w:w="6520" w:type="dxa"/>
            <w:tcBorders>
              <w:top w:val="nil"/>
              <w:left w:val="nil"/>
              <w:bottom w:val="single" w:sz="4" w:space="0" w:color="ADD6EA"/>
              <w:right w:val="nil"/>
            </w:tcBorders>
            <w:shd w:val="clear" w:color="000000" w:fill="FFFFFF"/>
            <w:hideMark/>
          </w:tcPr>
          <w:p w14:paraId="7CD0C91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Transplants</w:t>
            </w:r>
          </w:p>
        </w:tc>
      </w:tr>
      <w:tr w:rsidR="00AA38F4" w:rsidRPr="001E4985" w14:paraId="18C2415C"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DE1B888"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770FC9D"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20.02</w:t>
            </w:r>
          </w:p>
        </w:tc>
        <w:tc>
          <w:tcPr>
            <w:tcW w:w="6520" w:type="dxa"/>
            <w:tcBorders>
              <w:top w:val="nil"/>
              <w:left w:val="nil"/>
              <w:bottom w:val="single" w:sz="4" w:space="0" w:color="ADD6EA"/>
              <w:right w:val="nil"/>
            </w:tcBorders>
            <w:shd w:val="clear" w:color="000000" w:fill="FFFFFF"/>
            <w:hideMark/>
          </w:tcPr>
          <w:p w14:paraId="4498109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Anaesthetics</w:t>
            </w:r>
          </w:p>
        </w:tc>
      </w:tr>
      <w:tr w:rsidR="00AA38F4" w:rsidRPr="001E4985" w14:paraId="36C44AA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F523698"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0054CB2"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20.03</w:t>
            </w:r>
          </w:p>
        </w:tc>
        <w:tc>
          <w:tcPr>
            <w:tcW w:w="6520" w:type="dxa"/>
            <w:tcBorders>
              <w:top w:val="nil"/>
              <w:left w:val="nil"/>
              <w:bottom w:val="single" w:sz="4" w:space="0" w:color="ADD6EA"/>
              <w:right w:val="nil"/>
            </w:tcBorders>
            <w:shd w:val="clear" w:color="000000" w:fill="FFFFFF"/>
            <w:hideMark/>
          </w:tcPr>
          <w:p w14:paraId="265C1CA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Pain management</w:t>
            </w:r>
          </w:p>
        </w:tc>
      </w:tr>
      <w:tr w:rsidR="00AA38F4" w:rsidRPr="001E4985" w14:paraId="2F843FBB"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36F9DB0"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C01404F"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20.04</w:t>
            </w:r>
          </w:p>
        </w:tc>
        <w:tc>
          <w:tcPr>
            <w:tcW w:w="6520" w:type="dxa"/>
            <w:tcBorders>
              <w:top w:val="nil"/>
              <w:left w:val="nil"/>
              <w:bottom w:val="single" w:sz="4" w:space="0" w:color="ADD6EA"/>
              <w:right w:val="nil"/>
            </w:tcBorders>
            <w:shd w:val="clear" w:color="000000" w:fill="FFFFFF"/>
            <w:hideMark/>
          </w:tcPr>
          <w:p w14:paraId="270CC23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Developmental disabilities</w:t>
            </w:r>
          </w:p>
        </w:tc>
      </w:tr>
      <w:tr w:rsidR="00AA38F4" w:rsidRPr="001E4985" w14:paraId="45F03866"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F8DAACB"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8DE20FC"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20.05</w:t>
            </w:r>
          </w:p>
        </w:tc>
        <w:tc>
          <w:tcPr>
            <w:tcW w:w="6520" w:type="dxa"/>
            <w:tcBorders>
              <w:top w:val="nil"/>
              <w:left w:val="nil"/>
              <w:bottom w:val="single" w:sz="4" w:space="0" w:color="ADD6EA"/>
              <w:right w:val="nil"/>
            </w:tcBorders>
            <w:shd w:val="clear" w:color="000000" w:fill="FFFFFF"/>
            <w:hideMark/>
          </w:tcPr>
          <w:p w14:paraId="7CA44B7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General medicine</w:t>
            </w:r>
          </w:p>
        </w:tc>
      </w:tr>
      <w:tr w:rsidR="00AA38F4" w:rsidRPr="001E4985" w14:paraId="6FCDC7A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BB079FF"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C44F66B"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20.06</w:t>
            </w:r>
          </w:p>
        </w:tc>
        <w:tc>
          <w:tcPr>
            <w:tcW w:w="6520" w:type="dxa"/>
            <w:tcBorders>
              <w:top w:val="nil"/>
              <w:left w:val="nil"/>
              <w:bottom w:val="single" w:sz="4" w:space="0" w:color="ADD6EA"/>
              <w:right w:val="nil"/>
            </w:tcBorders>
            <w:shd w:val="clear" w:color="000000" w:fill="FFFFFF"/>
            <w:hideMark/>
          </w:tcPr>
          <w:p w14:paraId="6CAE24F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General practice and primary care</w:t>
            </w:r>
          </w:p>
        </w:tc>
      </w:tr>
      <w:tr w:rsidR="00AA38F4" w:rsidRPr="001E4985" w14:paraId="6E613C0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4470AE3A"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1D8C435"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20.07</w:t>
            </w:r>
          </w:p>
        </w:tc>
        <w:tc>
          <w:tcPr>
            <w:tcW w:w="6520" w:type="dxa"/>
            <w:tcBorders>
              <w:top w:val="nil"/>
              <w:left w:val="nil"/>
              <w:bottom w:val="single" w:sz="4" w:space="0" w:color="ADD6EA"/>
              <w:right w:val="nil"/>
            </w:tcBorders>
            <w:shd w:val="clear" w:color="000000" w:fill="FFFFFF"/>
            <w:hideMark/>
          </w:tcPr>
          <w:p w14:paraId="63EBF6A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General surgery</w:t>
            </w:r>
          </w:p>
        </w:tc>
      </w:tr>
      <w:tr w:rsidR="00AA38F4" w:rsidRPr="001E4985" w14:paraId="335935CC"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347D113"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52C9029"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20.08</w:t>
            </w:r>
          </w:p>
        </w:tc>
        <w:tc>
          <w:tcPr>
            <w:tcW w:w="6520" w:type="dxa"/>
            <w:tcBorders>
              <w:top w:val="nil"/>
              <w:left w:val="nil"/>
              <w:bottom w:val="single" w:sz="4" w:space="0" w:color="ADD6EA"/>
              <w:right w:val="nil"/>
            </w:tcBorders>
            <w:shd w:val="clear" w:color="000000" w:fill="FFFFFF"/>
            <w:hideMark/>
          </w:tcPr>
          <w:p w14:paraId="69A3289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Genetics</w:t>
            </w:r>
          </w:p>
        </w:tc>
      </w:tr>
      <w:tr w:rsidR="00AA38F4" w:rsidRPr="001E4985" w14:paraId="63D2ED2C"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071A024"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2192E11"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20.09</w:t>
            </w:r>
          </w:p>
        </w:tc>
        <w:tc>
          <w:tcPr>
            <w:tcW w:w="6520" w:type="dxa"/>
            <w:tcBorders>
              <w:top w:val="nil"/>
              <w:left w:val="nil"/>
              <w:bottom w:val="single" w:sz="4" w:space="0" w:color="ADD6EA"/>
              <w:right w:val="nil"/>
            </w:tcBorders>
            <w:shd w:val="clear" w:color="000000" w:fill="FFFFFF"/>
            <w:hideMark/>
          </w:tcPr>
          <w:p w14:paraId="3B09035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Geriatric medicine</w:t>
            </w:r>
          </w:p>
        </w:tc>
      </w:tr>
      <w:tr w:rsidR="00AA38F4" w:rsidRPr="001E4985" w14:paraId="73C123BA"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DE1A62C"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4B0C31F"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20.10</w:t>
            </w:r>
          </w:p>
        </w:tc>
        <w:tc>
          <w:tcPr>
            <w:tcW w:w="6520" w:type="dxa"/>
            <w:tcBorders>
              <w:top w:val="nil"/>
              <w:left w:val="nil"/>
              <w:bottom w:val="single" w:sz="4" w:space="0" w:color="ADD6EA"/>
              <w:right w:val="nil"/>
            </w:tcBorders>
            <w:shd w:val="clear" w:color="000000" w:fill="FFFFFF"/>
            <w:hideMark/>
          </w:tcPr>
          <w:p w14:paraId="4C3A4DA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Haematology</w:t>
            </w:r>
          </w:p>
        </w:tc>
      </w:tr>
      <w:tr w:rsidR="00AA38F4" w:rsidRPr="001E4985" w14:paraId="71213AA5"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53849BA4"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153D333"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20.11</w:t>
            </w:r>
          </w:p>
        </w:tc>
        <w:tc>
          <w:tcPr>
            <w:tcW w:w="6520" w:type="dxa"/>
            <w:tcBorders>
              <w:top w:val="nil"/>
              <w:left w:val="nil"/>
              <w:bottom w:val="single" w:sz="4" w:space="0" w:color="ADD6EA"/>
              <w:right w:val="nil"/>
            </w:tcBorders>
            <w:shd w:val="clear" w:color="000000" w:fill="FFFFFF"/>
            <w:hideMark/>
          </w:tcPr>
          <w:p w14:paraId="27D9FF3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Paediatric medicine</w:t>
            </w:r>
          </w:p>
        </w:tc>
      </w:tr>
      <w:tr w:rsidR="00AA38F4" w:rsidRPr="001E4985" w14:paraId="46528DA6"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2D3BF55"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05FEF3B"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20.12</w:t>
            </w:r>
          </w:p>
        </w:tc>
        <w:tc>
          <w:tcPr>
            <w:tcW w:w="6520" w:type="dxa"/>
            <w:tcBorders>
              <w:top w:val="nil"/>
              <w:left w:val="nil"/>
              <w:bottom w:val="single" w:sz="4" w:space="0" w:color="ADD6EA"/>
              <w:right w:val="nil"/>
            </w:tcBorders>
            <w:shd w:val="clear" w:color="000000" w:fill="FFFFFF"/>
            <w:hideMark/>
          </w:tcPr>
          <w:p w14:paraId="6B696B9E"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Paediatric surgery</w:t>
            </w:r>
          </w:p>
        </w:tc>
      </w:tr>
      <w:tr w:rsidR="00AA38F4" w:rsidRPr="001E4985" w14:paraId="70A325DE"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810FFE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6F354E20"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20.13</w:t>
            </w:r>
          </w:p>
        </w:tc>
        <w:tc>
          <w:tcPr>
            <w:tcW w:w="6520" w:type="dxa"/>
            <w:tcBorders>
              <w:top w:val="nil"/>
              <w:left w:val="nil"/>
              <w:bottom w:val="single" w:sz="4" w:space="0" w:color="ADD6EA"/>
              <w:right w:val="nil"/>
            </w:tcBorders>
            <w:shd w:val="clear" w:color="000000" w:fill="FFFFFF"/>
            <w:hideMark/>
          </w:tcPr>
          <w:p w14:paraId="6B03175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Palliative care</w:t>
            </w:r>
          </w:p>
        </w:tc>
      </w:tr>
      <w:tr w:rsidR="00AA38F4" w:rsidRPr="001E4985" w14:paraId="6E78F0D4"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DF09795"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1F3F230"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20.14</w:t>
            </w:r>
          </w:p>
        </w:tc>
        <w:tc>
          <w:tcPr>
            <w:tcW w:w="6520" w:type="dxa"/>
            <w:tcBorders>
              <w:top w:val="nil"/>
              <w:left w:val="nil"/>
              <w:bottom w:val="single" w:sz="4" w:space="0" w:color="ADD6EA"/>
              <w:right w:val="nil"/>
            </w:tcBorders>
            <w:shd w:val="clear" w:color="000000" w:fill="FFFFFF"/>
            <w:hideMark/>
          </w:tcPr>
          <w:p w14:paraId="169F0B1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Epilepsy</w:t>
            </w:r>
          </w:p>
        </w:tc>
      </w:tr>
      <w:tr w:rsidR="00AA38F4" w:rsidRPr="001E4985" w14:paraId="1425398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0BBEACE"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42BA8FE"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20.15</w:t>
            </w:r>
          </w:p>
        </w:tc>
        <w:tc>
          <w:tcPr>
            <w:tcW w:w="6520" w:type="dxa"/>
            <w:tcBorders>
              <w:top w:val="nil"/>
              <w:left w:val="nil"/>
              <w:bottom w:val="single" w:sz="4" w:space="0" w:color="ADD6EA"/>
              <w:right w:val="nil"/>
            </w:tcBorders>
            <w:shd w:val="clear" w:color="000000" w:fill="FFFFFF"/>
            <w:hideMark/>
          </w:tcPr>
          <w:p w14:paraId="09FEEF0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Neurology</w:t>
            </w:r>
          </w:p>
        </w:tc>
      </w:tr>
      <w:tr w:rsidR="00AA38F4" w:rsidRPr="001E4985" w14:paraId="2C878E8F"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31C1920"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7FCC5DB"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20.16</w:t>
            </w:r>
          </w:p>
        </w:tc>
        <w:tc>
          <w:tcPr>
            <w:tcW w:w="6520" w:type="dxa"/>
            <w:tcBorders>
              <w:top w:val="nil"/>
              <w:left w:val="nil"/>
              <w:bottom w:val="single" w:sz="4" w:space="0" w:color="ADD6EA"/>
              <w:right w:val="nil"/>
            </w:tcBorders>
            <w:shd w:val="clear" w:color="000000" w:fill="FFFFFF"/>
            <w:hideMark/>
          </w:tcPr>
          <w:p w14:paraId="573F255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Neurosurgery</w:t>
            </w:r>
          </w:p>
        </w:tc>
      </w:tr>
      <w:tr w:rsidR="00AA38F4" w:rsidRPr="001E4985" w14:paraId="6B8D484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774E0A2"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9DA9B25"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20.17</w:t>
            </w:r>
          </w:p>
        </w:tc>
        <w:tc>
          <w:tcPr>
            <w:tcW w:w="6520" w:type="dxa"/>
            <w:tcBorders>
              <w:top w:val="nil"/>
              <w:left w:val="nil"/>
              <w:bottom w:val="single" w:sz="4" w:space="0" w:color="ADD6EA"/>
              <w:right w:val="nil"/>
            </w:tcBorders>
            <w:shd w:val="clear" w:color="000000" w:fill="FFFFFF"/>
            <w:hideMark/>
          </w:tcPr>
          <w:p w14:paraId="227E8A5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Ophthalmology</w:t>
            </w:r>
          </w:p>
        </w:tc>
      </w:tr>
      <w:tr w:rsidR="00AA38F4" w:rsidRPr="001E4985" w14:paraId="3891C9F2"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6199EA3"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FE78F88"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20.18</w:t>
            </w:r>
          </w:p>
        </w:tc>
        <w:tc>
          <w:tcPr>
            <w:tcW w:w="6520" w:type="dxa"/>
            <w:tcBorders>
              <w:top w:val="nil"/>
              <w:left w:val="nil"/>
              <w:bottom w:val="single" w:sz="4" w:space="0" w:color="ADD6EA"/>
              <w:right w:val="nil"/>
            </w:tcBorders>
            <w:shd w:val="clear" w:color="000000" w:fill="FFFFFF"/>
            <w:hideMark/>
          </w:tcPr>
          <w:p w14:paraId="317A36B7"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 xml:space="preserve">Ear, </w:t>
            </w:r>
            <w:proofErr w:type="gramStart"/>
            <w:r w:rsidRPr="00C427B8">
              <w:rPr>
                <w:rFonts w:eastAsia="Times New Roman" w:cs="Open Sans Light"/>
                <w:color w:val="000000"/>
                <w:sz w:val="16"/>
                <w:szCs w:val="16"/>
                <w:lang w:eastAsia="en-AU"/>
              </w:rPr>
              <w:t>nose</w:t>
            </w:r>
            <w:proofErr w:type="gramEnd"/>
            <w:r w:rsidRPr="00C427B8">
              <w:rPr>
                <w:rFonts w:eastAsia="Times New Roman" w:cs="Open Sans Light"/>
                <w:color w:val="000000"/>
                <w:sz w:val="16"/>
                <w:szCs w:val="16"/>
                <w:lang w:eastAsia="en-AU"/>
              </w:rPr>
              <w:t xml:space="preserve"> and throat (ENT)</w:t>
            </w:r>
          </w:p>
        </w:tc>
      </w:tr>
      <w:tr w:rsidR="00AA38F4" w:rsidRPr="001E4985" w14:paraId="486491C2"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4BFD1CFC"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84DC1BE"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20.19</w:t>
            </w:r>
          </w:p>
        </w:tc>
        <w:tc>
          <w:tcPr>
            <w:tcW w:w="6520" w:type="dxa"/>
            <w:tcBorders>
              <w:top w:val="nil"/>
              <w:left w:val="nil"/>
              <w:bottom w:val="single" w:sz="4" w:space="0" w:color="ADD6EA"/>
              <w:right w:val="nil"/>
            </w:tcBorders>
            <w:shd w:val="clear" w:color="000000" w:fill="FFFFFF"/>
            <w:hideMark/>
          </w:tcPr>
          <w:p w14:paraId="6A0E79D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Respiratory</w:t>
            </w:r>
          </w:p>
        </w:tc>
      </w:tr>
      <w:tr w:rsidR="00AA38F4" w:rsidRPr="001E4985" w14:paraId="69369328"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55388DDA"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5A6BDE2"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20.20</w:t>
            </w:r>
          </w:p>
        </w:tc>
        <w:tc>
          <w:tcPr>
            <w:tcW w:w="6520" w:type="dxa"/>
            <w:tcBorders>
              <w:top w:val="nil"/>
              <w:left w:val="nil"/>
              <w:bottom w:val="single" w:sz="4" w:space="0" w:color="ADD6EA"/>
              <w:right w:val="nil"/>
            </w:tcBorders>
            <w:shd w:val="clear" w:color="000000" w:fill="FFFFFF"/>
            <w:hideMark/>
          </w:tcPr>
          <w:p w14:paraId="18CF7134"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Respiratory – cystic fibrosis</w:t>
            </w:r>
          </w:p>
        </w:tc>
      </w:tr>
      <w:tr w:rsidR="00AA38F4" w:rsidRPr="001E4985" w14:paraId="140946B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DB8595E"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449644E"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20.21</w:t>
            </w:r>
          </w:p>
        </w:tc>
        <w:tc>
          <w:tcPr>
            <w:tcW w:w="6520" w:type="dxa"/>
            <w:tcBorders>
              <w:top w:val="nil"/>
              <w:left w:val="nil"/>
              <w:bottom w:val="single" w:sz="4" w:space="0" w:color="ADD6EA"/>
              <w:right w:val="nil"/>
            </w:tcBorders>
            <w:shd w:val="clear" w:color="000000" w:fill="FFFFFF"/>
            <w:hideMark/>
          </w:tcPr>
          <w:p w14:paraId="1E99F99A" w14:textId="66608FE9"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 xml:space="preserve">Anti-coagulant </w:t>
            </w:r>
            <w:r w:rsidR="00E70B5F" w:rsidRPr="00C427B8">
              <w:rPr>
                <w:rFonts w:eastAsia="Times New Roman" w:cs="Open Sans Light"/>
                <w:color w:val="000000"/>
                <w:sz w:val="16"/>
                <w:szCs w:val="16"/>
                <w:lang w:eastAsia="en-AU"/>
              </w:rPr>
              <w:t>s</w:t>
            </w:r>
            <w:r w:rsidRPr="00C427B8">
              <w:rPr>
                <w:rFonts w:eastAsia="Times New Roman" w:cs="Open Sans Light"/>
                <w:color w:val="000000"/>
                <w:sz w:val="16"/>
                <w:szCs w:val="16"/>
                <w:lang w:eastAsia="en-AU"/>
              </w:rPr>
              <w:t xml:space="preserve">creening and </w:t>
            </w:r>
            <w:r w:rsidR="00E70B5F" w:rsidRPr="00C427B8">
              <w:rPr>
                <w:rFonts w:eastAsia="Times New Roman" w:cs="Open Sans Light"/>
                <w:color w:val="000000"/>
                <w:sz w:val="16"/>
                <w:szCs w:val="16"/>
                <w:lang w:eastAsia="en-AU"/>
              </w:rPr>
              <w:t>m</w:t>
            </w:r>
            <w:r w:rsidRPr="00C427B8">
              <w:rPr>
                <w:rFonts w:eastAsia="Times New Roman" w:cs="Open Sans Light"/>
                <w:color w:val="000000"/>
                <w:sz w:val="16"/>
                <w:szCs w:val="16"/>
                <w:lang w:eastAsia="en-AU"/>
              </w:rPr>
              <w:t>anagement</w:t>
            </w:r>
          </w:p>
        </w:tc>
      </w:tr>
      <w:tr w:rsidR="00AA38F4" w:rsidRPr="001E4985" w14:paraId="22C1586D"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42E99B30"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6F364B2" w14:textId="77777777" w:rsidR="00AA38F4" w:rsidRPr="00C427B8" w:rsidRDefault="00AA38F4" w:rsidP="00360FFA">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20.22</w:t>
            </w:r>
          </w:p>
        </w:tc>
        <w:tc>
          <w:tcPr>
            <w:tcW w:w="6520" w:type="dxa"/>
            <w:tcBorders>
              <w:top w:val="nil"/>
              <w:left w:val="nil"/>
              <w:bottom w:val="single" w:sz="4" w:space="0" w:color="ADD6EA"/>
              <w:right w:val="nil"/>
            </w:tcBorders>
            <w:shd w:val="clear" w:color="000000" w:fill="FFFFFF"/>
            <w:hideMark/>
          </w:tcPr>
          <w:p w14:paraId="126AB57E"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Cardiology</w:t>
            </w:r>
          </w:p>
        </w:tc>
      </w:tr>
      <w:tr w:rsidR="00AA38F4" w:rsidRPr="001E4985" w14:paraId="721D9E76"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E6A032B"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lastRenderedPageBreak/>
              <w:t> </w:t>
            </w:r>
          </w:p>
        </w:tc>
        <w:tc>
          <w:tcPr>
            <w:tcW w:w="1640" w:type="dxa"/>
            <w:tcBorders>
              <w:top w:val="nil"/>
              <w:left w:val="nil"/>
              <w:bottom w:val="single" w:sz="4" w:space="0" w:color="ADD6EA"/>
              <w:right w:val="nil"/>
            </w:tcBorders>
            <w:shd w:val="clear" w:color="000000" w:fill="FFFFFF"/>
            <w:hideMark/>
          </w:tcPr>
          <w:p w14:paraId="740883F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20.23</w:t>
            </w:r>
          </w:p>
        </w:tc>
        <w:tc>
          <w:tcPr>
            <w:tcW w:w="6520" w:type="dxa"/>
            <w:tcBorders>
              <w:top w:val="nil"/>
              <w:left w:val="nil"/>
              <w:bottom w:val="single" w:sz="4" w:space="0" w:color="ADD6EA"/>
              <w:right w:val="nil"/>
            </w:tcBorders>
            <w:shd w:val="clear" w:color="000000" w:fill="FFFFFF"/>
            <w:hideMark/>
          </w:tcPr>
          <w:p w14:paraId="05BB00E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Cardiothoracic</w:t>
            </w:r>
          </w:p>
        </w:tc>
      </w:tr>
      <w:tr w:rsidR="00AA38F4" w:rsidRPr="001E4985" w14:paraId="5D2B1BA5"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555163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C41436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20.24</w:t>
            </w:r>
          </w:p>
        </w:tc>
        <w:tc>
          <w:tcPr>
            <w:tcW w:w="6520" w:type="dxa"/>
            <w:tcBorders>
              <w:top w:val="nil"/>
              <w:left w:val="nil"/>
              <w:bottom w:val="single" w:sz="4" w:space="0" w:color="ADD6EA"/>
              <w:right w:val="nil"/>
            </w:tcBorders>
            <w:shd w:val="clear" w:color="000000" w:fill="FFFFFF"/>
            <w:hideMark/>
          </w:tcPr>
          <w:p w14:paraId="4EC4562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Vascular surgery</w:t>
            </w:r>
          </w:p>
        </w:tc>
      </w:tr>
      <w:tr w:rsidR="00AA38F4" w:rsidRPr="001E4985" w14:paraId="4AE65AF2"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59D06939"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B61993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20.25</w:t>
            </w:r>
          </w:p>
        </w:tc>
        <w:tc>
          <w:tcPr>
            <w:tcW w:w="6520" w:type="dxa"/>
            <w:tcBorders>
              <w:top w:val="nil"/>
              <w:left w:val="nil"/>
              <w:bottom w:val="single" w:sz="4" w:space="0" w:color="ADD6EA"/>
              <w:right w:val="nil"/>
            </w:tcBorders>
            <w:shd w:val="clear" w:color="000000" w:fill="FFFFFF"/>
            <w:hideMark/>
          </w:tcPr>
          <w:p w14:paraId="5A3F568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Gastroenterology</w:t>
            </w:r>
          </w:p>
        </w:tc>
      </w:tr>
      <w:tr w:rsidR="00AA38F4" w:rsidRPr="001E4985" w14:paraId="29C82E34"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23BC5B7"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A1CC21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20.26</w:t>
            </w:r>
          </w:p>
        </w:tc>
        <w:tc>
          <w:tcPr>
            <w:tcW w:w="6520" w:type="dxa"/>
            <w:tcBorders>
              <w:top w:val="nil"/>
              <w:left w:val="nil"/>
              <w:bottom w:val="single" w:sz="4" w:space="0" w:color="ADD6EA"/>
              <w:right w:val="nil"/>
            </w:tcBorders>
            <w:shd w:val="clear" w:color="000000" w:fill="FFFFFF"/>
            <w:hideMark/>
          </w:tcPr>
          <w:p w14:paraId="4C4FBB1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Hepatobiliary</w:t>
            </w:r>
          </w:p>
        </w:tc>
      </w:tr>
      <w:tr w:rsidR="00AA38F4" w:rsidRPr="001E4985" w14:paraId="702569B1"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FA14F1D"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6A64FDA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20.27</w:t>
            </w:r>
          </w:p>
        </w:tc>
        <w:tc>
          <w:tcPr>
            <w:tcW w:w="6520" w:type="dxa"/>
            <w:tcBorders>
              <w:top w:val="nil"/>
              <w:left w:val="nil"/>
              <w:bottom w:val="single" w:sz="4" w:space="0" w:color="ADD6EA"/>
              <w:right w:val="nil"/>
            </w:tcBorders>
            <w:shd w:val="clear" w:color="000000" w:fill="FFFFFF"/>
            <w:hideMark/>
          </w:tcPr>
          <w:p w14:paraId="3F63BBB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Craniofacial</w:t>
            </w:r>
          </w:p>
        </w:tc>
      </w:tr>
      <w:tr w:rsidR="00AA38F4" w:rsidRPr="001E4985" w14:paraId="31DB4D77"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654A20F"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7DA15E7"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20.28</w:t>
            </w:r>
          </w:p>
        </w:tc>
        <w:tc>
          <w:tcPr>
            <w:tcW w:w="6520" w:type="dxa"/>
            <w:tcBorders>
              <w:top w:val="nil"/>
              <w:left w:val="nil"/>
              <w:bottom w:val="single" w:sz="4" w:space="0" w:color="ADD6EA"/>
              <w:right w:val="nil"/>
            </w:tcBorders>
            <w:shd w:val="clear" w:color="000000" w:fill="FFFFFF"/>
            <w:hideMark/>
          </w:tcPr>
          <w:p w14:paraId="648733CE"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Metabolic bone</w:t>
            </w:r>
          </w:p>
        </w:tc>
      </w:tr>
      <w:tr w:rsidR="00AA38F4" w:rsidRPr="001E4985" w14:paraId="52ACB1D5"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453789B9"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EAB609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20.29</w:t>
            </w:r>
          </w:p>
        </w:tc>
        <w:tc>
          <w:tcPr>
            <w:tcW w:w="6520" w:type="dxa"/>
            <w:tcBorders>
              <w:top w:val="nil"/>
              <w:left w:val="nil"/>
              <w:bottom w:val="single" w:sz="4" w:space="0" w:color="ADD6EA"/>
              <w:right w:val="nil"/>
            </w:tcBorders>
            <w:shd w:val="clear" w:color="000000" w:fill="FFFFFF"/>
            <w:hideMark/>
          </w:tcPr>
          <w:p w14:paraId="0FA5474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Orthopaedics</w:t>
            </w:r>
          </w:p>
        </w:tc>
      </w:tr>
      <w:tr w:rsidR="00AA38F4" w:rsidRPr="001E4985" w14:paraId="5F91F306"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462F0AF3"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5C3EC9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20.30</w:t>
            </w:r>
          </w:p>
        </w:tc>
        <w:tc>
          <w:tcPr>
            <w:tcW w:w="6520" w:type="dxa"/>
            <w:tcBorders>
              <w:top w:val="nil"/>
              <w:left w:val="nil"/>
              <w:bottom w:val="single" w:sz="4" w:space="0" w:color="ADD6EA"/>
              <w:right w:val="nil"/>
            </w:tcBorders>
            <w:shd w:val="clear" w:color="000000" w:fill="FFFFFF"/>
            <w:hideMark/>
          </w:tcPr>
          <w:p w14:paraId="1857137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Rheumatology</w:t>
            </w:r>
          </w:p>
        </w:tc>
      </w:tr>
      <w:tr w:rsidR="00AA38F4" w:rsidRPr="001E4985" w14:paraId="457E4E54"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D251B9F"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3A198E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20.31</w:t>
            </w:r>
          </w:p>
        </w:tc>
        <w:tc>
          <w:tcPr>
            <w:tcW w:w="6520" w:type="dxa"/>
            <w:tcBorders>
              <w:top w:val="nil"/>
              <w:left w:val="nil"/>
              <w:bottom w:val="single" w:sz="4" w:space="0" w:color="ADD6EA"/>
              <w:right w:val="nil"/>
            </w:tcBorders>
            <w:shd w:val="clear" w:color="000000" w:fill="FFFFFF"/>
            <w:hideMark/>
          </w:tcPr>
          <w:p w14:paraId="397480C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Spinal</w:t>
            </w:r>
          </w:p>
        </w:tc>
      </w:tr>
      <w:tr w:rsidR="00AA38F4" w:rsidRPr="001E4985" w14:paraId="44E1509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98FD126"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D57501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20.32</w:t>
            </w:r>
          </w:p>
        </w:tc>
        <w:tc>
          <w:tcPr>
            <w:tcW w:w="6520" w:type="dxa"/>
            <w:tcBorders>
              <w:top w:val="nil"/>
              <w:left w:val="nil"/>
              <w:bottom w:val="single" w:sz="4" w:space="0" w:color="ADD6EA"/>
              <w:right w:val="nil"/>
            </w:tcBorders>
            <w:shd w:val="clear" w:color="000000" w:fill="FFFFFF"/>
            <w:hideMark/>
          </w:tcPr>
          <w:p w14:paraId="59A90994"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Breast</w:t>
            </w:r>
          </w:p>
        </w:tc>
      </w:tr>
      <w:tr w:rsidR="00AA38F4" w:rsidRPr="001E4985" w14:paraId="4A42CCCC"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2DD012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3810DC7"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20.33</w:t>
            </w:r>
          </w:p>
        </w:tc>
        <w:tc>
          <w:tcPr>
            <w:tcW w:w="6520" w:type="dxa"/>
            <w:tcBorders>
              <w:top w:val="nil"/>
              <w:left w:val="nil"/>
              <w:bottom w:val="single" w:sz="4" w:space="0" w:color="ADD6EA"/>
              <w:right w:val="nil"/>
            </w:tcBorders>
            <w:shd w:val="clear" w:color="000000" w:fill="FFFFFF"/>
            <w:hideMark/>
          </w:tcPr>
          <w:p w14:paraId="48FA6D6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Dermatology</w:t>
            </w:r>
          </w:p>
        </w:tc>
      </w:tr>
      <w:tr w:rsidR="00AA38F4" w:rsidRPr="001E4985" w14:paraId="4A830CEE"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FB78E8A"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FE43B9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20.34</w:t>
            </w:r>
          </w:p>
        </w:tc>
        <w:tc>
          <w:tcPr>
            <w:tcW w:w="6520" w:type="dxa"/>
            <w:tcBorders>
              <w:top w:val="nil"/>
              <w:left w:val="nil"/>
              <w:bottom w:val="single" w:sz="4" w:space="0" w:color="ADD6EA"/>
              <w:right w:val="nil"/>
            </w:tcBorders>
            <w:shd w:val="clear" w:color="000000" w:fill="FFFFFF"/>
            <w:hideMark/>
          </w:tcPr>
          <w:p w14:paraId="31CE183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Endocrinology</w:t>
            </w:r>
          </w:p>
        </w:tc>
      </w:tr>
      <w:tr w:rsidR="00AA38F4" w:rsidRPr="001E4985" w14:paraId="39A2486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093ED57"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6604E524"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20.35</w:t>
            </w:r>
          </w:p>
        </w:tc>
        <w:tc>
          <w:tcPr>
            <w:tcW w:w="6520" w:type="dxa"/>
            <w:tcBorders>
              <w:top w:val="nil"/>
              <w:left w:val="nil"/>
              <w:bottom w:val="single" w:sz="4" w:space="0" w:color="ADD6EA"/>
              <w:right w:val="nil"/>
            </w:tcBorders>
            <w:shd w:val="clear" w:color="000000" w:fill="FFFFFF"/>
            <w:hideMark/>
          </w:tcPr>
          <w:p w14:paraId="64D77B4E"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Nephrology</w:t>
            </w:r>
          </w:p>
        </w:tc>
      </w:tr>
      <w:tr w:rsidR="00AA38F4" w:rsidRPr="001E4985" w14:paraId="2870DF58"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1BFCAC5"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5D2A20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20.36</w:t>
            </w:r>
          </w:p>
        </w:tc>
        <w:tc>
          <w:tcPr>
            <w:tcW w:w="6520" w:type="dxa"/>
            <w:tcBorders>
              <w:top w:val="nil"/>
              <w:left w:val="nil"/>
              <w:bottom w:val="single" w:sz="4" w:space="0" w:color="ADD6EA"/>
              <w:right w:val="nil"/>
            </w:tcBorders>
            <w:shd w:val="clear" w:color="000000" w:fill="FFFFFF"/>
            <w:hideMark/>
          </w:tcPr>
          <w:p w14:paraId="0C9E1AA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Urology</w:t>
            </w:r>
          </w:p>
        </w:tc>
      </w:tr>
      <w:tr w:rsidR="00AA38F4" w:rsidRPr="001E4985" w14:paraId="329DEAAF"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D34FDAD"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4F48CF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20.37</w:t>
            </w:r>
          </w:p>
        </w:tc>
        <w:tc>
          <w:tcPr>
            <w:tcW w:w="6520" w:type="dxa"/>
            <w:tcBorders>
              <w:top w:val="nil"/>
              <w:left w:val="nil"/>
              <w:bottom w:val="single" w:sz="4" w:space="0" w:color="ADD6EA"/>
              <w:right w:val="nil"/>
            </w:tcBorders>
            <w:shd w:val="clear" w:color="000000" w:fill="FFFFFF"/>
            <w:hideMark/>
          </w:tcPr>
          <w:p w14:paraId="74D1E07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Assisted reproductive technology</w:t>
            </w:r>
          </w:p>
        </w:tc>
      </w:tr>
      <w:tr w:rsidR="00AA38F4" w:rsidRPr="001E4985" w14:paraId="28FE0911"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F411C4E"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FE7C94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20.38</w:t>
            </w:r>
          </w:p>
        </w:tc>
        <w:tc>
          <w:tcPr>
            <w:tcW w:w="6520" w:type="dxa"/>
            <w:tcBorders>
              <w:top w:val="nil"/>
              <w:left w:val="nil"/>
              <w:bottom w:val="single" w:sz="4" w:space="0" w:color="ADD6EA"/>
              <w:right w:val="nil"/>
            </w:tcBorders>
            <w:shd w:val="clear" w:color="000000" w:fill="FFFFFF"/>
            <w:hideMark/>
          </w:tcPr>
          <w:p w14:paraId="6A21AD3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Gynaecology</w:t>
            </w:r>
          </w:p>
        </w:tc>
      </w:tr>
      <w:tr w:rsidR="00AA38F4" w:rsidRPr="001E4985" w14:paraId="49514FD7"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4AEA9F8"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BBB4BF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20.39</w:t>
            </w:r>
          </w:p>
        </w:tc>
        <w:tc>
          <w:tcPr>
            <w:tcW w:w="6520" w:type="dxa"/>
            <w:tcBorders>
              <w:top w:val="nil"/>
              <w:left w:val="nil"/>
              <w:bottom w:val="single" w:sz="4" w:space="0" w:color="ADD6EA"/>
              <w:right w:val="nil"/>
            </w:tcBorders>
            <w:shd w:val="clear" w:color="000000" w:fill="FFFFFF"/>
            <w:hideMark/>
          </w:tcPr>
          <w:p w14:paraId="4B5CFC8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Gynaecological oncology</w:t>
            </w:r>
          </w:p>
        </w:tc>
      </w:tr>
      <w:tr w:rsidR="00AA38F4" w:rsidRPr="001E4985" w14:paraId="1E2EFBD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4F70C1CC"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3C78F0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20.40</w:t>
            </w:r>
          </w:p>
        </w:tc>
        <w:tc>
          <w:tcPr>
            <w:tcW w:w="6520" w:type="dxa"/>
            <w:tcBorders>
              <w:top w:val="nil"/>
              <w:left w:val="nil"/>
              <w:bottom w:val="single" w:sz="4" w:space="0" w:color="ADD6EA"/>
              <w:right w:val="nil"/>
            </w:tcBorders>
            <w:shd w:val="clear" w:color="000000" w:fill="FFFFFF"/>
            <w:hideMark/>
          </w:tcPr>
          <w:p w14:paraId="09C6797A" w14:textId="6B486A34"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Obstetrics – m</w:t>
            </w:r>
            <w:r w:rsidR="000D2AB4" w:rsidRPr="00C427B8">
              <w:rPr>
                <w:rFonts w:eastAsia="Times New Roman" w:cs="Open Sans Light"/>
                <w:color w:val="000000"/>
                <w:sz w:val="16"/>
                <w:szCs w:val="16"/>
                <w:lang w:eastAsia="en-AU"/>
              </w:rPr>
              <w:t>anagement</w:t>
            </w:r>
            <w:r w:rsidRPr="00C427B8">
              <w:rPr>
                <w:rFonts w:eastAsia="Times New Roman" w:cs="Open Sans Light"/>
                <w:color w:val="000000"/>
                <w:sz w:val="16"/>
                <w:szCs w:val="16"/>
                <w:lang w:eastAsia="en-AU"/>
              </w:rPr>
              <w:t xml:space="preserve"> of pregnancy without complications</w:t>
            </w:r>
          </w:p>
        </w:tc>
      </w:tr>
      <w:tr w:rsidR="00AA38F4" w:rsidRPr="001E4985" w14:paraId="1564A47D"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B7F20C6"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71906F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20.41</w:t>
            </w:r>
          </w:p>
        </w:tc>
        <w:tc>
          <w:tcPr>
            <w:tcW w:w="6520" w:type="dxa"/>
            <w:tcBorders>
              <w:top w:val="nil"/>
              <w:left w:val="nil"/>
              <w:bottom w:val="single" w:sz="4" w:space="0" w:color="ADD6EA"/>
              <w:right w:val="nil"/>
            </w:tcBorders>
            <w:shd w:val="clear" w:color="000000" w:fill="FFFFFF"/>
            <w:hideMark/>
          </w:tcPr>
          <w:p w14:paraId="062D5D6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Immunology</w:t>
            </w:r>
          </w:p>
        </w:tc>
      </w:tr>
      <w:tr w:rsidR="00AA38F4" w:rsidRPr="001E4985" w14:paraId="6D00490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51071D1C"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8F4A2E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20.42</w:t>
            </w:r>
          </w:p>
        </w:tc>
        <w:tc>
          <w:tcPr>
            <w:tcW w:w="6520" w:type="dxa"/>
            <w:tcBorders>
              <w:top w:val="nil"/>
              <w:left w:val="nil"/>
              <w:bottom w:val="single" w:sz="4" w:space="0" w:color="ADD6EA"/>
              <w:right w:val="nil"/>
            </w:tcBorders>
            <w:shd w:val="clear" w:color="000000" w:fill="FFFFFF"/>
            <w:hideMark/>
          </w:tcPr>
          <w:p w14:paraId="7C192DD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Medical oncology – consultation</w:t>
            </w:r>
          </w:p>
        </w:tc>
      </w:tr>
      <w:tr w:rsidR="00AA38F4" w:rsidRPr="001E4985" w14:paraId="0A34EC6A"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EFD7252"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C178E3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20.43</w:t>
            </w:r>
          </w:p>
        </w:tc>
        <w:tc>
          <w:tcPr>
            <w:tcW w:w="6520" w:type="dxa"/>
            <w:tcBorders>
              <w:top w:val="nil"/>
              <w:left w:val="nil"/>
              <w:bottom w:val="single" w:sz="4" w:space="0" w:color="ADD6EA"/>
              <w:right w:val="nil"/>
            </w:tcBorders>
            <w:shd w:val="clear" w:color="000000" w:fill="FFFFFF"/>
            <w:hideMark/>
          </w:tcPr>
          <w:p w14:paraId="4EB82A2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Radiation therapy – consultation</w:t>
            </w:r>
          </w:p>
        </w:tc>
      </w:tr>
      <w:tr w:rsidR="00AA38F4" w:rsidRPr="001E4985" w14:paraId="467DAE34"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B5E495E"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B317117"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20.44</w:t>
            </w:r>
          </w:p>
        </w:tc>
        <w:tc>
          <w:tcPr>
            <w:tcW w:w="6520" w:type="dxa"/>
            <w:tcBorders>
              <w:top w:val="nil"/>
              <w:left w:val="nil"/>
              <w:bottom w:val="single" w:sz="4" w:space="0" w:color="ADD6EA"/>
              <w:right w:val="nil"/>
            </w:tcBorders>
            <w:shd w:val="clear" w:color="000000" w:fill="FFFFFF"/>
            <w:hideMark/>
          </w:tcPr>
          <w:p w14:paraId="12CC664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Infectious diseases</w:t>
            </w:r>
          </w:p>
        </w:tc>
      </w:tr>
      <w:tr w:rsidR="00AA38F4" w:rsidRPr="001E4985" w14:paraId="25EEFD1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5E90E1FF"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73ADD0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20.45</w:t>
            </w:r>
          </w:p>
        </w:tc>
        <w:tc>
          <w:tcPr>
            <w:tcW w:w="6520" w:type="dxa"/>
            <w:tcBorders>
              <w:top w:val="nil"/>
              <w:left w:val="nil"/>
              <w:bottom w:val="single" w:sz="4" w:space="0" w:color="ADD6EA"/>
              <w:right w:val="nil"/>
            </w:tcBorders>
            <w:shd w:val="clear" w:color="000000" w:fill="FFFFFF"/>
            <w:hideMark/>
          </w:tcPr>
          <w:p w14:paraId="283F781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Psychiatry</w:t>
            </w:r>
          </w:p>
        </w:tc>
      </w:tr>
      <w:tr w:rsidR="00AA38F4" w:rsidRPr="001E4985" w14:paraId="1E040807"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5C6F78E6"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B7DF5D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20.46</w:t>
            </w:r>
          </w:p>
        </w:tc>
        <w:tc>
          <w:tcPr>
            <w:tcW w:w="6520" w:type="dxa"/>
            <w:tcBorders>
              <w:top w:val="nil"/>
              <w:left w:val="nil"/>
              <w:bottom w:val="single" w:sz="4" w:space="0" w:color="ADD6EA"/>
              <w:right w:val="nil"/>
            </w:tcBorders>
            <w:shd w:val="clear" w:color="000000" w:fill="FFFFFF"/>
            <w:hideMark/>
          </w:tcPr>
          <w:p w14:paraId="6A4CC3E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Plastic and reconstructive surgery</w:t>
            </w:r>
          </w:p>
        </w:tc>
      </w:tr>
      <w:tr w:rsidR="00AA38F4" w:rsidRPr="001E4985" w14:paraId="55AE7CBF"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BB4B43C"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E73246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20.47</w:t>
            </w:r>
          </w:p>
        </w:tc>
        <w:tc>
          <w:tcPr>
            <w:tcW w:w="6520" w:type="dxa"/>
            <w:tcBorders>
              <w:top w:val="nil"/>
              <w:left w:val="nil"/>
              <w:bottom w:val="single" w:sz="4" w:space="0" w:color="ADD6EA"/>
              <w:right w:val="nil"/>
            </w:tcBorders>
            <w:shd w:val="clear" w:color="000000" w:fill="FFFFFF"/>
            <w:hideMark/>
          </w:tcPr>
          <w:p w14:paraId="224895F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Rehabilitation</w:t>
            </w:r>
          </w:p>
        </w:tc>
      </w:tr>
      <w:tr w:rsidR="00AA38F4" w:rsidRPr="001E4985" w14:paraId="7A169B47"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1F49EEE"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081C76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20.48</w:t>
            </w:r>
          </w:p>
        </w:tc>
        <w:tc>
          <w:tcPr>
            <w:tcW w:w="6520" w:type="dxa"/>
            <w:tcBorders>
              <w:top w:val="nil"/>
              <w:left w:val="nil"/>
              <w:bottom w:val="single" w:sz="4" w:space="0" w:color="ADD6EA"/>
              <w:right w:val="nil"/>
            </w:tcBorders>
            <w:shd w:val="clear" w:color="000000" w:fill="FFFFFF"/>
            <w:hideMark/>
          </w:tcPr>
          <w:p w14:paraId="4DCAD9E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Multidisciplinary burns clinic</w:t>
            </w:r>
          </w:p>
        </w:tc>
      </w:tr>
      <w:tr w:rsidR="00AA38F4" w:rsidRPr="001E4985" w14:paraId="6DA98591"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504FF89D"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70188C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20.49</w:t>
            </w:r>
          </w:p>
        </w:tc>
        <w:tc>
          <w:tcPr>
            <w:tcW w:w="6520" w:type="dxa"/>
            <w:tcBorders>
              <w:top w:val="nil"/>
              <w:left w:val="nil"/>
              <w:bottom w:val="single" w:sz="4" w:space="0" w:color="ADD6EA"/>
              <w:right w:val="nil"/>
            </w:tcBorders>
            <w:shd w:val="clear" w:color="000000" w:fill="FFFFFF"/>
            <w:hideMark/>
          </w:tcPr>
          <w:p w14:paraId="00E85FA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Geriatric evaluation and management (GEM)</w:t>
            </w:r>
          </w:p>
        </w:tc>
      </w:tr>
      <w:tr w:rsidR="00AA38F4" w:rsidRPr="001E4985" w14:paraId="3D18AA07"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B7602F7"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95C8357"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20.50</w:t>
            </w:r>
          </w:p>
        </w:tc>
        <w:tc>
          <w:tcPr>
            <w:tcW w:w="6520" w:type="dxa"/>
            <w:tcBorders>
              <w:top w:val="nil"/>
              <w:left w:val="nil"/>
              <w:bottom w:val="single" w:sz="4" w:space="0" w:color="ADD6EA"/>
              <w:right w:val="nil"/>
            </w:tcBorders>
            <w:shd w:val="clear" w:color="000000" w:fill="FFFFFF"/>
            <w:hideMark/>
          </w:tcPr>
          <w:p w14:paraId="0D2770A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Psychogeriatric</w:t>
            </w:r>
          </w:p>
        </w:tc>
      </w:tr>
      <w:tr w:rsidR="00AA38F4" w:rsidRPr="001E4985" w14:paraId="27FEABAC"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63FAAB4"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384A54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20.51</w:t>
            </w:r>
          </w:p>
        </w:tc>
        <w:tc>
          <w:tcPr>
            <w:tcW w:w="6520" w:type="dxa"/>
            <w:tcBorders>
              <w:top w:val="nil"/>
              <w:left w:val="nil"/>
              <w:bottom w:val="single" w:sz="4" w:space="0" w:color="ADD6EA"/>
              <w:right w:val="nil"/>
            </w:tcBorders>
            <w:shd w:val="clear" w:color="000000" w:fill="FFFFFF"/>
            <w:hideMark/>
          </w:tcPr>
          <w:p w14:paraId="12C4EE8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Sleep disorders</w:t>
            </w:r>
          </w:p>
        </w:tc>
      </w:tr>
      <w:tr w:rsidR="00AA38F4" w:rsidRPr="001E4985" w14:paraId="74712EB5"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00CB308"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23D3A0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20.52</w:t>
            </w:r>
          </w:p>
        </w:tc>
        <w:tc>
          <w:tcPr>
            <w:tcW w:w="6520" w:type="dxa"/>
            <w:tcBorders>
              <w:top w:val="nil"/>
              <w:left w:val="nil"/>
              <w:bottom w:val="single" w:sz="4" w:space="0" w:color="ADD6EA"/>
              <w:right w:val="nil"/>
            </w:tcBorders>
            <w:shd w:val="clear" w:color="000000" w:fill="FFFFFF"/>
            <w:hideMark/>
          </w:tcPr>
          <w:p w14:paraId="71E8361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Addiction medicine</w:t>
            </w:r>
          </w:p>
        </w:tc>
      </w:tr>
      <w:tr w:rsidR="00AA38F4" w:rsidRPr="001E4985" w14:paraId="5E2744EF"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519C1E0"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82F8C6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20.53</w:t>
            </w:r>
          </w:p>
        </w:tc>
        <w:tc>
          <w:tcPr>
            <w:tcW w:w="6520" w:type="dxa"/>
            <w:tcBorders>
              <w:top w:val="nil"/>
              <w:left w:val="nil"/>
              <w:bottom w:val="single" w:sz="4" w:space="0" w:color="ADD6EA"/>
              <w:right w:val="nil"/>
            </w:tcBorders>
            <w:shd w:val="clear" w:color="000000" w:fill="FFFFFF"/>
            <w:hideMark/>
          </w:tcPr>
          <w:p w14:paraId="132A706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Obstetrics – management of complex pregnancy</w:t>
            </w:r>
          </w:p>
        </w:tc>
      </w:tr>
      <w:tr w:rsidR="00AA38F4" w:rsidRPr="001E4985" w14:paraId="4C410E44"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38C6808"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C7FC14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20.54</w:t>
            </w:r>
          </w:p>
        </w:tc>
        <w:tc>
          <w:tcPr>
            <w:tcW w:w="6520" w:type="dxa"/>
            <w:tcBorders>
              <w:top w:val="nil"/>
              <w:left w:val="nil"/>
              <w:bottom w:val="single" w:sz="4" w:space="0" w:color="ADD6EA"/>
              <w:right w:val="nil"/>
            </w:tcBorders>
            <w:shd w:val="clear" w:color="000000" w:fill="FFFFFF"/>
            <w:hideMark/>
          </w:tcPr>
          <w:p w14:paraId="2C2616AF" w14:textId="6FF60C5B"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 xml:space="preserve">Maternal </w:t>
            </w:r>
            <w:r w:rsidR="00AF29E6" w:rsidRPr="00C427B8">
              <w:rPr>
                <w:rFonts w:eastAsia="Times New Roman" w:cs="Open Sans Light"/>
                <w:color w:val="000000"/>
                <w:sz w:val="16"/>
                <w:szCs w:val="16"/>
                <w:lang w:eastAsia="en-AU"/>
              </w:rPr>
              <w:t>foetal</w:t>
            </w:r>
            <w:r w:rsidRPr="00C427B8">
              <w:rPr>
                <w:rFonts w:eastAsia="Times New Roman" w:cs="Open Sans Light"/>
                <w:color w:val="000000"/>
                <w:sz w:val="16"/>
                <w:szCs w:val="16"/>
                <w:lang w:eastAsia="en-AU"/>
              </w:rPr>
              <w:t xml:space="preserve"> medicine</w:t>
            </w:r>
          </w:p>
        </w:tc>
      </w:tr>
      <w:tr w:rsidR="00AA38F4" w:rsidRPr="001E4985" w14:paraId="4B54B69C"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6CD269C"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74F1BB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20.55</w:t>
            </w:r>
          </w:p>
        </w:tc>
        <w:tc>
          <w:tcPr>
            <w:tcW w:w="6520" w:type="dxa"/>
            <w:tcBorders>
              <w:top w:val="nil"/>
              <w:left w:val="nil"/>
              <w:bottom w:val="single" w:sz="4" w:space="0" w:color="ADD6EA"/>
              <w:right w:val="nil"/>
            </w:tcBorders>
            <w:shd w:val="clear" w:color="000000" w:fill="FFFFFF"/>
            <w:hideMark/>
          </w:tcPr>
          <w:p w14:paraId="70E63A3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Telehealth – patient location</w:t>
            </w:r>
          </w:p>
        </w:tc>
      </w:tr>
      <w:tr w:rsidR="00AA38F4" w:rsidRPr="001E4985" w14:paraId="7D4357E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BEE5C1C"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250650E"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20.57</w:t>
            </w:r>
          </w:p>
        </w:tc>
        <w:tc>
          <w:tcPr>
            <w:tcW w:w="6520" w:type="dxa"/>
            <w:tcBorders>
              <w:top w:val="nil"/>
              <w:left w:val="nil"/>
              <w:bottom w:val="single" w:sz="4" w:space="0" w:color="ADD6EA"/>
              <w:right w:val="nil"/>
            </w:tcBorders>
            <w:shd w:val="clear" w:color="000000" w:fill="FFFFFF"/>
            <w:hideMark/>
          </w:tcPr>
          <w:p w14:paraId="71419D7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COVID-19 response</w:t>
            </w:r>
          </w:p>
        </w:tc>
      </w:tr>
      <w:tr w:rsidR="00AA38F4" w:rsidRPr="00021546" w14:paraId="71FA0452" w14:textId="77777777" w:rsidTr="002F00C6">
        <w:trPr>
          <w:trHeight w:val="285"/>
        </w:trPr>
        <w:tc>
          <w:tcPr>
            <w:tcW w:w="2140" w:type="dxa"/>
            <w:gridSpan w:val="2"/>
            <w:tcBorders>
              <w:top w:val="single" w:sz="4" w:space="0" w:color="ADD6EA"/>
              <w:left w:val="nil"/>
              <w:bottom w:val="single" w:sz="4" w:space="0" w:color="ADD6EA"/>
              <w:right w:val="nil"/>
            </w:tcBorders>
            <w:shd w:val="clear" w:color="000000" w:fill="B6D5E4"/>
            <w:noWrap/>
            <w:vAlign w:val="center"/>
            <w:hideMark/>
          </w:tcPr>
          <w:p w14:paraId="1B8FA85D" w14:textId="77777777" w:rsidR="00AA38F4" w:rsidRPr="00021546" w:rsidRDefault="00AA38F4" w:rsidP="002F00C6">
            <w:pPr>
              <w:tabs>
                <w:tab w:val="clear" w:pos="567"/>
              </w:tabs>
              <w:spacing w:before="0" w:line="240" w:lineRule="auto"/>
              <w:rPr>
                <w:rFonts w:ascii="Open Sans Semibold" w:eastAsia="Times New Roman" w:hAnsi="Open Sans Semibold" w:cs="Open Sans Semibold"/>
                <w:color w:val="000000"/>
                <w:sz w:val="16"/>
                <w:szCs w:val="16"/>
                <w:lang w:eastAsia="en-AU"/>
              </w:rPr>
            </w:pPr>
            <w:r w:rsidRPr="00021546">
              <w:rPr>
                <w:rFonts w:ascii="Open Sans Semibold" w:eastAsia="Times New Roman" w:hAnsi="Open Sans Semibold" w:cs="Open Sans Semibold"/>
                <w:color w:val="000000"/>
                <w:sz w:val="16"/>
                <w:szCs w:val="16"/>
                <w:lang w:eastAsia="en-AU"/>
              </w:rPr>
              <w:t>Diagnostic imaging</w:t>
            </w:r>
          </w:p>
        </w:tc>
        <w:tc>
          <w:tcPr>
            <w:tcW w:w="6520" w:type="dxa"/>
            <w:tcBorders>
              <w:top w:val="nil"/>
              <w:left w:val="nil"/>
              <w:bottom w:val="single" w:sz="4" w:space="0" w:color="ADD6EA"/>
              <w:right w:val="nil"/>
            </w:tcBorders>
            <w:shd w:val="clear" w:color="000000" w:fill="B6D5E4"/>
            <w:vAlign w:val="center"/>
            <w:hideMark/>
          </w:tcPr>
          <w:p w14:paraId="713AA5DD" w14:textId="77777777" w:rsidR="00AA38F4" w:rsidRPr="00021546" w:rsidRDefault="00AA38F4">
            <w:pPr>
              <w:tabs>
                <w:tab w:val="clear" w:pos="567"/>
              </w:tabs>
              <w:spacing w:before="0" w:line="240" w:lineRule="auto"/>
              <w:rPr>
                <w:rFonts w:ascii="Open Sans" w:eastAsia="Times New Roman" w:hAnsi="Open Sans" w:cs="Open Sans"/>
                <w:color w:val="000000"/>
                <w:sz w:val="16"/>
                <w:szCs w:val="16"/>
                <w:lang w:eastAsia="en-AU"/>
              </w:rPr>
            </w:pPr>
            <w:r w:rsidRPr="00021546">
              <w:rPr>
                <w:rFonts w:ascii="Open Sans" w:eastAsia="Times New Roman" w:hAnsi="Open Sans" w:cs="Open Sans"/>
                <w:color w:val="000000"/>
                <w:sz w:val="16"/>
                <w:szCs w:val="16"/>
                <w:lang w:eastAsia="en-AU"/>
              </w:rPr>
              <w:t> </w:t>
            </w:r>
          </w:p>
        </w:tc>
      </w:tr>
      <w:tr w:rsidR="00AA38F4" w:rsidRPr="001E4985" w14:paraId="4917EF1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F84B38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0E71D2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30.01</w:t>
            </w:r>
          </w:p>
        </w:tc>
        <w:tc>
          <w:tcPr>
            <w:tcW w:w="6520" w:type="dxa"/>
            <w:tcBorders>
              <w:top w:val="nil"/>
              <w:left w:val="nil"/>
              <w:bottom w:val="single" w:sz="4" w:space="0" w:color="ADD6EA"/>
              <w:right w:val="nil"/>
            </w:tcBorders>
            <w:shd w:val="clear" w:color="000000" w:fill="FFFFFF"/>
            <w:hideMark/>
          </w:tcPr>
          <w:p w14:paraId="7D55367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General imaging</w:t>
            </w:r>
          </w:p>
        </w:tc>
      </w:tr>
      <w:tr w:rsidR="00AA38F4" w:rsidRPr="001E4985" w14:paraId="0543A45E"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63B25AF"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621817E"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30.02</w:t>
            </w:r>
          </w:p>
        </w:tc>
        <w:tc>
          <w:tcPr>
            <w:tcW w:w="6520" w:type="dxa"/>
            <w:tcBorders>
              <w:top w:val="nil"/>
              <w:left w:val="nil"/>
              <w:bottom w:val="single" w:sz="4" w:space="0" w:color="ADD6EA"/>
              <w:right w:val="nil"/>
            </w:tcBorders>
            <w:shd w:val="clear" w:color="000000" w:fill="FFFFFF"/>
            <w:hideMark/>
          </w:tcPr>
          <w:p w14:paraId="1E718D3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Magnetic resonance imaging (MRI)</w:t>
            </w:r>
          </w:p>
        </w:tc>
      </w:tr>
      <w:tr w:rsidR="00AA38F4" w:rsidRPr="001E4985" w14:paraId="1397D094"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F0569C4"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DB73FD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30.03</w:t>
            </w:r>
          </w:p>
        </w:tc>
        <w:tc>
          <w:tcPr>
            <w:tcW w:w="6520" w:type="dxa"/>
            <w:tcBorders>
              <w:top w:val="nil"/>
              <w:left w:val="nil"/>
              <w:bottom w:val="single" w:sz="4" w:space="0" w:color="ADD6EA"/>
              <w:right w:val="nil"/>
            </w:tcBorders>
            <w:shd w:val="clear" w:color="000000" w:fill="FFFFFF"/>
            <w:hideMark/>
          </w:tcPr>
          <w:p w14:paraId="5A1931C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Computerised tomography (CT)</w:t>
            </w:r>
          </w:p>
        </w:tc>
      </w:tr>
      <w:tr w:rsidR="00AA38F4" w:rsidRPr="001E4985" w14:paraId="2D30A91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4229681A"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98B78F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30.04</w:t>
            </w:r>
          </w:p>
        </w:tc>
        <w:tc>
          <w:tcPr>
            <w:tcW w:w="6520" w:type="dxa"/>
            <w:tcBorders>
              <w:top w:val="nil"/>
              <w:left w:val="nil"/>
              <w:bottom w:val="single" w:sz="4" w:space="0" w:color="ADD6EA"/>
              <w:right w:val="nil"/>
            </w:tcBorders>
            <w:shd w:val="clear" w:color="000000" w:fill="FFFFFF"/>
            <w:hideMark/>
          </w:tcPr>
          <w:p w14:paraId="06ACC5E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Nuclear medicine</w:t>
            </w:r>
          </w:p>
        </w:tc>
      </w:tr>
      <w:tr w:rsidR="00AA38F4" w:rsidRPr="001E4985" w14:paraId="58D030DF"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ED3114C"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24B70D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30.05</w:t>
            </w:r>
          </w:p>
        </w:tc>
        <w:tc>
          <w:tcPr>
            <w:tcW w:w="6520" w:type="dxa"/>
            <w:tcBorders>
              <w:top w:val="nil"/>
              <w:left w:val="nil"/>
              <w:bottom w:val="single" w:sz="4" w:space="0" w:color="ADD6EA"/>
              <w:right w:val="nil"/>
            </w:tcBorders>
            <w:shd w:val="clear" w:color="000000" w:fill="FFFFFF"/>
            <w:hideMark/>
          </w:tcPr>
          <w:p w14:paraId="6333E474"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Pathology (microbiology, haematology, biochemistry)</w:t>
            </w:r>
          </w:p>
        </w:tc>
      </w:tr>
      <w:tr w:rsidR="00AA38F4" w:rsidRPr="001E4985" w14:paraId="3B50AA9B"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45EFC915"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B01FDF4"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30.06</w:t>
            </w:r>
          </w:p>
        </w:tc>
        <w:tc>
          <w:tcPr>
            <w:tcW w:w="6520" w:type="dxa"/>
            <w:tcBorders>
              <w:top w:val="nil"/>
              <w:left w:val="nil"/>
              <w:bottom w:val="single" w:sz="4" w:space="0" w:color="ADD6EA"/>
              <w:right w:val="nil"/>
            </w:tcBorders>
            <w:shd w:val="clear" w:color="000000" w:fill="FFFFFF"/>
            <w:hideMark/>
          </w:tcPr>
          <w:p w14:paraId="36782C8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Positron emission tomography (PET)</w:t>
            </w:r>
          </w:p>
        </w:tc>
      </w:tr>
      <w:tr w:rsidR="00AA38F4" w:rsidRPr="001E4985" w14:paraId="10F1AA88"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0ADD04E"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71D0B9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30.07</w:t>
            </w:r>
          </w:p>
        </w:tc>
        <w:tc>
          <w:tcPr>
            <w:tcW w:w="6520" w:type="dxa"/>
            <w:tcBorders>
              <w:top w:val="nil"/>
              <w:left w:val="nil"/>
              <w:bottom w:val="single" w:sz="4" w:space="0" w:color="ADD6EA"/>
              <w:right w:val="nil"/>
            </w:tcBorders>
            <w:shd w:val="clear" w:color="000000" w:fill="FFFFFF"/>
            <w:hideMark/>
          </w:tcPr>
          <w:p w14:paraId="40517B3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Mammography screening</w:t>
            </w:r>
          </w:p>
        </w:tc>
      </w:tr>
      <w:tr w:rsidR="00AA38F4" w:rsidRPr="001E4985" w14:paraId="7781C898"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227CEF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6C3ABB7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30.08</w:t>
            </w:r>
          </w:p>
        </w:tc>
        <w:tc>
          <w:tcPr>
            <w:tcW w:w="6520" w:type="dxa"/>
            <w:tcBorders>
              <w:top w:val="nil"/>
              <w:left w:val="nil"/>
              <w:bottom w:val="single" w:sz="4" w:space="0" w:color="ADD6EA"/>
              <w:right w:val="nil"/>
            </w:tcBorders>
            <w:shd w:val="clear" w:color="000000" w:fill="FFFFFF"/>
            <w:hideMark/>
          </w:tcPr>
          <w:p w14:paraId="243745E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Clinical measurement</w:t>
            </w:r>
          </w:p>
        </w:tc>
      </w:tr>
      <w:tr w:rsidR="00AA38F4" w:rsidRPr="00021546" w14:paraId="287323E4" w14:textId="77777777" w:rsidTr="002F00C6">
        <w:trPr>
          <w:trHeight w:val="285"/>
        </w:trPr>
        <w:tc>
          <w:tcPr>
            <w:tcW w:w="2140" w:type="dxa"/>
            <w:gridSpan w:val="2"/>
            <w:tcBorders>
              <w:top w:val="single" w:sz="4" w:space="0" w:color="ADD6EA"/>
              <w:left w:val="nil"/>
              <w:bottom w:val="single" w:sz="4" w:space="0" w:color="ADD6EA"/>
              <w:right w:val="nil"/>
            </w:tcBorders>
            <w:shd w:val="clear" w:color="000000" w:fill="B6D5E4"/>
            <w:noWrap/>
            <w:vAlign w:val="center"/>
            <w:hideMark/>
          </w:tcPr>
          <w:p w14:paraId="48F95DF6" w14:textId="6C668851" w:rsidR="00C427B8" w:rsidRPr="00021546" w:rsidRDefault="00AA38F4" w:rsidP="002F00C6">
            <w:pPr>
              <w:tabs>
                <w:tab w:val="clear" w:pos="567"/>
              </w:tabs>
              <w:spacing w:before="0" w:line="240" w:lineRule="auto"/>
              <w:rPr>
                <w:rFonts w:ascii="Open Sans Semibold" w:eastAsia="Times New Roman" w:hAnsi="Open Sans Semibold" w:cs="Open Sans Semibold"/>
                <w:color w:val="000000"/>
                <w:sz w:val="16"/>
                <w:szCs w:val="16"/>
                <w:lang w:eastAsia="en-AU"/>
              </w:rPr>
            </w:pPr>
            <w:r w:rsidRPr="00021546">
              <w:rPr>
                <w:rFonts w:ascii="Open Sans Semibold" w:eastAsia="Times New Roman" w:hAnsi="Open Sans Semibold" w:cs="Open Sans Semibold"/>
                <w:color w:val="000000"/>
                <w:sz w:val="16"/>
                <w:szCs w:val="16"/>
                <w:lang w:eastAsia="en-AU"/>
              </w:rPr>
              <w:t>Allied health</w:t>
            </w:r>
          </w:p>
        </w:tc>
        <w:tc>
          <w:tcPr>
            <w:tcW w:w="6520" w:type="dxa"/>
            <w:tcBorders>
              <w:top w:val="nil"/>
              <w:left w:val="nil"/>
              <w:bottom w:val="single" w:sz="4" w:space="0" w:color="ADD6EA"/>
              <w:right w:val="nil"/>
            </w:tcBorders>
            <w:shd w:val="clear" w:color="000000" w:fill="B6D5E4"/>
            <w:vAlign w:val="center"/>
            <w:hideMark/>
          </w:tcPr>
          <w:p w14:paraId="21969231" w14:textId="77777777" w:rsidR="00AA38F4" w:rsidRPr="00021546" w:rsidRDefault="00AA38F4">
            <w:pPr>
              <w:tabs>
                <w:tab w:val="clear" w:pos="567"/>
              </w:tabs>
              <w:spacing w:before="0" w:line="240" w:lineRule="auto"/>
              <w:rPr>
                <w:rFonts w:ascii="Open Sans" w:eastAsia="Times New Roman" w:hAnsi="Open Sans" w:cs="Open Sans"/>
                <w:color w:val="000000"/>
                <w:sz w:val="16"/>
                <w:szCs w:val="16"/>
                <w:lang w:eastAsia="en-AU"/>
              </w:rPr>
            </w:pPr>
            <w:r w:rsidRPr="00021546">
              <w:rPr>
                <w:rFonts w:ascii="Open Sans" w:eastAsia="Times New Roman" w:hAnsi="Open Sans" w:cs="Open Sans"/>
                <w:color w:val="000000"/>
                <w:sz w:val="16"/>
                <w:szCs w:val="16"/>
                <w:lang w:eastAsia="en-AU"/>
              </w:rPr>
              <w:t> </w:t>
            </w:r>
          </w:p>
        </w:tc>
      </w:tr>
      <w:tr w:rsidR="00AA38F4" w:rsidRPr="001E4985" w14:paraId="74BC4B9D"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4349D3F"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181554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40.02</w:t>
            </w:r>
          </w:p>
        </w:tc>
        <w:tc>
          <w:tcPr>
            <w:tcW w:w="6520" w:type="dxa"/>
            <w:tcBorders>
              <w:top w:val="nil"/>
              <w:left w:val="nil"/>
              <w:bottom w:val="single" w:sz="4" w:space="0" w:color="ADD6EA"/>
              <w:right w:val="nil"/>
            </w:tcBorders>
            <w:shd w:val="clear" w:color="000000" w:fill="FFFFFF"/>
            <w:hideMark/>
          </w:tcPr>
          <w:p w14:paraId="69B2358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Aged care assessment</w:t>
            </w:r>
          </w:p>
        </w:tc>
      </w:tr>
      <w:tr w:rsidR="00AA38F4" w:rsidRPr="001E4985" w14:paraId="741A626A"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6ADC27D"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30B2A6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40.03</w:t>
            </w:r>
          </w:p>
        </w:tc>
        <w:tc>
          <w:tcPr>
            <w:tcW w:w="6520" w:type="dxa"/>
            <w:tcBorders>
              <w:top w:val="nil"/>
              <w:left w:val="nil"/>
              <w:bottom w:val="single" w:sz="4" w:space="0" w:color="ADD6EA"/>
              <w:right w:val="nil"/>
            </w:tcBorders>
            <w:shd w:val="clear" w:color="000000" w:fill="FFFFFF"/>
            <w:hideMark/>
          </w:tcPr>
          <w:p w14:paraId="5E656D2E"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Aids and appliances</w:t>
            </w:r>
          </w:p>
        </w:tc>
      </w:tr>
      <w:tr w:rsidR="00AA38F4" w:rsidRPr="001E4985" w14:paraId="055A828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33E7225"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DADD62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40.04</w:t>
            </w:r>
          </w:p>
        </w:tc>
        <w:tc>
          <w:tcPr>
            <w:tcW w:w="6520" w:type="dxa"/>
            <w:tcBorders>
              <w:top w:val="nil"/>
              <w:left w:val="nil"/>
              <w:bottom w:val="single" w:sz="4" w:space="0" w:color="ADD6EA"/>
              <w:right w:val="nil"/>
            </w:tcBorders>
            <w:shd w:val="clear" w:color="000000" w:fill="FFFFFF"/>
            <w:hideMark/>
          </w:tcPr>
          <w:p w14:paraId="10FE42E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Clinical pharmacy</w:t>
            </w:r>
          </w:p>
        </w:tc>
      </w:tr>
      <w:tr w:rsidR="00AA38F4" w:rsidRPr="001E4985" w14:paraId="03586319"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C4D1A66"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4FABA3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40.05</w:t>
            </w:r>
          </w:p>
        </w:tc>
        <w:tc>
          <w:tcPr>
            <w:tcW w:w="6520" w:type="dxa"/>
            <w:tcBorders>
              <w:top w:val="nil"/>
              <w:left w:val="nil"/>
              <w:bottom w:val="single" w:sz="4" w:space="0" w:color="ADD6EA"/>
              <w:right w:val="nil"/>
            </w:tcBorders>
            <w:shd w:val="clear" w:color="000000" w:fill="FFFFFF"/>
            <w:hideMark/>
          </w:tcPr>
          <w:p w14:paraId="11C6668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Hydrotherapy</w:t>
            </w:r>
          </w:p>
        </w:tc>
      </w:tr>
      <w:tr w:rsidR="00AA38F4" w:rsidRPr="001E4985" w14:paraId="7F08722C"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0DE7AF0"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lastRenderedPageBreak/>
              <w:t> </w:t>
            </w:r>
          </w:p>
        </w:tc>
        <w:tc>
          <w:tcPr>
            <w:tcW w:w="1640" w:type="dxa"/>
            <w:tcBorders>
              <w:top w:val="nil"/>
              <w:left w:val="nil"/>
              <w:bottom w:val="single" w:sz="4" w:space="0" w:color="ADD6EA"/>
              <w:right w:val="nil"/>
            </w:tcBorders>
            <w:shd w:val="clear" w:color="000000" w:fill="FFFFFF"/>
            <w:hideMark/>
          </w:tcPr>
          <w:p w14:paraId="221F469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40.06</w:t>
            </w:r>
          </w:p>
        </w:tc>
        <w:tc>
          <w:tcPr>
            <w:tcW w:w="6520" w:type="dxa"/>
            <w:tcBorders>
              <w:top w:val="nil"/>
              <w:left w:val="nil"/>
              <w:bottom w:val="single" w:sz="4" w:space="0" w:color="ADD6EA"/>
              <w:right w:val="nil"/>
            </w:tcBorders>
            <w:shd w:val="clear" w:color="000000" w:fill="FFFFFF"/>
            <w:hideMark/>
          </w:tcPr>
          <w:p w14:paraId="24E4F7F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Occupational therapy</w:t>
            </w:r>
          </w:p>
        </w:tc>
      </w:tr>
      <w:tr w:rsidR="00AA38F4" w:rsidRPr="001E4985" w14:paraId="7289B40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21106D6"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623FF52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40.07</w:t>
            </w:r>
          </w:p>
        </w:tc>
        <w:tc>
          <w:tcPr>
            <w:tcW w:w="6520" w:type="dxa"/>
            <w:tcBorders>
              <w:top w:val="nil"/>
              <w:left w:val="nil"/>
              <w:bottom w:val="single" w:sz="4" w:space="0" w:color="ADD6EA"/>
              <w:right w:val="nil"/>
            </w:tcBorders>
            <w:shd w:val="clear" w:color="000000" w:fill="FFFFFF"/>
            <w:hideMark/>
          </w:tcPr>
          <w:p w14:paraId="4AAD39A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Pre-admission and pre-anaesthesia</w:t>
            </w:r>
          </w:p>
        </w:tc>
      </w:tr>
      <w:tr w:rsidR="00AA38F4" w:rsidRPr="001E4985" w14:paraId="170B7CE8"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7CB5944"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F2C438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40.08</w:t>
            </w:r>
          </w:p>
        </w:tc>
        <w:tc>
          <w:tcPr>
            <w:tcW w:w="6520" w:type="dxa"/>
            <w:tcBorders>
              <w:top w:val="nil"/>
              <w:left w:val="nil"/>
              <w:bottom w:val="single" w:sz="4" w:space="0" w:color="ADD6EA"/>
              <w:right w:val="nil"/>
            </w:tcBorders>
            <w:shd w:val="clear" w:color="000000" w:fill="FFFFFF"/>
            <w:hideMark/>
          </w:tcPr>
          <w:p w14:paraId="2027198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Primary health care</w:t>
            </w:r>
          </w:p>
        </w:tc>
      </w:tr>
      <w:tr w:rsidR="00AA38F4" w:rsidRPr="001E4985" w14:paraId="7BAF930D"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EC3857B"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DE4982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40.09</w:t>
            </w:r>
          </w:p>
        </w:tc>
        <w:tc>
          <w:tcPr>
            <w:tcW w:w="6520" w:type="dxa"/>
            <w:tcBorders>
              <w:top w:val="nil"/>
              <w:left w:val="nil"/>
              <w:bottom w:val="single" w:sz="4" w:space="0" w:color="ADD6EA"/>
              <w:right w:val="nil"/>
            </w:tcBorders>
            <w:shd w:val="clear" w:color="000000" w:fill="FFFFFF"/>
            <w:hideMark/>
          </w:tcPr>
          <w:p w14:paraId="65AEBDA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Physiotherapy</w:t>
            </w:r>
          </w:p>
        </w:tc>
      </w:tr>
      <w:tr w:rsidR="00AA38F4" w:rsidRPr="001E4985" w14:paraId="13983756"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9A94792"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E2B6A9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40.10</w:t>
            </w:r>
          </w:p>
        </w:tc>
        <w:tc>
          <w:tcPr>
            <w:tcW w:w="6520" w:type="dxa"/>
            <w:tcBorders>
              <w:top w:val="nil"/>
              <w:left w:val="nil"/>
              <w:bottom w:val="single" w:sz="4" w:space="0" w:color="ADD6EA"/>
              <w:right w:val="nil"/>
            </w:tcBorders>
            <w:shd w:val="clear" w:color="000000" w:fill="FFFFFF"/>
            <w:hideMark/>
          </w:tcPr>
          <w:p w14:paraId="32A5897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Sexual health</w:t>
            </w:r>
          </w:p>
        </w:tc>
      </w:tr>
      <w:tr w:rsidR="00AA38F4" w:rsidRPr="001E4985" w14:paraId="433DB2FF"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518F9730"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CA7E814"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40.11</w:t>
            </w:r>
          </w:p>
        </w:tc>
        <w:tc>
          <w:tcPr>
            <w:tcW w:w="6520" w:type="dxa"/>
            <w:tcBorders>
              <w:top w:val="nil"/>
              <w:left w:val="nil"/>
              <w:bottom w:val="single" w:sz="4" w:space="0" w:color="ADD6EA"/>
              <w:right w:val="nil"/>
            </w:tcBorders>
            <w:shd w:val="clear" w:color="000000" w:fill="FFFFFF"/>
            <w:hideMark/>
          </w:tcPr>
          <w:p w14:paraId="207F005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Social work</w:t>
            </w:r>
          </w:p>
        </w:tc>
      </w:tr>
      <w:tr w:rsidR="00AA38F4" w:rsidRPr="001E4985" w14:paraId="142738E4"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108B7DB"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682108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40.12</w:t>
            </w:r>
          </w:p>
        </w:tc>
        <w:tc>
          <w:tcPr>
            <w:tcW w:w="6520" w:type="dxa"/>
            <w:tcBorders>
              <w:top w:val="nil"/>
              <w:left w:val="nil"/>
              <w:bottom w:val="single" w:sz="4" w:space="0" w:color="ADD6EA"/>
              <w:right w:val="nil"/>
            </w:tcBorders>
            <w:shd w:val="clear" w:color="000000" w:fill="FFFFFF"/>
            <w:hideMark/>
          </w:tcPr>
          <w:p w14:paraId="36C08E7E"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Rehabilitation</w:t>
            </w:r>
          </w:p>
        </w:tc>
      </w:tr>
      <w:tr w:rsidR="00AA38F4" w:rsidRPr="001E4985" w14:paraId="150E7B42"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FBE3063"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E530A3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40.13</w:t>
            </w:r>
          </w:p>
        </w:tc>
        <w:tc>
          <w:tcPr>
            <w:tcW w:w="6520" w:type="dxa"/>
            <w:tcBorders>
              <w:top w:val="nil"/>
              <w:left w:val="nil"/>
              <w:bottom w:val="single" w:sz="4" w:space="0" w:color="ADD6EA"/>
              <w:right w:val="nil"/>
            </w:tcBorders>
            <w:shd w:val="clear" w:color="000000" w:fill="FFFFFF"/>
            <w:hideMark/>
          </w:tcPr>
          <w:p w14:paraId="52BC18C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Wound management</w:t>
            </w:r>
          </w:p>
        </w:tc>
      </w:tr>
      <w:tr w:rsidR="00AA38F4" w:rsidRPr="001E4985" w14:paraId="4FB8059E"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79B4FF7"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C57B16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40.14</w:t>
            </w:r>
          </w:p>
        </w:tc>
        <w:tc>
          <w:tcPr>
            <w:tcW w:w="6520" w:type="dxa"/>
            <w:tcBorders>
              <w:top w:val="nil"/>
              <w:left w:val="nil"/>
              <w:bottom w:val="single" w:sz="4" w:space="0" w:color="ADD6EA"/>
              <w:right w:val="nil"/>
            </w:tcBorders>
            <w:shd w:val="clear" w:color="000000" w:fill="FFFFFF"/>
            <w:hideMark/>
          </w:tcPr>
          <w:p w14:paraId="5B3D0A1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Neuropsychology</w:t>
            </w:r>
          </w:p>
        </w:tc>
      </w:tr>
      <w:tr w:rsidR="00AA38F4" w:rsidRPr="001E4985" w14:paraId="4F318A28"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1BC5743"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16C8F84"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40.15</w:t>
            </w:r>
          </w:p>
        </w:tc>
        <w:tc>
          <w:tcPr>
            <w:tcW w:w="6520" w:type="dxa"/>
            <w:tcBorders>
              <w:top w:val="nil"/>
              <w:left w:val="nil"/>
              <w:bottom w:val="single" w:sz="4" w:space="0" w:color="ADD6EA"/>
              <w:right w:val="nil"/>
            </w:tcBorders>
            <w:shd w:val="clear" w:color="000000" w:fill="FFFFFF"/>
            <w:hideMark/>
          </w:tcPr>
          <w:p w14:paraId="0CCA7D3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Optometry</w:t>
            </w:r>
          </w:p>
        </w:tc>
      </w:tr>
      <w:tr w:rsidR="00AA38F4" w:rsidRPr="001E4985" w14:paraId="1152756A"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A8DF3B4"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2CB0BB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40.16</w:t>
            </w:r>
          </w:p>
        </w:tc>
        <w:tc>
          <w:tcPr>
            <w:tcW w:w="6520" w:type="dxa"/>
            <w:tcBorders>
              <w:top w:val="nil"/>
              <w:left w:val="nil"/>
              <w:bottom w:val="single" w:sz="4" w:space="0" w:color="ADD6EA"/>
              <w:right w:val="nil"/>
            </w:tcBorders>
            <w:shd w:val="clear" w:color="000000" w:fill="FFFFFF"/>
            <w:hideMark/>
          </w:tcPr>
          <w:p w14:paraId="728C743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Orthoptics</w:t>
            </w:r>
          </w:p>
        </w:tc>
      </w:tr>
      <w:tr w:rsidR="00AA38F4" w:rsidRPr="001E4985" w14:paraId="49323A52"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36F0F7E"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6B2202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40.17</w:t>
            </w:r>
          </w:p>
        </w:tc>
        <w:tc>
          <w:tcPr>
            <w:tcW w:w="6520" w:type="dxa"/>
            <w:tcBorders>
              <w:top w:val="nil"/>
              <w:left w:val="nil"/>
              <w:bottom w:val="single" w:sz="4" w:space="0" w:color="ADD6EA"/>
              <w:right w:val="nil"/>
            </w:tcBorders>
            <w:shd w:val="clear" w:color="000000" w:fill="FFFFFF"/>
            <w:hideMark/>
          </w:tcPr>
          <w:p w14:paraId="2A8847A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Audiology</w:t>
            </w:r>
          </w:p>
        </w:tc>
      </w:tr>
      <w:tr w:rsidR="00AA38F4" w:rsidRPr="001E4985" w14:paraId="18A61F24"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6F43568"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1B1938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40.18</w:t>
            </w:r>
          </w:p>
        </w:tc>
        <w:tc>
          <w:tcPr>
            <w:tcW w:w="6520" w:type="dxa"/>
            <w:tcBorders>
              <w:top w:val="nil"/>
              <w:left w:val="nil"/>
              <w:bottom w:val="single" w:sz="4" w:space="0" w:color="ADD6EA"/>
              <w:right w:val="nil"/>
            </w:tcBorders>
            <w:shd w:val="clear" w:color="000000" w:fill="FFFFFF"/>
            <w:hideMark/>
          </w:tcPr>
          <w:p w14:paraId="1476479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Speech pathology</w:t>
            </w:r>
          </w:p>
        </w:tc>
      </w:tr>
      <w:tr w:rsidR="00AA38F4" w:rsidRPr="001E4985" w14:paraId="155A6A19"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8056F09"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38186A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40.21</w:t>
            </w:r>
          </w:p>
        </w:tc>
        <w:tc>
          <w:tcPr>
            <w:tcW w:w="6520" w:type="dxa"/>
            <w:tcBorders>
              <w:top w:val="nil"/>
              <w:left w:val="nil"/>
              <w:bottom w:val="single" w:sz="4" w:space="0" w:color="ADD6EA"/>
              <w:right w:val="nil"/>
            </w:tcBorders>
            <w:shd w:val="clear" w:color="000000" w:fill="FFFFFF"/>
            <w:hideMark/>
          </w:tcPr>
          <w:p w14:paraId="5B16D0F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Cardiac rehabilitation</w:t>
            </w:r>
          </w:p>
        </w:tc>
      </w:tr>
      <w:tr w:rsidR="00AA38F4" w:rsidRPr="001E4985" w14:paraId="5A8D222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48A4EB9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9EDF32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40.22</w:t>
            </w:r>
          </w:p>
        </w:tc>
        <w:tc>
          <w:tcPr>
            <w:tcW w:w="6520" w:type="dxa"/>
            <w:tcBorders>
              <w:top w:val="nil"/>
              <w:left w:val="nil"/>
              <w:bottom w:val="single" w:sz="4" w:space="0" w:color="ADD6EA"/>
              <w:right w:val="nil"/>
            </w:tcBorders>
            <w:shd w:val="clear" w:color="000000" w:fill="FFFFFF"/>
            <w:hideMark/>
          </w:tcPr>
          <w:p w14:paraId="3895814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Stomal therapy</w:t>
            </w:r>
          </w:p>
        </w:tc>
      </w:tr>
      <w:tr w:rsidR="00AA38F4" w:rsidRPr="001E4985" w14:paraId="3CBB069B"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3636C08"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8346E8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40.23</w:t>
            </w:r>
          </w:p>
        </w:tc>
        <w:tc>
          <w:tcPr>
            <w:tcW w:w="6520" w:type="dxa"/>
            <w:tcBorders>
              <w:top w:val="nil"/>
              <w:left w:val="nil"/>
              <w:bottom w:val="single" w:sz="4" w:space="0" w:color="ADD6EA"/>
              <w:right w:val="nil"/>
            </w:tcBorders>
            <w:shd w:val="clear" w:color="000000" w:fill="FFFFFF"/>
            <w:hideMark/>
          </w:tcPr>
          <w:p w14:paraId="1E8057F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Nutrition/dietetics</w:t>
            </w:r>
          </w:p>
        </w:tc>
      </w:tr>
      <w:tr w:rsidR="00AA38F4" w:rsidRPr="001E4985" w14:paraId="4C84E3A6"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DF92F6A"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B9CDDD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40.24</w:t>
            </w:r>
          </w:p>
        </w:tc>
        <w:tc>
          <w:tcPr>
            <w:tcW w:w="6520" w:type="dxa"/>
            <w:tcBorders>
              <w:top w:val="nil"/>
              <w:left w:val="nil"/>
              <w:bottom w:val="single" w:sz="4" w:space="0" w:color="ADD6EA"/>
              <w:right w:val="nil"/>
            </w:tcBorders>
            <w:shd w:val="clear" w:color="000000" w:fill="FFFFFF"/>
            <w:hideMark/>
          </w:tcPr>
          <w:p w14:paraId="1BF6220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Orthotics</w:t>
            </w:r>
          </w:p>
        </w:tc>
      </w:tr>
      <w:tr w:rsidR="00AA38F4" w:rsidRPr="001E4985" w14:paraId="267D75C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11E4779"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1A8C394"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40.25</w:t>
            </w:r>
          </w:p>
        </w:tc>
        <w:tc>
          <w:tcPr>
            <w:tcW w:w="6520" w:type="dxa"/>
            <w:tcBorders>
              <w:top w:val="nil"/>
              <w:left w:val="nil"/>
              <w:bottom w:val="single" w:sz="4" w:space="0" w:color="ADD6EA"/>
              <w:right w:val="nil"/>
            </w:tcBorders>
            <w:shd w:val="clear" w:color="000000" w:fill="FFFFFF"/>
            <w:hideMark/>
          </w:tcPr>
          <w:p w14:paraId="6263B757"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Podiatry</w:t>
            </w:r>
          </w:p>
        </w:tc>
      </w:tr>
      <w:tr w:rsidR="00AA38F4" w:rsidRPr="001E4985" w14:paraId="4253EB87"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61B04DE"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596826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40.27</w:t>
            </w:r>
          </w:p>
        </w:tc>
        <w:tc>
          <w:tcPr>
            <w:tcW w:w="6520" w:type="dxa"/>
            <w:tcBorders>
              <w:top w:val="nil"/>
              <w:left w:val="nil"/>
              <w:bottom w:val="single" w:sz="4" w:space="0" w:color="ADD6EA"/>
              <w:right w:val="nil"/>
            </w:tcBorders>
            <w:shd w:val="clear" w:color="000000" w:fill="FFFFFF"/>
            <w:hideMark/>
          </w:tcPr>
          <w:p w14:paraId="3A1492E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Family planning</w:t>
            </w:r>
          </w:p>
        </w:tc>
      </w:tr>
      <w:tr w:rsidR="00AA38F4" w:rsidRPr="001E4985" w14:paraId="2710853F"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87F6473"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A3D516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40.28</w:t>
            </w:r>
          </w:p>
        </w:tc>
        <w:tc>
          <w:tcPr>
            <w:tcW w:w="6520" w:type="dxa"/>
            <w:tcBorders>
              <w:top w:val="nil"/>
              <w:left w:val="nil"/>
              <w:bottom w:val="single" w:sz="4" w:space="0" w:color="ADD6EA"/>
              <w:right w:val="nil"/>
            </w:tcBorders>
            <w:shd w:val="clear" w:color="000000" w:fill="FFFFFF"/>
            <w:hideMark/>
          </w:tcPr>
          <w:p w14:paraId="5D692DD7"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Midwifery and maternity</w:t>
            </w:r>
          </w:p>
        </w:tc>
      </w:tr>
      <w:tr w:rsidR="00AA38F4" w:rsidRPr="001E4985" w14:paraId="3D8A46C9"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FD48A3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7C65E8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40.29</w:t>
            </w:r>
          </w:p>
        </w:tc>
        <w:tc>
          <w:tcPr>
            <w:tcW w:w="6520" w:type="dxa"/>
            <w:tcBorders>
              <w:top w:val="nil"/>
              <w:left w:val="nil"/>
              <w:bottom w:val="single" w:sz="4" w:space="0" w:color="ADD6EA"/>
              <w:right w:val="nil"/>
            </w:tcBorders>
            <w:shd w:val="clear" w:color="000000" w:fill="FFFFFF"/>
            <w:hideMark/>
          </w:tcPr>
          <w:p w14:paraId="7024597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Psychology</w:t>
            </w:r>
          </w:p>
        </w:tc>
      </w:tr>
      <w:tr w:rsidR="00AA38F4" w:rsidRPr="001E4985" w14:paraId="43B9A9E1"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CCA6B5A"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C854FD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40.30</w:t>
            </w:r>
          </w:p>
        </w:tc>
        <w:tc>
          <w:tcPr>
            <w:tcW w:w="6520" w:type="dxa"/>
            <w:tcBorders>
              <w:top w:val="nil"/>
              <w:left w:val="nil"/>
              <w:bottom w:val="single" w:sz="4" w:space="0" w:color="ADD6EA"/>
              <w:right w:val="nil"/>
            </w:tcBorders>
            <w:shd w:val="clear" w:color="000000" w:fill="FFFFFF"/>
            <w:hideMark/>
          </w:tcPr>
          <w:p w14:paraId="21548D3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Alcohol and other drugs</w:t>
            </w:r>
          </w:p>
        </w:tc>
      </w:tr>
      <w:tr w:rsidR="00AA38F4" w:rsidRPr="001E4985" w14:paraId="65626605"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44B6FA19"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AA5775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40.31</w:t>
            </w:r>
          </w:p>
        </w:tc>
        <w:tc>
          <w:tcPr>
            <w:tcW w:w="6520" w:type="dxa"/>
            <w:tcBorders>
              <w:top w:val="nil"/>
              <w:left w:val="nil"/>
              <w:bottom w:val="single" w:sz="4" w:space="0" w:color="ADD6EA"/>
              <w:right w:val="nil"/>
            </w:tcBorders>
            <w:shd w:val="clear" w:color="000000" w:fill="FFFFFF"/>
            <w:hideMark/>
          </w:tcPr>
          <w:p w14:paraId="78E0DBE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Burns</w:t>
            </w:r>
          </w:p>
        </w:tc>
      </w:tr>
      <w:tr w:rsidR="00AA38F4" w:rsidRPr="001E4985" w14:paraId="3C37232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AF0B3F2"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F34147E"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40.32</w:t>
            </w:r>
          </w:p>
        </w:tc>
        <w:tc>
          <w:tcPr>
            <w:tcW w:w="6520" w:type="dxa"/>
            <w:tcBorders>
              <w:top w:val="nil"/>
              <w:left w:val="nil"/>
              <w:bottom w:val="single" w:sz="4" w:space="0" w:color="ADD6EA"/>
              <w:right w:val="nil"/>
            </w:tcBorders>
            <w:shd w:val="clear" w:color="000000" w:fill="FFFFFF"/>
            <w:hideMark/>
          </w:tcPr>
          <w:p w14:paraId="1C030DD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Continence</w:t>
            </w:r>
          </w:p>
        </w:tc>
      </w:tr>
      <w:tr w:rsidR="00AA38F4" w:rsidRPr="001E4985" w14:paraId="55758D9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A4BBF5F"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6F9683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40.33</w:t>
            </w:r>
          </w:p>
        </w:tc>
        <w:tc>
          <w:tcPr>
            <w:tcW w:w="6520" w:type="dxa"/>
            <w:tcBorders>
              <w:top w:val="nil"/>
              <w:left w:val="nil"/>
              <w:bottom w:val="single" w:sz="4" w:space="0" w:color="ADD6EA"/>
              <w:right w:val="nil"/>
            </w:tcBorders>
            <w:shd w:val="clear" w:color="000000" w:fill="FFFFFF"/>
            <w:hideMark/>
          </w:tcPr>
          <w:p w14:paraId="191F00F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General counselling</w:t>
            </w:r>
          </w:p>
        </w:tc>
      </w:tr>
      <w:tr w:rsidR="00AA38F4" w:rsidRPr="001E4985" w14:paraId="66FB1EA9"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9C52BED"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C32EFA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40.34</w:t>
            </w:r>
          </w:p>
        </w:tc>
        <w:tc>
          <w:tcPr>
            <w:tcW w:w="6520" w:type="dxa"/>
            <w:tcBorders>
              <w:top w:val="nil"/>
              <w:left w:val="nil"/>
              <w:bottom w:val="single" w:sz="4" w:space="0" w:color="ADD6EA"/>
              <w:right w:val="nil"/>
            </w:tcBorders>
            <w:shd w:val="clear" w:color="000000" w:fill="FFFFFF"/>
            <w:hideMark/>
          </w:tcPr>
          <w:p w14:paraId="09218BC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Specialist mental health</w:t>
            </w:r>
          </w:p>
        </w:tc>
      </w:tr>
      <w:tr w:rsidR="00AA38F4" w:rsidRPr="001E4985" w14:paraId="09A7E059"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4AD43866"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A84765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40.35</w:t>
            </w:r>
          </w:p>
        </w:tc>
        <w:tc>
          <w:tcPr>
            <w:tcW w:w="6520" w:type="dxa"/>
            <w:tcBorders>
              <w:top w:val="nil"/>
              <w:left w:val="nil"/>
              <w:bottom w:val="single" w:sz="4" w:space="0" w:color="ADD6EA"/>
              <w:right w:val="nil"/>
            </w:tcBorders>
            <w:shd w:val="clear" w:color="000000" w:fill="FFFFFF"/>
            <w:hideMark/>
          </w:tcPr>
          <w:p w14:paraId="56BC1CC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Palliative care</w:t>
            </w:r>
          </w:p>
        </w:tc>
      </w:tr>
      <w:tr w:rsidR="00AA38F4" w:rsidRPr="001E4985" w14:paraId="17A44F44"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8566DB5"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6BB752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40.36</w:t>
            </w:r>
          </w:p>
        </w:tc>
        <w:tc>
          <w:tcPr>
            <w:tcW w:w="6520" w:type="dxa"/>
            <w:tcBorders>
              <w:top w:val="nil"/>
              <w:left w:val="nil"/>
              <w:bottom w:val="single" w:sz="4" w:space="0" w:color="ADD6EA"/>
              <w:right w:val="nil"/>
            </w:tcBorders>
            <w:shd w:val="clear" w:color="000000" w:fill="FFFFFF"/>
            <w:hideMark/>
          </w:tcPr>
          <w:p w14:paraId="1089F5B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Geriatric evaluation and management (GEM)</w:t>
            </w:r>
          </w:p>
        </w:tc>
      </w:tr>
      <w:tr w:rsidR="00AA38F4" w:rsidRPr="001E4985" w14:paraId="07FDB3C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58198C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7CDEEA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40.37</w:t>
            </w:r>
          </w:p>
        </w:tc>
        <w:tc>
          <w:tcPr>
            <w:tcW w:w="6520" w:type="dxa"/>
            <w:tcBorders>
              <w:top w:val="nil"/>
              <w:left w:val="nil"/>
              <w:bottom w:val="single" w:sz="4" w:space="0" w:color="ADD6EA"/>
              <w:right w:val="nil"/>
            </w:tcBorders>
            <w:shd w:val="clear" w:color="000000" w:fill="FFFFFF"/>
            <w:hideMark/>
          </w:tcPr>
          <w:p w14:paraId="2249E5B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Psychogeriatric</w:t>
            </w:r>
          </w:p>
        </w:tc>
      </w:tr>
      <w:tr w:rsidR="00AA38F4" w:rsidRPr="001E4985" w14:paraId="3881F591"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AE5E80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1022FA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40.38</w:t>
            </w:r>
          </w:p>
        </w:tc>
        <w:tc>
          <w:tcPr>
            <w:tcW w:w="6520" w:type="dxa"/>
            <w:tcBorders>
              <w:top w:val="nil"/>
              <w:left w:val="nil"/>
              <w:bottom w:val="single" w:sz="4" w:space="0" w:color="ADD6EA"/>
              <w:right w:val="nil"/>
            </w:tcBorders>
            <w:shd w:val="clear" w:color="000000" w:fill="FFFFFF"/>
            <w:hideMark/>
          </w:tcPr>
          <w:p w14:paraId="5BE9EEF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Infectious diseases</w:t>
            </w:r>
          </w:p>
        </w:tc>
      </w:tr>
      <w:tr w:rsidR="00AA38F4" w:rsidRPr="001E4985" w14:paraId="30270289"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CB6821B"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0AA3C1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40.39</w:t>
            </w:r>
          </w:p>
        </w:tc>
        <w:tc>
          <w:tcPr>
            <w:tcW w:w="6520" w:type="dxa"/>
            <w:tcBorders>
              <w:top w:val="nil"/>
              <w:left w:val="nil"/>
              <w:bottom w:val="single" w:sz="4" w:space="0" w:color="ADD6EA"/>
              <w:right w:val="nil"/>
            </w:tcBorders>
            <w:shd w:val="clear" w:color="000000" w:fill="FFFFFF"/>
            <w:hideMark/>
          </w:tcPr>
          <w:p w14:paraId="0DD143E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Neurology</w:t>
            </w:r>
          </w:p>
        </w:tc>
      </w:tr>
      <w:tr w:rsidR="00AA38F4" w:rsidRPr="001E4985" w14:paraId="5A987D21"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39900C8"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FBFEFA4"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40.40</w:t>
            </w:r>
          </w:p>
        </w:tc>
        <w:tc>
          <w:tcPr>
            <w:tcW w:w="6520" w:type="dxa"/>
            <w:tcBorders>
              <w:top w:val="nil"/>
              <w:left w:val="nil"/>
              <w:bottom w:val="single" w:sz="4" w:space="0" w:color="ADD6EA"/>
              <w:right w:val="nil"/>
            </w:tcBorders>
            <w:shd w:val="clear" w:color="000000" w:fill="FFFFFF"/>
            <w:hideMark/>
          </w:tcPr>
          <w:p w14:paraId="0159518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Respiratory</w:t>
            </w:r>
          </w:p>
        </w:tc>
      </w:tr>
      <w:tr w:rsidR="00AA38F4" w:rsidRPr="001E4985" w14:paraId="05CEE36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7054ED5"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1ADF947"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40.41</w:t>
            </w:r>
          </w:p>
        </w:tc>
        <w:tc>
          <w:tcPr>
            <w:tcW w:w="6520" w:type="dxa"/>
            <w:tcBorders>
              <w:top w:val="nil"/>
              <w:left w:val="nil"/>
              <w:bottom w:val="single" w:sz="4" w:space="0" w:color="ADD6EA"/>
              <w:right w:val="nil"/>
            </w:tcBorders>
            <w:shd w:val="clear" w:color="000000" w:fill="FFFFFF"/>
            <w:hideMark/>
          </w:tcPr>
          <w:p w14:paraId="5A40DF9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Gastroenterology</w:t>
            </w:r>
          </w:p>
        </w:tc>
      </w:tr>
      <w:tr w:rsidR="00AA38F4" w:rsidRPr="001E4985" w14:paraId="5456EA7C"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CF597D7"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4CEF543"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40.42</w:t>
            </w:r>
          </w:p>
        </w:tc>
        <w:tc>
          <w:tcPr>
            <w:tcW w:w="6520" w:type="dxa"/>
            <w:tcBorders>
              <w:top w:val="nil"/>
              <w:left w:val="nil"/>
              <w:bottom w:val="single" w:sz="4" w:space="0" w:color="ADD6EA"/>
              <w:right w:val="nil"/>
            </w:tcBorders>
            <w:shd w:val="clear" w:color="000000" w:fill="FFFFFF"/>
            <w:hideMark/>
          </w:tcPr>
          <w:p w14:paraId="32A3E36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Circulatory</w:t>
            </w:r>
          </w:p>
        </w:tc>
      </w:tr>
      <w:tr w:rsidR="00AA38F4" w:rsidRPr="001E4985" w14:paraId="4512A2D6"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56E869E"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C2F20A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40.43</w:t>
            </w:r>
          </w:p>
        </w:tc>
        <w:tc>
          <w:tcPr>
            <w:tcW w:w="6520" w:type="dxa"/>
            <w:tcBorders>
              <w:top w:val="nil"/>
              <w:left w:val="nil"/>
              <w:bottom w:val="single" w:sz="4" w:space="0" w:color="ADD6EA"/>
              <w:right w:val="nil"/>
            </w:tcBorders>
            <w:shd w:val="clear" w:color="000000" w:fill="FFFFFF"/>
            <w:hideMark/>
          </w:tcPr>
          <w:p w14:paraId="5703BA65"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Hepatobiliary</w:t>
            </w:r>
          </w:p>
        </w:tc>
      </w:tr>
      <w:tr w:rsidR="00AA38F4" w:rsidRPr="001E4985" w14:paraId="551760BA"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6FDC607"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0A2F607"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40.44</w:t>
            </w:r>
          </w:p>
        </w:tc>
        <w:tc>
          <w:tcPr>
            <w:tcW w:w="6520" w:type="dxa"/>
            <w:tcBorders>
              <w:top w:val="nil"/>
              <w:left w:val="nil"/>
              <w:bottom w:val="single" w:sz="4" w:space="0" w:color="ADD6EA"/>
              <w:right w:val="nil"/>
            </w:tcBorders>
            <w:shd w:val="clear" w:color="000000" w:fill="FFFFFF"/>
            <w:hideMark/>
          </w:tcPr>
          <w:p w14:paraId="06C52B3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Orthopaedics</w:t>
            </w:r>
          </w:p>
        </w:tc>
      </w:tr>
      <w:tr w:rsidR="00AA38F4" w:rsidRPr="001E4985" w14:paraId="47FDB73D"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CE6A80E"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7CA199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40.45</w:t>
            </w:r>
          </w:p>
        </w:tc>
        <w:tc>
          <w:tcPr>
            <w:tcW w:w="6520" w:type="dxa"/>
            <w:tcBorders>
              <w:top w:val="nil"/>
              <w:left w:val="nil"/>
              <w:bottom w:val="single" w:sz="4" w:space="0" w:color="ADD6EA"/>
              <w:right w:val="nil"/>
            </w:tcBorders>
            <w:shd w:val="clear" w:color="000000" w:fill="FFFFFF"/>
            <w:hideMark/>
          </w:tcPr>
          <w:p w14:paraId="5F43D2E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Dermatology</w:t>
            </w:r>
          </w:p>
        </w:tc>
      </w:tr>
      <w:tr w:rsidR="00AA38F4" w:rsidRPr="001E4985" w14:paraId="17B51891"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B6B6D28"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13479B1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40.46</w:t>
            </w:r>
          </w:p>
        </w:tc>
        <w:tc>
          <w:tcPr>
            <w:tcW w:w="6520" w:type="dxa"/>
            <w:tcBorders>
              <w:top w:val="nil"/>
              <w:left w:val="nil"/>
              <w:bottom w:val="single" w:sz="4" w:space="0" w:color="ADD6EA"/>
              <w:right w:val="nil"/>
            </w:tcBorders>
            <w:shd w:val="clear" w:color="000000" w:fill="FFFFFF"/>
            <w:hideMark/>
          </w:tcPr>
          <w:p w14:paraId="3D16332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Endocrinology</w:t>
            </w:r>
          </w:p>
        </w:tc>
      </w:tr>
      <w:tr w:rsidR="00AA38F4" w:rsidRPr="001E4985" w14:paraId="006B608F"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97C2B66"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B99AEC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40.47</w:t>
            </w:r>
          </w:p>
        </w:tc>
        <w:tc>
          <w:tcPr>
            <w:tcW w:w="6520" w:type="dxa"/>
            <w:tcBorders>
              <w:top w:val="nil"/>
              <w:left w:val="nil"/>
              <w:bottom w:val="single" w:sz="4" w:space="0" w:color="ADD6EA"/>
              <w:right w:val="nil"/>
            </w:tcBorders>
            <w:shd w:val="clear" w:color="000000" w:fill="FFFFFF"/>
            <w:hideMark/>
          </w:tcPr>
          <w:p w14:paraId="61D340D7"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Nephrology</w:t>
            </w:r>
          </w:p>
        </w:tc>
      </w:tr>
      <w:tr w:rsidR="00AA38F4" w:rsidRPr="001E4985" w14:paraId="1B67DC69"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264095E"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2C8369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40.48</w:t>
            </w:r>
          </w:p>
        </w:tc>
        <w:tc>
          <w:tcPr>
            <w:tcW w:w="6520" w:type="dxa"/>
            <w:tcBorders>
              <w:top w:val="nil"/>
              <w:left w:val="nil"/>
              <w:bottom w:val="single" w:sz="4" w:space="0" w:color="ADD6EA"/>
              <w:right w:val="nil"/>
            </w:tcBorders>
            <w:shd w:val="clear" w:color="000000" w:fill="FFFFFF"/>
            <w:hideMark/>
          </w:tcPr>
          <w:p w14:paraId="15E2085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Haematology and immunology</w:t>
            </w:r>
          </w:p>
        </w:tc>
      </w:tr>
      <w:tr w:rsidR="00AA38F4" w:rsidRPr="001E4985" w14:paraId="05341206"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A7F6EF3"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5D0531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40.49</w:t>
            </w:r>
          </w:p>
        </w:tc>
        <w:tc>
          <w:tcPr>
            <w:tcW w:w="6520" w:type="dxa"/>
            <w:tcBorders>
              <w:top w:val="nil"/>
              <w:left w:val="nil"/>
              <w:bottom w:val="single" w:sz="4" w:space="0" w:color="ADD6EA"/>
              <w:right w:val="nil"/>
            </w:tcBorders>
            <w:shd w:val="clear" w:color="000000" w:fill="FFFFFF"/>
            <w:hideMark/>
          </w:tcPr>
          <w:p w14:paraId="240F978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Gynaecology</w:t>
            </w:r>
          </w:p>
        </w:tc>
      </w:tr>
      <w:tr w:rsidR="00AA38F4" w:rsidRPr="001E4985" w14:paraId="1FF5089D"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9A421B5"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68ADF91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40.50</w:t>
            </w:r>
          </w:p>
        </w:tc>
        <w:tc>
          <w:tcPr>
            <w:tcW w:w="6520" w:type="dxa"/>
            <w:tcBorders>
              <w:top w:val="nil"/>
              <w:left w:val="nil"/>
              <w:bottom w:val="single" w:sz="4" w:space="0" w:color="ADD6EA"/>
              <w:right w:val="nil"/>
            </w:tcBorders>
            <w:shd w:val="clear" w:color="000000" w:fill="FFFFFF"/>
            <w:hideMark/>
          </w:tcPr>
          <w:p w14:paraId="7538D29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Urology</w:t>
            </w:r>
          </w:p>
        </w:tc>
      </w:tr>
      <w:tr w:rsidR="00AA38F4" w:rsidRPr="001E4985" w14:paraId="5E690297"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658236A"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4E534BB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40.51</w:t>
            </w:r>
          </w:p>
        </w:tc>
        <w:tc>
          <w:tcPr>
            <w:tcW w:w="6520" w:type="dxa"/>
            <w:tcBorders>
              <w:top w:val="nil"/>
              <w:left w:val="nil"/>
              <w:bottom w:val="single" w:sz="4" w:space="0" w:color="ADD6EA"/>
              <w:right w:val="nil"/>
            </w:tcBorders>
            <w:shd w:val="clear" w:color="000000" w:fill="FFFFFF"/>
            <w:hideMark/>
          </w:tcPr>
          <w:p w14:paraId="6C8C536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Breast</w:t>
            </w:r>
          </w:p>
        </w:tc>
      </w:tr>
      <w:tr w:rsidR="00AA38F4" w:rsidRPr="001E4985" w14:paraId="231349F9"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7D954912"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63213F2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40.52</w:t>
            </w:r>
          </w:p>
        </w:tc>
        <w:tc>
          <w:tcPr>
            <w:tcW w:w="6520" w:type="dxa"/>
            <w:tcBorders>
              <w:top w:val="nil"/>
              <w:left w:val="nil"/>
              <w:bottom w:val="single" w:sz="4" w:space="0" w:color="ADD6EA"/>
              <w:right w:val="nil"/>
            </w:tcBorders>
            <w:shd w:val="clear" w:color="000000" w:fill="FFFFFF"/>
            <w:hideMark/>
          </w:tcPr>
          <w:p w14:paraId="0D80D90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Oncology</w:t>
            </w:r>
          </w:p>
        </w:tc>
      </w:tr>
      <w:tr w:rsidR="00AA38F4" w:rsidRPr="001E4985" w14:paraId="5EE4AEE7" w14:textId="77777777" w:rsidTr="002F00C6">
        <w:trPr>
          <w:trHeight w:val="199"/>
        </w:trPr>
        <w:tc>
          <w:tcPr>
            <w:tcW w:w="500" w:type="dxa"/>
            <w:tcBorders>
              <w:top w:val="nil"/>
              <w:left w:val="nil"/>
              <w:bottom w:val="single" w:sz="4" w:space="0" w:color="ADD6EA"/>
              <w:right w:val="nil"/>
            </w:tcBorders>
            <w:shd w:val="clear" w:color="000000" w:fill="FFFFFF"/>
            <w:vAlign w:val="center"/>
            <w:hideMark/>
          </w:tcPr>
          <w:p w14:paraId="36099A2B"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296C2CC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40.53</w:t>
            </w:r>
          </w:p>
        </w:tc>
        <w:tc>
          <w:tcPr>
            <w:tcW w:w="6520" w:type="dxa"/>
            <w:tcBorders>
              <w:top w:val="nil"/>
              <w:left w:val="nil"/>
              <w:bottom w:val="single" w:sz="4" w:space="0" w:color="ADD6EA"/>
              <w:right w:val="nil"/>
            </w:tcBorders>
            <w:shd w:val="clear" w:color="000000" w:fill="FFFFFF"/>
            <w:hideMark/>
          </w:tcPr>
          <w:p w14:paraId="35FDA661"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General medicine</w:t>
            </w:r>
          </w:p>
        </w:tc>
      </w:tr>
      <w:tr w:rsidR="00AA38F4" w:rsidRPr="001E4985" w14:paraId="688F8653"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616C1B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2115AC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40.54</w:t>
            </w:r>
          </w:p>
        </w:tc>
        <w:tc>
          <w:tcPr>
            <w:tcW w:w="6520" w:type="dxa"/>
            <w:tcBorders>
              <w:top w:val="nil"/>
              <w:left w:val="nil"/>
              <w:bottom w:val="single" w:sz="4" w:space="0" w:color="ADD6EA"/>
              <w:right w:val="nil"/>
            </w:tcBorders>
            <w:shd w:val="clear" w:color="000000" w:fill="FFFFFF"/>
            <w:hideMark/>
          </w:tcPr>
          <w:p w14:paraId="5ED33B1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General surgery</w:t>
            </w:r>
          </w:p>
        </w:tc>
      </w:tr>
      <w:tr w:rsidR="00AA38F4" w:rsidRPr="001E4985" w14:paraId="4AB4F9DD"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6521003B"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E12CEB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40.55</w:t>
            </w:r>
          </w:p>
        </w:tc>
        <w:tc>
          <w:tcPr>
            <w:tcW w:w="6520" w:type="dxa"/>
            <w:tcBorders>
              <w:top w:val="nil"/>
              <w:left w:val="nil"/>
              <w:bottom w:val="single" w:sz="4" w:space="0" w:color="ADD6EA"/>
              <w:right w:val="nil"/>
            </w:tcBorders>
            <w:shd w:val="clear" w:color="000000" w:fill="FFFFFF"/>
            <w:hideMark/>
          </w:tcPr>
          <w:p w14:paraId="7291494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Paediatrics</w:t>
            </w:r>
          </w:p>
        </w:tc>
      </w:tr>
      <w:tr w:rsidR="00AA38F4" w:rsidRPr="001E4985" w14:paraId="4680D530"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BE281CF"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5B9A929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40.56</w:t>
            </w:r>
          </w:p>
        </w:tc>
        <w:tc>
          <w:tcPr>
            <w:tcW w:w="6520" w:type="dxa"/>
            <w:tcBorders>
              <w:top w:val="nil"/>
              <w:left w:val="nil"/>
              <w:bottom w:val="single" w:sz="4" w:space="0" w:color="ADD6EA"/>
              <w:right w:val="nil"/>
            </w:tcBorders>
            <w:shd w:val="clear" w:color="000000" w:fill="FFFFFF"/>
            <w:hideMark/>
          </w:tcPr>
          <w:p w14:paraId="53F704D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Falls prevention</w:t>
            </w:r>
          </w:p>
        </w:tc>
      </w:tr>
      <w:tr w:rsidR="00AA38F4" w:rsidRPr="001E4985" w14:paraId="20166FCF"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577F77AA"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lastRenderedPageBreak/>
              <w:t> </w:t>
            </w:r>
          </w:p>
        </w:tc>
        <w:tc>
          <w:tcPr>
            <w:tcW w:w="1640" w:type="dxa"/>
            <w:tcBorders>
              <w:top w:val="nil"/>
              <w:left w:val="nil"/>
              <w:bottom w:val="single" w:sz="4" w:space="0" w:color="ADD6EA"/>
              <w:right w:val="nil"/>
            </w:tcBorders>
            <w:shd w:val="clear" w:color="000000" w:fill="FFFFFF"/>
            <w:hideMark/>
          </w:tcPr>
          <w:p w14:paraId="501E9DCE"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40.57</w:t>
            </w:r>
          </w:p>
        </w:tc>
        <w:tc>
          <w:tcPr>
            <w:tcW w:w="6520" w:type="dxa"/>
            <w:tcBorders>
              <w:top w:val="nil"/>
              <w:left w:val="nil"/>
              <w:bottom w:val="single" w:sz="4" w:space="0" w:color="ADD6EA"/>
              <w:right w:val="nil"/>
            </w:tcBorders>
            <w:shd w:val="clear" w:color="000000" w:fill="FFFFFF"/>
            <w:hideMark/>
          </w:tcPr>
          <w:p w14:paraId="4198DB0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Cognition and memory</w:t>
            </w:r>
          </w:p>
        </w:tc>
      </w:tr>
      <w:tr w:rsidR="00AA38F4" w:rsidRPr="001E4985" w14:paraId="6D9CA48A"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7CC25C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DD11084"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40.58</w:t>
            </w:r>
          </w:p>
        </w:tc>
        <w:tc>
          <w:tcPr>
            <w:tcW w:w="6520" w:type="dxa"/>
            <w:tcBorders>
              <w:top w:val="nil"/>
              <w:left w:val="nil"/>
              <w:bottom w:val="single" w:sz="4" w:space="0" w:color="ADD6EA"/>
              <w:right w:val="nil"/>
            </w:tcBorders>
            <w:shd w:val="clear" w:color="000000" w:fill="FFFFFF"/>
            <w:hideMark/>
          </w:tcPr>
          <w:p w14:paraId="287362A9"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Hospital avoidance programs</w:t>
            </w:r>
          </w:p>
        </w:tc>
      </w:tr>
      <w:tr w:rsidR="00AA38F4" w:rsidRPr="001E4985" w14:paraId="485D00BA"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D613659"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56EC3AF"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40.59</w:t>
            </w:r>
          </w:p>
        </w:tc>
        <w:tc>
          <w:tcPr>
            <w:tcW w:w="6520" w:type="dxa"/>
            <w:tcBorders>
              <w:top w:val="nil"/>
              <w:left w:val="nil"/>
              <w:bottom w:val="single" w:sz="4" w:space="0" w:color="ADD6EA"/>
              <w:right w:val="nil"/>
            </w:tcBorders>
            <w:shd w:val="clear" w:color="000000" w:fill="FFFFFF"/>
            <w:hideMark/>
          </w:tcPr>
          <w:p w14:paraId="0555D1C4"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Post-acute care</w:t>
            </w:r>
          </w:p>
        </w:tc>
      </w:tr>
      <w:tr w:rsidR="00AA38F4" w:rsidRPr="001E4985" w14:paraId="18ABD4EC"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32F1C613"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0488CF7"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40.60</w:t>
            </w:r>
          </w:p>
        </w:tc>
        <w:tc>
          <w:tcPr>
            <w:tcW w:w="6520" w:type="dxa"/>
            <w:tcBorders>
              <w:top w:val="nil"/>
              <w:left w:val="nil"/>
              <w:bottom w:val="single" w:sz="4" w:space="0" w:color="ADD6EA"/>
              <w:right w:val="nil"/>
            </w:tcBorders>
            <w:shd w:val="clear" w:color="000000" w:fill="FFFFFF"/>
            <w:hideMark/>
          </w:tcPr>
          <w:p w14:paraId="7A548CD6"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Pulmonary rehabilitation</w:t>
            </w:r>
          </w:p>
        </w:tc>
      </w:tr>
      <w:tr w:rsidR="00AA38F4" w:rsidRPr="001E4985" w14:paraId="2F5D6929"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1314283F"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0758A972"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40.61</w:t>
            </w:r>
          </w:p>
        </w:tc>
        <w:tc>
          <w:tcPr>
            <w:tcW w:w="6520" w:type="dxa"/>
            <w:tcBorders>
              <w:top w:val="nil"/>
              <w:left w:val="nil"/>
              <w:bottom w:val="single" w:sz="4" w:space="0" w:color="ADD6EA"/>
              <w:right w:val="nil"/>
            </w:tcBorders>
            <w:shd w:val="clear" w:color="000000" w:fill="FFFFFF"/>
            <w:noWrap/>
            <w:hideMark/>
          </w:tcPr>
          <w:p w14:paraId="6F692280"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Telehealth – patient location</w:t>
            </w:r>
          </w:p>
        </w:tc>
      </w:tr>
      <w:tr w:rsidR="00AA38F4" w:rsidRPr="001E4985" w14:paraId="5E47C7B5"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2D9809A9"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3CB761FA"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40.62</w:t>
            </w:r>
          </w:p>
        </w:tc>
        <w:tc>
          <w:tcPr>
            <w:tcW w:w="6520" w:type="dxa"/>
            <w:tcBorders>
              <w:top w:val="nil"/>
              <w:left w:val="nil"/>
              <w:bottom w:val="single" w:sz="4" w:space="0" w:color="ADD6EA"/>
              <w:right w:val="nil"/>
            </w:tcBorders>
            <w:shd w:val="clear" w:color="000000" w:fill="FFFFFF"/>
            <w:noWrap/>
            <w:hideMark/>
          </w:tcPr>
          <w:p w14:paraId="62367588"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Multidisciplinary case conference - patient not present</w:t>
            </w:r>
          </w:p>
        </w:tc>
      </w:tr>
      <w:tr w:rsidR="00AA38F4" w:rsidRPr="001E4985" w14:paraId="7B232596"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2C55AC7"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6838269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40.63</w:t>
            </w:r>
          </w:p>
        </w:tc>
        <w:tc>
          <w:tcPr>
            <w:tcW w:w="6520" w:type="dxa"/>
            <w:tcBorders>
              <w:top w:val="nil"/>
              <w:left w:val="nil"/>
              <w:bottom w:val="single" w:sz="4" w:space="0" w:color="ADD6EA"/>
              <w:right w:val="nil"/>
            </w:tcBorders>
            <w:shd w:val="clear" w:color="000000" w:fill="FFFFFF"/>
            <w:noWrap/>
            <w:hideMark/>
          </w:tcPr>
          <w:p w14:paraId="4D2E0FDB"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COVID-19 response</w:t>
            </w:r>
          </w:p>
        </w:tc>
      </w:tr>
      <w:tr w:rsidR="00AA38F4" w:rsidRPr="001E4985" w14:paraId="31D8C154" w14:textId="77777777" w:rsidTr="002F00C6">
        <w:trPr>
          <w:trHeight w:val="270"/>
        </w:trPr>
        <w:tc>
          <w:tcPr>
            <w:tcW w:w="500" w:type="dxa"/>
            <w:tcBorders>
              <w:top w:val="nil"/>
              <w:left w:val="nil"/>
              <w:bottom w:val="single" w:sz="4" w:space="0" w:color="ADD6EA"/>
              <w:right w:val="nil"/>
            </w:tcBorders>
            <w:shd w:val="clear" w:color="000000" w:fill="FFFFFF"/>
            <w:vAlign w:val="center"/>
            <w:hideMark/>
          </w:tcPr>
          <w:p w14:paraId="0E65F451" w14:textId="77777777" w:rsidR="00AA38F4" w:rsidRPr="001E4985" w:rsidRDefault="00AA38F4">
            <w:pPr>
              <w:tabs>
                <w:tab w:val="clear" w:pos="567"/>
              </w:tabs>
              <w:spacing w:before="0" w:line="240" w:lineRule="auto"/>
              <w:rPr>
                <w:rFonts w:ascii="Open Sans" w:eastAsia="Times New Roman" w:hAnsi="Open Sans" w:cs="Open Sans"/>
                <w:color w:val="000000"/>
                <w:sz w:val="16"/>
                <w:szCs w:val="16"/>
                <w:lang w:eastAsia="en-AU"/>
              </w:rPr>
            </w:pPr>
            <w:r w:rsidRPr="001E4985">
              <w:rPr>
                <w:rFonts w:ascii="Open Sans" w:eastAsia="Times New Roman" w:hAnsi="Open Sans" w:cs="Open Sans"/>
                <w:color w:val="000000"/>
                <w:sz w:val="16"/>
                <w:szCs w:val="16"/>
                <w:lang w:eastAsia="en-AU"/>
              </w:rPr>
              <w:t> </w:t>
            </w:r>
          </w:p>
        </w:tc>
        <w:tc>
          <w:tcPr>
            <w:tcW w:w="1640" w:type="dxa"/>
            <w:tcBorders>
              <w:top w:val="nil"/>
              <w:left w:val="nil"/>
              <w:bottom w:val="single" w:sz="4" w:space="0" w:color="ADD6EA"/>
              <w:right w:val="nil"/>
            </w:tcBorders>
            <w:shd w:val="clear" w:color="000000" w:fill="FFFFFF"/>
            <w:hideMark/>
          </w:tcPr>
          <w:p w14:paraId="785A6E9C"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40.64</w:t>
            </w:r>
          </w:p>
        </w:tc>
        <w:tc>
          <w:tcPr>
            <w:tcW w:w="6520" w:type="dxa"/>
            <w:tcBorders>
              <w:top w:val="nil"/>
              <w:left w:val="nil"/>
              <w:bottom w:val="single" w:sz="4" w:space="0" w:color="ADD6EA"/>
              <w:right w:val="nil"/>
            </w:tcBorders>
            <w:shd w:val="clear" w:color="000000" w:fill="FFFFFF"/>
            <w:noWrap/>
            <w:hideMark/>
          </w:tcPr>
          <w:p w14:paraId="405256CD" w14:textId="77777777" w:rsidR="00AA38F4" w:rsidRPr="00C427B8" w:rsidRDefault="00AA38F4" w:rsidP="002F00C6">
            <w:pPr>
              <w:tabs>
                <w:tab w:val="clear" w:pos="567"/>
              </w:tabs>
              <w:spacing w:before="0" w:line="240" w:lineRule="auto"/>
              <w:rPr>
                <w:rFonts w:eastAsia="Times New Roman" w:cs="Open Sans Light"/>
                <w:color w:val="000000"/>
                <w:sz w:val="16"/>
                <w:szCs w:val="16"/>
                <w:lang w:eastAsia="en-AU"/>
              </w:rPr>
            </w:pPr>
            <w:r w:rsidRPr="00C427B8">
              <w:rPr>
                <w:rFonts w:eastAsia="Times New Roman" w:cs="Open Sans Light"/>
                <w:color w:val="000000"/>
                <w:sz w:val="16"/>
                <w:szCs w:val="16"/>
                <w:lang w:eastAsia="en-AU"/>
              </w:rPr>
              <w:t>Chronic pain management</w:t>
            </w:r>
          </w:p>
        </w:tc>
      </w:tr>
    </w:tbl>
    <w:p w14:paraId="637D7899" w14:textId="6CE3D344" w:rsidR="00AA38F4" w:rsidRDefault="00AA38F4" w:rsidP="002D4D1A">
      <w:pPr>
        <w:pStyle w:val="CGC2025TableNote"/>
        <w:ind w:left="672" w:hanging="559"/>
      </w:pPr>
      <w:r>
        <w:t>Source:</w:t>
      </w:r>
      <w:r w:rsidR="000745ED" w:rsidRPr="000745ED">
        <w:t xml:space="preserve"> </w:t>
      </w:r>
      <w:r w:rsidR="000745ED">
        <w:t>Independent Health and Aged Care Pricing Authority</w:t>
      </w:r>
      <w:r w:rsidR="006903B9">
        <w:t>,</w:t>
      </w:r>
      <w:r w:rsidR="000745ED">
        <w:t xml:space="preserve"> </w:t>
      </w:r>
      <w:hyperlink r:id="rId28" w:history="1">
        <w:r w:rsidRPr="00666AD3">
          <w:rPr>
            <w:rStyle w:val="Hyperlink"/>
          </w:rPr>
          <w:t>Tier 2 non-admitted services classification 2021-22</w:t>
        </w:r>
      </w:hyperlink>
      <w:r w:rsidR="00EE4EC7">
        <w:t xml:space="preserve">, Independent Health and Aged Care Pricing Authority, </w:t>
      </w:r>
      <w:r w:rsidR="00F75631">
        <w:t xml:space="preserve">2020, </w:t>
      </w:r>
      <w:r w:rsidR="00F768E3">
        <w:t>v</w:t>
      </w:r>
      <w:r w:rsidR="00F75631">
        <w:t xml:space="preserve">7, </w:t>
      </w:r>
      <w:r w:rsidR="00F768E3">
        <w:t>accessed 14</w:t>
      </w:r>
      <w:r w:rsidR="00F768E3">
        <w:rPr>
          <w:vertAlign w:val="superscript"/>
        </w:rPr>
        <w:t xml:space="preserve"> </w:t>
      </w:r>
      <w:r w:rsidR="00F768E3">
        <w:t>June 2024.</w:t>
      </w:r>
    </w:p>
    <w:p w14:paraId="4B8EA5CC" w14:textId="77156A52" w:rsidR="00AA38F4" w:rsidRPr="00AA38F4" w:rsidRDefault="00AA38F4" w:rsidP="00432997">
      <w:pPr>
        <w:pStyle w:val="CGC2025Bullet1"/>
        <w:numPr>
          <w:ilvl w:val="0"/>
          <w:numId w:val="0"/>
        </w:numPr>
      </w:pPr>
    </w:p>
    <w:sectPr w:rsidR="00AA38F4" w:rsidRPr="00AA38F4" w:rsidSect="009E7556">
      <w:footerReference w:type="default" r:id="rId29"/>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4838" w14:textId="77777777" w:rsidR="006144DE" w:rsidRDefault="006144DE">
      <w:r>
        <w:separator/>
      </w:r>
    </w:p>
    <w:p w14:paraId="4C137ADD" w14:textId="77777777" w:rsidR="006144DE" w:rsidRDefault="006144DE"/>
  </w:endnote>
  <w:endnote w:type="continuationSeparator" w:id="0">
    <w:p w14:paraId="6F7E8478" w14:textId="77777777" w:rsidR="006144DE" w:rsidRDefault="006144DE">
      <w:r>
        <w:continuationSeparator/>
      </w:r>
    </w:p>
    <w:p w14:paraId="63ACD45F" w14:textId="77777777" w:rsidR="006144DE" w:rsidRDefault="006144DE"/>
  </w:endnote>
  <w:endnote w:type="continuationNotice" w:id="1">
    <w:p w14:paraId="0231EBF0" w14:textId="77777777" w:rsidR="006144DE" w:rsidRDefault="006144DE">
      <w:pPr>
        <w:spacing w:before="0" w:line="240" w:lineRule="auto"/>
      </w:pPr>
    </w:p>
    <w:p w14:paraId="50350A43" w14:textId="77777777" w:rsidR="006144DE" w:rsidRDefault="0061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664844"/>
      <w:docPartObj>
        <w:docPartGallery w:val="Page Numbers (Bottom of Page)"/>
        <w:docPartUnique/>
      </w:docPartObj>
    </w:sdtPr>
    <w:sdtEndPr>
      <w:rPr>
        <w:rFonts w:ascii="Open Sans" w:hAnsi="Open Sans" w:cs="Open Sans"/>
        <w:b w:val="0"/>
        <w:color w:val="auto"/>
        <w:sz w:val="14"/>
        <w:szCs w:val="14"/>
      </w:rPr>
    </w:sdtEndPr>
    <w:sdtContent>
      <w:p w14:paraId="30722D57" w14:textId="36C814FB" w:rsidR="005B6B61" w:rsidRPr="00C32EE0" w:rsidRDefault="00B26099" w:rsidP="00B26099">
        <w:pPr>
          <w:pStyle w:val="Footer"/>
          <w:jc w:val="left"/>
          <w:rPr>
            <w:rFonts w:ascii="Open Sans" w:hAnsi="Open Sans" w:cs="Open Sans"/>
            <w:b w:val="0"/>
            <w:bCs/>
            <w:color w:val="auto"/>
            <w:sz w:val="14"/>
            <w:szCs w:val="14"/>
          </w:rPr>
        </w:pPr>
        <w:r w:rsidRPr="00B26099">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B26099">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C32EE0">
          <w:rPr>
            <w:rFonts w:ascii="Open Sans" w:hAnsi="Open Sans" w:cs="Open Sans"/>
            <w:b w:val="0"/>
            <w:bCs/>
            <w:color w:val="auto"/>
            <w:sz w:val="14"/>
            <w:szCs w:val="14"/>
          </w:rPr>
          <w:fldChar w:fldCharType="begin"/>
        </w:r>
        <w:r w:rsidR="005B6B61" w:rsidRPr="00C32EE0">
          <w:rPr>
            <w:rFonts w:ascii="Open Sans" w:hAnsi="Open Sans" w:cs="Open Sans"/>
            <w:b w:val="0"/>
            <w:bCs/>
            <w:color w:val="auto"/>
            <w:sz w:val="14"/>
            <w:szCs w:val="14"/>
          </w:rPr>
          <w:instrText xml:space="preserve"> PAGE   \* MERGEFORMAT </w:instrText>
        </w:r>
        <w:r w:rsidR="005B6B61" w:rsidRPr="00C32EE0">
          <w:rPr>
            <w:rFonts w:ascii="Open Sans" w:hAnsi="Open Sans" w:cs="Open Sans"/>
            <w:b w:val="0"/>
            <w:bCs/>
            <w:color w:val="auto"/>
            <w:sz w:val="14"/>
            <w:szCs w:val="14"/>
          </w:rPr>
          <w:fldChar w:fldCharType="separate"/>
        </w:r>
        <w:r w:rsidR="005B6B61" w:rsidRPr="00C32EE0">
          <w:rPr>
            <w:rFonts w:ascii="Open Sans" w:hAnsi="Open Sans" w:cs="Open Sans"/>
            <w:b w:val="0"/>
            <w:bCs/>
            <w:noProof/>
            <w:color w:val="auto"/>
            <w:sz w:val="14"/>
            <w:szCs w:val="14"/>
          </w:rPr>
          <w:t>2</w:t>
        </w:r>
        <w:r w:rsidR="005B6B61" w:rsidRPr="00C32EE0">
          <w:rPr>
            <w:rFonts w:ascii="Open Sans" w:hAnsi="Open Sans" w:cs="Open Sans"/>
            <w:b w:val="0"/>
            <w:bCs/>
            <w:noProof/>
            <w:color w:val="auto"/>
            <w:sz w:val="14"/>
            <w:szCs w:val="14"/>
          </w:rPr>
          <w:fldChar w:fldCharType="end"/>
        </w: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9A86" w14:textId="77777777" w:rsidR="006144DE" w:rsidRPr="001C1AC5" w:rsidRDefault="006144DE">
      <w:pPr>
        <w:rPr>
          <w:color w:val="ADD6EA"/>
        </w:rPr>
      </w:pPr>
      <w:r>
        <w:separator/>
      </w:r>
    </w:p>
  </w:footnote>
  <w:footnote w:type="continuationSeparator" w:id="0">
    <w:p w14:paraId="73B06CA9" w14:textId="77777777" w:rsidR="006144DE" w:rsidRDefault="006144DE">
      <w:r>
        <w:continuationSeparator/>
      </w:r>
    </w:p>
    <w:p w14:paraId="52457D04" w14:textId="77777777" w:rsidR="006144DE" w:rsidRDefault="006144DE"/>
  </w:footnote>
  <w:footnote w:type="continuationNotice" w:id="1">
    <w:p w14:paraId="15698BFE" w14:textId="77777777" w:rsidR="006144DE" w:rsidRDefault="006144DE">
      <w:pPr>
        <w:spacing w:before="0" w:line="240" w:lineRule="auto"/>
      </w:pPr>
    </w:p>
    <w:p w14:paraId="0D2C4932" w14:textId="77777777" w:rsidR="006144DE" w:rsidRDefault="006144DE"/>
  </w:footnote>
  <w:footnote w:id="2">
    <w:p w14:paraId="64B86F03" w14:textId="0D970B95" w:rsidR="000B42CB" w:rsidRDefault="000B42CB" w:rsidP="002078E2">
      <w:pPr>
        <w:pStyle w:val="FootnoteText"/>
      </w:pPr>
      <w:r>
        <w:rPr>
          <w:rStyle w:val="FootnoteReference"/>
        </w:rPr>
        <w:footnoteRef/>
      </w:r>
      <w:r>
        <w:t xml:space="preserve"> </w:t>
      </w:r>
      <w:r w:rsidR="001E5FC5">
        <w:tab/>
      </w:r>
      <w:r w:rsidR="00314445">
        <w:t>C</w:t>
      </w:r>
      <w:r w:rsidR="001464C8">
        <w:t>ommonwealth Grants Commission (CGC),</w:t>
      </w:r>
      <w:r w:rsidR="001464C8" w:rsidRPr="001464C8">
        <w:t xml:space="preserve"> </w:t>
      </w:r>
      <w:hyperlink r:id="rId1" w:history="1">
        <w:r w:rsidR="001464C8">
          <w:rPr>
            <w:rStyle w:val="Hyperlink"/>
          </w:rPr>
          <w:t>Discussion Paper - 2023 Update New Issues.pdf (cgc.gov.au)</w:t>
        </w:r>
      </w:hyperlink>
      <w:r w:rsidR="001464C8">
        <w:t xml:space="preserve">, </w:t>
      </w:r>
      <w:r w:rsidR="0074151C">
        <w:t>CGC, Australian Governmen</w:t>
      </w:r>
      <w:r w:rsidR="00076930">
        <w:t>t</w:t>
      </w:r>
      <w:r w:rsidR="0074151C">
        <w:t xml:space="preserve">, </w:t>
      </w:r>
      <w:r w:rsidR="005E44A2">
        <w:t xml:space="preserve">2023, </w:t>
      </w:r>
      <w:r w:rsidR="00076930">
        <w:t>accessed 1</w:t>
      </w:r>
      <w:r w:rsidR="00751FE3">
        <w:t>4</w:t>
      </w:r>
      <w:r w:rsidR="00076930">
        <w:t xml:space="preserve"> June 2024, p13</w:t>
      </w:r>
      <w:r w:rsidR="000F2052">
        <w:t>.</w:t>
      </w:r>
    </w:p>
  </w:footnote>
  <w:footnote w:id="3">
    <w:p w14:paraId="0A5D59F1" w14:textId="08846734" w:rsidR="005F487D" w:rsidRPr="00C860ED" w:rsidRDefault="005F487D" w:rsidP="002078E2">
      <w:pPr>
        <w:pStyle w:val="FootnoteText"/>
      </w:pPr>
      <w:r w:rsidRPr="00C860ED">
        <w:rPr>
          <w:rStyle w:val="FootnoteReference"/>
        </w:rPr>
        <w:footnoteRef/>
      </w:r>
      <w:r w:rsidRPr="00C860ED">
        <w:t xml:space="preserve"> </w:t>
      </w:r>
      <w:r w:rsidR="003548F3">
        <w:tab/>
      </w:r>
      <w:r w:rsidR="001367D9">
        <w:t xml:space="preserve">Australian Institute of Health and Welfare, </w:t>
      </w:r>
      <w:hyperlink r:id="rId2" w:anchor="more-data" w:history="1">
        <w:r w:rsidRPr="002524A7">
          <w:rPr>
            <w:rStyle w:val="Hyperlink"/>
          </w:rPr>
          <w:t>Admitted patient care: 2019-20 separations with a COVID-19 diagnosis; Admitted patient care: 2020-21 separations with a COVID-19 diagnosis; Admitted patient care: 2021-22 separations with a COVID-19 diagnosis</w:t>
        </w:r>
        <w:r w:rsidRPr="00F63CE7">
          <w:rPr>
            <w:rStyle w:val="Hyperlink"/>
          </w:rPr>
          <w:t>,</w:t>
        </w:r>
      </w:hyperlink>
      <w:r w:rsidR="003D7E11">
        <w:t xml:space="preserve"> Australian Institute of Health and Welfare, </w:t>
      </w:r>
      <w:r w:rsidR="00962A99">
        <w:t>a</w:t>
      </w:r>
      <w:r w:rsidR="003D7E11">
        <w:t>ccessed 1</w:t>
      </w:r>
      <w:r w:rsidR="00751FE3">
        <w:t>4</w:t>
      </w:r>
      <w:r w:rsidR="003D7E11">
        <w:t xml:space="preserve"> June 2024.</w:t>
      </w:r>
    </w:p>
  </w:footnote>
  <w:footnote w:id="4">
    <w:p w14:paraId="03AC88C5" w14:textId="48F57938" w:rsidR="000B16E8" w:rsidRDefault="000B16E8" w:rsidP="002078E2">
      <w:pPr>
        <w:pStyle w:val="FootnoteText"/>
      </w:pPr>
      <w:r>
        <w:rPr>
          <w:rStyle w:val="FootnoteReference"/>
        </w:rPr>
        <w:footnoteRef/>
      </w:r>
      <w:r w:rsidR="00767569">
        <w:t xml:space="preserve"> </w:t>
      </w:r>
      <w:r w:rsidR="00B53BD0">
        <w:tab/>
      </w:r>
      <w:r w:rsidR="00EA5C29">
        <w:t xml:space="preserve">Independent Health and Aged Care Pricing Authority, </w:t>
      </w:r>
      <w:r w:rsidR="00767569">
        <w:t>Pricing Framework for Australian Public Hospital Services</w:t>
      </w:r>
      <w:r w:rsidR="00555B5F">
        <w:t xml:space="preserve"> 2023</w:t>
      </w:r>
      <w:r w:rsidR="00BE25C6">
        <w:t>–</w:t>
      </w:r>
      <w:r w:rsidR="00555B5F">
        <w:t>24</w:t>
      </w:r>
      <w:r w:rsidR="000814CF">
        <w:t>,</w:t>
      </w:r>
      <w:r w:rsidR="00FA4AFE">
        <w:t xml:space="preserve"> </w:t>
      </w:r>
      <w:hyperlink r:id="rId3" w:history="1">
        <w:r w:rsidR="00AF67B5">
          <w:rPr>
            <w:rStyle w:val="Hyperlink"/>
          </w:rPr>
          <w:t>Pricing framework 2023-24</w:t>
        </w:r>
      </w:hyperlink>
      <w:r w:rsidR="00EA5C29">
        <w:rPr>
          <w:rStyle w:val="Hyperlink"/>
        </w:rPr>
        <w:t>,</w:t>
      </w:r>
      <w:r w:rsidR="00EA5C29" w:rsidRPr="00EA5C29">
        <w:t xml:space="preserve"> </w:t>
      </w:r>
      <w:r w:rsidR="00EA5C29">
        <w:t xml:space="preserve">Independent Health and Aged Care Pricing Authority, 2022, </w:t>
      </w:r>
      <w:r w:rsidR="00962A99">
        <w:t>a</w:t>
      </w:r>
      <w:r w:rsidR="00EA5C29">
        <w:t>ccessed 1</w:t>
      </w:r>
      <w:r w:rsidR="00751FE3">
        <w:t xml:space="preserve">4 </w:t>
      </w:r>
      <w:r w:rsidR="00EA5C29">
        <w:t>June 2024</w:t>
      </w:r>
      <w:r w:rsidR="00363F0C">
        <w:t>, p.19</w:t>
      </w:r>
      <w:r w:rsidR="000F2052">
        <w:t>.</w:t>
      </w:r>
    </w:p>
  </w:footnote>
  <w:footnote w:id="5">
    <w:p w14:paraId="22D9014D" w14:textId="5C5E155A" w:rsidR="00666BDD" w:rsidRDefault="00666BDD" w:rsidP="002078E2">
      <w:pPr>
        <w:pStyle w:val="FootnoteText"/>
      </w:pPr>
      <w:r>
        <w:rPr>
          <w:rStyle w:val="FootnoteReference"/>
        </w:rPr>
        <w:footnoteRef/>
      </w:r>
      <w:r>
        <w:t xml:space="preserve"> </w:t>
      </w:r>
      <w:r w:rsidR="00EB4156">
        <w:tab/>
      </w:r>
      <w:r w:rsidR="007A1E53">
        <w:t>Australian Institute of Hea</w:t>
      </w:r>
      <w:r w:rsidR="006A0860">
        <w:t xml:space="preserve">lth and Welfare, </w:t>
      </w:r>
      <w:hyperlink r:id="rId4" w:history="1">
        <w:r>
          <w:rPr>
            <w:rStyle w:val="Hyperlink"/>
          </w:rPr>
          <w:t>Community mental health care NMDS 2020–21: National Community Mental Health Care Database, 2022; Quality Statement (aihw.gov.au)</w:t>
        </w:r>
      </w:hyperlink>
      <w:r w:rsidR="000E794C">
        <w:rPr>
          <w:rStyle w:val="Hyperlink"/>
        </w:rPr>
        <w:t xml:space="preserve"> </w:t>
      </w:r>
      <w:r w:rsidR="000E794C">
        <w:t xml:space="preserve">, Australian Institute of Health and Welfare, 2023, </w:t>
      </w:r>
      <w:r w:rsidR="00962A99">
        <w:t>a</w:t>
      </w:r>
      <w:r w:rsidR="00B30F34">
        <w:t>ccessed 14 June 2024.</w:t>
      </w:r>
    </w:p>
  </w:footnote>
  <w:footnote w:id="6">
    <w:p w14:paraId="6192E767" w14:textId="2DBE4FD8" w:rsidR="00B64ABE" w:rsidRDefault="00B64ABE" w:rsidP="002078E2">
      <w:pPr>
        <w:pStyle w:val="FootnoteText"/>
      </w:pPr>
      <w:r>
        <w:rPr>
          <w:rStyle w:val="FootnoteReference"/>
        </w:rPr>
        <w:footnoteRef/>
      </w:r>
      <w:r>
        <w:t xml:space="preserve"> </w:t>
      </w:r>
      <w:r w:rsidR="00EB4156">
        <w:tab/>
      </w:r>
      <w:r w:rsidR="00714641">
        <w:t xml:space="preserve">The </w:t>
      </w:r>
      <w:r w:rsidR="00714641" w:rsidRPr="00C427B8">
        <w:rPr>
          <w:i/>
        </w:rPr>
        <w:t>Report on Government Services</w:t>
      </w:r>
      <w:r w:rsidR="00714641">
        <w:t xml:space="preserve"> and </w:t>
      </w:r>
      <w:r>
        <w:t xml:space="preserve">Australian Institute of Health and Welfare have expenditure data on state specialised community mental health services, more disaggregated than expenditure data from </w:t>
      </w:r>
      <w:r w:rsidR="00C4380F">
        <w:t>th</w:t>
      </w:r>
      <w:r>
        <w:t>e Government Finance Statistics</w:t>
      </w:r>
      <w:r w:rsidR="00714641">
        <w:t>. See</w:t>
      </w:r>
      <w:r w:rsidR="002B369E">
        <w:t xml:space="preserve"> </w:t>
      </w:r>
      <w:r w:rsidR="002671F9">
        <w:t>R</w:t>
      </w:r>
      <w:r w:rsidR="00EA74BC">
        <w:t xml:space="preserve">eport on </w:t>
      </w:r>
      <w:r w:rsidR="002671F9">
        <w:t>G</w:t>
      </w:r>
      <w:r w:rsidR="009C18D6">
        <w:t xml:space="preserve">overnment </w:t>
      </w:r>
      <w:r w:rsidR="002671F9">
        <w:t>S</w:t>
      </w:r>
      <w:r w:rsidR="009C18D6">
        <w:t>ervices,</w:t>
      </w:r>
      <w:r w:rsidR="002671F9">
        <w:t xml:space="preserve"> </w:t>
      </w:r>
      <w:hyperlink r:id="rId5" w:history="1">
        <w:r w:rsidR="00271AFC">
          <w:rPr>
            <w:rStyle w:val="Hyperlink"/>
          </w:rPr>
          <w:t>13 Services for mental health data tables 2021-22</w:t>
        </w:r>
      </w:hyperlink>
      <w:r w:rsidR="009C18D6">
        <w:rPr>
          <w:rStyle w:val="Hyperlink"/>
        </w:rPr>
        <w:t>,</w:t>
      </w:r>
      <w:r w:rsidR="00C4380F">
        <w:rPr>
          <w:rStyle w:val="Hyperlink"/>
        </w:rPr>
        <w:t xml:space="preserve"> </w:t>
      </w:r>
      <w:r w:rsidR="00C4380F">
        <w:t>Table 13A.3, Report on Government Services, Productivity Commission, 2024, accessed 14 June 2024.</w:t>
      </w:r>
      <w:r w:rsidR="00B37C1E">
        <w:t xml:space="preserve"> </w:t>
      </w:r>
      <w:r w:rsidR="00C4380F">
        <w:t>Australian Institute of Health and Welfare,</w:t>
      </w:r>
      <w:r w:rsidR="003523B0">
        <w:t xml:space="preserve"> </w:t>
      </w:r>
      <w:hyperlink r:id="rId6" w:history="1">
        <w:r w:rsidR="001A465D" w:rsidRPr="00102123">
          <w:rPr>
            <w:rStyle w:val="Hyperlink"/>
          </w:rPr>
          <w:t xml:space="preserve">Data tables: </w:t>
        </w:r>
        <w:r w:rsidR="00F64C5E" w:rsidRPr="00102123">
          <w:rPr>
            <w:rStyle w:val="Hyperlink"/>
          </w:rPr>
          <w:t>Expenditure on mental health-related</w:t>
        </w:r>
        <w:r w:rsidR="00B308F6" w:rsidRPr="00102123">
          <w:rPr>
            <w:rStyle w:val="Hyperlink"/>
          </w:rPr>
          <w:t xml:space="preserve"> tables 2020-21</w:t>
        </w:r>
      </w:hyperlink>
      <w:r w:rsidR="00C4380F">
        <w:t>,</w:t>
      </w:r>
      <w:r w:rsidR="00246A01">
        <w:t xml:space="preserve"> </w:t>
      </w:r>
      <w:r w:rsidR="00FA4AFE">
        <w:t xml:space="preserve">Table Exp.1, </w:t>
      </w:r>
      <w:r w:rsidR="00246A01">
        <w:t>Australian Institute of Health and Welfar</w:t>
      </w:r>
      <w:r w:rsidR="00FA4AFE">
        <w:t>e, 2024, accessed 14 of June 2024.</w:t>
      </w:r>
    </w:p>
  </w:footnote>
  <w:footnote w:id="7">
    <w:p w14:paraId="17D48B7D" w14:textId="320F667E" w:rsidR="002078E2" w:rsidRDefault="002078E2" w:rsidP="002078E2">
      <w:pPr>
        <w:pStyle w:val="FootnoteText"/>
      </w:pPr>
      <w:r>
        <w:rPr>
          <w:rStyle w:val="FootnoteReference"/>
        </w:rPr>
        <w:footnoteRef/>
      </w:r>
      <w:r>
        <w:t xml:space="preserve"> </w:t>
      </w:r>
      <w:r>
        <w:tab/>
        <w:t xml:space="preserve">For details on </w:t>
      </w:r>
      <w:r w:rsidR="00B6042D">
        <w:t>proposed changes to the general regional cost gradient refer to the geography chapter</w:t>
      </w:r>
      <w:r w:rsidR="002434DD">
        <w:t>.</w:t>
      </w:r>
      <w:r w:rsidR="00B6042D">
        <w:t xml:space="preserve"> </w:t>
      </w:r>
    </w:p>
  </w:footnote>
  <w:footnote w:id="8">
    <w:p w14:paraId="7B98BE1F" w14:textId="22BD4415" w:rsidR="00E81373" w:rsidRDefault="00E81373" w:rsidP="002078E2">
      <w:pPr>
        <w:pStyle w:val="FootnoteText"/>
      </w:pPr>
      <w:r>
        <w:rPr>
          <w:rStyle w:val="FootnoteReference"/>
        </w:rPr>
        <w:footnoteRef/>
      </w:r>
      <w:r>
        <w:t xml:space="preserve"> </w:t>
      </w:r>
      <w:r w:rsidR="006F2BE5">
        <w:tab/>
      </w:r>
      <w:hyperlink r:id="rId7" w:history="1">
        <w:r w:rsidR="00A944FA">
          <w:t xml:space="preserve">Australian </w:t>
        </w:r>
        <w:r w:rsidR="000A5308">
          <w:t>Institute</w:t>
        </w:r>
        <w:r w:rsidR="00A944FA">
          <w:t xml:space="preserve"> of Health and Welfare, </w:t>
        </w:r>
        <w:r w:rsidR="001F0A13">
          <w:rPr>
            <w:rStyle w:val="Hyperlink"/>
          </w:rPr>
          <w:t>Oral health and dental care in Australia, Dental care - Australian Institute of Health and Welfare (aihw.gov.au)</w:t>
        </w:r>
      </w:hyperlink>
      <w:r w:rsidR="00A944FA">
        <w:rPr>
          <w:rStyle w:val="Hyperlink"/>
        </w:rPr>
        <w:t>,</w:t>
      </w:r>
      <w:r w:rsidR="000A5308" w:rsidRPr="000A5308">
        <w:rPr>
          <w:rStyle w:val="Hyperlink"/>
        </w:rPr>
        <w:t xml:space="preserve"> </w:t>
      </w:r>
      <w:r w:rsidR="000A5308" w:rsidRPr="000A5308">
        <w:rPr>
          <w:rStyle w:val="Hyperlink"/>
          <w:color w:val="auto"/>
          <w:u w:val="none"/>
        </w:rPr>
        <w:t>Australian Institute of Health and Welfare</w:t>
      </w:r>
      <w:r w:rsidR="000A5308">
        <w:rPr>
          <w:rStyle w:val="Hyperlink"/>
          <w:color w:val="auto"/>
          <w:u w:val="none"/>
        </w:rPr>
        <w:t xml:space="preserve">, 2023, </w:t>
      </w:r>
      <w:r w:rsidR="00962A99">
        <w:rPr>
          <w:rStyle w:val="Hyperlink"/>
          <w:color w:val="auto"/>
          <w:u w:val="none"/>
        </w:rPr>
        <w:t>a</w:t>
      </w:r>
      <w:r w:rsidR="000A5308">
        <w:rPr>
          <w:rStyle w:val="Hyperlink"/>
          <w:color w:val="auto"/>
          <w:u w:val="none"/>
        </w:rPr>
        <w:t>ccessed 14</w:t>
      </w:r>
      <w:r w:rsidR="000A5308">
        <w:rPr>
          <w:rStyle w:val="Hyperlink"/>
          <w:color w:val="auto"/>
          <w:u w:val="none"/>
          <w:vertAlign w:val="superscript"/>
        </w:rPr>
        <w:t xml:space="preserve"> </w:t>
      </w:r>
      <w:r w:rsidR="000A5308">
        <w:t>June 2024.</w:t>
      </w:r>
    </w:p>
  </w:footnote>
  <w:footnote w:id="9">
    <w:p w14:paraId="76A05F23" w14:textId="2AD0CAAB" w:rsidR="00A1728E" w:rsidRDefault="00A1728E" w:rsidP="002078E2">
      <w:pPr>
        <w:pStyle w:val="FootnoteText"/>
      </w:pPr>
      <w:r>
        <w:rPr>
          <w:rStyle w:val="FootnoteReference"/>
        </w:rPr>
        <w:footnoteRef/>
      </w:r>
      <w:r>
        <w:t xml:space="preserve"> </w:t>
      </w:r>
      <w:r w:rsidR="006F2BE5">
        <w:tab/>
      </w:r>
      <w:r w:rsidR="009A66EE" w:rsidRPr="009A66EE">
        <w:t>Australian Institute of Health and Welfare,</w:t>
      </w:r>
      <w:r w:rsidR="009A66EE">
        <w:t xml:space="preserve"> </w:t>
      </w:r>
      <w:hyperlink r:id="rId8" w:history="1">
        <w:r>
          <w:rPr>
            <w:rStyle w:val="Hyperlink"/>
          </w:rPr>
          <w:t>National Bowel Cancer Screening Program monitoring report 2023, Data - Australian Institute of Health and Welfare (aihw.gov.au)</w:t>
        </w:r>
      </w:hyperlink>
      <w:r w:rsidR="009A66EE">
        <w:rPr>
          <w:rStyle w:val="Hyperlink"/>
        </w:rPr>
        <w:t xml:space="preserve">, </w:t>
      </w:r>
      <w:r w:rsidR="009A66EE" w:rsidRPr="000A5308">
        <w:rPr>
          <w:rStyle w:val="Hyperlink"/>
          <w:color w:val="auto"/>
          <w:u w:val="none"/>
        </w:rPr>
        <w:t>Australian Institute of Health and Welfare</w:t>
      </w:r>
      <w:r w:rsidR="009A66EE">
        <w:rPr>
          <w:rStyle w:val="Hyperlink"/>
          <w:color w:val="auto"/>
          <w:u w:val="none"/>
        </w:rPr>
        <w:t xml:space="preserve">, 2023, </w:t>
      </w:r>
      <w:r w:rsidR="00962A99">
        <w:rPr>
          <w:rStyle w:val="Hyperlink"/>
          <w:color w:val="auto"/>
          <w:u w:val="none"/>
        </w:rPr>
        <w:t>a</w:t>
      </w:r>
      <w:r w:rsidR="009A66EE">
        <w:rPr>
          <w:rStyle w:val="Hyperlink"/>
          <w:color w:val="auto"/>
          <w:u w:val="none"/>
        </w:rPr>
        <w:t>ccessed 14</w:t>
      </w:r>
      <w:r w:rsidR="009A66EE">
        <w:rPr>
          <w:rStyle w:val="Hyperlink"/>
          <w:color w:val="auto"/>
          <w:u w:val="none"/>
          <w:vertAlign w:val="superscript"/>
        </w:rPr>
        <w:t xml:space="preserve"> </w:t>
      </w:r>
      <w:r w:rsidR="009A66EE">
        <w:t>June 2024</w:t>
      </w:r>
      <w:r w:rsidR="00427224">
        <w:t>, p4.</w:t>
      </w:r>
    </w:p>
  </w:footnote>
  <w:footnote w:id="10">
    <w:p w14:paraId="5AD87796" w14:textId="774E76CE" w:rsidR="00953770" w:rsidRDefault="00D35230" w:rsidP="002078E2">
      <w:pPr>
        <w:pStyle w:val="FootnoteText"/>
      </w:pPr>
      <w:r>
        <w:rPr>
          <w:rStyle w:val="FootnoteReference"/>
        </w:rPr>
        <w:footnoteRef/>
      </w:r>
      <w:r>
        <w:t xml:space="preserve"> </w:t>
      </w:r>
      <w:r w:rsidR="006F2BE5">
        <w:tab/>
      </w:r>
      <w:r w:rsidR="00953770" w:rsidRPr="00953770">
        <w:t xml:space="preserve">Australian Institute of Health and Welfare, </w:t>
      </w:r>
      <w:hyperlink r:id="rId9" w:history="1">
        <w:r>
          <w:rPr>
            <w:rStyle w:val="Hyperlink"/>
          </w:rPr>
          <w:t>Emergency department care - Australian Institute of Health and Welfare (aihw.gov.au)</w:t>
        </w:r>
      </w:hyperlink>
      <w:r w:rsidR="00953770">
        <w:rPr>
          <w:rStyle w:val="Hyperlink"/>
          <w:color w:val="auto"/>
          <w:u w:val="none"/>
        </w:rPr>
        <w:t xml:space="preserve">, </w:t>
      </w:r>
      <w:r w:rsidR="00953770" w:rsidRPr="000A5308">
        <w:rPr>
          <w:rStyle w:val="Hyperlink"/>
          <w:color w:val="auto"/>
          <w:u w:val="none"/>
        </w:rPr>
        <w:t>Australian Institute of Health and Welfare</w:t>
      </w:r>
      <w:r w:rsidR="00953770">
        <w:rPr>
          <w:rStyle w:val="Hyperlink"/>
          <w:color w:val="auto"/>
          <w:u w:val="none"/>
        </w:rPr>
        <w:t>, 2023, accessed 14</w:t>
      </w:r>
      <w:r w:rsidR="00953770">
        <w:rPr>
          <w:rStyle w:val="Hyperlink"/>
          <w:color w:val="auto"/>
          <w:u w:val="none"/>
          <w:vertAlign w:val="superscript"/>
        </w:rPr>
        <w:t xml:space="preserve"> </w:t>
      </w:r>
      <w:r w:rsidR="00953770">
        <w:t>June 2024.</w:t>
      </w:r>
    </w:p>
    <w:p w14:paraId="771199E1" w14:textId="3D70A8F5" w:rsidR="00D35230" w:rsidRDefault="00D35230" w:rsidP="002078E2">
      <w:pPr>
        <w:pStyle w:val="FootnoteText"/>
      </w:pPr>
    </w:p>
  </w:footnote>
  <w:footnote w:id="11">
    <w:p w14:paraId="35A0E192" w14:textId="3D86FF58" w:rsidR="00501B66" w:rsidRDefault="00501B66" w:rsidP="002078E2">
      <w:pPr>
        <w:pStyle w:val="FootnoteText"/>
      </w:pPr>
      <w:r>
        <w:rPr>
          <w:rStyle w:val="FootnoteReference"/>
        </w:rPr>
        <w:footnoteRef/>
      </w:r>
      <w:r>
        <w:t xml:space="preserve"> </w:t>
      </w:r>
      <w:r w:rsidRPr="00501B66">
        <w:t>Based on unpublished Independent Health and Aged Care Pricing Authority national weighted activity units for 2021</w:t>
      </w:r>
      <w:r w:rsidR="00895337">
        <w:t>–</w:t>
      </w:r>
      <w:r w:rsidRPr="00501B66">
        <w:t>22</w:t>
      </w:r>
      <w:r w:rsidR="00D927A4">
        <w:t>.</w:t>
      </w:r>
    </w:p>
  </w:footnote>
  <w:footnote w:id="12">
    <w:p w14:paraId="5E8AF113" w14:textId="663ECC1F" w:rsidR="00B203A6" w:rsidRDefault="00B203A6" w:rsidP="002078E2">
      <w:pPr>
        <w:pStyle w:val="FootnoteText"/>
      </w:pPr>
      <w:r>
        <w:rPr>
          <w:rStyle w:val="FootnoteReference"/>
        </w:rPr>
        <w:footnoteRef/>
      </w:r>
      <w:r>
        <w:t xml:space="preserve"> </w:t>
      </w:r>
      <w:r w:rsidR="00CD26E9">
        <w:tab/>
      </w:r>
      <w:r w:rsidR="00B631AD">
        <w:t xml:space="preserve">Australian </w:t>
      </w:r>
      <w:r w:rsidR="00560BBA">
        <w:t xml:space="preserve">Institute of Health and Welfare, </w:t>
      </w:r>
      <w:hyperlink r:id="rId10" w:history="1">
        <w:r w:rsidR="00255C5D">
          <w:rPr>
            <w:rStyle w:val="Hyperlink"/>
          </w:rPr>
          <w:t>National Cervical Screening Program monitoring report 2023 (aihw.gov.au)</w:t>
        </w:r>
      </w:hyperlink>
      <w:r w:rsidR="00560BBA">
        <w:t>, Australian Institute of Health and Welfare</w:t>
      </w:r>
      <w:r w:rsidR="0082738E">
        <w:t>, 2023,</w:t>
      </w:r>
      <w:r w:rsidR="00560BBA">
        <w:t xml:space="preserve"> </w:t>
      </w:r>
      <w:r w:rsidR="0082738E">
        <w:t>a</w:t>
      </w:r>
      <w:r w:rsidR="00560BBA">
        <w:t>ccessed 14 of June 2024.</w:t>
      </w:r>
      <w:r w:rsidR="0082738E">
        <w:t xml:space="preserve"> Australian Institute of Health and Welfare</w:t>
      </w:r>
      <w:r w:rsidR="00065E80">
        <w:t xml:space="preserve">, </w:t>
      </w:r>
      <w:hyperlink r:id="rId11" w:history="1">
        <w:proofErr w:type="spellStart"/>
        <w:r w:rsidR="00065E80">
          <w:rPr>
            <w:rStyle w:val="Hyperlink"/>
          </w:rPr>
          <w:t>BreastScreen</w:t>
        </w:r>
        <w:proofErr w:type="spellEnd"/>
        <w:r w:rsidR="00065E80">
          <w:rPr>
            <w:rStyle w:val="Hyperlink"/>
          </w:rPr>
          <w:t xml:space="preserve"> Australia monitoring report 2023 (aihw.gov.au)</w:t>
        </w:r>
      </w:hyperlink>
      <w:r w:rsidR="00065E80">
        <w:t>,</w:t>
      </w:r>
      <w:r w:rsidR="00255C5D">
        <w:t xml:space="preserve"> Australian Institute of Health and Welfare, 2023, accessed 14 June 2024.</w:t>
      </w:r>
      <w:r w:rsidR="00255C5D" w:rsidRPr="00255C5D">
        <w:t xml:space="preserve"> </w:t>
      </w:r>
      <w:r w:rsidR="00255C5D" w:rsidRPr="009A66EE">
        <w:t>Australian Institute of Health and Welfare,</w:t>
      </w:r>
      <w:r w:rsidR="00255C5D">
        <w:t xml:space="preserve"> </w:t>
      </w:r>
      <w:hyperlink r:id="rId12" w:history="1">
        <w:r w:rsidR="00255C5D">
          <w:rPr>
            <w:rStyle w:val="Hyperlink"/>
          </w:rPr>
          <w:t>National Bowel Cancer Screening Program monitoring report 2023, Data - Australian Institute of Health and Welfare (aihw.gov.au)</w:t>
        </w:r>
      </w:hyperlink>
      <w:r w:rsidR="00255C5D">
        <w:rPr>
          <w:rStyle w:val="Hyperlink"/>
        </w:rPr>
        <w:t xml:space="preserve">, </w:t>
      </w:r>
      <w:r w:rsidR="00255C5D" w:rsidRPr="000A5308">
        <w:rPr>
          <w:rStyle w:val="Hyperlink"/>
          <w:color w:val="auto"/>
          <w:u w:val="none"/>
        </w:rPr>
        <w:t>Australian Institute of Health and Welfare</w:t>
      </w:r>
      <w:r w:rsidR="00255C5D">
        <w:rPr>
          <w:rStyle w:val="Hyperlink"/>
          <w:color w:val="auto"/>
          <w:u w:val="none"/>
        </w:rPr>
        <w:t>, 2023, accessed 14</w:t>
      </w:r>
      <w:r w:rsidR="00255C5D">
        <w:t xml:space="preserve"> June 2024.</w:t>
      </w:r>
    </w:p>
  </w:footnote>
  <w:footnote w:id="13">
    <w:p w14:paraId="42EA4E66" w14:textId="2A6429A6" w:rsidR="00A47CCF" w:rsidRDefault="00A47CCF" w:rsidP="002078E2">
      <w:pPr>
        <w:pStyle w:val="FootnoteText"/>
      </w:pPr>
      <w:r>
        <w:rPr>
          <w:rStyle w:val="FootnoteReference"/>
        </w:rPr>
        <w:footnoteRef/>
      </w:r>
      <w:r>
        <w:t xml:space="preserve"> </w:t>
      </w:r>
      <w:r w:rsidR="00011590">
        <w:t xml:space="preserve">Australian Institute of Health and Welfare, </w:t>
      </w:r>
      <w:hyperlink r:id="rId13" w:history="1">
        <w:r>
          <w:rPr>
            <w:rStyle w:val="Hyperlink"/>
          </w:rPr>
          <w:t>Essential vaccines: performance report 2021-22 (aihw.gov.au)</w:t>
        </w:r>
      </w:hyperlink>
      <w:r w:rsidR="00011590">
        <w:rPr>
          <w:rStyle w:val="Hyperlink"/>
        </w:rPr>
        <w:t xml:space="preserve">, </w:t>
      </w:r>
      <w:r w:rsidR="00011590">
        <w:t>Australian Institute of Health and Welfare, 2023, accessed 14 June 2024.</w:t>
      </w:r>
    </w:p>
  </w:footnote>
  <w:footnote w:id="14">
    <w:p w14:paraId="15306C2F" w14:textId="6E9EAFBF" w:rsidR="001E59EA" w:rsidRPr="008232EC" w:rsidRDefault="001E59EA" w:rsidP="002078E2">
      <w:pPr>
        <w:pStyle w:val="FootnoteText"/>
      </w:pPr>
      <w:r>
        <w:rPr>
          <w:rStyle w:val="FootnoteReference"/>
        </w:rPr>
        <w:footnoteRef/>
      </w:r>
      <w:r>
        <w:t xml:space="preserve"> </w:t>
      </w:r>
      <w:r w:rsidR="008232EC">
        <w:t xml:space="preserve">Department of Health, </w:t>
      </w:r>
      <w:hyperlink r:id="rId14" w:history="1">
        <w:r w:rsidR="007C763E">
          <w:rPr>
            <w:rStyle w:val="Hyperlink"/>
          </w:rPr>
          <w:t>National</w:t>
        </w:r>
        <w:r>
          <w:rPr>
            <w:rStyle w:val="Hyperlink"/>
          </w:rPr>
          <w:t>-framework-for-communicable-disease-control.pdf (health.gov.au)</w:t>
        </w:r>
      </w:hyperlink>
      <w:r w:rsidR="008232EC">
        <w:rPr>
          <w:rStyle w:val="Hyperlink"/>
        </w:rPr>
        <w:t xml:space="preserve">, </w:t>
      </w:r>
      <w:r w:rsidR="008232EC" w:rsidRPr="008232EC">
        <w:rPr>
          <w:rStyle w:val="Hyperlink"/>
          <w:color w:val="auto"/>
          <w:u w:val="none"/>
        </w:rPr>
        <w:t>Department of Health, The Australian Government, 2014</w:t>
      </w:r>
      <w:r w:rsidR="008232EC">
        <w:rPr>
          <w:rStyle w:val="Hyperlink"/>
          <w:color w:val="auto"/>
          <w:u w:val="none"/>
        </w:rPr>
        <w:t xml:space="preserve">, </w:t>
      </w:r>
      <w:r w:rsidR="008232EC">
        <w:t xml:space="preserve">accessed 14 June 2024, </w:t>
      </w:r>
      <w:r w:rsidR="00495BCF">
        <w:t>p18.</w:t>
      </w:r>
    </w:p>
  </w:footnote>
  <w:footnote w:id="15">
    <w:p w14:paraId="75640426" w14:textId="3584D0E2" w:rsidR="002002B7" w:rsidRDefault="002002B7" w:rsidP="002078E2">
      <w:pPr>
        <w:pStyle w:val="FootnoteText"/>
      </w:pPr>
      <w:r>
        <w:rPr>
          <w:rStyle w:val="FootnoteReference"/>
        </w:rPr>
        <w:footnoteRef/>
      </w:r>
      <w:r>
        <w:t xml:space="preserve"> </w:t>
      </w:r>
      <w:r w:rsidR="00D81257">
        <w:t xml:space="preserve">Australian Institute of Health and Welfare, </w:t>
      </w:r>
      <w:hyperlink r:id="rId15" w:history="1">
        <w:r>
          <w:rPr>
            <w:rStyle w:val="Hyperlink"/>
          </w:rPr>
          <w:t>Health promotion and health protection - Australian Institute of Health and Welfare (aihw.gov.au)</w:t>
        </w:r>
      </w:hyperlink>
      <w:r w:rsidR="00D81257">
        <w:rPr>
          <w:rStyle w:val="Hyperlink"/>
        </w:rPr>
        <w:t xml:space="preserve">, </w:t>
      </w:r>
      <w:r w:rsidR="00D81257">
        <w:t>Australian Institute of Health and Welfare, 2022, accessed 14 June 2024.</w:t>
      </w:r>
    </w:p>
  </w:footnote>
  <w:footnote w:id="16">
    <w:p w14:paraId="64018780" w14:textId="168ECD43" w:rsidR="00372BF1" w:rsidRPr="00495BCF" w:rsidRDefault="00372BF1" w:rsidP="002078E2">
      <w:pPr>
        <w:pStyle w:val="FootnoteText"/>
      </w:pPr>
      <w:r>
        <w:rPr>
          <w:rStyle w:val="FootnoteReference"/>
        </w:rPr>
        <w:footnoteRef/>
      </w:r>
      <w:r>
        <w:t xml:space="preserve"> </w:t>
      </w:r>
      <w:r w:rsidR="00495BCF">
        <w:t>Ibid.</w:t>
      </w:r>
    </w:p>
  </w:footnote>
  <w:footnote w:id="17">
    <w:p w14:paraId="75C07352" w14:textId="51572A75" w:rsidR="009A0767" w:rsidRDefault="009A0767" w:rsidP="002078E2">
      <w:pPr>
        <w:pStyle w:val="FootnoteText"/>
      </w:pPr>
      <w:r>
        <w:rPr>
          <w:rStyle w:val="FootnoteReference"/>
        </w:rPr>
        <w:footnoteRef/>
      </w:r>
      <w:r>
        <w:t xml:space="preserve"> </w:t>
      </w:r>
      <w:r w:rsidR="00AC2609">
        <w:t xml:space="preserve">Department of Health, </w:t>
      </w:r>
      <w:hyperlink r:id="rId16" w:history="1">
        <w:r>
          <w:rPr>
            <w:rStyle w:val="Hyperlink"/>
          </w:rPr>
          <w:t>National Preventive Health Strategy 2021-2030</w:t>
        </w:r>
      </w:hyperlink>
      <w:r w:rsidR="00AC2609">
        <w:rPr>
          <w:rStyle w:val="Hyperlink"/>
        </w:rPr>
        <w:t xml:space="preserve">, </w:t>
      </w:r>
      <w:r w:rsidR="00AC2609" w:rsidRPr="008232EC">
        <w:rPr>
          <w:rStyle w:val="Hyperlink"/>
          <w:color w:val="auto"/>
          <w:u w:val="none"/>
        </w:rPr>
        <w:t>Department of Health, The Australian Government, 20</w:t>
      </w:r>
      <w:r w:rsidR="00AC2609">
        <w:rPr>
          <w:rStyle w:val="Hyperlink"/>
          <w:color w:val="auto"/>
          <w:u w:val="none"/>
        </w:rPr>
        <w:t>2</w:t>
      </w:r>
      <w:r w:rsidR="00AC2609" w:rsidRPr="008232EC">
        <w:rPr>
          <w:rStyle w:val="Hyperlink"/>
          <w:color w:val="auto"/>
          <w:u w:val="none"/>
        </w:rPr>
        <w:t>1</w:t>
      </w:r>
      <w:r w:rsidR="00AC2609">
        <w:rPr>
          <w:rStyle w:val="Hyperlink"/>
          <w:color w:val="auto"/>
          <w:u w:val="none"/>
        </w:rPr>
        <w:t xml:space="preserve">, </w:t>
      </w:r>
      <w:r w:rsidR="00AC2609">
        <w:t>accessed 14 June 2024.</w:t>
      </w:r>
    </w:p>
  </w:footnote>
  <w:footnote w:id="18">
    <w:p w14:paraId="503D8B62" w14:textId="03DC8342" w:rsidR="00232818" w:rsidRDefault="00232818" w:rsidP="002078E2">
      <w:pPr>
        <w:pStyle w:val="FootnoteText"/>
      </w:pPr>
      <w:r>
        <w:rPr>
          <w:rStyle w:val="FootnoteReference"/>
        </w:rPr>
        <w:footnoteRef/>
      </w:r>
      <w:r w:rsidR="003F4AC0">
        <w:t xml:space="preserve"> </w:t>
      </w:r>
      <w:r w:rsidR="00D429CF">
        <w:t>Environmental Health Standing Committee (</w:t>
      </w:r>
      <w:proofErr w:type="spellStart"/>
      <w:r w:rsidR="00D429CF">
        <w:t>enHealth</w:t>
      </w:r>
      <w:proofErr w:type="spellEnd"/>
      <w:r w:rsidR="00D429CF">
        <w:t>) of the Australian Health Protection Principal Committee,</w:t>
      </w:r>
      <w:r>
        <w:t xml:space="preserve"> </w:t>
      </w:r>
      <w:hyperlink r:id="rId17" w:history="1">
        <w:r>
          <w:rPr>
            <w:rStyle w:val="Hyperlink"/>
          </w:rPr>
          <w:t>Environmental health standing committee (</w:t>
        </w:r>
        <w:proofErr w:type="spellStart"/>
        <w:r>
          <w:rPr>
            <w:rStyle w:val="Hyperlink"/>
          </w:rPr>
          <w:t>enHealth</w:t>
        </w:r>
        <w:proofErr w:type="spellEnd"/>
        <w:r>
          <w:rPr>
            <w:rStyle w:val="Hyperlink"/>
          </w:rPr>
          <w:t>) – Strategic plan</w:t>
        </w:r>
      </w:hyperlink>
      <w:r w:rsidR="00D429CF">
        <w:rPr>
          <w:rStyle w:val="Hyperlink"/>
        </w:rPr>
        <w:t xml:space="preserve">, </w:t>
      </w:r>
      <w:r w:rsidR="00D429CF">
        <w:t>Environmental Health Standing Committee (</w:t>
      </w:r>
      <w:proofErr w:type="spellStart"/>
      <w:r w:rsidR="00D429CF">
        <w:t>enHealth</w:t>
      </w:r>
      <w:proofErr w:type="spellEnd"/>
      <w:r w:rsidR="00D429CF">
        <w:t xml:space="preserve">) of the Australian Health Protection Principal Committee, </w:t>
      </w:r>
      <w:r w:rsidR="00190837">
        <w:t xml:space="preserve">2020, accessed 14 of June 2024, </w:t>
      </w:r>
      <w:r w:rsidR="00BC4AB0">
        <w:t>p7.</w:t>
      </w:r>
    </w:p>
  </w:footnote>
  <w:footnote w:id="19">
    <w:p w14:paraId="6E5D5BB4" w14:textId="305CD01F" w:rsidR="007D6EF7" w:rsidRDefault="007D6EF7" w:rsidP="002078E2">
      <w:pPr>
        <w:pStyle w:val="FootnoteText"/>
      </w:pPr>
      <w:r>
        <w:rPr>
          <w:rStyle w:val="FootnoteReference"/>
        </w:rPr>
        <w:footnoteRef/>
      </w:r>
      <w:r>
        <w:t xml:space="preserve"> For relevant recent research see</w:t>
      </w:r>
      <w:r w:rsidR="00F7154A">
        <w:t>, M</w:t>
      </w:r>
      <w:r w:rsidR="007D2553">
        <w:t>elbourne Institute</w:t>
      </w:r>
      <w:r w:rsidR="00F7154A">
        <w:t xml:space="preserve"> Applied Economic &amp; Social Research</w:t>
      </w:r>
      <w:r w:rsidR="00C36A9E">
        <w:t>,</w:t>
      </w:r>
      <w:r w:rsidR="00F7154A">
        <w:t xml:space="preserve"> </w:t>
      </w:r>
      <w:r w:rsidRPr="0094550B">
        <w:rPr>
          <w:i/>
          <w:iCs/>
        </w:rPr>
        <w:t>Effects of private health insurance on waiting time in public hospitals</w:t>
      </w:r>
      <w:r w:rsidRPr="0094550B">
        <w:t xml:space="preserve">: </w:t>
      </w:r>
      <w:hyperlink r:id="rId18" w:history="1">
        <w:r w:rsidRPr="0094550B">
          <w:rPr>
            <w:rStyle w:val="Hyperlink"/>
          </w:rPr>
          <w:t>wp2023n09.pdf (unimelb.edu.au)</w:t>
        </w:r>
      </w:hyperlink>
      <w:r w:rsidR="00F7154A">
        <w:rPr>
          <w:rStyle w:val="Hyperlink"/>
        </w:rPr>
        <w:t xml:space="preserve">, </w:t>
      </w:r>
      <w:r w:rsidR="00F7154A">
        <w:t>MELBOURNE INSTITUTE Applied Economic &amp; Social Research,</w:t>
      </w:r>
      <w:r w:rsidR="00F41E80">
        <w:t xml:space="preserve"> University of Melbourne,</w:t>
      </w:r>
      <w:r w:rsidR="00F7154A">
        <w:t xml:space="preserve"> 2023</w:t>
      </w:r>
      <w:r w:rsidR="00F41E80">
        <w:t>, accessed 14 June 2024.</w:t>
      </w:r>
    </w:p>
  </w:footnote>
  <w:footnote w:id="20">
    <w:p w14:paraId="78F0356E" w14:textId="77777777" w:rsidR="005A524D" w:rsidRDefault="005A524D" w:rsidP="002078E2">
      <w:pPr>
        <w:pStyle w:val="FootnoteText"/>
      </w:pPr>
      <w:r>
        <w:rPr>
          <w:rStyle w:val="FootnoteReference"/>
        </w:rPr>
        <w:footnoteRef/>
      </w:r>
      <w:r>
        <w:t xml:space="preserve"> The method developed by the Australasian College for Emergency Medicine defined a GP</w:t>
      </w:r>
      <w:r>
        <w:noBreakHyphen/>
        <w:t xml:space="preserve">type presentation at an emergency department to be any self-referred, non-ambulance patient with a medical consultation time less than one hour. </w:t>
      </w:r>
    </w:p>
  </w:footnote>
  <w:footnote w:id="21">
    <w:p w14:paraId="490220C3" w14:textId="77777777" w:rsidR="00245E61" w:rsidRDefault="00245E61" w:rsidP="002078E2">
      <w:pPr>
        <w:pStyle w:val="FootnoteText"/>
      </w:pPr>
      <w:r>
        <w:rPr>
          <w:rStyle w:val="FootnoteReference"/>
        </w:rPr>
        <w:footnoteRef/>
      </w:r>
      <w:r>
        <w:t xml:space="preserve"> </w:t>
      </w:r>
      <w:r w:rsidRPr="00FD437B">
        <w:t xml:space="preserve">The </w:t>
      </w:r>
      <w:r>
        <w:t xml:space="preserve">method developed by the </w:t>
      </w:r>
      <w:r w:rsidRPr="00FD437B">
        <w:t xml:space="preserve">Australian Institute of Health and Welfare </w:t>
      </w:r>
      <w:r>
        <w:t>defined a GP</w:t>
      </w:r>
      <w:r>
        <w:noBreakHyphen/>
        <w:t>type presentation to an emergency department as any</w:t>
      </w:r>
      <w:r w:rsidRPr="00FD437B">
        <w:t xml:space="preserve"> self-referred, non-ambulance, police or community service presentations classified as triage 4 and 5 (less urgent)</w:t>
      </w:r>
      <w:r>
        <w:t>.</w:t>
      </w:r>
    </w:p>
  </w:footnote>
  <w:footnote w:id="22">
    <w:p w14:paraId="1D1566E7" w14:textId="486EA231" w:rsidR="00043AA1" w:rsidRDefault="00043AA1" w:rsidP="002078E2">
      <w:pPr>
        <w:pStyle w:val="FootnoteText"/>
      </w:pPr>
      <w:r>
        <w:rPr>
          <w:rStyle w:val="FootnoteReference"/>
        </w:rPr>
        <w:footnoteRef/>
      </w:r>
      <w:r>
        <w:t xml:space="preserve"> </w:t>
      </w:r>
      <w:r w:rsidR="00A163F2">
        <w:t>Australian Institute Health and Welfare, Admitted patient care 2022-23,</w:t>
      </w:r>
      <w:r w:rsidR="00223561">
        <w:t xml:space="preserve"> why do people receive care?,</w:t>
      </w:r>
      <w:r w:rsidR="00A163F2">
        <w:t xml:space="preserve"> </w:t>
      </w:r>
      <w:hyperlink r:id="rId19" w:history="1">
        <w:r w:rsidR="00A163F2">
          <w:rPr>
            <w:rStyle w:val="Hyperlink"/>
          </w:rPr>
          <w:t>Admitted patients - ...~https://www.aihw.gov.au/reports-data/myhospitals/sectors/admitted-patients</w:t>
        </w:r>
      </w:hyperlink>
      <w:r w:rsidR="00A163F2">
        <w:t>, 2022-23, Australian Institute Health and Welfare, 2023, accessed 14 June 2024</w:t>
      </w:r>
      <w:r w:rsidR="000C2EB3">
        <w:t>.</w:t>
      </w:r>
      <w:r w:rsidR="00406417">
        <w:t xml:space="preserve"> </w:t>
      </w:r>
    </w:p>
  </w:footnote>
  <w:footnote w:id="23">
    <w:p w14:paraId="55069908" w14:textId="6CE5BED9" w:rsidR="001A308D" w:rsidRDefault="001A308D" w:rsidP="002078E2">
      <w:pPr>
        <w:pStyle w:val="FootnoteText"/>
      </w:pPr>
      <w:r>
        <w:rPr>
          <w:rStyle w:val="FootnoteReference"/>
        </w:rPr>
        <w:footnoteRef/>
      </w:r>
      <w:r>
        <w:t xml:space="preserve"> </w:t>
      </w:r>
      <w:r w:rsidR="00F62647">
        <w:t xml:space="preserve">Australian Institute Health and Welfare, </w:t>
      </w:r>
      <w:r>
        <w:t>Admitted patient care 202</w:t>
      </w:r>
      <w:r w:rsidR="00510195">
        <w:t>2</w:t>
      </w:r>
      <w:r>
        <w:t>-2</w:t>
      </w:r>
      <w:r w:rsidR="00510195">
        <w:t>3</w:t>
      </w:r>
      <w:r>
        <w:t xml:space="preserve">: Costs and funding, </w:t>
      </w:r>
      <w:hyperlink r:id="rId20" w:history="1">
        <w:r w:rsidR="00757148">
          <w:rPr>
            <w:rStyle w:val="Hyperlink"/>
          </w:rPr>
          <w:t>Admitted patients - ...~https://www.aihw.gov.au/reports-data/myhospitals/sectors/admitted-patients</w:t>
        </w:r>
      </w:hyperlink>
      <w:r w:rsidR="001B50FE">
        <w:t xml:space="preserve">, </w:t>
      </w:r>
      <w:r w:rsidR="00510195">
        <w:t>Table S7.2:patient days by funding source, public and private hospitals, states and terri</w:t>
      </w:r>
      <w:r w:rsidR="00132E12">
        <w:t xml:space="preserve">tories, </w:t>
      </w:r>
      <w:r w:rsidR="00F62647">
        <w:t>Australian Institute Health and Welfare, 2023</w:t>
      </w:r>
      <w:r w:rsidR="00132E12">
        <w:t>, accessed 14 June 2024.</w:t>
      </w:r>
    </w:p>
  </w:footnote>
  <w:footnote w:id="24">
    <w:p w14:paraId="5005B508" w14:textId="481999D8" w:rsidR="00E2301D" w:rsidRDefault="00E2301D" w:rsidP="002078E2">
      <w:pPr>
        <w:pStyle w:val="FootnoteText"/>
      </w:pPr>
      <w:r>
        <w:rPr>
          <w:rStyle w:val="FootnoteReference"/>
        </w:rPr>
        <w:footnoteRef/>
      </w:r>
      <w:r>
        <w:t xml:space="preserve"> </w:t>
      </w:r>
      <w:r w:rsidR="00C47F00">
        <w:t>Ibid.</w:t>
      </w:r>
    </w:p>
  </w:footnote>
  <w:footnote w:id="25">
    <w:p w14:paraId="799442D5" w14:textId="7C15FE0B" w:rsidR="00876DF5" w:rsidRDefault="005B4F37" w:rsidP="002078E2">
      <w:pPr>
        <w:pStyle w:val="FootnoteText"/>
      </w:pPr>
      <w:r>
        <w:rPr>
          <w:rStyle w:val="FootnoteReference"/>
        </w:rPr>
        <w:footnoteRef/>
      </w:r>
      <w:r>
        <w:t xml:space="preserve"> </w:t>
      </w:r>
      <w:r w:rsidR="002E1303">
        <w:t>Australian Institute Health and Welfar</w:t>
      </w:r>
      <w:r w:rsidR="00876DF5">
        <w:t>e</w:t>
      </w:r>
      <w:r w:rsidR="002E1303">
        <w:t xml:space="preserve">, </w:t>
      </w:r>
      <w:r w:rsidR="00631643">
        <w:t>Health expenditure Austra</w:t>
      </w:r>
      <w:r w:rsidR="008F2F1D">
        <w:t>lia</w:t>
      </w:r>
      <w:r w:rsidR="007C1276">
        <w:t>, 2020-21</w:t>
      </w:r>
      <w:r w:rsidR="008A6329">
        <w:t xml:space="preserve">, </w:t>
      </w:r>
      <w:hyperlink r:id="rId21" w:history="1">
        <w:r w:rsidR="00876DF5">
          <w:rPr>
            <w:rStyle w:val="Hyperlink"/>
          </w:rPr>
          <w:t>Health expenditure Australia 2020-21, Summary - Australian Institute of Health and Welfare (aihw.gov.au)</w:t>
        </w:r>
      </w:hyperlink>
      <w:r w:rsidR="00876DF5">
        <w:t>, Australian Institute Health and Welfare, 2022, accessed 14 June 2024.</w:t>
      </w:r>
    </w:p>
    <w:p w14:paraId="50B60ED5" w14:textId="47D4E163" w:rsidR="005B4F37" w:rsidRDefault="005B4F37" w:rsidP="002078E2">
      <w:pPr>
        <w:pStyle w:val="FootnoteText"/>
      </w:pPr>
    </w:p>
  </w:footnote>
  <w:footnote w:id="26">
    <w:p w14:paraId="5BAE63BF" w14:textId="77777777" w:rsidR="002A4CC1" w:rsidRDefault="002A4CC1" w:rsidP="002078E2">
      <w:pPr>
        <w:pStyle w:val="FootnoteText"/>
      </w:pPr>
      <w:r>
        <w:rPr>
          <w:rStyle w:val="FootnoteReference"/>
        </w:rPr>
        <w:footnoteRef/>
      </w:r>
      <w:r>
        <w:t xml:space="preserve"> Some hospitals are block funded.</w:t>
      </w:r>
    </w:p>
  </w:footnote>
  <w:footnote w:id="27">
    <w:p w14:paraId="3427DAC9" w14:textId="7227AF35" w:rsidR="005578C0" w:rsidRDefault="005578C0" w:rsidP="002078E2">
      <w:pPr>
        <w:pStyle w:val="FootnoteText"/>
      </w:pPr>
      <w:r>
        <w:rPr>
          <w:rStyle w:val="FootnoteReference"/>
        </w:rPr>
        <w:footnoteRef/>
      </w:r>
      <w:r>
        <w:t xml:space="preserve"> </w:t>
      </w:r>
      <w:r w:rsidR="002D0630" w:rsidRPr="00CB14ED">
        <w:t>A</w:t>
      </w:r>
      <w:r w:rsidR="002D0630">
        <w:t>ustralian Institute of Health and Welfare,</w:t>
      </w:r>
      <w:r w:rsidR="002D0630" w:rsidRPr="00CB14ED">
        <w:t xml:space="preserve"> </w:t>
      </w:r>
      <w:hyperlink r:id="rId22" w:history="1">
        <w:r>
          <w:rPr>
            <w:rStyle w:val="Hyperlink"/>
          </w:rPr>
          <w:t>Glossary - Australian Institute of Health and Welfare (aihw.gov.au)</w:t>
        </w:r>
      </w:hyperlink>
      <w:r w:rsidR="002D0630">
        <w:rPr>
          <w:rStyle w:val="Hyperlink"/>
        </w:rPr>
        <w:t xml:space="preserve">, </w:t>
      </w:r>
      <w:r w:rsidR="002D0630" w:rsidRPr="00CB14ED">
        <w:t>A</w:t>
      </w:r>
      <w:r w:rsidR="002D0630">
        <w:t xml:space="preserve">ustralian Institute of Health and Welfare, 2024, accessed 14 June 2024. </w:t>
      </w:r>
    </w:p>
  </w:footnote>
  <w:footnote w:id="28">
    <w:p w14:paraId="558949B3" w14:textId="489A2A9A" w:rsidR="00DB2228" w:rsidRDefault="00DB2228" w:rsidP="002078E2">
      <w:pPr>
        <w:pStyle w:val="FootnoteText"/>
      </w:pPr>
      <w:r>
        <w:rPr>
          <w:rStyle w:val="FootnoteReference"/>
        </w:rPr>
        <w:footnoteRef/>
      </w:r>
      <w:r>
        <w:t xml:space="preserve"> </w:t>
      </w:r>
      <w:r w:rsidR="00B00198">
        <w:t xml:space="preserve">CGC, </w:t>
      </w:r>
      <w:hyperlink r:id="rId23" w:history="1">
        <w:r>
          <w:rPr>
            <w:rStyle w:val="Hyperlink"/>
          </w:rPr>
          <w:t>2025 Methodology Review - Commission's position on fiscal equalisation, supporting principles and assessment guidelines.pdf (cgc.gov.au)</w:t>
        </w:r>
      </w:hyperlink>
      <w:r>
        <w:t xml:space="preserve">, </w:t>
      </w:r>
      <w:r w:rsidR="00B00198">
        <w:t>CGC,</w:t>
      </w:r>
      <w:r w:rsidR="002D0630">
        <w:t xml:space="preserve"> Australian Government,</w:t>
      </w:r>
      <w:r w:rsidR="00B00198">
        <w:t xml:space="preserve"> 2023, accessed 14 June 2024, </w:t>
      </w:r>
      <w:r>
        <w:t>p</w:t>
      </w:r>
      <w:r w:rsidR="00006870">
        <w:t>19</w:t>
      </w:r>
      <w:r w:rsidR="00B83C76">
        <w:t>.</w:t>
      </w:r>
    </w:p>
  </w:footnote>
  <w:footnote w:id="29">
    <w:p w14:paraId="6C0E80A0" w14:textId="7ED0DCB9" w:rsidR="0034593D" w:rsidRDefault="0034593D" w:rsidP="002078E2">
      <w:pPr>
        <w:pStyle w:val="FootnoteText"/>
      </w:pPr>
      <w:r>
        <w:rPr>
          <w:rStyle w:val="FootnoteReference"/>
        </w:rPr>
        <w:footnoteRef/>
      </w:r>
      <w:r>
        <w:t xml:space="preserve"> Independent Health and Aged Care Pricing Authority, </w:t>
      </w:r>
      <w:hyperlink r:id="rId24" w:history="1">
        <w:r w:rsidRPr="004E6C7A">
          <w:rPr>
            <w:rStyle w:val="Hyperlink"/>
          </w:rPr>
          <w:t>Consultation Paper on the Pricing Framework for Australian Public Hospital Services 2022-23</w:t>
        </w:r>
      </w:hyperlink>
      <w:r w:rsidR="00C821A2">
        <w:t>, Independent Health and Aged Care Pricing Authority</w:t>
      </w:r>
      <w:r w:rsidR="00517A9D">
        <w:t>, 2021,</w:t>
      </w:r>
      <w:r w:rsidR="00C821A2">
        <w:t xml:space="preserve"> accessed </w:t>
      </w:r>
      <w:r w:rsidR="00517A9D">
        <w:t xml:space="preserve">14 June 2024, </w:t>
      </w:r>
      <w:r>
        <w:t>p20</w:t>
      </w:r>
      <w:r w:rsidR="000174CA">
        <w:t>.</w:t>
      </w:r>
      <w:r w:rsidR="000174CA" w:rsidRPr="000174CA">
        <w:t xml:space="preserve"> </w:t>
      </w:r>
      <w:r w:rsidR="000174CA">
        <w:t>Independent Health and Aged Care Pricing Authority</w:t>
      </w:r>
      <w:r w:rsidR="00A123C9">
        <w:t xml:space="preserve">, </w:t>
      </w:r>
      <w:r w:rsidR="000174CA">
        <w:t xml:space="preserve"> </w:t>
      </w:r>
      <w:hyperlink r:id="rId25" w:history="1">
        <w:r w:rsidRPr="0067231F">
          <w:rPr>
            <w:rStyle w:val="Hyperlink"/>
          </w:rPr>
          <w:t>Australian Hospital Patient Costing Standards Version 4.1 - Part 1 - Standards</w:t>
        </w:r>
      </w:hyperlink>
      <w:r w:rsidR="00A123C9">
        <w:rPr>
          <w:rStyle w:val="Hyperlink"/>
        </w:rPr>
        <w:t>,</w:t>
      </w:r>
      <w:r w:rsidR="00A123C9" w:rsidRPr="00A123C9">
        <w:t xml:space="preserve"> </w:t>
      </w:r>
      <w:r w:rsidR="00A123C9">
        <w:t xml:space="preserve">Independent Health and Aged Care Pricing Authority, </w:t>
      </w:r>
      <w:r>
        <w:t>2021,</w:t>
      </w:r>
      <w:r w:rsidR="00A123C9">
        <w:t xml:space="preserve"> accessed </w:t>
      </w:r>
      <w:r w:rsidR="003B535D">
        <w:t xml:space="preserve">14 </w:t>
      </w:r>
      <w:r w:rsidR="00A123C9">
        <w:t>June 2024</w:t>
      </w:r>
      <w:r w:rsidR="00FC12EE">
        <w:t>,</w:t>
      </w:r>
      <w:r>
        <w:t xml:space="preserve"> p37.</w:t>
      </w:r>
    </w:p>
  </w:footnote>
  <w:footnote w:id="30">
    <w:p w14:paraId="7CE84848" w14:textId="658E4B95" w:rsidR="00B622A9" w:rsidRDefault="00B622A9" w:rsidP="002078E2">
      <w:pPr>
        <w:pStyle w:val="FootnoteText"/>
      </w:pPr>
      <w:r>
        <w:rPr>
          <w:rStyle w:val="FootnoteReference"/>
        </w:rPr>
        <w:footnoteRef/>
      </w:r>
      <w:r>
        <w:t xml:space="preserve"> Independent Health and Aged Care Pricing Authority, </w:t>
      </w:r>
      <w:hyperlink r:id="rId26" w:history="1">
        <w:r>
          <w:rPr>
            <w:rStyle w:val="Hyperlink"/>
          </w:rPr>
          <w:t>Australian Hospital Patient Costing Standards Version 4.2 - Part 1 - Standards</w:t>
        </w:r>
      </w:hyperlink>
      <w:r w:rsidR="00D51E86">
        <w:t xml:space="preserve">, Independent Health and Aged Care Pricing Authority, </w:t>
      </w:r>
      <w:r>
        <w:t xml:space="preserve">2023, </w:t>
      </w:r>
      <w:r w:rsidR="005B72A0">
        <w:t xml:space="preserve">accessed 14 June 2024, </w:t>
      </w:r>
      <w:r>
        <w:t xml:space="preserve">p40. </w:t>
      </w:r>
    </w:p>
  </w:footnote>
  <w:footnote w:id="31">
    <w:p w14:paraId="74A4D99A" w14:textId="6707B458" w:rsidR="00FF4766" w:rsidRDefault="00FF4766" w:rsidP="002078E2">
      <w:pPr>
        <w:pStyle w:val="FootnoteText"/>
      </w:pPr>
      <w:r>
        <w:rPr>
          <w:rStyle w:val="FootnoteReference"/>
        </w:rPr>
        <w:footnoteRef/>
      </w:r>
      <w:r>
        <w:t xml:space="preserve"> See </w:t>
      </w:r>
      <w:r w:rsidR="006F28CF">
        <w:t>Figure 4</w:t>
      </w:r>
      <w:r w:rsidR="003C0A84">
        <w:t xml:space="preserve"> for more information.</w:t>
      </w:r>
    </w:p>
  </w:footnote>
  <w:footnote w:id="32">
    <w:p w14:paraId="20187FB0" w14:textId="246E6DFA" w:rsidR="00DD25DE" w:rsidRDefault="00DD25DE" w:rsidP="002078E2">
      <w:pPr>
        <w:pStyle w:val="FootnoteText"/>
      </w:pPr>
      <w:r>
        <w:rPr>
          <w:rStyle w:val="FootnoteReference"/>
        </w:rPr>
        <w:footnoteRef/>
      </w:r>
      <w:r>
        <w:t xml:space="preserve"> See </w:t>
      </w:r>
      <w:r w:rsidR="006F28CF">
        <w:t>Table 8</w:t>
      </w:r>
      <w:r>
        <w:t xml:space="preserve">, </w:t>
      </w:r>
      <w:r w:rsidR="006F28CF">
        <w:t xml:space="preserve">Table </w:t>
      </w:r>
      <w:proofErr w:type="gramStart"/>
      <w:r w:rsidR="006F28CF">
        <w:t>9</w:t>
      </w:r>
      <w:proofErr w:type="gramEnd"/>
      <w:r>
        <w:t xml:space="preserve"> and </w:t>
      </w:r>
      <w:r w:rsidR="006F28CF">
        <w:t>Table 10</w:t>
      </w:r>
      <w:r w:rsidR="003C0A84">
        <w:t xml:space="preserve">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FC0528"/>
    <w:multiLevelType w:val="hybridMultilevel"/>
    <w:tmpl w:val="F7E83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3D7BB4"/>
    <w:multiLevelType w:val="multilevel"/>
    <w:tmpl w:val="9F66B924"/>
    <w:lvl w:ilvl="0">
      <w:start w:val="1"/>
      <w:numFmt w:val="decimal"/>
      <w:suff w:val="space"/>
      <w:lvlText w:val="Chapter %1"/>
      <w:lvlJc w:val="left"/>
      <w:pPr>
        <w:ind w:left="426" w:firstLine="0"/>
      </w:pPr>
      <w:rPr>
        <w:rFonts w:hint="default"/>
      </w:rPr>
    </w:lvl>
    <w:lvl w:ilvl="1">
      <w:start w:val="1"/>
      <w:numFmt w:val="decimal"/>
      <w:pStyle w:val="CGCNumberedPara"/>
      <w:lvlText w:val="%2"/>
      <w:lvlJc w:val="left"/>
      <w:pPr>
        <w:tabs>
          <w:tab w:val="num" w:pos="2268"/>
        </w:tabs>
        <w:ind w:left="2268"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49C3860"/>
    <w:multiLevelType w:val="hybridMultilevel"/>
    <w:tmpl w:val="61CAF08E"/>
    <w:lvl w:ilvl="0" w:tplc="026AD7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386666"/>
    <w:multiLevelType w:val="hybridMultilevel"/>
    <w:tmpl w:val="37B46DE0"/>
    <w:lvl w:ilvl="0" w:tplc="833AEDD8">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B0C6D59"/>
    <w:multiLevelType w:val="multilevel"/>
    <w:tmpl w:val="AC5262D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272ABF"/>
    <w:multiLevelType w:val="multilevel"/>
    <w:tmpl w:val="50F6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50504"/>
    <w:multiLevelType w:val="hybridMultilevel"/>
    <w:tmpl w:val="32B83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67101B3"/>
    <w:multiLevelType w:val="hybridMultilevel"/>
    <w:tmpl w:val="4E1E4C8C"/>
    <w:lvl w:ilvl="0" w:tplc="2D545FA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71D4348F"/>
    <w:multiLevelType w:val="hybridMultilevel"/>
    <w:tmpl w:val="F0ACB8B0"/>
    <w:lvl w:ilvl="0" w:tplc="DE6C9126">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3"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F042F6"/>
    <w:multiLevelType w:val="hybridMultilevel"/>
    <w:tmpl w:val="4B1AB832"/>
    <w:lvl w:ilvl="0" w:tplc="7DE403DC">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16cid:durableId="1649357354">
    <w:abstractNumId w:val="6"/>
  </w:num>
  <w:num w:numId="2" w16cid:durableId="1003897054">
    <w:abstractNumId w:val="23"/>
  </w:num>
  <w:num w:numId="3" w16cid:durableId="1334529044">
    <w:abstractNumId w:val="4"/>
  </w:num>
  <w:num w:numId="4" w16cid:durableId="1514761234">
    <w:abstractNumId w:val="3"/>
  </w:num>
  <w:num w:numId="5" w16cid:durableId="920797300">
    <w:abstractNumId w:val="0"/>
  </w:num>
  <w:num w:numId="6" w16cid:durableId="1807814447">
    <w:abstractNumId w:val="20"/>
  </w:num>
  <w:num w:numId="7" w16cid:durableId="801770153">
    <w:abstractNumId w:val="10"/>
  </w:num>
  <w:num w:numId="8" w16cid:durableId="1737627722">
    <w:abstractNumId w:val="21"/>
  </w:num>
  <w:num w:numId="9" w16cid:durableId="176697617">
    <w:abstractNumId w:val="2"/>
  </w:num>
  <w:num w:numId="10" w16cid:durableId="1408111535">
    <w:abstractNumId w:val="14"/>
  </w:num>
  <w:num w:numId="11" w16cid:durableId="2080126907">
    <w:abstractNumId w:val="15"/>
  </w:num>
  <w:num w:numId="12" w16cid:durableId="58332428">
    <w:abstractNumId w:val="9"/>
  </w:num>
  <w:num w:numId="13" w16cid:durableId="522092457">
    <w:abstractNumId w:val="19"/>
  </w:num>
  <w:num w:numId="14" w16cid:durableId="1594438827">
    <w:abstractNumId w:val="16"/>
  </w:num>
  <w:num w:numId="15" w16cid:durableId="1200583849">
    <w:abstractNumId w:val="18"/>
  </w:num>
  <w:num w:numId="16" w16cid:durableId="52854286">
    <w:abstractNumId w:val="5"/>
  </w:num>
  <w:num w:numId="17" w16cid:durableId="905722422">
    <w:abstractNumId w:val="4"/>
  </w:num>
  <w:num w:numId="18" w16cid:durableId="1147816881">
    <w:abstractNumId w:val="4"/>
  </w:num>
  <w:num w:numId="19" w16cid:durableId="1021051961">
    <w:abstractNumId w:val="4"/>
  </w:num>
  <w:num w:numId="20" w16cid:durableId="1159424517">
    <w:abstractNumId w:val="17"/>
  </w:num>
  <w:num w:numId="21" w16cid:durableId="1924609490">
    <w:abstractNumId w:val="4"/>
  </w:num>
  <w:num w:numId="22" w16cid:durableId="1050149207">
    <w:abstractNumId w:val="4"/>
  </w:num>
  <w:num w:numId="23" w16cid:durableId="1346831154">
    <w:abstractNumId w:val="12"/>
  </w:num>
  <w:num w:numId="24" w16cid:durableId="275597124">
    <w:abstractNumId w:val="13"/>
  </w:num>
  <w:num w:numId="25" w16cid:durableId="1114446928">
    <w:abstractNumId w:val="22"/>
  </w:num>
  <w:num w:numId="26" w16cid:durableId="1725569069">
    <w:abstractNumId w:val="24"/>
  </w:num>
  <w:num w:numId="27" w16cid:durableId="1661544985">
    <w:abstractNumId w:val="8"/>
  </w:num>
  <w:num w:numId="28" w16cid:durableId="2138598530">
    <w:abstractNumId w:val="7"/>
  </w:num>
  <w:num w:numId="29" w16cid:durableId="1542859536">
    <w:abstractNumId w:val="11"/>
  </w:num>
  <w:num w:numId="30" w16cid:durableId="130188676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192"/>
    <w:rsid w:val="0000022F"/>
    <w:rsid w:val="000002EF"/>
    <w:rsid w:val="000003B2"/>
    <w:rsid w:val="00000417"/>
    <w:rsid w:val="0000042B"/>
    <w:rsid w:val="0000045A"/>
    <w:rsid w:val="00000542"/>
    <w:rsid w:val="00000627"/>
    <w:rsid w:val="0000071F"/>
    <w:rsid w:val="00000A22"/>
    <w:rsid w:val="00000A44"/>
    <w:rsid w:val="00000A58"/>
    <w:rsid w:val="00000AB2"/>
    <w:rsid w:val="00000B94"/>
    <w:rsid w:val="00000C9F"/>
    <w:rsid w:val="00000E1F"/>
    <w:rsid w:val="00000F7E"/>
    <w:rsid w:val="00001030"/>
    <w:rsid w:val="00001078"/>
    <w:rsid w:val="00001289"/>
    <w:rsid w:val="000012C4"/>
    <w:rsid w:val="000012D8"/>
    <w:rsid w:val="00001301"/>
    <w:rsid w:val="000013FB"/>
    <w:rsid w:val="00001421"/>
    <w:rsid w:val="00001481"/>
    <w:rsid w:val="000014CB"/>
    <w:rsid w:val="000014F2"/>
    <w:rsid w:val="0000150A"/>
    <w:rsid w:val="000015BB"/>
    <w:rsid w:val="00001882"/>
    <w:rsid w:val="00001897"/>
    <w:rsid w:val="000019C0"/>
    <w:rsid w:val="00001AAE"/>
    <w:rsid w:val="00001AC5"/>
    <w:rsid w:val="00001AF7"/>
    <w:rsid w:val="00001D2F"/>
    <w:rsid w:val="00001D6F"/>
    <w:rsid w:val="00001DA2"/>
    <w:rsid w:val="00001DD7"/>
    <w:rsid w:val="00001E30"/>
    <w:rsid w:val="00001E8B"/>
    <w:rsid w:val="00001F8B"/>
    <w:rsid w:val="00002022"/>
    <w:rsid w:val="0000207C"/>
    <w:rsid w:val="000020DF"/>
    <w:rsid w:val="00002144"/>
    <w:rsid w:val="00002356"/>
    <w:rsid w:val="00002432"/>
    <w:rsid w:val="0000249B"/>
    <w:rsid w:val="00002584"/>
    <w:rsid w:val="000025E6"/>
    <w:rsid w:val="00002878"/>
    <w:rsid w:val="00002923"/>
    <w:rsid w:val="00002AA2"/>
    <w:rsid w:val="00002B3A"/>
    <w:rsid w:val="00002DD4"/>
    <w:rsid w:val="00002F86"/>
    <w:rsid w:val="00002F9A"/>
    <w:rsid w:val="00002FEC"/>
    <w:rsid w:val="00002FEF"/>
    <w:rsid w:val="00003002"/>
    <w:rsid w:val="000030CC"/>
    <w:rsid w:val="00003225"/>
    <w:rsid w:val="00003281"/>
    <w:rsid w:val="000032B9"/>
    <w:rsid w:val="00003370"/>
    <w:rsid w:val="000033FE"/>
    <w:rsid w:val="00003456"/>
    <w:rsid w:val="000036D8"/>
    <w:rsid w:val="0000372E"/>
    <w:rsid w:val="00003757"/>
    <w:rsid w:val="00003827"/>
    <w:rsid w:val="000038AE"/>
    <w:rsid w:val="00003BFF"/>
    <w:rsid w:val="00003E1F"/>
    <w:rsid w:val="000040AA"/>
    <w:rsid w:val="000040AF"/>
    <w:rsid w:val="00004287"/>
    <w:rsid w:val="000042E6"/>
    <w:rsid w:val="000042F1"/>
    <w:rsid w:val="000043F9"/>
    <w:rsid w:val="00004524"/>
    <w:rsid w:val="00004598"/>
    <w:rsid w:val="000046FB"/>
    <w:rsid w:val="00004719"/>
    <w:rsid w:val="0000485A"/>
    <w:rsid w:val="00004891"/>
    <w:rsid w:val="000049A6"/>
    <w:rsid w:val="00004AD1"/>
    <w:rsid w:val="00004BA7"/>
    <w:rsid w:val="00004BF5"/>
    <w:rsid w:val="00004C67"/>
    <w:rsid w:val="00004D14"/>
    <w:rsid w:val="00004E50"/>
    <w:rsid w:val="00004F16"/>
    <w:rsid w:val="00004F3A"/>
    <w:rsid w:val="00005037"/>
    <w:rsid w:val="000052CF"/>
    <w:rsid w:val="00005371"/>
    <w:rsid w:val="000053F8"/>
    <w:rsid w:val="00005444"/>
    <w:rsid w:val="000055CC"/>
    <w:rsid w:val="00005714"/>
    <w:rsid w:val="000057A3"/>
    <w:rsid w:val="00005831"/>
    <w:rsid w:val="00005890"/>
    <w:rsid w:val="000059A6"/>
    <w:rsid w:val="00005E32"/>
    <w:rsid w:val="00005EE3"/>
    <w:rsid w:val="00005EEE"/>
    <w:rsid w:val="0000618C"/>
    <w:rsid w:val="0000641D"/>
    <w:rsid w:val="0000648D"/>
    <w:rsid w:val="000064AA"/>
    <w:rsid w:val="00006557"/>
    <w:rsid w:val="000066EA"/>
    <w:rsid w:val="0000673D"/>
    <w:rsid w:val="000067BA"/>
    <w:rsid w:val="00006870"/>
    <w:rsid w:val="00006934"/>
    <w:rsid w:val="00006963"/>
    <w:rsid w:val="00006BB2"/>
    <w:rsid w:val="00006C9A"/>
    <w:rsid w:val="00006D9F"/>
    <w:rsid w:val="00006E30"/>
    <w:rsid w:val="00006F3D"/>
    <w:rsid w:val="00006FFC"/>
    <w:rsid w:val="00007022"/>
    <w:rsid w:val="0000712D"/>
    <w:rsid w:val="000071A1"/>
    <w:rsid w:val="00007245"/>
    <w:rsid w:val="000072F2"/>
    <w:rsid w:val="00007356"/>
    <w:rsid w:val="0000747E"/>
    <w:rsid w:val="000074DD"/>
    <w:rsid w:val="00007720"/>
    <w:rsid w:val="00007899"/>
    <w:rsid w:val="00007AB8"/>
    <w:rsid w:val="00007AC4"/>
    <w:rsid w:val="00007D37"/>
    <w:rsid w:val="00007E99"/>
    <w:rsid w:val="00007EC4"/>
    <w:rsid w:val="00007F09"/>
    <w:rsid w:val="00007FD5"/>
    <w:rsid w:val="000102EB"/>
    <w:rsid w:val="0001035A"/>
    <w:rsid w:val="00010449"/>
    <w:rsid w:val="000105A1"/>
    <w:rsid w:val="000106BB"/>
    <w:rsid w:val="00010711"/>
    <w:rsid w:val="00010718"/>
    <w:rsid w:val="0001078E"/>
    <w:rsid w:val="00010794"/>
    <w:rsid w:val="00010843"/>
    <w:rsid w:val="00010911"/>
    <w:rsid w:val="00010AB1"/>
    <w:rsid w:val="00010B57"/>
    <w:rsid w:val="00010B75"/>
    <w:rsid w:val="00010B8B"/>
    <w:rsid w:val="00010B94"/>
    <w:rsid w:val="00010BD8"/>
    <w:rsid w:val="00010BFB"/>
    <w:rsid w:val="00010CDB"/>
    <w:rsid w:val="00010CEC"/>
    <w:rsid w:val="00010F29"/>
    <w:rsid w:val="00010F5B"/>
    <w:rsid w:val="00010F70"/>
    <w:rsid w:val="000112A7"/>
    <w:rsid w:val="000114F0"/>
    <w:rsid w:val="00011590"/>
    <w:rsid w:val="00011657"/>
    <w:rsid w:val="00011947"/>
    <w:rsid w:val="0001198F"/>
    <w:rsid w:val="000119E0"/>
    <w:rsid w:val="00011BB3"/>
    <w:rsid w:val="00011C73"/>
    <w:rsid w:val="00011CF0"/>
    <w:rsid w:val="00011D1A"/>
    <w:rsid w:val="00011D62"/>
    <w:rsid w:val="00011DA8"/>
    <w:rsid w:val="00011F7D"/>
    <w:rsid w:val="000120A6"/>
    <w:rsid w:val="000120BE"/>
    <w:rsid w:val="000120DE"/>
    <w:rsid w:val="0001218F"/>
    <w:rsid w:val="00012204"/>
    <w:rsid w:val="000122C7"/>
    <w:rsid w:val="000122FC"/>
    <w:rsid w:val="000124F1"/>
    <w:rsid w:val="00012522"/>
    <w:rsid w:val="000125D8"/>
    <w:rsid w:val="000128C5"/>
    <w:rsid w:val="000129CE"/>
    <w:rsid w:val="000129DE"/>
    <w:rsid w:val="00012AC0"/>
    <w:rsid w:val="00012B67"/>
    <w:rsid w:val="00012C74"/>
    <w:rsid w:val="00012E12"/>
    <w:rsid w:val="000130CE"/>
    <w:rsid w:val="0001319F"/>
    <w:rsid w:val="00013416"/>
    <w:rsid w:val="0001342F"/>
    <w:rsid w:val="00013488"/>
    <w:rsid w:val="000135E8"/>
    <w:rsid w:val="00013827"/>
    <w:rsid w:val="00013877"/>
    <w:rsid w:val="000139DA"/>
    <w:rsid w:val="00013A29"/>
    <w:rsid w:val="00013B63"/>
    <w:rsid w:val="00013BF2"/>
    <w:rsid w:val="000140E1"/>
    <w:rsid w:val="000141E3"/>
    <w:rsid w:val="0001423A"/>
    <w:rsid w:val="00014307"/>
    <w:rsid w:val="000144B9"/>
    <w:rsid w:val="00014778"/>
    <w:rsid w:val="0001477F"/>
    <w:rsid w:val="00014864"/>
    <w:rsid w:val="000148C5"/>
    <w:rsid w:val="0001491F"/>
    <w:rsid w:val="0001495D"/>
    <w:rsid w:val="00014A35"/>
    <w:rsid w:val="00014A8F"/>
    <w:rsid w:val="00014B08"/>
    <w:rsid w:val="00014B0A"/>
    <w:rsid w:val="00014B7E"/>
    <w:rsid w:val="00014C9D"/>
    <w:rsid w:val="00014CB0"/>
    <w:rsid w:val="00014D34"/>
    <w:rsid w:val="00014D57"/>
    <w:rsid w:val="00014FBD"/>
    <w:rsid w:val="000150BF"/>
    <w:rsid w:val="0001510F"/>
    <w:rsid w:val="00015283"/>
    <w:rsid w:val="00015500"/>
    <w:rsid w:val="0001554E"/>
    <w:rsid w:val="000156B2"/>
    <w:rsid w:val="0001579F"/>
    <w:rsid w:val="00015818"/>
    <w:rsid w:val="00015A97"/>
    <w:rsid w:val="00015C0C"/>
    <w:rsid w:val="00015C57"/>
    <w:rsid w:val="00015CA3"/>
    <w:rsid w:val="00015D0B"/>
    <w:rsid w:val="00015D4E"/>
    <w:rsid w:val="00015D6D"/>
    <w:rsid w:val="00015D98"/>
    <w:rsid w:val="00015E3B"/>
    <w:rsid w:val="00015FB9"/>
    <w:rsid w:val="00016001"/>
    <w:rsid w:val="000160A8"/>
    <w:rsid w:val="00016101"/>
    <w:rsid w:val="0001613C"/>
    <w:rsid w:val="0001621B"/>
    <w:rsid w:val="000162E7"/>
    <w:rsid w:val="0001636B"/>
    <w:rsid w:val="00016544"/>
    <w:rsid w:val="000167E6"/>
    <w:rsid w:val="0001691F"/>
    <w:rsid w:val="00016973"/>
    <w:rsid w:val="0001698B"/>
    <w:rsid w:val="00016B8D"/>
    <w:rsid w:val="00016C62"/>
    <w:rsid w:val="00016C79"/>
    <w:rsid w:val="00016D36"/>
    <w:rsid w:val="00016DC0"/>
    <w:rsid w:val="00016E51"/>
    <w:rsid w:val="00016F04"/>
    <w:rsid w:val="00016F33"/>
    <w:rsid w:val="00016FE0"/>
    <w:rsid w:val="00016FE9"/>
    <w:rsid w:val="00017017"/>
    <w:rsid w:val="00017083"/>
    <w:rsid w:val="00017216"/>
    <w:rsid w:val="0001742E"/>
    <w:rsid w:val="0001749A"/>
    <w:rsid w:val="000174AF"/>
    <w:rsid w:val="000174BB"/>
    <w:rsid w:val="000174CA"/>
    <w:rsid w:val="0001753E"/>
    <w:rsid w:val="00017540"/>
    <w:rsid w:val="0001758C"/>
    <w:rsid w:val="00017640"/>
    <w:rsid w:val="000176D7"/>
    <w:rsid w:val="0001770B"/>
    <w:rsid w:val="00017730"/>
    <w:rsid w:val="000178EF"/>
    <w:rsid w:val="00017A09"/>
    <w:rsid w:val="00017B33"/>
    <w:rsid w:val="00017E5B"/>
    <w:rsid w:val="00017EB6"/>
    <w:rsid w:val="00017EE4"/>
    <w:rsid w:val="00017F75"/>
    <w:rsid w:val="00020137"/>
    <w:rsid w:val="000201B6"/>
    <w:rsid w:val="00020260"/>
    <w:rsid w:val="0002028C"/>
    <w:rsid w:val="0002041C"/>
    <w:rsid w:val="0002046A"/>
    <w:rsid w:val="000204C9"/>
    <w:rsid w:val="000205A1"/>
    <w:rsid w:val="000205B3"/>
    <w:rsid w:val="0002064C"/>
    <w:rsid w:val="0002066A"/>
    <w:rsid w:val="00020799"/>
    <w:rsid w:val="000207FC"/>
    <w:rsid w:val="000208AD"/>
    <w:rsid w:val="000208B1"/>
    <w:rsid w:val="000208DE"/>
    <w:rsid w:val="00020AF9"/>
    <w:rsid w:val="00020B4A"/>
    <w:rsid w:val="00020C4B"/>
    <w:rsid w:val="00020C70"/>
    <w:rsid w:val="00020C8A"/>
    <w:rsid w:val="00020D18"/>
    <w:rsid w:val="00020D21"/>
    <w:rsid w:val="00020D63"/>
    <w:rsid w:val="00020EA3"/>
    <w:rsid w:val="00020FC4"/>
    <w:rsid w:val="000211AB"/>
    <w:rsid w:val="000214BD"/>
    <w:rsid w:val="000214CA"/>
    <w:rsid w:val="00021546"/>
    <w:rsid w:val="00021561"/>
    <w:rsid w:val="00021603"/>
    <w:rsid w:val="000216FD"/>
    <w:rsid w:val="00021727"/>
    <w:rsid w:val="000217FB"/>
    <w:rsid w:val="00021827"/>
    <w:rsid w:val="00021999"/>
    <w:rsid w:val="00021C7A"/>
    <w:rsid w:val="00021C84"/>
    <w:rsid w:val="00021DAF"/>
    <w:rsid w:val="00021E88"/>
    <w:rsid w:val="00021EEA"/>
    <w:rsid w:val="00021EF8"/>
    <w:rsid w:val="00021F0E"/>
    <w:rsid w:val="0002205D"/>
    <w:rsid w:val="00022114"/>
    <w:rsid w:val="00022175"/>
    <w:rsid w:val="00022190"/>
    <w:rsid w:val="000224AE"/>
    <w:rsid w:val="000226D0"/>
    <w:rsid w:val="0002295B"/>
    <w:rsid w:val="00022AC1"/>
    <w:rsid w:val="00022C1B"/>
    <w:rsid w:val="00022CE0"/>
    <w:rsid w:val="00022EA9"/>
    <w:rsid w:val="00022EEB"/>
    <w:rsid w:val="00022F86"/>
    <w:rsid w:val="00022FD1"/>
    <w:rsid w:val="00023068"/>
    <w:rsid w:val="00023137"/>
    <w:rsid w:val="00023139"/>
    <w:rsid w:val="00023162"/>
    <w:rsid w:val="00023257"/>
    <w:rsid w:val="00023389"/>
    <w:rsid w:val="00023B03"/>
    <w:rsid w:val="00023B18"/>
    <w:rsid w:val="00023BDB"/>
    <w:rsid w:val="00023BE4"/>
    <w:rsid w:val="00023CF4"/>
    <w:rsid w:val="00023D45"/>
    <w:rsid w:val="00023DA9"/>
    <w:rsid w:val="00023E35"/>
    <w:rsid w:val="00023E46"/>
    <w:rsid w:val="00023F88"/>
    <w:rsid w:val="00023FE8"/>
    <w:rsid w:val="00024069"/>
    <w:rsid w:val="000241C0"/>
    <w:rsid w:val="00024250"/>
    <w:rsid w:val="000243FF"/>
    <w:rsid w:val="00024427"/>
    <w:rsid w:val="00024482"/>
    <w:rsid w:val="000244A9"/>
    <w:rsid w:val="000244E1"/>
    <w:rsid w:val="000245C2"/>
    <w:rsid w:val="000245D5"/>
    <w:rsid w:val="000246BA"/>
    <w:rsid w:val="000246EB"/>
    <w:rsid w:val="0002473E"/>
    <w:rsid w:val="00024745"/>
    <w:rsid w:val="00024784"/>
    <w:rsid w:val="0002479A"/>
    <w:rsid w:val="000248DF"/>
    <w:rsid w:val="0002496A"/>
    <w:rsid w:val="00024A4B"/>
    <w:rsid w:val="00024A5C"/>
    <w:rsid w:val="00024CD0"/>
    <w:rsid w:val="00024CF6"/>
    <w:rsid w:val="00024D5F"/>
    <w:rsid w:val="00024DB5"/>
    <w:rsid w:val="00024F07"/>
    <w:rsid w:val="0002500C"/>
    <w:rsid w:val="000251CC"/>
    <w:rsid w:val="00025242"/>
    <w:rsid w:val="0002526C"/>
    <w:rsid w:val="000252E9"/>
    <w:rsid w:val="0002547B"/>
    <w:rsid w:val="000255C8"/>
    <w:rsid w:val="0002567D"/>
    <w:rsid w:val="0002570E"/>
    <w:rsid w:val="0002591B"/>
    <w:rsid w:val="00025B00"/>
    <w:rsid w:val="00025B1F"/>
    <w:rsid w:val="00025B4C"/>
    <w:rsid w:val="00025C4B"/>
    <w:rsid w:val="00025CB3"/>
    <w:rsid w:val="00025D50"/>
    <w:rsid w:val="00025E85"/>
    <w:rsid w:val="00025E94"/>
    <w:rsid w:val="00025F32"/>
    <w:rsid w:val="00025FF3"/>
    <w:rsid w:val="0002621B"/>
    <w:rsid w:val="000263F0"/>
    <w:rsid w:val="000265A4"/>
    <w:rsid w:val="0002662F"/>
    <w:rsid w:val="0002664B"/>
    <w:rsid w:val="000267B6"/>
    <w:rsid w:val="00026803"/>
    <w:rsid w:val="00026896"/>
    <w:rsid w:val="000268E0"/>
    <w:rsid w:val="00026939"/>
    <w:rsid w:val="00026A1A"/>
    <w:rsid w:val="00026AD6"/>
    <w:rsid w:val="00026B4E"/>
    <w:rsid w:val="00026CCC"/>
    <w:rsid w:val="00026D2E"/>
    <w:rsid w:val="00026D78"/>
    <w:rsid w:val="00026E43"/>
    <w:rsid w:val="00026E62"/>
    <w:rsid w:val="00026E63"/>
    <w:rsid w:val="00026E7B"/>
    <w:rsid w:val="000270D2"/>
    <w:rsid w:val="0002715A"/>
    <w:rsid w:val="00027307"/>
    <w:rsid w:val="000273C6"/>
    <w:rsid w:val="000274F7"/>
    <w:rsid w:val="00027557"/>
    <w:rsid w:val="0002755B"/>
    <w:rsid w:val="00027756"/>
    <w:rsid w:val="0002790A"/>
    <w:rsid w:val="0002799C"/>
    <w:rsid w:val="000279AA"/>
    <w:rsid w:val="000279D7"/>
    <w:rsid w:val="00027A2A"/>
    <w:rsid w:val="00027ABE"/>
    <w:rsid w:val="00027B18"/>
    <w:rsid w:val="00027C2C"/>
    <w:rsid w:val="00027D6A"/>
    <w:rsid w:val="00027DA3"/>
    <w:rsid w:val="00027E33"/>
    <w:rsid w:val="00027F42"/>
    <w:rsid w:val="00030097"/>
    <w:rsid w:val="000300D8"/>
    <w:rsid w:val="000301A6"/>
    <w:rsid w:val="00030205"/>
    <w:rsid w:val="0003024F"/>
    <w:rsid w:val="00030332"/>
    <w:rsid w:val="00030516"/>
    <w:rsid w:val="00030595"/>
    <w:rsid w:val="00030629"/>
    <w:rsid w:val="00030637"/>
    <w:rsid w:val="0003074F"/>
    <w:rsid w:val="0003079B"/>
    <w:rsid w:val="000307A9"/>
    <w:rsid w:val="00030955"/>
    <w:rsid w:val="00030A30"/>
    <w:rsid w:val="00030AD7"/>
    <w:rsid w:val="00030AE3"/>
    <w:rsid w:val="00030B0C"/>
    <w:rsid w:val="00030D32"/>
    <w:rsid w:val="00030D4F"/>
    <w:rsid w:val="00030DF6"/>
    <w:rsid w:val="00030E66"/>
    <w:rsid w:val="0003100F"/>
    <w:rsid w:val="000310F7"/>
    <w:rsid w:val="000313AC"/>
    <w:rsid w:val="000313CD"/>
    <w:rsid w:val="00031434"/>
    <w:rsid w:val="000314D8"/>
    <w:rsid w:val="00031553"/>
    <w:rsid w:val="00031648"/>
    <w:rsid w:val="000319C7"/>
    <w:rsid w:val="00031AFE"/>
    <w:rsid w:val="00031B76"/>
    <w:rsid w:val="00031B88"/>
    <w:rsid w:val="00031C31"/>
    <w:rsid w:val="00031CF4"/>
    <w:rsid w:val="00031CFC"/>
    <w:rsid w:val="00031E57"/>
    <w:rsid w:val="00031EA9"/>
    <w:rsid w:val="00031F35"/>
    <w:rsid w:val="00031F83"/>
    <w:rsid w:val="000320F2"/>
    <w:rsid w:val="0003211C"/>
    <w:rsid w:val="0003220D"/>
    <w:rsid w:val="00032228"/>
    <w:rsid w:val="00032318"/>
    <w:rsid w:val="000323E6"/>
    <w:rsid w:val="00032544"/>
    <w:rsid w:val="0003261B"/>
    <w:rsid w:val="0003268A"/>
    <w:rsid w:val="000326F5"/>
    <w:rsid w:val="0003272C"/>
    <w:rsid w:val="000327F7"/>
    <w:rsid w:val="00032856"/>
    <w:rsid w:val="000328A8"/>
    <w:rsid w:val="000329DB"/>
    <w:rsid w:val="000329E6"/>
    <w:rsid w:val="00032A82"/>
    <w:rsid w:val="00032AA4"/>
    <w:rsid w:val="00032CC6"/>
    <w:rsid w:val="00032DF5"/>
    <w:rsid w:val="00032F41"/>
    <w:rsid w:val="00033045"/>
    <w:rsid w:val="0003310D"/>
    <w:rsid w:val="0003327E"/>
    <w:rsid w:val="00033299"/>
    <w:rsid w:val="00033347"/>
    <w:rsid w:val="000335BE"/>
    <w:rsid w:val="0003369B"/>
    <w:rsid w:val="000338C9"/>
    <w:rsid w:val="00033959"/>
    <w:rsid w:val="00033985"/>
    <w:rsid w:val="00033A71"/>
    <w:rsid w:val="00033B1E"/>
    <w:rsid w:val="00033C0D"/>
    <w:rsid w:val="00033ED5"/>
    <w:rsid w:val="0003409C"/>
    <w:rsid w:val="00034169"/>
    <w:rsid w:val="000341C9"/>
    <w:rsid w:val="000342C3"/>
    <w:rsid w:val="00034605"/>
    <w:rsid w:val="00034622"/>
    <w:rsid w:val="00034916"/>
    <w:rsid w:val="000349E5"/>
    <w:rsid w:val="00034A6B"/>
    <w:rsid w:val="00034CFC"/>
    <w:rsid w:val="00034DBB"/>
    <w:rsid w:val="00034E97"/>
    <w:rsid w:val="00034F08"/>
    <w:rsid w:val="00035097"/>
    <w:rsid w:val="000350DD"/>
    <w:rsid w:val="00035436"/>
    <w:rsid w:val="000354CA"/>
    <w:rsid w:val="000355D9"/>
    <w:rsid w:val="000356FB"/>
    <w:rsid w:val="00035708"/>
    <w:rsid w:val="00035747"/>
    <w:rsid w:val="00035E1A"/>
    <w:rsid w:val="00035E8B"/>
    <w:rsid w:val="000360E7"/>
    <w:rsid w:val="000363C5"/>
    <w:rsid w:val="000364E9"/>
    <w:rsid w:val="000364EC"/>
    <w:rsid w:val="00036505"/>
    <w:rsid w:val="00036561"/>
    <w:rsid w:val="0003673D"/>
    <w:rsid w:val="00036819"/>
    <w:rsid w:val="0003681C"/>
    <w:rsid w:val="0003681D"/>
    <w:rsid w:val="00036878"/>
    <w:rsid w:val="00036895"/>
    <w:rsid w:val="0003698D"/>
    <w:rsid w:val="00036A75"/>
    <w:rsid w:val="00036BAA"/>
    <w:rsid w:val="00036C51"/>
    <w:rsid w:val="00036CDE"/>
    <w:rsid w:val="00036D2A"/>
    <w:rsid w:val="00036F1C"/>
    <w:rsid w:val="00036F6A"/>
    <w:rsid w:val="00036FD3"/>
    <w:rsid w:val="000370C8"/>
    <w:rsid w:val="0003715D"/>
    <w:rsid w:val="000372BA"/>
    <w:rsid w:val="00037429"/>
    <w:rsid w:val="000374BD"/>
    <w:rsid w:val="000374EC"/>
    <w:rsid w:val="000375E1"/>
    <w:rsid w:val="000376A7"/>
    <w:rsid w:val="00037763"/>
    <w:rsid w:val="00037A32"/>
    <w:rsid w:val="00037C56"/>
    <w:rsid w:val="00037F1A"/>
    <w:rsid w:val="00040042"/>
    <w:rsid w:val="00040135"/>
    <w:rsid w:val="00040175"/>
    <w:rsid w:val="000402A9"/>
    <w:rsid w:val="00040366"/>
    <w:rsid w:val="00040571"/>
    <w:rsid w:val="00040575"/>
    <w:rsid w:val="000405A7"/>
    <w:rsid w:val="000405CD"/>
    <w:rsid w:val="00040601"/>
    <w:rsid w:val="00040637"/>
    <w:rsid w:val="000407C7"/>
    <w:rsid w:val="0004093D"/>
    <w:rsid w:val="000409CD"/>
    <w:rsid w:val="000409D1"/>
    <w:rsid w:val="00040A37"/>
    <w:rsid w:val="00040B60"/>
    <w:rsid w:val="00040CCA"/>
    <w:rsid w:val="00040D48"/>
    <w:rsid w:val="00040F41"/>
    <w:rsid w:val="00040FB4"/>
    <w:rsid w:val="00040FB9"/>
    <w:rsid w:val="000410C8"/>
    <w:rsid w:val="00041113"/>
    <w:rsid w:val="0004116C"/>
    <w:rsid w:val="000411F5"/>
    <w:rsid w:val="0004123E"/>
    <w:rsid w:val="00041299"/>
    <w:rsid w:val="0004131D"/>
    <w:rsid w:val="00041483"/>
    <w:rsid w:val="00041748"/>
    <w:rsid w:val="0004175B"/>
    <w:rsid w:val="000418A3"/>
    <w:rsid w:val="000418FF"/>
    <w:rsid w:val="00041925"/>
    <w:rsid w:val="00041990"/>
    <w:rsid w:val="00041C73"/>
    <w:rsid w:val="00041E1B"/>
    <w:rsid w:val="00041E84"/>
    <w:rsid w:val="00041F62"/>
    <w:rsid w:val="00041FBD"/>
    <w:rsid w:val="0004208E"/>
    <w:rsid w:val="00042099"/>
    <w:rsid w:val="00042104"/>
    <w:rsid w:val="0004218E"/>
    <w:rsid w:val="000421FB"/>
    <w:rsid w:val="00042213"/>
    <w:rsid w:val="000424EA"/>
    <w:rsid w:val="0004258C"/>
    <w:rsid w:val="000427CB"/>
    <w:rsid w:val="00042A36"/>
    <w:rsid w:val="00042B1F"/>
    <w:rsid w:val="00042B43"/>
    <w:rsid w:val="00042D01"/>
    <w:rsid w:val="00042F0F"/>
    <w:rsid w:val="00042F79"/>
    <w:rsid w:val="0004303B"/>
    <w:rsid w:val="000431E2"/>
    <w:rsid w:val="000432E1"/>
    <w:rsid w:val="0004348D"/>
    <w:rsid w:val="000435E6"/>
    <w:rsid w:val="00043670"/>
    <w:rsid w:val="00043AA1"/>
    <w:rsid w:val="00043B15"/>
    <w:rsid w:val="00043B5D"/>
    <w:rsid w:val="00043B91"/>
    <w:rsid w:val="00043CF2"/>
    <w:rsid w:val="00043CFE"/>
    <w:rsid w:val="00043D53"/>
    <w:rsid w:val="00043E2B"/>
    <w:rsid w:val="00043E77"/>
    <w:rsid w:val="00043EEA"/>
    <w:rsid w:val="000442AA"/>
    <w:rsid w:val="00044339"/>
    <w:rsid w:val="000443BD"/>
    <w:rsid w:val="00044479"/>
    <w:rsid w:val="0004456B"/>
    <w:rsid w:val="000448DB"/>
    <w:rsid w:val="00044B6D"/>
    <w:rsid w:val="00044CBE"/>
    <w:rsid w:val="00044D17"/>
    <w:rsid w:val="00044D1F"/>
    <w:rsid w:val="00044DE0"/>
    <w:rsid w:val="00044FDE"/>
    <w:rsid w:val="00045166"/>
    <w:rsid w:val="0004519E"/>
    <w:rsid w:val="000451DA"/>
    <w:rsid w:val="0004522C"/>
    <w:rsid w:val="0004522F"/>
    <w:rsid w:val="000452DA"/>
    <w:rsid w:val="000454A4"/>
    <w:rsid w:val="0004550C"/>
    <w:rsid w:val="0004567C"/>
    <w:rsid w:val="0004569D"/>
    <w:rsid w:val="00045C0A"/>
    <w:rsid w:val="00045C11"/>
    <w:rsid w:val="00045C51"/>
    <w:rsid w:val="00045F20"/>
    <w:rsid w:val="00045F82"/>
    <w:rsid w:val="00046397"/>
    <w:rsid w:val="0004646B"/>
    <w:rsid w:val="000465BD"/>
    <w:rsid w:val="0004669F"/>
    <w:rsid w:val="0004679A"/>
    <w:rsid w:val="0004680F"/>
    <w:rsid w:val="00046859"/>
    <w:rsid w:val="000469E8"/>
    <w:rsid w:val="00046B06"/>
    <w:rsid w:val="00046D19"/>
    <w:rsid w:val="000470A2"/>
    <w:rsid w:val="00047121"/>
    <w:rsid w:val="000472FB"/>
    <w:rsid w:val="00047690"/>
    <w:rsid w:val="000476DD"/>
    <w:rsid w:val="00047856"/>
    <w:rsid w:val="00047951"/>
    <w:rsid w:val="000479E9"/>
    <w:rsid w:val="00047AB0"/>
    <w:rsid w:val="00047DF1"/>
    <w:rsid w:val="00047E44"/>
    <w:rsid w:val="00047E5A"/>
    <w:rsid w:val="00047EA3"/>
    <w:rsid w:val="00047F86"/>
    <w:rsid w:val="00050094"/>
    <w:rsid w:val="00050106"/>
    <w:rsid w:val="0005017B"/>
    <w:rsid w:val="00050217"/>
    <w:rsid w:val="00050265"/>
    <w:rsid w:val="000506C0"/>
    <w:rsid w:val="000507DC"/>
    <w:rsid w:val="000507E9"/>
    <w:rsid w:val="0005089C"/>
    <w:rsid w:val="000508D3"/>
    <w:rsid w:val="000509AA"/>
    <w:rsid w:val="00050AA8"/>
    <w:rsid w:val="00050AE6"/>
    <w:rsid w:val="00050BFD"/>
    <w:rsid w:val="00050CB9"/>
    <w:rsid w:val="00050E5C"/>
    <w:rsid w:val="00050EEF"/>
    <w:rsid w:val="00050F29"/>
    <w:rsid w:val="00050F87"/>
    <w:rsid w:val="00051114"/>
    <w:rsid w:val="00051194"/>
    <w:rsid w:val="00051272"/>
    <w:rsid w:val="0005127B"/>
    <w:rsid w:val="0005127F"/>
    <w:rsid w:val="000515C5"/>
    <w:rsid w:val="00051738"/>
    <w:rsid w:val="00051755"/>
    <w:rsid w:val="000517DD"/>
    <w:rsid w:val="000518B3"/>
    <w:rsid w:val="0005195A"/>
    <w:rsid w:val="000519E3"/>
    <w:rsid w:val="00051A0D"/>
    <w:rsid w:val="00051B92"/>
    <w:rsid w:val="00051CEB"/>
    <w:rsid w:val="00051D97"/>
    <w:rsid w:val="00051F3C"/>
    <w:rsid w:val="00051F6E"/>
    <w:rsid w:val="00051FA7"/>
    <w:rsid w:val="00052066"/>
    <w:rsid w:val="0005211A"/>
    <w:rsid w:val="000521B6"/>
    <w:rsid w:val="00052206"/>
    <w:rsid w:val="00052408"/>
    <w:rsid w:val="0005244C"/>
    <w:rsid w:val="000525F5"/>
    <w:rsid w:val="00052605"/>
    <w:rsid w:val="00052761"/>
    <w:rsid w:val="000528E1"/>
    <w:rsid w:val="000529D2"/>
    <w:rsid w:val="00052D75"/>
    <w:rsid w:val="00052D83"/>
    <w:rsid w:val="00052DA0"/>
    <w:rsid w:val="00052E2D"/>
    <w:rsid w:val="00052EA7"/>
    <w:rsid w:val="00052EEA"/>
    <w:rsid w:val="000531A1"/>
    <w:rsid w:val="000532CE"/>
    <w:rsid w:val="0005339A"/>
    <w:rsid w:val="00053480"/>
    <w:rsid w:val="00053512"/>
    <w:rsid w:val="00053581"/>
    <w:rsid w:val="000536B0"/>
    <w:rsid w:val="000536E9"/>
    <w:rsid w:val="0005377C"/>
    <w:rsid w:val="000537F0"/>
    <w:rsid w:val="0005381C"/>
    <w:rsid w:val="000538D8"/>
    <w:rsid w:val="00053A27"/>
    <w:rsid w:val="00053ACB"/>
    <w:rsid w:val="00053B8F"/>
    <w:rsid w:val="00053BDD"/>
    <w:rsid w:val="00053C36"/>
    <w:rsid w:val="00053EC1"/>
    <w:rsid w:val="00053F1F"/>
    <w:rsid w:val="00053F80"/>
    <w:rsid w:val="00053FE8"/>
    <w:rsid w:val="000540CC"/>
    <w:rsid w:val="0005410D"/>
    <w:rsid w:val="00054309"/>
    <w:rsid w:val="00054311"/>
    <w:rsid w:val="00054365"/>
    <w:rsid w:val="000543A9"/>
    <w:rsid w:val="0005442E"/>
    <w:rsid w:val="0005450F"/>
    <w:rsid w:val="0005451B"/>
    <w:rsid w:val="0005451C"/>
    <w:rsid w:val="00054528"/>
    <w:rsid w:val="0005471F"/>
    <w:rsid w:val="00054767"/>
    <w:rsid w:val="000547C0"/>
    <w:rsid w:val="000547F1"/>
    <w:rsid w:val="000548DD"/>
    <w:rsid w:val="00054966"/>
    <w:rsid w:val="00054A18"/>
    <w:rsid w:val="00054B0D"/>
    <w:rsid w:val="00054D1E"/>
    <w:rsid w:val="00054D55"/>
    <w:rsid w:val="00054EA7"/>
    <w:rsid w:val="00054F4A"/>
    <w:rsid w:val="00054F5C"/>
    <w:rsid w:val="00054FFD"/>
    <w:rsid w:val="00055069"/>
    <w:rsid w:val="000550D8"/>
    <w:rsid w:val="00055458"/>
    <w:rsid w:val="000554BF"/>
    <w:rsid w:val="0005552A"/>
    <w:rsid w:val="000555DB"/>
    <w:rsid w:val="00055663"/>
    <w:rsid w:val="0005566B"/>
    <w:rsid w:val="00055709"/>
    <w:rsid w:val="00055753"/>
    <w:rsid w:val="000557E1"/>
    <w:rsid w:val="000557E7"/>
    <w:rsid w:val="00055880"/>
    <w:rsid w:val="00055A2D"/>
    <w:rsid w:val="00055BF0"/>
    <w:rsid w:val="000562BE"/>
    <w:rsid w:val="000562F8"/>
    <w:rsid w:val="00056371"/>
    <w:rsid w:val="00056373"/>
    <w:rsid w:val="000563EE"/>
    <w:rsid w:val="00056401"/>
    <w:rsid w:val="000564AF"/>
    <w:rsid w:val="00056549"/>
    <w:rsid w:val="000567F7"/>
    <w:rsid w:val="000569CD"/>
    <w:rsid w:val="000569DF"/>
    <w:rsid w:val="000569E0"/>
    <w:rsid w:val="000569E2"/>
    <w:rsid w:val="00056A61"/>
    <w:rsid w:val="00056B3D"/>
    <w:rsid w:val="00056C60"/>
    <w:rsid w:val="00056D5F"/>
    <w:rsid w:val="00056E00"/>
    <w:rsid w:val="00056E89"/>
    <w:rsid w:val="00056EC9"/>
    <w:rsid w:val="00056F25"/>
    <w:rsid w:val="0005702E"/>
    <w:rsid w:val="00057093"/>
    <w:rsid w:val="00057201"/>
    <w:rsid w:val="00057296"/>
    <w:rsid w:val="00057762"/>
    <w:rsid w:val="0005784A"/>
    <w:rsid w:val="000579F6"/>
    <w:rsid w:val="00057A7A"/>
    <w:rsid w:val="00057A9B"/>
    <w:rsid w:val="00057AE6"/>
    <w:rsid w:val="00057AED"/>
    <w:rsid w:val="00057B01"/>
    <w:rsid w:val="00057C3D"/>
    <w:rsid w:val="00057D13"/>
    <w:rsid w:val="00057D68"/>
    <w:rsid w:val="00057DBB"/>
    <w:rsid w:val="00057F1E"/>
    <w:rsid w:val="0006006C"/>
    <w:rsid w:val="00060405"/>
    <w:rsid w:val="000604C7"/>
    <w:rsid w:val="0006050F"/>
    <w:rsid w:val="000607C2"/>
    <w:rsid w:val="00060956"/>
    <w:rsid w:val="00060A59"/>
    <w:rsid w:val="00060AD8"/>
    <w:rsid w:val="00060B1E"/>
    <w:rsid w:val="00060CA5"/>
    <w:rsid w:val="00060DF5"/>
    <w:rsid w:val="00060E07"/>
    <w:rsid w:val="0006104A"/>
    <w:rsid w:val="00061111"/>
    <w:rsid w:val="00061233"/>
    <w:rsid w:val="0006136D"/>
    <w:rsid w:val="0006149F"/>
    <w:rsid w:val="0006152A"/>
    <w:rsid w:val="00061535"/>
    <w:rsid w:val="0006173D"/>
    <w:rsid w:val="00061770"/>
    <w:rsid w:val="0006177C"/>
    <w:rsid w:val="000618F7"/>
    <w:rsid w:val="00061933"/>
    <w:rsid w:val="00061993"/>
    <w:rsid w:val="000619BE"/>
    <w:rsid w:val="000619E8"/>
    <w:rsid w:val="00061AE7"/>
    <w:rsid w:val="00061B8C"/>
    <w:rsid w:val="00061C02"/>
    <w:rsid w:val="00061C65"/>
    <w:rsid w:val="00061CD2"/>
    <w:rsid w:val="000620DD"/>
    <w:rsid w:val="0006211D"/>
    <w:rsid w:val="000621D1"/>
    <w:rsid w:val="0006224F"/>
    <w:rsid w:val="00062311"/>
    <w:rsid w:val="0006232D"/>
    <w:rsid w:val="00062330"/>
    <w:rsid w:val="0006236D"/>
    <w:rsid w:val="0006247B"/>
    <w:rsid w:val="000624BB"/>
    <w:rsid w:val="00062677"/>
    <w:rsid w:val="00062A5B"/>
    <w:rsid w:val="00062BD0"/>
    <w:rsid w:val="00062C1D"/>
    <w:rsid w:val="00062C57"/>
    <w:rsid w:val="00062D39"/>
    <w:rsid w:val="00062D3E"/>
    <w:rsid w:val="00062D47"/>
    <w:rsid w:val="00062DF7"/>
    <w:rsid w:val="00062EE9"/>
    <w:rsid w:val="000630D1"/>
    <w:rsid w:val="000630D3"/>
    <w:rsid w:val="00063126"/>
    <w:rsid w:val="0006322F"/>
    <w:rsid w:val="000633E8"/>
    <w:rsid w:val="00063437"/>
    <w:rsid w:val="000634AA"/>
    <w:rsid w:val="000634E9"/>
    <w:rsid w:val="0006352A"/>
    <w:rsid w:val="0006366E"/>
    <w:rsid w:val="000638D1"/>
    <w:rsid w:val="00063954"/>
    <w:rsid w:val="0006395F"/>
    <w:rsid w:val="00063961"/>
    <w:rsid w:val="00063A26"/>
    <w:rsid w:val="00063BD2"/>
    <w:rsid w:val="00063C9D"/>
    <w:rsid w:val="00063D40"/>
    <w:rsid w:val="00063E5D"/>
    <w:rsid w:val="00064072"/>
    <w:rsid w:val="0006408A"/>
    <w:rsid w:val="000641AD"/>
    <w:rsid w:val="000641EB"/>
    <w:rsid w:val="00064553"/>
    <w:rsid w:val="00064557"/>
    <w:rsid w:val="00064713"/>
    <w:rsid w:val="00064721"/>
    <w:rsid w:val="000648E8"/>
    <w:rsid w:val="0006491F"/>
    <w:rsid w:val="00064B9D"/>
    <w:rsid w:val="00064CE5"/>
    <w:rsid w:val="00064D66"/>
    <w:rsid w:val="000650B7"/>
    <w:rsid w:val="0006519E"/>
    <w:rsid w:val="000651D2"/>
    <w:rsid w:val="000651E4"/>
    <w:rsid w:val="00065384"/>
    <w:rsid w:val="000653F5"/>
    <w:rsid w:val="0006543F"/>
    <w:rsid w:val="0006549B"/>
    <w:rsid w:val="0006557D"/>
    <w:rsid w:val="000656EC"/>
    <w:rsid w:val="000657A7"/>
    <w:rsid w:val="000657B8"/>
    <w:rsid w:val="000659B9"/>
    <w:rsid w:val="000659C7"/>
    <w:rsid w:val="000659F8"/>
    <w:rsid w:val="00065BF3"/>
    <w:rsid w:val="00065D21"/>
    <w:rsid w:val="00065D33"/>
    <w:rsid w:val="00065DBB"/>
    <w:rsid w:val="00065E21"/>
    <w:rsid w:val="00065E80"/>
    <w:rsid w:val="00065E83"/>
    <w:rsid w:val="000660D1"/>
    <w:rsid w:val="0006625E"/>
    <w:rsid w:val="0006635C"/>
    <w:rsid w:val="00066379"/>
    <w:rsid w:val="0006644A"/>
    <w:rsid w:val="0006649D"/>
    <w:rsid w:val="000664E4"/>
    <w:rsid w:val="000665AB"/>
    <w:rsid w:val="00066705"/>
    <w:rsid w:val="0006678D"/>
    <w:rsid w:val="00066858"/>
    <w:rsid w:val="000668DE"/>
    <w:rsid w:val="00066970"/>
    <w:rsid w:val="000669AA"/>
    <w:rsid w:val="00066AE6"/>
    <w:rsid w:val="00066BB2"/>
    <w:rsid w:val="00066C19"/>
    <w:rsid w:val="00066C63"/>
    <w:rsid w:val="00066D82"/>
    <w:rsid w:val="00066E63"/>
    <w:rsid w:val="00066F8C"/>
    <w:rsid w:val="00066FC9"/>
    <w:rsid w:val="00067041"/>
    <w:rsid w:val="0006713C"/>
    <w:rsid w:val="0006722B"/>
    <w:rsid w:val="00067369"/>
    <w:rsid w:val="00067384"/>
    <w:rsid w:val="000673C3"/>
    <w:rsid w:val="00067577"/>
    <w:rsid w:val="0006781F"/>
    <w:rsid w:val="00067906"/>
    <w:rsid w:val="00067934"/>
    <w:rsid w:val="000679BC"/>
    <w:rsid w:val="00067A63"/>
    <w:rsid w:val="00067B7D"/>
    <w:rsid w:val="00067F73"/>
    <w:rsid w:val="00070049"/>
    <w:rsid w:val="00070287"/>
    <w:rsid w:val="000702C3"/>
    <w:rsid w:val="00070370"/>
    <w:rsid w:val="00070379"/>
    <w:rsid w:val="0007039D"/>
    <w:rsid w:val="0007076D"/>
    <w:rsid w:val="0007086E"/>
    <w:rsid w:val="000708BB"/>
    <w:rsid w:val="0007095C"/>
    <w:rsid w:val="00070B45"/>
    <w:rsid w:val="00070B47"/>
    <w:rsid w:val="00070C67"/>
    <w:rsid w:val="00070EA5"/>
    <w:rsid w:val="00070EF2"/>
    <w:rsid w:val="0007102B"/>
    <w:rsid w:val="00071101"/>
    <w:rsid w:val="0007162B"/>
    <w:rsid w:val="0007176E"/>
    <w:rsid w:val="00071775"/>
    <w:rsid w:val="000717B8"/>
    <w:rsid w:val="00071825"/>
    <w:rsid w:val="0007185D"/>
    <w:rsid w:val="00071A0E"/>
    <w:rsid w:val="00071CE1"/>
    <w:rsid w:val="00071D0C"/>
    <w:rsid w:val="00071D90"/>
    <w:rsid w:val="00071DE6"/>
    <w:rsid w:val="00071E97"/>
    <w:rsid w:val="00071E9D"/>
    <w:rsid w:val="00071EF7"/>
    <w:rsid w:val="00071F1E"/>
    <w:rsid w:val="00072110"/>
    <w:rsid w:val="0007223E"/>
    <w:rsid w:val="000722EF"/>
    <w:rsid w:val="00072373"/>
    <w:rsid w:val="00072625"/>
    <w:rsid w:val="00072753"/>
    <w:rsid w:val="00072881"/>
    <w:rsid w:val="000728E7"/>
    <w:rsid w:val="0007291B"/>
    <w:rsid w:val="000729C7"/>
    <w:rsid w:val="00072AB5"/>
    <w:rsid w:val="00072BC4"/>
    <w:rsid w:val="00072CBE"/>
    <w:rsid w:val="00072CFE"/>
    <w:rsid w:val="000730C2"/>
    <w:rsid w:val="0007310A"/>
    <w:rsid w:val="00073172"/>
    <w:rsid w:val="000731C5"/>
    <w:rsid w:val="0007335C"/>
    <w:rsid w:val="000733D6"/>
    <w:rsid w:val="00073475"/>
    <w:rsid w:val="00073491"/>
    <w:rsid w:val="000734CE"/>
    <w:rsid w:val="00073595"/>
    <w:rsid w:val="0007360C"/>
    <w:rsid w:val="000736C9"/>
    <w:rsid w:val="0007387D"/>
    <w:rsid w:val="000738EB"/>
    <w:rsid w:val="00073944"/>
    <w:rsid w:val="00073B41"/>
    <w:rsid w:val="00073BF5"/>
    <w:rsid w:val="00073CF7"/>
    <w:rsid w:val="00073D18"/>
    <w:rsid w:val="00073D9D"/>
    <w:rsid w:val="00073E21"/>
    <w:rsid w:val="00073E33"/>
    <w:rsid w:val="00073E7F"/>
    <w:rsid w:val="00073E85"/>
    <w:rsid w:val="00073E92"/>
    <w:rsid w:val="000740A1"/>
    <w:rsid w:val="000743F0"/>
    <w:rsid w:val="000745D2"/>
    <w:rsid w:val="000745ED"/>
    <w:rsid w:val="0007483F"/>
    <w:rsid w:val="00074881"/>
    <w:rsid w:val="00074C52"/>
    <w:rsid w:val="00074E22"/>
    <w:rsid w:val="00074F1C"/>
    <w:rsid w:val="00074FBB"/>
    <w:rsid w:val="00075051"/>
    <w:rsid w:val="00075593"/>
    <w:rsid w:val="000756D8"/>
    <w:rsid w:val="0007573D"/>
    <w:rsid w:val="0007582F"/>
    <w:rsid w:val="00075D06"/>
    <w:rsid w:val="0007602F"/>
    <w:rsid w:val="00076339"/>
    <w:rsid w:val="00076434"/>
    <w:rsid w:val="00076475"/>
    <w:rsid w:val="0007651D"/>
    <w:rsid w:val="00076577"/>
    <w:rsid w:val="0007672D"/>
    <w:rsid w:val="00076879"/>
    <w:rsid w:val="00076930"/>
    <w:rsid w:val="000769D4"/>
    <w:rsid w:val="000769DC"/>
    <w:rsid w:val="00076A9B"/>
    <w:rsid w:val="00076B56"/>
    <w:rsid w:val="00076CAF"/>
    <w:rsid w:val="00076D66"/>
    <w:rsid w:val="00076D8D"/>
    <w:rsid w:val="00076DA5"/>
    <w:rsid w:val="00076ECF"/>
    <w:rsid w:val="00077144"/>
    <w:rsid w:val="0007715A"/>
    <w:rsid w:val="000772B1"/>
    <w:rsid w:val="00077350"/>
    <w:rsid w:val="000773FA"/>
    <w:rsid w:val="00077426"/>
    <w:rsid w:val="000774CF"/>
    <w:rsid w:val="00077575"/>
    <w:rsid w:val="000776DC"/>
    <w:rsid w:val="0007772A"/>
    <w:rsid w:val="0007789D"/>
    <w:rsid w:val="00077924"/>
    <w:rsid w:val="000779B2"/>
    <w:rsid w:val="000779DC"/>
    <w:rsid w:val="00077AAF"/>
    <w:rsid w:val="00077AB5"/>
    <w:rsid w:val="00077ADE"/>
    <w:rsid w:val="00077B5A"/>
    <w:rsid w:val="00077BA1"/>
    <w:rsid w:val="00077BAB"/>
    <w:rsid w:val="00077CA2"/>
    <w:rsid w:val="00077ED6"/>
    <w:rsid w:val="00077F19"/>
    <w:rsid w:val="00080019"/>
    <w:rsid w:val="00080089"/>
    <w:rsid w:val="00080249"/>
    <w:rsid w:val="000802B5"/>
    <w:rsid w:val="000803AC"/>
    <w:rsid w:val="00080439"/>
    <w:rsid w:val="0008069B"/>
    <w:rsid w:val="00080824"/>
    <w:rsid w:val="00080895"/>
    <w:rsid w:val="000808A8"/>
    <w:rsid w:val="00080A6B"/>
    <w:rsid w:val="00080A81"/>
    <w:rsid w:val="00080ABF"/>
    <w:rsid w:val="00080C11"/>
    <w:rsid w:val="00080CBC"/>
    <w:rsid w:val="00080D12"/>
    <w:rsid w:val="00080DD0"/>
    <w:rsid w:val="00080E35"/>
    <w:rsid w:val="00080F75"/>
    <w:rsid w:val="00080F8F"/>
    <w:rsid w:val="000812B4"/>
    <w:rsid w:val="000812ED"/>
    <w:rsid w:val="0008145B"/>
    <w:rsid w:val="000814CF"/>
    <w:rsid w:val="00081636"/>
    <w:rsid w:val="00081696"/>
    <w:rsid w:val="000816E0"/>
    <w:rsid w:val="000817A6"/>
    <w:rsid w:val="000817FB"/>
    <w:rsid w:val="00081905"/>
    <w:rsid w:val="00081945"/>
    <w:rsid w:val="00081989"/>
    <w:rsid w:val="000819A8"/>
    <w:rsid w:val="00081E45"/>
    <w:rsid w:val="00081F21"/>
    <w:rsid w:val="00081F57"/>
    <w:rsid w:val="00081F96"/>
    <w:rsid w:val="00081FAD"/>
    <w:rsid w:val="0008208B"/>
    <w:rsid w:val="00082090"/>
    <w:rsid w:val="00082262"/>
    <w:rsid w:val="000823BE"/>
    <w:rsid w:val="00082684"/>
    <w:rsid w:val="00082914"/>
    <w:rsid w:val="00082971"/>
    <w:rsid w:val="000829F8"/>
    <w:rsid w:val="00082A3A"/>
    <w:rsid w:val="00082A8A"/>
    <w:rsid w:val="00082B1E"/>
    <w:rsid w:val="00082BF3"/>
    <w:rsid w:val="00082C5B"/>
    <w:rsid w:val="00082CA8"/>
    <w:rsid w:val="00082D40"/>
    <w:rsid w:val="00082D42"/>
    <w:rsid w:val="00082DEF"/>
    <w:rsid w:val="00082E22"/>
    <w:rsid w:val="00083022"/>
    <w:rsid w:val="000831D0"/>
    <w:rsid w:val="00083334"/>
    <w:rsid w:val="00083398"/>
    <w:rsid w:val="00083486"/>
    <w:rsid w:val="000834CD"/>
    <w:rsid w:val="00083537"/>
    <w:rsid w:val="00083826"/>
    <w:rsid w:val="00083837"/>
    <w:rsid w:val="00083842"/>
    <w:rsid w:val="00083858"/>
    <w:rsid w:val="00083877"/>
    <w:rsid w:val="00083975"/>
    <w:rsid w:val="00083B06"/>
    <w:rsid w:val="00083B3C"/>
    <w:rsid w:val="00083BA3"/>
    <w:rsid w:val="00083C15"/>
    <w:rsid w:val="00083D3F"/>
    <w:rsid w:val="00083EA5"/>
    <w:rsid w:val="00083EC5"/>
    <w:rsid w:val="000840C3"/>
    <w:rsid w:val="0008433D"/>
    <w:rsid w:val="000843A3"/>
    <w:rsid w:val="00084494"/>
    <w:rsid w:val="000844D9"/>
    <w:rsid w:val="0008456B"/>
    <w:rsid w:val="000845A6"/>
    <w:rsid w:val="00084613"/>
    <w:rsid w:val="00084672"/>
    <w:rsid w:val="000847BF"/>
    <w:rsid w:val="00084A2B"/>
    <w:rsid w:val="00084ABB"/>
    <w:rsid w:val="00084BF7"/>
    <w:rsid w:val="00084C7C"/>
    <w:rsid w:val="00084E18"/>
    <w:rsid w:val="00084EE0"/>
    <w:rsid w:val="00084FBA"/>
    <w:rsid w:val="00085013"/>
    <w:rsid w:val="00085129"/>
    <w:rsid w:val="000851A7"/>
    <w:rsid w:val="00085292"/>
    <w:rsid w:val="00085331"/>
    <w:rsid w:val="0008536D"/>
    <w:rsid w:val="000853B6"/>
    <w:rsid w:val="0008558D"/>
    <w:rsid w:val="000855F4"/>
    <w:rsid w:val="00085729"/>
    <w:rsid w:val="00085BC3"/>
    <w:rsid w:val="00085C68"/>
    <w:rsid w:val="00085D0E"/>
    <w:rsid w:val="00085DE5"/>
    <w:rsid w:val="00085E68"/>
    <w:rsid w:val="00085EA1"/>
    <w:rsid w:val="00086045"/>
    <w:rsid w:val="000860A5"/>
    <w:rsid w:val="0008610F"/>
    <w:rsid w:val="00086130"/>
    <w:rsid w:val="000861D9"/>
    <w:rsid w:val="0008638B"/>
    <w:rsid w:val="000863C4"/>
    <w:rsid w:val="0008647F"/>
    <w:rsid w:val="00086587"/>
    <w:rsid w:val="000866B6"/>
    <w:rsid w:val="0008677E"/>
    <w:rsid w:val="000867DC"/>
    <w:rsid w:val="0008694B"/>
    <w:rsid w:val="000869E1"/>
    <w:rsid w:val="000869F6"/>
    <w:rsid w:val="00086A5C"/>
    <w:rsid w:val="00086B04"/>
    <w:rsid w:val="00086C42"/>
    <w:rsid w:val="00086DAF"/>
    <w:rsid w:val="00086E69"/>
    <w:rsid w:val="00086EBC"/>
    <w:rsid w:val="00086F44"/>
    <w:rsid w:val="00087155"/>
    <w:rsid w:val="00087240"/>
    <w:rsid w:val="000872EE"/>
    <w:rsid w:val="00087564"/>
    <w:rsid w:val="000875F2"/>
    <w:rsid w:val="0008767C"/>
    <w:rsid w:val="000876A4"/>
    <w:rsid w:val="000876D7"/>
    <w:rsid w:val="000876E7"/>
    <w:rsid w:val="0008779D"/>
    <w:rsid w:val="0008780E"/>
    <w:rsid w:val="00087A9C"/>
    <w:rsid w:val="00087BC7"/>
    <w:rsid w:val="00087BE1"/>
    <w:rsid w:val="00087BE9"/>
    <w:rsid w:val="00087F7D"/>
    <w:rsid w:val="00087FC4"/>
    <w:rsid w:val="00090002"/>
    <w:rsid w:val="00090080"/>
    <w:rsid w:val="0009032D"/>
    <w:rsid w:val="00090362"/>
    <w:rsid w:val="00090402"/>
    <w:rsid w:val="000908A2"/>
    <w:rsid w:val="00090AB9"/>
    <w:rsid w:val="00090CBA"/>
    <w:rsid w:val="00090D6D"/>
    <w:rsid w:val="00090DBA"/>
    <w:rsid w:val="00090E15"/>
    <w:rsid w:val="00090EC0"/>
    <w:rsid w:val="00090F60"/>
    <w:rsid w:val="000910DA"/>
    <w:rsid w:val="00091196"/>
    <w:rsid w:val="0009132F"/>
    <w:rsid w:val="0009139C"/>
    <w:rsid w:val="00091596"/>
    <w:rsid w:val="000915CA"/>
    <w:rsid w:val="00091632"/>
    <w:rsid w:val="000916CE"/>
    <w:rsid w:val="000916FC"/>
    <w:rsid w:val="00091785"/>
    <w:rsid w:val="0009179A"/>
    <w:rsid w:val="00091AD2"/>
    <w:rsid w:val="00091AFF"/>
    <w:rsid w:val="00091B18"/>
    <w:rsid w:val="00091B25"/>
    <w:rsid w:val="00091C4F"/>
    <w:rsid w:val="00091D1F"/>
    <w:rsid w:val="00091D6E"/>
    <w:rsid w:val="00091DEF"/>
    <w:rsid w:val="00091EEF"/>
    <w:rsid w:val="00091FA8"/>
    <w:rsid w:val="00092094"/>
    <w:rsid w:val="000922E6"/>
    <w:rsid w:val="00092318"/>
    <w:rsid w:val="000923B4"/>
    <w:rsid w:val="000924C7"/>
    <w:rsid w:val="00092533"/>
    <w:rsid w:val="00092687"/>
    <w:rsid w:val="000926CF"/>
    <w:rsid w:val="00092766"/>
    <w:rsid w:val="000928AF"/>
    <w:rsid w:val="000928FE"/>
    <w:rsid w:val="00092B97"/>
    <w:rsid w:val="00092C50"/>
    <w:rsid w:val="00092F7F"/>
    <w:rsid w:val="000930E2"/>
    <w:rsid w:val="000930F8"/>
    <w:rsid w:val="0009310B"/>
    <w:rsid w:val="00093188"/>
    <w:rsid w:val="00093603"/>
    <w:rsid w:val="0009364E"/>
    <w:rsid w:val="00093796"/>
    <w:rsid w:val="00093910"/>
    <w:rsid w:val="00093933"/>
    <w:rsid w:val="00093980"/>
    <w:rsid w:val="000939CA"/>
    <w:rsid w:val="00093A01"/>
    <w:rsid w:val="00093A81"/>
    <w:rsid w:val="00093AC9"/>
    <w:rsid w:val="00093CAE"/>
    <w:rsid w:val="00093DC1"/>
    <w:rsid w:val="00093DDB"/>
    <w:rsid w:val="00093F7F"/>
    <w:rsid w:val="00094010"/>
    <w:rsid w:val="000943A8"/>
    <w:rsid w:val="00094437"/>
    <w:rsid w:val="00094531"/>
    <w:rsid w:val="0009462A"/>
    <w:rsid w:val="00094676"/>
    <w:rsid w:val="00094869"/>
    <w:rsid w:val="000948C6"/>
    <w:rsid w:val="00094978"/>
    <w:rsid w:val="00094AC1"/>
    <w:rsid w:val="00094CBC"/>
    <w:rsid w:val="00094F91"/>
    <w:rsid w:val="0009502B"/>
    <w:rsid w:val="000950A8"/>
    <w:rsid w:val="0009511A"/>
    <w:rsid w:val="000954C2"/>
    <w:rsid w:val="000954C4"/>
    <w:rsid w:val="0009567D"/>
    <w:rsid w:val="0009569E"/>
    <w:rsid w:val="00095854"/>
    <w:rsid w:val="00095AC7"/>
    <w:rsid w:val="00095BC6"/>
    <w:rsid w:val="00095BE5"/>
    <w:rsid w:val="00095C0C"/>
    <w:rsid w:val="00095C6C"/>
    <w:rsid w:val="00095D24"/>
    <w:rsid w:val="00095E05"/>
    <w:rsid w:val="00095E18"/>
    <w:rsid w:val="00095EB0"/>
    <w:rsid w:val="00095F28"/>
    <w:rsid w:val="00095F79"/>
    <w:rsid w:val="00096010"/>
    <w:rsid w:val="0009620A"/>
    <w:rsid w:val="00096356"/>
    <w:rsid w:val="0009639C"/>
    <w:rsid w:val="0009650F"/>
    <w:rsid w:val="00096616"/>
    <w:rsid w:val="00096896"/>
    <w:rsid w:val="000968E8"/>
    <w:rsid w:val="000969BB"/>
    <w:rsid w:val="00096A17"/>
    <w:rsid w:val="00096C06"/>
    <w:rsid w:val="00096C31"/>
    <w:rsid w:val="00096D20"/>
    <w:rsid w:val="00096D28"/>
    <w:rsid w:val="00096D42"/>
    <w:rsid w:val="00096DE7"/>
    <w:rsid w:val="00096E11"/>
    <w:rsid w:val="00096E12"/>
    <w:rsid w:val="00096E4E"/>
    <w:rsid w:val="00096F44"/>
    <w:rsid w:val="000970BA"/>
    <w:rsid w:val="000970F8"/>
    <w:rsid w:val="00097192"/>
    <w:rsid w:val="0009720F"/>
    <w:rsid w:val="000973C7"/>
    <w:rsid w:val="00097540"/>
    <w:rsid w:val="0009758B"/>
    <w:rsid w:val="0009760C"/>
    <w:rsid w:val="00097626"/>
    <w:rsid w:val="0009769B"/>
    <w:rsid w:val="000976B4"/>
    <w:rsid w:val="00097790"/>
    <w:rsid w:val="00097866"/>
    <w:rsid w:val="00097B06"/>
    <w:rsid w:val="00097C01"/>
    <w:rsid w:val="00097CF0"/>
    <w:rsid w:val="00097D78"/>
    <w:rsid w:val="00097ED4"/>
    <w:rsid w:val="00097F09"/>
    <w:rsid w:val="00097F5C"/>
    <w:rsid w:val="00097F92"/>
    <w:rsid w:val="00097F9F"/>
    <w:rsid w:val="000A011D"/>
    <w:rsid w:val="000A0205"/>
    <w:rsid w:val="000A06D6"/>
    <w:rsid w:val="000A07C9"/>
    <w:rsid w:val="000A0934"/>
    <w:rsid w:val="000A09ED"/>
    <w:rsid w:val="000A0A68"/>
    <w:rsid w:val="000A0C33"/>
    <w:rsid w:val="000A0D9F"/>
    <w:rsid w:val="000A0E11"/>
    <w:rsid w:val="000A0EF5"/>
    <w:rsid w:val="000A102F"/>
    <w:rsid w:val="000A10A5"/>
    <w:rsid w:val="000A1133"/>
    <w:rsid w:val="000A1229"/>
    <w:rsid w:val="000A122E"/>
    <w:rsid w:val="000A12A0"/>
    <w:rsid w:val="000A1303"/>
    <w:rsid w:val="000A1324"/>
    <w:rsid w:val="000A132F"/>
    <w:rsid w:val="000A1368"/>
    <w:rsid w:val="000A157E"/>
    <w:rsid w:val="000A15FF"/>
    <w:rsid w:val="000A1620"/>
    <w:rsid w:val="000A1667"/>
    <w:rsid w:val="000A170C"/>
    <w:rsid w:val="000A17C5"/>
    <w:rsid w:val="000A17F0"/>
    <w:rsid w:val="000A17F1"/>
    <w:rsid w:val="000A186B"/>
    <w:rsid w:val="000A18E3"/>
    <w:rsid w:val="000A1901"/>
    <w:rsid w:val="000A193C"/>
    <w:rsid w:val="000A1967"/>
    <w:rsid w:val="000A1B09"/>
    <w:rsid w:val="000A1BD5"/>
    <w:rsid w:val="000A1C0D"/>
    <w:rsid w:val="000A1CDF"/>
    <w:rsid w:val="000A1DED"/>
    <w:rsid w:val="000A1E21"/>
    <w:rsid w:val="000A1EB1"/>
    <w:rsid w:val="000A1EC4"/>
    <w:rsid w:val="000A219B"/>
    <w:rsid w:val="000A21FB"/>
    <w:rsid w:val="000A22B5"/>
    <w:rsid w:val="000A2395"/>
    <w:rsid w:val="000A2404"/>
    <w:rsid w:val="000A2612"/>
    <w:rsid w:val="000A2AEC"/>
    <w:rsid w:val="000A2B13"/>
    <w:rsid w:val="000A2BB6"/>
    <w:rsid w:val="000A2D35"/>
    <w:rsid w:val="000A2DC0"/>
    <w:rsid w:val="000A2DC3"/>
    <w:rsid w:val="000A2E24"/>
    <w:rsid w:val="000A2F37"/>
    <w:rsid w:val="000A30A5"/>
    <w:rsid w:val="000A3130"/>
    <w:rsid w:val="000A32C5"/>
    <w:rsid w:val="000A336C"/>
    <w:rsid w:val="000A338F"/>
    <w:rsid w:val="000A33AB"/>
    <w:rsid w:val="000A33B5"/>
    <w:rsid w:val="000A33BF"/>
    <w:rsid w:val="000A342A"/>
    <w:rsid w:val="000A346F"/>
    <w:rsid w:val="000A34ED"/>
    <w:rsid w:val="000A3524"/>
    <w:rsid w:val="000A357A"/>
    <w:rsid w:val="000A35F6"/>
    <w:rsid w:val="000A362B"/>
    <w:rsid w:val="000A379B"/>
    <w:rsid w:val="000A37EA"/>
    <w:rsid w:val="000A3898"/>
    <w:rsid w:val="000A3A61"/>
    <w:rsid w:val="000A3BF3"/>
    <w:rsid w:val="000A3C2F"/>
    <w:rsid w:val="000A3F39"/>
    <w:rsid w:val="000A4086"/>
    <w:rsid w:val="000A412A"/>
    <w:rsid w:val="000A41F6"/>
    <w:rsid w:val="000A42B3"/>
    <w:rsid w:val="000A42E4"/>
    <w:rsid w:val="000A44D5"/>
    <w:rsid w:val="000A46C3"/>
    <w:rsid w:val="000A46D1"/>
    <w:rsid w:val="000A481C"/>
    <w:rsid w:val="000A4836"/>
    <w:rsid w:val="000A487A"/>
    <w:rsid w:val="000A48D1"/>
    <w:rsid w:val="000A4E68"/>
    <w:rsid w:val="000A5019"/>
    <w:rsid w:val="000A50FF"/>
    <w:rsid w:val="000A510B"/>
    <w:rsid w:val="000A5141"/>
    <w:rsid w:val="000A52A1"/>
    <w:rsid w:val="000A5308"/>
    <w:rsid w:val="000A5488"/>
    <w:rsid w:val="000A5824"/>
    <w:rsid w:val="000A58E7"/>
    <w:rsid w:val="000A5996"/>
    <w:rsid w:val="000A5AF0"/>
    <w:rsid w:val="000A5CD9"/>
    <w:rsid w:val="000A5DB9"/>
    <w:rsid w:val="000A5E95"/>
    <w:rsid w:val="000A62B7"/>
    <w:rsid w:val="000A62CD"/>
    <w:rsid w:val="000A633D"/>
    <w:rsid w:val="000A6389"/>
    <w:rsid w:val="000A6392"/>
    <w:rsid w:val="000A639A"/>
    <w:rsid w:val="000A646A"/>
    <w:rsid w:val="000A6650"/>
    <w:rsid w:val="000A67BE"/>
    <w:rsid w:val="000A6867"/>
    <w:rsid w:val="000A6922"/>
    <w:rsid w:val="000A6B43"/>
    <w:rsid w:val="000A6C96"/>
    <w:rsid w:val="000A6D62"/>
    <w:rsid w:val="000A6F23"/>
    <w:rsid w:val="000A7418"/>
    <w:rsid w:val="000A748A"/>
    <w:rsid w:val="000A74C3"/>
    <w:rsid w:val="000A7515"/>
    <w:rsid w:val="000A756F"/>
    <w:rsid w:val="000A762E"/>
    <w:rsid w:val="000A764D"/>
    <w:rsid w:val="000A78F9"/>
    <w:rsid w:val="000A7AA9"/>
    <w:rsid w:val="000A7C5E"/>
    <w:rsid w:val="000A7D02"/>
    <w:rsid w:val="000A7E55"/>
    <w:rsid w:val="000A7E96"/>
    <w:rsid w:val="000B009F"/>
    <w:rsid w:val="000B0145"/>
    <w:rsid w:val="000B0264"/>
    <w:rsid w:val="000B0299"/>
    <w:rsid w:val="000B03DD"/>
    <w:rsid w:val="000B043C"/>
    <w:rsid w:val="000B066E"/>
    <w:rsid w:val="000B0724"/>
    <w:rsid w:val="000B0835"/>
    <w:rsid w:val="000B08EC"/>
    <w:rsid w:val="000B08F0"/>
    <w:rsid w:val="000B096A"/>
    <w:rsid w:val="000B09DE"/>
    <w:rsid w:val="000B0A33"/>
    <w:rsid w:val="000B0AD7"/>
    <w:rsid w:val="000B0BDE"/>
    <w:rsid w:val="000B0CFF"/>
    <w:rsid w:val="000B0D24"/>
    <w:rsid w:val="000B0DA9"/>
    <w:rsid w:val="000B0DE2"/>
    <w:rsid w:val="000B0ED2"/>
    <w:rsid w:val="000B0F35"/>
    <w:rsid w:val="000B1003"/>
    <w:rsid w:val="000B1136"/>
    <w:rsid w:val="000B1395"/>
    <w:rsid w:val="000B13BC"/>
    <w:rsid w:val="000B13C8"/>
    <w:rsid w:val="000B1440"/>
    <w:rsid w:val="000B15C5"/>
    <w:rsid w:val="000B1611"/>
    <w:rsid w:val="000B1613"/>
    <w:rsid w:val="000B16CB"/>
    <w:rsid w:val="000B16E8"/>
    <w:rsid w:val="000B175F"/>
    <w:rsid w:val="000B17A8"/>
    <w:rsid w:val="000B1905"/>
    <w:rsid w:val="000B195B"/>
    <w:rsid w:val="000B1A9C"/>
    <w:rsid w:val="000B1B02"/>
    <w:rsid w:val="000B1BA1"/>
    <w:rsid w:val="000B1D7A"/>
    <w:rsid w:val="000B1E15"/>
    <w:rsid w:val="000B1E4C"/>
    <w:rsid w:val="000B1F17"/>
    <w:rsid w:val="000B2042"/>
    <w:rsid w:val="000B20C1"/>
    <w:rsid w:val="000B20D3"/>
    <w:rsid w:val="000B2280"/>
    <w:rsid w:val="000B23AC"/>
    <w:rsid w:val="000B2490"/>
    <w:rsid w:val="000B2570"/>
    <w:rsid w:val="000B2660"/>
    <w:rsid w:val="000B286B"/>
    <w:rsid w:val="000B2942"/>
    <w:rsid w:val="000B2944"/>
    <w:rsid w:val="000B2AF2"/>
    <w:rsid w:val="000B2B21"/>
    <w:rsid w:val="000B2BD1"/>
    <w:rsid w:val="000B2BFD"/>
    <w:rsid w:val="000B2CFB"/>
    <w:rsid w:val="000B2DCD"/>
    <w:rsid w:val="000B2E2A"/>
    <w:rsid w:val="000B2ED2"/>
    <w:rsid w:val="000B2F0F"/>
    <w:rsid w:val="000B2F42"/>
    <w:rsid w:val="000B3034"/>
    <w:rsid w:val="000B3097"/>
    <w:rsid w:val="000B309E"/>
    <w:rsid w:val="000B30C2"/>
    <w:rsid w:val="000B34F2"/>
    <w:rsid w:val="000B3557"/>
    <w:rsid w:val="000B3623"/>
    <w:rsid w:val="000B365D"/>
    <w:rsid w:val="000B3675"/>
    <w:rsid w:val="000B3746"/>
    <w:rsid w:val="000B375D"/>
    <w:rsid w:val="000B38E8"/>
    <w:rsid w:val="000B3A07"/>
    <w:rsid w:val="000B3BB2"/>
    <w:rsid w:val="000B3C0C"/>
    <w:rsid w:val="000B3DC4"/>
    <w:rsid w:val="000B3DF7"/>
    <w:rsid w:val="000B3ED5"/>
    <w:rsid w:val="000B3F0A"/>
    <w:rsid w:val="000B3F3E"/>
    <w:rsid w:val="000B4179"/>
    <w:rsid w:val="000B42CB"/>
    <w:rsid w:val="000B442C"/>
    <w:rsid w:val="000B4493"/>
    <w:rsid w:val="000B44E3"/>
    <w:rsid w:val="000B4607"/>
    <w:rsid w:val="000B4626"/>
    <w:rsid w:val="000B46CC"/>
    <w:rsid w:val="000B48F2"/>
    <w:rsid w:val="000B4935"/>
    <w:rsid w:val="000B4970"/>
    <w:rsid w:val="000B4A1B"/>
    <w:rsid w:val="000B4B3B"/>
    <w:rsid w:val="000B4FDE"/>
    <w:rsid w:val="000B5042"/>
    <w:rsid w:val="000B50D2"/>
    <w:rsid w:val="000B5136"/>
    <w:rsid w:val="000B51EF"/>
    <w:rsid w:val="000B520F"/>
    <w:rsid w:val="000B5227"/>
    <w:rsid w:val="000B52EA"/>
    <w:rsid w:val="000B534E"/>
    <w:rsid w:val="000B53C0"/>
    <w:rsid w:val="000B53C8"/>
    <w:rsid w:val="000B53FD"/>
    <w:rsid w:val="000B56FE"/>
    <w:rsid w:val="000B5744"/>
    <w:rsid w:val="000B5767"/>
    <w:rsid w:val="000B5835"/>
    <w:rsid w:val="000B58FE"/>
    <w:rsid w:val="000B5936"/>
    <w:rsid w:val="000B5B36"/>
    <w:rsid w:val="000B5B75"/>
    <w:rsid w:val="000B5BBF"/>
    <w:rsid w:val="000B5C2F"/>
    <w:rsid w:val="000B5FCA"/>
    <w:rsid w:val="000B609C"/>
    <w:rsid w:val="000B60B4"/>
    <w:rsid w:val="000B60EF"/>
    <w:rsid w:val="000B6184"/>
    <w:rsid w:val="000B61DE"/>
    <w:rsid w:val="000B6315"/>
    <w:rsid w:val="000B64E3"/>
    <w:rsid w:val="000B6622"/>
    <w:rsid w:val="000B67B8"/>
    <w:rsid w:val="000B6801"/>
    <w:rsid w:val="000B689B"/>
    <w:rsid w:val="000B68B8"/>
    <w:rsid w:val="000B6992"/>
    <w:rsid w:val="000B6C23"/>
    <w:rsid w:val="000B6C45"/>
    <w:rsid w:val="000B6EAA"/>
    <w:rsid w:val="000B6ECA"/>
    <w:rsid w:val="000B7062"/>
    <w:rsid w:val="000B713A"/>
    <w:rsid w:val="000B7167"/>
    <w:rsid w:val="000B717E"/>
    <w:rsid w:val="000B73C6"/>
    <w:rsid w:val="000B7685"/>
    <w:rsid w:val="000B7687"/>
    <w:rsid w:val="000B76A1"/>
    <w:rsid w:val="000B770F"/>
    <w:rsid w:val="000B78D9"/>
    <w:rsid w:val="000B7A51"/>
    <w:rsid w:val="000B7AB2"/>
    <w:rsid w:val="000B7B07"/>
    <w:rsid w:val="000B7BDC"/>
    <w:rsid w:val="000B7C26"/>
    <w:rsid w:val="000B7C8A"/>
    <w:rsid w:val="000B7CB8"/>
    <w:rsid w:val="000B7DC3"/>
    <w:rsid w:val="000B7F93"/>
    <w:rsid w:val="000B7FC7"/>
    <w:rsid w:val="000C0101"/>
    <w:rsid w:val="000C033B"/>
    <w:rsid w:val="000C0357"/>
    <w:rsid w:val="000C03AA"/>
    <w:rsid w:val="000C0679"/>
    <w:rsid w:val="000C0683"/>
    <w:rsid w:val="000C06A4"/>
    <w:rsid w:val="000C06AF"/>
    <w:rsid w:val="000C0763"/>
    <w:rsid w:val="000C0785"/>
    <w:rsid w:val="000C078D"/>
    <w:rsid w:val="000C087A"/>
    <w:rsid w:val="000C0AAA"/>
    <w:rsid w:val="000C0BBD"/>
    <w:rsid w:val="000C0EA3"/>
    <w:rsid w:val="000C0F3A"/>
    <w:rsid w:val="000C0F3E"/>
    <w:rsid w:val="000C0F7B"/>
    <w:rsid w:val="000C0FAC"/>
    <w:rsid w:val="000C0FEF"/>
    <w:rsid w:val="000C1164"/>
    <w:rsid w:val="000C11FA"/>
    <w:rsid w:val="000C120D"/>
    <w:rsid w:val="000C1231"/>
    <w:rsid w:val="000C1323"/>
    <w:rsid w:val="000C138A"/>
    <w:rsid w:val="000C1575"/>
    <w:rsid w:val="000C15FE"/>
    <w:rsid w:val="000C1656"/>
    <w:rsid w:val="000C1691"/>
    <w:rsid w:val="000C1704"/>
    <w:rsid w:val="000C171B"/>
    <w:rsid w:val="000C17DB"/>
    <w:rsid w:val="000C19D2"/>
    <w:rsid w:val="000C1B10"/>
    <w:rsid w:val="000C1CC3"/>
    <w:rsid w:val="000C1F18"/>
    <w:rsid w:val="000C237C"/>
    <w:rsid w:val="000C24F4"/>
    <w:rsid w:val="000C25B9"/>
    <w:rsid w:val="000C27FA"/>
    <w:rsid w:val="000C2865"/>
    <w:rsid w:val="000C2898"/>
    <w:rsid w:val="000C28DE"/>
    <w:rsid w:val="000C2965"/>
    <w:rsid w:val="000C2987"/>
    <w:rsid w:val="000C2AAC"/>
    <w:rsid w:val="000C2CA2"/>
    <w:rsid w:val="000C2CCB"/>
    <w:rsid w:val="000C2D73"/>
    <w:rsid w:val="000C2E2E"/>
    <w:rsid w:val="000C2EA9"/>
    <w:rsid w:val="000C2EB3"/>
    <w:rsid w:val="000C2FF2"/>
    <w:rsid w:val="000C3032"/>
    <w:rsid w:val="000C327E"/>
    <w:rsid w:val="000C32BB"/>
    <w:rsid w:val="000C33A5"/>
    <w:rsid w:val="000C33F2"/>
    <w:rsid w:val="000C3546"/>
    <w:rsid w:val="000C354C"/>
    <w:rsid w:val="000C35BB"/>
    <w:rsid w:val="000C3743"/>
    <w:rsid w:val="000C380B"/>
    <w:rsid w:val="000C3907"/>
    <w:rsid w:val="000C3927"/>
    <w:rsid w:val="000C3B22"/>
    <w:rsid w:val="000C3D2C"/>
    <w:rsid w:val="000C3D3A"/>
    <w:rsid w:val="000C3E91"/>
    <w:rsid w:val="000C4010"/>
    <w:rsid w:val="000C4063"/>
    <w:rsid w:val="000C4260"/>
    <w:rsid w:val="000C44A2"/>
    <w:rsid w:val="000C44B9"/>
    <w:rsid w:val="000C4676"/>
    <w:rsid w:val="000C46DF"/>
    <w:rsid w:val="000C4800"/>
    <w:rsid w:val="000C4B89"/>
    <w:rsid w:val="000C4B9A"/>
    <w:rsid w:val="000C4BB7"/>
    <w:rsid w:val="000C4CAD"/>
    <w:rsid w:val="000C4D1C"/>
    <w:rsid w:val="000C4DFC"/>
    <w:rsid w:val="000C4F69"/>
    <w:rsid w:val="000C50B3"/>
    <w:rsid w:val="000C5302"/>
    <w:rsid w:val="000C53E9"/>
    <w:rsid w:val="000C5486"/>
    <w:rsid w:val="000C5717"/>
    <w:rsid w:val="000C5834"/>
    <w:rsid w:val="000C5B63"/>
    <w:rsid w:val="000C604F"/>
    <w:rsid w:val="000C6084"/>
    <w:rsid w:val="000C60B1"/>
    <w:rsid w:val="000C62CF"/>
    <w:rsid w:val="000C6320"/>
    <w:rsid w:val="000C65AA"/>
    <w:rsid w:val="000C6610"/>
    <w:rsid w:val="000C6688"/>
    <w:rsid w:val="000C6890"/>
    <w:rsid w:val="000C6936"/>
    <w:rsid w:val="000C6B40"/>
    <w:rsid w:val="000C6BC8"/>
    <w:rsid w:val="000C6C56"/>
    <w:rsid w:val="000C6C73"/>
    <w:rsid w:val="000C6DE1"/>
    <w:rsid w:val="000C6DE8"/>
    <w:rsid w:val="000C6E9F"/>
    <w:rsid w:val="000C7089"/>
    <w:rsid w:val="000C7167"/>
    <w:rsid w:val="000C720D"/>
    <w:rsid w:val="000C7322"/>
    <w:rsid w:val="000C74A0"/>
    <w:rsid w:val="000C7502"/>
    <w:rsid w:val="000C7566"/>
    <w:rsid w:val="000C76BF"/>
    <w:rsid w:val="000C76F8"/>
    <w:rsid w:val="000C776D"/>
    <w:rsid w:val="000C7795"/>
    <w:rsid w:val="000C7827"/>
    <w:rsid w:val="000C782D"/>
    <w:rsid w:val="000C7878"/>
    <w:rsid w:val="000C7992"/>
    <w:rsid w:val="000C7A67"/>
    <w:rsid w:val="000C7AE7"/>
    <w:rsid w:val="000C7B37"/>
    <w:rsid w:val="000C7D3C"/>
    <w:rsid w:val="000C7D42"/>
    <w:rsid w:val="000C7F40"/>
    <w:rsid w:val="000C7F62"/>
    <w:rsid w:val="000D0022"/>
    <w:rsid w:val="000D006C"/>
    <w:rsid w:val="000D0070"/>
    <w:rsid w:val="000D01AA"/>
    <w:rsid w:val="000D023A"/>
    <w:rsid w:val="000D025E"/>
    <w:rsid w:val="000D0270"/>
    <w:rsid w:val="000D03E4"/>
    <w:rsid w:val="000D058F"/>
    <w:rsid w:val="000D063B"/>
    <w:rsid w:val="000D08AD"/>
    <w:rsid w:val="000D0A7E"/>
    <w:rsid w:val="000D0A89"/>
    <w:rsid w:val="000D0ACF"/>
    <w:rsid w:val="000D0B23"/>
    <w:rsid w:val="000D0B61"/>
    <w:rsid w:val="000D0B77"/>
    <w:rsid w:val="000D0B84"/>
    <w:rsid w:val="000D0BB6"/>
    <w:rsid w:val="000D0C5D"/>
    <w:rsid w:val="000D0C8D"/>
    <w:rsid w:val="000D0CA5"/>
    <w:rsid w:val="000D0CB2"/>
    <w:rsid w:val="000D0EFB"/>
    <w:rsid w:val="000D107D"/>
    <w:rsid w:val="000D10CF"/>
    <w:rsid w:val="000D123E"/>
    <w:rsid w:val="000D12FC"/>
    <w:rsid w:val="000D1354"/>
    <w:rsid w:val="000D1370"/>
    <w:rsid w:val="000D1387"/>
    <w:rsid w:val="000D149C"/>
    <w:rsid w:val="000D15A0"/>
    <w:rsid w:val="000D1B9D"/>
    <w:rsid w:val="000D1D2B"/>
    <w:rsid w:val="000D1DEA"/>
    <w:rsid w:val="000D1E46"/>
    <w:rsid w:val="000D1EA8"/>
    <w:rsid w:val="000D1EE2"/>
    <w:rsid w:val="000D1FC6"/>
    <w:rsid w:val="000D2088"/>
    <w:rsid w:val="000D2211"/>
    <w:rsid w:val="000D224A"/>
    <w:rsid w:val="000D226B"/>
    <w:rsid w:val="000D22F9"/>
    <w:rsid w:val="000D2311"/>
    <w:rsid w:val="000D2534"/>
    <w:rsid w:val="000D27F5"/>
    <w:rsid w:val="000D2879"/>
    <w:rsid w:val="000D28BA"/>
    <w:rsid w:val="000D2A26"/>
    <w:rsid w:val="000D2A5E"/>
    <w:rsid w:val="000D2AB4"/>
    <w:rsid w:val="000D2B2F"/>
    <w:rsid w:val="000D2D5C"/>
    <w:rsid w:val="000D3258"/>
    <w:rsid w:val="000D3378"/>
    <w:rsid w:val="000D3392"/>
    <w:rsid w:val="000D33B9"/>
    <w:rsid w:val="000D345E"/>
    <w:rsid w:val="000D34FF"/>
    <w:rsid w:val="000D3531"/>
    <w:rsid w:val="000D355C"/>
    <w:rsid w:val="000D35B1"/>
    <w:rsid w:val="000D361D"/>
    <w:rsid w:val="000D366D"/>
    <w:rsid w:val="000D375A"/>
    <w:rsid w:val="000D37C2"/>
    <w:rsid w:val="000D37C6"/>
    <w:rsid w:val="000D3962"/>
    <w:rsid w:val="000D3B96"/>
    <w:rsid w:val="000D3BC1"/>
    <w:rsid w:val="000D3C72"/>
    <w:rsid w:val="000D3CC1"/>
    <w:rsid w:val="000D3CFB"/>
    <w:rsid w:val="000D3ECB"/>
    <w:rsid w:val="000D401D"/>
    <w:rsid w:val="000D4063"/>
    <w:rsid w:val="000D4101"/>
    <w:rsid w:val="000D41CA"/>
    <w:rsid w:val="000D42BA"/>
    <w:rsid w:val="000D4342"/>
    <w:rsid w:val="000D43B8"/>
    <w:rsid w:val="000D4457"/>
    <w:rsid w:val="000D4793"/>
    <w:rsid w:val="000D48FE"/>
    <w:rsid w:val="000D48FF"/>
    <w:rsid w:val="000D493C"/>
    <w:rsid w:val="000D4C5C"/>
    <w:rsid w:val="000D4D2D"/>
    <w:rsid w:val="000D4F7E"/>
    <w:rsid w:val="000D5096"/>
    <w:rsid w:val="000D5179"/>
    <w:rsid w:val="000D51B7"/>
    <w:rsid w:val="000D51EA"/>
    <w:rsid w:val="000D52A0"/>
    <w:rsid w:val="000D52D1"/>
    <w:rsid w:val="000D533D"/>
    <w:rsid w:val="000D535B"/>
    <w:rsid w:val="000D5667"/>
    <w:rsid w:val="000D571F"/>
    <w:rsid w:val="000D5760"/>
    <w:rsid w:val="000D57A8"/>
    <w:rsid w:val="000D58DF"/>
    <w:rsid w:val="000D5A4B"/>
    <w:rsid w:val="000D5ACF"/>
    <w:rsid w:val="000D5B08"/>
    <w:rsid w:val="000D5B0A"/>
    <w:rsid w:val="000D5B21"/>
    <w:rsid w:val="000D5C58"/>
    <w:rsid w:val="000D5CF6"/>
    <w:rsid w:val="000D5D24"/>
    <w:rsid w:val="000D5DBB"/>
    <w:rsid w:val="000D5F4A"/>
    <w:rsid w:val="000D5F61"/>
    <w:rsid w:val="000D6180"/>
    <w:rsid w:val="000D634A"/>
    <w:rsid w:val="000D63CB"/>
    <w:rsid w:val="000D64D5"/>
    <w:rsid w:val="000D64E1"/>
    <w:rsid w:val="000D65E5"/>
    <w:rsid w:val="000D65F5"/>
    <w:rsid w:val="000D66F9"/>
    <w:rsid w:val="000D673E"/>
    <w:rsid w:val="000D6A97"/>
    <w:rsid w:val="000D6AB4"/>
    <w:rsid w:val="000D6B39"/>
    <w:rsid w:val="000D6C93"/>
    <w:rsid w:val="000D6D37"/>
    <w:rsid w:val="000D6EA4"/>
    <w:rsid w:val="000D70AE"/>
    <w:rsid w:val="000D70D7"/>
    <w:rsid w:val="000D717B"/>
    <w:rsid w:val="000D72CB"/>
    <w:rsid w:val="000D73B0"/>
    <w:rsid w:val="000D73FB"/>
    <w:rsid w:val="000D763B"/>
    <w:rsid w:val="000D772C"/>
    <w:rsid w:val="000D7794"/>
    <w:rsid w:val="000D784B"/>
    <w:rsid w:val="000D7A03"/>
    <w:rsid w:val="000D7C54"/>
    <w:rsid w:val="000D7C77"/>
    <w:rsid w:val="000D7C79"/>
    <w:rsid w:val="000D7CB4"/>
    <w:rsid w:val="000D7E36"/>
    <w:rsid w:val="000E01A6"/>
    <w:rsid w:val="000E0204"/>
    <w:rsid w:val="000E0210"/>
    <w:rsid w:val="000E0211"/>
    <w:rsid w:val="000E02AA"/>
    <w:rsid w:val="000E0438"/>
    <w:rsid w:val="000E04E8"/>
    <w:rsid w:val="000E0570"/>
    <w:rsid w:val="000E07EC"/>
    <w:rsid w:val="000E0980"/>
    <w:rsid w:val="000E0B98"/>
    <w:rsid w:val="000E0D0A"/>
    <w:rsid w:val="000E0E08"/>
    <w:rsid w:val="000E0E48"/>
    <w:rsid w:val="000E0F43"/>
    <w:rsid w:val="000E0FF5"/>
    <w:rsid w:val="000E1007"/>
    <w:rsid w:val="000E1185"/>
    <w:rsid w:val="000E14D3"/>
    <w:rsid w:val="000E14F0"/>
    <w:rsid w:val="000E15FC"/>
    <w:rsid w:val="000E173F"/>
    <w:rsid w:val="000E1757"/>
    <w:rsid w:val="000E1767"/>
    <w:rsid w:val="000E17A7"/>
    <w:rsid w:val="000E1910"/>
    <w:rsid w:val="000E1940"/>
    <w:rsid w:val="000E1979"/>
    <w:rsid w:val="000E1A23"/>
    <w:rsid w:val="000E1A49"/>
    <w:rsid w:val="000E1A53"/>
    <w:rsid w:val="000E1B23"/>
    <w:rsid w:val="000E1B78"/>
    <w:rsid w:val="000E1E56"/>
    <w:rsid w:val="000E1E65"/>
    <w:rsid w:val="000E1E77"/>
    <w:rsid w:val="000E1EB9"/>
    <w:rsid w:val="000E1F09"/>
    <w:rsid w:val="000E1F1B"/>
    <w:rsid w:val="000E1F8E"/>
    <w:rsid w:val="000E2012"/>
    <w:rsid w:val="000E202D"/>
    <w:rsid w:val="000E20D3"/>
    <w:rsid w:val="000E20EE"/>
    <w:rsid w:val="000E2195"/>
    <w:rsid w:val="000E2237"/>
    <w:rsid w:val="000E2389"/>
    <w:rsid w:val="000E26C1"/>
    <w:rsid w:val="000E27B3"/>
    <w:rsid w:val="000E2A57"/>
    <w:rsid w:val="000E2BFA"/>
    <w:rsid w:val="000E2C19"/>
    <w:rsid w:val="000E2CF8"/>
    <w:rsid w:val="000E2E08"/>
    <w:rsid w:val="000E2E84"/>
    <w:rsid w:val="000E2EB4"/>
    <w:rsid w:val="000E2F73"/>
    <w:rsid w:val="000E3011"/>
    <w:rsid w:val="000E302E"/>
    <w:rsid w:val="000E3109"/>
    <w:rsid w:val="000E311B"/>
    <w:rsid w:val="000E325D"/>
    <w:rsid w:val="000E3592"/>
    <w:rsid w:val="000E35A0"/>
    <w:rsid w:val="000E3803"/>
    <w:rsid w:val="000E3868"/>
    <w:rsid w:val="000E38BA"/>
    <w:rsid w:val="000E3937"/>
    <w:rsid w:val="000E3A36"/>
    <w:rsid w:val="000E3BE1"/>
    <w:rsid w:val="000E3C23"/>
    <w:rsid w:val="000E3D68"/>
    <w:rsid w:val="000E3E15"/>
    <w:rsid w:val="000E3E3A"/>
    <w:rsid w:val="000E3EA3"/>
    <w:rsid w:val="000E3F6D"/>
    <w:rsid w:val="000E41D5"/>
    <w:rsid w:val="000E422F"/>
    <w:rsid w:val="000E423E"/>
    <w:rsid w:val="000E4325"/>
    <w:rsid w:val="000E436A"/>
    <w:rsid w:val="000E43B1"/>
    <w:rsid w:val="000E445F"/>
    <w:rsid w:val="000E4524"/>
    <w:rsid w:val="000E4560"/>
    <w:rsid w:val="000E47B0"/>
    <w:rsid w:val="000E48CA"/>
    <w:rsid w:val="000E4935"/>
    <w:rsid w:val="000E4B63"/>
    <w:rsid w:val="000E4C2D"/>
    <w:rsid w:val="000E4D1C"/>
    <w:rsid w:val="000E4D6A"/>
    <w:rsid w:val="000E4EBC"/>
    <w:rsid w:val="000E4ECC"/>
    <w:rsid w:val="000E4F32"/>
    <w:rsid w:val="000E4F37"/>
    <w:rsid w:val="000E4F8E"/>
    <w:rsid w:val="000E4FF4"/>
    <w:rsid w:val="000E5027"/>
    <w:rsid w:val="000E5031"/>
    <w:rsid w:val="000E51F5"/>
    <w:rsid w:val="000E535B"/>
    <w:rsid w:val="000E5387"/>
    <w:rsid w:val="000E53FC"/>
    <w:rsid w:val="000E5404"/>
    <w:rsid w:val="000E54EB"/>
    <w:rsid w:val="000E5561"/>
    <w:rsid w:val="000E558F"/>
    <w:rsid w:val="000E55B9"/>
    <w:rsid w:val="000E56E7"/>
    <w:rsid w:val="000E5779"/>
    <w:rsid w:val="000E57E6"/>
    <w:rsid w:val="000E5815"/>
    <w:rsid w:val="000E591A"/>
    <w:rsid w:val="000E5972"/>
    <w:rsid w:val="000E5A97"/>
    <w:rsid w:val="000E5C21"/>
    <w:rsid w:val="000E5C91"/>
    <w:rsid w:val="000E5E1B"/>
    <w:rsid w:val="000E5E93"/>
    <w:rsid w:val="000E604F"/>
    <w:rsid w:val="000E6226"/>
    <w:rsid w:val="000E6391"/>
    <w:rsid w:val="000E63B0"/>
    <w:rsid w:val="000E6483"/>
    <w:rsid w:val="000E652D"/>
    <w:rsid w:val="000E6595"/>
    <w:rsid w:val="000E65D8"/>
    <w:rsid w:val="000E6774"/>
    <w:rsid w:val="000E682F"/>
    <w:rsid w:val="000E688B"/>
    <w:rsid w:val="000E69DC"/>
    <w:rsid w:val="000E6AA5"/>
    <w:rsid w:val="000E6C17"/>
    <w:rsid w:val="000E6D51"/>
    <w:rsid w:val="000E6EA2"/>
    <w:rsid w:val="000E7041"/>
    <w:rsid w:val="000E74D5"/>
    <w:rsid w:val="000E76CE"/>
    <w:rsid w:val="000E77F0"/>
    <w:rsid w:val="000E7803"/>
    <w:rsid w:val="000E794C"/>
    <w:rsid w:val="000E798E"/>
    <w:rsid w:val="000E7ABF"/>
    <w:rsid w:val="000E7BAB"/>
    <w:rsid w:val="000E7BD2"/>
    <w:rsid w:val="000E7C05"/>
    <w:rsid w:val="000E7C9B"/>
    <w:rsid w:val="000E7D40"/>
    <w:rsid w:val="000E7F56"/>
    <w:rsid w:val="000F01A8"/>
    <w:rsid w:val="000F01E9"/>
    <w:rsid w:val="000F0293"/>
    <w:rsid w:val="000F02C0"/>
    <w:rsid w:val="000F0349"/>
    <w:rsid w:val="000F03DA"/>
    <w:rsid w:val="000F0410"/>
    <w:rsid w:val="000F045B"/>
    <w:rsid w:val="000F05B7"/>
    <w:rsid w:val="000F0674"/>
    <w:rsid w:val="000F0879"/>
    <w:rsid w:val="000F0A72"/>
    <w:rsid w:val="000F0AC1"/>
    <w:rsid w:val="000F0AFA"/>
    <w:rsid w:val="000F0B55"/>
    <w:rsid w:val="000F0D5A"/>
    <w:rsid w:val="000F0D89"/>
    <w:rsid w:val="000F0E14"/>
    <w:rsid w:val="000F0FA6"/>
    <w:rsid w:val="000F11C5"/>
    <w:rsid w:val="000F12B6"/>
    <w:rsid w:val="000F146A"/>
    <w:rsid w:val="000F153D"/>
    <w:rsid w:val="000F15C4"/>
    <w:rsid w:val="000F16F1"/>
    <w:rsid w:val="000F1981"/>
    <w:rsid w:val="000F199D"/>
    <w:rsid w:val="000F19C5"/>
    <w:rsid w:val="000F1ABD"/>
    <w:rsid w:val="000F1C2A"/>
    <w:rsid w:val="000F1CDA"/>
    <w:rsid w:val="000F1EE5"/>
    <w:rsid w:val="000F1FB3"/>
    <w:rsid w:val="000F2052"/>
    <w:rsid w:val="000F21BB"/>
    <w:rsid w:val="000F2273"/>
    <w:rsid w:val="000F232B"/>
    <w:rsid w:val="000F2590"/>
    <w:rsid w:val="000F272D"/>
    <w:rsid w:val="000F2737"/>
    <w:rsid w:val="000F2744"/>
    <w:rsid w:val="000F28B5"/>
    <w:rsid w:val="000F28FC"/>
    <w:rsid w:val="000F29FF"/>
    <w:rsid w:val="000F2C92"/>
    <w:rsid w:val="000F2CD2"/>
    <w:rsid w:val="000F2EF0"/>
    <w:rsid w:val="000F2F0E"/>
    <w:rsid w:val="000F2F2F"/>
    <w:rsid w:val="000F2F8D"/>
    <w:rsid w:val="000F3131"/>
    <w:rsid w:val="000F31B7"/>
    <w:rsid w:val="000F322D"/>
    <w:rsid w:val="000F3264"/>
    <w:rsid w:val="000F32D0"/>
    <w:rsid w:val="000F3314"/>
    <w:rsid w:val="000F3441"/>
    <w:rsid w:val="000F361F"/>
    <w:rsid w:val="000F3632"/>
    <w:rsid w:val="000F3742"/>
    <w:rsid w:val="000F37A3"/>
    <w:rsid w:val="000F37F6"/>
    <w:rsid w:val="000F38A4"/>
    <w:rsid w:val="000F3929"/>
    <w:rsid w:val="000F3B0D"/>
    <w:rsid w:val="000F3B24"/>
    <w:rsid w:val="000F3BC9"/>
    <w:rsid w:val="000F3C44"/>
    <w:rsid w:val="000F3C68"/>
    <w:rsid w:val="000F3C70"/>
    <w:rsid w:val="000F3CBF"/>
    <w:rsid w:val="000F3CD4"/>
    <w:rsid w:val="000F414B"/>
    <w:rsid w:val="000F4258"/>
    <w:rsid w:val="000F442F"/>
    <w:rsid w:val="000F446B"/>
    <w:rsid w:val="000F44AD"/>
    <w:rsid w:val="000F44CD"/>
    <w:rsid w:val="000F44F9"/>
    <w:rsid w:val="000F4519"/>
    <w:rsid w:val="000F4527"/>
    <w:rsid w:val="000F473E"/>
    <w:rsid w:val="000F4767"/>
    <w:rsid w:val="000F4B28"/>
    <w:rsid w:val="000F4B7D"/>
    <w:rsid w:val="000F4E56"/>
    <w:rsid w:val="000F4F11"/>
    <w:rsid w:val="000F4F75"/>
    <w:rsid w:val="000F5032"/>
    <w:rsid w:val="000F5170"/>
    <w:rsid w:val="000F527D"/>
    <w:rsid w:val="000F530E"/>
    <w:rsid w:val="000F534E"/>
    <w:rsid w:val="000F58BC"/>
    <w:rsid w:val="000F594C"/>
    <w:rsid w:val="000F5AE7"/>
    <w:rsid w:val="000F5B70"/>
    <w:rsid w:val="000F5C0A"/>
    <w:rsid w:val="000F5C4C"/>
    <w:rsid w:val="000F5D5A"/>
    <w:rsid w:val="000F5E36"/>
    <w:rsid w:val="000F5E48"/>
    <w:rsid w:val="000F5E69"/>
    <w:rsid w:val="000F5E8D"/>
    <w:rsid w:val="000F5F7F"/>
    <w:rsid w:val="000F602F"/>
    <w:rsid w:val="000F61C8"/>
    <w:rsid w:val="000F62FC"/>
    <w:rsid w:val="000F63DA"/>
    <w:rsid w:val="000F649F"/>
    <w:rsid w:val="000F654D"/>
    <w:rsid w:val="000F6700"/>
    <w:rsid w:val="000F69C5"/>
    <w:rsid w:val="000F6A6D"/>
    <w:rsid w:val="000F6A7B"/>
    <w:rsid w:val="000F6D53"/>
    <w:rsid w:val="000F6D58"/>
    <w:rsid w:val="000F6F72"/>
    <w:rsid w:val="000F7020"/>
    <w:rsid w:val="000F70BE"/>
    <w:rsid w:val="000F7137"/>
    <w:rsid w:val="000F7226"/>
    <w:rsid w:val="000F7248"/>
    <w:rsid w:val="000F7253"/>
    <w:rsid w:val="000F74C4"/>
    <w:rsid w:val="000F7631"/>
    <w:rsid w:val="000F7694"/>
    <w:rsid w:val="000F76A0"/>
    <w:rsid w:val="000F7787"/>
    <w:rsid w:val="000F77CB"/>
    <w:rsid w:val="000F79A0"/>
    <w:rsid w:val="000F7B6A"/>
    <w:rsid w:val="000F7B83"/>
    <w:rsid w:val="000F7BA9"/>
    <w:rsid w:val="000F7E5B"/>
    <w:rsid w:val="000F7EA4"/>
    <w:rsid w:val="000F7F5B"/>
    <w:rsid w:val="000F7FB5"/>
    <w:rsid w:val="000F7FCF"/>
    <w:rsid w:val="001000F6"/>
    <w:rsid w:val="001001A4"/>
    <w:rsid w:val="001001CB"/>
    <w:rsid w:val="001002D2"/>
    <w:rsid w:val="00100409"/>
    <w:rsid w:val="00100583"/>
    <w:rsid w:val="0010076D"/>
    <w:rsid w:val="00100798"/>
    <w:rsid w:val="001007DD"/>
    <w:rsid w:val="001008A7"/>
    <w:rsid w:val="00100992"/>
    <w:rsid w:val="00100A45"/>
    <w:rsid w:val="00100A4C"/>
    <w:rsid w:val="00100CBB"/>
    <w:rsid w:val="00100DC3"/>
    <w:rsid w:val="00100E40"/>
    <w:rsid w:val="00100E6F"/>
    <w:rsid w:val="00100F74"/>
    <w:rsid w:val="00100FD1"/>
    <w:rsid w:val="0010105A"/>
    <w:rsid w:val="001011D2"/>
    <w:rsid w:val="0010138C"/>
    <w:rsid w:val="001013EE"/>
    <w:rsid w:val="001016C2"/>
    <w:rsid w:val="00101701"/>
    <w:rsid w:val="0010173F"/>
    <w:rsid w:val="001017B7"/>
    <w:rsid w:val="001017E3"/>
    <w:rsid w:val="001017F8"/>
    <w:rsid w:val="00101800"/>
    <w:rsid w:val="00101868"/>
    <w:rsid w:val="001018A7"/>
    <w:rsid w:val="00101908"/>
    <w:rsid w:val="00101BC6"/>
    <w:rsid w:val="00101BDF"/>
    <w:rsid w:val="00101C90"/>
    <w:rsid w:val="00101CAE"/>
    <w:rsid w:val="00101CEC"/>
    <w:rsid w:val="00101DC8"/>
    <w:rsid w:val="00101F87"/>
    <w:rsid w:val="00101FB9"/>
    <w:rsid w:val="00102123"/>
    <w:rsid w:val="00102135"/>
    <w:rsid w:val="001021D7"/>
    <w:rsid w:val="0010272E"/>
    <w:rsid w:val="00102779"/>
    <w:rsid w:val="00102AF2"/>
    <w:rsid w:val="00102AFD"/>
    <w:rsid w:val="00102B29"/>
    <w:rsid w:val="00102BE0"/>
    <w:rsid w:val="00102C5D"/>
    <w:rsid w:val="00102EDC"/>
    <w:rsid w:val="00102F76"/>
    <w:rsid w:val="00102FEB"/>
    <w:rsid w:val="0010302D"/>
    <w:rsid w:val="001030F3"/>
    <w:rsid w:val="00103199"/>
    <w:rsid w:val="00103215"/>
    <w:rsid w:val="00103339"/>
    <w:rsid w:val="001033A9"/>
    <w:rsid w:val="00103423"/>
    <w:rsid w:val="001034E3"/>
    <w:rsid w:val="0010365D"/>
    <w:rsid w:val="001036BE"/>
    <w:rsid w:val="001039C2"/>
    <w:rsid w:val="00103A84"/>
    <w:rsid w:val="00103B00"/>
    <w:rsid w:val="00103B02"/>
    <w:rsid w:val="00103BB1"/>
    <w:rsid w:val="00103C7F"/>
    <w:rsid w:val="00103CBC"/>
    <w:rsid w:val="00103DFF"/>
    <w:rsid w:val="00103F1C"/>
    <w:rsid w:val="00103F2D"/>
    <w:rsid w:val="001040AD"/>
    <w:rsid w:val="0010422B"/>
    <w:rsid w:val="00104282"/>
    <w:rsid w:val="00104306"/>
    <w:rsid w:val="00104376"/>
    <w:rsid w:val="00104394"/>
    <w:rsid w:val="001043E2"/>
    <w:rsid w:val="0010450F"/>
    <w:rsid w:val="00104560"/>
    <w:rsid w:val="00104577"/>
    <w:rsid w:val="001046F5"/>
    <w:rsid w:val="00104759"/>
    <w:rsid w:val="00104766"/>
    <w:rsid w:val="001048D6"/>
    <w:rsid w:val="00104960"/>
    <w:rsid w:val="00104996"/>
    <w:rsid w:val="00104A30"/>
    <w:rsid w:val="00104A95"/>
    <w:rsid w:val="00104B36"/>
    <w:rsid w:val="00104CD1"/>
    <w:rsid w:val="00104EDD"/>
    <w:rsid w:val="00104F5D"/>
    <w:rsid w:val="001053D9"/>
    <w:rsid w:val="001054A3"/>
    <w:rsid w:val="0010551C"/>
    <w:rsid w:val="00105604"/>
    <w:rsid w:val="0010567A"/>
    <w:rsid w:val="0010572E"/>
    <w:rsid w:val="00105A17"/>
    <w:rsid w:val="00105A3B"/>
    <w:rsid w:val="00105C26"/>
    <w:rsid w:val="00105C56"/>
    <w:rsid w:val="00105CB5"/>
    <w:rsid w:val="00105CD3"/>
    <w:rsid w:val="00105E23"/>
    <w:rsid w:val="00105F41"/>
    <w:rsid w:val="00105FD8"/>
    <w:rsid w:val="001060B0"/>
    <w:rsid w:val="00106103"/>
    <w:rsid w:val="00106147"/>
    <w:rsid w:val="00106195"/>
    <w:rsid w:val="00106293"/>
    <w:rsid w:val="00106343"/>
    <w:rsid w:val="0010638C"/>
    <w:rsid w:val="001063EB"/>
    <w:rsid w:val="001064A4"/>
    <w:rsid w:val="00106684"/>
    <w:rsid w:val="00106826"/>
    <w:rsid w:val="0010682F"/>
    <w:rsid w:val="0010699B"/>
    <w:rsid w:val="001069C4"/>
    <w:rsid w:val="001069C7"/>
    <w:rsid w:val="00106A01"/>
    <w:rsid w:val="00106A07"/>
    <w:rsid w:val="00106A21"/>
    <w:rsid w:val="00106A6F"/>
    <w:rsid w:val="00106BA4"/>
    <w:rsid w:val="00106C55"/>
    <w:rsid w:val="00106CB2"/>
    <w:rsid w:val="00106CEE"/>
    <w:rsid w:val="00106E3B"/>
    <w:rsid w:val="00106E4A"/>
    <w:rsid w:val="00106EC0"/>
    <w:rsid w:val="00107189"/>
    <w:rsid w:val="001071A1"/>
    <w:rsid w:val="001071C3"/>
    <w:rsid w:val="001071C9"/>
    <w:rsid w:val="001072E1"/>
    <w:rsid w:val="0010739F"/>
    <w:rsid w:val="00107513"/>
    <w:rsid w:val="00107902"/>
    <w:rsid w:val="0010794B"/>
    <w:rsid w:val="00107B24"/>
    <w:rsid w:val="00107B43"/>
    <w:rsid w:val="00107CE6"/>
    <w:rsid w:val="00107E4D"/>
    <w:rsid w:val="00107E52"/>
    <w:rsid w:val="00110001"/>
    <w:rsid w:val="001103B6"/>
    <w:rsid w:val="00110417"/>
    <w:rsid w:val="00110575"/>
    <w:rsid w:val="00110583"/>
    <w:rsid w:val="001105E6"/>
    <w:rsid w:val="001107F1"/>
    <w:rsid w:val="0011085F"/>
    <w:rsid w:val="0011091A"/>
    <w:rsid w:val="00110996"/>
    <w:rsid w:val="00110C5E"/>
    <w:rsid w:val="00110CA2"/>
    <w:rsid w:val="00110CF9"/>
    <w:rsid w:val="00110DC5"/>
    <w:rsid w:val="00110FC0"/>
    <w:rsid w:val="0011122E"/>
    <w:rsid w:val="001114E3"/>
    <w:rsid w:val="00111614"/>
    <w:rsid w:val="0011164F"/>
    <w:rsid w:val="0011165C"/>
    <w:rsid w:val="001116D5"/>
    <w:rsid w:val="001116DF"/>
    <w:rsid w:val="0011178C"/>
    <w:rsid w:val="0011183D"/>
    <w:rsid w:val="00111A6D"/>
    <w:rsid w:val="00111ABA"/>
    <w:rsid w:val="00111AE7"/>
    <w:rsid w:val="00111CAD"/>
    <w:rsid w:val="00111CF6"/>
    <w:rsid w:val="00111D71"/>
    <w:rsid w:val="00111EC2"/>
    <w:rsid w:val="00111F1D"/>
    <w:rsid w:val="00112024"/>
    <w:rsid w:val="001120B0"/>
    <w:rsid w:val="001121D0"/>
    <w:rsid w:val="00112427"/>
    <w:rsid w:val="0011243C"/>
    <w:rsid w:val="001125AB"/>
    <w:rsid w:val="001125E7"/>
    <w:rsid w:val="001126E1"/>
    <w:rsid w:val="00112774"/>
    <w:rsid w:val="00112988"/>
    <w:rsid w:val="00112A57"/>
    <w:rsid w:val="00112AA9"/>
    <w:rsid w:val="00112C14"/>
    <w:rsid w:val="00112CD6"/>
    <w:rsid w:val="00112CF0"/>
    <w:rsid w:val="00112E1E"/>
    <w:rsid w:val="00112F89"/>
    <w:rsid w:val="0011302C"/>
    <w:rsid w:val="0011302E"/>
    <w:rsid w:val="001131B3"/>
    <w:rsid w:val="00113315"/>
    <w:rsid w:val="0011331B"/>
    <w:rsid w:val="00113339"/>
    <w:rsid w:val="001135F2"/>
    <w:rsid w:val="001136C6"/>
    <w:rsid w:val="001137E6"/>
    <w:rsid w:val="00113820"/>
    <w:rsid w:val="00113899"/>
    <w:rsid w:val="001139A7"/>
    <w:rsid w:val="00113B74"/>
    <w:rsid w:val="00113CCD"/>
    <w:rsid w:val="00113CF9"/>
    <w:rsid w:val="00113DC5"/>
    <w:rsid w:val="0011408D"/>
    <w:rsid w:val="001140F2"/>
    <w:rsid w:val="00114100"/>
    <w:rsid w:val="001141CE"/>
    <w:rsid w:val="0011428D"/>
    <w:rsid w:val="00114319"/>
    <w:rsid w:val="0011431D"/>
    <w:rsid w:val="00114530"/>
    <w:rsid w:val="001146A3"/>
    <w:rsid w:val="001146E5"/>
    <w:rsid w:val="001149F4"/>
    <w:rsid w:val="00114B6A"/>
    <w:rsid w:val="00114C31"/>
    <w:rsid w:val="00114C59"/>
    <w:rsid w:val="00114D6B"/>
    <w:rsid w:val="00114D9B"/>
    <w:rsid w:val="00114DA1"/>
    <w:rsid w:val="00114DCF"/>
    <w:rsid w:val="00114DDE"/>
    <w:rsid w:val="00114EA0"/>
    <w:rsid w:val="00114ECF"/>
    <w:rsid w:val="00114F65"/>
    <w:rsid w:val="00114F79"/>
    <w:rsid w:val="00114FEA"/>
    <w:rsid w:val="0011511C"/>
    <w:rsid w:val="0011519F"/>
    <w:rsid w:val="0011528B"/>
    <w:rsid w:val="001152DB"/>
    <w:rsid w:val="001153D2"/>
    <w:rsid w:val="00115533"/>
    <w:rsid w:val="00115616"/>
    <w:rsid w:val="00115672"/>
    <w:rsid w:val="001157AB"/>
    <w:rsid w:val="0011585E"/>
    <w:rsid w:val="001159D6"/>
    <w:rsid w:val="00115A02"/>
    <w:rsid w:val="00115A93"/>
    <w:rsid w:val="00115ADE"/>
    <w:rsid w:val="00115C9E"/>
    <w:rsid w:val="00115CA5"/>
    <w:rsid w:val="00115CB3"/>
    <w:rsid w:val="00115CE4"/>
    <w:rsid w:val="00115EBC"/>
    <w:rsid w:val="00116062"/>
    <w:rsid w:val="0011615F"/>
    <w:rsid w:val="00116519"/>
    <w:rsid w:val="00116614"/>
    <w:rsid w:val="001166AE"/>
    <w:rsid w:val="00116702"/>
    <w:rsid w:val="0011692B"/>
    <w:rsid w:val="00116967"/>
    <w:rsid w:val="0011699D"/>
    <w:rsid w:val="00116D3E"/>
    <w:rsid w:val="00116DFF"/>
    <w:rsid w:val="00116EE4"/>
    <w:rsid w:val="0011713A"/>
    <w:rsid w:val="00117249"/>
    <w:rsid w:val="0011729F"/>
    <w:rsid w:val="001172BD"/>
    <w:rsid w:val="0011730F"/>
    <w:rsid w:val="001173D1"/>
    <w:rsid w:val="001178E4"/>
    <w:rsid w:val="0011795C"/>
    <w:rsid w:val="00117A08"/>
    <w:rsid w:val="00117AA2"/>
    <w:rsid w:val="00117C4B"/>
    <w:rsid w:val="00117CA6"/>
    <w:rsid w:val="00117CFD"/>
    <w:rsid w:val="00117E14"/>
    <w:rsid w:val="00117FC5"/>
    <w:rsid w:val="0012002E"/>
    <w:rsid w:val="0012020C"/>
    <w:rsid w:val="00120674"/>
    <w:rsid w:val="001206E3"/>
    <w:rsid w:val="00120A71"/>
    <w:rsid w:val="00120B1E"/>
    <w:rsid w:val="00120B79"/>
    <w:rsid w:val="00120DF6"/>
    <w:rsid w:val="00120FA0"/>
    <w:rsid w:val="00120FA4"/>
    <w:rsid w:val="0012100B"/>
    <w:rsid w:val="00121098"/>
    <w:rsid w:val="00121114"/>
    <w:rsid w:val="001211AB"/>
    <w:rsid w:val="001212DC"/>
    <w:rsid w:val="00121439"/>
    <w:rsid w:val="0012147D"/>
    <w:rsid w:val="001214BE"/>
    <w:rsid w:val="0012155D"/>
    <w:rsid w:val="001215F2"/>
    <w:rsid w:val="001218B8"/>
    <w:rsid w:val="00121937"/>
    <w:rsid w:val="00121A3D"/>
    <w:rsid w:val="00121A72"/>
    <w:rsid w:val="00121C0D"/>
    <w:rsid w:val="00121F79"/>
    <w:rsid w:val="001220B7"/>
    <w:rsid w:val="0012217D"/>
    <w:rsid w:val="001221A4"/>
    <w:rsid w:val="0012225B"/>
    <w:rsid w:val="00122267"/>
    <w:rsid w:val="00122395"/>
    <w:rsid w:val="00122457"/>
    <w:rsid w:val="001226AF"/>
    <w:rsid w:val="00122774"/>
    <w:rsid w:val="001227A4"/>
    <w:rsid w:val="001227AB"/>
    <w:rsid w:val="001227F1"/>
    <w:rsid w:val="0012285A"/>
    <w:rsid w:val="001228B6"/>
    <w:rsid w:val="001228CA"/>
    <w:rsid w:val="00122910"/>
    <w:rsid w:val="0012294E"/>
    <w:rsid w:val="001229C0"/>
    <w:rsid w:val="00122B84"/>
    <w:rsid w:val="00122C3C"/>
    <w:rsid w:val="00122C6A"/>
    <w:rsid w:val="00122E24"/>
    <w:rsid w:val="00122FF0"/>
    <w:rsid w:val="00123213"/>
    <w:rsid w:val="00123297"/>
    <w:rsid w:val="00123325"/>
    <w:rsid w:val="001233F4"/>
    <w:rsid w:val="001234AD"/>
    <w:rsid w:val="00123505"/>
    <w:rsid w:val="00123679"/>
    <w:rsid w:val="00123BC6"/>
    <w:rsid w:val="00123D65"/>
    <w:rsid w:val="00123DA3"/>
    <w:rsid w:val="00123DD6"/>
    <w:rsid w:val="00123F24"/>
    <w:rsid w:val="0012403D"/>
    <w:rsid w:val="0012437A"/>
    <w:rsid w:val="0012467D"/>
    <w:rsid w:val="0012472E"/>
    <w:rsid w:val="00124730"/>
    <w:rsid w:val="001247C9"/>
    <w:rsid w:val="00124826"/>
    <w:rsid w:val="001249FC"/>
    <w:rsid w:val="00124A16"/>
    <w:rsid w:val="00124A23"/>
    <w:rsid w:val="00124B73"/>
    <w:rsid w:val="00124ED1"/>
    <w:rsid w:val="00124F88"/>
    <w:rsid w:val="00125040"/>
    <w:rsid w:val="001250D2"/>
    <w:rsid w:val="00125413"/>
    <w:rsid w:val="0012542D"/>
    <w:rsid w:val="0012552D"/>
    <w:rsid w:val="00125533"/>
    <w:rsid w:val="001255E4"/>
    <w:rsid w:val="0012561A"/>
    <w:rsid w:val="0012572C"/>
    <w:rsid w:val="001257E5"/>
    <w:rsid w:val="00125806"/>
    <w:rsid w:val="001258EF"/>
    <w:rsid w:val="001259D8"/>
    <w:rsid w:val="00125AB5"/>
    <w:rsid w:val="00125ADD"/>
    <w:rsid w:val="00125B33"/>
    <w:rsid w:val="00125CD9"/>
    <w:rsid w:val="00125DBA"/>
    <w:rsid w:val="00125E34"/>
    <w:rsid w:val="00125E76"/>
    <w:rsid w:val="00125FA4"/>
    <w:rsid w:val="00126003"/>
    <w:rsid w:val="001260B6"/>
    <w:rsid w:val="001260E3"/>
    <w:rsid w:val="00126171"/>
    <w:rsid w:val="00126201"/>
    <w:rsid w:val="00126239"/>
    <w:rsid w:val="0012626D"/>
    <w:rsid w:val="00126280"/>
    <w:rsid w:val="001264DF"/>
    <w:rsid w:val="001264F9"/>
    <w:rsid w:val="001266EE"/>
    <w:rsid w:val="00126749"/>
    <w:rsid w:val="0012692E"/>
    <w:rsid w:val="00126963"/>
    <w:rsid w:val="001269CC"/>
    <w:rsid w:val="001269D8"/>
    <w:rsid w:val="001269DC"/>
    <w:rsid w:val="00126A59"/>
    <w:rsid w:val="00126A9F"/>
    <w:rsid w:val="00126AD1"/>
    <w:rsid w:val="00126BA0"/>
    <w:rsid w:val="00126BF8"/>
    <w:rsid w:val="00126C4C"/>
    <w:rsid w:val="00126D63"/>
    <w:rsid w:val="00126E01"/>
    <w:rsid w:val="00126FB4"/>
    <w:rsid w:val="001270EC"/>
    <w:rsid w:val="001272E6"/>
    <w:rsid w:val="00127456"/>
    <w:rsid w:val="00127544"/>
    <w:rsid w:val="00127687"/>
    <w:rsid w:val="00127780"/>
    <w:rsid w:val="001277C7"/>
    <w:rsid w:val="001278A9"/>
    <w:rsid w:val="00127A38"/>
    <w:rsid w:val="00127C0C"/>
    <w:rsid w:val="00127C8B"/>
    <w:rsid w:val="00127D1E"/>
    <w:rsid w:val="00127DB4"/>
    <w:rsid w:val="00127E95"/>
    <w:rsid w:val="00130063"/>
    <w:rsid w:val="00130089"/>
    <w:rsid w:val="001300EB"/>
    <w:rsid w:val="00130303"/>
    <w:rsid w:val="00130344"/>
    <w:rsid w:val="001304DA"/>
    <w:rsid w:val="0013055E"/>
    <w:rsid w:val="0013067C"/>
    <w:rsid w:val="001307A8"/>
    <w:rsid w:val="00130834"/>
    <w:rsid w:val="00130928"/>
    <w:rsid w:val="00130993"/>
    <w:rsid w:val="00130B1C"/>
    <w:rsid w:val="00130CD1"/>
    <w:rsid w:val="00130DCA"/>
    <w:rsid w:val="00130E50"/>
    <w:rsid w:val="00130F4F"/>
    <w:rsid w:val="00131023"/>
    <w:rsid w:val="001310AB"/>
    <w:rsid w:val="001310F9"/>
    <w:rsid w:val="001312CB"/>
    <w:rsid w:val="00131314"/>
    <w:rsid w:val="001313B3"/>
    <w:rsid w:val="0013153B"/>
    <w:rsid w:val="001315EB"/>
    <w:rsid w:val="00131779"/>
    <w:rsid w:val="00131957"/>
    <w:rsid w:val="00131987"/>
    <w:rsid w:val="00131A29"/>
    <w:rsid w:val="00131AB3"/>
    <w:rsid w:val="00131AE9"/>
    <w:rsid w:val="00131B59"/>
    <w:rsid w:val="00131BAD"/>
    <w:rsid w:val="00131BF2"/>
    <w:rsid w:val="00131D2F"/>
    <w:rsid w:val="00131D5F"/>
    <w:rsid w:val="00131D8C"/>
    <w:rsid w:val="00131DE9"/>
    <w:rsid w:val="00131E5D"/>
    <w:rsid w:val="00131F29"/>
    <w:rsid w:val="00132126"/>
    <w:rsid w:val="001322D2"/>
    <w:rsid w:val="001323FB"/>
    <w:rsid w:val="00132503"/>
    <w:rsid w:val="00132564"/>
    <w:rsid w:val="001325B2"/>
    <w:rsid w:val="00132617"/>
    <w:rsid w:val="001328CE"/>
    <w:rsid w:val="00132AC3"/>
    <w:rsid w:val="00132CFE"/>
    <w:rsid w:val="00132E0B"/>
    <w:rsid w:val="00132E12"/>
    <w:rsid w:val="00132E40"/>
    <w:rsid w:val="00133072"/>
    <w:rsid w:val="001331E0"/>
    <w:rsid w:val="00133302"/>
    <w:rsid w:val="00133305"/>
    <w:rsid w:val="001333F9"/>
    <w:rsid w:val="00133539"/>
    <w:rsid w:val="00133546"/>
    <w:rsid w:val="0013355A"/>
    <w:rsid w:val="001338E0"/>
    <w:rsid w:val="00133A16"/>
    <w:rsid w:val="00133C48"/>
    <w:rsid w:val="00133C81"/>
    <w:rsid w:val="00133D2B"/>
    <w:rsid w:val="00133EAF"/>
    <w:rsid w:val="00133F08"/>
    <w:rsid w:val="0013401F"/>
    <w:rsid w:val="001340AA"/>
    <w:rsid w:val="00134146"/>
    <w:rsid w:val="00134196"/>
    <w:rsid w:val="00134222"/>
    <w:rsid w:val="001344CC"/>
    <w:rsid w:val="00134648"/>
    <w:rsid w:val="001346A2"/>
    <w:rsid w:val="0013474C"/>
    <w:rsid w:val="00134750"/>
    <w:rsid w:val="001347D3"/>
    <w:rsid w:val="00134847"/>
    <w:rsid w:val="00134893"/>
    <w:rsid w:val="001348F3"/>
    <w:rsid w:val="0013496C"/>
    <w:rsid w:val="0013497E"/>
    <w:rsid w:val="00134994"/>
    <w:rsid w:val="00134A7A"/>
    <w:rsid w:val="00134ADB"/>
    <w:rsid w:val="00134D0C"/>
    <w:rsid w:val="00134DC2"/>
    <w:rsid w:val="00134E22"/>
    <w:rsid w:val="00134F1E"/>
    <w:rsid w:val="00134FA3"/>
    <w:rsid w:val="00135080"/>
    <w:rsid w:val="0013515E"/>
    <w:rsid w:val="001351C6"/>
    <w:rsid w:val="001351EC"/>
    <w:rsid w:val="001352AA"/>
    <w:rsid w:val="0013531A"/>
    <w:rsid w:val="00135360"/>
    <w:rsid w:val="00135461"/>
    <w:rsid w:val="001355D3"/>
    <w:rsid w:val="001356C7"/>
    <w:rsid w:val="001359C0"/>
    <w:rsid w:val="00135A8D"/>
    <w:rsid w:val="00135C49"/>
    <w:rsid w:val="00135DCE"/>
    <w:rsid w:val="00135EC2"/>
    <w:rsid w:val="00135F2C"/>
    <w:rsid w:val="00135FA5"/>
    <w:rsid w:val="00136000"/>
    <w:rsid w:val="0013601E"/>
    <w:rsid w:val="001361FF"/>
    <w:rsid w:val="0013623B"/>
    <w:rsid w:val="001363A1"/>
    <w:rsid w:val="001363AB"/>
    <w:rsid w:val="00136497"/>
    <w:rsid w:val="001364AC"/>
    <w:rsid w:val="001365FD"/>
    <w:rsid w:val="0013676F"/>
    <w:rsid w:val="001367AF"/>
    <w:rsid w:val="001367D9"/>
    <w:rsid w:val="00136818"/>
    <w:rsid w:val="001368A4"/>
    <w:rsid w:val="001369BF"/>
    <w:rsid w:val="00136A05"/>
    <w:rsid w:val="00136BB9"/>
    <w:rsid w:val="00136BDE"/>
    <w:rsid w:val="00136D5D"/>
    <w:rsid w:val="00136DEC"/>
    <w:rsid w:val="00136F29"/>
    <w:rsid w:val="00136F6F"/>
    <w:rsid w:val="0013707F"/>
    <w:rsid w:val="001370BA"/>
    <w:rsid w:val="00137107"/>
    <w:rsid w:val="00137145"/>
    <w:rsid w:val="0013726C"/>
    <w:rsid w:val="001372B9"/>
    <w:rsid w:val="00137344"/>
    <w:rsid w:val="00137387"/>
    <w:rsid w:val="001374B9"/>
    <w:rsid w:val="0013766C"/>
    <w:rsid w:val="00137884"/>
    <w:rsid w:val="001378A9"/>
    <w:rsid w:val="0013797F"/>
    <w:rsid w:val="00137B81"/>
    <w:rsid w:val="00137D59"/>
    <w:rsid w:val="00137D6D"/>
    <w:rsid w:val="00137D90"/>
    <w:rsid w:val="00137F0F"/>
    <w:rsid w:val="00137F78"/>
    <w:rsid w:val="0014009A"/>
    <w:rsid w:val="001403EA"/>
    <w:rsid w:val="00140505"/>
    <w:rsid w:val="00140509"/>
    <w:rsid w:val="00140511"/>
    <w:rsid w:val="00140598"/>
    <w:rsid w:val="001407ED"/>
    <w:rsid w:val="001407FD"/>
    <w:rsid w:val="001408CA"/>
    <w:rsid w:val="001409D2"/>
    <w:rsid w:val="00140A1C"/>
    <w:rsid w:val="00140A58"/>
    <w:rsid w:val="00140A9C"/>
    <w:rsid w:val="00140BE1"/>
    <w:rsid w:val="00140C6A"/>
    <w:rsid w:val="00140D09"/>
    <w:rsid w:val="00140F06"/>
    <w:rsid w:val="00141056"/>
    <w:rsid w:val="00141097"/>
    <w:rsid w:val="001410B3"/>
    <w:rsid w:val="00141107"/>
    <w:rsid w:val="001414E0"/>
    <w:rsid w:val="00141A72"/>
    <w:rsid w:val="00141BA0"/>
    <w:rsid w:val="00141BD1"/>
    <w:rsid w:val="00141C71"/>
    <w:rsid w:val="00141DD2"/>
    <w:rsid w:val="00141E08"/>
    <w:rsid w:val="00141E3A"/>
    <w:rsid w:val="00142004"/>
    <w:rsid w:val="00142058"/>
    <w:rsid w:val="001420A9"/>
    <w:rsid w:val="001421E0"/>
    <w:rsid w:val="0014229B"/>
    <w:rsid w:val="00142360"/>
    <w:rsid w:val="0014236B"/>
    <w:rsid w:val="00142395"/>
    <w:rsid w:val="001423B0"/>
    <w:rsid w:val="001423DE"/>
    <w:rsid w:val="001424B5"/>
    <w:rsid w:val="0014276B"/>
    <w:rsid w:val="001427EC"/>
    <w:rsid w:val="00142B20"/>
    <w:rsid w:val="00142B21"/>
    <w:rsid w:val="00142B28"/>
    <w:rsid w:val="00142B86"/>
    <w:rsid w:val="00142C77"/>
    <w:rsid w:val="00142CC6"/>
    <w:rsid w:val="00142DCE"/>
    <w:rsid w:val="00143000"/>
    <w:rsid w:val="00143052"/>
    <w:rsid w:val="001430A9"/>
    <w:rsid w:val="00143228"/>
    <w:rsid w:val="00143263"/>
    <w:rsid w:val="00143542"/>
    <w:rsid w:val="00143584"/>
    <w:rsid w:val="001437D9"/>
    <w:rsid w:val="001438E0"/>
    <w:rsid w:val="00143A06"/>
    <w:rsid w:val="00143A84"/>
    <w:rsid w:val="00143B25"/>
    <w:rsid w:val="00143C57"/>
    <w:rsid w:val="00143C6B"/>
    <w:rsid w:val="00143CF1"/>
    <w:rsid w:val="00143D52"/>
    <w:rsid w:val="00143F85"/>
    <w:rsid w:val="00143FBA"/>
    <w:rsid w:val="001441DA"/>
    <w:rsid w:val="001441ED"/>
    <w:rsid w:val="0014425E"/>
    <w:rsid w:val="00144309"/>
    <w:rsid w:val="00144353"/>
    <w:rsid w:val="00144374"/>
    <w:rsid w:val="00144388"/>
    <w:rsid w:val="00144473"/>
    <w:rsid w:val="001444A8"/>
    <w:rsid w:val="00144612"/>
    <w:rsid w:val="0014484A"/>
    <w:rsid w:val="0014486E"/>
    <w:rsid w:val="00144A22"/>
    <w:rsid w:val="00144A92"/>
    <w:rsid w:val="00144B20"/>
    <w:rsid w:val="00144B4E"/>
    <w:rsid w:val="00144BB1"/>
    <w:rsid w:val="00144C8A"/>
    <w:rsid w:val="00144D68"/>
    <w:rsid w:val="00144DCD"/>
    <w:rsid w:val="00144F60"/>
    <w:rsid w:val="00144FED"/>
    <w:rsid w:val="001451EE"/>
    <w:rsid w:val="001453B0"/>
    <w:rsid w:val="001455BD"/>
    <w:rsid w:val="001455CC"/>
    <w:rsid w:val="00145604"/>
    <w:rsid w:val="00145654"/>
    <w:rsid w:val="00145790"/>
    <w:rsid w:val="001457F6"/>
    <w:rsid w:val="001458DD"/>
    <w:rsid w:val="00145924"/>
    <w:rsid w:val="00145B65"/>
    <w:rsid w:val="00145CBF"/>
    <w:rsid w:val="00145EB2"/>
    <w:rsid w:val="00145EED"/>
    <w:rsid w:val="001460B6"/>
    <w:rsid w:val="0014616B"/>
    <w:rsid w:val="00146255"/>
    <w:rsid w:val="00146309"/>
    <w:rsid w:val="0014643C"/>
    <w:rsid w:val="001464C8"/>
    <w:rsid w:val="001464CA"/>
    <w:rsid w:val="001464E8"/>
    <w:rsid w:val="001464E9"/>
    <w:rsid w:val="00146608"/>
    <w:rsid w:val="001468C7"/>
    <w:rsid w:val="00146937"/>
    <w:rsid w:val="00146C7F"/>
    <w:rsid w:val="00146DA2"/>
    <w:rsid w:val="00146DC9"/>
    <w:rsid w:val="00147115"/>
    <w:rsid w:val="001471DD"/>
    <w:rsid w:val="0014740D"/>
    <w:rsid w:val="0014744D"/>
    <w:rsid w:val="00147461"/>
    <w:rsid w:val="001474F1"/>
    <w:rsid w:val="001476AB"/>
    <w:rsid w:val="001476B5"/>
    <w:rsid w:val="001477CE"/>
    <w:rsid w:val="0014784F"/>
    <w:rsid w:val="00147897"/>
    <w:rsid w:val="001478AD"/>
    <w:rsid w:val="001478C0"/>
    <w:rsid w:val="001479F6"/>
    <w:rsid w:val="00147A2F"/>
    <w:rsid w:val="00147AE8"/>
    <w:rsid w:val="00147BCC"/>
    <w:rsid w:val="00147C07"/>
    <w:rsid w:val="00147D4A"/>
    <w:rsid w:val="00147F4D"/>
    <w:rsid w:val="00150027"/>
    <w:rsid w:val="0015027F"/>
    <w:rsid w:val="001502C1"/>
    <w:rsid w:val="001503EB"/>
    <w:rsid w:val="0015040C"/>
    <w:rsid w:val="0015054D"/>
    <w:rsid w:val="001507D0"/>
    <w:rsid w:val="00150B89"/>
    <w:rsid w:val="00150C35"/>
    <w:rsid w:val="00150CD2"/>
    <w:rsid w:val="00150D0E"/>
    <w:rsid w:val="00150E42"/>
    <w:rsid w:val="00150E7E"/>
    <w:rsid w:val="00150ECB"/>
    <w:rsid w:val="00150F55"/>
    <w:rsid w:val="00150F7F"/>
    <w:rsid w:val="00150FD4"/>
    <w:rsid w:val="0015113D"/>
    <w:rsid w:val="001511D5"/>
    <w:rsid w:val="00151316"/>
    <w:rsid w:val="00151609"/>
    <w:rsid w:val="0015167D"/>
    <w:rsid w:val="001517E0"/>
    <w:rsid w:val="0015188B"/>
    <w:rsid w:val="00151962"/>
    <w:rsid w:val="001519C7"/>
    <w:rsid w:val="00151CA9"/>
    <w:rsid w:val="00151D50"/>
    <w:rsid w:val="00151DFB"/>
    <w:rsid w:val="00151EE3"/>
    <w:rsid w:val="00151F32"/>
    <w:rsid w:val="00151FF1"/>
    <w:rsid w:val="0015203A"/>
    <w:rsid w:val="001520C1"/>
    <w:rsid w:val="00152123"/>
    <w:rsid w:val="00152129"/>
    <w:rsid w:val="001521A7"/>
    <w:rsid w:val="001521AA"/>
    <w:rsid w:val="00152235"/>
    <w:rsid w:val="00152302"/>
    <w:rsid w:val="0015233A"/>
    <w:rsid w:val="001523E9"/>
    <w:rsid w:val="00152521"/>
    <w:rsid w:val="00152548"/>
    <w:rsid w:val="00152611"/>
    <w:rsid w:val="00152767"/>
    <w:rsid w:val="00152807"/>
    <w:rsid w:val="00152821"/>
    <w:rsid w:val="001529A5"/>
    <w:rsid w:val="00152A43"/>
    <w:rsid w:val="00152A4E"/>
    <w:rsid w:val="00152AA9"/>
    <w:rsid w:val="00152BCE"/>
    <w:rsid w:val="00152BE0"/>
    <w:rsid w:val="00152C11"/>
    <w:rsid w:val="00152C3D"/>
    <w:rsid w:val="00152D14"/>
    <w:rsid w:val="00152DCF"/>
    <w:rsid w:val="00152ED6"/>
    <w:rsid w:val="00152FED"/>
    <w:rsid w:val="00153069"/>
    <w:rsid w:val="001531A1"/>
    <w:rsid w:val="001531C8"/>
    <w:rsid w:val="001533F7"/>
    <w:rsid w:val="0015353F"/>
    <w:rsid w:val="0015354B"/>
    <w:rsid w:val="001537A2"/>
    <w:rsid w:val="0015385E"/>
    <w:rsid w:val="00153924"/>
    <w:rsid w:val="00153932"/>
    <w:rsid w:val="0015398E"/>
    <w:rsid w:val="00153AA7"/>
    <w:rsid w:val="00153BD0"/>
    <w:rsid w:val="00153C34"/>
    <w:rsid w:val="00153CA7"/>
    <w:rsid w:val="00153D18"/>
    <w:rsid w:val="00153D48"/>
    <w:rsid w:val="00153D89"/>
    <w:rsid w:val="00153DCC"/>
    <w:rsid w:val="00153E4F"/>
    <w:rsid w:val="001542AD"/>
    <w:rsid w:val="001542E2"/>
    <w:rsid w:val="001542FC"/>
    <w:rsid w:val="0015436A"/>
    <w:rsid w:val="0015447E"/>
    <w:rsid w:val="00154775"/>
    <w:rsid w:val="001547E1"/>
    <w:rsid w:val="00154805"/>
    <w:rsid w:val="00154813"/>
    <w:rsid w:val="00154843"/>
    <w:rsid w:val="00154A35"/>
    <w:rsid w:val="00154A9A"/>
    <w:rsid w:val="00154B96"/>
    <w:rsid w:val="00154D48"/>
    <w:rsid w:val="00154EE6"/>
    <w:rsid w:val="00154F10"/>
    <w:rsid w:val="00154FA8"/>
    <w:rsid w:val="001550A3"/>
    <w:rsid w:val="0015510B"/>
    <w:rsid w:val="00155239"/>
    <w:rsid w:val="0015523B"/>
    <w:rsid w:val="00155349"/>
    <w:rsid w:val="00155469"/>
    <w:rsid w:val="001554A8"/>
    <w:rsid w:val="0015552F"/>
    <w:rsid w:val="001555B4"/>
    <w:rsid w:val="00155746"/>
    <w:rsid w:val="0015581B"/>
    <w:rsid w:val="001558B0"/>
    <w:rsid w:val="00155907"/>
    <w:rsid w:val="00155919"/>
    <w:rsid w:val="001559B5"/>
    <w:rsid w:val="00155BDA"/>
    <w:rsid w:val="00155DA4"/>
    <w:rsid w:val="00155DBB"/>
    <w:rsid w:val="00155EAF"/>
    <w:rsid w:val="00155F15"/>
    <w:rsid w:val="00156081"/>
    <w:rsid w:val="001562FB"/>
    <w:rsid w:val="00156346"/>
    <w:rsid w:val="001563E0"/>
    <w:rsid w:val="00156406"/>
    <w:rsid w:val="00156419"/>
    <w:rsid w:val="00156464"/>
    <w:rsid w:val="00156505"/>
    <w:rsid w:val="0015667E"/>
    <w:rsid w:val="0015686A"/>
    <w:rsid w:val="001568A8"/>
    <w:rsid w:val="0015697A"/>
    <w:rsid w:val="00156C80"/>
    <w:rsid w:val="00156D60"/>
    <w:rsid w:val="00157114"/>
    <w:rsid w:val="00157236"/>
    <w:rsid w:val="0015724A"/>
    <w:rsid w:val="0015729C"/>
    <w:rsid w:val="00157358"/>
    <w:rsid w:val="0015739D"/>
    <w:rsid w:val="0015742B"/>
    <w:rsid w:val="001574A7"/>
    <w:rsid w:val="00157540"/>
    <w:rsid w:val="0015776C"/>
    <w:rsid w:val="0015790F"/>
    <w:rsid w:val="0015791A"/>
    <w:rsid w:val="001579DC"/>
    <w:rsid w:val="00157A23"/>
    <w:rsid w:val="00157ACA"/>
    <w:rsid w:val="00157AD5"/>
    <w:rsid w:val="00157B18"/>
    <w:rsid w:val="00157B5D"/>
    <w:rsid w:val="00157BA5"/>
    <w:rsid w:val="00157CEB"/>
    <w:rsid w:val="00157CFD"/>
    <w:rsid w:val="00157D22"/>
    <w:rsid w:val="00157E31"/>
    <w:rsid w:val="00157F02"/>
    <w:rsid w:val="00157F66"/>
    <w:rsid w:val="00160015"/>
    <w:rsid w:val="00160229"/>
    <w:rsid w:val="001602EA"/>
    <w:rsid w:val="00160346"/>
    <w:rsid w:val="0016036C"/>
    <w:rsid w:val="0016048F"/>
    <w:rsid w:val="00160492"/>
    <w:rsid w:val="001604D5"/>
    <w:rsid w:val="001605EB"/>
    <w:rsid w:val="00160877"/>
    <w:rsid w:val="001608CB"/>
    <w:rsid w:val="0016090E"/>
    <w:rsid w:val="00160A15"/>
    <w:rsid w:val="00160AFF"/>
    <w:rsid w:val="00160C51"/>
    <w:rsid w:val="00160DB6"/>
    <w:rsid w:val="00160E1A"/>
    <w:rsid w:val="00160EA4"/>
    <w:rsid w:val="00160EE9"/>
    <w:rsid w:val="00160F3A"/>
    <w:rsid w:val="0016108C"/>
    <w:rsid w:val="001610AC"/>
    <w:rsid w:val="001612C7"/>
    <w:rsid w:val="00161309"/>
    <w:rsid w:val="00161391"/>
    <w:rsid w:val="001613FD"/>
    <w:rsid w:val="00161455"/>
    <w:rsid w:val="00161616"/>
    <w:rsid w:val="001616AF"/>
    <w:rsid w:val="00161748"/>
    <w:rsid w:val="00161849"/>
    <w:rsid w:val="00161A9A"/>
    <w:rsid w:val="00161DCE"/>
    <w:rsid w:val="00161E02"/>
    <w:rsid w:val="00161F21"/>
    <w:rsid w:val="001620CB"/>
    <w:rsid w:val="00162392"/>
    <w:rsid w:val="00162545"/>
    <w:rsid w:val="001625EC"/>
    <w:rsid w:val="001626E6"/>
    <w:rsid w:val="00162780"/>
    <w:rsid w:val="001627D1"/>
    <w:rsid w:val="00162821"/>
    <w:rsid w:val="0016288D"/>
    <w:rsid w:val="00162955"/>
    <w:rsid w:val="0016298A"/>
    <w:rsid w:val="00162999"/>
    <w:rsid w:val="001629CD"/>
    <w:rsid w:val="00162A54"/>
    <w:rsid w:val="00162CDD"/>
    <w:rsid w:val="00162CEF"/>
    <w:rsid w:val="0016320C"/>
    <w:rsid w:val="00163446"/>
    <w:rsid w:val="00163802"/>
    <w:rsid w:val="00163983"/>
    <w:rsid w:val="00163A3A"/>
    <w:rsid w:val="00163C8E"/>
    <w:rsid w:val="00163D06"/>
    <w:rsid w:val="00163D3B"/>
    <w:rsid w:val="00163E35"/>
    <w:rsid w:val="00163EEE"/>
    <w:rsid w:val="00163F49"/>
    <w:rsid w:val="0016412B"/>
    <w:rsid w:val="00164202"/>
    <w:rsid w:val="001642F3"/>
    <w:rsid w:val="0016446A"/>
    <w:rsid w:val="00164682"/>
    <w:rsid w:val="00164A45"/>
    <w:rsid w:val="00164A94"/>
    <w:rsid w:val="00164AC1"/>
    <w:rsid w:val="00164B4B"/>
    <w:rsid w:val="00164BC0"/>
    <w:rsid w:val="00164CCA"/>
    <w:rsid w:val="00164ECE"/>
    <w:rsid w:val="00164F2C"/>
    <w:rsid w:val="00165080"/>
    <w:rsid w:val="0016522F"/>
    <w:rsid w:val="001652C2"/>
    <w:rsid w:val="0016534B"/>
    <w:rsid w:val="001654B0"/>
    <w:rsid w:val="0016563A"/>
    <w:rsid w:val="001656B9"/>
    <w:rsid w:val="001657CC"/>
    <w:rsid w:val="001657CF"/>
    <w:rsid w:val="00165907"/>
    <w:rsid w:val="001659F4"/>
    <w:rsid w:val="00165A2E"/>
    <w:rsid w:val="00165DC0"/>
    <w:rsid w:val="00165FB2"/>
    <w:rsid w:val="00165FF0"/>
    <w:rsid w:val="0016601C"/>
    <w:rsid w:val="0016605C"/>
    <w:rsid w:val="00166098"/>
    <w:rsid w:val="001660AA"/>
    <w:rsid w:val="001662A6"/>
    <w:rsid w:val="001662B6"/>
    <w:rsid w:val="001663AA"/>
    <w:rsid w:val="001664B1"/>
    <w:rsid w:val="0016664D"/>
    <w:rsid w:val="00166761"/>
    <w:rsid w:val="0016688E"/>
    <w:rsid w:val="00166892"/>
    <w:rsid w:val="0016689D"/>
    <w:rsid w:val="00166B73"/>
    <w:rsid w:val="00166BE5"/>
    <w:rsid w:val="00166C8D"/>
    <w:rsid w:val="00166D2E"/>
    <w:rsid w:val="00166D72"/>
    <w:rsid w:val="00166E24"/>
    <w:rsid w:val="00166E25"/>
    <w:rsid w:val="00166F83"/>
    <w:rsid w:val="0016701F"/>
    <w:rsid w:val="00167163"/>
    <w:rsid w:val="00167169"/>
    <w:rsid w:val="0016723A"/>
    <w:rsid w:val="0016723F"/>
    <w:rsid w:val="001672D1"/>
    <w:rsid w:val="00167314"/>
    <w:rsid w:val="00167335"/>
    <w:rsid w:val="0016737C"/>
    <w:rsid w:val="001674FA"/>
    <w:rsid w:val="001674FC"/>
    <w:rsid w:val="001675C5"/>
    <w:rsid w:val="001675E3"/>
    <w:rsid w:val="00167634"/>
    <w:rsid w:val="00167641"/>
    <w:rsid w:val="0016782C"/>
    <w:rsid w:val="001678E3"/>
    <w:rsid w:val="001679D1"/>
    <w:rsid w:val="00167A9A"/>
    <w:rsid w:val="00167AA3"/>
    <w:rsid w:val="00167F3A"/>
    <w:rsid w:val="00170100"/>
    <w:rsid w:val="001701D8"/>
    <w:rsid w:val="0017022E"/>
    <w:rsid w:val="0017034B"/>
    <w:rsid w:val="00170379"/>
    <w:rsid w:val="00170383"/>
    <w:rsid w:val="00170407"/>
    <w:rsid w:val="00170426"/>
    <w:rsid w:val="0017048E"/>
    <w:rsid w:val="001704CF"/>
    <w:rsid w:val="001708FB"/>
    <w:rsid w:val="0017094D"/>
    <w:rsid w:val="001709C6"/>
    <w:rsid w:val="00170B63"/>
    <w:rsid w:val="00170BED"/>
    <w:rsid w:val="00170D18"/>
    <w:rsid w:val="00170D94"/>
    <w:rsid w:val="00170DC9"/>
    <w:rsid w:val="001710BD"/>
    <w:rsid w:val="001712B4"/>
    <w:rsid w:val="00171335"/>
    <w:rsid w:val="00171394"/>
    <w:rsid w:val="00171409"/>
    <w:rsid w:val="00171438"/>
    <w:rsid w:val="0017158C"/>
    <w:rsid w:val="001715DC"/>
    <w:rsid w:val="001717E3"/>
    <w:rsid w:val="0017181D"/>
    <w:rsid w:val="001718EB"/>
    <w:rsid w:val="0017192C"/>
    <w:rsid w:val="00171988"/>
    <w:rsid w:val="00171A05"/>
    <w:rsid w:val="00171B17"/>
    <w:rsid w:val="00171B98"/>
    <w:rsid w:val="00171C35"/>
    <w:rsid w:val="00171D48"/>
    <w:rsid w:val="00171DBD"/>
    <w:rsid w:val="00171E98"/>
    <w:rsid w:val="00171F14"/>
    <w:rsid w:val="00172182"/>
    <w:rsid w:val="00172198"/>
    <w:rsid w:val="0017245D"/>
    <w:rsid w:val="001724D5"/>
    <w:rsid w:val="00172507"/>
    <w:rsid w:val="001725A1"/>
    <w:rsid w:val="001725BB"/>
    <w:rsid w:val="0017261D"/>
    <w:rsid w:val="00172662"/>
    <w:rsid w:val="00172779"/>
    <w:rsid w:val="0017285D"/>
    <w:rsid w:val="001728AC"/>
    <w:rsid w:val="00172940"/>
    <w:rsid w:val="0017294B"/>
    <w:rsid w:val="00172D35"/>
    <w:rsid w:val="00172D88"/>
    <w:rsid w:val="00172DC9"/>
    <w:rsid w:val="00172E17"/>
    <w:rsid w:val="00172E28"/>
    <w:rsid w:val="00172EC4"/>
    <w:rsid w:val="00172ECB"/>
    <w:rsid w:val="00172EDD"/>
    <w:rsid w:val="00172F3A"/>
    <w:rsid w:val="00172F86"/>
    <w:rsid w:val="001730A3"/>
    <w:rsid w:val="001730FD"/>
    <w:rsid w:val="00173112"/>
    <w:rsid w:val="0017311D"/>
    <w:rsid w:val="0017318B"/>
    <w:rsid w:val="00173278"/>
    <w:rsid w:val="001732A5"/>
    <w:rsid w:val="00173305"/>
    <w:rsid w:val="0017331D"/>
    <w:rsid w:val="0017344E"/>
    <w:rsid w:val="00173463"/>
    <w:rsid w:val="00173531"/>
    <w:rsid w:val="00173553"/>
    <w:rsid w:val="001735B1"/>
    <w:rsid w:val="0017361E"/>
    <w:rsid w:val="00173798"/>
    <w:rsid w:val="001739A7"/>
    <w:rsid w:val="001739C6"/>
    <w:rsid w:val="00173BE6"/>
    <w:rsid w:val="00173C5B"/>
    <w:rsid w:val="00173D64"/>
    <w:rsid w:val="00173DA5"/>
    <w:rsid w:val="00173E10"/>
    <w:rsid w:val="00173E72"/>
    <w:rsid w:val="00173E9E"/>
    <w:rsid w:val="00173F18"/>
    <w:rsid w:val="00174038"/>
    <w:rsid w:val="0017404B"/>
    <w:rsid w:val="001741FD"/>
    <w:rsid w:val="00174269"/>
    <w:rsid w:val="001742A8"/>
    <w:rsid w:val="0017440C"/>
    <w:rsid w:val="001744E1"/>
    <w:rsid w:val="001744E8"/>
    <w:rsid w:val="0017457C"/>
    <w:rsid w:val="00174633"/>
    <w:rsid w:val="001746FF"/>
    <w:rsid w:val="00174728"/>
    <w:rsid w:val="0017472D"/>
    <w:rsid w:val="00174762"/>
    <w:rsid w:val="001749C1"/>
    <w:rsid w:val="00174A42"/>
    <w:rsid w:val="00174A9F"/>
    <w:rsid w:val="00174BA4"/>
    <w:rsid w:val="00174C2C"/>
    <w:rsid w:val="00174C8C"/>
    <w:rsid w:val="00174DBF"/>
    <w:rsid w:val="00174E4F"/>
    <w:rsid w:val="00174FC6"/>
    <w:rsid w:val="00174FEC"/>
    <w:rsid w:val="0017504F"/>
    <w:rsid w:val="00175136"/>
    <w:rsid w:val="00175209"/>
    <w:rsid w:val="001753A7"/>
    <w:rsid w:val="001753FD"/>
    <w:rsid w:val="0017542A"/>
    <w:rsid w:val="0017565A"/>
    <w:rsid w:val="0017572D"/>
    <w:rsid w:val="001757C5"/>
    <w:rsid w:val="001758CB"/>
    <w:rsid w:val="00175AA2"/>
    <w:rsid w:val="00175ACB"/>
    <w:rsid w:val="00175AFC"/>
    <w:rsid w:val="00175C7A"/>
    <w:rsid w:val="00175C98"/>
    <w:rsid w:val="00175CFE"/>
    <w:rsid w:val="00175D08"/>
    <w:rsid w:val="00175E12"/>
    <w:rsid w:val="00175F20"/>
    <w:rsid w:val="00175F2C"/>
    <w:rsid w:val="00175F67"/>
    <w:rsid w:val="00175F9B"/>
    <w:rsid w:val="00175FD2"/>
    <w:rsid w:val="00175FD8"/>
    <w:rsid w:val="00176057"/>
    <w:rsid w:val="001760FF"/>
    <w:rsid w:val="001763F1"/>
    <w:rsid w:val="00176427"/>
    <w:rsid w:val="0017645D"/>
    <w:rsid w:val="00176472"/>
    <w:rsid w:val="00176484"/>
    <w:rsid w:val="001765E8"/>
    <w:rsid w:val="00176738"/>
    <w:rsid w:val="00176762"/>
    <w:rsid w:val="0017685D"/>
    <w:rsid w:val="00176CC1"/>
    <w:rsid w:val="00176DF9"/>
    <w:rsid w:val="00176E0D"/>
    <w:rsid w:val="00176E42"/>
    <w:rsid w:val="00176E9A"/>
    <w:rsid w:val="00176F37"/>
    <w:rsid w:val="00177001"/>
    <w:rsid w:val="00177011"/>
    <w:rsid w:val="001771CC"/>
    <w:rsid w:val="001771F9"/>
    <w:rsid w:val="00177217"/>
    <w:rsid w:val="00177524"/>
    <w:rsid w:val="00177574"/>
    <w:rsid w:val="00177597"/>
    <w:rsid w:val="001775AD"/>
    <w:rsid w:val="0017771D"/>
    <w:rsid w:val="001777D5"/>
    <w:rsid w:val="001777E9"/>
    <w:rsid w:val="001778D0"/>
    <w:rsid w:val="00177B6B"/>
    <w:rsid w:val="00177B71"/>
    <w:rsid w:val="00177C0F"/>
    <w:rsid w:val="00177C60"/>
    <w:rsid w:val="00177CC5"/>
    <w:rsid w:val="00177D12"/>
    <w:rsid w:val="00177DCB"/>
    <w:rsid w:val="00177DFD"/>
    <w:rsid w:val="00177E13"/>
    <w:rsid w:val="00177EF0"/>
    <w:rsid w:val="00180001"/>
    <w:rsid w:val="00180078"/>
    <w:rsid w:val="00180185"/>
    <w:rsid w:val="001804A4"/>
    <w:rsid w:val="00180570"/>
    <w:rsid w:val="001807C0"/>
    <w:rsid w:val="0018087A"/>
    <w:rsid w:val="00180935"/>
    <w:rsid w:val="001809DF"/>
    <w:rsid w:val="00180A23"/>
    <w:rsid w:val="00180AFB"/>
    <w:rsid w:val="00180B76"/>
    <w:rsid w:val="00180BE8"/>
    <w:rsid w:val="00180C29"/>
    <w:rsid w:val="00180CFF"/>
    <w:rsid w:val="00180D59"/>
    <w:rsid w:val="00180DAD"/>
    <w:rsid w:val="00180E2E"/>
    <w:rsid w:val="00180E96"/>
    <w:rsid w:val="00180EDB"/>
    <w:rsid w:val="00180F19"/>
    <w:rsid w:val="001810F1"/>
    <w:rsid w:val="001811DE"/>
    <w:rsid w:val="0018125B"/>
    <w:rsid w:val="001812D0"/>
    <w:rsid w:val="00181353"/>
    <w:rsid w:val="0018141D"/>
    <w:rsid w:val="001814E5"/>
    <w:rsid w:val="001816B6"/>
    <w:rsid w:val="001817D3"/>
    <w:rsid w:val="001817FE"/>
    <w:rsid w:val="001818AF"/>
    <w:rsid w:val="001818CC"/>
    <w:rsid w:val="00181B06"/>
    <w:rsid w:val="00181B43"/>
    <w:rsid w:val="00181C20"/>
    <w:rsid w:val="00181D46"/>
    <w:rsid w:val="00181E4B"/>
    <w:rsid w:val="00181F84"/>
    <w:rsid w:val="00182015"/>
    <w:rsid w:val="001820B1"/>
    <w:rsid w:val="001820DC"/>
    <w:rsid w:val="00182125"/>
    <w:rsid w:val="001822B1"/>
    <w:rsid w:val="00182487"/>
    <w:rsid w:val="001826CB"/>
    <w:rsid w:val="001827AC"/>
    <w:rsid w:val="0018286B"/>
    <w:rsid w:val="00182899"/>
    <w:rsid w:val="001828FE"/>
    <w:rsid w:val="00182ABB"/>
    <w:rsid w:val="001830A3"/>
    <w:rsid w:val="001830C4"/>
    <w:rsid w:val="001831E8"/>
    <w:rsid w:val="001832B0"/>
    <w:rsid w:val="001832D0"/>
    <w:rsid w:val="001832E9"/>
    <w:rsid w:val="0018334F"/>
    <w:rsid w:val="0018349C"/>
    <w:rsid w:val="00183562"/>
    <w:rsid w:val="00183649"/>
    <w:rsid w:val="00183779"/>
    <w:rsid w:val="001838BC"/>
    <w:rsid w:val="00183970"/>
    <w:rsid w:val="00183B4E"/>
    <w:rsid w:val="00183C19"/>
    <w:rsid w:val="00183D6C"/>
    <w:rsid w:val="001841C5"/>
    <w:rsid w:val="001842B7"/>
    <w:rsid w:val="001843C4"/>
    <w:rsid w:val="00184459"/>
    <w:rsid w:val="001844BD"/>
    <w:rsid w:val="00184519"/>
    <w:rsid w:val="00184572"/>
    <w:rsid w:val="001845EA"/>
    <w:rsid w:val="001845F7"/>
    <w:rsid w:val="001846AD"/>
    <w:rsid w:val="001848B7"/>
    <w:rsid w:val="00184A83"/>
    <w:rsid w:val="00184DA4"/>
    <w:rsid w:val="00184E98"/>
    <w:rsid w:val="00184FE8"/>
    <w:rsid w:val="00185037"/>
    <w:rsid w:val="00185112"/>
    <w:rsid w:val="0018518F"/>
    <w:rsid w:val="00185212"/>
    <w:rsid w:val="00185322"/>
    <w:rsid w:val="0018537D"/>
    <w:rsid w:val="001853A5"/>
    <w:rsid w:val="001853C8"/>
    <w:rsid w:val="00185601"/>
    <w:rsid w:val="00185676"/>
    <w:rsid w:val="001856F8"/>
    <w:rsid w:val="0018599A"/>
    <w:rsid w:val="001859B0"/>
    <w:rsid w:val="00185A8A"/>
    <w:rsid w:val="00185AD8"/>
    <w:rsid w:val="00185B8B"/>
    <w:rsid w:val="00185C54"/>
    <w:rsid w:val="00185EB5"/>
    <w:rsid w:val="00185EC4"/>
    <w:rsid w:val="00186069"/>
    <w:rsid w:val="00186217"/>
    <w:rsid w:val="00186280"/>
    <w:rsid w:val="001862DA"/>
    <w:rsid w:val="0018647E"/>
    <w:rsid w:val="0018653E"/>
    <w:rsid w:val="001865CA"/>
    <w:rsid w:val="001866D1"/>
    <w:rsid w:val="00186719"/>
    <w:rsid w:val="00186726"/>
    <w:rsid w:val="001868A3"/>
    <w:rsid w:val="001869E7"/>
    <w:rsid w:val="00186A8A"/>
    <w:rsid w:val="00186A8B"/>
    <w:rsid w:val="00186CE2"/>
    <w:rsid w:val="00186DB9"/>
    <w:rsid w:val="00186E30"/>
    <w:rsid w:val="00186EB8"/>
    <w:rsid w:val="00186F05"/>
    <w:rsid w:val="00186FAD"/>
    <w:rsid w:val="00187052"/>
    <w:rsid w:val="00187145"/>
    <w:rsid w:val="0018718B"/>
    <w:rsid w:val="001871E6"/>
    <w:rsid w:val="00187377"/>
    <w:rsid w:val="001873EB"/>
    <w:rsid w:val="001874F4"/>
    <w:rsid w:val="001875B4"/>
    <w:rsid w:val="00187613"/>
    <w:rsid w:val="00187639"/>
    <w:rsid w:val="00187694"/>
    <w:rsid w:val="00187A1C"/>
    <w:rsid w:val="00187D0D"/>
    <w:rsid w:val="00187DA4"/>
    <w:rsid w:val="00187F63"/>
    <w:rsid w:val="0018BD47"/>
    <w:rsid w:val="00190057"/>
    <w:rsid w:val="001901EE"/>
    <w:rsid w:val="001903A6"/>
    <w:rsid w:val="001903EA"/>
    <w:rsid w:val="001904AA"/>
    <w:rsid w:val="001904D5"/>
    <w:rsid w:val="0019052D"/>
    <w:rsid w:val="001905E7"/>
    <w:rsid w:val="0019062A"/>
    <w:rsid w:val="0019065C"/>
    <w:rsid w:val="0019069F"/>
    <w:rsid w:val="001906AD"/>
    <w:rsid w:val="00190711"/>
    <w:rsid w:val="00190837"/>
    <w:rsid w:val="001908D7"/>
    <w:rsid w:val="001909E4"/>
    <w:rsid w:val="001909F4"/>
    <w:rsid w:val="00190BEC"/>
    <w:rsid w:val="00190E7E"/>
    <w:rsid w:val="0019104D"/>
    <w:rsid w:val="0019119B"/>
    <w:rsid w:val="001911A9"/>
    <w:rsid w:val="0019139B"/>
    <w:rsid w:val="001913C7"/>
    <w:rsid w:val="001914B2"/>
    <w:rsid w:val="001915B8"/>
    <w:rsid w:val="00191778"/>
    <w:rsid w:val="00191A77"/>
    <w:rsid w:val="00191AA3"/>
    <w:rsid w:val="00191B68"/>
    <w:rsid w:val="00191B9B"/>
    <w:rsid w:val="00191BE4"/>
    <w:rsid w:val="00191C29"/>
    <w:rsid w:val="00191CF1"/>
    <w:rsid w:val="00191DB3"/>
    <w:rsid w:val="00191DF7"/>
    <w:rsid w:val="00191E1B"/>
    <w:rsid w:val="00191FD5"/>
    <w:rsid w:val="001921E0"/>
    <w:rsid w:val="00192214"/>
    <w:rsid w:val="00192291"/>
    <w:rsid w:val="001923ED"/>
    <w:rsid w:val="00192B12"/>
    <w:rsid w:val="00192B6A"/>
    <w:rsid w:val="00192B90"/>
    <w:rsid w:val="00192B9B"/>
    <w:rsid w:val="00192BFE"/>
    <w:rsid w:val="00192C2C"/>
    <w:rsid w:val="00192C78"/>
    <w:rsid w:val="00192CCD"/>
    <w:rsid w:val="00192D0D"/>
    <w:rsid w:val="00192E33"/>
    <w:rsid w:val="00192E39"/>
    <w:rsid w:val="00192EB9"/>
    <w:rsid w:val="0019320B"/>
    <w:rsid w:val="0019320C"/>
    <w:rsid w:val="00193260"/>
    <w:rsid w:val="001934A1"/>
    <w:rsid w:val="001934AD"/>
    <w:rsid w:val="001935B0"/>
    <w:rsid w:val="001935C1"/>
    <w:rsid w:val="0019374B"/>
    <w:rsid w:val="001937CD"/>
    <w:rsid w:val="00193844"/>
    <w:rsid w:val="00193A5D"/>
    <w:rsid w:val="00193A90"/>
    <w:rsid w:val="00193B10"/>
    <w:rsid w:val="00193B23"/>
    <w:rsid w:val="00193CD8"/>
    <w:rsid w:val="00193D38"/>
    <w:rsid w:val="00193E39"/>
    <w:rsid w:val="00193E86"/>
    <w:rsid w:val="00193EE3"/>
    <w:rsid w:val="00193EFE"/>
    <w:rsid w:val="00193F95"/>
    <w:rsid w:val="00194090"/>
    <w:rsid w:val="00194098"/>
    <w:rsid w:val="00194190"/>
    <w:rsid w:val="00194246"/>
    <w:rsid w:val="0019431F"/>
    <w:rsid w:val="001945A3"/>
    <w:rsid w:val="0019471E"/>
    <w:rsid w:val="0019479D"/>
    <w:rsid w:val="00194995"/>
    <w:rsid w:val="00194B0C"/>
    <w:rsid w:val="00194B92"/>
    <w:rsid w:val="00194D2C"/>
    <w:rsid w:val="00194FC9"/>
    <w:rsid w:val="00194FCC"/>
    <w:rsid w:val="00195079"/>
    <w:rsid w:val="001950BB"/>
    <w:rsid w:val="00195141"/>
    <w:rsid w:val="00195201"/>
    <w:rsid w:val="00195245"/>
    <w:rsid w:val="0019532B"/>
    <w:rsid w:val="001953CF"/>
    <w:rsid w:val="00195476"/>
    <w:rsid w:val="001955E1"/>
    <w:rsid w:val="001957B4"/>
    <w:rsid w:val="00195846"/>
    <w:rsid w:val="0019598B"/>
    <w:rsid w:val="00195AFC"/>
    <w:rsid w:val="00195B20"/>
    <w:rsid w:val="00195CD2"/>
    <w:rsid w:val="00195D02"/>
    <w:rsid w:val="0019612F"/>
    <w:rsid w:val="00196167"/>
    <w:rsid w:val="0019620C"/>
    <w:rsid w:val="001963E2"/>
    <w:rsid w:val="00196526"/>
    <w:rsid w:val="00196594"/>
    <w:rsid w:val="0019663F"/>
    <w:rsid w:val="00196963"/>
    <w:rsid w:val="00196B7E"/>
    <w:rsid w:val="00196B93"/>
    <w:rsid w:val="00196BA3"/>
    <w:rsid w:val="00196D39"/>
    <w:rsid w:val="00196E4B"/>
    <w:rsid w:val="0019707F"/>
    <w:rsid w:val="001970D1"/>
    <w:rsid w:val="001970F9"/>
    <w:rsid w:val="001971C1"/>
    <w:rsid w:val="00197350"/>
    <w:rsid w:val="00197650"/>
    <w:rsid w:val="00197714"/>
    <w:rsid w:val="001978B3"/>
    <w:rsid w:val="00197A8B"/>
    <w:rsid w:val="00197BC3"/>
    <w:rsid w:val="00197BC6"/>
    <w:rsid w:val="00197CCC"/>
    <w:rsid w:val="00197DCD"/>
    <w:rsid w:val="00197DF7"/>
    <w:rsid w:val="00197E49"/>
    <w:rsid w:val="00197F81"/>
    <w:rsid w:val="00197F8A"/>
    <w:rsid w:val="001A002B"/>
    <w:rsid w:val="001A0125"/>
    <w:rsid w:val="001A01CD"/>
    <w:rsid w:val="001A0261"/>
    <w:rsid w:val="001A0313"/>
    <w:rsid w:val="001A052F"/>
    <w:rsid w:val="001A054E"/>
    <w:rsid w:val="001A06A6"/>
    <w:rsid w:val="001A081C"/>
    <w:rsid w:val="001A0968"/>
    <w:rsid w:val="001A0A79"/>
    <w:rsid w:val="001A0C22"/>
    <w:rsid w:val="001A0DEE"/>
    <w:rsid w:val="001A0E8F"/>
    <w:rsid w:val="001A0EBE"/>
    <w:rsid w:val="001A0F0C"/>
    <w:rsid w:val="001A0FC0"/>
    <w:rsid w:val="001A10C1"/>
    <w:rsid w:val="001A1108"/>
    <w:rsid w:val="001A138E"/>
    <w:rsid w:val="001A13EB"/>
    <w:rsid w:val="001A1662"/>
    <w:rsid w:val="001A16CB"/>
    <w:rsid w:val="001A16D7"/>
    <w:rsid w:val="001A1720"/>
    <w:rsid w:val="001A173D"/>
    <w:rsid w:val="001A192B"/>
    <w:rsid w:val="001A1992"/>
    <w:rsid w:val="001A19DF"/>
    <w:rsid w:val="001A1A5A"/>
    <w:rsid w:val="001A1BFC"/>
    <w:rsid w:val="001A1CF7"/>
    <w:rsid w:val="001A1D9A"/>
    <w:rsid w:val="001A1D9E"/>
    <w:rsid w:val="001A1DAF"/>
    <w:rsid w:val="001A1E4F"/>
    <w:rsid w:val="001A2084"/>
    <w:rsid w:val="001A2109"/>
    <w:rsid w:val="001A2216"/>
    <w:rsid w:val="001A22FE"/>
    <w:rsid w:val="001A2466"/>
    <w:rsid w:val="001A2514"/>
    <w:rsid w:val="001A265B"/>
    <w:rsid w:val="001A267A"/>
    <w:rsid w:val="001A2691"/>
    <w:rsid w:val="001A26F5"/>
    <w:rsid w:val="001A27E6"/>
    <w:rsid w:val="001A2C97"/>
    <w:rsid w:val="001A2DDC"/>
    <w:rsid w:val="001A2F36"/>
    <w:rsid w:val="001A308D"/>
    <w:rsid w:val="001A3229"/>
    <w:rsid w:val="001A33A1"/>
    <w:rsid w:val="001A3438"/>
    <w:rsid w:val="001A3459"/>
    <w:rsid w:val="001A35D0"/>
    <w:rsid w:val="001A372B"/>
    <w:rsid w:val="001A3771"/>
    <w:rsid w:val="001A37DF"/>
    <w:rsid w:val="001A37E2"/>
    <w:rsid w:val="001A3847"/>
    <w:rsid w:val="001A3991"/>
    <w:rsid w:val="001A3DAF"/>
    <w:rsid w:val="001A3FEF"/>
    <w:rsid w:val="001A4336"/>
    <w:rsid w:val="001A4390"/>
    <w:rsid w:val="001A43B2"/>
    <w:rsid w:val="001A43DE"/>
    <w:rsid w:val="001A4520"/>
    <w:rsid w:val="001A45D4"/>
    <w:rsid w:val="001A465D"/>
    <w:rsid w:val="001A473D"/>
    <w:rsid w:val="001A4780"/>
    <w:rsid w:val="001A4823"/>
    <w:rsid w:val="001A48E4"/>
    <w:rsid w:val="001A4918"/>
    <w:rsid w:val="001A497E"/>
    <w:rsid w:val="001A4A52"/>
    <w:rsid w:val="001A4AAB"/>
    <w:rsid w:val="001A4CCB"/>
    <w:rsid w:val="001A4CFB"/>
    <w:rsid w:val="001A4EB6"/>
    <w:rsid w:val="001A4F95"/>
    <w:rsid w:val="001A505B"/>
    <w:rsid w:val="001A50EA"/>
    <w:rsid w:val="001A5102"/>
    <w:rsid w:val="001A5332"/>
    <w:rsid w:val="001A5419"/>
    <w:rsid w:val="001A5705"/>
    <w:rsid w:val="001A585E"/>
    <w:rsid w:val="001A592C"/>
    <w:rsid w:val="001A596F"/>
    <w:rsid w:val="001A5AC0"/>
    <w:rsid w:val="001A5D64"/>
    <w:rsid w:val="001A5EA4"/>
    <w:rsid w:val="001A5F04"/>
    <w:rsid w:val="001A5F4F"/>
    <w:rsid w:val="001A6163"/>
    <w:rsid w:val="001A620B"/>
    <w:rsid w:val="001A638F"/>
    <w:rsid w:val="001A63F2"/>
    <w:rsid w:val="001A642B"/>
    <w:rsid w:val="001A647F"/>
    <w:rsid w:val="001A6496"/>
    <w:rsid w:val="001A6575"/>
    <w:rsid w:val="001A6682"/>
    <w:rsid w:val="001A67E7"/>
    <w:rsid w:val="001A69B8"/>
    <w:rsid w:val="001A6A4A"/>
    <w:rsid w:val="001A6A59"/>
    <w:rsid w:val="001A6CC5"/>
    <w:rsid w:val="001A6D95"/>
    <w:rsid w:val="001A6DA5"/>
    <w:rsid w:val="001A6E6B"/>
    <w:rsid w:val="001A6F1C"/>
    <w:rsid w:val="001A7333"/>
    <w:rsid w:val="001A7346"/>
    <w:rsid w:val="001A7386"/>
    <w:rsid w:val="001A749B"/>
    <w:rsid w:val="001A751B"/>
    <w:rsid w:val="001A7551"/>
    <w:rsid w:val="001A7591"/>
    <w:rsid w:val="001A76EB"/>
    <w:rsid w:val="001A7727"/>
    <w:rsid w:val="001A788D"/>
    <w:rsid w:val="001A7971"/>
    <w:rsid w:val="001A79C9"/>
    <w:rsid w:val="001A7B28"/>
    <w:rsid w:val="001A7B51"/>
    <w:rsid w:val="001A7B67"/>
    <w:rsid w:val="001A7BFE"/>
    <w:rsid w:val="001A7DBF"/>
    <w:rsid w:val="001A7E01"/>
    <w:rsid w:val="001A7E31"/>
    <w:rsid w:val="001A7FFD"/>
    <w:rsid w:val="001B0072"/>
    <w:rsid w:val="001B0110"/>
    <w:rsid w:val="001B0287"/>
    <w:rsid w:val="001B038A"/>
    <w:rsid w:val="001B0511"/>
    <w:rsid w:val="001B059F"/>
    <w:rsid w:val="001B05D4"/>
    <w:rsid w:val="001B074B"/>
    <w:rsid w:val="001B0762"/>
    <w:rsid w:val="001B076B"/>
    <w:rsid w:val="001B08D3"/>
    <w:rsid w:val="001B090D"/>
    <w:rsid w:val="001B0945"/>
    <w:rsid w:val="001B09E3"/>
    <w:rsid w:val="001B0AC4"/>
    <w:rsid w:val="001B0AE3"/>
    <w:rsid w:val="001B0C0A"/>
    <w:rsid w:val="001B0CE8"/>
    <w:rsid w:val="001B0E0A"/>
    <w:rsid w:val="001B0F23"/>
    <w:rsid w:val="001B0F33"/>
    <w:rsid w:val="001B105E"/>
    <w:rsid w:val="001B10FE"/>
    <w:rsid w:val="001B1324"/>
    <w:rsid w:val="001B14E6"/>
    <w:rsid w:val="001B156B"/>
    <w:rsid w:val="001B1574"/>
    <w:rsid w:val="001B15AF"/>
    <w:rsid w:val="001B15DB"/>
    <w:rsid w:val="001B15E3"/>
    <w:rsid w:val="001B1729"/>
    <w:rsid w:val="001B17CE"/>
    <w:rsid w:val="001B1902"/>
    <w:rsid w:val="001B1A84"/>
    <w:rsid w:val="001B1ACC"/>
    <w:rsid w:val="001B1CA9"/>
    <w:rsid w:val="001B1D24"/>
    <w:rsid w:val="001B1DAA"/>
    <w:rsid w:val="001B1DE5"/>
    <w:rsid w:val="001B1F9C"/>
    <w:rsid w:val="001B1FAD"/>
    <w:rsid w:val="001B1FC2"/>
    <w:rsid w:val="001B20B9"/>
    <w:rsid w:val="001B20DF"/>
    <w:rsid w:val="001B2228"/>
    <w:rsid w:val="001B226C"/>
    <w:rsid w:val="001B24B2"/>
    <w:rsid w:val="001B2635"/>
    <w:rsid w:val="001B28F3"/>
    <w:rsid w:val="001B2B2F"/>
    <w:rsid w:val="001B2B59"/>
    <w:rsid w:val="001B2BA7"/>
    <w:rsid w:val="001B2CD5"/>
    <w:rsid w:val="001B2D0E"/>
    <w:rsid w:val="001B2FA0"/>
    <w:rsid w:val="001B3048"/>
    <w:rsid w:val="001B3139"/>
    <w:rsid w:val="001B318B"/>
    <w:rsid w:val="001B31B7"/>
    <w:rsid w:val="001B33A7"/>
    <w:rsid w:val="001B33E1"/>
    <w:rsid w:val="001B371D"/>
    <w:rsid w:val="001B3961"/>
    <w:rsid w:val="001B3A73"/>
    <w:rsid w:val="001B3A7C"/>
    <w:rsid w:val="001B3AE5"/>
    <w:rsid w:val="001B3BBB"/>
    <w:rsid w:val="001B3CC2"/>
    <w:rsid w:val="001B3D9D"/>
    <w:rsid w:val="001B3DBE"/>
    <w:rsid w:val="001B3E06"/>
    <w:rsid w:val="001B3E2D"/>
    <w:rsid w:val="001B3F15"/>
    <w:rsid w:val="001B40CB"/>
    <w:rsid w:val="001B40E7"/>
    <w:rsid w:val="001B4104"/>
    <w:rsid w:val="001B4279"/>
    <w:rsid w:val="001B4293"/>
    <w:rsid w:val="001B42E4"/>
    <w:rsid w:val="001B436F"/>
    <w:rsid w:val="001B43B1"/>
    <w:rsid w:val="001B4548"/>
    <w:rsid w:val="001B48E1"/>
    <w:rsid w:val="001B4937"/>
    <w:rsid w:val="001B4A0D"/>
    <w:rsid w:val="001B4ADD"/>
    <w:rsid w:val="001B4BCE"/>
    <w:rsid w:val="001B4E6E"/>
    <w:rsid w:val="001B4E90"/>
    <w:rsid w:val="001B4FA6"/>
    <w:rsid w:val="001B50B8"/>
    <w:rsid w:val="001B50FE"/>
    <w:rsid w:val="001B5150"/>
    <w:rsid w:val="001B51B1"/>
    <w:rsid w:val="001B5223"/>
    <w:rsid w:val="001B5291"/>
    <w:rsid w:val="001B53A6"/>
    <w:rsid w:val="001B563F"/>
    <w:rsid w:val="001B571B"/>
    <w:rsid w:val="001B572D"/>
    <w:rsid w:val="001B5798"/>
    <w:rsid w:val="001B582D"/>
    <w:rsid w:val="001B5890"/>
    <w:rsid w:val="001B5948"/>
    <w:rsid w:val="001B59A9"/>
    <w:rsid w:val="001B5A4D"/>
    <w:rsid w:val="001B5C77"/>
    <w:rsid w:val="001B5C8D"/>
    <w:rsid w:val="001B5D3A"/>
    <w:rsid w:val="001B5D41"/>
    <w:rsid w:val="001B5E90"/>
    <w:rsid w:val="001B5EB0"/>
    <w:rsid w:val="001B5EC7"/>
    <w:rsid w:val="001B6107"/>
    <w:rsid w:val="001B63EA"/>
    <w:rsid w:val="001B6407"/>
    <w:rsid w:val="001B6421"/>
    <w:rsid w:val="001B64EC"/>
    <w:rsid w:val="001B68C7"/>
    <w:rsid w:val="001B691A"/>
    <w:rsid w:val="001B696E"/>
    <w:rsid w:val="001B6A16"/>
    <w:rsid w:val="001B6A56"/>
    <w:rsid w:val="001B6BE2"/>
    <w:rsid w:val="001B6CBC"/>
    <w:rsid w:val="001B6EB8"/>
    <w:rsid w:val="001B711C"/>
    <w:rsid w:val="001B7191"/>
    <w:rsid w:val="001B71B9"/>
    <w:rsid w:val="001B7243"/>
    <w:rsid w:val="001B7435"/>
    <w:rsid w:val="001B754E"/>
    <w:rsid w:val="001B7621"/>
    <w:rsid w:val="001B76A8"/>
    <w:rsid w:val="001B7722"/>
    <w:rsid w:val="001B782D"/>
    <w:rsid w:val="001B783D"/>
    <w:rsid w:val="001B792F"/>
    <w:rsid w:val="001B7A5F"/>
    <w:rsid w:val="001B7AF0"/>
    <w:rsid w:val="001B7DC0"/>
    <w:rsid w:val="001B7DF5"/>
    <w:rsid w:val="001B7E10"/>
    <w:rsid w:val="001B7F21"/>
    <w:rsid w:val="001B7FD2"/>
    <w:rsid w:val="001B7FF0"/>
    <w:rsid w:val="001C004F"/>
    <w:rsid w:val="001C00F2"/>
    <w:rsid w:val="001C0464"/>
    <w:rsid w:val="001C0545"/>
    <w:rsid w:val="001C05BE"/>
    <w:rsid w:val="001C07AA"/>
    <w:rsid w:val="001C07AD"/>
    <w:rsid w:val="001C0963"/>
    <w:rsid w:val="001C09D9"/>
    <w:rsid w:val="001C0AD1"/>
    <w:rsid w:val="001C0AFC"/>
    <w:rsid w:val="001C0C14"/>
    <w:rsid w:val="001C0C29"/>
    <w:rsid w:val="001C0DE6"/>
    <w:rsid w:val="001C0EAE"/>
    <w:rsid w:val="001C1121"/>
    <w:rsid w:val="001C1196"/>
    <w:rsid w:val="001C11E6"/>
    <w:rsid w:val="001C11EB"/>
    <w:rsid w:val="001C13AF"/>
    <w:rsid w:val="001C14EA"/>
    <w:rsid w:val="001C1532"/>
    <w:rsid w:val="001C15C5"/>
    <w:rsid w:val="001C195C"/>
    <w:rsid w:val="001C1A14"/>
    <w:rsid w:val="001C1A76"/>
    <w:rsid w:val="001C1AC5"/>
    <w:rsid w:val="001C1D5E"/>
    <w:rsid w:val="001C1DA5"/>
    <w:rsid w:val="001C1DBA"/>
    <w:rsid w:val="001C1DE7"/>
    <w:rsid w:val="001C1F4B"/>
    <w:rsid w:val="001C202D"/>
    <w:rsid w:val="001C21A2"/>
    <w:rsid w:val="001C22BD"/>
    <w:rsid w:val="001C22C0"/>
    <w:rsid w:val="001C22E4"/>
    <w:rsid w:val="001C22F8"/>
    <w:rsid w:val="001C2327"/>
    <w:rsid w:val="001C2377"/>
    <w:rsid w:val="001C23C3"/>
    <w:rsid w:val="001C24B2"/>
    <w:rsid w:val="001C24F4"/>
    <w:rsid w:val="001C271A"/>
    <w:rsid w:val="001C27B1"/>
    <w:rsid w:val="001C2A03"/>
    <w:rsid w:val="001C2DF3"/>
    <w:rsid w:val="001C2FF0"/>
    <w:rsid w:val="001C30D2"/>
    <w:rsid w:val="001C30D3"/>
    <w:rsid w:val="001C32D7"/>
    <w:rsid w:val="001C347E"/>
    <w:rsid w:val="001C35C2"/>
    <w:rsid w:val="001C3646"/>
    <w:rsid w:val="001C36ED"/>
    <w:rsid w:val="001C3701"/>
    <w:rsid w:val="001C39E8"/>
    <w:rsid w:val="001C3A12"/>
    <w:rsid w:val="001C3A22"/>
    <w:rsid w:val="001C3A27"/>
    <w:rsid w:val="001C3BC6"/>
    <w:rsid w:val="001C3C62"/>
    <w:rsid w:val="001C3C9D"/>
    <w:rsid w:val="001C3CD8"/>
    <w:rsid w:val="001C3D2F"/>
    <w:rsid w:val="001C3D31"/>
    <w:rsid w:val="001C3EC6"/>
    <w:rsid w:val="001C3F63"/>
    <w:rsid w:val="001C3F9F"/>
    <w:rsid w:val="001C4105"/>
    <w:rsid w:val="001C4376"/>
    <w:rsid w:val="001C440A"/>
    <w:rsid w:val="001C446F"/>
    <w:rsid w:val="001C44E0"/>
    <w:rsid w:val="001C4553"/>
    <w:rsid w:val="001C4619"/>
    <w:rsid w:val="001C4623"/>
    <w:rsid w:val="001C4632"/>
    <w:rsid w:val="001C469B"/>
    <w:rsid w:val="001C47A0"/>
    <w:rsid w:val="001C4962"/>
    <w:rsid w:val="001C4979"/>
    <w:rsid w:val="001C4A0B"/>
    <w:rsid w:val="001C4A30"/>
    <w:rsid w:val="001C4B75"/>
    <w:rsid w:val="001C4BD8"/>
    <w:rsid w:val="001C4C45"/>
    <w:rsid w:val="001C4C5F"/>
    <w:rsid w:val="001C4C8C"/>
    <w:rsid w:val="001C4D07"/>
    <w:rsid w:val="001C4DA4"/>
    <w:rsid w:val="001C504B"/>
    <w:rsid w:val="001C505E"/>
    <w:rsid w:val="001C510C"/>
    <w:rsid w:val="001C5219"/>
    <w:rsid w:val="001C532B"/>
    <w:rsid w:val="001C54F5"/>
    <w:rsid w:val="001C559E"/>
    <w:rsid w:val="001C55A7"/>
    <w:rsid w:val="001C55F6"/>
    <w:rsid w:val="001C57A2"/>
    <w:rsid w:val="001C57DC"/>
    <w:rsid w:val="001C59EB"/>
    <w:rsid w:val="001C5A6C"/>
    <w:rsid w:val="001C5ACA"/>
    <w:rsid w:val="001C5B0F"/>
    <w:rsid w:val="001C5CDE"/>
    <w:rsid w:val="001C5D2D"/>
    <w:rsid w:val="001C5D8B"/>
    <w:rsid w:val="001C5E03"/>
    <w:rsid w:val="001C5F09"/>
    <w:rsid w:val="001C5F7F"/>
    <w:rsid w:val="001C6086"/>
    <w:rsid w:val="001C60F8"/>
    <w:rsid w:val="001C61FF"/>
    <w:rsid w:val="001C6234"/>
    <w:rsid w:val="001C623F"/>
    <w:rsid w:val="001C6250"/>
    <w:rsid w:val="001C6252"/>
    <w:rsid w:val="001C62B4"/>
    <w:rsid w:val="001C6311"/>
    <w:rsid w:val="001C63C3"/>
    <w:rsid w:val="001C6420"/>
    <w:rsid w:val="001C6504"/>
    <w:rsid w:val="001C6605"/>
    <w:rsid w:val="001C66A5"/>
    <w:rsid w:val="001C6726"/>
    <w:rsid w:val="001C6758"/>
    <w:rsid w:val="001C681D"/>
    <w:rsid w:val="001C696E"/>
    <w:rsid w:val="001C69B9"/>
    <w:rsid w:val="001C6A71"/>
    <w:rsid w:val="001C6BFC"/>
    <w:rsid w:val="001C6D02"/>
    <w:rsid w:val="001C71AA"/>
    <w:rsid w:val="001C71DA"/>
    <w:rsid w:val="001C71EB"/>
    <w:rsid w:val="001C73F8"/>
    <w:rsid w:val="001C7459"/>
    <w:rsid w:val="001C7497"/>
    <w:rsid w:val="001C75AB"/>
    <w:rsid w:val="001C75B2"/>
    <w:rsid w:val="001C7759"/>
    <w:rsid w:val="001C776C"/>
    <w:rsid w:val="001C77E1"/>
    <w:rsid w:val="001C7803"/>
    <w:rsid w:val="001C781C"/>
    <w:rsid w:val="001C799A"/>
    <w:rsid w:val="001C79D2"/>
    <w:rsid w:val="001C79DA"/>
    <w:rsid w:val="001C7ABB"/>
    <w:rsid w:val="001C7C88"/>
    <w:rsid w:val="001C7D01"/>
    <w:rsid w:val="001C7D26"/>
    <w:rsid w:val="001C7DFB"/>
    <w:rsid w:val="001C7E3B"/>
    <w:rsid w:val="001C7E40"/>
    <w:rsid w:val="001C7F9B"/>
    <w:rsid w:val="001C7FDF"/>
    <w:rsid w:val="001D02E3"/>
    <w:rsid w:val="001D030A"/>
    <w:rsid w:val="001D034C"/>
    <w:rsid w:val="001D0471"/>
    <w:rsid w:val="001D0549"/>
    <w:rsid w:val="001D0642"/>
    <w:rsid w:val="001D093F"/>
    <w:rsid w:val="001D094E"/>
    <w:rsid w:val="001D09EB"/>
    <w:rsid w:val="001D0B29"/>
    <w:rsid w:val="001D0BBD"/>
    <w:rsid w:val="001D0BD6"/>
    <w:rsid w:val="001D0E47"/>
    <w:rsid w:val="001D0E7C"/>
    <w:rsid w:val="001D0F3D"/>
    <w:rsid w:val="001D0FCA"/>
    <w:rsid w:val="001D112B"/>
    <w:rsid w:val="001D11B3"/>
    <w:rsid w:val="001D1330"/>
    <w:rsid w:val="001D1447"/>
    <w:rsid w:val="001D16CB"/>
    <w:rsid w:val="001D17A8"/>
    <w:rsid w:val="001D183A"/>
    <w:rsid w:val="001D19A2"/>
    <w:rsid w:val="001D19A8"/>
    <w:rsid w:val="001D1C00"/>
    <w:rsid w:val="001D1C26"/>
    <w:rsid w:val="001D1DCE"/>
    <w:rsid w:val="001D1E80"/>
    <w:rsid w:val="001D1EBE"/>
    <w:rsid w:val="001D2199"/>
    <w:rsid w:val="001D2202"/>
    <w:rsid w:val="001D2370"/>
    <w:rsid w:val="001D240E"/>
    <w:rsid w:val="001D252B"/>
    <w:rsid w:val="001D26ED"/>
    <w:rsid w:val="001D2744"/>
    <w:rsid w:val="001D27DA"/>
    <w:rsid w:val="001D28B3"/>
    <w:rsid w:val="001D2985"/>
    <w:rsid w:val="001D2B7D"/>
    <w:rsid w:val="001D2BD3"/>
    <w:rsid w:val="001D2D33"/>
    <w:rsid w:val="001D2F35"/>
    <w:rsid w:val="001D2FD9"/>
    <w:rsid w:val="001D30BD"/>
    <w:rsid w:val="001D30C5"/>
    <w:rsid w:val="001D3188"/>
    <w:rsid w:val="001D319B"/>
    <w:rsid w:val="001D33AD"/>
    <w:rsid w:val="001D3575"/>
    <w:rsid w:val="001D39F2"/>
    <w:rsid w:val="001D3A3A"/>
    <w:rsid w:val="001D3AAE"/>
    <w:rsid w:val="001D3C48"/>
    <w:rsid w:val="001D3C4C"/>
    <w:rsid w:val="001D3D3C"/>
    <w:rsid w:val="001D3D3D"/>
    <w:rsid w:val="001D3D53"/>
    <w:rsid w:val="001D3D79"/>
    <w:rsid w:val="001D3DBF"/>
    <w:rsid w:val="001D3ECD"/>
    <w:rsid w:val="001D3FAF"/>
    <w:rsid w:val="001D3FC9"/>
    <w:rsid w:val="001D4321"/>
    <w:rsid w:val="001D4660"/>
    <w:rsid w:val="001D47F4"/>
    <w:rsid w:val="001D48CC"/>
    <w:rsid w:val="001D4A1E"/>
    <w:rsid w:val="001D4A4F"/>
    <w:rsid w:val="001D4AE5"/>
    <w:rsid w:val="001D4BC3"/>
    <w:rsid w:val="001D50A3"/>
    <w:rsid w:val="001D5257"/>
    <w:rsid w:val="001D5280"/>
    <w:rsid w:val="001D52AE"/>
    <w:rsid w:val="001D539E"/>
    <w:rsid w:val="001D54B3"/>
    <w:rsid w:val="001D5527"/>
    <w:rsid w:val="001D56AF"/>
    <w:rsid w:val="001D57E0"/>
    <w:rsid w:val="001D5943"/>
    <w:rsid w:val="001D5963"/>
    <w:rsid w:val="001D5B26"/>
    <w:rsid w:val="001D5BDB"/>
    <w:rsid w:val="001D5CAD"/>
    <w:rsid w:val="001D5D53"/>
    <w:rsid w:val="001D5D71"/>
    <w:rsid w:val="001D5E12"/>
    <w:rsid w:val="001D5EEC"/>
    <w:rsid w:val="001D6024"/>
    <w:rsid w:val="001D60BC"/>
    <w:rsid w:val="001D60C0"/>
    <w:rsid w:val="001D6157"/>
    <w:rsid w:val="001D62CE"/>
    <w:rsid w:val="001D62F5"/>
    <w:rsid w:val="001D6319"/>
    <w:rsid w:val="001D638B"/>
    <w:rsid w:val="001D6488"/>
    <w:rsid w:val="001D6631"/>
    <w:rsid w:val="001D6863"/>
    <w:rsid w:val="001D686B"/>
    <w:rsid w:val="001D69F0"/>
    <w:rsid w:val="001D69FA"/>
    <w:rsid w:val="001D6ACB"/>
    <w:rsid w:val="001D6CCE"/>
    <w:rsid w:val="001D6D9E"/>
    <w:rsid w:val="001D6DFA"/>
    <w:rsid w:val="001D6E76"/>
    <w:rsid w:val="001D6E7A"/>
    <w:rsid w:val="001D6FA1"/>
    <w:rsid w:val="001D6FD7"/>
    <w:rsid w:val="001D705A"/>
    <w:rsid w:val="001D7159"/>
    <w:rsid w:val="001D730E"/>
    <w:rsid w:val="001D75FE"/>
    <w:rsid w:val="001D7743"/>
    <w:rsid w:val="001D7798"/>
    <w:rsid w:val="001D78EB"/>
    <w:rsid w:val="001D7971"/>
    <w:rsid w:val="001D79EF"/>
    <w:rsid w:val="001D7A03"/>
    <w:rsid w:val="001D7CC8"/>
    <w:rsid w:val="001D7CED"/>
    <w:rsid w:val="001D7DF4"/>
    <w:rsid w:val="001D7E9E"/>
    <w:rsid w:val="001D7ED8"/>
    <w:rsid w:val="001D7F25"/>
    <w:rsid w:val="001E004B"/>
    <w:rsid w:val="001E006A"/>
    <w:rsid w:val="001E0073"/>
    <w:rsid w:val="001E0198"/>
    <w:rsid w:val="001E020A"/>
    <w:rsid w:val="001E0223"/>
    <w:rsid w:val="001E0358"/>
    <w:rsid w:val="001E05D5"/>
    <w:rsid w:val="001E06A0"/>
    <w:rsid w:val="001E0723"/>
    <w:rsid w:val="001E0741"/>
    <w:rsid w:val="001E0916"/>
    <w:rsid w:val="001E0948"/>
    <w:rsid w:val="001E0981"/>
    <w:rsid w:val="001E0A82"/>
    <w:rsid w:val="001E0D99"/>
    <w:rsid w:val="001E0E65"/>
    <w:rsid w:val="001E0F4B"/>
    <w:rsid w:val="001E1256"/>
    <w:rsid w:val="001E12B6"/>
    <w:rsid w:val="001E142C"/>
    <w:rsid w:val="001E188F"/>
    <w:rsid w:val="001E18E7"/>
    <w:rsid w:val="001E1901"/>
    <w:rsid w:val="001E1982"/>
    <w:rsid w:val="001E19D3"/>
    <w:rsid w:val="001E1A63"/>
    <w:rsid w:val="001E1A87"/>
    <w:rsid w:val="001E1C13"/>
    <w:rsid w:val="001E1C85"/>
    <w:rsid w:val="001E1D55"/>
    <w:rsid w:val="001E1E61"/>
    <w:rsid w:val="001E1ECF"/>
    <w:rsid w:val="001E1F17"/>
    <w:rsid w:val="001E1F97"/>
    <w:rsid w:val="001E21C3"/>
    <w:rsid w:val="001E22EB"/>
    <w:rsid w:val="001E2364"/>
    <w:rsid w:val="001E23D1"/>
    <w:rsid w:val="001E2428"/>
    <w:rsid w:val="001E2516"/>
    <w:rsid w:val="001E252F"/>
    <w:rsid w:val="001E258F"/>
    <w:rsid w:val="001E26BD"/>
    <w:rsid w:val="001E26E3"/>
    <w:rsid w:val="001E27C9"/>
    <w:rsid w:val="001E2908"/>
    <w:rsid w:val="001E29B5"/>
    <w:rsid w:val="001E29FE"/>
    <w:rsid w:val="001E2A29"/>
    <w:rsid w:val="001E2A8E"/>
    <w:rsid w:val="001E2B34"/>
    <w:rsid w:val="001E2C65"/>
    <w:rsid w:val="001E2CA2"/>
    <w:rsid w:val="001E2D66"/>
    <w:rsid w:val="001E2DBA"/>
    <w:rsid w:val="001E2F81"/>
    <w:rsid w:val="001E2F9F"/>
    <w:rsid w:val="001E30F7"/>
    <w:rsid w:val="001E317A"/>
    <w:rsid w:val="001E320A"/>
    <w:rsid w:val="001E3257"/>
    <w:rsid w:val="001E3280"/>
    <w:rsid w:val="001E3330"/>
    <w:rsid w:val="001E3333"/>
    <w:rsid w:val="001E33B1"/>
    <w:rsid w:val="001E3401"/>
    <w:rsid w:val="001E343A"/>
    <w:rsid w:val="001E34E1"/>
    <w:rsid w:val="001E38A8"/>
    <w:rsid w:val="001E3982"/>
    <w:rsid w:val="001E3BD7"/>
    <w:rsid w:val="001E3D39"/>
    <w:rsid w:val="001E3E84"/>
    <w:rsid w:val="001E3F08"/>
    <w:rsid w:val="001E3F2F"/>
    <w:rsid w:val="001E402E"/>
    <w:rsid w:val="001E4228"/>
    <w:rsid w:val="001E4322"/>
    <w:rsid w:val="001E4651"/>
    <w:rsid w:val="001E46A2"/>
    <w:rsid w:val="001E4985"/>
    <w:rsid w:val="001E4A67"/>
    <w:rsid w:val="001E4BCC"/>
    <w:rsid w:val="001E4D8E"/>
    <w:rsid w:val="001E4E0C"/>
    <w:rsid w:val="001E4E1A"/>
    <w:rsid w:val="001E4F90"/>
    <w:rsid w:val="001E4F9E"/>
    <w:rsid w:val="001E4FE7"/>
    <w:rsid w:val="001E507D"/>
    <w:rsid w:val="001E50B2"/>
    <w:rsid w:val="001E5283"/>
    <w:rsid w:val="001E5308"/>
    <w:rsid w:val="001E53CD"/>
    <w:rsid w:val="001E54BF"/>
    <w:rsid w:val="001E54DA"/>
    <w:rsid w:val="001E5728"/>
    <w:rsid w:val="001E57B6"/>
    <w:rsid w:val="001E580B"/>
    <w:rsid w:val="001E59EA"/>
    <w:rsid w:val="001E5BBB"/>
    <w:rsid w:val="001E5BCE"/>
    <w:rsid w:val="001E5F64"/>
    <w:rsid w:val="001E5FC5"/>
    <w:rsid w:val="001E617B"/>
    <w:rsid w:val="001E6180"/>
    <w:rsid w:val="001E618A"/>
    <w:rsid w:val="001E61F3"/>
    <w:rsid w:val="001E63AE"/>
    <w:rsid w:val="001E6521"/>
    <w:rsid w:val="001E674B"/>
    <w:rsid w:val="001E68FC"/>
    <w:rsid w:val="001E6BB6"/>
    <w:rsid w:val="001E6C0A"/>
    <w:rsid w:val="001E6C2D"/>
    <w:rsid w:val="001E6CE7"/>
    <w:rsid w:val="001E6D5D"/>
    <w:rsid w:val="001E6D8E"/>
    <w:rsid w:val="001E6D9E"/>
    <w:rsid w:val="001E6E4C"/>
    <w:rsid w:val="001E6FE1"/>
    <w:rsid w:val="001E70E2"/>
    <w:rsid w:val="001E714A"/>
    <w:rsid w:val="001E71B5"/>
    <w:rsid w:val="001E72B6"/>
    <w:rsid w:val="001E7396"/>
    <w:rsid w:val="001E73FB"/>
    <w:rsid w:val="001E7540"/>
    <w:rsid w:val="001E7569"/>
    <w:rsid w:val="001E77BE"/>
    <w:rsid w:val="001E7902"/>
    <w:rsid w:val="001E7980"/>
    <w:rsid w:val="001E7CD7"/>
    <w:rsid w:val="001E7D57"/>
    <w:rsid w:val="001E7E8B"/>
    <w:rsid w:val="001E7F25"/>
    <w:rsid w:val="001F0001"/>
    <w:rsid w:val="001F00B0"/>
    <w:rsid w:val="001F020A"/>
    <w:rsid w:val="001F031D"/>
    <w:rsid w:val="001F061E"/>
    <w:rsid w:val="001F0716"/>
    <w:rsid w:val="001F0766"/>
    <w:rsid w:val="001F0813"/>
    <w:rsid w:val="001F0A13"/>
    <w:rsid w:val="001F0C39"/>
    <w:rsid w:val="001F0D41"/>
    <w:rsid w:val="001F0E49"/>
    <w:rsid w:val="001F0EE5"/>
    <w:rsid w:val="001F0EFE"/>
    <w:rsid w:val="001F0F8B"/>
    <w:rsid w:val="001F0FC3"/>
    <w:rsid w:val="001F108E"/>
    <w:rsid w:val="001F10D0"/>
    <w:rsid w:val="001F111D"/>
    <w:rsid w:val="001F1248"/>
    <w:rsid w:val="001F159B"/>
    <w:rsid w:val="001F159C"/>
    <w:rsid w:val="001F169C"/>
    <w:rsid w:val="001F16B7"/>
    <w:rsid w:val="001F16FB"/>
    <w:rsid w:val="001F172E"/>
    <w:rsid w:val="001F1761"/>
    <w:rsid w:val="001F17DC"/>
    <w:rsid w:val="001F17DE"/>
    <w:rsid w:val="001F1844"/>
    <w:rsid w:val="001F19E9"/>
    <w:rsid w:val="001F1A09"/>
    <w:rsid w:val="001F1A87"/>
    <w:rsid w:val="001F1BC4"/>
    <w:rsid w:val="001F1DFF"/>
    <w:rsid w:val="001F1E34"/>
    <w:rsid w:val="001F1FA7"/>
    <w:rsid w:val="001F2178"/>
    <w:rsid w:val="001F22CC"/>
    <w:rsid w:val="001F23CF"/>
    <w:rsid w:val="001F2566"/>
    <w:rsid w:val="001F25E0"/>
    <w:rsid w:val="001F26FA"/>
    <w:rsid w:val="001F2808"/>
    <w:rsid w:val="001F29AC"/>
    <w:rsid w:val="001F29DC"/>
    <w:rsid w:val="001F2D32"/>
    <w:rsid w:val="001F2DF7"/>
    <w:rsid w:val="001F2EAC"/>
    <w:rsid w:val="001F2EC3"/>
    <w:rsid w:val="001F3025"/>
    <w:rsid w:val="001F3388"/>
    <w:rsid w:val="001F33FD"/>
    <w:rsid w:val="001F36A6"/>
    <w:rsid w:val="001F37AD"/>
    <w:rsid w:val="001F37DB"/>
    <w:rsid w:val="001F3995"/>
    <w:rsid w:val="001F3BCF"/>
    <w:rsid w:val="001F3C26"/>
    <w:rsid w:val="001F3C5F"/>
    <w:rsid w:val="001F3C9B"/>
    <w:rsid w:val="001F3CD4"/>
    <w:rsid w:val="001F3CD7"/>
    <w:rsid w:val="001F3E09"/>
    <w:rsid w:val="001F4043"/>
    <w:rsid w:val="001F40C2"/>
    <w:rsid w:val="001F43A1"/>
    <w:rsid w:val="001F43B0"/>
    <w:rsid w:val="001F4409"/>
    <w:rsid w:val="001F458A"/>
    <w:rsid w:val="001F470E"/>
    <w:rsid w:val="001F4757"/>
    <w:rsid w:val="001F4764"/>
    <w:rsid w:val="001F4847"/>
    <w:rsid w:val="001F4867"/>
    <w:rsid w:val="001F493A"/>
    <w:rsid w:val="001F49B4"/>
    <w:rsid w:val="001F4A06"/>
    <w:rsid w:val="001F4A0D"/>
    <w:rsid w:val="001F4A38"/>
    <w:rsid w:val="001F4A58"/>
    <w:rsid w:val="001F4B1F"/>
    <w:rsid w:val="001F4CB0"/>
    <w:rsid w:val="001F4D2B"/>
    <w:rsid w:val="001F4DAA"/>
    <w:rsid w:val="001F4F29"/>
    <w:rsid w:val="001F4F5A"/>
    <w:rsid w:val="001F510F"/>
    <w:rsid w:val="001F5216"/>
    <w:rsid w:val="001F52BF"/>
    <w:rsid w:val="001F53C2"/>
    <w:rsid w:val="001F5887"/>
    <w:rsid w:val="001F5995"/>
    <w:rsid w:val="001F59DB"/>
    <w:rsid w:val="001F5B6D"/>
    <w:rsid w:val="001F5CB0"/>
    <w:rsid w:val="001F5D8D"/>
    <w:rsid w:val="001F5F21"/>
    <w:rsid w:val="001F607C"/>
    <w:rsid w:val="001F61C1"/>
    <w:rsid w:val="001F61FE"/>
    <w:rsid w:val="001F63C5"/>
    <w:rsid w:val="001F6422"/>
    <w:rsid w:val="001F646F"/>
    <w:rsid w:val="001F6470"/>
    <w:rsid w:val="001F64AF"/>
    <w:rsid w:val="001F6693"/>
    <w:rsid w:val="001F669D"/>
    <w:rsid w:val="001F66D6"/>
    <w:rsid w:val="001F66DE"/>
    <w:rsid w:val="001F679F"/>
    <w:rsid w:val="001F67F9"/>
    <w:rsid w:val="001F68B2"/>
    <w:rsid w:val="001F68BC"/>
    <w:rsid w:val="001F68F6"/>
    <w:rsid w:val="001F6901"/>
    <w:rsid w:val="001F696E"/>
    <w:rsid w:val="001F6A8A"/>
    <w:rsid w:val="001F6B6A"/>
    <w:rsid w:val="001F6C87"/>
    <w:rsid w:val="001F6D14"/>
    <w:rsid w:val="001F6EB7"/>
    <w:rsid w:val="001F6EC5"/>
    <w:rsid w:val="001F705D"/>
    <w:rsid w:val="001F7246"/>
    <w:rsid w:val="001F7604"/>
    <w:rsid w:val="001F7625"/>
    <w:rsid w:val="001F762D"/>
    <w:rsid w:val="001F7686"/>
    <w:rsid w:val="001F78CC"/>
    <w:rsid w:val="001F7940"/>
    <w:rsid w:val="001F7971"/>
    <w:rsid w:val="001F7ACA"/>
    <w:rsid w:val="001F7C2C"/>
    <w:rsid w:val="001F7CA5"/>
    <w:rsid w:val="001F7CFD"/>
    <w:rsid w:val="001F7D00"/>
    <w:rsid w:val="001F7DE8"/>
    <w:rsid w:val="002002B7"/>
    <w:rsid w:val="002002CB"/>
    <w:rsid w:val="00200366"/>
    <w:rsid w:val="002004AC"/>
    <w:rsid w:val="0020066A"/>
    <w:rsid w:val="002006ED"/>
    <w:rsid w:val="00200743"/>
    <w:rsid w:val="00200783"/>
    <w:rsid w:val="00200807"/>
    <w:rsid w:val="00200972"/>
    <w:rsid w:val="0020098A"/>
    <w:rsid w:val="00200A6B"/>
    <w:rsid w:val="00200AD8"/>
    <w:rsid w:val="00200BDE"/>
    <w:rsid w:val="00200C8C"/>
    <w:rsid w:val="00200CAC"/>
    <w:rsid w:val="00200CC9"/>
    <w:rsid w:val="00200D92"/>
    <w:rsid w:val="00200DCB"/>
    <w:rsid w:val="00200EE5"/>
    <w:rsid w:val="002012EE"/>
    <w:rsid w:val="00201387"/>
    <w:rsid w:val="002014E7"/>
    <w:rsid w:val="002015C2"/>
    <w:rsid w:val="002017B4"/>
    <w:rsid w:val="002017BC"/>
    <w:rsid w:val="00201A5D"/>
    <w:rsid w:val="00201AB7"/>
    <w:rsid w:val="00201B5C"/>
    <w:rsid w:val="00202046"/>
    <w:rsid w:val="002020B1"/>
    <w:rsid w:val="0020223B"/>
    <w:rsid w:val="0020229A"/>
    <w:rsid w:val="002022EA"/>
    <w:rsid w:val="00202478"/>
    <w:rsid w:val="00202576"/>
    <w:rsid w:val="002025BE"/>
    <w:rsid w:val="00202654"/>
    <w:rsid w:val="00202699"/>
    <w:rsid w:val="00202966"/>
    <w:rsid w:val="00202A9E"/>
    <w:rsid w:val="00202AA8"/>
    <w:rsid w:val="00202AE1"/>
    <w:rsid w:val="00202D04"/>
    <w:rsid w:val="00202D81"/>
    <w:rsid w:val="00202DC0"/>
    <w:rsid w:val="00202DE4"/>
    <w:rsid w:val="00202E80"/>
    <w:rsid w:val="00202EB6"/>
    <w:rsid w:val="00202FF0"/>
    <w:rsid w:val="002032CB"/>
    <w:rsid w:val="00203431"/>
    <w:rsid w:val="00203691"/>
    <w:rsid w:val="002037D4"/>
    <w:rsid w:val="00203868"/>
    <w:rsid w:val="002039F2"/>
    <w:rsid w:val="00203B02"/>
    <w:rsid w:val="00203B1F"/>
    <w:rsid w:val="00203BF5"/>
    <w:rsid w:val="00203CBD"/>
    <w:rsid w:val="00203D8B"/>
    <w:rsid w:val="00203EC2"/>
    <w:rsid w:val="00203F05"/>
    <w:rsid w:val="00203F66"/>
    <w:rsid w:val="00203F82"/>
    <w:rsid w:val="00204026"/>
    <w:rsid w:val="002040DB"/>
    <w:rsid w:val="002044F1"/>
    <w:rsid w:val="0020453C"/>
    <w:rsid w:val="00204654"/>
    <w:rsid w:val="002046F5"/>
    <w:rsid w:val="0020474C"/>
    <w:rsid w:val="002048B9"/>
    <w:rsid w:val="002048BC"/>
    <w:rsid w:val="00204A11"/>
    <w:rsid w:val="00204A66"/>
    <w:rsid w:val="00204BE6"/>
    <w:rsid w:val="00204C9A"/>
    <w:rsid w:val="00204D74"/>
    <w:rsid w:val="00204E36"/>
    <w:rsid w:val="00204E6D"/>
    <w:rsid w:val="00204F62"/>
    <w:rsid w:val="00205080"/>
    <w:rsid w:val="002051A6"/>
    <w:rsid w:val="002051EE"/>
    <w:rsid w:val="00205483"/>
    <w:rsid w:val="00205490"/>
    <w:rsid w:val="00205507"/>
    <w:rsid w:val="00205642"/>
    <w:rsid w:val="00205644"/>
    <w:rsid w:val="002056EF"/>
    <w:rsid w:val="00205743"/>
    <w:rsid w:val="002057AB"/>
    <w:rsid w:val="002057AE"/>
    <w:rsid w:val="00205996"/>
    <w:rsid w:val="00205A7A"/>
    <w:rsid w:val="00205A9F"/>
    <w:rsid w:val="00205B0E"/>
    <w:rsid w:val="00205B1F"/>
    <w:rsid w:val="00205BA4"/>
    <w:rsid w:val="00205C28"/>
    <w:rsid w:val="00205CD2"/>
    <w:rsid w:val="00205D27"/>
    <w:rsid w:val="00205FEA"/>
    <w:rsid w:val="00206048"/>
    <w:rsid w:val="00206146"/>
    <w:rsid w:val="002061B1"/>
    <w:rsid w:val="002061CA"/>
    <w:rsid w:val="002064BB"/>
    <w:rsid w:val="00206742"/>
    <w:rsid w:val="00206749"/>
    <w:rsid w:val="0020680C"/>
    <w:rsid w:val="0020685D"/>
    <w:rsid w:val="00206864"/>
    <w:rsid w:val="0020689C"/>
    <w:rsid w:val="00206929"/>
    <w:rsid w:val="002069BC"/>
    <w:rsid w:val="002069F3"/>
    <w:rsid w:val="00206C78"/>
    <w:rsid w:val="00206CB6"/>
    <w:rsid w:val="00206E13"/>
    <w:rsid w:val="00206F7F"/>
    <w:rsid w:val="00206FA9"/>
    <w:rsid w:val="002070D3"/>
    <w:rsid w:val="00207140"/>
    <w:rsid w:val="0020718C"/>
    <w:rsid w:val="00207205"/>
    <w:rsid w:val="00207223"/>
    <w:rsid w:val="00207250"/>
    <w:rsid w:val="00207408"/>
    <w:rsid w:val="002074DC"/>
    <w:rsid w:val="00207526"/>
    <w:rsid w:val="0020762E"/>
    <w:rsid w:val="0020765F"/>
    <w:rsid w:val="002076D6"/>
    <w:rsid w:val="00207754"/>
    <w:rsid w:val="00207800"/>
    <w:rsid w:val="00207803"/>
    <w:rsid w:val="002078E2"/>
    <w:rsid w:val="00207951"/>
    <w:rsid w:val="00207957"/>
    <w:rsid w:val="002079B8"/>
    <w:rsid w:val="002079E7"/>
    <w:rsid w:val="00207C0D"/>
    <w:rsid w:val="00207CD5"/>
    <w:rsid w:val="00207DB1"/>
    <w:rsid w:val="00207F9A"/>
    <w:rsid w:val="0021000D"/>
    <w:rsid w:val="0021000F"/>
    <w:rsid w:val="002100CD"/>
    <w:rsid w:val="0021013C"/>
    <w:rsid w:val="002102CA"/>
    <w:rsid w:val="002102E0"/>
    <w:rsid w:val="002102ED"/>
    <w:rsid w:val="0021033E"/>
    <w:rsid w:val="00210427"/>
    <w:rsid w:val="00210679"/>
    <w:rsid w:val="00210721"/>
    <w:rsid w:val="002107B4"/>
    <w:rsid w:val="00210829"/>
    <w:rsid w:val="00210901"/>
    <w:rsid w:val="00210954"/>
    <w:rsid w:val="00210998"/>
    <w:rsid w:val="00210BC4"/>
    <w:rsid w:val="00210BE4"/>
    <w:rsid w:val="00210C3D"/>
    <w:rsid w:val="00210D6E"/>
    <w:rsid w:val="00210D9C"/>
    <w:rsid w:val="00210DCC"/>
    <w:rsid w:val="00210DCD"/>
    <w:rsid w:val="00210F40"/>
    <w:rsid w:val="00210F4F"/>
    <w:rsid w:val="00211119"/>
    <w:rsid w:val="00211129"/>
    <w:rsid w:val="002113C1"/>
    <w:rsid w:val="002114BC"/>
    <w:rsid w:val="00211533"/>
    <w:rsid w:val="00211557"/>
    <w:rsid w:val="002118F5"/>
    <w:rsid w:val="00211906"/>
    <w:rsid w:val="00211970"/>
    <w:rsid w:val="00211988"/>
    <w:rsid w:val="0021198D"/>
    <w:rsid w:val="002119BF"/>
    <w:rsid w:val="00211B7D"/>
    <w:rsid w:val="00211C52"/>
    <w:rsid w:val="00211C7E"/>
    <w:rsid w:val="00211D00"/>
    <w:rsid w:val="00211D2A"/>
    <w:rsid w:val="00211D3D"/>
    <w:rsid w:val="00211FCD"/>
    <w:rsid w:val="00212129"/>
    <w:rsid w:val="0021225B"/>
    <w:rsid w:val="00212280"/>
    <w:rsid w:val="00212294"/>
    <w:rsid w:val="0021232A"/>
    <w:rsid w:val="0021237A"/>
    <w:rsid w:val="00212397"/>
    <w:rsid w:val="002123CA"/>
    <w:rsid w:val="002125AC"/>
    <w:rsid w:val="0021266C"/>
    <w:rsid w:val="002126B2"/>
    <w:rsid w:val="002126BF"/>
    <w:rsid w:val="002126EA"/>
    <w:rsid w:val="002127EF"/>
    <w:rsid w:val="00212948"/>
    <w:rsid w:val="00212A89"/>
    <w:rsid w:val="00212BFF"/>
    <w:rsid w:val="00212D24"/>
    <w:rsid w:val="00212D35"/>
    <w:rsid w:val="00212FCE"/>
    <w:rsid w:val="00213012"/>
    <w:rsid w:val="00213353"/>
    <w:rsid w:val="00213375"/>
    <w:rsid w:val="002133C0"/>
    <w:rsid w:val="002134A1"/>
    <w:rsid w:val="002134B2"/>
    <w:rsid w:val="0021358B"/>
    <w:rsid w:val="002137CD"/>
    <w:rsid w:val="002139F2"/>
    <w:rsid w:val="00213A9B"/>
    <w:rsid w:val="00213B8C"/>
    <w:rsid w:val="00213BDC"/>
    <w:rsid w:val="00213C15"/>
    <w:rsid w:val="00213DAC"/>
    <w:rsid w:val="00213E70"/>
    <w:rsid w:val="00213E74"/>
    <w:rsid w:val="00213FAF"/>
    <w:rsid w:val="00213FCF"/>
    <w:rsid w:val="00214036"/>
    <w:rsid w:val="00214224"/>
    <w:rsid w:val="00214389"/>
    <w:rsid w:val="00214451"/>
    <w:rsid w:val="002145A7"/>
    <w:rsid w:val="002145B9"/>
    <w:rsid w:val="00214615"/>
    <w:rsid w:val="00214662"/>
    <w:rsid w:val="00214B30"/>
    <w:rsid w:val="00214B59"/>
    <w:rsid w:val="00214BD4"/>
    <w:rsid w:val="00214C36"/>
    <w:rsid w:val="00214C5F"/>
    <w:rsid w:val="00214DE5"/>
    <w:rsid w:val="00214EB0"/>
    <w:rsid w:val="00214F0D"/>
    <w:rsid w:val="00214FAD"/>
    <w:rsid w:val="00214FB7"/>
    <w:rsid w:val="00214FCD"/>
    <w:rsid w:val="00214FF1"/>
    <w:rsid w:val="00214FFF"/>
    <w:rsid w:val="0021501A"/>
    <w:rsid w:val="00215101"/>
    <w:rsid w:val="00215142"/>
    <w:rsid w:val="0021514F"/>
    <w:rsid w:val="002151CB"/>
    <w:rsid w:val="002153B6"/>
    <w:rsid w:val="00215468"/>
    <w:rsid w:val="002157A4"/>
    <w:rsid w:val="002158EF"/>
    <w:rsid w:val="002159E1"/>
    <w:rsid w:val="00215AAF"/>
    <w:rsid w:val="00215CAD"/>
    <w:rsid w:val="00215D63"/>
    <w:rsid w:val="00215E46"/>
    <w:rsid w:val="00215ED1"/>
    <w:rsid w:val="00215F74"/>
    <w:rsid w:val="00216054"/>
    <w:rsid w:val="002160BB"/>
    <w:rsid w:val="00216190"/>
    <w:rsid w:val="00216238"/>
    <w:rsid w:val="00216274"/>
    <w:rsid w:val="00216275"/>
    <w:rsid w:val="002163C8"/>
    <w:rsid w:val="002165D3"/>
    <w:rsid w:val="00216727"/>
    <w:rsid w:val="00216771"/>
    <w:rsid w:val="0021684E"/>
    <w:rsid w:val="0021687C"/>
    <w:rsid w:val="00216908"/>
    <w:rsid w:val="0021697C"/>
    <w:rsid w:val="00216A9A"/>
    <w:rsid w:val="00216AAA"/>
    <w:rsid w:val="00216C0A"/>
    <w:rsid w:val="00216C4F"/>
    <w:rsid w:val="00216E4E"/>
    <w:rsid w:val="00216F9D"/>
    <w:rsid w:val="00216FD1"/>
    <w:rsid w:val="0021706D"/>
    <w:rsid w:val="002170E3"/>
    <w:rsid w:val="00217108"/>
    <w:rsid w:val="00217345"/>
    <w:rsid w:val="00217423"/>
    <w:rsid w:val="002176AE"/>
    <w:rsid w:val="002176B7"/>
    <w:rsid w:val="00217723"/>
    <w:rsid w:val="0021772E"/>
    <w:rsid w:val="00217783"/>
    <w:rsid w:val="00217839"/>
    <w:rsid w:val="002178E8"/>
    <w:rsid w:val="00217A50"/>
    <w:rsid w:val="00217AE3"/>
    <w:rsid w:val="00217AF7"/>
    <w:rsid w:val="00217BBD"/>
    <w:rsid w:val="002200B9"/>
    <w:rsid w:val="002203CB"/>
    <w:rsid w:val="002203D0"/>
    <w:rsid w:val="00220414"/>
    <w:rsid w:val="002204FD"/>
    <w:rsid w:val="0022067E"/>
    <w:rsid w:val="0022069A"/>
    <w:rsid w:val="002208CB"/>
    <w:rsid w:val="002208DA"/>
    <w:rsid w:val="0022099C"/>
    <w:rsid w:val="00220A16"/>
    <w:rsid w:val="00220A3F"/>
    <w:rsid w:val="00220D25"/>
    <w:rsid w:val="00220DDD"/>
    <w:rsid w:val="00221077"/>
    <w:rsid w:val="00221197"/>
    <w:rsid w:val="00221810"/>
    <w:rsid w:val="002218A2"/>
    <w:rsid w:val="0022195B"/>
    <w:rsid w:val="00221B1E"/>
    <w:rsid w:val="00221B3B"/>
    <w:rsid w:val="00221BAF"/>
    <w:rsid w:val="00221DC1"/>
    <w:rsid w:val="00221F9B"/>
    <w:rsid w:val="002220E1"/>
    <w:rsid w:val="002221FE"/>
    <w:rsid w:val="0022224C"/>
    <w:rsid w:val="0022228B"/>
    <w:rsid w:val="00222392"/>
    <w:rsid w:val="002223C1"/>
    <w:rsid w:val="002224C1"/>
    <w:rsid w:val="00222585"/>
    <w:rsid w:val="002227FD"/>
    <w:rsid w:val="00222844"/>
    <w:rsid w:val="00222A4C"/>
    <w:rsid w:val="00222AAB"/>
    <w:rsid w:val="00222B6F"/>
    <w:rsid w:val="00222D4A"/>
    <w:rsid w:val="00223023"/>
    <w:rsid w:val="002232B1"/>
    <w:rsid w:val="00223323"/>
    <w:rsid w:val="00223561"/>
    <w:rsid w:val="00223769"/>
    <w:rsid w:val="0022389B"/>
    <w:rsid w:val="00223920"/>
    <w:rsid w:val="00223CAA"/>
    <w:rsid w:val="00223D96"/>
    <w:rsid w:val="00223E0C"/>
    <w:rsid w:val="00223F94"/>
    <w:rsid w:val="00223FBF"/>
    <w:rsid w:val="00224074"/>
    <w:rsid w:val="002240C5"/>
    <w:rsid w:val="002241A6"/>
    <w:rsid w:val="002242CF"/>
    <w:rsid w:val="00224393"/>
    <w:rsid w:val="002244A6"/>
    <w:rsid w:val="00224525"/>
    <w:rsid w:val="0022463E"/>
    <w:rsid w:val="0022464A"/>
    <w:rsid w:val="00224713"/>
    <w:rsid w:val="002249CC"/>
    <w:rsid w:val="00224C33"/>
    <w:rsid w:val="00224E5A"/>
    <w:rsid w:val="00225050"/>
    <w:rsid w:val="0022542D"/>
    <w:rsid w:val="002256E4"/>
    <w:rsid w:val="0022583B"/>
    <w:rsid w:val="00225974"/>
    <w:rsid w:val="002259DF"/>
    <w:rsid w:val="00225A3B"/>
    <w:rsid w:val="00225A73"/>
    <w:rsid w:val="00225A8C"/>
    <w:rsid w:val="00225BD8"/>
    <w:rsid w:val="00225CE4"/>
    <w:rsid w:val="00225CFE"/>
    <w:rsid w:val="00225D76"/>
    <w:rsid w:val="00225E17"/>
    <w:rsid w:val="00225E80"/>
    <w:rsid w:val="00225EE5"/>
    <w:rsid w:val="00225F59"/>
    <w:rsid w:val="00226081"/>
    <w:rsid w:val="002262C4"/>
    <w:rsid w:val="002263A4"/>
    <w:rsid w:val="0022647A"/>
    <w:rsid w:val="002264E2"/>
    <w:rsid w:val="002264EB"/>
    <w:rsid w:val="002264ED"/>
    <w:rsid w:val="0022668D"/>
    <w:rsid w:val="0022690C"/>
    <w:rsid w:val="00226AB0"/>
    <w:rsid w:val="00226AF7"/>
    <w:rsid w:val="00226C3F"/>
    <w:rsid w:val="00226CF3"/>
    <w:rsid w:val="00226ECB"/>
    <w:rsid w:val="002271C7"/>
    <w:rsid w:val="002274C2"/>
    <w:rsid w:val="00227530"/>
    <w:rsid w:val="002276A5"/>
    <w:rsid w:val="00227731"/>
    <w:rsid w:val="002277B0"/>
    <w:rsid w:val="00227818"/>
    <w:rsid w:val="002278A5"/>
    <w:rsid w:val="00227AC1"/>
    <w:rsid w:val="00227B4A"/>
    <w:rsid w:val="00227B96"/>
    <w:rsid w:val="00227CDE"/>
    <w:rsid w:val="00227D23"/>
    <w:rsid w:val="00227DA0"/>
    <w:rsid w:val="00227DE6"/>
    <w:rsid w:val="00227E56"/>
    <w:rsid w:val="00227F73"/>
    <w:rsid w:val="00227F85"/>
    <w:rsid w:val="00227FDC"/>
    <w:rsid w:val="00230047"/>
    <w:rsid w:val="00230129"/>
    <w:rsid w:val="0023019E"/>
    <w:rsid w:val="0023023A"/>
    <w:rsid w:val="0023024E"/>
    <w:rsid w:val="0023028E"/>
    <w:rsid w:val="002304AF"/>
    <w:rsid w:val="00230573"/>
    <w:rsid w:val="0023062E"/>
    <w:rsid w:val="00230787"/>
    <w:rsid w:val="002307EB"/>
    <w:rsid w:val="00230817"/>
    <w:rsid w:val="0023081D"/>
    <w:rsid w:val="00230847"/>
    <w:rsid w:val="00230A9B"/>
    <w:rsid w:val="00230AC0"/>
    <w:rsid w:val="00230ACC"/>
    <w:rsid w:val="00230BE7"/>
    <w:rsid w:val="00230DCC"/>
    <w:rsid w:val="00230E5E"/>
    <w:rsid w:val="00230F05"/>
    <w:rsid w:val="00230F31"/>
    <w:rsid w:val="00230FA0"/>
    <w:rsid w:val="00230FE7"/>
    <w:rsid w:val="0023104C"/>
    <w:rsid w:val="0023107B"/>
    <w:rsid w:val="002310C4"/>
    <w:rsid w:val="0023117A"/>
    <w:rsid w:val="00231353"/>
    <w:rsid w:val="0023140D"/>
    <w:rsid w:val="00231417"/>
    <w:rsid w:val="0023144A"/>
    <w:rsid w:val="002314B6"/>
    <w:rsid w:val="00231543"/>
    <w:rsid w:val="002315F4"/>
    <w:rsid w:val="00231611"/>
    <w:rsid w:val="002316A2"/>
    <w:rsid w:val="0023173F"/>
    <w:rsid w:val="002317CA"/>
    <w:rsid w:val="00231835"/>
    <w:rsid w:val="002318E0"/>
    <w:rsid w:val="00231960"/>
    <w:rsid w:val="00231B2E"/>
    <w:rsid w:val="00231B55"/>
    <w:rsid w:val="00231C95"/>
    <w:rsid w:val="00231E84"/>
    <w:rsid w:val="00231EC6"/>
    <w:rsid w:val="00231F26"/>
    <w:rsid w:val="00232086"/>
    <w:rsid w:val="002321FA"/>
    <w:rsid w:val="0023244F"/>
    <w:rsid w:val="002324B3"/>
    <w:rsid w:val="002324E3"/>
    <w:rsid w:val="00232626"/>
    <w:rsid w:val="002326C4"/>
    <w:rsid w:val="00232732"/>
    <w:rsid w:val="002327E9"/>
    <w:rsid w:val="00232818"/>
    <w:rsid w:val="00232917"/>
    <w:rsid w:val="00232959"/>
    <w:rsid w:val="0023297E"/>
    <w:rsid w:val="002329E5"/>
    <w:rsid w:val="00232A5D"/>
    <w:rsid w:val="00232BDF"/>
    <w:rsid w:val="00232CD0"/>
    <w:rsid w:val="00232E55"/>
    <w:rsid w:val="00232E5F"/>
    <w:rsid w:val="00232F1C"/>
    <w:rsid w:val="00232FEC"/>
    <w:rsid w:val="00233039"/>
    <w:rsid w:val="0023329C"/>
    <w:rsid w:val="00233355"/>
    <w:rsid w:val="00233364"/>
    <w:rsid w:val="002333B7"/>
    <w:rsid w:val="00233452"/>
    <w:rsid w:val="00233586"/>
    <w:rsid w:val="0023359D"/>
    <w:rsid w:val="00233724"/>
    <w:rsid w:val="00233808"/>
    <w:rsid w:val="00233816"/>
    <w:rsid w:val="0023382E"/>
    <w:rsid w:val="00233868"/>
    <w:rsid w:val="0023392C"/>
    <w:rsid w:val="00233BC0"/>
    <w:rsid w:val="00233C90"/>
    <w:rsid w:val="00233D92"/>
    <w:rsid w:val="00233E98"/>
    <w:rsid w:val="00233EE9"/>
    <w:rsid w:val="00233FBB"/>
    <w:rsid w:val="00233FF1"/>
    <w:rsid w:val="002340D6"/>
    <w:rsid w:val="002340D9"/>
    <w:rsid w:val="002342E8"/>
    <w:rsid w:val="002346A7"/>
    <w:rsid w:val="002346D1"/>
    <w:rsid w:val="00234789"/>
    <w:rsid w:val="00234A70"/>
    <w:rsid w:val="00234AA4"/>
    <w:rsid w:val="00234B4F"/>
    <w:rsid w:val="00234C87"/>
    <w:rsid w:val="00234D55"/>
    <w:rsid w:val="00234EC5"/>
    <w:rsid w:val="00234FA3"/>
    <w:rsid w:val="00234FAB"/>
    <w:rsid w:val="00235023"/>
    <w:rsid w:val="0023511A"/>
    <w:rsid w:val="0023518F"/>
    <w:rsid w:val="00235320"/>
    <w:rsid w:val="002353D1"/>
    <w:rsid w:val="00235412"/>
    <w:rsid w:val="00235777"/>
    <w:rsid w:val="00235930"/>
    <w:rsid w:val="00235A33"/>
    <w:rsid w:val="00235A47"/>
    <w:rsid w:val="00235A7E"/>
    <w:rsid w:val="00235AB1"/>
    <w:rsid w:val="00235DB2"/>
    <w:rsid w:val="00235ED2"/>
    <w:rsid w:val="00235F4B"/>
    <w:rsid w:val="002360BD"/>
    <w:rsid w:val="002360F7"/>
    <w:rsid w:val="00236157"/>
    <w:rsid w:val="002361A6"/>
    <w:rsid w:val="00236244"/>
    <w:rsid w:val="00236277"/>
    <w:rsid w:val="0023629F"/>
    <w:rsid w:val="0023633C"/>
    <w:rsid w:val="002363A8"/>
    <w:rsid w:val="002365AA"/>
    <w:rsid w:val="00236656"/>
    <w:rsid w:val="0023669A"/>
    <w:rsid w:val="0023677B"/>
    <w:rsid w:val="0023693E"/>
    <w:rsid w:val="0023698A"/>
    <w:rsid w:val="00236AE3"/>
    <w:rsid w:val="00236B23"/>
    <w:rsid w:val="00236BD0"/>
    <w:rsid w:val="00236D68"/>
    <w:rsid w:val="00236DC0"/>
    <w:rsid w:val="00236DFB"/>
    <w:rsid w:val="00236F4C"/>
    <w:rsid w:val="00236F5C"/>
    <w:rsid w:val="00237058"/>
    <w:rsid w:val="0023709B"/>
    <w:rsid w:val="00237173"/>
    <w:rsid w:val="00237177"/>
    <w:rsid w:val="00237288"/>
    <w:rsid w:val="002373A2"/>
    <w:rsid w:val="0023751F"/>
    <w:rsid w:val="002376F8"/>
    <w:rsid w:val="002379C7"/>
    <w:rsid w:val="00237A0A"/>
    <w:rsid w:val="00237A9D"/>
    <w:rsid w:val="00237BDE"/>
    <w:rsid w:val="00237C52"/>
    <w:rsid w:val="00237C74"/>
    <w:rsid w:val="00237C89"/>
    <w:rsid w:val="00237E2F"/>
    <w:rsid w:val="00237EAC"/>
    <w:rsid w:val="00240130"/>
    <w:rsid w:val="00240165"/>
    <w:rsid w:val="002401DF"/>
    <w:rsid w:val="0024025B"/>
    <w:rsid w:val="002402F3"/>
    <w:rsid w:val="002403E8"/>
    <w:rsid w:val="00240461"/>
    <w:rsid w:val="00240470"/>
    <w:rsid w:val="002405F1"/>
    <w:rsid w:val="00240792"/>
    <w:rsid w:val="002407CC"/>
    <w:rsid w:val="00240841"/>
    <w:rsid w:val="002409E3"/>
    <w:rsid w:val="00240A80"/>
    <w:rsid w:val="00240C62"/>
    <w:rsid w:val="00240D3E"/>
    <w:rsid w:val="00240D41"/>
    <w:rsid w:val="00240D53"/>
    <w:rsid w:val="00240E67"/>
    <w:rsid w:val="00240EA1"/>
    <w:rsid w:val="00240F76"/>
    <w:rsid w:val="00240FE8"/>
    <w:rsid w:val="002410A3"/>
    <w:rsid w:val="002410C2"/>
    <w:rsid w:val="0024113D"/>
    <w:rsid w:val="002411C6"/>
    <w:rsid w:val="0024124A"/>
    <w:rsid w:val="00241317"/>
    <w:rsid w:val="00241394"/>
    <w:rsid w:val="002414A9"/>
    <w:rsid w:val="002414F3"/>
    <w:rsid w:val="0024158C"/>
    <w:rsid w:val="002415CE"/>
    <w:rsid w:val="0024189A"/>
    <w:rsid w:val="00241A44"/>
    <w:rsid w:val="00241ACA"/>
    <w:rsid w:val="00241B59"/>
    <w:rsid w:val="00241C07"/>
    <w:rsid w:val="00241DDA"/>
    <w:rsid w:val="00241E1E"/>
    <w:rsid w:val="00241E26"/>
    <w:rsid w:val="00241E6A"/>
    <w:rsid w:val="002421B5"/>
    <w:rsid w:val="0024232E"/>
    <w:rsid w:val="0024240A"/>
    <w:rsid w:val="00242456"/>
    <w:rsid w:val="00242517"/>
    <w:rsid w:val="0024260B"/>
    <w:rsid w:val="002426C7"/>
    <w:rsid w:val="002426EC"/>
    <w:rsid w:val="002427B4"/>
    <w:rsid w:val="002427DD"/>
    <w:rsid w:val="00242C66"/>
    <w:rsid w:val="00243446"/>
    <w:rsid w:val="0024347C"/>
    <w:rsid w:val="002434DD"/>
    <w:rsid w:val="002434E4"/>
    <w:rsid w:val="00243502"/>
    <w:rsid w:val="002436FE"/>
    <w:rsid w:val="00243716"/>
    <w:rsid w:val="002439B0"/>
    <w:rsid w:val="00243BD2"/>
    <w:rsid w:val="00243D30"/>
    <w:rsid w:val="00243D63"/>
    <w:rsid w:val="00243E48"/>
    <w:rsid w:val="00243E4A"/>
    <w:rsid w:val="00243EDB"/>
    <w:rsid w:val="0024401F"/>
    <w:rsid w:val="002441E4"/>
    <w:rsid w:val="00244270"/>
    <w:rsid w:val="002442A6"/>
    <w:rsid w:val="0024440B"/>
    <w:rsid w:val="00244487"/>
    <w:rsid w:val="0024465F"/>
    <w:rsid w:val="00244685"/>
    <w:rsid w:val="002447D0"/>
    <w:rsid w:val="002447E9"/>
    <w:rsid w:val="002447FC"/>
    <w:rsid w:val="00244832"/>
    <w:rsid w:val="002449D9"/>
    <w:rsid w:val="00244A56"/>
    <w:rsid w:val="00244CE3"/>
    <w:rsid w:val="00244EE7"/>
    <w:rsid w:val="00245090"/>
    <w:rsid w:val="0024533B"/>
    <w:rsid w:val="002453BE"/>
    <w:rsid w:val="002453F6"/>
    <w:rsid w:val="002455C3"/>
    <w:rsid w:val="0024569B"/>
    <w:rsid w:val="002456C4"/>
    <w:rsid w:val="002456D3"/>
    <w:rsid w:val="00245789"/>
    <w:rsid w:val="002458F4"/>
    <w:rsid w:val="00245A3F"/>
    <w:rsid w:val="00245A50"/>
    <w:rsid w:val="00245BFE"/>
    <w:rsid w:val="00245D1A"/>
    <w:rsid w:val="00245DCF"/>
    <w:rsid w:val="00245E61"/>
    <w:rsid w:val="00245ECB"/>
    <w:rsid w:val="00245FE1"/>
    <w:rsid w:val="00245FE4"/>
    <w:rsid w:val="00245FF4"/>
    <w:rsid w:val="00246161"/>
    <w:rsid w:val="002462A2"/>
    <w:rsid w:val="002464D7"/>
    <w:rsid w:val="00246686"/>
    <w:rsid w:val="00246793"/>
    <w:rsid w:val="00246967"/>
    <w:rsid w:val="002469C1"/>
    <w:rsid w:val="00246A01"/>
    <w:rsid w:val="00246A15"/>
    <w:rsid w:val="00246C4F"/>
    <w:rsid w:val="00246D36"/>
    <w:rsid w:val="00246FAE"/>
    <w:rsid w:val="0024700C"/>
    <w:rsid w:val="002470DF"/>
    <w:rsid w:val="00247172"/>
    <w:rsid w:val="00247177"/>
    <w:rsid w:val="002471F2"/>
    <w:rsid w:val="002472C2"/>
    <w:rsid w:val="002472FB"/>
    <w:rsid w:val="0024736E"/>
    <w:rsid w:val="0024745D"/>
    <w:rsid w:val="002478BF"/>
    <w:rsid w:val="00247954"/>
    <w:rsid w:val="0024799C"/>
    <w:rsid w:val="00247B1C"/>
    <w:rsid w:val="00247B4D"/>
    <w:rsid w:val="00247CA5"/>
    <w:rsid w:val="00247F8E"/>
    <w:rsid w:val="00250010"/>
    <w:rsid w:val="002502F1"/>
    <w:rsid w:val="00250386"/>
    <w:rsid w:val="002503FD"/>
    <w:rsid w:val="00250550"/>
    <w:rsid w:val="00250645"/>
    <w:rsid w:val="0025069E"/>
    <w:rsid w:val="002508A5"/>
    <w:rsid w:val="00250A38"/>
    <w:rsid w:val="00250B87"/>
    <w:rsid w:val="00250BFD"/>
    <w:rsid w:val="00250C60"/>
    <w:rsid w:val="00250DCD"/>
    <w:rsid w:val="00250ED7"/>
    <w:rsid w:val="0025105F"/>
    <w:rsid w:val="0025106D"/>
    <w:rsid w:val="00251141"/>
    <w:rsid w:val="0025123A"/>
    <w:rsid w:val="00251299"/>
    <w:rsid w:val="00251382"/>
    <w:rsid w:val="002513AE"/>
    <w:rsid w:val="002513F4"/>
    <w:rsid w:val="002516B1"/>
    <w:rsid w:val="0025186A"/>
    <w:rsid w:val="00251941"/>
    <w:rsid w:val="00251ACA"/>
    <w:rsid w:val="00251BB6"/>
    <w:rsid w:val="00251C58"/>
    <w:rsid w:val="00251C6D"/>
    <w:rsid w:val="00251C80"/>
    <w:rsid w:val="00251CAD"/>
    <w:rsid w:val="00251CFF"/>
    <w:rsid w:val="00251DF6"/>
    <w:rsid w:val="00251FB0"/>
    <w:rsid w:val="00251FDC"/>
    <w:rsid w:val="002521A3"/>
    <w:rsid w:val="002521E1"/>
    <w:rsid w:val="0025235E"/>
    <w:rsid w:val="002523D9"/>
    <w:rsid w:val="002524A7"/>
    <w:rsid w:val="0025267F"/>
    <w:rsid w:val="002527A2"/>
    <w:rsid w:val="00252AE2"/>
    <w:rsid w:val="00252B2E"/>
    <w:rsid w:val="00252B84"/>
    <w:rsid w:val="00252C40"/>
    <w:rsid w:val="00252C4E"/>
    <w:rsid w:val="00252C7A"/>
    <w:rsid w:val="00252EE1"/>
    <w:rsid w:val="00252FD7"/>
    <w:rsid w:val="0025309A"/>
    <w:rsid w:val="0025309F"/>
    <w:rsid w:val="002530ED"/>
    <w:rsid w:val="002530F3"/>
    <w:rsid w:val="002531CD"/>
    <w:rsid w:val="00253336"/>
    <w:rsid w:val="00253385"/>
    <w:rsid w:val="00253488"/>
    <w:rsid w:val="002535CE"/>
    <w:rsid w:val="002536D3"/>
    <w:rsid w:val="00253724"/>
    <w:rsid w:val="0025382E"/>
    <w:rsid w:val="002539A7"/>
    <w:rsid w:val="00253B46"/>
    <w:rsid w:val="00253F85"/>
    <w:rsid w:val="00253FA3"/>
    <w:rsid w:val="00254004"/>
    <w:rsid w:val="002540D8"/>
    <w:rsid w:val="00254114"/>
    <w:rsid w:val="00254247"/>
    <w:rsid w:val="002542AB"/>
    <w:rsid w:val="002542B2"/>
    <w:rsid w:val="0025442B"/>
    <w:rsid w:val="0025442D"/>
    <w:rsid w:val="0025447C"/>
    <w:rsid w:val="00254588"/>
    <w:rsid w:val="00254638"/>
    <w:rsid w:val="00254681"/>
    <w:rsid w:val="002546AB"/>
    <w:rsid w:val="002546F8"/>
    <w:rsid w:val="002548A5"/>
    <w:rsid w:val="002549CA"/>
    <w:rsid w:val="00254A1F"/>
    <w:rsid w:val="00254A73"/>
    <w:rsid w:val="00254A74"/>
    <w:rsid w:val="00254B08"/>
    <w:rsid w:val="00254B81"/>
    <w:rsid w:val="00254BB4"/>
    <w:rsid w:val="00254C96"/>
    <w:rsid w:val="00254F7B"/>
    <w:rsid w:val="00254FFC"/>
    <w:rsid w:val="002550A1"/>
    <w:rsid w:val="0025519C"/>
    <w:rsid w:val="00255206"/>
    <w:rsid w:val="00255399"/>
    <w:rsid w:val="002554FA"/>
    <w:rsid w:val="002556BB"/>
    <w:rsid w:val="002556D3"/>
    <w:rsid w:val="00255796"/>
    <w:rsid w:val="002557EA"/>
    <w:rsid w:val="00255879"/>
    <w:rsid w:val="002559B3"/>
    <w:rsid w:val="00255A84"/>
    <w:rsid w:val="00255B5A"/>
    <w:rsid w:val="00255B99"/>
    <w:rsid w:val="00255C54"/>
    <w:rsid w:val="00255C5D"/>
    <w:rsid w:val="00255C7B"/>
    <w:rsid w:val="00255DB1"/>
    <w:rsid w:val="00255F39"/>
    <w:rsid w:val="00255F75"/>
    <w:rsid w:val="00255F7F"/>
    <w:rsid w:val="00256093"/>
    <w:rsid w:val="002564DA"/>
    <w:rsid w:val="002566BA"/>
    <w:rsid w:val="00256777"/>
    <w:rsid w:val="00256795"/>
    <w:rsid w:val="0025684E"/>
    <w:rsid w:val="00256854"/>
    <w:rsid w:val="002568DD"/>
    <w:rsid w:val="002568EA"/>
    <w:rsid w:val="0025698E"/>
    <w:rsid w:val="00256A1B"/>
    <w:rsid w:val="00256A71"/>
    <w:rsid w:val="00256D01"/>
    <w:rsid w:val="00256E13"/>
    <w:rsid w:val="00256E8C"/>
    <w:rsid w:val="00256ED6"/>
    <w:rsid w:val="00257196"/>
    <w:rsid w:val="00257311"/>
    <w:rsid w:val="0025742D"/>
    <w:rsid w:val="002574AF"/>
    <w:rsid w:val="002574B0"/>
    <w:rsid w:val="00257559"/>
    <w:rsid w:val="002575CC"/>
    <w:rsid w:val="002576F8"/>
    <w:rsid w:val="00257700"/>
    <w:rsid w:val="002577BC"/>
    <w:rsid w:val="00257969"/>
    <w:rsid w:val="00257AAA"/>
    <w:rsid w:val="00257B44"/>
    <w:rsid w:val="00257C41"/>
    <w:rsid w:val="00257FEB"/>
    <w:rsid w:val="00257FF6"/>
    <w:rsid w:val="00260068"/>
    <w:rsid w:val="002600BF"/>
    <w:rsid w:val="002600E8"/>
    <w:rsid w:val="00260183"/>
    <w:rsid w:val="0026018D"/>
    <w:rsid w:val="00260310"/>
    <w:rsid w:val="00260448"/>
    <w:rsid w:val="00260552"/>
    <w:rsid w:val="002607DF"/>
    <w:rsid w:val="00260970"/>
    <w:rsid w:val="002609A3"/>
    <w:rsid w:val="002609C7"/>
    <w:rsid w:val="00260AB7"/>
    <w:rsid w:val="00260AF3"/>
    <w:rsid w:val="00260B7D"/>
    <w:rsid w:val="00260BA6"/>
    <w:rsid w:val="00260BB3"/>
    <w:rsid w:val="00260BFB"/>
    <w:rsid w:val="00260C02"/>
    <w:rsid w:val="00260C35"/>
    <w:rsid w:val="00260F2B"/>
    <w:rsid w:val="00260F3B"/>
    <w:rsid w:val="00261037"/>
    <w:rsid w:val="002610A5"/>
    <w:rsid w:val="0026114B"/>
    <w:rsid w:val="0026115B"/>
    <w:rsid w:val="0026123A"/>
    <w:rsid w:val="00261391"/>
    <w:rsid w:val="0026155A"/>
    <w:rsid w:val="0026169D"/>
    <w:rsid w:val="0026175B"/>
    <w:rsid w:val="0026178A"/>
    <w:rsid w:val="002617B0"/>
    <w:rsid w:val="0026183B"/>
    <w:rsid w:val="00261972"/>
    <w:rsid w:val="00261A95"/>
    <w:rsid w:val="00261CF1"/>
    <w:rsid w:val="00261D1B"/>
    <w:rsid w:val="00261DA5"/>
    <w:rsid w:val="00261DBE"/>
    <w:rsid w:val="00261E91"/>
    <w:rsid w:val="00261E97"/>
    <w:rsid w:val="00261FA4"/>
    <w:rsid w:val="0026216E"/>
    <w:rsid w:val="0026241D"/>
    <w:rsid w:val="00262518"/>
    <w:rsid w:val="002626F1"/>
    <w:rsid w:val="00262869"/>
    <w:rsid w:val="002628F6"/>
    <w:rsid w:val="002628FE"/>
    <w:rsid w:val="00262966"/>
    <w:rsid w:val="00262B2B"/>
    <w:rsid w:val="00262D51"/>
    <w:rsid w:val="00262DCF"/>
    <w:rsid w:val="00262E5E"/>
    <w:rsid w:val="00262EB4"/>
    <w:rsid w:val="00262EFF"/>
    <w:rsid w:val="00262FB5"/>
    <w:rsid w:val="00262FED"/>
    <w:rsid w:val="002630DD"/>
    <w:rsid w:val="00263126"/>
    <w:rsid w:val="002634EA"/>
    <w:rsid w:val="0026375F"/>
    <w:rsid w:val="002637C4"/>
    <w:rsid w:val="002637CF"/>
    <w:rsid w:val="0026381F"/>
    <w:rsid w:val="0026399B"/>
    <w:rsid w:val="002639F3"/>
    <w:rsid w:val="00263A70"/>
    <w:rsid w:val="00263AF8"/>
    <w:rsid w:val="00263C13"/>
    <w:rsid w:val="00263CD1"/>
    <w:rsid w:val="00263E65"/>
    <w:rsid w:val="00263FAE"/>
    <w:rsid w:val="00263FF1"/>
    <w:rsid w:val="00264101"/>
    <w:rsid w:val="00264103"/>
    <w:rsid w:val="00264154"/>
    <w:rsid w:val="002643EC"/>
    <w:rsid w:val="002644B4"/>
    <w:rsid w:val="002645C7"/>
    <w:rsid w:val="0026466E"/>
    <w:rsid w:val="002646EB"/>
    <w:rsid w:val="002646FE"/>
    <w:rsid w:val="0026474B"/>
    <w:rsid w:val="002648EE"/>
    <w:rsid w:val="002649B0"/>
    <w:rsid w:val="00264B2F"/>
    <w:rsid w:val="00264B3D"/>
    <w:rsid w:val="00264BBB"/>
    <w:rsid w:val="00264C1F"/>
    <w:rsid w:val="00264CDD"/>
    <w:rsid w:val="00264F30"/>
    <w:rsid w:val="00264FD6"/>
    <w:rsid w:val="00265209"/>
    <w:rsid w:val="0026538C"/>
    <w:rsid w:val="00265397"/>
    <w:rsid w:val="0026556E"/>
    <w:rsid w:val="00265599"/>
    <w:rsid w:val="002656C7"/>
    <w:rsid w:val="0026571B"/>
    <w:rsid w:val="00265965"/>
    <w:rsid w:val="002659CB"/>
    <w:rsid w:val="00265AC3"/>
    <w:rsid w:val="00265B89"/>
    <w:rsid w:val="00265BFC"/>
    <w:rsid w:val="00265D07"/>
    <w:rsid w:val="00265D3C"/>
    <w:rsid w:val="00265FD6"/>
    <w:rsid w:val="0026626D"/>
    <w:rsid w:val="002665E8"/>
    <w:rsid w:val="00266675"/>
    <w:rsid w:val="002666D0"/>
    <w:rsid w:val="002666D6"/>
    <w:rsid w:val="00266777"/>
    <w:rsid w:val="00266778"/>
    <w:rsid w:val="00266850"/>
    <w:rsid w:val="00266965"/>
    <w:rsid w:val="00266BC0"/>
    <w:rsid w:val="00266D29"/>
    <w:rsid w:val="00266E9A"/>
    <w:rsid w:val="002671A2"/>
    <w:rsid w:val="002671F9"/>
    <w:rsid w:val="0026722A"/>
    <w:rsid w:val="002672F6"/>
    <w:rsid w:val="00267496"/>
    <w:rsid w:val="00267564"/>
    <w:rsid w:val="0026760A"/>
    <w:rsid w:val="002677A9"/>
    <w:rsid w:val="002677DB"/>
    <w:rsid w:val="00267870"/>
    <w:rsid w:val="0026789F"/>
    <w:rsid w:val="00267987"/>
    <w:rsid w:val="002679CD"/>
    <w:rsid w:val="00267A28"/>
    <w:rsid w:val="00267A7C"/>
    <w:rsid w:val="00267A90"/>
    <w:rsid w:val="00267AE9"/>
    <w:rsid w:val="00267B57"/>
    <w:rsid w:val="00267C0B"/>
    <w:rsid w:val="00267CA1"/>
    <w:rsid w:val="00267F66"/>
    <w:rsid w:val="00267F6D"/>
    <w:rsid w:val="0027006F"/>
    <w:rsid w:val="002700E2"/>
    <w:rsid w:val="00270169"/>
    <w:rsid w:val="002702D2"/>
    <w:rsid w:val="002702E3"/>
    <w:rsid w:val="00270370"/>
    <w:rsid w:val="00270374"/>
    <w:rsid w:val="0027039C"/>
    <w:rsid w:val="0027040F"/>
    <w:rsid w:val="00270505"/>
    <w:rsid w:val="00270546"/>
    <w:rsid w:val="002706E7"/>
    <w:rsid w:val="002708A2"/>
    <w:rsid w:val="00270949"/>
    <w:rsid w:val="002709A4"/>
    <w:rsid w:val="00270A35"/>
    <w:rsid w:val="00270A67"/>
    <w:rsid w:val="00270B53"/>
    <w:rsid w:val="00270B91"/>
    <w:rsid w:val="00270DEA"/>
    <w:rsid w:val="00270E19"/>
    <w:rsid w:val="00270E88"/>
    <w:rsid w:val="00270FB8"/>
    <w:rsid w:val="00270FD0"/>
    <w:rsid w:val="00270FDB"/>
    <w:rsid w:val="002710F0"/>
    <w:rsid w:val="00271109"/>
    <w:rsid w:val="00271266"/>
    <w:rsid w:val="00271269"/>
    <w:rsid w:val="002712ED"/>
    <w:rsid w:val="00271671"/>
    <w:rsid w:val="0027170E"/>
    <w:rsid w:val="00271AFC"/>
    <w:rsid w:val="00271B4D"/>
    <w:rsid w:val="00271BD9"/>
    <w:rsid w:val="00271CA4"/>
    <w:rsid w:val="00271CF6"/>
    <w:rsid w:val="00271D80"/>
    <w:rsid w:val="00271F84"/>
    <w:rsid w:val="00272164"/>
    <w:rsid w:val="002721E9"/>
    <w:rsid w:val="002722C8"/>
    <w:rsid w:val="002722E1"/>
    <w:rsid w:val="00272400"/>
    <w:rsid w:val="00272499"/>
    <w:rsid w:val="00272623"/>
    <w:rsid w:val="002726F9"/>
    <w:rsid w:val="00272960"/>
    <w:rsid w:val="002729ED"/>
    <w:rsid w:val="00272A65"/>
    <w:rsid w:val="00272BE2"/>
    <w:rsid w:val="00272C05"/>
    <w:rsid w:val="00272DAF"/>
    <w:rsid w:val="00272DBE"/>
    <w:rsid w:val="00272E95"/>
    <w:rsid w:val="00272FDE"/>
    <w:rsid w:val="00273015"/>
    <w:rsid w:val="0027304A"/>
    <w:rsid w:val="0027304D"/>
    <w:rsid w:val="002730BC"/>
    <w:rsid w:val="00273102"/>
    <w:rsid w:val="0027345B"/>
    <w:rsid w:val="0027349A"/>
    <w:rsid w:val="002734F4"/>
    <w:rsid w:val="002737A1"/>
    <w:rsid w:val="002737ED"/>
    <w:rsid w:val="002738CA"/>
    <w:rsid w:val="0027392E"/>
    <w:rsid w:val="002739AE"/>
    <w:rsid w:val="00273A21"/>
    <w:rsid w:val="00273BDC"/>
    <w:rsid w:val="00273C1D"/>
    <w:rsid w:val="00273C74"/>
    <w:rsid w:val="00273CB2"/>
    <w:rsid w:val="00273DFD"/>
    <w:rsid w:val="00273DFE"/>
    <w:rsid w:val="00273E76"/>
    <w:rsid w:val="00273EA2"/>
    <w:rsid w:val="0027408D"/>
    <w:rsid w:val="00274201"/>
    <w:rsid w:val="002742FE"/>
    <w:rsid w:val="002742FF"/>
    <w:rsid w:val="00274561"/>
    <w:rsid w:val="00274803"/>
    <w:rsid w:val="002748EF"/>
    <w:rsid w:val="00274BBA"/>
    <w:rsid w:val="00274C4D"/>
    <w:rsid w:val="00274CBD"/>
    <w:rsid w:val="00274CEE"/>
    <w:rsid w:val="00274D13"/>
    <w:rsid w:val="00274DF3"/>
    <w:rsid w:val="00274EFA"/>
    <w:rsid w:val="00275025"/>
    <w:rsid w:val="0027502D"/>
    <w:rsid w:val="002751BE"/>
    <w:rsid w:val="002754DE"/>
    <w:rsid w:val="002757FD"/>
    <w:rsid w:val="0027589F"/>
    <w:rsid w:val="0027596A"/>
    <w:rsid w:val="002759C0"/>
    <w:rsid w:val="00275AEB"/>
    <w:rsid w:val="00275B68"/>
    <w:rsid w:val="00275BE2"/>
    <w:rsid w:val="00275BE9"/>
    <w:rsid w:val="00275C43"/>
    <w:rsid w:val="00275CB8"/>
    <w:rsid w:val="00275D7A"/>
    <w:rsid w:val="00275D99"/>
    <w:rsid w:val="00275E23"/>
    <w:rsid w:val="00275F9E"/>
    <w:rsid w:val="00276059"/>
    <w:rsid w:val="002761BD"/>
    <w:rsid w:val="0027651B"/>
    <w:rsid w:val="0027652E"/>
    <w:rsid w:val="00276884"/>
    <w:rsid w:val="00276953"/>
    <w:rsid w:val="00276AD1"/>
    <w:rsid w:val="00276C2D"/>
    <w:rsid w:val="0027719F"/>
    <w:rsid w:val="00277228"/>
    <w:rsid w:val="002772AF"/>
    <w:rsid w:val="00277593"/>
    <w:rsid w:val="00277633"/>
    <w:rsid w:val="0027780B"/>
    <w:rsid w:val="002779A0"/>
    <w:rsid w:val="002779B4"/>
    <w:rsid w:val="00277A3E"/>
    <w:rsid w:val="00277A86"/>
    <w:rsid w:val="00277B05"/>
    <w:rsid w:val="00277B8B"/>
    <w:rsid w:val="00277E16"/>
    <w:rsid w:val="00277F1D"/>
    <w:rsid w:val="00277FAD"/>
    <w:rsid w:val="00280041"/>
    <w:rsid w:val="00280088"/>
    <w:rsid w:val="0028010A"/>
    <w:rsid w:val="00280329"/>
    <w:rsid w:val="0028045F"/>
    <w:rsid w:val="002805D4"/>
    <w:rsid w:val="0028061C"/>
    <w:rsid w:val="00280695"/>
    <w:rsid w:val="002806BB"/>
    <w:rsid w:val="0028097F"/>
    <w:rsid w:val="00280AB5"/>
    <w:rsid w:val="00280B6C"/>
    <w:rsid w:val="00280CBA"/>
    <w:rsid w:val="00280D5B"/>
    <w:rsid w:val="00280EA4"/>
    <w:rsid w:val="00281007"/>
    <w:rsid w:val="002810E5"/>
    <w:rsid w:val="002811B7"/>
    <w:rsid w:val="00281310"/>
    <w:rsid w:val="00281364"/>
    <w:rsid w:val="0028140E"/>
    <w:rsid w:val="00281443"/>
    <w:rsid w:val="0028152F"/>
    <w:rsid w:val="002816E0"/>
    <w:rsid w:val="002817BB"/>
    <w:rsid w:val="00281819"/>
    <w:rsid w:val="00281900"/>
    <w:rsid w:val="00281B6D"/>
    <w:rsid w:val="00281C92"/>
    <w:rsid w:val="00281DA0"/>
    <w:rsid w:val="00281DCC"/>
    <w:rsid w:val="00281DDB"/>
    <w:rsid w:val="00281DE5"/>
    <w:rsid w:val="00281E18"/>
    <w:rsid w:val="00281EF7"/>
    <w:rsid w:val="00281F40"/>
    <w:rsid w:val="00281F6F"/>
    <w:rsid w:val="00282039"/>
    <w:rsid w:val="00282194"/>
    <w:rsid w:val="002822C7"/>
    <w:rsid w:val="00282372"/>
    <w:rsid w:val="002827F9"/>
    <w:rsid w:val="00282885"/>
    <w:rsid w:val="002829E2"/>
    <w:rsid w:val="00282A3C"/>
    <w:rsid w:val="00282BAE"/>
    <w:rsid w:val="00282D05"/>
    <w:rsid w:val="00282DAC"/>
    <w:rsid w:val="00282E5E"/>
    <w:rsid w:val="00282EE5"/>
    <w:rsid w:val="00283067"/>
    <w:rsid w:val="002831CF"/>
    <w:rsid w:val="002832FF"/>
    <w:rsid w:val="00283324"/>
    <w:rsid w:val="0028337E"/>
    <w:rsid w:val="002833B9"/>
    <w:rsid w:val="002834A3"/>
    <w:rsid w:val="002834C5"/>
    <w:rsid w:val="002834C9"/>
    <w:rsid w:val="002835A6"/>
    <w:rsid w:val="00283629"/>
    <w:rsid w:val="0028363E"/>
    <w:rsid w:val="00283645"/>
    <w:rsid w:val="002837C2"/>
    <w:rsid w:val="002838D0"/>
    <w:rsid w:val="0028399A"/>
    <w:rsid w:val="002839FB"/>
    <w:rsid w:val="00283A5A"/>
    <w:rsid w:val="00283BB4"/>
    <w:rsid w:val="00283CFB"/>
    <w:rsid w:val="00283D22"/>
    <w:rsid w:val="00283D4E"/>
    <w:rsid w:val="00283D81"/>
    <w:rsid w:val="00283EF1"/>
    <w:rsid w:val="00283F6C"/>
    <w:rsid w:val="00284036"/>
    <w:rsid w:val="00284162"/>
    <w:rsid w:val="002844AC"/>
    <w:rsid w:val="002845EA"/>
    <w:rsid w:val="00284644"/>
    <w:rsid w:val="0028464C"/>
    <w:rsid w:val="002848C8"/>
    <w:rsid w:val="00284B22"/>
    <w:rsid w:val="00284C3D"/>
    <w:rsid w:val="00284CCB"/>
    <w:rsid w:val="00284D70"/>
    <w:rsid w:val="00284FA3"/>
    <w:rsid w:val="00284FDC"/>
    <w:rsid w:val="002850E9"/>
    <w:rsid w:val="002850ED"/>
    <w:rsid w:val="0028523A"/>
    <w:rsid w:val="00285301"/>
    <w:rsid w:val="00285309"/>
    <w:rsid w:val="00285515"/>
    <w:rsid w:val="0028551B"/>
    <w:rsid w:val="002855D0"/>
    <w:rsid w:val="00285659"/>
    <w:rsid w:val="00285A20"/>
    <w:rsid w:val="00285A78"/>
    <w:rsid w:val="00285A8C"/>
    <w:rsid w:val="00285AEC"/>
    <w:rsid w:val="00285DAC"/>
    <w:rsid w:val="00285DF6"/>
    <w:rsid w:val="00286012"/>
    <w:rsid w:val="00286154"/>
    <w:rsid w:val="002861B9"/>
    <w:rsid w:val="002864E7"/>
    <w:rsid w:val="00286551"/>
    <w:rsid w:val="0028670B"/>
    <w:rsid w:val="0028683F"/>
    <w:rsid w:val="00286894"/>
    <w:rsid w:val="002868B8"/>
    <w:rsid w:val="00286B1C"/>
    <w:rsid w:val="00286B56"/>
    <w:rsid w:val="00286C6B"/>
    <w:rsid w:val="00286DCB"/>
    <w:rsid w:val="00286EBE"/>
    <w:rsid w:val="00286F46"/>
    <w:rsid w:val="00286FB0"/>
    <w:rsid w:val="00287005"/>
    <w:rsid w:val="00287148"/>
    <w:rsid w:val="0028718B"/>
    <w:rsid w:val="00287196"/>
    <w:rsid w:val="00287227"/>
    <w:rsid w:val="0028743E"/>
    <w:rsid w:val="00287488"/>
    <w:rsid w:val="002874A4"/>
    <w:rsid w:val="002874A6"/>
    <w:rsid w:val="002874D2"/>
    <w:rsid w:val="0028756F"/>
    <w:rsid w:val="00287699"/>
    <w:rsid w:val="0028783E"/>
    <w:rsid w:val="00287DFC"/>
    <w:rsid w:val="00287E76"/>
    <w:rsid w:val="00287E91"/>
    <w:rsid w:val="00287F14"/>
    <w:rsid w:val="00287FD6"/>
    <w:rsid w:val="0029004B"/>
    <w:rsid w:val="0029008E"/>
    <w:rsid w:val="0029015D"/>
    <w:rsid w:val="00290260"/>
    <w:rsid w:val="00290275"/>
    <w:rsid w:val="002903A3"/>
    <w:rsid w:val="00290402"/>
    <w:rsid w:val="00290588"/>
    <w:rsid w:val="00290658"/>
    <w:rsid w:val="0029068E"/>
    <w:rsid w:val="0029077A"/>
    <w:rsid w:val="002907BC"/>
    <w:rsid w:val="002907D0"/>
    <w:rsid w:val="00290D93"/>
    <w:rsid w:val="00290E14"/>
    <w:rsid w:val="00290E1C"/>
    <w:rsid w:val="00290F1F"/>
    <w:rsid w:val="00290F8B"/>
    <w:rsid w:val="00291041"/>
    <w:rsid w:val="0029134A"/>
    <w:rsid w:val="002917EF"/>
    <w:rsid w:val="002918FD"/>
    <w:rsid w:val="002919DB"/>
    <w:rsid w:val="00291FA0"/>
    <w:rsid w:val="0029200E"/>
    <w:rsid w:val="002920C7"/>
    <w:rsid w:val="00292103"/>
    <w:rsid w:val="00292128"/>
    <w:rsid w:val="0029221B"/>
    <w:rsid w:val="00292228"/>
    <w:rsid w:val="00292269"/>
    <w:rsid w:val="002922F6"/>
    <w:rsid w:val="00292565"/>
    <w:rsid w:val="00292827"/>
    <w:rsid w:val="002929D8"/>
    <w:rsid w:val="00292B27"/>
    <w:rsid w:val="00292B9F"/>
    <w:rsid w:val="00292BF1"/>
    <w:rsid w:val="00292C1E"/>
    <w:rsid w:val="00292C21"/>
    <w:rsid w:val="00292C3D"/>
    <w:rsid w:val="00292D49"/>
    <w:rsid w:val="00292EA6"/>
    <w:rsid w:val="00292F08"/>
    <w:rsid w:val="00292F6F"/>
    <w:rsid w:val="002930E4"/>
    <w:rsid w:val="00293109"/>
    <w:rsid w:val="0029312E"/>
    <w:rsid w:val="0029315B"/>
    <w:rsid w:val="002931F2"/>
    <w:rsid w:val="00293261"/>
    <w:rsid w:val="00293281"/>
    <w:rsid w:val="00293399"/>
    <w:rsid w:val="002935B7"/>
    <w:rsid w:val="002937EA"/>
    <w:rsid w:val="00293998"/>
    <w:rsid w:val="00293A4E"/>
    <w:rsid w:val="00293C02"/>
    <w:rsid w:val="00293C63"/>
    <w:rsid w:val="00293D63"/>
    <w:rsid w:val="00293F3D"/>
    <w:rsid w:val="00294034"/>
    <w:rsid w:val="002943F3"/>
    <w:rsid w:val="00294416"/>
    <w:rsid w:val="00294487"/>
    <w:rsid w:val="00294586"/>
    <w:rsid w:val="00294700"/>
    <w:rsid w:val="0029473F"/>
    <w:rsid w:val="00294873"/>
    <w:rsid w:val="002948F5"/>
    <w:rsid w:val="0029491B"/>
    <w:rsid w:val="00294A58"/>
    <w:rsid w:val="00294B20"/>
    <w:rsid w:val="00294B49"/>
    <w:rsid w:val="00294CB7"/>
    <w:rsid w:val="00294D2F"/>
    <w:rsid w:val="00294E76"/>
    <w:rsid w:val="00294EA9"/>
    <w:rsid w:val="00294EE4"/>
    <w:rsid w:val="00294FE8"/>
    <w:rsid w:val="00295091"/>
    <w:rsid w:val="002951AB"/>
    <w:rsid w:val="0029523D"/>
    <w:rsid w:val="00295274"/>
    <w:rsid w:val="00295311"/>
    <w:rsid w:val="00295425"/>
    <w:rsid w:val="00295443"/>
    <w:rsid w:val="00295550"/>
    <w:rsid w:val="002955FD"/>
    <w:rsid w:val="0029560E"/>
    <w:rsid w:val="0029577F"/>
    <w:rsid w:val="002957EF"/>
    <w:rsid w:val="002958DE"/>
    <w:rsid w:val="00295B70"/>
    <w:rsid w:val="00295D53"/>
    <w:rsid w:val="00295E4A"/>
    <w:rsid w:val="00295EA4"/>
    <w:rsid w:val="00295ED2"/>
    <w:rsid w:val="00295EEF"/>
    <w:rsid w:val="00295EF8"/>
    <w:rsid w:val="00295F54"/>
    <w:rsid w:val="00296027"/>
    <w:rsid w:val="0029614F"/>
    <w:rsid w:val="00296188"/>
    <w:rsid w:val="002962CE"/>
    <w:rsid w:val="00296377"/>
    <w:rsid w:val="00296385"/>
    <w:rsid w:val="002963B7"/>
    <w:rsid w:val="002963DD"/>
    <w:rsid w:val="0029647B"/>
    <w:rsid w:val="0029648D"/>
    <w:rsid w:val="0029666D"/>
    <w:rsid w:val="0029690E"/>
    <w:rsid w:val="00296F12"/>
    <w:rsid w:val="00296F47"/>
    <w:rsid w:val="00296F85"/>
    <w:rsid w:val="00296FF3"/>
    <w:rsid w:val="002971B9"/>
    <w:rsid w:val="0029725D"/>
    <w:rsid w:val="00297289"/>
    <w:rsid w:val="002973AC"/>
    <w:rsid w:val="002974D6"/>
    <w:rsid w:val="00297514"/>
    <w:rsid w:val="002975BA"/>
    <w:rsid w:val="002975D6"/>
    <w:rsid w:val="002976FD"/>
    <w:rsid w:val="00297968"/>
    <w:rsid w:val="0029799C"/>
    <w:rsid w:val="00297A78"/>
    <w:rsid w:val="00297A7B"/>
    <w:rsid w:val="00297ACE"/>
    <w:rsid w:val="00297BD5"/>
    <w:rsid w:val="00297D33"/>
    <w:rsid w:val="00297E1D"/>
    <w:rsid w:val="00297ECD"/>
    <w:rsid w:val="002A0140"/>
    <w:rsid w:val="002A0306"/>
    <w:rsid w:val="002A049E"/>
    <w:rsid w:val="002A04E2"/>
    <w:rsid w:val="002A0535"/>
    <w:rsid w:val="002A05A4"/>
    <w:rsid w:val="002A06E7"/>
    <w:rsid w:val="002A071A"/>
    <w:rsid w:val="002A07B6"/>
    <w:rsid w:val="002A0B8F"/>
    <w:rsid w:val="002A0DEA"/>
    <w:rsid w:val="002A0E02"/>
    <w:rsid w:val="002A0E79"/>
    <w:rsid w:val="002A0E94"/>
    <w:rsid w:val="002A0FDF"/>
    <w:rsid w:val="002A1138"/>
    <w:rsid w:val="002A11FB"/>
    <w:rsid w:val="002A1263"/>
    <w:rsid w:val="002A1266"/>
    <w:rsid w:val="002A1343"/>
    <w:rsid w:val="002A175B"/>
    <w:rsid w:val="002A17BD"/>
    <w:rsid w:val="002A18FE"/>
    <w:rsid w:val="002A190C"/>
    <w:rsid w:val="002A1960"/>
    <w:rsid w:val="002A19F7"/>
    <w:rsid w:val="002A1A1A"/>
    <w:rsid w:val="002A1B19"/>
    <w:rsid w:val="002A1C84"/>
    <w:rsid w:val="002A1D9A"/>
    <w:rsid w:val="002A1FB9"/>
    <w:rsid w:val="002A1FCD"/>
    <w:rsid w:val="002A201C"/>
    <w:rsid w:val="002A20F1"/>
    <w:rsid w:val="002A2364"/>
    <w:rsid w:val="002A23AE"/>
    <w:rsid w:val="002A2533"/>
    <w:rsid w:val="002A25B7"/>
    <w:rsid w:val="002A25DD"/>
    <w:rsid w:val="002A2796"/>
    <w:rsid w:val="002A283D"/>
    <w:rsid w:val="002A28E4"/>
    <w:rsid w:val="002A2A08"/>
    <w:rsid w:val="002A2A96"/>
    <w:rsid w:val="002A2AA8"/>
    <w:rsid w:val="002A2B37"/>
    <w:rsid w:val="002A2BC4"/>
    <w:rsid w:val="002A2D62"/>
    <w:rsid w:val="002A2D93"/>
    <w:rsid w:val="002A3014"/>
    <w:rsid w:val="002A31C5"/>
    <w:rsid w:val="002A31FA"/>
    <w:rsid w:val="002A32BE"/>
    <w:rsid w:val="002A336F"/>
    <w:rsid w:val="002A339E"/>
    <w:rsid w:val="002A33FC"/>
    <w:rsid w:val="002A3418"/>
    <w:rsid w:val="002A34CC"/>
    <w:rsid w:val="002A35A5"/>
    <w:rsid w:val="002A36DF"/>
    <w:rsid w:val="002A36F8"/>
    <w:rsid w:val="002A3794"/>
    <w:rsid w:val="002A37DB"/>
    <w:rsid w:val="002A3957"/>
    <w:rsid w:val="002A39D7"/>
    <w:rsid w:val="002A39FD"/>
    <w:rsid w:val="002A3A15"/>
    <w:rsid w:val="002A3A72"/>
    <w:rsid w:val="002A3D0D"/>
    <w:rsid w:val="002A3D45"/>
    <w:rsid w:val="002A3D5D"/>
    <w:rsid w:val="002A3D9E"/>
    <w:rsid w:val="002A3FC4"/>
    <w:rsid w:val="002A3FF6"/>
    <w:rsid w:val="002A400A"/>
    <w:rsid w:val="002A40DE"/>
    <w:rsid w:val="002A4113"/>
    <w:rsid w:val="002A4157"/>
    <w:rsid w:val="002A41F4"/>
    <w:rsid w:val="002A4266"/>
    <w:rsid w:val="002A42EF"/>
    <w:rsid w:val="002A448A"/>
    <w:rsid w:val="002A449A"/>
    <w:rsid w:val="002A44A0"/>
    <w:rsid w:val="002A44B7"/>
    <w:rsid w:val="002A456D"/>
    <w:rsid w:val="002A456F"/>
    <w:rsid w:val="002A457D"/>
    <w:rsid w:val="002A45B1"/>
    <w:rsid w:val="002A46C8"/>
    <w:rsid w:val="002A4723"/>
    <w:rsid w:val="002A4796"/>
    <w:rsid w:val="002A47DF"/>
    <w:rsid w:val="002A496E"/>
    <w:rsid w:val="002A4B40"/>
    <w:rsid w:val="002A4CC1"/>
    <w:rsid w:val="002A4DB9"/>
    <w:rsid w:val="002A4DF1"/>
    <w:rsid w:val="002A4E42"/>
    <w:rsid w:val="002A5161"/>
    <w:rsid w:val="002A5186"/>
    <w:rsid w:val="002A5236"/>
    <w:rsid w:val="002A5249"/>
    <w:rsid w:val="002A52AB"/>
    <w:rsid w:val="002A5379"/>
    <w:rsid w:val="002A545B"/>
    <w:rsid w:val="002A556F"/>
    <w:rsid w:val="002A56D5"/>
    <w:rsid w:val="002A598E"/>
    <w:rsid w:val="002A5C90"/>
    <w:rsid w:val="002A5CB1"/>
    <w:rsid w:val="002A5D61"/>
    <w:rsid w:val="002A5D6C"/>
    <w:rsid w:val="002A5FE4"/>
    <w:rsid w:val="002A61A5"/>
    <w:rsid w:val="002A61B1"/>
    <w:rsid w:val="002A648D"/>
    <w:rsid w:val="002A66D4"/>
    <w:rsid w:val="002A6700"/>
    <w:rsid w:val="002A6873"/>
    <w:rsid w:val="002A68C6"/>
    <w:rsid w:val="002A6AB3"/>
    <w:rsid w:val="002A6AEA"/>
    <w:rsid w:val="002A6B32"/>
    <w:rsid w:val="002A6C49"/>
    <w:rsid w:val="002A6DA3"/>
    <w:rsid w:val="002A6DC1"/>
    <w:rsid w:val="002A6E27"/>
    <w:rsid w:val="002A6F8E"/>
    <w:rsid w:val="002A7199"/>
    <w:rsid w:val="002A7452"/>
    <w:rsid w:val="002A7510"/>
    <w:rsid w:val="002A75C2"/>
    <w:rsid w:val="002A75DD"/>
    <w:rsid w:val="002A77C3"/>
    <w:rsid w:val="002A7848"/>
    <w:rsid w:val="002A7933"/>
    <w:rsid w:val="002A79D9"/>
    <w:rsid w:val="002A79E7"/>
    <w:rsid w:val="002A7BAF"/>
    <w:rsid w:val="002A7BBD"/>
    <w:rsid w:val="002A7CDF"/>
    <w:rsid w:val="002A7D28"/>
    <w:rsid w:val="002B02CD"/>
    <w:rsid w:val="002B0382"/>
    <w:rsid w:val="002B0469"/>
    <w:rsid w:val="002B0470"/>
    <w:rsid w:val="002B05A8"/>
    <w:rsid w:val="002B05F1"/>
    <w:rsid w:val="002B0791"/>
    <w:rsid w:val="002B07D9"/>
    <w:rsid w:val="002B0882"/>
    <w:rsid w:val="002B0902"/>
    <w:rsid w:val="002B09BB"/>
    <w:rsid w:val="002B0B17"/>
    <w:rsid w:val="002B0CE6"/>
    <w:rsid w:val="002B0D6E"/>
    <w:rsid w:val="002B0D71"/>
    <w:rsid w:val="002B0FF3"/>
    <w:rsid w:val="002B10B0"/>
    <w:rsid w:val="002B1225"/>
    <w:rsid w:val="002B1437"/>
    <w:rsid w:val="002B1488"/>
    <w:rsid w:val="002B14DB"/>
    <w:rsid w:val="002B1572"/>
    <w:rsid w:val="002B15ED"/>
    <w:rsid w:val="002B1646"/>
    <w:rsid w:val="002B1681"/>
    <w:rsid w:val="002B169C"/>
    <w:rsid w:val="002B17B2"/>
    <w:rsid w:val="002B1838"/>
    <w:rsid w:val="002B1870"/>
    <w:rsid w:val="002B18E4"/>
    <w:rsid w:val="002B19C6"/>
    <w:rsid w:val="002B1BDA"/>
    <w:rsid w:val="002B1C63"/>
    <w:rsid w:val="002B1C93"/>
    <w:rsid w:val="002B1E16"/>
    <w:rsid w:val="002B1F89"/>
    <w:rsid w:val="002B2137"/>
    <w:rsid w:val="002B21BB"/>
    <w:rsid w:val="002B21C7"/>
    <w:rsid w:val="002B227B"/>
    <w:rsid w:val="002B22F5"/>
    <w:rsid w:val="002B264C"/>
    <w:rsid w:val="002B274C"/>
    <w:rsid w:val="002B2868"/>
    <w:rsid w:val="002B2874"/>
    <w:rsid w:val="002B2954"/>
    <w:rsid w:val="002B2A46"/>
    <w:rsid w:val="002B2B49"/>
    <w:rsid w:val="002B2CF3"/>
    <w:rsid w:val="002B2E9F"/>
    <w:rsid w:val="002B2F77"/>
    <w:rsid w:val="002B3029"/>
    <w:rsid w:val="002B303E"/>
    <w:rsid w:val="002B30EA"/>
    <w:rsid w:val="002B315D"/>
    <w:rsid w:val="002B31AE"/>
    <w:rsid w:val="002B31DF"/>
    <w:rsid w:val="002B3206"/>
    <w:rsid w:val="002B3529"/>
    <w:rsid w:val="002B3596"/>
    <w:rsid w:val="002B3649"/>
    <w:rsid w:val="002B369E"/>
    <w:rsid w:val="002B3722"/>
    <w:rsid w:val="002B37D3"/>
    <w:rsid w:val="002B3B29"/>
    <w:rsid w:val="002B3BB2"/>
    <w:rsid w:val="002B3C24"/>
    <w:rsid w:val="002B3CA4"/>
    <w:rsid w:val="002B3E55"/>
    <w:rsid w:val="002B4007"/>
    <w:rsid w:val="002B413B"/>
    <w:rsid w:val="002B439F"/>
    <w:rsid w:val="002B43B3"/>
    <w:rsid w:val="002B43C5"/>
    <w:rsid w:val="002B440C"/>
    <w:rsid w:val="002B46FD"/>
    <w:rsid w:val="002B475A"/>
    <w:rsid w:val="002B476C"/>
    <w:rsid w:val="002B47A5"/>
    <w:rsid w:val="002B47C7"/>
    <w:rsid w:val="002B47F2"/>
    <w:rsid w:val="002B496E"/>
    <w:rsid w:val="002B4AE9"/>
    <w:rsid w:val="002B4B30"/>
    <w:rsid w:val="002B4E29"/>
    <w:rsid w:val="002B4FAD"/>
    <w:rsid w:val="002B4FD3"/>
    <w:rsid w:val="002B5126"/>
    <w:rsid w:val="002B538D"/>
    <w:rsid w:val="002B5846"/>
    <w:rsid w:val="002B58D7"/>
    <w:rsid w:val="002B5B61"/>
    <w:rsid w:val="002B5CA1"/>
    <w:rsid w:val="002B5DC8"/>
    <w:rsid w:val="002B6031"/>
    <w:rsid w:val="002B60CE"/>
    <w:rsid w:val="002B6150"/>
    <w:rsid w:val="002B6699"/>
    <w:rsid w:val="002B6716"/>
    <w:rsid w:val="002B680C"/>
    <w:rsid w:val="002B6B57"/>
    <w:rsid w:val="002B6D2E"/>
    <w:rsid w:val="002B6EFD"/>
    <w:rsid w:val="002B6F04"/>
    <w:rsid w:val="002B6F33"/>
    <w:rsid w:val="002B6F45"/>
    <w:rsid w:val="002B7177"/>
    <w:rsid w:val="002B76B6"/>
    <w:rsid w:val="002B7783"/>
    <w:rsid w:val="002B794D"/>
    <w:rsid w:val="002B79DB"/>
    <w:rsid w:val="002B79F0"/>
    <w:rsid w:val="002B7AE0"/>
    <w:rsid w:val="002B7B8A"/>
    <w:rsid w:val="002B7C96"/>
    <w:rsid w:val="002B7CB6"/>
    <w:rsid w:val="002B7E22"/>
    <w:rsid w:val="002B7F3E"/>
    <w:rsid w:val="002B7FFE"/>
    <w:rsid w:val="002C00F5"/>
    <w:rsid w:val="002C0166"/>
    <w:rsid w:val="002C02FE"/>
    <w:rsid w:val="002C03B6"/>
    <w:rsid w:val="002C03F9"/>
    <w:rsid w:val="002C041C"/>
    <w:rsid w:val="002C059A"/>
    <w:rsid w:val="002C05D9"/>
    <w:rsid w:val="002C06B5"/>
    <w:rsid w:val="002C07C2"/>
    <w:rsid w:val="002C0861"/>
    <w:rsid w:val="002C08A2"/>
    <w:rsid w:val="002C08A9"/>
    <w:rsid w:val="002C09CA"/>
    <w:rsid w:val="002C0BFE"/>
    <w:rsid w:val="002C0C7D"/>
    <w:rsid w:val="002C0CCC"/>
    <w:rsid w:val="002C0CD7"/>
    <w:rsid w:val="002C0D7B"/>
    <w:rsid w:val="002C0D88"/>
    <w:rsid w:val="002C0D99"/>
    <w:rsid w:val="002C0E25"/>
    <w:rsid w:val="002C0F99"/>
    <w:rsid w:val="002C1076"/>
    <w:rsid w:val="002C1085"/>
    <w:rsid w:val="002C11BC"/>
    <w:rsid w:val="002C11D6"/>
    <w:rsid w:val="002C1205"/>
    <w:rsid w:val="002C134C"/>
    <w:rsid w:val="002C13D0"/>
    <w:rsid w:val="002C143E"/>
    <w:rsid w:val="002C1443"/>
    <w:rsid w:val="002C1479"/>
    <w:rsid w:val="002C14AD"/>
    <w:rsid w:val="002C15B8"/>
    <w:rsid w:val="002C176A"/>
    <w:rsid w:val="002C1805"/>
    <w:rsid w:val="002C181C"/>
    <w:rsid w:val="002C1B70"/>
    <w:rsid w:val="002C1CBF"/>
    <w:rsid w:val="002C1D2A"/>
    <w:rsid w:val="002C1D72"/>
    <w:rsid w:val="002C1D9C"/>
    <w:rsid w:val="002C1E12"/>
    <w:rsid w:val="002C1EFA"/>
    <w:rsid w:val="002C1FAF"/>
    <w:rsid w:val="002C2095"/>
    <w:rsid w:val="002C2224"/>
    <w:rsid w:val="002C22C5"/>
    <w:rsid w:val="002C23FD"/>
    <w:rsid w:val="002C2495"/>
    <w:rsid w:val="002C266C"/>
    <w:rsid w:val="002C26FF"/>
    <w:rsid w:val="002C2806"/>
    <w:rsid w:val="002C28AD"/>
    <w:rsid w:val="002C2AA2"/>
    <w:rsid w:val="002C2B08"/>
    <w:rsid w:val="002C2B4F"/>
    <w:rsid w:val="002C2B7A"/>
    <w:rsid w:val="002C2BD3"/>
    <w:rsid w:val="002C2BEB"/>
    <w:rsid w:val="002C2D98"/>
    <w:rsid w:val="002C2DF8"/>
    <w:rsid w:val="002C2F49"/>
    <w:rsid w:val="002C2F69"/>
    <w:rsid w:val="002C2F89"/>
    <w:rsid w:val="002C30A4"/>
    <w:rsid w:val="002C3147"/>
    <w:rsid w:val="002C32C1"/>
    <w:rsid w:val="002C3315"/>
    <w:rsid w:val="002C3393"/>
    <w:rsid w:val="002C345E"/>
    <w:rsid w:val="002C34B2"/>
    <w:rsid w:val="002C35CE"/>
    <w:rsid w:val="002C35E4"/>
    <w:rsid w:val="002C366F"/>
    <w:rsid w:val="002C3730"/>
    <w:rsid w:val="002C3894"/>
    <w:rsid w:val="002C38BA"/>
    <w:rsid w:val="002C3901"/>
    <w:rsid w:val="002C3902"/>
    <w:rsid w:val="002C39FD"/>
    <w:rsid w:val="002C3A98"/>
    <w:rsid w:val="002C3B6D"/>
    <w:rsid w:val="002C3BFD"/>
    <w:rsid w:val="002C3D9B"/>
    <w:rsid w:val="002C3E69"/>
    <w:rsid w:val="002C3E6A"/>
    <w:rsid w:val="002C3E8B"/>
    <w:rsid w:val="002C40EF"/>
    <w:rsid w:val="002C41F3"/>
    <w:rsid w:val="002C44F5"/>
    <w:rsid w:val="002C4517"/>
    <w:rsid w:val="002C459C"/>
    <w:rsid w:val="002C488D"/>
    <w:rsid w:val="002C48BF"/>
    <w:rsid w:val="002C4A81"/>
    <w:rsid w:val="002C4B78"/>
    <w:rsid w:val="002C4B93"/>
    <w:rsid w:val="002C4CA9"/>
    <w:rsid w:val="002C4CB2"/>
    <w:rsid w:val="002C50F9"/>
    <w:rsid w:val="002C5283"/>
    <w:rsid w:val="002C5453"/>
    <w:rsid w:val="002C556F"/>
    <w:rsid w:val="002C55A1"/>
    <w:rsid w:val="002C55AE"/>
    <w:rsid w:val="002C57BD"/>
    <w:rsid w:val="002C57E4"/>
    <w:rsid w:val="002C580C"/>
    <w:rsid w:val="002C584C"/>
    <w:rsid w:val="002C587D"/>
    <w:rsid w:val="002C5950"/>
    <w:rsid w:val="002C59F8"/>
    <w:rsid w:val="002C5A5C"/>
    <w:rsid w:val="002C5BFE"/>
    <w:rsid w:val="002C5ED7"/>
    <w:rsid w:val="002C60C6"/>
    <w:rsid w:val="002C6279"/>
    <w:rsid w:val="002C6354"/>
    <w:rsid w:val="002C644A"/>
    <w:rsid w:val="002C648B"/>
    <w:rsid w:val="002C64F8"/>
    <w:rsid w:val="002C6686"/>
    <w:rsid w:val="002C67BA"/>
    <w:rsid w:val="002C6841"/>
    <w:rsid w:val="002C68A6"/>
    <w:rsid w:val="002C68E5"/>
    <w:rsid w:val="002C69ED"/>
    <w:rsid w:val="002C6B22"/>
    <w:rsid w:val="002C6C1C"/>
    <w:rsid w:val="002C6E22"/>
    <w:rsid w:val="002C6E41"/>
    <w:rsid w:val="002C6EC9"/>
    <w:rsid w:val="002C7016"/>
    <w:rsid w:val="002C704A"/>
    <w:rsid w:val="002C70A3"/>
    <w:rsid w:val="002C7301"/>
    <w:rsid w:val="002C7338"/>
    <w:rsid w:val="002C7517"/>
    <w:rsid w:val="002C75E6"/>
    <w:rsid w:val="002C79B8"/>
    <w:rsid w:val="002C7C0A"/>
    <w:rsid w:val="002C7C24"/>
    <w:rsid w:val="002C7C9C"/>
    <w:rsid w:val="002C7E32"/>
    <w:rsid w:val="002C7EC6"/>
    <w:rsid w:val="002C7FCA"/>
    <w:rsid w:val="002C7FF4"/>
    <w:rsid w:val="002D006A"/>
    <w:rsid w:val="002D00DA"/>
    <w:rsid w:val="002D0192"/>
    <w:rsid w:val="002D04C5"/>
    <w:rsid w:val="002D059D"/>
    <w:rsid w:val="002D0630"/>
    <w:rsid w:val="002D0632"/>
    <w:rsid w:val="002D067F"/>
    <w:rsid w:val="002D0727"/>
    <w:rsid w:val="002D0849"/>
    <w:rsid w:val="002D0B1C"/>
    <w:rsid w:val="002D0B1F"/>
    <w:rsid w:val="002D0BD0"/>
    <w:rsid w:val="002D100C"/>
    <w:rsid w:val="002D1065"/>
    <w:rsid w:val="002D1230"/>
    <w:rsid w:val="002D1250"/>
    <w:rsid w:val="002D13DC"/>
    <w:rsid w:val="002D13F2"/>
    <w:rsid w:val="002D15B6"/>
    <w:rsid w:val="002D15C4"/>
    <w:rsid w:val="002D19D0"/>
    <w:rsid w:val="002D1AE9"/>
    <w:rsid w:val="002D1B36"/>
    <w:rsid w:val="002D1B77"/>
    <w:rsid w:val="002D1B96"/>
    <w:rsid w:val="002D1BCE"/>
    <w:rsid w:val="002D1C80"/>
    <w:rsid w:val="002D1E2D"/>
    <w:rsid w:val="002D1EE6"/>
    <w:rsid w:val="002D21B5"/>
    <w:rsid w:val="002D2270"/>
    <w:rsid w:val="002D2472"/>
    <w:rsid w:val="002D2484"/>
    <w:rsid w:val="002D2516"/>
    <w:rsid w:val="002D2583"/>
    <w:rsid w:val="002D27AD"/>
    <w:rsid w:val="002D2930"/>
    <w:rsid w:val="002D2A53"/>
    <w:rsid w:val="002D2AB1"/>
    <w:rsid w:val="002D2C51"/>
    <w:rsid w:val="002D2D5A"/>
    <w:rsid w:val="002D2DCA"/>
    <w:rsid w:val="002D2E4C"/>
    <w:rsid w:val="002D2EC4"/>
    <w:rsid w:val="002D2FA4"/>
    <w:rsid w:val="002D2FD8"/>
    <w:rsid w:val="002D3068"/>
    <w:rsid w:val="002D30EB"/>
    <w:rsid w:val="002D3127"/>
    <w:rsid w:val="002D319A"/>
    <w:rsid w:val="002D32AF"/>
    <w:rsid w:val="002D32F2"/>
    <w:rsid w:val="002D3306"/>
    <w:rsid w:val="002D3568"/>
    <w:rsid w:val="002D35C0"/>
    <w:rsid w:val="002D3620"/>
    <w:rsid w:val="002D3673"/>
    <w:rsid w:val="002D37C1"/>
    <w:rsid w:val="002D3A27"/>
    <w:rsid w:val="002D3B12"/>
    <w:rsid w:val="002D3BE7"/>
    <w:rsid w:val="002D3C7D"/>
    <w:rsid w:val="002D3E11"/>
    <w:rsid w:val="002D3E92"/>
    <w:rsid w:val="002D3F68"/>
    <w:rsid w:val="002D4074"/>
    <w:rsid w:val="002D42F1"/>
    <w:rsid w:val="002D4487"/>
    <w:rsid w:val="002D44D6"/>
    <w:rsid w:val="002D4519"/>
    <w:rsid w:val="002D46AA"/>
    <w:rsid w:val="002D46B9"/>
    <w:rsid w:val="002D46BA"/>
    <w:rsid w:val="002D471A"/>
    <w:rsid w:val="002D480E"/>
    <w:rsid w:val="002D4830"/>
    <w:rsid w:val="002D4960"/>
    <w:rsid w:val="002D4A0A"/>
    <w:rsid w:val="002D4A43"/>
    <w:rsid w:val="002D4C99"/>
    <w:rsid w:val="002D4D1A"/>
    <w:rsid w:val="002D4DB7"/>
    <w:rsid w:val="002D4DDE"/>
    <w:rsid w:val="002D4E83"/>
    <w:rsid w:val="002D4EC5"/>
    <w:rsid w:val="002D5041"/>
    <w:rsid w:val="002D5098"/>
    <w:rsid w:val="002D5228"/>
    <w:rsid w:val="002D52B3"/>
    <w:rsid w:val="002D52BF"/>
    <w:rsid w:val="002D5744"/>
    <w:rsid w:val="002D576B"/>
    <w:rsid w:val="002D588C"/>
    <w:rsid w:val="002D5CD3"/>
    <w:rsid w:val="002D5DF6"/>
    <w:rsid w:val="002D5E9F"/>
    <w:rsid w:val="002D5EB9"/>
    <w:rsid w:val="002D5EF3"/>
    <w:rsid w:val="002D607F"/>
    <w:rsid w:val="002D60C9"/>
    <w:rsid w:val="002D60F1"/>
    <w:rsid w:val="002D61AB"/>
    <w:rsid w:val="002D61CC"/>
    <w:rsid w:val="002D61CF"/>
    <w:rsid w:val="002D6215"/>
    <w:rsid w:val="002D649F"/>
    <w:rsid w:val="002D65B4"/>
    <w:rsid w:val="002D6703"/>
    <w:rsid w:val="002D683F"/>
    <w:rsid w:val="002D68C8"/>
    <w:rsid w:val="002D68CE"/>
    <w:rsid w:val="002D6987"/>
    <w:rsid w:val="002D69CE"/>
    <w:rsid w:val="002D6AEC"/>
    <w:rsid w:val="002D6D06"/>
    <w:rsid w:val="002D6EFD"/>
    <w:rsid w:val="002D6FE7"/>
    <w:rsid w:val="002D7055"/>
    <w:rsid w:val="002D70CE"/>
    <w:rsid w:val="002D71A1"/>
    <w:rsid w:val="002D7311"/>
    <w:rsid w:val="002D756C"/>
    <w:rsid w:val="002D7720"/>
    <w:rsid w:val="002D7759"/>
    <w:rsid w:val="002D7889"/>
    <w:rsid w:val="002D7C49"/>
    <w:rsid w:val="002D7CD3"/>
    <w:rsid w:val="002D7F38"/>
    <w:rsid w:val="002E02C2"/>
    <w:rsid w:val="002E0315"/>
    <w:rsid w:val="002E031B"/>
    <w:rsid w:val="002E0403"/>
    <w:rsid w:val="002E0420"/>
    <w:rsid w:val="002E047C"/>
    <w:rsid w:val="002E04BC"/>
    <w:rsid w:val="002E066F"/>
    <w:rsid w:val="002E0695"/>
    <w:rsid w:val="002E06F3"/>
    <w:rsid w:val="002E0903"/>
    <w:rsid w:val="002E0C71"/>
    <w:rsid w:val="002E0CA0"/>
    <w:rsid w:val="002E0D26"/>
    <w:rsid w:val="002E0D8B"/>
    <w:rsid w:val="002E0DA7"/>
    <w:rsid w:val="002E0DF5"/>
    <w:rsid w:val="002E0F44"/>
    <w:rsid w:val="002E10FA"/>
    <w:rsid w:val="002E1122"/>
    <w:rsid w:val="002E12F0"/>
    <w:rsid w:val="002E1303"/>
    <w:rsid w:val="002E156E"/>
    <w:rsid w:val="002E16BD"/>
    <w:rsid w:val="002E1A75"/>
    <w:rsid w:val="002E1E51"/>
    <w:rsid w:val="002E21D1"/>
    <w:rsid w:val="002E2276"/>
    <w:rsid w:val="002E229D"/>
    <w:rsid w:val="002E236F"/>
    <w:rsid w:val="002E2382"/>
    <w:rsid w:val="002E2455"/>
    <w:rsid w:val="002E247C"/>
    <w:rsid w:val="002E24A6"/>
    <w:rsid w:val="002E2569"/>
    <w:rsid w:val="002E25A8"/>
    <w:rsid w:val="002E276A"/>
    <w:rsid w:val="002E279A"/>
    <w:rsid w:val="002E27F6"/>
    <w:rsid w:val="002E2BE7"/>
    <w:rsid w:val="002E2C7F"/>
    <w:rsid w:val="002E2C9A"/>
    <w:rsid w:val="002E2CEF"/>
    <w:rsid w:val="002E2E05"/>
    <w:rsid w:val="002E2EEC"/>
    <w:rsid w:val="002E30F1"/>
    <w:rsid w:val="002E323E"/>
    <w:rsid w:val="002E32D9"/>
    <w:rsid w:val="002E332C"/>
    <w:rsid w:val="002E33E1"/>
    <w:rsid w:val="002E33FF"/>
    <w:rsid w:val="002E3412"/>
    <w:rsid w:val="002E3490"/>
    <w:rsid w:val="002E34CF"/>
    <w:rsid w:val="002E35EA"/>
    <w:rsid w:val="002E36A2"/>
    <w:rsid w:val="002E3832"/>
    <w:rsid w:val="002E387C"/>
    <w:rsid w:val="002E399E"/>
    <w:rsid w:val="002E39B6"/>
    <w:rsid w:val="002E3B08"/>
    <w:rsid w:val="002E3CE5"/>
    <w:rsid w:val="002E3CF3"/>
    <w:rsid w:val="002E3E10"/>
    <w:rsid w:val="002E4118"/>
    <w:rsid w:val="002E412E"/>
    <w:rsid w:val="002E41F3"/>
    <w:rsid w:val="002E4260"/>
    <w:rsid w:val="002E4505"/>
    <w:rsid w:val="002E4516"/>
    <w:rsid w:val="002E4519"/>
    <w:rsid w:val="002E47AB"/>
    <w:rsid w:val="002E47CF"/>
    <w:rsid w:val="002E47F8"/>
    <w:rsid w:val="002E4870"/>
    <w:rsid w:val="002E499F"/>
    <w:rsid w:val="002E4A7A"/>
    <w:rsid w:val="002E4C70"/>
    <w:rsid w:val="002E4D1B"/>
    <w:rsid w:val="002E4D2C"/>
    <w:rsid w:val="002E4D30"/>
    <w:rsid w:val="002E4DC0"/>
    <w:rsid w:val="002E4E06"/>
    <w:rsid w:val="002E4EF7"/>
    <w:rsid w:val="002E4F88"/>
    <w:rsid w:val="002E5004"/>
    <w:rsid w:val="002E5038"/>
    <w:rsid w:val="002E50EA"/>
    <w:rsid w:val="002E5115"/>
    <w:rsid w:val="002E52A6"/>
    <w:rsid w:val="002E533C"/>
    <w:rsid w:val="002E53FB"/>
    <w:rsid w:val="002E555E"/>
    <w:rsid w:val="002E557C"/>
    <w:rsid w:val="002E56F4"/>
    <w:rsid w:val="002E5705"/>
    <w:rsid w:val="002E57D7"/>
    <w:rsid w:val="002E58F4"/>
    <w:rsid w:val="002E5979"/>
    <w:rsid w:val="002E5B70"/>
    <w:rsid w:val="002E5BB9"/>
    <w:rsid w:val="002E5BCC"/>
    <w:rsid w:val="002E6116"/>
    <w:rsid w:val="002E62E0"/>
    <w:rsid w:val="002E64C6"/>
    <w:rsid w:val="002E65BC"/>
    <w:rsid w:val="002E65C7"/>
    <w:rsid w:val="002E65F6"/>
    <w:rsid w:val="002E6647"/>
    <w:rsid w:val="002E668C"/>
    <w:rsid w:val="002E668D"/>
    <w:rsid w:val="002E66C2"/>
    <w:rsid w:val="002E67E6"/>
    <w:rsid w:val="002E6883"/>
    <w:rsid w:val="002E69B3"/>
    <w:rsid w:val="002E6B7E"/>
    <w:rsid w:val="002E6B95"/>
    <w:rsid w:val="002E6DBB"/>
    <w:rsid w:val="002E6E7C"/>
    <w:rsid w:val="002E6F72"/>
    <w:rsid w:val="002E712F"/>
    <w:rsid w:val="002E71B7"/>
    <w:rsid w:val="002E7208"/>
    <w:rsid w:val="002E723C"/>
    <w:rsid w:val="002E7345"/>
    <w:rsid w:val="002E7369"/>
    <w:rsid w:val="002E7566"/>
    <w:rsid w:val="002E75C2"/>
    <w:rsid w:val="002E7672"/>
    <w:rsid w:val="002E76E0"/>
    <w:rsid w:val="002E78F2"/>
    <w:rsid w:val="002E7B0D"/>
    <w:rsid w:val="002E7C53"/>
    <w:rsid w:val="002E7E6F"/>
    <w:rsid w:val="002E7EBA"/>
    <w:rsid w:val="002F00C6"/>
    <w:rsid w:val="002F03A0"/>
    <w:rsid w:val="002F0441"/>
    <w:rsid w:val="002F04DE"/>
    <w:rsid w:val="002F066F"/>
    <w:rsid w:val="002F06F6"/>
    <w:rsid w:val="002F079D"/>
    <w:rsid w:val="002F089E"/>
    <w:rsid w:val="002F08E3"/>
    <w:rsid w:val="002F0A2B"/>
    <w:rsid w:val="002F0B9F"/>
    <w:rsid w:val="002F0CF5"/>
    <w:rsid w:val="002F0D1B"/>
    <w:rsid w:val="002F0D93"/>
    <w:rsid w:val="002F0F46"/>
    <w:rsid w:val="002F103D"/>
    <w:rsid w:val="002F1061"/>
    <w:rsid w:val="002F109E"/>
    <w:rsid w:val="002F10AA"/>
    <w:rsid w:val="002F10F6"/>
    <w:rsid w:val="002F121E"/>
    <w:rsid w:val="002F12CD"/>
    <w:rsid w:val="002F1324"/>
    <w:rsid w:val="002F144A"/>
    <w:rsid w:val="002F1459"/>
    <w:rsid w:val="002F14D0"/>
    <w:rsid w:val="002F1524"/>
    <w:rsid w:val="002F15AD"/>
    <w:rsid w:val="002F172E"/>
    <w:rsid w:val="002F18E4"/>
    <w:rsid w:val="002F190D"/>
    <w:rsid w:val="002F196B"/>
    <w:rsid w:val="002F19C8"/>
    <w:rsid w:val="002F1A3E"/>
    <w:rsid w:val="002F1C01"/>
    <w:rsid w:val="002F1CD3"/>
    <w:rsid w:val="002F1D1B"/>
    <w:rsid w:val="002F1D51"/>
    <w:rsid w:val="002F1E10"/>
    <w:rsid w:val="002F1E43"/>
    <w:rsid w:val="002F1EA4"/>
    <w:rsid w:val="002F1F7D"/>
    <w:rsid w:val="002F1FED"/>
    <w:rsid w:val="002F2013"/>
    <w:rsid w:val="002F2019"/>
    <w:rsid w:val="002F20D0"/>
    <w:rsid w:val="002F2225"/>
    <w:rsid w:val="002F22D3"/>
    <w:rsid w:val="002F24A1"/>
    <w:rsid w:val="002F24B0"/>
    <w:rsid w:val="002F2612"/>
    <w:rsid w:val="002F26F9"/>
    <w:rsid w:val="002F279C"/>
    <w:rsid w:val="002F283F"/>
    <w:rsid w:val="002F2A55"/>
    <w:rsid w:val="002F2BB2"/>
    <w:rsid w:val="002F2BBB"/>
    <w:rsid w:val="002F2C20"/>
    <w:rsid w:val="002F2CD0"/>
    <w:rsid w:val="002F2CFA"/>
    <w:rsid w:val="002F2D53"/>
    <w:rsid w:val="002F2D92"/>
    <w:rsid w:val="002F2E29"/>
    <w:rsid w:val="002F2F91"/>
    <w:rsid w:val="002F2FC0"/>
    <w:rsid w:val="002F318F"/>
    <w:rsid w:val="002F324C"/>
    <w:rsid w:val="002F32CC"/>
    <w:rsid w:val="002F3391"/>
    <w:rsid w:val="002F348F"/>
    <w:rsid w:val="002F3506"/>
    <w:rsid w:val="002F35B0"/>
    <w:rsid w:val="002F377A"/>
    <w:rsid w:val="002F3800"/>
    <w:rsid w:val="002F392E"/>
    <w:rsid w:val="002F3A7A"/>
    <w:rsid w:val="002F3A93"/>
    <w:rsid w:val="002F3AFA"/>
    <w:rsid w:val="002F3CB2"/>
    <w:rsid w:val="002F3D81"/>
    <w:rsid w:val="002F3E69"/>
    <w:rsid w:val="002F4298"/>
    <w:rsid w:val="002F4355"/>
    <w:rsid w:val="002F4444"/>
    <w:rsid w:val="002F45F4"/>
    <w:rsid w:val="002F460D"/>
    <w:rsid w:val="002F4777"/>
    <w:rsid w:val="002F47E9"/>
    <w:rsid w:val="002F49D4"/>
    <w:rsid w:val="002F49F8"/>
    <w:rsid w:val="002F4A44"/>
    <w:rsid w:val="002F4A7F"/>
    <w:rsid w:val="002F4B36"/>
    <w:rsid w:val="002F4B81"/>
    <w:rsid w:val="002F4BEA"/>
    <w:rsid w:val="002F4E08"/>
    <w:rsid w:val="002F4EF4"/>
    <w:rsid w:val="002F4F69"/>
    <w:rsid w:val="002F5062"/>
    <w:rsid w:val="002F50C5"/>
    <w:rsid w:val="002F52E8"/>
    <w:rsid w:val="002F5346"/>
    <w:rsid w:val="002F54B6"/>
    <w:rsid w:val="002F561F"/>
    <w:rsid w:val="002F5629"/>
    <w:rsid w:val="002F5674"/>
    <w:rsid w:val="002F5D3C"/>
    <w:rsid w:val="002F5E6F"/>
    <w:rsid w:val="002F5F52"/>
    <w:rsid w:val="002F6034"/>
    <w:rsid w:val="002F60A0"/>
    <w:rsid w:val="002F6114"/>
    <w:rsid w:val="002F6194"/>
    <w:rsid w:val="002F61C0"/>
    <w:rsid w:val="002F61FA"/>
    <w:rsid w:val="002F6294"/>
    <w:rsid w:val="002F62B9"/>
    <w:rsid w:val="002F65C1"/>
    <w:rsid w:val="002F65E5"/>
    <w:rsid w:val="002F66FE"/>
    <w:rsid w:val="002F6934"/>
    <w:rsid w:val="002F6A4E"/>
    <w:rsid w:val="002F6A6F"/>
    <w:rsid w:val="002F6AA1"/>
    <w:rsid w:val="002F6B24"/>
    <w:rsid w:val="002F6CDE"/>
    <w:rsid w:val="002F6DFA"/>
    <w:rsid w:val="002F6E28"/>
    <w:rsid w:val="002F6E9F"/>
    <w:rsid w:val="002F6EA5"/>
    <w:rsid w:val="002F6EDA"/>
    <w:rsid w:val="002F6F12"/>
    <w:rsid w:val="002F6F69"/>
    <w:rsid w:val="002F6FEA"/>
    <w:rsid w:val="002F7056"/>
    <w:rsid w:val="002F70BA"/>
    <w:rsid w:val="002F70BE"/>
    <w:rsid w:val="002F725F"/>
    <w:rsid w:val="002F7340"/>
    <w:rsid w:val="002F7375"/>
    <w:rsid w:val="002F741D"/>
    <w:rsid w:val="002F74A0"/>
    <w:rsid w:val="002F780C"/>
    <w:rsid w:val="002F78FF"/>
    <w:rsid w:val="002F795C"/>
    <w:rsid w:val="002F799E"/>
    <w:rsid w:val="002F79A7"/>
    <w:rsid w:val="002F7A88"/>
    <w:rsid w:val="002F7A99"/>
    <w:rsid w:val="002F7AAB"/>
    <w:rsid w:val="002F7AD0"/>
    <w:rsid w:val="002F7C08"/>
    <w:rsid w:val="002F7D6F"/>
    <w:rsid w:val="002F7DEC"/>
    <w:rsid w:val="002F7E68"/>
    <w:rsid w:val="002F7F86"/>
    <w:rsid w:val="00300510"/>
    <w:rsid w:val="00300560"/>
    <w:rsid w:val="0030059F"/>
    <w:rsid w:val="003005AD"/>
    <w:rsid w:val="00300616"/>
    <w:rsid w:val="003007DE"/>
    <w:rsid w:val="00300924"/>
    <w:rsid w:val="00300A5B"/>
    <w:rsid w:val="00300A82"/>
    <w:rsid w:val="00300A84"/>
    <w:rsid w:val="00300ADC"/>
    <w:rsid w:val="00300BE0"/>
    <w:rsid w:val="00300C61"/>
    <w:rsid w:val="00300C9E"/>
    <w:rsid w:val="00300E39"/>
    <w:rsid w:val="00300EB3"/>
    <w:rsid w:val="00300EF1"/>
    <w:rsid w:val="00300F95"/>
    <w:rsid w:val="0030101C"/>
    <w:rsid w:val="0030104E"/>
    <w:rsid w:val="0030107F"/>
    <w:rsid w:val="003010C4"/>
    <w:rsid w:val="003010D3"/>
    <w:rsid w:val="003011A6"/>
    <w:rsid w:val="0030124F"/>
    <w:rsid w:val="003013EF"/>
    <w:rsid w:val="00301647"/>
    <w:rsid w:val="00301873"/>
    <w:rsid w:val="003018E8"/>
    <w:rsid w:val="003018F0"/>
    <w:rsid w:val="00301E55"/>
    <w:rsid w:val="00301F0F"/>
    <w:rsid w:val="0030203D"/>
    <w:rsid w:val="00302128"/>
    <w:rsid w:val="00302306"/>
    <w:rsid w:val="003023C2"/>
    <w:rsid w:val="003024FE"/>
    <w:rsid w:val="00302643"/>
    <w:rsid w:val="0030270C"/>
    <w:rsid w:val="0030294F"/>
    <w:rsid w:val="003029B9"/>
    <w:rsid w:val="003029CC"/>
    <w:rsid w:val="003029CE"/>
    <w:rsid w:val="00302DD6"/>
    <w:rsid w:val="00302E5E"/>
    <w:rsid w:val="00302EA1"/>
    <w:rsid w:val="00302F06"/>
    <w:rsid w:val="00302F41"/>
    <w:rsid w:val="00302F4F"/>
    <w:rsid w:val="0030302C"/>
    <w:rsid w:val="00303220"/>
    <w:rsid w:val="00303249"/>
    <w:rsid w:val="0030353C"/>
    <w:rsid w:val="0030375B"/>
    <w:rsid w:val="003038DB"/>
    <w:rsid w:val="00303902"/>
    <w:rsid w:val="00303A7D"/>
    <w:rsid w:val="00303B11"/>
    <w:rsid w:val="00303BC0"/>
    <w:rsid w:val="00303BC3"/>
    <w:rsid w:val="00303C6B"/>
    <w:rsid w:val="00303D58"/>
    <w:rsid w:val="00303D69"/>
    <w:rsid w:val="00303E19"/>
    <w:rsid w:val="00303E5B"/>
    <w:rsid w:val="00303F5D"/>
    <w:rsid w:val="00303FA3"/>
    <w:rsid w:val="00303FDB"/>
    <w:rsid w:val="00303FE8"/>
    <w:rsid w:val="00304040"/>
    <w:rsid w:val="0030415A"/>
    <w:rsid w:val="003041AD"/>
    <w:rsid w:val="00304246"/>
    <w:rsid w:val="00304433"/>
    <w:rsid w:val="00304482"/>
    <w:rsid w:val="0030458D"/>
    <w:rsid w:val="00304657"/>
    <w:rsid w:val="0030469A"/>
    <w:rsid w:val="003048C9"/>
    <w:rsid w:val="003049EC"/>
    <w:rsid w:val="00304C8F"/>
    <w:rsid w:val="00304D13"/>
    <w:rsid w:val="00304D19"/>
    <w:rsid w:val="00304D4E"/>
    <w:rsid w:val="00304EAF"/>
    <w:rsid w:val="00304F3C"/>
    <w:rsid w:val="00304F71"/>
    <w:rsid w:val="00304FA8"/>
    <w:rsid w:val="00304FF8"/>
    <w:rsid w:val="00305094"/>
    <w:rsid w:val="00305098"/>
    <w:rsid w:val="0030511E"/>
    <w:rsid w:val="00305180"/>
    <w:rsid w:val="0030522B"/>
    <w:rsid w:val="003053C8"/>
    <w:rsid w:val="0030555A"/>
    <w:rsid w:val="0030576C"/>
    <w:rsid w:val="003057D0"/>
    <w:rsid w:val="003057D1"/>
    <w:rsid w:val="00305829"/>
    <w:rsid w:val="003058B9"/>
    <w:rsid w:val="003058C5"/>
    <w:rsid w:val="0030599A"/>
    <w:rsid w:val="00305BCF"/>
    <w:rsid w:val="00305C42"/>
    <w:rsid w:val="00305C60"/>
    <w:rsid w:val="00305D28"/>
    <w:rsid w:val="00305F60"/>
    <w:rsid w:val="00305FCB"/>
    <w:rsid w:val="0030615E"/>
    <w:rsid w:val="0030627C"/>
    <w:rsid w:val="003065B2"/>
    <w:rsid w:val="003065E3"/>
    <w:rsid w:val="003066E9"/>
    <w:rsid w:val="00306902"/>
    <w:rsid w:val="00306A56"/>
    <w:rsid w:val="00306D6D"/>
    <w:rsid w:val="00306E53"/>
    <w:rsid w:val="003071AD"/>
    <w:rsid w:val="003071ED"/>
    <w:rsid w:val="00307262"/>
    <w:rsid w:val="003072E4"/>
    <w:rsid w:val="003073D1"/>
    <w:rsid w:val="00307448"/>
    <w:rsid w:val="003074D2"/>
    <w:rsid w:val="00307536"/>
    <w:rsid w:val="003077E9"/>
    <w:rsid w:val="00307813"/>
    <w:rsid w:val="00307863"/>
    <w:rsid w:val="003078AC"/>
    <w:rsid w:val="003079A8"/>
    <w:rsid w:val="003079AB"/>
    <w:rsid w:val="003079B4"/>
    <w:rsid w:val="003079CC"/>
    <w:rsid w:val="00307A8A"/>
    <w:rsid w:val="00307A8F"/>
    <w:rsid w:val="00307C55"/>
    <w:rsid w:val="00307D06"/>
    <w:rsid w:val="00307DAF"/>
    <w:rsid w:val="00307DEF"/>
    <w:rsid w:val="00307E04"/>
    <w:rsid w:val="00307EBC"/>
    <w:rsid w:val="00307EDF"/>
    <w:rsid w:val="003100FB"/>
    <w:rsid w:val="00310138"/>
    <w:rsid w:val="0031023C"/>
    <w:rsid w:val="0031027B"/>
    <w:rsid w:val="003105A3"/>
    <w:rsid w:val="003105EB"/>
    <w:rsid w:val="00310623"/>
    <w:rsid w:val="003107B6"/>
    <w:rsid w:val="003107E5"/>
    <w:rsid w:val="00310971"/>
    <w:rsid w:val="00310BA7"/>
    <w:rsid w:val="00310BB4"/>
    <w:rsid w:val="00310C3F"/>
    <w:rsid w:val="00310DE6"/>
    <w:rsid w:val="00310F37"/>
    <w:rsid w:val="0031115B"/>
    <w:rsid w:val="00311364"/>
    <w:rsid w:val="003113A6"/>
    <w:rsid w:val="00311480"/>
    <w:rsid w:val="003114A5"/>
    <w:rsid w:val="003115AC"/>
    <w:rsid w:val="00311603"/>
    <w:rsid w:val="00311762"/>
    <w:rsid w:val="003117F8"/>
    <w:rsid w:val="003118A1"/>
    <w:rsid w:val="00311940"/>
    <w:rsid w:val="003119A7"/>
    <w:rsid w:val="00311A78"/>
    <w:rsid w:val="00311BC8"/>
    <w:rsid w:val="00311BCC"/>
    <w:rsid w:val="00311C03"/>
    <w:rsid w:val="00311D33"/>
    <w:rsid w:val="00311D6F"/>
    <w:rsid w:val="00311DF2"/>
    <w:rsid w:val="00311EE1"/>
    <w:rsid w:val="0031200F"/>
    <w:rsid w:val="0031208A"/>
    <w:rsid w:val="0031217D"/>
    <w:rsid w:val="003121A8"/>
    <w:rsid w:val="0031221E"/>
    <w:rsid w:val="00312321"/>
    <w:rsid w:val="00312467"/>
    <w:rsid w:val="003126CA"/>
    <w:rsid w:val="00312710"/>
    <w:rsid w:val="003127C5"/>
    <w:rsid w:val="0031281D"/>
    <w:rsid w:val="0031297B"/>
    <w:rsid w:val="00312A21"/>
    <w:rsid w:val="00312AA7"/>
    <w:rsid w:val="00312D72"/>
    <w:rsid w:val="00312EBA"/>
    <w:rsid w:val="00312FF0"/>
    <w:rsid w:val="003130CE"/>
    <w:rsid w:val="0031322F"/>
    <w:rsid w:val="00313304"/>
    <w:rsid w:val="003134B8"/>
    <w:rsid w:val="00313502"/>
    <w:rsid w:val="00313664"/>
    <w:rsid w:val="00313754"/>
    <w:rsid w:val="00313772"/>
    <w:rsid w:val="00313809"/>
    <w:rsid w:val="0031380E"/>
    <w:rsid w:val="003138A6"/>
    <w:rsid w:val="003138BD"/>
    <w:rsid w:val="00313958"/>
    <w:rsid w:val="003139A3"/>
    <w:rsid w:val="00313A68"/>
    <w:rsid w:val="00313A69"/>
    <w:rsid w:val="00313B78"/>
    <w:rsid w:val="00313C3E"/>
    <w:rsid w:val="00313C40"/>
    <w:rsid w:val="00313C55"/>
    <w:rsid w:val="00313C9A"/>
    <w:rsid w:val="00313D29"/>
    <w:rsid w:val="00313DD4"/>
    <w:rsid w:val="00313EFE"/>
    <w:rsid w:val="00314113"/>
    <w:rsid w:val="003142FF"/>
    <w:rsid w:val="00314361"/>
    <w:rsid w:val="003143BF"/>
    <w:rsid w:val="00314445"/>
    <w:rsid w:val="00314458"/>
    <w:rsid w:val="00314475"/>
    <w:rsid w:val="0031453D"/>
    <w:rsid w:val="003146CA"/>
    <w:rsid w:val="003147C0"/>
    <w:rsid w:val="003147CF"/>
    <w:rsid w:val="00314807"/>
    <w:rsid w:val="0031486F"/>
    <w:rsid w:val="00314879"/>
    <w:rsid w:val="0031489E"/>
    <w:rsid w:val="00314A3D"/>
    <w:rsid w:val="00314A5C"/>
    <w:rsid w:val="00314A6F"/>
    <w:rsid w:val="00314B44"/>
    <w:rsid w:val="00314C69"/>
    <w:rsid w:val="00314C98"/>
    <w:rsid w:val="00314CD3"/>
    <w:rsid w:val="00314D4E"/>
    <w:rsid w:val="00314E9B"/>
    <w:rsid w:val="00314EE5"/>
    <w:rsid w:val="00314F90"/>
    <w:rsid w:val="00314F9C"/>
    <w:rsid w:val="00314FBE"/>
    <w:rsid w:val="00315219"/>
    <w:rsid w:val="00315238"/>
    <w:rsid w:val="0031523C"/>
    <w:rsid w:val="00315247"/>
    <w:rsid w:val="003153B1"/>
    <w:rsid w:val="003153C9"/>
    <w:rsid w:val="003156B8"/>
    <w:rsid w:val="003156E2"/>
    <w:rsid w:val="0031571D"/>
    <w:rsid w:val="00315731"/>
    <w:rsid w:val="0031582F"/>
    <w:rsid w:val="003159A1"/>
    <w:rsid w:val="00315A91"/>
    <w:rsid w:val="00315A92"/>
    <w:rsid w:val="00315C1D"/>
    <w:rsid w:val="00315C6A"/>
    <w:rsid w:val="00315D35"/>
    <w:rsid w:val="00315D4B"/>
    <w:rsid w:val="00315D6D"/>
    <w:rsid w:val="00315DC3"/>
    <w:rsid w:val="00315E34"/>
    <w:rsid w:val="00315EDC"/>
    <w:rsid w:val="00315F85"/>
    <w:rsid w:val="0031617F"/>
    <w:rsid w:val="003161CB"/>
    <w:rsid w:val="0031620F"/>
    <w:rsid w:val="00316316"/>
    <w:rsid w:val="00316359"/>
    <w:rsid w:val="003164AD"/>
    <w:rsid w:val="00316605"/>
    <w:rsid w:val="00316769"/>
    <w:rsid w:val="003167AB"/>
    <w:rsid w:val="003169CD"/>
    <w:rsid w:val="00316BA8"/>
    <w:rsid w:val="003170C1"/>
    <w:rsid w:val="00317101"/>
    <w:rsid w:val="003173DC"/>
    <w:rsid w:val="003176C6"/>
    <w:rsid w:val="00317743"/>
    <w:rsid w:val="00317935"/>
    <w:rsid w:val="003179F2"/>
    <w:rsid w:val="00317B3C"/>
    <w:rsid w:val="00317B7C"/>
    <w:rsid w:val="00317D08"/>
    <w:rsid w:val="00317E35"/>
    <w:rsid w:val="00317F9C"/>
    <w:rsid w:val="0032006F"/>
    <w:rsid w:val="00320125"/>
    <w:rsid w:val="003201A1"/>
    <w:rsid w:val="003201E1"/>
    <w:rsid w:val="003202DF"/>
    <w:rsid w:val="00320302"/>
    <w:rsid w:val="00320335"/>
    <w:rsid w:val="00320415"/>
    <w:rsid w:val="00320548"/>
    <w:rsid w:val="003206C2"/>
    <w:rsid w:val="00320747"/>
    <w:rsid w:val="00320832"/>
    <w:rsid w:val="003208A9"/>
    <w:rsid w:val="00320D15"/>
    <w:rsid w:val="00320F96"/>
    <w:rsid w:val="00320FD1"/>
    <w:rsid w:val="00321009"/>
    <w:rsid w:val="00321062"/>
    <w:rsid w:val="003210BA"/>
    <w:rsid w:val="00321106"/>
    <w:rsid w:val="00321109"/>
    <w:rsid w:val="0032111B"/>
    <w:rsid w:val="0032124F"/>
    <w:rsid w:val="00321402"/>
    <w:rsid w:val="00321560"/>
    <w:rsid w:val="0032162A"/>
    <w:rsid w:val="00321690"/>
    <w:rsid w:val="00321699"/>
    <w:rsid w:val="00321758"/>
    <w:rsid w:val="003217E1"/>
    <w:rsid w:val="00321823"/>
    <w:rsid w:val="0032199B"/>
    <w:rsid w:val="00321B9A"/>
    <w:rsid w:val="00321BDA"/>
    <w:rsid w:val="00321C20"/>
    <w:rsid w:val="00321DF0"/>
    <w:rsid w:val="00322072"/>
    <w:rsid w:val="00322150"/>
    <w:rsid w:val="00322164"/>
    <w:rsid w:val="003223C7"/>
    <w:rsid w:val="003225E1"/>
    <w:rsid w:val="003226B9"/>
    <w:rsid w:val="00322A30"/>
    <w:rsid w:val="00322A91"/>
    <w:rsid w:val="00322DAE"/>
    <w:rsid w:val="00322E12"/>
    <w:rsid w:val="00322E94"/>
    <w:rsid w:val="00322FB2"/>
    <w:rsid w:val="00322FFB"/>
    <w:rsid w:val="00323168"/>
    <w:rsid w:val="003231F8"/>
    <w:rsid w:val="00323228"/>
    <w:rsid w:val="00323255"/>
    <w:rsid w:val="003233A2"/>
    <w:rsid w:val="003234E1"/>
    <w:rsid w:val="0032358B"/>
    <w:rsid w:val="00323640"/>
    <w:rsid w:val="003238F4"/>
    <w:rsid w:val="00323BDC"/>
    <w:rsid w:val="00323CFC"/>
    <w:rsid w:val="00323D94"/>
    <w:rsid w:val="00323DC1"/>
    <w:rsid w:val="00323FB3"/>
    <w:rsid w:val="00323FC4"/>
    <w:rsid w:val="00323FC7"/>
    <w:rsid w:val="003240DE"/>
    <w:rsid w:val="003240EF"/>
    <w:rsid w:val="00324208"/>
    <w:rsid w:val="00324253"/>
    <w:rsid w:val="00324275"/>
    <w:rsid w:val="003243D1"/>
    <w:rsid w:val="00324637"/>
    <w:rsid w:val="0032479C"/>
    <w:rsid w:val="0032497A"/>
    <w:rsid w:val="00324AA7"/>
    <w:rsid w:val="00324B10"/>
    <w:rsid w:val="00324B9C"/>
    <w:rsid w:val="00324D77"/>
    <w:rsid w:val="00324F60"/>
    <w:rsid w:val="0032515F"/>
    <w:rsid w:val="0032547A"/>
    <w:rsid w:val="00325692"/>
    <w:rsid w:val="003257A7"/>
    <w:rsid w:val="003257C1"/>
    <w:rsid w:val="00325820"/>
    <w:rsid w:val="00325841"/>
    <w:rsid w:val="003259D7"/>
    <w:rsid w:val="00325A4A"/>
    <w:rsid w:val="00325AD1"/>
    <w:rsid w:val="00325CB0"/>
    <w:rsid w:val="00325CC2"/>
    <w:rsid w:val="0032603F"/>
    <w:rsid w:val="0032616B"/>
    <w:rsid w:val="00326174"/>
    <w:rsid w:val="00326373"/>
    <w:rsid w:val="003263DE"/>
    <w:rsid w:val="00326451"/>
    <w:rsid w:val="003264B2"/>
    <w:rsid w:val="003264B6"/>
    <w:rsid w:val="003266CF"/>
    <w:rsid w:val="00326826"/>
    <w:rsid w:val="003268C7"/>
    <w:rsid w:val="00326914"/>
    <w:rsid w:val="003269E7"/>
    <w:rsid w:val="00326AED"/>
    <w:rsid w:val="00326B3B"/>
    <w:rsid w:val="0032704C"/>
    <w:rsid w:val="0032709A"/>
    <w:rsid w:val="003270A5"/>
    <w:rsid w:val="00327204"/>
    <w:rsid w:val="0032726B"/>
    <w:rsid w:val="00327426"/>
    <w:rsid w:val="003274ED"/>
    <w:rsid w:val="00327547"/>
    <w:rsid w:val="0032762E"/>
    <w:rsid w:val="00327772"/>
    <w:rsid w:val="003277AE"/>
    <w:rsid w:val="0032789C"/>
    <w:rsid w:val="00327B58"/>
    <w:rsid w:val="00327BD3"/>
    <w:rsid w:val="00327CAA"/>
    <w:rsid w:val="00327D2E"/>
    <w:rsid w:val="00327DE9"/>
    <w:rsid w:val="00327EB4"/>
    <w:rsid w:val="00327F5E"/>
    <w:rsid w:val="00330028"/>
    <w:rsid w:val="003301B3"/>
    <w:rsid w:val="0033029E"/>
    <w:rsid w:val="00330318"/>
    <w:rsid w:val="0033033D"/>
    <w:rsid w:val="00330372"/>
    <w:rsid w:val="00330385"/>
    <w:rsid w:val="003303CC"/>
    <w:rsid w:val="0033049C"/>
    <w:rsid w:val="0033057B"/>
    <w:rsid w:val="0033057E"/>
    <w:rsid w:val="003306E4"/>
    <w:rsid w:val="0033080F"/>
    <w:rsid w:val="003308D8"/>
    <w:rsid w:val="00330A1D"/>
    <w:rsid w:val="00330B6E"/>
    <w:rsid w:val="00330B7A"/>
    <w:rsid w:val="00330C56"/>
    <w:rsid w:val="00330F16"/>
    <w:rsid w:val="0033102E"/>
    <w:rsid w:val="003312C1"/>
    <w:rsid w:val="00331327"/>
    <w:rsid w:val="0033137B"/>
    <w:rsid w:val="003313F7"/>
    <w:rsid w:val="00331401"/>
    <w:rsid w:val="00331507"/>
    <w:rsid w:val="00331A94"/>
    <w:rsid w:val="00331C05"/>
    <w:rsid w:val="00331CEE"/>
    <w:rsid w:val="00331E2E"/>
    <w:rsid w:val="00332344"/>
    <w:rsid w:val="00332372"/>
    <w:rsid w:val="0033249A"/>
    <w:rsid w:val="003324A4"/>
    <w:rsid w:val="00332608"/>
    <w:rsid w:val="00332675"/>
    <w:rsid w:val="0033289C"/>
    <w:rsid w:val="00332AFF"/>
    <w:rsid w:val="00332C24"/>
    <w:rsid w:val="00332CA5"/>
    <w:rsid w:val="00332CF5"/>
    <w:rsid w:val="00332DE5"/>
    <w:rsid w:val="00332DEC"/>
    <w:rsid w:val="00332E05"/>
    <w:rsid w:val="00332F0D"/>
    <w:rsid w:val="00332F67"/>
    <w:rsid w:val="00332F8E"/>
    <w:rsid w:val="0033312E"/>
    <w:rsid w:val="00333234"/>
    <w:rsid w:val="00333496"/>
    <w:rsid w:val="00333791"/>
    <w:rsid w:val="00333822"/>
    <w:rsid w:val="00333823"/>
    <w:rsid w:val="003339EC"/>
    <w:rsid w:val="00333A2F"/>
    <w:rsid w:val="00333B1F"/>
    <w:rsid w:val="00333C5B"/>
    <w:rsid w:val="00333CC8"/>
    <w:rsid w:val="00333CF3"/>
    <w:rsid w:val="00333D58"/>
    <w:rsid w:val="00333E40"/>
    <w:rsid w:val="003340BC"/>
    <w:rsid w:val="0033414E"/>
    <w:rsid w:val="00334188"/>
    <w:rsid w:val="003343B5"/>
    <w:rsid w:val="00334402"/>
    <w:rsid w:val="003345F8"/>
    <w:rsid w:val="0033482D"/>
    <w:rsid w:val="003349DC"/>
    <w:rsid w:val="00334A9A"/>
    <w:rsid w:val="00334CB6"/>
    <w:rsid w:val="00334D0C"/>
    <w:rsid w:val="00334D23"/>
    <w:rsid w:val="003351AE"/>
    <w:rsid w:val="00335253"/>
    <w:rsid w:val="0033526F"/>
    <w:rsid w:val="00335370"/>
    <w:rsid w:val="003353FE"/>
    <w:rsid w:val="003354BD"/>
    <w:rsid w:val="0033552C"/>
    <w:rsid w:val="003356B3"/>
    <w:rsid w:val="0033572C"/>
    <w:rsid w:val="0033577C"/>
    <w:rsid w:val="003357CE"/>
    <w:rsid w:val="0033583D"/>
    <w:rsid w:val="00335A81"/>
    <w:rsid w:val="00335B5E"/>
    <w:rsid w:val="00335DAC"/>
    <w:rsid w:val="00335ED1"/>
    <w:rsid w:val="00335F15"/>
    <w:rsid w:val="00335FE2"/>
    <w:rsid w:val="00335FE3"/>
    <w:rsid w:val="00336013"/>
    <w:rsid w:val="003360FF"/>
    <w:rsid w:val="0033622D"/>
    <w:rsid w:val="00336231"/>
    <w:rsid w:val="00336510"/>
    <w:rsid w:val="003367DF"/>
    <w:rsid w:val="003367EA"/>
    <w:rsid w:val="003368C2"/>
    <w:rsid w:val="003368D8"/>
    <w:rsid w:val="00336925"/>
    <w:rsid w:val="00336A21"/>
    <w:rsid w:val="00336C06"/>
    <w:rsid w:val="00336C34"/>
    <w:rsid w:val="00336D32"/>
    <w:rsid w:val="00336D37"/>
    <w:rsid w:val="00336F45"/>
    <w:rsid w:val="00336FBD"/>
    <w:rsid w:val="00337160"/>
    <w:rsid w:val="003373A8"/>
    <w:rsid w:val="003373E3"/>
    <w:rsid w:val="003374E3"/>
    <w:rsid w:val="003374F8"/>
    <w:rsid w:val="00337604"/>
    <w:rsid w:val="00337753"/>
    <w:rsid w:val="00337808"/>
    <w:rsid w:val="0033785D"/>
    <w:rsid w:val="003378EA"/>
    <w:rsid w:val="00337905"/>
    <w:rsid w:val="00337B7A"/>
    <w:rsid w:val="00337E2B"/>
    <w:rsid w:val="00337EF8"/>
    <w:rsid w:val="00337F1E"/>
    <w:rsid w:val="00337FA3"/>
    <w:rsid w:val="003400A9"/>
    <w:rsid w:val="00340124"/>
    <w:rsid w:val="00340147"/>
    <w:rsid w:val="003401CD"/>
    <w:rsid w:val="003402AB"/>
    <w:rsid w:val="0034045C"/>
    <w:rsid w:val="003405AE"/>
    <w:rsid w:val="00340602"/>
    <w:rsid w:val="00340727"/>
    <w:rsid w:val="00340735"/>
    <w:rsid w:val="003407E4"/>
    <w:rsid w:val="0034081B"/>
    <w:rsid w:val="0034090E"/>
    <w:rsid w:val="00340A79"/>
    <w:rsid w:val="00340B08"/>
    <w:rsid w:val="00340BD9"/>
    <w:rsid w:val="00340C0A"/>
    <w:rsid w:val="00340C0C"/>
    <w:rsid w:val="00340D1D"/>
    <w:rsid w:val="00340D51"/>
    <w:rsid w:val="00340E6B"/>
    <w:rsid w:val="00340E8D"/>
    <w:rsid w:val="00340F11"/>
    <w:rsid w:val="0034109C"/>
    <w:rsid w:val="003410BA"/>
    <w:rsid w:val="00341296"/>
    <w:rsid w:val="00341313"/>
    <w:rsid w:val="00341557"/>
    <w:rsid w:val="003416A0"/>
    <w:rsid w:val="003417B7"/>
    <w:rsid w:val="00341833"/>
    <w:rsid w:val="0034185E"/>
    <w:rsid w:val="00341872"/>
    <w:rsid w:val="00341878"/>
    <w:rsid w:val="0034194E"/>
    <w:rsid w:val="00341A29"/>
    <w:rsid w:val="00341CF9"/>
    <w:rsid w:val="00341E6D"/>
    <w:rsid w:val="00341EC9"/>
    <w:rsid w:val="00341FDA"/>
    <w:rsid w:val="00342015"/>
    <w:rsid w:val="00342165"/>
    <w:rsid w:val="003422B0"/>
    <w:rsid w:val="003423C7"/>
    <w:rsid w:val="003424A0"/>
    <w:rsid w:val="003424E5"/>
    <w:rsid w:val="003425DF"/>
    <w:rsid w:val="003425E1"/>
    <w:rsid w:val="00342803"/>
    <w:rsid w:val="00342841"/>
    <w:rsid w:val="003428BA"/>
    <w:rsid w:val="003429B2"/>
    <w:rsid w:val="00342A60"/>
    <w:rsid w:val="00342A75"/>
    <w:rsid w:val="00342AB3"/>
    <w:rsid w:val="00342CBB"/>
    <w:rsid w:val="00342D1B"/>
    <w:rsid w:val="00342DDC"/>
    <w:rsid w:val="00342FBC"/>
    <w:rsid w:val="0034324D"/>
    <w:rsid w:val="00343338"/>
    <w:rsid w:val="00343431"/>
    <w:rsid w:val="00343527"/>
    <w:rsid w:val="003436D4"/>
    <w:rsid w:val="00343723"/>
    <w:rsid w:val="0034375A"/>
    <w:rsid w:val="0034379D"/>
    <w:rsid w:val="003439F6"/>
    <w:rsid w:val="00343B61"/>
    <w:rsid w:val="00343C9E"/>
    <w:rsid w:val="00343CB0"/>
    <w:rsid w:val="00343D32"/>
    <w:rsid w:val="00343DED"/>
    <w:rsid w:val="00343E5A"/>
    <w:rsid w:val="00343E5D"/>
    <w:rsid w:val="00343E69"/>
    <w:rsid w:val="00343E8C"/>
    <w:rsid w:val="00343E98"/>
    <w:rsid w:val="00343FCE"/>
    <w:rsid w:val="00344053"/>
    <w:rsid w:val="003440C4"/>
    <w:rsid w:val="0034410F"/>
    <w:rsid w:val="00344182"/>
    <w:rsid w:val="0034419E"/>
    <w:rsid w:val="003441F1"/>
    <w:rsid w:val="00344359"/>
    <w:rsid w:val="003443A7"/>
    <w:rsid w:val="003444E4"/>
    <w:rsid w:val="00344603"/>
    <w:rsid w:val="00344628"/>
    <w:rsid w:val="00344645"/>
    <w:rsid w:val="00344716"/>
    <w:rsid w:val="00344774"/>
    <w:rsid w:val="00344983"/>
    <w:rsid w:val="00344A10"/>
    <w:rsid w:val="00344A29"/>
    <w:rsid w:val="00344A35"/>
    <w:rsid w:val="00344BEA"/>
    <w:rsid w:val="00344F4A"/>
    <w:rsid w:val="003454A0"/>
    <w:rsid w:val="003454B3"/>
    <w:rsid w:val="00345553"/>
    <w:rsid w:val="003456E3"/>
    <w:rsid w:val="003457C2"/>
    <w:rsid w:val="0034581E"/>
    <w:rsid w:val="0034591D"/>
    <w:rsid w:val="0034593D"/>
    <w:rsid w:val="00345955"/>
    <w:rsid w:val="00345B5A"/>
    <w:rsid w:val="00345DAA"/>
    <w:rsid w:val="00345E32"/>
    <w:rsid w:val="00345E95"/>
    <w:rsid w:val="00345ED9"/>
    <w:rsid w:val="00345FCC"/>
    <w:rsid w:val="003460F3"/>
    <w:rsid w:val="00346192"/>
    <w:rsid w:val="00346319"/>
    <w:rsid w:val="003463D1"/>
    <w:rsid w:val="003463D8"/>
    <w:rsid w:val="00346434"/>
    <w:rsid w:val="0034646D"/>
    <w:rsid w:val="00346482"/>
    <w:rsid w:val="003465FE"/>
    <w:rsid w:val="003466E8"/>
    <w:rsid w:val="00346813"/>
    <w:rsid w:val="0034693D"/>
    <w:rsid w:val="00346AEA"/>
    <w:rsid w:val="00346C66"/>
    <w:rsid w:val="00346D76"/>
    <w:rsid w:val="00346DAF"/>
    <w:rsid w:val="00346DCC"/>
    <w:rsid w:val="00346EF3"/>
    <w:rsid w:val="00346F30"/>
    <w:rsid w:val="0034714C"/>
    <w:rsid w:val="0034714F"/>
    <w:rsid w:val="00347249"/>
    <w:rsid w:val="003472D3"/>
    <w:rsid w:val="0034746B"/>
    <w:rsid w:val="003474EA"/>
    <w:rsid w:val="003476EA"/>
    <w:rsid w:val="003477AD"/>
    <w:rsid w:val="0034797B"/>
    <w:rsid w:val="00347BE5"/>
    <w:rsid w:val="00347D85"/>
    <w:rsid w:val="00347F04"/>
    <w:rsid w:val="0035005E"/>
    <w:rsid w:val="00350354"/>
    <w:rsid w:val="003505D6"/>
    <w:rsid w:val="003506A6"/>
    <w:rsid w:val="003507DD"/>
    <w:rsid w:val="003508BE"/>
    <w:rsid w:val="003509DC"/>
    <w:rsid w:val="003509DE"/>
    <w:rsid w:val="00350A6A"/>
    <w:rsid w:val="00350A9B"/>
    <w:rsid w:val="00350B03"/>
    <w:rsid w:val="00350C0E"/>
    <w:rsid w:val="00350C95"/>
    <w:rsid w:val="00350D2D"/>
    <w:rsid w:val="00350D64"/>
    <w:rsid w:val="00350D99"/>
    <w:rsid w:val="00350E31"/>
    <w:rsid w:val="0035101F"/>
    <w:rsid w:val="00351124"/>
    <w:rsid w:val="00351297"/>
    <w:rsid w:val="00351347"/>
    <w:rsid w:val="00351632"/>
    <w:rsid w:val="0035167A"/>
    <w:rsid w:val="0035167E"/>
    <w:rsid w:val="003517CA"/>
    <w:rsid w:val="00351831"/>
    <w:rsid w:val="00351872"/>
    <w:rsid w:val="00351985"/>
    <w:rsid w:val="00351986"/>
    <w:rsid w:val="00351A02"/>
    <w:rsid w:val="00351A42"/>
    <w:rsid w:val="00351AC1"/>
    <w:rsid w:val="00351C93"/>
    <w:rsid w:val="00351D09"/>
    <w:rsid w:val="00351D37"/>
    <w:rsid w:val="0035202F"/>
    <w:rsid w:val="003521A2"/>
    <w:rsid w:val="003522E0"/>
    <w:rsid w:val="003523B0"/>
    <w:rsid w:val="003524BA"/>
    <w:rsid w:val="003525E2"/>
    <w:rsid w:val="0035267F"/>
    <w:rsid w:val="003526CE"/>
    <w:rsid w:val="0035280A"/>
    <w:rsid w:val="0035284A"/>
    <w:rsid w:val="00352B39"/>
    <w:rsid w:val="00352B52"/>
    <w:rsid w:val="00352B55"/>
    <w:rsid w:val="00352BB2"/>
    <w:rsid w:val="00352DCB"/>
    <w:rsid w:val="00352E40"/>
    <w:rsid w:val="00352F97"/>
    <w:rsid w:val="003530FE"/>
    <w:rsid w:val="00353120"/>
    <w:rsid w:val="00353135"/>
    <w:rsid w:val="00353173"/>
    <w:rsid w:val="003532EE"/>
    <w:rsid w:val="0035330A"/>
    <w:rsid w:val="00353445"/>
    <w:rsid w:val="00353598"/>
    <w:rsid w:val="00353A75"/>
    <w:rsid w:val="00353BCF"/>
    <w:rsid w:val="00353E86"/>
    <w:rsid w:val="00353F04"/>
    <w:rsid w:val="00354193"/>
    <w:rsid w:val="003541E7"/>
    <w:rsid w:val="00354291"/>
    <w:rsid w:val="00354459"/>
    <w:rsid w:val="003544C0"/>
    <w:rsid w:val="003547F2"/>
    <w:rsid w:val="003547FA"/>
    <w:rsid w:val="00354804"/>
    <w:rsid w:val="003548F3"/>
    <w:rsid w:val="003548FE"/>
    <w:rsid w:val="0035491D"/>
    <w:rsid w:val="003549E2"/>
    <w:rsid w:val="00354F0A"/>
    <w:rsid w:val="00355088"/>
    <w:rsid w:val="003550A4"/>
    <w:rsid w:val="003550BA"/>
    <w:rsid w:val="00355171"/>
    <w:rsid w:val="003552DA"/>
    <w:rsid w:val="0035537A"/>
    <w:rsid w:val="003553B9"/>
    <w:rsid w:val="0035548C"/>
    <w:rsid w:val="003554B9"/>
    <w:rsid w:val="003554D2"/>
    <w:rsid w:val="003555EA"/>
    <w:rsid w:val="00355786"/>
    <w:rsid w:val="003557DC"/>
    <w:rsid w:val="0035580D"/>
    <w:rsid w:val="00355877"/>
    <w:rsid w:val="0035588D"/>
    <w:rsid w:val="00355922"/>
    <w:rsid w:val="00355985"/>
    <w:rsid w:val="00355A14"/>
    <w:rsid w:val="00355D0B"/>
    <w:rsid w:val="00355DC1"/>
    <w:rsid w:val="00356154"/>
    <w:rsid w:val="00356254"/>
    <w:rsid w:val="003562AC"/>
    <w:rsid w:val="0035630D"/>
    <w:rsid w:val="0035631B"/>
    <w:rsid w:val="003565E0"/>
    <w:rsid w:val="00356642"/>
    <w:rsid w:val="00356695"/>
    <w:rsid w:val="003566BE"/>
    <w:rsid w:val="00356887"/>
    <w:rsid w:val="00356910"/>
    <w:rsid w:val="00356915"/>
    <w:rsid w:val="003569FD"/>
    <w:rsid w:val="00356A53"/>
    <w:rsid w:val="00356AEA"/>
    <w:rsid w:val="00356B2B"/>
    <w:rsid w:val="00356B37"/>
    <w:rsid w:val="00356C9E"/>
    <w:rsid w:val="00356D94"/>
    <w:rsid w:val="00356E75"/>
    <w:rsid w:val="00356EE5"/>
    <w:rsid w:val="00356F02"/>
    <w:rsid w:val="00356F3E"/>
    <w:rsid w:val="00356F5D"/>
    <w:rsid w:val="003570D8"/>
    <w:rsid w:val="0035729D"/>
    <w:rsid w:val="00357340"/>
    <w:rsid w:val="003574E5"/>
    <w:rsid w:val="0035766F"/>
    <w:rsid w:val="003576E5"/>
    <w:rsid w:val="0035779F"/>
    <w:rsid w:val="003577D3"/>
    <w:rsid w:val="00357803"/>
    <w:rsid w:val="0035781A"/>
    <w:rsid w:val="0035786D"/>
    <w:rsid w:val="00357911"/>
    <w:rsid w:val="0035797B"/>
    <w:rsid w:val="00357AFE"/>
    <w:rsid w:val="00357B39"/>
    <w:rsid w:val="00357B5B"/>
    <w:rsid w:val="00357CB5"/>
    <w:rsid w:val="00357D38"/>
    <w:rsid w:val="00357E8C"/>
    <w:rsid w:val="00357F60"/>
    <w:rsid w:val="00357FED"/>
    <w:rsid w:val="003600B2"/>
    <w:rsid w:val="003600C0"/>
    <w:rsid w:val="0036016B"/>
    <w:rsid w:val="003602DC"/>
    <w:rsid w:val="0036040E"/>
    <w:rsid w:val="0036043C"/>
    <w:rsid w:val="00360517"/>
    <w:rsid w:val="00360532"/>
    <w:rsid w:val="00360809"/>
    <w:rsid w:val="00360810"/>
    <w:rsid w:val="00360B57"/>
    <w:rsid w:val="00360C53"/>
    <w:rsid w:val="00360D49"/>
    <w:rsid w:val="00360EB5"/>
    <w:rsid w:val="00360F43"/>
    <w:rsid w:val="00360FBF"/>
    <w:rsid w:val="00360FFA"/>
    <w:rsid w:val="003612C0"/>
    <w:rsid w:val="003612F7"/>
    <w:rsid w:val="00361328"/>
    <w:rsid w:val="003614C5"/>
    <w:rsid w:val="003618DA"/>
    <w:rsid w:val="00361925"/>
    <w:rsid w:val="00361933"/>
    <w:rsid w:val="0036198F"/>
    <w:rsid w:val="003619A0"/>
    <w:rsid w:val="003619F0"/>
    <w:rsid w:val="00361A0A"/>
    <w:rsid w:val="00361A44"/>
    <w:rsid w:val="00361A6E"/>
    <w:rsid w:val="00361B8D"/>
    <w:rsid w:val="00361D06"/>
    <w:rsid w:val="00361D3F"/>
    <w:rsid w:val="00361EA6"/>
    <w:rsid w:val="00361EBB"/>
    <w:rsid w:val="00361ECC"/>
    <w:rsid w:val="00361EF8"/>
    <w:rsid w:val="00361F15"/>
    <w:rsid w:val="00361F86"/>
    <w:rsid w:val="0036214E"/>
    <w:rsid w:val="0036224B"/>
    <w:rsid w:val="0036229A"/>
    <w:rsid w:val="003622F6"/>
    <w:rsid w:val="0036241B"/>
    <w:rsid w:val="0036263C"/>
    <w:rsid w:val="00362660"/>
    <w:rsid w:val="003628EC"/>
    <w:rsid w:val="0036292B"/>
    <w:rsid w:val="0036293A"/>
    <w:rsid w:val="0036296C"/>
    <w:rsid w:val="003629D0"/>
    <w:rsid w:val="00362BD5"/>
    <w:rsid w:val="00362DD7"/>
    <w:rsid w:val="00362E6D"/>
    <w:rsid w:val="00362E85"/>
    <w:rsid w:val="00362FD3"/>
    <w:rsid w:val="00363180"/>
    <w:rsid w:val="0036324D"/>
    <w:rsid w:val="00363390"/>
    <w:rsid w:val="0036340E"/>
    <w:rsid w:val="003636B6"/>
    <w:rsid w:val="00363736"/>
    <w:rsid w:val="00363873"/>
    <w:rsid w:val="003638D2"/>
    <w:rsid w:val="003639FB"/>
    <w:rsid w:val="00363ABB"/>
    <w:rsid w:val="00363BF7"/>
    <w:rsid w:val="00363CA0"/>
    <w:rsid w:val="00363F0C"/>
    <w:rsid w:val="00363FBF"/>
    <w:rsid w:val="00364049"/>
    <w:rsid w:val="00364073"/>
    <w:rsid w:val="003641FC"/>
    <w:rsid w:val="00364264"/>
    <w:rsid w:val="003642AB"/>
    <w:rsid w:val="003642B6"/>
    <w:rsid w:val="003643E9"/>
    <w:rsid w:val="0036456C"/>
    <w:rsid w:val="00364ADE"/>
    <w:rsid w:val="00364C4A"/>
    <w:rsid w:val="00364D6D"/>
    <w:rsid w:val="00364D9D"/>
    <w:rsid w:val="00364FD1"/>
    <w:rsid w:val="003650F3"/>
    <w:rsid w:val="003652B9"/>
    <w:rsid w:val="00365372"/>
    <w:rsid w:val="00365484"/>
    <w:rsid w:val="00365574"/>
    <w:rsid w:val="00365743"/>
    <w:rsid w:val="00365746"/>
    <w:rsid w:val="0036578A"/>
    <w:rsid w:val="00365835"/>
    <w:rsid w:val="00365ABB"/>
    <w:rsid w:val="00365C78"/>
    <w:rsid w:val="00365F20"/>
    <w:rsid w:val="00365F44"/>
    <w:rsid w:val="00365F75"/>
    <w:rsid w:val="00365F7E"/>
    <w:rsid w:val="0036601F"/>
    <w:rsid w:val="00366028"/>
    <w:rsid w:val="003660CE"/>
    <w:rsid w:val="003660F2"/>
    <w:rsid w:val="00366137"/>
    <w:rsid w:val="0036615E"/>
    <w:rsid w:val="0036633A"/>
    <w:rsid w:val="00366453"/>
    <w:rsid w:val="00366531"/>
    <w:rsid w:val="003665A5"/>
    <w:rsid w:val="00366655"/>
    <w:rsid w:val="00366729"/>
    <w:rsid w:val="0036695B"/>
    <w:rsid w:val="00366986"/>
    <w:rsid w:val="003669A1"/>
    <w:rsid w:val="00366AD5"/>
    <w:rsid w:val="00366BF0"/>
    <w:rsid w:val="00366C96"/>
    <w:rsid w:val="00366CCD"/>
    <w:rsid w:val="00366F6F"/>
    <w:rsid w:val="003670CF"/>
    <w:rsid w:val="003671BA"/>
    <w:rsid w:val="00367238"/>
    <w:rsid w:val="00367245"/>
    <w:rsid w:val="00367568"/>
    <w:rsid w:val="00367623"/>
    <w:rsid w:val="0036777C"/>
    <w:rsid w:val="003678EB"/>
    <w:rsid w:val="00367A84"/>
    <w:rsid w:val="00367B7F"/>
    <w:rsid w:val="00367B88"/>
    <w:rsid w:val="00367BA3"/>
    <w:rsid w:val="00367C33"/>
    <w:rsid w:val="00367D71"/>
    <w:rsid w:val="00367DF9"/>
    <w:rsid w:val="00367EC2"/>
    <w:rsid w:val="00367F6D"/>
    <w:rsid w:val="00367FFE"/>
    <w:rsid w:val="003700DA"/>
    <w:rsid w:val="0037019E"/>
    <w:rsid w:val="00370307"/>
    <w:rsid w:val="0037035D"/>
    <w:rsid w:val="00370376"/>
    <w:rsid w:val="0037068A"/>
    <w:rsid w:val="003706CD"/>
    <w:rsid w:val="003707D2"/>
    <w:rsid w:val="003707D3"/>
    <w:rsid w:val="00370821"/>
    <w:rsid w:val="00370849"/>
    <w:rsid w:val="003709A2"/>
    <w:rsid w:val="00370A18"/>
    <w:rsid w:val="00370AA1"/>
    <w:rsid w:val="00370ABB"/>
    <w:rsid w:val="00370C46"/>
    <w:rsid w:val="00370E1A"/>
    <w:rsid w:val="00370E2E"/>
    <w:rsid w:val="00370EEB"/>
    <w:rsid w:val="00370FBC"/>
    <w:rsid w:val="00371011"/>
    <w:rsid w:val="003710ED"/>
    <w:rsid w:val="00371489"/>
    <w:rsid w:val="00371634"/>
    <w:rsid w:val="0037163A"/>
    <w:rsid w:val="003716B7"/>
    <w:rsid w:val="003716E1"/>
    <w:rsid w:val="00371760"/>
    <w:rsid w:val="003717D0"/>
    <w:rsid w:val="003717E7"/>
    <w:rsid w:val="00371874"/>
    <w:rsid w:val="00371968"/>
    <w:rsid w:val="0037197E"/>
    <w:rsid w:val="003719CD"/>
    <w:rsid w:val="003719F3"/>
    <w:rsid w:val="00371D3A"/>
    <w:rsid w:val="00371DBE"/>
    <w:rsid w:val="003720EE"/>
    <w:rsid w:val="00372192"/>
    <w:rsid w:val="00372263"/>
    <w:rsid w:val="0037236E"/>
    <w:rsid w:val="0037241C"/>
    <w:rsid w:val="0037241F"/>
    <w:rsid w:val="003725AA"/>
    <w:rsid w:val="003727F3"/>
    <w:rsid w:val="003728BF"/>
    <w:rsid w:val="003729BE"/>
    <w:rsid w:val="00372A5B"/>
    <w:rsid w:val="00372BAF"/>
    <w:rsid w:val="00372BF1"/>
    <w:rsid w:val="00372CBD"/>
    <w:rsid w:val="00372DAD"/>
    <w:rsid w:val="003731C1"/>
    <w:rsid w:val="003732B4"/>
    <w:rsid w:val="00373491"/>
    <w:rsid w:val="00373596"/>
    <w:rsid w:val="00373766"/>
    <w:rsid w:val="003737AC"/>
    <w:rsid w:val="0037387B"/>
    <w:rsid w:val="003739DD"/>
    <w:rsid w:val="00373A9E"/>
    <w:rsid w:val="00373A9F"/>
    <w:rsid w:val="00373CE0"/>
    <w:rsid w:val="0037415B"/>
    <w:rsid w:val="003741A2"/>
    <w:rsid w:val="003742C5"/>
    <w:rsid w:val="00374419"/>
    <w:rsid w:val="00374452"/>
    <w:rsid w:val="003746D2"/>
    <w:rsid w:val="0037476F"/>
    <w:rsid w:val="003747C8"/>
    <w:rsid w:val="0037486A"/>
    <w:rsid w:val="003748F5"/>
    <w:rsid w:val="00374943"/>
    <w:rsid w:val="003749D2"/>
    <w:rsid w:val="00374AC8"/>
    <w:rsid w:val="00374AE4"/>
    <w:rsid w:val="00374BCA"/>
    <w:rsid w:val="00374C44"/>
    <w:rsid w:val="00374D75"/>
    <w:rsid w:val="00374DC6"/>
    <w:rsid w:val="00374E34"/>
    <w:rsid w:val="00374F7F"/>
    <w:rsid w:val="0037526B"/>
    <w:rsid w:val="003752CB"/>
    <w:rsid w:val="003753CE"/>
    <w:rsid w:val="00375411"/>
    <w:rsid w:val="0037548B"/>
    <w:rsid w:val="003754F6"/>
    <w:rsid w:val="0037552E"/>
    <w:rsid w:val="00375693"/>
    <w:rsid w:val="003757D1"/>
    <w:rsid w:val="003759D5"/>
    <w:rsid w:val="00375A73"/>
    <w:rsid w:val="00375D31"/>
    <w:rsid w:val="00375E08"/>
    <w:rsid w:val="00375EA8"/>
    <w:rsid w:val="00376036"/>
    <w:rsid w:val="00376051"/>
    <w:rsid w:val="0037610B"/>
    <w:rsid w:val="00376114"/>
    <w:rsid w:val="003761E5"/>
    <w:rsid w:val="00376407"/>
    <w:rsid w:val="00376597"/>
    <w:rsid w:val="003769C6"/>
    <w:rsid w:val="00376AB5"/>
    <w:rsid w:val="00376B14"/>
    <w:rsid w:val="00376B3B"/>
    <w:rsid w:val="00376E5A"/>
    <w:rsid w:val="00376EA4"/>
    <w:rsid w:val="00376F2E"/>
    <w:rsid w:val="003772B1"/>
    <w:rsid w:val="0037738C"/>
    <w:rsid w:val="00377600"/>
    <w:rsid w:val="0037778A"/>
    <w:rsid w:val="00377829"/>
    <w:rsid w:val="00377924"/>
    <w:rsid w:val="00377A9C"/>
    <w:rsid w:val="00377CAD"/>
    <w:rsid w:val="00377D5A"/>
    <w:rsid w:val="00377D9A"/>
    <w:rsid w:val="00377D9D"/>
    <w:rsid w:val="00377DF0"/>
    <w:rsid w:val="00377E4F"/>
    <w:rsid w:val="00377E90"/>
    <w:rsid w:val="00377F68"/>
    <w:rsid w:val="0038015D"/>
    <w:rsid w:val="0038016E"/>
    <w:rsid w:val="00380265"/>
    <w:rsid w:val="0038035C"/>
    <w:rsid w:val="00380364"/>
    <w:rsid w:val="00380383"/>
    <w:rsid w:val="0038041A"/>
    <w:rsid w:val="0038047C"/>
    <w:rsid w:val="003806A5"/>
    <w:rsid w:val="003806FC"/>
    <w:rsid w:val="00380746"/>
    <w:rsid w:val="00380785"/>
    <w:rsid w:val="003808DC"/>
    <w:rsid w:val="00380A18"/>
    <w:rsid w:val="00380A92"/>
    <w:rsid w:val="00380AD7"/>
    <w:rsid w:val="00380B0B"/>
    <w:rsid w:val="00380BB9"/>
    <w:rsid w:val="00380C08"/>
    <w:rsid w:val="00380C56"/>
    <w:rsid w:val="00380D7D"/>
    <w:rsid w:val="00380DC4"/>
    <w:rsid w:val="00380E94"/>
    <w:rsid w:val="00380F53"/>
    <w:rsid w:val="00380FA3"/>
    <w:rsid w:val="003810ED"/>
    <w:rsid w:val="00381211"/>
    <w:rsid w:val="00381256"/>
    <w:rsid w:val="0038126C"/>
    <w:rsid w:val="003813B0"/>
    <w:rsid w:val="0038147F"/>
    <w:rsid w:val="003814BB"/>
    <w:rsid w:val="003814E4"/>
    <w:rsid w:val="00381509"/>
    <w:rsid w:val="00381562"/>
    <w:rsid w:val="00381750"/>
    <w:rsid w:val="00381904"/>
    <w:rsid w:val="00381D48"/>
    <w:rsid w:val="00381D49"/>
    <w:rsid w:val="00381D8B"/>
    <w:rsid w:val="00381F58"/>
    <w:rsid w:val="003820DB"/>
    <w:rsid w:val="00382266"/>
    <w:rsid w:val="00382270"/>
    <w:rsid w:val="003822A7"/>
    <w:rsid w:val="003822B1"/>
    <w:rsid w:val="0038235E"/>
    <w:rsid w:val="00382474"/>
    <w:rsid w:val="00382543"/>
    <w:rsid w:val="003825DA"/>
    <w:rsid w:val="0038264A"/>
    <w:rsid w:val="00382681"/>
    <w:rsid w:val="003826EE"/>
    <w:rsid w:val="00382876"/>
    <w:rsid w:val="00382A53"/>
    <w:rsid w:val="00382AC5"/>
    <w:rsid w:val="00382AC7"/>
    <w:rsid w:val="00382AE5"/>
    <w:rsid w:val="00382B0C"/>
    <w:rsid w:val="00382B25"/>
    <w:rsid w:val="00382C1B"/>
    <w:rsid w:val="00382C3C"/>
    <w:rsid w:val="00382D6E"/>
    <w:rsid w:val="00382FE3"/>
    <w:rsid w:val="00383170"/>
    <w:rsid w:val="003832AD"/>
    <w:rsid w:val="003833B5"/>
    <w:rsid w:val="00383425"/>
    <w:rsid w:val="003834FD"/>
    <w:rsid w:val="0038352D"/>
    <w:rsid w:val="003835C4"/>
    <w:rsid w:val="003835FF"/>
    <w:rsid w:val="0038378B"/>
    <w:rsid w:val="003837E2"/>
    <w:rsid w:val="00383969"/>
    <w:rsid w:val="00383BF4"/>
    <w:rsid w:val="00383C4C"/>
    <w:rsid w:val="00383E4B"/>
    <w:rsid w:val="00383EBD"/>
    <w:rsid w:val="003840CD"/>
    <w:rsid w:val="00384149"/>
    <w:rsid w:val="0038417A"/>
    <w:rsid w:val="003844A3"/>
    <w:rsid w:val="00384545"/>
    <w:rsid w:val="00384584"/>
    <w:rsid w:val="00384711"/>
    <w:rsid w:val="003847ED"/>
    <w:rsid w:val="00384A9A"/>
    <w:rsid w:val="00384ADE"/>
    <w:rsid w:val="00384C2A"/>
    <w:rsid w:val="00384CCA"/>
    <w:rsid w:val="00384D93"/>
    <w:rsid w:val="00384DB9"/>
    <w:rsid w:val="00384E16"/>
    <w:rsid w:val="00384FAA"/>
    <w:rsid w:val="00385026"/>
    <w:rsid w:val="0038502E"/>
    <w:rsid w:val="00385113"/>
    <w:rsid w:val="00385144"/>
    <w:rsid w:val="003852AC"/>
    <w:rsid w:val="0038537B"/>
    <w:rsid w:val="0038539A"/>
    <w:rsid w:val="00385422"/>
    <w:rsid w:val="003854BA"/>
    <w:rsid w:val="003854E3"/>
    <w:rsid w:val="003856BD"/>
    <w:rsid w:val="0038574D"/>
    <w:rsid w:val="00385BA4"/>
    <w:rsid w:val="00385D84"/>
    <w:rsid w:val="00385E08"/>
    <w:rsid w:val="003860FC"/>
    <w:rsid w:val="00386216"/>
    <w:rsid w:val="00386406"/>
    <w:rsid w:val="0038654D"/>
    <w:rsid w:val="00386678"/>
    <w:rsid w:val="003866F8"/>
    <w:rsid w:val="00386858"/>
    <w:rsid w:val="00386AB1"/>
    <w:rsid w:val="00386BF0"/>
    <w:rsid w:val="00386DBB"/>
    <w:rsid w:val="00386DC0"/>
    <w:rsid w:val="00386DDB"/>
    <w:rsid w:val="00386EE2"/>
    <w:rsid w:val="00386F36"/>
    <w:rsid w:val="0038708F"/>
    <w:rsid w:val="003870F2"/>
    <w:rsid w:val="0038715D"/>
    <w:rsid w:val="003872CE"/>
    <w:rsid w:val="00387493"/>
    <w:rsid w:val="003874BA"/>
    <w:rsid w:val="00387553"/>
    <w:rsid w:val="003875A6"/>
    <w:rsid w:val="003875D3"/>
    <w:rsid w:val="0038764D"/>
    <w:rsid w:val="00387709"/>
    <w:rsid w:val="0038775B"/>
    <w:rsid w:val="0038792E"/>
    <w:rsid w:val="0038797A"/>
    <w:rsid w:val="00387A17"/>
    <w:rsid w:val="00387A4A"/>
    <w:rsid w:val="00387E56"/>
    <w:rsid w:val="00387E81"/>
    <w:rsid w:val="00387EC7"/>
    <w:rsid w:val="003900BD"/>
    <w:rsid w:val="003900D8"/>
    <w:rsid w:val="003901C2"/>
    <w:rsid w:val="0039027E"/>
    <w:rsid w:val="00390486"/>
    <w:rsid w:val="0039055D"/>
    <w:rsid w:val="00390697"/>
    <w:rsid w:val="00390760"/>
    <w:rsid w:val="00390850"/>
    <w:rsid w:val="00390892"/>
    <w:rsid w:val="0039095F"/>
    <w:rsid w:val="00390ACC"/>
    <w:rsid w:val="00390D5C"/>
    <w:rsid w:val="00390F40"/>
    <w:rsid w:val="00390FB5"/>
    <w:rsid w:val="00391078"/>
    <w:rsid w:val="0039121A"/>
    <w:rsid w:val="0039121E"/>
    <w:rsid w:val="0039135F"/>
    <w:rsid w:val="0039137C"/>
    <w:rsid w:val="00391394"/>
    <w:rsid w:val="0039144C"/>
    <w:rsid w:val="00391514"/>
    <w:rsid w:val="00391737"/>
    <w:rsid w:val="0039177A"/>
    <w:rsid w:val="003918C3"/>
    <w:rsid w:val="003918DC"/>
    <w:rsid w:val="00391B61"/>
    <w:rsid w:val="00391BA0"/>
    <w:rsid w:val="00391C68"/>
    <w:rsid w:val="00391CA0"/>
    <w:rsid w:val="003920F1"/>
    <w:rsid w:val="003921CD"/>
    <w:rsid w:val="00392268"/>
    <w:rsid w:val="00392270"/>
    <w:rsid w:val="003923EC"/>
    <w:rsid w:val="003929CD"/>
    <w:rsid w:val="003929D2"/>
    <w:rsid w:val="00392AA6"/>
    <w:rsid w:val="00392BC2"/>
    <w:rsid w:val="00392C7B"/>
    <w:rsid w:val="00392CCA"/>
    <w:rsid w:val="00392D65"/>
    <w:rsid w:val="00392E5D"/>
    <w:rsid w:val="00392F1B"/>
    <w:rsid w:val="00393029"/>
    <w:rsid w:val="0039316D"/>
    <w:rsid w:val="003932EE"/>
    <w:rsid w:val="003933C5"/>
    <w:rsid w:val="003934FA"/>
    <w:rsid w:val="003935C1"/>
    <w:rsid w:val="003938D1"/>
    <w:rsid w:val="003938F8"/>
    <w:rsid w:val="003939B6"/>
    <w:rsid w:val="00393AD7"/>
    <w:rsid w:val="00393E3E"/>
    <w:rsid w:val="00393F2E"/>
    <w:rsid w:val="00393F81"/>
    <w:rsid w:val="00393FA5"/>
    <w:rsid w:val="00393FA6"/>
    <w:rsid w:val="0039406E"/>
    <w:rsid w:val="003940AF"/>
    <w:rsid w:val="0039411F"/>
    <w:rsid w:val="0039413F"/>
    <w:rsid w:val="00394278"/>
    <w:rsid w:val="00394475"/>
    <w:rsid w:val="00394580"/>
    <w:rsid w:val="0039458C"/>
    <w:rsid w:val="003946B9"/>
    <w:rsid w:val="00394A41"/>
    <w:rsid w:val="00394B51"/>
    <w:rsid w:val="00394BA9"/>
    <w:rsid w:val="00394C2C"/>
    <w:rsid w:val="00394D19"/>
    <w:rsid w:val="0039523D"/>
    <w:rsid w:val="0039526E"/>
    <w:rsid w:val="003953BE"/>
    <w:rsid w:val="003954D5"/>
    <w:rsid w:val="003956A2"/>
    <w:rsid w:val="003956B7"/>
    <w:rsid w:val="0039579C"/>
    <w:rsid w:val="003957BB"/>
    <w:rsid w:val="0039582C"/>
    <w:rsid w:val="003958F0"/>
    <w:rsid w:val="00395D05"/>
    <w:rsid w:val="00395E82"/>
    <w:rsid w:val="00396063"/>
    <w:rsid w:val="0039608E"/>
    <w:rsid w:val="003960DB"/>
    <w:rsid w:val="00396101"/>
    <w:rsid w:val="003962CD"/>
    <w:rsid w:val="003963FF"/>
    <w:rsid w:val="00396584"/>
    <w:rsid w:val="003965C0"/>
    <w:rsid w:val="00396605"/>
    <w:rsid w:val="00396634"/>
    <w:rsid w:val="0039663A"/>
    <w:rsid w:val="003967F5"/>
    <w:rsid w:val="00396894"/>
    <w:rsid w:val="00396935"/>
    <w:rsid w:val="00396997"/>
    <w:rsid w:val="00396A4C"/>
    <w:rsid w:val="00396D54"/>
    <w:rsid w:val="00396D87"/>
    <w:rsid w:val="00396E57"/>
    <w:rsid w:val="00396E67"/>
    <w:rsid w:val="00396EAA"/>
    <w:rsid w:val="00396F7D"/>
    <w:rsid w:val="00396F83"/>
    <w:rsid w:val="00396FDD"/>
    <w:rsid w:val="003970D8"/>
    <w:rsid w:val="00397135"/>
    <w:rsid w:val="003971A0"/>
    <w:rsid w:val="00397212"/>
    <w:rsid w:val="003972C0"/>
    <w:rsid w:val="00397301"/>
    <w:rsid w:val="003973E8"/>
    <w:rsid w:val="0039743E"/>
    <w:rsid w:val="0039764E"/>
    <w:rsid w:val="003976BC"/>
    <w:rsid w:val="00397729"/>
    <w:rsid w:val="0039779A"/>
    <w:rsid w:val="0039783E"/>
    <w:rsid w:val="0039791F"/>
    <w:rsid w:val="00397A8D"/>
    <w:rsid w:val="00397B50"/>
    <w:rsid w:val="00397BF0"/>
    <w:rsid w:val="00397CAC"/>
    <w:rsid w:val="00397CF3"/>
    <w:rsid w:val="00397D13"/>
    <w:rsid w:val="00397D16"/>
    <w:rsid w:val="00397F5D"/>
    <w:rsid w:val="00397F72"/>
    <w:rsid w:val="003A00AE"/>
    <w:rsid w:val="003A00DB"/>
    <w:rsid w:val="003A0194"/>
    <w:rsid w:val="003A0254"/>
    <w:rsid w:val="003A034F"/>
    <w:rsid w:val="003A035F"/>
    <w:rsid w:val="003A0366"/>
    <w:rsid w:val="003A03EC"/>
    <w:rsid w:val="003A0403"/>
    <w:rsid w:val="003A06D2"/>
    <w:rsid w:val="003A0906"/>
    <w:rsid w:val="003A091A"/>
    <w:rsid w:val="003A0A41"/>
    <w:rsid w:val="003A0B32"/>
    <w:rsid w:val="003A0B50"/>
    <w:rsid w:val="003A0D0B"/>
    <w:rsid w:val="003A1163"/>
    <w:rsid w:val="003A11AD"/>
    <w:rsid w:val="003A1301"/>
    <w:rsid w:val="003A1423"/>
    <w:rsid w:val="003A1449"/>
    <w:rsid w:val="003A1451"/>
    <w:rsid w:val="003A14B7"/>
    <w:rsid w:val="003A151E"/>
    <w:rsid w:val="003A152A"/>
    <w:rsid w:val="003A1621"/>
    <w:rsid w:val="003A1D98"/>
    <w:rsid w:val="003A1EE5"/>
    <w:rsid w:val="003A1FB8"/>
    <w:rsid w:val="003A20B3"/>
    <w:rsid w:val="003A23BC"/>
    <w:rsid w:val="003A2474"/>
    <w:rsid w:val="003A24B2"/>
    <w:rsid w:val="003A2663"/>
    <w:rsid w:val="003A2729"/>
    <w:rsid w:val="003A27BB"/>
    <w:rsid w:val="003A27CD"/>
    <w:rsid w:val="003A280A"/>
    <w:rsid w:val="003A2860"/>
    <w:rsid w:val="003A28C8"/>
    <w:rsid w:val="003A297C"/>
    <w:rsid w:val="003A2A90"/>
    <w:rsid w:val="003A2BC1"/>
    <w:rsid w:val="003A2E4F"/>
    <w:rsid w:val="003A2EB3"/>
    <w:rsid w:val="003A2EF2"/>
    <w:rsid w:val="003A2F1F"/>
    <w:rsid w:val="003A2F44"/>
    <w:rsid w:val="003A2FE5"/>
    <w:rsid w:val="003A30CD"/>
    <w:rsid w:val="003A31BF"/>
    <w:rsid w:val="003A31DA"/>
    <w:rsid w:val="003A31F5"/>
    <w:rsid w:val="003A324F"/>
    <w:rsid w:val="003A3266"/>
    <w:rsid w:val="003A3338"/>
    <w:rsid w:val="003A334E"/>
    <w:rsid w:val="003A33A5"/>
    <w:rsid w:val="003A3437"/>
    <w:rsid w:val="003A348A"/>
    <w:rsid w:val="003A348F"/>
    <w:rsid w:val="003A35BF"/>
    <w:rsid w:val="003A35D6"/>
    <w:rsid w:val="003A35D9"/>
    <w:rsid w:val="003A35E0"/>
    <w:rsid w:val="003A3882"/>
    <w:rsid w:val="003A388E"/>
    <w:rsid w:val="003A38E6"/>
    <w:rsid w:val="003A3910"/>
    <w:rsid w:val="003A395A"/>
    <w:rsid w:val="003A39CB"/>
    <w:rsid w:val="003A3A66"/>
    <w:rsid w:val="003A3BD2"/>
    <w:rsid w:val="003A3DEB"/>
    <w:rsid w:val="003A3FF6"/>
    <w:rsid w:val="003A43CA"/>
    <w:rsid w:val="003A4411"/>
    <w:rsid w:val="003A441B"/>
    <w:rsid w:val="003A4473"/>
    <w:rsid w:val="003A4553"/>
    <w:rsid w:val="003A460A"/>
    <w:rsid w:val="003A4615"/>
    <w:rsid w:val="003A4669"/>
    <w:rsid w:val="003A4780"/>
    <w:rsid w:val="003A47B1"/>
    <w:rsid w:val="003A47BD"/>
    <w:rsid w:val="003A491B"/>
    <w:rsid w:val="003A4C1D"/>
    <w:rsid w:val="003A4D57"/>
    <w:rsid w:val="003A4E51"/>
    <w:rsid w:val="003A5077"/>
    <w:rsid w:val="003A54B6"/>
    <w:rsid w:val="003A551D"/>
    <w:rsid w:val="003A55A4"/>
    <w:rsid w:val="003A5614"/>
    <w:rsid w:val="003A5617"/>
    <w:rsid w:val="003A566C"/>
    <w:rsid w:val="003A5674"/>
    <w:rsid w:val="003A56A1"/>
    <w:rsid w:val="003A58B8"/>
    <w:rsid w:val="003A58C5"/>
    <w:rsid w:val="003A5BC5"/>
    <w:rsid w:val="003A5C58"/>
    <w:rsid w:val="003A5C76"/>
    <w:rsid w:val="003A5C82"/>
    <w:rsid w:val="003A5CD6"/>
    <w:rsid w:val="003A5CF2"/>
    <w:rsid w:val="003A5D19"/>
    <w:rsid w:val="003A5D77"/>
    <w:rsid w:val="003A5E4A"/>
    <w:rsid w:val="003A5F4E"/>
    <w:rsid w:val="003A5FA9"/>
    <w:rsid w:val="003A603D"/>
    <w:rsid w:val="003A638C"/>
    <w:rsid w:val="003A64A1"/>
    <w:rsid w:val="003A64DA"/>
    <w:rsid w:val="003A6522"/>
    <w:rsid w:val="003A689C"/>
    <w:rsid w:val="003A68A9"/>
    <w:rsid w:val="003A68AF"/>
    <w:rsid w:val="003A6953"/>
    <w:rsid w:val="003A698A"/>
    <w:rsid w:val="003A69B7"/>
    <w:rsid w:val="003A6A4E"/>
    <w:rsid w:val="003A6A7C"/>
    <w:rsid w:val="003A6AA9"/>
    <w:rsid w:val="003A6B71"/>
    <w:rsid w:val="003A6DDA"/>
    <w:rsid w:val="003A6DED"/>
    <w:rsid w:val="003A6DFE"/>
    <w:rsid w:val="003A6EB8"/>
    <w:rsid w:val="003A7198"/>
    <w:rsid w:val="003A7235"/>
    <w:rsid w:val="003A72FF"/>
    <w:rsid w:val="003A782B"/>
    <w:rsid w:val="003A7883"/>
    <w:rsid w:val="003A78B7"/>
    <w:rsid w:val="003A79C0"/>
    <w:rsid w:val="003A7B69"/>
    <w:rsid w:val="003A7B7A"/>
    <w:rsid w:val="003A7BC5"/>
    <w:rsid w:val="003A7E50"/>
    <w:rsid w:val="003A7F56"/>
    <w:rsid w:val="003B00B2"/>
    <w:rsid w:val="003B03BF"/>
    <w:rsid w:val="003B050A"/>
    <w:rsid w:val="003B061A"/>
    <w:rsid w:val="003B07C7"/>
    <w:rsid w:val="003B0913"/>
    <w:rsid w:val="003B0C79"/>
    <w:rsid w:val="003B0CE3"/>
    <w:rsid w:val="003B0E94"/>
    <w:rsid w:val="003B0E9B"/>
    <w:rsid w:val="003B1253"/>
    <w:rsid w:val="003B127B"/>
    <w:rsid w:val="003B1428"/>
    <w:rsid w:val="003B1620"/>
    <w:rsid w:val="003B1661"/>
    <w:rsid w:val="003B16AC"/>
    <w:rsid w:val="003B1919"/>
    <w:rsid w:val="003B194C"/>
    <w:rsid w:val="003B19B8"/>
    <w:rsid w:val="003B19D8"/>
    <w:rsid w:val="003B1B29"/>
    <w:rsid w:val="003B1BA8"/>
    <w:rsid w:val="003B1BB5"/>
    <w:rsid w:val="003B1C38"/>
    <w:rsid w:val="003B1CCA"/>
    <w:rsid w:val="003B1CE8"/>
    <w:rsid w:val="003B1FA0"/>
    <w:rsid w:val="003B20CA"/>
    <w:rsid w:val="003B2354"/>
    <w:rsid w:val="003B2405"/>
    <w:rsid w:val="003B26EB"/>
    <w:rsid w:val="003B278E"/>
    <w:rsid w:val="003B286F"/>
    <w:rsid w:val="003B28CD"/>
    <w:rsid w:val="003B2A09"/>
    <w:rsid w:val="003B2B6D"/>
    <w:rsid w:val="003B2BA6"/>
    <w:rsid w:val="003B2E43"/>
    <w:rsid w:val="003B2FCF"/>
    <w:rsid w:val="003B2FE2"/>
    <w:rsid w:val="003B3120"/>
    <w:rsid w:val="003B317B"/>
    <w:rsid w:val="003B323A"/>
    <w:rsid w:val="003B3391"/>
    <w:rsid w:val="003B362E"/>
    <w:rsid w:val="003B37F0"/>
    <w:rsid w:val="003B38B1"/>
    <w:rsid w:val="003B39DC"/>
    <w:rsid w:val="003B3B4C"/>
    <w:rsid w:val="003B3B7A"/>
    <w:rsid w:val="003B3C8A"/>
    <w:rsid w:val="003B3D51"/>
    <w:rsid w:val="003B3E36"/>
    <w:rsid w:val="003B3EC4"/>
    <w:rsid w:val="003B3ECF"/>
    <w:rsid w:val="003B3EFB"/>
    <w:rsid w:val="003B3FD2"/>
    <w:rsid w:val="003B403F"/>
    <w:rsid w:val="003B4059"/>
    <w:rsid w:val="003B4407"/>
    <w:rsid w:val="003B440E"/>
    <w:rsid w:val="003B453B"/>
    <w:rsid w:val="003B46C7"/>
    <w:rsid w:val="003B46FC"/>
    <w:rsid w:val="003B4C86"/>
    <w:rsid w:val="003B4DFC"/>
    <w:rsid w:val="003B4E04"/>
    <w:rsid w:val="003B4F00"/>
    <w:rsid w:val="003B5049"/>
    <w:rsid w:val="003B50D8"/>
    <w:rsid w:val="003B518B"/>
    <w:rsid w:val="003B51D0"/>
    <w:rsid w:val="003B5254"/>
    <w:rsid w:val="003B533E"/>
    <w:rsid w:val="003B535D"/>
    <w:rsid w:val="003B5366"/>
    <w:rsid w:val="003B5367"/>
    <w:rsid w:val="003B5411"/>
    <w:rsid w:val="003B555C"/>
    <w:rsid w:val="003B5650"/>
    <w:rsid w:val="003B56E2"/>
    <w:rsid w:val="003B5747"/>
    <w:rsid w:val="003B580F"/>
    <w:rsid w:val="003B5885"/>
    <w:rsid w:val="003B5CF5"/>
    <w:rsid w:val="003B5E96"/>
    <w:rsid w:val="003B5ECB"/>
    <w:rsid w:val="003B5EF6"/>
    <w:rsid w:val="003B6230"/>
    <w:rsid w:val="003B6349"/>
    <w:rsid w:val="003B6377"/>
    <w:rsid w:val="003B63BC"/>
    <w:rsid w:val="003B63DD"/>
    <w:rsid w:val="003B63E0"/>
    <w:rsid w:val="003B642F"/>
    <w:rsid w:val="003B658F"/>
    <w:rsid w:val="003B665C"/>
    <w:rsid w:val="003B673D"/>
    <w:rsid w:val="003B690B"/>
    <w:rsid w:val="003B6914"/>
    <w:rsid w:val="003B6A54"/>
    <w:rsid w:val="003B6A7F"/>
    <w:rsid w:val="003B6A9E"/>
    <w:rsid w:val="003B6B46"/>
    <w:rsid w:val="003B6CEA"/>
    <w:rsid w:val="003B6E98"/>
    <w:rsid w:val="003B6F97"/>
    <w:rsid w:val="003B71ED"/>
    <w:rsid w:val="003B730A"/>
    <w:rsid w:val="003B7629"/>
    <w:rsid w:val="003B7840"/>
    <w:rsid w:val="003B78B1"/>
    <w:rsid w:val="003B78BA"/>
    <w:rsid w:val="003B7A38"/>
    <w:rsid w:val="003B7AF0"/>
    <w:rsid w:val="003B7B1F"/>
    <w:rsid w:val="003B7CAE"/>
    <w:rsid w:val="003B7CC3"/>
    <w:rsid w:val="003B7EB5"/>
    <w:rsid w:val="003B7F41"/>
    <w:rsid w:val="003B7FE4"/>
    <w:rsid w:val="003C0175"/>
    <w:rsid w:val="003C0183"/>
    <w:rsid w:val="003C023A"/>
    <w:rsid w:val="003C0305"/>
    <w:rsid w:val="003C0331"/>
    <w:rsid w:val="003C0621"/>
    <w:rsid w:val="003C0634"/>
    <w:rsid w:val="003C0707"/>
    <w:rsid w:val="003C070F"/>
    <w:rsid w:val="003C0776"/>
    <w:rsid w:val="003C088C"/>
    <w:rsid w:val="003C0933"/>
    <w:rsid w:val="003C0A84"/>
    <w:rsid w:val="003C0B0E"/>
    <w:rsid w:val="003C0BBA"/>
    <w:rsid w:val="003C0C3B"/>
    <w:rsid w:val="003C0C64"/>
    <w:rsid w:val="003C0F84"/>
    <w:rsid w:val="003C1054"/>
    <w:rsid w:val="003C1056"/>
    <w:rsid w:val="003C1207"/>
    <w:rsid w:val="003C121F"/>
    <w:rsid w:val="003C1378"/>
    <w:rsid w:val="003C15A8"/>
    <w:rsid w:val="003C1679"/>
    <w:rsid w:val="003C1681"/>
    <w:rsid w:val="003C175D"/>
    <w:rsid w:val="003C179F"/>
    <w:rsid w:val="003C1904"/>
    <w:rsid w:val="003C1BE3"/>
    <w:rsid w:val="003C1CFB"/>
    <w:rsid w:val="003C1D1B"/>
    <w:rsid w:val="003C1DF3"/>
    <w:rsid w:val="003C1DFD"/>
    <w:rsid w:val="003C22E9"/>
    <w:rsid w:val="003C23CB"/>
    <w:rsid w:val="003C240E"/>
    <w:rsid w:val="003C247F"/>
    <w:rsid w:val="003C2577"/>
    <w:rsid w:val="003C25C3"/>
    <w:rsid w:val="003C291B"/>
    <w:rsid w:val="003C2B1D"/>
    <w:rsid w:val="003C2BBD"/>
    <w:rsid w:val="003C2C68"/>
    <w:rsid w:val="003C2DB5"/>
    <w:rsid w:val="003C2F98"/>
    <w:rsid w:val="003C31B3"/>
    <w:rsid w:val="003C31E8"/>
    <w:rsid w:val="003C3295"/>
    <w:rsid w:val="003C32A6"/>
    <w:rsid w:val="003C3379"/>
    <w:rsid w:val="003C3460"/>
    <w:rsid w:val="003C34FE"/>
    <w:rsid w:val="003C357B"/>
    <w:rsid w:val="003C35B7"/>
    <w:rsid w:val="003C36A1"/>
    <w:rsid w:val="003C3794"/>
    <w:rsid w:val="003C392E"/>
    <w:rsid w:val="003C39F7"/>
    <w:rsid w:val="003C3A32"/>
    <w:rsid w:val="003C3AE8"/>
    <w:rsid w:val="003C3BB5"/>
    <w:rsid w:val="003C3C86"/>
    <w:rsid w:val="003C3E77"/>
    <w:rsid w:val="003C3E86"/>
    <w:rsid w:val="003C4026"/>
    <w:rsid w:val="003C4039"/>
    <w:rsid w:val="003C4066"/>
    <w:rsid w:val="003C4086"/>
    <w:rsid w:val="003C4095"/>
    <w:rsid w:val="003C413F"/>
    <w:rsid w:val="003C4264"/>
    <w:rsid w:val="003C431B"/>
    <w:rsid w:val="003C4393"/>
    <w:rsid w:val="003C43EC"/>
    <w:rsid w:val="003C4448"/>
    <w:rsid w:val="003C4634"/>
    <w:rsid w:val="003C46AD"/>
    <w:rsid w:val="003C49D2"/>
    <w:rsid w:val="003C4A03"/>
    <w:rsid w:val="003C4C06"/>
    <w:rsid w:val="003C4D1E"/>
    <w:rsid w:val="003C4D54"/>
    <w:rsid w:val="003C4E99"/>
    <w:rsid w:val="003C5086"/>
    <w:rsid w:val="003C5200"/>
    <w:rsid w:val="003C529F"/>
    <w:rsid w:val="003C554E"/>
    <w:rsid w:val="003C55C3"/>
    <w:rsid w:val="003C5684"/>
    <w:rsid w:val="003C57AB"/>
    <w:rsid w:val="003C58D2"/>
    <w:rsid w:val="003C5936"/>
    <w:rsid w:val="003C5E76"/>
    <w:rsid w:val="003C5EAB"/>
    <w:rsid w:val="003C5F07"/>
    <w:rsid w:val="003C5FC9"/>
    <w:rsid w:val="003C6132"/>
    <w:rsid w:val="003C63D3"/>
    <w:rsid w:val="003C64C3"/>
    <w:rsid w:val="003C67C2"/>
    <w:rsid w:val="003C6887"/>
    <w:rsid w:val="003C6945"/>
    <w:rsid w:val="003C6A7C"/>
    <w:rsid w:val="003C6D22"/>
    <w:rsid w:val="003C6F10"/>
    <w:rsid w:val="003C6FBD"/>
    <w:rsid w:val="003C7181"/>
    <w:rsid w:val="003C718C"/>
    <w:rsid w:val="003C719B"/>
    <w:rsid w:val="003C7449"/>
    <w:rsid w:val="003C7495"/>
    <w:rsid w:val="003C74FA"/>
    <w:rsid w:val="003C7654"/>
    <w:rsid w:val="003C7735"/>
    <w:rsid w:val="003C7818"/>
    <w:rsid w:val="003C7999"/>
    <w:rsid w:val="003C7A90"/>
    <w:rsid w:val="003C7AF1"/>
    <w:rsid w:val="003C7BE5"/>
    <w:rsid w:val="003C7D3F"/>
    <w:rsid w:val="003C7D95"/>
    <w:rsid w:val="003C7DDE"/>
    <w:rsid w:val="003C7E67"/>
    <w:rsid w:val="003C7FA0"/>
    <w:rsid w:val="003D0022"/>
    <w:rsid w:val="003D006C"/>
    <w:rsid w:val="003D00E5"/>
    <w:rsid w:val="003D017B"/>
    <w:rsid w:val="003D02C9"/>
    <w:rsid w:val="003D039D"/>
    <w:rsid w:val="003D06C8"/>
    <w:rsid w:val="003D0747"/>
    <w:rsid w:val="003D09E6"/>
    <w:rsid w:val="003D0AB5"/>
    <w:rsid w:val="003D0B52"/>
    <w:rsid w:val="003D0D83"/>
    <w:rsid w:val="003D0DC2"/>
    <w:rsid w:val="003D0E44"/>
    <w:rsid w:val="003D0EC2"/>
    <w:rsid w:val="003D101D"/>
    <w:rsid w:val="003D1093"/>
    <w:rsid w:val="003D10CF"/>
    <w:rsid w:val="003D1138"/>
    <w:rsid w:val="003D11AF"/>
    <w:rsid w:val="003D11BD"/>
    <w:rsid w:val="003D122C"/>
    <w:rsid w:val="003D12BF"/>
    <w:rsid w:val="003D1350"/>
    <w:rsid w:val="003D1448"/>
    <w:rsid w:val="003D1495"/>
    <w:rsid w:val="003D1621"/>
    <w:rsid w:val="003D1663"/>
    <w:rsid w:val="003D1773"/>
    <w:rsid w:val="003D17AF"/>
    <w:rsid w:val="003D198A"/>
    <w:rsid w:val="003D1A3D"/>
    <w:rsid w:val="003D1AC3"/>
    <w:rsid w:val="003D1ADC"/>
    <w:rsid w:val="003D1B2B"/>
    <w:rsid w:val="003D1BB5"/>
    <w:rsid w:val="003D1D95"/>
    <w:rsid w:val="003D1E43"/>
    <w:rsid w:val="003D1E6C"/>
    <w:rsid w:val="003D1ED0"/>
    <w:rsid w:val="003D1EDB"/>
    <w:rsid w:val="003D1EEC"/>
    <w:rsid w:val="003D1EF2"/>
    <w:rsid w:val="003D1F44"/>
    <w:rsid w:val="003D1F6A"/>
    <w:rsid w:val="003D1FC1"/>
    <w:rsid w:val="003D2073"/>
    <w:rsid w:val="003D20BC"/>
    <w:rsid w:val="003D22D2"/>
    <w:rsid w:val="003D2362"/>
    <w:rsid w:val="003D2432"/>
    <w:rsid w:val="003D2501"/>
    <w:rsid w:val="003D251C"/>
    <w:rsid w:val="003D25B1"/>
    <w:rsid w:val="003D25D0"/>
    <w:rsid w:val="003D262B"/>
    <w:rsid w:val="003D27A6"/>
    <w:rsid w:val="003D2976"/>
    <w:rsid w:val="003D2CA9"/>
    <w:rsid w:val="003D2D1F"/>
    <w:rsid w:val="003D2ECC"/>
    <w:rsid w:val="003D2F38"/>
    <w:rsid w:val="003D3174"/>
    <w:rsid w:val="003D3305"/>
    <w:rsid w:val="003D33E2"/>
    <w:rsid w:val="003D3419"/>
    <w:rsid w:val="003D342E"/>
    <w:rsid w:val="003D3444"/>
    <w:rsid w:val="003D3531"/>
    <w:rsid w:val="003D3537"/>
    <w:rsid w:val="003D35E0"/>
    <w:rsid w:val="003D35E6"/>
    <w:rsid w:val="003D3A06"/>
    <w:rsid w:val="003D3AD3"/>
    <w:rsid w:val="003D3ADA"/>
    <w:rsid w:val="003D3B53"/>
    <w:rsid w:val="003D3CB2"/>
    <w:rsid w:val="003D3CC2"/>
    <w:rsid w:val="003D3D91"/>
    <w:rsid w:val="003D3DFD"/>
    <w:rsid w:val="003D3E37"/>
    <w:rsid w:val="003D3E87"/>
    <w:rsid w:val="003D3EC2"/>
    <w:rsid w:val="003D3F87"/>
    <w:rsid w:val="003D3FD6"/>
    <w:rsid w:val="003D40D0"/>
    <w:rsid w:val="003D40EA"/>
    <w:rsid w:val="003D4204"/>
    <w:rsid w:val="003D4430"/>
    <w:rsid w:val="003D4431"/>
    <w:rsid w:val="003D44E3"/>
    <w:rsid w:val="003D4506"/>
    <w:rsid w:val="003D455C"/>
    <w:rsid w:val="003D4708"/>
    <w:rsid w:val="003D472C"/>
    <w:rsid w:val="003D477A"/>
    <w:rsid w:val="003D48BF"/>
    <w:rsid w:val="003D494E"/>
    <w:rsid w:val="003D4B8D"/>
    <w:rsid w:val="003D4BFD"/>
    <w:rsid w:val="003D4D86"/>
    <w:rsid w:val="003D4EBA"/>
    <w:rsid w:val="003D4F9E"/>
    <w:rsid w:val="003D500A"/>
    <w:rsid w:val="003D50AA"/>
    <w:rsid w:val="003D51BA"/>
    <w:rsid w:val="003D5469"/>
    <w:rsid w:val="003D56C7"/>
    <w:rsid w:val="003D5827"/>
    <w:rsid w:val="003D5847"/>
    <w:rsid w:val="003D5869"/>
    <w:rsid w:val="003D58C9"/>
    <w:rsid w:val="003D5B4D"/>
    <w:rsid w:val="003D5BD9"/>
    <w:rsid w:val="003D5C55"/>
    <w:rsid w:val="003D5CA4"/>
    <w:rsid w:val="003D5CD0"/>
    <w:rsid w:val="003D5EE5"/>
    <w:rsid w:val="003D5F2D"/>
    <w:rsid w:val="003D5F53"/>
    <w:rsid w:val="003D5FA5"/>
    <w:rsid w:val="003D6082"/>
    <w:rsid w:val="003D614C"/>
    <w:rsid w:val="003D619A"/>
    <w:rsid w:val="003D632D"/>
    <w:rsid w:val="003D6362"/>
    <w:rsid w:val="003D63D3"/>
    <w:rsid w:val="003D6556"/>
    <w:rsid w:val="003D673E"/>
    <w:rsid w:val="003D6A59"/>
    <w:rsid w:val="003D6AB3"/>
    <w:rsid w:val="003D6CAB"/>
    <w:rsid w:val="003D6D73"/>
    <w:rsid w:val="003D6E1F"/>
    <w:rsid w:val="003D6EF4"/>
    <w:rsid w:val="003D6F64"/>
    <w:rsid w:val="003D6FA4"/>
    <w:rsid w:val="003D7078"/>
    <w:rsid w:val="003D7290"/>
    <w:rsid w:val="003D7319"/>
    <w:rsid w:val="003D7398"/>
    <w:rsid w:val="003D73AF"/>
    <w:rsid w:val="003D74C8"/>
    <w:rsid w:val="003D758E"/>
    <w:rsid w:val="003D75A4"/>
    <w:rsid w:val="003D769C"/>
    <w:rsid w:val="003D769F"/>
    <w:rsid w:val="003D7797"/>
    <w:rsid w:val="003D78D0"/>
    <w:rsid w:val="003D796E"/>
    <w:rsid w:val="003D7AE5"/>
    <w:rsid w:val="003D7C55"/>
    <w:rsid w:val="003D7C86"/>
    <w:rsid w:val="003D7CF9"/>
    <w:rsid w:val="003D7D47"/>
    <w:rsid w:val="003D7E11"/>
    <w:rsid w:val="003D7EAD"/>
    <w:rsid w:val="003D7F49"/>
    <w:rsid w:val="003D7F66"/>
    <w:rsid w:val="003E0083"/>
    <w:rsid w:val="003E01B9"/>
    <w:rsid w:val="003E025A"/>
    <w:rsid w:val="003E0352"/>
    <w:rsid w:val="003E05BD"/>
    <w:rsid w:val="003E074B"/>
    <w:rsid w:val="003E0770"/>
    <w:rsid w:val="003E0775"/>
    <w:rsid w:val="003E0976"/>
    <w:rsid w:val="003E09D3"/>
    <w:rsid w:val="003E0A15"/>
    <w:rsid w:val="003E0C54"/>
    <w:rsid w:val="003E0C71"/>
    <w:rsid w:val="003E0C99"/>
    <w:rsid w:val="003E0CE4"/>
    <w:rsid w:val="003E0D6C"/>
    <w:rsid w:val="003E0DC3"/>
    <w:rsid w:val="003E0EE3"/>
    <w:rsid w:val="003E0F6C"/>
    <w:rsid w:val="003E0FA4"/>
    <w:rsid w:val="003E12C2"/>
    <w:rsid w:val="003E14BE"/>
    <w:rsid w:val="003E15D0"/>
    <w:rsid w:val="003E16EC"/>
    <w:rsid w:val="003E17ED"/>
    <w:rsid w:val="003E182D"/>
    <w:rsid w:val="003E188D"/>
    <w:rsid w:val="003E1937"/>
    <w:rsid w:val="003E1AFB"/>
    <w:rsid w:val="003E1C01"/>
    <w:rsid w:val="003E1D64"/>
    <w:rsid w:val="003E1DFC"/>
    <w:rsid w:val="003E1EF5"/>
    <w:rsid w:val="003E207A"/>
    <w:rsid w:val="003E213F"/>
    <w:rsid w:val="003E227E"/>
    <w:rsid w:val="003E23D0"/>
    <w:rsid w:val="003E248D"/>
    <w:rsid w:val="003E2500"/>
    <w:rsid w:val="003E26B2"/>
    <w:rsid w:val="003E26F1"/>
    <w:rsid w:val="003E2841"/>
    <w:rsid w:val="003E28A5"/>
    <w:rsid w:val="003E2926"/>
    <w:rsid w:val="003E29BF"/>
    <w:rsid w:val="003E2B86"/>
    <w:rsid w:val="003E3046"/>
    <w:rsid w:val="003E3205"/>
    <w:rsid w:val="003E32E1"/>
    <w:rsid w:val="003E32FE"/>
    <w:rsid w:val="003E3339"/>
    <w:rsid w:val="003E3366"/>
    <w:rsid w:val="003E345C"/>
    <w:rsid w:val="003E349F"/>
    <w:rsid w:val="003E3561"/>
    <w:rsid w:val="003E3615"/>
    <w:rsid w:val="003E3663"/>
    <w:rsid w:val="003E368D"/>
    <w:rsid w:val="003E371E"/>
    <w:rsid w:val="003E3A86"/>
    <w:rsid w:val="003E3B0F"/>
    <w:rsid w:val="003E3BEC"/>
    <w:rsid w:val="003E3E33"/>
    <w:rsid w:val="003E3F41"/>
    <w:rsid w:val="003E3FB6"/>
    <w:rsid w:val="003E3FF2"/>
    <w:rsid w:val="003E4023"/>
    <w:rsid w:val="003E42DC"/>
    <w:rsid w:val="003E4645"/>
    <w:rsid w:val="003E46A0"/>
    <w:rsid w:val="003E4806"/>
    <w:rsid w:val="003E4996"/>
    <w:rsid w:val="003E49D5"/>
    <w:rsid w:val="003E4E7C"/>
    <w:rsid w:val="003E4F8C"/>
    <w:rsid w:val="003E50A1"/>
    <w:rsid w:val="003E5127"/>
    <w:rsid w:val="003E52D8"/>
    <w:rsid w:val="003E536E"/>
    <w:rsid w:val="003E542F"/>
    <w:rsid w:val="003E55D8"/>
    <w:rsid w:val="003E569A"/>
    <w:rsid w:val="003E56D6"/>
    <w:rsid w:val="003E56ED"/>
    <w:rsid w:val="003E5805"/>
    <w:rsid w:val="003E592F"/>
    <w:rsid w:val="003E596B"/>
    <w:rsid w:val="003E59B2"/>
    <w:rsid w:val="003E5BBC"/>
    <w:rsid w:val="003E5C4C"/>
    <w:rsid w:val="003E5C81"/>
    <w:rsid w:val="003E5DC1"/>
    <w:rsid w:val="003E5DE8"/>
    <w:rsid w:val="003E5F06"/>
    <w:rsid w:val="003E5F33"/>
    <w:rsid w:val="003E5F7E"/>
    <w:rsid w:val="003E61EA"/>
    <w:rsid w:val="003E6499"/>
    <w:rsid w:val="003E652D"/>
    <w:rsid w:val="003E6613"/>
    <w:rsid w:val="003E6615"/>
    <w:rsid w:val="003E666A"/>
    <w:rsid w:val="003E667C"/>
    <w:rsid w:val="003E6695"/>
    <w:rsid w:val="003E694D"/>
    <w:rsid w:val="003E699E"/>
    <w:rsid w:val="003E6B71"/>
    <w:rsid w:val="003E6BDA"/>
    <w:rsid w:val="003E6C1E"/>
    <w:rsid w:val="003E6CA2"/>
    <w:rsid w:val="003E6CD0"/>
    <w:rsid w:val="003E6D78"/>
    <w:rsid w:val="003E6DBB"/>
    <w:rsid w:val="003E6E20"/>
    <w:rsid w:val="003E6E61"/>
    <w:rsid w:val="003E6E8E"/>
    <w:rsid w:val="003E6F0C"/>
    <w:rsid w:val="003E6FB1"/>
    <w:rsid w:val="003E70C4"/>
    <w:rsid w:val="003E715D"/>
    <w:rsid w:val="003E748A"/>
    <w:rsid w:val="003E74C3"/>
    <w:rsid w:val="003E74CF"/>
    <w:rsid w:val="003E74F5"/>
    <w:rsid w:val="003E76DE"/>
    <w:rsid w:val="003E770C"/>
    <w:rsid w:val="003E7743"/>
    <w:rsid w:val="003E79F9"/>
    <w:rsid w:val="003E7C34"/>
    <w:rsid w:val="003E7C92"/>
    <w:rsid w:val="003E7EC8"/>
    <w:rsid w:val="003E7F80"/>
    <w:rsid w:val="003E7F9B"/>
    <w:rsid w:val="003E7FB5"/>
    <w:rsid w:val="003F0027"/>
    <w:rsid w:val="003F0104"/>
    <w:rsid w:val="003F0238"/>
    <w:rsid w:val="003F0386"/>
    <w:rsid w:val="003F0438"/>
    <w:rsid w:val="003F04B1"/>
    <w:rsid w:val="003F04BA"/>
    <w:rsid w:val="003F06E0"/>
    <w:rsid w:val="003F0768"/>
    <w:rsid w:val="003F076E"/>
    <w:rsid w:val="003F07E7"/>
    <w:rsid w:val="003F0820"/>
    <w:rsid w:val="003F083C"/>
    <w:rsid w:val="003F08C4"/>
    <w:rsid w:val="003F0949"/>
    <w:rsid w:val="003F0B69"/>
    <w:rsid w:val="003F0C38"/>
    <w:rsid w:val="003F0D7C"/>
    <w:rsid w:val="003F0DD3"/>
    <w:rsid w:val="003F0E63"/>
    <w:rsid w:val="003F1192"/>
    <w:rsid w:val="003F11D0"/>
    <w:rsid w:val="003F11DF"/>
    <w:rsid w:val="003F1223"/>
    <w:rsid w:val="003F1291"/>
    <w:rsid w:val="003F12E9"/>
    <w:rsid w:val="003F143B"/>
    <w:rsid w:val="003F1698"/>
    <w:rsid w:val="003F177A"/>
    <w:rsid w:val="003F19B4"/>
    <w:rsid w:val="003F1AB9"/>
    <w:rsid w:val="003F1BBE"/>
    <w:rsid w:val="003F1C13"/>
    <w:rsid w:val="003F1ED1"/>
    <w:rsid w:val="003F1FD6"/>
    <w:rsid w:val="003F2308"/>
    <w:rsid w:val="003F2325"/>
    <w:rsid w:val="003F2416"/>
    <w:rsid w:val="003F251D"/>
    <w:rsid w:val="003F2550"/>
    <w:rsid w:val="003F2610"/>
    <w:rsid w:val="003F263A"/>
    <w:rsid w:val="003F26FE"/>
    <w:rsid w:val="003F2729"/>
    <w:rsid w:val="003F277E"/>
    <w:rsid w:val="003F2781"/>
    <w:rsid w:val="003F2862"/>
    <w:rsid w:val="003F2940"/>
    <w:rsid w:val="003F2A44"/>
    <w:rsid w:val="003F2ABB"/>
    <w:rsid w:val="003F2AE5"/>
    <w:rsid w:val="003F2C11"/>
    <w:rsid w:val="003F2C50"/>
    <w:rsid w:val="003F2E1F"/>
    <w:rsid w:val="003F2FF2"/>
    <w:rsid w:val="003F301F"/>
    <w:rsid w:val="003F30DA"/>
    <w:rsid w:val="003F3345"/>
    <w:rsid w:val="003F3377"/>
    <w:rsid w:val="003F33B6"/>
    <w:rsid w:val="003F33B7"/>
    <w:rsid w:val="003F3402"/>
    <w:rsid w:val="003F35EA"/>
    <w:rsid w:val="003F3669"/>
    <w:rsid w:val="003F37FD"/>
    <w:rsid w:val="003F3800"/>
    <w:rsid w:val="003F3854"/>
    <w:rsid w:val="003F389C"/>
    <w:rsid w:val="003F39AE"/>
    <w:rsid w:val="003F39FA"/>
    <w:rsid w:val="003F3A52"/>
    <w:rsid w:val="003F3C61"/>
    <w:rsid w:val="003F3C8A"/>
    <w:rsid w:val="003F3D0E"/>
    <w:rsid w:val="003F3D9C"/>
    <w:rsid w:val="003F3E7B"/>
    <w:rsid w:val="003F3EF1"/>
    <w:rsid w:val="003F3F7F"/>
    <w:rsid w:val="003F4142"/>
    <w:rsid w:val="003F4247"/>
    <w:rsid w:val="003F4474"/>
    <w:rsid w:val="003F4503"/>
    <w:rsid w:val="003F45B2"/>
    <w:rsid w:val="003F4679"/>
    <w:rsid w:val="003F47F9"/>
    <w:rsid w:val="003F4840"/>
    <w:rsid w:val="003F4AC0"/>
    <w:rsid w:val="003F4AEB"/>
    <w:rsid w:val="003F4B62"/>
    <w:rsid w:val="003F4E9F"/>
    <w:rsid w:val="003F4FD9"/>
    <w:rsid w:val="003F5082"/>
    <w:rsid w:val="003F50DC"/>
    <w:rsid w:val="003F5111"/>
    <w:rsid w:val="003F5173"/>
    <w:rsid w:val="003F51DE"/>
    <w:rsid w:val="003F5222"/>
    <w:rsid w:val="003F55E8"/>
    <w:rsid w:val="003F5640"/>
    <w:rsid w:val="003F5678"/>
    <w:rsid w:val="003F57C9"/>
    <w:rsid w:val="003F58A2"/>
    <w:rsid w:val="003F59F4"/>
    <w:rsid w:val="003F5A29"/>
    <w:rsid w:val="003F5A7D"/>
    <w:rsid w:val="003F5B16"/>
    <w:rsid w:val="003F5C3A"/>
    <w:rsid w:val="003F5CD7"/>
    <w:rsid w:val="003F5CD8"/>
    <w:rsid w:val="003F5D51"/>
    <w:rsid w:val="003F5E09"/>
    <w:rsid w:val="003F5FDD"/>
    <w:rsid w:val="003F6062"/>
    <w:rsid w:val="003F6086"/>
    <w:rsid w:val="003F60E1"/>
    <w:rsid w:val="003F60EA"/>
    <w:rsid w:val="003F62DD"/>
    <w:rsid w:val="003F6313"/>
    <w:rsid w:val="003F648C"/>
    <w:rsid w:val="003F6585"/>
    <w:rsid w:val="003F6633"/>
    <w:rsid w:val="003F66C2"/>
    <w:rsid w:val="003F66FD"/>
    <w:rsid w:val="003F672A"/>
    <w:rsid w:val="003F673C"/>
    <w:rsid w:val="003F67C1"/>
    <w:rsid w:val="003F68A7"/>
    <w:rsid w:val="003F68F5"/>
    <w:rsid w:val="003F6C03"/>
    <w:rsid w:val="003F6C9B"/>
    <w:rsid w:val="003F6D20"/>
    <w:rsid w:val="003F6E8F"/>
    <w:rsid w:val="003F7000"/>
    <w:rsid w:val="003F705D"/>
    <w:rsid w:val="003F7249"/>
    <w:rsid w:val="003F730D"/>
    <w:rsid w:val="003F735A"/>
    <w:rsid w:val="003F73F1"/>
    <w:rsid w:val="003F757E"/>
    <w:rsid w:val="003F75ED"/>
    <w:rsid w:val="003F764A"/>
    <w:rsid w:val="003F783D"/>
    <w:rsid w:val="003F7962"/>
    <w:rsid w:val="003F7A44"/>
    <w:rsid w:val="003F7E89"/>
    <w:rsid w:val="003F7F49"/>
    <w:rsid w:val="004000D5"/>
    <w:rsid w:val="00400163"/>
    <w:rsid w:val="00400233"/>
    <w:rsid w:val="0040032A"/>
    <w:rsid w:val="0040033C"/>
    <w:rsid w:val="0040046B"/>
    <w:rsid w:val="00400494"/>
    <w:rsid w:val="004004D2"/>
    <w:rsid w:val="004004F6"/>
    <w:rsid w:val="00400689"/>
    <w:rsid w:val="00400743"/>
    <w:rsid w:val="0040078F"/>
    <w:rsid w:val="004007F7"/>
    <w:rsid w:val="004009D0"/>
    <w:rsid w:val="00400CA9"/>
    <w:rsid w:val="00400D78"/>
    <w:rsid w:val="00400DCB"/>
    <w:rsid w:val="004010AA"/>
    <w:rsid w:val="004010CF"/>
    <w:rsid w:val="00401161"/>
    <w:rsid w:val="00401221"/>
    <w:rsid w:val="00401363"/>
    <w:rsid w:val="0040169E"/>
    <w:rsid w:val="004016E5"/>
    <w:rsid w:val="004017DF"/>
    <w:rsid w:val="00401818"/>
    <w:rsid w:val="004018EB"/>
    <w:rsid w:val="0040194E"/>
    <w:rsid w:val="004019A3"/>
    <w:rsid w:val="00401A68"/>
    <w:rsid w:val="00401B17"/>
    <w:rsid w:val="00401B69"/>
    <w:rsid w:val="00401C52"/>
    <w:rsid w:val="00401E7A"/>
    <w:rsid w:val="00401F93"/>
    <w:rsid w:val="0040214A"/>
    <w:rsid w:val="0040214B"/>
    <w:rsid w:val="00402280"/>
    <w:rsid w:val="00402417"/>
    <w:rsid w:val="0040246E"/>
    <w:rsid w:val="0040255F"/>
    <w:rsid w:val="004026B4"/>
    <w:rsid w:val="00402913"/>
    <w:rsid w:val="00402A3D"/>
    <w:rsid w:val="00402B37"/>
    <w:rsid w:val="00402BA1"/>
    <w:rsid w:val="00402BE6"/>
    <w:rsid w:val="00402C71"/>
    <w:rsid w:val="00402DB2"/>
    <w:rsid w:val="00402DC6"/>
    <w:rsid w:val="00402DCC"/>
    <w:rsid w:val="00402E2A"/>
    <w:rsid w:val="00403051"/>
    <w:rsid w:val="004030F4"/>
    <w:rsid w:val="0040313C"/>
    <w:rsid w:val="0040316E"/>
    <w:rsid w:val="00403286"/>
    <w:rsid w:val="004032D6"/>
    <w:rsid w:val="004033F3"/>
    <w:rsid w:val="00403443"/>
    <w:rsid w:val="0040351E"/>
    <w:rsid w:val="00403581"/>
    <w:rsid w:val="00403603"/>
    <w:rsid w:val="00403615"/>
    <w:rsid w:val="00403740"/>
    <w:rsid w:val="00403882"/>
    <w:rsid w:val="0040391A"/>
    <w:rsid w:val="00403937"/>
    <w:rsid w:val="00403A03"/>
    <w:rsid w:val="00403A5D"/>
    <w:rsid w:val="00403A98"/>
    <w:rsid w:val="00403C77"/>
    <w:rsid w:val="00403C98"/>
    <w:rsid w:val="00403E1D"/>
    <w:rsid w:val="004042C6"/>
    <w:rsid w:val="004043DC"/>
    <w:rsid w:val="004043DF"/>
    <w:rsid w:val="004044DA"/>
    <w:rsid w:val="004045B9"/>
    <w:rsid w:val="0040489D"/>
    <w:rsid w:val="00404904"/>
    <w:rsid w:val="00404939"/>
    <w:rsid w:val="00404994"/>
    <w:rsid w:val="004049B5"/>
    <w:rsid w:val="00404A82"/>
    <w:rsid w:val="00404C3B"/>
    <w:rsid w:val="00404D27"/>
    <w:rsid w:val="00404D94"/>
    <w:rsid w:val="00404DCD"/>
    <w:rsid w:val="00404EDB"/>
    <w:rsid w:val="0040501E"/>
    <w:rsid w:val="004051B8"/>
    <w:rsid w:val="004052DE"/>
    <w:rsid w:val="0040540E"/>
    <w:rsid w:val="0040548B"/>
    <w:rsid w:val="004054A8"/>
    <w:rsid w:val="00405525"/>
    <w:rsid w:val="004055FB"/>
    <w:rsid w:val="0040569A"/>
    <w:rsid w:val="004058DB"/>
    <w:rsid w:val="00405AE6"/>
    <w:rsid w:val="00405C26"/>
    <w:rsid w:val="00405D26"/>
    <w:rsid w:val="00405E70"/>
    <w:rsid w:val="00405EA9"/>
    <w:rsid w:val="004060F7"/>
    <w:rsid w:val="004060FD"/>
    <w:rsid w:val="00406145"/>
    <w:rsid w:val="00406417"/>
    <w:rsid w:val="0040646D"/>
    <w:rsid w:val="004064EE"/>
    <w:rsid w:val="00406500"/>
    <w:rsid w:val="0040654F"/>
    <w:rsid w:val="00406641"/>
    <w:rsid w:val="0040667E"/>
    <w:rsid w:val="00406721"/>
    <w:rsid w:val="0040676F"/>
    <w:rsid w:val="004067D1"/>
    <w:rsid w:val="00406857"/>
    <w:rsid w:val="004069F1"/>
    <w:rsid w:val="00406A0C"/>
    <w:rsid w:val="00406A86"/>
    <w:rsid w:val="00406AC1"/>
    <w:rsid w:val="00406D23"/>
    <w:rsid w:val="00406DB5"/>
    <w:rsid w:val="00406FFC"/>
    <w:rsid w:val="00406FFD"/>
    <w:rsid w:val="00407030"/>
    <w:rsid w:val="00407046"/>
    <w:rsid w:val="004070B0"/>
    <w:rsid w:val="004070F6"/>
    <w:rsid w:val="00407441"/>
    <w:rsid w:val="004075EB"/>
    <w:rsid w:val="004076FC"/>
    <w:rsid w:val="0040778C"/>
    <w:rsid w:val="004077D6"/>
    <w:rsid w:val="0040780E"/>
    <w:rsid w:val="00407867"/>
    <w:rsid w:val="00407C0D"/>
    <w:rsid w:val="00407DBC"/>
    <w:rsid w:val="00407DF4"/>
    <w:rsid w:val="00407DFC"/>
    <w:rsid w:val="00407E10"/>
    <w:rsid w:val="00407EC0"/>
    <w:rsid w:val="00407ECC"/>
    <w:rsid w:val="00407ED4"/>
    <w:rsid w:val="00410107"/>
    <w:rsid w:val="00410211"/>
    <w:rsid w:val="00410302"/>
    <w:rsid w:val="00410347"/>
    <w:rsid w:val="004104BE"/>
    <w:rsid w:val="00410713"/>
    <w:rsid w:val="00410883"/>
    <w:rsid w:val="00410A15"/>
    <w:rsid w:val="00410A5C"/>
    <w:rsid w:val="00410AAF"/>
    <w:rsid w:val="00410AC8"/>
    <w:rsid w:val="00410C80"/>
    <w:rsid w:val="00410C9B"/>
    <w:rsid w:val="00410D9E"/>
    <w:rsid w:val="00410E83"/>
    <w:rsid w:val="00410FA1"/>
    <w:rsid w:val="00411033"/>
    <w:rsid w:val="00411317"/>
    <w:rsid w:val="00411365"/>
    <w:rsid w:val="00411415"/>
    <w:rsid w:val="004114A5"/>
    <w:rsid w:val="004115E1"/>
    <w:rsid w:val="004116F3"/>
    <w:rsid w:val="004117A8"/>
    <w:rsid w:val="004118B2"/>
    <w:rsid w:val="00411A53"/>
    <w:rsid w:val="00411B15"/>
    <w:rsid w:val="00411BEF"/>
    <w:rsid w:val="00411D94"/>
    <w:rsid w:val="00411EC3"/>
    <w:rsid w:val="00411F5D"/>
    <w:rsid w:val="00411FA3"/>
    <w:rsid w:val="004121E7"/>
    <w:rsid w:val="00412364"/>
    <w:rsid w:val="00412378"/>
    <w:rsid w:val="004123C8"/>
    <w:rsid w:val="004124CE"/>
    <w:rsid w:val="004125F5"/>
    <w:rsid w:val="004127B9"/>
    <w:rsid w:val="00412804"/>
    <w:rsid w:val="00412887"/>
    <w:rsid w:val="00412B94"/>
    <w:rsid w:val="00412BC3"/>
    <w:rsid w:val="00412D4E"/>
    <w:rsid w:val="00412D56"/>
    <w:rsid w:val="00412E34"/>
    <w:rsid w:val="00412EE8"/>
    <w:rsid w:val="00412FAA"/>
    <w:rsid w:val="0041312D"/>
    <w:rsid w:val="0041332B"/>
    <w:rsid w:val="00413675"/>
    <w:rsid w:val="004136FD"/>
    <w:rsid w:val="00413AF7"/>
    <w:rsid w:val="00413B3B"/>
    <w:rsid w:val="00413C78"/>
    <w:rsid w:val="00413CFE"/>
    <w:rsid w:val="00413EBD"/>
    <w:rsid w:val="004140E4"/>
    <w:rsid w:val="00414316"/>
    <w:rsid w:val="00414334"/>
    <w:rsid w:val="004144F4"/>
    <w:rsid w:val="00414517"/>
    <w:rsid w:val="00414665"/>
    <w:rsid w:val="00414673"/>
    <w:rsid w:val="0041473B"/>
    <w:rsid w:val="00414753"/>
    <w:rsid w:val="0041478B"/>
    <w:rsid w:val="00414856"/>
    <w:rsid w:val="004148B1"/>
    <w:rsid w:val="00414A0A"/>
    <w:rsid w:val="00414B30"/>
    <w:rsid w:val="00414C6B"/>
    <w:rsid w:val="00414E51"/>
    <w:rsid w:val="00414E5C"/>
    <w:rsid w:val="0041517D"/>
    <w:rsid w:val="0041518B"/>
    <w:rsid w:val="004151BF"/>
    <w:rsid w:val="004151EC"/>
    <w:rsid w:val="004152E6"/>
    <w:rsid w:val="0041541B"/>
    <w:rsid w:val="004154E1"/>
    <w:rsid w:val="004156A6"/>
    <w:rsid w:val="00415798"/>
    <w:rsid w:val="00415931"/>
    <w:rsid w:val="00415BE6"/>
    <w:rsid w:val="00415D9B"/>
    <w:rsid w:val="00415F79"/>
    <w:rsid w:val="0041608A"/>
    <w:rsid w:val="00416093"/>
    <w:rsid w:val="004160A1"/>
    <w:rsid w:val="0041629B"/>
    <w:rsid w:val="004162AC"/>
    <w:rsid w:val="004162C7"/>
    <w:rsid w:val="004162D3"/>
    <w:rsid w:val="004162DC"/>
    <w:rsid w:val="0041630E"/>
    <w:rsid w:val="00416512"/>
    <w:rsid w:val="0041665F"/>
    <w:rsid w:val="0041669D"/>
    <w:rsid w:val="004166FC"/>
    <w:rsid w:val="00416727"/>
    <w:rsid w:val="004167C7"/>
    <w:rsid w:val="004167DB"/>
    <w:rsid w:val="00416A3B"/>
    <w:rsid w:val="00416CA7"/>
    <w:rsid w:val="00416CC7"/>
    <w:rsid w:val="00416D3C"/>
    <w:rsid w:val="00416E86"/>
    <w:rsid w:val="00416FC9"/>
    <w:rsid w:val="0041700B"/>
    <w:rsid w:val="004170CC"/>
    <w:rsid w:val="004170EA"/>
    <w:rsid w:val="0041717C"/>
    <w:rsid w:val="004171A0"/>
    <w:rsid w:val="0041732A"/>
    <w:rsid w:val="00417347"/>
    <w:rsid w:val="004173A0"/>
    <w:rsid w:val="00417450"/>
    <w:rsid w:val="0041747D"/>
    <w:rsid w:val="004175BA"/>
    <w:rsid w:val="004175FD"/>
    <w:rsid w:val="0041760B"/>
    <w:rsid w:val="00417775"/>
    <w:rsid w:val="004179E2"/>
    <w:rsid w:val="00417BEE"/>
    <w:rsid w:val="00417C6B"/>
    <w:rsid w:val="00417CB4"/>
    <w:rsid w:val="00417DDC"/>
    <w:rsid w:val="00417E48"/>
    <w:rsid w:val="00417E60"/>
    <w:rsid w:val="00417EBC"/>
    <w:rsid w:val="00417FFD"/>
    <w:rsid w:val="004202E1"/>
    <w:rsid w:val="00420399"/>
    <w:rsid w:val="004203C4"/>
    <w:rsid w:val="004203EF"/>
    <w:rsid w:val="00420435"/>
    <w:rsid w:val="004208F3"/>
    <w:rsid w:val="0042094B"/>
    <w:rsid w:val="00420B55"/>
    <w:rsid w:val="00420C39"/>
    <w:rsid w:val="00420CF9"/>
    <w:rsid w:val="00420F04"/>
    <w:rsid w:val="004210BA"/>
    <w:rsid w:val="00421220"/>
    <w:rsid w:val="004213A2"/>
    <w:rsid w:val="004213A6"/>
    <w:rsid w:val="004214FC"/>
    <w:rsid w:val="00421534"/>
    <w:rsid w:val="00421550"/>
    <w:rsid w:val="00421674"/>
    <w:rsid w:val="0042170B"/>
    <w:rsid w:val="0042177D"/>
    <w:rsid w:val="00421870"/>
    <w:rsid w:val="0042192E"/>
    <w:rsid w:val="004219BD"/>
    <w:rsid w:val="00421A0F"/>
    <w:rsid w:val="00421B5E"/>
    <w:rsid w:val="00421C07"/>
    <w:rsid w:val="00421CC4"/>
    <w:rsid w:val="00421D49"/>
    <w:rsid w:val="00421DF4"/>
    <w:rsid w:val="00421F02"/>
    <w:rsid w:val="00421F59"/>
    <w:rsid w:val="00421FED"/>
    <w:rsid w:val="0042222E"/>
    <w:rsid w:val="00422289"/>
    <w:rsid w:val="004223B2"/>
    <w:rsid w:val="00422669"/>
    <w:rsid w:val="00422891"/>
    <w:rsid w:val="004228C6"/>
    <w:rsid w:val="00422B07"/>
    <w:rsid w:val="00422B52"/>
    <w:rsid w:val="00422C51"/>
    <w:rsid w:val="00422C57"/>
    <w:rsid w:val="00422D03"/>
    <w:rsid w:val="00422D1B"/>
    <w:rsid w:val="00422D1E"/>
    <w:rsid w:val="00422F07"/>
    <w:rsid w:val="00423076"/>
    <w:rsid w:val="00423087"/>
    <w:rsid w:val="00423099"/>
    <w:rsid w:val="00423167"/>
    <w:rsid w:val="004231B0"/>
    <w:rsid w:val="00423260"/>
    <w:rsid w:val="004232BF"/>
    <w:rsid w:val="004232D5"/>
    <w:rsid w:val="00423303"/>
    <w:rsid w:val="0042347C"/>
    <w:rsid w:val="0042354B"/>
    <w:rsid w:val="004236FA"/>
    <w:rsid w:val="00423856"/>
    <w:rsid w:val="0042392A"/>
    <w:rsid w:val="004239CA"/>
    <w:rsid w:val="00423A06"/>
    <w:rsid w:val="00423A98"/>
    <w:rsid w:val="00423BD4"/>
    <w:rsid w:val="00423CBD"/>
    <w:rsid w:val="00423CD0"/>
    <w:rsid w:val="00423CDA"/>
    <w:rsid w:val="00423CE2"/>
    <w:rsid w:val="00423D84"/>
    <w:rsid w:val="00423F45"/>
    <w:rsid w:val="00423F9C"/>
    <w:rsid w:val="004240A9"/>
    <w:rsid w:val="004241BD"/>
    <w:rsid w:val="004241CE"/>
    <w:rsid w:val="00424200"/>
    <w:rsid w:val="004243F3"/>
    <w:rsid w:val="00424476"/>
    <w:rsid w:val="00424564"/>
    <w:rsid w:val="00424596"/>
    <w:rsid w:val="004245D6"/>
    <w:rsid w:val="00424743"/>
    <w:rsid w:val="0042475B"/>
    <w:rsid w:val="00424B42"/>
    <w:rsid w:val="00424D0A"/>
    <w:rsid w:val="00424E79"/>
    <w:rsid w:val="00424FA9"/>
    <w:rsid w:val="00425384"/>
    <w:rsid w:val="0042553B"/>
    <w:rsid w:val="0042558E"/>
    <w:rsid w:val="00425934"/>
    <w:rsid w:val="0042596E"/>
    <w:rsid w:val="004259A8"/>
    <w:rsid w:val="00425BA1"/>
    <w:rsid w:val="00425D5B"/>
    <w:rsid w:val="00425D7D"/>
    <w:rsid w:val="00426178"/>
    <w:rsid w:val="00426189"/>
    <w:rsid w:val="0042661C"/>
    <w:rsid w:val="0042694D"/>
    <w:rsid w:val="0042698B"/>
    <w:rsid w:val="00426A84"/>
    <w:rsid w:val="00426C85"/>
    <w:rsid w:val="00426C8A"/>
    <w:rsid w:val="00426D6D"/>
    <w:rsid w:val="00426DE6"/>
    <w:rsid w:val="0042701E"/>
    <w:rsid w:val="0042718E"/>
    <w:rsid w:val="00427224"/>
    <w:rsid w:val="00427271"/>
    <w:rsid w:val="004272BE"/>
    <w:rsid w:val="0042732B"/>
    <w:rsid w:val="0042733E"/>
    <w:rsid w:val="00427377"/>
    <w:rsid w:val="004273DF"/>
    <w:rsid w:val="004274B3"/>
    <w:rsid w:val="00427572"/>
    <w:rsid w:val="0042758F"/>
    <w:rsid w:val="00427629"/>
    <w:rsid w:val="00427808"/>
    <w:rsid w:val="0042795B"/>
    <w:rsid w:val="00427BC9"/>
    <w:rsid w:val="00427F27"/>
    <w:rsid w:val="0043009C"/>
    <w:rsid w:val="0043012F"/>
    <w:rsid w:val="0043026F"/>
    <w:rsid w:val="00430294"/>
    <w:rsid w:val="004303AB"/>
    <w:rsid w:val="004303F4"/>
    <w:rsid w:val="00430425"/>
    <w:rsid w:val="0043043D"/>
    <w:rsid w:val="0043044F"/>
    <w:rsid w:val="00430454"/>
    <w:rsid w:val="00430487"/>
    <w:rsid w:val="0043054C"/>
    <w:rsid w:val="00430567"/>
    <w:rsid w:val="0043062E"/>
    <w:rsid w:val="00430684"/>
    <w:rsid w:val="004306FE"/>
    <w:rsid w:val="00430705"/>
    <w:rsid w:val="00430734"/>
    <w:rsid w:val="00430750"/>
    <w:rsid w:val="0043076A"/>
    <w:rsid w:val="004307EF"/>
    <w:rsid w:val="004308A4"/>
    <w:rsid w:val="004308E6"/>
    <w:rsid w:val="00430BDD"/>
    <w:rsid w:val="00430D25"/>
    <w:rsid w:val="00430D34"/>
    <w:rsid w:val="00430E9F"/>
    <w:rsid w:val="00430F5C"/>
    <w:rsid w:val="00430FB2"/>
    <w:rsid w:val="0043113F"/>
    <w:rsid w:val="00431278"/>
    <w:rsid w:val="00431283"/>
    <w:rsid w:val="004312DA"/>
    <w:rsid w:val="0043157A"/>
    <w:rsid w:val="004316BF"/>
    <w:rsid w:val="00431785"/>
    <w:rsid w:val="004318CD"/>
    <w:rsid w:val="00431907"/>
    <w:rsid w:val="0043190B"/>
    <w:rsid w:val="004319AB"/>
    <w:rsid w:val="004319B4"/>
    <w:rsid w:val="00431A42"/>
    <w:rsid w:val="00431A8D"/>
    <w:rsid w:val="00431B17"/>
    <w:rsid w:val="00431C9B"/>
    <w:rsid w:val="00431CB8"/>
    <w:rsid w:val="00431F0C"/>
    <w:rsid w:val="00431FA4"/>
    <w:rsid w:val="00432048"/>
    <w:rsid w:val="00432086"/>
    <w:rsid w:val="0043217A"/>
    <w:rsid w:val="00432209"/>
    <w:rsid w:val="004323E9"/>
    <w:rsid w:val="004323EB"/>
    <w:rsid w:val="004324F9"/>
    <w:rsid w:val="00432540"/>
    <w:rsid w:val="00432634"/>
    <w:rsid w:val="004326C7"/>
    <w:rsid w:val="00432997"/>
    <w:rsid w:val="00432D78"/>
    <w:rsid w:val="00432E3D"/>
    <w:rsid w:val="00432E48"/>
    <w:rsid w:val="00432ED2"/>
    <w:rsid w:val="00432F38"/>
    <w:rsid w:val="0043305A"/>
    <w:rsid w:val="0043309D"/>
    <w:rsid w:val="004331C4"/>
    <w:rsid w:val="00433289"/>
    <w:rsid w:val="004332B3"/>
    <w:rsid w:val="0043334A"/>
    <w:rsid w:val="00433355"/>
    <w:rsid w:val="00433469"/>
    <w:rsid w:val="00433500"/>
    <w:rsid w:val="00433529"/>
    <w:rsid w:val="00433536"/>
    <w:rsid w:val="0043362C"/>
    <w:rsid w:val="00433904"/>
    <w:rsid w:val="00433C2A"/>
    <w:rsid w:val="00433F36"/>
    <w:rsid w:val="00433FEE"/>
    <w:rsid w:val="00434087"/>
    <w:rsid w:val="0043411E"/>
    <w:rsid w:val="00434154"/>
    <w:rsid w:val="004341DE"/>
    <w:rsid w:val="0043427A"/>
    <w:rsid w:val="0043427D"/>
    <w:rsid w:val="004344BF"/>
    <w:rsid w:val="0043452F"/>
    <w:rsid w:val="00434605"/>
    <w:rsid w:val="00434660"/>
    <w:rsid w:val="004346B9"/>
    <w:rsid w:val="004346C7"/>
    <w:rsid w:val="0043473B"/>
    <w:rsid w:val="004347C5"/>
    <w:rsid w:val="0043491D"/>
    <w:rsid w:val="0043494F"/>
    <w:rsid w:val="0043495F"/>
    <w:rsid w:val="00434967"/>
    <w:rsid w:val="00434B15"/>
    <w:rsid w:val="00434B64"/>
    <w:rsid w:val="00434B93"/>
    <w:rsid w:val="00434BC0"/>
    <w:rsid w:val="00434CE3"/>
    <w:rsid w:val="00434D3D"/>
    <w:rsid w:val="00435347"/>
    <w:rsid w:val="004354C4"/>
    <w:rsid w:val="004356DF"/>
    <w:rsid w:val="004356E3"/>
    <w:rsid w:val="004358FB"/>
    <w:rsid w:val="00435A59"/>
    <w:rsid w:val="00435AD7"/>
    <w:rsid w:val="00435C09"/>
    <w:rsid w:val="00435CB8"/>
    <w:rsid w:val="00435CEA"/>
    <w:rsid w:val="00435E6A"/>
    <w:rsid w:val="00436019"/>
    <w:rsid w:val="0043601B"/>
    <w:rsid w:val="0043603A"/>
    <w:rsid w:val="0043606F"/>
    <w:rsid w:val="00436131"/>
    <w:rsid w:val="004361B2"/>
    <w:rsid w:val="004361DE"/>
    <w:rsid w:val="00436217"/>
    <w:rsid w:val="00436227"/>
    <w:rsid w:val="0043631E"/>
    <w:rsid w:val="0043632B"/>
    <w:rsid w:val="0043654F"/>
    <w:rsid w:val="0043659F"/>
    <w:rsid w:val="00436609"/>
    <w:rsid w:val="00436624"/>
    <w:rsid w:val="004367A7"/>
    <w:rsid w:val="004368A6"/>
    <w:rsid w:val="00436B02"/>
    <w:rsid w:val="00436B4A"/>
    <w:rsid w:val="00436D77"/>
    <w:rsid w:val="00436E6C"/>
    <w:rsid w:val="00436F19"/>
    <w:rsid w:val="00436F53"/>
    <w:rsid w:val="00437057"/>
    <w:rsid w:val="00437135"/>
    <w:rsid w:val="00437370"/>
    <w:rsid w:val="0043756F"/>
    <w:rsid w:val="004375B3"/>
    <w:rsid w:val="00437622"/>
    <w:rsid w:val="00437762"/>
    <w:rsid w:val="004378A7"/>
    <w:rsid w:val="004379AE"/>
    <w:rsid w:val="004379BF"/>
    <w:rsid w:val="00437B99"/>
    <w:rsid w:val="00440151"/>
    <w:rsid w:val="0044016A"/>
    <w:rsid w:val="00440360"/>
    <w:rsid w:val="004403F7"/>
    <w:rsid w:val="0044052E"/>
    <w:rsid w:val="0044053E"/>
    <w:rsid w:val="004406CD"/>
    <w:rsid w:val="00440811"/>
    <w:rsid w:val="0044082B"/>
    <w:rsid w:val="00440A2F"/>
    <w:rsid w:val="00440A86"/>
    <w:rsid w:val="00440C2A"/>
    <w:rsid w:val="00440C8C"/>
    <w:rsid w:val="004410CA"/>
    <w:rsid w:val="004410CF"/>
    <w:rsid w:val="0044120B"/>
    <w:rsid w:val="004412FA"/>
    <w:rsid w:val="0044137B"/>
    <w:rsid w:val="00441646"/>
    <w:rsid w:val="0044167F"/>
    <w:rsid w:val="004416B0"/>
    <w:rsid w:val="004418E1"/>
    <w:rsid w:val="00441950"/>
    <w:rsid w:val="00441A0B"/>
    <w:rsid w:val="00441A4A"/>
    <w:rsid w:val="00441CBC"/>
    <w:rsid w:val="00441D60"/>
    <w:rsid w:val="00441D73"/>
    <w:rsid w:val="00441F7F"/>
    <w:rsid w:val="00441F98"/>
    <w:rsid w:val="0044207C"/>
    <w:rsid w:val="0044211A"/>
    <w:rsid w:val="00442199"/>
    <w:rsid w:val="00442292"/>
    <w:rsid w:val="004422FC"/>
    <w:rsid w:val="00442314"/>
    <w:rsid w:val="0044237D"/>
    <w:rsid w:val="004425A2"/>
    <w:rsid w:val="004425F4"/>
    <w:rsid w:val="00442722"/>
    <w:rsid w:val="004427D2"/>
    <w:rsid w:val="004427E6"/>
    <w:rsid w:val="0044295A"/>
    <w:rsid w:val="004429D8"/>
    <w:rsid w:val="004429FC"/>
    <w:rsid w:val="00442AB8"/>
    <w:rsid w:val="00442C93"/>
    <w:rsid w:val="00442CAC"/>
    <w:rsid w:val="00442D2F"/>
    <w:rsid w:val="00442E9B"/>
    <w:rsid w:val="00442EE3"/>
    <w:rsid w:val="00442F11"/>
    <w:rsid w:val="00442F32"/>
    <w:rsid w:val="0044310F"/>
    <w:rsid w:val="00443201"/>
    <w:rsid w:val="004433F5"/>
    <w:rsid w:val="004436EB"/>
    <w:rsid w:val="004438E4"/>
    <w:rsid w:val="0044398B"/>
    <w:rsid w:val="004439A6"/>
    <w:rsid w:val="00443A12"/>
    <w:rsid w:val="00443AB5"/>
    <w:rsid w:val="00443B94"/>
    <w:rsid w:val="00443C92"/>
    <w:rsid w:val="00443D46"/>
    <w:rsid w:val="00443E1F"/>
    <w:rsid w:val="00443EC1"/>
    <w:rsid w:val="0044403E"/>
    <w:rsid w:val="0044410D"/>
    <w:rsid w:val="004441D6"/>
    <w:rsid w:val="00444240"/>
    <w:rsid w:val="00444343"/>
    <w:rsid w:val="004443A0"/>
    <w:rsid w:val="004443E1"/>
    <w:rsid w:val="0044443F"/>
    <w:rsid w:val="00444619"/>
    <w:rsid w:val="004447B8"/>
    <w:rsid w:val="0044488B"/>
    <w:rsid w:val="0044488C"/>
    <w:rsid w:val="004448CB"/>
    <w:rsid w:val="00444B7E"/>
    <w:rsid w:val="00444BD0"/>
    <w:rsid w:val="00444E33"/>
    <w:rsid w:val="00444EFF"/>
    <w:rsid w:val="00444F1E"/>
    <w:rsid w:val="00445353"/>
    <w:rsid w:val="004453AC"/>
    <w:rsid w:val="00445416"/>
    <w:rsid w:val="0044563C"/>
    <w:rsid w:val="0044566E"/>
    <w:rsid w:val="00445830"/>
    <w:rsid w:val="0044583E"/>
    <w:rsid w:val="00445B64"/>
    <w:rsid w:val="00445BC1"/>
    <w:rsid w:val="00445DB8"/>
    <w:rsid w:val="00445E05"/>
    <w:rsid w:val="00445EA9"/>
    <w:rsid w:val="00446009"/>
    <w:rsid w:val="0044603C"/>
    <w:rsid w:val="004461A1"/>
    <w:rsid w:val="004461C1"/>
    <w:rsid w:val="00446280"/>
    <w:rsid w:val="00446474"/>
    <w:rsid w:val="0044654C"/>
    <w:rsid w:val="0044686C"/>
    <w:rsid w:val="00446884"/>
    <w:rsid w:val="00446919"/>
    <w:rsid w:val="00446A96"/>
    <w:rsid w:val="00446AF5"/>
    <w:rsid w:val="00446C68"/>
    <w:rsid w:val="00446C97"/>
    <w:rsid w:val="00446CAA"/>
    <w:rsid w:val="00446D05"/>
    <w:rsid w:val="00446D43"/>
    <w:rsid w:val="00446E15"/>
    <w:rsid w:val="00446F26"/>
    <w:rsid w:val="00446F73"/>
    <w:rsid w:val="0044728B"/>
    <w:rsid w:val="004472FD"/>
    <w:rsid w:val="00447528"/>
    <w:rsid w:val="0044756C"/>
    <w:rsid w:val="00447666"/>
    <w:rsid w:val="004476F8"/>
    <w:rsid w:val="00447725"/>
    <w:rsid w:val="004477FF"/>
    <w:rsid w:val="004479A5"/>
    <w:rsid w:val="004479A7"/>
    <w:rsid w:val="00447AC9"/>
    <w:rsid w:val="00447AE0"/>
    <w:rsid w:val="00447B9D"/>
    <w:rsid w:val="00447BC7"/>
    <w:rsid w:val="00447C9E"/>
    <w:rsid w:val="00447CE7"/>
    <w:rsid w:val="00447D1A"/>
    <w:rsid w:val="00447D60"/>
    <w:rsid w:val="00447D97"/>
    <w:rsid w:val="00447DEF"/>
    <w:rsid w:val="00447FE4"/>
    <w:rsid w:val="004500F9"/>
    <w:rsid w:val="004501CA"/>
    <w:rsid w:val="00450229"/>
    <w:rsid w:val="004502AB"/>
    <w:rsid w:val="004502B2"/>
    <w:rsid w:val="0045044D"/>
    <w:rsid w:val="00450452"/>
    <w:rsid w:val="0045047E"/>
    <w:rsid w:val="004504A2"/>
    <w:rsid w:val="004504E9"/>
    <w:rsid w:val="004508C6"/>
    <w:rsid w:val="004509EF"/>
    <w:rsid w:val="00450BB8"/>
    <w:rsid w:val="00450CD9"/>
    <w:rsid w:val="00450EC9"/>
    <w:rsid w:val="00450F15"/>
    <w:rsid w:val="00450FBC"/>
    <w:rsid w:val="0045106A"/>
    <w:rsid w:val="00451099"/>
    <w:rsid w:val="00451218"/>
    <w:rsid w:val="0045121E"/>
    <w:rsid w:val="00451227"/>
    <w:rsid w:val="00451230"/>
    <w:rsid w:val="00451264"/>
    <w:rsid w:val="0045137E"/>
    <w:rsid w:val="00451433"/>
    <w:rsid w:val="00451549"/>
    <w:rsid w:val="00451970"/>
    <w:rsid w:val="00451A63"/>
    <w:rsid w:val="00451A6A"/>
    <w:rsid w:val="00451AF6"/>
    <w:rsid w:val="00451B5B"/>
    <w:rsid w:val="00451B79"/>
    <w:rsid w:val="00451BC5"/>
    <w:rsid w:val="00451BD5"/>
    <w:rsid w:val="00451C57"/>
    <w:rsid w:val="00451D06"/>
    <w:rsid w:val="00451D2C"/>
    <w:rsid w:val="00451D3B"/>
    <w:rsid w:val="00451E80"/>
    <w:rsid w:val="00452023"/>
    <w:rsid w:val="0045205A"/>
    <w:rsid w:val="00452183"/>
    <w:rsid w:val="004521B8"/>
    <w:rsid w:val="004522A5"/>
    <w:rsid w:val="00452434"/>
    <w:rsid w:val="00452631"/>
    <w:rsid w:val="00452997"/>
    <w:rsid w:val="00452A84"/>
    <w:rsid w:val="00452ABA"/>
    <w:rsid w:val="00452ACC"/>
    <w:rsid w:val="00452EAE"/>
    <w:rsid w:val="00452EF2"/>
    <w:rsid w:val="00452FEC"/>
    <w:rsid w:val="0045306E"/>
    <w:rsid w:val="00453083"/>
    <w:rsid w:val="00453264"/>
    <w:rsid w:val="00453268"/>
    <w:rsid w:val="0045340A"/>
    <w:rsid w:val="0045350E"/>
    <w:rsid w:val="004535D8"/>
    <w:rsid w:val="004536A7"/>
    <w:rsid w:val="004536BA"/>
    <w:rsid w:val="004536FF"/>
    <w:rsid w:val="00453751"/>
    <w:rsid w:val="004537C5"/>
    <w:rsid w:val="00453BD3"/>
    <w:rsid w:val="00453CFD"/>
    <w:rsid w:val="00453E64"/>
    <w:rsid w:val="00453E9A"/>
    <w:rsid w:val="00453EF1"/>
    <w:rsid w:val="0045402E"/>
    <w:rsid w:val="00454077"/>
    <w:rsid w:val="004541D9"/>
    <w:rsid w:val="00454612"/>
    <w:rsid w:val="00454705"/>
    <w:rsid w:val="00454755"/>
    <w:rsid w:val="00454882"/>
    <w:rsid w:val="00454984"/>
    <w:rsid w:val="00454B57"/>
    <w:rsid w:val="00454DCF"/>
    <w:rsid w:val="00454F26"/>
    <w:rsid w:val="004551CE"/>
    <w:rsid w:val="004551F2"/>
    <w:rsid w:val="0045521A"/>
    <w:rsid w:val="0045526D"/>
    <w:rsid w:val="004552C8"/>
    <w:rsid w:val="004552CB"/>
    <w:rsid w:val="004553A7"/>
    <w:rsid w:val="00455414"/>
    <w:rsid w:val="004554C0"/>
    <w:rsid w:val="0045550D"/>
    <w:rsid w:val="00455597"/>
    <w:rsid w:val="00455608"/>
    <w:rsid w:val="00455720"/>
    <w:rsid w:val="004557A1"/>
    <w:rsid w:val="004559E2"/>
    <w:rsid w:val="00455A6E"/>
    <w:rsid w:val="00455BBB"/>
    <w:rsid w:val="00455D9A"/>
    <w:rsid w:val="00455DFE"/>
    <w:rsid w:val="00456194"/>
    <w:rsid w:val="0045619A"/>
    <w:rsid w:val="00456203"/>
    <w:rsid w:val="00456226"/>
    <w:rsid w:val="0045628F"/>
    <w:rsid w:val="004562B8"/>
    <w:rsid w:val="0045650E"/>
    <w:rsid w:val="004566D2"/>
    <w:rsid w:val="004566F1"/>
    <w:rsid w:val="0045689C"/>
    <w:rsid w:val="004568D7"/>
    <w:rsid w:val="00456923"/>
    <w:rsid w:val="00456929"/>
    <w:rsid w:val="00456E0B"/>
    <w:rsid w:val="004570AC"/>
    <w:rsid w:val="004570D0"/>
    <w:rsid w:val="004571A9"/>
    <w:rsid w:val="004571F9"/>
    <w:rsid w:val="00457224"/>
    <w:rsid w:val="004572F2"/>
    <w:rsid w:val="00457339"/>
    <w:rsid w:val="00457388"/>
    <w:rsid w:val="004574E7"/>
    <w:rsid w:val="00457548"/>
    <w:rsid w:val="004575B3"/>
    <w:rsid w:val="004576DD"/>
    <w:rsid w:val="004577C9"/>
    <w:rsid w:val="00457981"/>
    <w:rsid w:val="00457990"/>
    <w:rsid w:val="00457BCD"/>
    <w:rsid w:val="00457C7C"/>
    <w:rsid w:val="00457CB9"/>
    <w:rsid w:val="00457CD4"/>
    <w:rsid w:val="00457CFE"/>
    <w:rsid w:val="00457DB5"/>
    <w:rsid w:val="00457EAA"/>
    <w:rsid w:val="00457F22"/>
    <w:rsid w:val="00457F4C"/>
    <w:rsid w:val="0046006C"/>
    <w:rsid w:val="004600C2"/>
    <w:rsid w:val="00460106"/>
    <w:rsid w:val="00460114"/>
    <w:rsid w:val="00460475"/>
    <w:rsid w:val="00460477"/>
    <w:rsid w:val="00460539"/>
    <w:rsid w:val="00460618"/>
    <w:rsid w:val="00460B3A"/>
    <w:rsid w:val="00460BD9"/>
    <w:rsid w:val="00460C24"/>
    <w:rsid w:val="00460C4A"/>
    <w:rsid w:val="00460D2A"/>
    <w:rsid w:val="00460D44"/>
    <w:rsid w:val="00460DFF"/>
    <w:rsid w:val="00460F0A"/>
    <w:rsid w:val="00460F2B"/>
    <w:rsid w:val="00461025"/>
    <w:rsid w:val="0046105A"/>
    <w:rsid w:val="0046110E"/>
    <w:rsid w:val="004611B3"/>
    <w:rsid w:val="004612DE"/>
    <w:rsid w:val="0046132B"/>
    <w:rsid w:val="004613AE"/>
    <w:rsid w:val="0046147A"/>
    <w:rsid w:val="00461536"/>
    <w:rsid w:val="004616FD"/>
    <w:rsid w:val="00461705"/>
    <w:rsid w:val="0046174C"/>
    <w:rsid w:val="004618CB"/>
    <w:rsid w:val="00461A54"/>
    <w:rsid w:val="00461BB4"/>
    <w:rsid w:val="00461CDE"/>
    <w:rsid w:val="00461E46"/>
    <w:rsid w:val="00461F2E"/>
    <w:rsid w:val="00462036"/>
    <w:rsid w:val="004620EB"/>
    <w:rsid w:val="004620F9"/>
    <w:rsid w:val="0046222A"/>
    <w:rsid w:val="0046253D"/>
    <w:rsid w:val="00462691"/>
    <w:rsid w:val="0046270B"/>
    <w:rsid w:val="00462758"/>
    <w:rsid w:val="004628F1"/>
    <w:rsid w:val="00462914"/>
    <w:rsid w:val="0046298C"/>
    <w:rsid w:val="00462A02"/>
    <w:rsid w:val="00462B54"/>
    <w:rsid w:val="00462C8B"/>
    <w:rsid w:val="00462C93"/>
    <w:rsid w:val="00462D13"/>
    <w:rsid w:val="00462E09"/>
    <w:rsid w:val="00463064"/>
    <w:rsid w:val="00463113"/>
    <w:rsid w:val="00463184"/>
    <w:rsid w:val="00463267"/>
    <w:rsid w:val="004632E2"/>
    <w:rsid w:val="0046334D"/>
    <w:rsid w:val="00463391"/>
    <w:rsid w:val="004633A5"/>
    <w:rsid w:val="00463485"/>
    <w:rsid w:val="00463695"/>
    <w:rsid w:val="004636C5"/>
    <w:rsid w:val="004637AF"/>
    <w:rsid w:val="00463895"/>
    <w:rsid w:val="004638C2"/>
    <w:rsid w:val="00463A86"/>
    <w:rsid w:val="00463B3B"/>
    <w:rsid w:val="00463DB5"/>
    <w:rsid w:val="00463DBC"/>
    <w:rsid w:val="00463FEE"/>
    <w:rsid w:val="004640FD"/>
    <w:rsid w:val="00464118"/>
    <w:rsid w:val="0046414C"/>
    <w:rsid w:val="00464162"/>
    <w:rsid w:val="004641E5"/>
    <w:rsid w:val="00464208"/>
    <w:rsid w:val="00464399"/>
    <w:rsid w:val="004644A8"/>
    <w:rsid w:val="004645CA"/>
    <w:rsid w:val="004645FB"/>
    <w:rsid w:val="004647B2"/>
    <w:rsid w:val="00464805"/>
    <w:rsid w:val="0046488F"/>
    <w:rsid w:val="004649CD"/>
    <w:rsid w:val="004649D3"/>
    <w:rsid w:val="00464A3A"/>
    <w:rsid w:val="00464A3B"/>
    <w:rsid w:val="00464B3C"/>
    <w:rsid w:val="00464B90"/>
    <w:rsid w:val="00464C37"/>
    <w:rsid w:val="00465385"/>
    <w:rsid w:val="004653A2"/>
    <w:rsid w:val="00465433"/>
    <w:rsid w:val="00465477"/>
    <w:rsid w:val="0046558A"/>
    <w:rsid w:val="00465689"/>
    <w:rsid w:val="004656CF"/>
    <w:rsid w:val="00465811"/>
    <w:rsid w:val="004658B5"/>
    <w:rsid w:val="004658EB"/>
    <w:rsid w:val="00465913"/>
    <w:rsid w:val="004659E0"/>
    <w:rsid w:val="00465BE8"/>
    <w:rsid w:val="00465D65"/>
    <w:rsid w:val="00465DC8"/>
    <w:rsid w:val="00465E91"/>
    <w:rsid w:val="00465EA7"/>
    <w:rsid w:val="00465EC7"/>
    <w:rsid w:val="0046610E"/>
    <w:rsid w:val="00466196"/>
    <w:rsid w:val="0046630C"/>
    <w:rsid w:val="0046670E"/>
    <w:rsid w:val="00466750"/>
    <w:rsid w:val="004667A9"/>
    <w:rsid w:val="004667AB"/>
    <w:rsid w:val="00466805"/>
    <w:rsid w:val="0046685B"/>
    <w:rsid w:val="00466A67"/>
    <w:rsid w:val="00466AF0"/>
    <w:rsid w:val="00466B18"/>
    <w:rsid w:val="00466BA3"/>
    <w:rsid w:val="00466C4B"/>
    <w:rsid w:val="00466CD2"/>
    <w:rsid w:val="00466D0E"/>
    <w:rsid w:val="00466DF1"/>
    <w:rsid w:val="00466E7E"/>
    <w:rsid w:val="00466EEB"/>
    <w:rsid w:val="00466FC4"/>
    <w:rsid w:val="004670A0"/>
    <w:rsid w:val="0046756F"/>
    <w:rsid w:val="004675D5"/>
    <w:rsid w:val="00467607"/>
    <w:rsid w:val="00467636"/>
    <w:rsid w:val="0046770A"/>
    <w:rsid w:val="004677A2"/>
    <w:rsid w:val="004677DD"/>
    <w:rsid w:val="00467A5C"/>
    <w:rsid w:val="00467ABD"/>
    <w:rsid w:val="00467AE3"/>
    <w:rsid w:val="00467BDD"/>
    <w:rsid w:val="00467CB5"/>
    <w:rsid w:val="00467E2B"/>
    <w:rsid w:val="00467E75"/>
    <w:rsid w:val="00467F89"/>
    <w:rsid w:val="00470033"/>
    <w:rsid w:val="00470311"/>
    <w:rsid w:val="0047035F"/>
    <w:rsid w:val="004705AB"/>
    <w:rsid w:val="00470841"/>
    <w:rsid w:val="004708EC"/>
    <w:rsid w:val="00470941"/>
    <w:rsid w:val="00470988"/>
    <w:rsid w:val="00470ACC"/>
    <w:rsid w:val="00470AED"/>
    <w:rsid w:val="00470B81"/>
    <w:rsid w:val="00470BAE"/>
    <w:rsid w:val="00470C36"/>
    <w:rsid w:val="00470C94"/>
    <w:rsid w:val="00470CA0"/>
    <w:rsid w:val="00470E5F"/>
    <w:rsid w:val="00470F3C"/>
    <w:rsid w:val="00470F3E"/>
    <w:rsid w:val="00471263"/>
    <w:rsid w:val="004713B2"/>
    <w:rsid w:val="00471411"/>
    <w:rsid w:val="0047144D"/>
    <w:rsid w:val="004714D3"/>
    <w:rsid w:val="004714D8"/>
    <w:rsid w:val="0047159F"/>
    <w:rsid w:val="00471792"/>
    <w:rsid w:val="00471857"/>
    <w:rsid w:val="00471956"/>
    <w:rsid w:val="00471969"/>
    <w:rsid w:val="0047198A"/>
    <w:rsid w:val="004719A0"/>
    <w:rsid w:val="00471A04"/>
    <w:rsid w:val="00471CC6"/>
    <w:rsid w:val="00471D36"/>
    <w:rsid w:val="00471D89"/>
    <w:rsid w:val="00471DEC"/>
    <w:rsid w:val="00471F36"/>
    <w:rsid w:val="00471F39"/>
    <w:rsid w:val="00472017"/>
    <w:rsid w:val="00472048"/>
    <w:rsid w:val="004720A6"/>
    <w:rsid w:val="00472444"/>
    <w:rsid w:val="00472461"/>
    <w:rsid w:val="004724BE"/>
    <w:rsid w:val="0047256E"/>
    <w:rsid w:val="004727AD"/>
    <w:rsid w:val="004728CB"/>
    <w:rsid w:val="004729D6"/>
    <w:rsid w:val="00472B0C"/>
    <w:rsid w:val="00472B1E"/>
    <w:rsid w:val="00472B98"/>
    <w:rsid w:val="00472BB0"/>
    <w:rsid w:val="00472DEE"/>
    <w:rsid w:val="00473141"/>
    <w:rsid w:val="004732CA"/>
    <w:rsid w:val="004732E4"/>
    <w:rsid w:val="004732EC"/>
    <w:rsid w:val="0047347D"/>
    <w:rsid w:val="004735E8"/>
    <w:rsid w:val="004735FB"/>
    <w:rsid w:val="004736EB"/>
    <w:rsid w:val="004737C8"/>
    <w:rsid w:val="004738DB"/>
    <w:rsid w:val="00473A4B"/>
    <w:rsid w:val="00473A95"/>
    <w:rsid w:val="00473C3D"/>
    <w:rsid w:val="00473DA4"/>
    <w:rsid w:val="00473DD1"/>
    <w:rsid w:val="00473EBA"/>
    <w:rsid w:val="00473FC0"/>
    <w:rsid w:val="004740AA"/>
    <w:rsid w:val="004740BF"/>
    <w:rsid w:val="0047411E"/>
    <w:rsid w:val="0047414B"/>
    <w:rsid w:val="0047436F"/>
    <w:rsid w:val="00474445"/>
    <w:rsid w:val="00474460"/>
    <w:rsid w:val="00474484"/>
    <w:rsid w:val="004744F4"/>
    <w:rsid w:val="0047451E"/>
    <w:rsid w:val="004745B1"/>
    <w:rsid w:val="004745E8"/>
    <w:rsid w:val="00474782"/>
    <w:rsid w:val="00474835"/>
    <w:rsid w:val="0047498F"/>
    <w:rsid w:val="00474EA2"/>
    <w:rsid w:val="00475354"/>
    <w:rsid w:val="0047543A"/>
    <w:rsid w:val="0047558F"/>
    <w:rsid w:val="00475730"/>
    <w:rsid w:val="004759FE"/>
    <w:rsid w:val="00475A5C"/>
    <w:rsid w:val="00475B95"/>
    <w:rsid w:val="00475BFE"/>
    <w:rsid w:val="00475C1F"/>
    <w:rsid w:val="00475C23"/>
    <w:rsid w:val="00475C50"/>
    <w:rsid w:val="00476031"/>
    <w:rsid w:val="004761D1"/>
    <w:rsid w:val="004762F3"/>
    <w:rsid w:val="0047633A"/>
    <w:rsid w:val="00476467"/>
    <w:rsid w:val="004764F9"/>
    <w:rsid w:val="0047656C"/>
    <w:rsid w:val="0047663F"/>
    <w:rsid w:val="004766AC"/>
    <w:rsid w:val="004769ED"/>
    <w:rsid w:val="00476B04"/>
    <w:rsid w:val="00476B73"/>
    <w:rsid w:val="00476D3D"/>
    <w:rsid w:val="00476F33"/>
    <w:rsid w:val="00477042"/>
    <w:rsid w:val="0047711B"/>
    <w:rsid w:val="00477404"/>
    <w:rsid w:val="0047754D"/>
    <w:rsid w:val="00477612"/>
    <w:rsid w:val="004776C4"/>
    <w:rsid w:val="004778FB"/>
    <w:rsid w:val="004779ED"/>
    <w:rsid w:val="00477A55"/>
    <w:rsid w:val="00477B93"/>
    <w:rsid w:val="00477C42"/>
    <w:rsid w:val="00477DC9"/>
    <w:rsid w:val="00477F2A"/>
    <w:rsid w:val="00477F86"/>
    <w:rsid w:val="0048002F"/>
    <w:rsid w:val="00480065"/>
    <w:rsid w:val="00480097"/>
    <w:rsid w:val="004800C9"/>
    <w:rsid w:val="00480136"/>
    <w:rsid w:val="004801D2"/>
    <w:rsid w:val="004801F1"/>
    <w:rsid w:val="00480489"/>
    <w:rsid w:val="0048048A"/>
    <w:rsid w:val="004804B4"/>
    <w:rsid w:val="00480562"/>
    <w:rsid w:val="00480564"/>
    <w:rsid w:val="00480607"/>
    <w:rsid w:val="00480847"/>
    <w:rsid w:val="0048087F"/>
    <w:rsid w:val="004808B8"/>
    <w:rsid w:val="004809B8"/>
    <w:rsid w:val="004809DF"/>
    <w:rsid w:val="00480A17"/>
    <w:rsid w:val="00480B32"/>
    <w:rsid w:val="00480BEE"/>
    <w:rsid w:val="00480C8B"/>
    <w:rsid w:val="00480DD9"/>
    <w:rsid w:val="00481158"/>
    <w:rsid w:val="0048119A"/>
    <w:rsid w:val="004811C1"/>
    <w:rsid w:val="0048128E"/>
    <w:rsid w:val="0048146E"/>
    <w:rsid w:val="00481614"/>
    <w:rsid w:val="00481708"/>
    <w:rsid w:val="004817E9"/>
    <w:rsid w:val="004818D3"/>
    <w:rsid w:val="004818E1"/>
    <w:rsid w:val="00481A42"/>
    <w:rsid w:val="00481BF7"/>
    <w:rsid w:val="00481C46"/>
    <w:rsid w:val="00481CFE"/>
    <w:rsid w:val="00481D1B"/>
    <w:rsid w:val="00481D3E"/>
    <w:rsid w:val="00481E09"/>
    <w:rsid w:val="00481F10"/>
    <w:rsid w:val="0048209B"/>
    <w:rsid w:val="004820C3"/>
    <w:rsid w:val="004820FA"/>
    <w:rsid w:val="004821B9"/>
    <w:rsid w:val="004824F0"/>
    <w:rsid w:val="00482543"/>
    <w:rsid w:val="004825F3"/>
    <w:rsid w:val="00482758"/>
    <w:rsid w:val="00482851"/>
    <w:rsid w:val="00482D6D"/>
    <w:rsid w:val="00482DAF"/>
    <w:rsid w:val="00482E88"/>
    <w:rsid w:val="00482F1C"/>
    <w:rsid w:val="00482F32"/>
    <w:rsid w:val="00482FDA"/>
    <w:rsid w:val="004830FC"/>
    <w:rsid w:val="00483217"/>
    <w:rsid w:val="004832E7"/>
    <w:rsid w:val="00483442"/>
    <w:rsid w:val="0048347E"/>
    <w:rsid w:val="00483699"/>
    <w:rsid w:val="00483940"/>
    <w:rsid w:val="00483A0D"/>
    <w:rsid w:val="00483A69"/>
    <w:rsid w:val="00483C11"/>
    <w:rsid w:val="00483C29"/>
    <w:rsid w:val="00483C7B"/>
    <w:rsid w:val="00483FEC"/>
    <w:rsid w:val="0048403E"/>
    <w:rsid w:val="004840E9"/>
    <w:rsid w:val="0048428A"/>
    <w:rsid w:val="004843CE"/>
    <w:rsid w:val="0048468C"/>
    <w:rsid w:val="00484767"/>
    <w:rsid w:val="004849C9"/>
    <w:rsid w:val="00484A45"/>
    <w:rsid w:val="00484A67"/>
    <w:rsid w:val="00484AA6"/>
    <w:rsid w:val="00484B41"/>
    <w:rsid w:val="00484B7C"/>
    <w:rsid w:val="00484D05"/>
    <w:rsid w:val="00484D93"/>
    <w:rsid w:val="00484EFF"/>
    <w:rsid w:val="00485118"/>
    <w:rsid w:val="004851DE"/>
    <w:rsid w:val="004851E5"/>
    <w:rsid w:val="00485235"/>
    <w:rsid w:val="004852A6"/>
    <w:rsid w:val="00485301"/>
    <w:rsid w:val="004853DB"/>
    <w:rsid w:val="0048541A"/>
    <w:rsid w:val="00485440"/>
    <w:rsid w:val="00485562"/>
    <w:rsid w:val="00485601"/>
    <w:rsid w:val="00485612"/>
    <w:rsid w:val="00485703"/>
    <w:rsid w:val="004859BA"/>
    <w:rsid w:val="00485A0F"/>
    <w:rsid w:val="00485B2E"/>
    <w:rsid w:val="00485D10"/>
    <w:rsid w:val="00485D44"/>
    <w:rsid w:val="00485DD4"/>
    <w:rsid w:val="00485F13"/>
    <w:rsid w:val="00485F88"/>
    <w:rsid w:val="00486016"/>
    <w:rsid w:val="00486021"/>
    <w:rsid w:val="00486093"/>
    <w:rsid w:val="0048632D"/>
    <w:rsid w:val="004866D7"/>
    <w:rsid w:val="004868E5"/>
    <w:rsid w:val="00486976"/>
    <w:rsid w:val="004869AF"/>
    <w:rsid w:val="00486A65"/>
    <w:rsid w:val="00486E2E"/>
    <w:rsid w:val="00486F88"/>
    <w:rsid w:val="0048701F"/>
    <w:rsid w:val="00487347"/>
    <w:rsid w:val="00487395"/>
    <w:rsid w:val="00487475"/>
    <w:rsid w:val="0048747B"/>
    <w:rsid w:val="00487498"/>
    <w:rsid w:val="00487703"/>
    <w:rsid w:val="00487740"/>
    <w:rsid w:val="004877A4"/>
    <w:rsid w:val="004878AA"/>
    <w:rsid w:val="00487927"/>
    <w:rsid w:val="004879FA"/>
    <w:rsid w:val="00487BD4"/>
    <w:rsid w:val="00487D40"/>
    <w:rsid w:val="00490132"/>
    <w:rsid w:val="00490145"/>
    <w:rsid w:val="00490221"/>
    <w:rsid w:val="004902A7"/>
    <w:rsid w:val="0049033B"/>
    <w:rsid w:val="004904D2"/>
    <w:rsid w:val="004905EB"/>
    <w:rsid w:val="00490742"/>
    <w:rsid w:val="004908BF"/>
    <w:rsid w:val="00490928"/>
    <w:rsid w:val="00490A31"/>
    <w:rsid w:val="00490E93"/>
    <w:rsid w:val="00490EB3"/>
    <w:rsid w:val="00490F74"/>
    <w:rsid w:val="004910A6"/>
    <w:rsid w:val="004911F9"/>
    <w:rsid w:val="004912EE"/>
    <w:rsid w:val="004913B0"/>
    <w:rsid w:val="004914D9"/>
    <w:rsid w:val="00491575"/>
    <w:rsid w:val="004916AE"/>
    <w:rsid w:val="004916CB"/>
    <w:rsid w:val="00491734"/>
    <w:rsid w:val="0049183D"/>
    <w:rsid w:val="00491880"/>
    <w:rsid w:val="00491A21"/>
    <w:rsid w:val="00491A3D"/>
    <w:rsid w:val="00491D88"/>
    <w:rsid w:val="00491FDF"/>
    <w:rsid w:val="00492076"/>
    <w:rsid w:val="00492132"/>
    <w:rsid w:val="00492218"/>
    <w:rsid w:val="00492271"/>
    <w:rsid w:val="0049236B"/>
    <w:rsid w:val="00492377"/>
    <w:rsid w:val="00492446"/>
    <w:rsid w:val="004924D7"/>
    <w:rsid w:val="004925BF"/>
    <w:rsid w:val="0049267B"/>
    <w:rsid w:val="0049268B"/>
    <w:rsid w:val="004926AE"/>
    <w:rsid w:val="004927D8"/>
    <w:rsid w:val="004928BD"/>
    <w:rsid w:val="004928BF"/>
    <w:rsid w:val="0049294A"/>
    <w:rsid w:val="004929CA"/>
    <w:rsid w:val="00492DC5"/>
    <w:rsid w:val="00493011"/>
    <w:rsid w:val="00493021"/>
    <w:rsid w:val="0049306D"/>
    <w:rsid w:val="00493196"/>
    <w:rsid w:val="00493277"/>
    <w:rsid w:val="00493367"/>
    <w:rsid w:val="004933D1"/>
    <w:rsid w:val="004935ED"/>
    <w:rsid w:val="00493631"/>
    <w:rsid w:val="004937B1"/>
    <w:rsid w:val="00493878"/>
    <w:rsid w:val="00493BE7"/>
    <w:rsid w:val="00493E2E"/>
    <w:rsid w:val="00493EE7"/>
    <w:rsid w:val="004940A2"/>
    <w:rsid w:val="004942B5"/>
    <w:rsid w:val="00494418"/>
    <w:rsid w:val="00494528"/>
    <w:rsid w:val="004946D2"/>
    <w:rsid w:val="00494708"/>
    <w:rsid w:val="004947E0"/>
    <w:rsid w:val="00494813"/>
    <w:rsid w:val="00494855"/>
    <w:rsid w:val="00494893"/>
    <w:rsid w:val="004948ED"/>
    <w:rsid w:val="004948FE"/>
    <w:rsid w:val="00494A04"/>
    <w:rsid w:val="00494AE7"/>
    <w:rsid w:val="00494BCC"/>
    <w:rsid w:val="00494CEB"/>
    <w:rsid w:val="00494DB0"/>
    <w:rsid w:val="00494E80"/>
    <w:rsid w:val="00494FD2"/>
    <w:rsid w:val="0049508D"/>
    <w:rsid w:val="00495120"/>
    <w:rsid w:val="0049526F"/>
    <w:rsid w:val="004953D1"/>
    <w:rsid w:val="0049543B"/>
    <w:rsid w:val="004954AA"/>
    <w:rsid w:val="00495663"/>
    <w:rsid w:val="004958AC"/>
    <w:rsid w:val="00495922"/>
    <w:rsid w:val="00495BCF"/>
    <w:rsid w:val="00495DD2"/>
    <w:rsid w:val="00495E12"/>
    <w:rsid w:val="00495F28"/>
    <w:rsid w:val="00495FD4"/>
    <w:rsid w:val="0049605C"/>
    <w:rsid w:val="0049611A"/>
    <w:rsid w:val="00496174"/>
    <w:rsid w:val="004965C1"/>
    <w:rsid w:val="004965F7"/>
    <w:rsid w:val="00496605"/>
    <w:rsid w:val="00496674"/>
    <w:rsid w:val="004966F6"/>
    <w:rsid w:val="0049687E"/>
    <w:rsid w:val="0049693D"/>
    <w:rsid w:val="00496960"/>
    <w:rsid w:val="004969AF"/>
    <w:rsid w:val="004969F2"/>
    <w:rsid w:val="00496AC2"/>
    <w:rsid w:val="00496CE9"/>
    <w:rsid w:val="00496D58"/>
    <w:rsid w:val="00496D97"/>
    <w:rsid w:val="00496DA4"/>
    <w:rsid w:val="004970F6"/>
    <w:rsid w:val="004970F8"/>
    <w:rsid w:val="0049713A"/>
    <w:rsid w:val="00497258"/>
    <w:rsid w:val="00497552"/>
    <w:rsid w:val="004975AA"/>
    <w:rsid w:val="004975AD"/>
    <w:rsid w:val="004975C3"/>
    <w:rsid w:val="00497739"/>
    <w:rsid w:val="0049773D"/>
    <w:rsid w:val="00497748"/>
    <w:rsid w:val="0049774D"/>
    <w:rsid w:val="0049776E"/>
    <w:rsid w:val="00497950"/>
    <w:rsid w:val="00497A7B"/>
    <w:rsid w:val="00497B71"/>
    <w:rsid w:val="00497B75"/>
    <w:rsid w:val="00497BFA"/>
    <w:rsid w:val="00497C85"/>
    <w:rsid w:val="00497D15"/>
    <w:rsid w:val="00497F32"/>
    <w:rsid w:val="00497FBB"/>
    <w:rsid w:val="00497FBF"/>
    <w:rsid w:val="004A00BA"/>
    <w:rsid w:val="004A0158"/>
    <w:rsid w:val="004A02B9"/>
    <w:rsid w:val="004A04A4"/>
    <w:rsid w:val="004A053D"/>
    <w:rsid w:val="004A0548"/>
    <w:rsid w:val="004A06F9"/>
    <w:rsid w:val="004A08DB"/>
    <w:rsid w:val="004A08DD"/>
    <w:rsid w:val="004A097D"/>
    <w:rsid w:val="004A0B69"/>
    <w:rsid w:val="004A0D3C"/>
    <w:rsid w:val="004A0DA4"/>
    <w:rsid w:val="004A0E44"/>
    <w:rsid w:val="004A11A1"/>
    <w:rsid w:val="004A121B"/>
    <w:rsid w:val="004A129F"/>
    <w:rsid w:val="004A1635"/>
    <w:rsid w:val="004A1648"/>
    <w:rsid w:val="004A17CE"/>
    <w:rsid w:val="004A1884"/>
    <w:rsid w:val="004A1910"/>
    <w:rsid w:val="004A1931"/>
    <w:rsid w:val="004A1A5E"/>
    <w:rsid w:val="004A1A8E"/>
    <w:rsid w:val="004A1BEA"/>
    <w:rsid w:val="004A1CF5"/>
    <w:rsid w:val="004A1D47"/>
    <w:rsid w:val="004A1DF3"/>
    <w:rsid w:val="004A1E0E"/>
    <w:rsid w:val="004A1F59"/>
    <w:rsid w:val="004A1FCC"/>
    <w:rsid w:val="004A20D2"/>
    <w:rsid w:val="004A21B2"/>
    <w:rsid w:val="004A233A"/>
    <w:rsid w:val="004A2343"/>
    <w:rsid w:val="004A23ED"/>
    <w:rsid w:val="004A2519"/>
    <w:rsid w:val="004A2565"/>
    <w:rsid w:val="004A2620"/>
    <w:rsid w:val="004A267A"/>
    <w:rsid w:val="004A2685"/>
    <w:rsid w:val="004A2716"/>
    <w:rsid w:val="004A2763"/>
    <w:rsid w:val="004A279A"/>
    <w:rsid w:val="004A2850"/>
    <w:rsid w:val="004A29BD"/>
    <w:rsid w:val="004A2BCE"/>
    <w:rsid w:val="004A2C94"/>
    <w:rsid w:val="004A2D86"/>
    <w:rsid w:val="004A2E78"/>
    <w:rsid w:val="004A2F18"/>
    <w:rsid w:val="004A2FFD"/>
    <w:rsid w:val="004A316F"/>
    <w:rsid w:val="004A3183"/>
    <w:rsid w:val="004A3238"/>
    <w:rsid w:val="004A324C"/>
    <w:rsid w:val="004A325C"/>
    <w:rsid w:val="004A34C7"/>
    <w:rsid w:val="004A35F4"/>
    <w:rsid w:val="004A3658"/>
    <w:rsid w:val="004A37C0"/>
    <w:rsid w:val="004A37E8"/>
    <w:rsid w:val="004A3819"/>
    <w:rsid w:val="004A3873"/>
    <w:rsid w:val="004A3885"/>
    <w:rsid w:val="004A392C"/>
    <w:rsid w:val="004A39C9"/>
    <w:rsid w:val="004A3A1F"/>
    <w:rsid w:val="004A3B78"/>
    <w:rsid w:val="004A3F34"/>
    <w:rsid w:val="004A402B"/>
    <w:rsid w:val="004A4036"/>
    <w:rsid w:val="004A40B0"/>
    <w:rsid w:val="004A40BD"/>
    <w:rsid w:val="004A41CB"/>
    <w:rsid w:val="004A41FB"/>
    <w:rsid w:val="004A421B"/>
    <w:rsid w:val="004A4306"/>
    <w:rsid w:val="004A4309"/>
    <w:rsid w:val="004A4344"/>
    <w:rsid w:val="004A4660"/>
    <w:rsid w:val="004A469A"/>
    <w:rsid w:val="004A46FF"/>
    <w:rsid w:val="004A4A46"/>
    <w:rsid w:val="004A4A56"/>
    <w:rsid w:val="004A4AE4"/>
    <w:rsid w:val="004A4BFA"/>
    <w:rsid w:val="004A4C18"/>
    <w:rsid w:val="004A4CBD"/>
    <w:rsid w:val="004A4F9A"/>
    <w:rsid w:val="004A5222"/>
    <w:rsid w:val="004A5279"/>
    <w:rsid w:val="004A527B"/>
    <w:rsid w:val="004A52C1"/>
    <w:rsid w:val="004A5313"/>
    <w:rsid w:val="004A53C7"/>
    <w:rsid w:val="004A53D5"/>
    <w:rsid w:val="004A54D2"/>
    <w:rsid w:val="004A56B0"/>
    <w:rsid w:val="004A56B1"/>
    <w:rsid w:val="004A5A65"/>
    <w:rsid w:val="004A5D67"/>
    <w:rsid w:val="004A5D68"/>
    <w:rsid w:val="004A5D86"/>
    <w:rsid w:val="004A5E1A"/>
    <w:rsid w:val="004A5F9D"/>
    <w:rsid w:val="004A6101"/>
    <w:rsid w:val="004A6166"/>
    <w:rsid w:val="004A61DB"/>
    <w:rsid w:val="004A61EE"/>
    <w:rsid w:val="004A624A"/>
    <w:rsid w:val="004A628A"/>
    <w:rsid w:val="004A62B8"/>
    <w:rsid w:val="004A63E5"/>
    <w:rsid w:val="004A664F"/>
    <w:rsid w:val="004A66FC"/>
    <w:rsid w:val="004A67E9"/>
    <w:rsid w:val="004A687D"/>
    <w:rsid w:val="004A6896"/>
    <w:rsid w:val="004A6939"/>
    <w:rsid w:val="004A6967"/>
    <w:rsid w:val="004A6A2C"/>
    <w:rsid w:val="004A6B13"/>
    <w:rsid w:val="004A6B49"/>
    <w:rsid w:val="004A6B77"/>
    <w:rsid w:val="004A6BE8"/>
    <w:rsid w:val="004A6CBF"/>
    <w:rsid w:val="004A6DB6"/>
    <w:rsid w:val="004A6E40"/>
    <w:rsid w:val="004A703E"/>
    <w:rsid w:val="004A7048"/>
    <w:rsid w:val="004A7057"/>
    <w:rsid w:val="004A70F7"/>
    <w:rsid w:val="004A7106"/>
    <w:rsid w:val="004A7200"/>
    <w:rsid w:val="004A728A"/>
    <w:rsid w:val="004A7340"/>
    <w:rsid w:val="004A73A0"/>
    <w:rsid w:val="004A742E"/>
    <w:rsid w:val="004A75DA"/>
    <w:rsid w:val="004A7616"/>
    <w:rsid w:val="004A769B"/>
    <w:rsid w:val="004A7823"/>
    <w:rsid w:val="004A7880"/>
    <w:rsid w:val="004A7903"/>
    <w:rsid w:val="004A7AC9"/>
    <w:rsid w:val="004A7B16"/>
    <w:rsid w:val="004A7B40"/>
    <w:rsid w:val="004A7B5E"/>
    <w:rsid w:val="004A7C87"/>
    <w:rsid w:val="004A7D50"/>
    <w:rsid w:val="004A7DEC"/>
    <w:rsid w:val="004A7EFC"/>
    <w:rsid w:val="004B0279"/>
    <w:rsid w:val="004B03A9"/>
    <w:rsid w:val="004B03AD"/>
    <w:rsid w:val="004B0498"/>
    <w:rsid w:val="004B0514"/>
    <w:rsid w:val="004B0531"/>
    <w:rsid w:val="004B0857"/>
    <w:rsid w:val="004B08BE"/>
    <w:rsid w:val="004B0987"/>
    <w:rsid w:val="004B09B9"/>
    <w:rsid w:val="004B0A0A"/>
    <w:rsid w:val="004B0AAC"/>
    <w:rsid w:val="004B0B59"/>
    <w:rsid w:val="004B0B7E"/>
    <w:rsid w:val="004B0D2E"/>
    <w:rsid w:val="004B0D70"/>
    <w:rsid w:val="004B0D78"/>
    <w:rsid w:val="004B102D"/>
    <w:rsid w:val="004B1088"/>
    <w:rsid w:val="004B10B0"/>
    <w:rsid w:val="004B1125"/>
    <w:rsid w:val="004B1154"/>
    <w:rsid w:val="004B121A"/>
    <w:rsid w:val="004B1228"/>
    <w:rsid w:val="004B1291"/>
    <w:rsid w:val="004B12F1"/>
    <w:rsid w:val="004B131B"/>
    <w:rsid w:val="004B143D"/>
    <w:rsid w:val="004B164F"/>
    <w:rsid w:val="004B179A"/>
    <w:rsid w:val="004B1850"/>
    <w:rsid w:val="004B1A27"/>
    <w:rsid w:val="004B1B40"/>
    <w:rsid w:val="004B1C4B"/>
    <w:rsid w:val="004B1DA3"/>
    <w:rsid w:val="004B1E2F"/>
    <w:rsid w:val="004B1F04"/>
    <w:rsid w:val="004B1F86"/>
    <w:rsid w:val="004B2038"/>
    <w:rsid w:val="004B2055"/>
    <w:rsid w:val="004B208D"/>
    <w:rsid w:val="004B2132"/>
    <w:rsid w:val="004B2156"/>
    <w:rsid w:val="004B233E"/>
    <w:rsid w:val="004B2368"/>
    <w:rsid w:val="004B2392"/>
    <w:rsid w:val="004B24E8"/>
    <w:rsid w:val="004B2722"/>
    <w:rsid w:val="004B279D"/>
    <w:rsid w:val="004B2891"/>
    <w:rsid w:val="004B2C16"/>
    <w:rsid w:val="004B2C26"/>
    <w:rsid w:val="004B2C60"/>
    <w:rsid w:val="004B2D06"/>
    <w:rsid w:val="004B2D30"/>
    <w:rsid w:val="004B2EF7"/>
    <w:rsid w:val="004B31CF"/>
    <w:rsid w:val="004B3300"/>
    <w:rsid w:val="004B339B"/>
    <w:rsid w:val="004B3475"/>
    <w:rsid w:val="004B34C4"/>
    <w:rsid w:val="004B356F"/>
    <w:rsid w:val="004B370E"/>
    <w:rsid w:val="004B3750"/>
    <w:rsid w:val="004B37D3"/>
    <w:rsid w:val="004B3804"/>
    <w:rsid w:val="004B381E"/>
    <w:rsid w:val="004B3AD2"/>
    <w:rsid w:val="004B3AE2"/>
    <w:rsid w:val="004B3B67"/>
    <w:rsid w:val="004B3BF2"/>
    <w:rsid w:val="004B3C54"/>
    <w:rsid w:val="004B3DDE"/>
    <w:rsid w:val="004B3E57"/>
    <w:rsid w:val="004B3F72"/>
    <w:rsid w:val="004B40D3"/>
    <w:rsid w:val="004B4247"/>
    <w:rsid w:val="004B426A"/>
    <w:rsid w:val="004B4289"/>
    <w:rsid w:val="004B432E"/>
    <w:rsid w:val="004B4437"/>
    <w:rsid w:val="004B444E"/>
    <w:rsid w:val="004B44E9"/>
    <w:rsid w:val="004B44ED"/>
    <w:rsid w:val="004B4507"/>
    <w:rsid w:val="004B459E"/>
    <w:rsid w:val="004B46BB"/>
    <w:rsid w:val="004B4928"/>
    <w:rsid w:val="004B492A"/>
    <w:rsid w:val="004B4953"/>
    <w:rsid w:val="004B4A11"/>
    <w:rsid w:val="004B4A31"/>
    <w:rsid w:val="004B4D34"/>
    <w:rsid w:val="004B4DE3"/>
    <w:rsid w:val="004B4E4F"/>
    <w:rsid w:val="004B4E78"/>
    <w:rsid w:val="004B4F43"/>
    <w:rsid w:val="004B512A"/>
    <w:rsid w:val="004B5130"/>
    <w:rsid w:val="004B5188"/>
    <w:rsid w:val="004B534A"/>
    <w:rsid w:val="004B545E"/>
    <w:rsid w:val="004B5586"/>
    <w:rsid w:val="004B55ED"/>
    <w:rsid w:val="004B57F3"/>
    <w:rsid w:val="004B5851"/>
    <w:rsid w:val="004B59E3"/>
    <w:rsid w:val="004B5A34"/>
    <w:rsid w:val="004B5A6E"/>
    <w:rsid w:val="004B5C07"/>
    <w:rsid w:val="004B5D34"/>
    <w:rsid w:val="004B5D69"/>
    <w:rsid w:val="004B5FB4"/>
    <w:rsid w:val="004B5FDD"/>
    <w:rsid w:val="004B6002"/>
    <w:rsid w:val="004B6022"/>
    <w:rsid w:val="004B603B"/>
    <w:rsid w:val="004B606B"/>
    <w:rsid w:val="004B60CB"/>
    <w:rsid w:val="004B614A"/>
    <w:rsid w:val="004B6168"/>
    <w:rsid w:val="004B61D8"/>
    <w:rsid w:val="004B62A8"/>
    <w:rsid w:val="004B62DF"/>
    <w:rsid w:val="004B6339"/>
    <w:rsid w:val="004B650E"/>
    <w:rsid w:val="004B661E"/>
    <w:rsid w:val="004B6673"/>
    <w:rsid w:val="004B6784"/>
    <w:rsid w:val="004B6803"/>
    <w:rsid w:val="004B698E"/>
    <w:rsid w:val="004B6A42"/>
    <w:rsid w:val="004B6AD9"/>
    <w:rsid w:val="004B6ADF"/>
    <w:rsid w:val="004B6BAA"/>
    <w:rsid w:val="004B6BEC"/>
    <w:rsid w:val="004B6C82"/>
    <w:rsid w:val="004B6DE0"/>
    <w:rsid w:val="004B6E81"/>
    <w:rsid w:val="004B6E89"/>
    <w:rsid w:val="004B71FB"/>
    <w:rsid w:val="004B7369"/>
    <w:rsid w:val="004B738B"/>
    <w:rsid w:val="004B7507"/>
    <w:rsid w:val="004B753A"/>
    <w:rsid w:val="004B7591"/>
    <w:rsid w:val="004B7652"/>
    <w:rsid w:val="004B76EC"/>
    <w:rsid w:val="004B782F"/>
    <w:rsid w:val="004B783A"/>
    <w:rsid w:val="004B78E0"/>
    <w:rsid w:val="004B790D"/>
    <w:rsid w:val="004B794E"/>
    <w:rsid w:val="004B7A38"/>
    <w:rsid w:val="004B7B95"/>
    <w:rsid w:val="004B7CBC"/>
    <w:rsid w:val="004B7E8C"/>
    <w:rsid w:val="004C0025"/>
    <w:rsid w:val="004C01E6"/>
    <w:rsid w:val="004C023B"/>
    <w:rsid w:val="004C033B"/>
    <w:rsid w:val="004C03D8"/>
    <w:rsid w:val="004C0650"/>
    <w:rsid w:val="004C06B5"/>
    <w:rsid w:val="004C07C1"/>
    <w:rsid w:val="004C07D9"/>
    <w:rsid w:val="004C0AE5"/>
    <w:rsid w:val="004C0B2A"/>
    <w:rsid w:val="004C0BD9"/>
    <w:rsid w:val="004C0C12"/>
    <w:rsid w:val="004C0C65"/>
    <w:rsid w:val="004C0C77"/>
    <w:rsid w:val="004C0D47"/>
    <w:rsid w:val="004C0F56"/>
    <w:rsid w:val="004C1023"/>
    <w:rsid w:val="004C10C7"/>
    <w:rsid w:val="004C10FE"/>
    <w:rsid w:val="004C11A4"/>
    <w:rsid w:val="004C12D1"/>
    <w:rsid w:val="004C1365"/>
    <w:rsid w:val="004C14AA"/>
    <w:rsid w:val="004C14DB"/>
    <w:rsid w:val="004C15E7"/>
    <w:rsid w:val="004C1699"/>
    <w:rsid w:val="004C1824"/>
    <w:rsid w:val="004C183C"/>
    <w:rsid w:val="004C1991"/>
    <w:rsid w:val="004C1C1B"/>
    <w:rsid w:val="004C1CB5"/>
    <w:rsid w:val="004C1F6B"/>
    <w:rsid w:val="004C1FCE"/>
    <w:rsid w:val="004C1FE0"/>
    <w:rsid w:val="004C2685"/>
    <w:rsid w:val="004C26C5"/>
    <w:rsid w:val="004C2700"/>
    <w:rsid w:val="004C2869"/>
    <w:rsid w:val="004C29B7"/>
    <w:rsid w:val="004C29CF"/>
    <w:rsid w:val="004C2A70"/>
    <w:rsid w:val="004C2AE7"/>
    <w:rsid w:val="004C2C2D"/>
    <w:rsid w:val="004C2C94"/>
    <w:rsid w:val="004C2D0C"/>
    <w:rsid w:val="004C2D94"/>
    <w:rsid w:val="004C2DCE"/>
    <w:rsid w:val="004C2DEE"/>
    <w:rsid w:val="004C2E69"/>
    <w:rsid w:val="004C2E73"/>
    <w:rsid w:val="004C2E7A"/>
    <w:rsid w:val="004C30EF"/>
    <w:rsid w:val="004C30FB"/>
    <w:rsid w:val="004C3229"/>
    <w:rsid w:val="004C3326"/>
    <w:rsid w:val="004C33BD"/>
    <w:rsid w:val="004C3436"/>
    <w:rsid w:val="004C3599"/>
    <w:rsid w:val="004C3627"/>
    <w:rsid w:val="004C3670"/>
    <w:rsid w:val="004C3702"/>
    <w:rsid w:val="004C3739"/>
    <w:rsid w:val="004C37DA"/>
    <w:rsid w:val="004C39B9"/>
    <w:rsid w:val="004C3B09"/>
    <w:rsid w:val="004C3B79"/>
    <w:rsid w:val="004C3CD1"/>
    <w:rsid w:val="004C3E62"/>
    <w:rsid w:val="004C3ED6"/>
    <w:rsid w:val="004C3F2C"/>
    <w:rsid w:val="004C4027"/>
    <w:rsid w:val="004C4088"/>
    <w:rsid w:val="004C41B3"/>
    <w:rsid w:val="004C422C"/>
    <w:rsid w:val="004C42AC"/>
    <w:rsid w:val="004C45AA"/>
    <w:rsid w:val="004C45C2"/>
    <w:rsid w:val="004C484D"/>
    <w:rsid w:val="004C4855"/>
    <w:rsid w:val="004C4865"/>
    <w:rsid w:val="004C4962"/>
    <w:rsid w:val="004C4A79"/>
    <w:rsid w:val="004C4AA0"/>
    <w:rsid w:val="004C4B1A"/>
    <w:rsid w:val="004C4C21"/>
    <w:rsid w:val="004C4DE9"/>
    <w:rsid w:val="004C4F3A"/>
    <w:rsid w:val="004C4F77"/>
    <w:rsid w:val="004C4FB5"/>
    <w:rsid w:val="004C507A"/>
    <w:rsid w:val="004C50A4"/>
    <w:rsid w:val="004C50F1"/>
    <w:rsid w:val="004C5141"/>
    <w:rsid w:val="004C517B"/>
    <w:rsid w:val="004C5197"/>
    <w:rsid w:val="004C5478"/>
    <w:rsid w:val="004C54D6"/>
    <w:rsid w:val="004C559D"/>
    <w:rsid w:val="004C5607"/>
    <w:rsid w:val="004C5665"/>
    <w:rsid w:val="004C56D0"/>
    <w:rsid w:val="004C5750"/>
    <w:rsid w:val="004C58F4"/>
    <w:rsid w:val="004C58FC"/>
    <w:rsid w:val="004C5A71"/>
    <w:rsid w:val="004C5AAC"/>
    <w:rsid w:val="004C5C0E"/>
    <w:rsid w:val="004C5C5F"/>
    <w:rsid w:val="004C5E40"/>
    <w:rsid w:val="004C5EB2"/>
    <w:rsid w:val="004C5F4F"/>
    <w:rsid w:val="004C6262"/>
    <w:rsid w:val="004C62BA"/>
    <w:rsid w:val="004C63BB"/>
    <w:rsid w:val="004C641F"/>
    <w:rsid w:val="004C6639"/>
    <w:rsid w:val="004C6745"/>
    <w:rsid w:val="004C6876"/>
    <w:rsid w:val="004C6A42"/>
    <w:rsid w:val="004C6C73"/>
    <w:rsid w:val="004C6F33"/>
    <w:rsid w:val="004C70BD"/>
    <w:rsid w:val="004C7103"/>
    <w:rsid w:val="004C715D"/>
    <w:rsid w:val="004C7253"/>
    <w:rsid w:val="004C7316"/>
    <w:rsid w:val="004C74FC"/>
    <w:rsid w:val="004C756D"/>
    <w:rsid w:val="004C7709"/>
    <w:rsid w:val="004C7788"/>
    <w:rsid w:val="004C77C5"/>
    <w:rsid w:val="004C7882"/>
    <w:rsid w:val="004C794A"/>
    <w:rsid w:val="004C7986"/>
    <w:rsid w:val="004C7A5C"/>
    <w:rsid w:val="004C7CF8"/>
    <w:rsid w:val="004C7D58"/>
    <w:rsid w:val="004C7D62"/>
    <w:rsid w:val="004D01B8"/>
    <w:rsid w:val="004D02F8"/>
    <w:rsid w:val="004D035D"/>
    <w:rsid w:val="004D04B9"/>
    <w:rsid w:val="004D059A"/>
    <w:rsid w:val="004D075D"/>
    <w:rsid w:val="004D07DB"/>
    <w:rsid w:val="004D07EB"/>
    <w:rsid w:val="004D089E"/>
    <w:rsid w:val="004D0929"/>
    <w:rsid w:val="004D09FE"/>
    <w:rsid w:val="004D0A49"/>
    <w:rsid w:val="004D0B7E"/>
    <w:rsid w:val="004D0B88"/>
    <w:rsid w:val="004D0C27"/>
    <w:rsid w:val="004D0D2B"/>
    <w:rsid w:val="004D0DFB"/>
    <w:rsid w:val="004D0E5A"/>
    <w:rsid w:val="004D0F29"/>
    <w:rsid w:val="004D113A"/>
    <w:rsid w:val="004D1344"/>
    <w:rsid w:val="004D1357"/>
    <w:rsid w:val="004D161B"/>
    <w:rsid w:val="004D1670"/>
    <w:rsid w:val="004D16C5"/>
    <w:rsid w:val="004D1716"/>
    <w:rsid w:val="004D1907"/>
    <w:rsid w:val="004D1A19"/>
    <w:rsid w:val="004D1A7F"/>
    <w:rsid w:val="004D1AB3"/>
    <w:rsid w:val="004D1C82"/>
    <w:rsid w:val="004D210D"/>
    <w:rsid w:val="004D228F"/>
    <w:rsid w:val="004D22E6"/>
    <w:rsid w:val="004D254B"/>
    <w:rsid w:val="004D25B3"/>
    <w:rsid w:val="004D25C2"/>
    <w:rsid w:val="004D2600"/>
    <w:rsid w:val="004D2819"/>
    <w:rsid w:val="004D281A"/>
    <w:rsid w:val="004D294D"/>
    <w:rsid w:val="004D2B2D"/>
    <w:rsid w:val="004D2B7A"/>
    <w:rsid w:val="004D2C13"/>
    <w:rsid w:val="004D2E82"/>
    <w:rsid w:val="004D2F55"/>
    <w:rsid w:val="004D3041"/>
    <w:rsid w:val="004D31E0"/>
    <w:rsid w:val="004D31F4"/>
    <w:rsid w:val="004D3287"/>
    <w:rsid w:val="004D3343"/>
    <w:rsid w:val="004D33F5"/>
    <w:rsid w:val="004D3430"/>
    <w:rsid w:val="004D34A9"/>
    <w:rsid w:val="004D34B6"/>
    <w:rsid w:val="004D3571"/>
    <w:rsid w:val="004D35AF"/>
    <w:rsid w:val="004D375D"/>
    <w:rsid w:val="004D3A0D"/>
    <w:rsid w:val="004D3A28"/>
    <w:rsid w:val="004D3A6E"/>
    <w:rsid w:val="004D3D1D"/>
    <w:rsid w:val="004D3DF2"/>
    <w:rsid w:val="004D3E01"/>
    <w:rsid w:val="004D3F11"/>
    <w:rsid w:val="004D3F61"/>
    <w:rsid w:val="004D3F95"/>
    <w:rsid w:val="004D3FD2"/>
    <w:rsid w:val="004D40B5"/>
    <w:rsid w:val="004D422E"/>
    <w:rsid w:val="004D4498"/>
    <w:rsid w:val="004D4573"/>
    <w:rsid w:val="004D46EB"/>
    <w:rsid w:val="004D471F"/>
    <w:rsid w:val="004D479B"/>
    <w:rsid w:val="004D4883"/>
    <w:rsid w:val="004D48FD"/>
    <w:rsid w:val="004D4958"/>
    <w:rsid w:val="004D4BB9"/>
    <w:rsid w:val="004D4C0C"/>
    <w:rsid w:val="004D4CF4"/>
    <w:rsid w:val="004D4E8E"/>
    <w:rsid w:val="004D4F65"/>
    <w:rsid w:val="004D501E"/>
    <w:rsid w:val="004D50F6"/>
    <w:rsid w:val="004D512D"/>
    <w:rsid w:val="004D51AA"/>
    <w:rsid w:val="004D524D"/>
    <w:rsid w:val="004D52D9"/>
    <w:rsid w:val="004D54C4"/>
    <w:rsid w:val="004D5523"/>
    <w:rsid w:val="004D55D1"/>
    <w:rsid w:val="004D55DC"/>
    <w:rsid w:val="004D5666"/>
    <w:rsid w:val="004D56AB"/>
    <w:rsid w:val="004D587B"/>
    <w:rsid w:val="004D5C0A"/>
    <w:rsid w:val="004D5C10"/>
    <w:rsid w:val="004D5E1D"/>
    <w:rsid w:val="004D5EC3"/>
    <w:rsid w:val="004D5F37"/>
    <w:rsid w:val="004D5FAB"/>
    <w:rsid w:val="004D62E5"/>
    <w:rsid w:val="004D631C"/>
    <w:rsid w:val="004D6388"/>
    <w:rsid w:val="004D63AD"/>
    <w:rsid w:val="004D649D"/>
    <w:rsid w:val="004D66FB"/>
    <w:rsid w:val="004D6797"/>
    <w:rsid w:val="004D693C"/>
    <w:rsid w:val="004D6AFD"/>
    <w:rsid w:val="004D6D09"/>
    <w:rsid w:val="004D6D15"/>
    <w:rsid w:val="004D6D60"/>
    <w:rsid w:val="004D6EC1"/>
    <w:rsid w:val="004D6EF5"/>
    <w:rsid w:val="004D6EF9"/>
    <w:rsid w:val="004D6F98"/>
    <w:rsid w:val="004D70AC"/>
    <w:rsid w:val="004D70E6"/>
    <w:rsid w:val="004D7100"/>
    <w:rsid w:val="004D71AD"/>
    <w:rsid w:val="004D72E8"/>
    <w:rsid w:val="004D7660"/>
    <w:rsid w:val="004D76E1"/>
    <w:rsid w:val="004D7768"/>
    <w:rsid w:val="004D779C"/>
    <w:rsid w:val="004D7936"/>
    <w:rsid w:val="004D7A8D"/>
    <w:rsid w:val="004D7BA0"/>
    <w:rsid w:val="004D7E55"/>
    <w:rsid w:val="004D7F60"/>
    <w:rsid w:val="004E0032"/>
    <w:rsid w:val="004E0066"/>
    <w:rsid w:val="004E00F5"/>
    <w:rsid w:val="004E014C"/>
    <w:rsid w:val="004E030C"/>
    <w:rsid w:val="004E0443"/>
    <w:rsid w:val="004E067C"/>
    <w:rsid w:val="004E08C6"/>
    <w:rsid w:val="004E094F"/>
    <w:rsid w:val="004E096A"/>
    <w:rsid w:val="004E0B48"/>
    <w:rsid w:val="004E0B69"/>
    <w:rsid w:val="004E0E04"/>
    <w:rsid w:val="004E0E4C"/>
    <w:rsid w:val="004E0E5C"/>
    <w:rsid w:val="004E0F22"/>
    <w:rsid w:val="004E10E4"/>
    <w:rsid w:val="004E12EF"/>
    <w:rsid w:val="004E1357"/>
    <w:rsid w:val="004E149D"/>
    <w:rsid w:val="004E15C0"/>
    <w:rsid w:val="004E1647"/>
    <w:rsid w:val="004E1652"/>
    <w:rsid w:val="004E186D"/>
    <w:rsid w:val="004E191F"/>
    <w:rsid w:val="004E1AEC"/>
    <w:rsid w:val="004E1C48"/>
    <w:rsid w:val="004E1D01"/>
    <w:rsid w:val="004E234B"/>
    <w:rsid w:val="004E23DE"/>
    <w:rsid w:val="004E2627"/>
    <w:rsid w:val="004E2630"/>
    <w:rsid w:val="004E2673"/>
    <w:rsid w:val="004E269F"/>
    <w:rsid w:val="004E26AE"/>
    <w:rsid w:val="004E2879"/>
    <w:rsid w:val="004E28B3"/>
    <w:rsid w:val="004E2924"/>
    <w:rsid w:val="004E29BD"/>
    <w:rsid w:val="004E2AC2"/>
    <w:rsid w:val="004E2CB0"/>
    <w:rsid w:val="004E2E34"/>
    <w:rsid w:val="004E2F5B"/>
    <w:rsid w:val="004E2FCF"/>
    <w:rsid w:val="004E313E"/>
    <w:rsid w:val="004E3147"/>
    <w:rsid w:val="004E3169"/>
    <w:rsid w:val="004E32ED"/>
    <w:rsid w:val="004E3424"/>
    <w:rsid w:val="004E347F"/>
    <w:rsid w:val="004E34A0"/>
    <w:rsid w:val="004E34A4"/>
    <w:rsid w:val="004E36C0"/>
    <w:rsid w:val="004E3826"/>
    <w:rsid w:val="004E38EA"/>
    <w:rsid w:val="004E3A95"/>
    <w:rsid w:val="004E3B79"/>
    <w:rsid w:val="004E3C0F"/>
    <w:rsid w:val="004E3D2C"/>
    <w:rsid w:val="004E401A"/>
    <w:rsid w:val="004E406C"/>
    <w:rsid w:val="004E420A"/>
    <w:rsid w:val="004E42E0"/>
    <w:rsid w:val="004E43DC"/>
    <w:rsid w:val="004E4538"/>
    <w:rsid w:val="004E4825"/>
    <w:rsid w:val="004E4880"/>
    <w:rsid w:val="004E4899"/>
    <w:rsid w:val="004E48D3"/>
    <w:rsid w:val="004E4AAD"/>
    <w:rsid w:val="004E4C1A"/>
    <w:rsid w:val="004E4D93"/>
    <w:rsid w:val="004E5135"/>
    <w:rsid w:val="004E513E"/>
    <w:rsid w:val="004E5223"/>
    <w:rsid w:val="004E5272"/>
    <w:rsid w:val="004E551E"/>
    <w:rsid w:val="004E5592"/>
    <w:rsid w:val="004E55D2"/>
    <w:rsid w:val="004E5610"/>
    <w:rsid w:val="004E5852"/>
    <w:rsid w:val="004E5920"/>
    <w:rsid w:val="004E599F"/>
    <w:rsid w:val="004E59E1"/>
    <w:rsid w:val="004E5A60"/>
    <w:rsid w:val="004E5AAD"/>
    <w:rsid w:val="004E5BB0"/>
    <w:rsid w:val="004E5BE7"/>
    <w:rsid w:val="004E5D78"/>
    <w:rsid w:val="004E5EE9"/>
    <w:rsid w:val="004E5F90"/>
    <w:rsid w:val="004E6073"/>
    <w:rsid w:val="004E616F"/>
    <w:rsid w:val="004E6318"/>
    <w:rsid w:val="004E63A7"/>
    <w:rsid w:val="004E6499"/>
    <w:rsid w:val="004E65BC"/>
    <w:rsid w:val="004E663B"/>
    <w:rsid w:val="004E6644"/>
    <w:rsid w:val="004E6719"/>
    <w:rsid w:val="004E683A"/>
    <w:rsid w:val="004E6A9E"/>
    <w:rsid w:val="004E6AA2"/>
    <w:rsid w:val="004E6ABD"/>
    <w:rsid w:val="004E6B52"/>
    <w:rsid w:val="004E6B7D"/>
    <w:rsid w:val="004E6C7A"/>
    <w:rsid w:val="004E6C95"/>
    <w:rsid w:val="004E6CB2"/>
    <w:rsid w:val="004E6DD8"/>
    <w:rsid w:val="004E6E29"/>
    <w:rsid w:val="004E7062"/>
    <w:rsid w:val="004E7076"/>
    <w:rsid w:val="004E7104"/>
    <w:rsid w:val="004E7517"/>
    <w:rsid w:val="004E7519"/>
    <w:rsid w:val="004E759F"/>
    <w:rsid w:val="004E75AB"/>
    <w:rsid w:val="004E7641"/>
    <w:rsid w:val="004E7677"/>
    <w:rsid w:val="004E769A"/>
    <w:rsid w:val="004E795E"/>
    <w:rsid w:val="004E7AEB"/>
    <w:rsid w:val="004E7B14"/>
    <w:rsid w:val="004E7B24"/>
    <w:rsid w:val="004E7B50"/>
    <w:rsid w:val="004E7C01"/>
    <w:rsid w:val="004E7FA1"/>
    <w:rsid w:val="004F01ED"/>
    <w:rsid w:val="004F03D5"/>
    <w:rsid w:val="004F057B"/>
    <w:rsid w:val="004F0580"/>
    <w:rsid w:val="004F0684"/>
    <w:rsid w:val="004F06A5"/>
    <w:rsid w:val="004F07A1"/>
    <w:rsid w:val="004F0A3E"/>
    <w:rsid w:val="004F0AA0"/>
    <w:rsid w:val="004F0AAE"/>
    <w:rsid w:val="004F0B52"/>
    <w:rsid w:val="004F0D6F"/>
    <w:rsid w:val="004F0DFD"/>
    <w:rsid w:val="004F0E2A"/>
    <w:rsid w:val="004F10DE"/>
    <w:rsid w:val="004F1173"/>
    <w:rsid w:val="004F11F6"/>
    <w:rsid w:val="004F148C"/>
    <w:rsid w:val="004F14D0"/>
    <w:rsid w:val="004F1529"/>
    <w:rsid w:val="004F1652"/>
    <w:rsid w:val="004F16B1"/>
    <w:rsid w:val="004F1795"/>
    <w:rsid w:val="004F18C1"/>
    <w:rsid w:val="004F1A31"/>
    <w:rsid w:val="004F1A4F"/>
    <w:rsid w:val="004F1ACF"/>
    <w:rsid w:val="004F1BA7"/>
    <w:rsid w:val="004F1BF8"/>
    <w:rsid w:val="004F1D21"/>
    <w:rsid w:val="004F1ED5"/>
    <w:rsid w:val="004F1FC6"/>
    <w:rsid w:val="004F23FC"/>
    <w:rsid w:val="004F25EF"/>
    <w:rsid w:val="004F260C"/>
    <w:rsid w:val="004F26A3"/>
    <w:rsid w:val="004F26A4"/>
    <w:rsid w:val="004F28BF"/>
    <w:rsid w:val="004F2A15"/>
    <w:rsid w:val="004F2A56"/>
    <w:rsid w:val="004F2B04"/>
    <w:rsid w:val="004F2BEE"/>
    <w:rsid w:val="004F2BEF"/>
    <w:rsid w:val="004F2C66"/>
    <w:rsid w:val="004F2CB7"/>
    <w:rsid w:val="004F2DD3"/>
    <w:rsid w:val="004F2F39"/>
    <w:rsid w:val="004F2F52"/>
    <w:rsid w:val="004F2FA5"/>
    <w:rsid w:val="004F3000"/>
    <w:rsid w:val="004F3025"/>
    <w:rsid w:val="004F30DA"/>
    <w:rsid w:val="004F3156"/>
    <w:rsid w:val="004F31AE"/>
    <w:rsid w:val="004F3257"/>
    <w:rsid w:val="004F32A1"/>
    <w:rsid w:val="004F32DC"/>
    <w:rsid w:val="004F33A4"/>
    <w:rsid w:val="004F341F"/>
    <w:rsid w:val="004F3445"/>
    <w:rsid w:val="004F3471"/>
    <w:rsid w:val="004F3628"/>
    <w:rsid w:val="004F383C"/>
    <w:rsid w:val="004F3895"/>
    <w:rsid w:val="004F3989"/>
    <w:rsid w:val="004F3998"/>
    <w:rsid w:val="004F3A8E"/>
    <w:rsid w:val="004F3B60"/>
    <w:rsid w:val="004F3CB5"/>
    <w:rsid w:val="004F3CB6"/>
    <w:rsid w:val="004F3EB3"/>
    <w:rsid w:val="004F3EE3"/>
    <w:rsid w:val="004F3F7A"/>
    <w:rsid w:val="004F4017"/>
    <w:rsid w:val="004F4147"/>
    <w:rsid w:val="004F4346"/>
    <w:rsid w:val="004F4408"/>
    <w:rsid w:val="004F452B"/>
    <w:rsid w:val="004F4629"/>
    <w:rsid w:val="004F46F4"/>
    <w:rsid w:val="004F48BC"/>
    <w:rsid w:val="004F491F"/>
    <w:rsid w:val="004F4A13"/>
    <w:rsid w:val="004F4A79"/>
    <w:rsid w:val="004F4EC9"/>
    <w:rsid w:val="004F502A"/>
    <w:rsid w:val="004F52E0"/>
    <w:rsid w:val="004F53E2"/>
    <w:rsid w:val="004F5430"/>
    <w:rsid w:val="004F57F2"/>
    <w:rsid w:val="004F585C"/>
    <w:rsid w:val="004F58D3"/>
    <w:rsid w:val="004F592D"/>
    <w:rsid w:val="004F5A11"/>
    <w:rsid w:val="004F5A56"/>
    <w:rsid w:val="004F5AF2"/>
    <w:rsid w:val="004F5CEF"/>
    <w:rsid w:val="004F5D2B"/>
    <w:rsid w:val="004F5EA5"/>
    <w:rsid w:val="004F5F48"/>
    <w:rsid w:val="004F6033"/>
    <w:rsid w:val="004F61CE"/>
    <w:rsid w:val="004F6230"/>
    <w:rsid w:val="004F628E"/>
    <w:rsid w:val="004F6439"/>
    <w:rsid w:val="004F65C1"/>
    <w:rsid w:val="004F6622"/>
    <w:rsid w:val="004F6624"/>
    <w:rsid w:val="004F66A1"/>
    <w:rsid w:val="004F6794"/>
    <w:rsid w:val="004F6828"/>
    <w:rsid w:val="004F6907"/>
    <w:rsid w:val="004F6A6F"/>
    <w:rsid w:val="004F6E82"/>
    <w:rsid w:val="004F6FA5"/>
    <w:rsid w:val="004F70D4"/>
    <w:rsid w:val="004F7231"/>
    <w:rsid w:val="004F7246"/>
    <w:rsid w:val="004F72B7"/>
    <w:rsid w:val="004F72B9"/>
    <w:rsid w:val="004F7453"/>
    <w:rsid w:val="004F750C"/>
    <w:rsid w:val="004F7531"/>
    <w:rsid w:val="004F76F3"/>
    <w:rsid w:val="004F7727"/>
    <w:rsid w:val="004F77AF"/>
    <w:rsid w:val="004F78A2"/>
    <w:rsid w:val="004F791A"/>
    <w:rsid w:val="004F7961"/>
    <w:rsid w:val="004F7B56"/>
    <w:rsid w:val="004F7C03"/>
    <w:rsid w:val="004F7CC6"/>
    <w:rsid w:val="004F7F2D"/>
    <w:rsid w:val="004F7F2F"/>
    <w:rsid w:val="004F7F99"/>
    <w:rsid w:val="0050005E"/>
    <w:rsid w:val="00500160"/>
    <w:rsid w:val="005003BB"/>
    <w:rsid w:val="00500401"/>
    <w:rsid w:val="00500586"/>
    <w:rsid w:val="005007BA"/>
    <w:rsid w:val="00500899"/>
    <w:rsid w:val="005009AB"/>
    <w:rsid w:val="00500A3C"/>
    <w:rsid w:val="00500ACD"/>
    <w:rsid w:val="00500B67"/>
    <w:rsid w:val="00500B8A"/>
    <w:rsid w:val="00500C8D"/>
    <w:rsid w:val="00500C92"/>
    <w:rsid w:val="00500D44"/>
    <w:rsid w:val="00500D49"/>
    <w:rsid w:val="00500D70"/>
    <w:rsid w:val="00500DEB"/>
    <w:rsid w:val="00500EEC"/>
    <w:rsid w:val="00500F05"/>
    <w:rsid w:val="00500FC1"/>
    <w:rsid w:val="00500FCE"/>
    <w:rsid w:val="00501138"/>
    <w:rsid w:val="00501181"/>
    <w:rsid w:val="005011B8"/>
    <w:rsid w:val="00501201"/>
    <w:rsid w:val="005012C0"/>
    <w:rsid w:val="005013D2"/>
    <w:rsid w:val="00501546"/>
    <w:rsid w:val="005015C4"/>
    <w:rsid w:val="005015C6"/>
    <w:rsid w:val="00501748"/>
    <w:rsid w:val="005017F8"/>
    <w:rsid w:val="00501842"/>
    <w:rsid w:val="005018AB"/>
    <w:rsid w:val="00501A5D"/>
    <w:rsid w:val="00501B66"/>
    <w:rsid w:val="00501C81"/>
    <w:rsid w:val="00501CF6"/>
    <w:rsid w:val="00501D84"/>
    <w:rsid w:val="00501F21"/>
    <w:rsid w:val="00501F68"/>
    <w:rsid w:val="00501F6F"/>
    <w:rsid w:val="00501FFE"/>
    <w:rsid w:val="00502120"/>
    <w:rsid w:val="0050229C"/>
    <w:rsid w:val="00502317"/>
    <w:rsid w:val="005024D6"/>
    <w:rsid w:val="005024F7"/>
    <w:rsid w:val="0050260C"/>
    <w:rsid w:val="00502723"/>
    <w:rsid w:val="00502858"/>
    <w:rsid w:val="00502896"/>
    <w:rsid w:val="00502B83"/>
    <w:rsid w:val="00502C17"/>
    <w:rsid w:val="00502C52"/>
    <w:rsid w:val="00502E16"/>
    <w:rsid w:val="00502E47"/>
    <w:rsid w:val="00502ECF"/>
    <w:rsid w:val="00502F0C"/>
    <w:rsid w:val="0050311C"/>
    <w:rsid w:val="00503344"/>
    <w:rsid w:val="005034A1"/>
    <w:rsid w:val="005034FC"/>
    <w:rsid w:val="00503608"/>
    <w:rsid w:val="0050365D"/>
    <w:rsid w:val="00503797"/>
    <w:rsid w:val="0050390F"/>
    <w:rsid w:val="00503937"/>
    <w:rsid w:val="00503994"/>
    <w:rsid w:val="00503A82"/>
    <w:rsid w:val="00503AB4"/>
    <w:rsid w:val="00503C3F"/>
    <w:rsid w:val="00503C46"/>
    <w:rsid w:val="00504061"/>
    <w:rsid w:val="00504090"/>
    <w:rsid w:val="0050416E"/>
    <w:rsid w:val="00504298"/>
    <w:rsid w:val="0050462E"/>
    <w:rsid w:val="005046F0"/>
    <w:rsid w:val="00504793"/>
    <w:rsid w:val="00504A0B"/>
    <w:rsid w:val="00504A2B"/>
    <w:rsid w:val="00504B27"/>
    <w:rsid w:val="00504C44"/>
    <w:rsid w:val="00504CD0"/>
    <w:rsid w:val="00504DE0"/>
    <w:rsid w:val="00504E91"/>
    <w:rsid w:val="00504E9C"/>
    <w:rsid w:val="00504F2E"/>
    <w:rsid w:val="00504F47"/>
    <w:rsid w:val="00504FB2"/>
    <w:rsid w:val="00505012"/>
    <w:rsid w:val="005050AA"/>
    <w:rsid w:val="00505176"/>
    <w:rsid w:val="00505210"/>
    <w:rsid w:val="005053A1"/>
    <w:rsid w:val="00505421"/>
    <w:rsid w:val="005054E9"/>
    <w:rsid w:val="005056E6"/>
    <w:rsid w:val="005056F2"/>
    <w:rsid w:val="0050579A"/>
    <w:rsid w:val="005058B4"/>
    <w:rsid w:val="00505BAE"/>
    <w:rsid w:val="00505DA1"/>
    <w:rsid w:val="00505E22"/>
    <w:rsid w:val="00505E32"/>
    <w:rsid w:val="00505FC0"/>
    <w:rsid w:val="005060F6"/>
    <w:rsid w:val="0050617D"/>
    <w:rsid w:val="005062FE"/>
    <w:rsid w:val="00506466"/>
    <w:rsid w:val="00506956"/>
    <w:rsid w:val="00506973"/>
    <w:rsid w:val="005069BD"/>
    <w:rsid w:val="00506A86"/>
    <w:rsid w:val="00506AEB"/>
    <w:rsid w:val="00506BD5"/>
    <w:rsid w:val="00506F85"/>
    <w:rsid w:val="00506F90"/>
    <w:rsid w:val="00507017"/>
    <w:rsid w:val="0050707B"/>
    <w:rsid w:val="005070FE"/>
    <w:rsid w:val="00507149"/>
    <w:rsid w:val="00507243"/>
    <w:rsid w:val="00507295"/>
    <w:rsid w:val="00507316"/>
    <w:rsid w:val="0050743A"/>
    <w:rsid w:val="005074E8"/>
    <w:rsid w:val="0050753C"/>
    <w:rsid w:val="005076D9"/>
    <w:rsid w:val="00507B58"/>
    <w:rsid w:val="00507B76"/>
    <w:rsid w:val="00507B89"/>
    <w:rsid w:val="00507C63"/>
    <w:rsid w:val="00507C66"/>
    <w:rsid w:val="005100F6"/>
    <w:rsid w:val="00510195"/>
    <w:rsid w:val="00510315"/>
    <w:rsid w:val="00510370"/>
    <w:rsid w:val="005103F0"/>
    <w:rsid w:val="005105DA"/>
    <w:rsid w:val="00510716"/>
    <w:rsid w:val="00510880"/>
    <w:rsid w:val="00510BF3"/>
    <w:rsid w:val="00510BFB"/>
    <w:rsid w:val="00510DBC"/>
    <w:rsid w:val="00510F22"/>
    <w:rsid w:val="00510F62"/>
    <w:rsid w:val="00510FDF"/>
    <w:rsid w:val="00511012"/>
    <w:rsid w:val="00511267"/>
    <w:rsid w:val="00511270"/>
    <w:rsid w:val="005113D4"/>
    <w:rsid w:val="00511462"/>
    <w:rsid w:val="00511550"/>
    <w:rsid w:val="00511662"/>
    <w:rsid w:val="005117F7"/>
    <w:rsid w:val="00511897"/>
    <w:rsid w:val="00511898"/>
    <w:rsid w:val="005118AA"/>
    <w:rsid w:val="00511A09"/>
    <w:rsid w:val="00511C48"/>
    <w:rsid w:val="00511CE8"/>
    <w:rsid w:val="00511D03"/>
    <w:rsid w:val="00511D3F"/>
    <w:rsid w:val="00511D63"/>
    <w:rsid w:val="00512025"/>
    <w:rsid w:val="00512177"/>
    <w:rsid w:val="0051225B"/>
    <w:rsid w:val="005123F8"/>
    <w:rsid w:val="00512702"/>
    <w:rsid w:val="005127C1"/>
    <w:rsid w:val="0051299B"/>
    <w:rsid w:val="00512BD8"/>
    <w:rsid w:val="00512BDD"/>
    <w:rsid w:val="00512CC3"/>
    <w:rsid w:val="00512D6A"/>
    <w:rsid w:val="00512DAC"/>
    <w:rsid w:val="00512F3C"/>
    <w:rsid w:val="005132FF"/>
    <w:rsid w:val="00513300"/>
    <w:rsid w:val="0051339F"/>
    <w:rsid w:val="00513553"/>
    <w:rsid w:val="0051372F"/>
    <w:rsid w:val="005138B1"/>
    <w:rsid w:val="005138EB"/>
    <w:rsid w:val="00513A6D"/>
    <w:rsid w:val="00513B85"/>
    <w:rsid w:val="00513BAC"/>
    <w:rsid w:val="00513C32"/>
    <w:rsid w:val="00513D61"/>
    <w:rsid w:val="00513DA5"/>
    <w:rsid w:val="00513DC7"/>
    <w:rsid w:val="00513E6D"/>
    <w:rsid w:val="00513F21"/>
    <w:rsid w:val="00514161"/>
    <w:rsid w:val="005141A6"/>
    <w:rsid w:val="005142B0"/>
    <w:rsid w:val="005143BD"/>
    <w:rsid w:val="0051449D"/>
    <w:rsid w:val="005144F0"/>
    <w:rsid w:val="00514559"/>
    <w:rsid w:val="00514685"/>
    <w:rsid w:val="00514723"/>
    <w:rsid w:val="00514A33"/>
    <w:rsid w:val="00514CA7"/>
    <w:rsid w:val="00514CE9"/>
    <w:rsid w:val="00514D19"/>
    <w:rsid w:val="00514D6E"/>
    <w:rsid w:val="00514DD8"/>
    <w:rsid w:val="00514E2F"/>
    <w:rsid w:val="00514E31"/>
    <w:rsid w:val="00514F8E"/>
    <w:rsid w:val="00515193"/>
    <w:rsid w:val="0051521F"/>
    <w:rsid w:val="00515320"/>
    <w:rsid w:val="00515380"/>
    <w:rsid w:val="005153BB"/>
    <w:rsid w:val="005153F3"/>
    <w:rsid w:val="00515489"/>
    <w:rsid w:val="0051549E"/>
    <w:rsid w:val="005154E3"/>
    <w:rsid w:val="005155DD"/>
    <w:rsid w:val="005155F1"/>
    <w:rsid w:val="00515888"/>
    <w:rsid w:val="00515989"/>
    <w:rsid w:val="00515A93"/>
    <w:rsid w:val="00515B60"/>
    <w:rsid w:val="00515B86"/>
    <w:rsid w:val="00515CD8"/>
    <w:rsid w:val="00515DC1"/>
    <w:rsid w:val="00515E72"/>
    <w:rsid w:val="00515F90"/>
    <w:rsid w:val="00516118"/>
    <w:rsid w:val="005162B4"/>
    <w:rsid w:val="0051639F"/>
    <w:rsid w:val="005164E6"/>
    <w:rsid w:val="0051672C"/>
    <w:rsid w:val="005168DB"/>
    <w:rsid w:val="00516915"/>
    <w:rsid w:val="0051698C"/>
    <w:rsid w:val="00516C18"/>
    <w:rsid w:val="00516D3B"/>
    <w:rsid w:val="00516D5F"/>
    <w:rsid w:val="00516E4D"/>
    <w:rsid w:val="005171F2"/>
    <w:rsid w:val="00517381"/>
    <w:rsid w:val="00517397"/>
    <w:rsid w:val="0051742E"/>
    <w:rsid w:val="0051749E"/>
    <w:rsid w:val="0051764C"/>
    <w:rsid w:val="00517691"/>
    <w:rsid w:val="005176CA"/>
    <w:rsid w:val="005177D6"/>
    <w:rsid w:val="0051783F"/>
    <w:rsid w:val="00517A74"/>
    <w:rsid w:val="00517A9D"/>
    <w:rsid w:val="00517B22"/>
    <w:rsid w:val="00517C15"/>
    <w:rsid w:val="00517DDA"/>
    <w:rsid w:val="00517ED3"/>
    <w:rsid w:val="00517F0B"/>
    <w:rsid w:val="00517FAD"/>
    <w:rsid w:val="00520091"/>
    <w:rsid w:val="005200D9"/>
    <w:rsid w:val="005201A7"/>
    <w:rsid w:val="005201B5"/>
    <w:rsid w:val="00520229"/>
    <w:rsid w:val="00520495"/>
    <w:rsid w:val="00520530"/>
    <w:rsid w:val="00520640"/>
    <w:rsid w:val="00520641"/>
    <w:rsid w:val="005206F3"/>
    <w:rsid w:val="00520701"/>
    <w:rsid w:val="00520A93"/>
    <w:rsid w:val="00520B98"/>
    <w:rsid w:val="00520BAF"/>
    <w:rsid w:val="00520D09"/>
    <w:rsid w:val="00520E8C"/>
    <w:rsid w:val="00520F4A"/>
    <w:rsid w:val="00520F4E"/>
    <w:rsid w:val="00520FFC"/>
    <w:rsid w:val="00521007"/>
    <w:rsid w:val="00521051"/>
    <w:rsid w:val="0052115B"/>
    <w:rsid w:val="0052116B"/>
    <w:rsid w:val="005211B3"/>
    <w:rsid w:val="00521244"/>
    <w:rsid w:val="00521346"/>
    <w:rsid w:val="00521350"/>
    <w:rsid w:val="005213EB"/>
    <w:rsid w:val="005214B7"/>
    <w:rsid w:val="005216CC"/>
    <w:rsid w:val="00521758"/>
    <w:rsid w:val="005217E2"/>
    <w:rsid w:val="00521896"/>
    <w:rsid w:val="00521A97"/>
    <w:rsid w:val="00521C4E"/>
    <w:rsid w:val="00521ECA"/>
    <w:rsid w:val="00521EF9"/>
    <w:rsid w:val="00521EFF"/>
    <w:rsid w:val="00521F16"/>
    <w:rsid w:val="00521F7D"/>
    <w:rsid w:val="005220DA"/>
    <w:rsid w:val="00522660"/>
    <w:rsid w:val="005226F5"/>
    <w:rsid w:val="005227A8"/>
    <w:rsid w:val="0052281E"/>
    <w:rsid w:val="00522967"/>
    <w:rsid w:val="00522BF1"/>
    <w:rsid w:val="00522C3C"/>
    <w:rsid w:val="00522E7A"/>
    <w:rsid w:val="00522F0A"/>
    <w:rsid w:val="00523012"/>
    <w:rsid w:val="00523024"/>
    <w:rsid w:val="00523058"/>
    <w:rsid w:val="0052306C"/>
    <w:rsid w:val="0052321E"/>
    <w:rsid w:val="005232A9"/>
    <w:rsid w:val="00523301"/>
    <w:rsid w:val="0052341B"/>
    <w:rsid w:val="005234C1"/>
    <w:rsid w:val="005235D1"/>
    <w:rsid w:val="005236C0"/>
    <w:rsid w:val="00523A53"/>
    <w:rsid w:val="00523C7A"/>
    <w:rsid w:val="00523DCF"/>
    <w:rsid w:val="00523EF5"/>
    <w:rsid w:val="0052413D"/>
    <w:rsid w:val="0052414D"/>
    <w:rsid w:val="005243DD"/>
    <w:rsid w:val="00524457"/>
    <w:rsid w:val="0052445F"/>
    <w:rsid w:val="005244E9"/>
    <w:rsid w:val="00524521"/>
    <w:rsid w:val="005247AE"/>
    <w:rsid w:val="005247EE"/>
    <w:rsid w:val="005248B2"/>
    <w:rsid w:val="00524A7D"/>
    <w:rsid w:val="00524B7E"/>
    <w:rsid w:val="00524D8D"/>
    <w:rsid w:val="00524DE8"/>
    <w:rsid w:val="00524E4E"/>
    <w:rsid w:val="00524FBE"/>
    <w:rsid w:val="00524FEC"/>
    <w:rsid w:val="0052505F"/>
    <w:rsid w:val="00525268"/>
    <w:rsid w:val="00525367"/>
    <w:rsid w:val="005253CA"/>
    <w:rsid w:val="005253FC"/>
    <w:rsid w:val="0052555D"/>
    <w:rsid w:val="0052558C"/>
    <w:rsid w:val="005256A7"/>
    <w:rsid w:val="00525747"/>
    <w:rsid w:val="00525779"/>
    <w:rsid w:val="00525805"/>
    <w:rsid w:val="0052589D"/>
    <w:rsid w:val="005258B9"/>
    <w:rsid w:val="005259C4"/>
    <w:rsid w:val="00525A46"/>
    <w:rsid w:val="00525A8A"/>
    <w:rsid w:val="00525ACA"/>
    <w:rsid w:val="00525B2F"/>
    <w:rsid w:val="00525E7E"/>
    <w:rsid w:val="00525ECF"/>
    <w:rsid w:val="00525F43"/>
    <w:rsid w:val="0052604A"/>
    <w:rsid w:val="005260B6"/>
    <w:rsid w:val="005260FD"/>
    <w:rsid w:val="00526120"/>
    <w:rsid w:val="00526296"/>
    <w:rsid w:val="0052638F"/>
    <w:rsid w:val="00526495"/>
    <w:rsid w:val="0052652E"/>
    <w:rsid w:val="00526542"/>
    <w:rsid w:val="005265D0"/>
    <w:rsid w:val="005266B5"/>
    <w:rsid w:val="005267BC"/>
    <w:rsid w:val="005268CA"/>
    <w:rsid w:val="005269C5"/>
    <w:rsid w:val="00526A3F"/>
    <w:rsid w:val="00526A63"/>
    <w:rsid w:val="00526BE3"/>
    <w:rsid w:val="00526DF6"/>
    <w:rsid w:val="00526F94"/>
    <w:rsid w:val="00527084"/>
    <w:rsid w:val="005270FC"/>
    <w:rsid w:val="00527105"/>
    <w:rsid w:val="005271A1"/>
    <w:rsid w:val="005271D9"/>
    <w:rsid w:val="00527486"/>
    <w:rsid w:val="00527728"/>
    <w:rsid w:val="0052773D"/>
    <w:rsid w:val="00527841"/>
    <w:rsid w:val="005279AE"/>
    <w:rsid w:val="005279B3"/>
    <w:rsid w:val="005279FF"/>
    <w:rsid w:val="00527A08"/>
    <w:rsid w:val="00527A3C"/>
    <w:rsid w:val="00527BBC"/>
    <w:rsid w:val="00527D14"/>
    <w:rsid w:val="00527DA0"/>
    <w:rsid w:val="00527DBC"/>
    <w:rsid w:val="00527EA0"/>
    <w:rsid w:val="00527F6D"/>
    <w:rsid w:val="005302FA"/>
    <w:rsid w:val="00530385"/>
    <w:rsid w:val="005303A6"/>
    <w:rsid w:val="00530432"/>
    <w:rsid w:val="00530466"/>
    <w:rsid w:val="00530472"/>
    <w:rsid w:val="0053059C"/>
    <w:rsid w:val="00530703"/>
    <w:rsid w:val="00530736"/>
    <w:rsid w:val="005307B7"/>
    <w:rsid w:val="0053091F"/>
    <w:rsid w:val="00530993"/>
    <w:rsid w:val="005309E4"/>
    <w:rsid w:val="00530A9A"/>
    <w:rsid w:val="00530B66"/>
    <w:rsid w:val="00530C32"/>
    <w:rsid w:val="00530DB1"/>
    <w:rsid w:val="00530DDB"/>
    <w:rsid w:val="00530F44"/>
    <w:rsid w:val="005312A7"/>
    <w:rsid w:val="0053141B"/>
    <w:rsid w:val="0053153A"/>
    <w:rsid w:val="0053157B"/>
    <w:rsid w:val="00531627"/>
    <w:rsid w:val="00531941"/>
    <w:rsid w:val="005319E4"/>
    <w:rsid w:val="00531A8B"/>
    <w:rsid w:val="00531B17"/>
    <w:rsid w:val="00531B29"/>
    <w:rsid w:val="00531B3F"/>
    <w:rsid w:val="00531B97"/>
    <w:rsid w:val="00531BDD"/>
    <w:rsid w:val="00531D4B"/>
    <w:rsid w:val="00531DF7"/>
    <w:rsid w:val="00531F75"/>
    <w:rsid w:val="00531FA2"/>
    <w:rsid w:val="00531FDD"/>
    <w:rsid w:val="005320CB"/>
    <w:rsid w:val="0053221F"/>
    <w:rsid w:val="005323D7"/>
    <w:rsid w:val="00532419"/>
    <w:rsid w:val="00532494"/>
    <w:rsid w:val="0053255C"/>
    <w:rsid w:val="00532B13"/>
    <w:rsid w:val="00532CB2"/>
    <w:rsid w:val="00532CE8"/>
    <w:rsid w:val="00532D10"/>
    <w:rsid w:val="00532FF1"/>
    <w:rsid w:val="00533149"/>
    <w:rsid w:val="00533279"/>
    <w:rsid w:val="00533495"/>
    <w:rsid w:val="00533657"/>
    <w:rsid w:val="0053371D"/>
    <w:rsid w:val="005337BB"/>
    <w:rsid w:val="0053382C"/>
    <w:rsid w:val="0053388F"/>
    <w:rsid w:val="00533B84"/>
    <w:rsid w:val="00533C87"/>
    <w:rsid w:val="00533D10"/>
    <w:rsid w:val="00533EE2"/>
    <w:rsid w:val="00534048"/>
    <w:rsid w:val="00534111"/>
    <w:rsid w:val="0053425A"/>
    <w:rsid w:val="0053435E"/>
    <w:rsid w:val="0053438D"/>
    <w:rsid w:val="00534593"/>
    <w:rsid w:val="0053461E"/>
    <w:rsid w:val="00534820"/>
    <w:rsid w:val="00534930"/>
    <w:rsid w:val="0053498F"/>
    <w:rsid w:val="005349F2"/>
    <w:rsid w:val="00534A1C"/>
    <w:rsid w:val="00534A2A"/>
    <w:rsid w:val="00534B05"/>
    <w:rsid w:val="00534B9E"/>
    <w:rsid w:val="00534D2B"/>
    <w:rsid w:val="00534D7D"/>
    <w:rsid w:val="00534EA4"/>
    <w:rsid w:val="00534EE7"/>
    <w:rsid w:val="00534F21"/>
    <w:rsid w:val="00534F40"/>
    <w:rsid w:val="0053505B"/>
    <w:rsid w:val="00535089"/>
    <w:rsid w:val="005350DC"/>
    <w:rsid w:val="00535133"/>
    <w:rsid w:val="00535252"/>
    <w:rsid w:val="00535287"/>
    <w:rsid w:val="005352D7"/>
    <w:rsid w:val="0053535C"/>
    <w:rsid w:val="0053539E"/>
    <w:rsid w:val="005354F8"/>
    <w:rsid w:val="00535547"/>
    <w:rsid w:val="0053557B"/>
    <w:rsid w:val="005355D8"/>
    <w:rsid w:val="00535637"/>
    <w:rsid w:val="0053563D"/>
    <w:rsid w:val="0053567D"/>
    <w:rsid w:val="0053567E"/>
    <w:rsid w:val="005356E0"/>
    <w:rsid w:val="005357E6"/>
    <w:rsid w:val="005358DF"/>
    <w:rsid w:val="0053594E"/>
    <w:rsid w:val="00535AAD"/>
    <w:rsid w:val="00535ADC"/>
    <w:rsid w:val="00535B51"/>
    <w:rsid w:val="00535C83"/>
    <w:rsid w:val="00535CB4"/>
    <w:rsid w:val="00535DFF"/>
    <w:rsid w:val="00535F72"/>
    <w:rsid w:val="00536010"/>
    <w:rsid w:val="0053606A"/>
    <w:rsid w:val="005361EA"/>
    <w:rsid w:val="00536237"/>
    <w:rsid w:val="005362BD"/>
    <w:rsid w:val="0053631D"/>
    <w:rsid w:val="00536345"/>
    <w:rsid w:val="00536380"/>
    <w:rsid w:val="005364B4"/>
    <w:rsid w:val="0053659D"/>
    <w:rsid w:val="0053670B"/>
    <w:rsid w:val="00536715"/>
    <w:rsid w:val="005367AC"/>
    <w:rsid w:val="00536872"/>
    <w:rsid w:val="00536887"/>
    <w:rsid w:val="00536896"/>
    <w:rsid w:val="005368F2"/>
    <w:rsid w:val="00536AD5"/>
    <w:rsid w:val="00536B46"/>
    <w:rsid w:val="00536CED"/>
    <w:rsid w:val="00536D89"/>
    <w:rsid w:val="00536F53"/>
    <w:rsid w:val="00537146"/>
    <w:rsid w:val="0053726A"/>
    <w:rsid w:val="00537358"/>
    <w:rsid w:val="00537627"/>
    <w:rsid w:val="00537638"/>
    <w:rsid w:val="005377A4"/>
    <w:rsid w:val="00537858"/>
    <w:rsid w:val="00537904"/>
    <w:rsid w:val="00537A08"/>
    <w:rsid w:val="00537A46"/>
    <w:rsid w:val="00537A77"/>
    <w:rsid w:val="00537A7E"/>
    <w:rsid w:val="00537C29"/>
    <w:rsid w:val="00537C63"/>
    <w:rsid w:val="00537D31"/>
    <w:rsid w:val="00537DE2"/>
    <w:rsid w:val="00537E47"/>
    <w:rsid w:val="00537EA1"/>
    <w:rsid w:val="00540186"/>
    <w:rsid w:val="00540192"/>
    <w:rsid w:val="0054021A"/>
    <w:rsid w:val="00540258"/>
    <w:rsid w:val="00540306"/>
    <w:rsid w:val="00540310"/>
    <w:rsid w:val="005403A6"/>
    <w:rsid w:val="0054053F"/>
    <w:rsid w:val="005405B7"/>
    <w:rsid w:val="005408E1"/>
    <w:rsid w:val="005409DB"/>
    <w:rsid w:val="00540B21"/>
    <w:rsid w:val="00540BD1"/>
    <w:rsid w:val="00540C49"/>
    <w:rsid w:val="00540D3D"/>
    <w:rsid w:val="00540E39"/>
    <w:rsid w:val="00540E65"/>
    <w:rsid w:val="00540EB6"/>
    <w:rsid w:val="00540F9D"/>
    <w:rsid w:val="00541012"/>
    <w:rsid w:val="0054111C"/>
    <w:rsid w:val="00541235"/>
    <w:rsid w:val="00541433"/>
    <w:rsid w:val="0054154D"/>
    <w:rsid w:val="0054162E"/>
    <w:rsid w:val="0054164A"/>
    <w:rsid w:val="005416DB"/>
    <w:rsid w:val="00541812"/>
    <w:rsid w:val="005418A0"/>
    <w:rsid w:val="0054192E"/>
    <w:rsid w:val="00541A14"/>
    <w:rsid w:val="00541B11"/>
    <w:rsid w:val="00541B3C"/>
    <w:rsid w:val="00541B77"/>
    <w:rsid w:val="00541C5E"/>
    <w:rsid w:val="005420CD"/>
    <w:rsid w:val="005420F8"/>
    <w:rsid w:val="0054211F"/>
    <w:rsid w:val="005422EE"/>
    <w:rsid w:val="005424FE"/>
    <w:rsid w:val="0054251F"/>
    <w:rsid w:val="0054264E"/>
    <w:rsid w:val="00542652"/>
    <w:rsid w:val="005426EB"/>
    <w:rsid w:val="005426F0"/>
    <w:rsid w:val="005426FF"/>
    <w:rsid w:val="0054293E"/>
    <w:rsid w:val="00542ABB"/>
    <w:rsid w:val="00542C0C"/>
    <w:rsid w:val="00542D62"/>
    <w:rsid w:val="00542E03"/>
    <w:rsid w:val="00542E12"/>
    <w:rsid w:val="00542E34"/>
    <w:rsid w:val="00542E6E"/>
    <w:rsid w:val="005430F9"/>
    <w:rsid w:val="00543168"/>
    <w:rsid w:val="005431F8"/>
    <w:rsid w:val="00543353"/>
    <w:rsid w:val="00543462"/>
    <w:rsid w:val="00543537"/>
    <w:rsid w:val="0054356B"/>
    <w:rsid w:val="005436E6"/>
    <w:rsid w:val="00543834"/>
    <w:rsid w:val="00543891"/>
    <w:rsid w:val="005438BB"/>
    <w:rsid w:val="0054390B"/>
    <w:rsid w:val="00543A5B"/>
    <w:rsid w:val="00543AFC"/>
    <w:rsid w:val="00543B32"/>
    <w:rsid w:val="00543B62"/>
    <w:rsid w:val="00543C2A"/>
    <w:rsid w:val="00543EC8"/>
    <w:rsid w:val="00543F9C"/>
    <w:rsid w:val="00544300"/>
    <w:rsid w:val="005443C3"/>
    <w:rsid w:val="00544413"/>
    <w:rsid w:val="0054456F"/>
    <w:rsid w:val="00544654"/>
    <w:rsid w:val="005446A7"/>
    <w:rsid w:val="005446F8"/>
    <w:rsid w:val="00544774"/>
    <w:rsid w:val="0054488D"/>
    <w:rsid w:val="00544BAF"/>
    <w:rsid w:val="00544BF1"/>
    <w:rsid w:val="00544BF5"/>
    <w:rsid w:val="00544C8C"/>
    <w:rsid w:val="00544D9F"/>
    <w:rsid w:val="00544DA5"/>
    <w:rsid w:val="00544E27"/>
    <w:rsid w:val="00544F19"/>
    <w:rsid w:val="00544FF2"/>
    <w:rsid w:val="005450A2"/>
    <w:rsid w:val="00545290"/>
    <w:rsid w:val="0054529D"/>
    <w:rsid w:val="0054532E"/>
    <w:rsid w:val="0054582A"/>
    <w:rsid w:val="00545B1D"/>
    <w:rsid w:val="00545B85"/>
    <w:rsid w:val="00545C42"/>
    <w:rsid w:val="00545C6F"/>
    <w:rsid w:val="00545D06"/>
    <w:rsid w:val="00545DB7"/>
    <w:rsid w:val="00545DC0"/>
    <w:rsid w:val="00545DDB"/>
    <w:rsid w:val="00545E54"/>
    <w:rsid w:val="00545F2D"/>
    <w:rsid w:val="00546063"/>
    <w:rsid w:val="005461AA"/>
    <w:rsid w:val="0054627E"/>
    <w:rsid w:val="005462D0"/>
    <w:rsid w:val="005464CC"/>
    <w:rsid w:val="00546515"/>
    <w:rsid w:val="0054666A"/>
    <w:rsid w:val="005466C7"/>
    <w:rsid w:val="00546719"/>
    <w:rsid w:val="00546803"/>
    <w:rsid w:val="0054696A"/>
    <w:rsid w:val="00546995"/>
    <w:rsid w:val="00546AD0"/>
    <w:rsid w:val="00546C79"/>
    <w:rsid w:val="00546CDE"/>
    <w:rsid w:val="00546D39"/>
    <w:rsid w:val="00546ECB"/>
    <w:rsid w:val="00546EDF"/>
    <w:rsid w:val="00546F85"/>
    <w:rsid w:val="00546F9A"/>
    <w:rsid w:val="0054708A"/>
    <w:rsid w:val="005471B4"/>
    <w:rsid w:val="005472A2"/>
    <w:rsid w:val="005472B9"/>
    <w:rsid w:val="005472F3"/>
    <w:rsid w:val="00547593"/>
    <w:rsid w:val="00547600"/>
    <w:rsid w:val="005477F9"/>
    <w:rsid w:val="00547A88"/>
    <w:rsid w:val="00547AED"/>
    <w:rsid w:val="0055000A"/>
    <w:rsid w:val="00550078"/>
    <w:rsid w:val="00550085"/>
    <w:rsid w:val="0055036C"/>
    <w:rsid w:val="005503EF"/>
    <w:rsid w:val="0055041A"/>
    <w:rsid w:val="00550454"/>
    <w:rsid w:val="0055047F"/>
    <w:rsid w:val="005504B0"/>
    <w:rsid w:val="0055069F"/>
    <w:rsid w:val="005507B6"/>
    <w:rsid w:val="0055087D"/>
    <w:rsid w:val="00550AB0"/>
    <w:rsid w:val="00550ABA"/>
    <w:rsid w:val="00550B66"/>
    <w:rsid w:val="00550CBF"/>
    <w:rsid w:val="00550DE1"/>
    <w:rsid w:val="00550E55"/>
    <w:rsid w:val="00550E84"/>
    <w:rsid w:val="00550F46"/>
    <w:rsid w:val="00550FF5"/>
    <w:rsid w:val="0055107A"/>
    <w:rsid w:val="00551108"/>
    <w:rsid w:val="0055133A"/>
    <w:rsid w:val="00551368"/>
    <w:rsid w:val="0055136F"/>
    <w:rsid w:val="005513AC"/>
    <w:rsid w:val="0055141A"/>
    <w:rsid w:val="00551759"/>
    <w:rsid w:val="005519A5"/>
    <w:rsid w:val="00551C6D"/>
    <w:rsid w:val="00551D50"/>
    <w:rsid w:val="00551DD2"/>
    <w:rsid w:val="00551E63"/>
    <w:rsid w:val="00551EA0"/>
    <w:rsid w:val="00551F18"/>
    <w:rsid w:val="00552014"/>
    <w:rsid w:val="00552058"/>
    <w:rsid w:val="00552143"/>
    <w:rsid w:val="00552302"/>
    <w:rsid w:val="005523C7"/>
    <w:rsid w:val="005524B0"/>
    <w:rsid w:val="005524C3"/>
    <w:rsid w:val="00552745"/>
    <w:rsid w:val="00552B0F"/>
    <w:rsid w:val="00552C3B"/>
    <w:rsid w:val="00552CD2"/>
    <w:rsid w:val="00552DA4"/>
    <w:rsid w:val="00552EE2"/>
    <w:rsid w:val="00552F7C"/>
    <w:rsid w:val="00552FCC"/>
    <w:rsid w:val="0055302C"/>
    <w:rsid w:val="0055306F"/>
    <w:rsid w:val="00553107"/>
    <w:rsid w:val="00553439"/>
    <w:rsid w:val="0055344A"/>
    <w:rsid w:val="0055344F"/>
    <w:rsid w:val="00553669"/>
    <w:rsid w:val="00553839"/>
    <w:rsid w:val="00553893"/>
    <w:rsid w:val="005538A9"/>
    <w:rsid w:val="005538E8"/>
    <w:rsid w:val="00553A39"/>
    <w:rsid w:val="00553A72"/>
    <w:rsid w:val="00553C90"/>
    <w:rsid w:val="00553D16"/>
    <w:rsid w:val="00553DC0"/>
    <w:rsid w:val="00553DFB"/>
    <w:rsid w:val="00553E63"/>
    <w:rsid w:val="00553F6D"/>
    <w:rsid w:val="005540C2"/>
    <w:rsid w:val="00554139"/>
    <w:rsid w:val="00554316"/>
    <w:rsid w:val="005545AE"/>
    <w:rsid w:val="00554894"/>
    <w:rsid w:val="005549EE"/>
    <w:rsid w:val="00554A1F"/>
    <w:rsid w:val="00554A84"/>
    <w:rsid w:val="00554AA3"/>
    <w:rsid w:val="00554D4D"/>
    <w:rsid w:val="00554DCD"/>
    <w:rsid w:val="00554E3F"/>
    <w:rsid w:val="00554EAB"/>
    <w:rsid w:val="00554F08"/>
    <w:rsid w:val="00554F95"/>
    <w:rsid w:val="00554FFD"/>
    <w:rsid w:val="00555032"/>
    <w:rsid w:val="00555164"/>
    <w:rsid w:val="00555345"/>
    <w:rsid w:val="00555497"/>
    <w:rsid w:val="005555DB"/>
    <w:rsid w:val="005557A8"/>
    <w:rsid w:val="0055584F"/>
    <w:rsid w:val="0055587D"/>
    <w:rsid w:val="0055587F"/>
    <w:rsid w:val="0055591A"/>
    <w:rsid w:val="005559EB"/>
    <w:rsid w:val="00555AC9"/>
    <w:rsid w:val="00555AE0"/>
    <w:rsid w:val="00555AEC"/>
    <w:rsid w:val="00555B16"/>
    <w:rsid w:val="00555B5F"/>
    <w:rsid w:val="00555C75"/>
    <w:rsid w:val="00555CEC"/>
    <w:rsid w:val="00555E5E"/>
    <w:rsid w:val="00555F09"/>
    <w:rsid w:val="00556028"/>
    <w:rsid w:val="00556154"/>
    <w:rsid w:val="005561B1"/>
    <w:rsid w:val="005561F7"/>
    <w:rsid w:val="00556645"/>
    <w:rsid w:val="005567DD"/>
    <w:rsid w:val="00556805"/>
    <w:rsid w:val="00556848"/>
    <w:rsid w:val="00556B87"/>
    <w:rsid w:val="00556BC1"/>
    <w:rsid w:val="00556EFB"/>
    <w:rsid w:val="00556F7A"/>
    <w:rsid w:val="0055708C"/>
    <w:rsid w:val="00557194"/>
    <w:rsid w:val="00557296"/>
    <w:rsid w:val="0055729A"/>
    <w:rsid w:val="00557316"/>
    <w:rsid w:val="00557448"/>
    <w:rsid w:val="005576FB"/>
    <w:rsid w:val="005577B0"/>
    <w:rsid w:val="005578C0"/>
    <w:rsid w:val="00557A7F"/>
    <w:rsid w:val="00557B39"/>
    <w:rsid w:val="00557DD8"/>
    <w:rsid w:val="00557FFB"/>
    <w:rsid w:val="005600C6"/>
    <w:rsid w:val="0056013B"/>
    <w:rsid w:val="00560192"/>
    <w:rsid w:val="005601D7"/>
    <w:rsid w:val="005601FB"/>
    <w:rsid w:val="00560748"/>
    <w:rsid w:val="005608D3"/>
    <w:rsid w:val="005608F3"/>
    <w:rsid w:val="00560BBA"/>
    <w:rsid w:val="00560DF3"/>
    <w:rsid w:val="00561241"/>
    <w:rsid w:val="005612BA"/>
    <w:rsid w:val="005612F5"/>
    <w:rsid w:val="00561403"/>
    <w:rsid w:val="00561630"/>
    <w:rsid w:val="005616A2"/>
    <w:rsid w:val="005616B4"/>
    <w:rsid w:val="00561959"/>
    <w:rsid w:val="0056199D"/>
    <w:rsid w:val="00561AB3"/>
    <w:rsid w:val="00561AD9"/>
    <w:rsid w:val="00561D3D"/>
    <w:rsid w:val="00561E00"/>
    <w:rsid w:val="00561F4B"/>
    <w:rsid w:val="00562084"/>
    <w:rsid w:val="0056215C"/>
    <w:rsid w:val="00562203"/>
    <w:rsid w:val="00562367"/>
    <w:rsid w:val="005623EA"/>
    <w:rsid w:val="005626AD"/>
    <w:rsid w:val="005626EE"/>
    <w:rsid w:val="0056270C"/>
    <w:rsid w:val="005627A0"/>
    <w:rsid w:val="005627FB"/>
    <w:rsid w:val="005629D3"/>
    <w:rsid w:val="00562B39"/>
    <w:rsid w:val="00562C7B"/>
    <w:rsid w:val="00562EA1"/>
    <w:rsid w:val="00562ECB"/>
    <w:rsid w:val="00562FE1"/>
    <w:rsid w:val="00563060"/>
    <w:rsid w:val="005630B7"/>
    <w:rsid w:val="005631D2"/>
    <w:rsid w:val="00563242"/>
    <w:rsid w:val="005632E4"/>
    <w:rsid w:val="005635E9"/>
    <w:rsid w:val="005635F4"/>
    <w:rsid w:val="005636CF"/>
    <w:rsid w:val="005636D5"/>
    <w:rsid w:val="0056375B"/>
    <w:rsid w:val="0056391F"/>
    <w:rsid w:val="00563A76"/>
    <w:rsid w:val="00563ABE"/>
    <w:rsid w:val="00563DF2"/>
    <w:rsid w:val="00563F2E"/>
    <w:rsid w:val="00564234"/>
    <w:rsid w:val="00564369"/>
    <w:rsid w:val="005643B2"/>
    <w:rsid w:val="005643CF"/>
    <w:rsid w:val="005646E7"/>
    <w:rsid w:val="0056472A"/>
    <w:rsid w:val="00564807"/>
    <w:rsid w:val="00564831"/>
    <w:rsid w:val="00564A0E"/>
    <w:rsid w:val="00564B0B"/>
    <w:rsid w:val="00564B82"/>
    <w:rsid w:val="00564BDA"/>
    <w:rsid w:val="00564C58"/>
    <w:rsid w:val="00564D38"/>
    <w:rsid w:val="00564F6C"/>
    <w:rsid w:val="00564FC2"/>
    <w:rsid w:val="00565095"/>
    <w:rsid w:val="00565100"/>
    <w:rsid w:val="005651E1"/>
    <w:rsid w:val="00565333"/>
    <w:rsid w:val="00565357"/>
    <w:rsid w:val="0056536D"/>
    <w:rsid w:val="0056574F"/>
    <w:rsid w:val="0056580B"/>
    <w:rsid w:val="005658BD"/>
    <w:rsid w:val="00565996"/>
    <w:rsid w:val="005659B6"/>
    <w:rsid w:val="00565AA0"/>
    <w:rsid w:val="00565BB7"/>
    <w:rsid w:val="00565C4A"/>
    <w:rsid w:val="00565DB9"/>
    <w:rsid w:val="00565DFA"/>
    <w:rsid w:val="00565E1E"/>
    <w:rsid w:val="00565E97"/>
    <w:rsid w:val="00565F64"/>
    <w:rsid w:val="00565F7E"/>
    <w:rsid w:val="00566142"/>
    <w:rsid w:val="005661C7"/>
    <w:rsid w:val="0056621C"/>
    <w:rsid w:val="00566322"/>
    <w:rsid w:val="0056644C"/>
    <w:rsid w:val="00566611"/>
    <w:rsid w:val="005667BA"/>
    <w:rsid w:val="005669BC"/>
    <w:rsid w:val="00566A09"/>
    <w:rsid w:val="00566A2C"/>
    <w:rsid w:val="00566AD4"/>
    <w:rsid w:val="00566BA9"/>
    <w:rsid w:val="00566D13"/>
    <w:rsid w:val="00566D15"/>
    <w:rsid w:val="00566E31"/>
    <w:rsid w:val="00567024"/>
    <w:rsid w:val="00567154"/>
    <w:rsid w:val="005672A1"/>
    <w:rsid w:val="005673D4"/>
    <w:rsid w:val="0056741C"/>
    <w:rsid w:val="00567562"/>
    <w:rsid w:val="005675DF"/>
    <w:rsid w:val="0056775B"/>
    <w:rsid w:val="0056781A"/>
    <w:rsid w:val="005679ED"/>
    <w:rsid w:val="00567A3A"/>
    <w:rsid w:val="00567A75"/>
    <w:rsid w:val="00567AD4"/>
    <w:rsid w:val="00567B35"/>
    <w:rsid w:val="00567B4D"/>
    <w:rsid w:val="00567BD8"/>
    <w:rsid w:val="00567BDA"/>
    <w:rsid w:val="00567BE3"/>
    <w:rsid w:val="00567DB7"/>
    <w:rsid w:val="00567DE1"/>
    <w:rsid w:val="00567ECE"/>
    <w:rsid w:val="005700E1"/>
    <w:rsid w:val="005701A6"/>
    <w:rsid w:val="00570347"/>
    <w:rsid w:val="0057048B"/>
    <w:rsid w:val="005704F2"/>
    <w:rsid w:val="00570571"/>
    <w:rsid w:val="00570797"/>
    <w:rsid w:val="005707C3"/>
    <w:rsid w:val="00570880"/>
    <w:rsid w:val="005709E3"/>
    <w:rsid w:val="005709FF"/>
    <w:rsid w:val="00570ABA"/>
    <w:rsid w:val="00570B1C"/>
    <w:rsid w:val="00570D56"/>
    <w:rsid w:val="00570E05"/>
    <w:rsid w:val="00570E0A"/>
    <w:rsid w:val="00570EED"/>
    <w:rsid w:val="00570F18"/>
    <w:rsid w:val="00570F45"/>
    <w:rsid w:val="00570F58"/>
    <w:rsid w:val="0057107A"/>
    <w:rsid w:val="005710D2"/>
    <w:rsid w:val="00571165"/>
    <w:rsid w:val="00571226"/>
    <w:rsid w:val="00571390"/>
    <w:rsid w:val="00571403"/>
    <w:rsid w:val="0057141A"/>
    <w:rsid w:val="00571628"/>
    <w:rsid w:val="00571672"/>
    <w:rsid w:val="005716FC"/>
    <w:rsid w:val="0057171E"/>
    <w:rsid w:val="0057173B"/>
    <w:rsid w:val="005717E5"/>
    <w:rsid w:val="005717F7"/>
    <w:rsid w:val="005718CD"/>
    <w:rsid w:val="00571921"/>
    <w:rsid w:val="0057192F"/>
    <w:rsid w:val="0057198F"/>
    <w:rsid w:val="00571A02"/>
    <w:rsid w:val="00571A83"/>
    <w:rsid w:val="00571CAC"/>
    <w:rsid w:val="00571D2A"/>
    <w:rsid w:val="00571F75"/>
    <w:rsid w:val="00571F9E"/>
    <w:rsid w:val="00571FE8"/>
    <w:rsid w:val="00572041"/>
    <w:rsid w:val="0057204B"/>
    <w:rsid w:val="005723C9"/>
    <w:rsid w:val="00572414"/>
    <w:rsid w:val="005724DD"/>
    <w:rsid w:val="00572546"/>
    <w:rsid w:val="005725CB"/>
    <w:rsid w:val="005725E3"/>
    <w:rsid w:val="00572737"/>
    <w:rsid w:val="0057277E"/>
    <w:rsid w:val="00572795"/>
    <w:rsid w:val="005727AE"/>
    <w:rsid w:val="005727BD"/>
    <w:rsid w:val="00572869"/>
    <w:rsid w:val="005728F3"/>
    <w:rsid w:val="0057297C"/>
    <w:rsid w:val="00572C2A"/>
    <w:rsid w:val="00572CAA"/>
    <w:rsid w:val="00572E0B"/>
    <w:rsid w:val="00572E65"/>
    <w:rsid w:val="00572EF2"/>
    <w:rsid w:val="00572EF9"/>
    <w:rsid w:val="00572FF8"/>
    <w:rsid w:val="00573089"/>
    <w:rsid w:val="00573124"/>
    <w:rsid w:val="005734E8"/>
    <w:rsid w:val="00573587"/>
    <w:rsid w:val="005735DA"/>
    <w:rsid w:val="00573657"/>
    <w:rsid w:val="005737E4"/>
    <w:rsid w:val="005739A3"/>
    <w:rsid w:val="00573B54"/>
    <w:rsid w:val="00573BE1"/>
    <w:rsid w:val="00573D9A"/>
    <w:rsid w:val="00573F56"/>
    <w:rsid w:val="00573F63"/>
    <w:rsid w:val="00574114"/>
    <w:rsid w:val="0057411E"/>
    <w:rsid w:val="005741EC"/>
    <w:rsid w:val="005743C6"/>
    <w:rsid w:val="005744F6"/>
    <w:rsid w:val="0057457A"/>
    <w:rsid w:val="00574B2B"/>
    <w:rsid w:val="00574B37"/>
    <w:rsid w:val="00574B57"/>
    <w:rsid w:val="00574DFA"/>
    <w:rsid w:val="00574EA8"/>
    <w:rsid w:val="00574EAB"/>
    <w:rsid w:val="0057510D"/>
    <w:rsid w:val="0057515E"/>
    <w:rsid w:val="005754ED"/>
    <w:rsid w:val="005754F6"/>
    <w:rsid w:val="0057557A"/>
    <w:rsid w:val="005756BC"/>
    <w:rsid w:val="005756C2"/>
    <w:rsid w:val="005757B8"/>
    <w:rsid w:val="005758FA"/>
    <w:rsid w:val="00575AE0"/>
    <w:rsid w:val="00575B15"/>
    <w:rsid w:val="00575B53"/>
    <w:rsid w:val="00575C7D"/>
    <w:rsid w:val="00575CAC"/>
    <w:rsid w:val="00575DEF"/>
    <w:rsid w:val="00575F16"/>
    <w:rsid w:val="005761CF"/>
    <w:rsid w:val="005762BC"/>
    <w:rsid w:val="00576459"/>
    <w:rsid w:val="005764B1"/>
    <w:rsid w:val="005765EA"/>
    <w:rsid w:val="0057692D"/>
    <w:rsid w:val="00576972"/>
    <w:rsid w:val="00576C1D"/>
    <w:rsid w:val="00576C5F"/>
    <w:rsid w:val="00576F27"/>
    <w:rsid w:val="00577004"/>
    <w:rsid w:val="005770A6"/>
    <w:rsid w:val="005770F8"/>
    <w:rsid w:val="005771F0"/>
    <w:rsid w:val="0057740D"/>
    <w:rsid w:val="00577439"/>
    <w:rsid w:val="005774BA"/>
    <w:rsid w:val="00577563"/>
    <w:rsid w:val="005778C8"/>
    <w:rsid w:val="005778EF"/>
    <w:rsid w:val="005778FC"/>
    <w:rsid w:val="00577A06"/>
    <w:rsid w:val="00577A1B"/>
    <w:rsid w:val="00577A25"/>
    <w:rsid w:val="00577A43"/>
    <w:rsid w:val="00577A7F"/>
    <w:rsid w:val="00577AEE"/>
    <w:rsid w:val="00577C26"/>
    <w:rsid w:val="00577C31"/>
    <w:rsid w:val="00577DAA"/>
    <w:rsid w:val="00577E94"/>
    <w:rsid w:val="00580020"/>
    <w:rsid w:val="0058013F"/>
    <w:rsid w:val="005801A4"/>
    <w:rsid w:val="00580435"/>
    <w:rsid w:val="00580477"/>
    <w:rsid w:val="00580637"/>
    <w:rsid w:val="005807CC"/>
    <w:rsid w:val="0058088D"/>
    <w:rsid w:val="00580A06"/>
    <w:rsid w:val="00580A92"/>
    <w:rsid w:val="00580B77"/>
    <w:rsid w:val="00580E44"/>
    <w:rsid w:val="00580F36"/>
    <w:rsid w:val="0058101A"/>
    <w:rsid w:val="005810CB"/>
    <w:rsid w:val="005811D8"/>
    <w:rsid w:val="00581319"/>
    <w:rsid w:val="0058131B"/>
    <w:rsid w:val="00581536"/>
    <w:rsid w:val="005815FE"/>
    <w:rsid w:val="00581614"/>
    <w:rsid w:val="005816FA"/>
    <w:rsid w:val="0058171C"/>
    <w:rsid w:val="0058174F"/>
    <w:rsid w:val="00581809"/>
    <w:rsid w:val="005818C0"/>
    <w:rsid w:val="005818C7"/>
    <w:rsid w:val="00581A17"/>
    <w:rsid w:val="00581ADA"/>
    <w:rsid w:val="00581B01"/>
    <w:rsid w:val="00581D44"/>
    <w:rsid w:val="00582030"/>
    <w:rsid w:val="00582059"/>
    <w:rsid w:val="005820A0"/>
    <w:rsid w:val="0058211D"/>
    <w:rsid w:val="005821F2"/>
    <w:rsid w:val="0058233E"/>
    <w:rsid w:val="00582416"/>
    <w:rsid w:val="0058248A"/>
    <w:rsid w:val="00582692"/>
    <w:rsid w:val="005826EA"/>
    <w:rsid w:val="0058296A"/>
    <w:rsid w:val="00582A92"/>
    <w:rsid w:val="00582C43"/>
    <w:rsid w:val="00582CB4"/>
    <w:rsid w:val="00582D10"/>
    <w:rsid w:val="00582DAA"/>
    <w:rsid w:val="00582FEB"/>
    <w:rsid w:val="00583032"/>
    <w:rsid w:val="005830A0"/>
    <w:rsid w:val="005830CF"/>
    <w:rsid w:val="0058310D"/>
    <w:rsid w:val="0058312A"/>
    <w:rsid w:val="00583230"/>
    <w:rsid w:val="005833DF"/>
    <w:rsid w:val="00583432"/>
    <w:rsid w:val="0058358D"/>
    <w:rsid w:val="0058371A"/>
    <w:rsid w:val="0058385F"/>
    <w:rsid w:val="005838C7"/>
    <w:rsid w:val="005838DF"/>
    <w:rsid w:val="005839B4"/>
    <w:rsid w:val="00583A11"/>
    <w:rsid w:val="00583A33"/>
    <w:rsid w:val="00583BDB"/>
    <w:rsid w:val="00583D9D"/>
    <w:rsid w:val="00583DAA"/>
    <w:rsid w:val="00583E24"/>
    <w:rsid w:val="00583E4F"/>
    <w:rsid w:val="00583E9A"/>
    <w:rsid w:val="00583F78"/>
    <w:rsid w:val="00583F94"/>
    <w:rsid w:val="0058427A"/>
    <w:rsid w:val="0058428B"/>
    <w:rsid w:val="00584435"/>
    <w:rsid w:val="0058447C"/>
    <w:rsid w:val="005844AB"/>
    <w:rsid w:val="0058453E"/>
    <w:rsid w:val="00584619"/>
    <w:rsid w:val="005846E8"/>
    <w:rsid w:val="00584825"/>
    <w:rsid w:val="00584B0D"/>
    <w:rsid w:val="00584BE4"/>
    <w:rsid w:val="00584BFC"/>
    <w:rsid w:val="00584E14"/>
    <w:rsid w:val="00584EB2"/>
    <w:rsid w:val="00584F55"/>
    <w:rsid w:val="005851A5"/>
    <w:rsid w:val="005851A8"/>
    <w:rsid w:val="005852F7"/>
    <w:rsid w:val="0058546C"/>
    <w:rsid w:val="005854C4"/>
    <w:rsid w:val="005855B3"/>
    <w:rsid w:val="005856E0"/>
    <w:rsid w:val="00585844"/>
    <w:rsid w:val="00585877"/>
    <w:rsid w:val="00585A79"/>
    <w:rsid w:val="00585BCE"/>
    <w:rsid w:val="00585BE6"/>
    <w:rsid w:val="00585D6F"/>
    <w:rsid w:val="00585F28"/>
    <w:rsid w:val="00585FC0"/>
    <w:rsid w:val="005860AF"/>
    <w:rsid w:val="005861C7"/>
    <w:rsid w:val="00586229"/>
    <w:rsid w:val="0058653E"/>
    <w:rsid w:val="00586549"/>
    <w:rsid w:val="00586573"/>
    <w:rsid w:val="005865DD"/>
    <w:rsid w:val="0058661F"/>
    <w:rsid w:val="00586676"/>
    <w:rsid w:val="00586730"/>
    <w:rsid w:val="0058674D"/>
    <w:rsid w:val="0058675C"/>
    <w:rsid w:val="005867A6"/>
    <w:rsid w:val="005867D2"/>
    <w:rsid w:val="005867F1"/>
    <w:rsid w:val="0058687D"/>
    <w:rsid w:val="005869AA"/>
    <w:rsid w:val="005869CB"/>
    <w:rsid w:val="005869CD"/>
    <w:rsid w:val="00586E33"/>
    <w:rsid w:val="00586F27"/>
    <w:rsid w:val="00586FF9"/>
    <w:rsid w:val="005870E2"/>
    <w:rsid w:val="0058716C"/>
    <w:rsid w:val="0058724E"/>
    <w:rsid w:val="0058744F"/>
    <w:rsid w:val="005874DF"/>
    <w:rsid w:val="005875A5"/>
    <w:rsid w:val="00587876"/>
    <w:rsid w:val="0058798E"/>
    <w:rsid w:val="0059013D"/>
    <w:rsid w:val="005902E2"/>
    <w:rsid w:val="0059035B"/>
    <w:rsid w:val="005903B5"/>
    <w:rsid w:val="005903D7"/>
    <w:rsid w:val="005904AB"/>
    <w:rsid w:val="005904E2"/>
    <w:rsid w:val="00590517"/>
    <w:rsid w:val="0059070C"/>
    <w:rsid w:val="00590776"/>
    <w:rsid w:val="00590781"/>
    <w:rsid w:val="005907F2"/>
    <w:rsid w:val="00590862"/>
    <w:rsid w:val="005909A8"/>
    <w:rsid w:val="00590B22"/>
    <w:rsid w:val="00590B3A"/>
    <w:rsid w:val="00590C61"/>
    <w:rsid w:val="00590CA8"/>
    <w:rsid w:val="00590D4E"/>
    <w:rsid w:val="00590D95"/>
    <w:rsid w:val="00590E3D"/>
    <w:rsid w:val="00590F06"/>
    <w:rsid w:val="0059109B"/>
    <w:rsid w:val="005910E0"/>
    <w:rsid w:val="0059132F"/>
    <w:rsid w:val="00591463"/>
    <w:rsid w:val="005916B8"/>
    <w:rsid w:val="0059177E"/>
    <w:rsid w:val="00591970"/>
    <w:rsid w:val="00591B86"/>
    <w:rsid w:val="00591C16"/>
    <w:rsid w:val="00591C45"/>
    <w:rsid w:val="00591D5B"/>
    <w:rsid w:val="00591E1D"/>
    <w:rsid w:val="0059228E"/>
    <w:rsid w:val="0059247A"/>
    <w:rsid w:val="00592674"/>
    <w:rsid w:val="005926EC"/>
    <w:rsid w:val="00592808"/>
    <w:rsid w:val="00592A0D"/>
    <w:rsid w:val="00592A8E"/>
    <w:rsid w:val="00592B45"/>
    <w:rsid w:val="00592C13"/>
    <w:rsid w:val="00592D98"/>
    <w:rsid w:val="00592DC9"/>
    <w:rsid w:val="00592DDC"/>
    <w:rsid w:val="00592E50"/>
    <w:rsid w:val="00592F16"/>
    <w:rsid w:val="00592F46"/>
    <w:rsid w:val="00592FD4"/>
    <w:rsid w:val="00593693"/>
    <w:rsid w:val="00593705"/>
    <w:rsid w:val="00593727"/>
    <w:rsid w:val="005937CB"/>
    <w:rsid w:val="00593903"/>
    <w:rsid w:val="00593940"/>
    <w:rsid w:val="00593B3E"/>
    <w:rsid w:val="00593B93"/>
    <w:rsid w:val="00593E78"/>
    <w:rsid w:val="00593F58"/>
    <w:rsid w:val="00593FA4"/>
    <w:rsid w:val="00593FDC"/>
    <w:rsid w:val="005940C2"/>
    <w:rsid w:val="00594195"/>
    <w:rsid w:val="00594340"/>
    <w:rsid w:val="00594376"/>
    <w:rsid w:val="0059440C"/>
    <w:rsid w:val="00594493"/>
    <w:rsid w:val="005944B6"/>
    <w:rsid w:val="00594534"/>
    <w:rsid w:val="0059496C"/>
    <w:rsid w:val="0059497B"/>
    <w:rsid w:val="005949A3"/>
    <w:rsid w:val="005949F1"/>
    <w:rsid w:val="00594A61"/>
    <w:rsid w:val="00594B4B"/>
    <w:rsid w:val="00594C1B"/>
    <w:rsid w:val="00594CC7"/>
    <w:rsid w:val="00594DDF"/>
    <w:rsid w:val="00594EEA"/>
    <w:rsid w:val="00594F1D"/>
    <w:rsid w:val="00594F6F"/>
    <w:rsid w:val="0059504D"/>
    <w:rsid w:val="0059514B"/>
    <w:rsid w:val="005951C3"/>
    <w:rsid w:val="005951C6"/>
    <w:rsid w:val="005951D4"/>
    <w:rsid w:val="00595231"/>
    <w:rsid w:val="005953AD"/>
    <w:rsid w:val="005953B9"/>
    <w:rsid w:val="00595402"/>
    <w:rsid w:val="005955B8"/>
    <w:rsid w:val="005956B6"/>
    <w:rsid w:val="005956E3"/>
    <w:rsid w:val="0059577E"/>
    <w:rsid w:val="005957F3"/>
    <w:rsid w:val="00595800"/>
    <w:rsid w:val="00595894"/>
    <w:rsid w:val="005958D7"/>
    <w:rsid w:val="00595996"/>
    <w:rsid w:val="00595A60"/>
    <w:rsid w:val="00595AB2"/>
    <w:rsid w:val="00595DB9"/>
    <w:rsid w:val="00595E3F"/>
    <w:rsid w:val="00595F28"/>
    <w:rsid w:val="00595FDF"/>
    <w:rsid w:val="00596022"/>
    <w:rsid w:val="00596023"/>
    <w:rsid w:val="0059606B"/>
    <w:rsid w:val="00596154"/>
    <w:rsid w:val="005963CC"/>
    <w:rsid w:val="00596654"/>
    <w:rsid w:val="00596655"/>
    <w:rsid w:val="005966C4"/>
    <w:rsid w:val="005966CC"/>
    <w:rsid w:val="00596841"/>
    <w:rsid w:val="00596861"/>
    <w:rsid w:val="00596AA3"/>
    <w:rsid w:val="00596B2C"/>
    <w:rsid w:val="00596BDD"/>
    <w:rsid w:val="00596C9B"/>
    <w:rsid w:val="00596CF9"/>
    <w:rsid w:val="00596D15"/>
    <w:rsid w:val="00596D7D"/>
    <w:rsid w:val="00596E19"/>
    <w:rsid w:val="00596E37"/>
    <w:rsid w:val="00596E4F"/>
    <w:rsid w:val="00596E72"/>
    <w:rsid w:val="00596E80"/>
    <w:rsid w:val="00596FA7"/>
    <w:rsid w:val="00597093"/>
    <w:rsid w:val="00597212"/>
    <w:rsid w:val="00597222"/>
    <w:rsid w:val="00597592"/>
    <w:rsid w:val="005975A8"/>
    <w:rsid w:val="005975C4"/>
    <w:rsid w:val="005976CF"/>
    <w:rsid w:val="0059778C"/>
    <w:rsid w:val="00597796"/>
    <w:rsid w:val="005977C4"/>
    <w:rsid w:val="005978AA"/>
    <w:rsid w:val="005978F9"/>
    <w:rsid w:val="0059794D"/>
    <w:rsid w:val="00597991"/>
    <w:rsid w:val="005979BB"/>
    <w:rsid w:val="005979FA"/>
    <w:rsid w:val="00597AA8"/>
    <w:rsid w:val="00597D75"/>
    <w:rsid w:val="00597E3C"/>
    <w:rsid w:val="00597F15"/>
    <w:rsid w:val="00597FA5"/>
    <w:rsid w:val="005A0031"/>
    <w:rsid w:val="005A02D7"/>
    <w:rsid w:val="005A038F"/>
    <w:rsid w:val="005A03B7"/>
    <w:rsid w:val="005A0423"/>
    <w:rsid w:val="005A04AE"/>
    <w:rsid w:val="005A04DD"/>
    <w:rsid w:val="005A0681"/>
    <w:rsid w:val="005A07D9"/>
    <w:rsid w:val="005A07F1"/>
    <w:rsid w:val="005A08E6"/>
    <w:rsid w:val="005A08FF"/>
    <w:rsid w:val="005A0942"/>
    <w:rsid w:val="005A0945"/>
    <w:rsid w:val="005A0A9F"/>
    <w:rsid w:val="005A0D37"/>
    <w:rsid w:val="005A0D38"/>
    <w:rsid w:val="005A0E45"/>
    <w:rsid w:val="005A0EEB"/>
    <w:rsid w:val="005A0FB0"/>
    <w:rsid w:val="005A1015"/>
    <w:rsid w:val="005A1113"/>
    <w:rsid w:val="005A131F"/>
    <w:rsid w:val="005A1358"/>
    <w:rsid w:val="005A1369"/>
    <w:rsid w:val="005A1569"/>
    <w:rsid w:val="005A16FB"/>
    <w:rsid w:val="005A17FA"/>
    <w:rsid w:val="005A185B"/>
    <w:rsid w:val="005A1986"/>
    <w:rsid w:val="005A1A5B"/>
    <w:rsid w:val="005A1B1F"/>
    <w:rsid w:val="005A1C71"/>
    <w:rsid w:val="005A1D58"/>
    <w:rsid w:val="005A1E90"/>
    <w:rsid w:val="005A1ED2"/>
    <w:rsid w:val="005A1F05"/>
    <w:rsid w:val="005A1F92"/>
    <w:rsid w:val="005A1F9B"/>
    <w:rsid w:val="005A2049"/>
    <w:rsid w:val="005A237E"/>
    <w:rsid w:val="005A23D8"/>
    <w:rsid w:val="005A241E"/>
    <w:rsid w:val="005A27FB"/>
    <w:rsid w:val="005A28B4"/>
    <w:rsid w:val="005A2A06"/>
    <w:rsid w:val="005A2B2E"/>
    <w:rsid w:val="005A2B91"/>
    <w:rsid w:val="005A2B97"/>
    <w:rsid w:val="005A2D38"/>
    <w:rsid w:val="005A2FEF"/>
    <w:rsid w:val="005A3157"/>
    <w:rsid w:val="005A31A5"/>
    <w:rsid w:val="005A334D"/>
    <w:rsid w:val="005A337A"/>
    <w:rsid w:val="005A343C"/>
    <w:rsid w:val="005A3684"/>
    <w:rsid w:val="005A3805"/>
    <w:rsid w:val="005A38AA"/>
    <w:rsid w:val="005A3977"/>
    <w:rsid w:val="005A3BA6"/>
    <w:rsid w:val="005A3C3C"/>
    <w:rsid w:val="005A3C9B"/>
    <w:rsid w:val="005A3DC9"/>
    <w:rsid w:val="005A3ED7"/>
    <w:rsid w:val="005A40AD"/>
    <w:rsid w:val="005A40ED"/>
    <w:rsid w:val="005A418F"/>
    <w:rsid w:val="005A42D1"/>
    <w:rsid w:val="005A42DE"/>
    <w:rsid w:val="005A4646"/>
    <w:rsid w:val="005A46A3"/>
    <w:rsid w:val="005A46F6"/>
    <w:rsid w:val="005A472C"/>
    <w:rsid w:val="005A47F8"/>
    <w:rsid w:val="005A4869"/>
    <w:rsid w:val="005A4897"/>
    <w:rsid w:val="005A4A43"/>
    <w:rsid w:val="005A4BC5"/>
    <w:rsid w:val="005A4C27"/>
    <w:rsid w:val="005A4C3D"/>
    <w:rsid w:val="005A4C76"/>
    <w:rsid w:val="005A4CB4"/>
    <w:rsid w:val="005A4DC4"/>
    <w:rsid w:val="005A4DE4"/>
    <w:rsid w:val="005A4FD5"/>
    <w:rsid w:val="005A51A0"/>
    <w:rsid w:val="005A51D8"/>
    <w:rsid w:val="005A524D"/>
    <w:rsid w:val="005A52F9"/>
    <w:rsid w:val="005A5325"/>
    <w:rsid w:val="005A53C9"/>
    <w:rsid w:val="005A5531"/>
    <w:rsid w:val="005A553B"/>
    <w:rsid w:val="005A5557"/>
    <w:rsid w:val="005A573A"/>
    <w:rsid w:val="005A575A"/>
    <w:rsid w:val="005A5838"/>
    <w:rsid w:val="005A5855"/>
    <w:rsid w:val="005A59D8"/>
    <w:rsid w:val="005A5B43"/>
    <w:rsid w:val="005A5C20"/>
    <w:rsid w:val="005A5C9C"/>
    <w:rsid w:val="005A5CC4"/>
    <w:rsid w:val="005A5DC3"/>
    <w:rsid w:val="005A60BD"/>
    <w:rsid w:val="005A60E8"/>
    <w:rsid w:val="005A61A7"/>
    <w:rsid w:val="005A61F3"/>
    <w:rsid w:val="005A625D"/>
    <w:rsid w:val="005A627D"/>
    <w:rsid w:val="005A63DC"/>
    <w:rsid w:val="005A64B0"/>
    <w:rsid w:val="005A6534"/>
    <w:rsid w:val="005A6635"/>
    <w:rsid w:val="005A6649"/>
    <w:rsid w:val="005A6B85"/>
    <w:rsid w:val="005A6C58"/>
    <w:rsid w:val="005A6D44"/>
    <w:rsid w:val="005A6E95"/>
    <w:rsid w:val="005A6F4B"/>
    <w:rsid w:val="005A6F57"/>
    <w:rsid w:val="005A6F61"/>
    <w:rsid w:val="005A6F8A"/>
    <w:rsid w:val="005A6F92"/>
    <w:rsid w:val="005A6FED"/>
    <w:rsid w:val="005A70E5"/>
    <w:rsid w:val="005A71F2"/>
    <w:rsid w:val="005A7249"/>
    <w:rsid w:val="005A7323"/>
    <w:rsid w:val="005A74EB"/>
    <w:rsid w:val="005A765E"/>
    <w:rsid w:val="005A76E2"/>
    <w:rsid w:val="005A777A"/>
    <w:rsid w:val="005A78B2"/>
    <w:rsid w:val="005A7946"/>
    <w:rsid w:val="005A7A57"/>
    <w:rsid w:val="005A7AA4"/>
    <w:rsid w:val="005A7C1A"/>
    <w:rsid w:val="005A7C7F"/>
    <w:rsid w:val="005A7E5E"/>
    <w:rsid w:val="005B01EC"/>
    <w:rsid w:val="005B02B7"/>
    <w:rsid w:val="005B02BA"/>
    <w:rsid w:val="005B0454"/>
    <w:rsid w:val="005B0503"/>
    <w:rsid w:val="005B05E7"/>
    <w:rsid w:val="005B05E8"/>
    <w:rsid w:val="005B07ED"/>
    <w:rsid w:val="005B0844"/>
    <w:rsid w:val="005B09B1"/>
    <w:rsid w:val="005B0AE8"/>
    <w:rsid w:val="005B0B39"/>
    <w:rsid w:val="005B0D03"/>
    <w:rsid w:val="005B0E56"/>
    <w:rsid w:val="005B10A4"/>
    <w:rsid w:val="005B10EF"/>
    <w:rsid w:val="005B1110"/>
    <w:rsid w:val="005B12AD"/>
    <w:rsid w:val="005B12EA"/>
    <w:rsid w:val="005B13CE"/>
    <w:rsid w:val="005B13ED"/>
    <w:rsid w:val="005B1467"/>
    <w:rsid w:val="005B166A"/>
    <w:rsid w:val="005B16F2"/>
    <w:rsid w:val="005B176B"/>
    <w:rsid w:val="005B176C"/>
    <w:rsid w:val="005B1805"/>
    <w:rsid w:val="005B1891"/>
    <w:rsid w:val="005B1A25"/>
    <w:rsid w:val="005B1A8C"/>
    <w:rsid w:val="005B1B3E"/>
    <w:rsid w:val="005B1BC4"/>
    <w:rsid w:val="005B1D50"/>
    <w:rsid w:val="005B1DBE"/>
    <w:rsid w:val="005B1F36"/>
    <w:rsid w:val="005B2602"/>
    <w:rsid w:val="005B279C"/>
    <w:rsid w:val="005B2836"/>
    <w:rsid w:val="005B2869"/>
    <w:rsid w:val="005B28D3"/>
    <w:rsid w:val="005B28D4"/>
    <w:rsid w:val="005B2C40"/>
    <w:rsid w:val="005B2D3D"/>
    <w:rsid w:val="005B2FB9"/>
    <w:rsid w:val="005B30A6"/>
    <w:rsid w:val="005B3133"/>
    <w:rsid w:val="005B31AC"/>
    <w:rsid w:val="005B31EB"/>
    <w:rsid w:val="005B32B1"/>
    <w:rsid w:val="005B352B"/>
    <w:rsid w:val="005B3556"/>
    <w:rsid w:val="005B3683"/>
    <w:rsid w:val="005B37AA"/>
    <w:rsid w:val="005B39DC"/>
    <w:rsid w:val="005B3A07"/>
    <w:rsid w:val="005B3B14"/>
    <w:rsid w:val="005B3B2E"/>
    <w:rsid w:val="005B3C66"/>
    <w:rsid w:val="005B3C81"/>
    <w:rsid w:val="005B3D11"/>
    <w:rsid w:val="005B3D1D"/>
    <w:rsid w:val="005B3E0A"/>
    <w:rsid w:val="005B3E29"/>
    <w:rsid w:val="005B3E6E"/>
    <w:rsid w:val="005B3F8F"/>
    <w:rsid w:val="005B402E"/>
    <w:rsid w:val="005B411C"/>
    <w:rsid w:val="005B4298"/>
    <w:rsid w:val="005B42A1"/>
    <w:rsid w:val="005B4341"/>
    <w:rsid w:val="005B43AD"/>
    <w:rsid w:val="005B44B0"/>
    <w:rsid w:val="005B44B1"/>
    <w:rsid w:val="005B45F6"/>
    <w:rsid w:val="005B47DE"/>
    <w:rsid w:val="005B48C5"/>
    <w:rsid w:val="005B4BA3"/>
    <w:rsid w:val="005B4CEC"/>
    <w:rsid w:val="005B4E4D"/>
    <w:rsid w:val="005B4EE9"/>
    <w:rsid w:val="005B4F03"/>
    <w:rsid w:val="005B4F37"/>
    <w:rsid w:val="005B51B7"/>
    <w:rsid w:val="005B5254"/>
    <w:rsid w:val="005B5268"/>
    <w:rsid w:val="005B5368"/>
    <w:rsid w:val="005B538D"/>
    <w:rsid w:val="005B549C"/>
    <w:rsid w:val="005B5538"/>
    <w:rsid w:val="005B5586"/>
    <w:rsid w:val="005B575C"/>
    <w:rsid w:val="005B57D8"/>
    <w:rsid w:val="005B58E9"/>
    <w:rsid w:val="005B58F8"/>
    <w:rsid w:val="005B5C6B"/>
    <w:rsid w:val="005B5D36"/>
    <w:rsid w:val="005B5D5F"/>
    <w:rsid w:val="005B5D87"/>
    <w:rsid w:val="005B63CD"/>
    <w:rsid w:val="005B6596"/>
    <w:rsid w:val="005B6661"/>
    <w:rsid w:val="005B668D"/>
    <w:rsid w:val="005B6894"/>
    <w:rsid w:val="005B69F1"/>
    <w:rsid w:val="005B6A97"/>
    <w:rsid w:val="005B6B18"/>
    <w:rsid w:val="005B6B58"/>
    <w:rsid w:val="005B6B61"/>
    <w:rsid w:val="005B6C18"/>
    <w:rsid w:val="005B6DDD"/>
    <w:rsid w:val="005B6E2A"/>
    <w:rsid w:val="005B6E5D"/>
    <w:rsid w:val="005B6E71"/>
    <w:rsid w:val="005B6ED8"/>
    <w:rsid w:val="005B6F74"/>
    <w:rsid w:val="005B6FEC"/>
    <w:rsid w:val="005B6FF5"/>
    <w:rsid w:val="005B7121"/>
    <w:rsid w:val="005B7179"/>
    <w:rsid w:val="005B7243"/>
    <w:rsid w:val="005B72A0"/>
    <w:rsid w:val="005B72F4"/>
    <w:rsid w:val="005B760F"/>
    <w:rsid w:val="005B7748"/>
    <w:rsid w:val="005B779B"/>
    <w:rsid w:val="005B779C"/>
    <w:rsid w:val="005B7886"/>
    <w:rsid w:val="005B7AA6"/>
    <w:rsid w:val="005B7B2E"/>
    <w:rsid w:val="005B7B46"/>
    <w:rsid w:val="005B7B47"/>
    <w:rsid w:val="005B7BFB"/>
    <w:rsid w:val="005B7C9F"/>
    <w:rsid w:val="005B7D28"/>
    <w:rsid w:val="005B7EDD"/>
    <w:rsid w:val="005C003B"/>
    <w:rsid w:val="005C004C"/>
    <w:rsid w:val="005C0068"/>
    <w:rsid w:val="005C01A8"/>
    <w:rsid w:val="005C0281"/>
    <w:rsid w:val="005C0387"/>
    <w:rsid w:val="005C0622"/>
    <w:rsid w:val="005C06F8"/>
    <w:rsid w:val="005C070D"/>
    <w:rsid w:val="005C0723"/>
    <w:rsid w:val="005C072C"/>
    <w:rsid w:val="005C08BE"/>
    <w:rsid w:val="005C094D"/>
    <w:rsid w:val="005C0969"/>
    <w:rsid w:val="005C0A0C"/>
    <w:rsid w:val="005C0AB8"/>
    <w:rsid w:val="005C0ADB"/>
    <w:rsid w:val="005C0E15"/>
    <w:rsid w:val="005C0EEC"/>
    <w:rsid w:val="005C1023"/>
    <w:rsid w:val="005C1038"/>
    <w:rsid w:val="005C1287"/>
    <w:rsid w:val="005C1384"/>
    <w:rsid w:val="005C13B2"/>
    <w:rsid w:val="005C16E8"/>
    <w:rsid w:val="005C17A1"/>
    <w:rsid w:val="005C1815"/>
    <w:rsid w:val="005C1912"/>
    <w:rsid w:val="005C1A32"/>
    <w:rsid w:val="005C1AEC"/>
    <w:rsid w:val="005C1D2A"/>
    <w:rsid w:val="005C1FC1"/>
    <w:rsid w:val="005C20D5"/>
    <w:rsid w:val="005C2105"/>
    <w:rsid w:val="005C22A1"/>
    <w:rsid w:val="005C26AB"/>
    <w:rsid w:val="005C27E3"/>
    <w:rsid w:val="005C2A90"/>
    <w:rsid w:val="005C2AEA"/>
    <w:rsid w:val="005C2C57"/>
    <w:rsid w:val="005C2CA8"/>
    <w:rsid w:val="005C2CDB"/>
    <w:rsid w:val="005C31DF"/>
    <w:rsid w:val="005C331A"/>
    <w:rsid w:val="005C33AA"/>
    <w:rsid w:val="005C34D6"/>
    <w:rsid w:val="005C34DA"/>
    <w:rsid w:val="005C35A8"/>
    <w:rsid w:val="005C35B6"/>
    <w:rsid w:val="005C3720"/>
    <w:rsid w:val="005C37CB"/>
    <w:rsid w:val="005C3A3B"/>
    <w:rsid w:val="005C3ABE"/>
    <w:rsid w:val="005C3BDC"/>
    <w:rsid w:val="005C3BE8"/>
    <w:rsid w:val="005C3C9D"/>
    <w:rsid w:val="005C3E06"/>
    <w:rsid w:val="005C3EF8"/>
    <w:rsid w:val="005C3F39"/>
    <w:rsid w:val="005C3FE3"/>
    <w:rsid w:val="005C4324"/>
    <w:rsid w:val="005C43CC"/>
    <w:rsid w:val="005C4583"/>
    <w:rsid w:val="005C459C"/>
    <w:rsid w:val="005C45BE"/>
    <w:rsid w:val="005C475A"/>
    <w:rsid w:val="005C48D3"/>
    <w:rsid w:val="005C48DC"/>
    <w:rsid w:val="005C4B65"/>
    <w:rsid w:val="005C4D0D"/>
    <w:rsid w:val="005C4DB1"/>
    <w:rsid w:val="005C4E66"/>
    <w:rsid w:val="005C4E6E"/>
    <w:rsid w:val="005C4EB8"/>
    <w:rsid w:val="005C5030"/>
    <w:rsid w:val="005C50E9"/>
    <w:rsid w:val="005C50ED"/>
    <w:rsid w:val="005C51D5"/>
    <w:rsid w:val="005C531A"/>
    <w:rsid w:val="005C5358"/>
    <w:rsid w:val="005C549C"/>
    <w:rsid w:val="005C560F"/>
    <w:rsid w:val="005C5642"/>
    <w:rsid w:val="005C5A9B"/>
    <w:rsid w:val="005C5AB2"/>
    <w:rsid w:val="005C5ABC"/>
    <w:rsid w:val="005C5AD5"/>
    <w:rsid w:val="005C5BFA"/>
    <w:rsid w:val="005C5C95"/>
    <w:rsid w:val="005C5D46"/>
    <w:rsid w:val="005C5FA7"/>
    <w:rsid w:val="005C614F"/>
    <w:rsid w:val="005C633F"/>
    <w:rsid w:val="005C65F8"/>
    <w:rsid w:val="005C6667"/>
    <w:rsid w:val="005C672E"/>
    <w:rsid w:val="005C67C7"/>
    <w:rsid w:val="005C6B76"/>
    <w:rsid w:val="005C6C0A"/>
    <w:rsid w:val="005C6C34"/>
    <w:rsid w:val="005C6C45"/>
    <w:rsid w:val="005C6EF3"/>
    <w:rsid w:val="005C6F02"/>
    <w:rsid w:val="005C71FB"/>
    <w:rsid w:val="005C73A8"/>
    <w:rsid w:val="005C73B6"/>
    <w:rsid w:val="005C73C6"/>
    <w:rsid w:val="005C73EF"/>
    <w:rsid w:val="005C7451"/>
    <w:rsid w:val="005C74C5"/>
    <w:rsid w:val="005C76CC"/>
    <w:rsid w:val="005C7722"/>
    <w:rsid w:val="005C7775"/>
    <w:rsid w:val="005C7799"/>
    <w:rsid w:val="005C7946"/>
    <w:rsid w:val="005C7AC4"/>
    <w:rsid w:val="005C7B21"/>
    <w:rsid w:val="005C7E2F"/>
    <w:rsid w:val="005C7EB7"/>
    <w:rsid w:val="005C7EC6"/>
    <w:rsid w:val="005C7FCF"/>
    <w:rsid w:val="005D00F0"/>
    <w:rsid w:val="005D019A"/>
    <w:rsid w:val="005D01A7"/>
    <w:rsid w:val="005D02FB"/>
    <w:rsid w:val="005D03B4"/>
    <w:rsid w:val="005D06FC"/>
    <w:rsid w:val="005D0874"/>
    <w:rsid w:val="005D0877"/>
    <w:rsid w:val="005D0878"/>
    <w:rsid w:val="005D08A5"/>
    <w:rsid w:val="005D0931"/>
    <w:rsid w:val="005D09AC"/>
    <w:rsid w:val="005D0A1A"/>
    <w:rsid w:val="005D0ADC"/>
    <w:rsid w:val="005D0B1B"/>
    <w:rsid w:val="005D0C80"/>
    <w:rsid w:val="005D0D0F"/>
    <w:rsid w:val="005D0D1E"/>
    <w:rsid w:val="005D0DA1"/>
    <w:rsid w:val="005D0EFF"/>
    <w:rsid w:val="005D0FB8"/>
    <w:rsid w:val="005D1457"/>
    <w:rsid w:val="005D14B9"/>
    <w:rsid w:val="005D168E"/>
    <w:rsid w:val="005D19D3"/>
    <w:rsid w:val="005D1A83"/>
    <w:rsid w:val="005D1A9F"/>
    <w:rsid w:val="005D1BA4"/>
    <w:rsid w:val="005D1BAF"/>
    <w:rsid w:val="005D1BD7"/>
    <w:rsid w:val="005D1C71"/>
    <w:rsid w:val="005D1D91"/>
    <w:rsid w:val="005D200A"/>
    <w:rsid w:val="005D20D9"/>
    <w:rsid w:val="005D22F5"/>
    <w:rsid w:val="005D2532"/>
    <w:rsid w:val="005D2759"/>
    <w:rsid w:val="005D27BC"/>
    <w:rsid w:val="005D28CC"/>
    <w:rsid w:val="005D28CF"/>
    <w:rsid w:val="005D292F"/>
    <w:rsid w:val="005D2986"/>
    <w:rsid w:val="005D2992"/>
    <w:rsid w:val="005D2A87"/>
    <w:rsid w:val="005D2A90"/>
    <w:rsid w:val="005D2B51"/>
    <w:rsid w:val="005D2BEE"/>
    <w:rsid w:val="005D2CCD"/>
    <w:rsid w:val="005D2D33"/>
    <w:rsid w:val="005D30CF"/>
    <w:rsid w:val="005D3203"/>
    <w:rsid w:val="005D3264"/>
    <w:rsid w:val="005D3361"/>
    <w:rsid w:val="005D34EA"/>
    <w:rsid w:val="005D35E0"/>
    <w:rsid w:val="005D368B"/>
    <w:rsid w:val="005D3769"/>
    <w:rsid w:val="005D376D"/>
    <w:rsid w:val="005D38AF"/>
    <w:rsid w:val="005D3983"/>
    <w:rsid w:val="005D39EB"/>
    <w:rsid w:val="005D3C9F"/>
    <w:rsid w:val="005D3CF8"/>
    <w:rsid w:val="005D3DDD"/>
    <w:rsid w:val="005D3E8E"/>
    <w:rsid w:val="005D3EC8"/>
    <w:rsid w:val="005D3EED"/>
    <w:rsid w:val="005D40A9"/>
    <w:rsid w:val="005D40CB"/>
    <w:rsid w:val="005D4235"/>
    <w:rsid w:val="005D42BD"/>
    <w:rsid w:val="005D4400"/>
    <w:rsid w:val="005D4440"/>
    <w:rsid w:val="005D45B5"/>
    <w:rsid w:val="005D4661"/>
    <w:rsid w:val="005D47D2"/>
    <w:rsid w:val="005D4A06"/>
    <w:rsid w:val="005D4A0B"/>
    <w:rsid w:val="005D4A6A"/>
    <w:rsid w:val="005D4C1E"/>
    <w:rsid w:val="005D4C57"/>
    <w:rsid w:val="005D4CEB"/>
    <w:rsid w:val="005D4D51"/>
    <w:rsid w:val="005D4D79"/>
    <w:rsid w:val="005D4FE1"/>
    <w:rsid w:val="005D5075"/>
    <w:rsid w:val="005D50C0"/>
    <w:rsid w:val="005D5258"/>
    <w:rsid w:val="005D526C"/>
    <w:rsid w:val="005D5290"/>
    <w:rsid w:val="005D52FA"/>
    <w:rsid w:val="005D5403"/>
    <w:rsid w:val="005D5608"/>
    <w:rsid w:val="005D5659"/>
    <w:rsid w:val="005D5806"/>
    <w:rsid w:val="005D59C3"/>
    <w:rsid w:val="005D5C1C"/>
    <w:rsid w:val="005D5D12"/>
    <w:rsid w:val="005D5E65"/>
    <w:rsid w:val="005D5E9F"/>
    <w:rsid w:val="005D5EAC"/>
    <w:rsid w:val="005D600F"/>
    <w:rsid w:val="005D6013"/>
    <w:rsid w:val="005D60FF"/>
    <w:rsid w:val="005D61CE"/>
    <w:rsid w:val="005D62E9"/>
    <w:rsid w:val="005D634C"/>
    <w:rsid w:val="005D637F"/>
    <w:rsid w:val="005D641D"/>
    <w:rsid w:val="005D6612"/>
    <w:rsid w:val="005D66C9"/>
    <w:rsid w:val="005D66F5"/>
    <w:rsid w:val="005D67B1"/>
    <w:rsid w:val="005D697E"/>
    <w:rsid w:val="005D6ABF"/>
    <w:rsid w:val="005D6CCA"/>
    <w:rsid w:val="005D6CD0"/>
    <w:rsid w:val="005D6D34"/>
    <w:rsid w:val="005D6D99"/>
    <w:rsid w:val="005D6E24"/>
    <w:rsid w:val="005D6EC9"/>
    <w:rsid w:val="005D6F08"/>
    <w:rsid w:val="005D7088"/>
    <w:rsid w:val="005D70F2"/>
    <w:rsid w:val="005D71F1"/>
    <w:rsid w:val="005D7264"/>
    <w:rsid w:val="005D73B4"/>
    <w:rsid w:val="005D73DF"/>
    <w:rsid w:val="005D749D"/>
    <w:rsid w:val="005D750F"/>
    <w:rsid w:val="005D75C0"/>
    <w:rsid w:val="005D76AE"/>
    <w:rsid w:val="005D76DE"/>
    <w:rsid w:val="005D76F6"/>
    <w:rsid w:val="005D7713"/>
    <w:rsid w:val="005D777B"/>
    <w:rsid w:val="005D77CF"/>
    <w:rsid w:val="005D77DE"/>
    <w:rsid w:val="005D791A"/>
    <w:rsid w:val="005D79D8"/>
    <w:rsid w:val="005D7A79"/>
    <w:rsid w:val="005D7B4A"/>
    <w:rsid w:val="005D7D15"/>
    <w:rsid w:val="005D7D29"/>
    <w:rsid w:val="005D7DB6"/>
    <w:rsid w:val="005D7E03"/>
    <w:rsid w:val="005D7EBF"/>
    <w:rsid w:val="005E008B"/>
    <w:rsid w:val="005E0239"/>
    <w:rsid w:val="005E0383"/>
    <w:rsid w:val="005E03B1"/>
    <w:rsid w:val="005E05A1"/>
    <w:rsid w:val="005E07EA"/>
    <w:rsid w:val="005E08FD"/>
    <w:rsid w:val="005E09E4"/>
    <w:rsid w:val="005E0B0A"/>
    <w:rsid w:val="005E0D57"/>
    <w:rsid w:val="005E0D78"/>
    <w:rsid w:val="005E0DAC"/>
    <w:rsid w:val="005E0DCE"/>
    <w:rsid w:val="005E0E82"/>
    <w:rsid w:val="005E0EF0"/>
    <w:rsid w:val="005E0FED"/>
    <w:rsid w:val="005E11AB"/>
    <w:rsid w:val="005E11B4"/>
    <w:rsid w:val="005E11B7"/>
    <w:rsid w:val="005E121A"/>
    <w:rsid w:val="005E12AA"/>
    <w:rsid w:val="005E1666"/>
    <w:rsid w:val="005E16DE"/>
    <w:rsid w:val="005E16F6"/>
    <w:rsid w:val="005E1726"/>
    <w:rsid w:val="005E173C"/>
    <w:rsid w:val="005E1761"/>
    <w:rsid w:val="005E1A61"/>
    <w:rsid w:val="005E1C41"/>
    <w:rsid w:val="005E1EED"/>
    <w:rsid w:val="005E20C7"/>
    <w:rsid w:val="005E2128"/>
    <w:rsid w:val="005E2156"/>
    <w:rsid w:val="005E2205"/>
    <w:rsid w:val="005E235A"/>
    <w:rsid w:val="005E23F8"/>
    <w:rsid w:val="005E2513"/>
    <w:rsid w:val="005E25C0"/>
    <w:rsid w:val="005E2633"/>
    <w:rsid w:val="005E266F"/>
    <w:rsid w:val="005E26DC"/>
    <w:rsid w:val="005E2866"/>
    <w:rsid w:val="005E2A8F"/>
    <w:rsid w:val="005E2AAE"/>
    <w:rsid w:val="005E2ABE"/>
    <w:rsid w:val="005E2BA1"/>
    <w:rsid w:val="005E2BCF"/>
    <w:rsid w:val="005E2D5D"/>
    <w:rsid w:val="005E2EEC"/>
    <w:rsid w:val="005E2F0D"/>
    <w:rsid w:val="005E2F12"/>
    <w:rsid w:val="005E2F7C"/>
    <w:rsid w:val="005E2FA1"/>
    <w:rsid w:val="005E2FB2"/>
    <w:rsid w:val="005E2FB9"/>
    <w:rsid w:val="005E30EE"/>
    <w:rsid w:val="005E31B7"/>
    <w:rsid w:val="005E341C"/>
    <w:rsid w:val="005E3573"/>
    <w:rsid w:val="005E36F9"/>
    <w:rsid w:val="005E38BF"/>
    <w:rsid w:val="005E38DE"/>
    <w:rsid w:val="005E391B"/>
    <w:rsid w:val="005E3B4C"/>
    <w:rsid w:val="005E3C85"/>
    <w:rsid w:val="005E3C8E"/>
    <w:rsid w:val="005E3E0A"/>
    <w:rsid w:val="005E3F34"/>
    <w:rsid w:val="005E4001"/>
    <w:rsid w:val="005E40EA"/>
    <w:rsid w:val="005E4195"/>
    <w:rsid w:val="005E421C"/>
    <w:rsid w:val="005E422F"/>
    <w:rsid w:val="005E4241"/>
    <w:rsid w:val="005E426A"/>
    <w:rsid w:val="005E42E3"/>
    <w:rsid w:val="005E44A2"/>
    <w:rsid w:val="005E4842"/>
    <w:rsid w:val="005E487C"/>
    <w:rsid w:val="005E48DE"/>
    <w:rsid w:val="005E4A88"/>
    <w:rsid w:val="005E4B01"/>
    <w:rsid w:val="005E4B08"/>
    <w:rsid w:val="005E4B13"/>
    <w:rsid w:val="005E4DAB"/>
    <w:rsid w:val="005E4DD9"/>
    <w:rsid w:val="005E4EF0"/>
    <w:rsid w:val="005E4F58"/>
    <w:rsid w:val="005E50E8"/>
    <w:rsid w:val="005E51DF"/>
    <w:rsid w:val="005E56AB"/>
    <w:rsid w:val="005E5734"/>
    <w:rsid w:val="005E5741"/>
    <w:rsid w:val="005E5749"/>
    <w:rsid w:val="005E57BA"/>
    <w:rsid w:val="005E57E9"/>
    <w:rsid w:val="005E587B"/>
    <w:rsid w:val="005E5A31"/>
    <w:rsid w:val="005E5BF5"/>
    <w:rsid w:val="005E5C95"/>
    <w:rsid w:val="005E5CB2"/>
    <w:rsid w:val="005E5DC9"/>
    <w:rsid w:val="005E5E1D"/>
    <w:rsid w:val="005E5EC3"/>
    <w:rsid w:val="005E602B"/>
    <w:rsid w:val="005E6150"/>
    <w:rsid w:val="005E61B0"/>
    <w:rsid w:val="005E61B6"/>
    <w:rsid w:val="005E62EB"/>
    <w:rsid w:val="005E637D"/>
    <w:rsid w:val="005E63AA"/>
    <w:rsid w:val="005E6487"/>
    <w:rsid w:val="005E651F"/>
    <w:rsid w:val="005E6583"/>
    <w:rsid w:val="005E664C"/>
    <w:rsid w:val="005E6971"/>
    <w:rsid w:val="005E6A3C"/>
    <w:rsid w:val="005E6B4B"/>
    <w:rsid w:val="005E6D4E"/>
    <w:rsid w:val="005E714A"/>
    <w:rsid w:val="005E7179"/>
    <w:rsid w:val="005E731C"/>
    <w:rsid w:val="005E73CE"/>
    <w:rsid w:val="005E773B"/>
    <w:rsid w:val="005E77E3"/>
    <w:rsid w:val="005E7836"/>
    <w:rsid w:val="005E7934"/>
    <w:rsid w:val="005E7A6C"/>
    <w:rsid w:val="005F0074"/>
    <w:rsid w:val="005F0199"/>
    <w:rsid w:val="005F032D"/>
    <w:rsid w:val="005F034E"/>
    <w:rsid w:val="005F0616"/>
    <w:rsid w:val="005F0727"/>
    <w:rsid w:val="005F0757"/>
    <w:rsid w:val="005F07DC"/>
    <w:rsid w:val="005F0870"/>
    <w:rsid w:val="005F088C"/>
    <w:rsid w:val="005F08E3"/>
    <w:rsid w:val="005F0A87"/>
    <w:rsid w:val="005F0BED"/>
    <w:rsid w:val="005F0C34"/>
    <w:rsid w:val="005F0D3E"/>
    <w:rsid w:val="005F0DE7"/>
    <w:rsid w:val="005F0E32"/>
    <w:rsid w:val="005F0EAB"/>
    <w:rsid w:val="005F0EE2"/>
    <w:rsid w:val="005F0F93"/>
    <w:rsid w:val="005F0FB4"/>
    <w:rsid w:val="005F13BD"/>
    <w:rsid w:val="005F13FF"/>
    <w:rsid w:val="005F15D3"/>
    <w:rsid w:val="005F1696"/>
    <w:rsid w:val="005F1759"/>
    <w:rsid w:val="005F1859"/>
    <w:rsid w:val="005F1999"/>
    <w:rsid w:val="005F1A8D"/>
    <w:rsid w:val="005F1AC8"/>
    <w:rsid w:val="005F1B25"/>
    <w:rsid w:val="005F1BA2"/>
    <w:rsid w:val="005F1C19"/>
    <w:rsid w:val="005F1DA9"/>
    <w:rsid w:val="005F1E09"/>
    <w:rsid w:val="005F1E20"/>
    <w:rsid w:val="005F208B"/>
    <w:rsid w:val="005F21AF"/>
    <w:rsid w:val="005F21FB"/>
    <w:rsid w:val="005F22F3"/>
    <w:rsid w:val="005F236F"/>
    <w:rsid w:val="005F24EB"/>
    <w:rsid w:val="005F257C"/>
    <w:rsid w:val="005F25E2"/>
    <w:rsid w:val="005F264D"/>
    <w:rsid w:val="005F27B9"/>
    <w:rsid w:val="005F27E3"/>
    <w:rsid w:val="005F28F1"/>
    <w:rsid w:val="005F29CC"/>
    <w:rsid w:val="005F2B4F"/>
    <w:rsid w:val="005F2E48"/>
    <w:rsid w:val="005F2E66"/>
    <w:rsid w:val="005F2ED8"/>
    <w:rsid w:val="005F2EE8"/>
    <w:rsid w:val="005F2F6C"/>
    <w:rsid w:val="005F2FB8"/>
    <w:rsid w:val="005F3143"/>
    <w:rsid w:val="005F31B3"/>
    <w:rsid w:val="005F31EC"/>
    <w:rsid w:val="005F3225"/>
    <w:rsid w:val="005F345D"/>
    <w:rsid w:val="005F347F"/>
    <w:rsid w:val="005F35AA"/>
    <w:rsid w:val="005F386A"/>
    <w:rsid w:val="005F38CE"/>
    <w:rsid w:val="005F3BA0"/>
    <w:rsid w:val="005F3C3B"/>
    <w:rsid w:val="005F3D69"/>
    <w:rsid w:val="005F3D9D"/>
    <w:rsid w:val="005F3E01"/>
    <w:rsid w:val="005F3E79"/>
    <w:rsid w:val="005F40DE"/>
    <w:rsid w:val="005F410B"/>
    <w:rsid w:val="005F413E"/>
    <w:rsid w:val="005F416F"/>
    <w:rsid w:val="005F41E1"/>
    <w:rsid w:val="005F4321"/>
    <w:rsid w:val="005F43EA"/>
    <w:rsid w:val="005F43EE"/>
    <w:rsid w:val="005F4421"/>
    <w:rsid w:val="005F445A"/>
    <w:rsid w:val="005F4792"/>
    <w:rsid w:val="005F487D"/>
    <w:rsid w:val="005F4927"/>
    <w:rsid w:val="005F49A4"/>
    <w:rsid w:val="005F49F4"/>
    <w:rsid w:val="005F4A02"/>
    <w:rsid w:val="005F4A03"/>
    <w:rsid w:val="005F4AA6"/>
    <w:rsid w:val="005F4ABD"/>
    <w:rsid w:val="005F4B22"/>
    <w:rsid w:val="005F4B7D"/>
    <w:rsid w:val="005F4C08"/>
    <w:rsid w:val="005F4C46"/>
    <w:rsid w:val="005F4D34"/>
    <w:rsid w:val="005F4DB6"/>
    <w:rsid w:val="005F4DDA"/>
    <w:rsid w:val="005F4E65"/>
    <w:rsid w:val="005F4EBA"/>
    <w:rsid w:val="005F4F18"/>
    <w:rsid w:val="005F4F77"/>
    <w:rsid w:val="005F54C2"/>
    <w:rsid w:val="005F557D"/>
    <w:rsid w:val="005F56B1"/>
    <w:rsid w:val="005F56F3"/>
    <w:rsid w:val="005F572A"/>
    <w:rsid w:val="005F5839"/>
    <w:rsid w:val="005F5910"/>
    <w:rsid w:val="005F5978"/>
    <w:rsid w:val="005F59DA"/>
    <w:rsid w:val="005F59E5"/>
    <w:rsid w:val="005F5A0F"/>
    <w:rsid w:val="005F5A1C"/>
    <w:rsid w:val="005F5A4E"/>
    <w:rsid w:val="005F5B61"/>
    <w:rsid w:val="005F5BCD"/>
    <w:rsid w:val="005F5BE3"/>
    <w:rsid w:val="005F5DFE"/>
    <w:rsid w:val="005F5E59"/>
    <w:rsid w:val="005F5EDF"/>
    <w:rsid w:val="005F5F45"/>
    <w:rsid w:val="005F6017"/>
    <w:rsid w:val="005F6035"/>
    <w:rsid w:val="005F6096"/>
    <w:rsid w:val="005F60FA"/>
    <w:rsid w:val="005F618D"/>
    <w:rsid w:val="005F61C5"/>
    <w:rsid w:val="005F63D8"/>
    <w:rsid w:val="005F6420"/>
    <w:rsid w:val="005F64BE"/>
    <w:rsid w:val="005F64FB"/>
    <w:rsid w:val="005F67EC"/>
    <w:rsid w:val="005F68C5"/>
    <w:rsid w:val="005F6978"/>
    <w:rsid w:val="005F6A0E"/>
    <w:rsid w:val="005F6A3F"/>
    <w:rsid w:val="005F6ABF"/>
    <w:rsid w:val="005F6BBB"/>
    <w:rsid w:val="005F6C45"/>
    <w:rsid w:val="005F6D44"/>
    <w:rsid w:val="005F6DAB"/>
    <w:rsid w:val="005F6FFD"/>
    <w:rsid w:val="005F7044"/>
    <w:rsid w:val="005F71DF"/>
    <w:rsid w:val="005F71EC"/>
    <w:rsid w:val="005F7290"/>
    <w:rsid w:val="005F72E0"/>
    <w:rsid w:val="005F7465"/>
    <w:rsid w:val="005F74B0"/>
    <w:rsid w:val="005F77D2"/>
    <w:rsid w:val="005F77DC"/>
    <w:rsid w:val="005F789F"/>
    <w:rsid w:val="005F78AF"/>
    <w:rsid w:val="005F78FC"/>
    <w:rsid w:val="005F7B85"/>
    <w:rsid w:val="005F7C4E"/>
    <w:rsid w:val="005F7D06"/>
    <w:rsid w:val="005F7E60"/>
    <w:rsid w:val="005F7ED0"/>
    <w:rsid w:val="00600063"/>
    <w:rsid w:val="006000CD"/>
    <w:rsid w:val="006000FB"/>
    <w:rsid w:val="006001B4"/>
    <w:rsid w:val="006001C5"/>
    <w:rsid w:val="00600247"/>
    <w:rsid w:val="00600265"/>
    <w:rsid w:val="00600504"/>
    <w:rsid w:val="00600585"/>
    <w:rsid w:val="006005B2"/>
    <w:rsid w:val="006006E4"/>
    <w:rsid w:val="00600748"/>
    <w:rsid w:val="00600754"/>
    <w:rsid w:val="006008CA"/>
    <w:rsid w:val="00600973"/>
    <w:rsid w:val="00600975"/>
    <w:rsid w:val="00600A01"/>
    <w:rsid w:val="00600B08"/>
    <w:rsid w:val="00600B27"/>
    <w:rsid w:val="00600BB8"/>
    <w:rsid w:val="00600CA9"/>
    <w:rsid w:val="00600D88"/>
    <w:rsid w:val="00600DD2"/>
    <w:rsid w:val="00600E83"/>
    <w:rsid w:val="00600FB9"/>
    <w:rsid w:val="00600FE3"/>
    <w:rsid w:val="0060119A"/>
    <w:rsid w:val="00601327"/>
    <w:rsid w:val="006016BE"/>
    <w:rsid w:val="00601822"/>
    <w:rsid w:val="00601AF1"/>
    <w:rsid w:val="00601C77"/>
    <w:rsid w:val="00601D78"/>
    <w:rsid w:val="00601FB1"/>
    <w:rsid w:val="0060226B"/>
    <w:rsid w:val="0060226E"/>
    <w:rsid w:val="006022C1"/>
    <w:rsid w:val="006022D0"/>
    <w:rsid w:val="0060249D"/>
    <w:rsid w:val="0060251E"/>
    <w:rsid w:val="0060255B"/>
    <w:rsid w:val="00602575"/>
    <w:rsid w:val="0060285E"/>
    <w:rsid w:val="00602905"/>
    <w:rsid w:val="00602922"/>
    <w:rsid w:val="00602A68"/>
    <w:rsid w:val="00602A98"/>
    <w:rsid w:val="00602C95"/>
    <w:rsid w:val="00602DDA"/>
    <w:rsid w:val="00602DDE"/>
    <w:rsid w:val="00602E0C"/>
    <w:rsid w:val="00602F14"/>
    <w:rsid w:val="00602F22"/>
    <w:rsid w:val="00602FE4"/>
    <w:rsid w:val="006030A8"/>
    <w:rsid w:val="00603189"/>
    <w:rsid w:val="006031FB"/>
    <w:rsid w:val="0060339B"/>
    <w:rsid w:val="006033B3"/>
    <w:rsid w:val="006034DC"/>
    <w:rsid w:val="00603537"/>
    <w:rsid w:val="00603552"/>
    <w:rsid w:val="00603556"/>
    <w:rsid w:val="0060370E"/>
    <w:rsid w:val="00603775"/>
    <w:rsid w:val="006038E2"/>
    <w:rsid w:val="00603900"/>
    <w:rsid w:val="00603963"/>
    <w:rsid w:val="006039EB"/>
    <w:rsid w:val="006039F0"/>
    <w:rsid w:val="00603A74"/>
    <w:rsid w:val="00603C22"/>
    <w:rsid w:val="00603CB5"/>
    <w:rsid w:val="00603D87"/>
    <w:rsid w:val="00603DC2"/>
    <w:rsid w:val="00603F6A"/>
    <w:rsid w:val="0060403A"/>
    <w:rsid w:val="00604071"/>
    <w:rsid w:val="00604092"/>
    <w:rsid w:val="0060416D"/>
    <w:rsid w:val="00604280"/>
    <w:rsid w:val="00604335"/>
    <w:rsid w:val="006044BA"/>
    <w:rsid w:val="00604547"/>
    <w:rsid w:val="00604652"/>
    <w:rsid w:val="006046CE"/>
    <w:rsid w:val="006046E4"/>
    <w:rsid w:val="0060478C"/>
    <w:rsid w:val="00604AC5"/>
    <w:rsid w:val="00604BC5"/>
    <w:rsid w:val="00604BD2"/>
    <w:rsid w:val="00604D85"/>
    <w:rsid w:val="00604DED"/>
    <w:rsid w:val="00604E31"/>
    <w:rsid w:val="00605037"/>
    <w:rsid w:val="0060507D"/>
    <w:rsid w:val="00605145"/>
    <w:rsid w:val="00605169"/>
    <w:rsid w:val="0060528F"/>
    <w:rsid w:val="0060529D"/>
    <w:rsid w:val="006052E3"/>
    <w:rsid w:val="0060545D"/>
    <w:rsid w:val="00605463"/>
    <w:rsid w:val="006054E9"/>
    <w:rsid w:val="00605568"/>
    <w:rsid w:val="00605576"/>
    <w:rsid w:val="0060577C"/>
    <w:rsid w:val="0060589A"/>
    <w:rsid w:val="006058B4"/>
    <w:rsid w:val="006058F2"/>
    <w:rsid w:val="0060591B"/>
    <w:rsid w:val="00605971"/>
    <w:rsid w:val="00605972"/>
    <w:rsid w:val="006059B6"/>
    <w:rsid w:val="00605BEF"/>
    <w:rsid w:val="00605E04"/>
    <w:rsid w:val="00605E0D"/>
    <w:rsid w:val="00605E92"/>
    <w:rsid w:val="00605FFE"/>
    <w:rsid w:val="006063F2"/>
    <w:rsid w:val="0060643C"/>
    <w:rsid w:val="0060650C"/>
    <w:rsid w:val="00606525"/>
    <w:rsid w:val="00606528"/>
    <w:rsid w:val="00606547"/>
    <w:rsid w:val="006065A2"/>
    <w:rsid w:val="00606751"/>
    <w:rsid w:val="0060677A"/>
    <w:rsid w:val="006068F5"/>
    <w:rsid w:val="006069C9"/>
    <w:rsid w:val="006069D1"/>
    <w:rsid w:val="006069E9"/>
    <w:rsid w:val="00606B37"/>
    <w:rsid w:val="00606B65"/>
    <w:rsid w:val="00606EAA"/>
    <w:rsid w:val="00606FAB"/>
    <w:rsid w:val="00606FF6"/>
    <w:rsid w:val="00607252"/>
    <w:rsid w:val="006073BE"/>
    <w:rsid w:val="006073FD"/>
    <w:rsid w:val="006075F7"/>
    <w:rsid w:val="00607624"/>
    <w:rsid w:val="006076CE"/>
    <w:rsid w:val="006078B4"/>
    <w:rsid w:val="0060793F"/>
    <w:rsid w:val="00607A36"/>
    <w:rsid w:val="00607AAE"/>
    <w:rsid w:val="00607AED"/>
    <w:rsid w:val="00607B3E"/>
    <w:rsid w:val="00607BE3"/>
    <w:rsid w:val="00607C2E"/>
    <w:rsid w:val="00607C54"/>
    <w:rsid w:val="00607CB1"/>
    <w:rsid w:val="00607D2B"/>
    <w:rsid w:val="00607D66"/>
    <w:rsid w:val="00607D6B"/>
    <w:rsid w:val="00610137"/>
    <w:rsid w:val="0061038C"/>
    <w:rsid w:val="006104DC"/>
    <w:rsid w:val="006104DF"/>
    <w:rsid w:val="006106C1"/>
    <w:rsid w:val="006106F4"/>
    <w:rsid w:val="00610740"/>
    <w:rsid w:val="006108DE"/>
    <w:rsid w:val="00610929"/>
    <w:rsid w:val="00610B28"/>
    <w:rsid w:val="00610B45"/>
    <w:rsid w:val="00610C75"/>
    <w:rsid w:val="00610D56"/>
    <w:rsid w:val="00610EBC"/>
    <w:rsid w:val="00610F06"/>
    <w:rsid w:val="00610F52"/>
    <w:rsid w:val="0061124A"/>
    <w:rsid w:val="00611274"/>
    <w:rsid w:val="00611284"/>
    <w:rsid w:val="006112D0"/>
    <w:rsid w:val="0061132A"/>
    <w:rsid w:val="00611550"/>
    <w:rsid w:val="0061162F"/>
    <w:rsid w:val="0061167D"/>
    <w:rsid w:val="0061169D"/>
    <w:rsid w:val="00611737"/>
    <w:rsid w:val="00611752"/>
    <w:rsid w:val="0061177F"/>
    <w:rsid w:val="006117BD"/>
    <w:rsid w:val="00611873"/>
    <w:rsid w:val="0061187D"/>
    <w:rsid w:val="0061196A"/>
    <w:rsid w:val="00611977"/>
    <w:rsid w:val="006119B0"/>
    <w:rsid w:val="00611AED"/>
    <w:rsid w:val="00611B07"/>
    <w:rsid w:val="00611B24"/>
    <w:rsid w:val="00611C1D"/>
    <w:rsid w:val="00611C60"/>
    <w:rsid w:val="00611C6A"/>
    <w:rsid w:val="00611CDA"/>
    <w:rsid w:val="00611D76"/>
    <w:rsid w:val="00611F0D"/>
    <w:rsid w:val="00612019"/>
    <w:rsid w:val="0061218B"/>
    <w:rsid w:val="00612253"/>
    <w:rsid w:val="00612278"/>
    <w:rsid w:val="00612384"/>
    <w:rsid w:val="00612388"/>
    <w:rsid w:val="006124EE"/>
    <w:rsid w:val="00612897"/>
    <w:rsid w:val="00612904"/>
    <w:rsid w:val="00612A57"/>
    <w:rsid w:val="00612A6B"/>
    <w:rsid w:val="00612B78"/>
    <w:rsid w:val="00612C55"/>
    <w:rsid w:val="00612C96"/>
    <w:rsid w:val="00612D1F"/>
    <w:rsid w:val="00612DE0"/>
    <w:rsid w:val="00612E32"/>
    <w:rsid w:val="00612FDD"/>
    <w:rsid w:val="00613007"/>
    <w:rsid w:val="0061317B"/>
    <w:rsid w:val="006132FD"/>
    <w:rsid w:val="00613320"/>
    <w:rsid w:val="006133A6"/>
    <w:rsid w:val="006133EA"/>
    <w:rsid w:val="006133F4"/>
    <w:rsid w:val="006134CA"/>
    <w:rsid w:val="006136FB"/>
    <w:rsid w:val="00613846"/>
    <w:rsid w:val="006138C9"/>
    <w:rsid w:val="00613C4F"/>
    <w:rsid w:val="00613C56"/>
    <w:rsid w:val="00613D95"/>
    <w:rsid w:val="00613ECE"/>
    <w:rsid w:val="00614104"/>
    <w:rsid w:val="006141B8"/>
    <w:rsid w:val="00614287"/>
    <w:rsid w:val="006142EC"/>
    <w:rsid w:val="00614369"/>
    <w:rsid w:val="00614394"/>
    <w:rsid w:val="006144DE"/>
    <w:rsid w:val="00614554"/>
    <w:rsid w:val="0061461E"/>
    <w:rsid w:val="0061463B"/>
    <w:rsid w:val="00614646"/>
    <w:rsid w:val="006148C3"/>
    <w:rsid w:val="00614906"/>
    <w:rsid w:val="0061494C"/>
    <w:rsid w:val="00614AD6"/>
    <w:rsid w:val="00614B35"/>
    <w:rsid w:val="00614BD5"/>
    <w:rsid w:val="00614C0C"/>
    <w:rsid w:val="00614C78"/>
    <w:rsid w:val="00614CDC"/>
    <w:rsid w:val="00614D6D"/>
    <w:rsid w:val="00614DE8"/>
    <w:rsid w:val="00614E13"/>
    <w:rsid w:val="0061506A"/>
    <w:rsid w:val="006150A0"/>
    <w:rsid w:val="006150E2"/>
    <w:rsid w:val="006152D6"/>
    <w:rsid w:val="006154EE"/>
    <w:rsid w:val="00615600"/>
    <w:rsid w:val="00615686"/>
    <w:rsid w:val="0061585A"/>
    <w:rsid w:val="00615A35"/>
    <w:rsid w:val="00615AA4"/>
    <w:rsid w:val="00615D1E"/>
    <w:rsid w:val="00615D42"/>
    <w:rsid w:val="00615DD2"/>
    <w:rsid w:val="006163BB"/>
    <w:rsid w:val="006165A9"/>
    <w:rsid w:val="00616755"/>
    <w:rsid w:val="00616864"/>
    <w:rsid w:val="006168E3"/>
    <w:rsid w:val="00616B0B"/>
    <w:rsid w:val="00616B8C"/>
    <w:rsid w:val="00616BC0"/>
    <w:rsid w:val="00616D0F"/>
    <w:rsid w:val="00616D7F"/>
    <w:rsid w:val="00616D80"/>
    <w:rsid w:val="0061705D"/>
    <w:rsid w:val="00617067"/>
    <w:rsid w:val="00617108"/>
    <w:rsid w:val="00617211"/>
    <w:rsid w:val="00617264"/>
    <w:rsid w:val="0061750E"/>
    <w:rsid w:val="00617519"/>
    <w:rsid w:val="006175A7"/>
    <w:rsid w:val="006175B8"/>
    <w:rsid w:val="00617652"/>
    <w:rsid w:val="006176C6"/>
    <w:rsid w:val="0061782C"/>
    <w:rsid w:val="0061784D"/>
    <w:rsid w:val="0061794D"/>
    <w:rsid w:val="00617A98"/>
    <w:rsid w:val="00617B8B"/>
    <w:rsid w:val="00617BAC"/>
    <w:rsid w:val="00617C18"/>
    <w:rsid w:val="00617C50"/>
    <w:rsid w:val="00617CD2"/>
    <w:rsid w:val="00617F79"/>
    <w:rsid w:val="006201C5"/>
    <w:rsid w:val="00620231"/>
    <w:rsid w:val="00620427"/>
    <w:rsid w:val="0062050C"/>
    <w:rsid w:val="0062055C"/>
    <w:rsid w:val="006207B2"/>
    <w:rsid w:val="006207ED"/>
    <w:rsid w:val="00620AFF"/>
    <w:rsid w:val="00620B98"/>
    <w:rsid w:val="00620D02"/>
    <w:rsid w:val="00620DDC"/>
    <w:rsid w:val="00620E5E"/>
    <w:rsid w:val="00621063"/>
    <w:rsid w:val="00621170"/>
    <w:rsid w:val="0062133A"/>
    <w:rsid w:val="0062140E"/>
    <w:rsid w:val="00621413"/>
    <w:rsid w:val="006215D9"/>
    <w:rsid w:val="006217F9"/>
    <w:rsid w:val="0062180B"/>
    <w:rsid w:val="00621BA6"/>
    <w:rsid w:val="00621D67"/>
    <w:rsid w:val="00621EE2"/>
    <w:rsid w:val="00621F32"/>
    <w:rsid w:val="00621F65"/>
    <w:rsid w:val="00621FF6"/>
    <w:rsid w:val="00622072"/>
    <w:rsid w:val="00622143"/>
    <w:rsid w:val="00622161"/>
    <w:rsid w:val="006221EF"/>
    <w:rsid w:val="006222CC"/>
    <w:rsid w:val="00622388"/>
    <w:rsid w:val="006223BA"/>
    <w:rsid w:val="006224C2"/>
    <w:rsid w:val="0062259F"/>
    <w:rsid w:val="00622617"/>
    <w:rsid w:val="00622669"/>
    <w:rsid w:val="006226D0"/>
    <w:rsid w:val="0062279D"/>
    <w:rsid w:val="00622864"/>
    <w:rsid w:val="0062286A"/>
    <w:rsid w:val="00622A06"/>
    <w:rsid w:val="00622B1A"/>
    <w:rsid w:val="00622B59"/>
    <w:rsid w:val="00622B82"/>
    <w:rsid w:val="00622CAC"/>
    <w:rsid w:val="00622D23"/>
    <w:rsid w:val="00622DDA"/>
    <w:rsid w:val="00622E0B"/>
    <w:rsid w:val="00622E0E"/>
    <w:rsid w:val="00622EFD"/>
    <w:rsid w:val="00622F9A"/>
    <w:rsid w:val="00622FCF"/>
    <w:rsid w:val="00622FE1"/>
    <w:rsid w:val="00622FED"/>
    <w:rsid w:val="006230E8"/>
    <w:rsid w:val="0062325B"/>
    <w:rsid w:val="006233A0"/>
    <w:rsid w:val="00623438"/>
    <w:rsid w:val="00623638"/>
    <w:rsid w:val="0062363E"/>
    <w:rsid w:val="006236B1"/>
    <w:rsid w:val="006237DE"/>
    <w:rsid w:val="006238BA"/>
    <w:rsid w:val="00623960"/>
    <w:rsid w:val="006239FD"/>
    <w:rsid w:val="00623E04"/>
    <w:rsid w:val="00623E41"/>
    <w:rsid w:val="00623EF0"/>
    <w:rsid w:val="00624042"/>
    <w:rsid w:val="006240FF"/>
    <w:rsid w:val="0062416C"/>
    <w:rsid w:val="006241BC"/>
    <w:rsid w:val="006242C4"/>
    <w:rsid w:val="00624470"/>
    <w:rsid w:val="00624481"/>
    <w:rsid w:val="00624510"/>
    <w:rsid w:val="00624519"/>
    <w:rsid w:val="00624556"/>
    <w:rsid w:val="00624631"/>
    <w:rsid w:val="006246F3"/>
    <w:rsid w:val="0062488E"/>
    <w:rsid w:val="00624927"/>
    <w:rsid w:val="0062496B"/>
    <w:rsid w:val="006249B1"/>
    <w:rsid w:val="006249C3"/>
    <w:rsid w:val="006249C6"/>
    <w:rsid w:val="006249D7"/>
    <w:rsid w:val="00624BFF"/>
    <w:rsid w:val="00624CAC"/>
    <w:rsid w:val="00624D0A"/>
    <w:rsid w:val="00624DAD"/>
    <w:rsid w:val="00624DE0"/>
    <w:rsid w:val="00624F4E"/>
    <w:rsid w:val="00624F7C"/>
    <w:rsid w:val="0062505F"/>
    <w:rsid w:val="0062539E"/>
    <w:rsid w:val="006253B7"/>
    <w:rsid w:val="00625484"/>
    <w:rsid w:val="0062554D"/>
    <w:rsid w:val="0062566A"/>
    <w:rsid w:val="006257A0"/>
    <w:rsid w:val="006257E4"/>
    <w:rsid w:val="0062582F"/>
    <w:rsid w:val="006259D8"/>
    <w:rsid w:val="00625B2A"/>
    <w:rsid w:val="00625C1A"/>
    <w:rsid w:val="00625C77"/>
    <w:rsid w:val="00625CE5"/>
    <w:rsid w:val="00625D3E"/>
    <w:rsid w:val="00625EE9"/>
    <w:rsid w:val="00625FE3"/>
    <w:rsid w:val="00626025"/>
    <w:rsid w:val="00626071"/>
    <w:rsid w:val="00626216"/>
    <w:rsid w:val="0062635E"/>
    <w:rsid w:val="006264ED"/>
    <w:rsid w:val="00626652"/>
    <w:rsid w:val="00626758"/>
    <w:rsid w:val="006267E9"/>
    <w:rsid w:val="00626817"/>
    <w:rsid w:val="0062681E"/>
    <w:rsid w:val="006268DB"/>
    <w:rsid w:val="00626905"/>
    <w:rsid w:val="00626925"/>
    <w:rsid w:val="00626940"/>
    <w:rsid w:val="00626C37"/>
    <w:rsid w:val="00626C39"/>
    <w:rsid w:val="00626E4E"/>
    <w:rsid w:val="00626F07"/>
    <w:rsid w:val="00626FCF"/>
    <w:rsid w:val="00626FED"/>
    <w:rsid w:val="00627076"/>
    <w:rsid w:val="0062707D"/>
    <w:rsid w:val="006270BF"/>
    <w:rsid w:val="006270D0"/>
    <w:rsid w:val="006270E2"/>
    <w:rsid w:val="006270F2"/>
    <w:rsid w:val="006273A8"/>
    <w:rsid w:val="00627404"/>
    <w:rsid w:val="00627477"/>
    <w:rsid w:val="006274F5"/>
    <w:rsid w:val="0062766E"/>
    <w:rsid w:val="006276C6"/>
    <w:rsid w:val="00627957"/>
    <w:rsid w:val="00627E37"/>
    <w:rsid w:val="00627E85"/>
    <w:rsid w:val="00627F01"/>
    <w:rsid w:val="00630210"/>
    <w:rsid w:val="00630256"/>
    <w:rsid w:val="00630451"/>
    <w:rsid w:val="006305E5"/>
    <w:rsid w:val="0063071D"/>
    <w:rsid w:val="0063071F"/>
    <w:rsid w:val="0063075D"/>
    <w:rsid w:val="006309D8"/>
    <w:rsid w:val="00630A20"/>
    <w:rsid w:val="00630ABB"/>
    <w:rsid w:val="00630B0E"/>
    <w:rsid w:val="00630C59"/>
    <w:rsid w:val="00630C5E"/>
    <w:rsid w:val="00630CCC"/>
    <w:rsid w:val="00630CFB"/>
    <w:rsid w:val="00631079"/>
    <w:rsid w:val="00631105"/>
    <w:rsid w:val="0063120D"/>
    <w:rsid w:val="006315C1"/>
    <w:rsid w:val="00631643"/>
    <w:rsid w:val="00631655"/>
    <w:rsid w:val="00631846"/>
    <w:rsid w:val="00631873"/>
    <w:rsid w:val="00631891"/>
    <w:rsid w:val="006318C0"/>
    <w:rsid w:val="00631917"/>
    <w:rsid w:val="0063193F"/>
    <w:rsid w:val="00631A8F"/>
    <w:rsid w:val="00631BCE"/>
    <w:rsid w:val="00631C0A"/>
    <w:rsid w:val="00631D43"/>
    <w:rsid w:val="00631E00"/>
    <w:rsid w:val="00631E05"/>
    <w:rsid w:val="00631E43"/>
    <w:rsid w:val="00631F7F"/>
    <w:rsid w:val="00631FCD"/>
    <w:rsid w:val="0063205D"/>
    <w:rsid w:val="0063206A"/>
    <w:rsid w:val="0063207E"/>
    <w:rsid w:val="006320CB"/>
    <w:rsid w:val="00632111"/>
    <w:rsid w:val="0063218F"/>
    <w:rsid w:val="00632202"/>
    <w:rsid w:val="0063225F"/>
    <w:rsid w:val="00632365"/>
    <w:rsid w:val="00632459"/>
    <w:rsid w:val="006324A8"/>
    <w:rsid w:val="0063251C"/>
    <w:rsid w:val="006326DF"/>
    <w:rsid w:val="006327CF"/>
    <w:rsid w:val="00632865"/>
    <w:rsid w:val="00632AD2"/>
    <w:rsid w:val="00632B0E"/>
    <w:rsid w:val="00632B75"/>
    <w:rsid w:val="00632BE8"/>
    <w:rsid w:val="00632C20"/>
    <w:rsid w:val="00632CC6"/>
    <w:rsid w:val="00632D62"/>
    <w:rsid w:val="00632D6A"/>
    <w:rsid w:val="00632E10"/>
    <w:rsid w:val="00632E50"/>
    <w:rsid w:val="00632F6B"/>
    <w:rsid w:val="00632F9D"/>
    <w:rsid w:val="00632FA6"/>
    <w:rsid w:val="00632FD8"/>
    <w:rsid w:val="0063362D"/>
    <w:rsid w:val="00633755"/>
    <w:rsid w:val="0063385D"/>
    <w:rsid w:val="00633999"/>
    <w:rsid w:val="00633A3A"/>
    <w:rsid w:val="00633AD4"/>
    <w:rsid w:val="00633B39"/>
    <w:rsid w:val="00633B56"/>
    <w:rsid w:val="00633C36"/>
    <w:rsid w:val="00633C83"/>
    <w:rsid w:val="00633CFB"/>
    <w:rsid w:val="00633DC9"/>
    <w:rsid w:val="00633DEF"/>
    <w:rsid w:val="0063406D"/>
    <w:rsid w:val="006340BD"/>
    <w:rsid w:val="0063410B"/>
    <w:rsid w:val="0063419C"/>
    <w:rsid w:val="0063426D"/>
    <w:rsid w:val="0063437C"/>
    <w:rsid w:val="0063440B"/>
    <w:rsid w:val="00634531"/>
    <w:rsid w:val="0063461D"/>
    <w:rsid w:val="006347E7"/>
    <w:rsid w:val="006347F4"/>
    <w:rsid w:val="00634826"/>
    <w:rsid w:val="006348AE"/>
    <w:rsid w:val="00634AA9"/>
    <w:rsid w:val="00634B42"/>
    <w:rsid w:val="00634C8A"/>
    <w:rsid w:val="00634D4F"/>
    <w:rsid w:val="00634D53"/>
    <w:rsid w:val="00634E93"/>
    <w:rsid w:val="00634ED9"/>
    <w:rsid w:val="00635027"/>
    <w:rsid w:val="00635040"/>
    <w:rsid w:val="00635046"/>
    <w:rsid w:val="006350CB"/>
    <w:rsid w:val="0063519A"/>
    <w:rsid w:val="006354DE"/>
    <w:rsid w:val="006354E0"/>
    <w:rsid w:val="00635560"/>
    <w:rsid w:val="006355C4"/>
    <w:rsid w:val="006355E9"/>
    <w:rsid w:val="0063566A"/>
    <w:rsid w:val="006356A8"/>
    <w:rsid w:val="006358D1"/>
    <w:rsid w:val="006359AE"/>
    <w:rsid w:val="00635A1D"/>
    <w:rsid w:val="00635CB0"/>
    <w:rsid w:val="00635DD5"/>
    <w:rsid w:val="006363E1"/>
    <w:rsid w:val="00636473"/>
    <w:rsid w:val="00636486"/>
    <w:rsid w:val="0063660C"/>
    <w:rsid w:val="0063662D"/>
    <w:rsid w:val="00636664"/>
    <w:rsid w:val="00636694"/>
    <w:rsid w:val="006369BB"/>
    <w:rsid w:val="006369F9"/>
    <w:rsid w:val="00636A12"/>
    <w:rsid w:val="00636A4D"/>
    <w:rsid w:val="00636B3C"/>
    <w:rsid w:val="00636C19"/>
    <w:rsid w:val="00636C27"/>
    <w:rsid w:val="00636C7B"/>
    <w:rsid w:val="00636C9A"/>
    <w:rsid w:val="00636CE6"/>
    <w:rsid w:val="00636E4A"/>
    <w:rsid w:val="00636E53"/>
    <w:rsid w:val="00636EBB"/>
    <w:rsid w:val="00636FEA"/>
    <w:rsid w:val="00637013"/>
    <w:rsid w:val="006370A4"/>
    <w:rsid w:val="00637170"/>
    <w:rsid w:val="00637208"/>
    <w:rsid w:val="00637306"/>
    <w:rsid w:val="006373B1"/>
    <w:rsid w:val="00637497"/>
    <w:rsid w:val="006374E0"/>
    <w:rsid w:val="006375D7"/>
    <w:rsid w:val="00637633"/>
    <w:rsid w:val="00637751"/>
    <w:rsid w:val="00637764"/>
    <w:rsid w:val="00637A88"/>
    <w:rsid w:val="00637B96"/>
    <w:rsid w:val="00637C38"/>
    <w:rsid w:val="00637CBA"/>
    <w:rsid w:val="00637E0B"/>
    <w:rsid w:val="00637F64"/>
    <w:rsid w:val="006400F1"/>
    <w:rsid w:val="00640129"/>
    <w:rsid w:val="006403EE"/>
    <w:rsid w:val="006404B1"/>
    <w:rsid w:val="00640565"/>
    <w:rsid w:val="00640576"/>
    <w:rsid w:val="0064059A"/>
    <w:rsid w:val="00640718"/>
    <w:rsid w:val="0064077B"/>
    <w:rsid w:val="00640840"/>
    <w:rsid w:val="00640874"/>
    <w:rsid w:val="00640962"/>
    <w:rsid w:val="00640A1F"/>
    <w:rsid w:val="00640AC5"/>
    <w:rsid w:val="00640AED"/>
    <w:rsid w:val="00640CA9"/>
    <w:rsid w:val="00640CBA"/>
    <w:rsid w:val="00640D75"/>
    <w:rsid w:val="00640E8F"/>
    <w:rsid w:val="00640EA9"/>
    <w:rsid w:val="0064110C"/>
    <w:rsid w:val="00641156"/>
    <w:rsid w:val="00641168"/>
    <w:rsid w:val="006411BF"/>
    <w:rsid w:val="0064126C"/>
    <w:rsid w:val="006413AA"/>
    <w:rsid w:val="006413EF"/>
    <w:rsid w:val="0064148C"/>
    <w:rsid w:val="0064160D"/>
    <w:rsid w:val="006416D2"/>
    <w:rsid w:val="006417A9"/>
    <w:rsid w:val="0064186D"/>
    <w:rsid w:val="006418BA"/>
    <w:rsid w:val="00641931"/>
    <w:rsid w:val="0064194E"/>
    <w:rsid w:val="00641A83"/>
    <w:rsid w:val="00641B28"/>
    <w:rsid w:val="00641D62"/>
    <w:rsid w:val="00641D96"/>
    <w:rsid w:val="00641DD1"/>
    <w:rsid w:val="00641F6B"/>
    <w:rsid w:val="0064210A"/>
    <w:rsid w:val="00642124"/>
    <w:rsid w:val="006422C6"/>
    <w:rsid w:val="006423AA"/>
    <w:rsid w:val="0064248B"/>
    <w:rsid w:val="006424FA"/>
    <w:rsid w:val="006425CA"/>
    <w:rsid w:val="0064273E"/>
    <w:rsid w:val="00642758"/>
    <w:rsid w:val="0064278C"/>
    <w:rsid w:val="006427F1"/>
    <w:rsid w:val="0064296F"/>
    <w:rsid w:val="00642A86"/>
    <w:rsid w:val="00642B0D"/>
    <w:rsid w:val="00642B48"/>
    <w:rsid w:val="00642BFC"/>
    <w:rsid w:val="00642DA4"/>
    <w:rsid w:val="00642E37"/>
    <w:rsid w:val="00642E57"/>
    <w:rsid w:val="00642F08"/>
    <w:rsid w:val="00643108"/>
    <w:rsid w:val="0064319B"/>
    <w:rsid w:val="00643281"/>
    <w:rsid w:val="006432A1"/>
    <w:rsid w:val="00643358"/>
    <w:rsid w:val="0064337D"/>
    <w:rsid w:val="006433F0"/>
    <w:rsid w:val="0064342D"/>
    <w:rsid w:val="006434D1"/>
    <w:rsid w:val="006434FD"/>
    <w:rsid w:val="00643523"/>
    <w:rsid w:val="00643569"/>
    <w:rsid w:val="006435F0"/>
    <w:rsid w:val="00643741"/>
    <w:rsid w:val="00643997"/>
    <w:rsid w:val="006439B7"/>
    <w:rsid w:val="00643AF4"/>
    <w:rsid w:val="00643BBE"/>
    <w:rsid w:val="00643CFF"/>
    <w:rsid w:val="00643D1C"/>
    <w:rsid w:val="00643E35"/>
    <w:rsid w:val="006440EF"/>
    <w:rsid w:val="00644178"/>
    <w:rsid w:val="006441BD"/>
    <w:rsid w:val="006441F6"/>
    <w:rsid w:val="0064422A"/>
    <w:rsid w:val="006443BA"/>
    <w:rsid w:val="00644472"/>
    <w:rsid w:val="006444C0"/>
    <w:rsid w:val="00644648"/>
    <w:rsid w:val="00644678"/>
    <w:rsid w:val="00644A7B"/>
    <w:rsid w:val="00644B8F"/>
    <w:rsid w:val="00644BE4"/>
    <w:rsid w:val="00644C55"/>
    <w:rsid w:val="00644CEA"/>
    <w:rsid w:val="00644D3A"/>
    <w:rsid w:val="00644DE9"/>
    <w:rsid w:val="00644EC8"/>
    <w:rsid w:val="00644F59"/>
    <w:rsid w:val="00644F92"/>
    <w:rsid w:val="00644FC4"/>
    <w:rsid w:val="00645049"/>
    <w:rsid w:val="0064516B"/>
    <w:rsid w:val="006455AF"/>
    <w:rsid w:val="006458A9"/>
    <w:rsid w:val="0064590D"/>
    <w:rsid w:val="00645B20"/>
    <w:rsid w:val="00645BDE"/>
    <w:rsid w:val="00645CEF"/>
    <w:rsid w:val="00645E59"/>
    <w:rsid w:val="00645E81"/>
    <w:rsid w:val="00645F5B"/>
    <w:rsid w:val="00646041"/>
    <w:rsid w:val="0064617F"/>
    <w:rsid w:val="006462A3"/>
    <w:rsid w:val="006463A0"/>
    <w:rsid w:val="00646459"/>
    <w:rsid w:val="006465C1"/>
    <w:rsid w:val="006465C3"/>
    <w:rsid w:val="0064669D"/>
    <w:rsid w:val="00646767"/>
    <w:rsid w:val="006467F2"/>
    <w:rsid w:val="00646A28"/>
    <w:rsid w:val="00646A48"/>
    <w:rsid w:val="00646B50"/>
    <w:rsid w:val="00646C6F"/>
    <w:rsid w:val="00646D8A"/>
    <w:rsid w:val="00646F2B"/>
    <w:rsid w:val="00646FBD"/>
    <w:rsid w:val="006470C4"/>
    <w:rsid w:val="00647163"/>
    <w:rsid w:val="0064716C"/>
    <w:rsid w:val="0064720C"/>
    <w:rsid w:val="0064722E"/>
    <w:rsid w:val="00647299"/>
    <w:rsid w:val="00647437"/>
    <w:rsid w:val="0064757E"/>
    <w:rsid w:val="00647695"/>
    <w:rsid w:val="0064781F"/>
    <w:rsid w:val="006478A5"/>
    <w:rsid w:val="006478DF"/>
    <w:rsid w:val="00647980"/>
    <w:rsid w:val="006479AA"/>
    <w:rsid w:val="00647A7F"/>
    <w:rsid w:val="00647BFA"/>
    <w:rsid w:val="00647CFD"/>
    <w:rsid w:val="00647E22"/>
    <w:rsid w:val="006505FB"/>
    <w:rsid w:val="006506BF"/>
    <w:rsid w:val="00650803"/>
    <w:rsid w:val="00650941"/>
    <w:rsid w:val="00650A4A"/>
    <w:rsid w:val="00650A5A"/>
    <w:rsid w:val="00650BA2"/>
    <w:rsid w:val="00650C28"/>
    <w:rsid w:val="00650DFF"/>
    <w:rsid w:val="00650E6D"/>
    <w:rsid w:val="00650ED8"/>
    <w:rsid w:val="00650FDE"/>
    <w:rsid w:val="00651092"/>
    <w:rsid w:val="006510C1"/>
    <w:rsid w:val="006510CE"/>
    <w:rsid w:val="0065116F"/>
    <w:rsid w:val="006512D6"/>
    <w:rsid w:val="00651397"/>
    <w:rsid w:val="00651437"/>
    <w:rsid w:val="00651673"/>
    <w:rsid w:val="006517C3"/>
    <w:rsid w:val="00651812"/>
    <w:rsid w:val="0065196B"/>
    <w:rsid w:val="00651B53"/>
    <w:rsid w:val="00651BBB"/>
    <w:rsid w:val="00651C59"/>
    <w:rsid w:val="00651D3C"/>
    <w:rsid w:val="00651D74"/>
    <w:rsid w:val="00652085"/>
    <w:rsid w:val="006521E6"/>
    <w:rsid w:val="00652246"/>
    <w:rsid w:val="006522A8"/>
    <w:rsid w:val="0065235A"/>
    <w:rsid w:val="00652429"/>
    <w:rsid w:val="00652673"/>
    <w:rsid w:val="0065267A"/>
    <w:rsid w:val="0065282E"/>
    <w:rsid w:val="00652880"/>
    <w:rsid w:val="006528BC"/>
    <w:rsid w:val="00652918"/>
    <w:rsid w:val="00652994"/>
    <w:rsid w:val="00652A72"/>
    <w:rsid w:val="00652B24"/>
    <w:rsid w:val="00652C26"/>
    <w:rsid w:val="00652C3A"/>
    <w:rsid w:val="00652CF8"/>
    <w:rsid w:val="00652DB7"/>
    <w:rsid w:val="00652FCE"/>
    <w:rsid w:val="0065301B"/>
    <w:rsid w:val="00653078"/>
    <w:rsid w:val="0065330F"/>
    <w:rsid w:val="0065334B"/>
    <w:rsid w:val="0065335E"/>
    <w:rsid w:val="00653486"/>
    <w:rsid w:val="006534AB"/>
    <w:rsid w:val="00653678"/>
    <w:rsid w:val="0065370E"/>
    <w:rsid w:val="006538A0"/>
    <w:rsid w:val="0065394F"/>
    <w:rsid w:val="006539DA"/>
    <w:rsid w:val="006539E0"/>
    <w:rsid w:val="00653A04"/>
    <w:rsid w:val="00653B1B"/>
    <w:rsid w:val="00653B41"/>
    <w:rsid w:val="00653D29"/>
    <w:rsid w:val="00653D3A"/>
    <w:rsid w:val="00653E23"/>
    <w:rsid w:val="00653E48"/>
    <w:rsid w:val="00653FB7"/>
    <w:rsid w:val="00653FEA"/>
    <w:rsid w:val="00654165"/>
    <w:rsid w:val="00654170"/>
    <w:rsid w:val="006541F5"/>
    <w:rsid w:val="006543B3"/>
    <w:rsid w:val="006543BA"/>
    <w:rsid w:val="0065451C"/>
    <w:rsid w:val="00654629"/>
    <w:rsid w:val="006546DB"/>
    <w:rsid w:val="00654926"/>
    <w:rsid w:val="006549FE"/>
    <w:rsid w:val="00654BE3"/>
    <w:rsid w:val="00654D72"/>
    <w:rsid w:val="00654E81"/>
    <w:rsid w:val="00654F98"/>
    <w:rsid w:val="006551F0"/>
    <w:rsid w:val="006553B3"/>
    <w:rsid w:val="006553F3"/>
    <w:rsid w:val="0065548D"/>
    <w:rsid w:val="006554D9"/>
    <w:rsid w:val="00655528"/>
    <w:rsid w:val="006556B3"/>
    <w:rsid w:val="006556D1"/>
    <w:rsid w:val="006556D9"/>
    <w:rsid w:val="0065573A"/>
    <w:rsid w:val="00655883"/>
    <w:rsid w:val="006558FB"/>
    <w:rsid w:val="0065599F"/>
    <w:rsid w:val="00655AA0"/>
    <w:rsid w:val="00655AAA"/>
    <w:rsid w:val="00655AEE"/>
    <w:rsid w:val="00655B7D"/>
    <w:rsid w:val="00655BB2"/>
    <w:rsid w:val="00655C50"/>
    <w:rsid w:val="00655E46"/>
    <w:rsid w:val="0065607A"/>
    <w:rsid w:val="006562F5"/>
    <w:rsid w:val="006563DB"/>
    <w:rsid w:val="00656495"/>
    <w:rsid w:val="006564CB"/>
    <w:rsid w:val="0065657D"/>
    <w:rsid w:val="006565A9"/>
    <w:rsid w:val="006565F7"/>
    <w:rsid w:val="006566BF"/>
    <w:rsid w:val="0065682B"/>
    <w:rsid w:val="00656854"/>
    <w:rsid w:val="006568D5"/>
    <w:rsid w:val="00656CDB"/>
    <w:rsid w:val="00656DA0"/>
    <w:rsid w:val="00656DC5"/>
    <w:rsid w:val="00656DD5"/>
    <w:rsid w:val="00656DE2"/>
    <w:rsid w:val="00657076"/>
    <w:rsid w:val="006570F6"/>
    <w:rsid w:val="00657123"/>
    <w:rsid w:val="0065713C"/>
    <w:rsid w:val="00657189"/>
    <w:rsid w:val="0065724E"/>
    <w:rsid w:val="006572B2"/>
    <w:rsid w:val="00657526"/>
    <w:rsid w:val="0065759B"/>
    <w:rsid w:val="006576EC"/>
    <w:rsid w:val="0065770D"/>
    <w:rsid w:val="006577D4"/>
    <w:rsid w:val="00657E7B"/>
    <w:rsid w:val="00657E97"/>
    <w:rsid w:val="00657EB8"/>
    <w:rsid w:val="00657EEB"/>
    <w:rsid w:val="00657F90"/>
    <w:rsid w:val="0066002D"/>
    <w:rsid w:val="006600DB"/>
    <w:rsid w:val="006601B4"/>
    <w:rsid w:val="0066023F"/>
    <w:rsid w:val="00660251"/>
    <w:rsid w:val="0066042B"/>
    <w:rsid w:val="00660549"/>
    <w:rsid w:val="00660596"/>
    <w:rsid w:val="0066059B"/>
    <w:rsid w:val="00660794"/>
    <w:rsid w:val="006607A2"/>
    <w:rsid w:val="0066086F"/>
    <w:rsid w:val="006608D9"/>
    <w:rsid w:val="00660963"/>
    <w:rsid w:val="00660A7E"/>
    <w:rsid w:val="00660E62"/>
    <w:rsid w:val="00660EB0"/>
    <w:rsid w:val="00660EC0"/>
    <w:rsid w:val="00660F4C"/>
    <w:rsid w:val="0066115D"/>
    <w:rsid w:val="006611BA"/>
    <w:rsid w:val="006613C0"/>
    <w:rsid w:val="006615DB"/>
    <w:rsid w:val="00661630"/>
    <w:rsid w:val="00661741"/>
    <w:rsid w:val="00661922"/>
    <w:rsid w:val="0066194E"/>
    <w:rsid w:val="00661C46"/>
    <w:rsid w:val="00661C7B"/>
    <w:rsid w:val="00661DD8"/>
    <w:rsid w:val="00661E2B"/>
    <w:rsid w:val="00661E72"/>
    <w:rsid w:val="00661F27"/>
    <w:rsid w:val="00661F7C"/>
    <w:rsid w:val="0066202F"/>
    <w:rsid w:val="00662057"/>
    <w:rsid w:val="00662069"/>
    <w:rsid w:val="00662299"/>
    <w:rsid w:val="006622A8"/>
    <w:rsid w:val="006622E3"/>
    <w:rsid w:val="00662399"/>
    <w:rsid w:val="00662500"/>
    <w:rsid w:val="0066268C"/>
    <w:rsid w:val="00662696"/>
    <w:rsid w:val="006626BE"/>
    <w:rsid w:val="00662745"/>
    <w:rsid w:val="006629D5"/>
    <w:rsid w:val="006629F1"/>
    <w:rsid w:val="00662CA4"/>
    <w:rsid w:val="00662D31"/>
    <w:rsid w:val="00662DE5"/>
    <w:rsid w:val="006630FC"/>
    <w:rsid w:val="00663129"/>
    <w:rsid w:val="00663147"/>
    <w:rsid w:val="00663344"/>
    <w:rsid w:val="006633A6"/>
    <w:rsid w:val="00663A04"/>
    <w:rsid w:val="00663C93"/>
    <w:rsid w:val="00663CF3"/>
    <w:rsid w:val="00663DFB"/>
    <w:rsid w:val="00664079"/>
    <w:rsid w:val="00664183"/>
    <w:rsid w:val="006642B5"/>
    <w:rsid w:val="00664416"/>
    <w:rsid w:val="0066445D"/>
    <w:rsid w:val="006644E1"/>
    <w:rsid w:val="006645EC"/>
    <w:rsid w:val="00664621"/>
    <w:rsid w:val="00664626"/>
    <w:rsid w:val="00664642"/>
    <w:rsid w:val="00664674"/>
    <w:rsid w:val="00664718"/>
    <w:rsid w:val="006647A7"/>
    <w:rsid w:val="006649D3"/>
    <w:rsid w:val="00664AEE"/>
    <w:rsid w:val="00664C0C"/>
    <w:rsid w:val="00664ED4"/>
    <w:rsid w:val="00664F14"/>
    <w:rsid w:val="0066502F"/>
    <w:rsid w:val="0066506E"/>
    <w:rsid w:val="0066506F"/>
    <w:rsid w:val="006650FB"/>
    <w:rsid w:val="00665106"/>
    <w:rsid w:val="00665147"/>
    <w:rsid w:val="0066520F"/>
    <w:rsid w:val="00665271"/>
    <w:rsid w:val="006652D3"/>
    <w:rsid w:val="0066540D"/>
    <w:rsid w:val="00665507"/>
    <w:rsid w:val="00665888"/>
    <w:rsid w:val="00665935"/>
    <w:rsid w:val="00665D2A"/>
    <w:rsid w:val="00665DA8"/>
    <w:rsid w:val="00665E33"/>
    <w:rsid w:val="0066613C"/>
    <w:rsid w:val="006662AF"/>
    <w:rsid w:val="00666362"/>
    <w:rsid w:val="006663C3"/>
    <w:rsid w:val="0066645A"/>
    <w:rsid w:val="0066678E"/>
    <w:rsid w:val="006667D5"/>
    <w:rsid w:val="006668EA"/>
    <w:rsid w:val="0066697C"/>
    <w:rsid w:val="006669DE"/>
    <w:rsid w:val="00666AD3"/>
    <w:rsid w:val="00666BDD"/>
    <w:rsid w:val="00666CBE"/>
    <w:rsid w:val="00666D4B"/>
    <w:rsid w:val="00666E9A"/>
    <w:rsid w:val="00666F75"/>
    <w:rsid w:val="00667107"/>
    <w:rsid w:val="0066728B"/>
    <w:rsid w:val="00667338"/>
    <w:rsid w:val="00667409"/>
    <w:rsid w:val="00667596"/>
    <w:rsid w:val="0066762F"/>
    <w:rsid w:val="006679ED"/>
    <w:rsid w:val="00667B36"/>
    <w:rsid w:val="00667B41"/>
    <w:rsid w:val="00667B59"/>
    <w:rsid w:val="00667BC6"/>
    <w:rsid w:val="00667C3E"/>
    <w:rsid w:val="00667CF3"/>
    <w:rsid w:val="00667F94"/>
    <w:rsid w:val="006701BE"/>
    <w:rsid w:val="006702B3"/>
    <w:rsid w:val="0067030C"/>
    <w:rsid w:val="00670380"/>
    <w:rsid w:val="00670400"/>
    <w:rsid w:val="00670505"/>
    <w:rsid w:val="0067050A"/>
    <w:rsid w:val="006705D5"/>
    <w:rsid w:val="006706B5"/>
    <w:rsid w:val="00670722"/>
    <w:rsid w:val="006707F7"/>
    <w:rsid w:val="006709A7"/>
    <w:rsid w:val="00670B96"/>
    <w:rsid w:val="00670B9F"/>
    <w:rsid w:val="00670BA2"/>
    <w:rsid w:val="00670C07"/>
    <w:rsid w:val="00670D7D"/>
    <w:rsid w:val="00670F72"/>
    <w:rsid w:val="00670F81"/>
    <w:rsid w:val="00670FFD"/>
    <w:rsid w:val="00671030"/>
    <w:rsid w:val="00671047"/>
    <w:rsid w:val="006710DC"/>
    <w:rsid w:val="00671211"/>
    <w:rsid w:val="0067128F"/>
    <w:rsid w:val="0067148F"/>
    <w:rsid w:val="0067158A"/>
    <w:rsid w:val="006716C3"/>
    <w:rsid w:val="006716CA"/>
    <w:rsid w:val="006716E2"/>
    <w:rsid w:val="00671738"/>
    <w:rsid w:val="006717A4"/>
    <w:rsid w:val="006719B2"/>
    <w:rsid w:val="00671AC4"/>
    <w:rsid w:val="00671AE7"/>
    <w:rsid w:val="00671C3A"/>
    <w:rsid w:val="00671CCE"/>
    <w:rsid w:val="00671E7C"/>
    <w:rsid w:val="00671FF4"/>
    <w:rsid w:val="00672030"/>
    <w:rsid w:val="0067213E"/>
    <w:rsid w:val="006721DE"/>
    <w:rsid w:val="00672219"/>
    <w:rsid w:val="006722F2"/>
    <w:rsid w:val="0067231F"/>
    <w:rsid w:val="00672375"/>
    <w:rsid w:val="0067266F"/>
    <w:rsid w:val="006727AB"/>
    <w:rsid w:val="00672802"/>
    <w:rsid w:val="0067286E"/>
    <w:rsid w:val="00672980"/>
    <w:rsid w:val="006729EB"/>
    <w:rsid w:val="00672A56"/>
    <w:rsid w:val="00672C45"/>
    <w:rsid w:val="00672CA5"/>
    <w:rsid w:val="00672CAF"/>
    <w:rsid w:val="00672F79"/>
    <w:rsid w:val="00672FCB"/>
    <w:rsid w:val="00673145"/>
    <w:rsid w:val="0067319C"/>
    <w:rsid w:val="0067329A"/>
    <w:rsid w:val="00673352"/>
    <w:rsid w:val="0067336A"/>
    <w:rsid w:val="006733B8"/>
    <w:rsid w:val="006733E9"/>
    <w:rsid w:val="006734A0"/>
    <w:rsid w:val="006735E1"/>
    <w:rsid w:val="006739B7"/>
    <w:rsid w:val="00673AB5"/>
    <w:rsid w:val="00673B4E"/>
    <w:rsid w:val="00673C8D"/>
    <w:rsid w:val="00673CF5"/>
    <w:rsid w:val="00673DC1"/>
    <w:rsid w:val="00673E19"/>
    <w:rsid w:val="00673F42"/>
    <w:rsid w:val="00674042"/>
    <w:rsid w:val="006741D4"/>
    <w:rsid w:val="00674455"/>
    <w:rsid w:val="006744B2"/>
    <w:rsid w:val="0067455E"/>
    <w:rsid w:val="00674571"/>
    <w:rsid w:val="006749A7"/>
    <w:rsid w:val="006749CE"/>
    <w:rsid w:val="00674A78"/>
    <w:rsid w:val="00674D58"/>
    <w:rsid w:val="00674E7F"/>
    <w:rsid w:val="00674FA6"/>
    <w:rsid w:val="00675004"/>
    <w:rsid w:val="00675046"/>
    <w:rsid w:val="0067504E"/>
    <w:rsid w:val="006751C4"/>
    <w:rsid w:val="00675254"/>
    <w:rsid w:val="00675449"/>
    <w:rsid w:val="0067547A"/>
    <w:rsid w:val="00675513"/>
    <w:rsid w:val="0067562A"/>
    <w:rsid w:val="0067563A"/>
    <w:rsid w:val="006757B7"/>
    <w:rsid w:val="006758C9"/>
    <w:rsid w:val="00675A5F"/>
    <w:rsid w:val="00675A78"/>
    <w:rsid w:val="00675BE8"/>
    <w:rsid w:val="00675CFB"/>
    <w:rsid w:val="00675DCD"/>
    <w:rsid w:val="00675E84"/>
    <w:rsid w:val="0067606D"/>
    <w:rsid w:val="006760CF"/>
    <w:rsid w:val="006760F5"/>
    <w:rsid w:val="0067626B"/>
    <w:rsid w:val="0067638F"/>
    <w:rsid w:val="006764B3"/>
    <w:rsid w:val="006764BC"/>
    <w:rsid w:val="00676695"/>
    <w:rsid w:val="00676716"/>
    <w:rsid w:val="00676729"/>
    <w:rsid w:val="006767AA"/>
    <w:rsid w:val="006768F9"/>
    <w:rsid w:val="006769C4"/>
    <w:rsid w:val="00676A09"/>
    <w:rsid w:val="00676B25"/>
    <w:rsid w:val="00676B9E"/>
    <w:rsid w:val="00676C6F"/>
    <w:rsid w:val="00676D58"/>
    <w:rsid w:val="00676F35"/>
    <w:rsid w:val="00676F40"/>
    <w:rsid w:val="0067707A"/>
    <w:rsid w:val="006772D8"/>
    <w:rsid w:val="00677332"/>
    <w:rsid w:val="00677448"/>
    <w:rsid w:val="00677456"/>
    <w:rsid w:val="006774B0"/>
    <w:rsid w:val="0067750E"/>
    <w:rsid w:val="00677627"/>
    <w:rsid w:val="0067765E"/>
    <w:rsid w:val="006776C7"/>
    <w:rsid w:val="00677743"/>
    <w:rsid w:val="00677746"/>
    <w:rsid w:val="00677983"/>
    <w:rsid w:val="00677A67"/>
    <w:rsid w:val="00677A87"/>
    <w:rsid w:val="00677BD5"/>
    <w:rsid w:val="00677CD8"/>
    <w:rsid w:val="00677E32"/>
    <w:rsid w:val="00677E3C"/>
    <w:rsid w:val="006800AD"/>
    <w:rsid w:val="0068025E"/>
    <w:rsid w:val="006802EA"/>
    <w:rsid w:val="006804FE"/>
    <w:rsid w:val="0068051B"/>
    <w:rsid w:val="00680527"/>
    <w:rsid w:val="006805D9"/>
    <w:rsid w:val="006805DA"/>
    <w:rsid w:val="00680683"/>
    <w:rsid w:val="006806F7"/>
    <w:rsid w:val="006807E5"/>
    <w:rsid w:val="00680821"/>
    <w:rsid w:val="006808F1"/>
    <w:rsid w:val="00680912"/>
    <w:rsid w:val="00680BF4"/>
    <w:rsid w:val="00680D8D"/>
    <w:rsid w:val="00680DEA"/>
    <w:rsid w:val="00680E8B"/>
    <w:rsid w:val="00680EAF"/>
    <w:rsid w:val="006812CA"/>
    <w:rsid w:val="00681388"/>
    <w:rsid w:val="00681489"/>
    <w:rsid w:val="0068150F"/>
    <w:rsid w:val="00681520"/>
    <w:rsid w:val="00681563"/>
    <w:rsid w:val="0068163F"/>
    <w:rsid w:val="006816AB"/>
    <w:rsid w:val="006818D0"/>
    <w:rsid w:val="0068192C"/>
    <w:rsid w:val="00681970"/>
    <w:rsid w:val="006819A3"/>
    <w:rsid w:val="00681A71"/>
    <w:rsid w:val="00681B16"/>
    <w:rsid w:val="00681B68"/>
    <w:rsid w:val="00681C02"/>
    <w:rsid w:val="00681CC3"/>
    <w:rsid w:val="00681CD4"/>
    <w:rsid w:val="00681D22"/>
    <w:rsid w:val="00681D51"/>
    <w:rsid w:val="00681E2F"/>
    <w:rsid w:val="00681F8E"/>
    <w:rsid w:val="006820B5"/>
    <w:rsid w:val="00682129"/>
    <w:rsid w:val="00682339"/>
    <w:rsid w:val="00682340"/>
    <w:rsid w:val="00682559"/>
    <w:rsid w:val="00682614"/>
    <w:rsid w:val="0068266B"/>
    <w:rsid w:val="0068266C"/>
    <w:rsid w:val="00682698"/>
    <w:rsid w:val="006829B5"/>
    <w:rsid w:val="00682BB5"/>
    <w:rsid w:val="00682BE8"/>
    <w:rsid w:val="00682CB1"/>
    <w:rsid w:val="00682DAC"/>
    <w:rsid w:val="00682E4C"/>
    <w:rsid w:val="00682E55"/>
    <w:rsid w:val="00682E8C"/>
    <w:rsid w:val="00683057"/>
    <w:rsid w:val="006831F1"/>
    <w:rsid w:val="006832B3"/>
    <w:rsid w:val="006832FA"/>
    <w:rsid w:val="0068340E"/>
    <w:rsid w:val="00683528"/>
    <w:rsid w:val="00683671"/>
    <w:rsid w:val="0068371F"/>
    <w:rsid w:val="00683722"/>
    <w:rsid w:val="0068377B"/>
    <w:rsid w:val="00683789"/>
    <w:rsid w:val="00683794"/>
    <w:rsid w:val="006837DA"/>
    <w:rsid w:val="0068398B"/>
    <w:rsid w:val="00683B44"/>
    <w:rsid w:val="00683D2F"/>
    <w:rsid w:val="00683E2D"/>
    <w:rsid w:val="00683F9C"/>
    <w:rsid w:val="00684044"/>
    <w:rsid w:val="006840B2"/>
    <w:rsid w:val="006840DA"/>
    <w:rsid w:val="006842CB"/>
    <w:rsid w:val="006843F6"/>
    <w:rsid w:val="00684513"/>
    <w:rsid w:val="00684528"/>
    <w:rsid w:val="006845EF"/>
    <w:rsid w:val="006845FD"/>
    <w:rsid w:val="00684770"/>
    <w:rsid w:val="00684890"/>
    <w:rsid w:val="0068491F"/>
    <w:rsid w:val="0068494A"/>
    <w:rsid w:val="00684A64"/>
    <w:rsid w:val="00684A6D"/>
    <w:rsid w:val="00684ACD"/>
    <w:rsid w:val="00684ACF"/>
    <w:rsid w:val="00684B1A"/>
    <w:rsid w:val="00684B1C"/>
    <w:rsid w:val="00684CCE"/>
    <w:rsid w:val="00684EEB"/>
    <w:rsid w:val="00684F4C"/>
    <w:rsid w:val="00684F8F"/>
    <w:rsid w:val="006851A2"/>
    <w:rsid w:val="006851ED"/>
    <w:rsid w:val="0068531B"/>
    <w:rsid w:val="006853F1"/>
    <w:rsid w:val="006854A8"/>
    <w:rsid w:val="006855D4"/>
    <w:rsid w:val="0068563E"/>
    <w:rsid w:val="006858E3"/>
    <w:rsid w:val="00685B1A"/>
    <w:rsid w:val="00685B7F"/>
    <w:rsid w:val="00685C16"/>
    <w:rsid w:val="00685C6C"/>
    <w:rsid w:val="00685CB5"/>
    <w:rsid w:val="00685DE4"/>
    <w:rsid w:val="00685FFD"/>
    <w:rsid w:val="006860D0"/>
    <w:rsid w:val="006860D1"/>
    <w:rsid w:val="00686118"/>
    <w:rsid w:val="00686169"/>
    <w:rsid w:val="006861C0"/>
    <w:rsid w:val="0068622F"/>
    <w:rsid w:val="00686255"/>
    <w:rsid w:val="00686385"/>
    <w:rsid w:val="006863A1"/>
    <w:rsid w:val="00686596"/>
    <w:rsid w:val="00686650"/>
    <w:rsid w:val="00686778"/>
    <w:rsid w:val="006868A4"/>
    <w:rsid w:val="00686B48"/>
    <w:rsid w:val="00686BCE"/>
    <w:rsid w:val="00686BD3"/>
    <w:rsid w:val="00686C98"/>
    <w:rsid w:val="00686CC2"/>
    <w:rsid w:val="00686D42"/>
    <w:rsid w:val="00686EF6"/>
    <w:rsid w:val="00686F00"/>
    <w:rsid w:val="00686F2B"/>
    <w:rsid w:val="00686F46"/>
    <w:rsid w:val="00686F84"/>
    <w:rsid w:val="0068701A"/>
    <w:rsid w:val="00687226"/>
    <w:rsid w:val="006872E5"/>
    <w:rsid w:val="00687307"/>
    <w:rsid w:val="00687356"/>
    <w:rsid w:val="0068744E"/>
    <w:rsid w:val="006875EA"/>
    <w:rsid w:val="00687642"/>
    <w:rsid w:val="0068772A"/>
    <w:rsid w:val="0068775A"/>
    <w:rsid w:val="00687804"/>
    <w:rsid w:val="00687C97"/>
    <w:rsid w:val="00687D54"/>
    <w:rsid w:val="00687D5A"/>
    <w:rsid w:val="00687EDF"/>
    <w:rsid w:val="00690008"/>
    <w:rsid w:val="0069012B"/>
    <w:rsid w:val="0069015A"/>
    <w:rsid w:val="006901A4"/>
    <w:rsid w:val="00690237"/>
    <w:rsid w:val="00690324"/>
    <w:rsid w:val="006903B9"/>
    <w:rsid w:val="006903C7"/>
    <w:rsid w:val="006904BD"/>
    <w:rsid w:val="006904C2"/>
    <w:rsid w:val="006904DD"/>
    <w:rsid w:val="00690524"/>
    <w:rsid w:val="006907FA"/>
    <w:rsid w:val="006909AA"/>
    <w:rsid w:val="00690E1D"/>
    <w:rsid w:val="00690E71"/>
    <w:rsid w:val="00690F3D"/>
    <w:rsid w:val="006910CC"/>
    <w:rsid w:val="00691170"/>
    <w:rsid w:val="006911C8"/>
    <w:rsid w:val="00691339"/>
    <w:rsid w:val="00691459"/>
    <w:rsid w:val="0069149E"/>
    <w:rsid w:val="006915C8"/>
    <w:rsid w:val="0069162E"/>
    <w:rsid w:val="0069183B"/>
    <w:rsid w:val="006919D9"/>
    <w:rsid w:val="00691B15"/>
    <w:rsid w:val="00691C81"/>
    <w:rsid w:val="00691CC6"/>
    <w:rsid w:val="00691CEB"/>
    <w:rsid w:val="006921FF"/>
    <w:rsid w:val="0069221B"/>
    <w:rsid w:val="0069223D"/>
    <w:rsid w:val="00692424"/>
    <w:rsid w:val="00692468"/>
    <w:rsid w:val="006924A0"/>
    <w:rsid w:val="00692505"/>
    <w:rsid w:val="00692531"/>
    <w:rsid w:val="00692895"/>
    <w:rsid w:val="006928E1"/>
    <w:rsid w:val="00692917"/>
    <w:rsid w:val="00692A8C"/>
    <w:rsid w:val="00692BAE"/>
    <w:rsid w:val="00692C9F"/>
    <w:rsid w:val="00692D12"/>
    <w:rsid w:val="00692E6B"/>
    <w:rsid w:val="00692FB5"/>
    <w:rsid w:val="00693051"/>
    <w:rsid w:val="00693137"/>
    <w:rsid w:val="00693277"/>
    <w:rsid w:val="006932F0"/>
    <w:rsid w:val="0069349F"/>
    <w:rsid w:val="00693531"/>
    <w:rsid w:val="00693653"/>
    <w:rsid w:val="006936AE"/>
    <w:rsid w:val="006936F6"/>
    <w:rsid w:val="00693806"/>
    <w:rsid w:val="00693842"/>
    <w:rsid w:val="00693888"/>
    <w:rsid w:val="00693918"/>
    <w:rsid w:val="00693C87"/>
    <w:rsid w:val="00693D3E"/>
    <w:rsid w:val="00693D88"/>
    <w:rsid w:val="00693D93"/>
    <w:rsid w:val="00693E40"/>
    <w:rsid w:val="00693E73"/>
    <w:rsid w:val="00693F6A"/>
    <w:rsid w:val="00693F9E"/>
    <w:rsid w:val="006940FB"/>
    <w:rsid w:val="0069414B"/>
    <w:rsid w:val="00694288"/>
    <w:rsid w:val="006944F2"/>
    <w:rsid w:val="0069457A"/>
    <w:rsid w:val="006948DE"/>
    <w:rsid w:val="006948F1"/>
    <w:rsid w:val="006949A7"/>
    <w:rsid w:val="00694B53"/>
    <w:rsid w:val="00694B65"/>
    <w:rsid w:val="00694B8B"/>
    <w:rsid w:val="00694C69"/>
    <w:rsid w:val="00694D53"/>
    <w:rsid w:val="00694E2B"/>
    <w:rsid w:val="00694E58"/>
    <w:rsid w:val="00694E87"/>
    <w:rsid w:val="00694E91"/>
    <w:rsid w:val="00694F7D"/>
    <w:rsid w:val="00694F91"/>
    <w:rsid w:val="00694FD4"/>
    <w:rsid w:val="006950A2"/>
    <w:rsid w:val="006950D6"/>
    <w:rsid w:val="006951CE"/>
    <w:rsid w:val="006951E5"/>
    <w:rsid w:val="006951FF"/>
    <w:rsid w:val="0069529E"/>
    <w:rsid w:val="00695309"/>
    <w:rsid w:val="0069539C"/>
    <w:rsid w:val="006954C3"/>
    <w:rsid w:val="0069569E"/>
    <w:rsid w:val="00695772"/>
    <w:rsid w:val="00695940"/>
    <w:rsid w:val="00695B5A"/>
    <w:rsid w:val="00695D1E"/>
    <w:rsid w:val="00695D2F"/>
    <w:rsid w:val="00695DBB"/>
    <w:rsid w:val="00695DFF"/>
    <w:rsid w:val="00695FCA"/>
    <w:rsid w:val="00696335"/>
    <w:rsid w:val="0069633D"/>
    <w:rsid w:val="0069648C"/>
    <w:rsid w:val="006965D4"/>
    <w:rsid w:val="006965E0"/>
    <w:rsid w:val="006965E6"/>
    <w:rsid w:val="006967B7"/>
    <w:rsid w:val="0069696C"/>
    <w:rsid w:val="00696A40"/>
    <w:rsid w:val="00696A4D"/>
    <w:rsid w:val="00696AF5"/>
    <w:rsid w:val="00696C70"/>
    <w:rsid w:val="00696D07"/>
    <w:rsid w:val="00697102"/>
    <w:rsid w:val="00697179"/>
    <w:rsid w:val="006974CD"/>
    <w:rsid w:val="00697608"/>
    <w:rsid w:val="006977DE"/>
    <w:rsid w:val="00697AC6"/>
    <w:rsid w:val="00697AC9"/>
    <w:rsid w:val="00697B31"/>
    <w:rsid w:val="00697B7A"/>
    <w:rsid w:val="00697D19"/>
    <w:rsid w:val="00697EE9"/>
    <w:rsid w:val="006A0052"/>
    <w:rsid w:val="006A010A"/>
    <w:rsid w:val="006A03C5"/>
    <w:rsid w:val="006A03EF"/>
    <w:rsid w:val="006A0505"/>
    <w:rsid w:val="006A0518"/>
    <w:rsid w:val="006A056F"/>
    <w:rsid w:val="006A05C7"/>
    <w:rsid w:val="006A078B"/>
    <w:rsid w:val="006A0860"/>
    <w:rsid w:val="006A08CA"/>
    <w:rsid w:val="006A0B80"/>
    <w:rsid w:val="006A0C3E"/>
    <w:rsid w:val="006A0E43"/>
    <w:rsid w:val="006A102D"/>
    <w:rsid w:val="006A11E4"/>
    <w:rsid w:val="006A12AB"/>
    <w:rsid w:val="006A12DF"/>
    <w:rsid w:val="006A15CF"/>
    <w:rsid w:val="006A16F0"/>
    <w:rsid w:val="006A19C7"/>
    <w:rsid w:val="006A1B5B"/>
    <w:rsid w:val="006A1C17"/>
    <w:rsid w:val="006A1C4A"/>
    <w:rsid w:val="006A1F7F"/>
    <w:rsid w:val="006A201E"/>
    <w:rsid w:val="006A2034"/>
    <w:rsid w:val="006A2063"/>
    <w:rsid w:val="006A20A4"/>
    <w:rsid w:val="006A210A"/>
    <w:rsid w:val="006A21BD"/>
    <w:rsid w:val="006A21D9"/>
    <w:rsid w:val="006A2264"/>
    <w:rsid w:val="006A2313"/>
    <w:rsid w:val="006A2464"/>
    <w:rsid w:val="006A25E0"/>
    <w:rsid w:val="006A25FD"/>
    <w:rsid w:val="006A269A"/>
    <w:rsid w:val="006A27B6"/>
    <w:rsid w:val="006A291D"/>
    <w:rsid w:val="006A29EC"/>
    <w:rsid w:val="006A29FF"/>
    <w:rsid w:val="006A2A10"/>
    <w:rsid w:val="006A2AB9"/>
    <w:rsid w:val="006A2C0D"/>
    <w:rsid w:val="006A2CF1"/>
    <w:rsid w:val="006A2DB4"/>
    <w:rsid w:val="006A2EA6"/>
    <w:rsid w:val="006A2F5F"/>
    <w:rsid w:val="006A2FD1"/>
    <w:rsid w:val="006A314F"/>
    <w:rsid w:val="006A3371"/>
    <w:rsid w:val="006A33AF"/>
    <w:rsid w:val="006A33F1"/>
    <w:rsid w:val="006A350E"/>
    <w:rsid w:val="006A3601"/>
    <w:rsid w:val="006A3610"/>
    <w:rsid w:val="006A3ACD"/>
    <w:rsid w:val="006A3AD5"/>
    <w:rsid w:val="006A3C9D"/>
    <w:rsid w:val="006A3CCE"/>
    <w:rsid w:val="006A3F56"/>
    <w:rsid w:val="006A3F7F"/>
    <w:rsid w:val="006A4147"/>
    <w:rsid w:val="006A414D"/>
    <w:rsid w:val="006A41F8"/>
    <w:rsid w:val="006A42A2"/>
    <w:rsid w:val="006A42A5"/>
    <w:rsid w:val="006A44AD"/>
    <w:rsid w:val="006A44B6"/>
    <w:rsid w:val="006A451E"/>
    <w:rsid w:val="006A45BB"/>
    <w:rsid w:val="006A46B9"/>
    <w:rsid w:val="006A479E"/>
    <w:rsid w:val="006A4A17"/>
    <w:rsid w:val="006A4B33"/>
    <w:rsid w:val="006A4C00"/>
    <w:rsid w:val="006A4CF6"/>
    <w:rsid w:val="006A4E19"/>
    <w:rsid w:val="006A4E52"/>
    <w:rsid w:val="006A4F66"/>
    <w:rsid w:val="006A4FC8"/>
    <w:rsid w:val="006A5050"/>
    <w:rsid w:val="006A50F1"/>
    <w:rsid w:val="006A517B"/>
    <w:rsid w:val="006A51AA"/>
    <w:rsid w:val="006A52D3"/>
    <w:rsid w:val="006A52EB"/>
    <w:rsid w:val="006A55E1"/>
    <w:rsid w:val="006A56FF"/>
    <w:rsid w:val="006A5743"/>
    <w:rsid w:val="006A57A0"/>
    <w:rsid w:val="006A59DC"/>
    <w:rsid w:val="006A5AD8"/>
    <w:rsid w:val="006A5B6A"/>
    <w:rsid w:val="006A5BE3"/>
    <w:rsid w:val="006A5C6F"/>
    <w:rsid w:val="006A5DC7"/>
    <w:rsid w:val="006A5E4C"/>
    <w:rsid w:val="006A5E94"/>
    <w:rsid w:val="006A603D"/>
    <w:rsid w:val="006A607B"/>
    <w:rsid w:val="006A61EC"/>
    <w:rsid w:val="006A6227"/>
    <w:rsid w:val="006A6259"/>
    <w:rsid w:val="006A6296"/>
    <w:rsid w:val="006A64EC"/>
    <w:rsid w:val="006A65CE"/>
    <w:rsid w:val="006A66D3"/>
    <w:rsid w:val="006A67F4"/>
    <w:rsid w:val="006A688C"/>
    <w:rsid w:val="006A68EF"/>
    <w:rsid w:val="006A6AD4"/>
    <w:rsid w:val="006A6AF4"/>
    <w:rsid w:val="006A6C36"/>
    <w:rsid w:val="006A6C5F"/>
    <w:rsid w:val="006A6CB3"/>
    <w:rsid w:val="006A6E27"/>
    <w:rsid w:val="006A6EAC"/>
    <w:rsid w:val="006A6F09"/>
    <w:rsid w:val="006A6F35"/>
    <w:rsid w:val="006A6FB8"/>
    <w:rsid w:val="006A6FC4"/>
    <w:rsid w:val="006A70B9"/>
    <w:rsid w:val="006A70F9"/>
    <w:rsid w:val="006A7242"/>
    <w:rsid w:val="006A72B0"/>
    <w:rsid w:val="006A73F4"/>
    <w:rsid w:val="006A74E5"/>
    <w:rsid w:val="006A75B1"/>
    <w:rsid w:val="006A77C1"/>
    <w:rsid w:val="006A77C3"/>
    <w:rsid w:val="006A7AA1"/>
    <w:rsid w:val="006A7AB4"/>
    <w:rsid w:val="006A7C3C"/>
    <w:rsid w:val="006A7D9F"/>
    <w:rsid w:val="006A7E4C"/>
    <w:rsid w:val="006A7EEE"/>
    <w:rsid w:val="006A7FC8"/>
    <w:rsid w:val="006B02C4"/>
    <w:rsid w:val="006B04FE"/>
    <w:rsid w:val="006B05D4"/>
    <w:rsid w:val="006B073B"/>
    <w:rsid w:val="006B0754"/>
    <w:rsid w:val="006B075A"/>
    <w:rsid w:val="006B075C"/>
    <w:rsid w:val="006B0856"/>
    <w:rsid w:val="006B0894"/>
    <w:rsid w:val="006B0932"/>
    <w:rsid w:val="006B098E"/>
    <w:rsid w:val="006B0A1A"/>
    <w:rsid w:val="006B0B18"/>
    <w:rsid w:val="006B0B3B"/>
    <w:rsid w:val="006B0BDB"/>
    <w:rsid w:val="006B0D54"/>
    <w:rsid w:val="006B0ED5"/>
    <w:rsid w:val="006B0FB5"/>
    <w:rsid w:val="006B0FBC"/>
    <w:rsid w:val="006B1007"/>
    <w:rsid w:val="006B10BB"/>
    <w:rsid w:val="006B1228"/>
    <w:rsid w:val="006B1230"/>
    <w:rsid w:val="006B13F0"/>
    <w:rsid w:val="006B1563"/>
    <w:rsid w:val="006B162B"/>
    <w:rsid w:val="006B170D"/>
    <w:rsid w:val="006B18C5"/>
    <w:rsid w:val="006B1932"/>
    <w:rsid w:val="006B1A5E"/>
    <w:rsid w:val="006B1A72"/>
    <w:rsid w:val="006B1B40"/>
    <w:rsid w:val="006B1B85"/>
    <w:rsid w:val="006B1CDF"/>
    <w:rsid w:val="006B1D4E"/>
    <w:rsid w:val="006B1DE2"/>
    <w:rsid w:val="006B1EAA"/>
    <w:rsid w:val="006B1F10"/>
    <w:rsid w:val="006B1F47"/>
    <w:rsid w:val="006B1FDA"/>
    <w:rsid w:val="006B2067"/>
    <w:rsid w:val="006B213B"/>
    <w:rsid w:val="006B21FD"/>
    <w:rsid w:val="006B2272"/>
    <w:rsid w:val="006B22C9"/>
    <w:rsid w:val="006B25EC"/>
    <w:rsid w:val="006B28B3"/>
    <w:rsid w:val="006B2AD4"/>
    <w:rsid w:val="006B2B7D"/>
    <w:rsid w:val="006B2B98"/>
    <w:rsid w:val="006B2BAB"/>
    <w:rsid w:val="006B2C20"/>
    <w:rsid w:val="006B2C4E"/>
    <w:rsid w:val="006B3127"/>
    <w:rsid w:val="006B317B"/>
    <w:rsid w:val="006B3426"/>
    <w:rsid w:val="006B36AE"/>
    <w:rsid w:val="006B36E6"/>
    <w:rsid w:val="006B374C"/>
    <w:rsid w:val="006B37C7"/>
    <w:rsid w:val="006B3801"/>
    <w:rsid w:val="006B3822"/>
    <w:rsid w:val="006B38D8"/>
    <w:rsid w:val="006B3980"/>
    <w:rsid w:val="006B3A5B"/>
    <w:rsid w:val="006B3C0B"/>
    <w:rsid w:val="006B3CD4"/>
    <w:rsid w:val="006B3E4D"/>
    <w:rsid w:val="006B3EA3"/>
    <w:rsid w:val="006B3EF2"/>
    <w:rsid w:val="006B3F1D"/>
    <w:rsid w:val="006B4012"/>
    <w:rsid w:val="006B40E2"/>
    <w:rsid w:val="006B417B"/>
    <w:rsid w:val="006B42A6"/>
    <w:rsid w:val="006B4449"/>
    <w:rsid w:val="006B44CC"/>
    <w:rsid w:val="006B4503"/>
    <w:rsid w:val="006B4559"/>
    <w:rsid w:val="006B46E7"/>
    <w:rsid w:val="006B472E"/>
    <w:rsid w:val="006B474F"/>
    <w:rsid w:val="006B4A37"/>
    <w:rsid w:val="006B4C0C"/>
    <w:rsid w:val="006B4EAB"/>
    <w:rsid w:val="006B4F33"/>
    <w:rsid w:val="006B4F3D"/>
    <w:rsid w:val="006B5038"/>
    <w:rsid w:val="006B5091"/>
    <w:rsid w:val="006B50B8"/>
    <w:rsid w:val="006B50F9"/>
    <w:rsid w:val="006B51E1"/>
    <w:rsid w:val="006B535A"/>
    <w:rsid w:val="006B5756"/>
    <w:rsid w:val="006B5898"/>
    <w:rsid w:val="006B5A0D"/>
    <w:rsid w:val="006B5A61"/>
    <w:rsid w:val="006B5B7E"/>
    <w:rsid w:val="006B5BE7"/>
    <w:rsid w:val="006B5C4C"/>
    <w:rsid w:val="006B5D69"/>
    <w:rsid w:val="006B5D79"/>
    <w:rsid w:val="006B5FBC"/>
    <w:rsid w:val="006B604A"/>
    <w:rsid w:val="006B61AD"/>
    <w:rsid w:val="006B62EC"/>
    <w:rsid w:val="006B6339"/>
    <w:rsid w:val="006B63C5"/>
    <w:rsid w:val="006B64A4"/>
    <w:rsid w:val="006B64E5"/>
    <w:rsid w:val="006B64E8"/>
    <w:rsid w:val="006B654C"/>
    <w:rsid w:val="006B6602"/>
    <w:rsid w:val="006B6660"/>
    <w:rsid w:val="006B66FB"/>
    <w:rsid w:val="006B67AE"/>
    <w:rsid w:val="006B67B9"/>
    <w:rsid w:val="006B67E2"/>
    <w:rsid w:val="006B6943"/>
    <w:rsid w:val="006B6AB6"/>
    <w:rsid w:val="006B6ACA"/>
    <w:rsid w:val="006B6AEB"/>
    <w:rsid w:val="006B6AEF"/>
    <w:rsid w:val="006B6B3A"/>
    <w:rsid w:val="006B6DA1"/>
    <w:rsid w:val="006B6EF8"/>
    <w:rsid w:val="006B6FF9"/>
    <w:rsid w:val="006B71A8"/>
    <w:rsid w:val="006B7208"/>
    <w:rsid w:val="006B7587"/>
    <w:rsid w:val="006B76C2"/>
    <w:rsid w:val="006B770C"/>
    <w:rsid w:val="006B7877"/>
    <w:rsid w:val="006B79E3"/>
    <w:rsid w:val="006B7A8D"/>
    <w:rsid w:val="006B7ABD"/>
    <w:rsid w:val="006B7CBC"/>
    <w:rsid w:val="006B7DD9"/>
    <w:rsid w:val="006B7E04"/>
    <w:rsid w:val="006C0099"/>
    <w:rsid w:val="006C011F"/>
    <w:rsid w:val="006C0250"/>
    <w:rsid w:val="006C02B1"/>
    <w:rsid w:val="006C02CD"/>
    <w:rsid w:val="006C045F"/>
    <w:rsid w:val="006C04C8"/>
    <w:rsid w:val="006C05C2"/>
    <w:rsid w:val="006C067F"/>
    <w:rsid w:val="006C06A9"/>
    <w:rsid w:val="006C0726"/>
    <w:rsid w:val="006C07AB"/>
    <w:rsid w:val="006C084C"/>
    <w:rsid w:val="006C09F4"/>
    <w:rsid w:val="006C0A5B"/>
    <w:rsid w:val="006C0B20"/>
    <w:rsid w:val="006C0DFA"/>
    <w:rsid w:val="006C0FBB"/>
    <w:rsid w:val="006C121C"/>
    <w:rsid w:val="006C1280"/>
    <w:rsid w:val="006C1288"/>
    <w:rsid w:val="006C1290"/>
    <w:rsid w:val="006C12DF"/>
    <w:rsid w:val="006C132E"/>
    <w:rsid w:val="006C13A3"/>
    <w:rsid w:val="006C157B"/>
    <w:rsid w:val="006C1822"/>
    <w:rsid w:val="006C19DD"/>
    <w:rsid w:val="006C1A2F"/>
    <w:rsid w:val="006C1A61"/>
    <w:rsid w:val="006C1AD9"/>
    <w:rsid w:val="006C1B60"/>
    <w:rsid w:val="006C1B6F"/>
    <w:rsid w:val="006C1CF0"/>
    <w:rsid w:val="006C1F6D"/>
    <w:rsid w:val="006C202F"/>
    <w:rsid w:val="006C2099"/>
    <w:rsid w:val="006C2177"/>
    <w:rsid w:val="006C2187"/>
    <w:rsid w:val="006C21F1"/>
    <w:rsid w:val="006C23CC"/>
    <w:rsid w:val="006C2434"/>
    <w:rsid w:val="006C246F"/>
    <w:rsid w:val="006C2817"/>
    <w:rsid w:val="006C29A9"/>
    <w:rsid w:val="006C2A9F"/>
    <w:rsid w:val="006C2ABA"/>
    <w:rsid w:val="006C2B59"/>
    <w:rsid w:val="006C2BDE"/>
    <w:rsid w:val="006C2C86"/>
    <w:rsid w:val="006C2C8B"/>
    <w:rsid w:val="006C2D1A"/>
    <w:rsid w:val="006C2E37"/>
    <w:rsid w:val="006C2F18"/>
    <w:rsid w:val="006C31E0"/>
    <w:rsid w:val="006C332E"/>
    <w:rsid w:val="006C337A"/>
    <w:rsid w:val="006C34A1"/>
    <w:rsid w:val="006C34B1"/>
    <w:rsid w:val="006C34C9"/>
    <w:rsid w:val="006C34CC"/>
    <w:rsid w:val="006C351A"/>
    <w:rsid w:val="006C3686"/>
    <w:rsid w:val="006C36BC"/>
    <w:rsid w:val="006C3746"/>
    <w:rsid w:val="006C3825"/>
    <w:rsid w:val="006C38EF"/>
    <w:rsid w:val="006C3BB9"/>
    <w:rsid w:val="006C3BCF"/>
    <w:rsid w:val="006C3BEF"/>
    <w:rsid w:val="006C3C80"/>
    <w:rsid w:val="006C3EBC"/>
    <w:rsid w:val="006C3FCC"/>
    <w:rsid w:val="006C4010"/>
    <w:rsid w:val="006C4043"/>
    <w:rsid w:val="006C41C1"/>
    <w:rsid w:val="006C41EB"/>
    <w:rsid w:val="006C41ED"/>
    <w:rsid w:val="006C430A"/>
    <w:rsid w:val="006C431E"/>
    <w:rsid w:val="006C4352"/>
    <w:rsid w:val="006C43FB"/>
    <w:rsid w:val="006C475F"/>
    <w:rsid w:val="006C47E9"/>
    <w:rsid w:val="006C4866"/>
    <w:rsid w:val="006C48D5"/>
    <w:rsid w:val="006C4950"/>
    <w:rsid w:val="006C4990"/>
    <w:rsid w:val="006C49AF"/>
    <w:rsid w:val="006C49E5"/>
    <w:rsid w:val="006C4A62"/>
    <w:rsid w:val="006C4BA1"/>
    <w:rsid w:val="006C4BA5"/>
    <w:rsid w:val="006C4F0A"/>
    <w:rsid w:val="006C4F90"/>
    <w:rsid w:val="006C505F"/>
    <w:rsid w:val="006C52B9"/>
    <w:rsid w:val="006C54C0"/>
    <w:rsid w:val="006C559A"/>
    <w:rsid w:val="006C5808"/>
    <w:rsid w:val="006C58E3"/>
    <w:rsid w:val="006C596C"/>
    <w:rsid w:val="006C5A8D"/>
    <w:rsid w:val="006C5CC5"/>
    <w:rsid w:val="006C5CDD"/>
    <w:rsid w:val="006C5D0C"/>
    <w:rsid w:val="006C5D4B"/>
    <w:rsid w:val="006C5DF8"/>
    <w:rsid w:val="006C5F2C"/>
    <w:rsid w:val="006C5FA4"/>
    <w:rsid w:val="006C60B7"/>
    <w:rsid w:val="006C616C"/>
    <w:rsid w:val="006C6182"/>
    <w:rsid w:val="006C61C2"/>
    <w:rsid w:val="006C6294"/>
    <w:rsid w:val="006C62D7"/>
    <w:rsid w:val="006C6346"/>
    <w:rsid w:val="006C66D5"/>
    <w:rsid w:val="006C6914"/>
    <w:rsid w:val="006C691B"/>
    <w:rsid w:val="006C6B24"/>
    <w:rsid w:val="006C6C05"/>
    <w:rsid w:val="006C6CE6"/>
    <w:rsid w:val="006C6CEC"/>
    <w:rsid w:val="006C6E95"/>
    <w:rsid w:val="006C6ED1"/>
    <w:rsid w:val="006C6F68"/>
    <w:rsid w:val="006C7242"/>
    <w:rsid w:val="006C7328"/>
    <w:rsid w:val="006C7406"/>
    <w:rsid w:val="006C7629"/>
    <w:rsid w:val="006C7880"/>
    <w:rsid w:val="006C7974"/>
    <w:rsid w:val="006C7BD1"/>
    <w:rsid w:val="006C7CB2"/>
    <w:rsid w:val="006C7DF2"/>
    <w:rsid w:val="006C7E81"/>
    <w:rsid w:val="006C7E91"/>
    <w:rsid w:val="006C7F1D"/>
    <w:rsid w:val="006C7FB8"/>
    <w:rsid w:val="006C7FF1"/>
    <w:rsid w:val="006D0012"/>
    <w:rsid w:val="006D00F4"/>
    <w:rsid w:val="006D0199"/>
    <w:rsid w:val="006D019E"/>
    <w:rsid w:val="006D01B0"/>
    <w:rsid w:val="006D01CD"/>
    <w:rsid w:val="006D01D6"/>
    <w:rsid w:val="006D0222"/>
    <w:rsid w:val="006D02AA"/>
    <w:rsid w:val="006D0700"/>
    <w:rsid w:val="006D081D"/>
    <w:rsid w:val="006D096A"/>
    <w:rsid w:val="006D09C5"/>
    <w:rsid w:val="006D0A1B"/>
    <w:rsid w:val="006D0A4A"/>
    <w:rsid w:val="006D0A5E"/>
    <w:rsid w:val="006D0A95"/>
    <w:rsid w:val="006D0AF0"/>
    <w:rsid w:val="006D0DBA"/>
    <w:rsid w:val="006D0E57"/>
    <w:rsid w:val="006D0EC8"/>
    <w:rsid w:val="006D0F89"/>
    <w:rsid w:val="006D1159"/>
    <w:rsid w:val="006D1181"/>
    <w:rsid w:val="006D121E"/>
    <w:rsid w:val="006D1234"/>
    <w:rsid w:val="006D1290"/>
    <w:rsid w:val="006D15B8"/>
    <w:rsid w:val="006D1965"/>
    <w:rsid w:val="006D19D3"/>
    <w:rsid w:val="006D1A00"/>
    <w:rsid w:val="006D1A50"/>
    <w:rsid w:val="006D1B68"/>
    <w:rsid w:val="006D1C06"/>
    <w:rsid w:val="006D1C53"/>
    <w:rsid w:val="006D1DFE"/>
    <w:rsid w:val="006D1F12"/>
    <w:rsid w:val="006D20A4"/>
    <w:rsid w:val="006D20AE"/>
    <w:rsid w:val="006D235C"/>
    <w:rsid w:val="006D2464"/>
    <w:rsid w:val="006D2560"/>
    <w:rsid w:val="006D25AB"/>
    <w:rsid w:val="006D261A"/>
    <w:rsid w:val="006D2661"/>
    <w:rsid w:val="006D2BFF"/>
    <w:rsid w:val="006D2C89"/>
    <w:rsid w:val="006D2F58"/>
    <w:rsid w:val="006D3247"/>
    <w:rsid w:val="006D328B"/>
    <w:rsid w:val="006D32C0"/>
    <w:rsid w:val="006D32F0"/>
    <w:rsid w:val="006D3573"/>
    <w:rsid w:val="006D3620"/>
    <w:rsid w:val="006D3639"/>
    <w:rsid w:val="006D39E2"/>
    <w:rsid w:val="006D39F9"/>
    <w:rsid w:val="006D3B24"/>
    <w:rsid w:val="006D3C3C"/>
    <w:rsid w:val="006D3C6D"/>
    <w:rsid w:val="006D3D35"/>
    <w:rsid w:val="006D41CE"/>
    <w:rsid w:val="006D42BE"/>
    <w:rsid w:val="006D460E"/>
    <w:rsid w:val="006D472A"/>
    <w:rsid w:val="006D47B2"/>
    <w:rsid w:val="006D47CD"/>
    <w:rsid w:val="006D48DA"/>
    <w:rsid w:val="006D4C5E"/>
    <w:rsid w:val="006D4C78"/>
    <w:rsid w:val="006D4CA2"/>
    <w:rsid w:val="006D4D7A"/>
    <w:rsid w:val="006D4DF0"/>
    <w:rsid w:val="006D4DF3"/>
    <w:rsid w:val="006D50C2"/>
    <w:rsid w:val="006D50F6"/>
    <w:rsid w:val="006D5176"/>
    <w:rsid w:val="006D5182"/>
    <w:rsid w:val="006D5201"/>
    <w:rsid w:val="006D5205"/>
    <w:rsid w:val="006D5313"/>
    <w:rsid w:val="006D535C"/>
    <w:rsid w:val="006D54F0"/>
    <w:rsid w:val="006D5510"/>
    <w:rsid w:val="006D5579"/>
    <w:rsid w:val="006D55C0"/>
    <w:rsid w:val="006D56A7"/>
    <w:rsid w:val="006D56F6"/>
    <w:rsid w:val="006D5820"/>
    <w:rsid w:val="006D5857"/>
    <w:rsid w:val="006D5869"/>
    <w:rsid w:val="006D5886"/>
    <w:rsid w:val="006D5945"/>
    <w:rsid w:val="006D5A55"/>
    <w:rsid w:val="006D5C11"/>
    <w:rsid w:val="006D5C2B"/>
    <w:rsid w:val="006D5DE2"/>
    <w:rsid w:val="006D5F9A"/>
    <w:rsid w:val="006D602B"/>
    <w:rsid w:val="006D6281"/>
    <w:rsid w:val="006D6304"/>
    <w:rsid w:val="006D6350"/>
    <w:rsid w:val="006D63EE"/>
    <w:rsid w:val="006D6496"/>
    <w:rsid w:val="006D65B3"/>
    <w:rsid w:val="006D66D4"/>
    <w:rsid w:val="006D6703"/>
    <w:rsid w:val="006D6944"/>
    <w:rsid w:val="006D6989"/>
    <w:rsid w:val="006D69A2"/>
    <w:rsid w:val="006D6BF9"/>
    <w:rsid w:val="006D6D9C"/>
    <w:rsid w:val="006D6D9F"/>
    <w:rsid w:val="006D6E44"/>
    <w:rsid w:val="006D6F24"/>
    <w:rsid w:val="006D73A1"/>
    <w:rsid w:val="006D74E4"/>
    <w:rsid w:val="006D74ED"/>
    <w:rsid w:val="006D759F"/>
    <w:rsid w:val="006D75EF"/>
    <w:rsid w:val="006D76C4"/>
    <w:rsid w:val="006D7788"/>
    <w:rsid w:val="006D779D"/>
    <w:rsid w:val="006D787B"/>
    <w:rsid w:val="006D78EB"/>
    <w:rsid w:val="006D7A8A"/>
    <w:rsid w:val="006D7AE9"/>
    <w:rsid w:val="006D7C6D"/>
    <w:rsid w:val="006D7D83"/>
    <w:rsid w:val="006D7F14"/>
    <w:rsid w:val="006D7F5B"/>
    <w:rsid w:val="006E005B"/>
    <w:rsid w:val="006E0153"/>
    <w:rsid w:val="006E047C"/>
    <w:rsid w:val="006E058C"/>
    <w:rsid w:val="006E0779"/>
    <w:rsid w:val="006E0851"/>
    <w:rsid w:val="006E0922"/>
    <w:rsid w:val="006E0969"/>
    <w:rsid w:val="006E096E"/>
    <w:rsid w:val="006E09E0"/>
    <w:rsid w:val="006E0B0D"/>
    <w:rsid w:val="006E0E49"/>
    <w:rsid w:val="006E0ED9"/>
    <w:rsid w:val="006E0EF4"/>
    <w:rsid w:val="006E0F5D"/>
    <w:rsid w:val="006E0FA4"/>
    <w:rsid w:val="006E10C2"/>
    <w:rsid w:val="006E12B3"/>
    <w:rsid w:val="006E1372"/>
    <w:rsid w:val="006E13A6"/>
    <w:rsid w:val="006E13C3"/>
    <w:rsid w:val="006E1454"/>
    <w:rsid w:val="006E14AC"/>
    <w:rsid w:val="006E1612"/>
    <w:rsid w:val="006E1629"/>
    <w:rsid w:val="006E16D5"/>
    <w:rsid w:val="006E16F2"/>
    <w:rsid w:val="006E18CE"/>
    <w:rsid w:val="006E19B6"/>
    <w:rsid w:val="006E1A4D"/>
    <w:rsid w:val="006E1B1C"/>
    <w:rsid w:val="006E1EA7"/>
    <w:rsid w:val="006E1F5F"/>
    <w:rsid w:val="006E2008"/>
    <w:rsid w:val="006E210C"/>
    <w:rsid w:val="006E23D7"/>
    <w:rsid w:val="006E2427"/>
    <w:rsid w:val="006E2429"/>
    <w:rsid w:val="006E2596"/>
    <w:rsid w:val="006E2656"/>
    <w:rsid w:val="006E2673"/>
    <w:rsid w:val="006E27B9"/>
    <w:rsid w:val="006E28FE"/>
    <w:rsid w:val="006E28FF"/>
    <w:rsid w:val="006E2A9F"/>
    <w:rsid w:val="006E2BB3"/>
    <w:rsid w:val="006E2CF7"/>
    <w:rsid w:val="006E2EE6"/>
    <w:rsid w:val="006E3123"/>
    <w:rsid w:val="006E3294"/>
    <w:rsid w:val="006E34F0"/>
    <w:rsid w:val="006E36CE"/>
    <w:rsid w:val="006E377F"/>
    <w:rsid w:val="006E3848"/>
    <w:rsid w:val="006E388A"/>
    <w:rsid w:val="006E388B"/>
    <w:rsid w:val="006E38A2"/>
    <w:rsid w:val="006E399C"/>
    <w:rsid w:val="006E3B7F"/>
    <w:rsid w:val="006E3D01"/>
    <w:rsid w:val="006E3D39"/>
    <w:rsid w:val="006E3DA2"/>
    <w:rsid w:val="006E3DA4"/>
    <w:rsid w:val="006E3DDE"/>
    <w:rsid w:val="006E3DFF"/>
    <w:rsid w:val="006E3E4D"/>
    <w:rsid w:val="006E3EF1"/>
    <w:rsid w:val="006E4021"/>
    <w:rsid w:val="006E402D"/>
    <w:rsid w:val="006E418B"/>
    <w:rsid w:val="006E42CD"/>
    <w:rsid w:val="006E42E5"/>
    <w:rsid w:val="006E4380"/>
    <w:rsid w:val="006E4451"/>
    <w:rsid w:val="006E4524"/>
    <w:rsid w:val="006E4654"/>
    <w:rsid w:val="006E4690"/>
    <w:rsid w:val="006E4724"/>
    <w:rsid w:val="006E4761"/>
    <w:rsid w:val="006E477E"/>
    <w:rsid w:val="006E48EE"/>
    <w:rsid w:val="006E4A13"/>
    <w:rsid w:val="006E4A43"/>
    <w:rsid w:val="006E4B4C"/>
    <w:rsid w:val="006E4B79"/>
    <w:rsid w:val="006E4DF7"/>
    <w:rsid w:val="006E503E"/>
    <w:rsid w:val="006E50E1"/>
    <w:rsid w:val="006E5147"/>
    <w:rsid w:val="006E5159"/>
    <w:rsid w:val="006E5269"/>
    <w:rsid w:val="006E5337"/>
    <w:rsid w:val="006E53AE"/>
    <w:rsid w:val="006E53CF"/>
    <w:rsid w:val="006E5523"/>
    <w:rsid w:val="006E568F"/>
    <w:rsid w:val="006E56C8"/>
    <w:rsid w:val="006E5720"/>
    <w:rsid w:val="006E5934"/>
    <w:rsid w:val="006E5B76"/>
    <w:rsid w:val="006E5BC2"/>
    <w:rsid w:val="006E5D5F"/>
    <w:rsid w:val="006E5D74"/>
    <w:rsid w:val="006E5DDC"/>
    <w:rsid w:val="006E5F40"/>
    <w:rsid w:val="006E5F44"/>
    <w:rsid w:val="006E60AD"/>
    <w:rsid w:val="006E6197"/>
    <w:rsid w:val="006E63D1"/>
    <w:rsid w:val="006E6579"/>
    <w:rsid w:val="006E65AD"/>
    <w:rsid w:val="006E660D"/>
    <w:rsid w:val="006E6640"/>
    <w:rsid w:val="006E66D9"/>
    <w:rsid w:val="006E6779"/>
    <w:rsid w:val="006E677B"/>
    <w:rsid w:val="006E6AE1"/>
    <w:rsid w:val="006E6BC2"/>
    <w:rsid w:val="006E6CD0"/>
    <w:rsid w:val="006E6CE7"/>
    <w:rsid w:val="006E72E5"/>
    <w:rsid w:val="006E72F6"/>
    <w:rsid w:val="006E7329"/>
    <w:rsid w:val="006E73E6"/>
    <w:rsid w:val="006E744A"/>
    <w:rsid w:val="006E77A5"/>
    <w:rsid w:val="006E77BB"/>
    <w:rsid w:val="006E780C"/>
    <w:rsid w:val="006E7BD2"/>
    <w:rsid w:val="006E7C48"/>
    <w:rsid w:val="006E7C57"/>
    <w:rsid w:val="006E7D39"/>
    <w:rsid w:val="006E7DA9"/>
    <w:rsid w:val="006E7EF3"/>
    <w:rsid w:val="006E7FB6"/>
    <w:rsid w:val="006F020F"/>
    <w:rsid w:val="006F061C"/>
    <w:rsid w:val="006F0800"/>
    <w:rsid w:val="006F0840"/>
    <w:rsid w:val="006F0844"/>
    <w:rsid w:val="006F08FA"/>
    <w:rsid w:val="006F09B8"/>
    <w:rsid w:val="006F0A30"/>
    <w:rsid w:val="006F0AFF"/>
    <w:rsid w:val="006F0B09"/>
    <w:rsid w:val="006F0C2D"/>
    <w:rsid w:val="006F0C3D"/>
    <w:rsid w:val="006F0CB6"/>
    <w:rsid w:val="006F0CFB"/>
    <w:rsid w:val="006F0F0B"/>
    <w:rsid w:val="006F0F52"/>
    <w:rsid w:val="006F1024"/>
    <w:rsid w:val="006F129F"/>
    <w:rsid w:val="006F1339"/>
    <w:rsid w:val="006F13E0"/>
    <w:rsid w:val="006F1488"/>
    <w:rsid w:val="006F14CC"/>
    <w:rsid w:val="006F161F"/>
    <w:rsid w:val="006F1640"/>
    <w:rsid w:val="006F167B"/>
    <w:rsid w:val="006F16E0"/>
    <w:rsid w:val="006F1C1B"/>
    <w:rsid w:val="006F1C2B"/>
    <w:rsid w:val="006F1C6C"/>
    <w:rsid w:val="006F1F36"/>
    <w:rsid w:val="006F1FBF"/>
    <w:rsid w:val="006F23E8"/>
    <w:rsid w:val="006F2536"/>
    <w:rsid w:val="006F25C8"/>
    <w:rsid w:val="006F26B4"/>
    <w:rsid w:val="006F26FB"/>
    <w:rsid w:val="006F28C5"/>
    <w:rsid w:val="006F28CF"/>
    <w:rsid w:val="006F2A0D"/>
    <w:rsid w:val="006F2A6B"/>
    <w:rsid w:val="006F2ADF"/>
    <w:rsid w:val="006F2BE5"/>
    <w:rsid w:val="006F2CD8"/>
    <w:rsid w:val="006F2CE9"/>
    <w:rsid w:val="006F2D0A"/>
    <w:rsid w:val="006F2D32"/>
    <w:rsid w:val="006F2D39"/>
    <w:rsid w:val="006F2D3C"/>
    <w:rsid w:val="006F2D4A"/>
    <w:rsid w:val="006F2D7F"/>
    <w:rsid w:val="006F2F8A"/>
    <w:rsid w:val="006F3171"/>
    <w:rsid w:val="006F319D"/>
    <w:rsid w:val="006F31A8"/>
    <w:rsid w:val="006F32E8"/>
    <w:rsid w:val="006F32EA"/>
    <w:rsid w:val="006F331C"/>
    <w:rsid w:val="006F33AC"/>
    <w:rsid w:val="006F3549"/>
    <w:rsid w:val="006F3557"/>
    <w:rsid w:val="006F35A0"/>
    <w:rsid w:val="006F369B"/>
    <w:rsid w:val="006F3920"/>
    <w:rsid w:val="006F3A43"/>
    <w:rsid w:val="006F3ABE"/>
    <w:rsid w:val="006F3B4C"/>
    <w:rsid w:val="006F3BE9"/>
    <w:rsid w:val="006F3C1F"/>
    <w:rsid w:val="006F3C53"/>
    <w:rsid w:val="006F3D59"/>
    <w:rsid w:val="006F4031"/>
    <w:rsid w:val="006F408D"/>
    <w:rsid w:val="006F4146"/>
    <w:rsid w:val="006F41A0"/>
    <w:rsid w:val="006F41E7"/>
    <w:rsid w:val="006F41F0"/>
    <w:rsid w:val="006F427C"/>
    <w:rsid w:val="006F443C"/>
    <w:rsid w:val="006F446B"/>
    <w:rsid w:val="006F45A4"/>
    <w:rsid w:val="006F46DD"/>
    <w:rsid w:val="006F474D"/>
    <w:rsid w:val="006F4990"/>
    <w:rsid w:val="006F4AB7"/>
    <w:rsid w:val="006F4C65"/>
    <w:rsid w:val="006F4CC6"/>
    <w:rsid w:val="006F4CC9"/>
    <w:rsid w:val="006F4D78"/>
    <w:rsid w:val="006F4DF9"/>
    <w:rsid w:val="006F4F2B"/>
    <w:rsid w:val="006F4F93"/>
    <w:rsid w:val="006F4FB4"/>
    <w:rsid w:val="006F50B1"/>
    <w:rsid w:val="006F5112"/>
    <w:rsid w:val="006F51AF"/>
    <w:rsid w:val="006F5201"/>
    <w:rsid w:val="006F520B"/>
    <w:rsid w:val="006F5503"/>
    <w:rsid w:val="006F55B5"/>
    <w:rsid w:val="006F57BE"/>
    <w:rsid w:val="006F5819"/>
    <w:rsid w:val="006F58BD"/>
    <w:rsid w:val="006F5A4D"/>
    <w:rsid w:val="006F5A7C"/>
    <w:rsid w:val="006F5CC2"/>
    <w:rsid w:val="006F5F38"/>
    <w:rsid w:val="006F607A"/>
    <w:rsid w:val="006F617B"/>
    <w:rsid w:val="006F61BA"/>
    <w:rsid w:val="006F62E5"/>
    <w:rsid w:val="006F6303"/>
    <w:rsid w:val="006F6316"/>
    <w:rsid w:val="006F6494"/>
    <w:rsid w:val="006F65A2"/>
    <w:rsid w:val="006F6611"/>
    <w:rsid w:val="006F6885"/>
    <w:rsid w:val="006F6A24"/>
    <w:rsid w:val="006F6B34"/>
    <w:rsid w:val="006F6C1F"/>
    <w:rsid w:val="006F6C31"/>
    <w:rsid w:val="006F6C50"/>
    <w:rsid w:val="006F6D0E"/>
    <w:rsid w:val="006F6E37"/>
    <w:rsid w:val="006F6E7A"/>
    <w:rsid w:val="006F748E"/>
    <w:rsid w:val="006F74B5"/>
    <w:rsid w:val="006F75E0"/>
    <w:rsid w:val="006F773A"/>
    <w:rsid w:val="006F77C7"/>
    <w:rsid w:val="006F7892"/>
    <w:rsid w:val="006F795C"/>
    <w:rsid w:val="006F7A39"/>
    <w:rsid w:val="006F7A56"/>
    <w:rsid w:val="006F7BD5"/>
    <w:rsid w:val="006F7CAD"/>
    <w:rsid w:val="006F7D3C"/>
    <w:rsid w:val="006F7DEF"/>
    <w:rsid w:val="006F7F32"/>
    <w:rsid w:val="006F7F65"/>
    <w:rsid w:val="0070004D"/>
    <w:rsid w:val="00700127"/>
    <w:rsid w:val="00700224"/>
    <w:rsid w:val="0070044D"/>
    <w:rsid w:val="00700512"/>
    <w:rsid w:val="00700684"/>
    <w:rsid w:val="0070080E"/>
    <w:rsid w:val="00700A8B"/>
    <w:rsid w:val="00700CF2"/>
    <w:rsid w:val="00700EFD"/>
    <w:rsid w:val="00700F78"/>
    <w:rsid w:val="00700FB1"/>
    <w:rsid w:val="0070109A"/>
    <w:rsid w:val="00701112"/>
    <w:rsid w:val="007011B7"/>
    <w:rsid w:val="007011CB"/>
    <w:rsid w:val="007011CC"/>
    <w:rsid w:val="007011E9"/>
    <w:rsid w:val="00701200"/>
    <w:rsid w:val="007012BC"/>
    <w:rsid w:val="007012D2"/>
    <w:rsid w:val="00701341"/>
    <w:rsid w:val="0070148B"/>
    <w:rsid w:val="007014F3"/>
    <w:rsid w:val="0070150E"/>
    <w:rsid w:val="00701538"/>
    <w:rsid w:val="007015FC"/>
    <w:rsid w:val="007016DD"/>
    <w:rsid w:val="00701735"/>
    <w:rsid w:val="0070181E"/>
    <w:rsid w:val="00701A09"/>
    <w:rsid w:val="00701CB0"/>
    <w:rsid w:val="00701CC3"/>
    <w:rsid w:val="00701FC0"/>
    <w:rsid w:val="00702381"/>
    <w:rsid w:val="007024FB"/>
    <w:rsid w:val="00702577"/>
    <w:rsid w:val="00702682"/>
    <w:rsid w:val="007026DB"/>
    <w:rsid w:val="007027DD"/>
    <w:rsid w:val="007028A1"/>
    <w:rsid w:val="007029AA"/>
    <w:rsid w:val="00702BA5"/>
    <w:rsid w:val="00702E68"/>
    <w:rsid w:val="00702F8D"/>
    <w:rsid w:val="00703015"/>
    <w:rsid w:val="00703077"/>
    <w:rsid w:val="007030CB"/>
    <w:rsid w:val="00703139"/>
    <w:rsid w:val="00703238"/>
    <w:rsid w:val="00703253"/>
    <w:rsid w:val="0070327C"/>
    <w:rsid w:val="007032EF"/>
    <w:rsid w:val="00703340"/>
    <w:rsid w:val="0070381D"/>
    <w:rsid w:val="00703D41"/>
    <w:rsid w:val="00703F05"/>
    <w:rsid w:val="0070411E"/>
    <w:rsid w:val="007043D6"/>
    <w:rsid w:val="007043EC"/>
    <w:rsid w:val="00704437"/>
    <w:rsid w:val="0070444B"/>
    <w:rsid w:val="007045E0"/>
    <w:rsid w:val="00704683"/>
    <w:rsid w:val="00704788"/>
    <w:rsid w:val="007047A6"/>
    <w:rsid w:val="00704904"/>
    <w:rsid w:val="00704958"/>
    <w:rsid w:val="00704B8B"/>
    <w:rsid w:val="00704C5B"/>
    <w:rsid w:val="00704C73"/>
    <w:rsid w:val="00705003"/>
    <w:rsid w:val="00705062"/>
    <w:rsid w:val="00705160"/>
    <w:rsid w:val="007051DD"/>
    <w:rsid w:val="00705212"/>
    <w:rsid w:val="007054D0"/>
    <w:rsid w:val="007055E4"/>
    <w:rsid w:val="00705728"/>
    <w:rsid w:val="00705806"/>
    <w:rsid w:val="007059E5"/>
    <w:rsid w:val="00705A14"/>
    <w:rsid w:val="00705B22"/>
    <w:rsid w:val="00705B52"/>
    <w:rsid w:val="00705D8C"/>
    <w:rsid w:val="00705DB8"/>
    <w:rsid w:val="00705F50"/>
    <w:rsid w:val="007060DD"/>
    <w:rsid w:val="00706257"/>
    <w:rsid w:val="0070625C"/>
    <w:rsid w:val="00706316"/>
    <w:rsid w:val="0070644E"/>
    <w:rsid w:val="00706513"/>
    <w:rsid w:val="0070669C"/>
    <w:rsid w:val="007066A4"/>
    <w:rsid w:val="007066F3"/>
    <w:rsid w:val="00706722"/>
    <w:rsid w:val="00706737"/>
    <w:rsid w:val="0070676E"/>
    <w:rsid w:val="00706929"/>
    <w:rsid w:val="00706AAA"/>
    <w:rsid w:val="00706C0A"/>
    <w:rsid w:val="00706C8C"/>
    <w:rsid w:val="00706DC0"/>
    <w:rsid w:val="00707207"/>
    <w:rsid w:val="0070736A"/>
    <w:rsid w:val="0070746A"/>
    <w:rsid w:val="0070748A"/>
    <w:rsid w:val="0070765C"/>
    <w:rsid w:val="00707669"/>
    <w:rsid w:val="007076A2"/>
    <w:rsid w:val="007077E0"/>
    <w:rsid w:val="00707A4C"/>
    <w:rsid w:val="00707A82"/>
    <w:rsid w:val="00707A98"/>
    <w:rsid w:val="00707AF2"/>
    <w:rsid w:val="00707D71"/>
    <w:rsid w:val="00707DED"/>
    <w:rsid w:val="00707E5B"/>
    <w:rsid w:val="00707FE1"/>
    <w:rsid w:val="007100F1"/>
    <w:rsid w:val="00710207"/>
    <w:rsid w:val="0071025E"/>
    <w:rsid w:val="00710278"/>
    <w:rsid w:val="00710349"/>
    <w:rsid w:val="0071035A"/>
    <w:rsid w:val="0071049B"/>
    <w:rsid w:val="00710559"/>
    <w:rsid w:val="00710906"/>
    <w:rsid w:val="007109B1"/>
    <w:rsid w:val="00710C5A"/>
    <w:rsid w:val="00710D28"/>
    <w:rsid w:val="00710E62"/>
    <w:rsid w:val="007111FA"/>
    <w:rsid w:val="007112EE"/>
    <w:rsid w:val="00711394"/>
    <w:rsid w:val="00711412"/>
    <w:rsid w:val="007115AD"/>
    <w:rsid w:val="007115E1"/>
    <w:rsid w:val="0071168E"/>
    <w:rsid w:val="007116F3"/>
    <w:rsid w:val="00711738"/>
    <w:rsid w:val="0071179B"/>
    <w:rsid w:val="007119E6"/>
    <w:rsid w:val="00711B0B"/>
    <w:rsid w:val="00711B12"/>
    <w:rsid w:val="00711BCA"/>
    <w:rsid w:val="00711C2C"/>
    <w:rsid w:val="00711C71"/>
    <w:rsid w:val="00711D57"/>
    <w:rsid w:val="00711E71"/>
    <w:rsid w:val="00711FC5"/>
    <w:rsid w:val="00711FCF"/>
    <w:rsid w:val="007120C9"/>
    <w:rsid w:val="00712151"/>
    <w:rsid w:val="007123AE"/>
    <w:rsid w:val="007123FC"/>
    <w:rsid w:val="00712408"/>
    <w:rsid w:val="007126CF"/>
    <w:rsid w:val="0071297C"/>
    <w:rsid w:val="00712ACA"/>
    <w:rsid w:val="00712B0A"/>
    <w:rsid w:val="00712B55"/>
    <w:rsid w:val="00712B57"/>
    <w:rsid w:val="00712BD8"/>
    <w:rsid w:val="00712C58"/>
    <w:rsid w:val="00712D77"/>
    <w:rsid w:val="00712F0A"/>
    <w:rsid w:val="00712F6D"/>
    <w:rsid w:val="00712FDD"/>
    <w:rsid w:val="00713225"/>
    <w:rsid w:val="00713230"/>
    <w:rsid w:val="007132FC"/>
    <w:rsid w:val="00713406"/>
    <w:rsid w:val="0071379A"/>
    <w:rsid w:val="007137A5"/>
    <w:rsid w:val="00713967"/>
    <w:rsid w:val="00713AD3"/>
    <w:rsid w:val="00713B79"/>
    <w:rsid w:val="00713BB3"/>
    <w:rsid w:val="00713D19"/>
    <w:rsid w:val="00713DE4"/>
    <w:rsid w:val="00713F2E"/>
    <w:rsid w:val="00713F6C"/>
    <w:rsid w:val="007140E8"/>
    <w:rsid w:val="007141F4"/>
    <w:rsid w:val="00714287"/>
    <w:rsid w:val="007142EB"/>
    <w:rsid w:val="007144CF"/>
    <w:rsid w:val="0071451E"/>
    <w:rsid w:val="00714641"/>
    <w:rsid w:val="007146F2"/>
    <w:rsid w:val="00714765"/>
    <w:rsid w:val="00714959"/>
    <w:rsid w:val="0071496C"/>
    <w:rsid w:val="00714972"/>
    <w:rsid w:val="00714989"/>
    <w:rsid w:val="007149A3"/>
    <w:rsid w:val="00714B51"/>
    <w:rsid w:val="00714BBE"/>
    <w:rsid w:val="00714D37"/>
    <w:rsid w:val="00714F97"/>
    <w:rsid w:val="00715162"/>
    <w:rsid w:val="0071529D"/>
    <w:rsid w:val="0071548F"/>
    <w:rsid w:val="00715703"/>
    <w:rsid w:val="00715751"/>
    <w:rsid w:val="00715791"/>
    <w:rsid w:val="00715A23"/>
    <w:rsid w:val="00715B78"/>
    <w:rsid w:val="00715EFF"/>
    <w:rsid w:val="00715F7B"/>
    <w:rsid w:val="00715FF6"/>
    <w:rsid w:val="007161A4"/>
    <w:rsid w:val="00716269"/>
    <w:rsid w:val="00716339"/>
    <w:rsid w:val="00716531"/>
    <w:rsid w:val="00716710"/>
    <w:rsid w:val="007167A0"/>
    <w:rsid w:val="0071682C"/>
    <w:rsid w:val="007169A2"/>
    <w:rsid w:val="007169AF"/>
    <w:rsid w:val="00716BEA"/>
    <w:rsid w:val="00716FE6"/>
    <w:rsid w:val="00717029"/>
    <w:rsid w:val="0071717E"/>
    <w:rsid w:val="007171E9"/>
    <w:rsid w:val="00717342"/>
    <w:rsid w:val="007173B4"/>
    <w:rsid w:val="007175A7"/>
    <w:rsid w:val="0071779C"/>
    <w:rsid w:val="00717862"/>
    <w:rsid w:val="00717A16"/>
    <w:rsid w:val="00717B3A"/>
    <w:rsid w:val="00717B3E"/>
    <w:rsid w:val="00717CC0"/>
    <w:rsid w:val="00717D49"/>
    <w:rsid w:val="00720074"/>
    <w:rsid w:val="007200BE"/>
    <w:rsid w:val="00720160"/>
    <w:rsid w:val="00720232"/>
    <w:rsid w:val="0072031B"/>
    <w:rsid w:val="0072039B"/>
    <w:rsid w:val="007205E1"/>
    <w:rsid w:val="007207D4"/>
    <w:rsid w:val="007207FC"/>
    <w:rsid w:val="00720816"/>
    <w:rsid w:val="0072088C"/>
    <w:rsid w:val="0072095F"/>
    <w:rsid w:val="00720A3C"/>
    <w:rsid w:val="00720A8C"/>
    <w:rsid w:val="00720ADA"/>
    <w:rsid w:val="00720BEB"/>
    <w:rsid w:val="00720C1A"/>
    <w:rsid w:val="00720C90"/>
    <w:rsid w:val="00720F14"/>
    <w:rsid w:val="00720F39"/>
    <w:rsid w:val="00720FDD"/>
    <w:rsid w:val="0072104C"/>
    <w:rsid w:val="0072108E"/>
    <w:rsid w:val="007210C0"/>
    <w:rsid w:val="007211B7"/>
    <w:rsid w:val="00721223"/>
    <w:rsid w:val="00721226"/>
    <w:rsid w:val="0072129B"/>
    <w:rsid w:val="007212EE"/>
    <w:rsid w:val="0072154D"/>
    <w:rsid w:val="007215C3"/>
    <w:rsid w:val="007215E5"/>
    <w:rsid w:val="00721650"/>
    <w:rsid w:val="007216B7"/>
    <w:rsid w:val="00721767"/>
    <w:rsid w:val="00721826"/>
    <w:rsid w:val="00721860"/>
    <w:rsid w:val="007219EF"/>
    <w:rsid w:val="00721A20"/>
    <w:rsid w:val="00721B34"/>
    <w:rsid w:val="00721BEA"/>
    <w:rsid w:val="00721C77"/>
    <w:rsid w:val="00721D93"/>
    <w:rsid w:val="0072209E"/>
    <w:rsid w:val="00722325"/>
    <w:rsid w:val="007223D1"/>
    <w:rsid w:val="007223ED"/>
    <w:rsid w:val="00722569"/>
    <w:rsid w:val="00722986"/>
    <w:rsid w:val="0072299A"/>
    <w:rsid w:val="00722AC1"/>
    <w:rsid w:val="00722B41"/>
    <w:rsid w:val="00722B4C"/>
    <w:rsid w:val="00722B70"/>
    <w:rsid w:val="00722D6F"/>
    <w:rsid w:val="00722DDA"/>
    <w:rsid w:val="00722DE9"/>
    <w:rsid w:val="00722ED1"/>
    <w:rsid w:val="00723062"/>
    <w:rsid w:val="007230B1"/>
    <w:rsid w:val="00723176"/>
    <w:rsid w:val="007231DD"/>
    <w:rsid w:val="0072326D"/>
    <w:rsid w:val="0072343E"/>
    <w:rsid w:val="00723669"/>
    <w:rsid w:val="00723770"/>
    <w:rsid w:val="00723AAC"/>
    <w:rsid w:val="00723BC6"/>
    <w:rsid w:val="007240C7"/>
    <w:rsid w:val="0072411C"/>
    <w:rsid w:val="007241BE"/>
    <w:rsid w:val="0072421D"/>
    <w:rsid w:val="0072439D"/>
    <w:rsid w:val="007243A0"/>
    <w:rsid w:val="0072442D"/>
    <w:rsid w:val="00724773"/>
    <w:rsid w:val="00724786"/>
    <w:rsid w:val="00724AFA"/>
    <w:rsid w:val="00724B67"/>
    <w:rsid w:val="00724B92"/>
    <w:rsid w:val="00724D03"/>
    <w:rsid w:val="00724FB7"/>
    <w:rsid w:val="00724FF2"/>
    <w:rsid w:val="0072512A"/>
    <w:rsid w:val="0072526D"/>
    <w:rsid w:val="0072534C"/>
    <w:rsid w:val="00725356"/>
    <w:rsid w:val="007253EF"/>
    <w:rsid w:val="007254B3"/>
    <w:rsid w:val="00725614"/>
    <w:rsid w:val="00725645"/>
    <w:rsid w:val="007256DE"/>
    <w:rsid w:val="00725966"/>
    <w:rsid w:val="00725A9A"/>
    <w:rsid w:val="00725B35"/>
    <w:rsid w:val="00725B9D"/>
    <w:rsid w:val="00725BF4"/>
    <w:rsid w:val="00725CAB"/>
    <w:rsid w:val="00725EAE"/>
    <w:rsid w:val="00725FD9"/>
    <w:rsid w:val="007260C0"/>
    <w:rsid w:val="007260EF"/>
    <w:rsid w:val="0072611B"/>
    <w:rsid w:val="007261CF"/>
    <w:rsid w:val="007262B1"/>
    <w:rsid w:val="007262B9"/>
    <w:rsid w:val="007262F5"/>
    <w:rsid w:val="00726384"/>
    <w:rsid w:val="007264B1"/>
    <w:rsid w:val="00726809"/>
    <w:rsid w:val="00726B85"/>
    <w:rsid w:val="00726C80"/>
    <w:rsid w:val="00726C9E"/>
    <w:rsid w:val="00726DA6"/>
    <w:rsid w:val="00726E62"/>
    <w:rsid w:val="00726ECE"/>
    <w:rsid w:val="00726F11"/>
    <w:rsid w:val="00726FDC"/>
    <w:rsid w:val="00727458"/>
    <w:rsid w:val="007274BD"/>
    <w:rsid w:val="00727529"/>
    <w:rsid w:val="0072758D"/>
    <w:rsid w:val="0072759B"/>
    <w:rsid w:val="00727661"/>
    <w:rsid w:val="007277EB"/>
    <w:rsid w:val="00727930"/>
    <w:rsid w:val="00727A88"/>
    <w:rsid w:val="00727AAD"/>
    <w:rsid w:val="00727B44"/>
    <w:rsid w:val="00727B8D"/>
    <w:rsid w:val="00727E0C"/>
    <w:rsid w:val="00727EBB"/>
    <w:rsid w:val="00727F1E"/>
    <w:rsid w:val="00730050"/>
    <w:rsid w:val="0073009A"/>
    <w:rsid w:val="007300CD"/>
    <w:rsid w:val="00730111"/>
    <w:rsid w:val="0073015B"/>
    <w:rsid w:val="0073072C"/>
    <w:rsid w:val="00730909"/>
    <w:rsid w:val="00730B19"/>
    <w:rsid w:val="00730B97"/>
    <w:rsid w:val="00730BAB"/>
    <w:rsid w:val="00730CBE"/>
    <w:rsid w:val="00730DC9"/>
    <w:rsid w:val="00730EED"/>
    <w:rsid w:val="00730F2A"/>
    <w:rsid w:val="00731035"/>
    <w:rsid w:val="00731040"/>
    <w:rsid w:val="0073120B"/>
    <w:rsid w:val="007312FF"/>
    <w:rsid w:val="0073130B"/>
    <w:rsid w:val="00731393"/>
    <w:rsid w:val="007313AA"/>
    <w:rsid w:val="00731498"/>
    <w:rsid w:val="0073155A"/>
    <w:rsid w:val="00731582"/>
    <w:rsid w:val="00731650"/>
    <w:rsid w:val="00731769"/>
    <w:rsid w:val="0073178D"/>
    <w:rsid w:val="0073180A"/>
    <w:rsid w:val="0073193F"/>
    <w:rsid w:val="00731952"/>
    <w:rsid w:val="007319F8"/>
    <w:rsid w:val="00731A18"/>
    <w:rsid w:val="00731E0E"/>
    <w:rsid w:val="00731EE6"/>
    <w:rsid w:val="00731FBE"/>
    <w:rsid w:val="00732085"/>
    <w:rsid w:val="0073211A"/>
    <w:rsid w:val="007321DB"/>
    <w:rsid w:val="007322BA"/>
    <w:rsid w:val="0073233E"/>
    <w:rsid w:val="007323B8"/>
    <w:rsid w:val="007323FC"/>
    <w:rsid w:val="007325A2"/>
    <w:rsid w:val="0073271E"/>
    <w:rsid w:val="007328FB"/>
    <w:rsid w:val="00732946"/>
    <w:rsid w:val="007329C0"/>
    <w:rsid w:val="007329DB"/>
    <w:rsid w:val="00732C0D"/>
    <w:rsid w:val="00732C26"/>
    <w:rsid w:val="00732C2F"/>
    <w:rsid w:val="00732CD5"/>
    <w:rsid w:val="00732D33"/>
    <w:rsid w:val="00732D69"/>
    <w:rsid w:val="00732D7D"/>
    <w:rsid w:val="00733081"/>
    <w:rsid w:val="007330A7"/>
    <w:rsid w:val="00733178"/>
    <w:rsid w:val="00733185"/>
    <w:rsid w:val="0073347A"/>
    <w:rsid w:val="007334A2"/>
    <w:rsid w:val="007334E5"/>
    <w:rsid w:val="0073356B"/>
    <w:rsid w:val="0073356D"/>
    <w:rsid w:val="0073359C"/>
    <w:rsid w:val="007339EE"/>
    <w:rsid w:val="00733EA0"/>
    <w:rsid w:val="00733EC6"/>
    <w:rsid w:val="0073409D"/>
    <w:rsid w:val="007341F7"/>
    <w:rsid w:val="00734249"/>
    <w:rsid w:val="0073425F"/>
    <w:rsid w:val="0073428F"/>
    <w:rsid w:val="007343A9"/>
    <w:rsid w:val="007343D5"/>
    <w:rsid w:val="007343FC"/>
    <w:rsid w:val="00734420"/>
    <w:rsid w:val="00734437"/>
    <w:rsid w:val="00734486"/>
    <w:rsid w:val="007346C4"/>
    <w:rsid w:val="00734739"/>
    <w:rsid w:val="00734AEF"/>
    <w:rsid w:val="00734C48"/>
    <w:rsid w:val="00734C5D"/>
    <w:rsid w:val="00734D16"/>
    <w:rsid w:val="00734D69"/>
    <w:rsid w:val="00734D6F"/>
    <w:rsid w:val="00734E23"/>
    <w:rsid w:val="00734F40"/>
    <w:rsid w:val="00734FA3"/>
    <w:rsid w:val="00735025"/>
    <w:rsid w:val="007350AA"/>
    <w:rsid w:val="0073517A"/>
    <w:rsid w:val="007354BE"/>
    <w:rsid w:val="007354EF"/>
    <w:rsid w:val="00735503"/>
    <w:rsid w:val="007355A6"/>
    <w:rsid w:val="007356B4"/>
    <w:rsid w:val="007358A3"/>
    <w:rsid w:val="00735B54"/>
    <w:rsid w:val="00735C36"/>
    <w:rsid w:val="00735D0A"/>
    <w:rsid w:val="00735E23"/>
    <w:rsid w:val="00735E5A"/>
    <w:rsid w:val="00735F43"/>
    <w:rsid w:val="00735FD7"/>
    <w:rsid w:val="00735FDC"/>
    <w:rsid w:val="00736082"/>
    <w:rsid w:val="007364B8"/>
    <w:rsid w:val="0073650D"/>
    <w:rsid w:val="00736675"/>
    <w:rsid w:val="00736731"/>
    <w:rsid w:val="0073676A"/>
    <w:rsid w:val="007368D0"/>
    <w:rsid w:val="00736915"/>
    <w:rsid w:val="007369E0"/>
    <w:rsid w:val="00736DA3"/>
    <w:rsid w:val="00736E5C"/>
    <w:rsid w:val="00736F46"/>
    <w:rsid w:val="007371C6"/>
    <w:rsid w:val="007371D7"/>
    <w:rsid w:val="00737486"/>
    <w:rsid w:val="00737503"/>
    <w:rsid w:val="007376E8"/>
    <w:rsid w:val="007376E9"/>
    <w:rsid w:val="007376FE"/>
    <w:rsid w:val="0073777F"/>
    <w:rsid w:val="0073793F"/>
    <w:rsid w:val="00737A93"/>
    <w:rsid w:val="00737ACB"/>
    <w:rsid w:val="00737AEA"/>
    <w:rsid w:val="00737B17"/>
    <w:rsid w:val="00737BFB"/>
    <w:rsid w:val="00737C93"/>
    <w:rsid w:val="00737DB2"/>
    <w:rsid w:val="00737E19"/>
    <w:rsid w:val="00737F87"/>
    <w:rsid w:val="0074024C"/>
    <w:rsid w:val="00740363"/>
    <w:rsid w:val="00740368"/>
    <w:rsid w:val="00740410"/>
    <w:rsid w:val="0074059A"/>
    <w:rsid w:val="0074067C"/>
    <w:rsid w:val="0074070E"/>
    <w:rsid w:val="00740763"/>
    <w:rsid w:val="00740798"/>
    <w:rsid w:val="00740801"/>
    <w:rsid w:val="00740A71"/>
    <w:rsid w:val="00740AB4"/>
    <w:rsid w:val="00740C8A"/>
    <w:rsid w:val="00740E94"/>
    <w:rsid w:val="00740FA6"/>
    <w:rsid w:val="0074104C"/>
    <w:rsid w:val="00741167"/>
    <w:rsid w:val="0074146C"/>
    <w:rsid w:val="0074147D"/>
    <w:rsid w:val="0074151C"/>
    <w:rsid w:val="0074162A"/>
    <w:rsid w:val="00741655"/>
    <w:rsid w:val="00741706"/>
    <w:rsid w:val="0074186C"/>
    <w:rsid w:val="00741953"/>
    <w:rsid w:val="007419A5"/>
    <w:rsid w:val="00741A31"/>
    <w:rsid w:val="00741BB8"/>
    <w:rsid w:val="00741C93"/>
    <w:rsid w:val="00741DEA"/>
    <w:rsid w:val="00741F79"/>
    <w:rsid w:val="00741F80"/>
    <w:rsid w:val="00742000"/>
    <w:rsid w:val="0074207E"/>
    <w:rsid w:val="007420C7"/>
    <w:rsid w:val="00742141"/>
    <w:rsid w:val="0074221B"/>
    <w:rsid w:val="0074223A"/>
    <w:rsid w:val="00742327"/>
    <w:rsid w:val="0074234F"/>
    <w:rsid w:val="007423F0"/>
    <w:rsid w:val="00742421"/>
    <w:rsid w:val="00742530"/>
    <w:rsid w:val="00742532"/>
    <w:rsid w:val="0074258A"/>
    <w:rsid w:val="00742648"/>
    <w:rsid w:val="00742A06"/>
    <w:rsid w:val="00742C15"/>
    <w:rsid w:val="00742C75"/>
    <w:rsid w:val="00742D2F"/>
    <w:rsid w:val="00742E2C"/>
    <w:rsid w:val="00742EB0"/>
    <w:rsid w:val="00743047"/>
    <w:rsid w:val="00743272"/>
    <w:rsid w:val="0074329F"/>
    <w:rsid w:val="007434FC"/>
    <w:rsid w:val="00743583"/>
    <w:rsid w:val="007435D7"/>
    <w:rsid w:val="0074369F"/>
    <w:rsid w:val="007438E8"/>
    <w:rsid w:val="00743944"/>
    <w:rsid w:val="007439CC"/>
    <w:rsid w:val="00743A20"/>
    <w:rsid w:val="00743ADE"/>
    <w:rsid w:val="00743C80"/>
    <w:rsid w:val="00743CAC"/>
    <w:rsid w:val="00743CC1"/>
    <w:rsid w:val="00743CC3"/>
    <w:rsid w:val="00743D25"/>
    <w:rsid w:val="00743E88"/>
    <w:rsid w:val="00743EDE"/>
    <w:rsid w:val="00743F25"/>
    <w:rsid w:val="00744015"/>
    <w:rsid w:val="00744041"/>
    <w:rsid w:val="00744062"/>
    <w:rsid w:val="007440A3"/>
    <w:rsid w:val="007441C6"/>
    <w:rsid w:val="007442D9"/>
    <w:rsid w:val="007442DB"/>
    <w:rsid w:val="00744354"/>
    <w:rsid w:val="0074436B"/>
    <w:rsid w:val="007444C1"/>
    <w:rsid w:val="0074471D"/>
    <w:rsid w:val="007447DB"/>
    <w:rsid w:val="0074484A"/>
    <w:rsid w:val="007448BB"/>
    <w:rsid w:val="007448F9"/>
    <w:rsid w:val="00744E10"/>
    <w:rsid w:val="00744E69"/>
    <w:rsid w:val="00744EBB"/>
    <w:rsid w:val="00744F80"/>
    <w:rsid w:val="00744F8E"/>
    <w:rsid w:val="00744FA2"/>
    <w:rsid w:val="007450A5"/>
    <w:rsid w:val="007452A5"/>
    <w:rsid w:val="007453BE"/>
    <w:rsid w:val="007453BF"/>
    <w:rsid w:val="007453E9"/>
    <w:rsid w:val="0074548B"/>
    <w:rsid w:val="00745652"/>
    <w:rsid w:val="00745687"/>
    <w:rsid w:val="00745714"/>
    <w:rsid w:val="007458D5"/>
    <w:rsid w:val="00745A70"/>
    <w:rsid w:val="00745AA2"/>
    <w:rsid w:val="00745AC4"/>
    <w:rsid w:val="00745BA3"/>
    <w:rsid w:val="00745BF6"/>
    <w:rsid w:val="00745C3E"/>
    <w:rsid w:val="00745C6D"/>
    <w:rsid w:val="00745C92"/>
    <w:rsid w:val="00745CB9"/>
    <w:rsid w:val="00745CD4"/>
    <w:rsid w:val="00745E63"/>
    <w:rsid w:val="00745E8D"/>
    <w:rsid w:val="00746045"/>
    <w:rsid w:val="007460DA"/>
    <w:rsid w:val="007461BE"/>
    <w:rsid w:val="00746977"/>
    <w:rsid w:val="0074697D"/>
    <w:rsid w:val="00746D03"/>
    <w:rsid w:val="00746E5F"/>
    <w:rsid w:val="0074707D"/>
    <w:rsid w:val="00747126"/>
    <w:rsid w:val="0074712D"/>
    <w:rsid w:val="007471BC"/>
    <w:rsid w:val="007472EC"/>
    <w:rsid w:val="007473DC"/>
    <w:rsid w:val="007474DF"/>
    <w:rsid w:val="007474EA"/>
    <w:rsid w:val="007476A0"/>
    <w:rsid w:val="007477C5"/>
    <w:rsid w:val="007477CD"/>
    <w:rsid w:val="0074780E"/>
    <w:rsid w:val="0074792C"/>
    <w:rsid w:val="00747938"/>
    <w:rsid w:val="007479DB"/>
    <w:rsid w:val="007479DC"/>
    <w:rsid w:val="00747B5D"/>
    <w:rsid w:val="00747D24"/>
    <w:rsid w:val="00747E04"/>
    <w:rsid w:val="00747FBD"/>
    <w:rsid w:val="0075004B"/>
    <w:rsid w:val="00750129"/>
    <w:rsid w:val="00750272"/>
    <w:rsid w:val="0075032C"/>
    <w:rsid w:val="00750344"/>
    <w:rsid w:val="00750399"/>
    <w:rsid w:val="007504B0"/>
    <w:rsid w:val="0075068D"/>
    <w:rsid w:val="00750717"/>
    <w:rsid w:val="00750721"/>
    <w:rsid w:val="00750807"/>
    <w:rsid w:val="007509BA"/>
    <w:rsid w:val="007509C1"/>
    <w:rsid w:val="00750EC3"/>
    <w:rsid w:val="00750FCF"/>
    <w:rsid w:val="00751123"/>
    <w:rsid w:val="007512B3"/>
    <w:rsid w:val="007512E7"/>
    <w:rsid w:val="00751301"/>
    <w:rsid w:val="007513C2"/>
    <w:rsid w:val="00751551"/>
    <w:rsid w:val="00751554"/>
    <w:rsid w:val="00751574"/>
    <w:rsid w:val="007515D1"/>
    <w:rsid w:val="0075168E"/>
    <w:rsid w:val="00751692"/>
    <w:rsid w:val="007516FD"/>
    <w:rsid w:val="007517DA"/>
    <w:rsid w:val="00751827"/>
    <w:rsid w:val="007519D3"/>
    <w:rsid w:val="00751B95"/>
    <w:rsid w:val="00751D02"/>
    <w:rsid w:val="00751D3C"/>
    <w:rsid w:val="00751DF0"/>
    <w:rsid w:val="00751E25"/>
    <w:rsid w:val="00751E4B"/>
    <w:rsid w:val="00751E73"/>
    <w:rsid w:val="00751FE3"/>
    <w:rsid w:val="00752030"/>
    <w:rsid w:val="0075204A"/>
    <w:rsid w:val="00752112"/>
    <w:rsid w:val="007521BC"/>
    <w:rsid w:val="007521C4"/>
    <w:rsid w:val="0075220F"/>
    <w:rsid w:val="0075226C"/>
    <w:rsid w:val="0075232D"/>
    <w:rsid w:val="007525D9"/>
    <w:rsid w:val="0075297F"/>
    <w:rsid w:val="007529B2"/>
    <w:rsid w:val="00752BEB"/>
    <w:rsid w:val="00752D13"/>
    <w:rsid w:val="00752D97"/>
    <w:rsid w:val="00752DB7"/>
    <w:rsid w:val="00752DD8"/>
    <w:rsid w:val="00752E05"/>
    <w:rsid w:val="00753053"/>
    <w:rsid w:val="0075305E"/>
    <w:rsid w:val="0075310F"/>
    <w:rsid w:val="0075312C"/>
    <w:rsid w:val="0075325F"/>
    <w:rsid w:val="007532B6"/>
    <w:rsid w:val="007532FA"/>
    <w:rsid w:val="00753671"/>
    <w:rsid w:val="007536AB"/>
    <w:rsid w:val="007536D5"/>
    <w:rsid w:val="00753757"/>
    <w:rsid w:val="0075377A"/>
    <w:rsid w:val="00753A38"/>
    <w:rsid w:val="00753BDC"/>
    <w:rsid w:val="00753D0A"/>
    <w:rsid w:val="00753EA6"/>
    <w:rsid w:val="00753ED7"/>
    <w:rsid w:val="007541E4"/>
    <w:rsid w:val="00754341"/>
    <w:rsid w:val="00754370"/>
    <w:rsid w:val="00754374"/>
    <w:rsid w:val="007543FC"/>
    <w:rsid w:val="007544D5"/>
    <w:rsid w:val="007545F7"/>
    <w:rsid w:val="0075469A"/>
    <w:rsid w:val="0075481B"/>
    <w:rsid w:val="0075485F"/>
    <w:rsid w:val="00754A90"/>
    <w:rsid w:val="00754B97"/>
    <w:rsid w:val="00754C92"/>
    <w:rsid w:val="00754D81"/>
    <w:rsid w:val="00754F2F"/>
    <w:rsid w:val="00754F9A"/>
    <w:rsid w:val="00754FC2"/>
    <w:rsid w:val="007550C4"/>
    <w:rsid w:val="0075517E"/>
    <w:rsid w:val="0075525D"/>
    <w:rsid w:val="00755260"/>
    <w:rsid w:val="00755372"/>
    <w:rsid w:val="007553A0"/>
    <w:rsid w:val="00755437"/>
    <w:rsid w:val="00755467"/>
    <w:rsid w:val="00755668"/>
    <w:rsid w:val="007556D4"/>
    <w:rsid w:val="00755817"/>
    <w:rsid w:val="007559D2"/>
    <w:rsid w:val="00755A2A"/>
    <w:rsid w:val="00755B12"/>
    <w:rsid w:val="00755D93"/>
    <w:rsid w:val="00755DCB"/>
    <w:rsid w:val="00755E5C"/>
    <w:rsid w:val="00755F15"/>
    <w:rsid w:val="00756184"/>
    <w:rsid w:val="0075618A"/>
    <w:rsid w:val="0075652E"/>
    <w:rsid w:val="00756613"/>
    <w:rsid w:val="00756638"/>
    <w:rsid w:val="0075674D"/>
    <w:rsid w:val="00756A7B"/>
    <w:rsid w:val="00756C1C"/>
    <w:rsid w:val="00756CCC"/>
    <w:rsid w:val="00756DAF"/>
    <w:rsid w:val="00756FF4"/>
    <w:rsid w:val="00757010"/>
    <w:rsid w:val="00757035"/>
    <w:rsid w:val="0075705F"/>
    <w:rsid w:val="00757062"/>
    <w:rsid w:val="00757148"/>
    <w:rsid w:val="00757186"/>
    <w:rsid w:val="007571AB"/>
    <w:rsid w:val="007572C2"/>
    <w:rsid w:val="007574A7"/>
    <w:rsid w:val="00757603"/>
    <w:rsid w:val="007578E1"/>
    <w:rsid w:val="00757A6A"/>
    <w:rsid w:val="00757BDD"/>
    <w:rsid w:val="00757BE2"/>
    <w:rsid w:val="00757C1C"/>
    <w:rsid w:val="00757C43"/>
    <w:rsid w:val="00757CF3"/>
    <w:rsid w:val="00757E44"/>
    <w:rsid w:val="00757F74"/>
    <w:rsid w:val="00757FBE"/>
    <w:rsid w:val="0076003F"/>
    <w:rsid w:val="0076006D"/>
    <w:rsid w:val="007601C8"/>
    <w:rsid w:val="00760427"/>
    <w:rsid w:val="007604BF"/>
    <w:rsid w:val="00760506"/>
    <w:rsid w:val="00760520"/>
    <w:rsid w:val="00760768"/>
    <w:rsid w:val="0076078C"/>
    <w:rsid w:val="0076079E"/>
    <w:rsid w:val="00760896"/>
    <w:rsid w:val="00760A38"/>
    <w:rsid w:val="00760AEF"/>
    <w:rsid w:val="00760B06"/>
    <w:rsid w:val="00760BC5"/>
    <w:rsid w:val="00760BCC"/>
    <w:rsid w:val="00760E4C"/>
    <w:rsid w:val="0076106B"/>
    <w:rsid w:val="0076110F"/>
    <w:rsid w:val="007612F7"/>
    <w:rsid w:val="00761609"/>
    <w:rsid w:val="00761673"/>
    <w:rsid w:val="00761711"/>
    <w:rsid w:val="00761830"/>
    <w:rsid w:val="00761A09"/>
    <w:rsid w:val="00761A7B"/>
    <w:rsid w:val="00761B62"/>
    <w:rsid w:val="00761BDF"/>
    <w:rsid w:val="00761BF3"/>
    <w:rsid w:val="00761C43"/>
    <w:rsid w:val="00761D17"/>
    <w:rsid w:val="00762060"/>
    <w:rsid w:val="00762101"/>
    <w:rsid w:val="007621FF"/>
    <w:rsid w:val="0076233B"/>
    <w:rsid w:val="00762711"/>
    <w:rsid w:val="0076271E"/>
    <w:rsid w:val="007629A2"/>
    <w:rsid w:val="00762A01"/>
    <w:rsid w:val="00762AFB"/>
    <w:rsid w:val="00762BC5"/>
    <w:rsid w:val="00762C24"/>
    <w:rsid w:val="00762C6E"/>
    <w:rsid w:val="00762DFA"/>
    <w:rsid w:val="00762EA3"/>
    <w:rsid w:val="00762F25"/>
    <w:rsid w:val="00762FE6"/>
    <w:rsid w:val="007630F5"/>
    <w:rsid w:val="0076324C"/>
    <w:rsid w:val="00763275"/>
    <w:rsid w:val="00763388"/>
    <w:rsid w:val="0076365E"/>
    <w:rsid w:val="0076378B"/>
    <w:rsid w:val="007637BC"/>
    <w:rsid w:val="00763999"/>
    <w:rsid w:val="007639D9"/>
    <w:rsid w:val="00763AD8"/>
    <w:rsid w:val="00763BFB"/>
    <w:rsid w:val="00763C61"/>
    <w:rsid w:val="00763DF1"/>
    <w:rsid w:val="00763F43"/>
    <w:rsid w:val="00763FB6"/>
    <w:rsid w:val="00764096"/>
    <w:rsid w:val="007640AF"/>
    <w:rsid w:val="00764147"/>
    <w:rsid w:val="007641A6"/>
    <w:rsid w:val="007641E3"/>
    <w:rsid w:val="007642A0"/>
    <w:rsid w:val="0076440A"/>
    <w:rsid w:val="007645EC"/>
    <w:rsid w:val="00764671"/>
    <w:rsid w:val="0076475B"/>
    <w:rsid w:val="007647E8"/>
    <w:rsid w:val="00764805"/>
    <w:rsid w:val="007649DB"/>
    <w:rsid w:val="00764A0D"/>
    <w:rsid w:val="00764A15"/>
    <w:rsid w:val="00764B31"/>
    <w:rsid w:val="00764B5D"/>
    <w:rsid w:val="00764C51"/>
    <w:rsid w:val="00764CAE"/>
    <w:rsid w:val="00764D00"/>
    <w:rsid w:val="00764FD5"/>
    <w:rsid w:val="00764FE6"/>
    <w:rsid w:val="007654F4"/>
    <w:rsid w:val="007655A9"/>
    <w:rsid w:val="007656A1"/>
    <w:rsid w:val="007656CA"/>
    <w:rsid w:val="00765734"/>
    <w:rsid w:val="00765762"/>
    <w:rsid w:val="0076577C"/>
    <w:rsid w:val="007657B8"/>
    <w:rsid w:val="007657D5"/>
    <w:rsid w:val="0076588B"/>
    <w:rsid w:val="00765956"/>
    <w:rsid w:val="00765A07"/>
    <w:rsid w:val="00765AB5"/>
    <w:rsid w:val="00765BA8"/>
    <w:rsid w:val="00766007"/>
    <w:rsid w:val="007660EB"/>
    <w:rsid w:val="00766283"/>
    <w:rsid w:val="007664F7"/>
    <w:rsid w:val="0076678F"/>
    <w:rsid w:val="00766811"/>
    <w:rsid w:val="0076683F"/>
    <w:rsid w:val="0076685D"/>
    <w:rsid w:val="00766919"/>
    <w:rsid w:val="00766920"/>
    <w:rsid w:val="00766949"/>
    <w:rsid w:val="00766AFE"/>
    <w:rsid w:val="00766D1D"/>
    <w:rsid w:val="00766D5E"/>
    <w:rsid w:val="00766F71"/>
    <w:rsid w:val="00767068"/>
    <w:rsid w:val="007670C4"/>
    <w:rsid w:val="00767193"/>
    <w:rsid w:val="007671CC"/>
    <w:rsid w:val="0076735D"/>
    <w:rsid w:val="007673C8"/>
    <w:rsid w:val="00767496"/>
    <w:rsid w:val="00767569"/>
    <w:rsid w:val="007676D2"/>
    <w:rsid w:val="007676D9"/>
    <w:rsid w:val="0076771B"/>
    <w:rsid w:val="00767768"/>
    <w:rsid w:val="007677DB"/>
    <w:rsid w:val="007677E3"/>
    <w:rsid w:val="0076784F"/>
    <w:rsid w:val="0076785E"/>
    <w:rsid w:val="007678B5"/>
    <w:rsid w:val="00767958"/>
    <w:rsid w:val="007679DB"/>
    <w:rsid w:val="00767A94"/>
    <w:rsid w:val="00767BF3"/>
    <w:rsid w:val="00767BF5"/>
    <w:rsid w:val="00767D9C"/>
    <w:rsid w:val="00767FCE"/>
    <w:rsid w:val="00767FFC"/>
    <w:rsid w:val="0077004E"/>
    <w:rsid w:val="0077018A"/>
    <w:rsid w:val="0077018F"/>
    <w:rsid w:val="007703A9"/>
    <w:rsid w:val="0077051F"/>
    <w:rsid w:val="0077060F"/>
    <w:rsid w:val="00770690"/>
    <w:rsid w:val="007706B0"/>
    <w:rsid w:val="007706FD"/>
    <w:rsid w:val="007707EC"/>
    <w:rsid w:val="007708AF"/>
    <w:rsid w:val="00770A26"/>
    <w:rsid w:val="00770AE3"/>
    <w:rsid w:val="00770B59"/>
    <w:rsid w:val="00770DFB"/>
    <w:rsid w:val="00770DFC"/>
    <w:rsid w:val="00770F09"/>
    <w:rsid w:val="00770FA5"/>
    <w:rsid w:val="00770FD5"/>
    <w:rsid w:val="0077122B"/>
    <w:rsid w:val="00771331"/>
    <w:rsid w:val="007713C9"/>
    <w:rsid w:val="007714F7"/>
    <w:rsid w:val="0077155A"/>
    <w:rsid w:val="00771573"/>
    <w:rsid w:val="00771608"/>
    <w:rsid w:val="0077163A"/>
    <w:rsid w:val="007717E4"/>
    <w:rsid w:val="007718FA"/>
    <w:rsid w:val="00771A87"/>
    <w:rsid w:val="00771AF4"/>
    <w:rsid w:val="00771C5E"/>
    <w:rsid w:val="00771CCC"/>
    <w:rsid w:val="00771D42"/>
    <w:rsid w:val="00771D95"/>
    <w:rsid w:val="00771E9B"/>
    <w:rsid w:val="00771F2A"/>
    <w:rsid w:val="00771F5F"/>
    <w:rsid w:val="00771F84"/>
    <w:rsid w:val="00771FB5"/>
    <w:rsid w:val="00772001"/>
    <w:rsid w:val="007720D3"/>
    <w:rsid w:val="007720EB"/>
    <w:rsid w:val="0077248C"/>
    <w:rsid w:val="007724A7"/>
    <w:rsid w:val="00772588"/>
    <w:rsid w:val="00772632"/>
    <w:rsid w:val="00772645"/>
    <w:rsid w:val="007726FA"/>
    <w:rsid w:val="00772792"/>
    <w:rsid w:val="00772866"/>
    <w:rsid w:val="007728F5"/>
    <w:rsid w:val="00772945"/>
    <w:rsid w:val="00772A05"/>
    <w:rsid w:val="00772B2C"/>
    <w:rsid w:val="00772C87"/>
    <w:rsid w:val="00772DD7"/>
    <w:rsid w:val="00772F8B"/>
    <w:rsid w:val="007730BE"/>
    <w:rsid w:val="0077318B"/>
    <w:rsid w:val="00773192"/>
    <w:rsid w:val="007731BC"/>
    <w:rsid w:val="0077330B"/>
    <w:rsid w:val="00773328"/>
    <w:rsid w:val="00773334"/>
    <w:rsid w:val="00773481"/>
    <w:rsid w:val="0077348A"/>
    <w:rsid w:val="00773563"/>
    <w:rsid w:val="007735C7"/>
    <w:rsid w:val="007735F5"/>
    <w:rsid w:val="007737F4"/>
    <w:rsid w:val="007738B2"/>
    <w:rsid w:val="007738F2"/>
    <w:rsid w:val="00773913"/>
    <w:rsid w:val="0077394C"/>
    <w:rsid w:val="00773A20"/>
    <w:rsid w:val="00773B27"/>
    <w:rsid w:val="00773C3D"/>
    <w:rsid w:val="00773C79"/>
    <w:rsid w:val="00773D04"/>
    <w:rsid w:val="00773E7B"/>
    <w:rsid w:val="00773EA4"/>
    <w:rsid w:val="00774064"/>
    <w:rsid w:val="007741E7"/>
    <w:rsid w:val="00774204"/>
    <w:rsid w:val="00774256"/>
    <w:rsid w:val="0077433A"/>
    <w:rsid w:val="007743E3"/>
    <w:rsid w:val="0077465A"/>
    <w:rsid w:val="007746ED"/>
    <w:rsid w:val="00774808"/>
    <w:rsid w:val="00774814"/>
    <w:rsid w:val="00774942"/>
    <w:rsid w:val="007749C1"/>
    <w:rsid w:val="00774B93"/>
    <w:rsid w:val="00774CC7"/>
    <w:rsid w:val="00774CF4"/>
    <w:rsid w:val="00774EAF"/>
    <w:rsid w:val="00774F9F"/>
    <w:rsid w:val="00774FC7"/>
    <w:rsid w:val="00775107"/>
    <w:rsid w:val="00775231"/>
    <w:rsid w:val="007753B2"/>
    <w:rsid w:val="007754C3"/>
    <w:rsid w:val="0077554D"/>
    <w:rsid w:val="00775567"/>
    <w:rsid w:val="007756E5"/>
    <w:rsid w:val="00775792"/>
    <w:rsid w:val="007757C6"/>
    <w:rsid w:val="00775815"/>
    <w:rsid w:val="00775892"/>
    <w:rsid w:val="00775937"/>
    <w:rsid w:val="00775A44"/>
    <w:rsid w:val="00775C40"/>
    <w:rsid w:val="00775C59"/>
    <w:rsid w:val="00775CAD"/>
    <w:rsid w:val="00775EAC"/>
    <w:rsid w:val="00775EE8"/>
    <w:rsid w:val="007761AD"/>
    <w:rsid w:val="00776264"/>
    <w:rsid w:val="0077629F"/>
    <w:rsid w:val="0077632B"/>
    <w:rsid w:val="0077633D"/>
    <w:rsid w:val="0077645D"/>
    <w:rsid w:val="00776461"/>
    <w:rsid w:val="007764F4"/>
    <w:rsid w:val="00776542"/>
    <w:rsid w:val="00776549"/>
    <w:rsid w:val="00776613"/>
    <w:rsid w:val="00776749"/>
    <w:rsid w:val="00776839"/>
    <w:rsid w:val="007769A2"/>
    <w:rsid w:val="007769C4"/>
    <w:rsid w:val="007769FF"/>
    <w:rsid w:val="00776AFB"/>
    <w:rsid w:val="00776C3A"/>
    <w:rsid w:val="00776D5A"/>
    <w:rsid w:val="00776E2E"/>
    <w:rsid w:val="00777258"/>
    <w:rsid w:val="00777278"/>
    <w:rsid w:val="00777302"/>
    <w:rsid w:val="00777358"/>
    <w:rsid w:val="00777442"/>
    <w:rsid w:val="00777451"/>
    <w:rsid w:val="00777502"/>
    <w:rsid w:val="007775B0"/>
    <w:rsid w:val="00777605"/>
    <w:rsid w:val="00777764"/>
    <w:rsid w:val="007777F1"/>
    <w:rsid w:val="0077791A"/>
    <w:rsid w:val="007779A3"/>
    <w:rsid w:val="00777ADC"/>
    <w:rsid w:val="00777CC6"/>
    <w:rsid w:val="00777E9E"/>
    <w:rsid w:val="00777ED9"/>
    <w:rsid w:val="00777FA4"/>
    <w:rsid w:val="0078002F"/>
    <w:rsid w:val="0078018C"/>
    <w:rsid w:val="007801FF"/>
    <w:rsid w:val="0078027D"/>
    <w:rsid w:val="007802B7"/>
    <w:rsid w:val="007802E7"/>
    <w:rsid w:val="00780427"/>
    <w:rsid w:val="0078054B"/>
    <w:rsid w:val="00780619"/>
    <w:rsid w:val="007806A5"/>
    <w:rsid w:val="0078073E"/>
    <w:rsid w:val="0078084B"/>
    <w:rsid w:val="00780893"/>
    <w:rsid w:val="007809C8"/>
    <w:rsid w:val="00780B1A"/>
    <w:rsid w:val="00780D45"/>
    <w:rsid w:val="00780DF8"/>
    <w:rsid w:val="00780DFC"/>
    <w:rsid w:val="00780F3F"/>
    <w:rsid w:val="00780FD0"/>
    <w:rsid w:val="00781070"/>
    <w:rsid w:val="0078114D"/>
    <w:rsid w:val="007811AF"/>
    <w:rsid w:val="00781212"/>
    <w:rsid w:val="007812E7"/>
    <w:rsid w:val="00781315"/>
    <w:rsid w:val="00781554"/>
    <w:rsid w:val="0078159F"/>
    <w:rsid w:val="007817DD"/>
    <w:rsid w:val="0078194A"/>
    <w:rsid w:val="007819A6"/>
    <w:rsid w:val="007819ED"/>
    <w:rsid w:val="00781A97"/>
    <w:rsid w:val="00781C2F"/>
    <w:rsid w:val="00781D8F"/>
    <w:rsid w:val="00781E7D"/>
    <w:rsid w:val="00781F2C"/>
    <w:rsid w:val="00781F6B"/>
    <w:rsid w:val="00782065"/>
    <w:rsid w:val="00782419"/>
    <w:rsid w:val="007824BC"/>
    <w:rsid w:val="007824F5"/>
    <w:rsid w:val="007826C6"/>
    <w:rsid w:val="0078275E"/>
    <w:rsid w:val="0078293E"/>
    <w:rsid w:val="00782A77"/>
    <w:rsid w:val="00782BE9"/>
    <w:rsid w:val="00782BEB"/>
    <w:rsid w:val="00782C46"/>
    <w:rsid w:val="00782C56"/>
    <w:rsid w:val="00782D2D"/>
    <w:rsid w:val="00782DFC"/>
    <w:rsid w:val="00782E66"/>
    <w:rsid w:val="00782EC4"/>
    <w:rsid w:val="00782EEE"/>
    <w:rsid w:val="00783153"/>
    <w:rsid w:val="0078319A"/>
    <w:rsid w:val="00783235"/>
    <w:rsid w:val="0078363F"/>
    <w:rsid w:val="00783A74"/>
    <w:rsid w:val="00783AE5"/>
    <w:rsid w:val="00783F4B"/>
    <w:rsid w:val="00783FB7"/>
    <w:rsid w:val="0078401F"/>
    <w:rsid w:val="0078418A"/>
    <w:rsid w:val="007841B9"/>
    <w:rsid w:val="00784336"/>
    <w:rsid w:val="0078434C"/>
    <w:rsid w:val="00784517"/>
    <w:rsid w:val="0078461D"/>
    <w:rsid w:val="00784752"/>
    <w:rsid w:val="007848B2"/>
    <w:rsid w:val="007849A2"/>
    <w:rsid w:val="00784A9D"/>
    <w:rsid w:val="00784B20"/>
    <w:rsid w:val="00784B64"/>
    <w:rsid w:val="00784B98"/>
    <w:rsid w:val="00784BFE"/>
    <w:rsid w:val="00784CB1"/>
    <w:rsid w:val="00784CBD"/>
    <w:rsid w:val="007850B4"/>
    <w:rsid w:val="00785348"/>
    <w:rsid w:val="0078539C"/>
    <w:rsid w:val="00785514"/>
    <w:rsid w:val="00785777"/>
    <w:rsid w:val="007857DC"/>
    <w:rsid w:val="00785AEF"/>
    <w:rsid w:val="00785C83"/>
    <w:rsid w:val="00785CCA"/>
    <w:rsid w:val="00785F60"/>
    <w:rsid w:val="00785FD5"/>
    <w:rsid w:val="00786062"/>
    <w:rsid w:val="00786098"/>
    <w:rsid w:val="00786121"/>
    <w:rsid w:val="007861B9"/>
    <w:rsid w:val="007864DA"/>
    <w:rsid w:val="00786728"/>
    <w:rsid w:val="00786737"/>
    <w:rsid w:val="0078675A"/>
    <w:rsid w:val="007867C0"/>
    <w:rsid w:val="00786838"/>
    <w:rsid w:val="00786888"/>
    <w:rsid w:val="0078688D"/>
    <w:rsid w:val="007868B8"/>
    <w:rsid w:val="00786938"/>
    <w:rsid w:val="007869AA"/>
    <w:rsid w:val="00786A43"/>
    <w:rsid w:val="00786BA6"/>
    <w:rsid w:val="00786C55"/>
    <w:rsid w:val="00786C94"/>
    <w:rsid w:val="00786EAC"/>
    <w:rsid w:val="00786ED8"/>
    <w:rsid w:val="00787036"/>
    <w:rsid w:val="0078703E"/>
    <w:rsid w:val="0078711B"/>
    <w:rsid w:val="007871A2"/>
    <w:rsid w:val="0078722A"/>
    <w:rsid w:val="00787491"/>
    <w:rsid w:val="0078749A"/>
    <w:rsid w:val="0078759B"/>
    <w:rsid w:val="007875D7"/>
    <w:rsid w:val="00787679"/>
    <w:rsid w:val="00787782"/>
    <w:rsid w:val="007877EB"/>
    <w:rsid w:val="00787807"/>
    <w:rsid w:val="00787A15"/>
    <w:rsid w:val="00787C28"/>
    <w:rsid w:val="00787C5C"/>
    <w:rsid w:val="00787CF3"/>
    <w:rsid w:val="00787D20"/>
    <w:rsid w:val="00787DF3"/>
    <w:rsid w:val="00787E47"/>
    <w:rsid w:val="00787FD1"/>
    <w:rsid w:val="0079001F"/>
    <w:rsid w:val="007902DD"/>
    <w:rsid w:val="0079030E"/>
    <w:rsid w:val="00790362"/>
    <w:rsid w:val="00790448"/>
    <w:rsid w:val="007904EA"/>
    <w:rsid w:val="00790508"/>
    <w:rsid w:val="0079065C"/>
    <w:rsid w:val="007906A9"/>
    <w:rsid w:val="00790767"/>
    <w:rsid w:val="007907A0"/>
    <w:rsid w:val="007907AE"/>
    <w:rsid w:val="00790823"/>
    <w:rsid w:val="007909C2"/>
    <w:rsid w:val="00790A3B"/>
    <w:rsid w:val="00790B5F"/>
    <w:rsid w:val="00790B9E"/>
    <w:rsid w:val="00790BBF"/>
    <w:rsid w:val="00790EE7"/>
    <w:rsid w:val="0079106D"/>
    <w:rsid w:val="0079107D"/>
    <w:rsid w:val="0079108A"/>
    <w:rsid w:val="007911B6"/>
    <w:rsid w:val="007912E5"/>
    <w:rsid w:val="00791433"/>
    <w:rsid w:val="0079171D"/>
    <w:rsid w:val="00791969"/>
    <w:rsid w:val="00791A06"/>
    <w:rsid w:val="00791AE2"/>
    <w:rsid w:val="00791BF5"/>
    <w:rsid w:val="00791C25"/>
    <w:rsid w:val="00792061"/>
    <w:rsid w:val="00792089"/>
    <w:rsid w:val="007920FE"/>
    <w:rsid w:val="0079211A"/>
    <w:rsid w:val="00792261"/>
    <w:rsid w:val="007922A0"/>
    <w:rsid w:val="007923EC"/>
    <w:rsid w:val="00792431"/>
    <w:rsid w:val="0079247A"/>
    <w:rsid w:val="0079248F"/>
    <w:rsid w:val="00792497"/>
    <w:rsid w:val="007927D4"/>
    <w:rsid w:val="00792B14"/>
    <w:rsid w:val="00792BED"/>
    <w:rsid w:val="00792D41"/>
    <w:rsid w:val="00792E2E"/>
    <w:rsid w:val="00792ED5"/>
    <w:rsid w:val="00792F8B"/>
    <w:rsid w:val="00793010"/>
    <w:rsid w:val="00793023"/>
    <w:rsid w:val="007930B7"/>
    <w:rsid w:val="007930E0"/>
    <w:rsid w:val="00793237"/>
    <w:rsid w:val="00793393"/>
    <w:rsid w:val="0079348D"/>
    <w:rsid w:val="00793541"/>
    <w:rsid w:val="007935C3"/>
    <w:rsid w:val="0079373C"/>
    <w:rsid w:val="00793A68"/>
    <w:rsid w:val="00793AAD"/>
    <w:rsid w:val="00793AB4"/>
    <w:rsid w:val="00793AC9"/>
    <w:rsid w:val="00793BC5"/>
    <w:rsid w:val="00793DAB"/>
    <w:rsid w:val="00793F6E"/>
    <w:rsid w:val="00794030"/>
    <w:rsid w:val="00794031"/>
    <w:rsid w:val="00794260"/>
    <w:rsid w:val="007944C5"/>
    <w:rsid w:val="007946AA"/>
    <w:rsid w:val="007946E0"/>
    <w:rsid w:val="00794A7A"/>
    <w:rsid w:val="00794B73"/>
    <w:rsid w:val="00794C9F"/>
    <w:rsid w:val="00794D41"/>
    <w:rsid w:val="00794E1E"/>
    <w:rsid w:val="00794E6A"/>
    <w:rsid w:val="00794F5F"/>
    <w:rsid w:val="00794F8C"/>
    <w:rsid w:val="007950F8"/>
    <w:rsid w:val="007952EC"/>
    <w:rsid w:val="007953AE"/>
    <w:rsid w:val="00795403"/>
    <w:rsid w:val="007954CF"/>
    <w:rsid w:val="00795607"/>
    <w:rsid w:val="00795730"/>
    <w:rsid w:val="007958E5"/>
    <w:rsid w:val="00795A2E"/>
    <w:rsid w:val="00795AB0"/>
    <w:rsid w:val="00795DF5"/>
    <w:rsid w:val="00795E2E"/>
    <w:rsid w:val="00795F6E"/>
    <w:rsid w:val="00795F73"/>
    <w:rsid w:val="00796066"/>
    <w:rsid w:val="00796115"/>
    <w:rsid w:val="0079612B"/>
    <w:rsid w:val="007965F0"/>
    <w:rsid w:val="00796732"/>
    <w:rsid w:val="00796820"/>
    <w:rsid w:val="00796891"/>
    <w:rsid w:val="0079691E"/>
    <w:rsid w:val="0079696A"/>
    <w:rsid w:val="007969CC"/>
    <w:rsid w:val="007969D0"/>
    <w:rsid w:val="007969E4"/>
    <w:rsid w:val="00796A1C"/>
    <w:rsid w:val="00796CD0"/>
    <w:rsid w:val="00796D89"/>
    <w:rsid w:val="00796DC9"/>
    <w:rsid w:val="00796E5B"/>
    <w:rsid w:val="00796E96"/>
    <w:rsid w:val="00796FD9"/>
    <w:rsid w:val="00797093"/>
    <w:rsid w:val="007970C0"/>
    <w:rsid w:val="0079715D"/>
    <w:rsid w:val="0079733D"/>
    <w:rsid w:val="0079734E"/>
    <w:rsid w:val="0079739F"/>
    <w:rsid w:val="0079744D"/>
    <w:rsid w:val="00797470"/>
    <w:rsid w:val="00797742"/>
    <w:rsid w:val="0079776F"/>
    <w:rsid w:val="007977E3"/>
    <w:rsid w:val="00797CD7"/>
    <w:rsid w:val="00797DA4"/>
    <w:rsid w:val="0079A3D1"/>
    <w:rsid w:val="007A0003"/>
    <w:rsid w:val="007A0027"/>
    <w:rsid w:val="007A0131"/>
    <w:rsid w:val="007A0395"/>
    <w:rsid w:val="007A03B6"/>
    <w:rsid w:val="007A0407"/>
    <w:rsid w:val="007A042E"/>
    <w:rsid w:val="007A04E1"/>
    <w:rsid w:val="007A06CB"/>
    <w:rsid w:val="007A06F6"/>
    <w:rsid w:val="007A07FC"/>
    <w:rsid w:val="007A08C3"/>
    <w:rsid w:val="007A08CD"/>
    <w:rsid w:val="007A08CE"/>
    <w:rsid w:val="007A092C"/>
    <w:rsid w:val="007A09CA"/>
    <w:rsid w:val="007A0A5C"/>
    <w:rsid w:val="007A0B9A"/>
    <w:rsid w:val="007A0BC8"/>
    <w:rsid w:val="007A0C09"/>
    <w:rsid w:val="007A0E98"/>
    <w:rsid w:val="007A0F0C"/>
    <w:rsid w:val="007A0F3F"/>
    <w:rsid w:val="007A10FB"/>
    <w:rsid w:val="007A11B4"/>
    <w:rsid w:val="007A1364"/>
    <w:rsid w:val="007A141C"/>
    <w:rsid w:val="007A147D"/>
    <w:rsid w:val="007A14AD"/>
    <w:rsid w:val="007A15E8"/>
    <w:rsid w:val="007A1612"/>
    <w:rsid w:val="007A1637"/>
    <w:rsid w:val="007A1645"/>
    <w:rsid w:val="007A16D2"/>
    <w:rsid w:val="007A1785"/>
    <w:rsid w:val="007A1889"/>
    <w:rsid w:val="007A191F"/>
    <w:rsid w:val="007A1939"/>
    <w:rsid w:val="007A1BEE"/>
    <w:rsid w:val="007A1D6D"/>
    <w:rsid w:val="007A1DBE"/>
    <w:rsid w:val="007A1E53"/>
    <w:rsid w:val="007A1ECF"/>
    <w:rsid w:val="007A1F2D"/>
    <w:rsid w:val="007A1FFF"/>
    <w:rsid w:val="007A2073"/>
    <w:rsid w:val="007A2264"/>
    <w:rsid w:val="007A2286"/>
    <w:rsid w:val="007A2485"/>
    <w:rsid w:val="007A24A0"/>
    <w:rsid w:val="007A26F4"/>
    <w:rsid w:val="007A2720"/>
    <w:rsid w:val="007A2769"/>
    <w:rsid w:val="007A27E5"/>
    <w:rsid w:val="007A2824"/>
    <w:rsid w:val="007A2872"/>
    <w:rsid w:val="007A28EC"/>
    <w:rsid w:val="007A2938"/>
    <w:rsid w:val="007A2B02"/>
    <w:rsid w:val="007A2B37"/>
    <w:rsid w:val="007A2C21"/>
    <w:rsid w:val="007A2CCB"/>
    <w:rsid w:val="007A2DB0"/>
    <w:rsid w:val="007A2E83"/>
    <w:rsid w:val="007A3108"/>
    <w:rsid w:val="007A313A"/>
    <w:rsid w:val="007A31A4"/>
    <w:rsid w:val="007A332C"/>
    <w:rsid w:val="007A337A"/>
    <w:rsid w:val="007A3476"/>
    <w:rsid w:val="007A3489"/>
    <w:rsid w:val="007A34CE"/>
    <w:rsid w:val="007A3518"/>
    <w:rsid w:val="007A352F"/>
    <w:rsid w:val="007A35AC"/>
    <w:rsid w:val="007A3671"/>
    <w:rsid w:val="007A3796"/>
    <w:rsid w:val="007A3840"/>
    <w:rsid w:val="007A39EA"/>
    <w:rsid w:val="007A3B9A"/>
    <w:rsid w:val="007A3D52"/>
    <w:rsid w:val="007A3E13"/>
    <w:rsid w:val="007A3E7E"/>
    <w:rsid w:val="007A3F4B"/>
    <w:rsid w:val="007A3FC1"/>
    <w:rsid w:val="007A4094"/>
    <w:rsid w:val="007A415C"/>
    <w:rsid w:val="007A4171"/>
    <w:rsid w:val="007A41A1"/>
    <w:rsid w:val="007A41B9"/>
    <w:rsid w:val="007A41EB"/>
    <w:rsid w:val="007A4227"/>
    <w:rsid w:val="007A42C4"/>
    <w:rsid w:val="007A4377"/>
    <w:rsid w:val="007A440A"/>
    <w:rsid w:val="007A445B"/>
    <w:rsid w:val="007A452E"/>
    <w:rsid w:val="007A45B5"/>
    <w:rsid w:val="007A4637"/>
    <w:rsid w:val="007A47F2"/>
    <w:rsid w:val="007A48CA"/>
    <w:rsid w:val="007A49C1"/>
    <w:rsid w:val="007A4AB2"/>
    <w:rsid w:val="007A4E13"/>
    <w:rsid w:val="007A4F84"/>
    <w:rsid w:val="007A525A"/>
    <w:rsid w:val="007A5337"/>
    <w:rsid w:val="007A5375"/>
    <w:rsid w:val="007A54F2"/>
    <w:rsid w:val="007A56D0"/>
    <w:rsid w:val="007A56E5"/>
    <w:rsid w:val="007A5806"/>
    <w:rsid w:val="007A58DD"/>
    <w:rsid w:val="007A59E7"/>
    <w:rsid w:val="007A5A9C"/>
    <w:rsid w:val="007A5B55"/>
    <w:rsid w:val="007A5B5B"/>
    <w:rsid w:val="007A5B7D"/>
    <w:rsid w:val="007A5C16"/>
    <w:rsid w:val="007A5CE2"/>
    <w:rsid w:val="007A5DF0"/>
    <w:rsid w:val="007A5E68"/>
    <w:rsid w:val="007A5F33"/>
    <w:rsid w:val="007A5F98"/>
    <w:rsid w:val="007A602B"/>
    <w:rsid w:val="007A6144"/>
    <w:rsid w:val="007A6319"/>
    <w:rsid w:val="007A63C9"/>
    <w:rsid w:val="007A6495"/>
    <w:rsid w:val="007A64DE"/>
    <w:rsid w:val="007A6592"/>
    <w:rsid w:val="007A663A"/>
    <w:rsid w:val="007A66B4"/>
    <w:rsid w:val="007A6951"/>
    <w:rsid w:val="007A6B3C"/>
    <w:rsid w:val="007A6B56"/>
    <w:rsid w:val="007A6C59"/>
    <w:rsid w:val="007A6CD1"/>
    <w:rsid w:val="007A6CFC"/>
    <w:rsid w:val="007A707F"/>
    <w:rsid w:val="007A71CE"/>
    <w:rsid w:val="007A736C"/>
    <w:rsid w:val="007A7442"/>
    <w:rsid w:val="007A7484"/>
    <w:rsid w:val="007A7825"/>
    <w:rsid w:val="007A7925"/>
    <w:rsid w:val="007A7AD3"/>
    <w:rsid w:val="007A7E8C"/>
    <w:rsid w:val="007A7F40"/>
    <w:rsid w:val="007B0117"/>
    <w:rsid w:val="007B0212"/>
    <w:rsid w:val="007B02B2"/>
    <w:rsid w:val="007B0390"/>
    <w:rsid w:val="007B0629"/>
    <w:rsid w:val="007B08C9"/>
    <w:rsid w:val="007B0945"/>
    <w:rsid w:val="007B0A22"/>
    <w:rsid w:val="007B0C84"/>
    <w:rsid w:val="007B0CAC"/>
    <w:rsid w:val="007B0CCC"/>
    <w:rsid w:val="007B0CF8"/>
    <w:rsid w:val="007B0E20"/>
    <w:rsid w:val="007B0E2F"/>
    <w:rsid w:val="007B1156"/>
    <w:rsid w:val="007B1186"/>
    <w:rsid w:val="007B12F0"/>
    <w:rsid w:val="007B14FD"/>
    <w:rsid w:val="007B15A6"/>
    <w:rsid w:val="007B1814"/>
    <w:rsid w:val="007B18D5"/>
    <w:rsid w:val="007B1A16"/>
    <w:rsid w:val="007B1B6D"/>
    <w:rsid w:val="007B1BF7"/>
    <w:rsid w:val="007B1CE4"/>
    <w:rsid w:val="007B1D9B"/>
    <w:rsid w:val="007B1DA8"/>
    <w:rsid w:val="007B2179"/>
    <w:rsid w:val="007B21FE"/>
    <w:rsid w:val="007B22C6"/>
    <w:rsid w:val="007B2342"/>
    <w:rsid w:val="007B243B"/>
    <w:rsid w:val="007B2526"/>
    <w:rsid w:val="007B25AD"/>
    <w:rsid w:val="007B265A"/>
    <w:rsid w:val="007B26F9"/>
    <w:rsid w:val="007B2744"/>
    <w:rsid w:val="007B27BC"/>
    <w:rsid w:val="007B27BE"/>
    <w:rsid w:val="007B27E8"/>
    <w:rsid w:val="007B2843"/>
    <w:rsid w:val="007B2892"/>
    <w:rsid w:val="007B299F"/>
    <w:rsid w:val="007B2A48"/>
    <w:rsid w:val="007B2BA5"/>
    <w:rsid w:val="007B2D3E"/>
    <w:rsid w:val="007B2D55"/>
    <w:rsid w:val="007B2E6C"/>
    <w:rsid w:val="007B2FD6"/>
    <w:rsid w:val="007B3161"/>
    <w:rsid w:val="007B321C"/>
    <w:rsid w:val="007B32B5"/>
    <w:rsid w:val="007B332C"/>
    <w:rsid w:val="007B33E5"/>
    <w:rsid w:val="007B3457"/>
    <w:rsid w:val="007B3581"/>
    <w:rsid w:val="007B359B"/>
    <w:rsid w:val="007B3662"/>
    <w:rsid w:val="007B36BF"/>
    <w:rsid w:val="007B36F3"/>
    <w:rsid w:val="007B3965"/>
    <w:rsid w:val="007B3A41"/>
    <w:rsid w:val="007B3AC6"/>
    <w:rsid w:val="007B3C14"/>
    <w:rsid w:val="007B3D0B"/>
    <w:rsid w:val="007B3F3D"/>
    <w:rsid w:val="007B3F8F"/>
    <w:rsid w:val="007B40C6"/>
    <w:rsid w:val="007B411A"/>
    <w:rsid w:val="007B4243"/>
    <w:rsid w:val="007B4324"/>
    <w:rsid w:val="007B4365"/>
    <w:rsid w:val="007B454A"/>
    <w:rsid w:val="007B4551"/>
    <w:rsid w:val="007B45AB"/>
    <w:rsid w:val="007B4635"/>
    <w:rsid w:val="007B46A6"/>
    <w:rsid w:val="007B4711"/>
    <w:rsid w:val="007B494E"/>
    <w:rsid w:val="007B49A9"/>
    <w:rsid w:val="007B49FB"/>
    <w:rsid w:val="007B4A59"/>
    <w:rsid w:val="007B4B43"/>
    <w:rsid w:val="007B4C84"/>
    <w:rsid w:val="007B4D1D"/>
    <w:rsid w:val="007B4D42"/>
    <w:rsid w:val="007B4EE2"/>
    <w:rsid w:val="007B4FD1"/>
    <w:rsid w:val="007B501F"/>
    <w:rsid w:val="007B51AA"/>
    <w:rsid w:val="007B5334"/>
    <w:rsid w:val="007B5395"/>
    <w:rsid w:val="007B5502"/>
    <w:rsid w:val="007B556D"/>
    <w:rsid w:val="007B5768"/>
    <w:rsid w:val="007B577C"/>
    <w:rsid w:val="007B5803"/>
    <w:rsid w:val="007B598C"/>
    <w:rsid w:val="007B5A2F"/>
    <w:rsid w:val="007B5A33"/>
    <w:rsid w:val="007B5ACB"/>
    <w:rsid w:val="007B5B27"/>
    <w:rsid w:val="007B5B32"/>
    <w:rsid w:val="007B5C75"/>
    <w:rsid w:val="007B5D43"/>
    <w:rsid w:val="007B5EE8"/>
    <w:rsid w:val="007B6042"/>
    <w:rsid w:val="007B610F"/>
    <w:rsid w:val="007B61B8"/>
    <w:rsid w:val="007B6272"/>
    <w:rsid w:val="007B629E"/>
    <w:rsid w:val="007B63CF"/>
    <w:rsid w:val="007B6433"/>
    <w:rsid w:val="007B64BA"/>
    <w:rsid w:val="007B667C"/>
    <w:rsid w:val="007B673A"/>
    <w:rsid w:val="007B678E"/>
    <w:rsid w:val="007B69D8"/>
    <w:rsid w:val="007B6AEE"/>
    <w:rsid w:val="007B6B97"/>
    <w:rsid w:val="007B6C68"/>
    <w:rsid w:val="007B6D78"/>
    <w:rsid w:val="007B6DC5"/>
    <w:rsid w:val="007B6F23"/>
    <w:rsid w:val="007B6F53"/>
    <w:rsid w:val="007B701F"/>
    <w:rsid w:val="007B70FC"/>
    <w:rsid w:val="007B713D"/>
    <w:rsid w:val="007B7144"/>
    <w:rsid w:val="007B724F"/>
    <w:rsid w:val="007B744E"/>
    <w:rsid w:val="007B745C"/>
    <w:rsid w:val="007B7472"/>
    <w:rsid w:val="007B7480"/>
    <w:rsid w:val="007B74A1"/>
    <w:rsid w:val="007B7548"/>
    <w:rsid w:val="007B7573"/>
    <w:rsid w:val="007B7763"/>
    <w:rsid w:val="007B7796"/>
    <w:rsid w:val="007B77FB"/>
    <w:rsid w:val="007B79C3"/>
    <w:rsid w:val="007B79F6"/>
    <w:rsid w:val="007B7A06"/>
    <w:rsid w:val="007B7A13"/>
    <w:rsid w:val="007B7AAB"/>
    <w:rsid w:val="007B7AC5"/>
    <w:rsid w:val="007B7AD1"/>
    <w:rsid w:val="007B7DEC"/>
    <w:rsid w:val="007B7E5D"/>
    <w:rsid w:val="007B7F4F"/>
    <w:rsid w:val="007C009C"/>
    <w:rsid w:val="007C00B8"/>
    <w:rsid w:val="007C00E9"/>
    <w:rsid w:val="007C0156"/>
    <w:rsid w:val="007C03BB"/>
    <w:rsid w:val="007C0543"/>
    <w:rsid w:val="007C06B2"/>
    <w:rsid w:val="007C06EE"/>
    <w:rsid w:val="007C0820"/>
    <w:rsid w:val="007C088E"/>
    <w:rsid w:val="007C08EF"/>
    <w:rsid w:val="007C0A04"/>
    <w:rsid w:val="007C0B1D"/>
    <w:rsid w:val="007C0C11"/>
    <w:rsid w:val="007C0C55"/>
    <w:rsid w:val="007C0C6A"/>
    <w:rsid w:val="007C0F77"/>
    <w:rsid w:val="007C1099"/>
    <w:rsid w:val="007C10AF"/>
    <w:rsid w:val="007C1210"/>
    <w:rsid w:val="007C121F"/>
    <w:rsid w:val="007C124F"/>
    <w:rsid w:val="007C1276"/>
    <w:rsid w:val="007C133D"/>
    <w:rsid w:val="007C13E1"/>
    <w:rsid w:val="007C149F"/>
    <w:rsid w:val="007C15BF"/>
    <w:rsid w:val="007C15D4"/>
    <w:rsid w:val="007C162A"/>
    <w:rsid w:val="007C16C5"/>
    <w:rsid w:val="007C17B8"/>
    <w:rsid w:val="007C1975"/>
    <w:rsid w:val="007C1C8C"/>
    <w:rsid w:val="007C1CCE"/>
    <w:rsid w:val="007C1D16"/>
    <w:rsid w:val="007C1D42"/>
    <w:rsid w:val="007C1D9D"/>
    <w:rsid w:val="007C1DED"/>
    <w:rsid w:val="007C1E08"/>
    <w:rsid w:val="007C1EAD"/>
    <w:rsid w:val="007C1FAB"/>
    <w:rsid w:val="007C2088"/>
    <w:rsid w:val="007C2139"/>
    <w:rsid w:val="007C218F"/>
    <w:rsid w:val="007C223B"/>
    <w:rsid w:val="007C229C"/>
    <w:rsid w:val="007C24CD"/>
    <w:rsid w:val="007C2708"/>
    <w:rsid w:val="007C27AA"/>
    <w:rsid w:val="007C27FA"/>
    <w:rsid w:val="007C2846"/>
    <w:rsid w:val="007C28CF"/>
    <w:rsid w:val="007C28EF"/>
    <w:rsid w:val="007C2941"/>
    <w:rsid w:val="007C2984"/>
    <w:rsid w:val="007C29D7"/>
    <w:rsid w:val="007C2A9E"/>
    <w:rsid w:val="007C2AF6"/>
    <w:rsid w:val="007C2BAB"/>
    <w:rsid w:val="007C2DD8"/>
    <w:rsid w:val="007C2EF8"/>
    <w:rsid w:val="007C2F5A"/>
    <w:rsid w:val="007C2FC6"/>
    <w:rsid w:val="007C30F5"/>
    <w:rsid w:val="007C30F9"/>
    <w:rsid w:val="007C3215"/>
    <w:rsid w:val="007C3316"/>
    <w:rsid w:val="007C3326"/>
    <w:rsid w:val="007C34DE"/>
    <w:rsid w:val="007C351A"/>
    <w:rsid w:val="007C369F"/>
    <w:rsid w:val="007C36D8"/>
    <w:rsid w:val="007C3768"/>
    <w:rsid w:val="007C37A2"/>
    <w:rsid w:val="007C3865"/>
    <w:rsid w:val="007C3866"/>
    <w:rsid w:val="007C38B5"/>
    <w:rsid w:val="007C3CCF"/>
    <w:rsid w:val="007C3F98"/>
    <w:rsid w:val="007C3FEF"/>
    <w:rsid w:val="007C404B"/>
    <w:rsid w:val="007C40D2"/>
    <w:rsid w:val="007C4187"/>
    <w:rsid w:val="007C41A0"/>
    <w:rsid w:val="007C452C"/>
    <w:rsid w:val="007C45BE"/>
    <w:rsid w:val="007C479D"/>
    <w:rsid w:val="007C4841"/>
    <w:rsid w:val="007C49A3"/>
    <w:rsid w:val="007C49D1"/>
    <w:rsid w:val="007C4A0C"/>
    <w:rsid w:val="007C4A68"/>
    <w:rsid w:val="007C4B22"/>
    <w:rsid w:val="007C4B45"/>
    <w:rsid w:val="007C4BAE"/>
    <w:rsid w:val="007C4BEE"/>
    <w:rsid w:val="007C4D64"/>
    <w:rsid w:val="007C4E00"/>
    <w:rsid w:val="007C4EF0"/>
    <w:rsid w:val="007C4FAE"/>
    <w:rsid w:val="007C4FC7"/>
    <w:rsid w:val="007C4FF8"/>
    <w:rsid w:val="007C5012"/>
    <w:rsid w:val="007C5179"/>
    <w:rsid w:val="007C52E7"/>
    <w:rsid w:val="007C52F8"/>
    <w:rsid w:val="007C5695"/>
    <w:rsid w:val="007C585E"/>
    <w:rsid w:val="007C5912"/>
    <w:rsid w:val="007C5A4D"/>
    <w:rsid w:val="007C5BA9"/>
    <w:rsid w:val="007C5C9C"/>
    <w:rsid w:val="007C5DA7"/>
    <w:rsid w:val="007C6011"/>
    <w:rsid w:val="007C602D"/>
    <w:rsid w:val="007C607F"/>
    <w:rsid w:val="007C60B8"/>
    <w:rsid w:val="007C6117"/>
    <w:rsid w:val="007C61B8"/>
    <w:rsid w:val="007C620C"/>
    <w:rsid w:val="007C6271"/>
    <w:rsid w:val="007C62AC"/>
    <w:rsid w:val="007C64DD"/>
    <w:rsid w:val="007C6570"/>
    <w:rsid w:val="007C667A"/>
    <w:rsid w:val="007C66E3"/>
    <w:rsid w:val="007C67CA"/>
    <w:rsid w:val="007C67CC"/>
    <w:rsid w:val="007C6918"/>
    <w:rsid w:val="007C6955"/>
    <w:rsid w:val="007C6994"/>
    <w:rsid w:val="007C6A89"/>
    <w:rsid w:val="007C6AC5"/>
    <w:rsid w:val="007C6D50"/>
    <w:rsid w:val="007C6DC9"/>
    <w:rsid w:val="007C6E65"/>
    <w:rsid w:val="007C6ECA"/>
    <w:rsid w:val="007C6F2E"/>
    <w:rsid w:val="007C6FB3"/>
    <w:rsid w:val="007C70B6"/>
    <w:rsid w:val="007C73CF"/>
    <w:rsid w:val="007C7429"/>
    <w:rsid w:val="007C7587"/>
    <w:rsid w:val="007C763E"/>
    <w:rsid w:val="007C764E"/>
    <w:rsid w:val="007C7722"/>
    <w:rsid w:val="007C77C5"/>
    <w:rsid w:val="007C7908"/>
    <w:rsid w:val="007C791D"/>
    <w:rsid w:val="007C79D1"/>
    <w:rsid w:val="007C7D75"/>
    <w:rsid w:val="007C7E37"/>
    <w:rsid w:val="007C7F2D"/>
    <w:rsid w:val="007D0078"/>
    <w:rsid w:val="007D012C"/>
    <w:rsid w:val="007D01AF"/>
    <w:rsid w:val="007D02FE"/>
    <w:rsid w:val="007D039C"/>
    <w:rsid w:val="007D0438"/>
    <w:rsid w:val="007D044C"/>
    <w:rsid w:val="007D045E"/>
    <w:rsid w:val="007D0463"/>
    <w:rsid w:val="007D0DCA"/>
    <w:rsid w:val="007D0F82"/>
    <w:rsid w:val="007D10C8"/>
    <w:rsid w:val="007D1269"/>
    <w:rsid w:val="007D12F3"/>
    <w:rsid w:val="007D1302"/>
    <w:rsid w:val="007D1406"/>
    <w:rsid w:val="007D1747"/>
    <w:rsid w:val="007D17D7"/>
    <w:rsid w:val="007D17D9"/>
    <w:rsid w:val="007D1989"/>
    <w:rsid w:val="007D19D2"/>
    <w:rsid w:val="007D19D8"/>
    <w:rsid w:val="007D1D3B"/>
    <w:rsid w:val="007D1DF0"/>
    <w:rsid w:val="007D1E73"/>
    <w:rsid w:val="007D1F9F"/>
    <w:rsid w:val="007D1FDE"/>
    <w:rsid w:val="007D20B0"/>
    <w:rsid w:val="007D219F"/>
    <w:rsid w:val="007D23B6"/>
    <w:rsid w:val="007D24CF"/>
    <w:rsid w:val="007D2553"/>
    <w:rsid w:val="007D2629"/>
    <w:rsid w:val="007D2671"/>
    <w:rsid w:val="007D27E7"/>
    <w:rsid w:val="007D2813"/>
    <w:rsid w:val="007D2A15"/>
    <w:rsid w:val="007D2A27"/>
    <w:rsid w:val="007D2D64"/>
    <w:rsid w:val="007D2D6A"/>
    <w:rsid w:val="007D2DBC"/>
    <w:rsid w:val="007D3165"/>
    <w:rsid w:val="007D318E"/>
    <w:rsid w:val="007D31C1"/>
    <w:rsid w:val="007D3254"/>
    <w:rsid w:val="007D32B3"/>
    <w:rsid w:val="007D33DF"/>
    <w:rsid w:val="007D355B"/>
    <w:rsid w:val="007D3560"/>
    <w:rsid w:val="007D35BF"/>
    <w:rsid w:val="007D385A"/>
    <w:rsid w:val="007D38F3"/>
    <w:rsid w:val="007D3AF2"/>
    <w:rsid w:val="007D3AFA"/>
    <w:rsid w:val="007D3B43"/>
    <w:rsid w:val="007D3B5F"/>
    <w:rsid w:val="007D3DF2"/>
    <w:rsid w:val="007D3F81"/>
    <w:rsid w:val="007D3FA7"/>
    <w:rsid w:val="007D4068"/>
    <w:rsid w:val="007D406A"/>
    <w:rsid w:val="007D41C3"/>
    <w:rsid w:val="007D41DA"/>
    <w:rsid w:val="007D4248"/>
    <w:rsid w:val="007D4258"/>
    <w:rsid w:val="007D4284"/>
    <w:rsid w:val="007D4331"/>
    <w:rsid w:val="007D43BE"/>
    <w:rsid w:val="007D44EC"/>
    <w:rsid w:val="007D4621"/>
    <w:rsid w:val="007D47A8"/>
    <w:rsid w:val="007D486D"/>
    <w:rsid w:val="007D4886"/>
    <w:rsid w:val="007D4982"/>
    <w:rsid w:val="007D49A9"/>
    <w:rsid w:val="007D4A08"/>
    <w:rsid w:val="007D4D87"/>
    <w:rsid w:val="007D4E55"/>
    <w:rsid w:val="007D4E89"/>
    <w:rsid w:val="007D5031"/>
    <w:rsid w:val="007D53C5"/>
    <w:rsid w:val="007D54A2"/>
    <w:rsid w:val="007D563D"/>
    <w:rsid w:val="007D5696"/>
    <w:rsid w:val="007D5787"/>
    <w:rsid w:val="007D5843"/>
    <w:rsid w:val="007D58B2"/>
    <w:rsid w:val="007D5931"/>
    <w:rsid w:val="007D5960"/>
    <w:rsid w:val="007D5A97"/>
    <w:rsid w:val="007D5AB2"/>
    <w:rsid w:val="007D5ACB"/>
    <w:rsid w:val="007D6002"/>
    <w:rsid w:val="007D6009"/>
    <w:rsid w:val="007D603E"/>
    <w:rsid w:val="007D606A"/>
    <w:rsid w:val="007D6263"/>
    <w:rsid w:val="007D63FE"/>
    <w:rsid w:val="007D6401"/>
    <w:rsid w:val="007D6442"/>
    <w:rsid w:val="007D64EE"/>
    <w:rsid w:val="007D658C"/>
    <w:rsid w:val="007D65F6"/>
    <w:rsid w:val="007D677F"/>
    <w:rsid w:val="007D698F"/>
    <w:rsid w:val="007D6BA2"/>
    <w:rsid w:val="007D6C0C"/>
    <w:rsid w:val="007D6EB6"/>
    <w:rsid w:val="007D6EF7"/>
    <w:rsid w:val="007D6FA6"/>
    <w:rsid w:val="007D70BD"/>
    <w:rsid w:val="007D729F"/>
    <w:rsid w:val="007D72CD"/>
    <w:rsid w:val="007D7317"/>
    <w:rsid w:val="007D7350"/>
    <w:rsid w:val="007D763B"/>
    <w:rsid w:val="007D781F"/>
    <w:rsid w:val="007D7882"/>
    <w:rsid w:val="007D7A86"/>
    <w:rsid w:val="007D7C3C"/>
    <w:rsid w:val="007D7D31"/>
    <w:rsid w:val="007D7DE6"/>
    <w:rsid w:val="007D7DEB"/>
    <w:rsid w:val="007D7E03"/>
    <w:rsid w:val="007D7E70"/>
    <w:rsid w:val="007D7FDA"/>
    <w:rsid w:val="007E025A"/>
    <w:rsid w:val="007E0275"/>
    <w:rsid w:val="007E029F"/>
    <w:rsid w:val="007E032E"/>
    <w:rsid w:val="007E03FE"/>
    <w:rsid w:val="007E04F9"/>
    <w:rsid w:val="007E04FA"/>
    <w:rsid w:val="007E0521"/>
    <w:rsid w:val="007E0839"/>
    <w:rsid w:val="007E092D"/>
    <w:rsid w:val="007E0AD1"/>
    <w:rsid w:val="007E0AF2"/>
    <w:rsid w:val="007E0B4B"/>
    <w:rsid w:val="007E0D25"/>
    <w:rsid w:val="007E0D79"/>
    <w:rsid w:val="007E0E1C"/>
    <w:rsid w:val="007E0EA8"/>
    <w:rsid w:val="007E0FF1"/>
    <w:rsid w:val="007E104A"/>
    <w:rsid w:val="007E10CE"/>
    <w:rsid w:val="007E10D5"/>
    <w:rsid w:val="007E114E"/>
    <w:rsid w:val="007E1261"/>
    <w:rsid w:val="007E1451"/>
    <w:rsid w:val="007E15F0"/>
    <w:rsid w:val="007E166D"/>
    <w:rsid w:val="007E17ED"/>
    <w:rsid w:val="007E17FA"/>
    <w:rsid w:val="007E1883"/>
    <w:rsid w:val="007E18C2"/>
    <w:rsid w:val="007E199D"/>
    <w:rsid w:val="007E1B72"/>
    <w:rsid w:val="007E1C8F"/>
    <w:rsid w:val="007E1D32"/>
    <w:rsid w:val="007E1D69"/>
    <w:rsid w:val="007E1ED4"/>
    <w:rsid w:val="007E2026"/>
    <w:rsid w:val="007E2349"/>
    <w:rsid w:val="007E237D"/>
    <w:rsid w:val="007E24F1"/>
    <w:rsid w:val="007E26CA"/>
    <w:rsid w:val="007E26F2"/>
    <w:rsid w:val="007E2B62"/>
    <w:rsid w:val="007E2B82"/>
    <w:rsid w:val="007E2D6A"/>
    <w:rsid w:val="007E2DD3"/>
    <w:rsid w:val="007E2E75"/>
    <w:rsid w:val="007E2E7A"/>
    <w:rsid w:val="007E2E9A"/>
    <w:rsid w:val="007E2FAB"/>
    <w:rsid w:val="007E306B"/>
    <w:rsid w:val="007E30D0"/>
    <w:rsid w:val="007E32E4"/>
    <w:rsid w:val="007E33AC"/>
    <w:rsid w:val="007E33B9"/>
    <w:rsid w:val="007E33C2"/>
    <w:rsid w:val="007E3403"/>
    <w:rsid w:val="007E342A"/>
    <w:rsid w:val="007E3460"/>
    <w:rsid w:val="007E3474"/>
    <w:rsid w:val="007E3478"/>
    <w:rsid w:val="007E3577"/>
    <w:rsid w:val="007E3588"/>
    <w:rsid w:val="007E3631"/>
    <w:rsid w:val="007E3681"/>
    <w:rsid w:val="007E36ED"/>
    <w:rsid w:val="007E378E"/>
    <w:rsid w:val="007E381D"/>
    <w:rsid w:val="007E3845"/>
    <w:rsid w:val="007E3D30"/>
    <w:rsid w:val="007E3E48"/>
    <w:rsid w:val="007E4058"/>
    <w:rsid w:val="007E4224"/>
    <w:rsid w:val="007E42AE"/>
    <w:rsid w:val="007E42E6"/>
    <w:rsid w:val="007E45CB"/>
    <w:rsid w:val="007E46BF"/>
    <w:rsid w:val="007E476C"/>
    <w:rsid w:val="007E47EE"/>
    <w:rsid w:val="007E487F"/>
    <w:rsid w:val="007E4886"/>
    <w:rsid w:val="007E48DE"/>
    <w:rsid w:val="007E4A0D"/>
    <w:rsid w:val="007E4B2D"/>
    <w:rsid w:val="007E4C3F"/>
    <w:rsid w:val="007E4DCC"/>
    <w:rsid w:val="007E4E51"/>
    <w:rsid w:val="007E51F7"/>
    <w:rsid w:val="007E5242"/>
    <w:rsid w:val="007E5388"/>
    <w:rsid w:val="007E54E0"/>
    <w:rsid w:val="007E5571"/>
    <w:rsid w:val="007E57D7"/>
    <w:rsid w:val="007E587D"/>
    <w:rsid w:val="007E58C0"/>
    <w:rsid w:val="007E5A2D"/>
    <w:rsid w:val="007E5C5A"/>
    <w:rsid w:val="007E5CE8"/>
    <w:rsid w:val="007E5CF2"/>
    <w:rsid w:val="007E5D09"/>
    <w:rsid w:val="007E5D67"/>
    <w:rsid w:val="007E5EC0"/>
    <w:rsid w:val="007E5FAA"/>
    <w:rsid w:val="007E6176"/>
    <w:rsid w:val="007E62A9"/>
    <w:rsid w:val="007E6447"/>
    <w:rsid w:val="007E6757"/>
    <w:rsid w:val="007E68C0"/>
    <w:rsid w:val="007E6AB9"/>
    <w:rsid w:val="007E6B7F"/>
    <w:rsid w:val="007E6C0B"/>
    <w:rsid w:val="007E6C6C"/>
    <w:rsid w:val="007E6C77"/>
    <w:rsid w:val="007E6D08"/>
    <w:rsid w:val="007E6D75"/>
    <w:rsid w:val="007E6D9B"/>
    <w:rsid w:val="007E6DE7"/>
    <w:rsid w:val="007E6EEF"/>
    <w:rsid w:val="007E6FFC"/>
    <w:rsid w:val="007E70BB"/>
    <w:rsid w:val="007E7124"/>
    <w:rsid w:val="007E71E9"/>
    <w:rsid w:val="007E72C3"/>
    <w:rsid w:val="007E74E3"/>
    <w:rsid w:val="007E751A"/>
    <w:rsid w:val="007E75C4"/>
    <w:rsid w:val="007E7648"/>
    <w:rsid w:val="007E76CB"/>
    <w:rsid w:val="007E7721"/>
    <w:rsid w:val="007E77F4"/>
    <w:rsid w:val="007E7883"/>
    <w:rsid w:val="007E7ADE"/>
    <w:rsid w:val="007E7B1C"/>
    <w:rsid w:val="007E7C5C"/>
    <w:rsid w:val="007E7CB2"/>
    <w:rsid w:val="007E7CF2"/>
    <w:rsid w:val="007E7DF9"/>
    <w:rsid w:val="007F01CB"/>
    <w:rsid w:val="007F02A5"/>
    <w:rsid w:val="007F02B2"/>
    <w:rsid w:val="007F02C7"/>
    <w:rsid w:val="007F032B"/>
    <w:rsid w:val="007F03F2"/>
    <w:rsid w:val="007F06A8"/>
    <w:rsid w:val="007F06C5"/>
    <w:rsid w:val="007F06DC"/>
    <w:rsid w:val="007F0928"/>
    <w:rsid w:val="007F0C2B"/>
    <w:rsid w:val="007F0CBE"/>
    <w:rsid w:val="007F0CEF"/>
    <w:rsid w:val="007F0DEB"/>
    <w:rsid w:val="007F0ED2"/>
    <w:rsid w:val="007F0FAE"/>
    <w:rsid w:val="007F10CC"/>
    <w:rsid w:val="007F1162"/>
    <w:rsid w:val="007F12E0"/>
    <w:rsid w:val="007F1392"/>
    <w:rsid w:val="007F160D"/>
    <w:rsid w:val="007F185D"/>
    <w:rsid w:val="007F1873"/>
    <w:rsid w:val="007F1A3C"/>
    <w:rsid w:val="007F1B27"/>
    <w:rsid w:val="007F1B3F"/>
    <w:rsid w:val="007F1B9F"/>
    <w:rsid w:val="007F1BFB"/>
    <w:rsid w:val="007F1C95"/>
    <w:rsid w:val="007F1D06"/>
    <w:rsid w:val="007F1D94"/>
    <w:rsid w:val="007F1ECD"/>
    <w:rsid w:val="007F20A2"/>
    <w:rsid w:val="007F20D3"/>
    <w:rsid w:val="007F2170"/>
    <w:rsid w:val="007F21F1"/>
    <w:rsid w:val="007F21F3"/>
    <w:rsid w:val="007F21FA"/>
    <w:rsid w:val="007F23A1"/>
    <w:rsid w:val="007F24F4"/>
    <w:rsid w:val="007F25A7"/>
    <w:rsid w:val="007F26AB"/>
    <w:rsid w:val="007F2A9B"/>
    <w:rsid w:val="007F2C2D"/>
    <w:rsid w:val="007F2C72"/>
    <w:rsid w:val="007F2E7A"/>
    <w:rsid w:val="007F2EB2"/>
    <w:rsid w:val="007F2F7E"/>
    <w:rsid w:val="007F2FF5"/>
    <w:rsid w:val="007F3034"/>
    <w:rsid w:val="007F335C"/>
    <w:rsid w:val="007F344C"/>
    <w:rsid w:val="007F3549"/>
    <w:rsid w:val="007F356E"/>
    <w:rsid w:val="007F360B"/>
    <w:rsid w:val="007F3745"/>
    <w:rsid w:val="007F3ACD"/>
    <w:rsid w:val="007F3B65"/>
    <w:rsid w:val="007F3BBE"/>
    <w:rsid w:val="007F3E3B"/>
    <w:rsid w:val="007F3F76"/>
    <w:rsid w:val="007F4046"/>
    <w:rsid w:val="007F4092"/>
    <w:rsid w:val="007F4111"/>
    <w:rsid w:val="007F4235"/>
    <w:rsid w:val="007F42A6"/>
    <w:rsid w:val="007F42AB"/>
    <w:rsid w:val="007F440C"/>
    <w:rsid w:val="007F44DE"/>
    <w:rsid w:val="007F4730"/>
    <w:rsid w:val="007F4833"/>
    <w:rsid w:val="007F4891"/>
    <w:rsid w:val="007F48DF"/>
    <w:rsid w:val="007F4D61"/>
    <w:rsid w:val="007F5287"/>
    <w:rsid w:val="007F528F"/>
    <w:rsid w:val="007F52B7"/>
    <w:rsid w:val="007F5333"/>
    <w:rsid w:val="007F53A0"/>
    <w:rsid w:val="007F5458"/>
    <w:rsid w:val="007F54F9"/>
    <w:rsid w:val="007F55C9"/>
    <w:rsid w:val="007F5799"/>
    <w:rsid w:val="007F5983"/>
    <w:rsid w:val="007F5A11"/>
    <w:rsid w:val="007F5AF0"/>
    <w:rsid w:val="007F5BE1"/>
    <w:rsid w:val="007F5BF1"/>
    <w:rsid w:val="007F5CB3"/>
    <w:rsid w:val="007F6146"/>
    <w:rsid w:val="007F621E"/>
    <w:rsid w:val="007F62F3"/>
    <w:rsid w:val="007F6358"/>
    <w:rsid w:val="007F646D"/>
    <w:rsid w:val="007F64BA"/>
    <w:rsid w:val="007F64D2"/>
    <w:rsid w:val="007F651C"/>
    <w:rsid w:val="007F660E"/>
    <w:rsid w:val="007F66F4"/>
    <w:rsid w:val="007F6853"/>
    <w:rsid w:val="007F68CF"/>
    <w:rsid w:val="007F68DC"/>
    <w:rsid w:val="007F68DF"/>
    <w:rsid w:val="007F6A3E"/>
    <w:rsid w:val="007F6B28"/>
    <w:rsid w:val="007F6D6C"/>
    <w:rsid w:val="007F6E55"/>
    <w:rsid w:val="007F7010"/>
    <w:rsid w:val="007F70B9"/>
    <w:rsid w:val="007F7137"/>
    <w:rsid w:val="007F72AF"/>
    <w:rsid w:val="007F732E"/>
    <w:rsid w:val="007F7679"/>
    <w:rsid w:val="007F773A"/>
    <w:rsid w:val="007F779B"/>
    <w:rsid w:val="007F7869"/>
    <w:rsid w:val="007F7889"/>
    <w:rsid w:val="007F796B"/>
    <w:rsid w:val="007F79EF"/>
    <w:rsid w:val="007F7A75"/>
    <w:rsid w:val="007F7A79"/>
    <w:rsid w:val="007F7B21"/>
    <w:rsid w:val="007F7B2C"/>
    <w:rsid w:val="007F7C48"/>
    <w:rsid w:val="007F7ECC"/>
    <w:rsid w:val="0080006E"/>
    <w:rsid w:val="008002E8"/>
    <w:rsid w:val="00800462"/>
    <w:rsid w:val="0080048C"/>
    <w:rsid w:val="00800496"/>
    <w:rsid w:val="00800855"/>
    <w:rsid w:val="00800A3E"/>
    <w:rsid w:val="00800A8B"/>
    <w:rsid w:val="00800ADC"/>
    <w:rsid w:val="00800AE9"/>
    <w:rsid w:val="00800B13"/>
    <w:rsid w:val="00800BEF"/>
    <w:rsid w:val="00800CFB"/>
    <w:rsid w:val="00800D62"/>
    <w:rsid w:val="00800E62"/>
    <w:rsid w:val="00800F35"/>
    <w:rsid w:val="008010D7"/>
    <w:rsid w:val="00801228"/>
    <w:rsid w:val="0080128D"/>
    <w:rsid w:val="008012D6"/>
    <w:rsid w:val="00801329"/>
    <w:rsid w:val="00801372"/>
    <w:rsid w:val="00801419"/>
    <w:rsid w:val="00801473"/>
    <w:rsid w:val="0080147D"/>
    <w:rsid w:val="008016CA"/>
    <w:rsid w:val="0080178C"/>
    <w:rsid w:val="008017B6"/>
    <w:rsid w:val="008018C8"/>
    <w:rsid w:val="00801DB0"/>
    <w:rsid w:val="00801E35"/>
    <w:rsid w:val="00801E6B"/>
    <w:rsid w:val="00801FFA"/>
    <w:rsid w:val="0080207A"/>
    <w:rsid w:val="008020B7"/>
    <w:rsid w:val="008023D6"/>
    <w:rsid w:val="0080289F"/>
    <w:rsid w:val="00802A65"/>
    <w:rsid w:val="00802AE0"/>
    <w:rsid w:val="00802DF1"/>
    <w:rsid w:val="00802E35"/>
    <w:rsid w:val="00802F29"/>
    <w:rsid w:val="00802FF6"/>
    <w:rsid w:val="00802FFE"/>
    <w:rsid w:val="008030A1"/>
    <w:rsid w:val="008031A2"/>
    <w:rsid w:val="0080329A"/>
    <w:rsid w:val="00803315"/>
    <w:rsid w:val="00803356"/>
    <w:rsid w:val="00803432"/>
    <w:rsid w:val="00803443"/>
    <w:rsid w:val="00803445"/>
    <w:rsid w:val="00803674"/>
    <w:rsid w:val="008036C0"/>
    <w:rsid w:val="00803727"/>
    <w:rsid w:val="00803950"/>
    <w:rsid w:val="00803A2A"/>
    <w:rsid w:val="00803A86"/>
    <w:rsid w:val="00803D7A"/>
    <w:rsid w:val="00803F2E"/>
    <w:rsid w:val="00804131"/>
    <w:rsid w:val="00804144"/>
    <w:rsid w:val="008041A3"/>
    <w:rsid w:val="008041DE"/>
    <w:rsid w:val="008042CD"/>
    <w:rsid w:val="008042F5"/>
    <w:rsid w:val="0080450E"/>
    <w:rsid w:val="00804530"/>
    <w:rsid w:val="00804628"/>
    <w:rsid w:val="0080464B"/>
    <w:rsid w:val="008048F5"/>
    <w:rsid w:val="00804A6F"/>
    <w:rsid w:val="00804ADE"/>
    <w:rsid w:val="00804B1E"/>
    <w:rsid w:val="00804C14"/>
    <w:rsid w:val="00804D52"/>
    <w:rsid w:val="00804FD9"/>
    <w:rsid w:val="00804FEA"/>
    <w:rsid w:val="00805045"/>
    <w:rsid w:val="00805159"/>
    <w:rsid w:val="0080516A"/>
    <w:rsid w:val="0080521D"/>
    <w:rsid w:val="00805236"/>
    <w:rsid w:val="00805313"/>
    <w:rsid w:val="0080535B"/>
    <w:rsid w:val="00805528"/>
    <w:rsid w:val="008055E6"/>
    <w:rsid w:val="00805653"/>
    <w:rsid w:val="008056B3"/>
    <w:rsid w:val="00805930"/>
    <w:rsid w:val="00805CB1"/>
    <w:rsid w:val="00805D28"/>
    <w:rsid w:val="00805D9C"/>
    <w:rsid w:val="00805E3A"/>
    <w:rsid w:val="00805F52"/>
    <w:rsid w:val="00805FB5"/>
    <w:rsid w:val="00806176"/>
    <w:rsid w:val="008061D6"/>
    <w:rsid w:val="0080646D"/>
    <w:rsid w:val="00806499"/>
    <w:rsid w:val="00806627"/>
    <w:rsid w:val="008066BC"/>
    <w:rsid w:val="0080680D"/>
    <w:rsid w:val="00806822"/>
    <w:rsid w:val="00806B04"/>
    <w:rsid w:val="008070A8"/>
    <w:rsid w:val="008070D9"/>
    <w:rsid w:val="00807138"/>
    <w:rsid w:val="008072A1"/>
    <w:rsid w:val="0080786A"/>
    <w:rsid w:val="00807A92"/>
    <w:rsid w:val="00807AA3"/>
    <w:rsid w:val="00807B3B"/>
    <w:rsid w:val="00807BC9"/>
    <w:rsid w:val="00807BEE"/>
    <w:rsid w:val="00807D94"/>
    <w:rsid w:val="00807DA4"/>
    <w:rsid w:val="00807DF1"/>
    <w:rsid w:val="00807F0B"/>
    <w:rsid w:val="00807F10"/>
    <w:rsid w:val="00807F94"/>
    <w:rsid w:val="00807FB2"/>
    <w:rsid w:val="0081002C"/>
    <w:rsid w:val="0081009D"/>
    <w:rsid w:val="00810139"/>
    <w:rsid w:val="00810246"/>
    <w:rsid w:val="008102A9"/>
    <w:rsid w:val="008103AA"/>
    <w:rsid w:val="008103F9"/>
    <w:rsid w:val="008104CF"/>
    <w:rsid w:val="00810552"/>
    <w:rsid w:val="008105B3"/>
    <w:rsid w:val="008108AE"/>
    <w:rsid w:val="00810C1E"/>
    <w:rsid w:val="00810E21"/>
    <w:rsid w:val="00810ECF"/>
    <w:rsid w:val="00810F7F"/>
    <w:rsid w:val="00810FCE"/>
    <w:rsid w:val="00811047"/>
    <w:rsid w:val="00811055"/>
    <w:rsid w:val="00811165"/>
    <w:rsid w:val="008111CF"/>
    <w:rsid w:val="0081129D"/>
    <w:rsid w:val="008112C9"/>
    <w:rsid w:val="008113AE"/>
    <w:rsid w:val="008114D8"/>
    <w:rsid w:val="00811572"/>
    <w:rsid w:val="0081162F"/>
    <w:rsid w:val="00811645"/>
    <w:rsid w:val="00811692"/>
    <w:rsid w:val="008119BA"/>
    <w:rsid w:val="00811B40"/>
    <w:rsid w:val="00811C50"/>
    <w:rsid w:val="00811CC9"/>
    <w:rsid w:val="00811CEA"/>
    <w:rsid w:val="00811D2F"/>
    <w:rsid w:val="00811D79"/>
    <w:rsid w:val="00811DC4"/>
    <w:rsid w:val="00811DEC"/>
    <w:rsid w:val="00811E4A"/>
    <w:rsid w:val="00811E9C"/>
    <w:rsid w:val="008127F9"/>
    <w:rsid w:val="008128B8"/>
    <w:rsid w:val="00812917"/>
    <w:rsid w:val="008129E1"/>
    <w:rsid w:val="00812A4B"/>
    <w:rsid w:val="00812B6E"/>
    <w:rsid w:val="00812C05"/>
    <w:rsid w:val="00812DEE"/>
    <w:rsid w:val="00812DF0"/>
    <w:rsid w:val="00812E30"/>
    <w:rsid w:val="00812E51"/>
    <w:rsid w:val="00812FA4"/>
    <w:rsid w:val="00812FFF"/>
    <w:rsid w:val="008130B3"/>
    <w:rsid w:val="008130C4"/>
    <w:rsid w:val="00813130"/>
    <w:rsid w:val="00813212"/>
    <w:rsid w:val="0081322A"/>
    <w:rsid w:val="008135A7"/>
    <w:rsid w:val="00813678"/>
    <w:rsid w:val="0081367C"/>
    <w:rsid w:val="00813747"/>
    <w:rsid w:val="008137B6"/>
    <w:rsid w:val="00813895"/>
    <w:rsid w:val="008138C3"/>
    <w:rsid w:val="00813960"/>
    <w:rsid w:val="00813961"/>
    <w:rsid w:val="00813A02"/>
    <w:rsid w:val="00813B23"/>
    <w:rsid w:val="00813B8D"/>
    <w:rsid w:val="00813C26"/>
    <w:rsid w:val="00813C30"/>
    <w:rsid w:val="00813D45"/>
    <w:rsid w:val="00813DC9"/>
    <w:rsid w:val="00813E06"/>
    <w:rsid w:val="00813F34"/>
    <w:rsid w:val="00814086"/>
    <w:rsid w:val="008141DD"/>
    <w:rsid w:val="008141F1"/>
    <w:rsid w:val="0081423C"/>
    <w:rsid w:val="008144FD"/>
    <w:rsid w:val="00814573"/>
    <w:rsid w:val="00814693"/>
    <w:rsid w:val="00814746"/>
    <w:rsid w:val="008148BB"/>
    <w:rsid w:val="008148C2"/>
    <w:rsid w:val="00814C0E"/>
    <w:rsid w:val="00814C4B"/>
    <w:rsid w:val="00814C84"/>
    <w:rsid w:val="00814D2B"/>
    <w:rsid w:val="00814D35"/>
    <w:rsid w:val="00814E09"/>
    <w:rsid w:val="00814FA9"/>
    <w:rsid w:val="00814FFC"/>
    <w:rsid w:val="00815055"/>
    <w:rsid w:val="00815090"/>
    <w:rsid w:val="008151CC"/>
    <w:rsid w:val="0081521F"/>
    <w:rsid w:val="00815230"/>
    <w:rsid w:val="008153BC"/>
    <w:rsid w:val="008153C9"/>
    <w:rsid w:val="00815617"/>
    <w:rsid w:val="0081561F"/>
    <w:rsid w:val="00815724"/>
    <w:rsid w:val="008157BB"/>
    <w:rsid w:val="00815823"/>
    <w:rsid w:val="0081585B"/>
    <w:rsid w:val="008158D0"/>
    <w:rsid w:val="00815A15"/>
    <w:rsid w:val="00815AD2"/>
    <w:rsid w:val="00815BE8"/>
    <w:rsid w:val="00815C19"/>
    <w:rsid w:val="00815C8A"/>
    <w:rsid w:val="00815CC0"/>
    <w:rsid w:val="00815E12"/>
    <w:rsid w:val="0081616B"/>
    <w:rsid w:val="008162AB"/>
    <w:rsid w:val="008163CD"/>
    <w:rsid w:val="008164E1"/>
    <w:rsid w:val="008164EB"/>
    <w:rsid w:val="00816607"/>
    <w:rsid w:val="00816676"/>
    <w:rsid w:val="008166B6"/>
    <w:rsid w:val="008166E0"/>
    <w:rsid w:val="00816763"/>
    <w:rsid w:val="00816833"/>
    <w:rsid w:val="008169C0"/>
    <w:rsid w:val="008169E7"/>
    <w:rsid w:val="00816B2F"/>
    <w:rsid w:val="00816B3E"/>
    <w:rsid w:val="00816BEF"/>
    <w:rsid w:val="00816CDC"/>
    <w:rsid w:val="00816E7C"/>
    <w:rsid w:val="00816E9F"/>
    <w:rsid w:val="00816F88"/>
    <w:rsid w:val="0081766B"/>
    <w:rsid w:val="00817A08"/>
    <w:rsid w:val="00817A68"/>
    <w:rsid w:val="00817B4C"/>
    <w:rsid w:val="00817CD9"/>
    <w:rsid w:val="00817FF4"/>
    <w:rsid w:val="00820044"/>
    <w:rsid w:val="00820071"/>
    <w:rsid w:val="008201ED"/>
    <w:rsid w:val="00820281"/>
    <w:rsid w:val="008203C0"/>
    <w:rsid w:val="008204C8"/>
    <w:rsid w:val="00820585"/>
    <w:rsid w:val="008205C2"/>
    <w:rsid w:val="0082071F"/>
    <w:rsid w:val="00820758"/>
    <w:rsid w:val="00820940"/>
    <w:rsid w:val="00820A0A"/>
    <w:rsid w:val="00820B04"/>
    <w:rsid w:val="00820BC4"/>
    <w:rsid w:val="00820DC4"/>
    <w:rsid w:val="00820F3D"/>
    <w:rsid w:val="00820FFB"/>
    <w:rsid w:val="00821080"/>
    <w:rsid w:val="0082109F"/>
    <w:rsid w:val="00821153"/>
    <w:rsid w:val="00821228"/>
    <w:rsid w:val="0082130E"/>
    <w:rsid w:val="0082150E"/>
    <w:rsid w:val="00821522"/>
    <w:rsid w:val="00821747"/>
    <w:rsid w:val="00821783"/>
    <w:rsid w:val="00821942"/>
    <w:rsid w:val="00821AE5"/>
    <w:rsid w:val="00821BA3"/>
    <w:rsid w:val="00821C6A"/>
    <w:rsid w:val="00821EC9"/>
    <w:rsid w:val="00821EE3"/>
    <w:rsid w:val="00822048"/>
    <w:rsid w:val="0082220B"/>
    <w:rsid w:val="0082253F"/>
    <w:rsid w:val="0082262A"/>
    <w:rsid w:val="008226A9"/>
    <w:rsid w:val="0082283A"/>
    <w:rsid w:val="00822846"/>
    <w:rsid w:val="00822A85"/>
    <w:rsid w:val="00822A90"/>
    <w:rsid w:val="00822AE7"/>
    <w:rsid w:val="00822C58"/>
    <w:rsid w:val="00822D96"/>
    <w:rsid w:val="00822DA0"/>
    <w:rsid w:val="00822ED1"/>
    <w:rsid w:val="00822F12"/>
    <w:rsid w:val="0082322E"/>
    <w:rsid w:val="008232EC"/>
    <w:rsid w:val="00823322"/>
    <w:rsid w:val="008233E7"/>
    <w:rsid w:val="0082353F"/>
    <w:rsid w:val="00823611"/>
    <w:rsid w:val="00823850"/>
    <w:rsid w:val="00823AEB"/>
    <w:rsid w:val="00823B12"/>
    <w:rsid w:val="00823B29"/>
    <w:rsid w:val="00823B79"/>
    <w:rsid w:val="00823C2D"/>
    <w:rsid w:val="00823C4B"/>
    <w:rsid w:val="00823D9B"/>
    <w:rsid w:val="00823DE6"/>
    <w:rsid w:val="00823E21"/>
    <w:rsid w:val="00823E43"/>
    <w:rsid w:val="00823F22"/>
    <w:rsid w:val="00823FE8"/>
    <w:rsid w:val="008240CF"/>
    <w:rsid w:val="008241CA"/>
    <w:rsid w:val="008242FE"/>
    <w:rsid w:val="00824382"/>
    <w:rsid w:val="008244D6"/>
    <w:rsid w:val="0082450B"/>
    <w:rsid w:val="00824623"/>
    <w:rsid w:val="00824917"/>
    <w:rsid w:val="008249A1"/>
    <w:rsid w:val="00824A77"/>
    <w:rsid w:val="00824B63"/>
    <w:rsid w:val="00824CDB"/>
    <w:rsid w:val="00824E21"/>
    <w:rsid w:val="00824E83"/>
    <w:rsid w:val="00824EF8"/>
    <w:rsid w:val="00824F66"/>
    <w:rsid w:val="008251CE"/>
    <w:rsid w:val="008252C7"/>
    <w:rsid w:val="0082535A"/>
    <w:rsid w:val="008253BF"/>
    <w:rsid w:val="008253FA"/>
    <w:rsid w:val="0082540F"/>
    <w:rsid w:val="00825432"/>
    <w:rsid w:val="0082551E"/>
    <w:rsid w:val="008256B0"/>
    <w:rsid w:val="00825754"/>
    <w:rsid w:val="0082583D"/>
    <w:rsid w:val="008258AA"/>
    <w:rsid w:val="00825933"/>
    <w:rsid w:val="008259BB"/>
    <w:rsid w:val="00825C2B"/>
    <w:rsid w:val="00825CC8"/>
    <w:rsid w:val="00825CED"/>
    <w:rsid w:val="00825E9A"/>
    <w:rsid w:val="00825FFF"/>
    <w:rsid w:val="0082604B"/>
    <w:rsid w:val="00826220"/>
    <w:rsid w:val="00826259"/>
    <w:rsid w:val="008262C0"/>
    <w:rsid w:val="00826444"/>
    <w:rsid w:val="008264F4"/>
    <w:rsid w:val="00826504"/>
    <w:rsid w:val="00826659"/>
    <w:rsid w:val="008266D8"/>
    <w:rsid w:val="00826747"/>
    <w:rsid w:val="0082678F"/>
    <w:rsid w:val="008267A0"/>
    <w:rsid w:val="008267DA"/>
    <w:rsid w:val="00826A0C"/>
    <w:rsid w:val="00826C83"/>
    <w:rsid w:val="00826D46"/>
    <w:rsid w:val="00826D47"/>
    <w:rsid w:val="00826F01"/>
    <w:rsid w:val="00826FC5"/>
    <w:rsid w:val="00827040"/>
    <w:rsid w:val="008270CA"/>
    <w:rsid w:val="00827314"/>
    <w:rsid w:val="00827368"/>
    <w:rsid w:val="0082738E"/>
    <w:rsid w:val="008274FD"/>
    <w:rsid w:val="00827563"/>
    <w:rsid w:val="00827912"/>
    <w:rsid w:val="0082794E"/>
    <w:rsid w:val="00827997"/>
    <w:rsid w:val="00827A38"/>
    <w:rsid w:val="00827AAC"/>
    <w:rsid w:val="00827B55"/>
    <w:rsid w:val="00827B5D"/>
    <w:rsid w:val="00827BC1"/>
    <w:rsid w:val="00827C83"/>
    <w:rsid w:val="00827D19"/>
    <w:rsid w:val="00827D6E"/>
    <w:rsid w:val="00827DC0"/>
    <w:rsid w:val="00827DEF"/>
    <w:rsid w:val="00827E2A"/>
    <w:rsid w:val="00827F0B"/>
    <w:rsid w:val="00827F1A"/>
    <w:rsid w:val="00827F65"/>
    <w:rsid w:val="00830040"/>
    <w:rsid w:val="0083010F"/>
    <w:rsid w:val="00830160"/>
    <w:rsid w:val="00830262"/>
    <w:rsid w:val="008302B7"/>
    <w:rsid w:val="0083030E"/>
    <w:rsid w:val="00830340"/>
    <w:rsid w:val="008303A5"/>
    <w:rsid w:val="008303F2"/>
    <w:rsid w:val="00830489"/>
    <w:rsid w:val="00830598"/>
    <w:rsid w:val="008306F4"/>
    <w:rsid w:val="00830A36"/>
    <w:rsid w:val="00830D3D"/>
    <w:rsid w:val="00830F45"/>
    <w:rsid w:val="00830F74"/>
    <w:rsid w:val="0083115E"/>
    <w:rsid w:val="00831279"/>
    <w:rsid w:val="008313C0"/>
    <w:rsid w:val="008313CE"/>
    <w:rsid w:val="00831520"/>
    <w:rsid w:val="00831646"/>
    <w:rsid w:val="00831650"/>
    <w:rsid w:val="0083173F"/>
    <w:rsid w:val="008317FE"/>
    <w:rsid w:val="00831864"/>
    <w:rsid w:val="008319B1"/>
    <w:rsid w:val="00831A44"/>
    <w:rsid w:val="00831B8B"/>
    <w:rsid w:val="00831C8A"/>
    <w:rsid w:val="00831E28"/>
    <w:rsid w:val="00831F0B"/>
    <w:rsid w:val="00831FC2"/>
    <w:rsid w:val="008320A3"/>
    <w:rsid w:val="0083218E"/>
    <w:rsid w:val="00832192"/>
    <w:rsid w:val="008321B7"/>
    <w:rsid w:val="00832547"/>
    <w:rsid w:val="0083256E"/>
    <w:rsid w:val="0083262E"/>
    <w:rsid w:val="0083269B"/>
    <w:rsid w:val="00832928"/>
    <w:rsid w:val="008329A1"/>
    <w:rsid w:val="00832A1B"/>
    <w:rsid w:val="00832A69"/>
    <w:rsid w:val="00832B42"/>
    <w:rsid w:val="00832BA6"/>
    <w:rsid w:val="00832BB0"/>
    <w:rsid w:val="00832BE5"/>
    <w:rsid w:val="00832BED"/>
    <w:rsid w:val="00832D79"/>
    <w:rsid w:val="00832EFC"/>
    <w:rsid w:val="00832F98"/>
    <w:rsid w:val="00832FFB"/>
    <w:rsid w:val="008330FE"/>
    <w:rsid w:val="00833143"/>
    <w:rsid w:val="0083318E"/>
    <w:rsid w:val="0083319B"/>
    <w:rsid w:val="00833264"/>
    <w:rsid w:val="0083338E"/>
    <w:rsid w:val="008333AF"/>
    <w:rsid w:val="00833682"/>
    <w:rsid w:val="0083373A"/>
    <w:rsid w:val="0083375E"/>
    <w:rsid w:val="008337D2"/>
    <w:rsid w:val="00833820"/>
    <w:rsid w:val="00833A3F"/>
    <w:rsid w:val="00833A60"/>
    <w:rsid w:val="00833B23"/>
    <w:rsid w:val="00833C35"/>
    <w:rsid w:val="00833DDB"/>
    <w:rsid w:val="00833E6F"/>
    <w:rsid w:val="00833ECB"/>
    <w:rsid w:val="00833F3F"/>
    <w:rsid w:val="008340DE"/>
    <w:rsid w:val="00834260"/>
    <w:rsid w:val="0083438F"/>
    <w:rsid w:val="008343CB"/>
    <w:rsid w:val="00834608"/>
    <w:rsid w:val="008346F0"/>
    <w:rsid w:val="00834746"/>
    <w:rsid w:val="008347C4"/>
    <w:rsid w:val="00834822"/>
    <w:rsid w:val="008349B6"/>
    <w:rsid w:val="00834B43"/>
    <w:rsid w:val="00834C44"/>
    <w:rsid w:val="00834C54"/>
    <w:rsid w:val="00834D58"/>
    <w:rsid w:val="00834D5E"/>
    <w:rsid w:val="00834E15"/>
    <w:rsid w:val="0083505A"/>
    <w:rsid w:val="0083508E"/>
    <w:rsid w:val="0083522E"/>
    <w:rsid w:val="00835369"/>
    <w:rsid w:val="0083538D"/>
    <w:rsid w:val="008357FE"/>
    <w:rsid w:val="0083582D"/>
    <w:rsid w:val="008358C4"/>
    <w:rsid w:val="0083593E"/>
    <w:rsid w:val="00835A1C"/>
    <w:rsid w:val="00835B07"/>
    <w:rsid w:val="00835CB8"/>
    <w:rsid w:val="00835D49"/>
    <w:rsid w:val="00835E33"/>
    <w:rsid w:val="00835F6A"/>
    <w:rsid w:val="0083608A"/>
    <w:rsid w:val="008360B3"/>
    <w:rsid w:val="00836171"/>
    <w:rsid w:val="0083632E"/>
    <w:rsid w:val="0083639B"/>
    <w:rsid w:val="00836449"/>
    <w:rsid w:val="008366DC"/>
    <w:rsid w:val="00836769"/>
    <w:rsid w:val="008367E7"/>
    <w:rsid w:val="0083682C"/>
    <w:rsid w:val="00836BB1"/>
    <w:rsid w:val="00836C9D"/>
    <w:rsid w:val="00836D98"/>
    <w:rsid w:val="00836FC5"/>
    <w:rsid w:val="00837023"/>
    <w:rsid w:val="00837039"/>
    <w:rsid w:val="008371F0"/>
    <w:rsid w:val="00837473"/>
    <w:rsid w:val="008375E9"/>
    <w:rsid w:val="00837713"/>
    <w:rsid w:val="00837750"/>
    <w:rsid w:val="00837902"/>
    <w:rsid w:val="0083793B"/>
    <w:rsid w:val="00837A13"/>
    <w:rsid w:val="00837A7E"/>
    <w:rsid w:val="00837A93"/>
    <w:rsid w:val="00837AA4"/>
    <w:rsid w:val="00837AFC"/>
    <w:rsid w:val="00837E00"/>
    <w:rsid w:val="00837EAA"/>
    <w:rsid w:val="00837FBB"/>
    <w:rsid w:val="008400CE"/>
    <w:rsid w:val="008402FB"/>
    <w:rsid w:val="00840329"/>
    <w:rsid w:val="008404A2"/>
    <w:rsid w:val="008405A6"/>
    <w:rsid w:val="00840703"/>
    <w:rsid w:val="00840A83"/>
    <w:rsid w:val="00840BB0"/>
    <w:rsid w:val="00840BD3"/>
    <w:rsid w:val="00840CA5"/>
    <w:rsid w:val="00840D02"/>
    <w:rsid w:val="00840F1D"/>
    <w:rsid w:val="00841058"/>
    <w:rsid w:val="00841098"/>
    <w:rsid w:val="00841180"/>
    <w:rsid w:val="008412FA"/>
    <w:rsid w:val="008413A6"/>
    <w:rsid w:val="0084147D"/>
    <w:rsid w:val="00841514"/>
    <w:rsid w:val="00841533"/>
    <w:rsid w:val="0084155B"/>
    <w:rsid w:val="00841596"/>
    <w:rsid w:val="00841605"/>
    <w:rsid w:val="008417BE"/>
    <w:rsid w:val="0084199F"/>
    <w:rsid w:val="00841A2E"/>
    <w:rsid w:val="00841AEC"/>
    <w:rsid w:val="00841B13"/>
    <w:rsid w:val="00841DA3"/>
    <w:rsid w:val="00841E23"/>
    <w:rsid w:val="00841E92"/>
    <w:rsid w:val="00841ED4"/>
    <w:rsid w:val="00842040"/>
    <w:rsid w:val="00842054"/>
    <w:rsid w:val="0084209F"/>
    <w:rsid w:val="008420A5"/>
    <w:rsid w:val="0084214B"/>
    <w:rsid w:val="008421E7"/>
    <w:rsid w:val="008422A6"/>
    <w:rsid w:val="008422F3"/>
    <w:rsid w:val="00842350"/>
    <w:rsid w:val="008423E4"/>
    <w:rsid w:val="008426B7"/>
    <w:rsid w:val="00842AB6"/>
    <w:rsid w:val="00842CC8"/>
    <w:rsid w:val="00842E09"/>
    <w:rsid w:val="00843016"/>
    <w:rsid w:val="0084305A"/>
    <w:rsid w:val="008431F3"/>
    <w:rsid w:val="00843434"/>
    <w:rsid w:val="00843577"/>
    <w:rsid w:val="00843614"/>
    <w:rsid w:val="00843642"/>
    <w:rsid w:val="0084369E"/>
    <w:rsid w:val="008436A0"/>
    <w:rsid w:val="008436EA"/>
    <w:rsid w:val="008436F7"/>
    <w:rsid w:val="00843786"/>
    <w:rsid w:val="00843875"/>
    <w:rsid w:val="00843A54"/>
    <w:rsid w:val="00843C2B"/>
    <w:rsid w:val="00843D63"/>
    <w:rsid w:val="00843DE3"/>
    <w:rsid w:val="00843E6F"/>
    <w:rsid w:val="00843EFA"/>
    <w:rsid w:val="008440EC"/>
    <w:rsid w:val="008441CE"/>
    <w:rsid w:val="00844297"/>
    <w:rsid w:val="008443E7"/>
    <w:rsid w:val="00844562"/>
    <w:rsid w:val="0084469B"/>
    <w:rsid w:val="00844890"/>
    <w:rsid w:val="008448F5"/>
    <w:rsid w:val="00844A4B"/>
    <w:rsid w:val="00844A90"/>
    <w:rsid w:val="00844B0F"/>
    <w:rsid w:val="00844B8A"/>
    <w:rsid w:val="00844C4A"/>
    <w:rsid w:val="00844D1A"/>
    <w:rsid w:val="00844D5C"/>
    <w:rsid w:val="00844D94"/>
    <w:rsid w:val="00844E7A"/>
    <w:rsid w:val="00844F5D"/>
    <w:rsid w:val="00844F83"/>
    <w:rsid w:val="00845193"/>
    <w:rsid w:val="0084524A"/>
    <w:rsid w:val="00845346"/>
    <w:rsid w:val="0084537F"/>
    <w:rsid w:val="0084542E"/>
    <w:rsid w:val="00845487"/>
    <w:rsid w:val="00845499"/>
    <w:rsid w:val="00845666"/>
    <w:rsid w:val="0084566A"/>
    <w:rsid w:val="008456CE"/>
    <w:rsid w:val="008456E8"/>
    <w:rsid w:val="008457DA"/>
    <w:rsid w:val="00845881"/>
    <w:rsid w:val="00845A10"/>
    <w:rsid w:val="00845D44"/>
    <w:rsid w:val="00845DB9"/>
    <w:rsid w:val="00845DBD"/>
    <w:rsid w:val="00845DD2"/>
    <w:rsid w:val="008460D6"/>
    <w:rsid w:val="0084619C"/>
    <w:rsid w:val="008465AE"/>
    <w:rsid w:val="008468FE"/>
    <w:rsid w:val="008469A2"/>
    <w:rsid w:val="008469BF"/>
    <w:rsid w:val="00846B97"/>
    <w:rsid w:val="00846C00"/>
    <w:rsid w:val="00846E05"/>
    <w:rsid w:val="00846E4A"/>
    <w:rsid w:val="00846E71"/>
    <w:rsid w:val="00846F72"/>
    <w:rsid w:val="0084719E"/>
    <w:rsid w:val="00847421"/>
    <w:rsid w:val="00847440"/>
    <w:rsid w:val="008475D4"/>
    <w:rsid w:val="0084774A"/>
    <w:rsid w:val="008477FD"/>
    <w:rsid w:val="00847A5B"/>
    <w:rsid w:val="00847BA3"/>
    <w:rsid w:val="00847BFC"/>
    <w:rsid w:val="00847C2B"/>
    <w:rsid w:val="00847D42"/>
    <w:rsid w:val="00847E85"/>
    <w:rsid w:val="00850043"/>
    <w:rsid w:val="00850128"/>
    <w:rsid w:val="0085025C"/>
    <w:rsid w:val="0085028F"/>
    <w:rsid w:val="008503D0"/>
    <w:rsid w:val="00850581"/>
    <w:rsid w:val="00850832"/>
    <w:rsid w:val="0085085A"/>
    <w:rsid w:val="00850912"/>
    <w:rsid w:val="00850A66"/>
    <w:rsid w:val="00850B50"/>
    <w:rsid w:val="00850D26"/>
    <w:rsid w:val="00851046"/>
    <w:rsid w:val="008510F7"/>
    <w:rsid w:val="00851100"/>
    <w:rsid w:val="00851111"/>
    <w:rsid w:val="00851150"/>
    <w:rsid w:val="00851198"/>
    <w:rsid w:val="0085127C"/>
    <w:rsid w:val="0085135B"/>
    <w:rsid w:val="008513F8"/>
    <w:rsid w:val="00851433"/>
    <w:rsid w:val="00851654"/>
    <w:rsid w:val="008516D5"/>
    <w:rsid w:val="008517AF"/>
    <w:rsid w:val="0085199D"/>
    <w:rsid w:val="00851AF5"/>
    <w:rsid w:val="00851DAA"/>
    <w:rsid w:val="00851E3A"/>
    <w:rsid w:val="00851E90"/>
    <w:rsid w:val="00851EA1"/>
    <w:rsid w:val="00851EA9"/>
    <w:rsid w:val="00851EED"/>
    <w:rsid w:val="00851FB5"/>
    <w:rsid w:val="00852122"/>
    <w:rsid w:val="00852183"/>
    <w:rsid w:val="008521DA"/>
    <w:rsid w:val="008521DB"/>
    <w:rsid w:val="00852251"/>
    <w:rsid w:val="008522D5"/>
    <w:rsid w:val="00852396"/>
    <w:rsid w:val="008523B5"/>
    <w:rsid w:val="00852514"/>
    <w:rsid w:val="00852677"/>
    <w:rsid w:val="00852766"/>
    <w:rsid w:val="008527B9"/>
    <w:rsid w:val="008527D1"/>
    <w:rsid w:val="00852984"/>
    <w:rsid w:val="00852991"/>
    <w:rsid w:val="00852A40"/>
    <w:rsid w:val="00852ACA"/>
    <w:rsid w:val="00852B97"/>
    <w:rsid w:val="00852DB9"/>
    <w:rsid w:val="00852DC2"/>
    <w:rsid w:val="00852DEC"/>
    <w:rsid w:val="00852E6F"/>
    <w:rsid w:val="00852E7F"/>
    <w:rsid w:val="00852E9C"/>
    <w:rsid w:val="00852EC6"/>
    <w:rsid w:val="00852EDD"/>
    <w:rsid w:val="00852F00"/>
    <w:rsid w:val="00852F29"/>
    <w:rsid w:val="00852F54"/>
    <w:rsid w:val="00852FBD"/>
    <w:rsid w:val="00853128"/>
    <w:rsid w:val="00853184"/>
    <w:rsid w:val="008532C5"/>
    <w:rsid w:val="008533EE"/>
    <w:rsid w:val="0085354F"/>
    <w:rsid w:val="00853872"/>
    <w:rsid w:val="00853AFC"/>
    <w:rsid w:val="00853B93"/>
    <w:rsid w:val="00853C37"/>
    <w:rsid w:val="00853E4D"/>
    <w:rsid w:val="0085404C"/>
    <w:rsid w:val="008540EC"/>
    <w:rsid w:val="00854267"/>
    <w:rsid w:val="00854327"/>
    <w:rsid w:val="00854332"/>
    <w:rsid w:val="00854359"/>
    <w:rsid w:val="008543AB"/>
    <w:rsid w:val="00854460"/>
    <w:rsid w:val="00854670"/>
    <w:rsid w:val="00854724"/>
    <w:rsid w:val="00854CBF"/>
    <w:rsid w:val="00854DAA"/>
    <w:rsid w:val="00854E31"/>
    <w:rsid w:val="00854ED3"/>
    <w:rsid w:val="0085506B"/>
    <w:rsid w:val="008550CB"/>
    <w:rsid w:val="008552B3"/>
    <w:rsid w:val="008552CB"/>
    <w:rsid w:val="00855366"/>
    <w:rsid w:val="008553D6"/>
    <w:rsid w:val="008553ED"/>
    <w:rsid w:val="00855513"/>
    <w:rsid w:val="0085572B"/>
    <w:rsid w:val="00855761"/>
    <w:rsid w:val="008558B8"/>
    <w:rsid w:val="008559CE"/>
    <w:rsid w:val="00855B60"/>
    <w:rsid w:val="00855B7F"/>
    <w:rsid w:val="00855BED"/>
    <w:rsid w:val="00855C8E"/>
    <w:rsid w:val="00855E0B"/>
    <w:rsid w:val="00856006"/>
    <w:rsid w:val="00856080"/>
    <w:rsid w:val="008560B9"/>
    <w:rsid w:val="00856149"/>
    <w:rsid w:val="008561E8"/>
    <w:rsid w:val="0085638C"/>
    <w:rsid w:val="0085658C"/>
    <w:rsid w:val="00856625"/>
    <w:rsid w:val="008566F7"/>
    <w:rsid w:val="00856A20"/>
    <w:rsid w:val="00856B46"/>
    <w:rsid w:val="00856D81"/>
    <w:rsid w:val="00856E08"/>
    <w:rsid w:val="00857028"/>
    <w:rsid w:val="00857088"/>
    <w:rsid w:val="008570DB"/>
    <w:rsid w:val="0085710F"/>
    <w:rsid w:val="00857127"/>
    <w:rsid w:val="0085718B"/>
    <w:rsid w:val="008572B3"/>
    <w:rsid w:val="0085737A"/>
    <w:rsid w:val="008577F2"/>
    <w:rsid w:val="00857819"/>
    <w:rsid w:val="00857897"/>
    <w:rsid w:val="00857A69"/>
    <w:rsid w:val="00857BDF"/>
    <w:rsid w:val="00857C72"/>
    <w:rsid w:val="00857DF4"/>
    <w:rsid w:val="00857E05"/>
    <w:rsid w:val="00857F58"/>
    <w:rsid w:val="00857F66"/>
    <w:rsid w:val="008603CB"/>
    <w:rsid w:val="00860793"/>
    <w:rsid w:val="008607CF"/>
    <w:rsid w:val="008607D4"/>
    <w:rsid w:val="008608A3"/>
    <w:rsid w:val="0086092E"/>
    <w:rsid w:val="00860A6A"/>
    <w:rsid w:val="00860A8F"/>
    <w:rsid w:val="00860B4C"/>
    <w:rsid w:val="00860D6C"/>
    <w:rsid w:val="00860DF4"/>
    <w:rsid w:val="00860F21"/>
    <w:rsid w:val="00861089"/>
    <w:rsid w:val="008610BD"/>
    <w:rsid w:val="008612A8"/>
    <w:rsid w:val="008612AB"/>
    <w:rsid w:val="008612B7"/>
    <w:rsid w:val="0086135C"/>
    <w:rsid w:val="0086139D"/>
    <w:rsid w:val="00861509"/>
    <w:rsid w:val="0086153B"/>
    <w:rsid w:val="0086157A"/>
    <w:rsid w:val="00861670"/>
    <w:rsid w:val="0086169D"/>
    <w:rsid w:val="0086176B"/>
    <w:rsid w:val="00861890"/>
    <w:rsid w:val="008619BE"/>
    <w:rsid w:val="00861B3D"/>
    <w:rsid w:val="00861B8D"/>
    <w:rsid w:val="00862196"/>
    <w:rsid w:val="00862199"/>
    <w:rsid w:val="008622FB"/>
    <w:rsid w:val="00862301"/>
    <w:rsid w:val="0086237E"/>
    <w:rsid w:val="0086242C"/>
    <w:rsid w:val="0086244B"/>
    <w:rsid w:val="0086252E"/>
    <w:rsid w:val="008626B9"/>
    <w:rsid w:val="008626DF"/>
    <w:rsid w:val="00862721"/>
    <w:rsid w:val="008628DC"/>
    <w:rsid w:val="00862B30"/>
    <w:rsid w:val="00862B5E"/>
    <w:rsid w:val="00862BB2"/>
    <w:rsid w:val="00862C60"/>
    <w:rsid w:val="00862CC6"/>
    <w:rsid w:val="00862E4A"/>
    <w:rsid w:val="00862EEB"/>
    <w:rsid w:val="00862F4D"/>
    <w:rsid w:val="0086307E"/>
    <w:rsid w:val="0086316E"/>
    <w:rsid w:val="00863217"/>
    <w:rsid w:val="008634D4"/>
    <w:rsid w:val="0086362C"/>
    <w:rsid w:val="008637E6"/>
    <w:rsid w:val="00863904"/>
    <w:rsid w:val="0086396F"/>
    <w:rsid w:val="00863A17"/>
    <w:rsid w:val="00863B12"/>
    <w:rsid w:val="00863D72"/>
    <w:rsid w:val="00863D9F"/>
    <w:rsid w:val="00863F0E"/>
    <w:rsid w:val="0086400F"/>
    <w:rsid w:val="00864118"/>
    <w:rsid w:val="00864265"/>
    <w:rsid w:val="008642FF"/>
    <w:rsid w:val="00864400"/>
    <w:rsid w:val="0086447F"/>
    <w:rsid w:val="008644FC"/>
    <w:rsid w:val="0086458C"/>
    <w:rsid w:val="0086462F"/>
    <w:rsid w:val="00864697"/>
    <w:rsid w:val="00864741"/>
    <w:rsid w:val="00864743"/>
    <w:rsid w:val="008647DE"/>
    <w:rsid w:val="0086486E"/>
    <w:rsid w:val="00864A64"/>
    <w:rsid w:val="00864A8A"/>
    <w:rsid w:val="00864B95"/>
    <w:rsid w:val="00864C2B"/>
    <w:rsid w:val="00864D75"/>
    <w:rsid w:val="00864DC6"/>
    <w:rsid w:val="00864DD6"/>
    <w:rsid w:val="00864DE2"/>
    <w:rsid w:val="00864DEB"/>
    <w:rsid w:val="00864E48"/>
    <w:rsid w:val="00864EEA"/>
    <w:rsid w:val="00865067"/>
    <w:rsid w:val="00865097"/>
    <w:rsid w:val="008651C2"/>
    <w:rsid w:val="00865343"/>
    <w:rsid w:val="008653E1"/>
    <w:rsid w:val="00865430"/>
    <w:rsid w:val="0086549E"/>
    <w:rsid w:val="00865588"/>
    <w:rsid w:val="00865693"/>
    <w:rsid w:val="008656A2"/>
    <w:rsid w:val="00865737"/>
    <w:rsid w:val="008658DE"/>
    <w:rsid w:val="00865931"/>
    <w:rsid w:val="00865951"/>
    <w:rsid w:val="00865967"/>
    <w:rsid w:val="00865C4D"/>
    <w:rsid w:val="00865D6E"/>
    <w:rsid w:val="00865D86"/>
    <w:rsid w:val="00865E4E"/>
    <w:rsid w:val="00865E72"/>
    <w:rsid w:val="00865F33"/>
    <w:rsid w:val="00865F3D"/>
    <w:rsid w:val="00865FB7"/>
    <w:rsid w:val="00866023"/>
    <w:rsid w:val="00866142"/>
    <w:rsid w:val="008661F9"/>
    <w:rsid w:val="00866277"/>
    <w:rsid w:val="0086631B"/>
    <w:rsid w:val="008664B1"/>
    <w:rsid w:val="0086663F"/>
    <w:rsid w:val="00866788"/>
    <w:rsid w:val="008667B8"/>
    <w:rsid w:val="00866864"/>
    <w:rsid w:val="008668F6"/>
    <w:rsid w:val="00866977"/>
    <w:rsid w:val="00866A85"/>
    <w:rsid w:val="00866BBA"/>
    <w:rsid w:val="00866DE0"/>
    <w:rsid w:val="00866E0B"/>
    <w:rsid w:val="00866EFA"/>
    <w:rsid w:val="00866F3A"/>
    <w:rsid w:val="00866F48"/>
    <w:rsid w:val="00866FCB"/>
    <w:rsid w:val="00867003"/>
    <w:rsid w:val="0086709B"/>
    <w:rsid w:val="00867176"/>
    <w:rsid w:val="00867182"/>
    <w:rsid w:val="008671FE"/>
    <w:rsid w:val="0086720F"/>
    <w:rsid w:val="00867410"/>
    <w:rsid w:val="0086747C"/>
    <w:rsid w:val="00867488"/>
    <w:rsid w:val="008676D8"/>
    <w:rsid w:val="008678EA"/>
    <w:rsid w:val="00867990"/>
    <w:rsid w:val="00867A08"/>
    <w:rsid w:val="00867AEF"/>
    <w:rsid w:val="00867BC2"/>
    <w:rsid w:val="00867BE1"/>
    <w:rsid w:val="00867D49"/>
    <w:rsid w:val="00867DA2"/>
    <w:rsid w:val="00867DCB"/>
    <w:rsid w:val="00867EAE"/>
    <w:rsid w:val="008700F8"/>
    <w:rsid w:val="00870122"/>
    <w:rsid w:val="0087022E"/>
    <w:rsid w:val="008702A5"/>
    <w:rsid w:val="0087035E"/>
    <w:rsid w:val="008705D6"/>
    <w:rsid w:val="008706A0"/>
    <w:rsid w:val="008706CC"/>
    <w:rsid w:val="00870773"/>
    <w:rsid w:val="00870889"/>
    <w:rsid w:val="00870BFB"/>
    <w:rsid w:val="00870C25"/>
    <w:rsid w:val="00870C2B"/>
    <w:rsid w:val="00870C56"/>
    <w:rsid w:val="00870EF0"/>
    <w:rsid w:val="00870F21"/>
    <w:rsid w:val="00870FC5"/>
    <w:rsid w:val="00871076"/>
    <w:rsid w:val="008710EF"/>
    <w:rsid w:val="008711EF"/>
    <w:rsid w:val="00871250"/>
    <w:rsid w:val="008712E0"/>
    <w:rsid w:val="0087131C"/>
    <w:rsid w:val="0087133B"/>
    <w:rsid w:val="008713BA"/>
    <w:rsid w:val="008713E1"/>
    <w:rsid w:val="0087147C"/>
    <w:rsid w:val="008717D7"/>
    <w:rsid w:val="00871A23"/>
    <w:rsid w:val="00871A86"/>
    <w:rsid w:val="00871B75"/>
    <w:rsid w:val="00871C13"/>
    <w:rsid w:val="00871C23"/>
    <w:rsid w:val="00871C8A"/>
    <w:rsid w:val="00871C95"/>
    <w:rsid w:val="00871DDA"/>
    <w:rsid w:val="00871F66"/>
    <w:rsid w:val="00871F9A"/>
    <w:rsid w:val="00872121"/>
    <w:rsid w:val="00872175"/>
    <w:rsid w:val="0087226D"/>
    <w:rsid w:val="00872295"/>
    <w:rsid w:val="008723B7"/>
    <w:rsid w:val="00872416"/>
    <w:rsid w:val="00872442"/>
    <w:rsid w:val="008724D1"/>
    <w:rsid w:val="008724DB"/>
    <w:rsid w:val="00872612"/>
    <w:rsid w:val="0087264F"/>
    <w:rsid w:val="008726DF"/>
    <w:rsid w:val="008726FA"/>
    <w:rsid w:val="0087271D"/>
    <w:rsid w:val="00872735"/>
    <w:rsid w:val="008727F1"/>
    <w:rsid w:val="008729DA"/>
    <w:rsid w:val="00872AB3"/>
    <w:rsid w:val="00872D51"/>
    <w:rsid w:val="00872F41"/>
    <w:rsid w:val="00873046"/>
    <w:rsid w:val="00873116"/>
    <w:rsid w:val="008731B8"/>
    <w:rsid w:val="0087332E"/>
    <w:rsid w:val="00873620"/>
    <w:rsid w:val="00873667"/>
    <w:rsid w:val="008736C2"/>
    <w:rsid w:val="008737FA"/>
    <w:rsid w:val="0087386C"/>
    <w:rsid w:val="008738A6"/>
    <w:rsid w:val="008739F4"/>
    <w:rsid w:val="00873A17"/>
    <w:rsid w:val="00873A83"/>
    <w:rsid w:val="00873AB8"/>
    <w:rsid w:val="00873BA6"/>
    <w:rsid w:val="00873BDE"/>
    <w:rsid w:val="00873C67"/>
    <w:rsid w:val="00873D36"/>
    <w:rsid w:val="00873EFF"/>
    <w:rsid w:val="00873F60"/>
    <w:rsid w:val="00873FB4"/>
    <w:rsid w:val="00874045"/>
    <w:rsid w:val="00874159"/>
    <w:rsid w:val="008741F0"/>
    <w:rsid w:val="0087428B"/>
    <w:rsid w:val="00874496"/>
    <w:rsid w:val="008744BB"/>
    <w:rsid w:val="00874503"/>
    <w:rsid w:val="00874702"/>
    <w:rsid w:val="008747A6"/>
    <w:rsid w:val="008747F2"/>
    <w:rsid w:val="00874842"/>
    <w:rsid w:val="00874948"/>
    <w:rsid w:val="0087494E"/>
    <w:rsid w:val="008749A3"/>
    <w:rsid w:val="00874ABD"/>
    <w:rsid w:val="00874CA7"/>
    <w:rsid w:val="00874DB0"/>
    <w:rsid w:val="00874E64"/>
    <w:rsid w:val="008750FA"/>
    <w:rsid w:val="00875145"/>
    <w:rsid w:val="008751C6"/>
    <w:rsid w:val="0087528B"/>
    <w:rsid w:val="0087555D"/>
    <w:rsid w:val="008758CE"/>
    <w:rsid w:val="0087592F"/>
    <w:rsid w:val="00875958"/>
    <w:rsid w:val="00875A5A"/>
    <w:rsid w:val="00875A72"/>
    <w:rsid w:val="00875B84"/>
    <w:rsid w:val="00875C61"/>
    <w:rsid w:val="00875D90"/>
    <w:rsid w:val="00875DD4"/>
    <w:rsid w:val="00875E3C"/>
    <w:rsid w:val="00875F68"/>
    <w:rsid w:val="008760EF"/>
    <w:rsid w:val="00876116"/>
    <w:rsid w:val="008761CC"/>
    <w:rsid w:val="008763B3"/>
    <w:rsid w:val="00876416"/>
    <w:rsid w:val="00876567"/>
    <w:rsid w:val="00876890"/>
    <w:rsid w:val="0087693A"/>
    <w:rsid w:val="00876955"/>
    <w:rsid w:val="00876B8D"/>
    <w:rsid w:val="00876BC1"/>
    <w:rsid w:val="00876CBA"/>
    <w:rsid w:val="00876D5B"/>
    <w:rsid w:val="00876DF5"/>
    <w:rsid w:val="00876E03"/>
    <w:rsid w:val="00876EA6"/>
    <w:rsid w:val="00876EF0"/>
    <w:rsid w:val="00876F19"/>
    <w:rsid w:val="00877051"/>
    <w:rsid w:val="008770A3"/>
    <w:rsid w:val="00877189"/>
    <w:rsid w:val="008771A0"/>
    <w:rsid w:val="008771EA"/>
    <w:rsid w:val="00877277"/>
    <w:rsid w:val="0087728F"/>
    <w:rsid w:val="008772F7"/>
    <w:rsid w:val="008773A1"/>
    <w:rsid w:val="008774E0"/>
    <w:rsid w:val="00877629"/>
    <w:rsid w:val="0087769B"/>
    <w:rsid w:val="00877727"/>
    <w:rsid w:val="00877842"/>
    <w:rsid w:val="00877885"/>
    <w:rsid w:val="00877B1A"/>
    <w:rsid w:val="00877BAF"/>
    <w:rsid w:val="00877C26"/>
    <w:rsid w:val="00877CA7"/>
    <w:rsid w:val="00877E7E"/>
    <w:rsid w:val="00877E9C"/>
    <w:rsid w:val="00880054"/>
    <w:rsid w:val="008800CF"/>
    <w:rsid w:val="008800D3"/>
    <w:rsid w:val="00880159"/>
    <w:rsid w:val="0088017E"/>
    <w:rsid w:val="00880577"/>
    <w:rsid w:val="0088059C"/>
    <w:rsid w:val="008805EC"/>
    <w:rsid w:val="0088066B"/>
    <w:rsid w:val="008807E4"/>
    <w:rsid w:val="008808DC"/>
    <w:rsid w:val="00880B5E"/>
    <w:rsid w:val="00880C56"/>
    <w:rsid w:val="00880C5B"/>
    <w:rsid w:val="00880D35"/>
    <w:rsid w:val="00880D8E"/>
    <w:rsid w:val="00880F1A"/>
    <w:rsid w:val="00880F80"/>
    <w:rsid w:val="00881265"/>
    <w:rsid w:val="008812AB"/>
    <w:rsid w:val="0088141F"/>
    <w:rsid w:val="00881505"/>
    <w:rsid w:val="0088154E"/>
    <w:rsid w:val="008815D9"/>
    <w:rsid w:val="0088167D"/>
    <w:rsid w:val="008816A8"/>
    <w:rsid w:val="00881709"/>
    <w:rsid w:val="00881821"/>
    <w:rsid w:val="00881857"/>
    <w:rsid w:val="008818A5"/>
    <w:rsid w:val="008818D1"/>
    <w:rsid w:val="008819A0"/>
    <w:rsid w:val="008819D3"/>
    <w:rsid w:val="008819D7"/>
    <w:rsid w:val="00881ADB"/>
    <w:rsid w:val="00881B11"/>
    <w:rsid w:val="00881B16"/>
    <w:rsid w:val="00881B6E"/>
    <w:rsid w:val="00881C7C"/>
    <w:rsid w:val="00881C7D"/>
    <w:rsid w:val="00881C85"/>
    <w:rsid w:val="00881CEB"/>
    <w:rsid w:val="00882117"/>
    <w:rsid w:val="00882181"/>
    <w:rsid w:val="008821CA"/>
    <w:rsid w:val="00882241"/>
    <w:rsid w:val="0088236F"/>
    <w:rsid w:val="00882390"/>
    <w:rsid w:val="008823E6"/>
    <w:rsid w:val="00882748"/>
    <w:rsid w:val="00882761"/>
    <w:rsid w:val="00882929"/>
    <w:rsid w:val="0088293D"/>
    <w:rsid w:val="00882BD6"/>
    <w:rsid w:val="00882D12"/>
    <w:rsid w:val="00882E69"/>
    <w:rsid w:val="00882F89"/>
    <w:rsid w:val="008830F3"/>
    <w:rsid w:val="008831D1"/>
    <w:rsid w:val="0088326B"/>
    <w:rsid w:val="008832C6"/>
    <w:rsid w:val="0088337C"/>
    <w:rsid w:val="00883478"/>
    <w:rsid w:val="008834C8"/>
    <w:rsid w:val="00883606"/>
    <w:rsid w:val="008836D4"/>
    <w:rsid w:val="00883807"/>
    <w:rsid w:val="0088387E"/>
    <w:rsid w:val="00883AC9"/>
    <w:rsid w:val="00883B56"/>
    <w:rsid w:val="00883CA4"/>
    <w:rsid w:val="00883DB4"/>
    <w:rsid w:val="00883E2B"/>
    <w:rsid w:val="00883E91"/>
    <w:rsid w:val="00883EC1"/>
    <w:rsid w:val="00883EC5"/>
    <w:rsid w:val="0088403A"/>
    <w:rsid w:val="008840FD"/>
    <w:rsid w:val="00884121"/>
    <w:rsid w:val="008841C5"/>
    <w:rsid w:val="0088434C"/>
    <w:rsid w:val="00884557"/>
    <w:rsid w:val="00884734"/>
    <w:rsid w:val="008847DA"/>
    <w:rsid w:val="008849C6"/>
    <w:rsid w:val="00884E45"/>
    <w:rsid w:val="00884EA2"/>
    <w:rsid w:val="00884F40"/>
    <w:rsid w:val="008850C0"/>
    <w:rsid w:val="00885180"/>
    <w:rsid w:val="008853B4"/>
    <w:rsid w:val="008853C7"/>
    <w:rsid w:val="00885446"/>
    <w:rsid w:val="00885758"/>
    <w:rsid w:val="00885825"/>
    <w:rsid w:val="00885901"/>
    <w:rsid w:val="00885B4C"/>
    <w:rsid w:val="00885B9B"/>
    <w:rsid w:val="00885CAB"/>
    <w:rsid w:val="00885D5E"/>
    <w:rsid w:val="00885F6C"/>
    <w:rsid w:val="00886030"/>
    <w:rsid w:val="008861BA"/>
    <w:rsid w:val="00886398"/>
    <w:rsid w:val="008864ED"/>
    <w:rsid w:val="00886501"/>
    <w:rsid w:val="00886531"/>
    <w:rsid w:val="008866AB"/>
    <w:rsid w:val="008866DB"/>
    <w:rsid w:val="00886964"/>
    <w:rsid w:val="00886A31"/>
    <w:rsid w:val="00886B4F"/>
    <w:rsid w:val="00886CDD"/>
    <w:rsid w:val="00886D6E"/>
    <w:rsid w:val="00886D81"/>
    <w:rsid w:val="00886E9A"/>
    <w:rsid w:val="00886F36"/>
    <w:rsid w:val="00886F38"/>
    <w:rsid w:val="00886FF6"/>
    <w:rsid w:val="00887007"/>
    <w:rsid w:val="00887172"/>
    <w:rsid w:val="008873F3"/>
    <w:rsid w:val="008873FA"/>
    <w:rsid w:val="0088744E"/>
    <w:rsid w:val="00887462"/>
    <w:rsid w:val="00887646"/>
    <w:rsid w:val="00887990"/>
    <w:rsid w:val="00887992"/>
    <w:rsid w:val="008879A9"/>
    <w:rsid w:val="00887A37"/>
    <w:rsid w:val="00887B6F"/>
    <w:rsid w:val="00887E1E"/>
    <w:rsid w:val="00887E78"/>
    <w:rsid w:val="00887E8D"/>
    <w:rsid w:val="00887F04"/>
    <w:rsid w:val="008901F9"/>
    <w:rsid w:val="008902D4"/>
    <w:rsid w:val="00890442"/>
    <w:rsid w:val="00890448"/>
    <w:rsid w:val="00890592"/>
    <w:rsid w:val="00890626"/>
    <w:rsid w:val="00890795"/>
    <w:rsid w:val="00890879"/>
    <w:rsid w:val="008908A2"/>
    <w:rsid w:val="008909C5"/>
    <w:rsid w:val="008909F3"/>
    <w:rsid w:val="00890ACC"/>
    <w:rsid w:val="00890D4C"/>
    <w:rsid w:val="00890E89"/>
    <w:rsid w:val="00890EE1"/>
    <w:rsid w:val="00890F15"/>
    <w:rsid w:val="008911F0"/>
    <w:rsid w:val="00891225"/>
    <w:rsid w:val="00891239"/>
    <w:rsid w:val="00891497"/>
    <w:rsid w:val="008914F1"/>
    <w:rsid w:val="008914FB"/>
    <w:rsid w:val="0089151C"/>
    <w:rsid w:val="00891576"/>
    <w:rsid w:val="008915B6"/>
    <w:rsid w:val="008915B8"/>
    <w:rsid w:val="008915D4"/>
    <w:rsid w:val="008916DA"/>
    <w:rsid w:val="00891AAE"/>
    <w:rsid w:val="00891D47"/>
    <w:rsid w:val="00891DD9"/>
    <w:rsid w:val="0089214D"/>
    <w:rsid w:val="008921B0"/>
    <w:rsid w:val="00892206"/>
    <w:rsid w:val="00892215"/>
    <w:rsid w:val="0089225A"/>
    <w:rsid w:val="00892281"/>
    <w:rsid w:val="008922AD"/>
    <w:rsid w:val="00892351"/>
    <w:rsid w:val="0089245D"/>
    <w:rsid w:val="0089247F"/>
    <w:rsid w:val="008924B4"/>
    <w:rsid w:val="00892521"/>
    <w:rsid w:val="0089256E"/>
    <w:rsid w:val="00892723"/>
    <w:rsid w:val="008929F6"/>
    <w:rsid w:val="00892A3D"/>
    <w:rsid w:val="00892B2D"/>
    <w:rsid w:val="00892B61"/>
    <w:rsid w:val="00892C81"/>
    <w:rsid w:val="00892CE0"/>
    <w:rsid w:val="00892E3B"/>
    <w:rsid w:val="00892E96"/>
    <w:rsid w:val="00892F86"/>
    <w:rsid w:val="0089328E"/>
    <w:rsid w:val="008932B0"/>
    <w:rsid w:val="00893341"/>
    <w:rsid w:val="00893437"/>
    <w:rsid w:val="00893447"/>
    <w:rsid w:val="00893496"/>
    <w:rsid w:val="008934BF"/>
    <w:rsid w:val="00893B4F"/>
    <w:rsid w:val="00893BE4"/>
    <w:rsid w:val="00893C0D"/>
    <w:rsid w:val="00893C71"/>
    <w:rsid w:val="00893D72"/>
    <w:rsid w:val="00893EBE"/>
    <w:rsid w:val="00894081"/>
    <w:rsid w:val="008940B3"/>
    <w:rsid w:val="00894125"/>
    <w:rsid w:val="00894143"/>
    <w:rsid w:val="0089435A"/>
    <w:rsid w:val="008944D3"/>
    <w:rsid w:val="00894611"/>
    <w:rsid w:val="008946F2"/>
    <w:rsid w:val="008946F4"/>
    <w:rsid w:val="00894781"/>
    <w:rsid w:val="0089485F"/>
    <w:rsid w:val="00894894"/>
    <w:rsid w:val="00894A50"/>
    <w:rsid w:val="00894A93"/>
    <w:rsid w:val="00894E3A"/>
    <w:rsid w:val="008950CB"/>
    <w:rsid w:val="008950EF"/>
    <w:rsid w:val="008950F4"/>
    <w:rsid w:val="008951BF"/>
    <w:rsid w:val="00895337"/>
    <w:rsid w:val="0089537B"/>
    <w:rsid w:val="008953F7"/>
    <w:rsid w:val="0089547A"/>
    <w:rsid w:val="008954F9"/>
    <w:rsid w:val="00895653"/>
    <w:rsid w:val="00895664"/>
    <w:rsid w:val="008957DD"/>
    <w:rsid w:val="008959B4"/>
    <w:rsid w:val="00895BAF"/>
    <w:rsid w:val="00895C72"/>
    <w:rsid w:val="00895D61"/>
    <w:rsid w:val="00895E30"/>
    <w:rsid w:val="00895F7E"/>
    <w:rsid w:val="008960B4"/>
    <w:rsid w:val="00896168"/>
    <w:rsid w:val="00896293"/>
    <w:rsid w:val="008962D1"/>
    <w:rsid w:val="008963FC"/>
    <w:rsid w:val="0089641E"/>
    <w:rsid w:val="00896449"/>
    <w:rsid w:val="00896465"/>
    <w:rsid w:val="008964AB"/>
    <w:rsid w:val="0089658C"/>
    <w:rsid w:val="00896683"/>
    <w:rsid w:val="008966E7"/>
    <w:rsid w:val="00896AE3"/>
    <w:rsid w:val="00896C78"/>
    <w:rsid w:val="00896CC3"/>
    <w:rsid w:val="00896DE6"/>
    <w:rsid w:val="00896FC8"/>
    <w:rsid w:val="00897194"/>
    <w:rsid w:val="0089724F"/>
    <w:rsid w:val="0089754C"/>
    <w:rsid w:val="008977CD"/>
    <w:rsid w:val="00897951"/>
    <w:rsid w:val="00897A65"/>
    <w:rsid w:val="00897B5D"/>
    <w:rsid w:val="00897B5E"/>
    <w:rsid w:val="00897BAF"/>
    <w:rsid w:val="00897BC6"/>
    <w:rsid w:val="00897C0F"/>
    <w:rsid w:val="00897CB0"/>
    <w:rsid w:val="00897D8B"/>
    <w:rsid w:val="00897DC3"/>
    <w:rsid w:val="00897DFC"/>
    <w:rsid w:val="00897EC5"/>
    <w:rsid w:val="00897F18"/>
    <w:rsid w:val="00897FB1"/>
    <w:rsid w:val="008A002A"/>
    <w:rsid w:val="008A010C"/>
    <w:rsid w:val="008A014D"/>
    <w:rsid w:val="008A02EC"/>
    <w:rsid w:val="008A02FF"/>
    <w:rsid w:val="008A0339"/>
    <w:rsid w:val="008A040A"/>
    <w:rsid w:val="008A06E8"/>
    <w:rsid w:val="008A06F6"/>
    <w:rsid w:val="008A070A"/>
    <w:rsid w:val="008A08B6"/>
    <w:rsid w:val="008A0906"/>
    <w:rsid w:val="008A0960"/>
    <w:rsid w:val="008A0C37"/>
    <w:rsid w:val="008A0C52"/>
    <w:rsid w:val="008A0C57"/>
    <w:rsid w:val="008A0C95"/>
    <w:rsid w:val="008A0CF9"/>
    <w:rsid w:val="008A0E11"/>
    <w:rsid w:val="008A0F47"/>
    <w:rsid w:val="008A10E5"/>
    <w:rsid w:val="008A12ED"/>
    <w:rsid w:val="008A1388"/>
    <w:rsid w:val="008A140E"/>
    <w:rsid w:val="008A1850"/>
    <w:rsid w:val="008A18AB"/>
    <w:rsid w:val="008A19DD"/>
    <w:rsid w:val="008A1A5F"/>
    <w:rsid w:val="008A1B0F"/>
    <w:rsid w:val="008A1C68"/>
    <w:rsid w:val="008A1D2B"/>
    <w:rsid w:val="008A1D6E"/>
    <w:rsid w:val="008A1DC5"/>
    <w:rsid w:val="008A1ED4"/>
    <w:rsid w:val="008A1ED8"/>
    <w:rsid w:val="008A20D5"/>
    <w:rsid w:val="008A20DA"/>
    <w:rsid w:val="008A21C0"/>
    <w:rsid w:val="008A2331"/>
    <w:rsid w:val="008A23EE"/>
    <w:rsid w:val="008A240D"/>
    <w:rsid w:val="008A25A5"/>
    <w:rsid w:val="008A2670"/>
    <w:rsid w:val="008A28B1"/>
    <w:rsid w:val="008A28DC"/>
    <w:rsid w:val="008A2921"/>
    <w:rsid w:val="008A294A"/>
    <w:rsid w:val="008A298B"/>
    <w:rsid w:val="008A2C93"/>
    <w:rsid w:val="008A2D0B"/>
    <w:rsid w:val="008A2D18"/>
    <w:rsid w:val="008A2D24"/>
    <w:rsid w:val="008A2DA5"/>
    <w:rsid w:val="008A2F25"/>
    <w:rsid w:val="008A3068"/>
    <w:rsid w:val="008A3163"/>
    <w:rsid w:val="008A333A"/>
    <w:rsid w:val="008A34C9"/>
    <w:rsid w:val="008A3525"/>
    <w:rsid w:val="008A363C"/>
    <w:rsid w:val="008A36A4"/>
    <w:rsid w:val="008A36C1"/>
    <w:rsid w:val="008A3774"/>
    <w:rsid w:val="008A3A57"/>
    <w:rsid w:val="008A3CC4"/>
    <w:rsid w:val="008A3CF0"/>
    <w:rsid w:val="008A4019"/>
    <w:rsid w:val="008A40B5"/>
    <w:rsid w:val="008A40D3"/>
    <w:rsid w:val="008A4139"/>
    <w:rsid w:val="008A436D"/>
    <w:rsid w:val="008A43F3"/>
    <w:rsid w:val="008A4424"/>
    <w:rsid w:val="008A4462"/>
    <w:rsid w:val="008A4480"/>
    <w:rsid w:val="008A44E3"/>
    <w:rsid w:val="008A45CA"/>
    <w:rsid w:val="008A4613"/>
    <w:rsid w:val="008A47DB"/>
    <w:rsid w:val="008A4997"/>
    <w:rsid w:val="008A4CBD"/>
    <w:rsid w:val="008A4D27"/>
    <w:rsid w:val="008A4F74"/>
    <w:rsid w:val="008A4F99"/>
    <w:rsid w:val="008A50ED"/>
    <w:rsid w:val="008A50FD"/>
    <w:rsid w:val="008A5206"/>
    <w:rsid w:val="008A534C"/>
    <w:rsid w:val="008A5616"/>
    <w:rsid w:val="008A568D"/>
    <w:rsid w:val="008A581A"/>
    <w:rsid w:val="008A5A1E"/>
    <w:rsid w:val="008A5B1B"/>
    <w:rsid w:val="008A5BEA"/>
    <w:rsid w:val="008A5C26"/>
    <w:rsid w:val="008A5E0E"/>
    <w:rsid w:val="008A5EE9"/>
    <w:rsid w:val="008A5EFB"/>
    <w:rsid w:val="008A5FB5"/>
    <w:rsid w:val="008A6023"/>
    <w:rsid w:val="008A606F"/>
    <w:rsid w:val="008A612D"/>
    <w:rsid w:val="008A6239"/>
    <w:rsid w:val="008A6290"/>
    <w:rsid w:val="008A6329"/>
    <w:rsid w:val="008A6395"/>
    <w:rsid w:val="008A6463"/>
    <w:rsid w:val="008A665D"/>
    <w:rsid w:val="008A6690"/>
    <w:rsid w:val="008A66F8"/>
    <w:rsid w:val="008A680F"/>
    <w:rsid w:val="008A6822"/>
    <w:rsid w:val="008A683F"/>
    <w:rsid w:val="008A6A3E"/>
    <w:rsid w:val="008A6A61"/>
    <w:rsid w:val="008A6B2C"/>
    <w:rsid w:val="008A6B43"/>
    <w:rsid w:val="008A6B86"/>
    <w:rsid w:val="008A6D58"/>
    <w:rsid w:val="008A6DE3"/>
    <w:rsid w:val="008A6DF0"/>
    <w:rsid w:val="008A6E81"/>
    <w:rsid w:val="008A6F91"/>
    <w:rsid w:val="008A71FC"/>
    <w:rsid w:val="008A720F"/>
    <w:rsid w:val="008A75EE"/>
    <w:rsid w:val="008A7618"/>
    <w:rsid w:val="008A773E"/>
    <w:rsid w:val="008A778A"/>
    <w:rsid w:val="008A7878"/>
    <w:rsid w:val="008A7960"/>
    <w:rsid w:val="008A7C16"/>
    <w:rsid w:val="008A7C51"/>
    <w:rsid w:val="008A7CA8"/>
    <w:rsid w:val="008A7CD6"/>
    <w:rsid w:val="008A7E38"/>
    <w:rsid w:val="008A7F4B"/>
    <w:rsid w:val="008A7FE2"/>
    <w:rsid w:val="008A7FE9"/>
    <w:rsid w:val="008B002F"/>
    <w:rsid w:val="008B00FA"/>
    <w:rsid w:val="008B0164"/>
    <w:rsid w:val="008B016C"/>
    <w:rsid w:val="008B0254"/>
    <w:rsid w:val="008B044E"/>
    <w:rsid w:val="008B0526"/>
    <w:rsid w:val="008B063F"/>
    <w:rsid w:val="008B064E"/>
    <w:rsid w:val="008B074E"/>
    <w:rsid w:val="008B0809"/>
    <w:rsid w:val="008B08B4"/>
    <w:rsid w:val="008B091D"/>
    <w:rsid w:val="008B0B93"/>
    <w:rsid w:val="008B0BCA"/>
    <w:rsid w:val="008B0BD6"/>
    <w:rsid w:val="008B0F41"/>
    <w:rsid w:val="008B0FCD"/>
    <w:rsid w:val="008B11DB"/>
    <w:rsid w:val="008B129C"/>
    <w:rsid w:val="008B12D4"/>
    <w:rsid w:val="008B1426"/>
    <w:rsid w:val="008B147B"/>
    <w:rsid w:val="008B1878"/>
    <w:rsid w:val="008B189F"/>
    <w:rsid w:val="008B19B1"/>
    <w:rsid w:val="008B1ABF"/>
    <w:rsid w:val="008B1B31"/>
    <w:rsid w:val="008B1B63"/>
    <w:rsid w:val="008B1C13"/>
    <w:rsid w:val="008B1F14"/>
    <w:rsid w:val="008B1F63"/>
    <w:rsid w:val="008B20C2"/>
    <w:rsid w:val="008B20E3"/>
    <w:rsid w:val="008B22E8"/>
    <w:rsid w:val="008B23E8"/>
    <w:rsid w:val="008B24AF"/>
    <w:rsid w:val="008B2567"/>
    <w:rsid w:val="008B259C"/>
    <w:rsid w:val="008B261F"/>
    <w:rsid w:val="008B2636"/>
    <w:rsid w:val="008B26DB"/>
    <w:rsid w:val="008B27C5"/>
    <w:rsid w:val="008B288D"/>
    <w:rsid w:val="008B2911"/>
    <w:rsid w:val="008B2B14"/>
    <w:rsid w:val="008B2BEE"/>
    <w:rsid w:val="008B2CCB"/>
    <w:rsid w:val="008B2DBF"/>
    <w:rsid w:val="008B3121"/>
    <w:rsid w:val="008B3150"/>
    <w:rsid w:val="008B3612"/>
    <w:rsid w:val="008B3715"/>
    <w:rsid w:val="008B3745"/>
    <w:rsid w:val="008B3750"/>
    <w:rsid w:val="008B38B7"/>
    <w:rsid w:val="008B3947"/>
    <w:rsid w:val="008B3BFF"/>
    <w:rsid w:val="008B3C14"/>
    <w:rsid w:val="008B3C5E"/>
    <w:rsid w:val="008B3D92"/>
    <w:rsid w:val="008B3E0A"/>
    <w:rsid w:val="008B4026"/>
    <w:rsid w:val="008B4055"/>
    <w:rsid w:val="008B4066"/>
    <w:rsid w:val="008B406E"/>
    <w:rsid w:val="008B4093"/>
    <w:rsid w:val="008B40F2"/>
    <w:rsid w:val="008B40FC"/>
    <w:rsid w:val="008B42CB"/>
    <w:rsid w:val="008B4399"/>
    <w:rsid w:val="008B43CC"/>
    <w:rsid w:val="008B44C4"/>
    <w:rsid w:val="008B4A5E"/>
    <w:rsid w:val="008B4AE2"/>
    <w:rsid w:val="008B4C0D"/>
    <w:rsid w:val="008B4DFE"/>
    <w:rsid w:val="008B4F73"/>
    <w:rsid w:val="008B4F8A"/>
    <w:rsid w:val="008B4F9F"/>
    <w:rsid w:val="008B5130"/>
    <w:rsid w:val="008B5187"/>
    <w:rsid w:val="008B527D"/>
    <w:rsid w:val="008B5530"/>
    <w:rsid w:val="008B55EF"/>
    <w:rsid w:val="008B5685"/>
    <w:rsid w:val="008B569C"/>
    <w:rsid w:val="008B56A3"/>
    <w:rsid w:val="008B5825"/>
    <w:rsid w:val="008B5841"/>
    <w:rsid w:val="008B58CD"/>
    <w:rsid w:val="008B5917"/>
    <w:rsid w:val="008B5A2D"/>
    <w:rsid w:val="008B5AC0"/>
    <w:rsid w:val="008B5AF7"/>
    <w:rsid w:val="008B5C8F"/>
    <w:rsid w:val="008B5DD6"/>
    <w:rsid w:val="008B5EC5"/>
    <w:rsid w:val="008B5ED5"/>
    <w:rsid w:val="008B5F16"/>
    <w:rsid w:val="008B5F48"/>
    <w:rsid w:val="008B5FDF"/>
    <w:rsid w:val="008B5FE4"/>
    <w:rsid w:val="008B605F"/>
    <w:rsid w:val="008B6216"/>
    <w:rsid w:val="008B62C4"/>
    <w:rsid w:val="008B6750"/>
    <w:rsid w:val="008B67F5"/>
    <w:rsid w:val="008B6913"/>
    <w:rsid w:val="008B6AF5"/>
    <w:rsid w:val="008B6B1E"/>
    <w:rsid w:val="008B6B3A"/>
    <w:rsid w:val="008B6C06"/>
    <w:rsid w:val="008B6C5A"/>
    <w:rsid w:val="008B6D13"/>
    <w:rsid w:val="008B6DBD"/>
    <w:rsid w:val="008B6E5D"/>
    <w:rsid w:val="008B6EA1"/>
    <w:rsid w:val="008B6F40"/>
    <w:rsid w:val="008B6F7C"/>
    <w:rsid w:val="008B7183"/>
    <w:rsid w:val="008B722F"/>
    <w:rsid w:val="008B7275"/>
    <w:rsid w:val="008B7396"/>
    <w:rsid w:val="008B73CC"/>
    <w:rsid w:val="008B7451"/>
    <w:rsid w:val="008B752D"/>
    <w:rsid w:val="008B76D7"/>
    <w:rsid w:val="008B7722"/>
    <w:rsid w:val="008B7738"/>
    <w:rsid w:val="008B77CE"/>
    <w:rsid w:val="008B782E"/>
    <w:rsid w:val="008B7868"/>
    <w:rsid w:val="008B786F"/>
    <w:rsid w:val="008B792C"/>
    <w:rsid w:val="008B7B4F"/>
    <w:rsid w:val="008B7B92"/>
    <w:rsid w:val="008B7C7B"/>
    <w:rsid w:val="008B7D9D"/>
    <w:rsid w:val="008B7EAB"/>
    <w:rsid w:val="008B7F9A"/>
    <w:rsid w:val="008C0150"/>
    <w:rsid w:val="008C02BE"/>
    <w:rsid w:val="008C02E7"/>
    <w:rsid w:val="008C0379"/>
    <w:rsid w:val="008C03D9"/>
    <w:rsid w:val="008C0475"/>
    <w:rsid w:val="008C04C7"/>
    <w:rsid w:val="008C058E"/>
    <w:rsid w:val="008C0668"/>
    <w:rsid w:val="008C07DA"/>
    <w:rsid w:val="008C0AFA"/>
    <w:rsid w:val="008C0B6C"/>
    <w:rsid w:val="008C0BE4"/>
    <w:rsid w:val="008C0BFE"/>
    <w:rsid w:val="008C0C9C"/>
    <w:rsid w:val="008C0DAB"/>
    <w:rsid w:val="008C0E5C"/>
    <w:rsid w:val="008C0E76"/>
    <w:rsid w:val="008C0F90"/>
    <w:rsid w:val="008C0FF1"/>
    <w:rsid w:val="008C1069"/>
    <w:rsid w:val="008C111F"/>
    <w:rsid w:val="008C11DD"/>
    <w:rsid w:val="008C12CF"/>
    <w:rsid w:val="008C1310"/>
    <w:rsid w:val="008C17E3"/>
    <w:rsid w:val="008C1810"/>
    <w:rsid w:val="008C184B"/>
    <w:rsid w:val="008C1879"/>
    <w:rsid w:val="008C18BC"/>
    <w:rsid w:val="008C18BF"/>
    <w:rsid w:val="008C19D1"/>
    <w:rsid w:val="008C1ADE"/>
    <w:rsid w:val="008C1B45"/>
    <w:rsid w:val="008C1BFD"/>
    <w:rsid w:val="008C1E1E"/>
    <w:rsid w:val="008C1E2C"/>
    <w:rsid w:val="008C2303"/>
    <w:rsid w:val="008C2596"/>
    <w:rsid w:val="008C2598"/>
    <w:rsid w:val="008C25D8"/>
    <w:rsid w:val="008C2688"/>
    <w:rsid w:val="008C26ED"/>
    <w:rsid w:val="008C2785"/>
    <w:rsid w:val="008C28D0"/>
    <w:rsid w:val="008C2981"/>
    <w:rsid w:val="008C2BB5"/>
    <w:rsid w:val="008C2C62"/>
    <w:rsid w:val="008C2EDE"/>
    <w:rsid w:val="008C2F01"/>
    <w:rsid w:val="008C30F9"/>
    <w:rsid w:val="008C3103"/>
    <w:rsid w:val="008C3135"/>
    <w:rsid w:val="008C340D"/>
    <w:rsid w:val="008C343F"/>
    <w:rsid w:val="008C3447"/>
    <w:rsid w:val="008C35A0"/>
    <w:rsid w:val="008C3617"/>
    <w:rsid w:val="008C36BD"/>
    <w:rsid w:val="008C3763"/>
    <w:rsid w:val="008C380A"/>
    <w:rsid w:val="008C38B3"/>
    <w:rsid w:val="008C39E1"/>
    <w:rsid w:val="008C3AC7"/>
    <w:rsid w:val="008C3AF0"/>
    <w:rsid w:val="008C3B3A"/>
    <w:rsid w:val="008C3C63"/>
    <w:rsid w:val="008C3F89"/>
    <w:rsid w:val="008C40F7"/>
    <w:rsid w:val="008C4206"/>
    <w:rsid w:val="008C4337"/>
    <w:rsid w:val="008C43E2"/>
    <w:rsid w:val="008C4458"/>
    <w:rsid w:val="008C4493"/>
    <w:rsid w:val="008C44A8"/>
    <w:rsid w:val="008C456D"/>
    <w:rsid w:val="008C4581"/>
    <w:rsid w:val="008C475A"/>
    <w:rsid w:val="008C479F"/>
    <w:rsid w:val="008C489E"/>
    <w:rsid w:val="008C4B26"/>
    <w:rsid w:val="008C4B74"/>
    <w:rsid w:val="008C4BB5"/>
    <w:rsid w:val="008C4FA9"/>
    <w:rsid w:val="008C504D"/>
    <w:rsid w:val="008C50BD"/>
    <w:rsid w:val="008C533D"/>
    <w:rsid w:val="008C5437"/>
    <w:rsid w:val="008C55F4"/>
    <w:rsid w:val="008C5666"/>
    <w:rsid w:val="008C56C5"/>
    <w:rsid w:val="008C56E7"/>
    <w:rsid w:val="008C5786"/>
    <w:rsid w:val="008C58F6"/>
    <w:rsid w:val="008C5905"/>
    <w:rsid w:val="008C59DF"/>
    <w:rsid w:val="008C5C7F"/>
    <w:rsid w:val="008C5C86"/>
    <w:rsid w:val="008C5D76"/>
    <w:rsid w:val="008C5EE3"/>
    <w:rsid w:val="008C5F29"/>
    <w:rsid w:val="008C6082"/>
    <w:rsid w:val="008C6118"/>
    <w:rsid w:val="008C615E"/>
    <w:rsid w:val="008C6201"/>
    <w:rsid w:val="008C6360"/>
    <w:rsid w:val="008C63CD"/>
    <w:rsid w:val="008C653D"/>
    <w:rsid w:val="008C665B"/>
    <w:rsid w:val="008C6777"/>
    <w:rsid w:val="008C6829"/>
    <w:rsid w:val="008C6894"/>
    <w:rsid w:val="008C6B2F"/>
    <w:rsid w:val="008C6B32"/>
    <w:rsid w:val="008C6B96"/>
    <w:rsid w:val="008C6D5F"/>
    <w:rsid w:val="008C6DB5"/>
    <w:rsid w:val="008C6DD4"/>
    <w:rsid w:val="008C6E40"/>
    <w:rsid w:val="008C6EE9"/>
    <w:rsid w:val="008C6F52"/>
    <w:rsid w:val="008C7096"/>
    <w:rsid w:val="008C7138"/>
    <w:rsid w:val="008C714C"/>
    <w:rsid w:val="008C71D8"/>
    <w:rsid w:val="008C73B9"/>
    <w:rsid w:val="008C73BB"/>
    <w:rsid w:val="008C7408"/>
    <w:rsid w:val="008C751B"/>
    <w:rsid w:val="008C7584"/>
    <w:rsid w:val="008C79A1"/>
    <w:rsid w:val="008C7C57"/>
    <w:rsid w:val="008C7C9C"/>
    <w:rsid w:val="008C7CFB"/>
    <w:rsid w:val="008C7E97"/>
    <w:rsid w:val="008CB6CE"/>
    <w:rsid w:val="008D0043"/>
    <w:rsid w:val="008D0104"/>
    <w:rsid w:val="008D02D3"/>
    <w:rsid w:val="008D031E"/>
    <w:rsid w:val="008D0369"/>
    <w:rsid w:val="008D0519"/>
    <w:rsid w:val="008D05CC"/>
    <w:rsid w:val="008D068F"/>
    <w:rsid w:val="008D0777"/>
    <w:rsid w:val="008D0902"/>
    <w:rsid w:val="008D0952"/>
    <w:rsid w:val="008D0B43"/>
    <w:rsid w:val="008D0BAC"/>
    <w:rsid w:val="008D0DF5"/>
    <w:rsid w:val="008D0E45"/>
    <w:rsid w:val="008D0ED4"/>
    <w:rsid w:val="008D0F20"/>
    <w:rsid w:val="008D100D"/>
    <w:rsid w:val="008D1082"/>
    <w:rsid w:val="008D10CE"/>
    <w:rsid w:val="008D11A7"/>
    <w:rsid w:val="008D1497"/>
    <w:rsid w:val="008D1675"/>
    <w:rsid w:val="008D17C6"/>
    <w:rsid w:val="008D185A"/>
    <w:rsid w:val="008D1A66"/>
    <w:rsid w:val="008D1A98"/>
    <w:rsid w:val="008D1C1A"/>
    <w:rsid w:val="008D1E6A"/>
    <w:rsid w:val="008D1FB9"/>
    <w:rsid w:val="008D1FC2"/>
    <w:rsid w:val="008D2073"/>
    <w:rsid w:val="008D2099"/>
    <w:rsid w:val="008D2184"/>
    <w:rsid w:val="008D218F"/>
    <w:rsid w:val="008D22E5"/>
    <w:rsid w:val="008D248E"/>
    <w:rsid w:val="008D24E9"/>
    <w:rsid w:val="008D25C9"/>
    <w:rsid w:val="008D264B"/>
    <w:rsid w:val="008D265B"/>
    <w:rsid w:val="008D27A9"/>
    <w:rsid w:val="008D283F"/>
    <w:rsid w:val="008D2965"/>
    <w:rsid w:val="008D29D4"/>
    <w:rsid w:val="008D2B7D"/>
    <w:rsid w:val="008D2E8A"/>
    <w:rsid w:val="008D2EF5"/>
    <w:rsid w:val="008D2F8A"/>
    <w:rsid w:val="008D3032"/>
    <w:rsid w:val="008D3053"/>
    <w:rsid w:val="008D31BE"/>
    <w:rsid w:val="008D32FC"/>
    <w:rsid w:val="008D335A"/>
    <w:rsid w:val="008D3484"/>
    <w:rsid w:val="008D348B"/>
    <w:rsid w:val="008D3533"/>
    <w:rsid w:val="008D3578"/>
    <w:rsid w:val="008D3599"/>
    <w:rsid w:val="008D37F7"/>
    <w:rsid w:val="008D3922"/>
    <w:rsid w:val="008D3AFB"/>
    <w:rsid w:val="008D3B4F"/>
    <w:rsid w:val="008D3BB6"/>
    <w:rsid w:val="008D3C62"/>
    <w:rsid w:val="008D3C94"/>
    <w:rsid w:val="008D40EC"/>
    <w:rsid w:val="008D4199"/>
    <w:rsid w:val="008D4269"/>
    <w:rsid w:val="008D4308"/>
    <w:rsid w:val="008D435B"/>
    <w:rsid w:val="008D4398"/>
    <w:rsid w:val="008D43D9"/>
    <w:rsid w:val="008D44BF"/>
    <w:rsid w:val="008D452F"/>
    <w:rsid w:val="008D45B6"/>
    <w:rsid w:val="008D4603"/>
    <w:rsid w:val="008D4629"/>
    <w:rsid w:val="008D4658"/>
    <w:rsid w:val="008D46EE"/>
    <w:rsid w:val="008D4740"/>
    <w:rsid w:val="008D4837"/>
    <w:rsid w:val="008D4877"/>
    <w:rsid w:val="008D4A17"/>
    <w:rsid w:val="008D4CBC"/>
    <w:rsid w:val="008D4E5B"/>
    <w:rsid w:val="008D4EE0"/>
    <w:rsid w:val="008D4FBF"/>
    <w:rsid w:val="008D50D9"/>
    <w:rsid w:val="008D513B"/>
    <w:rsid w:val="008D51DB"/>
    <w:rsid w:val="008D5349"/>
    <w:rsid w:val="008D5406"/>
    <w:rsid w:val="008D54A4"/>
    <w:rsid w:val="008D54EA"/>
    <w:rsid w:val="008D55D1"/>
    <w:rsid w:val="008D5650"/>
    <w:rsid w:val="008D5705"/>
    <w:rsid w:val="008D581D"/>
    <w:rsid w:val="008D58E6"/>
    <w:rsid w:val="008D5935"/>
    <w:rsid w:val="008D5986"/>
    <w:rsid w:val="008D5A65"/>
    <w:rsid w:val="008D5B6A"/>
    <w:rsid w:val="008D5C5B"/>
    <w:rsid w:val="008D5E28"/>
    <w:rsid w:val="008D5F54"/>
    <w:rsid w:val="008D6214"/>
    <w:rsid w:val="008D621B"/>
    <w:rsid w:val="008D6262"/>
    <w:rsid w:val="008D635F"/>
    <w:rsid w:val="008D647A"/>
    <w:rsid w:val="008D64C5"/>
    <w:rsid w:val="008D6600"/>
    <w:rsid w:val="008D6612"/>
    <w:rsid w:val="008D6706"/>
    <w:rsid w:val="008D6782"/>
    <w:rsid w:val="008D67F4"/>
    <w:rsid w:val="008D6819"/>
    <w:rsid w:val="008D6866"/>
    <w:rsid w:val="008D69CE"/>
    <w:rsid w:val="008D6BF1"/>
    <w:rsid w:val="008D6C04"/>
    <w:rsid w:val="008D6D34"/>
    <w:rsid w:val="008D6D63"/>
    <w:rsid w:val="008D6EF6"/>
    <w:rsid w:val="008D7140"/>
    <w:rsid w:val="008D7177"/>
    <w:rsid w:val="008D71F5"/>
    <w:rsid w:val="008D725F"/>
    <w:rsid w:val="008D73A2"/>
    <w:rsid w:val="008D7403"/>
    <w:rsid w:val="008D7585"/>
    <w:rsid w:val="008D7711"/>
    <w:rsid w:val="008D78FB"/>
    <w:rsid w:val="008D79BE"/>
    <w:rsid w:val="008D7B9D"/>
    <w:rsid w:val="008D7CD8"/>
    <w:rsid w:val="008D7CDC"/>
    <w:rsid w:val="008D7EE9"/>
    <w:rsid w:val="008D7F4C"/>
    <w:rsid w:val="008E006C"/>
    <w:rsid w:val="008E011B"/>
    <w:rsid w:val="008E0125"/>
    <w:rsid w:val="008E019F"/>
    <w:rsid w:val="008E027A"/>
    <w:rsid w:val="008E0470"/>
    <w:rsid w:val="008E0629"/>
    <w:rsid w:val="008E068E"/>
    <w:rsid w:val="008E07EB"/>
    <w:rsid w:val="008E097D"/>
    <w:rsid w:val="008E0AC7"/>
    <w:rsid w:val="008E0D69"/>
    <w:rsid w:val="008E1155"/>
    <w:rsid w:val="008E13C9"/>
    <w:rsid w:val="008E13E1"/>
    <w:rsid w:val="008E1441"/>
    <w:rsid w:val="008E1463"/>
    <w:rsid w:val="008E1468"/>
    <w:rsid w:val="008E14A4"/>
    <w:rsid w:val="008E14F9"/>
    <w:rsid w:val="008E1619"/>
    <w:rsid w:val="008E16D9"/>
    <w:rsid w:val="008E17DC"/>
    <w:rsid w:val="008E1819"/>
    <w:rsid w:val="008E1B8E"/>
    <w:rsid w:val="008E1BF5"/>
    <w:rsid w:val="008E1FC2"/>
    <w:rsid w:val="008E2136"/>
    <w:rsid w:val="008E230B"/>
    <w:rsid w:val="008E2440"/>
    <w:rsid w:val="008E247A"/>
    <w:rsid w:val="008E2563"/>
    <w:rsid w:val="008E27A2"/>
    <w:rsid w:val="008E2BE4"/>
    <w:rsid w:val="008E2CBC"/>
    <w:rsid w:val="008E2D25"/>
    <w:rsid w:val="008E2D39"/>
    <w:rsid w:val="008E2D87"/>
    <w:rsid w:val="008E2DA8"/>
    <w:rsid w:val="008E2FED"/>
    <w:rsid w:val="008E3180"/>
    <w:rsid w:val="008E3191"/>
    <w:rsid w:val="008E3244"/>
    <w:rsid w:val="008E324E"/>
    <w:rsid w:val="008E325C"/>
    <w:rsid w:val="008E3357"/>
    <w:rsid w:val="008E345C"/>
    <w:rsid w:val="008E3625"/>
    <w:rsid w:val="008E36C1"/>
    <w:rsid w:val="008E3739"/>
    <w:rsid w:val="008E3784"/>
    <w:rsid w:val="008E394A"/>
    <w:rsid w:val="008E3A0A"/>
    <w:rsid w:val="008E3A1C"/>
    <w:rsid w:val="008E3A3F"/>
    <w:rsid w:val="008E3A44"/>
    <w:rsid w:val="008E3A5F"/>
    <w:rsid w:val="008E3B97"/>
    <w:rsid w:val="008E3D11"/>
    <w:rsid w:val="008E3E4F"/>
    <w:rsid w:val="008E3E97"/>
    <w:rsid w:val="008E3ED5"/>
    <w:rsid w:val="008E406B"/>
    <w:rsid w:val="008E40B0"/>
    <w:rsid w:val="008E41BE"/>
    <w:rsid w:val="008E41DB"/>
    <w:rsid w:val="008E4254"/>
    <w:rsid w:val="008E4398"/>
    <w:rsid w:val="008E4484"/>
    <w:rsid w:val="008E456A"/>
    <w:rsid w:val="008E45B5"/>
    <w:rsid w:val="008E4711"/>
    <w:rsid w:val="008E4971"/>
    <w:rsid w:val="008E49D6"/>
    <w:rsid w:val="008E49E5"/>
    <w:rsid w:val="008E49F3"/>
    <w:rsid w:val="008E4A5B"/>
    <w:rsid w:val="008E4B2A"/>
    <w:rsid w:val="008E4DE9"/>
    <w:rsid w:val="008E4FAE"/>
    <w:rsid w:val="008E4FF2"/>
    <w:rsid w:val="008E5019"/>
    <w:rsid w:val="008E5047"/>
    <w:rsid w:val="008E5090"/>
    <w:rsid w:val="008E5136"/>
    <w:rsid w:val="008E5175"/>
    <w:rsid w:val="008E51E2"/>
    <w:rsid w:val="008E5307"/>
    <w:rsid w:val="008E5310"/>
    <w:rsid w:val="008E5354"/>
    <w:rsid w:val="008E538E"/>
    <w:rsid w:val="008E53A2"/>
    <w:rsid w:val="008E559C"/>
    <w:rsid w:val="008E561D"/>
    <w:rsid w:val="008E564D"/>
    <w:rsid w:val="008E5710"/>
    <w:rsid w:val="008E5786"/>
    <w:rsid w:val="008E5853"/>
    <w:rsid w:val="008E58F0"/>
    <w:rsid w:val="008E5ABE"/>
    <w:rsid w:val="008E5B20"/>
    <w:rsid w:val="008E5B53"/>
    <w:rsid w:val="008E5B73"/>
    <w:rsid w:val="008E5CF2"/>
    <w:rsid w:val="008E5D63"/>
    <w:rsid w:val="008E5D88"/>
    <w:rsid w:val="008E601C"/>
    <w:rsid w:val="008E62CD"/>
    <w:rsid w:val="008E62D2"/>
    <w:rsid w:val="008E64F5"/>
    <w:rsid w:val="008E66B3"/>
    <w:rsid w:val="008E66C4"/>
    <w:rsid w:val="008E672F"/>
    <w:rsid w:val="008E68A1"/>
    <w:rsid w:val="008E68E5"/>
    <w:rsid w:val="008E690B"/>
    <w:rsid w:val="008E69B0"/>
    <w:rsid w:val="008E69D1"/>
    <w:rsid w:val="008E6B4E"/>
    <w:rsid w:val="008E6B79"/>
    <w:rsid w:val="008E6CE6"/>
    <w:rsid w:val="008E6DC0"/>
    <w:rsid w:val="008E6F91"/>
    <w:rsid w:val="008E703A"/>
    <w:rsid w:val="008E7131"/>
    <w:rsid w:val="008E7141"/>
    <w:rsid w:val="008E7239"/>
    <w:rsid w:val="008E72EE"/>
    <w:rsid w:val="008E731B"/>
    <w:rsid w:val="008E7455"/>
    <w:rsid w:val="008E75AC"/>
    <w:rsid w:val="008E75B9"/>
    <w:rsid w:val="008E760D"/>
    <w:rsid w:val="008E7642"/>
    <w:rsid w:val="008E76E5"/>
    <w:rsid w:val="008E773A"/>
    <w:rsid w:val="008E794C"/>
    <w:rsid w:val="008E7970"/>
    <w:rsid w:val="008E7B02"/>
    <w:rsid w:val="008E7B40"/>
    <w:rsid w:val="008E7C34"/>
    <w:rsid w:val="008E7D45"/>
    <w:rsid w:val="008E7DD8"/>
    <w:rsid w:val="008E7F4A"/>
    <w:rsid w:val="008EF928"/>
    <w:rsid w:val="008F0136"/>
    <w:rsid w:val="008F0155"/>
    <w:rsid w:val="008F0200"/>
    <w:rsid w:val="008F031E"/>
    <w:rsid w:val="008F03A7"/>
    <w:rsid w:val="008F03AE"/>
    <w:rsid w:val="008F054B"/>
    <w:rsid w:val="008F0638"/>
    <w:rsid w:val="008F067D"/>
    <w:rsid w:val="008F0756"/>
    <w:rsid w:val="008F08B3"/>
    <w:rsid w:val="008F0B57"/>
    <w:rsid w:val="008F0C36"/>
    <w:rsid w:val="008F0EB2"/>
    <w:rsid w:val="008F0F5D"/>
    <w:rsid w:val="008F1016"/>
    <w:rsid w:val="008F107F"/>
    <w:rsid w:val="008F10B3"/>
    <w:rsid w:val="008F10D9"/>
    <w:rsid w:val="008F10DD"/>
    <w:rsid w:val="008F11BC"/>
    <w:rsid w:val="008F120A"/>
    <w:rsid w:val="008F14B2"/>
    <w:rsid w:val="008F1777"/>
    <w:rsid w:val="008F17EE"/>
    <w:rsid w:val="008F1807"/>
    <w:rsid w:val="008F180C"/>
    <w:rsid w:val="008F189C"/>
    <w:rsid w:val="008F193E"/>
    <w:rsid w:val="008F1959"/>
    <w:rsid w:val="008F1B76"/>
    <w:rsid w:val="008F1BDA"/>
    <w:rsid w:val="008F1C38"/>
    <w:rsid w:val="008F1C56"/>
    <w:rsid w:val="008F1DE5"/>
    <w:rsid w:val="008F20F7"/>
    <w:rsid w:val="008F2100"/>
    <w:rsid w:val="008F2116"/>
    <w:rsid w:val="008F21B8"/>
    <w:rsid w:val="008F2213"/>
    <w:rsid w:val="008F2249"/>
    <w:rsid w:val="008F22A2"/>
    <w:rsid w:val="008F23AC"/>
    <w:rsid w:val="008F23BC"/>
    <w:rsid w:val="008F258F"/>
    <w:rsid w:val="008F2667"/>
    <w:rsid w:val="008F26E9"/>
    <w:rsid w:val="008F2847"/>
    <w:rsid w:val="008F29AF"/>
    <w:rsid w:val="008F2BCB"/>
    <w:rsid w:val="008F2E8F"/>
    <w:rsid w:val="008F2EBF"/>
    <w:rsid w:val="008F2F1D"/>
    <w:rsid w:val="008F2F7D"/>
    <w:rsid w:val="008F326C"/>
    <w:rsid w:val="008F328D"/>
    <w:rsid w:val="008F3363"/>
    <w:rsid w:val="008F344B"/>
    <w:rsid w:val="008F344E"/>
    <w:rsid w:val="008F346A"/>
    <w:rsid w:val="008F365C"/>
    <w:rsid w:val="008F36E2"/>
    <w:rsid w:val="008F376B"/>
    <w:rsid w:val="008F377B"/>
    <w:rsid w:val="008F37AD"/>
    <w:rsid w:val="008F3A24"/>
    <w:rsid w:val="008F3A72"/>
    <w:rsid w:val="008F3B6B"/>
    <w:rsid w:val="008F3BE2"/>
    <w:rsid w:val="008F3BEA"/>
    <w:rsid w:val="008F3C4B"/>
    <w:rsid w:val="008F3CE4"/>
    <w:rsid w:val="008F3D5A"/>
    <w:rsid w:val="008F3D94"/>
    <w:rsid w:val="008F3DDE"/>
    <w:rsid w:val="008F3DED"/>
    <w:rsid w:val="008F43F5"/>
    <w:rsid w:val="008F4453"/>
    <w:rsid w:val="008F448C"/>
    <w:rsid w:val="008F44B5"/>
    <w:rsid w:val="008F46A6"/>
    <w:rsid w:val="008F47C5"/>
    <w:rsid w:val="008F4823"/>
    <w:rsid w:val="008F4835"/>
    <w:rsid w:val="008F48F6"/>
    <w:rsid w:val="008F4CA9"/>
    <w:rsid w:val="008F4CCB"/>
    <w:rsid w:val="008F4D65"/>
    <w:rsid w:val="008F4E12"/>
    <w:rsid w:val="008F4E23"/>
    <w:rsid w:val="008F4F37"/>
    <w:rsid w:val="008F4FC9"/>
    <w:rsid w:val="008F50A6"/>
    <w:rsid w:val="008F51DA"/>
    <w:rsid w:val="008F52FF"/>
    <w:rsid w:val="008F5627"/>
    <w:rsid w:val="008F56DE"/>
    <w:rsid w:val="008F570C"/>
    <w:rsid w:val="008F581D"/>
    <w:rsid w:val="008F5834"/>
    <w:rsid w:val="008F5862"/>
    <w:rsid w:val="008F587B"/>
    <w:rsid w:val="008F5A26"/>
    <w:rsid w:val="008F5BD0"/>
    <w:rsid w:val="008F5BE4"/>
    <w:rsid w:val="008F5CB7"/>
    <w:rsid w:val="008F5D21"/>
    <w:rsid w:val="008F5D89"/>
    <w:rsid w:val="008F5E4C"/>
    <w:rsid w:val="008F5E58"/>
    <w:rsid w:val="008F5EB3"/>
    <w:rsid w:val="008F5F3B"/>
    <w:rsid w:val="008F60C1"/>
    <w:rsid w:val="008F61A0"/>
    <w:rsid w:val="008F61CA"/>
    <w:rsid w:val="008F621C"/>
    <w:rsid w:val="008F63E4"/>
    <w:rsid w:val="008F6465"/>
    <w:rsid w:val="008F67CC"/>
    <w:rsid w:val="008F6999"/>
    <w:rsid w:val="008F69C3"/>
    <w:rsid w:val="008F6A79"/>
    <w:rsid w:val="008F6AD6"/>
    <w:rsid w:val="008F6BDB"/>
    <w:rsid w:val="008F6CDC"/>
    <w:rsid w:val="008F6CF6"/>
    <w:rsid w:val="008F6F00"/>
    <w:rsid w:val="008F6FC2"/>
    <w:rsid w:val="008F70C6"/>
    <w:rsid w:val="008F7105"/>
    <w:rsid w:val="008F7118"/>
    <w:rsid w:val="008F71FD"/>
    <w:rsid w:val="008F73A7"/>
    <w:rsid w:val="008F77F9"/>
    <w:rsid w:val="008F7893"/>
    <w:rsid w:val="008F7B89"/>
    <w:rsid w:val="008F7C02"/>
    <w:rsid w:val="008F7E86"/>
    <w:rsid w:val="008F7F76"/>
    <w:rsid w:val="00900259"/>
    <w:rsid w:val="00900432"/>
    <w:rsid w:val="00900478"/>
    <w:rsid w:val="00900586"/>
    <w:rsid w:val="00900693"/>
    <w:rsid w:val="009007F1"/>
    <w:rsid w:val="009007FC"/>
    <w:rsid w:val="0090080F"/>
    <w:rsid w:val="0090087E"/>
    <w:rsid w:val="00900953"/>
    <w:rsid w:val="009009E2"/>
    <w:rsid w:val="00900A42"/>
    <w:rsid w:val="00900A7A"/>
    <w:rsid w:val="00900AF5"/>
    <w:rsid w:val="00900B0B"/>
    <w:rsid w:val="00900B47"/>
    <w:rsid w:val="00900B72"/>
    <w:rsid w:val="00900BFA"/>
    <w:rsid w:val="00900C35"/>
    <w:rsid w:val="00900FD5"/>
    <w:rsid w:val="00901012"/>
    <w:rsid w:val="0090104B"/>
    <w:rsid w:val="009011CE"/>
    <w:rsid w:val="009011D5"/>
    <w:rsid w:val="00901327"/>
    <w:rsid w:val="0090135C"/>
    <w:rsid w:val="00901498"/>
    <w:rsid w:val="00901677"/>
    <w:rsid w:val="009017A1"/>
    <w:rsid w:val="009018B4"/>
    <w:rsid w:val="00901BD4"/>
    <w:rsid w:val="00901CBD"/>
    <w:rsid w:val="00901D41"/>
    <w:rsid w:val="00901DB0"/>
    <w:rsid w:val="00901F90"/>
    <w:rsid w:val="00902050"/>
    <w:rsid w:val="0090208B"/>
    <w:rsid w:val="0090224A"/>
    <w:rsid w:val="00902352"/>
    <w:rsid w:val="009024C1"/>
    <w:rsid w:val="0090252A"/>
    <w:rsid w:val="0090258C"/>
    <w:rsid w:val="009025AB"/>
    <w:rsid w:val="009025F0"/>
    <w:rsid w:val="009026C7"/>
    <w:rsid w:val="0090272B"/>
    <w:rsid w:val="0090277D"/>
    <w:rsid w:val="009027F4"/>
    <w:rsid w:val="0090280B"/>
    <w:rsid w:val="00902C00"/>
    <w:rsid w:val="00902CA5"/>
    <w:rsid w:val="00902CDD"/>
    <w:rsid w:val="00902D39"/>
    <w:rsid w:val="00902D4F"/>
    <w:rsid w:val="00902DF6"/>
    <w:rsid w:val="00902E21"/>
    <w:rsid w:val="00902E82"/>
    <w:rsid w:val="009030E3"/>
    <w:rsid w:val="00903268"/>
    <w:rsid w:val="00903412"/>
    <w:rsid w:val="009034B7"/>
    <w:rsid w:val="009034B9"/>
    <w:rsid w:val="00903535"/>
    <w:rsid w:val="009035F4"/>
    <w:rsid w:val="009036C1"/>
    <w:rsid w:val="0090372F"/>
    <w:rsid w:val="009037E6"/>
    <w:rsid w:val="0090392D"/>
    <w:rsid w:val="009039F4"/>
    <w:rsid w:val="009039FA"/>
    <w:rsid w:val="00903B1D"/>
    <w:rsid w:val="00903FB3"/>
    <w:rsid w:val="00904012"/>
    <w:rsid w:val="0090406F"/>
    <w:rsid w:val="00904136"/>
    <w:rsid w:val="00904173"/>
    <w:rsid w:val="009044B6"/>
    <w:rsid w:val="00904685"/>
    <w:rsid w:val="00904690"/>
    <w:rsid w:val="009046A7"/>
    <w:rsid w:val="00904779"/>
    <w:rsid w:val="00904969"/>
    <w:rsid w:val="00904A88"/>
    <w:rsid w:val="00904AE5"/>
    <w:rsid w:val="00904B85"/>
    <w:rsid w:val="00904C2A"/>
    <w:rsid w:val="00904C87"/>
    <w:rsid w:val="00904E9A"/>
    <w:rsid w:val="00904EDA"/>
    <w:rsid w:val="00904F5D"/>
    <w:rsid w:val="00904F83"/>
    <w:rsid w:val="00905178"/>
    <w:rsid w:val="009051E3"/>
    <w:rsid w:val="00905241"/>
    <w:rsid w:val="00905273"/>
    <w:rsid w:val="00905336"/>
    <w:rsid w:val="00905AF3"/>
    <w:rsid w:val="00905B8B"/>
    <w:rsid w:val="00905BB7"/>
    <w:rsid w:val="00905D11"/>
    <w:rsid w:val="00905EAA"/>
    <w:rsid w:val="00905EB2"/>
    <w:rsid w:val="00905F0F"/>
    <w:rsid w:val="00906069"/>
    <w:rsid w:val="0090608E"/>
    <w:rsid w:val="009060FF"/>
    <w:rsid w:val="009061CF"/>
    <w:rsid w:val="00906405"/>
    <w:rsid w:val="0090664F"/>
    <w:rsid w:val="00906657"/>
    <w:rsid w:val="009066DC"/>
    <w:rsid w:val="00906899"/>
    <w:rsid w:val="00906DF2"/>
    <w:rsid w:val="00906E22"/>
    <w:rsid w:val="00906E25"/>
    <w:rsid w:val="00906E78"/>
    <w:rsid w:val="00906E85"/>
    <w:rsid w:val="00907085"/>
    <w:rsid w:val="0090713E"/>
    <w:rsid w:val="00907223"/>
    <w:rsid w:val="0090728D"/>
    <w:rsid w:val="00907436"/>
    <w:rsid w:val="00907441"/>
    <w:rsid w:val="00907583"/>
    <w:rsid w:val="0090758F"/>
    <w:rsid w:val="00907623"/>
    <w:rsid w:val="0090766F"/>
    <w:rsid w:val="0090779A"/>
    <w:rsid w:val="009077B9"/>
    <w:rsid w:val="0090780A"/>
    <w:rsid w:val="009078A5"/>
    <w:rsid w:val="00907BA4"/>
    <w:rsid w:val="00907D71"/>
    <w:rsid w:val="00907E08"/>
    <w:rsid w:val="00907E4A"/>
    <w:rsid w:val="00907F5E"/>
    <w:rsid w:val="009102B4"/>
    <w:rsid w:val="00910336"/>
    <w:rsid w:val="00910380"/>
    <w:rsid w:val="00910405"/>
    <w:rsid w:val="0091046F"/>
    <w:rsid w:val="009104D5"/>
    <w:rsid w:val="0091052B"/>
    <w:rsid w:val="00910589"/>
    <w:rsid w:val="009106B4"/>
    <w:rsid w:val="00910715"/>
    <w:rsid w:val="0091071D"/>
    <w:rsid w:val="009107FF"/>
    <w:rsid w:val="00910873"/>
    <w:rsid w:val="0091091D"/>
    <w:rsid w:val="00910942"/>
    <w:rsid w:val="00910B33"/>
    <w:rsid w:val="00910BCF"/>
    <w:rsid w:val="00910C11"/>
    <w:rsid w:val="00910D2B"/>
    <w:rsid w:val="009110E2"/>
    <w:rsid w:val="00911175"/>
    <w:rsid w:val="00911327"/>
    <w:rsid w:val="009113D9"/>
    <w:rsid w:val="00911406"/>
    <w:rsid w:val="00911534"/>
    <w:rsid w:val="00911544"/>
    <w:rsid w:val="0091156E"/>
    <w:rsid w:val="009115BB"/>
    <w:rsid w:val="00911AF6"/>
    <w:rsid w:val="00911BFE"/>
    <w:rsid w:val="00911F7E"/>
    <w:rsid w:val="00912008"/>
    <w:rsid w:val="0091208C"/>
    <w:rsid w:val="009120B8"/>
    <w:rsid w:val="009122CA"/>
    <w:rsid w:val="009122DB"/>
    <w:rsid w:val="0091240E"/>
    <w:rsid w:val="0091243E"/>
    <w:rsid w:val="009124F5"/>
    <w:rsid w:val="009125BA"/>
    <w:rsid w:val="00912848"/>
    <w:rsid w:val="00912855"/>
    <w:rsid w:val="009128FC"/>
    <w:rsid w:val="009129C3"/>
    <w:rsid w:val="00912B56"/>
    <w:rsid w:val="00912BDC"/>
    <w:rsid w:val="00912C1F"/>
    <w:rsid w:val="00912C6F"/>
    <w:rsid w:val="00912CFC"/>
    <w:rsid w:val="00912D60"/>
    <w:rsid w:val="00912E50"/>
    <w:rsid w:val="00912E6B"/>
    <w:rsid w:val="0091300E"/>
    <w:rsid w:val="00913037"/>
    <w:rsid w:val="00913076"/>
    <w:rsid w:val="00913149"/>
    <w:rsid w:val="00913203"/>
    <w:rsid w:val="0091337E"/>
    <w:rsid w:val="009133D4"/>
    <w:rsid w:val="009133EA"/>
    <w:rsid w:val="00913491"/>
    <w:rsid w:val="00913658"/>
    <w:rsid w:val="0091366C"/>
    <w:rsid w:val="009136D9"/>
    <w:rsid w:val="00913823"/>
    <w:rsid w:val="00913889"/>
    <w:rsid w:val="009138B5"/>
    <w:rsid w:val="00913B3C"/>
    <w:rsid w:val="00913C1C"/>
    <w:rsid w:val="00913CC1"/>
    <w:rsid w:val="00913D51"/>
    <w:rsid w:val="00913D64"/>
    <w:rsid w:val="00913D96"/>
    <w:rsid w:val="00913F98"/>
    <w:rsid w:val="00914086"/>
    <w:rsid w:val="00914138"/>
    <w:rsid w:val="00914368"/>
    <w:rsid w:val="00914392"/>
    <w:rsid w:val="009143AA"/>
    <w:rsid w:val="00914445"/>
    <w:rsid w:val="0091458F"/>
    <w:rsid w:val="009146EB"/>
    <w:rsid w:val="0091495B"/>
    <w:rsid w:val="0091496E"/>
    <w:rsid w:val="00914C99"/>
    <w:rsid w:val="00914D25"/>
    <w:rsid w:val="00914D48"/>
    <w:rsid w:val="00914DBB"/>
    <w:rsid w:val="00914E46"/>
    <w:rsid w:val="00914F40"/>
    <w:rsid w:val="00914F90"/>
    <w:rsid w:val="00914FED"/>
    <w:rsid w:val="00915146"/>
    <w:rsid w:val="009152BA"/>
    <w:rsid w:val="0091534D"/>
    <w:rsid w:val="009153EE"/>
    <w:rsid w:val="00915411"/>
    <w:rsid w:val="009154D8"/>
    <w:rsid w:val="00915512"/>
    <w:rsid w:val="009156EB"/>
    <w:rsid w:val="00915C6C"/>
    <w:rsid w:val="00915CE8"/>
    <w:rsid w:val="00915DF8"/>
    <w:rsid w:val="00915E47"/>
    <w:rsid w:val="00916139"/>
    <w:rsid w:val="00916223"/>
    <w:rsid w:val="00916269"/>
    <w:rsid w:val="009163A0"/>
    <w:rsid w:val="009165A9"/>
    <w:rsid w:val="0091696F"/>
    <w:rsid w:val="00916A06"/>
    <w:rsid w:val="00916AAB"/>
    <w:rsid w:val="00916C99"/>
    <w:rsid w:val="00916DE7"/>
    <w:rsid w:val="00916E56"/>
    <w:rsid w:val="00916EE9"/>
    <w:rsid w:val="00916F72"/>
    <w:rsid w:val="00917010"/>
    <w:rsid w:val="0091702A"/>
    <w:rsid w:val="00917159"/>
    <w:rsid w:val="00917210"/>
    <w:rsid w:val="00917234"/>
    <w:rsid w:val="0091730A"/>
    <w:rsid w:val="00917333"/>
    <w:rsid w:val="009173D7"/>
    <w:rsid w:val="00917443"/>
    <w:rsid w:val="00917528"/>
    <w:rsid w:val="00917992"/>
    <w:rsid w:val="009179FE"/>
    <w:rsid w:val="00917C84"/>
    <w:rsid w:val="00917CE6"/>
    <w:rsid w:val="00917D5F"/>
    <w:rsid w:val="00917D6B"/>
    <w:rsid w:val="00917E56"/>
    <w:rsid w:val="00917EA1"/>
    <w:rsid w:val="00917FE4"/>
    <w:rsid w:val="009198AC"/>
    <w:rsid w:val="0092030F"/>
    <w:rsid w:val="0092036E"/>
    <w:rsid w:val="009206EB"/>
    <w:rsid w:val="009208AB"/>
    <w:rsid w:val="009208B3"/>
    <w:rsid w:val="00920BC5"/>
    <w:rsid w:val="00920C94"/>
    <w:rsid w:val="00920CCA"/>
    <w:rsid w:val="00920FCF"/>
    <w:rsid w:val="009210B0"/>
    <w:rsid w:val="009210C4"/>
    <w:rsid w:val="0092119F"/>
    <w:rsid w:val="009211F7"/>
    <w:rsid w:val="009214C3"/>
    <w:rsid w:val="009214F2"/>
    <w:rsid w:val="009217FC"/>
    <w:rsid w:val="009218A2"/>
    <w:rsid w:val="009218F7"/>
    <w:rsid w:val="0092191B"/>
    <w:rsid w:val="00921A22"/>
    <w:rsid w:val="00921B84"/>
    <w:rsid w:val="00921D5C"/>
    <w:rsid w:val="00921D86"/>
    <w:rsid w:val="00921DC3"/>
    <w:rsid w:val="00921F1C"/>
    <w:rsid w:val="00921FE8"/>
    <w:rsid w:val="009220FF"/>
    <w:rsid w:val="0092241F"/>
    <w:rsid w:val="0092249E"/>
    <w:rsid w:val="009224A3"/>
    <w:rsid w:val="009224B7"/>
    <w:rsid w:val="00922516"/>
    <w:rsid w:val="0092261B"/>
    <w:rsid w:val="00922A25"/>
    <w:rsid w:val="00922A44"/>
    <w:rsid w:val="00922A6C"/>
    <w:rsid w:val="00922A88"/>
    <w:rsid w:val="00922AE4"/>
    <w:rsid w:val="00922B13"/>
    <w:rsid w:val="00922CF4"/>
    <w:rsid w:val="00922D41"/>
    <w:rsid w:val="00922E09"/>
    <w:rsid w:val="00922E3B"/>
    <w:rsid w:val="00922E7B"/>
    <w:rsid w:val="00922ECD"/>
    <w:rsid w:val="00922F4C"/>
    <w:rsid w:val="00922F70"/>
    <w:rsid w:val="00922FD8"/>
    <w:rsid w:val="0092306F"/>
    <w:rsid w:val="009230B4"/>
    <w:rsid w:val="009230E8"/>
    <w:rsid w:val="0092313E"/>
    <w:rsid w:val="00923155"/>
    <w:rsid w:val="009231EF"/>
    <w:rsid w:val="0092320A"/>
    <w:rsid w:val="00923261"/>
    <w:rsid w:val="0092328D"/>
    <w:rsid w:val="0092331F"/>
    <w:rsid w:val="009233CC"/>
    <w:rsid w:val="00923509"/>
    <w:rsid w:val="00923551"/>
    <w:rsid w:val="009235B7"/>
    <w:rsid w:val="00923633"/>
    <w:rsid w:val="00923651"/>
    <w:rsid w:val="00923695"/>
    <w:rsid w:val="0092380A"/>
    <w:rsid w:val="00923A6B"/>
    <w:rsid w:val="00923BF5"/>
    <w:rsid w:val="00923C11"/>
    <w:rsid w:val="00923D7C"/>
    <w:rsid w:val="00923D97"/>
    <w:rsid w:val="00923EF4"/>
    <w:rsid w:val="00923FB3"/>
    <w:rsid w:val="0092401B"/>
    <w:rsid w:val="009240D8"/>
    <w:rsid w:val="009240E4"/>
    <w:rsid w:val="009240FF"/>
    <w:rsid w:val="0092428D"/>
    <w:rsid w:val="0092444E"/>
    <w:rsid w:val="00924502"/>
    <w:rsid w:val="0092474A"/>
    <w:rsid w:val="009247E2"/>
    <w:rsid w:val="00924848"/>
    <w:rsid w:val="0092492F"/>
    <w:rsid w:val="00924AA7"/>
    <w:rsid w:val="00924E23"/>
    <w:rsid w:val="00924EC9"/>
    <w:rsid w:val="0092518C"/>
    <w:rsid w:val="00925226"/>
    <w:rsid w:val="0092523D"/>
    <w:rsid w:val="0092528D"/>
    <w:rsid w:val="009254B3"/>
    <w:rsid w:val="009255A3"/>
    <w:rsid w:val="009255B0"/>
    <w:rsid w:val="009256C7"/>
    <w:rsid w:val="0092571D"/>
    <w:rsid w:val="0092586A"/>
    <w:rsid w:val="009259B7"/>
    <w:rsid w:val="00925B1E"/>
    <w:rsid w:val="00925BFB"/>
    <w:rsid w:val="00925CA0"/>
    <w:rsid w:val="00925DD3"/>
    <w:rsid w:val="00925E08"/>
    <w:rsid w:val="00925E3A"/>
    <w:rsid w:val="00925EF6"/>
    <w:rsid w:val="00925F7F"/>
    <w:rsid w:val="00926007"/>
    <w:rsid w:val="009260FB"/>
    <w:rsid w:val="00926290"/>
    <w:rsid w:val="00926354"/>
    <w:rsid w:val="009263B1"/>
    <w:rsid w:val="009264CA"/>
    <w:rsid w:val="0092651D"/>
    <w:rsid w:val="00926601"/>
    <w:rsid w:val="00926659"/>
    <w:rsid w:val="00926A6D"/>
    <w:rsid w:val="00926BAB"/>
    <w:rsid w:val="00926BE5"/>
    <w:rsid w:val="00926C96"/>
    <w:rsid w:val="00926D16"/>
    <w:rsid w:val="00926E6D"/>
    <w:rsid w:val="00926F34"/>
    <w:rsid w:val="00926F45"/>
    <w:rsid w:val="00927038"/>
    <w:rsid w:val="00927240"/>
    <w:rsid w:val="00927378"/>
    <w:rsid w:val="00927578"/>
    <w:rsid w:val="009275F5"/>
    <w:rsid w:val="009275F7"/>
    <w:rsid w:val="0092785A"/>
    <w:rsid w:val="0092789F"/>
    <w:rsid w:val="00927A08"/>
    <w:rsid w:val="00927B51"/>
    <w:rsid w:val="00927B67"/>
    <w:rsid w:val="00927B7B"/>
    <w:rsid w:val="00927D08"/>
    <w:rsid w:val="00927DBB"/>
    <w:rsid w:val="00927E26"/>
    <w:rsid w:val="00927F26"/>
    <w:rsid w:val="00927FCB"/>
    <w:rsid w:val="0093002D"/>
    <w:rsid w:val="00930057"/>
    <w:rsid w:val="0093007F"/>
    <w:rsid w:val="009301FF"/>
    <w:rsid w:val="009303A4"/>
    <w:rsid w:val="009303C3"/>
    <w:rsid w:val="00930416"/>
    <w:rsid w:val="00930431"/>
    <w:rsid w:val="0093046C"/>
    <w:rsid w:val="0093052A"/>
    <w:rsid w:val="0093066B"/>
    <w:rsid w:val="0093069F"/>
    <w:rsid w:val="009306DB"/>
    <w:rsid w:val="00930745"/>
    <w:rsid w:val="00930812"/>
    <w:rsid w:val="0093081A"/>
    <w:rsid w:val="009308D8"/>
    <w:rsid w:val="00930948"/>
    <w:rsid w:val="00930A39"/>
    <w:rsid w:val="00930A74"/>
    <w:rsid w:val="00930ADD"/>
    <w:rsid w:val="00930C00"/>
    <w:rsid w:val="00930CD6"/>
    <w:rsid w:val="00930E1C"/>
    <w:rsid w:val="00930EA1"/>
    <w:rsid w:val="00930F74"/>
    <w:rsid w:val="00930FD7"/>
    <w:rsid w:val="009310EB"/>
    <w:rsid w:val="009310ED"/>
    <w:rsid w:val="00931112"/>
    <w:rsid w:val="009312EE"/>
    <w:rsid w:val="00931338"/>
    <w:rsid w:val="00931393"/>
    <w:rsid w:val="009313A6"/>
    <w:rsid w:val="009314BC"/>
    <w:rsid w:val="0093151C"/>
    <w:rsid w:val="009315C3"/>
    <w:rsid w:val="009316A4"/>
    <w:rsid w:val="0093176E"/>
    <w:rsid w:val="00931852"/>
    <w:rsid w:val="009318BF"/>
    <w:rsid w:val="00931B5E"/>
    <w:rsid w:val="00931E04"/>
    <w:rsid w:val="00931E17"/>
    <w:rsid w:val="00931E34"/>
    <w:rsid w:val="00931F37"/>
    <w:rsid w:val="00932100"/>
    <w:rsid w:val="0093212B"/>
    <w:rsid w:val="00932191"/>
    <w:rsid w:val="00932346"/>
    <w:rsid w:val="00932473"/>
    <w:rsid w:val="009324BE"/>
    <w:rsid w:val="009324FA"/>
    <w:rsid w:val="00932509"/>
    <w:rsid w:val="00932563"/>
    <w:rsid w:val="009325BE"/>
    <w:rsid w:val="009326B4"/>
    <w:rsid w:val="009328CD"/>
    <w:rsid w:val="009328ED"/>
    <w:rsid w:val="00932929"/>
    <w:rsid w:val="0093297D"/>
    <w:rsid w:val="00932983"/>
    <w:rsid w:val="009329B0"/>
    <w:rsid w:val="009329B2"/>
    <w:rsid w:val="009329E0"/>
    <w:rsid w:val="00932A88"/>
    <w:rsid w:val="00932B36"/>
    <w:rsid w:val="00932BFF"/>
    <w:rsid w:val="00932D7B"/>
    <w:rsid w:val="00932E4B"/>
    <w:rsid w:val="0093323E"/>
    <w:rsid w:val="009332E2"/>
    <w:rsid w:val="0093330A"/>
    <w:rsid w:val="0093338B"/>
    <w:rsid w:val="009334E9"/>
    <w:rsid w:val="0093374F"/>
    <w:rsid w:val="00933817"/>
    <w:rsid w:val="00933A35"/>
    <w:rsid w:val="00933AF3"/>
    <w:rsid w:val="00933B0B"/>
    <w:rsid w:val="00933B55"/>
    <w:rsid w:val="00933B69"/>
    <w:rsid w:val="00933B88"/>
    <w:rsid w:val="00933BCB"/>
    <w:rsid w:val="00933C5B"/>
    <w:rsid w:val="00933CB3"/>
    <w:rsid w:val="00933D76"/>
    <w:rsid w:val="00933D8F"/>
    <w:rsid w:val="00933E78"/>
    <w:rsid w:val="00933EF4"/>
    <w:rsid w:val="00933F4A"/>
    <w:rsid w:val="00933FE3"/>
    <w:rsid w:val="0093402C"/>
    <w:rsid w:val="00934376"/>
    <w:rsid w:val="009343FA"/>
    <w:rsid w:val="00934413"/>
    <w:rsid w:val="00934699"/>
    <w:rsid w:val="009346CE"/>
    <w:rsid w:val="009347A5"/>
    <w:rsid w:val="00934B9E"/>
    <w:rsid w:val="00934EAC"/>
    <w:rsid w:val="009350E4"/>
    <w:rsid w:val="009351E6"/>
    <w:rsid w:val="009351F2"/>
    <w:rsid w:val="009353D5"/>
    <w:rsid w:val="009354E5"/>
    <w:rsid w:val="00935698"/>
    <w:rsid w:val="00935753"/>
    <w:rsid w:val="00935873"/>
    <w:rsid w:val="0093595F"/>
    <w:rsid w:val="00935981"/>
    <w:rsid w:val="009359D7"/>
    <w:rsid w:val="009359DF"/>
    <w:rsid w:val="00935A5A"/>
    <w:rsid w:val="00935A86"/>
    <w:rsid w:val="00935BBD"/>
    <w:rsid w:val="00935BE9"/>
    <w:rsid w:val="00935F6D"/>
    <w:rsid w:val="0093603E"/>
    <w:rsid w:val="009360D7"/>
    <w:rsid w:val="0093622C"/>
    <w:rsid w:val="009362C9"/>
    <w:rsid w:val="00936361"/>
    <w:rsid w:val="009363C9"/>
    <w:rsid w:val="0093661F"/>
    <w:rsid w:val="00936665"/>
    <w:rsid w:val="009369E5"/>
    <w:rsid w:val="00936C5B"/>
    <w:rsid w:val="00936C72"/>
    <w:rsid w:val="00936CF7"/>
    <w:rsid w:val="00936DA6"/>
    <w:rsid w:val="00936E51"/>
    <w:rsid w:val="00936EBF"/>
    <w:rsid w:val="0093710F"/>
    <w:rsid w:val="0093728E"/>
    <w:rsid w:val="009372F7"/>
    <w:rsid w:val="009373C1"/>
    <w:rsid w:val="0093743C"/>
    <w:rsid w:val="00937464"/>
    <w:rsid w:val="00937498"/>
    <w:rsid w:val="00937509"/>
    <w:rsid w:val="00937539"/>
    <w:rsid w:val="0093753F"/>
    <w:rsid w:val="009376D9"/>
    <w:rsid w:val="0093788F"/>
    <w:rsid w:val="0093789A"/>
    <w:rsid w:val="009378D2"/>
    <w:rsid w:val="00937935"/>
    <w:rsid w:val="0093793E"/>
    <w:rsid w:val="00937AAA"/>
    <w:rsid w:val="00937CD1"/>
    <w:rsid w:val="00937D1D"/>
    <w:rsid w:val="00937DD4"/>
    <w:rsid w:val="00937E42"/>
    <w:rsid w:val="00937E54"/>
    <w:rsid w:val="00937F7F"/>
    <w:rsid w:val="00940049"/>
    <w:rsid w:val="009403F8"/>
    <w:rsid w:val="0094048F"/>
    <w:rsid w:val="009404D7"/>
    <w:rsid w:val="009404F7"/>
    <w:rsid w:val="00940572"/>
    <w:rsid w:val="009405A4"/>
    <w:rsid w:val="00940600"/>
    <w:rsid w:val="0094075C"/>
    <w:rsid w:val="009407AA"/>
    <w:rsid w:val="009407FF"/>
    <w:rsid w:val="009408E8"/>
    <w:rsid w:val="00940935"/>
    <w:rsid w:val="00940A90"/>
    <w:rsid w:val="00940AD1"/>
    <w:rsid w:val="00940AF2"/>
    <w:rsid w:val="00940BF8"/>
    <w:rsid w:val="00940C43"/>
    <w:rsid w:val="00940E50"/>
    <w:rsid w:val="00941026"/>
    <w:rsid w:val="00941058"/>
    <w:rsid w:val="009410AE"/>
    <w:rsid w:val="009410BB"/>
    <w:rsid w:val="009410EA"/>
    <w:rsid w:val="009411CE"/>
    <w:rsid w:val="009411F2"/>
    <w:rsid w:val="00941254"/>
    <w:rsid w:val="009413CE"/>
    <w:rsid w:val="009414B7"/>
    <w:rsid w:val="00941536"/>
    <w:rsid w:val="00941665"/>
    <w:rsid w:val="00941754"/>
    <w:rsid w:val="00941769"/>
    <w:rsid w:val="00941881"/>
    <w:rsid w:val="00941B9E"/>
    <w:rsid w:val="00941BD2"/>
    <w:rsid w:val="00941BDD"/>
    <w:rsid w:val="00941C15"/>
    <w:rsid w:val="00941C9A"/>
    <w:rsid w:val="00941CDA"/>
    <w:rsid w:val="00941D13"/>
    <w:rsid w:val="00941EF9"/>
    <w:rsid w:val="00941F14"/>
    <w:rsid w:val="00941FC1"/>
    <w:rsid w:val="00942058"/>
    <w:rsid w:val="0094218A"/>
    <w:rsid w:val="00942201"/>
    <w:rsid w:val="00942226"/>
    <w:rsid w:val="009422A1"/>
    <w:rsid w:val="00942387"/>
    <w:rsid w:val="00942637"/>
    <w:rsid w:val="00942665"/>
    <w:rsid w:val="00942A1E"/>
    <w:rsid w:val="00942A39"/>
    <w:rsid w:val="00942B79"/>
    <w:rsid w:val="00942C9F"/>
    <w:rsid w:val="00942DF9"/>
    <w:rsid w:val="00943070"/>
    <w:rsid w:val="009431F2"/>
    <w:rsid w:val="0094320A"/>
    <w:rsid w:val="009432FD"/>
    <w:rsid w:val="00943335"/>
    <w:rsid w:val="009434C8"/>
    <w:rsid w:val="009436D8"/>
    <w:rsid w:val="009436FA"/>
    <w:rsid w:val="009437C3"/>
    <w:rsid w:val="0094380C"/>
    <w:rsid w:val="0094385A"/>
    <w:rsid w:val="009438FE"/>
    <w:rsid w:val="00943974"/>
    <w:rsid w:val="00943AD9"/>
    <w:rsid w:val="00943AE3"/>
    <w:rsid w:val="00943C71"/>
    <w:rsid w:val="00943E6F"/>
    <w:rsid w:val="00943EC7"/>
    <w:rsid w:val="00943F3F"/>
    <w:rsid w:val="00943FE2"/>
    <w:rsid w:val="0094418B"/>
    <w:rsid w:val="009441F2"/>
    <w:rsid w:val="00944236"/>
    <w:rsid w:val="009442B1"/>
    <w:rsid w:val="009442D9"/>
    <w:rsid w:val="00944398"/>
    <w:rsid w:val="0094439A"/>
    <w:rsid w:val="0094451A"/>
    <w:rsid w:val="00944593"/>
    <w:rsid w:val="00944614"/>
    <w:rsid w:val="00944959"/>
    <w:rsid w:val="009449AF"/>
    <w:rsid w:val="00944A5D"/>
    <w:rsid w:val="00944B84"/>
    <w:rsid w:val="00944B89"/>
    <w:rsid w:val="00944E4F"/>
    <w:rsid w:val="00944EAE"/>
    <w:rsid w:val="00944F9B"/>
    <w:rsid w:val="0094517F"/>
    <w:rsid w:val="009451A4"/>
    <w:rsid w:val="009451FF"/>
    <w:rsid w:val="0094521B"/>
    <w:rsid w:val="00945363"/>
    <w:rsid w:val="009454E9"/>
    <w:rsid w:val="0094550B"/>
    <w:rsid w:val="0094553C"/>
    <w:rsid w:val="009455B2"/>
    <w:rsid w:val="00945613"/>
    <w:rsid w:val="009457B0"/>
    <w:rsid w:val="0094583E"/>
    <w:rsid w:val="0094589F"/>
    <w:rsid w:val="00945B09"/>
    <w:rsid w:val="00945BC1"/>
    <w:rsid w:val="00945C50"/>
    <w:rsid w:val="00945CD7"/>
    <w:rsid w:val="00945D86"/>
    <w:rsid w:val="00945DFA"/>
    <w:rsid w:val="00945E42"/>
    <w:rsid w:val="00945EF3"/>
    <w:rsid w:val="00946019"/>
    <w:rsid w:val="0094626F"/>
    <w:rsid w:val="009462D2"/>
    <w:rsid w:val="009462E2"/>
    <w:rsid w:val="0094692B"/>
    <w:rsid w:val="00946981"/>
    <w:rsid w:val="00946A1D"/>
    <w:rsid w:val="00946DFA"/>
    <w:rsid w:val="00946E04"/>
    <w:rsid w:val="00946F5E"/>
    <w:rsid w:val="0094700C"/>
    <w:rsid w:val="00947047"/>
    <w:rsid w:val="00947074"/>
    <w:rsid w:val="009471EC"/>
    <w:rsid w:val="00947472"/>
    <w:rsid w:val="009476AB"/>
    <w:rsid w:val="00947847"/>
    <w:rsid w:val="009479A6"/>
    <w:rsid w:val="00947B56"/>
    <w:rsid w:val="00947BB6"/>
    <w:rsid w:val="00947C04"/>
    <w:rsid w:val="00947C5E"/>
    <w:rsid w:val="00947E56"/>
    <w:rsid w:val="0095034C"/>
    <w:rsid w:val="009503B4"/>
    <w:rsid w:val="00950552"/>
    <w:rsid w:val="0095075A"/>
    <w:rsid w:val="009507E0"/>
    <w:rsid w:val="00950821"/>
    <w:rsid w:val="009508B0"/>
    <w:rsid w:val="00950985"/>
    <w:rsid w:val="009509D1"/>
    <w:rsid w:val="00950A20"/>
    <w:rsid w:val="00950C00"/>
    <w:rsid w:val="00950CD5"/>
    <w:rsid w:val="00950D16"/>
    <w:rsid w:val="00950DB3"/>
    <w:rsid w:val="00950EA6"/>
    <w:rsid w:val="00950EF3"/>
    <w:rsid w:val="0095118D"/>
    <w:rsid w:val="0095119C"/>
    <w:rsid w:val="00951262"/>
    <w:rsid w:val="0095144C"/>
    <w:rsid w:val="009514D8"/>
    <w:rsid w:val="009515F4"/>
    <w:rsid w:val="0095165B"/>
    <w:rsid w:val="009517A7"/>
    <w:rsid w:val="00951A5D"/>
    <w:rsid w:val="00951BD0"/>
    <w:rsid w:val="00951C0A"/>
    <w:rsid w:val="00951C99"/>
    <w:rsid w:val="009520F2"/>
    <w:rsid w:val="0095217A"/>
    <w:rsid w:val="0095220D"/>
    <w:rsid w:val="00952372"/>
    <w:rsid w:val="00952548"/>
    <w:rsid w:val="0095255D"/>
    <w:rsid w:val="009525CF"/>
    <w:rsid w:val="00952738"/>
    <w:rsid w:val="00952844"/>
    <w:rsid w:val="00952A88"/>
    <w:rsid w:val="00952B34"/>
    <w:rsid w:val="00952CBC"/>
    <w:rsid w:val="00952D24"/>
    <w:rsid w:val="00952E84"/>
    <w:rsid w:val="00952E9A"/>
    <w:rsid w:val="009530A1"/>
    <w:rsid w:val="009530F3"/>
    <w:rsid w:val="0095312B"/>
    <w:rsid w:val="009531B5"/>
    <w:rsid w:val="009532D8"/>
    <w:rsid w:val="00953770"/>
    <w:rsid w:val="00953825"/>
    <w:rsid w:val="009538C2"/>
    <w:rsid w:val="009538EC"/>
    <w:rsid w:val="00953C27"/>
    <w:rsid w:val="00953D01"/>
    <w:rsid w:val="00953D79"/>
    <w:rsid w:val="00953D8F"/>
    <w:rsid w:val="00953D91"/>
    <w:rsid w:val="00953E50"/>
    <w:rsid w:val="00954003"/>
    <w:rsid w:val="00954148"/>
    <w:rsid w:val="009542ED"/>
    <w:rsid w:val="0095434A"/>
    <w:rsid w:val="009544B6"/>
    <w:rsid w:val="00954939"/>
    <w:rsid w:val="00954A1E"/>
    <w:rsid w:val="00954C5C"/>
    <w:rsid w:val="00954E4D"/>
    <w:rsid w:val="00954F56"/>
    <w:rsid w:val="009553DD"/>
    <w:rsid w:val="00955411"/>
    <w:rsid w:val="0095547D"/>
    <w:rsid w:val="0095554D"/>
    <w:rsid w:val="0095571C"/>
    <w:rsid w:val="00955943"/>
    <w:rsid w:val="009559B8"/>
    <w:rsid w:val="00955A40"/>
    <w:rsid w:val="00955AB4"/>
    <w:rsid w:val="00955AC4"/>
    <w:rsid w:val="00955C98"/>
    <w:rsid w:val="00955D01"/>
    <w:rsid w:val="00955DF3"/>
    <w:rsid w:val="00955E1D"/>
    <w:rsid w:val="00955EC2"/>
    <w:rsid w:val="00955FCA"/>
    <w:rsid w:val="00955FEB"/>
    <w:rsid w:val="0095616D"/>
    <w:rsid w:val="009561A0"/>
    <w:rsid w:val="0095634B"/>
    <w:rsid w:val="0095635F"/>
    <w:rsid w:val="009563BC"/>
    <w:rsid w:val="0095654C"/>
    <w:rsid w:val="009565C4"/>
    <w:rsid w:val="00956739"/>
    <w:rsid w:val="0095686C"/>
    <w:rsid w:val="00956A5C"/>
    <w:rsid w:val="00956A9C"/>
    <w:rsid w:val="00956C4E"/>
    <w:rsid w:val="00956D5C"/>
    <w:rsid w:val="00956E87"/>
    <w:rsid w:val="00956F46"/>
    <w:rsid w:val="00956FA7"/>
    <w:rsid w:val="009572D4"/>
    <w:rsid w:val="009572EB"/>
    <w:rsid w:val="009573FB"/>
    <w:rsid w:val="009574DE"/>
    <w:rsid w:val="0095751D"/>
    <w:rsid w:val="00957569"/>
    <w:rsid w:val="00957735"/>
    <w:rsid w:val="009577B3"/>
    <w:rsid w:val="009578E8"/>
    <w:rsid w:val="009578E9"/>
    <w:rsid w:val="00957935"/>
    <w:rsid w:val="009579F2"/>
    <w:rsid w:val="00957A77"/>
    <w:rsid w:val="00957C55"/>
    <w:rsid w:val="00957CC7"/>
    <w:rsid w:val="00957D5D"/>
    <w:rsid w:val="00957E2B"/>
    <w:rsid w:val="00957ED3"/>
    <w:rsid w:val="00957F20"/>
    <w:rsid w:val="00957F36"/>
    <w:rsid w:val="0096002A"/>
    <w:rsid w:val="0096006C"/>
    <w:rsid w:val="0096029B"/>
    <w:rsid w:val="009602C1"/>
    <w:rsid w:val="00960304"/>
    <w:rsid w:val="00960740"/>
    <w:rsid w:val="00960822"/>
    <w:rsid w:val="009608B3"/>
    <w:rsid w:val="00960904"/>
    <w:rsid w:val="00960C09"/>
    <w:rsid w:val="00960CA9"/>
    <w:rsid w:val="00960CC7"/>
    <w:rsid w:val="00960E96"/>
    <w:rsid w:val="00960EBC"/>
    <w:rsid w:val="00960EC0"/>
    <w:rsid w:val="00960F1B"/>
    <w:rsid w:val="009610EC"/>
    <w:rsid w:val="009610EE"/>
    <w:rsid w:val="009611BD"/>
    <w:rsid w:val="009612D2"/>
    <w:rsid w:val="0096132F"/>
    <w:rsid w:val="009613A2"/>
    <w:rsid w:val="0096144D"/>
    <w:rsid w:val="009614D3"/>
    <w:rsid w:val="00961623"/>
    <w:rsid w:val="0096188B"/>
    <w:rsid w:val="009619B3"/>
    <w:rsid w:val="00961A61"/>
    <w:rsid w:val="00961E98"/>
    <w:rsid w:val="00961F10"/>
    <w:rsid w:val="00961F98"/>
    <w:rsid w:val="00961F9F"/>
    <w:rsid w:val="00961FF0"/>
    <w:rsid w:val="009620CF"/>
    <w:rsid w:val="00962323"/>
    <w:rsid w:val="009624F9"/>
    <w:rsid w:val="009625BB"/>
    <w:rsid w:val="009626AC"/>
    <w:rsid w:val="00962807"/>
    <w:rsid w:val="00962898"/>
    <w:rsid w:val="00962927"/>
    <w:rsid w:val="00962940"/>
    <w:rsid w:val="0096297B"/>
    <w:rsid w:val="00962A69"/>
    <w:rsid w:val="00962A99"/>
    <w:rsid w:val="00962B63"/>
    <w:rsid w:val="00962BDC"/>
    <w:rsid w:val="00962CB5"/>
    <w:rsid w:val="00962EA5"/>
    <w:rsid w:val="009632C4"/>
    <w:rsid w:val="009633B4"/>
    <w:rsid w:val="009633D7"/>
    <w:rsid w:val="0096350E"/>
    <w:rsid w:val="00963552"/>
    <w:rsid w:val="009636D3"/>
    <w:rsid w:val="00963773"/>
    <w:rsid w:val="009637F5"/>
    <w:rsid w:val="0096385D"/>
    <w:rsid w:val="00963959"/>
    <w:rsid w:val="00963962"/>
    <w:rsid w:val="00963A68"/>
    <w:rsid w:val="00963ACD"/>
    <w:rsid w:val="00963B1B"/>
    <w:rsid w:val="00963B85"/>
    <w:rsid w:val="00963BBA"/>
    <w:rsid w:val="00963C1D"/>
    <w:rsid w:val="00963D51"/>
    <w:rsid w:val="00964082"/>
    <w:rsid w:val="009641D1"/>
    <w:rsid w:val="0096425F"/>
    <w:rsid w:val="009642F9"/>
    <w:rsid w:val="00964337"/>
    <w:rsid w:val="009643C7"/>
    <w:rsid w:val="0096449A"/>
    <w:rsid w:val="009644AA"/>
    <w:rsid w:val="00964723"/>
    <w:rsid w:val="00964769"/>
    <w:rsid w:val="00964958"/>
    <w:rsid w:val="00964982"/>
    <w:rsid w:val="00964A1C"/>
    <w:rsid w:val="00964A2F"/>
    <w:rsid w:val="00964A79"/>
    <w:rsid w:val="00964B03"/>
    <w:rsid w:val="00964C14"/>
    <w:rsid w:val="00964C2F"/>
    <w:rsid w:val="00964CF1"/>
    <w:rsid w:val="00964E99"/>
    <w:rsid w:val="00964EDF"/>
    <w:rsid w:val="00964F96"/>
    <w:rsid w:val="00965044"/>
    <w:rsid w:val="00965214"/>
    <w:rsid w:val="009652D5"/>
    <w:rsid w:val="009653F3"/>
    <w:rsid w:val="009655CB"/>
    <w:rsid w:val="009656AF"/>
    <w:rsid w:val="009658BE"/>
    <w:rsid w:val="00965966"/>
    <w:rsid w:val="00965B3C"/>
    <w:rsid w:val="00965BA1"/>
    <w:rsid w:val="00965BB2"/>
    <w:rsid w:val="00965C21"/>
    <w:rsid w:val="00966061"/>
    <w:rsid w:val="0096616C"/>
    <w:rsid w:val="0096618C"/>
    <w:rsid w:val="00966355"/>
    <w:rsid w:val="009663DD"/>
    <w:rsid w:val="009664FD"/>
    <w:rsid w:val="0096668E"/>
    <w:rsid w:val="0096679B"/>
    <w:rsid w:val="009668AE"/>
    <w:rsid w:val="009668D4"/>
    <w:rsid w:val="0096698F"/>
    <w:rsid w:val="00966B24"/>
    <w:rsid w:val="00966C16"/>
    <w:rsid w:val="00966C21"/>
    <w:rsid w:val="00966C56"/>
    <w:rsid w:val="00966CA9"/>
    <w:rsid w:val="00966D01"/>
    <w:rsid w:val="00966DA1"/>
    <w:rsid w:val="00966DCE"/>
    <w:rsid w:val="00967103"/>
    <w:rsid w:val="00967346"/>
    <w:rsid w:val="009673BF"/>
    <w:rsid w:val="00967460"/>
    <w:rsid w:val="00967482"/>
    <w:rsid w:val="009674E0"/>
    <w:rsid w:val="0096761A"/>
    <w:rsid w:val="00967697"/>
    <w:rsid w:val="009677F8"/>
    <w:rsid w:val="00967854"/>
    <w:rsid w:val="00967885"/>
    <w:rsid w:val="0096790C"/>
    <w:rsid w:val="00967960"/>
    <w:rsid w:val="009679EA"/>
    <w:rsid w:val="00967A08"/>
    <w:rsid w:val="00967B58"/>
    <w:rsid w:val="00967B61"/>
    <w:rsid w:val="00967C0C"/>
    <w:rsid w:val="00967D61"/>
    <w:rsid w:val="00967E1F"/>
    <w:rsid w:val="009700A6"/>
    <w:rsid w:val="0097011F"/>
    <w:rsid w:val="009701C5"/>
    <w:rsid w:val="0097024F"/>
    <w:rsid w:val="0097036B"/>
    <w:rsid w:val="00970536"/>
    <w:rsid w:val="0097054C"/>
    <w:rsid w:val="009705FE"/>
    <w:rsid w:val="00970910"/>
    <w:rsid w:val="009709C1"/>
    <w:rsid w:val="00970A3D"/>
    <w:rsid w:val="00970A89"/>
    <w:rsid w:val="00970AA5"/>
    <w:rsid w:val="00970C46"/>
    <w:rsid w:val="00970C78"/>
    <w:rsid w:val="00970D1A"/>
    <w:rsid w:val="00970E55"/>
    <w:rsid w:val="00970EF1"/>
    <w:rsid w:val="00970F09"/>
    <w:rsid w:val="00970F43"/>
    <w:rsid w:val="00970F7A"/>
    <w:rsid w:val="00971063"/>
    <w:rsid w:val="00971146"/>
    <w:rsid w:val="009711BF"/>
    <w:rsid w:val="0097124E"/>
    <w:rsid w:val="009712A3"/>
    <w:rsid w:val="009712F6"/>
    <w:rsid w:val="009713E2"/>
    <w:rsid w:val="009713EB"/>
    <w:rsid w:val="009713FF"/>
    <w:rsid w:val="00971438"/>
    <w:rsid w:val="009716D7"/>
    <w:rsid w:val="009716DE"/>
    <w:rsid w:val="009717F0"/>
    <w:rsid w:val="009718C4"/>
    <w:rsid w:val="00971912"/>
    <w:rsid w:val="0097198B"/>
    <w:rsid w:val="00971AA1"/>
    <w:rsid w:val="00971C26"/>
    <w:rsid w:val="00971C3A"/>
    <w:rsid w:val="00971C6B"/>
    <w:rsid w:val="00971CF1"/>
    <w:rsid w:val="00971DC0"/>
    <w:rsid w:val="00971DD0"/>
    <w:rsid w:val="00972197"/>
    <w:rsid w:val="00972212"/>
    <w:rsid w:val="00972278"/>
    <w:rsid w:val="0097229F"/>
    <w:rsid w:val="009722DC"/>
    <w:rsid w:val="009722E5"/>
    <w:rsid w:val="009723A7"/>
    <w:rsid w:val="009723EC"/>
    <w:rsid w:val="00972473"/>
    <w:rsid w:val="009725F2"/>
    <w:rsid w:val="00972636"/>
    <w:rsid w:val="0097266D"/>
    <w:rsid w:val="009726FA"/>
    <w:rsid w:val="00972702"/>
    <w:rsid w:val="00972713"/>
    <w:rsid w:val="009727C3"/>
    <w:rsid w:val="00972847"/>
    <w:rsid w:val="009728D9"/>
    <w:rsid w:val="00972916"/>
    <w:rsid w:val="00972928"/>
    <w:rsid w:val="00972976"/>
    <w:rsid w:val="00972A9A"/>
    <w:rsid w:val="00972AE4"/>
    <w:rsid w:val="00972AFF"/>
    <w:rsid w:val="00972B99"/>
    <w:rsid w:val="00972C1E"/>
    <w:rsid w:val="00972D91"/>
    <w:rsid w:val="00972F2D"/>
    <w:rsid w:val="00972FBE"/>
    <w:rsid w:val="00973075"/>
    <w:rsid w:val="0097308B"/>
    <w:rsid w:val="00973158"/>
    <w:rsid w:val="00973211"/>
    <w:rsid w:val="009733A0"/>
    <w:rsid w:val="009733F1"/>
    <w:rsid w:val="0097348A"/>
    <w:rsid w:val="009735FB"/>
    <w:rsid w:val="00973652"/>
    <w:rsid w:val="00973738"/>
    <w:rsid w:val="0097374B"/>
    <w:rsid w:val="00973773"/>
    <w:rsid w:val="00973933"/>
    <w:rsid w:val="00973A70"/>
    <w:rsid w:val="00973B59"/>
    <w:rsid w:val="00973BFB"/>
    <w:rsid w:val="00973C85"/>
    <w:rsid w:val="00973CAE"/>
    <w:rsid w:val="00973D73"/>
    <w:rsid w:val="00973E92"/>
    <w:rsid w:val="00973EEB"/>
    <w:rsid w:val="00973F6B"/>
    <w:rsid w:val="00973FCF"/>
    <w:rsid w:val="0097429B"/>
    <w:rsid w:val="0097441E"/>
    <w:rsid w:val="009744DE"/>
    <w:rsid w:val="009745D4"/>
    <w:rsid w:val="009746C6"/>
    <w:rsid w:val="009747D7"/>
    <w:rsid w:val="00974892"/>
    <w:rsid w:val="009749F7"/>
    <w:rsid w:val="00974C11"/>
    <w:rsid w:val="00974C19"/>
    <w:rsid w:val="0097535F"/>
    <w:rsid w:val="00975538"/>
    <w:rsid w:val="00975644"/>
    <w:rsid w:val="00975726"/>
    <w:rsid w:val="009757B3"/>
    <w:rsid w:val="0097588E"/>
    <w:rsid w:val="0097589A"/>
    <w:rsid w:val="0097593F"/>
    <w:rsid w:val="00975942"/>
    <w:rsid w:val="00975B8C"/>
    <w:rsid w:val="00975C2A"/>
    <w:rsid w:val="00975CD4"/>
    <w:rsid w:val="00975CF0"/>
    <w:rsid w:val="00975E51"/>
    <w:rsid w:val="0097600B"/>
    <w:rsid w:val="0097614E"/>
    <w:rsid w:val="0097620B"/>
    <w:rsid w:val="009762F2"/>
    <w:rsid w:val="009765F8"/>
    <w:rsid w:val="009767AA"/>
    <w:rsid w:val="009767E1"/>
    <w:rsid w:val="009767FA"/>
    <w:rsid w:val="0097691F"/>
    <w:rsid w:val="009769C3"/>
    <w:rsid w:val="00976E63"/>
    <w:rsid w:val="00976F69"/>
    <w:rsid w:val="00976F7E"/>
    <w:rsid w:val="00977150"/>
    <w:rsid w:val="00977263"/>
    <w:rsid w:val="009773A8"/>
    <w:rsid w:val="009774DB"/>
    <w:rsid w:val="00977526"/>
    <w:rsid w:val="009777D4"/>
    <w:rsid w:val="00977A34"/>
    <w:rsid w:val="00977A77"/>
    <w:rsid w:val="00977AB0"/>
    <w:rsid w:val="00977BE6"/>
    <w:rsid w:val="00977D75"/>
    <w:rsid w:val="00980004"/>
    <w:rsid w:val="009800E9"/>
    <w:rsid w:val="00980226"/>
    <w:rsid w:val="0098030D"/>
    <w:rsid w:val="00980381"/>
    <w:rsid w:val="009803F0"/>
    <w:rsid w:val="00980432"/>
    <w:rsid w:val="0098055F"/>
    <w:rsid w:val="009805DD"/>
    <w:rsid w:val="00980623"/>
    <w:rsid w:val="00980899"/>
    <w:rsid w:val="009809D2"/>
    <w:rsid w:val="009809DC"/>
    <w:rsid w:val="00980D3F"/>
    <w:rsid w:val="00980E4D"/>
    <w:rsid w:val="00980FDB"/>
    <w:rsid w:val="00981126"/>
    <w:rsid w:val="009811B8"/>
    <w:rsid w:val="00981394"/>
    <w:rsid w:val="009815F8"/>
    <w:rsid w:val="009816D4"/>
    <w:rsid w:val="0098193C"/>
    <w:rsid w:val="00981B4F"/>
    <w:rsid w:val="00981B96"/>
    <w:rsid w:val="00981BBA"/>
    <w:rsid w:val="00981C05"/>
    <w:rsid w:val="00981C09"/>
    <w:rsid w:val="00981C7B"/>
    <w:rsid w:val="00981DFC"/>
    <w:rsid w:val="00981E75"/>
    <w:rsid w:val="00981FC4"/>
    <w:rsid w:val="0098203A"/>
    <w:rsid w:val="00982134"/>
    <w:rsid w:val="00982184"/>
    <w:rsid w:val="009821F9"/>
    <w:rsid w:val="0098231C"/>
    <w:rsid w:val="0098242C"/>
    <w:rsid w:val="00982435"/>
    <w:rsid w:val="009824F4"/>
    <w:rsid w:val="00982523"/>
    <w:rsid w:val="00982559"/>
    <w:rsid w:val="00982627"/>
    <w:rsid w:val="009826CC"/>
    <w:rsid w:val="00982719"/>
    <w:rsid w:val="00982745"/>
    <w:rsid w:val="009827D9"/>
    <w:rsid w:val="0098280F"/>
    <w:rsid w:val="00982A90"/>
    <w:rsid w:val="00982BCC"/>
    <w:rsid w:val="00982C15"/>
    <w:rsid w:val="00982CA1"/>
    <w:rsid w:val="00982E30"/>
    <w:rsid w:val="00982E90"/>
    <w:rsid w:val="00982EC4"/>
    <w:rsid w:val="0098307E"/>
    <w:rsid w:val="00983096"/>
    <w:rsid w:val="0098311C"/>
    <w:rsid w:val="009831A2"/>
    <w:rsid w:val="009832C5"/>
    <w:rsid w:val="009832FD"/>
    <w:rsid w:val="0098338D"/>
    <w:rsid w:val="009833BE"/>
    <w:rsid w:val="00983696"/>
    <w:rsid w:val="009837CE"/>
    <w:rsid w:val="00983A0F"/>
    <w:rsid w:val="00983C31"/>
    <w:rsid w:val="00983DFA"/>
    <w:rsid w:val="00983DFB"/>
    <w:rsid w:val="00983E66"/>
    <w:rsid w:val="00983E7E"/>
    <w:rsid w:val="00983EF1"/>
    <w:rsid w:val="00983EFC"/>
    <w:rsid w:val="00983F43"/>
    <w:rsid w:val="0098401C"/>
    <w:rsid w:val="009841C1"/>
    <w:rsid w:val="0098427D"/>
    <w:rsid w:val="009844B9"/>
    <w:rsid w:val="0098461A"/>
    <w:rsid w:val="00984A1E"/>
    <w:rsid w:val="00984C48"/>
    <w:rsid w:val="00984D02"/>
    <w:rsid w:val="00984DE5"/>
    <w:rsid w:val="00984E8C"/>
    <w:rsid w:val="00984ECC"/>
    <w:rsid w:val="00985121"/>
    <w:rsid w:val="0098513A"/>
    <w:rsid w:val="009852BE"/>
    <w:rsid w:val="009853CE"/>
    <w:rsid w:val="009853E5"/>
    <w:rsid w:val="0098551A"/>
    <w:rsid w:val="0098553C"/>
    <w:rsid w:val="0098555C"/>
    <w:rsid w:val="00985657"/>
    <w:rsid w:val="009856F6"/>
    <w:rsid w:val="009857CA"/>
    <w:rsid w:val="009858B6"/>
    <w:rsid w:val="00985CF9"/>
    <w:rsid w:val="00985D08"/>
    <w:rsid w:val="00985E04"/>
    <w:rsid w:val="00985E47"/>
    <w:rsid w:val="00985F40"/>
    <w:rsid w:val="00986098"/>
    <w:rsid w:val="009861F1"/>
    <w:rsid w:val="00986326"/>
    <w:rsid w:val="009863C9"/>
    <w:rsid w:val="009865DA"/>
    <w:rsid w:val="009866A4"/>
    <w:rsid w:val="0098675C"/>
    <w:rsid w:val="009867C1"/>
    <w:rsid w:val="009867F4"/>
    <w:rsid w:val="00986848"/>
    <w:rsid w:val="009869FC"/>
    <w:rsid w:val="00986A4D"/>
    <w:rsid w:val="00986BC2"/>
    <w:rsid w:val="00986DB6"/>
    <w:rsid w:val="00987008"/>
    <w:rsid w:val="00987176"/>
    <w:rsid w:val="00987238"/>
    <w:rsid w:val="00987347"/>
    <w:rsid w:val="009874D7"/>
    <w:rsid w:val="00987603"/>
    <w:rsid w:val="00987640"/>
    <w:rsid w:val="0098765E"/>
    <w:rsid w:val="009876F2"/>
    <w:rsid w:val="00987A6D"/>
    <w:rsid w:val="00987BAC"/>
    <w:rsid w:val="00987BB1"/>
    <w:rsid w:val="00987C50"/>
    <w:rsid w:val="00987ED6"/>
    <w:rsid w:val="00990169"/>
    <w:rsid w:val="009902F9"/>
    <w:rsid w:val="00990366"/>
    <w:rsid w:val="009905FF"/>
    <w:rsid w:val="00990601"/>
    <w:rsid w:val="00990672"/>
    <w:rsid w:val="00990804"/>
    <w:rsid w:val="009908CB"/>
    <w:rsid w:val="00990AE1"/>
    <w:rsid w:val="00990B7E"/>
    <w:rsid w:val="00990B94"/>
    <w:rsid w:val="00990CF1"/>
    <w:rsid w:val="00990D40"/>
    <w:rsid w:val="00990D76"/>
    <w:rsid w:val="00990E6D"/>
    <w:rsid w:val="00990EC1"/>
    <w:rsid w:val="00990F98"/>
    <w:rsid w:val="00991199"/>
    <w:rsid w:val="0099120C"/>
    <w:rsid w:val="0099135E"/>
    <w:rsid w:val="009915E3"/>
    <w:rsid w:val="00991675"/>
    <w:rsid w:val="00991715"/>
    <w:rsid w:val="00991722"/>
    <w:rsid w:val="00991754"/>
    <w:rsid w:val="009917A5"/>
    <w:rsid w:val="009918DD"/>
    <w:rsid w:val="00991A55"/>
    <w:rsid w:val="00991B4A"/>
    <w:rsid w:val="00991B81"/>
    <w:rsid w:val="00991BF9"/>
    <w:rsid w:val="00991CED"/>
    <w:rsid w:val="00991EAD"/>
    <w:rsid w:val="00992008"/>
    <w:rsid w:val="00992282"/>
    <w:rsid w:val="0099239D"/>
    <w:rsid w:val="00992703"/>
    <w:rsid w:val="009927D8"/>
    <w:rsid w:val="009928FE"/>
    <w:rsid w:val="009929AB"/>
    <w:rsid w:val="009929BB"/>
    <w:rsid w:val="00992A0D"/>
    <w:rsid w:val="00992ADC"/>
    <w:rsid w:val="00992B05"/>
    <w:rsid w:val="00992BBD"/>
    <w:rsid w:val="00992BC7"/>
    <w:rsid w:val="00992CFF"/>
    <w:rsid w:val="00992D2D"/>
    <w:rsid w:val="00992F03"/>
    <w:rsid w:val="00992F3E"/>
    <w:rsid w:val="00992F3F"/>
    <w:rsid w:val="00992FDE"/>
    <w:rsid w:val="00993091"/>
    <w:rsid w:val="00993148"/>
    <w:rsid w:val="009931DD"/>
    <w:rsid w:val="009931F4"/>
    <w:rsid w:val="00993387"/>
    <w:rsid w:val="00993431"/>
    <w:rsid w:val="0099349C"/>
    <w:rsid w:val="009934BF"/>
    <w:rsid w:val="00993997"/>
    <w:rsid w:val="00993A09"/>
    <w:rsid w:val="00993BE0"/>
    <w:rsid w:val="00993EC9"/>
    <w:rsid w:val="00993F9C"/>
    <w:rsid w:val="00993FB9"/>
    <w:rsid w:val="00994286"/>
    <w:rsid w:val="00994540"/>
    <w:rsid w:val="00994657"/>
    <w:rsid w:val="00994758"/>
    <w:rsid w:val="0099478B"/>
    <w:rsid w:val="0099478E"/>
    <w:rsid w:val="0099499F"/>
    <w:rsid w:val="00994B8D"/>
    <w:rsid w:val="00994BEF"/>
    <w:rsid w:val="00994F13"/>
    <w:rsid w:val="00994F39"/>
    <w:rsid w:val="0099513F"/>
    <w:rsid w:val="00995563"/>
    <w:rsid w:val="0099566F"/>
    <w:rsid w:val="0099573D"/>
    <w:rsid w:val="00995D72"/>
    <w:rsid w:val="00995D8B"/>
    <w:rsid w:val="00995DFE"/>
    <w:rsid w:val="00995F67"/>
    <w:rsid w:val="0099606C"/>
    <w:rsid w:val="0099620E"/>
    <w:rsid w:val="00996270"/>
    <w:rsid w:val="0099629F"/>
    <w:rsid w:val="009963E0"/>
    <w:rsid w:val="00996409"/>
    <w:rsid w:val="0099640F"/>
    <w:rsid w:val="0099641E"/>
    <w:rsid w:val="00996499"/>
    <w:rsid w:val="009964F3"/>
    <w:rsid w:val="009965AD"/>
    <w:rsid w:val="009965BC"/>
    <w:rsid w:val="00996694"/>
    <w:rsid w:val="009966C2"/>
    <w:rsid w:val="00996750"/>
    <w:rsid w:val="009967B4"/>
    <w:rsid w:val="0099699D"/>
    <w:rsid w:val="009969D4"/>
    <w:rsid w:val="00996ACD"/>
    <w:rsid w:val="00996ACE"/>
    <w:rsid w:val="00996B1F"/>
    <w:rsid w:val="00996BB0"/>
    <w:rsid w:val="00996D00"/>
    <w:rsid w:val="00996D57"/>
    <w:rsid w:val="00996F88"/>
    <w:rsid w:val="009970A1"/>
    <w:rsid w:val="009970A5"/>
    <w:rsid w:val="00997132"/>
    <w:rsid w:val="00997138"/>
    <w:rsid w:val="00997200"/>
    <w:rsid w:val="0099752F"/>
    <w:rsid w:val="00997646"/>
    <w:rsid w:val="009976E5"/>
    <w:rsid w:val="0099774C"/>
    <w:rsid w:val="00997B48"/>
    <w:rsid w:val="00997BB8"/>
    <w:rsid w:val="00997C7D"/>
    <w:rsid w:val="009A01ED"/>
    <w:rsid w:val="009A02C7"/>
    <w:rsid w:val="009A0369"/>
    <w:rsid w:val="009A0382"/>
    <w:rsid w:val="009A03DC"/>
    <w:rsid w:val="009A0463"/>
    <w:rsid w:val="009A0481"/>
    <w:rsid w:val="009A058D"/>
    <w:rsid w:val="009A0767"/>
    <w:rsid w:val="009A0848"/>
    <w:rsid w:val="009A0AA9"/>
    <w:rsid w:val="009A0BAC"/>
    <w:rsid w:val="009A0BAD"/>
    <w:rsid w:val="009A0D03"/>
    <w:rsid w:val="009A0FD4"/>
    <w:rsid w:val="009A0FD5"/>
    <w:rsid w:val="009A1074"/>
    <w:rsid w:val="009A1166"/>
    <w:rsid w:val="009A11B5"/>
    <w:rsid w:val="009A126E"/>
    <w:rsid w:val="009A1273"/>
    <w:rsid w:val="009A148B"/>
    <w:rsid w:val="009A14EB"/>
    <w:rsid w:val="009A164A"/>
    <w:rsid w:val="009A1683"/>
    <w:rsid w:val="009A16C3"/>
    <w:rsid w:val="009A1E14"/>
    <w:rsid w:val="009A1E39"/>
    <w:rsid w:val="009A1ED0"/>
    <w:rsid w:val="009A1F98"/>
    <w:rsid w:val="009A2217"/>
    <w:rsid w:val="009A228E"/>
    <w:rsid w:val="009A2512"/>
    <w:rsid w:val="009A26CF"/>
    <w:rsid w:val="009A2700"/>
    <w:rsid w:val="009A2850"/>
    <w:rsid w:val="009A28DE"/>
    <w:rsid w:val="009A2A55"/>
    <w:rsid w:val="009A2B93"/>
    <w:rsid w:val="009A2BDA"/>
    <w:rsid w:val="009A2C92"/>
    <w:rsid w:val="009A2CBB"/>
    <w:rsid w:val="009A2EEE"/>
    <w:rsid w:val="009A31FA"/>
    <w:rsid w:val="009A3215"/>
    <w:rsid w:val="009A32C0"/>
    <w:rsid w:val="009A34D9"/>
    <w:rsid w:val="009A35F7"/>
    <w:rsid w:val="009A35FF"/>
    <w:rsid w:val="009A3639"/>
    <w:rsid w:val="009A36D6"/>
    <w:rsid w:val="009A3861"/>
    <w:rsid w:val="009A3941"/>
    <w:rsid w:val="009A3AA2"/>
    <w:rsid w:val="009A3B8A"/>
    <w:rsid w:val="009A3BAF"/>
    <w:rsid w:val="009A3CA4"/>
    <w:rsid w:val="009A3D5D"/>
    <w:rsid w:val="009A3D6B"/>
    <w:rsid w:val="009A3E25"/>
    <w:rsid w:val="009A3E67"/>
    <w:rsid w:val="009A3ED3"/>
    <w:rsid w:val="009A40BE"/>
    <w:rsid w:val="009A41A1"/>
    <w:rsid w:val="009A4230"/>
    <w:rsid w:val="009A42F3"/>
    <w:rsid w:val="009A433B"/>
    <w:rsid w:val="009A441D"/>
    <w:rsid w:val="009A44E0"/>
    <w:rsid w:val="009A4616"/>
    <w:rsid w:val="009A46B3"/>
    <w:rsid w:val="009A48BF"/>
    <w:rsid w:val="009A4ABF"/>
    <w:rsid w:val="009A4B4B"/>
    <w:rsid w:val="009A4C59"/>
    <w:rsid w:val="009A4E7F"/>
    <w:rsid w:val="009A4ED4"/>
    <w:rsid w:val="009A528D"/>
    <w:rsid w:val="009A542F"/>
    <w:rsid w:val="009A567A"/>
    <w:rsid w:val="009A5A39"/>
    <w:rsid w:val="009A5F2A"/>
    <w:rsid w:val="009A5F64"/>
    <w:rsid w:val="009A6045"/>
    <w:rsid w:val="009A643D"/>
    <w:rsid w:val="009A6605"/>
    <w:rsid w:val="009A66EE"/>
    <w:rsid w:val="009A68B2"/>
    <w:rsid w:val="009A695C"/>
    <w:rsid w:val="009A6BCD"/>
    <w:rsid w:val="009A6C70"/>
    <w:rsid w:val="009A6CF3"/>
    <w:rsid w:val="009A6D03"/>
    <w:rsid w:val="009A6D0D"/>
    <w:rsid w:val="009A6FCC"/>
    <w:rsid w:val="009A7170"/>
    <w:rsid w:val="009A7199"/>
    <w:rsid w:val="009A7215"/>
    <w:rsid w:val="009A7273"/>
    <w:rsid w:val="009A7329"/>
    <w:rsid w:val="009A7397"/>
    <w:rsid w:val="009A740B"/>
    <w:rsid w:val="009A74E4"/>
    <w:rsid w:val="009A756C"/>
    <w:rsid w:val="009A7597"/>
    <w:rsid w:val="009A76D1"/>
    <w:rsid w:val="009A76DD"/>
    <w:rsid w:val="009A76F5"/>
    <w:rsid w:val="009A76F7"/>
    <w:rsid w:val="009A7719"/>
    <w:rsid w:val="009A77C7"/>
    <w:rsid w:val="009A77D4"/>
    <w:rsid w:val="009A7840"/>
    <w:rsid w:val="009A7999"/>
    <w:rsid w:val="009A7B98"/>
    <w:rsid w:val="009A7FCF"/>
    <w:rsid w:val="009B00CD"/>
    <w:rsid w:val="009B0115"/>
    <w:rsid w:val="009B0134"/>
    <w:rsid w:val="009B0285"/>
    <w:rsid w:val="009B029C"/>
    <w:rsid w:val="009B0655"/>
    <w:rsid w:val="009B0696"/>
    <w:rsid w:val="009B08A0"/>
    <w:rsid w:val="009B091E"/>
    <w:rsid w:val="009B0997"/>
    <w:rsid w:val="009B0AB2"/>
    <w:rsid w:val="009B0B72"/>
    <w:rsid w:val="009B0B9A"/>
    <w:rsid w:val="009B0BD3"/>
    <w:rsid w:val="009B0E88"/>
    <w:rsid w:val="009B1119"/>
    <w:rsid w:val="009B11F6"/>
    <w:rsid w:val="009B1265"/>
    <w:rsid w:val="009B1422"/>
    <w:rsid w:val="009B1429"/>
    <w:rsid w:val="009B1860"/>
    <w:rsid w:val="009B18C6"/>
    <w:rsid w:val="009B194E"/>
    <w:rsid w:val="009B1A42"/>
    <w:rsid w:val="009B1A57"/>
    <w:rsid w:val="009B1C8A"/>
    <w:rsid w:val="009B1CF0"/>
    <w:rsid w:val="009B1D95"/>
    <w:rsid w:val="009B1F92"/>
    <w:rsid w:val="009B1F9D"/>
    <w:rsid w:val="009B2020"/>
    <w:rsid w:val="009B21BA"/>
    <w:rsid w:val="009B2384"/>
    <w:rsid w:val="009B24F2"/>
    <w:rsid w:val="009B2516"/>
    <w:rsid w:val="009B252F"/>
    <w:rsid w:val="009B2587"/>
    <w:rsid w:val="009B2651"/>
    <w:rsid w:val="009B266F"/>
    <w:rsid w:val="009B26B8"/>
    <w:rsid w:val="009B2785"/>
    <w:rsid w:val="009B27F8"/>
    <w:rsid w:val="009B29F9"/>
    <w:rsid w:val="009B2A57"/>
    <w:rsid w:val="009B2B2C"/>
    <w:rsid w:val="009B2B7A"/>
    <w:rsid w:val="009B2C5A"/>
    <w:rsid w:val="009B2CE4"/>
    <w:rsid w:val="009B2DA4"/>
    <w:rsid w:val="009B2DBA"/>
    <w:rsid w:val="009B2E57"/>
    <w:rsid w:val="009B2F74"/>
    <w:rsid w:val="009B2FE4"/>
    <w:rsid w:val="009B3133"/>
    <w:rsid w:val="009B3149"/>
    <w:rsid w:val="009B3229"/>
    <w:rsid w:val="009B3496"/>
    <w:rsid w:val="009B3497"/>
    <w:rsid w:val="009B3504"/>
    <w:rsid w:val="009B3538"/>
    <w:rsid w:val="009B366F"/>
    <w:rsid w:val="009B37FC"/>
    <w:rsid w:val="009B385F"/>
    <w:rsid w:val="009B38BC"/>
    <w:rsid w:val="009B394B"/>
    <w:rsid w:val="009B3A4B"/>
    <w:rsid w:val="009B3ACF"/>
    <w:rsid w:val="009B3C47"/>
    <w:rsid w:val="009B3E2F"/>
    <w:rsid w:val="009B3FD6"/>
    <w:rsid w:val="009B3FF4"/>
    <w:rsid w:val="009B4012"/>
    <w:rsid w:val="009B425D"/>
    <w:rsid w:val="009B42DD"/>
    <w:rsid w:val="009B43BF"/>
    <w:rsid w:val="009B449D"/>
    <w:rsid w:val="009B4660"/>
    <w:rsid w:val="009B4679"/>
    <w:rsid w:val="009B4693"/>
    <w:rsid w:val="009B4859"/>
    <w:rsid w:val="009B4A2D"/>
    <w:rsid w:val="009B4A90"/>
    <w:rsid w:val="009B4B55"/>
    <w:rsid w:val="009B4B9E"/>
    <w:rsid w:val="009B4BA6"/>
    <w:rsid w:val="009B4E50"/>
    <w:rsid w:val="009B4FBB"/>
    <w:rsid w:val="009B5099"/>
    <w:rsid w:val="009B50E8"/>
    <w:rsid w:val="009B51BE"/>
    <w:rsid w:val="009B5315"/>
    <w:rsid w:val="009B5403"/>
    <w:rsid w:val="009B540B"/>
    <w:rsid w:val="009B54D2"/>
    <w:rsid w:val="009B54E0"/>
    <w:rsid w:val="009B5575"/>
    <w:rsid w:val="009B56F9"/>
    <w:rsid w:val="009B591C"/>
    <w:rsid w:val="009B591D"/>
    <w:rsid w:val="009B5A07"/>
    <w:rsid w:val="009B5A17"/>
    <w:rsid w:val="009B5C4A"/>
    <w:rsid w:val="009B5CD6"/>
    <w:rsid w:val="009B5D79"/>
    <w:rsid w:val="009B5DC8"/>
    <w:rsid w:val="009B5F3E"/>
    <w:rsid w:val="009B64D1"/>
    <w:rsid w:val="009B655D"/>
    <w:rsid w:val="009B6581"/>
    <w:rsid w:val="009B67EA"/>
    <w:rsid w:val="009B67FA"/>
    <w:rsid w:val="009B6852"/>
    <w:rsid w:val="009B6884"/>
    <w:rsid w:val="009B6A4B"/>
    <w:rsid w:val="009B6ABB"/>
    <w:rsid w:val="009B6BC6"/>
    <w:rsid w:val="009B6D22"/>
    <w:rsid w:val="009B6EAB"/>
    <w:rsid w:val="009B7206"/>
    <w:rsid w:val="009B747B"/>
    <w:rsid w:val="009B74D3"/>
    <w:rsid w:val="009B74D7"/>
    <w:rsid w:val="009B757A"/>
    <w:rsid w:val="009B763C"/>
    <w:rsid w:val="009B786B"/>
    <w:rsid w:val="009B79E8"/>
    <w:rsid w:val="009B7C59"/>
    <w:rsid w:val="009B7D75"/>
    <w:rsid w:val="009B7D89"/>
    <w:rsid w:val="009B7D94"/>
    <w:rsid w:val="009B7F9E"/>
    <w:rsid w:val="009C065D"/>
    <w:rsid w:val="009C06F0"/>
    <w:rsid w:val="009C07F1"/>
    <w:rsid w:val="009C0894"/>
    <w:rsid w:val="009C0977"/>
    <w:rsid w:val="009C09C4"/>
    <w:rsid w:val="009C0B15"/>
    <w:rsid w:val="009C0D78"/>
    <w:rsid w:val="009C0E9F"/>
    <w:rsid w:val="009C0F87"/>
    <w:rsid w:val="009C1042"/>
    <w:rsid w:val="009C10D6"/>
    <w:rsid w:val="009C11AA"/>
    <w:rsid w:val="009C124F"/>
    <w:rsid w:val="009C1344"/>
    <w:rsid w:val="009C1363"/>
    <w:rsid w:val="009C13E9"/>
    <w:rsid w:val="009C14A4"/>
    <w:rsid w:val="009C1542"/>
    <w:rsid w:val="009C15C6"/>
    <w:rsid w:val="009C15C9"/>
    <w:rsid w:val="009C16B9"/>
    <w:rsid w:val="009C185D"/>
    <w:rsid w:val="009C18B8"/>
    <w:rsid w:val="009C18D6"/>
    <w:rsid w:val="009C1B3C"/>
    <w:rsid w:val="009C1B99"/>
    <w:rsid w:val="009C1CDB"/>
    <w:rsid w:val="009C1D19"/>
    <w:rsid w:val="009C1D4F"/>
    <w:rsid w:val="009C1D61"/>
    <w:rsid w:val="009C1DBA"/>
    <w:rsid w:val="009C1E01"/>
    <w:rsid w:val="009C1E0B"/>
    <w:rsid w:val="009C1E23"/>
    <w:rsid w:val="009C1F26"/>
    <w:rsid w:val="009C20C4"/>
    <w:rsid w:val="009C2233"/>
    <w:rsid w:val="009C2259"/>
    <w:rsid w:val="009C225F"/>
    <w:rsid w:val="009C22A2"/>
    <w:rsid w:val="009C23C0"/>
    <w:rsid w:val="009C23C5"/>
    <w:rsid w:val="009C24BF"/>
    <w:rsid w:val="009C24D3"/>
    <w:rsid w:val="009C261C"/>
    <w:rsid w:val="009C26C9"/>
    <w:rsid w:val="009C2743"/>
    <w:rsid w:val="009C2871"/>
    <w:rsid w:val="009C2972"/>
    <w:rsid w:val="009C2AE1"/>
    <w:rsid w:val="009C2BB9"/>
    <w:rsid w:val="009C2D8A"/>
    <w:rsid w:val="009C2E2A"/>
    <w:rsid w:val="009C2EC7"/>
    <w:rsid w:val="009C2F02"/>
    <w:rsid w:val="009C2F78"/>
    <w:rsid w:val="009C2F7B"/>
    <w:rsid w:val="009C310F"/>
    <w:rsid w:val="009C320C"/>
    <w:rsid w:val="009C3328"/>
    <w:rsid w:val="009C33BF"/>
    <w:rsid w:val="009C3430"/>
    <w:rsid w:val="009C3494"/>
    <w:rsid w:val="009C36A1"/>
    <w:rsid w:val="009C36CD"/>
    <w:rsid w:val="009C37B5"/>
    <w:rsid w:val="009C380A"/>
    <w:rsid w:val="009C3E08"/>
    <w:rsid w:val="009C3E6F"/>
    <w:rsid w:val="009C3F05"/>
    <w:rsid w:val="009C3FAC"/>
    <w:rsid w:val="009C42D7"/>
    <w:rsid w:val="009C439D"/>
    <w:rsid w:val="009C442C"/>
    <w:rsid w:val="009C4489"/>
    <w:rsid w:val="009C45DA"/>
    <w:rsid w:val="009C4851"/>
    <w:rsid w:val="009C4884"/>
    <w:rsid w:val="009C4A9D"/>
    <w:rsid w:val="009C4AD3"/>
    <w:rsid w:val="009C4C61"/>
    <w:rsid w:val="009C5227"/>
    <w:rsid w:val="009C5262"/>
    <w:rsid w:val="009C52A7"/>
    <w:rsid w:val="009C5343"/>
    <w:rsid w:val="009C536C"/>
    <w:rsid w:val="009C5421"/>
    <w:rsid w:val="009C56A9"/>
    <w:rsid w:val="009C56C2"/>
    <w:rsid w:val="009C57A4"/>
    <w:rsid w:val="009C58C2"/>
    <w:rsid w:val="009C5AFF"/>
    <w:rsid w:val="009C5B60"/>
    <w:rsid w:val="009C5D0F"/>
    <w:rsid w:val="009C5E5B"/>
    <w:rsid w:val="009C5F6B"/>
    <w:rsid w:val="009C601F"/>
    <w:rsid w:val="009C6038"/>
    <w:rsid w:val="009C6121"/>
    <w:rsid w:val="009C6252"/>
    <w:rsid w:val="009C626B"/>
    <w:rsid w:val="009C6290"/>
    <w:rsid w:val="009C62EA"/>
    <w:rsid w:val="009C62F0"/>
    <w:rsid w:val="009C62F8"/>
    <w:rsid w:val="009C6399"/>
    <w:rsid w:val="009C6749"/>
    <w:rsid w:val="009C67E0"/>
    <w:rsid w:val="009C6864"/>
    <w:rsid w:val="009C6948"/>
    <w:rsid w:val="009C6952"/>
    <w:rsid w:val="009C6A90"/>
    <w:rsid w:val="009C6AA8"/>
    <w:rsid w:val="009C6B36"/>
    <w:rsid w:val="009C6B83"/>
    <w:rsid w:val="009C6BB8"/>
    <w:rsid w:val="009C6D80"/>
    <w:rsid w:val="009C6DA4"/>
    <w:rsid w:val="009C7026"/>
    <w:rsid w:val="009C728F"/>
    <w:rsid w:val="009C72AD"/>
    <w:rsid w:val="009C7310"/>
    <w:rsid w:val="009C7346"/>
    <w:rsid w:val="009C73CB"/>
    <w:rsid w:val="009C786D"/>
    <w:rsid w:val="009C78AC"/>
    <w:rsid w:val="009C78DF"/>
    <w:rsid w:val="009C7951"/>
    <w:rsid w:val="009C79D9"/>
    <w:rsid w:val="009C79DF"/>
    <w:rsid w:val="009C7A85"/>
    <w:rsid w:val="009C7B79"/>
    <w:rsid w:val="009C7B7D"/>
    <w:rsid w:val="009C7D9D"/>
    <w:rsid w:val="009C7E1C"/>
    <w:rsid w:val="009C7E25"/>
    <w:rsid w:val="009D0104"/>
    <w:rsid w:val="009D0171"/>
    <w:rsid w:val="009D0201"/>
    <w:rsid w:val="009D03E1"/>
    <w:rsid w:val="009D045B"/>
    <w:rsid w:val="009D0493"/>
    <w:rsid w:val="009D057F"/>
    <w:rsid w:val="009D0581"/>
    <w:rsid w:val="009D05C4"/>
    <w:rsid w:val="009D06C2"/>
    <w:rsid w:val="009D07C3"/>
    <w:rsid w:val="009D0946"/>
    <w:rsid w:val="009D097D"/>
    <w:rsid w:val="009D09FF"/>
    <w:rsid w:val="009D0C31"/>
    <w:rsid w:val="009D0D3A"/>
    <w:rsid w:val="009D0F03"/>
    <w:rsid w:val="009D1275"/>
    <w:rsid w:val="009D15C6"/>
    <w:rsid w:val="009D15D9"/>
    <w:rsid w:val="009D17B9"/>
    <w:rsid w:val="009D1928"/>
    <w:rsid w:val="009D1A67"/>
    <w:rsid w:val="009D1A83"/>
    <w:rsid w:val="009D1A84"/>
    <w:rsid w:val="009D1B3F"/>
    <w:rsid w:val="009D1B48"/>
    <w:rsid w:val="009D1CF1"/>
    <w:rsid w:val="009D1D49"/>
    <w:rsid w:val="009D1D74"/>
    <w:rsid w:val="009D1DF5"/>
    <w:rsid w:val="009D1ED1"/>
    <w:rsid w:val="009D1F69"/>
    <w:rsid w:val="009D20C8"/>
    <w:rsid w:val="009D21CD"/>
    <w:rsid w:val="009D2362"/>
    <w:rsid w:val="009D23F9"/>
    <w:rsid w:val="009D25B4"/>
    <w:rsid w:val="009D2651"/>
    <w:rsid w:val="009D2683"/>
    <w:rsid w:val="009D268B"/>
    <w:rsid w:val="009D26DB"/>
    <w:rsid w:val="009D2788"/>
    <w:rsid w:val="009D2ACD"/>
    <w:rsid w:val="009D2B3E"/>
    <w:rsid w:val="009D2B5C"/>
    <w:rsid w:val="009D2CB6"/>
    <w:rsid w:val="009D2F51"/>
    <w:rsid w:val="009D2F55"/>
    <w:rsid w:val="009D300C"/>
    <w:rsid w:val="009D3074"/>
    <w:rsid w:val="009D30DD"/>
    <w:rsid w:val="009D3135"/>
    <w:rsid w:val="009D313C"/>
    <w:rsid w:val="009D336E"/>
    <w:rsid w:val="009D38D5"/>
    <w:rsid w:val="009D38F7"/>
    <w:rsid w:val="009D3A1A"/>
    <w:rsid w:val="009D3DD0"/>
    <w:rsid w:val="009D3E61"/>
    <w:rsid w:val="009D3F3C"/>
    <w:rsid w:val="009D405B"/>
    <w:rsid w:val="009D406B"/>
    <w:rsid w:val="009D406F"/>
    <w:rsid w:val="009D4256"/>
    <w:rsid w:val="009D42DC"/>
    <w:rsid w:val="009D43BF"/>
    <w:rsid w:val="009D44F3"/>
    <w:rsid w:val="009D459A"/>
    <w:rsid w:val="009D477F"/>
    <w:rsid w:val="009D4A30"/>
    <w:rsid w:val="009D4E7B"/>
    <w:rsid w:val="009D5093"/>
    <w:rsid w:val="009D515D"/>
    <w:rsid w:val="009D5196"/>
    <w:rsid w:val="009D51F4"/>
    <w:rsid w:val="009D51FF"/>
    <w:rsid w:val="009D545A"/>
    <w:rsid w:val="009D54EF"/>
    <w:rsid w:val="009D558A"/>
    <w:rsid w:val="009D5702"/>
    <w:rsid w:val="009D5B26"/>
    <w:rsid w:val="009D5BCD"/>
    <w:rsid w:val="009D5BF0"/>
    <w:rsid w:val="009D5CA1"/>
    <w:rsid w:val="009D5D90"/>
    <w:rsid w:val="009D5E81"/>
    <w:rsid w:val="009D5F94"/>
    <w:rsid w:val="009D6047"/>
    <w:rsid w:val="009D6054"/>
    <w:rsid w:val="009D6180"/>
    <w:rsid w:val="009D623F"/>
    <w:rsid w:val="009D6321"/>
    <w:rsid w:val="009D6414"/>
    <w:rsid w:val="009D64B9"/>
    <w:rsid w:val="009D65D7"/>
    <w:rsid w:val="009D6606"/>
    <w:rsid w:val="009D6674"/>
    <w:rsid w:val="009D669A"/>
    <w:rsid w:val="009D6927"/>
    <w:rsid w:val="009D6981"/>
    <w:rsid w:val="009D6B49"/>
    <w:rsid w:val="009D6B83"/>
    <w:rsid w:val="009D6B9B"/>
    <w:rsid w:val="009D6CDA"/>
    <w:rsid w:val="009D6D44"/>
    <w:rsid w:val="009D6E34"/>
    <w:rsid w:val="009D7139"/>
    <w:rsid w:val="009D7225"/>
    <w:rsid w:val="009D736C"/>
    <w:rsid w:val="009D74F1"/>
    <w:rsid w:val="009D763B"/>
    <w:rsid w:val="009D792D"/>
    <w:rsid w:val="009D7930"/>
    <w:rsid w:val="009D79D1"/>
    <w:rsid w:val="009D7B1C"/>
    <w:rsid w:val="009D7BC9"/>
    <w:rsid w:val="009D7C14"/>
    <w:rsid w:val="009D7C94"/>
    <w:rsid w:val="009D7F1D"/>
    <w:rsid w:val="009E00EA"/>
    <w:rsid w:val="009E011E"/>
    <w:rsid w:val="009E01D7"/>
    <w:rsid w:val="009E02E3"/>
    <w:rsid w:val="009E0373"/>
    <w:rsid w:val="009E037D"/>
    <w:rsid w:val="009E041E"/>
    <w:rsid w:val="009E0454"/>
    <w:rsid w:val="009E0465"/>
    <w:rsid w:val="009E0593"/>
    <w:rsid w:val="009E05E4"/>
    <w:rsid w:val="009E06F5"/>
    <w:rsid w:val="009E0730"/>
    <w:rsid w:val="009E0753"/>
    <w:rsid w:val="009E0936"/>
    <w:rsid w:val="009E0A26"/>
    <w:rsid w:val="009E0AA9"/>
    <w:rsid w:val="009E0CC9"/>
    <w:rsid w:val="009E0F4D"/>
    <w:rsid w:val="009E0FB8"/>
    <w:rsid w:val="009E10D6"/>
    <w:rsid w:val="009E11F6"/>
    <w:rsid w:val="009E1520"/>
    <w:rsid w:val="009E1594"/>
    <w:rsid w:val="009E15CB"/>
    <w:rsid w:val="009E1639"/>
    <w:rsid w:val="009E165F"/>
    <w:rsid w:val="009E1811"/>
    <w:rsid w:val="009E19CE"/>
    <w:rsid w:val="009E1C65"/>
    <w:rsid w:val="009E1CCF"/>
    <w:rsid w:val="009E1F42"/>
    <w:rsid w:val="009E1F4C"/>
    <w:rsid w:val="009E1F68"/>
    <w:rsid w:val="009E1F85"/>
    <w:rsid w:val="009E1FED"/>
    <w:rsid w:val="009E206A"/>
    <w:rsid w:val="009E2078"/>
    <w:rsid w:val="009E20F8"/>
    <w:rsid w:val="009E21EF"/>
    <w:rsid w:val="009E22FA"/>
    <w:rsid w:val="009E2395"/>
    <w:rsid w:val="009E2A6E"/>
    <w:rsid w:val="009E2B03"/>
    <w:rsid w:val="009E2BC7"/>
    <w:rsid w:val="009E2D49"/>
    <w:rsid w:val="009E2D9C"/>
    <w:rsid w:val="009E2DC5"/>
    <w:rsid w:val="009E2E6B"/>
    <w:rsid w:val="009E2EC3"/>
    <w:rsid w:val="009E2FBE"/>
    <w:rsid w:val="009E2FC2"/>
    <w:rsid w:val="009E3195"/>
    <w:rsid w:val="009E323E"/>
    <w:rsid w:val="009E359E"/>
    <w:rsid w:val="009E3676"/>
    <w:rsid w:val="009E384B"/>
    <w:rsid w:val="009E3910"/>
    <w:rsid w:val="009E3921"/>
    <w:rsid w:val="009E395C"/>
    <w:rsid w:val="009E39E6"/>
    <w:rsid w:val="009E3AB2"/>
    <w:rsid w:val="009E3B1D"/>
    <w:rsid w:val="009E3D1A"/>
    <w:rsid w:val="009E3F46"/>
    <w:rsid w:val="009E3FA9"/>
    <w:rsid w:val="009E3FF4"/>
    <w:rsid w:val="009E426F"/>
    <w:rsid w:val="009E42CD"/>
    <w:rsid w:val="009E43F3"/>
    <w:rsid w:val="009E4448"/>
    <w:rsid w:val="009E44DA"/>
    <w:rsid w:val="009E4544"/>
    <w:rsid w:val="009E45E0"/>
    <w:rsid w:val="009E46EA"/>
    <w:rsid w:val="009E4744"/>
    <w:rsid w:val="009E47A2"/>
    <w:rsid w:val="009E47E0"/>
    <w:rsid w:val="009E4878"/>
    <w:rsid w:val="009E4947"/>
    <w:rsid w:val="009E4AA0"/>
    <w:rsid w:val="009E4B56"/>
    <w:rsid w:val="009E4CB5"/>
    <w:rsid w:val="009E4CBA"/>
    <w:rsid w:val="009E4D37"/>
    <w:rsid w:val="009E4E0C"/>
    <w:rsid w:val="009E4EC9"/>
    <w:rsid w:val="009E4FA3"/>
    <w:rsid w:val="009E5157"/>
    <w:rsid w:val="009E5210"/>
    <w:rsid w:val="009E52C0"/>
    <w:rsid w:val="009E5385"/>
    <w:rsid w:val="009E5408"/>
    <w:rsid w:val="009E5542"/>
    <w:rsid w:val="009E5672"/>
    <w:rsid w:val="009E573E"/>
    <w:rsid w:val="009E58B0"/>
    <w:rsid w:val="009E594D"/>
    <w:rsid w:val="009E5BB5"/>
    <w:rsid w:val="009E5C00"/>
    <w:rsid w:val="009E5D00"/>
    <w:rsid w:val="009E5D5A"/>
    <w:rsid w:val="009E5E87"/>
    <w:rsid w:val="009E5EDC"/>
    <w:rsid w:val="009E5FC4"/>
    <w:rsid w:val="009E617A"/>
    <w:rsid w:val="009E65B9"/>
    <w:rsid w:val="009E663F"/>
    <w:rsid w:val="009E66F2"/>
    <w:rsid w:val="009E67F6"/>
    <w:rsid w:val="009E67F8"/>
    <w:rsid w:val="009E6876"/>
    <w:rsid w:val="009E6AE2"/>
    <w:rsid w:val="009E6D0D"/>
    <w:rsid w:val="009E6D30"/>
    <w:rsid w:val="009E6DB6"/>
    <w:rsid w:val="009E6DDB"/>
    <w:rsid w:val="009E714B"/>
    <w:rsid w:val="009E7184"/>
    <w:rsid w:val="009E71BC"/>
    <w:rsid w:val="009E72B3"/>
    <w:rsid w:val="009E7556"/>
    <w:rsid w:val="009E75DA"/>
    <w:rsid w:val="009E7630"/>
    <w:rsid w:val="009E76F8"/>
    <w:rsid w:val="009E7741"/>
    <w:rsid w:val="009E779E"/>
    <w:rsid w:val="009E784E"/>
    <w:rsid w:val="009E78F3"/>
    <w:rsid w:val="009E7BF3"/>
    <w:rsid w:val="009E7DCA"/>
    <w:rsid w:val="009E7F68"/>
    <w:rsid w:val="009E7FE1"/>
    <w:rsid w:val="009E7FED"/>
    <w:rsid w:val="009F008D"/>
    <w:rsid w:val="009F024B"/>
    <w:rsid w:val="009F040A"/>
    <w:rsid w:val="009F0451"/>
    <w:rsid w:val="009F0630"/>
    <w:rsid w:val="009F06D1"/>
    <w:rsid w:val="009F078A"/>
    <w:rsid w:val="009F0844"/>
    <w:rsid w:val="009F0984"/>
    <w:rsid w:val="009F0ACB"/>
    <w:rsid w:val="009F0AE2"/>
    <w:rsid w:val="009F0B36"/>
    <w:rsid w:val="009F0B51"/>
    <w:rsid w:val="009F0BB4"/>
    <w:rsid w:val="009F0DA4"/>
    <w:rsid w:val="009F0E9D"/>
    <w:rsid w:val="009F0EF7"/>
    <w:rsid w:val="009F1180"/>
    <w:rsid w:val="009F1230"/>
    <w:rsid w:val="009F1260"/>
    <w:rsid w:val="009F1281"/>
    <w:rsid w:val="009F12F3"/>
    <w:rsid w:val="009F141C"/>
    <w:rsid w:val="009F1428"/>
    <w:rsid w:val="009F1509"/>
    <w:rsid w:val="009F1751"/>
    <w:rsid w:val="009F1758"/>
    <w:rsid w:val="009F1798"/>
    <w:rsid w:val="009F18A7"/>
    <w:rsid w:val="009F1929"/>
    <w:rsid w:val="009F1B9D"/>
    <w:rsid w:val="009F1BC9"/>
    <w:rsid w:val="009F1C84"/>
    <w:rsid w:val="009F1D68"/>
    <w:rsid w:val="009F1EF0"/>
    <w:rsid w:val="009F1F8A"/>
    <w:rsid w:val="009F1FC5"/>
    <w:rsid w:val="009F1FDE"/>
    <w:rsid w:val="009F203D"/>
    <w:rsid w:val="009F2114"/>
    <w:rsid w:val="009F21EA"/>
    <w:rsid w:val="009F2262"/>
    <w:rsid w:val="009F22C2"/>
    <w:rsid w:val="009F28E2"/>
    <w:rsid w:val="009F299F"/>
    <w:rsid w:val="009F2C2D"/>
    <w:rsid w:val="009F2C6B"/>
    <w:rsid w:val="009F2C7E"/>
    <w:rsid w:val="009F2F24"/>
    <w:rsid w:val="009F2F5F"/>
    <w:rsid w:val="009F31BF"/>
    <w:rsid w:val="009F3266"/>
    <w:rsid w:val="009F3315"/>
    <w:rsid w:val="009F3340"/>
    <w:rsid w:val="009F3377"/>
    <w:rsid w:val="009F338F"/>
    <w:rsid w:val="009F347B"/>
    <w:rsid w:val="009F35BB"/>
    <w:rsid w:val="009F3B93"/>
    <w:rsid w:val="009F3BCC"/>
    <w:rsid w:val="009F3C90"/>
    <w:rsid w:val="009F3DE3"/>
    <w:rsid w:val="009F40DD"/>
    <w:rsid w:val="009F4171"/>
    <w:rsid w:val="009F42E8"/>
    <w:rsid w:val="009F437B"/>
    <w:rsid w:val="009F441E"/>
    <w:rsid w:val="009F44B2"/>
    <w:rsid w:val="009F4583"/>
    <w:rsid w:val="009F47CE"/>
    <w:rsid w:val="009F4A5C"/>
    <w:rsid w:val="009F4A66"/>
    <w:rsid w:val="009F4ACD"/>
    <w:rsid w:val="009F4ADA"/>
    <w:rsid w:val="009F4B0E"/>
    <w:rsid w:val="009F4BA8"/>
    <w:rsid w:val="009F4BAD"/>
    <w:rsid w:val="009F4BFE"/>
    <w:rsid w:val="009F4CF5"/>
    <w:rsid w:val="009F4D4D"/>
    <w:rsid w:val="009F4D5A"/>
    <w:rsid w:val="009F4F94"/>
    <w:rsid w:val="009F50C4"/>
    <w:rsid w:val="009F53AD"/>
    <w:rsid w:val="009F5472"/>
    <w:rsid w:val="009F55D6"/>
    <w:rsid w:val="009F5730"/>
    <w:rsid w:val="009F57FA"/>
    <w:rsid w:val="009F5858"/>
    <w:rsid w:val="009F5A50"/>
    <w:rsid w:val="009F5DE8"/>
    <w:rsid w:val="009F5F09"/>
    <w:rsid w:val="009F6024"/>
    <w:rsid w:val="009F60E2"/>
    <w:rsid w:val="009F6239"/>
    <w:rsid w:val="009F6571"/>
    <w:rsid w:val="009F65B3"/>
    <w:rsid w:val="009F6658"/>
    <w:rsid w:val="009F69C8"/>
    <w:rsid w:val="009F6A0D"/>
    <w:rsid w:val="009F6B4E"/>
    <w:rsid w:val="009F6BF2"/>
    <w:rsid w:val="009F6C05"/>
    <w:rsid w:val="009F6D13"/>
    <w:rsid w:val="009F6D86"/>
    <w:rsid w:val="009F7100"/>
    <w:rsid w:val="009F7294"/>
    <w:rsid w:val="009F7312"/>
    <w:rsid w:val="009F734C"/>
    <w:rsid w:val="009F737C"/>
    <w:rsid w:val="009F7437"/>
    <w:rsid w:val="009F746A"/>
    <w:rsid w:val="009F7490"/>
    <w:rsid w:val="009F768A"/>
    <w:rsid w:val="009F79F7"/>
    <w:rsid w:val="009F7A58"/>
    <w:rsid w:val="009F7B76"/>
    <w:rsid w:val="009F7BA4"/>
    <w:rsid w:val="009F7BB0"/>
    <w:rsid w:val="009F7C9B"/>
    <w:rsid w:val="009F7E8C"/>
    <w:rsid w:val="009F7EF3"/>
    <w:rsid w:val="009F7FB3"/>
    <w:rsid w:val="00A00063"/>
    <w:rsid w:val="00A00154"/>
    <w:rsid w:val="00A00161"/>
    <w:rsid w:val="00A001A6"/>
    <w:rsid w:val="00A00393"/>
    <w:rsid w:val="00A00518"/>
    <w:rsid w:val="00A00722"/>
    <w:rsid w:val="00A007F5"/>
    <w:rsid w:val="00A008A7"/>
    <w:rsid w:val="00A00932"/>
    <w:rsid w:val="00A00A4B"/>
    <w:rsid w:val="00A00AA2"/>
    <w:rsid w:val="00A00B9D"/>
    <w:rsid w:val="00A00BA5"/>
    <w:rsid w:val="00A00C8E"/>
    <w:rsid w:val="00A00E77"/>
    <w:rsid w:val="00A00F54"/>
    <w:rsid w:val="00A00FE4"/>
    <w:rsid w:val="00A011A3"/>
    <w:rsid w:val="00A015A0"/>
    <w:rsid w:val="00A017A8"/>
    <w:rsid w:val="00A01803"/>
    <w:rsid w:val="00A018A8"/>
    <w:rsid w:val="00A01AAD"/>
    <w:rsid w:val="00A01B15"/>
    <w:rsid w:val="00A01B2E"/>
    <w:rsid w:val="00A01BA3"/>
    <w:rsid w:val="00A01CD7"/>
    <w:rsid w:val="00A01D7C"/>
    <w:rsid w:val="00A01E17"/>
    <w:rsid w:val="00A01E71"/>
    <w:rsid w:val="00A01EAA"/>
    <w:rsid w:val="00A01EB0"/>
    <w:rsid w:val="00A01EBD"/>
    <w:rsid w:val="00A01FE6"/>
    <w:rsid w:val="00A0201E"/>
    <w:rsid w:val="00A02035"/>
    <w:rsid w:val="00A02046"/>
    <w:rsid w:val="00A021D1"/>
    <w:rsid w:val="00A02291"/>
    <w:rsid w:val="00A022FC"/>
    <w:rsid w:val="00A02370"/>
    <w:rsid w:val="00A0248D"/>
    <w:rsid w:val="00A024D6"/>
    <w:rsid w:val="00A0287B"/>
    <w:rsid w:val="00A028E5"/>
    <w:rsid w:val="00A02AA9"/>
    <w:rsid w:val="00A02C7A"/>
    <w:rsid w:val="00A02E4E"/>
    <w:rsid w:val="00A02F04"/>
    <w:rsid w:val="00A02FC1"/>
    <w:rsid w:val="00A02FD1"/>
    <w:rsid w:val="00A0303A"/>
    <w:rsid w:val="00A0313B"/>
    <w:rsid w:val="00A032D0"/>
    <w:rsid w:val="00A0346E"/>
    <w:rsid w:val="00A03595"/>
    <w:rsid w:val="00A035BE"/>
    <w:rsid w:val="00A03660"/>
    <w:rsid w:val="00A03801"/>
    <w:rsid w:val="00A03854"/>
    <w:rsid w:val="00A038A5"/>
    <w:rsid w:val="00A03938"/>
    <w:rsid w:val="00A039A0"/>
    <w:rsid w:val="00A039EF"/>
    <w:rsid w:val="00A03A48"/>
    <w:rsid w:val="00A03B57"/>
    <w:rsid w:val="00A03BAA"/>
    <w:rsid w:val="00A03D76"/>
    <w:rsid w:val="00A03D8C"/>
    <w:rsid w:val="00A03DD7"/>
    <w:rsid w:val="00A03F67"/>
    <w:rsid w:val="00A03F87"/>
    <w:rsid w:val="00A03FA9"/>
    <w:rsid w:val="00A040A3"/>
    <w:rsid w:val="00A0421B"/>
    <w:rsid w:val="00A0448E"/>
    <w:rsid w:val="00A045C4"/>
    <w:rsid w:val="00A045C7"/>
    <w:rsid w:val="00A04712"/>
    <w:rsid w:val="00A047DA"/>
    <w:rsid w:val="00A04973"/>
    <w:rsid w:val="00A04A64"/>
    <w:rsid w:val="00A04C34"/>
    <w:rsid w:val="00A04CFA"/>
    <w:rsid w:val="00A04D9F"/>
    <w:rsid w:val="00A04DEA"/>
    <w:rsid w:val="00A04E9C"/>
    <w:rsid w:val="00A05069"/>
    <w:rsid w:val="00A050D7"/>
    <w:rsid w:val="00A0534B"/>
    <w:rsid w:val="00A054B1"/>
    <w:rsid w:val="00A056DE"/>
    <w:rsid w:val="00A0575D"/>
    <w:rsid w:val="00A05770"/>
    <w:rsid w:val="00A058DB"/>
    <w:rsid w:val="00A05971"/>
    <w:rsid w:val="00A0599E"/>
    <w:rsid w:val="00A05A0C"/>
    <w:rsid w:val="00A05AA1"/>
    <w:rsid w:val="00A05B4B"/>
    <w:rsid w:val="00A05B76"/>
    <w:rsid w:val="00A05BFD"/>
    <w:rsid w:val="00A05C3F"/>
    <w:rsid w:val="00A06005"/>
    <w:rsid w:val="00A060EA"/>
    <w:rsid w:val="00A06348"/>
    <w:rsid w:val="00A0638A"/>
    <w:rsid w:val="00A063B8"/>
    <w:rsid w:val="00A06451"/>
    <w:rsid w:val="00A064B2"/>
    <w:rsid w:val="00A065A9"/>
    <w:rsid w:val="00A066FB"/>
    <w:rsid w:val="00A0694A"/>
    <w:rsid w:val="00A06977"/>
    <w:rsid w:val="00A069D1"/>
    <w:rsid w:val="00A06AC7"/>
    <w:rsid w:val="00A06B12"/>
    <w:rsid w:val="00A06D0B"/>
    <w:rsid w:val="00A06E2E"/>
    <w:rsid w:val="00A070B7"/>
    <w:rsid w:val="00A070BB"/>
    <w:rsid w:val="00A070EA"/>
    <w:rsid w:val="00A0713B"/>
    <w:rsid w:val="00A0730A"/>
    <w:rsid w:val="00A073B8"/>
    <w:rsid w:val="00A073CF"/>
    <w:rsid w:val="00A074B7"/>
    <w:rsid w:val="00A07537"/>
    <w:rsid w:val="00A0787F"/>
    <w:rsid w:val="00A078E4"/>
    <w:rsid w:val="00A0791D"/>
    <w:rsid w:val="00A07991"/>
    <w:rsid w:val="00A079A5"/>
    <w:rsid w:val="00A07A40"/>
    <w:rsid w:val="00A07AC3"/>
    <w:rsid w:val="00A07ACD"/>
    <w:rsid w:val="00A07B27"/>
    <w:rsid w:val="00A07C40"/>
    <w:rsid w:val="00A07C6E"/>
    <w:rsid w:val="00A07DE1"/>
    <w:rsid w:val="00A07F1F"/>
    <w:rsid w:val="00A07F6B"/>
    <w:rsid w:val="00A07FDA"/>
    <w:rsid w:val="00A1008B"/>
    <w:rsid w:val="00A10100"/>
    <w:rsid w:val="00A10131"/>
    <w:rsid w:val="00A103F3"/>
    <w:rsid w:val="00A104CE"/>
    <w:rsid w:val="00A10642"/>
    <w:rsid w:val="00A106AC"/>
    <w:rsid w:val="00A107FF"/>
    <w:rsid w:val="00A10835"/>
    <w:rsid w:val="00A1092B"/>
    <w:rsid w:val="00A10B40"/>
    <w:rsid w:val="00A10C87"/>
    <w:rsid w:val="00A10CDE"/>
    <w:rsid w:val="00A10D1C"/>
    <w:rsid w:val="00A11186"/>
    <w:rsid w:val="00A1135A"/>
    <w:rsid w:val="00A114B3"/>
    <w:rsid w:val="00A11545"/>
    <w:rsid w:val="00A119B5"/>
    <w:rsid w:val="00A11AB5"/>
    <w:rsid w:val="00A11CB5"/>
    <w:rsid w:val="00A11DAF"/>
    <w:rsid w:val="00A11DEB"/>
    <w:rsid w:val="00A11E3C"/>
    <w:rsid w:val="00A11EAA"/>
    <w:rsid w:val="00A11EC3"/>
    <w:rsid w:val="00A11EE8"/>
    <w:rsid w:val="00A11FB4"/>
    <w:rsid w:val="00A1214B"/>
    <w:rsid w:val="00A12178"/>
    <w:rsid w:val="00A121E8"/>
    <w:rsid w:val="00A123C9"/>
    <w:rsid w:val="00A124D0"/>
    <w:rsid w:val="00A127E2"/>
    <w:rsid w:val="00A12A93"/>
    <w:rsid w:val="00A12D16"/>
    <w:rsid w:val="00A12D56"/>
    <w:rsid w:val="00A12DE8"/>
    <w:rsid w:val="00A12E6E"/>
    <w:rsid w:val="00A12F1D"/>
    <w:rsid w:val="00A12F54"/>
    <w:rsid w:val="00A12F80"/>
    <w:rsid w:val="00A12F93"/>
    <w:rsid w:val="00A12FE0"/>
    <w:rsid w:val="00A13116"/>
    <w:rsid w:val="00A13151"/>
    <w:rsid w:val="00A131FB"/>
    <w:rsid w:val="00A13494"/>
    <w:rsid w:val="00A13571"/>
    <w:rsid w:val="00A13670"/>
    <w:rsid w:val="00A139D3"/>
    <w:rsid w:val="00A139FC"/>
    <w:rsid w:val="00A13A05"/>
    <w:rsid w:val="00A13A89"/>
    <w:rsid w:val="00A13C43"/>
    <w:rsid w:val="00A13C6C"/>
    <w:rsid w:val="00A13D1E"/>
    <w:rsid w:val="00A13D9F"/>
    <w:rsid w:val="00A13E41"/>
    <w:rsid w:val="00A13E76"/>
    <w:rsid w:val="00A13F67"/>
    <w:rsid w:val="00A14063"/>
    <w:rsid w:val="00A14184"/>
    <w:rsid w:val="00A14283"/>
    <w:rsid w:val="00A143E1"/>
    <w:rsid w:val="00A143F0"/>
    <w:rsid w:val="00A144B0"/>
    <w:rsid w:val="00A1455C"/>
    <w:rsid w:val="00A14598"/>
    <w:rsid w:val="00A145BC"/>
    <w:rsid w:val="00A14748"/>
    <w:rsid w:val="00A14854"/>
    <w:rsid w:val="00A14887"/>
    <w:rsid w:val="00A148D4"/>
    <w:rsid w:val="00A14A42"/>
    <w:rsid w:val="00A14C1C"/>
    <w:rsid w:val="00A14CAB"/>
    <w:rsid w:val="00A14DE8"/>
    <w:rsid w:val="00A14EC9"/>
    <w:rsid w:val="00A14FB3"/>
    <w:rsid w:val="00A1507C"/>
    <w:rsid w:val="00A150BE"/>
    <w:rsid w:val="00A150C5"/>
    <w:rsid w:val="00A15178"/>
    <w:rsid w:val="00A152E5"/>
    <w:rsid w:val="00A154AA"/>
    <w:rsid w:val="00A15743"/>
    <w:rsid w:val="00A158B4"/>
    <w:rsid w:val="00A15922"/>
    <w:rsid w:val="00A15935"/>
    <w:rsid w:val="00A15992"/>
    <w:rsid w:val="00A15A5A"/>
    <w:rsid w:val="00A15B8E"/>
    <w:rsid w:val="00A15BD1"/>
    <w:rsid w:val="00A15C98"/>
    <w:rsid w:val="00A15EC9"/>
    <w:rsid w:val="00A15EEE"/>
    <w:rsid w:val="00A15F04"/>
    <w:rsid w:val="00A15F6E"/>
    <w:rsid w:val="00A16031"/>
    <w:rsid w:val="00A160A9"/>
    <w:rsid w:val="00A160D0"/>
    <w:rsid w:val="00A16288"/>
    <w:rsid w:val="00A163F2"/>
    <w:rsid w:val="00A163F7"/>
    <w:rsid w:val="00A164D9"/>
    <w:rsid w:val="00A165B2"/>
    <w:rsid w:val="00A16785"/>
    <w:rsid w:val="00A167B8"/>
    <w:rsid w:val="00A1680D"/>
    <w:rsid w:val="00A16856"/>
    <w:rsid w:val="00A168D9"/>
    <w:rsid w:val="00A16943"/>
    <w:rsid w:val="00A16B91"/>
    <w:rsid w:val="00A16C31"/>
    <w:rsid w:val="00A16CA1"/>
    <w:rsid w:val="00A16CB0"/>
    <w:rsid w:val="00A16E5A"/>
    <w:rsid w:val="00A16E87"/>
    <w:rsid w:val="00A16EA7"/>
    <w:rsid w:val="00A17000"/>
    <w:rsid w:val="00A17016"/>
    <w:rsid w:val="00A17060"/>
    <w:rsid w:val="00A170E2"/>
    <w:rsid w:val="00A1716C"/>
    <w:rsid w:val="00A1727B"/>
    <w:rsid w:val="00A1728E"/>
    <w:rsid w:val="00A17444"/>
    <w:rsid w:val="00A1749D"/>
    <w:rsid w:val="00A176FF"/>
    <w:rsid w:val="00A17981"/>
    <w:rsid w:val="00A17983"/>
    <w:rsid w:val="00A17993"/>
    <w:rsid w:val="00A17BE4"/>
    <w:rsid w:val="00A17CB0"/>
    <w:rsid w:val="00A17CC1"/>
    <w:rsid w:val="00A17DA6"/>
    <w:rsid w:val="00A17E68"/>
    <w:rsid w:val="00A17EBC"/>
    <w:rsid w:val="00A17F0B"/>
    <w:rsid w:val="00A20092"/>
    <w:rsid w:val="00A202C9"/>
    <w:rsid w:val="00A20685"/>
    <w:rsid w:val="00A209B2"/>
    <w:rsid w:val="00A20A07"/>
    <w:rsid w:val="00A20AE5"/>
    <w:rsid w:val="00A20C5E"/>
    <w:rsid w:val="00A20CF4"/>
    <w:rsid w:val="00A20D38"/>
    <w:rsid w:val="00A21028"/>
    <w:rsid w:val="00A2123D"/>
    <w:rsid w:val="00A212CF"/>
    <w:rsid w:val="00A215B8"/>
    <w:rsid w:val="00A215EE"/>
    <w:rsid w:val="00A2163E"/>
    <w:rsid w:val="00A21704"/>
    <w:rsid w:val="00A2190F"/>
    <w:rsid w:val="00A2193F"/>
    <w:rsid w:val="00A21962"/>
    <w:rsid w:val="00A219DA"/>
    <w:rsid w:val="00A21A2C"/>
    <w:rsid w:val="00A21A45"/>
    <w:rsid w:val="00A21A61"/>
    <w:rsid w:val="00A21B20"/>
    <w:rsid w:val="00A21D15"/>
    <w:rsid w:val="00A21D6F"/>
    <w:rsid w:val="00A21DA9"/>
    <w:rsid w:val="00A21DDD"/>
    <w:rsid w:val="00A21EDD"/>
    <w:rsid w:val="00A22037"/>
    <w:rsid w:val="00A222CC"/>
    <w:rsid w:val="00A22369"/>
    <w:rsid w:val="00A2264A"/>
    <w:rsid w:val="00A22BA1"/>
    <w:rsid w:val="00A22F90"/>
    <w:rsid w:val="00A23014"/>
    <w:rsid w:val="00A23122"/>
    <w:rsid w:val="00A23601"/>
    <w:rsid w:val="00A23718"/>
    <w:rsid w:val="00A23764"/>
    <w:rsid w:val="00A238F3"/>
    <w:rsid w:val="00A23AB0"/>
    <w:rsid w:val="00A23B70"/>
    <w:rsid w:val="00A23C37"/>
    <w:rsid w:val="00A23FB8"/>
    <w:rsid w:val="00A23FED"/>
    <w:rsid w:val="00A240AE"/>
    <w:rsid w:val="00A240C2"/>
    <w:rsid w:val="00A240EF"/>
    <w:rsid w:val="00A24115"/>
    <w:rsid w:val="00A2419C"/>
    <w:rsid w:val="00A241A2"/>
    <w:rsid w:val="00A2423E"/>
    <w:rsid w:val="00A24259"/>
    <w:rsid w:val="00A2434E"/>
    <w:rsid w:val="00A24745"/>
    <w:rsid w:val="00A247F3"/>
    <w:rsid w:val="00A248CB"/>
    <w:rsid w:val="00A24949"/>
    <w:rsid w:val="00A249B2"/>
    <w:rsid w:val="00A249ED"/>
    <w:rsid w:val="00A24B85"/>
    <w:rsid w:val="00A24D38"/>
    <w:rsid w:val="00A24E23"/>
    <w:rsid w:val="00A2507A"/>
    <w:rsid w:val="00A250AC"/>
    <w:rsid w:val="00A2515B"/>
    <w:rsid w:val="00A257CA"/>
    <w:rsid w:val="00A257F1"/>
    <w:rsid w:val="00A25947"/>
    <w:rsid w:val="00A25AAF"/>
    <w:rsid w:val="00A25D3B"/>
    <w:rsid w:val="00A25E81"/>
    <w:rsid w:val="00A25F14"/>
    <w:rsid w:val="00A25F66"/>
    <w:rsid w:val="00A25FEA"/>
    <w:rsid w:val="00A26111"/>
    <w:rsid w:val="00A2616F"/>
    <w:rsid w:val="00A262DF"/>
    <w:rsid w:val="00A2637D"/>
    <w:rsid w:val="00A264CA"/>
    <w:rsid w:val="00A2653B"/>
    <w:rsid w:val="00A26585"/>
    <w:rsid w:val="00A265C5"/>
    <w:rsid w:val="00A26602"/>
    <w:rsid w:val="00A2662C"/>
    <w:rsid w:val="00A2668E"/>
    <w:rsid w:val="00A266AF"/>
    <w:rsid w:val="00A266C5"/>
    <w:rsid w:val="00A26704"/>
    <w:rsid w:val="00A26840"/>
    <w:rsid w:val="00A268A5"/>
    <w:rsid w:val="00A26A1C"/>
    <w:rsid w:val="00A26B02"/>
    <w:rsid w:val="00A26B03"/>
    <w:rsid w:val="00A26C43"/>
    <w:rsid w:val="00A26D60"/>
    <w:rsid w:val="00A26E68"/>
    <w:rsid w:val="00A26E70"/>
    <w:rsid w:val="00A26E7F"/>
    <w:rsid w:val="00A26EDB"/>
    <w:rsid w:val="00A26EE8"/>
    <w:rsid w:val="00A26FBC"/>
    <w:rsid w:val="00A270BD"/>
    <w:rsid w:val="00A27101"/>
    <w:rsid w:val="00A2712F"/>
    <w:rsid w:val="00A271BB"/>
    <w:rsid w:val="00A2726B"/>
    <w:rsid w:val="00A272D2"/>
    <w:rsid w:val="00A27303"/>
    <w:rsid w:val="00A27448"/>
    <w:rsid w:val="00A27550"/>
    <w:rsid w:val="00A2764E"/>
    <w:rsid w:val="00A278DB"/>
    <w:rsid w:val="00A27978"/>
    <w:rsid w:val="00A27A5C"/>
    <w:rsid w:val="00A27B20"/>
    <w:rsid w:val="00A27C90"/>
    <w:rsid w:val="00A27CAF"/>
    <w:rsid w:val="00A27D1C"/>
    <w:rsid w:val="00A27D35"/>
    <w:rsid w:val="00A27D7E"/>
    <w:rsid w:val="00A27D9D"/>
    <w:rsid w:val="00A27ED5"/>
    <w:rsid w:val="00A27FA4"/>
    <w:rsid w:val="00A27FFB"/>
    <w:rsid w:val="00A3010A"/>
    <w:rsid w:val="00A30166"/>
    <w:rsid w:val="00A3020D"/>
    <w:rsid w:val="00A3036D"/>
    <w:rsid w:val="00A303A9"/>
    <w:rsid w:val="00A303AC"/>
    <w:rsid w:val="00A304FC"/>
    <w:rsid w:val="00A3052D"/>
    <w:rsid w:val="00A305C0"/>
    <w:rsid w:val="00A305D0"/>
    <w:rsid w:val="00A30630"/>
    <w:rsid w:val="00A308B2"/>
    <w:rsid w:val="00A308D9"/>
    <w:rsid w:val="00A3095C"/>
    <w:rsid w:val="00A3096C"/>
    <w:rsid w:val="00A309C6"/>
    <w:rsid w:val="00A30B45"/>
    <w:rsid w:val="00A30BC0"/>
    <w:rsid w:val="00A30BC5"/>
    <w:rsid w:val="00A30C55"/>
    <w:rsid w:val="00A30C8E"/>
    <w:rsid w:val="00A30DBD"/>
    <w:rsid w:val="00A30E2B"/>
    <w:rsid w:val="00A30E91"/>
    <w:rsid w:val="00A30F98"/>
    <w:rsid w:val="00A3115A"/>
    <w:rsid w:val="00A311B1"/>
    <w:rsid w:val="00A31257"/>
    <w:rsid w:val="00A312AD"/>
    <w:rsid w:val="00A313F8"/>
    <w:rsid w:val="00A31647"/>
    <w:rsid w:val="00A31657"/>
    <w:rsid w:val="00A31734"/>
    <w:rsid w:val="00A31778"/>
    <w:rsid w:val="00A317A3"/>
    <w:rsid w:val="00A317F8"/>
    <w:rsid w:val="00A3181D"/>
    <w:rsid w:val="00A3187D"/>
    <w:rsid w:val="00A318E4"/>
    <w:rsid w:val="00A3193E"/>
    <w:rsid w:val="00A31AF6"/>
    <w:rsid w:val="00A31C70"/>
    <w:rsid w:val="00A31C8F"/>
    <w:rsid w:val="00A320EE"/>
    <w:rsid w:val="00A3227D"/>
    <w:rsid w:val="00A32392"/>
    <w:rsid w:val="00A324E0"/>
    <w:rsid w:val="00A3255F"/>
    <w:rsid w:val="00A326F2"/>
    <w:rsid w:val="00A3277F"/>
    <w:rsid w:val="00A329F6"/>
    <w:rsid w:val="00A32AFC"/>
    <w:rsid w:val="00A32BF4"/>
    <w:rsid w:val="00A32BFC"/>
    <w:rsid w:val="00A32E4E"/>
    <w:rsid w:val="00A32E89"/>
    <w:rsid w:val="00A32E9E"/>
    <w:rsid w:val="00A33019"/>
    <w:rsid w:val="00A3301F"/>
    <w:rsid w:val="00A3304E"/>
    <w:rsid w:val="00A330FA"/>
    <w:rsid w:val="00A332E1"/>
    <w:rsid w:val="00A333F6"/>
    <w:rsid w:val="00A3354B"/>
    <w:rsid w:val="00A3357F"/>
    <w:rsid w:val="00A336E7"/>
    <w:rsid w:val="00A336F0"/>
    <w:rsid w:val="00A3375C"/>
    <w:rsid w:val="00A3383B"/>
    <w:rsid w:val="00A338D6"/>
    <w:rsid w:val="00A3392E"/>
    <w:rsid w:val="00A33A11"/>
    <w:rsid w:val="00A33BAE"/>
    <w:rsid w:val="00A33D3C"/>
    <w:rsid w:val="00A33E28"/>
    <w:rsid w:val="00A33EC0"/>
    <w:rsid w:val="00A341C6"/>
    <w:rsid w:val="00A34246"/>
    <w:rsid w:val="00A3430F"/>
    <w:rsid w:val="00A3443F"/>
    <w:rsid w:val="00A34507"/>
    <w:rsid w:val="00A34538"/>
    <w:rsid w:val="00A34592"/>
    <w:rsid w:val="00A3468E"/>
    <w:rsid w:val="00A347CC"/>
    <w:rsid w:val="00A34803"/>
    <w:rsid w:val="00A34882"/>
    <w:rsid w:val="00A348DB"/>
    <w:rsid w:val="00A349DD"/>
    <w:rsid w:val="00A34A14"/>
    <w:rsid w:val="00A34B6B"/>
    <w:rsid w:val="00A34D12"/>
    <w:rsid w:val="00A34E29"/>
    <w:rsid w:val="00A34E7C"/>
    <w:rsid w:val="00A34F1A"/>
    <w:rsid w:val="00A35185"/>
    <w:rsid w:val="00A351F4"/>
    <w:rsid w:val="00A35211"/>
    <w:rsid w:val="00A352E8"/>
    <w:rsid w:val="00A35337"/>
    <w:rsid w:val="00A3548B"/>
    <w:rsid w:val="00A354E8"/>
    <w:rsid w:val="00A3553E"/>
    <w:rsid w:val="00A356C0"/>
    <w:rsid w:val="00A356E0"/>
    <w:rsid w:val="00A357C1"/>
    <w:rsid w:val="00A357DD"/>
    <w:rsid w:val="00A358C4"/>
    <w:rsid w:val="00A3594B"/>
    <w:rsid w:val="00A35975"/>
    <w:rsid w:val="00A359B8"/>
    <w:rsid w:val="00A35ACA"/>
    <w:rsid w:val="00A35B65"/>
    <w:rsid w:val="00A35D46"/>
    <w:rsid w:val="00A35F0F"/>
    <w:rsid w:val="00A35F65"/>
    <w:rsid w:val="00A35F88"/>
    <w:rsid w:val="00A361E7"/>
    <w:rsid w:val="00A363D8"/>
    <w:rsid w:val="00A36400"/>
    <w:rsid w:val="00A3647F"/>
    <w:rsid w:val="00A36493"/>
    <w:rsid w:val="00A365FE"/>
    <w:rsid w:val="00A3662E"/>
    <w:rsid w:val="00A367A2"/>
    <w:rsid w:val="00A367E4"/>
    <w:rsid w:val="00A36836"/>
    <w:rsid w:val="00A36842"/>
    <w:rsid w:val="00A36890"/>
    <w:rsid w:val="00A368D3"/>
    <w:rsid w:val="00A368DD"/>
    <w:rsid w:val="00A36976"/>
    <w:rsid w:val="00A36A29"/>
    <w:rsid w:val="00A36A49"/>
    <w:rsid w:val="00A36B76"/>
    <w:rsid w:val="00A36BDD"/>
    <w:rsid w:val="00A36C43"/>
    <w:rsid w:val="00A36C91"/>
    <w:rsid w:val="00A36C9C"/>
    <w:rsid w:val="00A36CE8"/>
    <w:rsid w:val="00A36D7F"/>
    <w:rsid w:val="00A37262"/>
    <w:rsid w:val="00A372A5"/>
    <w:rsid w:val="00A3740B"/>
    <w:rsid w:val="00A3747D"/>
    <w:rsid w:val="00A37536"/>
    <w:rsid w:val="00A37574"/>
    <w:rsid w:val="00A37714"/>
    <w:rsid w:val="00A378D5"/>
    <w:rsid w:val="00A37A1D"/>
    <w:rsid w:val="00A37B88"/>
    <w:rsid w:val="00A37B9A"/>
    <w:rsid w:val="00A37DD5"/>
    <w:rsid w:val="00A37E71"/>
    <w:rsid w:val="00A37E98"/>
    <w:rsid w:val="00A37F7A"/>
    <w:rsid w:val="00A37F90"/>
    <w:rsid w:val="00A40290"/>
    <w:rsid w:val="00A40325"/>
    <w:rsid w:val="00A4038F"/>
    <w:rsid w:val="00A403FD"/>
    <w:rsid w:val="00A40408"/>
    <w:rsid w:val="00A40498"/>
    <w:rsid w:val="00A404AF"/>
    <w:rsid w:val="00A405AB"/>
    <w:rsid w:val="00A4089E"/>
    <w:rsid w:val="00A4092E"/>
    <w:rsid w:val="00A40A5E"/>
    <w:rsid w:val="00A40B93"/>
    <w:rsid w:val="00A40DEB"/>
    <w:rsid w:val="00A40FE5"/>
    <w:rsid w:val="00A4103C"/>
    <w:rsid w:val="00A4105F"/>
    <w:rsid w:val="00A4106F"/>
    <w:rsid w:val="00A4109C"/>
    <w:rsid w:val="00A41394"/>
    <w:rsid w:val="00A4145C"/>
    <w:rsid w:val="00A41510"/>
    <w:rsid w:val="00A415E6"/>
    <w:rsid w:val="00A4169A"/>
    <w:rsid w:val="00A41726"/>
    <w:rsid w:val="00A41B00"/>
    <w:rsid w:val="00A41B6B"/>
    <w:rsid w:val="00A41D03"/>
    <w:rsid w:val="00A42026"/>
    <w:rsid w:val="00A42062"/>
    <w:rsid w:val="00A42290"/>
    <w:rsid w:val="00A4240B"/>
    <w:rsid w:val="00A42411"/>
    <w:rsid w:val="00A4247A"/>
    <w:rsid w:val="00A424B3"/>
    <w:rsid w:val="00A427D6"/>
    <w:rsid w:val="00A42953"/>
    <w:rsid w:val="00A4297B"/>
    <w:rsid w:val="00A42A42"/>
    <w:rsid w:val="00A42AF7"/>
    <w:rsid w:val="00A42B68"/>
    <w:rsid w:val="00A42BED"/>
    <w:rsid w:val="00A42D88"/>
    <w:rsid w:val="00A42EFE"/>
    <w:rsid w:val="00A43162"/>
    <w:rsid w:val="00A4327B"/>
    <w:rsid w:val="00A4338C"/>
    <w:rsid w:val="00A43494"/>
    <w:rsid w:val="00A434C1"/>
    <w:rsid w:val="00A437A8"/>
    <w:rsid w:val="00A4382F"/>
    <w:rsid w:val="00A43875"/>
    <w:rsid w:val="00A4398E"/>
    <w:rsid w:val="00A43D98"/>
    <w:rsid w:val="00A43E70"/>
    <w:rsid w:val="00A43E98"/>
    <w:rsid w:val="00A43EF4"/>
    <w:rsid w:val="00A44036"/>
    <w:rsid w:val="00A44066"/>
    <w:rsid w:val="00A440B6"/>
    <w:rsid w:val="00A440EB"/>
    <w:rsid w:val="00A441E7"/>
    <w:rsid w:val="00A4435E"/>
    <w:rsid w:val="00A443A2"/>
    <w:rsid w:val="00A443FF"/>
    <w:rsid w:val="00A445E5"/>
    <w:rsid w:val="00A44625"/>
    <w:rsid w:val="00A44725"/>
    <w:rsid w:val="00A447E5"/>
    <w:rsid w:val="00A44A6F"/>
    <w:rsid w:val="00A44B0A"/>
    <w:rsid w:val="00A44C91"/>
    <w:rsid w:val="00A44D60"/>
    <w:rsid w:val="00A44EA7"/>
    <w:rsid w:val="00A44EB1"/>
    <w:rsid w:val="00A44F1B"/>
    <w:rsid w:val="00A44F8D"/>
    <w:rsid w:val="00A45076"/>
    <w:rsid w:val="00A450D6"/>
    <w:rsid w:val="00A451A0"/>
    <w:rsid w:val="00A45207"/>
    <w:rsid w:val="00A453B6"/>
    <w:rsid w:val="00A4542B"/>
    <w:rsid w:val="00A45444"/>
    <w:rsid w:val="00A45468"/>
    <w:rsid w:val="00A458E0"/>
    <w:rsid w:val="00A45B5D"/>
    <w:rsid w:val="00A45B62"/>
    <w:rsid w:val="00A45C93"/>
    <w:rsid w:val="00A45D10"/>
    <w:rsid w:val="00A45FF3"/>
    <w:rsid w:val="00A46029"/>
    <w:rsid w:val="00A46281"/>
    <w:rsid w:val="00A46430"/>
    <w:rsid w:val="00A464C8"/>
    <w:rsid w:val="00A46610"/>
    <w:rsid w:val="00A467D5"/>
    <w:rsid w:val="00A46989"/>
    <w:rsid w:val="00A46C2B"/>
    <w:rsid w:val="00A46DAE"/>
    <w:rsid w:val="00A46ECA"/>
    <w:rsid w:val="00A46EF8"/>
    <w:rsid w:val="00A47039"/>
    <w:rsid w:val="00A47071"/>
    <w:rsid w:val="00A471CF"/>
    <w:rsid w:val="00A471F8"/>
    <w:rsid w:val="00A47281"/>
    <w:rsid w:val="00A472BA"/>
    <w:rsid w:val="00A47476"/>
    <w:rsid w:val="00A4759B"/>
    <w:rsid w:val="00A4765F"/>
    <w:rsid w:val="00A4772A"/>
    <w:rsid w:val="00A4777A"/>
    <w:rsid w:val="00A47868"/>
    <w:rsid w:val="00A478B9"/>
    <w:rsid w:val="00A47998"/>
    <w:rsid w:val="00A47A36"/>
    <w:rsid w:val="00A47B26"/>
    <w:rsid w:val="00A47BA6"/>
    <w:rsid w:val="00A47CCF"/>
    <w:rsid w:val="00A47D63"/>
    <w:rsid w:val="00A47ECE"/>
    <w:rsid w:val="00A47FE8"/>
    <w:rsid w:val="00A50029"/>
    <w:rsid w:val="00A5012B"/>
    <w:rsid w:val="00A501DA"/>
    <w:rsid w:val="00A50328"/>
    <w:rsid w:val="00A504C0"/>
    <w:rsid w:val="00A505DE"/>
    <w:rsid w:val="00A506F7"/>
    <w:rsid w:val="00A5077C"/>
    <w:rsid w:val="00A5078F"/>
    <w:rsid w:val="00A50934"/>
    <w:rsid w:val="00A5095B"/>
    <w:rsid w:val="00A509D9"/>
    <w:rsid w:val="00A50C1F"/>
    <w:rsid w:val="00A50C85"/>
    <w:rsid w:val="00A50CDF"/>
    <w:rsid w:val="00A50D3F"/>
    <w:rsid w:val="00A50D81"/>
    <w:rsid w:val="00A50D97"/>
    <w:rsid w:val="00A50DBB"/>
    <w:rsid w:val="00A50EF0"/>
    <w:rsid w:val="00A50F40"/>
    <w:rsid w:val="00A5102B"/>
    <w:rsid w:val="00A51164"/>
    <w:rsid w:val="00A511A2"/>
    <w:rsid w:val="00A515A5"/>
    <w:rsid w:val="00A51744"/>
    <w:rsid w:val="00A51818"/>
    <w:rsid w:val="00A51853"/>
    <w:rsid w:val="00A519AC"/>
    <w:rsid w:val="00A51A3F"/>
    <w:rsid w:val="00A51BE5"/>
    <w:rsid w:val="00A51ECD"/>
    <w:rsid w:val="00A52079"/>
    <w:rsid w:val="00A52267"/>
    <w:rsid w:val="00A5234B"/>
    <w:rsid w:val="00A52597"/>
    <w:rsid w:val="00A525F4"/>
    <w:rsid w:val="00A526BB"/>
    <w:rsid w:val="00A527EA"/>
    <w:rsid w:val="00A52857"/>
    <w:rsid w:val="00A52874"/>
    <w:rsid w:val="00A529E8"/>
    <w:rsid w:val="00A52B7C"/>
    <w:rsid w:val="00A52CB2"/>
    <w:rsid w:val="00A52DFA"/>
    <w:rsid w:val="00A52E23"/>
    <w:rsid w:val="00A5314F"/>
    <w:rsid w:val="00A531BB"/>
    <w:rsid w:val="00A5320B"/>
    <w:rsid w:val="00A5327C"/>
    <w:rsid w:val="00A532A9"/>
    <w:rsid w:val="00A532E4"/>
    <w:rsid w:val="00A53A7F"/>
    <w:rsid w:val="00A53AE7"/>
    <w:rsid w:val="00A53B2E"/>
    <w:rsid w:val="00A53C5B"/>
    <w:rsid w:val="00A53E5D"/>
    <w:rsid w:val="00A53F6A"/>
    <w:rsid w:val="00A53F9B"/>
    <w:rsid w:val="00A54056"/>
    <w:rsid w:val="00A54131"/>
    <w:rsid w:val="00A54182"/>
    <w:rsid w:val="00A541DC"/>
    <w:rsid w:val="00A541FA"/>
    <w:rsid w:val="00A54378"/>
    <w:rsid w:val="00A54439"/>
    <w:rsid w:val="00A544F2"/>
    <w:rsid w:val="00A549DA"/>
    <w:rsid w:val="00A54B4D"/>
    <w:rsid w:val="00A54C9A"/>
    <w:rsid w:val="00A54CD4"/>
    <w:rsid w:val="00A54D20"/>
    <w:rsid w:val="00A54DA1"/>
    <w:rsid w:val="00A54DB9"/>
    <w:rsid w:val="00A5516E"/>
    <w:rsid w:val="00A5529A"/>
    <w:rsid w:val="00A5584E"/>
    <w:rsid w:val="00A558F9"/>
    <w:rsid w:val="00A55B2C"/>
    <w:rsid w:val="00A55C00"/>
    <w:rsid w:val="00A55D23"/>
    <w:rsid w:val="00A55DBA"/>
    <w:rsid w:val="00A55E33"/>
    <w:rsid w:val="00A55EFA"/>
    <w:rsid w:val="00A55FCF"/>
    <w:rsid w:val="00A55FEC"/>
    <w:rsid w:val="00A5618F"/>
    <w:rsid w:val="00A561E6"/>
    <w:rsid w:val="00A563A6"/>
    <w:rsid w:val="00A5645F"/>
    <w:rsid w:val="00A566ED"/>
    <w:rsid w:val="00A56863"/>
    <w:rsid w:val="00A569B1"/>
    <w:rsid w:val="00A56ABD"/>
    <w:rsid w:val="00A56AC3"/>
    <w:rsid w:val="00A56AC9"/>
    <w:rsid w:val="00A56AE8"/>
    <w:rsid w:val="00A56BFA"/>
    <w:rsid w:val="00A56C71"/>
    <w:rsid w:val="00A56D16"/>
    <w:rsid w:val="00A56DAF"/>
    <w:rsid w:val="00A5721C"/>
    <w:rsid w:val="00A57267"/>
    <w:rsid w:val="00A57356"/>
    <w:rsid w:val="00A573DC"/>
    <w:rsid w:val="00A57434"/>
    <w:rsid w:val="00A5747C"/>
    <w:rsid w:val="00A574CB"/>
    <w:rsid w:val="00A574FA"/>
    <w:rsid w:val="00A57592"/>
    <w:rsid w:val="00A5779F"/>
    <w:rsid w:val="00A57906"/>
    <w:rsid w:val="00A5792E"/>
    <w:rsid w:val="00A57990"/>
    <w:rsid w:val="00A57C06"/>
    <w:rsid w:val="00A57C9C"/>
    <w:rsid w:val="00A57C9F"/>
    <w:rsid w:val="00A57EB4"/>
    <w:rsid w:val="00A57FD5"/>
    <w:rsid w:val="00A6018A"/>
    <w:rsid w:val="00A603FA"/>
    <w:rsid w:val="00A60406"/>
    <w:rsid w:val="00A60436"/>
    <w:rsid w:val="00A6046B"/>
    <w:rsid w:val="00A60563"/>
    <w:rsid w:val="00A608BB"/>
    <w:rsid w:val="00A6091C"/>
    <w:rsid w:val="00A60A26"/>
    <w:rsid w:val="00A60AA7"/>
    <w:rsid w:val="00A60B5F"/>
    <w:rsid w:val="00A60BB9"/>
    <w:rsid w:val="00A60C32"/>
    <w:rsid w:val="00A60CD8"/>
    <w:rsid w:val="00A60CF4"/>
    <w:rsid w:val="00A60FAD"/>
    <w:rsid w:val="00A61184"/>
    <w:rsid w:val="00A611D9"/>
    <w:rsid w:val="00A61239"/>
    <w:rsid w:val="00A61446"/>
    <w:rsid w:val="00A6146C"/>
    <w:rsid w:val="00A61481"/>
    <w:rsid w:val="00A614EB"/>
    <w:rsid w:val="00A614EC"/>
    <w:rsid w:val="00A61522"/>
    <w:rsid w:val="00A615D0"/>
    <w:rsid w:val="00A6165A"/>
    <w:rsid w:val="00A61705"/>
    <w:rsid w:val="00A617DC"/>
    <w:rsid w:val="00A61869"/>
    <w:rsid w:val="00A61876"/>
    <w:rsid w:val="00A61974"/>
    <w:rsid w:val="00A619D4"/>
    <w:rsid w:val="00A61B32"/>
    <w:rsid w:val="00A61B94"/>
    <w:rsid w:val="00A61E45"/>
    <w:rsid w:val="00A61E6C"/>
    <w:rsid w:val="00A61F47"/>
    <w:rsid w:val="00A62097"/>
    <w:rsid w:val="00A62293"/>
    <w:rsid w:val="00A62510"/>
    <w:rsid w:val="00A62641"/>
    <w:rsid w:val="00A62675"/>
    <w:rsid w:val="00A62781"/>
    <w:rsid w:val="00A627B4"/>
    <w:rsid w:val="00A6289B"/>
    <w:rsid w:val="00A62AEF"/>
    <w:rsid w:val="00A62CB0"/>
    <w:rsid w:val="00A62D5D"/>
    <w:rsid w:val="00A62EDC"/>
    <w:rsid w:val="00A62FBC"/>
    <w:rsid w:val="00A62FC9"/>
    <w:rsid w:val="00A6304E"/>
    <w:rsid w:val="00A630B7"/>
    <w:rsid w:val="00A632BF"/>
    <w:rsid w:val="00A63410"/>
    <w:rsid w:val="00A63546"/>
    <w:rsid w:val="00A63A5D"/>
    <w:rsid w:val="00A63B07"/>
    <w:rsid w:val="00A63D22"/>
    <w:rsid w:val="00A63F85"/>
    <w:rsid w:val="00A640F7"/>
    <w:rsid w:val="00A643E5"/>
    <w:rsid w:val="00A644CA"/>
    <w:rsid w:val="00A645E6"/>
    <w:rsid w:val="00A64664"/>
    <w:rsid w:val="00A64769"/>
    <w:rsid w:val="00A6489B"/>
    <w:rsid w:val="00A649CB"/>
    <w:rsid w:val="00A64B32"/>
    <w:rsid w:val="00A64D1F"/>
    <w:rsid w:val="00A64D26"/>
    <w:rsid w:val="00A64D6A"/>
    <w:rsid w:val="00A65060"/>
    <w:rsid w:val="00A650B8"/>
    <w:rsid w:val="00A65105"/>
    <w:rsid w:val="00A65106"/>
    <w:rsid w:val="00A65161"/>
    <w:rsid w:val="00A65192"/>
    <w:rsid w:val="00A651E9"/>
    <w:rsid w:val="00A654C9"/>
    <w:rsid w:val="00A654E7"/>
    <w:rsid w:val="00A65575"/>
    <w:rsid w:val="00A655A1"/>
    <w:rsid w:val="00A6562C"/>
    <w:rsid w:val="00A65763"/>
    <w:rsid w:val="00A6591E"/>
    <w:rsid w:val="00A65A46"/>
    <w:rsid w:val="00A65A94"/>
    <w:rsid w:val="00A65A9B"/>
    <w:rsid w:val="00A65B3E"/>
    <w:rsid w:val="00A65C55"/>
    <w:rsid w:val="00A65C97"/>
    <w:rsid w:val="00A65D4C"/>
    <w:rsid w:val="00A65DAD"/>
    <w:rsid w:val="00A65E23"/>
    <w:rsid w:val="00A65EEC"/>
    <w:rsid w:val="00A6608F"/>
    <w:rsid w:val="00A661CC"/>
    <w:rsid w:val="00A66209"/>
    <w:rsid w:val="00A66234"/>
    <w:rsid w:val="00A662CA"/>
    <w:rsid w:val="00A662E7"/>
    <w:rsid w:val="00A6633A"/>
    <w:rsid w:val="00A6633B"/>
    <w:rsid w:val="00A6661C"/>
    <w:rsid w:val="00A66688"/>
    <w:rsid w:val="00A66C65"/>
    <w:rsid w:val="00A66D34"/>
    <w:rsid w:val="00A66DE4"/>
    <w:rsid w:val="00A66EDC"/>
    <w:rsid w:val="00A670B7"/>
    <w:rsid w:val="00A67215"/>
    <w:rsid w:val="00A672AD"/>
    <w:rsid w:val="00A6741B"/>
    <w:rsid w:val="00A67434"/>
    <w:rsid w:val="00A67913"/>
    <w:rsid w:val="00A67969"/>
    <w:rsid w:val="00A67A73"/>
    <w:rsid w:val="00A67B22"/>
    <w:rsid w:val="00A67B35"/>
    <w:rsid w:val="00A67CE7"/>
    <w:rsid w:val="00A67DAB"/>
    <w:rsid w:val="00A67E10"/>
    <w:rsid w:val="00A67E1C"/>
    <w:rsid w:val="00A67E6D"/>
    <w:rsid w:val="00A67EAF"/>
    <w:rsid w:val="00A701C4"/>
    <w:rsid w:val="00A70246"/>
    <w:rsid w:val="00A7060A"/>
    <w:rsid w:val="00A7071C"/>
    <w:rsid w:val="00A7082D"/>
    <w:rsid w:val="00A7093E"/>
    <w:rsid w:val="00A709C0"/>
    <w:rsid w:val="00A70B64"/>
    <w:rsid w:val="00A70BAC"/>
    <w:rsid w:val="00A70C27"/>
    <w:rsid w:val="00A70CBA"/>
    <w:rsid w:val="00A70D18"/>
    <w:rsid w:val="00A70D46"/>
    <w:rsid w:val="00A70DC5"/>
    <w:rsid w:val="00A710F2"/>
    <w:rsid w:val="00A7113E"/>
    <w:rsid w:val="00A711FA"/>
    <w:rsid w:val="00A71352"/>
    <w:rsid w:val="00A714FB"/>
    <w:rsid w:val="00A716BA"/>
    <w:rsid w:val="00A717BF"/>
    <w:rsid w:val="00A71A6C"/>
    <w:rsid w:val="00A71BA4"/>
    <w:rsid w:val="00A71C22"/>
    <w:rsid w:val="00A71D19"/>
    <w:rsid w:val="00A72087"/>
    <w:rsid w:val="00A7229C"/>
    <w:rsid w:val="00A722A2"/>
    <w:rsid w:val="00A722C6"/>
    <w:rsid w:val="00A72313"/>
    <w:rsid w:val="00A72382"/>
    <w:rsid w:val="00A72432"/>
    <w:rsid w:val="00A726A1"/>
    <w:rsid w:val="00A72A8C"/>
    <w:rsid w:val="00A72BF4"/>
    <w:rsid w:val="00A72BFF"/>
    <w:rsid w:val="00A7312A"/>
    <w:rsid w:val="00A73253"/>
    <w:rsid w:val="00A73290"/>
    <w:rsid w:val="00A735E8"/>
    <w:rsid w:val="00A73704"/>
    <w:rsid w:val="00A73708"/>
    <w:rsid w:val="00A73739"/>
    <w:rsid w:val="00A73788"/>
    <w:rsid w:val="00A7391E"/>
    <w:rsid w:val="00A73A2E"/>
    <w:rsid w:val="00A73BE9"/>
    <w:rsid w:val="00A73D0E"/>
    <w:rsid w:val="00A73E86"/>
    <w:rsid w:val="00A73FF7"/>
    <w:rsid w:val="00A74029"/>
    <w:rsid w:val="00A74064"/>
    <w:rsid w:val="00A74260"/>
    <w:rsid w:val="00A742E0"/>
    <w:rsid w:val="00A743F8"/>
    <w:rsid w:val="00A74401"/>
    <w:rsid w:val="00A74599"/>
    <w:rsid w:val="00A74671"/>
    <w:rsid w:val="00A7483E"/>
    <w:rsid w:val="00A748D1"/>
    <w:rsid w:val="00A748F0"/>
    <w:rsid w:val="00A74934"/>
    <w:rsid w:val="00A749DE"/>
    <w:rsid w:val="00A74AD1"/>
    <w:rsid w:val="00A74ADD"/>
    <w:rsid w:val="00A74B9B"/>
    <w:rsid w:val="00A74BC5"/>
    <w:rsid w:val="00A74C0E"/>
    <w:rsid w:val="00A74C29"/>
    <w:rsid w:val="00A74F50"/>
    <w:rsid w:val="00A7503A"/>
    <w:rsid w:val="00A750EE"/>
    <w:rsid w:val="00A750FE"/>
    <w:rsid w:val="00A751FD"/>
    <w:rsid w:val="00A75229"/>
    <w:rsid w:val="00A7531B"/>
    <w:rsid w:val="00A753D2"/>
    <w:rsid w:val="00A75440"/>
    <w:rsid w:val="00A75774"/>
    <w:rsid w:val="00A757B5"/>
    <w:rsid w:val="00A75892"/>
    <w:rsid w:val="00A7595B"/>
    <w:rsid w:val="00A759D5"/>
    <w:rsid w:val="00A75A1F"/>
    <w:rsid w:val="00A75ACC"/>
    <w:rsid w:val="00A75C3C"/>
    <w:rsid w:val="00A75C6F"/>
    <w:rsid w:val="00A75C73"/>
    <w:rsid w:val="00A76018"/>
    <w:rsid w:val="00A76083"/>
    <w:rsid w:val="00A7614C"/>
    <w:rsid w:val="00A7634C"/>
    <w:rsid w:val="00A763EF"/>
    <w:rsid w:val="00A764B2"/>
    <w:rsid w:val="00A7655B"/>
    <w:rsid w:val="00A766D6"/>
    <w:rsid w:val="00A766E4"/>
    <w:rsid w:val="00A766FF"/>
    <w:rsid w:val="00A76BFF"/>
    <w:rsid w:val="00A76CC0"/>
    <w:rsid w:val="00A76DB9"/>
    <w:rsid w:val="00A76DBE"/>
    <w:rsid w:val="00A76E78"/>
    <w:rsid w:val="00A7732C"/>
    <w:rsid w:val="00A77382"/>
    <w:rsid w:val="00A77576"/>
    <w:rsid w:val="00A77593"/>
    <w:rsid w:val="00A7762D"/>
    <w:rsid w:val="00A77680"/>
    <w:rsid w:val="00A77AA4"/>
    <w:rsid w:val="00A77C21"/>
    <w:rsid w:val="00A77D6D"/>
    <w:rsid w:val="00A77E07"/>
    <w:rsid w:val="00A77E53"/>
    <w:rsid w:val="00A80031"/>
    <w:rsid w:val="00A80088"/>
    <w:rsid w:val="00A8014C"/>
    <w:rsid w:val="00A802BF"/>
    <w:rsid w:val="00A806A6"/>
    <w:rsid w:val="00A808B8"/>
    <w:rsid w:val="00A808DB"/>
    <w:rsid w:val="00A80AF2"/>
    <w:rsid w:val="00A80B2C"/>
    <w:rsid w:val="00A80B3C"/>
    <w:rsid w:val="00A80E71"/>
    <w:rsid w:val="00A80EF4"/>
    <w:rsid w:val="00A80F6E"/>
    <w:rsid w:val="00A80FF2"/>
    <w:rsid w:val="00A81241"/>
    <w:rsid w:val="00A81252"/>
    <w:rsid w:val="00A812CE"/>
    <w:rsid w:val="00A8173B"/>
    <w:rsid w:val="00A817C8"/>
    <w:rsid w:val="00A817EC"/>
    <w:rsid w:val="00A81894"/>
    <w:rsid w:val="00A81A94"/>
    <w:rsid w:val="00A81B34"/>
    <w:rsid w:val="00A81D28"/>
    <w:rsid w:val="00A81D45"/>
    <w:rsid w:val="00A81DEA"/>
    <w:rsid w:val="00A81EB6"/>
    <w:rsid w:val="00A82029"/>
    <w:rsid w:val="00A8223B"/>
    <w:rsid w:val="00A8225F"/>
    <w:rsid w:val="00A82534"/>
    <w:rsid w:val="00A825A4"/>
    <w:rsid w:val="00A827F9"/>
    <w:rsid w:val="00A828C3"/>
    <w:rsid w:val="00A82948"/>
    <w:rsid w:val="00A82961"/>
    <w:rsid w:val="00A829EE"/>
    <w:rsid w:val="00A82A71"/>
    <w:rsid w:val="00A82B97"/>
    <w:rsid w:val="00A82BA1"/>
    <w:rsid w:val="00A82BB6"/>
    <w:rsid w:val="00A82C5B"/>
    <w:rsid w:val="00A82CA4"/>
    <w:rsid w:val="00A82CDE"/>
    <w:rsid w:val="00A82E1B"/>
    <w:rsid w:val="00A82E86"/>
    <w:rsid w:val="00A82EDA"/>
    <w:rsid w:val="00A82F98"/>
    <w:rsid w:val="00A8329D"/>
    <w:rsid w:val="00A834C3"/>
    <w:rsid w:val="00A8364E"/>
    <w:rsid w:val="00A8367B"/>
    <w:rsid w:val="00A83966"/>
    <w:rsid w:val="00A839F5"/>
    <w:rsid w:val="00A83ACF"/>
    <w:rsid w:val="00A83BD9"/>
    <w:rsid w:val="00A83D40"/>
    <w:rsid w:val="00A83D94"/>
    <w:rsid w:val="00A83E82"/>
    <w:rsid w:val="00A83EBD"/>
    <w:rsid w:val="00A83EE1"/>
    <w:rsid w:val="00A83F6E"/>
    <w:rsid w:val="00A84191"/>
    <w:rsid w:val="00A841F3"/>
    <w:rsid w:val="00A8436A"/>
    <w:rsid w:val="00A843C4"/>
    <w:rsid w:val="00A84566"/>
    <w:rsid w:val="00A845F6"/>
    <w:rsid w:val="00A84815"/>
    <w:rsid w:val="00A84BD4"/>
    <w:rsid w:val="00A84C73"/>
    <w:rsid w:val="00A84D50"/>
    <w:rsid w:val="00A84E12"/>
    <w:rsid w:val="00A84E21"/>
    <w:rsid w:val="00A84E86"/>
    <w:rsid w:val="00A850D8"/>
    <w:rsid w:val="00A85193"/>
    <w:rsid w:val="00A852AF"/>
    <w:rsid w:val="00A85346"/>
    <w:rsid w:val="00A85537"/>
    <w:rsid w:val="00A857AF"/>
    <w:rsid w:val="00A857C2"/>
    <w:rsid w:val="00A85810"/>
    <w:rsid w:val="00A85917"/>
    <w:rsid w:val="00A8596C"/>
    <w:rsid w:val="00A859D4"/>
    <w:rsid w:val="00A85BA1"/>
    <w:rsid w:val="00A85BF9"/>
    <w:rsid w:val="00A85D0F"/>
    <w:rsid w:val="00A85D43"/>
    <w:rsid w:val="00A85DD6"/>
    <w:rsid w:val="00A85ED4"/>
    <w:rsid w:val="00A85EDA"/>
    <w:rsid w:val="00A85F7D"/>
    <w:rsid w:val="00A86024"/>
    <w:rsid w:val="00A86039"/>
    <w:rsid w:val="00A860B9"/>
    <w:rsid w:val="00A860BF"/>
    <w:rsid w:val="00A860EF"/>
    <w:rsid w:val="00A860F3"/>
    <w:rsid w:val="00A861E2"/>
    <w:rsid w:val="00A861F7"/>
    <w:rsid w:val="00A86306"/>
    <w:rsid w:val="00A86317"/>
    <w:rsid w:val="00A86397"/>
    <w:rsid w:val="00A8661E"/>
    <w:rsid w:val="00A8669C"/>
    <w:rsid w:val="00A866BF"/>
    <w:rsid w:val="00A866C0"/>
    <w:rsid w:val="00A86714"/>
    <w:rsid w:val="00A86843"/>
    <w:rsid w:val="00A86873"/>
    <w:rsid w:val="00A8688B"/>
    <w:rsid w:val="00A86955"/>
    <w:rsid w:val="00A86B54"/>
    <w:rsid w:val="00A86B7C"/>
    <w:rsid w:val="00A86BC7"/>
    <w:rsid w:val="00A86BF4"/>
    <w:rsid w:val="00A86C7B"/>
    <w:rsid w:val="00A86E2E"/>
    <w:rsid w:val="00A86E95"/>
    <w:rsid w:val="00A86F88"/>
    <w:rsid w:val="00A870CD"/>
    <w:rsid w:val="00A871A4"/>
    <w:rsid w:val="00A87225"/>
    <w:rsid w:val="00A87302"/>
    <w:rsid w:val="00A87332"/>
    <w:rsid w:val="00A873B6"/>
    <w:rsid w:val="00A87471"/>
    <w:rsid w:val="00A875BF"/>
    <w:rsid w:val="00A87701"/>
    <w:rsid w:val="00A8771A"/>
    <w:rsid w:val="00A87762"/>
    <w:rsid w:val="00A878B9"/>
    <w:rsid w:val="00A878F3"/>
    <w:rsid w:val="00A87908"/>
    <w:rsid w:val="00A879A2"/>
    <w:rsid w:val="00A87AD8"/>
    <w:rsid w:val="00A87D01"/>
    <w:rsid w:val="00A87D83"/>
    <w:rsid w:val="00A87DD8"/>
    <w:rsid w:val="00A87DE0"/>
    <w:rsid w:val="00A87E2D"/>
    <w:rsid w:val="00A87E82"/>
    <w:rsid w:val="00A87FB7"/>
    <w:rsid w:val="00A87FBF"/>
    <w:rsid w:val="00A87FF6"/>
    <w:rsid w:val="00A900EC"/>
    <w:rsid w:val="00A90138"/>
    <w:rsid w:val="00A90215"/>
    <w:rsid w:val="00A90442"/>
    <w:rsid w:val="00A90503"/>
    <w:rsid w:val="00A9059A"/>
    <w:rsid w:val="00A90684"/>
    <w:rsid w:val="00A9073F"/>
    <w:rsid w:val="00A90745"/>
    <w:rsid w:val="00A9078B"/>
    <w:rsid w:val="00A9083D"/>
    <w:rsid w:val="00A90B83"/>
    <w:rsid w:val="00A90CDF"/>
    <w:rsid w:val="00A90DFE"/>
    <w:rsid w:val="00A90F38"/>
    <w:rsid w:val="00A90FD2"/>
    <w:rsid w:val="00A9108B"/>
    <w:rsid w:val="00A9119A"/>
    <w:rsid w:val="00A911F3"/>
    <w:rsid w:val="00A912D4"/>
    <w:rsid w:val="00A912DF"/>
    <w:rsid w:val="00A917F7"/>
    <w:rsid w:val="00A91810"/>
    <w:rsid w:val="00A91B25"/>
    <w:rsid w:val="00A91CB6"/>
    <w:rsid w:val="00A91CD7"/>
    <w:rsid w:val="00A91D41"/>
    <w:rsid w:val="00A91E8D"/>
    <w:rsid w:val="00A91FB0"/>
    <w:rsid w:val="00A92037"/>
    <w:rsid w:val="00A920E8"/>
    <w:rsid w:val="00A92284"/>
    <w:rsid w:val="00A92360"/>
    <w:rsid w:val="00A9245F"/>
    <w:rsid w:val="00A9255A"/>
    <w:rsid w:val="00A926BF"/>
    <w:rsid w:val="00A927C2"/>
    <w:rsid w:val="00A9289F"/>
    <w:rsid w:val="00A92988"/>
    <w:rsid w:val="00A92A30"/>
    <w:rsid w:val="00A92BDE"/>
    <w:rsid w:val="00A92D25"/>
    <w:rsid w:val="00A92EAD"/>
    <w:rsid w:val="00A92F71"/>
    <w:rsid w:val="00A92F84"/>
    <w:rsid w:val="00A93036"/>
    <w:rsid w:val="00A93048"/>
    <w:rsid w:val="00A930D5"/>
    <w:rsid w:val="00A93198"/>
    <w:rsid w:val="00A932A3"/>
    <w:rsid w:val="00A93540"/>
    <w:rsid w:val="00A93636"/>
    <w:rsid w:val="00A936A3"/>
    <w:rsid w:val="00A93749"/>
    <w:rsid w:val="00A93783"/>
    <w:rsid w:val="00A9396C"/>
    <w:rsid w:val="00A93DAA"/>
    <w:rsid w:val="00A93ED8"/>
    <w:rsid w:val="00A941C3"/>
    <w:rsid w:val="00A941EE"/>
    <w:rsid w:val="00A94205"/>
    <w:rsid w:val="00A9421F"/>
    <w:rsid w:val="00A944FA"/>
    <w:rsid w:val="00A9453E"/>
    <w:rsid w:val="00A94740"/>
    <w:rsid w:val="00A94759"/>
    <w:rsid w:val="00A94765"/>
    <w:rsid w:val="00A94774"/>
    <w:rsid w:val="00A947E0"/>
    <w:rsid w:val="00A9493B"/>
    <w:rsid w:val="00A9497D"/>
    <w:rsid w:val="00A949AE"/>
    <w:rsid w:val="00A94A46"/>
    <w:rsid w:val="00A94B27"/>
    <w:rsid w:val="00A94BA5"/>
    <w:rsid w:val="00A94C15"/>
    <w:rsid w:val="00A94C6B"/>
    <w:rsid w:val="00A94E7B"/>
    <w:rsid w:val="00A94F3E"/>
    <w:rsid w:val="00A94F90"/>
    <w:rsid w:val="00A9501B"/>
    <w:rsid w:val="00A950B7"/>
    <w:rsid w:val="00A95100"/>
    <w:rsid w:val="00A951CD"/>
    <w:rsid w:val="00A95212"/>
    <w:rsid w:val="00A9522D"/>
    <w:rsid w:val="00A95300"/>
    <w:rsid w:val="00A95493"/>
    <w:rsid w:val="00A956B1"/>
    <w:rsid w:val="00A9570D"/>
    <w:rsid w:val="00A95864"/>
    <w:rsid w:val="00A95932"/>
    <w:rsid w:val="00A959DF"/>
    <w:rsid w:val="00A95A19"/>
    <w:rsid w:val="00A95B0C"/>
    <w:rsid w:val="00A95B1B"/>
    <w:rsid w:val="00A95B28"/>
    <w:rsid w:val="00A95D13"/>
    <w:rsid w:val="00A95DED"/>
    <w:rsid w:val="00A95E57"/>
    <w:rsid w:val="00A9604D"/>
    <w:rsid w:val="00A9618B"/>
    <w:rsid w:val="00A9618D"/>
    <w:rsid w:val="00A961CF"/>
    <w:rsid w:val="00A961DE"/>
    <w:rsid w:val="00A9624F"/>
    <w:rsid w:val="00A96289"/>
    <w:rsid w:val="00A962F1"/>
    <w:rsid w:val="00A96348"/>
    <w:rsid w:val="00A9638C"/>
    <w:rsid w:val="00A963FA"/>
    <w:rsid w:val="00A965FF"/>
    <w:rsid w:val="00A9663C"/>
    <w:rsid w:val="00A9681E"/>
    <w:rsid w:val="00A9685E"/>
    <w:rsid w:val="00A96A38"/>
    <w:rsid w:val="00A96A3F"/>
    <w:rsid w:val="00A96B4D"/>
    <w:rsid w:val="00A96BA9"/>
    <w:rsid w:val="00A96C40"/>
    <w:rsid w:val="00A96CDB"/>
    <w:rsid w:val="00A96E4B"/>
    <w:rsid w:val="00A96E61"/>
    <w:rsid w:val="00A96EAF"/>
    <w:rsid w:val="00A97082"/>
    <w:rsid w:val="00A9714E"/>
    <w:rsid w:val="00A9719B"/>
    <w:rsid w:val="00A9731D"/>
    <w:rsid w:val="00A97670"/>
    <w:rsid w:val="00A977C7"/>
    <w:rsid w:val="00A97948"/>
    <w:rsid w:val="00A97A29"/>
    <w:rsid w:val="00A97B74"/>
    <w:rsid w:val="00A97B82"/>
    <w:rsid w:val="00A97CC8"/>
    <w:rsid w:val="00A97D86"/>
    <w:rsid w:val="00A97DB6"/>
    <w:rsid w:val="00A97E25"/>
    <w:rsid w:val="00A97E96"/>
    <w:rsid w:val="00A97ED5"/>
    <w:rsid w:val="00AA007A"/>
    <w:rsid w:val="00AA00B8"/>
    <w:rsid w:val="00AA00FC"/>
    <w:rsid w:val="00AA01FE"/>
    <w:rsid w:val="00AA0235"/>
    <w:rsid w:val="00AA02FE"/>
    <w:rsid w:val="00AA0575"/>
    <w:rsid w:val="00AA0726"/>
    <w:rsid w:val="00AA0A29"/>
    <w:rsid w:val="00AA0D6A"/>
    <w:rsid w:val="00AA0E8A"/>
    <w:rsid w:val="00AA0F71"/>
    <w:rsid w:val="00AA0F73"/>
    <w:rsid w:val="00AA10DA"/>
    <w:rsid w:val="00AA115A"/>
    <w:rsid w:val="00AA11A3"/>
    <w:rsid w:val="00AA1252"/>
    <w:rsid w:val="00AA1261"/>
    <w:rsid w:val="00AA128C"/>
    <w:rsid w:val="00AA12B3"/>
    <w:rsid w:val="00AA12C5"/>
    <w:rsid w:val="00AA12D0"/>
    <w:rsid w:val="00AA1304"/>
    <w:rsid w:val="00AA139B"/>
    <w:rsid w:val="00AA13ED"/>
    <w:rsid w:val="00AA1441"/>
    <w:rsid w:val="00AA15EC"/>
    <w:rsid w:val="00AA167B"/>
    <w:rsid w:val="00AA16B2"/>
    <w:rsid w:val="00AA175A"/>
    <w:rsid w:val="00AA1983"/>
    <w:rsid w:val="00AA1AE6"/>
    <w:rsid w:val="00AA1B47"/>
    <w:rsid w:val="00AA1C89"/>
    <w:rsid w:val="00AA1CA6"/>
    <w:rsid w:val="00AA1E89"/>
    <w:rsid w:val="00AA229D"/>
    <w:rsid w:val="00AA22F9"/>
    <w:rsid w:val="00AA24A1"/>
    <w:rsid w:val="00AA255D"/>
    <w:rsid w:val="00AA25AD"/>
    <w:rsid w:val="00AA25EC"/>
    <w:rsid w:val="00AA26F8"/>
    <w:rsid w:val="00AA274B"/>
    <w:rsid w:val="00AA27C5"/>
    <w:rsid w:val="00AA2AE8"/>
    <w:rsid w:val="00AA2B2D"/>
    <w:rsid w:val="00AA2C98"/>
    <w:rsid w:val="00AA2D39"/>
    <w:rsid w:val="00AA2DB6"/>
    <w:rsid w:val="00AA2E8A"/>
    <w:rsid w:val="00AA31D0"/>
    <w:rsid w:val="00AA32CA"/>
    <w:rsid w:val="00AA33BF"/>
    <w:rsid w:val="00AA34A9"/>
    <w:rsid w:val="00AA350F"/>
    <w:rsid w:val="00AA353F"/>
    <w:rsid w:val="00AA3559"/>
    <w:rsid w:val="00AA3586"/>
    <w:rsid w:val="00AA35B4"/>
    <w:rsid w:val="00AA3603"/>
    <w:rsid w:val="00AA38F4"/>
    <w:rsid w:val="00AA3945"/>
    <w:rsid w:val="00AA3946"/>
    <w:rsid w:val="00AA39DA"/>
    <w:rsid w:val="00AA3B49"/>
    <w:rsid w:val="00AA3B57"/>
    <w:rsid w:val="00AA3C87"/>
    <w:rsid w:val="00AA3C9D"/>
    <w:rsid w:val="00AA3D53"/>
    <w:rsid w:val="00AA3D82"/>
    <w:rsid w:val="00AA41B9"/>
    <w:rsid w:val="00AA437D"/>
    <w:rsid w:val="00AA43D4"/>
    <w:rsid w:val="00AA4405"/>
    <w:rsid w:val="00AA44F6"/>
    <w:rsid w:val="00AA45B9"/>
    <w:rsid w:val="00AA45D3"/>
    <w:rsid w:val="00AA463E"/>
    <w:rsid w:val="00AA46EC"/>
    <w:rsid w:val="00AA46F0"/>
    <w:rsid w:val="00AA47B4"/>
    <w:rsid w:val="00AA48CC"/>
    <w:rsid w:val="00AA49C2"/>
    <w:rsid w:val="00AA4AD3"/>
    <w:rsid w:val="00AA4AEC"/>
    <w:rsid w:val="00AA4BC2"/>
    <w:rsid w:val="00AA4C63"/>
    <w:rsid w:val="00AA4DB7"/>
    <w:rsid w:val="00AA4DD2"/>
    <w:rsid w:val="00AA4E1F"/>
    <w:rsid w:val="00AA4E64"/>
    <w:rsid w:val="00AA4F39"/>
    <w:rsid w:val="00AA5069"/>
    <w:rsid w:val="00AA51B6"/>
    <w:rsid w:val="00AA5223"/>
    <w:rsid w:val="00AA53A5"/>
    <w:rsid w:val="00AA540B"/>
    <w:rsid w:val="00AA5443"/>
    <w:rsid w:val="00AA55A6"/>
    <w:rsid w:val="00AA55EE"/>
    <w:rsid w:val="00AA5777"/>
    <w:rsid w:val="00AA5C4F"/>
    <w:rsid w:val="00AA5C64"/>
    <w:rsid w:val="00AA5CF6"/>
    <w:rsid w:val="00AA5D7D"/>
    <w:rsid w:val="00AA5EBF"/>
    <w:rsid w:val="00AA5F1A"/>
    <w:rsid w:val="00AA602B"/>
    <w:rsid w:val="00AA603A"/>
    <w:rsid w:val="00AA607B"/>
    <w:rsid w:val="00AA60DC"/>
    <w:rsid w:val="00AA64CC"/>
    <w:rsid w:val="00AA657B"/>
    <w:rsid w:val="00AA6586"/>
    <w:rsid w:val="00AA65E0"/>
    <w:rsid w:val="00AA65E1"/>
    <w:rsid w:val="00AA65F3"/>
    <w:rsid w:val="00AA685A"/>
    <w:rsid w:val="00AA68EA"/>
    <w:rsid w:val="00AA698D"/>
    <w:rsid w:val="00AA6C3C"/>
    <w:rsid w:val="00AA6E92"/>
    <w:rsid w:val="00AA6F3D"/>
    <w:rsid w:val="00AA70C8"/>
    <w:rsid w:val="00AA7225"/>
    <w:rsid w:val="00AA722A"/>
    <w:rsid w:val="00AA72AB"/>
    <w:rsid w:val="00AA7378"/>
    <w:rsid w:val="00AA7398"/>
    <w:rsid w:val="00AA73C3"/>
    <w:rsid w:val="00AA756E"/>
    <w:rsid w:val="00AA7599"/>
    <w:rsid w:val="00AA75F7"/>
    <w:rsid w:val="00AA76F1"/>
    <w:rsid w:val="00AA7713"/>
    <w:rsid w:val="00AA77C8"/>
    <w:rsid w:val="00AA7877"/>
    <w:rsid w:val="00AA788A"/>
    <w:rsid w:val="00AA78AD"/>
    <w:rsid w:val="00AA78B4"/>
    <w:rsid w:val="00AA7968"/>
    <w:rsid w:val="00AA7980"/>
    <w:rsid w:val="00AA7984"/>
    <w:rsid w:val="00AA79D6"/>
    <w:rsid w:val="00AA79EB"/>
    <w:rsid w:val="00AA7A74"/>
    <w:rsid w:val="00AA7BDC"/>
    <w:rsid w:val="00AA7DB5"/>
    <w:rsid w:val="00AA7DEE"/>
    <w:rsid w:val="00AA7E3A"/>
    <w:rsid w:val="00AB00F1"/>
    <w:rsid w:val="00AB02D5"/>
    <w:rsid w:val="00AB051B"/>
    <w:rsid w:val="00AB0615"/>
    <w:rsid w:val="00AB0623"/>
    <w:rsid w:val="00AB062B"/>
    <w:rsid w:val="00AB067C"/>
    <w:rsid w:val="00AB0693"/>
    <w:rsid w:val="00AB06BA"/>
    <w:rsid w:val="00AB06E0"/>
    <w:rsid w:val="00AB073E"/>
    <w:rsid w:val="00AB0882"/>
    <w:rsid w:val="00AB0940"/>
    <w:rsid w:val="00AB0950"/>
    <w:rsid w:val="00AB0989"/>
    <w:rsid w:val="00AB09A8"/>
    <w:rsid w:val="00AB0AAB"/>
    <w:rsid w:val="00AB0C47"/>
    <w:rsid w:val="00AB0C69"/>
    <w:rsid w:val="00AB0D63"/>
    <w:rsid w:val="00AB0E42"/>
    <w:rsid w:val="00AB0FC2"/>
    <w:rsid w:val="00AB1041"/>
    <w:rsid w:val="00AB11AC"/>
    <w:rsid w:val="00AB13AF"/>
    <w:rsid w:val="00AB14AE"/>
    <w:rsid w:val="00AB14D7"/>
    <w:rsid w:val="00AB156F"/>
    <w:rsid w:val="00AB164D"/>
    <w:rsid w:val="00AB16B0"/>
    <w:rsid w:val="00AB16C6"/>
    <w:rsid w:val="00AB1770"/>
    <w:rsid w:val="00AB177E"/>
    <w:rsid w:val="00AB18CE"/>
    <w:rsid w:val="00AB18E9"/>
    <w:rsid w:val="00AB197E"/>
    <w:rsid w:val="00AB19E0"/>
    <w:rsid w:val="00AB1A0E"/>
    <w:rsid w:val="00AB1A13"/>
    <w:rsid w:val="00AB1B45"/>
    <w:rsid w:val="00AB1C4B"/>
    <w:rsid w:val="00AB1C77"/>
    <w:rsid w:val="00AB1D66"/>
    <w:rsid w:val="00AB1EEC"/>
    <w:rsid w:val="00AB1F4A"/>
    <w:rsid w:val="00AB2027"/>
    <w:rsid w:val="00AB20F6"/>
    <w:rsid w:val="00AB21E3"/>
    <w:rsid w:val="00AB221D"/>
    <w:rsid w:val="00AB2273"/>
    <w:rsid w:val="00AB2316"/>
    <w:rsid w:val="00AB240C"/>
    <w:rsid w:val="00AB2464"/>
    <w:rsid w:val="00AB2477"/>
    <w:rsid w:val="00AB24C5"/>
    <w:rsid w:val="00AB255A"/>
    <w:rsid w:val="00AB258E"/>
    <w:rsid w:val="00AB25BF"/>
    <w:rsid w:val="00AB2786"/>
    <w:rsid w:val="00AB27B4"/>
    <w:rsid w:val="00AB290E"/>
    <w:rsid w:val="00AB29E8"/>
    <w:rsid w:val="00AB2A3F"/>
    <w:rsid w:val="00AB2A40"/>
    <w:rsid w:val="00AB2A5F"/>
    <w:rsid w:val="00AB2AB7"/>
    <w:rsid w:val="00AB2C20"/>
    <w:rsid w:val="00AB2D76"/>
    <w:rsid w:val="00AB2E87"/>
    <w:rsid w:val="00AB2E9D"/>
    <w:rsid w:val="00AB2FF8"/>
    <w:rsid w:val="00AB3173"/>
    <w:rsid w:val="00AB31BC"/>
    <w:rsid w:val="00AB31EC"/>
    <w:rsid w:val="00AB37CB"/>
    <w:rsid w:val="00AB3BA8"/>
    <w:rsid w:val="00AB3C10"/>
    <w:rsid w:val="00AB3CFF"/>
    <w:rsid w:val="00AB3D7C"/>
    <w:rsid w:val="00AB3DE5"/>
    <w:rsid w:val="00AB3E40"/>
    <w:rsid w:val="00AB3F32"/>
    <w:rsid w:val="00AB3FBA"/>
    <w:rsid w:val="00AB421A"/>
    <w:rsid w:val="00AB424B"/>
    <w:rsid w:val="00AB4476"/>
    <w:rsid w:val="00AB44CD"/>
    <w:rsid w:val="00AB461C"/>
    <w:rsid w:val="00AB4783"/>
    <w:rsid w:val="00AB47DC"/>
    <w:rsid w:val="00AB4AFF"/>
    <w:rsid w:val="00AB4E79"/>
    <w:rsid w:val="00AB4E8E"/>
    <w:rsid w:val="00AB4E9F"/>
    <w:rsid w:val="00AB4FAC"/>
    <w:rsid w:val="00AB4FFD"/>
    <w:rsid w:val="00AB503F"/>
    <w:rsid w:val="00AB506E"/>
    <w:rsid w:val="00AB5108"/>
    <w:rsid w:val="00AB52E2"/>
    <w:rsid w:val="00AB5412"/>
    <w:rsid w:val="00AB5493"/>
    <w:rsid w:val="00AB54D6"/>
    <w:rsid w:val="00AB5666"/>
    <w:rsid w:val="00AB5775"/>
    <w:rsid w:val="00AB5784"/>
    <w:rsid w:val="00AB5885"/>
    <w:rsid w:val="00AB5AE6"/>
    <w:rsid w:val="00AB5AFA"/>
    <w:rsid w:val="00AB5CDF"/>
    <w:rsid w:val="00AB5D0A"/>
    <w:rsid w:val="00AB5F91"/>
    <w:rsid w:val="00AB608F"/>
    <w:rsid w:val="00AB60E2"/>
    <w:rsid w:val="00AB629C"/>
    <w:rsid w:val="00AB6343"/>
    <w:rsid w:val="00AB63B3"/>
    <w:rsid w:val="00AB649B"/>
    <w:rsid w:val="00AB6599"/>
    <w:rsid w:val="00AB6730"/>
    <w:rsid w:val="00AB685C"/>
    <w:rsid w:val="00AB69E7"/>
    <w:rsid w:val="00AB69FC"/>
    <w:rsid w:val="00AB6B3F"/>
    <w:rsid w:val="00AB6BFB"/>
    <w:rsid w:val="00AB6CB2"/>
    <w:rsid w:val="00AB6D1B"/>
    <w:rsid w:val="00AB6D3B"/>
    <w:rsid w:val="00AB6D42"/>
    <w:rsid w:val="00AB6D65"/>
    <w:rsid w:val="00AB6D93"/>
    <w:rsid w:val="00AB6DC5"/>
    <w:rsid w:val="00AB6E87"/>
    <w:rsid w:val="00AB6EC2"/>
    <w:rsid w:val="00AB6EEB"/>
    <w:rsid w:val="00AB6F3D"/>
    <w:rsid w:val="00AB6FFE"/>
    <w:rsid w:val="00AB7026"/>
    <w:rsid w:val="00AB7069"/>
    <w:rsid w:val="00AB71BF"/>
    <w:rsid w:val="00AB768A"/>
    <w:rsid w:val="00AB79BF"/>
    <w:rsid w:val="00AB7A2F"/>
    <w:rsid w:val="00AB7A75"/>
    <w:rsid w:val="00AB7BCB"/>
    <w:rsid w:val="00AB7C91"/>
    <w:rsid w:val="00AB7D60"/>
    <w:rsid w:val="00AC00C4"/>
    <w:rsid w:val="00AC01BF"/>
    <w:rsid w:val="00AC0325"/>
    <w:rsid w:val="00AC0529"/>
    <w:rsid w:val="00AC0582"/>
    <w:rsid w:val="00AC07DD"/>
    <w:rsid w:val="00AC0901"/>
    <w:rsid w:val="00AC098A"/>
    <w:rsid w:val="00AC0A1D"/>
    <w:rsid w:val="00AC0B0B"/>
    <w:rsid w:val="00AC0BE9"/>
    <w:rsid w:val="00AC0CE2"/>
    <w:rsid w:val="00AC0FA7"/>
    <w:rsid w:val="00AC126F"/>
    <w:rsid w:val="00AC12A1"/>
    <w:rsid w:val="00AC141E"/>
    <w:rsid w:val="00AC1736"/>
    <w:rsid w:val="00AC1791"/>
    <w:rsid w:val="00AC190C"/>
    <w:rsid w:val="00AC19AB"/>
    <w:rsid w:val="00AC1B8A"/>
    <w:rsid w:val="00AC1C55"/>
    <w:rsid w:val="00AC1C60"/>
    <w:rsid w:val="00AC1CC7"/>
    <w:rsid w:val="00AC1D22"/>
    <w:rsid w:val="00AC1D2B"/>
    <w:rsid w:val="00AC1D5E"/>
    <w:rsid w:val="00AC1E98"/>
    <w:rsid w:val="00AC20D5"/>
    <w:rsid w:val="00AC210F"/>
    <w:rsid w:val="00AC216D"/>
    <w:rsid w:val="00AC2185"/>
    <w:rsid w:val="00AC2211"/>
    <w:rsid w:val="00AC2609"/>
    <w:rsid w:val="00AC2687"/>
    <w:rsid w:val="00AC27C0"/>
    <w:rsid w:val="00AC27FF"/>
    <w:rsid w:val="00AC2856"/>
    <w:rsid w:val="00AC2982"/>
    <w:rsid w:val="00AC2A31"/>
    <w:rsid w:val="00AC2AD1"/>
    <w:rsid w:val="00AC2B92"/>
    <w:rsid w:val="00AC2C8D"/>
    <w:rsid w:val="00AC2CBE"/>
    <w:rsid w:val="00AC2CDA"/>
    <w:rsid w:val="00AC2D00"/>
    <w:rsid w:val="00AC2D78"/>
    <w:rsid w:val="00AC2ECB"/>
    <w:rsid w:val="00AC2F7B"/>
    <w:rsid w:val="00AC2F92"/>
    <w:rsid w:val="00AC2FA2"/>
    <w:rsid w:val="00AC3010"/>
    <w:rsid w:val="00AC306A"/>
    <w:rsid w:val="00AC315E"/>
    <w:rsid w:val="00AC319E"/>
    <w:rsid w:val="00AC31C1"/>
    <w:rsid w:val="00AC3283"/>
    <w:rsid w:val="00AC328F"/>
    <w:rsid w:val="00AC34F9"/>
    <w:rsid w:val="00AC3508"/>
    <w:rsid w:val="00AC3515"/>
    <w:rsid w:val="00AC35FD"/>
    <w:rsid w:val="00AC3685"/>
    <w:rsid w:val="00AC3D80"/>
    <w:rsid w:val="00AC3D8A"/>
    <w:rsid w:val="00AC3F2E"/>
    <w:rsid w:val="00AC3F70"/>
    <w:rsid w:val="00AC4142"/>
    <w:rsid w:val="00AC42ED"/>
    <w:rsid w:val="00AC43AD"/>
    <w:rsid w:val="00AC4418"/>
    <w:rsid w:val="00AC446F"/>
    <w:rsid w:val="00AC4659"/>
    <w:rsid w:val="00AC480C"/>
    <w:rsid w:val="00AC48B8"/>
    <w:rsid w:val="00AC4A25"/>
    <w:rsid w:val="00AC4BB9"/>
    <w:rsid w:val="00AC4BE9"/>
    <w:rsid w:val="00AC4CC2"/>
    <w:rsid w:val="00AC4CD1"/>
    <w:rsid w:val="00AC4CDC"/>
    <w:rsid w:val="00AC4E1E"/>
    <w:rsid w:val="00AC4E48"/>
    <w:rsid w:val="00AC4F07"/>
    <w:rsid w:val="00AC549A"/>
    <w:rsid w:val="00AC5805"/>
    <w:rsid w:val="00AC589C"/>
    <w:rsid w:val="00AC5969"/>
    <w:rsid w:val="00AC5AAA"/>
    <w:rsid w:val="00AC5B1B"/>
    <w:rsid w:val="00AC5BF6"/>
    <w:rsid w:val="00AC5D5A"/>
    <w:rsid w:val="00AC5D6E"/>
    <w:rsid w:val="00AC5DFF"/>
    <w:rsid w:val="00AC5F2C"/>
    <w:rsid w:val="00AC5F2F"/>
    <w:rsid w:val="00AC6219"/>
    <w:rsid w:val="00AC624F"/>
    <w:rsid w:val="00AC6393"/>
    <w:rsid w:val="00AC63D5"/>
    <w:rsid w:val="00AC6462"/>
    <w:rsid w:val="00AC6564"/>
    <w:rsid w:val="00AC682C"/>
    <w:rsid w:val="00AC6840"/>
    <w:rsid w:val="00AC69B6"/>
    <w:rsid w:val="00AC69F3"/>
    <w:rsid w:val="00AC6B5A"/>
    <w:rsid w:val="00AC6B8D"/>
    <w:rsid w:val="00AC6BCD"/>
    <w:rsid w:val="00AC6C7E"/>
    <w:rsid w:val="00AC6DF1"/>
    <w:rsid w:val="00AC6E6B"/>
    <w:rsid w:val="00AC6F02"/>
    <w:rsid w:val="00AC6F53"/>
    <w:rsid w:val="00AC6F7A"/>
    <w:rsid w:val="00AC71D8"/>
    <w:rsid w:val="00AC7449"/>
    <w:rsid w:val="00AC764D"/>
    <w:rsid w:val="00AC7665"/>
    <w:rsid w:val="00AC768A"/>
    <w:rsid w:val="00AC76CD"/>
    <w:rsid w:val="00AC7812"/>
    <w:rsid w:val="00AC79B1"/>
    <w:rsid w:val="00AC79BB"/>
    <w:rsid w:val="00AC79CC"/>
    <w:rsid w:val="00AC7B13"/>
    <w:rsid w:val="00AC7BEC"/>
    <w:rsid w:val="00AC7C71"/>
    <w:rsid w:val="00AC7D5E"/>
    <w:rsid w:val="00AC7D89"/>
    <w:rsid w:val="00AC7E30"/>
    <w:rsid w:val="00AC7E91"/>
    <w:rsid w:val="00AC7EBA"/>
    <w:rsid w:val="00AD00DB"/>
    <w:rsid w:val="00AD0326"/>
    <w:rsid w:val="00AD0439"/>
    <w:rsid w:val="00AD04F4"/>
    <w:rsid w:val="00AD05BB"/>
    <w:rsid w:val="00AD06BC"/>
    <w:rsid w:val="00AD07C0"/>
    <w:rsid w:val="00AD09B3"/>
    <w:rsid w:val="00AD09F1"/>
    <w:rsid w:val="00AD0A27"/>
    <w:rsid w:val="00AD0CF7"/>
    <w:rsid w:val="00AD0EB3"/>
    <w:rsid w:val="00AD1037"/>
    <w:rsid w:val="00AD1058"/>
    <w:rsid w:val="00AD129A"/>
    <w:rsid w:val="00AD173C"/>
    <w:rsid w:val="00AD1B91"/>
    <w:rsid w:val="00AD1C0D"/>
    <w:rsid w:val="00AD1C47"/>
    <w:rsid w:val="00AD1CA1"/>
    <w:rsid w:val="00AD1FDE"/>
    <w:rsid w:val="00AD2025"/>
    <w:rsid w:val="00AD20A6"/>
    <w:rsid w:val="00AD21A1"/>
    <w:rsid w:val="00AD222C"/>
    <w:rsid w:val="00AD2294"/>
    <w:rsid w:val="00AD22F9"/>
    <w:rsid w:val="00AD23F8"/>
    <w:rsid w:val="00AD2959"/>
    <w:rsid w:val="00AD296E"/>
    <w:rsid w:val="00AD2AC9"/>
    <w:rsid w:val="00AD2ADC"/>
    <w:rsid w:val="00AD2AED"/>
    <w:rsid w:val="00AD2D4E"/>
    <w:rsid w:val="00AD2E99"/>
    <w:rsid w:val="00AD30A0"/>
    <w:rsid w:val="00AD327B"/>
    <w:rsid w:val="00AD34F4"/>
    <w:rsid w:val="00AD353F"/>
    <w:rsid w:val="00AD3599"/>
    <w:rsid w:val="00AD35A3"/>
    <w:rsid w:val="00AD3708"/>
    <w:rsid w:val="00AD370D"/>
    <w:rsid w:val="00AD386C"/>
    <w:rsid w:val="00AD3B07"/>
    <w:rsid w:val="00AD3B7F"/>
    <w:rsid w:val="00AD3C50"/>
    <w:rsid w:val="00AD3DC0"/>
    <w:rsid w:val="00AD3E06"/>
    <w:rsid w:val="00AD3F5E"/>
    <w:rsid w:val="00AD3FC6"/>
    <w:rsid w:val="00AD409B"/>
    <w:rsid w:val="00AD4590"/>
    <w:rsid w:val="00AD45F6"/>
    <w:rsid w:val="00AD466C"/>
    <w:rsid w:val="00AD47E6"/>
    <w:rsid w:val="00AD48ED"/>
    <w:rsid w:val="00AD494E"/>
    <w:rsid w:val="00AD4978"/>
    <w:rsid w:val="00AD49B2"/>
    <w:rsid w:val="00AD4A03"/>
    <w:rsid w:val="00AD4A42"/>
    <w:rsid w:val="00AD4AB2"/>
    <w:rsid w:val="00AD4BE5"/>
    <w:rsid w:val="00AD4C9E"/>
    <w:rsid w:val="00AD4DE2"/>
    <w:rsid w:val="00AD4ED4"/>
    <w:rsid w:val="00AD4F0A"/>
    <w:rsid w:val="00AD50AD"/>
    <w:rsid w:val="00AD50BA"/>
    <w:rsid w:val="00AD5102"/>
    <w:rsid w:val="00AD5103"/>
    <w:rsid w:val="00AD5217"/>
    <w:rsid w:val="00AD5287"/>
    <w:rsid w:val="00AD535C"/>
    <w:rsid w:val="00AD54BF"/>
    <w:rsid w:val="00AD54F7"/>
    <w:rsid w:val="00AD56CB"/>
    <w:rsid w:val="00AD56DC"/>
    <w:rsid w:val="00AD57ED"/>
    <w:rsid w:val="00AD58AF"/>
    <w:rsid w:val="00AD58BC"/>
    <w:rsid w:val="00AD5991"/>
    <w:rsid w:val="00AD5A22"/>
    <w:rsid w:val="00AD5A30"/>
    <w:rsid w:val="00AD5A8A"/>
    <w:rsid w:val="00AD5C69"/>
    <w:rsid w:val="00AD5C95"/>
    <w:rsid w:val="00AD5EEC"/>
    <w:rsid w:val="00AD5F24"/>
    <w:rsid w:val="00AD5FE2"/>
    <w:rsid w:val="00AD60BA"/>
    <w:rsid w:val="00AD60D1"/>
    <w:rsid w:val="00AD6131"/>
    <w:rsid w:val="00AD6137"/>
    <w:rsid w:val="00AD6146"/>
    <w:rsid w:val="00AD621E"/>
    <w:rsid w:val="00AD6410"/>
    <w:rsid w:val="00AD6531"/>
    <w:rsid w:val="00AD65F8"/>
    <w:rsid w:val="00AD66BE"/>
    <w:rsid w:val="00AD66D9"/>
    <w:rsid w:val="00AD675E"/>
    <w:rsid w:val="00AD6AD3"/>
    <w:rsid w:val="00AD6CD8"/>
    <w:rsid w:val="00AD6D52"/>
    <w:rsid w:val="00AD6E42"/>
    <w:rsid w:val="00AD6E4D"/>
    <w:rsid w:val="00AD6E9B"/>
    <w:rsid w:val="00AD720B"/>
    <w:rsid w:val="00AD7212"/>
    <w:rsid w:val="00AD722A"/>
    <w:rsid w:val="00AD7286"/>
    <w:rsid w:val="00AD7391"/>
    <w:rsid w:val="00AD73E2"/>
    <w:rsid w:val="00AD75A2"/>
    <w:rsid w:val="00AD7718"/>
    <w:rsid w:val="00AD7756"/>
    <w:rsid w:val="00AD77F2"/>
    <w:rsid w:val="00AD780C"/>
    <w:rsid w:val="00AD78CE"/>
    <w:rsid w:val="00AD796F"/>
    <w:rsid w:val="00AD7A23"/>
    <w:rsid w:val="00AD7B74"/>
    <w:rsid w:val="00AD7BC1"/>
    <w:rsid w:val="00AD7F4A"/>
    <w:rsid w:val="00AD7F90"/>
    <w:rsid w:val="00AD7FE9"/>
    <w:rsid w:val="00AE00B7"/>
    <w:rsid w:val="00AE023B"/>
    <w:rsid w:val="00AE031B"/>
    <w:rsid w:val="00AE0356"/>
    <w:rsid w:val="00AE04BC"/>
    <w:rsid w:val="00AE0629"/>
    <w:rsid w:val="00AE0961"/>
    <w:rsid w:val="00AE09FB"/>
    <w:rsid w:val="00AE0A2D"/>
    <w:rsid w:val="00AE0AA9"/>
    <w:rsid w:val="00AE0B90"/>
    <w:rsid w:val="00AE0B9C"/>
    <w:rsid w:val="00AE0C6F"/>
    <w:rsid w:val="00AE0C90"/>
    <w:rsid w:val="00AE0CCB"/>
    <w:rsid w:val="00AE0CCF"/>
    <w:rsid w:val="00AE0ED0"/>
    <w:rsid w:val="00AE113C"/>
    <w:rsid w:val="00AE117E"/>
    <w:rsid w:val="00AE13F5"/>
    <w:rsid w:val="00AE1529"/>
    <w:rsid w:val="00AE152B"/>
    <w:rsid w:val="00AE1716"/>
    <w:rsid w:val="00AE1723"/>
    <w:rsid w:val="00AE17AF"/>
    <w:rsid w:val="00AE1B01"/>
    <w:rsid w:val="00AE1C3C"/>
    <w:rsid w:val="00AE1C48"/>
    <w:rsid w:val="00AE1E90"/>
    <w:rsid w:val="00AE1ECB"/>
    <w:rsid w:val="00AE1FC0"/>
    <w:rsid w:val="00AE20D4"/>
    <w:rsid w:val="00AE2222"/>
    <w:rsid w:val="00AE2235"/>
    <w:rsid w:val="00AE225E"/>
    <w:rsid w:val="00AE22AA"/>
    <w:rsid w:val="00AE2354"/>
    <w:rsid w:val="00AE250E"/>
    <w:rsid w:val="00AE2511"/>
    <w:rsid w:val="00AE25D0"/>
    <w:rsid w:val="00AE28E4"/>
    <w:rsid w:val="00AE29A1"/>
    <w:rsid w:val="00AE29E5"/>
    <w:rsid w:val="00AE2AA5"/>
    <w:rsid w:val="00AE2AF7"/>
    <w:rsid w:val="00AE2B51"/>
    <w:rsid w:val="00AE2B5B"/>
    <w:rsid w:val="00AE2E54"/>
    <w:rsid w:val="00AE309D"/>
    <w:rsid w:val="00AE30E4"/>
    <w:rsid w:val="00AE313D"/>
    <w:rsid w:val="00AE342A"/>
    <w:rsid w:val="00AE3455"/>
    <w:rsid w:val="00AE3523"/>
    <w:rsid w:val="00AE3533"/>
    <w:rsid w:val="00AE3593"/>
    <w:rsid w:val="00AE35A0"/>
    <w:rsid w:val="00AE3739"/>
    <w:rsid w:val="00AE3A1E"/>
    <w:rsid w:val="00AE3AA3"/>
    <w:rsid w:val="00AE3B26"/>
    <w:rsid w:val="00AE3B48"/>
    <w:rsid w:val="00AE3BD7"/>
    <w:rsid w:val="00AE3CF7"/>
    <w:rsid w:val="00AE3D37"/>
    <w:rsid w:val="00AE3D9A"/>
    <w:rsid w:val="00AE3E86"/>
    <w:rsid w:val="00AE3EB3"/>
    <w:rsid w:val="00AE42BD"/>
    <w:rsid w:val="00AE4395"/>
    <w:rsid w:val="00AE4420"/>
    <w:rsid w:val="00AE4424"/>
    <w:rsid w:val="00AE45BD"/>
    <w:rsid w:val="00AE4673"/>
    <w:rsid w:val="00AE4803"/>
    <w:rsid w:val="00AE483A"/>
    <w:rsid w:val="00AE48B3"/>
    <w:rsid w:val="00AE4A30"/>
    <w:rsid w:val="00AE4A8E"/>
    <w:rsid w:val="00AE4AC3"/>
    <w:rsid w:val="00AE4C5A"/>
    <w:rsid w:val="00AE500D"/>
    <w:rsid w:val="00AE50E8"/>
    <w:rsid w:val="00AE50FD"/>
    <w:rsid w:val="00AE516E"/>
    <w:rsid w:val="00AE52D9"/>
    <w:rsid w:val="00AE536E"/>
    <w:rsid w:val="00AE560E"/>
    <w:rsid w:val="00AE5700"/>
    <w:rsid w:val="00AE5767"/>
    <w:rsid w:val="00AE578C"/>
    <w:rsid w:val="00AE58EE"/>
    <w:rsid w:val="00AE5AF9"/>
    <w:rsid w:val="00AE5D92"/>
    <w:rsid w:val="00AE5EC0"/>
    <w:rsid w:val="00AE5F32"/>
    <w:rsid w:val="00AE5F4E"/>
    <w:rsid w:val="00AE6242"/>
    <w:rsid w:val="00AE626E"/>
    <w:rsid w:val="00AE62F6"/>
    <w:rsid w:val="00AE638C"/>
    <w:rsid w:val="00AE63DD"/>
    <w:rsid w:val="00AE6898"/>
    <w:rsid w:val="00AE68D3"/>
    <w:rsid w:val="00AE68D7"/>
    <w:rsid w:val="00AE68F7"/>
    <w:rsid w:val="00AE69A7"/>
    <w:rsid w:val="00AE69E3"/>
    <w:rsid w:val="00AE69F1"/>
    <w:rsid w:val="00AE6A2B"/>
    <w:rsid w:val="00AE6A7B"/>
    <w:rsid w:val="00AE6CD0"/>
    <w:rsid w:val="00AE6EAA"/>
    <w:rsid w:val="00AE70EA"/>
    <w:rsid w:val="00AE7277"/>
    <w:rsid w:val="00AE734F"/>
    <w:rsid w:val="00AE737C"/>
    <w:rsid w:val="00AE7427"/>
    <w:rsid w:val="00AE74F5"/>
    <w:rsid w:val="00AE764C"/>
    <w:rsid w:val="00AE7661"/>
    <w:rsid w:val="00AE7840"/>
    <w:rsid w:val="00AE7A67"/>
    <w:rsid w:val="00AE7B68"/>
    <w:rsid w:val="00AE7C1A"/>
    <w:rsid w:val="00AE7D52"/>
    <w:rsid w:val="00AE7DF2"/>
    <w:rsid w:val="00AE7E44"/>
    <w:rsid w:val="00AE7F76"/>
    <w:rsid w:val="00AE7F77"/>
    <w:rsid w:val="00AE7F9F"/>
    <w:rsid w:val="00AF0275"/>
    <w:rsid w:val="00AF0308"/>
    <w:rsid w:val="00AF03A2"/>
    <w:rsid w:val="00AF0641"/>
    <w:rsid w:val="00AF0647"/>
    <w:rsid w:val="00AF067A"/>
    <w:rsid w:val="00AF06B2"/>
    <w:rsid w:val="00AF0700"/>
    <w:rsid w:val="00AF07B2"/>
    <w:rsid w:val="00AF09E9"/>
    <w:rsid w:val="00AF0AA2"/>
    <w:rsid w:val="00AF109E"/>
    <w:rsid w:val="00AF11FD"/>
    <w:rsid w:val="00AF1216"/>
    <w:rsid w:val="00AF12C6"/>
    <w:rsid w:val="00AF13E4"/>
    <w:rsid w:val="00AF1480"/>
    <w:rsid w:val="00AF1488"/>
    <w:rsid w:val="00AF14A4"/>
    <w:rsid w:val="00AF14BF"/>
    <w:rsid w:val="00AF1519"/>
    <w:rsid w:val="00AF1664"/>
    <w:rsid w:val="00AF179E"/>
    <w:rsid w:val="00AF1828"/>
    <w:rsid w:val="00AF1877"/>
    <w:rsid w:val="00AF18AB"/>
    <w:rsid w:val="00AF199C"/>
    <w:rsid w:val="00AF1A2D"/>
    <w:rsid w:val="00AF1D7C"/>
    <w:rsid w:val="00AF1DDA"/>
    <w:rsid w:val="00AF1E4E"/>
    <w:rsid w:val="00AF1E60"/>
    <w:rsid w:val="00AF2167"/>
    <w:rsid w:val="00AF25CD"/>
    <w:rsid w:val="00AF2656"/>
    <w:rsid w:val="00AF265D"/>
    <w:rsid w:val="00AF26E8"/>
    <w:rsid w:val="00AF2738"/>
    <w:rsid w:val="00AF275A"/>
    <w:rsid w:val="00AF27D5"/>
    <w:rsid w:val="00AF28FA"/>
    <w:rsid w:val="00AF2925"/>
    <w:rsid w:val="00AF294A"/>
    <w:rsid w:val="00AF2970"/>
    <w:rsid w:val="00AF29A5"/>
    <w:rsid w:val="00AF29E6"/>
    <w:rsid w:val="00AF2A4B"/>
    <w:rsid w:val="00AF2ADA"/>
    <w:rsid w:val="00AF2C0B"/>
    <w:rsid w:val="00AF2CCF"/>
    <w:rsid w:val="00AF2DA7"/>
    <w:rsid w:val="00AF2DBC"/>
    <w:rsid w:val="00AF2FCC"/>
    <w:rsid w:val="00AF300E"/>
    <w:rsid w:val="00AF3126"/>
    <w:rsid w:val="00AF32B2"/>
    <w:rsid w:val="00AF35A5"/>
    <w:rsid w:val="00AF3795"/>
    <w:rsid w:val="00AF3824"/>
    <w:rsid w:val="00AF3AA9"/>
    <w:rsid w:val="00AF3B2A"/>
    <w:rsid w:val="00AF3B6E"/>
    <w:rsid w:val="00AF3BD7"/>
    <w:rsid w:val="00AF3CB4"/>
    <w:rsid w:val="00AF3D42"/>
    <w:rsid w:val="00AF3D55"/>
    <w:rsid w:val="00AF3D60"/>
    <w:rsid w:val="00AF3DFE"/>
    <w:rsid w:val="00AF3E8F"/>
    <w:rsid w:val="00AF4019"/>
    <w:rsid w:val="00AF411F"/>
    <w:rsid w:val="00AF414F"/>
    <w:rsid w:val="00AF4170"/>
    <w:rsid w:val="00AF44F1"/>
    <w:rsid w:val="00AF45C9"/>
    <w:rsid w:val="00AF47BE"/>
    <w:rsid w:val="00AF48C4"/>
    <w:rsid w:val="00AF48F1"/>
    <w:rsid w:val="00AF4965"/>
    <w:rsid w:val="00AF4CDA"/>
    <w:rsid w:val="00AF4CDE"/>
    <w:rsid w:val="00AF4CFE"/>
    <w:rsid w:val="00AF4D02"/>
    <w:rsid w:val="00AF4DBF"/>
    <w:rsid w:val="00AF4ECB"/>
    <w:rsid w:val="00AF4FD5"/>
    <w:rsid w:val="00AF50F4"/>
    <w:rsid w:val="00AF51B6"/>
    <w:rsid w:val="00AF5230"/>
    <w:rsid w:val="00AF53E2"/>
    <w:rsid w:val="00AF5403"/>
    <w:rsid w:val="00AF5500"/>
    <w:rsid w:val="00AF5789"/>
    <w:rsid w:val="00AF57E0"/>
    <w:rsid w:val="00AF584A"/>
    <w:rsid w:val="00AF5991"/>
    <w:rsid w:val="00AF5A78"/>
    <w:rsid w:val="00AF5A7E"/>
    <w:rsid w:val="00AF5A84"/>
    <w:rsid w:val="00AF5ACD"/>
    <w:rsid w:val="00AF5B9A"/>
    <w:rsid w:val="00AF5BBF"/>
    <w:rsid w:val="00AF5C62"/>
    <w:rsid w:val="00AF5C8A"/>
    <w:rsid w:val="00AF5D51"/>
    <w:rsid w:val="00AF5DDA"/>
    <w:rsid w:val="00AF5FA7"/>
    <w:rsid w:val="00AF60EA"/>
    <w:rsid w:val="00AF6110"/>
    <w:rsid w:val="00AF621C"/>
    <w:rsid w:val="00AF6226"/>
    <w:rsid w:val="00AF62BE"/>
    <w:rsid w:val="00AF63E9"/>
    <w:rsid w:val="00AF6425"/>
    <w:rsid w:val="00AF646E"/>
    <w:rsid w:val="00AF6572"/>
    <w:rsid w:val="00AF67B5"/>
    <w:rsid w:val="00AF685C"/>
    <w:rsid w:val="00AF685D"/>
    <w:rsid w:val="00AF6A83"/>
    <w:rsid w:val="00AF6AC6"/>
    <w:rsid w:val="00AF6B1D"/>
    <w:rsid w:val="00AF6BAB"/>
    <w:rsid w:val="00AF6D9C"/>
    <w:rsid w:val="00AF6E7A"/>
    <w:rsid w:val="00AF7095"/>
    <w:rsid w:val="00AF70D8"/>
    <w:rsid w:val="00AF719C"/>
    <w:rsid w:val="00AF71C9"/>
    <w:rsid w:val="00AF7259"/>
    <w:rsid w:val="00AF72E9"/>
    <w:rsid w:val="00AF770C"/>
    <w:rsid w:val="00AF7807"/>
    <w:rsid w:val="00AF7B76"/>
    <w:rsid w:val="00AF7C67"/>
    <w:rsid w:val="00AF7D24"/>
    <w:rsid w:val="00AF7D59"/>
    <w:rsid w:val="00AF7D99"/>
    <w:rsid w:val="00AF7E82"/>
    <w:rsid w:val="00B00014"/>
    <w:rsid w:val="00B00042"/>
    <w:rsid w:val="00B0011F"/>
    <w:rsid w:val="00B00198"/>
    <w:rsid w:val="00B004E7"/>
    <w:rsid w:val="00B00611"/>
    <w:rsid w:val="00B0066C"/>
    <w:rsid w:val="00B006D8"/>
    <w:rsid w:val="00B00776"/>
    <w:rsid w:val="00B00785"/>
    <w:rsid w:val="00B00821"/>
    <w:rsid w:val="00B00969"/>
    <w:rsid w:val="00B00994"/>
    <w:rsid w:val="00B009F4"/>
    <w:rsid w:val="00B00C0C"/>
    <w:rsid w:val="00B00ED9"/>
    <w:rsid w:val="00B011BD"/>
    <w:rsid w:val="00B013E3"/>
    <w:rsid w:val="00B0185B"/>
    <w:rsid w:val="00B0193F"/>
    <w:rsid w:val="00B01B16"/>
    <w:rsid w:val="00B01CCD"/>
    <w:rsid w:val="00B01CD2"/>
    <w:rsid w:val="00B01CE8"/>
    <w:rsid w:val="00B01D81"/>
    <w:rsid w:val="00B01F1F"/>
    <w:rsid w:val="00B01FC6"/>
    <w:rsid w:val="00B01FF6"/>
    <w:rsid w:val="00B02012"/>
    <w:rsid w:val="00B02141"/>
    <w:rsid w:val="00B02190"/>
    <w:rsid w:val="00B02476"/>
    <w:rsid w:val="00B02493"/>
    <w:rsid w:val="00B024B4"/>
    <w:rsid w:val="00B02533"/>
    <w:rsid w:val="00B025C3"/>
    <w:rsid w:val="00B028AE"/>
    <w:rsid w:val="00B0290D"/>
    <w:rsid w:val="00B02990"/>
    <w:rsid w:val="00B029FE"/>
    <w:rsid w:val="00B02B88"/>
    <w:rsid w:val="00B02DD8"/>
    <w:rsid w:val="00B02FE5"/>
    <w:rsid w:val="00B03037"/>
    <w:rsid w:val="00B030AC"/>
    <w:rsid w:val="00B0334E"/>
    <w:rsid w:val="00B03484"/>
    <w:rsid w:val="00B035CA"/>
    <w:rsid w:val="00B03719"/>
    <w:rsid w:val="00B038BC"/>
    <w:rsid w:val="00B03A01"/>
    <w:rsid w:val="00B03A5A"/>
    <w:rsid w:val="00B03A82"/>
    <w:rsid w:val="00B03B97"/>
    <w:rsid w:val="00B03C51"/>
    <w:rsid w:val="00B03CAD"/>
    <w:rsid w:val="00B03CED"/>
    <w:rsid w:val="00B03EFA"/>
    <w:rsid w:val="00B04329"/>
    <w:rsid w:val="00B04354"/>
    <w:rsid w:val="00B04515"/>
    <w:rsid w:val="00B0461C"/>
    <w:rsid w:val="00B04663"/>
    <w:rsid w:val="00B047A6"/>
    <w:rsid w:val="00B048DB"/>
    <w:rsid w:val="00B04948"/>
    <w:rsid w:val="00B04963"/>
    <w:rsid w:val="00B049C5"/>
    <w:rsid w:val="00B04A43"/>
    <w:rsid w:val="00B04AAA"/>
    <w:rsid w:val="00B04E17"/>
    <w:rsid w:val="00B04FD7"/>
    <w:rsid w:val="00B05003"/>
    <w:rsid w:val="00B050E5"/>
    <w:rsid w:val="00B05316"/>
    <w:rsid w:val="00B0563B"/>
    <w:rsid w:val="00B05684"/>
    <w:rsid w:val="00B05686"/>
    <w:rsid w:val="00B0579E"/>
    <w:rsid w:val="00B05865"/>
    <w:rsid w:val="00B05AC3"/>
    <w:rsid w:val="00B05ACA"/>
    <w:rsid w:val="00B05C35"/>
    <w:rsid w:val="00B05D34"/>
    <w:rsid w:val="00B05D7A"/>
    <w:rsid w:val="00B05E32"/>
    <w:rsid w:val="00B05E56"/>
    <w:rsid w:val="00B05F8C"/>
    <w:rsid w:val="00B060B1"/>
    <w:rsid w:val="00B06224"/>
    <w:rsid w:val="00B06459"/>
    <w:rsid w:val="00B065B9"/>
    <w:rsid w:val="00B067A9"/>
    <w:rsid w:val="00B067BF"/>
    <w:rsid w:val="00B0684A"/>
    <w:rsid w:val="00B069E9"/>
    <w:rsid w:val="00B06A51"/>
    <w:rsid w:val="00B06A74"/>
    <w:rsid w:val="00B06B36"/>
    <w:rsid w:val="00B06BA4"/>
    <w:rsid w:val="00B06BD3"/>
    <w:rsid w:val="00B06BDC"/>
    <w:rsid w:val="00B06C9E"/>
    <w:rsid w:val="00B06CA1"/>
    <w:rsid w:val="00B06E25"/>
    <w:rsid w:val="00B06E29"/>
    <w:rsid w:val="00B07024"/>
    <w:rsid w:val="00B07219"/>
    <w:rsid w:val="00B0731B"/>
    <w:rsid w:val="00B07378"/>
    <w:rsid w:val="00B0748C"/>
    <w:rsid w:val="00B074E2"/>
    <w:rsid w:val="00B0770C"/>
    <w:rsid w:val="00B07725"/>
    <w:rsid w:val="00B07922"/>
    <w:rsid w:val="00B079CB"/>
    <w:rsid w:val="00B079CC"/>
    <w:rsid w:val="00B07A4B"/>
    <w:rsid w:val="00B07BF9"/>
    <w:rsid w:val="00B07D14"/>
    <w:rsid w:val="00B07DB8"/>
    <w:rsid w:val="00B07DC8"/>
    <w:rsid w:val="00B07E41"/>
    <w:rsid w:val="00B07F3B"/>
    <w:rsid w:val="00B10118"/>
    <w:rsid w:val="00B101C7"/>
    <w:rsid w:val="00B101D5"/>
    <w:rsid w:val="00B101E6"/>
    <w:rsid w:val="00B10304"/>
    <w:rsid w:val="00B10367"/>
    <w:rsid w:val="00B10456"/>
    <w:rsid w:val="00B104C1"/>
    <w:rsid w:val="00B10678"/>
    <w:rsid w:val="00B10688"/>
    <w:rsid w:val="00B10737"/>
    <w:rsid w:val="00B107B9"/>
    <w:rsid w:val="00B107C6"/>
    <w:rsid w:val="00B108EB"/>
    <w:rsid w:val="00B10A2B"/>
    <w:rsid w:val="00B10AA8"/>
    <w:rsid w:val="00B10B44"/>
    <w:rsid w:val="00B10BA1"/>
    <w:rsid w:val="00B10BC5"/>
    <w:rsid w:val="00B10CBD"/>
    <w:rsid w:val="00B10D0C"/>
    <w:rsid w:val="00B10D51"/>
    <w:rsid w:val="00B10D6B"/>
    <w:rsid w:val="00B10E69"/>
    <w:rsid w:val="00B10EAF"/>
    <w:rsid w:val="00B10EBD"/>
    <w:rsid w:val="00B10FB7"/>
    <w:rsid w:val="00B110AA"/>
    <w:rsid w:val="00B11125"/>
    <w:rsid w:val="00B11257"/>
    <w:rsid w:val="00B113F3"/>
    <w:rsid w:val="00B11450"/>
    <w:rsid w:val="00B1152E"/>
    <w:rsid w:val="00B115E6"/>
    <w:rsid w:val="00B11706"/>
    <w:rsid w:val="00B117F8"/>
    <w:rsid w:val="00B118CF"/>
    <w:rsid w:val="00B11939"/>
    <w:rsid w:val="00B11A7A"/>
    <w:rsid w:val="00B11B2F"/>
    <w:rsid w:val="00B11B7E"/>
    <w:rsid w:val="00B11BA5"/>
    <w:rsid w:val="00B11BAA"/>
    <w:rsid w:val="00B11BB5"/>
    <w:rsid w:val="00B11BCB"/>
    <w:rsid w:val="00B11BFA"/>
    <w:rsid w:val="00B11C38"/>
    <w:rsid w:val="00B11D09"/>
    <w:rsid w:val="00B11E11"/>
    <w:rsid w:val="00B11E5A"/>
    <w:rsid w:val="00B11FB0"/>
    <w:rsid w:val="00B12137"/>
    <w:rsid w:val="00B12297"/>
    <w:rsid w:val="00B1232A"/>
    <w:rsid w:val="00B124B3"/>
    <w:rsid w:val="00B1252B"/>
    <w:rsid w:val="00B12610"/>
    <w:rsid w:val="00B1271B"/>
    <w:rsid w:val="00B12C1C"/>
    <w:rsid w:val="00B12CDA"/>
    <w:rsid w:val="00B12D4C"/>
    <w:rsid w:val="00B12D55"/>
    <w:rsid w:val="00B12ED0"/>
    <w:rsid w:val="00B13000"/>
    <w:rsid w:val="00B1300C"/>
    <w:rsid w:val="00B13013"/>
    <w:rsid w:val="00B130FC"/>
    <w:rsid w:val="00B1315F"/>
    <w:rsid w:val="00B131E8"/>
    <w:rsid w:val="00B131FD"/>
    <w:rsid w:val="00B1325A"/>
    <w:rsid w:val="00B132D9"/>
    <w:rsid w:val="00B1331C"/>
    <w:rsid w:val="00B1361C"/>
    <w:rsid w:val="00B13670"/>
    <w:rsid w:val="00B1372B"/>
    <w:rsid w:val="00B13AE1"/>
    <w:rsid w:val="00B13C94"/>
    <w:rsid w:val="00B13DCB"/>
    <w:rsid w:val="00B13EDE"/>
    <w:rsid w:val="00B13F0B"/>
    <w:rsid w:val="00B141C6"/>
    <w:rsid w:val="00B141E6"/>
    <w:rsid w:val="00B14583"/>
    <w:rsid w:val="00B148B6"/>
    <w:rsid w:val="00B14941"/>
    <w:rsid w:val="00B14AB0"/>
    <w:rsid w:val="00B14ADB"/>
    <w:rsid w:val="00B14BB1"/>
    <w:rsid w:val="00B14C7A"/>
    <w:rsid w:val="00B14EE5"/>
    <w:rsid w:val="00B14F76"/>
    <w:rsid w:val="00B14FEF"/>
    <w:rsid w:val="00B15096"/>
    <w:rsid w:val="00B150C1"/>
    <w:rsid w:val="00B1530D"/>
    <w:rsid w:val="00B15369"/>
    <w:rsid w:val="00B153D2"/>
    <w:rsid w:val="00B154F0"/>
    <w:rsid w:val="00B15676"/>
    <w:rsid w:val="00B157A5"/>
    <w:rsid w:val="00B157B6"/>
    <w:rsid w:val="00B15B14"/>
    <w:rsid w:val="00B15B1B"/>
    <w:rsid w:val="00B15BA3"/>
    <w:rsid w:val="00B15BAF"/>
    <w:rsid w:val="00B15CD1"/>
    <w:rsid w:val="00B15DFC"/>
    <w:rsid w:val="00B15ED6"/>
    <w:rsid w:val="00B15F96"/>
    <w:rsid w:val="00B15FAB"/>
    <w:rsid w:val="00B160CA"/>
    <w:rsid w:val="00B160CF"/>
    <w:rsid w:val="00B16126"/>
    <w:rsid w:val="00B16350"/>
    <w:rsid w:val="00B16420"/>
    <w:rsid w:val="00B164E0"/>
    <w:rsid w:val="00B168CC"/>
    <w:rsid w:val="00B169F4"/>
    <w:rsid w:val="00B16A75"/>
    <w:rsid w:val="00B16B07"/>
    <w:rsid w:val="00B16BCB"/>
    <w:rsid w:val="00B16D7F"/>
    <w:rsid w:val="00B16D88"/>
    <w:rsid w:val="00B16DE0"/>
    <w:rsid w:val="00B16F6B"/>
    <w:rsid w:val="00B17247"/>
    <w:rsid w:val="00B1744E"/>
    <w:rsid w:val="00B17883"/>
    <w:rsid w:val="00B17A9E"/>
    <w:rsid w:val="00B17BC2"/>
    <w:rsid w:val="00B17D28"/>
    <w:rsid w:val="00B17E45"/>
    <w:rsid w:val="00B17EC5"/>
    <w:rsid w:val="00B17EF7"/>
    <w:rsid w:val="00B17FBC"/>
    <w:rsid w:val="00B2007D"/>
    <w:rsid w:val="00B20160"/>
    <w:rsid w:val="00B201DF"/>
    <w:rsid w:val="00B203A6"/>
    <w:rsid w:val="00B20710"/>
    <w:rsid w:val="00B20C13"/>
    <w:rsid w:val="00B20CCB"/>
    <w:rsid w:val="00B20D54"/>
    <w:rsid w:val="00B20E07"/>
    <w:rsid w:val="00B20E8D"/>
    <w:rsid w:val="00B20FDA"/>
    <w:rsid w:val="00B2101E"/>
    <w:rsid w:val="00B211AA"/>
    <w:rsid w:val="00B212E0"/>
    <w:rsid w:val="00B213C5"/>
    <w:rsid w:val="00B21536"/>
    <w:rsid w:val="00B2154D"/>
    <w:rsid w:val="00B218B9"/>
    <w:rsid w:val="00B21BF5"/>
    <w:rsid w:val="00B21CE7"/>
    <w:rsid w:val="00B21EB7"/>
    <w:rsid w:val="00B22173"/>
    <w:rsid w:val="00B22190"/>
    <w:rsid w:val="00B221B5"/>
    <w:rsid w:val="00B222DA"/>
    <w:rsid w:val="00B2234B"/>
    <w:rsid w:val="00B2234D"/>
    <w:rsid w:val="00B223EF"/>
    <w:rsid w:val="00B223FA"/>
    <w:rsid w:val="00B22412"/>
    <w:rsid w:val="00B22573"/>
    <w:rsid w:val="00B226FF"/>
    <w:rsid w:val="00B22755"/>
    <w:rsid w:val="00B2283A"/>
    <w:rsid w:val="00B228EC"/>
    <w:rsid w:val="00B22B04"/>
    <w:rsid w:val="00B22CD9"/>
    <w:rsid w:val="00B22FE4"/>
    <w:rsid w:val="00B230A0"/>
    <w:rsid w:val="00B231F2"/>
    <w:rsid w:val="00B2324E"/>
    <w:rsid w:val="00B232E0"/>
    <w:rsid w:val="00B23333"/>
    <w:rsid w:val="00B23478"/>
    <w:rsid w:val="00B234FF"/>
    <w:rsid w:val="00B235E9"/>
    <w:rsid w:val="00B23670"/>
    <w:rsid w:val="00B236A3"/>
    <w:rsid w:val="00B236F5"/>
    <w:rsid w:val="00B23744"/>
    <w:rsid w:val="00B237B4"/>
    <w:rsid w:val="00B2382C"/>
    <w:rsid w:val="00B238CC"/>
    <w:rsid w:val="00B238E4"/>
    <w:rsid w:val="00B23916"/>
    <w:rsid w:val="00B23A6B"/>
    <w:rsid w:val="00B23BB2"/>
    <w:rsid w:val="00B23BD2"/>
    <w:rsid w:val="00B23C50"/>
    <w:rsid w:val="00B23C74"/>
    <w:rsid w:val="00B23C92"/>
    <w:rsid w:val="00B23D43"/>
    <w:rsid w:val="00B23D48"/>
    <w:rsid w:val="00B23F46"/>
    <w:rsid w:val="00B2435D"/>
    <w:rsid w:val="00B243B0"/>
    <w:rsid w:val="00B24488"/>
    <w:rsid w:val="00B2452B"/>
    <w:rsid w:val="00B2462E"/>
    <w:rsid w:val="00B24782"/>
    <w:rsid w:val="00B2484E"/>
    <w:rsid w:val="00B24966"/>
    <w:rsid w:val="00B249E4"/>
    <w:rsid w:val="00B249FC"/>
    <w:rsid w:val="00B24A08"/>
    <w:rsid w:val="00B24A7D"/>
    <w:rsid w:val="00B24B2C"/>
    <w:rsid w:val="00B24CE9"/>
    <w:rsid w:val="00B24DE2"/>
    <w:rsid w:val="00B24E7A"/>
    <w:rsid w:val="00B250C3"/>
    <w:rsid w:val="00B25147"/>
    <w:rsid w:val="00B25212"/>
    <w:rsid w:val="00B25226"/>
    <w:rsid w:val="00B254B8"/>
    <w:rsid w:val="00B255F4"/>
    <w:rsid w:val="00B2564E"/>
    <w:rsid w:val="00B25794"/>
    <w:rsid w:val="00B2593B"/>
    <w:rsid w:val="00B259DE"/>
    <w:rsid w:val="00B25A31"/>
    <w:rsid w:val="00B25A69"/>
    <w:rsid w:val="00B25C8C"/>
    <w:rsid w:val="00B25CAB"/>
    <w:rsid w:val="00B25E3E"/>
    <w:rsid w:val="00B26004"/>
    <w:rsid w:val="00B2600D"/>
    <w:rsid w:val="00B26099"/>
    <w:rsid w:val="00B2629B"/>
    <w:rsid w:val="00B26725"/>
    <w:rsid w:val="00B268A9"/>
    <w:rsid w:val="00B268C4"/>
    <w:rsid w:val="00B26ADE"/>
    <w:rsid w:val="00B26F1A"/>
    <w:rsid w:val="00B27212"/>
    <w:rsid w:val="00B273E8"/>
    <w:rsid w:val="00B275F4"/>
    <w:rsid w:val="00B27655"/>
    <w:rsid w:val="00B27740"/>
    <w:rsid w:val="00B2783E"/>
    <w:rsid w:val="00B27927"/>
    <w:rsid w:val="00B27975"/>
    <w:rsid w:val="00B27A51"/>
    <w:rsid w:val="00B27ADA"/>
    <w:rsid w:val="00B27B6B"/>
    <w:rsid w:val="00B27EE2"/>
    <w:rsid w:val="00B27FB7"/>
    <w:rsid w:val="00B27FC2"/>
    <w:rsid w:val="00B301A5"/>
    <w:rsid w:val="00B301CA"/>
    <w:rsid w:val="00B301E0"/>
    <w:rsid w:val="00B30296"/>
    <w:rsid w:val="00B302B7"/>
    <w:rsid w:val="00B3039A"/>
    <w:rsid w:val="00B3053B"/>
    <w:rsid w:val="00B30583"/>
    <w:rsid w:val="00B307B8"/>
    <w:rsid w:val="00B308F6"/>
    <w:rsid w:val="00B3092B"/>
    <w:rsid w:val="00B30A82"/>
    <w:rsid w:val="00B30AB7"/>
    <w:rsid w:val="00B30B09"/>
    <w:rsid w:val="00B30B76"/>
    <w:rsid w:val="00B30D20"/>
    <w:rsid w:val="00B30D78"/>
    <w:rsid w:val="00B30F34"/>
    <w:rsid w:val="00B30FCE"/>
    <w:rsid w:val="00B31035"/>
    <w:rsid w:val="00B311E5"/>
    <w:rsid w:val="00B31215"/>
    <w:rsid w:val="00B31282"/>
    <w:rsid w:val="00B3138F"/>
    <w:rsid w:val="00B31552"/>
    <w:rsid w:val="00B315E4"/>
    <w:rsid w:val="00B317E7"/>
    <w:rsid w:val="00B3182D"/>
    <w:rsid w:val="00B31A3E"/>
    <w:rsid w:val="00B31A96"/>
    <w:rsid w:val="00B31C0F"/>
    <w:rsid w:val="00B32255"/>
    <w:rsid w:val="00B32627"/>
    <w:rsid w:val="00B32728"/>
    <w:rsid w:val="00B328AA"/>
    <w:rsid w:val="00B32ADA"/>
    <w:rsid w:val="00B32B64"/>
    <w:rsid w:val="00B32D77"/>
    <w:rsid w:val="00B32EF4"/>
    <w:rsid w:val="00B32F23"/>
    <w:rsid w:val="00B32FB1"/>
    <w:rsid w:val="00B330F4"/>
    <w:rsid w:val="00B33114"/>
    <w:rsid w:val="00B337E3"/>
    <w:rsid w:val="00B33803"/>
    <w:rsid w:val="00B338FB"/>
    <w:rsid w:val="00B33974"/>
    <w:rsid w:val="00B33A0F"/>
    <w:rsid w:val="00B33A57"/>
    <w:rsid w:val="00B33A93"/>
    <w:rsid w:val="00B33AF1"/>
    <w:rsid w:val="00B33ED4"/>
    <w:rsid w:val="00B33F25"/>
    <w:rsid w:val="00B33F31"/>
    <w:rsid w:val="00B33FE5"/>
    <w:rsid w:val="00B33FFD"/>
    <w:rsid w:val="00B34042"/>
    <w:rsid w:val="00B3405C"/>
    <w:rsid w:val="00B34083"/>
    <w:rsid w:val="00B34226"/>
    <w:rsid w:val="00B34230"/>
    <w:rsid w:val="00B3434F"/>
    <w:rsid w:val="00B34417"/>
    <w:rsid w:val="00B34497"/>
    <w:rsid w:val="00B34595"/>
    <w:rsid w:val="00B34659"/>
    <w:rsid w:val="00B34714"/>
    <w:rsid w:val="00B34744"/>
    <w:rsid w:val="00B34934"/>
    <w:rsid w:val="00B34BD6"/>
    <w:rsid w:val="00B34C57"/>
    <w:rsid w:val="00B34D7A"/>
    <w:rsid w:val="00B34F90"/>
    <w:rsid w:val="00B34FFF"/>
    <w:rsid w:val="00B3502F"/>
    <w:rsid w:val="00B35056"/>
    <w:rsid w:val="00B3514C"/>
    <w:rsid w:val="00B35183"/>
    <w:rsid w:val="00B3520E"/>
    <w:rsid w:val="00B35238"/>
    <w:rsid w:val="00B35254"/>
    <w:rsid w:val="00B35286"/>
    <w:rsid w:val="00B35392"/>
    <w:rsid w:val="00B35556"/>
    <w:rsid w:val="00B355C5"/>
    <w:rsid w:val="00B35613"/>
    <w:rsid w:val="00B356F6"/>
    <w:rsid w:val="00B35735"/>
    <w:rsid w:val="00B35881"/>
    <w:rsid w:val="00B35A79"/>
    <w:rsid w:val="00B35B38"/>
    <w:rsid w:val="00B35BB3"/>
    <w:rsid w:val="00B35BC4"/>
    <w:rsid w:val="00B35CF9"/>
    <w:rsid w:val="00B35DBF"/>
    <w:rsid w:val="00B35E90"/>
    <w:rsid w:val="00B361BB"/>
    <w:rsid w:val="00B363AA"/>
    <w:rsid w:val="00B363C3"/>
    <w:rsid w:val="00B36453"/>
    <w:rsid w:val="00B3658C"/>
    <w:rsid w:val="00B36704"/>
    <w:rsid w:val="00B3678D"/>
    <w:rsid w:val="00B367A8"/>
    <w:rsid w:val="00B3693B"/>
    <w:rsid w:val="00B36A28"/>
    <w:rsid w:val="00B36AD3"/>
    <w:rsid w:val="00B36B10"/>
    <w:rsid w:val="00B36C36"/>
    <w:rsid w:val="00B36CB3"/>
    <w:rsid w:val="00B36D94"/>
    <w:rsid w:val="00B36E37"/>
    <w:rsid w:val="00B36FC1"/>
    <w:rsid w:val="00B36FDA"/>
    <w:rsid w:val="00B37030"/>
    <w:rsid w:val="00B371E0"/>
    <w:rsid w:val="00B372BE"/>
    <w:rsid w:val="00B3734B"/>
    <w:rsid w:val="00B37369"/>
    <w:rsid w:val="00B37514"/>
    <w:rsid w:val="00B37728"/>
    <w:rsid w:val="00B3786A"/>
    <w:rsid w:val="00B378F4"/>
    <w:rsid w:val="00B3791D"/>
    <w:rsid w:val="00B37935"/>
    <w:rsid w:val="00B37AC6"/>
    <w:rsid w:val="00B37B4D"/>
    <w:rsid w:val="00B37C1E"/>
    <w:rsid w:val="00B37C5A"/>
    <w:rsid w:val="00B37CE4"/>
    <w:rsid w:val="00B37D4C"/>
    <w:rsid w:val="00B37E37"/>
    <w:rsid w:val="00B37E88"/>
    <w:rsid w:val="00B37F5E"/>
    <w:rsid w:val="00B40149"/>
    <w:rsid w:val="00B4020A"/>
    <w:rsid w:val="00B40296"/>
    <w:rsid w:val="00B40344"/>
    <w:rsid w:val="00B404C4"/>
    <w:rsid w:val="00B4087A"/>
    <w:rsid w:val="00B40949"/>
    <w:rsid w:val="00B409A7"/>
    <w:rsid w:val="00B409B8"/>
    <w:rsid w:val="00B40BD7"/>
    <w:rsid w:val="00B40BEA"/>
    <w:rsid w:val="00B40BEC"/>
    <w:rsid w:val="00B40CC2"/>
    <w:rsid w:val="00B40D3D"/>
    <w:rsid w:val="00B40E1C"/>
    <w:rsid w:val="00B40E58"/>
    <w:rsid w:val="00B40E87"/>
    <w:rsid w:val="00B40F23"/>
    <w:rsid w:val="00B40F64"/>
    <w:rsid w:val="00B4122B"/>
    <w:rsid w:val="00B41288"/>
    <w:rsid w:val="00B412F4"/>
    <w:rsid w:val="00B4144E"/>
    <w:rsid w:val="00B41511"/>
    <w:rsid w:val="00B41512"/>
    <w:rsid w:val="00B41522"/>
    <w:rsid w:val="00B41734"/>
    <w:rsid w:val="00B417DE"/>
    <w:rsid w:val="00B4191F"/>
    <w:rsid w:val="00B4192B"/>
    <w:rsid w:val="00B41970"/>
    <w:rsid w:val="00B41B52"/>
    <w:rsid w:val="00B41B5F"/>
    <w:rsid w:val="00B41CF4"/>
    <w:rsid w:val="00B41DB6"/>
    <w:rsid w:val="00B41F28"/>
    <w:rsid w:val="00B4246D"/>
    <w:rsid w:val="00B4250F"/>
    <w:rsid w:val="00B428B1"/>
    <w:rsid w:val="00B4291E"/>
    <w:rsid w:val="00B42966"/>
    <w:rsid w:val="00B42A3F"/>
    <w:rsid w:val="00B42ADE"/>
    <w:rsid w:val="00B42BDF"/>
    <w:rsid w:val="00B42C3C"/>
    <w:rsid w:val="00B42C93"/>
    <w:rsid w:val="00B42CA8"/>
    <w:rsid w:val="00B42EA7"/>
    <w:rsid w:val="00B42F07"/>
    <w:rsid w:val="00B42F80"/>
    <w:rsid w:val="00B43042"/>
    <w:rsid w:val="00B4328F"/>
    <w:rsid w:val="00B432C6"/>
    <w:rsid w:val="00B4338B"/>
    <w:rsid w:val="00B43465"/>
    <w:rsid w:val="00B4346B"/>
    <w:rsid w:val="00B435E3"/>
    <w:rsid w:val="00B43681"/>
    <w:rsid w:val="00B4370C"/>
    <w:rsid w:val="00B43827"/>
    <w:rsid w:val="00B43857"/>
    <w:rsid w:val="00B4398D"/>
    <w:rsid w:val="00B439D1"/>
    <w:rsid w:val="00B43A87"/>
    <w:rsid w:val="00B43BCB"/>
    <w:rsid w:val="00B43C7F"/>
    <w:rsid w:val="00B43DFE"/>
    <w:rsid w:val="00B43E24"/>
    <w:rsid w:val="00B43E60"/>
    <w:rsid w:val="00B43EEA"/>
    <w:rsid w:val="00B43FDA"/>
    <w:rsid w:val="00B44059"/>
    <w:rsid w:val="00B44205"/>
    <w:rsid w:val="00B4426D"/>
    <w:rsid w:val="00B442C7"/>
    <w:rsid w:val="00B444AF"/>
    <w:rsid w:val="00B44591"/>
    <w:rsid w:val="00B44640"/>
    <w:rsid w:val="00B447C6"/>
    <w:rsid w:val="00B44937"/>
    <w:rsid w:val="00B4493A"/>
    <w:rsid w:val="00B44998"/>
    <w:rsid w:val="00B449BE"/>
    <w:rsid w:val="00B449E9"/>
    <w:rsid w:val="00B44C94"/>
    <w:rsid w:val="00B44D93"/>
    <w:rsid w:val="00B44EA1"/>
    <w:rsid w:val="00B44EE1"/>
    <w:rsid w:val="00B44F50"/>
    <w:rsid w:val="00B44F9C"/>
    <w:rsid w:val="00B450AB"/>
    <w:rsid w:val="00B451BD"/>
    <w:rsid w:val="00B45373"/>
    <w:rsid w:val="00B4541C"/>
    <w:rsid w:val="00B4559A"/>
    <w:rsid w:val="00B45702"/>
    <w:rsid w:val="00B458E7"/>
    <w:rsid w:val="00B45A05"/>
    <w:rsid w:val="00B45A9A"/>
    <w:rsid w:val="00B45C64"/>
    <w:rsid w:val="00B45DA8"/>
    <w:rsid w:val="00B45DB8"/>
    <w:rsid w:val="00B46207"/>
    <w:rsid w:val="00B4631B"/>
    <w:rsid w:val="00B46340"/>
    <w:rsid w:val="00B4646C"/>
    <w:rsid w:val="00B465F4"/>
    <w:rsid w:val="00B46683"/>
    <w:rsid w:val="00B466F6"/>
    <w:rsid w:val="00B46709"/>
    <w:rsid w:val="00B4672C"/>
    <w:rsid w:val="00B4678F"/>
    <w:rsid w:val="00B467E0"/>
    <w:rsid w:val="00B46993"/>
    <w:rsid w:val="00B46A32"/>
    <w:rsid w:val="00B46A5F"/>
    <w:rsid w:val="00B46B29"/>
    <w:rsid w:val="00B46B64"/>
    <w:rsid w:val="00B46B88"/>
    <w:rsid w:val="00B46C61"/>
    <w:rsid w:val="00B46CD6"/>
    <w:rsid w:val="00B46D61"/>
    <w:rsid w:val="00B46EF4"/>
    <w:rsid w:val="00B46FE3"/>
    <w:rsid w:val="00B47298"/>
    <w:rsid w:val="00B473C7"/>
    <w:rsid w:val="00B47409"/>
    <w:rsid w:val="00B475DF"/>
    <w:rsid w:val="00B475E6"/>
    <w:rsid w:val="00B476B0"/>
    <w:rsid w:val="00B476E0"/>
    <w:rsid w:val="00B4780A"/>
    <w:rsid w:val="00B47896"/>
    <w:rsid w:val="00B47954"/>
    <w:rsid w:val="00B47B59"/>
    <w:rsid w:val="00B47B61"/>
    <w:rsid w:val="00B47BF7"/>
    <w:rsid w:val="00B47C01"/>
    <w:rsid w:val="00B47D96"/>
    <w:rsid w:val="00B47D9D"/>
    <w:rsid w:val="00B47FA8"/>
    <w:rsid w:val="00B502AF"/>
    <w:rsid w:val="00B5030F"/>
    <w:rsid w:val="00B50346"/>
    <w:rsid w:val="00B505BA"/>
    <w:rsid w:val="00B506CC"/>
    <w:rsid w:val="00B50765"/>
    <w:rsid w:val="00B50A40"/>
    <w:rsid w:val="00B50A63"/>
    <w:rsid w:val="00B50B15"/>
    <w:rsid w:val="00B50B25"/>
    <w:rsid w:val="00B50C96"/>
    <w:rsid w:val="00B50CAB"/>
    <w:rsid w:val="00B50D0F"/>
    <w:rsid w:val="00B50D3A"/>
    <w:rsid w:val="00B50E9E"/>
    <w:rsid w:val="00B50ECD"/>
    <w:rsid w:val="00B510DD"/>
    <w:rsid w:val="00B51107"/>
    <w:rsid w:val="00B51177"/>
    <w:rsid w:val="00B512AC"/>
    <w:rsid w:val="00B5143A"/>
    <w:rsid w:val="00B51857"/>
    <w:rsid w:val="00B5190A"/>
    <w:rsid w:val="00B519D8"/>
    <w:rsid w:val="00B51A33"/>
    <w:rsid w:val="00B51AD2"/>
    <w:rsid w:val="00B51B18"/>
    <w:rsid w:val="00B51B45"/>
    <w:rsid w:val="00B51B61"/>
    <w:rsid w:val="00B51C60"/>
    <w:rsid w:val="00B51C6B"/>
    <w:rsid w:val="00B51D59"/>
    <w:rsid w:val="00B51E1A"/>
    <w:rsid w:val="00B51EFC"/>
    <w:rsid w:val="00B52128"/>
    <w:rsid w:val="00B5230B"/>
    <w:rsid w:val="00B523DE"/>
    <w:rsid w:val="00B525FA"/>
    <w:rsid w:val="00B528DF"/>
    <w:rsid w:val="00B529FF"/>
    <w:rsid w:val="00B52ABC"/>
    <w:rsid w:val="00B52B8D"/>
    <w:rsid w:val="00B52BE4"/>
    <w:rsid w:val="00B52D5A"/>
    <w:rsid w:val="00B52E18"/>
    <w:rsid w:val="00B52ED8"/>
    <w:rsid w:val="00B52FB0"/>
    <w:rsid w:val="00B52FB5"/>
    <w:rsid w:val="00B53264"/>
    <w:rsid w:val="00B53475"/>
    <w:rsid w:val="00B5352F"/>
    <w:rsid w:val="00B53547"/>
    <w:rsid w:val="00B53597"/>
    <w:rsid w:val="00B53784"/>
    <w:rsid w:val="00B537EF"/>
    <w:rsid w:val="00B539F9"/>
    <w:rsid w:val="00B53B9A"/>
    <w:rsid w:val="00B53BA9"/>
    <w:rsid w:val="00B53BD0"/>
    <w:rsid w:val="00B53C73"/>
    <w:rsid w:val="00B54286"/>
    <w:rsid w:val="00B542E0"/>
    <w:rsid w:val="00B544FA"/>
    <w:rsid w:val="00B5467F"/>
    <w:rsid w:val="00B54690"/>
    <w:rsid w:val="00B54744"/>
    <w:rsid w:val="00B5494B"/>
    <w:rsid w:val="00B54A2D"/>
    <w:rsid w:val="00B54BF3"/>
    <w:rsid w:val="00B54C75"/>
    <w:rsid w:val="00B54CA6"/>
    <w:rsid w:val="00B550D8"/>
    <w:rsid w:val="00B55114"/>
    <w:rsid w:val="00B5515B"/>
    <w:rsid w:val="00B5524F"/>
    <w:rsid w:val="00B55296"/>
    <w:rsid w:val="00B55322"/>
    <w:rsid w:val="00B5552B"/>
    <w:rsid w:val="00B5561F"/>
    <w:rsid w:val="00B55668"/>
    <w:rsid w:val="00B556E7"/>
    <w:rsid w:val="00B55A8B"/>
    <w:rsid w:val="00B55BA9"/>
    <w:rsid w:val="00B55BDC"/>
    <w:rsid w:val="00B55D3E"/>
    <w:rsid w:val="00B55D60"/>
    <w:rsid w:val="00B55E33"/>
    <w:rsid w:val="00B55F48"/>
    <w:rsid w:val="00B560D1"/>
    <w:rsid w:val="00B5610A"/>
    <w:rsid w:val="00B56181"/>
    <w:rsid w:val="00B56213"/>
    <w:rsid w:val="00B5626E"/>
    <w:rsid w:val="00B5675A"/>
    <w:rsid w:val="00B56940"/>
    <w:rsid w:val="00B56973"/>
    <w:rsid w:val="00B56C3E"/>
    <w:rsid w:val="00B56CBD"/>
    <w:rsid w:val="00B56E82"/>
    <w:rsid w:val="00B56E99"/>
    <w:rsid w:val="00B56F38"/>
    <w:rsid w:val="00B56F72"/>
    <w:rsid w:val="00B56FB9"/>
    <w:rsid w:val="00B570D9"/>
    <w:rsid w:val="00B5711C"/>
    <w:rsid w:val="00B5722C"/>
    <w:rsid w:val="00B57592"/>
    <w:rsid w:val="00B57602"/>
    <w:rsid w:val="00B57642"/>
    <w:rsid w:val="00B5782C"/>
    <w:rsid w:val="00B578CD"/>
    <w:rsid w:val="00B578EE"/>
    <w:rsid w:val="00B5791A"/>
    <w:rsid w:val="00B57921"/>
    <w:rsid w:val="00B57930"/>
    <w:rsid w:val="00B57938"/>
    <w:rsid w:val="00B57B8D"/>
    <w:rsid w:val="00B57BB0"/>
    <w:rsid w:val="00B57E1A"/>
    <w:rsid w:val="00B57F99"/>
    <w:rsid w:val="00B60122"/>
    <w:rsid w:val="00B60224"/>
    <w:rsid w:val="00B6042D"/>
    <w:rsid w:val="00B60439"/>
    <w:rsid w:val="00B60450"/>
    <w:rsid w:val="00B604EC"/>
    <w:rsid w:val="00B6050C"/>
    <w:rsid w:val="00B60693"/>
    <w:rsid w:val="00B609C7"/>
    <w:rsid w:val="00B60BF9"/>
    <w:rsid w:val="00B60C6C"/>
    <w:rsid w:val="00B60CF1"/>
    <w:rsid w:val="00B60E10"/>
    <w:rsid w:val="00B60E6F"/>
    <w:rsid w:val="00B60EF1"/>
    <w:rsid w:val="00B60F3A"/>
    <w:rsid w:val="00B60F99"/>
    <w:rsid w:val="00B60FA7"/>
    <w:rsid w:val="00B6107C"/>
    <w:rsid w:val="00B61082"/>
    <w:rsid w:val="00B61087"/>
    <w:rsid w:val="00B610F4"/>
    <w:rsid w:val="00B613C2"/>
    <w:rsid w:val="00B6141E"/>
    <w:rsid w:val="00B614DE"/>
    <w:rsid w:val="00B61619"/>
    <w:rsid w:val="00B61652"/>
    <w:rsid w:val="00B618EA"/>
    <w:rsid w:val="00B619E1"/>
    <w:rsid w:val="00B619F4"/>
    <w:rsid w:val="00B61A01"/>
    <w:rsid w:val="00B61A4A"/>
    <w:rsid w:val="00B61D80"/>
    <w:rsid w:val="00B61F4E"/>
    <w:rsid w:val="00B62040"/>
    <w:rsid w:val="00B6216C"/>
    <w:rsid w:val="00B622A9"/>
    <w:rsid w:val="00B62590"/>
    <w:rsid w:val="00B625F7"/>
    <w:rsid w:val="00B626C0"/>
    <w:rsid w:val="00B62700"/>
    <w:rsid w:val="00B62712"/>
    <w:rsid w:val="00B62A0A"/>
    <w:rsid w:val="00B62CDA"/>
    <w:rsid w:val="00B62F20"/>
    <w:rsid w:val="00B63014"/>
    <w:rsid w:val="00B63020"/>
    <w:rsid w:val="00B63023"/>
    <w:rsid w:val="00B631AD"/>
    <w:rsid w:val="00B6327D"/>
    <w:rsid w:val="00B632FF"/>
    <w:rsid w:val="00B6331B"/>
    <w:rsid w:val="00B63415"/>
    <w:rsid w:val="00B63469"/>
    <w:rsid w:val="00B634D1"/>
    <w:rsid w:val="00B6361E"/>
    <w:rsid w:val="00B636A2"/>
    <w:rsid w:val="00B6371E"/>
    <w:rsid w:val="00B637F5"/>
    <w:rsid w:val="00B63831"/>
    <w:rsid w:val="00B6383E"/>
    <w:rsid w:val="00B63880"/>
    <w:rsid w:val="00B63896"/>
    <w:rsid w:val="00B6393A"/>
    <w:rsid w:val="00B63970"/>
    <w:rsid w:val="00B63A3C"/>
    <w:rsid w:val="00B63AE3"/>
    <w:rsid w:val="00B63B31"/>
    <w:rsid w:val="00B63B5B"/>
    <w:rsid w:val="00B63D90"/>
    <w:rsid w:val="00B63E9F"/>
    <w:rsid w:val="00B6402A"/>
    <w:rsid w:val="00B64091"/>
    <w:rsid w:val="00B64141"/>
    <w:rsid w:val="00B641EB"/>
    <w:rsid w:val="00B641FE"/>
    <w:rsid w:val="00B642A4"/>
    <w:rsid w:val="00B643F0"/>
    <w:rsid w:val="00B64523"/>
    <w:rsid w:val="00B646A9"/>
    <w:rsid w:val="00B64749"/>
    <w:rsid w:val="00B64799"/>
    <w:rsid w:val="00B64997"/>
    <w:rsid w:val="00B64AA0"/>
    <w:rsid w:val="00B64ABE"/>
    <w:rsid w:val="00B64C7F"/>
    <w:rsid w:val="00B64C80"/>
    <w:rsid w:val="00B64DEF"/>
    <w:rsid w:val="00B64EE9"/>
    <w:rsid w:val="00B64EF3"/>
    <w:rsid w:val="00B64FA3"/>
    <w:rsid w:val="00B651B5"/>
    <w:rsid w:val="00B6551F"/>
    <w:rsid w:val="00B655D0"/>
    <w:rsid w:val="00B65666"/>
    <w:rsid w:val="00B65809"/>
    <w:rsid w:val="00B65944"/>
    <w:rsid w:val="00B65AF3"/>
    <w:rsid w:val="00B65C14"/>
    <w:rsid w:val="00B65F11"/>
    <w:rsid w:val="00B6634B"/>
    <w:rsid w:val="00B66381"/>
    <w:rsid w:val="00B663F1"/>
    <w:rsid w:val="00B664C4"/>
    <w:rsid w:val="00B664EF"/>
    <w:rsid w:val="00B66594"/>
    <w:rsid w:val="00B665F8"/>
    <w:rsid w:val="00B6665E"/>
    <w:rsid w:val="00B6684C"/>
    <w:rsid w:val="00B668FD"/>
    <w:rsid w:val="00B66970"/>
    <w:rsid w:val="00B66AEC"/>
    <w:rsid w:val="00B66B2A"/>
    <w:rsid w:val="00B66B33"/>
    <w:rsid w:val="00B66BF0"/>
    <w:rsid w:val="00B66C96"/>
    <w:rsid w:val="00B66E30"/>
    <w:rsid w:val="00B66EC2"/>
    <w:rsid w:val="00B66F8A"/>
    <w:rsid w:val="00B66FB1"/>
    <w:rsid w:val="00B670BA"/>
    <w:rsid w:val="00B67175"/>
    <w:rsid w:val="00B67271"/>
    <w:rsid w:val="00B6729A"/>
    <w:rsid w:val="00B6729F"/>
    <w:rsid w:val="00B673ED"/>
    <w:rsid w:val="00B674C9"/>
    <w:rsid w:val="00B675EF"/>
    <w:rsid w:val="00B676BE"/>
    <w:rsid w:val="00B676E1"/>
    <w:rsid w:val="00B6779F"/>
    <w:rsid w:val="00B67894"/>
    <w:rsid w:val="00B678B1"/>
    <w:rsid w:val="00B67989"/>
    <w:rsid w:val="00B67995"/>
    <w:rsid w:val="00B67B67"/>
    <w:rsid w:val="00B67BA2"/>
    <w:rsid w:val="00B67BF6"/>
    <w:rsid w:val="00B67C84"/>
    <w:rsid w:val="00B67CDE"/>
    <w:rsid w:val="00B67D24"/>
    <w:rsid w:val="00B67DD2"/>
    <w:rsid w:val="00B67EB2"/>
    <w:rsid w:val="00B67FFE"/>
    <w:rsid w:val="00B70043"/>
    <w:rsid w:val="00B70045"/>
    <w:rsid w:val="00B7006C"/>
    <w:rsid w:val="00B70225"/>
    <w:rsid w:val="00B702B2"/>
    <w:rsid w:val="00B7036F"/>
    <w:rsid w:val="00B703F2"/>
    <w:rsid w:val="00B70403"/>
    <w:rsid w:val="00B7046E"/>
    <w:rsid w:val="00B7052D"/>
    <w:rsid w:val="00B7059C"/>
    <w:rsid w:val="00B706E2"/>
    <w:rsid w:val="00B70A8C"/>
    <w:rsid w:val="00B70AE0"/>
    <w:rsid w:val="00B70D56"/>
    <w:rsid w:val="00B70E64"/>
    <w:rsid w:val="00B70F9D"/>
    <w:rsid w:val="00B70FAD"/>
    <w:rsid w:val="00B7136C"/>
    <w:rsid w:val="00B716BC"/>
    <w:rsid w:val="00B7179C"/>
    <w:rsid w:val="00B717F3"/>
    <w:rsid w:val="00B719F0"/>
    <w:rsid w:val="00B71BAD"/>
    <w:rsid w:val="00B71DA6"/>
    <w:rsid w:val="00B71E0D"/>
    <w:rsid w:val="00B7208B"/>
    <w:rsid w:val="00B720D4"/>
    <w:rsid w:val="00B721B4"/>
    <w:rsid w:val="00B72209"/>
    <w:rsid w:val="00B7222D"/>
    <w:rsid w:val="00B722EA"/>
    <w:rsid w:val="00B724A3"/>
    <w:rsid w:val="00B7267A"/>
    <w:rsid w:val="00B726C4"/>
    <w:rsid w:val="00B72880"/>
    <w:rsid w:val="00B72988"/>
    <w:rsid w:val="00B72B25"/>
    <w:rsid w:val="00B72CF2"/>
    <w:rsid w:val="00B72D34"/>
    <w:rsid w:val="00B72D78"/>
    <w:rsid w:val="00B72E80"/>
    <w:rsid w:val="00B72EAE"/>
    <w:rsid w:val="00B730C2"/>
    <w:rsid w:val="00B730D7"/>
    <w:rsid w:val="00B73149"/>
    <w:rsid w:val="00B731C3"/>
    <w:rsid w:val="00B73250"/>
    <w:rsid w:val="00B7337C"/>
    <w:rsid w:val="00B7339F"/>
    <w:rsid w:val="00B7361F"/>
    <w:rsid w:val="00B73788"/>
    <w:rsid w:val="00B73850"/>
    <w:rsid w:val="00B738B8"/>
    <w:rsid w:val="00B738DF"/>
    <w:rsid w:val="00B73909"/>
    <w:rsid w:val="00B73B71"/>
    <w:rsid w:val="00B73C46"/>
    <w:rsid w:val="00B73C9B"/>
    <w:rsid w:val="00B73F07"/>
    <w:rsid w:val="00B73F4A"/>
    <w:rsid w:val="00B73F8E"/>
    <w:rsid w:val="00B73F9C"/>
    <w:rsid w:val="00B742DF"/>
    <w:rsid w:val="00B742F1"/>
    <w:rsid w:val="00B74483"/>
    <w:rsid w:val="00B74555"/>
    <w:rsid w:val="00B7466D"/>
    <w:rsid w:val="00B747F1"/>
    <w:rsid w:val="00B74855"/>
    <w:rsid w:val="00B748A2"/>
    <w:rsid w:val="00B74B0A"/>
    <w:rsid w:val="00B74BA0"/>
    <w:rsid w:val="00B74C2B"/>
    <w:rsid w:val="00B74CFC"/>
    <w:rsid w:val="00B74E9A"/>
    <w:rsid w:val="00B74EC5"/>
    <w:rsid w:val="00B75055"/>
    <w:rsid w:val="00B751AD"/>
    <w:rsid w:val="00B7522C"/>
    <w:rsid w:val="00B753AF"/>
    <w:rsid w:val="00B75441"/>
    <w:rsid w:val="00B754A4"/>
    <w:rsid w:val="00B755AD"/>
    <w:rsid w:val="00B755ED"/>
    <w:rsid w:val="00B755FF"/>
    <w:rsid w:val="00B75608"/>
    <w:rsid w:val="00B75682"/>
    <w:rsid w:val="00B75689"/>
    <w:rsid w:val="00B757F1"/>
    <w:rsid w:val="00B75800"/>
    <w:rsid w:val="00B758DD"/>
    <w:rsid w:val="00B758E6"/>
    <w:rsid w:val="00B759AA"/>
    <w:rsid w:val="00B75B4F"/>
    <w:rsid w:val="00B75CFA"/>
    <w:rsid w:val="00B75DB8"/>
    <w:rsid w:val="00B76022"/>
    <w:rsid w:val="00B76073"/>
    <w:rsid w:val="00B760B4"/>
    <w:rsid w:val="00B7610A"/>
    <w:rsid w:val="00B76137"/>
    <w:rsid w:val="00B76292"/>
    <w:rsid w:val="00B76298"/>
    <w:rsid w:val="00B76553"/>
    <w:rsid w:val="00B765A0"/>
    <w:rsid w:val="00B768C2"/>
    <w:rsid w:val="00B768C6"/>
    <w:rsid w:val="00B76A30"/>
    <w:rsid w:val="00B76B52"/>
    <w:rsid w:val="00B76BDD"/>
    <w:rsid w:val="00B76C16"/>
    <w:rsid w:val="00B76C7B"/>
    <w:rsid w:val="00B76C9E"/>
    <w:rsid w:val="00B76D27"/>
    <w:rsid w:val="00B76D3B"/>
    <w:rsid w:val="00B76DBB"/>
    <w:rsid w:val="00B76DC9"/>
    <w:rsid w:val="00B76E1C"/>
    <w:rsid w:val="00B76E2A"/>
    <w:rsid w:val="00B76F50"/>
    <w:rsid w:val="00B76FE1"/>
    <w:rsid w:val="00B7708A"/>
    <w:rsid w:val="00B7712F"/>
    <w:rsid w:val="00B77215"/>
    <w:rsid w:val="00B77578"/>
    <w:rsid w:val="00B775FE"/>
    <w:rsid w:val="00B77A40"/>
    <w:rsid w:val="00B77B49"/>
    <w:rsid w:val="00B77BBF"/>
    <w:rsid w:val="00B77C93"/>
    <w:rsid w:val="00B77D2C"/>
    <w:rsid w:val="00B77E45"/>
    <w:rsid w:val="00B77F0B"/>
    <w:rsid w:val="00B77F1D"/>
    <w:rsid w:val="00B77F57"/>
    <w:rsid w:val="00B804D8"/>
    <w:rsid w:val="00B806CD"/>
    <w:rsid w:val="00B80772"/>
    <w:rsid w:val="00B80881"/>
    <w:rsid w:val="00B80AAA"/>
    <w:rsid w:val="00B80B50"/>
    <w:rsid w:val="00B80B65"/>
    <w:rsid w:val="00B80BEB"/>
    <w:rsid w:val="00B80CB9"/>
    <w:rsid w:val="00B80E92"/>
    <w:rsid w:val="00B80EAE"/>
    <w:rsid w:val="00B80F86"/>
    <w:rsid w:val="00B81115"/>
    <w:rsid w:val="00B81282"/>
    <w:rsid w:val="00B812BB"/>
    <w:rsid w:val="00B81389"/>
    <w:rsid w:val="00B81511"/>
    <w:rsid w:val="00B815FC"/>
    <w:rsid w:val="00B816A6"/>
    <w:rsid w:val="00B81750"/>
    <w:rsid w:val="00B81826"/>
    <w:rsid w:val="00B81AA6"/>
    <w:rsid w:val="00B81B7D"/>
    <w:rsid w:val="00B81C48"/>
    <w:rsid w:val="00B81C64"/>
    <w:rsid w:val="00B81C93"/>
    <w:rsid w:val="00B81D20"/>
    <w:rsid w:val="00B81D34"/>
    <w:rsid w:val="00B81DA7"/>
    <w:rsid w:val="00B81F03"/>
    <w:rsid w:val="00B81F24"/>
    <w:rsid w:val="00B8203E"/>
    <w:rsid w:val="00B82235"/>
    <w:rsid w:val="00B8225F"/>
    <w:rsid w:val="00B822A3"/>
    <w:rsid w:val="00B82328"/>
    <w:rsid w:val="00B82354"/>
    <w:rsid w:val="00B823A7"/>
    <w:rsid w:val="00B82567"/>
    <w:rsid w:val="00B82627"/>
    <w:rsid w:val="00B82987"/>
    <w:rsid w:val="00B82AB1"/>
    <w:rsid w:val="00B82B5D"/>
    <w:rsid w:val="00B82B75"/>
    <w:rsid w:val="00B82D02"/>
    <w:rsid w:val="00B82D16"/>
    <w:rsid w:val="00B82D91"/>
    <w:rsid w:val="00B82E81"/>
    <w:rsid w:val="00B82E8D"/>
    <w:rsid w:val="00B82EC1"/>
    <w:rsid w:val="00B82ED7"/>
    <w:rsid w:val="00B83091"/>
    <w:rsid w:val="00B830CD"/>
    <w:rsid w:val="00B830F6"/>
    <w:rsid w:val="00B83298"/>
    <w:rsid w:val="00B832B3"/>
    <w:rsid w:val="00B83403"/>
    <w:rsid w:val="00B8347D"/>
    <w:rsid w:val="00B8358F"/>
    <w:rsid w:val="00B835F4"/>
    <w:rsid w:val="00B837B4"/>
    <w:rsid w:val="00B838A4"/>
    <w:rsid w:val="00B83978"/>
    <w:rsid w:val="00B83A21"/>
    <w:rsid w:val="00B83A4B"/>
    <w:rsid w:val="00B83B7B"/>
    <w:rsid w:val="00B83C76"/>
    <w:rsid w:val="00B83DCE"/>
    <w:rsid w:val="00B8403D"/>
    <w:rsid w:val="00B840EE"/>
    <w:rsid w:val="00B84106"/>
    <w:rsid w:val="00B84214"/>
    <w:rsid w:val="00B84331"/>
    <w:rsid w:val="00B84332"/>
    <w:rsid w:val="00B84351"/>
    <w:rsid w:val="00B843B0"/>
    <w:rsid w:val="00B845C1"/>
    <w:rsid w:val="00B848D2"/>
    <w:rsid w:val="00B84913"/>
    <w:rsid w:val="00B8492A"/>
    <w:rsid w:val="00B8494B"/>
    <w:rsid w:val="00B84A8E"/>
    <w:rsid w:val="00B84B30"/>
    <w:rsid w:val="00B84B6C"/>
    <w:rsid w:val="00B84D05"/>
    <w:rsid w:val="00B84D6E"/>
    <w:rsid w:val="00B84DB3"/>
    <w:rsid w:val="00B84DB6"/>
    <w:rsid w:val="00B84E1E"/>
    <w:rsid w:val="00B84E28"/>
    <w:rsid w:val="00B84EED"/>
    <w:rsid w:val="00B84F29"/>
    <w:rsid w:val="00B85271"/>
    <w:rsid w:val="00B8528E"/>
    <w:rsid w:val="00B85463"/>
    <w:rsid w:val="00B8558E"/>
    <w:rsid w:val="00B85839"/>
    <w:rsid w:val="00B85A84"/>
    <w:rsid w:val="00B85BA5"/>
    <w:rsid w:val="00B85C73"/>
    <w:rsid w:val="00B85D2C"/>
    <w:rsid w:val="00B8616B"/>
    <w:rsid w:val="00B8624B"/>
    <w:rsid w:val="00B863F2"/>
    <w:rsid w:val="00B865BE"/>
    <w:rsid w:val="00B8678C"/>
    <w:rsid w:val="00B867D7"/>
    <w:rsid w:val="00B86804"/>
    <w:rsid w:val="00B8693B"/>
    <w:rsid w:val="00B86978"/>
    <w:rsid w:val="00B86AF9"/>
    <w:rsid w:val="00B86E85"/>
    <w:rsid w:val="00B86E90"/>
    <w:rsid w:val="00B870CA"/>
    <w:rsid w:val="00B870E8"/>
    <w:rsid w:val="00B871F0"/>
    <w:rsid w:val="00B8731E"/>
    <w:rsid w:val="00B87403"/>
    <w:rsid w:val="00B87426"/>
    <w:rsid w:val="00B87512"/>
    <w:rsid w:val="00B8751C"/>
    <w:rsid w:val="00B8751F"/>
    <w:rsid w:val="00B875CC"/>
    <w:rsid w:val="00B87788"/>
    <w:rsid w:val="00B87802"/>
    <w:rsid w:val="00B878BC"/>
    <w:rsid w:val="00B878C4"/>
    <w:rsid w:val="00B8792F"/>
    <w:rsid w:val="00B87951"/>
    <w:rsid w:val="00B879CE"/>
    <w:rsid w:val="00B87B21"/>
    <w:rsid w:val="00B87BCE"/>
    <w:rsid w:val="00B87C9A"/>
    <w:rsid w:val="00B87DA6"/>
    <w:rsid w:val="00B87E4F"/>
    <w:rsid w:val="00B87F7F"/>
    <w:rsid w:val="00B9010B"/>
    <w:rsid w:val="00B9020F"/>
    <w:rsid w:val="00B90337"/>
    <w:rsid w:val="00B903B0"/>
    <w:rsid w:val="00B90485"/>
    <w:rsid w:val="00B90652"/>
    <w:rsid w:val="00B90A0B"/>
    <w:rsid w:val="00B90A7E"/>
    <w:rsid w:val="00B90AA7"/>
    <w:rsid w:val="00B90C4F"/>
    <w:rsid w:val="00B90CB0"/>
    <w:rsid w:val="00B90D03"/>
    <w:rsid w:val="00B90EB2"/>
    <w:rsid w:val="00B90F22"/>
    <w:rsid w:val="00B9110F"/>
    <w:rsid w:val="00B9129B"/>
    <w:rsid w:val="00B9137B"/>
    <w:rsid w:val="00B91453"/>
    <w:rsid w:val="00B916E6"/>
    <w:rsid w:val="00B9195D"/>
    <w:rsid w:val="00B91A26"/>
    <w:rsid w:val="00B91B32"/>
    <w:rsid w:val="00B91C6B"/>
    <w:rsid w:val="00B91DAE"/>
    <w:rsid w:val="00B91EBB"/>
    <w:rsid w:val="00B91EF0"/>
    <w:rsid w:val="00B91F0A"/>
    <w:rsid w:val="00B91F67"/>
    <w:rsid w:val="00B92131"/>
    <w:rsid w:val="00B9230F"/>
    <w:rsid w:val="00B92368"/>
    <w:rsid w:val="00B923CA"/>
    <w:rsid w:val="00B923E9"/>
    <w:rsid w:val="00B92496"/>
    <w:rsid w:val="00B924B1"/>
    <w:rsid w:val="00B92589"/>
    <w:rsid w:val="00B925C2"/>
    <w:rsid w:val="00B925CD"/>
    <w:rsid w:val="00B92825"/>
    <w:rsid w:val="00B9287C"/>
    <w:rsid w:val="00B92A8F"/>
    <w:rsid w:val="00B92B39"/>
    <w:rsid w:val="00B92B7E"/>
    <w:rsid w:val="00B92E8C"/>
    <w:rsid w:val="00B92E9C"/>
    <w:rsid w:val="00B9314B"/>
    <w:rsid w:val="00B93311"/>
    <w:rsid w:val="00B93351"/>
    <w:rsid w:val="00B9360C"/>
    <w:rsid w:val="00B93698"/>
    <w:rsid w:val="00B93794"/>
    <w:rsid w:val="00B93798"/>
    <w:rsid w:val="00B937BA"/>
    <w:rsid w:val="00B93809"/>
    <w:rsid w:val="00B938DC"/>
    <w:rsid w:val="00B93A4A"/>
    <w:rsid w:val="00B93B4F"/>
    <w:rsid w:val="00B93C69"/>
    <w:rsid w:val="00B93DBC"/>
    <w:rsid w:val="00B93FA8"/>
    <w:rsid w:val="00B93FBF"/>
    <w:rsid w:val="00B93FE9"/>
    <w:rsid w:val="00B940D0"/>
    <w:rsid w:val="00B941ED"/>
    <w:rsid w:val="00B941EE"/>
    <w:rsid w:val="00B9422D"/>
    <w:rsid w:val="00B942D0"/>
    <w:rsid w:val="00B94335"/>
    <w:rsid w:val="00B9441C"/>
    <w:rsid w:val="00B94471"/>
    <w:rsid w:val="00B944A0"/>
    <w:rsid w:val="00B94569"/>
    <w:rsid w:val="00B94772"/>
    <w:rsid w:val="00B94879"/>
    <w:rsid w:val="00B94887"/>
    <w:rsid w:val="00B94C7A"/>
    <w:rsid w:val="00B94D92"/>
    <w:rsid w:val="00B94DF1"/>
    <w:rsid w:val="00B94E24"/>
    <w:rsid w:val="00B94E58"/>
    <w:rsid w:val="00B94EAA"/>
    <w:rsid w:val="00B95036"/>
    <w:rsid w:val="00B951B4"/>
    <w:rsid w:val="00B95273"/>
    <w:rsid w:val="00B952C0"/>
    <w:rsid w:val="00B9566F"/>
    <w:rsid w:val="00B9578A"/>
    <w:rsid w:val="00B957B9"/>
    <w:rsid w:val="00B9585D"/>
    <w:rsid w:val="00B95950"/>
    <w:rsid w:val="00B959E5"/>
    <w:rsid w:val="00B95A13"/>
    <w:rsid w:val="00B95A36"/>
    <w:rsid w:val="00B95AD0"/>
    <w:rsid w:val="00B95CE1"/>
    <w:rsid w:val="00B95CE7"/>
    <w:rsid w:val="00B95F18"/>
    <w:rsid w:val="00B95F3B"/>
    <w:rsid w:val="00B95FBC"/>
    <w:rsid w:val="00B960D5"/>
    <w:rsid w:val="00B9639A"/>
    <w:rsid w:val="00B9644D"/>
    <w:rsid w:val="00B9655A"/>
    <w:rsid w:val="00B9673F"/>
    <w:rsid w:val="00B9674B"/>
    <w:rsid w:val="00B96759"/>
    <w:rsid w:val="00B96777"/>
    <w:rsid w:val="00B96901"/>
    <w:rsid w:val="00B96A15"/>
    <w:rsid w:val="00B96B3D"/>
    <w:rsid w:val="00B96B54"/>
    <w:rsid w:val="00B96CDE"/>
    <w:rsid w:val="00B96E12"/>
    <w:rsid w:val="00B96E34"/>
    <w:rsid w:val="00B96E81"/>
    <w:rsid w:val="00B96ED4"/>
    <w:rsid w:val="00B972F7"/>
    <w:rsid w:val="00B9734B"/>
    <w:rsid w:val="00B97607"/>
    <w:rsid w:val="00B97643"/>
    <w:rsid w:val="00B97943"/>
    <w:rsid w:val="00B979DA"/>
    <w:rsid w:val="00B979EE"/>
    <w:rsid w:val="00B97A44"/>
    <w:rsid w:val="00B97A8A"/>
    <w:rsid w:val="00B97ACA"/>
    <w:rsid w:val="00B97AD7"/>
    <w:rsid w:val="00B97C3E"/>
    <w:rsid w:val="00B97DC4"/>
    <w:rsid w:val="00B97F3D"/>
    <w:rsid w:val="00B97F45"/>
    <w:rsid w:val="00B97FAF"/>
    <w:rsid w:val="00BA0002"/>
    <w:rsid w:val="00BA0033"/>
    <w:rsid w:val="00BA004F"/>
    <w:rsid w:val="00BA012A"/>
    <w:rsid w:val="00BA0152"/>
    <w:rsid w:val="00BA0485"/>
    <w:rsid w:val="00BA0658"/>
    <w:rsid w:val="00BA0825"/>
    <w:rsid w:val="00BA0970"/>
    <w:rsid w:val="00BA0B59"/>
    <w:rsid w:val="00BA0D0E"/>
    <w:rsid w:val="00BA0D13"/>
    <w:rsid w:val="00BA0F68"/>
    <w:rsid w:val="00BA0FC7"/>
    <w:rsid w:val="00BA1061"/>
    <w:rsid w:val="00BA11BE"/>
    <w:rsid w:val="00BA12A2"/>
    <w:rsid w:val="00BA1343"/>
    <w:rsid w:val="00BA14B5"/>
    <w:rsid w:val="00BA14E7"/>
    <w:rsid w:val="00BA1670"/>
    <w:rsid w:val="00BA168B"/>
    <w:rsid w:val="00BA1749"/>
    <w:rsid w:val="00BA17DE"/>
    <w:rsid w:val="00BA1810"/>
    <w:rsid w:val="00BA1835"/>
    <w:rsid w:val="00BA18C8"/>
    <w:rsid w:val="00BA1A14"/>
    <w:rsid w:val="00BA1BA7"/>
    <w:rsid w:val="00BA206E"/>
    <w:rsid w:val="00BA212A"/>
    <w:rsid w:val="00BA22EE"/>
    <w:rsid w:val="00BA230D"/>
    <w:rsid w:val="00BA23CC"/>
    <w:rsid w:val="00BA24E0"/>
    <w:rsid w:val="00BA24EC"/>
    <w:rsid w:val="00BA2625"/>
    <w:rsid w:val="00BA26DF"/>
    <w:rsid w:val="00BA2800"/>
    <w:rsid w:val="00BA2837"/>
    <w:rsid w:val="00BA2952"/>
    <w:rsid w:val="00BA2B76"/>
    <w:rsid w:val="00BA2C95"/>
    <w:rsid w:val="00BA2C96"/>
    <w:rsid w:val="00BA2DDC"/>
    <w:rsid w:val="00BA2F9B"/>
    <w:rsid w:val="00BA303A"/>
    <w:rsid w:val="00BA32B2"/>
    <w:rsid w:val="00BA32DF"/>
    <w:rsid w:val="00BA3359"/>
    <w:rsid w:val="00BA336C"/>
    <w:rsid w:val="00BA35B9"/>
    <w:rsid w:val="00BA35C7"/>
    <w:rsid w:val="00BA35D5"/>
    <w:rsid w:val="00BA3717"/>
    <w:rsid w:val="00BA37A5"/>
    <w:rsid w:val="00BA386D"/>
    <w:rsid w:val="00BA3879"/>
    <w:rsid w:val="00BA38F6"/>
    <w:rsid w:val="00BA3DA3"/>
    <w:rsid w:val="00BA3FF5"/>
    <w:rsid w:val="00BA40EA"/>
    <w:rsid w:val="00BA40FF"/>
    <w:rsid w:val="00BA4137"/>
    <w:rsid w:val="00BA414E"/>
    <w:rsid w:val="00BA4170"/>
    <w:rsid w:val="00BA41FB"/>
    <w:rsid w:val="00BA4346"/>
    <w:rsid w:val="00BA43AC"/>
    <w:rsid w:val="00BA4528"/>
    <w:rsid w:val="00BA460D"/>
    <w:rsid w:val="00BA4624"/>
    <w:rsid w:val="00BA4652"/>
    <w:rsid w:val="00BA46AC"/>
    <w:rsid w:val="00BA4B92"/>
    <w:rsid w:val="00BA4C3D"/>
    <w:rsid w:val="00BA4C59"/>
    <w:rsid w:val="00BA4C9E"/>
    <w:rsid w:val="00BA4CCE"/>
    <w:rsid w:val="00BA4D1B"/>
    <w:rsid w:val="00BA4EC4"/>
    <w:rsid w:val="00BA4EDE"/>
    <w:rsid w:val="00BA4F1C"/>
    <w:rsid w:val="00BA4F23"/>
    <w:rsid w:val="00BA5205"/>
    <w:rsid w:val="00BA52EF"/>
    <w:rsid w:val="00BA5358"/>
    <w:rsid w:val="00BA5416"/>
    <w:rsid w:val="00BA55A6"/>
    <w:rsid w:val="00BA56C3"/>
    <w:rsid w:val="00BA5873"/>
    <w:rsid w:val="00BA5939"/>
    <w:rsid w:val="00BA59E7"/>
    <w:rsid w:val="00BA5B5D"/>
    <w:rsid w:val="00BA5BA2"/>
    <w:rsid w:val="00BA5BA3"/>
    <w:rsid w:val="00BA5BC6"/>
    <w:rsid w:val="00BA5BD2"/>
    <w:rsid w:val="00BA5C49"/>
    <w:rsid w:val="00BA5C76"/>
    <w:rsid w:val="00BA5D65"/>
    <w:rsid w:val="00BA5D7A"/>
    <w:rsid w:val="00BA5E21"/>
    <w:rsid w:val="00BA60C8"/>
    <w:rsid w:val="00BA621A"/>
    <w:rsid w:val="00BA62D7"/>
    <w:rsid w:val="00BA630A"/>
    <w:rsid w:val="00BA6359"/>
    <w:rsid w:val="00BA644F"/>
    <w:rsid w:val="00BA6451"/>
    <w:rsid w:val="00BA659D"/>
    <w:rsid w:val="00BA65E5"/>
    <w:rsid w:val="00BA6823"/>
    <w:rsid w:val="00BA685F"/>
    <w:rsid w:val="00BA68D1"/>
    <w:rsid w:val="00BA68FA"/>
    <w:rsid w:val="00BA698D"/>
    <w:rsid w:val="00BA6A75"/>
    <w:rsid w:val="00BA6AA5"/>
    <w:rsid w:val="00BA6B1C"/>
    <w:rsid w:val="00BA6B69"/>
    <w:rsid w:val="00BA6C77"/>
    <w:rsid w:val="00BA6CCD"/>
    <w:rsid w:val="00BA6CEE"/>
    <w:rsid w:val="00BA6D20"/>
    <w:rsid w:val="00BA6E34"/>
    <w:rsid w:val="00BA6EC1"/>
    <w:rsid w:val="00BA6FBF"/>
    <w:rsid w:val="00BA70B4"/>
    <w:rsid w:val="00BA7112"/>
    <w:rsid w:val="00BA7279"/>
    <w:rsid w:val="00BA7412"/>
    <w:rsid w:val="00BA7466"/>
    <w:rsid w:val="00BA746D"/>
    <w:rsid w:val="00BA74C5"/>
    <w:rsid w:val="00BA7526"/>
    <w:rsid w:val="00BA758A"/>
    <w:rsid w:val="00BA75E4"/>
    <w:rsid w:val="00BA7613"/>
    <w:rsid w:val="00BA7762"/>
    <w:rsid w:val="00BA7903"/>
    <w:rsid w:val="00BA792E"/>
    <w:rsid w:val="00BA793F"/>
    <w:rsid w:val="00BA7A62"/>
    <w:rsid w:val="00BA7B00"/>
    <w:rsid w:val="00BA7BCB"/>
    <w:rsid w:val="00BA7D37"/>
    <w:rsid w:val="00BA7D7C"/>
    <w:rsid w:val="00BA7DB3"/>
    <w:rsid w:val="00BA7E59"/>
    <w:rsid w:val="00BA7EFC"/>
    <w:rsid w:val="00BB026B"/>
    <w:rsid w:val="00BB0386"/>
    <w:rsid w:val="00BB03DD"/>
    <w:rsid w:val="00BB07B8"/>
    <w:rsid w:val="00BB07E1"/>
    <w:rsid w:val="00BB08B9"/>
    <w:rsid w:val="00BB09DF"/>
    <w:rsid w:val="00BB0A45"/>
    <w:rsid w:val="00BB0B0B"/>
    <w:rsid w:val="00BB0B4B"/>
    <w:rsid w:val="00BB0D58"/>
    <w:rsid w:val="00BB0F68"/>
    <w:rsid w:val="00BB0F75"/>
    <w:rsid w:val="00BB1248"/>
    <w:rsid w:val="00BB128A"/>
    <w:rsid w:val="00BB13D3"/>
    <w:rsid w:val="00BB147E"/>
    <w:rsid w:val="00BB1638"/>
    <w:rsid w:val="00BB1791"/>
    <w:rsid w:val="00BB1838"/>
    <w:rsid w:val="00BB185F"/>
    <w:rsid w:val="00BB18B7"/>
    <w:rsid w:val="00BB18E4"/>
    <w:rsid w:val="00BB1B43"/>
    <w:rsid w:val="00BB1B4B"/>
    <w:rsid w:val="00BB1B4C"/>
    <w:rsid w:val="00BB1E7C"/>
    <w:rsid w:val="00BB1F26"/>
    <w:rsid w:val="00BB1F41"/>
    <w:rsid w:val="00BB2028"/>
    <w:rsid w:val="00BB210A"/>
    <w:rsid w:val="00BB2268"/>
    <w:rsid w:val="00BB2489"/>
    <w:rsid w:val="00BB25DE"/>
    <w:rsid w:val="00BB26AB"/>
    <w:rsid w:val="00BB288C"/>
    <w:rsid w:val="00BB29C6"/>
    <w:rsid w:val="00BB29F8"/>
    <w:rsid w:val="00BB2A65"/>
    <w:rsid w:val="00BB2AC7"/>
    <w:rsid w:val="00BB2ACB"/>
    <w:rsid w:val="00BB2B29"/>
    <w:rsid w:val="00BB2B46"/>
    <w:rsid w:val="00BB2B5F"/>
    <w:rsid w:val="00BB2BBC"/>
    <w:rsid w:val="00BB2CBC"/>
    <w:rsid w:val="00BB2FD2"/>
    <w:rsid w:val="00BB3180"/>
    <w:rsid w:val="00BB31E0"/>
    <w:rsid w:val="00BB31F8"/>
    <w:rsid w:val="00BB3320"/>
    <w:rsid w:val="00BB34DC"/>
    <w:rsid w:val="00BB35DF"/>
    <w:rsid w:val="00BB366C"/>
    <w:rsid w:val="00BB36AC"/>
    <w:rsid w:val="00BB36E3"/>
    <w:rsid w:val="00BB38FA"/>
    <w:rsid w:val="00BB3C1C"/>
    <w:rsid w:val="00BB3CB7"/>
    <w:rsid w:val="00BB3CDA"/>
    <w:rsid w:val="00BB3D37"/>
    <w:rsid w:val="00BB3DBC"/>
    <w:rsid w:val="00BB3E12"/>
    <w:rsid w:val="00BB3E1A"/>
    <w:rsid w:val="00BB3EB2"/>
    <w:rsid w:val="00BB3FC5"/>
    <w:rsid w:val="00BB4126"/>
    <w:rsid w:val="00BB4226"/>
    <w:rsid w:val="00BB42EB"/>
    <w:rsid w:val="00BB4456"/>
    <w:rsid w:val="00BB4627"/>
    <w:rsid w:val="00BB48D2"/>
    <w:rsid w:val="00BB4945"/>
    <w:rsid w:val="00BB49C4"/>
    <w:rsid w:val="00BB4A61"/>
    <w:rsid w:val="00BB4BCA"/>
    <w:rsid w:val="00BB4C11"/>
    <w:rsid w:val="00BB4FEC"/>
    <w:rsid w:val="00BB50CA"/>
    <w:rsid w:val="00BB5158"/>
    <w:rsid w:val="00BB53EC"/>
    <w:rsid w:val="00BB5479"/>
    <w:rsid w:val="00BB54C2"/>
    <w:rsid w:val="00BB551D"/>
    <w:rsid w:val="00BB5664"/>
    <w:rsid w:val="00BB56F0"/>
    <w:rsid w:val="00BB5779"/>
    <w:rsid w:val="00BB58CD"/>
    <w:rsid w:val="00BB590F"/>
    <w:rsid w:val="00BB5A0A"/>
    <w:rsid w:val="00BB5A47"/>
    <w:rsid w:val="00BB5D6B"/>
    <w:rsid w:val="00BB5D8E"/>
    <w:rsid w:val="00BB5DC5"/>
    <w:rsid w:val="00BB5DF7"/>
    <w:rsid w:val="00BB5E07"/>
    <w:rsid w:val="00BB6041"/>
    <w:rsid w:val="00BB60A2"/>
    <w:rsid w:val="00BB60F0"/>
    <w:rsid w:val="00BB6152"/>
    <w:rsid w:val="00BB6281"/>
    <w:rsid w:val="00BB62D4"/>
    <w:rsid w:val="00BB6317"/>
    <w:rsid w:val="00BB64B8"/>
    <w:rsid w:val="00BB64D6"/>
    <w:rsid w:val="00BB6681"/>
    <w:rsid w:val="00BB6694"/>
    <w:rsid w:val="00BB682C"/>
    <w:rsid w:val="00BB6879"/>
    <w:rsid w:val="00BB687A"/>
    <w:rsid w:val="00BB6B54"/>
    <w:rsid w:val="00BB6D00"/>
    <w:rsid w:val="00BB6F8F"/>
    <w:rsid w:val="00BB702E"/>
    <w:rsid w:val="00BB728F"/>
    <w:rsid w:val="00BB72D8"/>
    <w:rsid w:val="00BB7454"/>
    <w:rsid w:val="00BB74A0"/>
    <w:rsid w:val="00BB7751"/>
    <w:rsid w:val="00BB79D7"/>
    <w:rsid w:val="00BB7A56"/>
    <w:rsid w:val="00BB7AA4"/>
    <w:rsid w:val="00BB7B09"/>
    <w:rsid w:val="00BB7B9C"/>
    <w:rsid w:val="00BB7BB2"/>
    <w:rsid w:val="00BB7BC5"/>
    <w:rsid w:val="00BB7CD9"/>
    <w:rsid w:val="00BB7DAA"/>
    <w:rsid w:val="00BB7DAD"/>
    <w:rsid w:val="00BB7E54"/>
    <w:rsid w:val="00BB7E56"/>
    <w:rsid w:val="00BC00B2"/>
    <w:rsid w:val="00BC010E"/>
    <w:rsid w:val="00BC033F"/>
    <w:rsid w:val="00BC0389"/>
    <w:rsid w:val="00BC052B"/>
    <w:rsid w:val="00BC053D"/>
    <w:rsid w:val="00BC0642"/>
    <w:rsid w:val="00BC07E7"/>
    <w:rsid w:val="00BC082D"/>
    <w:rsid w:val="00BC08AA"/>
    <w:rsid w:val="00BC097A"/>
    <w:rsid w:val="00BC09E1"/>
    <w:rsid w:val="00BC09FB"/>
    <w:rsid w:val="00BC0A2C"/>
    <w:rsid w:val="00BC0A61"/>
    <w:rsid w:val="00BC0C00"/>
    <w:rsid w:val="00BC0DCE"/>
    <w:rsid w:val="00BC1397"/>
    <w:rsid w:val="00BC1643"/>
    <w:rsid w:val="00BC17AC"/>
    <w:rsid w:val="00BC1A1F"/>
    <w:rsid w:val="00BC1A9B"/>
    <w:rsid w:val="00BC1CD9"/>
    <w:rsid w:val="00BC1D56"/>
    <w:rsid w:val="00BC1E1C"/>
    <w:rsid w:val="00BC1E27"/>
    <w:rsid w:val="00BC2087"/>
    <w:rsid w:val="00BC2098"/>
    <w:rsid w:val="00BC20A9"/>
    <w:rsid w:val="00BC20C8"/>
    <w:rsid w:val="00BC23C7"/>
    <w:rsid w:val="00BC2423"/>
    <w:rsid w:val="00BC243B"/>
    <w:rsid w:val="00BC248C"/>
    <w:rsid w:val="00BC24D8"/>
    <w:rsid w:val="00BC25CF"/>
    <w:rsid w:val="00BC2605"/>
    <w:rsid w:val="00BC2670"/>
    <w:rsid w:val="00BC2790"/>
    <w:rsid w:val="00BC28D1"/>
    <w:rsid w:val="00BC28EF"/>
    <w:rsid w:val="00BC2B3B"/>
    <w:rsid w:val="00BC2B7D"/>
    <w:rsid w:val="00BC2EB5"/>
    <w:rsid w:val="00BC2EE0"/>
    <w:rsid w:val="00BC2EFC"/>
    <w:rsid w:val="00BC2F9D"/>
    <w:rsid w:val="00BC2FCD"/>
    <w:rsid w:val="00BC3085"/>
    <w:rsid w:val="00BC3180"/>
    <w:rsid w:val="00BC31AA"/>
    <w:rsid w:val="00BC3232"/>
    <w:rsid w:val="00BC35CB"/>
    <w:rsid w:val="00BC36A7"/>
    <w:rsid w:val="00BC36D2"/>
    <w:rsid w:val="00BC37A0"/>
    <w:rsid w:val="00BC388B"/>
    <w:rsid w:val="00BC39FC"/>
    <w:rsid w:val="00BC3A6A"/>
    <w:rsid w:val="00BC3B54"/>
    <w:rsid w:val="00BC3D40"/>
    <w:rsid w:val="00BC3D6E"/>
    <w:rsid w:val="00BC3D7E"/>
    <w:rsid w:val="00BC3E4F"/>
    <w:rsid w:val="00BC3F78"/>
    <w:rsid w:val="00BC4008"/>
    <w:rsid w:val="00BC4126"/>
    <w:rsid w:val="00BC4198"/>
    <w:rsid w:val="00BC41C8"/>
    <w:rsid w:val="00BC422D"/>
    <w:rsid w:val="00BC4579"/>
    <w:rsid w:val="00BC463D"/>
    <w:rsid w:val="00BC4661"/>
    <w:rsid w:val="00BC47AE"/>
    <w:rsid w:val="00BC4861"/>
    <w:rsid w:val="00BC4940"/>
    <w:rsid w:val="00BC49B1"/>
    <w:rsid w:val="00BC4A2C"/>
    <w:rsid w:val="00BC4AB0"/>
    <w:rsid w:val="00BC4ACA"/>
    <w:rsid w:val="00BC4C10"/>
    <w:rsid w:val="00BC4F8B"/>
    <w:rsid w:val="00BC50C0"/>
    <w:rsid w:val="00BC50CA"/>
    <w:rsid w:val="00BC5145"/>
    <w:rsid w:val="00BC51A4"/>
    <w:rsid w:val="00BC52B2"/>
    <w:rsid w:val="00BC539F"/>
    <w:rsid w:val="00BC5531"/>
    <w:rsid w:val="00BC5799"/>
    <w:rsid w:val="00BC5A4E"/>
    <w:rsid w:val="00BC5BA6"/>
    <w:rsid w:val="00BC5C7F"/>
    <w:rsid w:val="00BC5E1D"/>
    <w:rsid w:val="00BC5F9A"/>
    <w:rsid w:val="00BC6117"/>
    <w:rsid w:val="00BC61D6"/>
    <w:rsid w:val="00BC6254"/>
    <w:rsid w:val="00BC63C4"/>
    <w:rsid w:val="00BC6559"/>
    <w:rsid w:val="00BC65C6"/>
    <w:rsid w:val="00BC6629"/>
    <w:rsid w:val="00BC6890"/>
    <w:rsid w:val="00BC695E"/>
    <w:rsid w:val="00BC6A35"/>
    <w:rsid w:val="00BC6B73"/>
    <w:rsid w:val="00BC6BFA"/>
    <w:rsid w:val="00BC6D23"/>
    <w:rsid w:val="00BC6D98"/>
    <w:rsid w:val="00BC6DAE"/>
    <w:rsid w:val="00BC6E13"/>
    <w:rsid w:val="00BC6E5A"/>
    <w:rsid w:val="00BC6E8B"/>
    <w:rsid w:val="00BC6EBC"/>
    <w:rsid w:val="00BC6F30"/>
    <w:rsid w:val="00BC6F94"/>
    <w:rsid w:val="00BC70FC"/>
    <w:rsid w:val="00BC7115"/>
    <w:rsid w:val="00BC71D5"/>
    <w:rsid w:val="00BC726E"/>
    <w:rsid w:val="00BC72D2"/>
    <w:rsid w:val="00BC72DD"/>
    <w:rsid w:val="00BC7491"/>
    <w:rsid w:val="00BC7524"/>
    <w:rsid w:val="00BC75D4"/>
    <w:rsid w:val="00BC75FF"/>
    <w:rsid w:val="00BC7606"/>
    <w:rsid w:val="00BC7702"/>
    <w:rsid w:val="00BC782C"/>
    <w:rsid w:val="00BC79D1"/>
    <w:rsid w:val="00BC7C87"/>
    <w:rsid w:val="00BC7D96"/>
    <w:rsid w:val="00BC7ED1"/>
    <w:rsid w:val="00BC7F6D"/>
    <w:rsid w:val="00BC7F8D"/>
    <w:rsid w:val="00BC7FA7"/>
    <w:rsid w:val="00BC7FFD"/>
    <w:rsid w:val="00BD005F"/>
    <w:rsid w:val="00BD01BF"/>
    <w:rsid w:val="00BD0256"/>
    <w:rsid w:val="00BD02BC"/>
    <w:rsid w:val="00BD0550"/>
    <w:rsid w:val="00BD05A7"/>
    <w:rsid w:val="00BD06E2"/>
    <w:rsid w:val="00BD0755"/>
    <w:rsid w:val="00BD07EF"/>
    <w:rsid w:val="00BD0A26"/>
    <w:rsid w:val="00BD0B1B"/>
    <w:rsid w:val="00BD0BA2"/>
    <w:rsid w:val="00BD0BB6"/>
    <w:rsid w:val="00BD0C65"/>
    <w:rsid w:val="00BD0E6B"/>
    <w:rsid w:val="00BD0F14"/>
    <w:rsid w:val="00BD0F6D"/>
    <w:rsid w:val="00BD10D2"/>
    <w:rsid w:val="00BD10EF"/>
    <w:rsid w:val="00BD11D4"/>
    <w:rsid w:val="00BD12DA"/>
    <w:rsid w:val="00BD1300"/>
    <w:rsid w:val="00BD13E7"/>
    <w:rsid w:val="00BD1464"/>
    <w:rsid w:val="00BD15BC"/>
    <w:rsid w:val="00BD165F"/>
    <w:rsid w:val="00BD170C"/>
    <w:rsid w:val="00BD174A"/>
    <w:rsid w:val="00BD18BE"/>
    <w:rsid w:val="00BD1940"/>
    <w:rsid w:val="00BD1A52"/>
    <w:rsid w:val="00BD1A70"/>
    <w:rsid w:val="00BD1B01"/>
    <w:rsid w:val="00BD1BDE"/>
    <w:rsid w:val="00BD1BF9"/>
    <w:rsid w:val="00BD1C68"/>
    <w:rsid w:val="00BD1CBC"/>
    <w:rsid w:val="00BD1E14"/>
    <w:rsid w:val="00BD1FFC"/>
    <w:rsid w:val="00BD20D9"/>
    <w:rsid w:val="00BD2163"/>
    <w:rsid w:val="00BD21B0"/>
    <w:rsid w:val="00BD2227"/>
    <w:rsid w:val="00BD23F5"/>
    <w:rsid w:val="00BD2637"/>
    <w:rsid w:val="00BD2853"/>
    <w:rsid w:val="00BD2979"/>
    <w:rsid w:val="00BD2996"/>
    <w:rsid w:val="00BD2A46"/>
    <w:rsid w:val="00BD2AE9"/>
    <w:rsid w:val="00BD2B01"/>
    <w:rsid w:val="00BD2B35"/>
    <w:rsid w:val="00BD2B9B"/>
    <w:rsid w:val="00BD2BA8"/>
    <w:rsid w:val="00BD2C66"/>
    <w:rsid w:val="00BD2E2A"/>
    <w:rsid w:val="00BD2EC6"/>
    <w:rsid w:val="00BD2F79"/>
    <w:rsid w:val="00BD311C"/>
    <w:rsid w:val="00BD336B"/>
    <w:rsid w:val="00BD33E3"/>
    <w:rsid w:val="00BD34CD"/>
    <w:rsid w:val="00BD3580"/>
    <w:rsid w:val="00BD3682"/>
    <w:rsid w:val="00BD3737"/>
    <w:rsid w:val="00BD391A"/>
    <w:rsid w:val="00BD3937"/>
    <w:rsid w:val="00BD3B2C"/>
    <w:rsid w:val="00BD3B6E"/>
    <w:rsid w:val="00BD3CCD"/>
    <w:rsid w:val="00BD3D24"/>
    <w:rsid w:val="00BD3DA1"/>
    <w:rsid w:val="00BD3DB0"/>
    <w:rsid w:val="00BD3F04"/>
    <w:rsid w:val="00BD41E1"/>
    <w:rsid w:val="00BD4340"/>
    <w:rsid w:val="00BD436A"/>
    <w:rsid w:val="00BD44AE"/>
    <w:rsid w:val="00BD469D"/>
    <w:rsid w:val="00BD46A9"/>
    <w:rsid w:val="00BD4950"/>
    <w:rsid w:val="00BD498D"/>
    <w:rsid w:val="00BD49FD"/>
    <w:rsid w:val="00BD4A85"/>
    <w:rsid w:val="00BD4B1A"/>
    <w:rsid w:val="00BD4C2D"/>
    <w:rsid w:val="00BD4CFA"/>
    <w:rsid w:val="00BD4DDB"/>
    <w:rsid w:val="00BD5049"/>
    <w:rsid w:val="00BD5151"/>
    <w:rsid w:val="00BD5257"/>
    <w:rsid w:val="00BD5309"/>
    <w:rsid w:val="00BD538C"/>
    <w:rsid w:val="00BD55DD"/>
    <w:rsid w:val="00BD560A"/>
    <w:rsid w:val="00BD565C"/>
    <w:rsid w:val="00BD5694"/>
    <w:rsid w:val="00BD570B"/>
    <w:rsid w:val="00BD58AA"/>
    <w:rsid w:val="00BD599E"/>
    <w:rsid w:val="00BD59B4"/>
    <w:rsid w:val="00BD5B5F"/>
    <w:rsid w:val="00BD5B65"/>
    <w:rsid w:val="00BD5C5C"/>
    <w:rsid w:val="00BD5EED"/>
    <w:rsid w:val="00BD6186"/>
    <w:rsid w:val="00BD62AE"/>
    <w:rsid w:val="00BD62E0"/>
    <w:rsid w:val="00BD640F"/>
    <w:rsid w:val="00BD643F"/>
    <w:rsid w:val="00BD650D"/>
    <w:rsid w:val="00BD6551"/>
    <w:rsid w:val="00BD669F"/>
    <w:rsid w:val="00BD66BA"/>
    <w:rsid w:val="00BD6740"/>
    <w:rsid w:val="00BD67FF"/>
    <w:rsid w:val="00BD6A05"/>
    <w:rsid w:val="00BD6A77"/>
    <w:rsid w:val="00BD6B85"/>
    <w:rsid w:val="00BD6C77"/>
    <w:rsid w:val="00BD6C86"/>
    <w:rsid w:val="00BD6D2E"/>
    <w:rsid w:val="00BD6DA9"/>
    <w:rsid w:val="00BD6E2D"/>
    <w:rsid w:val="00BD6E69"/>
    <w:rsid w:val="00BD6EEE"/>
    <w:rsid w:val="00BD7038"/>
    <w:rsid w:val="00BD706E"/>
    <w:rsid w:val="00BD7140"/>
    <w:rsid w:val="00BD741C"/>
    <w:rsid w:val="00BD7567"/>
    <w:rsid w:val="00BD76F8"/>
    <w:rsid w:val="00BD7912"/>
    <w:rsid w:val="00BD7A87"/>
    <w:rsid w:val="00BD7B22"/>
    <w:rsid w:val="00BD7B2F"/>
    <w:rsid w:val="00BD7B3E"/>
    <w:rsid w:val="00BD7B65"/>
    <w:rsid w:val="00BD7C26"/>
    <w:rsid w:val="00BD7D87"/>
    <w:rsid w:val="00BD7DD8"/>
    <w:rsid w:val="00BD7DDC"/>
    <w:rsid w:val="00BD7E8B"/>
    <w:rsid w:val="00BD7FD6"/>
    <w:rsid w:val="00BE03D4"/>
    <w:rsid w:val="00BE05D4"/>
    <w:rsid w:val="00BE05F2"/>
    <w:rsid w:val="00BE0828"/>
    <w:rsid w:val="00BE0854"/>
    <w:rsid w:val="00BE0984"/>
    <w:rsid w:val="00BE0A2A"/>
    <w:rsid w:val="00BE0A63"/>
    <w:rsid w:val="00BE0C60"/>
    <w:rsid w:val="00BE0CA9"/>
    <w:rsid w:val="00BE0EDA"/>
    <w:rsid w:val="00BE0F08"/>
    <w:rsid w:val="00BE0FF4"/>
    <w:rsid w:val="00BE1188"/>
    <w:rsid w:val="00BE1374"/>
    <w:rsid w:val="00BE1377"/>
    <w:rsid w:val="00BE14A5"/>
    <w:rsid w:val="00BE14C1"/>
    <w:rsid w:val="00BE1650"/>
    <w:rsid w:val="00BE173A"/>
    <w:rsid w:val="00BE17A6"/>
    <w:rsid w:val="00BE1A3A"/>
    <w:rsid w:val="00BE1CD5"/>
    <w:rsid w:val="00BE1D13"/>
    <w:rsid w:val="00BE1D87"/>
    <w:rsid w:val="00BE1FDD"/>
    <w:rsid w:val="00BE206D"/>
    <w:rsid w:val="00BE2314"/>
    <w:rsid w:val="00BE23C5"/>
    <w:rsid w:val="00BE24E5"/>
    <w:rsid w:val="00BE2572"/>
    <w:rsid w:val="00BE25C6"/>
    <w:rsid w:val="00BE27C9"/>
    <w:rsid w:val="00BE27F2"/>
    <w:rsid w:val="00BE2855"/>
    <w:rsid w:val="00BE28B6"/>
    <w:rsid w:val="00BE295E"/>
    <w:rsid w:val="00BE2975"/>
    <w:rsid w:val="00BE29A7"/>
    <w:rsid w:val="00BE2A4C"/>
    <w:rsid w:val="00BE2ACF"/>
    <w:rsid w:val="00BE2FE9"/>
    <w:rsid w:val="00BE3319"/>
    <w:rsid w:val="00BE361C"/>
    <w:rsid w:val="00BE36E0"/>
    <w:rsid w:val="00BE395A"/>
    <w:rsid w:val="00BE39AC"/>
    <w:rsid w:val="00BE39C2"/>
    <w:rsid w:val="00BE3A31"/>
    <w:rsid w:val="00BE3CCE"/>
    <w:rsid w:val="00BE3DF7"/>
    <w:rsid w:val="00BE3E6B"/>
    <w:rsid w:val="00BE3E9F"/>
    <w:rsid w:val="00BE3FDF"/>
    <w:rsid w:val="00BE4033"/>
    <w:rsid w:val="00BE4076"/>
    <w:rsid w:val="00BE409A"/>
    <w:rsid w:val="00BE41EE"/>
    <w:rsid w:val="00BE431E"/>
    <w:rsid w:val="00BE43C4"/>
    <w:rsid w:val="00BE446B"/>
    <w:rsid w:val="00BE4559"/>
    <w:rsid w:val="00BE4614"/>
    <w:rsid w:val="00BE46E1"/>
    <w:rsid w:val="00BE4768"/>
    <w:rsid w:val="00BE48AD"/>
    <w:rsid w:val="00BE48CC"/>
    <w:rsid w:val="00BE490E"/>
    <w:rsid w:val="00BE491C"/>
    <w:rsid w:val="00BE494A"/>
    <w:rsid w:val="00BE4B5C"/>
    <w:rsid w:val="00BE4D48"/>
    <w:rsid w:val="00BE4D5C"/>
    <w:rsid w:val="00BE4DC2"/>
    <w:rsid w:val="00BE50E5"/>
    <w:rsid w:val="00BE5228"/>
    <w:rsid w:val="00BE5436"/>
    <w:rsid w:val="00BE5447"/>
    <w:rsid w:val="00BE54D6"/>
    <w:rsid w:val="00BE54E0"/>
    <w:rsid w:val="00BE552B"/>
    <w:rsid w:val="00BE55AE"/>
    <w:rsid w:val="00BE5660"/>
    <w:rsid w:val="00BE569D"/>
    <w:rsid w:val="00BE56EF"/>
    <w:rsid w:val="00BE59A1"/>
    <w:rsid w:val="00BE5A2A"/>
    <w:rsid w:val="00BE5A5F"/>
    <w:rsid w:val="00BE5C9B"/>
    <w:rsid w:val="00BE5E68"/>
    <w:rsid w:val="00BE5E7B"/>
    <w:rsid w:val="00BE6000"/>
    <w:rsid w:val="00BE606C"/>
    <w:rsid w:val="00BE6088"/>
    <w:rsid w:val="00BE6303"/>
    <w:rsid w:val="00BE63AF"/>
    <w:rsid w:val="00BE6592"/>
    <w:rsid w:val="00BE6B35"/>
    <w:rsid w:val="00BE6C96"/>
    <w:rsid w:val="00BE6D0F"/>
    <w:rsid w:val="00BE6D46"/>
    <w:rsid w:val="00BE6EC8"/>
    <w:rsid w:val="00BE6FA7"/>
    <w:rsid w:val="00BE6FCF"/>
    <w:rsid w:val="00BE71AE"/>
    <w:rsid w:val="00BE7238"/>
    <w:rsid w:val="00BE732F"/>
    <w:rsid w:val="00BE7389"/>
    <w:rsid w:val="00BE7398"/>
    <w:rsid w:val="00BE7465"/>
    <w:rsid w:val="00BE755E"/>
    <w:rsid w:val="00BE769B"/>
    <w:rsid w:val="00BE7834"/>
    <w:rsid w:val="00BE784D"/>
    <w:rsid w:val="00BE7B15"/>
    <w:rsid w:val="00BE7B81"/>
    <w:rsid w:val="00BE7C40"/>
    <w:rsid w:val="00BE7C53"/>
    <w:rsid w:val="00BE7D24"/>
    <w:rsid w:val="00BE7D48"/>
    <w:rsid w:val="00BF01CB"/>
    <w:rsid w:val="00BF0275"/>
    <w:rsid w:val="00BF02A3"/>
    <w:rsid w:val="00BF030D"/>
    <w:rsid w:val="00BF031D"/>
    <w:rsid w:val="00BF03C1"/>
    <w:rsid w:val="00BF03EF"/>
    <w:rsid w:val="00BF0451"/>
    <w:rsid w:val="00BF0703"/>
    <w:rsid w:val="00BF07EE"/>
    <w:rsid w:val="00BF086B"/>
    <w:rsid w:val="00BF08FA"/>
    <w:rsid w:val="00BF099D"/>
    <w:rsid w:val="00BF09AC"/>
    <w:rsid w:val="00BF0A17"/>
    <w:rsid w:val="00BF0B23"/>
    <w:rsid w:val="00BF0B65"/>
    <w:rsid w:val="00BF0BA7"/>
    <w:rsid w:val="00BF0BD7"/>
    <w:rsid w:val="00BF0C46"/>
    <w:rsid w:val="00BF0CD1"/>
    <w:rsid w:val="00BF0D9D"/>
    <w:rsid w:val="00BF0DBA"/>
    <w:rsid w:val="00BF0EDF"/>
    <w:rsid w:val="00BF0EF1"/>
    <w:rsid w:val="00BF11E1"/>
    <w:rsid w:val="00BF1563"/>
    <w:rsid w:val="00BF157C"/>
    <w:rsid w:val="00BF15E9"/>
    <w:rsid w:val="00BF17D6"/>
    <w:rsid w:val="00BF17F2"/>
    <w:rsid w:val="00BF185D"/>
    <w:rsid w:val="00BF195D"/>
    <w:rsid w:val="00BF1A0B"/>
    <w:rsid w:val="00BF1AF1"/>
    <w:rsid w:val="00BF1B2B"/>
    <w:rsid w:val="00BF1CBD"/>
    <w:rsid w:val="00BF1E50"/>
    <w:rsid w:val="00BF1FD8"/>
    <w:rsid w:val="00BF20E8"/>
    <w:rsid w:val="00BF218A"/>
    <w:rsid w:val="00BF21F0"/>
    <w:rsid w:val="00BF25C4"/>
    <w:rsid w:val="00BF26FB"/>
    <w:rsid w:val="00BF28A6"/>
    <w:rsid w:val="00BF28F0"/>
    <w:rsid w:val="00BF2999"/>
    <w:rsid w:val="00BF29B2"/>
    <w:rsid w:val="00BF2C44"/>
    <w:rsid w:val="00BF2D81"/>
    <w:rsid w:val="00BF30E6"/>
    <w:rsid w:val="00BF30EC"/>
    <w:rsid w:val="00BF335B"/>
    <w:rsid w:val="00BF3647"/>
    <w:rsid w:val="00BF3782"/>
    <w:rsid w:val="00BF37E3"/>
    <w:rsid w:val="00BF38CD"/>
    <w:rsid w:val="00BF38DC"/>
    <w:rsid w:val="00BF396B"/>
    <w:rsid w:val="00BF3AFE"/>
    <w:rsid w:val="00BF3BCA"/>
    <w:rsid w:val="00BF3C51"/>
    <w:rsid w:val="00BF3D94"/>
    <w:rsid w:val="00BF3DEF"/>
    <w:rsid w:val="00BF3F91"/>
    <w:rsid w:val="00BF40B5"/>
    <w:rsid w:val="00BF42D2"/>
    <w:rsid w:val="00BF441D"/>
    <w:rsid w:val="00BF4446"/>
    <w:rsid w:val="00BF4648"/>
    <w:rsid w:val="00BF470F"/>
    <w:rsid w:val="00BF47CA"/>
    <w:rsid w:val="00BF4852"/>
    <w:rsid w:val="00BF4A91"/>
    <w:rsid w:val="00BF4AAC"/>
    <w:rsid w:val="00BF4ACF"/>
    <w:rsid w:val="00BF4BFF"/>
    <w:rsid w:val="00BF4C18"/>
    <w:rsid w:val="00BF4F30"/>
    <w:rsid w:val="00BF536D"/>
    <w:rsid w:val="00BF53D0"/>
    <w:rsid w:val="00BF541E"/>
    <w:rsid w:val="00BF56BA"/>
    <w:rsid w:val="00BF587B"/>
    <w:rsid w:val="00BF5908"/>
    <w:rsid w:val="00BF5919"/>
    <w:rsid w:val="00BF5982"/>
    <w:rsid w:val="00BF5997"/>
    <w:rsid w:val="00BF59B7"/>
    <w:rsid w:val="00BF59CA"/>
    <w:rsid w:val="00BF5BA8"/>
    <w:rsid w:val="00BF5BDD"/>
    <w:rsid w:val="00BF5C35"/>
    <w:rsid w:val="00BF5C7E"/>
    <w:rsid w:val="00BF5E20"/>
    <w:rsid w:val="00BF600B"/>
    <w:rsid w:val="00BF601F"/>
    <w:rsid w:val="00BF6050"/>
    <w:rsid w:val="00BF6062"/>
    <w:rsid w:val="00BF6073"/>
    <w:rsid w:val="00BF6173"/>
    <w:rsid w:val="00BF618A"/>
    <w:rsid w:val="00BF63B6"/>
    <w:rsid w:val="00BF649B"/>
    <w:rsid w:val="00BF66EE"/>
    <w:rsid w:val="00BF6720"/>
    <w:rsid w:val="00BF6C4B"/>
    <w:rsid w:val="00BF6E52"/>
    <w:rsid w:val="00BF7079"/>
    <w:rsid w:val="00BF7140"/>
    <w:rsid w:val="00BF71A3"/>
    <w:rsid w:val="00BF71F2"/>
    <w:rsid w:val="00BF7252"/>
    <w:rsid w:val="00BF72A6"/>
    <w:rsid w:val="00BF73A2"/>
    <w:rsid w:val="00BF7400"/>
    <w:rsid w:val="00BF7442"/>
    <w:rsid w:val="00BF7452"/>
    <w:rsid w:val="00BF7543"/>
    <w:rsid w:val="00BF75A1"/>
    <w:rsid w:val="00BF75B8"/>
    <w:rsid w:val="00BF75CB"/>
    <w:rsid w:val="00BF7625"/>
    <w:rsid w:val="00BF7665"/>
    <w:rsid w:val="00BF7680"/>
    <w:rsid w:val="00BF771D"/>
    <w:rsid w:val="00BF77AC"/>
    <w:rsid w:val="00BF796C"/>
    <w:rsid w:val="00BF7A2C"/>
    <w:rsid w:val="00BF7A2E"/>
    <w:rsid w:val="00BF7A78"/>
    <w:rsid w:val="00BF7C5E"/>
    <w:rsid w:val="00BF7DB4"/>
    <w:rsid w:val="00BF7E8C"/>
    <w:rsid w:val="00BF7F1F"/>
    <w:rsid w:val="00BF7F6B"/>
    <w:rsid w:val="00BF7FC4"/>
    <w:rsid w:val="00C0018A"/>
    <w:rsid w:val="00C002F6"/>
    <w:rsid w:val="00C002FE"/>
    <w:rsid w:val="00C0037D"/>
    <w:rsid w:val="00C003B9"/>
    <w:rsid w:val="00C003D5"/>
    <w:rsid w:val="00C005D2"/>
    <w:rsid w:val="00C00602"/>
    <w:rsid w:val="00C00853"/>
    <w:rsid w:val="00C008A6"/>
    <w:rsid w:val="00C00905"/>
    <w:rsid w:val="00C00992"/>
    <w:rsid w:val="00C00A7C"/>
    <w:rsid w:val="00C00B70"/>
    <w:rsid w:val="00C00C83"/>
    <w:rsid w:val="00C00CE9"/>
    <w:rsid w:val="00C00E5B"/>
    <w:rsid w:val="00C00FD3"/>
    <w:rsid w:val="00C00FDD"/>
    <w:rsid w:val="00C0104C"/>
    <w:rsid w:val="00C01170"/>
    <w:rsid w:val="00C012DF"/>
    <w:rsid w:val="00C01327"/>
    <w:rsid w:val="00C013AB"/>
    <w:rsid w:val="00C013B4"/>
    <w:rsid w:val="00C01422"/>
    <w:rsid w:val="00C01494"/>
    <w:rsid w:val="00C01497"/>
    <w:rsid w:val="00C0149B"/>
    <w:rsid w:val="00C014E2"/>
    <w:rsid w:val="00C014F1"/>
    <w:rsid w:val="00C0156D"/>
    <w:rsid w:val="00C0157D"/>
    <w:rsid w:val="00C015B7"/>
    <w:rsid w:val="00C01822"/>
    <w:rsid w:val="00C01831"/>
    <w:rsid w:val="00C01878"/>
    <w:rsid w:val="00C01892"/>
    <w:rsid w:val="00C018AA"/>
    <w:rsid w:val="00C01B5C"/>
    <w:rsid w:val="00C01B69"/>
    <w:rsid w:val="00C01BA7"/>
    <w:rsid w:val="00C01BBB"/>
    <w:rsid w:val="00C01D73"/>
    <w:rsid w:val="00C01D97"/>
    <w:rsid w:val="00C01DA1"/>
    <w:rsid w:val="00C01E70"/>
    <w:rsid w:val="00C01F18"/>
    <w:rsid w:val="00C01FD1"/>
    <w:rsid w:val="00C024A5"/>
    <w:rsid w:val="00C02671"/>
    <w:rsid w:val="00C0274F"/>
    <w:rsid w:val="00C027B3"/>
    <w:rsid w:val="00C027D5"/>
    <w:rsid w:val="00C029F4"/>
    <w:rsid w:val="00C02B1F"/>
    <w:rsid w:val="00C02CE1"/>
    <w:rsid w:val="00C02D1E"/>
    <w:rsid w:val="00C02F35"/>
    <w:rsid w:val="00C02F92"/>
    <w:rsid w:val="00C0314D"/>
    <w:rsid w:val="00C0331F"/>
    <w:rsid w:val="00C035B5"/>
    <w:rsid w:val="00C035CA"/>
    <w:rsid w:val="00C0365C"/>
    <w:rsid w:val="00C0368B"/>
    <w:rsid w:val="00C036AC"/>
    <w:rsid w:val="00C03865"/>
    <w:rsid w:val="00C03A0B"/>
    <w:rsid w:val="00C03B25"/>
    <w:rsid w:val="00C03D4D"/>
    <w:rsid w:val="00C03D5A"/>
    <w:rsid w:val="00C03E3C"/>
    <w:rsid w:val="00C043E8"/>
    <w:rsid w:val="00C045D4"/>
    <w:rsid w:val="00C0474F"/>
    <w:rsid w:val="00C04817"/>
    <w:rsid w:val="00C0497F"/>
    <w:rsid w:val="00C04A19"/>
    <w:rsid w:val="00C04BC0"/>
    <w:rsid w:val="00C04C95"/>
    <w:rsid w:val="00C04CA2"/>
    <w:rsid w:val="00C04F07"/>
    <w:rsid w:val="00C04F2D"/>
    <w:rsid w:val="00C05276"/>
    <w:rsid w:val="00C05291"/>
    <w:rsid w:val="00C054A3"/>
    <w:rsid w:val="00C05523"/>
    <w:rsid w:val="00C05622"/>
    <w:rsid w:val="00C0582D"/>
    <w:rsid w:val="00C05851"/>
    <w:rsid w:val="00C058E8"/>
    <w:rsid w:val="00C0590A"/>
    <w:rsid w:val="00C05A58"/>
    <w:rsid w:val="00C05AC5"/>
    <w:rsid w:val="00C05B62"/>
    <w:rsid w:val="00C05C31"/>
    <w:rsid w:val="00C05DEF"/>
    <w:rsid w:val="00C05ECD"/>
    <w:rsid w:val="00C0616F"/>
    <w:rsid w:val="00C06417"/>
    <w:rsid w:val="00C06535"/>
    <w:rsid w:val="00C06733"/>
    <w:rsid w:val="00C06801"/>
    <w:rsid w:val="00C06984"/>
    <w:rsid w:val="00C06A93"/>
    <w:rsid w:val="00C06AD9"/>
    <w:rsid w:val="00C06B73"/>
    <w:rsid w:val="00C06BEC"/>
    <w:rsid w:val="00C06F48"/>
    <w:rsid w:val="00C0708C"/>
    <w:rsid w:val="00C070B2"/>
    <w:rsid w:val="00C070F1"/>
    <w:rsid w:val="00C072D7"/>
    <w:rsid w:val="00C0736E"/>
    <w:rsid w:val="00C074BE"/>
    <w:rsid w:val="00C074F9"/>
    <w:rsid w:val="00C07518"/>
    <w:rsid w:val="00C07620"/>
    <w:rsid w:val="00C07886"/>
    <w:rsid w:val="00C07A51"/>
    <w:rsid w:val="00C07AB6"/>
    <w:rsid w:val="00C07ACB"/>
    <w:rsid w:val="00C07C27"/>
    <w:rsid w:val="00C07D53"/>
    <w:rsid w:val="00C07E03"/>
    <w:rsid w:val="00C07E7A"/>
    <w:rsid w:val="00C07F7E"/>
    <w:rsid w:val="00C10026"/>
    <w:rsid w:val="00C10270"/>
    <w:rsid w:val="00C10280"/>
    <w:rsid w:val="00C102F3"/>
    <w:rsid w:val="00C10329"/>
    <w:rsid w:val="00C103AF"/>
    <w:rsid w:val="00C1042F"/>
    <w:rsid w:val="00C10508"/>
    <w:rsid w:val="00C10518"/>
    <w:rsid w:val="00C1062E"/>
    <w:rsid w:val="00C106B8"/>
    <w:rsid w:val="00C107B2"/>
    <w:rsid w:val="00C10A7A"/>
    <w:rsid w:val="00C10AFD"/>
    <w:rsid w:val="00C10B17"/>
    <w:rsid w:val="00C10B22"/>
    <w:rsid w:val="00C10B89"/>
    <w:rsid w:val="00C10C3F"/>
    <w:rsid w:val="00C10C52"/>
    <w:rsid w:val="00C10C8F"/>
    <w:rsid w:val="00C10CF1"/>
    <w:rsid w:val="00C10EE4"/>
    <w:rsid w:val="00C111BF"/>
    <w:rsid w:val="00C112E4"/>
    <w:rsid w:val="00C1134D"/>
    <w:rsid w:val="00C1153C"/>
    <w:rsid w:val="00C115C9"/>
    <w:rsid w:val="00C11615"/>
    <w:rsid w:val="00C11623"/>
    <w:rsid w:val="00C11628"/>
    <w:rsid w:val="00C1168C"/>
    <w:rsid w:val="00C1172F"/>
    <w:rsid w:val="00C1180A"/>
    <w:rsid w:val="00C119A0"/>
    <w:rsid w:val="00C11A92"/>
    <w:rsid w:val="00C11ABD"/>
    <w:rsid w:val="00C11B40"/>
    <w:rsid w:val="00C11B6B"/>
    <w:rsid w:val="00C11BB6"/>
    <w:rsid w:val="00C11CC9"/>
    <w:rsid w:val="00C11E8A"/>
    <w:rsid w:val="00C120CC"/>
    <w:rsid w:val="00C1212A"/>
    <w:rsid w:val="00C1214C"/>
    <w:rsid w:val="00C12222"/>
    <w:rsid w:val="00C12239"/>
    <w:rsid w:val="00C123CB"/>
    <w:rsid w:val="00C124FF"/>
    <w:rsid w:val="00C12523"/>
    <w:rsid w:val="00C125EF"/>
    <w:rsid w:val="00C12627"/>
    <w:rsid w:val="00C126A4"/>
    <w:rsid w:val="00C129D9"/>
    <w:rsid w:val="00C12A95"/>
    <w:rsid w:val="00C12C04"/>
    <w:rsid w:val="00C12D3C"/>
    <w:rsid w:val="00C12D4B"/>
    <w:rsid w:val="00C12D64"/>
    <w:rsid w:val="00C12FB5"/>
    <w:rsid w:val="00C13017"/>
    <w:rsid w:val="00C13089"/>
    <w:rsid w:val="00C13238"/>
    <w:rsid w:val="00C134DA"/>
    <w:rsid w:val="00C13503"/>
    <w:rsid w:val="00C13504"/>
    <w:rsid w:val="00C13547"/>
    <w:rsid w:val="00C13576"/>
    <w:rsid w:val="00C13652"/>
    <w:rsid w:val="00C1383A"/>
    <w:rsid w:val="00C139E5"/>
    <w:rsid w:val="00C13C06"/>
    <w:rsid w:val="00C13C90"/>
    <w:rsid w:val="00C13CF2"/>
    <w:rsid w:val="00C13E8A"/>
    <w:rsid w:val="00C14121"/>
    <w:rsid w:val="00C142BD"/>
    <w:rsid w:val="00C142F8"/>
    <w:rsid w:val="00C14308"/>
    <w:rsid w:val="00C14382"/>
    <w:rsid w:val="00C14445"/>
    <w:rsid w:val="00C14630"/>
    <w:rsid w:val="00C14698"/>
    <w:rsid w:val="00C1470C"/>
    <w:rsid w:val="00C1470E"/>
    <w:rsid w:val="00C147D6"/>
    <w:rsid w:val="00C14821"/>
    <w:rsid w:val="00C1484F"/>
    <w:rsid w:val="00C14897"/>
    <w:rsid w:val="00C149EC"/>
    <w:rsid w:val="00C14A40"/>
    <w:rsid w:val="00C14C8C"/>
    <w:rsid w:val="00C14E4F"/>
    <w:rsid w:val="00C14F19"/>
    <w:rsid w:val="00C14F80"/>
    <w:rsid w:val="00C14FB2"/>
    <w:rsid w:val="00C14FED"/>
    <w:rsid w:val="00C15205"/>
    <w:rsid w:val="00C1526B"/>
    <w:rsid w:val="00C153A5"/>
    <w:rsid w:val="00C153B7"/>
    <w:rsid w:val="00C15434"/>
    <w:rsid w:val="00C155AE"/>
    <w:rsid w:val="00C1575F"/>
    <w:rsid w:val="00C15917"/>
    <w:rsid w:val="00C15A2C"/>
    <w:rsid w:val="00C15B0C"/>
    <w:rsid w:val="00C15C2D"/>
    <w:rsid w:val="00C15DE5"/>
    <w:rsid w:val="00C15E72"/>
    <w:rsid w:val="00C15FAB"/>
    <w:rsid w:val="00C16016"/>
    <w:rsid w:val="00C160D6"/>
    <w:rsid w:val="00C16123"/>
    <w:rsid w:val="00C1649C"/>
    <w:rsid w:val="00C1656E"/>
    <w:rsid w:val="00C16621"/>
    <w:rsid w:val="00C166C4"/>
    <w:rsid w:val="00C16715"/>
    <w:rsid w:val="00C1684C"/>
    <w:rsid w:val="00C168CF"/>
    <w:rsid w:val="00C16912"/>
    <w:rsid w:val="00C16A45"/>
    <w:rsid w:val="00C16AB7"/>
    <w:rsid w:val="00C16C0C"/>
    <w:rsid w:val="00C17007"/>
    <w:rsid w:val="00C170F5"/>
    <w:rsid w:val="00C17204"/>
    <w:rsid w:val="00C17304"/>
    <w:rsid w:val="00C17455"/>
    <w:rsid w:val="00C1748F"/>
    <w:rsid w:val="00C175DB"/>
    <w:rsid w:val="00C176AC"/>
    <w:rsid w:val="00C17828"/>
    <w:rsid w:val="00C178B5"/>
    <w:rsid w:val="00C178F6"/>
    <w:rsid w:val="00C1795B"/>
    <w:rsid w:val="00C17960"/>
    <w:rsid w:val="00C179F5"/>
    <w:rsid w:val="00C17CE1"/>
    <w:rsid w:val="00C17D02"/>
    <w:rsid w:val="00C17F75"/>
    <w:rsid w:val="00C17FDD"/>
    <w:rsid w:val="00C200C2"/>
    <w:rsid w:val="00C2028F"/>
    <w:rsid w:val="00C2037D"/>
    <w:rsid w:val="00C204EB"/>
    <w:rsid w:val="00C2058B"/>
    <w:rsid w:val="00C20665"/>
    <w:rsid w:val="00C20668"/>
    <w:rsid w:val="00C206B3"/>
    <w:rsid w:val="00C206D6"/>
    <w:rsid w:val="00C20738"/>
    <w:rsid w:val="00C20745"/>
    <w:rsid w:val="00C20859"/>
    <w:rsid w:val="00C208B8"/>
    <w:rsid w:val="00C209AD"/>
    <w:rsid w:val="00C209CF"/>
    <w:rsid w:val="00C20A00"/>
    <w:rsid w:val="00C20A53"/>
    <w:rsid w:val="00C20B13"/>
    <w:rsid w:val="00C20B5C"/>
    <w:rsid w:val="00C20B86"/>
    <w:rsid w:val="00C20BF1"/>
    <w:rsid w:val="00C20F7D"/>
    <w:rsid w:val="00C2103A"/>
    <w:rsid w:val="00C21245"/>
    <w:rsid w:val="00C212F4"/>
    <w:rsid w:val="00C21381"/>
    <w:rsid w:val="00C2148F"/>
    <w:rsid w:val="00C2152B"/>
    <w:rsid w:val="00C21575"/>
    <w:rsid w:val="00C215A2"/>
    <w:rsid w:val="00C2164B"/>
    <w:rsid w:val="00C2165B"/>
    <w:rsid w:val="00C21890"/>
    <w:rsid w:val="00C21A26"/>
    <w:rsid w:val="00C21C8B"/>
    <w:rsid w:val="00C21DA3"/>
    <w:rsid w:val="00C21DF9"/>
    <w:rsid w:val="00C21E4F"/>
    <w:rsid w:val="00C21EF9"/>
    <w:rsid w:val="00C21FE6"/>
    <w:rsid w:val="00C2214E"/>
    <w:rsid w:val="00C221C0"/>
    <w:rsid w:val="00C222A1"/>
    <w:rsid w:val="00C222F7"/>
    <w:rsid w:val="00C22397"/>
    <w:rsid w:val="00C223DF"/>
    <w:rsid w:val="00C224E3"/>
    <w:rsid w:val="00C225C7"/>
    <w:rsid w:val="00C22690"/>
    <w:rsid w:val="00C226D1"/>
    <w:rsid w:val="00C22913"/>
    <w:rsid w:val="00C22A55"/>
    <w:rsid w:val="00C22A99"/>
    <w:rsid w:val="00C22AAB"/>
    <w:rsid w:val="00C22ACD"/>
    <w:rsid w:val="00C22CEA"/>
    <w:rsid w:val="00C22ECB"/>
    <w:rsid w:val="00C22F40"/>
    <w:rsid w:val="00C22FA6"/>
    <w:rsid w:val="00C2307B"/>
    <w:rsid w:val="00C232F3"/>
    <w:rsid w:val="00C2351F"/>
    <w:rsid w:val="00C2355F"/>
    <w:rsid w:val="00C2373C"/>
    <w:rsid w:val="00C23815"/>
    <w:rsid w:val="00C2388B"/>
    <w:rsid w:val="00C23B33"/>
    <w:rsid w:val="00C23BB4"/>
    <w:rsid w:val="00C23C3B"/>
    <w:rsid w:val="00C23F47"/>
    <w:rsid w:val="00C23FC4"/>
    <w:rsid w:val="00C241CA"/>
    <w:rsid w:val="00C242C1"/>
    <w:rsid w:val="00C242DE"/>
    <w:rsid w:val="00C2432A"/>
    <w:rsid w:val="00C243EE"/>
    <w:rsid w:val="00C24530"/>
    <w:rsid w:val="00C2455B"/>
    <w:rsid w:val="00C24589"/>
    <w:rsid w:val="00C245C4"/>
    <w:rsid w:val="00C24603"/>
    <w:rsid w:val="00C24707"/>
    <w:rsid w:val="00C24709"/>
    <w:rsid w:val="00C24715"/>
    <w:rsid w:val="00C24746"/>
    <w:rsid w:val="00C24792"/>
    <w:rsid w:val="00C24839"/>
    <w:rsid w:val="00C2483E"/>
    <w:rsid w:val="00C24869"/>
    <w:rsid w:val="00C248D8"/>
    <w:rsid w:val="00C24AE4"/>
    <w:rsid w:val="00C24B93"/>
    <w:rsid w:val="00C24C27"/>
    <w:rsid w:val="00C24C47"/>
    <w:rsid w:val="00C24CAB"/>
    <w:rsid w:val="00C24D22"/>
    <w:rsid w:val="00C24D2A"/>
    <w:rsid w:val="00C24D35"/>
    <w:rsid w:val="00C24F44"/>
    <w:rsid w:val="00C24FCB"/>
    <w:rsid w:val="00C250BA"/>
    <w:rsid w:val="00C25176"/>
    <w:rsid w:val="00C2525E"/>
    <w:rsid w:val="00C2544F"/>
    <w:rsid w:val="00C25601"/>
    <w:rsid w:val="00C2560D"/>
    <w:rsid w:val="00C256C1"/>
    <w:rsid w:val="00C2583B"/>
    <w:rsid w:val="00C2584D"/>
    <w:rsid w:val="00C25BA6"/>
    <w:rsid w:val="00C25F77"/>
    <w:rsid w:val="00C26046"/>
    <w:rsid w:val="00C26159"/>
    <w:rsid w:val="00C2615F"/>
    <w:rsid w:val="00C2629C"/>
    <w:rsid w:val="00C262B4"/>
    <w:rsid w:val="00C262ED"/>
    <w:rsid w:val="00C2630D"/>
    <w:rsid w:val="00C2632B"/>
    <w:rsid w:val="00C265C9"/>
    <w:rsid w:val="00C2663C"/>
    <w:rsid w:val="00C2664A"/>
    <w:rsid w:val="00C266FA"/>
    <w:rsid w:val="00C26737"/>
    <w:rsid w:val="00C2679F"/>
    <w:rsid w:val="00C267E3"/>
    <w:rsid w:val="00C268C6"/>
    <w:rsid w:val="00C26968"/>
    <w:rsid w:val="00C26A69"/>
    <w:rsid w:val="00C26BF0"/>
    <w:rsid w:val="00C26CCA"/>
    <w:rsid w:val="00C26CDD"/>
    <w:rsid w:val="00C26EA5"/>
    <w:rsid w:val="00C26F10"/>
    <w:rsid w:val="00C26F3D"/>
    <w:rsid w:val="00C27037"/>
    <w:rsid w:val="00C27048"/>
    <w:rsid w:val="00C2726A"/>
    <w:rsid w:val="00C27431"/>
    <w:rsid w:val="00C2756B"/>
    <w:rsid w:val="00C27582"/>
    <w:rsid w:val="00C27678"/>
    <w:rsid w:val="00C277DA"/>
    <w:rsid w:val="00C27815"/>
    <w:rsid w:val="00C2797E"/>
    <w:rsid w:val="00C27C23"/>
    <w:rsid w:val="00C27C7F"/>
    <w:rsid w:val="00C27CC6"/>
    <w:rsid w:val="00C27CEE"/>
    <w:rsid w:val="00C27E4E"/>
    <w:rsid w:val="00C27EE5"/>
    <w:rsid w:val="00C27F1E"/>
    <w:rsid w:val="00C27FE4"/>
    <w:rsid w:val="00C30017"/>
    <w:rsid w:val="00C30019"/>
    <w:rsid w:val="00C301CF"/>
    <w:rsid w:val="00C30423"/>
    <w:rsid w:val="00C30559"/>
    <w:rsid w:val="00C30594"/>
    <w:rsid w:val="00C3070C"/>
    <w:rsid w:val="00C30744"/>
    <w:rsid w:val="00C30810"/>
    <w:rsid w:val="00C3089D"/>
    <w:rsid w:val="00C309E6"/>
    <w:rsid w:val="00C30A01"/>
    <w:rsid w:val="00C30A6D"/>
    <w:rsid w:val="00C30B1F"/>
    <w:rsid w:val="00C30B6D"/>
    <w:rsid w:val="00C30B83"/>
    <w:rsid w:val="00C30BCC"/>
    <w:rsid w:val="00C30C46"/>
    <w:rsid w:val="00C30CE4"/>
    <w:rsid w:val="00C30DAB"/>
    <w:rsid w:val="00C30DBF"/>
    <w:rsid w:val="00C30EAA"/>
    <w:rsid w:val="00C30F21"/>
    <w:rsid w:val="00C30F8E"/>
    <w:rsid w:val="00C3104F"/>
    <w:rsid w:val="00C310C6"/>
    <w:rsid w:val="00C310CC"/>
    <w:rsid w:val="00C31196"/>
    <w:rsid w:val="00C311E2"/>
    <w:rsid w:val="00C31439"/>
    <w:rsid w:val="00C31460"/>
    <w:rsid w:val="00C314E3"/>
    <w:rsid w:val="00C315D6"/>
    <w:rsid w:val="00C315F5"/>
    <w:rsid w:val="00C31645"/>
    <w:rsid w:val="00C317DA"/>
    <w:rsid w:val="00C31808"/>
    <w:rsid w:val="00C31866"/>
    <w:rsid w:val="00C31971"/>
    <w:rsid w:val="00C31A64"/>
    <w:rsid w:val="00C31ACA"/>
    <w:rsid w:val="00C31D03"/>
    <w:rsid w:val="00C31D26"/>
    <w:rsid w:val="00C31E1D"/>
    <w:rsid w:val="00C32064"/>
    <w:rsid w:val="00C3218F"/>
    <w:rsid w:val="00C3223A"/>
    <w:rsid w:val="00C322A7"/>
    <w:rsid w:val="00C322BF"/>
    <w:rsid w:val="00C323F4"/>
    <w:rsid w:val="00C32596"/>
    <w:rsid w:val="00C32975"/>
    <w:rsid w:val="00C329A9"/>
    <w:rsid w:val="00C32A32"/>
    <w:rsid w:val="00C32A4A"/>
    <w:rsid w:val="00C32CA7"/>
    <w:rsid w:val="00C32CF8"/>
    <w:rsid w:val="00C32CFB"/>
    <w:rsid w:val="00C32D1A"/>
    <w:rsid w:val="00C32E58"/>
    <w:rsid w:val="00C32E62"/>
    <w:rsid w:val="00C32EE0"/>
    <w:rsid w:val="00C32EFE"/>
    <w:rsid w:val="00C32FC4"/>
    <w:rsid w:val="00C330B7"/>
    <w:rsid w:val="00C33183"/>
    <w:rsid w:val="00C33203"/>
    <w:rsid w:val="00C3323B"/>
    <w:rsid w:val="00C33319"/>
    <w:rsid w:val="00C334DE"/>
    <w:rsid w:val="00C33706"/>
    <w:rsid w:val="00C339BA"/>
    <w:rsid w:val="00C33A05"/>
    <w:rsid w:val="00C33A2D"/>
    <w:rsid w:val="00C33A70"/>
    <w:rsid w:val="00C33AEA"/>
    <w:rsid w:val="00C33B39"/>
    <w:rsid w:val="00C33BF4"/>
    <w:rsid w:val="00C33D65"/>
    <w:rsid w:val="00C33DA3"/>
    <w:rsid w:val="00C33DD7"/>
    <w:rsid w:val="00C33EC2"/>
    <w:rsid w:val="00C33F14"/>
    <w:rsid w:val="00C34109"/>
    <w:rsid w:val="00C3432F"/>
    <w:rsid w:val="00C344F2"/>
    <w:rsid w:val="00C3452C"/>
    <w:rsid w:val="00C34760"/>
    <w:rsid w:val="00C3483D"/>
    <w:rsid w:val="00C34866"/>
    <w:rsid w:val="00C34D0A"/>
    <w:rsid w:val="00C34F51"/>
    <w:rsid w:val="00C35028"/>
    <w:rsid w:val="00C35538"/>
    <w:rsid w:val="00C355FA"/>
    <w:rsid w:val="00C356B4"/>
    <w:rsid w:val="00C356ED"/>
    <w:rsid w:val="00C357EA"/>
    <w:rsid w:val="00C35941"/>
    <w:rsid w:val="00C35996"/>
    <w:rsid w:val="00C359C6"/>
    <w:rsid w:val="00C35A13"/>
    <w:rsid w:val="00C35A2C"/>
    <w:rsid w:val="00C35A3D"/>
    <w:rsid w:val="00C35BCA"/>
    <w:rsid w:val="00C35C07"/>
    <w:rsid w:val="00C35C2A"/>
    <w:rsid w:val="00C35D38"/>
    <w:rsid w:val="00C35EA0"/>
    <w:rsid w:val="00C35F65"/>
    <w:rsid w:val="00C3616F"/>
    <w:rsid w:val="00C36537"/>
    <w:rsid w:val="00C365B7"/>
    <w:rsid w:val="00C365E2"/>
    <w:rsid w:val="00C36691"/>
    <w:rsid w:val="00C3669C"/>
    <w:rsid w:val="00C366C6"/>
    <w:rsid w:val="00C3674E"/>
    <w:rsid w:val="00C368C9"/>
    <w:rsid w:val="00C3694D"/>
    <w:rsid w:val="00C369CE"/>
    <w:rsid w:val="00C36A9E"/>
    <w:rsid w:val="00C36A9F"/>
    <w:rsid w:val="00C36C57"/>
    <w:rsid w:val="00C36CB9"/>
    <w:rsid w:val="00C36CC0"/>
    <w:rsid w:val="00C3701D"/>
    <w:rsid w:val="00C37240"/>
    <w:rsid w:val="00C37492"/>
    <w:rsid w:val="00C374C1"/>
    <w:rsid w:val="00C37584"/>
    <w:rsid w:val="00C3760B"/>
    <w:rsid w:val="00C37611"/>
    <w:rsid w:val="00C37666"/>
    <w:rsid w:val="00C3775C"/>
    <w:rsid w:val="00C37773"/>
    <w:rsid w:val="00C377ED"/>
    <w:rsid w:val="00C37808"/>
    <w:rsid w:val="00C378F0"/>
    <w:rsid w:val="00C37B9E"/>
    <w:rsid w:val="00C37CF3"/>
    <w:rsid w:val="00C37ED9"/>
    <w:rsid w:val="00C40013"/>
    <w:rsid w:val="00C4008A"/>
    <w:rsid w:val="00C40191"/>
    <w:rsid w:val="00C401B5"/>
    <w:rsid w:val="00C4020E"/>
    <w:rsid w:val="00C4030A"/>
    <w:rsid w:val="00C405BC"/>
    <w:rsid w:val="00C40645"/>
    <w:rsid w:val="00C407C6"/>
    <w:rsid w:val="00C40A21"/>
    <w:rsid w:val="00C40A3E"/>
    <w:rsid w:val="00C40A6D"/>
    <w:rsid w:val="00C40B75"/>
    <w:rsid w:val="00C40BD0"/>
    <w:rsid w:val="00C40CE0"/>
    <w:rsid w:val="00C40E2F"/>
    <w:rsid w:val="00C41048"/>
    <w:rsid w:val="00C411A2"/>
    <w:rsid w:val="00C411E9"/>
    <w:rsid w:val="00C41202"/>
    <w:rsid w:val="00C41227"/>
    <w:rsid w:val="00C41483"/>
    <w:rsid w:val="00C41568"/>
    <w:rsid w:val="00C416FD"/>
    <w:rsid w:val="00C4173A"/>
    <w:rsid w:val="00C417CC"/>
    <w:rsid w:val="00C417DA"/>
    <w:rsid w:val="00C417F5"/>
    <w:rsid w:val="00C418CD"/>
    <w:rsid w:val="00C418F1"/>
    <w:rsid w:val="00C419BC"/>
    <w:rsid w:val="00C41AB1"/>
    <w:rsid w:val="00C41AFB"/>
    <w:rsid w:val="00C41B87"/>
    <w:rsid w:val="00C41C84"/>
    <w:rsid w:val="00C41D71"/>
    <w:rsid w:val="00C41DF7"/>
    <w:rsid w:val="00C41E0F"/>
    <w:rsid w:val="00C41E33"/>
    <w:rsid w:val="00C41F6E"/>
    <w:rsid w:val="00C41F79"/>
    <w:rsid w:val="00C420E9"/>
    <w:rsid w:val="00C42123"/>
    <w:rsid w:val="00C424DF"/>
    <w:rsid w:val="00C42571"/>
    <w:rsid w:val="00C426CE"/>
    <w:rsid w:val="00C427B8"/>
    <w:rsid w:val="00C428FF"/>
    <w:rsid w:val="00C42C84"/>
    <w:rsid w:val="00C42CEE"/>
    <w:rsid w:val="00C42CF0"/>
    <w:rsid w:val="00C42E8C"/>
    <w:rsid w:val="00C42FAA"/>
    <w:rsid w:val="00C43051"/>
    <w:rsid w:val="00C43107"/>
    <w:rsid w:val="00C43180"/>
    <w:rsid w:val="00C431E6"/>
    <w:rsid w:val="00C432D7"/>
    <w:rsid w:val="00C4330E"/>
    <w:rsid w:val="00C43314"/>
    <w:rsid w:val="00C4340F"/>
    <w:rsid w:val="00C434FA"/>
    <w:rsid w:val="00C435D5"/>
    <w:rsid w:val="00C4360E"/>
    <w:rsid w:val="00C43615"/>
    <w:rsid w:val="00C437AC"/>
    <w:rsid w:val="00C437B2"/>
    <w:rsid w:val="00C4380F"/>
    <w:rsid w:val="00C4385F"/>
    <w:rsid w:val="00C438D9"/>
    <w:rsid w:val="00C439DD"/>
    <w:rsid w:val="00C43A37"/>
    <w:rsid w:val="00C43C8C"/>
    <w:rsid w:val="00C43D7B"/>
    <w:rsid w:val="00C43EA9"/>
    <w:rsid w:val="00C43F15"/>
    <w:rsid w:val="00C43F65"/>
    <w:rsid w:val="00C4410F"/>
    <w:rsid w:val="00C4452D"/>
    <w:rsid w:val="00C44540"/>
    <w:rsid w:val="00C4467B"/>
    <w:rsid w:val="00C4473A"/>
    <w:rsid w:val="00C447E1"/>
    <w:rsid w:val="00C44A1B"/>
    <w:rsid w:val="00C44C7E"/>
    <w:rsid w:val="00C44CEB"/>
    <w:rsid w:val="00C44D29"/>
    <w:rsid w:val="00C44D46"/>
    <w:rsid w:val="00C44DC0"/>
    <w:rsid w:val="00C44DED"/>
    <w:rsid w:val="00C44E41"/>
    <w:rsid w:val="00C44E83"/>
    <w:rsid w:val="00C44F0C"/>
    <w:rsid w:val="00C45007"/>
    <w:rsid w:val="00C45289"/>
    <w:rsid w:val="00C454D1"/>
    <w:rsid w:val="00C454D9"/>
    <w:rsid w:val="00C45525"/>
    <w:rsid w:val="00C45537"/>
    <w:rsid w:val="00C45572"/>
    <w:rsid w:val="00C45779"/>
    <w:rsid w:val="00C45974"/>
    <w:rsid w:val="00C45978"/>
    <w:rsid w:val="00C459C5"/>
    <w:rsid w:val="00C45A37"/>
    <w:rsid w:val="00C45C60"/>
    <w:rsid w:val="00C45C62"/>
    <w:rsid w:val="00C45CE2"/>
    <w:rsid w:val="00C45F3B"/>
    <w:rsid w:val="00C46146"/>
    <w:rsid w:val="00C46189"/>
    <w:rsid w:val="00C46226"/>
    <w:rsid w:val="00C46389"/>
    <w:rsid w:val="00C46403"/>
    <w:rsid w:val="00C46495"/>
    <w:rsid w:val="00C4684C"/>
    <w:rsid w:val="00C4691F"/>
    <w:rsid w:val="00C469F2"/>
    <w:rsid w:val="00C46A3A"/>
    <w:rsid w:val="00C46A9F"/>
    <w:rsid w:val="00C46B42"/>
    <w:rsid w:val="00C46D29"/>
    <w:rsid w:val="00C46E19"/>
    <w:rsid w:val="00C4703E"/>
    <w:rsid w:val="00C47126"/>
    <w:rsid w:val="00C47137"/>
    <w:rsid w:val="00C472AD"/>
    <w:rsid w:val="00C47541"/>
    <w:rsid w:val="00C47551"/>
    <w:rsid w:val="00C475C7"/>
    <w:rsid w:val="00C47601"/>
    <w:rsid w:val="00C4760C"/>
    <w:rsid w:val="00C4764B"/>
    <w:rsid w:val="00C47750"/>
    <w:rsid w:val="00C47773"/>
    <w:rsid w:val="00C478DA"/>
    <w:rsid w:val="00C479BB"/>
    <w:rsid w:val="00C47A0E"/>
    <w:rsid w:val="00C47AC8"/>
    <w:rsid w:val="00C47B8D"/>
    <w:rsid w:val="00C47CF8"/>
    <w:rsid w:val="00C47D24"/>
    <w:rsid w:val="00C47DF2"/>
    <w:rsid w:val="00C47E1E"/>
    <w:rsid w:val="00C47F00"/>
    <w:rsid w:val="00C501A7"/>
    <w:rsid w:val="00C502B6"/>
    <w:rsid w:val="00C502ED"/>
    <w:rsid w:val="00C50317"/>
    <w:rsid w:val="00C50328"/>
    <w:rsid w:val="00C504B3"/>
    <w:rsid w:val="00C5079E"/>
    <w:rsid w:val="00C507EF"/>
    <w:rsid w:val="00C50800"/>
    <w:rsid w:val="00C50919"/>
    <w:rsid w:val="00C50986"/>
    <w:rsid w:val="00C50A38"/>
    <w:rsid w:val="00C50AAE"/>
    <w:rsid w:val="00C50D3F"/>
    <w:rsid w:val="00C50D7E"/>
    <w:rsid w:val="00C50F6E"/>
    <w:rsid w:val="00C51165"/>
    <w:rsid w:val="00C5119C"/>
    <w:rsid w:val="00C5120A"/>
    <w:rsid w:val="00C513D2"/>
    <w:rsid w:val="00C513EA"/>
    <w:rsid w:val="00C514B7"/>
    <w:rsid w:val="00C514EE"/>
    <w:rsid w:val="00C51591"/>
    <w:rsid w:val="00C515B0"/>
    <w:rsid w:val="00C51702"/>
    <w:rsid w:val="00C5171D"/>
    <w:rsid w:val="00C517ED"/>
    <w:rsid w:val="00C51913"/>
    <w:rsid w:val="00C51946"/>
    <w:rsid w:val="00C51A1C"/>
    <w:rsid w:val="00C51ACF"/>
    <w:rsid w:val="00C51ADD"/>
    <w:rsid w:val="00C51AE4"/>
    <w:rsid w:val="00C51B08"/>
    <w:rsid w:val="00C51BA8"/>
    <w:rsid w:val="00C51C23"/>
    <w:rsid w:val="00C51C57"/>
    <w:rsid w:val="00C51C90"/>
    <w:rsid w:val="00C51D62"/>
    <w:rsid w:val="00C51DA8"/>
    <w:rsid w:val="00C51DB8"/>
    <w:rsid w:val="00C51E4E"/>
    <w:rsid w:val="00C51ED1"/>
    <w:rsid w:val="00C51FF9"/>
    <w:rsid w:val="00C52076"/>
    <w:rsid w:val="00C521E1"/>
    <w:rsid w:val="00C5285D"/>
    <w:rsid w:val="00C5296D"/>
    <w:rsid w:val="00C5298A"/>
    <w:rsid w:val="00C52CCF"/>
    <w:rsid w:val="00C52D45"/>
    <w:rsid w:val="00C5304F"/>
    <w:rsid w:val="00C53075"/>
    <w:rsid w:val="00C532DE"/>
    <w:rsid w:val="00C5336A"/>
    <w:rsid w:val="00C53448"/>
    <w:rsid w:val="00C534C1"/>
    <w:rsid w:val="00C53513"/>
    <w:rsid w:val="00C53517"/>
    <w:rsid w:val="00C53522"/>
    <w:rsid w:val="00C53730"/>
    <w:rsid w:val="00C5378A"/>
    <w:rsid w:val="00C53C68"/>
    <w:rsid w:val="00C53D05"/>
    <w:rsid w:val="00C53D31"/>
    <w:rsid w:val="00C53D41"/>
    <w:rsid w:val="00C53E49"/>
    <w:rsid w:val="00C53FD5"/>
    <w:rsid w:val="00C53FF3"/>
    <w:rsid w:val="00C54084"/>
    <w:rsid w:val="00C540B9"/>
    <w:rsid w:val="00C540CB"/>
    <w:rsid w:val="00C54188"/>
    <w:rsid w:val="00C541B2"/>
    <w:rsid w:val="00C54398"/>
    <w:rsid w:val="00C543AE"/>
    <w:rsid w:val="00C543DB"/>
    <w:rsid w:val="00C54411"/>
    <w:rsid w:val="00C544A7"/>
    <w:rsid w:val="00C54503"/>
    <w:rsid w:val="00C54598"/>
    <w:rsid w:val="00C5459C"/>
    <w:rsid w:val="00C54698"/>
    <w:rsid w:val="00C54786"/>
    <w:rsid w:val="00C547DD"/>
    <w:rsid w:val="00C549EC"/>
    <w:rsid w:val="00C54B0C"/>
    <w:rsid w:val="00C54B4D"/>
    <w:rsid w:val="00C54C21"/>
    <w:rsid w:val="00C54CC3"/>
    <w:rsid w:val="00C54D45"/>
    <w:rsid w:val="00C54D6E"/>
    <w:rsid w:val="00C54E61"/>
    <w:rsid w:val="00C54EE3"/>
    <w:rsid w:val="00C55207"/>
    <w:rsid w:val="00C55247"/>
    <w:rsid w:val="00C5524C"/>
    <w:rsid w:val="00C552F9"/>
    <w:rsid w:val="00C553D7"/>
    <w:rsid w:val="00C554D4"/>
    <w:rsid w:val="00C554D9"/>
    <w:rsid w:val="00C554DA"/>
    <w:rsid w:val="00C555E9"/>
    <w:rsid w:val="00C556B4"/>
    <w:rsid w:val="00C55772"/>
    <w:rsid w:val="00C557A2"/>
    <w:rsid w:val="00C559E1"/>
    <w:rsid w:val="00C55B77"/>
    <w:rsid w:val="00C55C14"/>
    <w:rsid w:val="00C55C8C"/>
    <w:rsid w:val="00C55F57"/>
    <w:rsid w:val="00C560DB"/>
    <w:rsid w:val="00C5629B"/>
    <w:rsid w:val="00C56446"/>
    <w:rsid w:val="00C56532"/>
    <w:rsid w:val="00C56637"/>
    <w:rsid w:val="00C5664E"/>
    <w:rsid w:val="00C56821"/>
    <w:rsid w:val="00C56BB6"/>
    <w:rsid w:val="00C56C07"/>
    <w:rsid w:val="00C56C25"/>
    <w:rsid w:val="00C56D39"/>
    <w:rsid w:val="00C56D3D"/>
    <w:rsid w:val="00C56E52"/>
    <w:rsid w:val="00C56F0B"/>
    <w:rsid w:val="00C570E2"/>
    <w:rsid w:val="00C57155"/>
    <w:rsid w:val="00C5715C"/>
    <w:rsid w:val="00C57471"/>
    <w:rsid w:val="00C57612"/>
    <w:rsid w:val="00C5787E"/>
    <w:rsid w:val="00C5795F"/>
    <w:rsid w:val="00C57A14"/>
    <w:rsid w:val="00C57A92"/>
    <w:rsid w:val="00C57B70"/>
    <w:rsid w:val="00C57C0D"/>
    <w:rsid w:val="00C57C9A"/>
    <w:rsid w:val="00C57E34"/>
    <w:rsid w:val="00C57E63"/>
    <w:rsid w:val="00C57E6B"/>
    <w:rsid w:val="00C57EDF"/>
    <w:rsid w:val="00C57F4A"/>
    <w:rsid w:val="00C600DE"/>
    <w:rsid w:val="00C60240"/>
    <w:rsid w:val="00C603AB"/>
    <w:rsid w:val="00C604AA"/>
    <w:rsid w:val="00C60621"/>
    <w:rsid w:val="00C6065B"/>
    <w:rsid w:val="00C6069B"/>
    <w:rsid w:val="00C607B7"/>
    <w:rsid w:val="00C607D1"/>
    <w:rsid w:val="00C60824"/>
    <w:rsid w:val="00C608CF"/>
    <w:rsid w:val="00C60A86"/>
    <w:rsid w:val="00C60CB5"/>
    <w:rsid w:val="00C60D11"/>
    <w:rsid w:val="00C60FBF"/>
    <w:rsid w:val="00C61002"/>
    <w:rsid w:val="00C61075"/>
    <w:rsid w:val="00C610DD"/>
    <w:rsid w:val="00C61109"/>
    <w:rsid w:val="00C61324"/>
    <w:rsid w:val="00C6156A"/>
    <w:rsid w:val="00C617F8"/>
    <w:rsid w:val="00C6183D"/>
    <w:rsid w:val="00C61871"/>
    <w:rsid w:val="00C61890"/>
    <w:rsid w:val="00C619C6"/>
    <w:rsid w:val="00C61AB2"/>
    <w:rsid w:val="00C61B02"/>
    <w:rsid w:val="00C61BC7"/>
    <w:rsid w:val="00C61E90"/>
    <w:rsid w:val="00C61EBC"/>
    <w:rsid w:val="00C61F1C"/>
    <w:rsid w:val="00C61FC9"/>
    <w:rsid w:val="00C61FD2"/>
    <w:rsid w:val="00C620B7"/>
    <w:rsid w:val="00C620B9"/>
    <w:rsid w:val="00C620D4"/>
    <w:rsid w:val="00C6222B"/>
    <w:rsid w:val="00C6257E"/>
    <w:rsid w:val="00C626E7"/>
    <w:rsid w:val="00C62710"/>
    <w:rsid w:val="00C6276A"/>
    <w:rsid w:val="00C62798"/>
    <w:rsid w:val="00C627D9"/>
    <w:rsid w:val="00C6282D"/>
    <w:rsid w:val="00C6297B"/>
    <w:rsid w:val="00C629DC"/>
    <w:rsid w:val="00C62A4D"/>
    <w:rsid w:val="00C62AB4"/>
    <w:rsid w:val="00C62BA1"/>
    <w:rsid w:val="00C62C7A"/>
    <w:rsid w:val="00C62CA5"/>
    <w:rsid w:val="00C62E32"/>
    <w:rsid w:val="00C62FE2"/>
    <w:rsid w:val="00C630F2"/>
    <w:rsid w:val="00C630FF"/>
    <w:rsid w:val="00C633A7"/>
    <w:rsid w:val="00C63A1A"/>
    <w:rsid w:val="00C63A4D"/>
    <w:rsid w:val="00C63B11"/>
    <w:rsid w:val="00C63BFA"/>
    <w:rsid w:val="00C63D96"/>
    <w:rsid w:val="00C63E2C"/>
    <w:rsid w:val="00C63F69"/>
    <w:rsid w:val="00C63F93"/>
    <w:rsid w:val="00C6416B"/>
    <w:rsid w:val="00C641F2"/>
    <w:rsid w:val="00C64208"/>
    <w:rsid w:val="00C643EB"/>
    <w:rsid w:val="00C6446D"/>
    <w:rsid w:val="00C644C4"/>
    <w:rsid w:val="00C644F2"/>
    <w:rsid w:val="00C64530"/>
    <w:rsid w:val="00C64544"/>
    <w:rsid w:val="00C64551"/>
    <w:rsid w:val="00C64587"/>
    <w:rsid w:val="00C645FD"/>
    <w:rsid w:val="00C64868"/>
    <w:rsid w:val="00C64993"/>
    <w:rsid w:val="00C64A4F"/>
    <w:rsid w:val="00C64C47"/>
    <w:rsid w:val="00C64D54"/>
    <w:rsid w:val="00C64DA3"/>
    <w:rsid w:val="00C64E8C"/>
    <w:rsid w:val="00C6533A"/>
    <w:rsid w:val="00C6534F"/>
    <w:rsid w:val="00C6539B"/>
    <w:rsid w:val="00C6540F"/>
    <w:rsid w:val="00C6546E"/>
    <w:rsid w:val="00C65475"/>
    <w:rsid w:val="00C654B3"/>
    <w:rsid w:val="00C654F8"/>
    <w:rsid w:val="00C655D8"/>
    <w:rsid w:val="00C65803"/>
    <w:rsid w:val="00C65840"/>
    <w:rsid w:val="00C6585E"/>
    <w:rsid w:val="00C6594B"/>
    <w:rsid w:val="00C659DD"/>
    <w:rsid w:val="00C65A09"/>
    <w:rsid w:val="00C65B3C"/>
    <w:rsid w:val="00C65D26"/>
    <w:rsid w:val="00C65D6D"/>
    <w:rsid w:val="00C65F85"/>
    <w:rsid w:val="00C65FD6"/>
    <w:rsid w:val="00C65FF3"/>
    <w:rsid w:val="00C6642E"/>
    <w:rsid w:val="00C66494"/>
    <w:rsid w:val="00C664A0"/>
    <w:rsid w:val="00C66622"/>
    <w:rsid w:val="00C66676"/>
    <w:rsid w:val="00C666B9"/>
    <w:rsid w:val="00C66719"/>
    <w:rsid w:val="00C66846"/>
    <w:rsid w:val="00C66893"/>
    <w:rsid w:val="00C6692C"/>
    <w:rsid w:val="00C66C99"/>
    <w:rsid w:val="00C66E98"/>
    <w:rsid w:val="00C66F37"/>
    <w:rsid w:val="00C66F3F"/>
    <w:rsid w:val="00C66FB9"/>
    <w:rsid w:val="00C670FC"/>
    <w:rsid w:val="00C67123"/>
    <w:rsid w:val="00C67154"/>
    <w:rsid w:val="00C67215"/>
    <w:rsid w:val="00C67332"/>
    <w:rsid w:val="00C6736B"/>
    <w:rsid w:val="00C6746A"/>
    <w:rsid w:val="00C678BF"/>
    <w:rsid w:val="00C67905"/>
    <w:rsid w:val="00C67950"/>
    <w:rsid w:val="00C67D24"/>
    <w:rsid w:val="00C67F30"/>
    <w:rsid w:val="00C67FA1"/>
    <w:rsid w:val="00C70016"/>
    <w:rsid w:val="00C70072"/>
    <w:rsid w:val="00C700AC"/>
    <w:rsid w:val="00C701E5"/>
    <w:rsid w:val="00C702A2"/>
    <w:rsid w:val="00C70370"/>
    <w:rsid w:val="00C704CE"/>
    <w:rsid w:val="00C70585"/>
    <w:rsid w:val="00C705EC"/>
    <w:rsid w:val="00C70630"/>
    <w:rsid w:val="00C7063E"/>
    <w:rsid w:val="00C7063F"/>
    <w:rsid w:val="00C70641"/>
    <w:rsid w:val="00C70975"/>
    <w:rsid w:val="00C709F0"/>
    <w:rsid w:val="00C70FC7"/>
    <w:rsid w:val="00C71257"/>
    <w:rsid w:val="00C71443"/>
    <w:rsid w:val="00C71464"/>
    <w:rsid w:val="00C71490"/>
    <w:rsid w:val="00C7160B"/>
    <w:rsid w:val="00C71653"/>
    <w:rsid w:val="00C71783"/>
    <w:rsid w:val="00C71799"/>
    <w:rsid w:val="00C7179F"/>
    <w:rsid w:val="00C718C0"/>
    <w:rsid w:val="00C718DE"/>
    <w:rsid w:val="00C71971"/>
    <w:rsid w:val="00C719A2"/>
    <w:rsid w:val="00C71A3C"/>
    <w:rsid w:val="00C71DC7"/>
    <w:rsid w:val="00C71F6D"/>
    <w:rsid w:val="00C72165"/>
    <w:rsid w:val="00C72184"/>
    <w:rsid w:val="00C721CE"/>
    <w:rsid w:val="00C722ED"/>
    <w:rsid w:val="00C7248B"/>
    <w:rsid w:val="00C72587"/>
    <w:rsid w:val="00C72708"/>
    <w:rsid w:val="00C72773"/>
    <w:rsid w:val="00C72947"/>
    <w:rsid w:val="00C72981"/>
    <w:rsid w:val="00C72A0A"/>
    <w:rsid w:val="00C72A19"/>
    <w:rsid w:val="00C72B8E"/>
    <w:rsid w:val="00C72BDC"/>
    <w:rsid w:val="00C72CF2"/>
    <w:rsid w:val="00C72D7B"/>
    <w:rsid w:val="00C72DD5"/>
    <w:rsid w:val="00C72DFA"/>
    <w:rsid w:val="00C72E81"/>
    <w:rsid w:val="00C72F66"/>
    <w:rsid w:val="00C72FAE"/>
    <w:rsid w:val="00C72FC3"/>
    <w:rsid w:val="00C731B5"/>
    <w:rsid w:val="00C73481"/>
    <w:rsid w:val="00C73620"/>
    <w:rsid w:val="00C73779"/>
    <w:rsid w:val="00C737F1"/>
    <w:rsid w:val="00C7391F"/>
    <w:rsid w:val="00C73AB0"/>
    <w:rsid w:val="00C73D66"/>
    <w:rsid w:val="00C740C7"/>
    <w:rsid w:val="00C74167"/>
    <w:rsid w:val="00C741D2"/>
    <w:rsid w:val="00C74310"/>
    <w:rsid w:val="00C74434"/>
    <w:rsid w:val="00C744E3"/>
    <w:rsid w:val="00C74500"/>
    <w:rsid w:val="00C74545"/>
    <w:rsid w:val="00C74590"/>
    <w:rsid w:val="00C7480D"/>
    <w:rsid w:val="00C7486E"/>
    <w:rsid w:val="00C74906"/>
    <w:rsid w:val="00C74929"/>
    <w:rsid w:val="00C7493B"/>
    <w:rsid w:val="00C74975"/>
    <w:rsid w:val="00C74987"/>
    <w:rsid w:val="00C74B13"/>
    <w:rsid w:val="00C74B28"/>
    <w:rsid w:val="00C74BA3"/>
    <w:rsid w:val="00C74D98"/>
    <w:rsid w:val="00C74F4F"/>
    <w:rsid w:val="00C75357"/>
    <w:rsid w:val="00C753A3"/>
    <w:rsid w:val="00C754BA"/>
    <w:rsid w:val="00C754D0"/>
    <w:rsid w:val="00C754E3"/>
    <w:rsid w:val="00C75521"/>
    <w:rsid w:val="00C755B7"/>
    <w:rsid w:val="00C755EB"/>
    <w:rsid w:val="00C756D6"/>
    <w:rsid w:val="00C7574B"/>
    <w:rsid w:val="00C757AE"/>
    <w:rsid w:val="00C757B2"/>
    <w:rsid w:val="00C758A9"/>
    <w:rsid w:val="00C758BD"/>
    <w:rsid w:val="00C75969"/>
    <w:rsid w:val="00C75991"/>
    <w:rsid w:val="00C75A6D"/>
    <w:rsid w:val="00C75B60"/>
    <w:rsid w:val="00C75CEB"/>
    <w:rsid w:val="00C75E9D"/>
    <w:rsid w:val="00C75F59"/>
    <w:rsid w:val="00C76268"/>
    <w:rsid w:val="00C763CF"/>
    <w:rsid w:val="00C76563"/>
    <w:rsid w:val="00C765AC"/>
    <w:rsid w:val="00C765AE"/>
    <w:rsid w:val="00C76624"/>
    <w:rsid w:val="00C76661"/>
    <w:rsid w:val="00C766BC"/>
    <w:rsid w:val="00C76788"/>
    <w:rsid w:val="00C767F5"/>
    <w:rsid w:val="00C76808"/>
    <w:rsid w:val="00C76816"/>
    <w:rsid w:val="00C768B3"/>
    <w:rsid w:val="00C768B4"/>
    <w:rsid w:val="00C768DE"/>
    <w:rsid w:val="00C7692D"/>
    <w:rsid w:val="00C76AAF"/>
    <w:rsid w:val="00C76C46"/>
    <w:rsid w:val="00C76CD8"/>
    <w:rsid w:val="00C76E35"/>
    <w:rsid w:val="00C76E47"/>
    <w:rsid w:val="00C76F0C"/>
    <w:rsid w:val="00C76FA7"/>
    <w:rsid w:val="00C7706A"/>
    <w:rsid w:val="00C77095"/>
    <w:rsid w:val="00C770D2"/>
    <w:rsid w:val="00C77478"/>
    <w:rsid w:val="00C774A1"/>
    <w:rsid w:val="00C77549"/>
    <w:rsid w:val="00C775A0"/>
    <w:rsid w:val="00C77667"/>
    <w:rsid w:val="00C776AF"/>
    <w:rsid w:val="00C776F3"/>
    <w:rsid w:val="00C7775C"/>
    <w:rsid w:val="00C778D1"/>
    <w:rsid w:val="00C77B43"/>
    <w:rsid w:val="00C77CCD"/>
    <w:rsid w:val="00C77D89"/>
    <w:rsid w:val="00C77E96"/>
    <w:rsid w:val="00C77EE6"/>
    <w:rsid w:val="00C80063"/>
    <w:rsid w:val="00C80672"/>
    <w:rsid w:val="00C806B3"/>
    <w:rsid w:val="00C806C0"/>
    <w:rsid w:val="00C80788"/>
    <w:rsid w:val="00C807DC"/>
    <w:rsid w:val="00C80BB5"/>
    <w:rsid w:val="00C80C39"/>
    <w:rsid w:val="00C80C41"/>
    <w:rsid w:val="00C80CEF"/>
    <w:rsid w:val="00C80CFC"/>
    <w:rsid w:val="00C80D37"/>
    <w:rsid w:val="00C80DAA"/>
    <w:rsid w:val="00C80E40"/>
    <w:rsid w:val="00C80F38"/>
    <w:rsid w:val="00C80F80"/>
    <w:rsid w:val="00C81120"/>
    <w:rsid w:val="00C81432"/>
    <w:rsid w:val="00C81467"/>
    <w:rsid w:val="00C81813"/>
    <w:rsid w:val="00C81836"/>
    <w:rsid w:val="00C81A49"/>
    <w:rsid w:val="00C81B37"/>
    <w:rsid w:val="00C81CB5"/>
    <w:rsid w:val="00C81D16"/>
    <w:rsid w:val="00C82194"/>
    <w:rsid w:val="00C821A2"/>
    <w:rsid w:val="00C821CA"/>
    <w:rsid w:val="00C82252"/>
    <w:rsid w:val="00C82388"/>
    <w:rsid w:val="00C82580"/>
    <w:rsid w:val="00C825A7"/>
    <w:rsid w:val="00C8271A"/>
    <w:rsid w:val="00C82878"/>
    <w:rsid w:val="00C82886"/>
    <w:rsid w:val="00C828B8"/>
    <w:rsid w:val="00C82958"/>
    <w:rsid w:val="00C8298B"/>
    <w:rsid w:val="00C82994"/>
    <w:rsid w:val="00C829FF"/>
    <w:rsid w:val="00C82B4A"/>
    <w:rsid w:val="00C82C2A"/>
    <w:rsid w:val="00C82D95"/>
    <w:rsid w:val="00C82E07"/>
    <w:rsid w:val="00C82E4B"/>
    <w:rsid w:val="00C82EC5"/>
    <w:rsid w:val="00C83041"/>
    <w:rsid w:val="00C831E0"/>
    <w:rsid w:val="00C83265"/>
    <w:rsid w:val="00C838C3"/>
    <w:rsid w:val="00C83A40"/>
    <w:rsid w:val="00C83B6F"/>
    <w:rsid w:val="00C83FF7"/>
    <w:rsid w:val="00C84058"/>
    <w:rsid w:val="00C84182"/>
    <w:rsid w:val="00C84217"/>
    <w:rsid w:val="00C84220"/>
    <w:rsid w:val="00C8425B"/>
    <w:rsid w:val="00C8428E"/>
    <w:rsid w:val="00C8452A"/>
    <w:rsid w:val="00C84674"/>
    <w:rsid w:val="00C846D6"/>
    <w:rsid w:val="00C84727"/>
    <w:rsid w:val="00C848A7"/>
    <w:rsid w:val="00C848B2"/>
    <w:rsid w:val="00C849C0"/>
    <w:rsid w:val="00C84B49"/>
    <w:rsid w:val="00C84C5A"/>
    <w:rsid w:val="00C84D55"/>
    <w:rsid w:val="00C84D8B"/>
    <w:rsid w:val="00C84E03"/>
    <w:rsid w:val="00C84F2E"/>
    <w:rsid w:val="00C85035"/>
    <w:rsid w:val="00C851F6"/>
    <w:rsid w:val="00C8526C"/>
    <w:rsid w:val="00C85288"/>
    <w:rsid w:val="00C852E0"/>
    <w:rsid w:val="00C8530E"/>
    <w:rsid w:val="00C8541F"/>
    <w:rsid w:val="00C85514"/>
    <w:rsid w:val="00C85584"/>
    <w:rsid w:val="00C85621"/>
    <w:rsid w:val="00C85708"/>
    <w:rsid w:val="00C858FF"/>
    <w:rsid w:val="00C85940"/>
    <w:rsid w:val="00C859DC"/>
    <w:rsid w:val="00C85AE0"/>
    <w:rsid w:val="00C85D87"/>
    <w:rsid w:val="00C85E30"/>
    <w:rsid w:val="00C86043"/>
    <w:rsid w:val="00C86064"/>
    <w:rsid w:val="00C860ED"/>
    <w:rsid w:val="00C8610C"/>
    <w:rsid w:val="00C86366"/>
    <w:rsid w:val="00C8639B"/>
    <w:rsid w:val="00C863A5"/>
    <w:rsid w:val="00C8666F"/>
    <w:rsid w:val="00C86717"/>
    <w:rsid w:val="00C867B6"/>
    <w:rsid w:val="00C867CC"/>
    <w:rsid w:val="00C86A0B"/>
    <w:rsid w:val="00C86A52"/>
    <w:rsid w:val="00C86A54"/>
    <w:rsid w:val="00C86AB7"/>
    <w:rsid w:val="00C86B85"/>
    <w:rsid w:val="00C86BFA"/>
    <w:rsid w:val="00C86CFA"/>
    <w:rsid w:val="00C86D5F"/>
    <w:rsid w:val="00C86E0E"/>
    <w:rsid w:val="00C86E42"/>
    <w:rsid w:val="00C86E8E"/>
    <w:rsid w:val="00C86EA0"/>
    <w:rsid w:val="00C86F1B"/>
    <w:rsid w:val="00C87016"/>
    <w:rsid w:val="00C870B3"/>
    <w:rsid w:val="00C8712F"/>
    <w:rsid w:val="00C87149"/>
    <w:rsid w:val="00C87215"/>
    <w:rsid w:val="00C87555"/>
    <w:rsid w:val="00C87594"/>
    <w:rsid w:val="00C875DB"/>
    <w:rsid w:val="00C8768A"/>
    <w:rsid w:val="00C876A0"/>
    <w:rsid w:val="00C8779F"/>
    <w:rsid w:val="00C878CA"/>
    <w:rsid w:val="00C87938"/>
    <w:rsid w:val="00C8795F"/>
    <w:rsid w:val="00C879C3"/>
    <w:rsid w:val="00C879DA"/>
    <w:rsid w:val="00C879E9"/>
    <w:rsid w:val="00C87AA6"/>
    <w:rsid w:val="00C87AF2"/>
    <w:rsid w:val="00C87B18"/>
    <w:rsid w:val="00C87B57"/>
    <w:rsid w:val="00C87CE5"/>
    <w:rsid w:val="00C87E26"/>
    <w:rsid w:val="00C87FC1"/>
    <w:rsid w:val="00C87FC6"/>
    <w:rsid w:val="00C90037"/>
    <w:rsid w:val="00C90187"/>
    <w:rsid w:val="00C9024E"/>
    <w:rsid w:val="00C9027B"/>
    <w:rsid w:val="00C90650"/>
    <w:rsid w:val="00C906C7"/>
    <w:rsid w:val="00C9080D"/>
    <w:rsid w:val="00C90838"/>
    <w:rsid w:val="00C908C6"/>
    <w:rsid w:val="00C9093D"/>
    <w:rsid w:val="00C90B42"/>
    <w:rsid w:val="00C90BA8"/>
    <w:rsid w:val="00C90BAA"/>
    <w:rsid w:val="00C90BBD"/>
    <w:rsid w:val="00C90BFB"/>
    <w:rsid w:val="00C90C92"/>
    <w:rsid w:val="00C90F34"/>
    <w:rsid w:val="00C90FFC"/>
    <w:rsid w:val="00C91069"/>
    <w:rsid w:val="00C91074"/>
    <w:rsid w:val="00C910BB"/>
    <w:rsid w:val="00C9115D"/>
    <w:rsid w:val="00C91188"/>
    <w:rsid w:val="00C91316"/>
    <w:rsid w:val="00C91468"/>
    <w:rsid w:val="00C9153F"/>
    <w:rsid w:val="00C9154F"/>
    <w:rsid w:val="00C915CF"/>
    <w:rsid w:val="00C917A2"/>
    <w:rsid w:val="00C9182B"/>
    <w:rsid w:val="00C91932"/>
    <w:rsid w:val="00C91C5F"/>
    <w:rsid w:val="00C91C80"/>
    <w:rsid w:val="00C91E91"/>
    <w:rsid w:val="00C91F97"/>
    <w:rsid w:val="00C9213E"/>
    <w:rsid w:val="00C921B4"/>
    <w:rsid w:val="00C921D2"/>
    <w:rsid w:val="00C92204"/>
    <w:rsid w:val="00C9224C"/>
    <w:rsid w:val="00C92262"/>
    <w:rsid w:val="00C923A1"/>
    <w:rsid w:val="00C9247C"/>
    <w:rsid w:val="00C924D6"/>
    <w:rsid w:val="00C9255D"/>
    <w:rsid w:val="00C926CE"/>
    <w:rsid w:val="00C9296C"/>
    <w:rsid w:val="00C929FB"/>
    <w:rsid w:val="00C92A78"/>
    <w:rsid w:val="00C92C16"/>
    <w:rsid w:val="00C92DFF"/>
    <w:rsid w:val="00C92E0E"/>
    <w:rsid w:val="00C92EED"/>
    <w:rsid w:val="00C92F5E"/>
    <w:rsid w:val="00C9305E"/>
    <w:rsid w:val="00C93099"/>
    <w:rsid w:val="00C93116"/>
    <w:rsid w:val="00C93384"/>
    <w:rsid w:val="00C934B2"/>
    <w:rsid w:val="00C9385C"/>
    <w:rsid w:val="00C93A9F"/>
    <w:rsid w:val="00C93C96"/>
    <w:rsid w:val="00C93D81"/>
    <w:rsid w:val="00C93D97"/>
    <w:rsid w:val="00C93FD8"/>
    <w:rsid w:val="00C94170"/>
    <w:rsid w:val="00C94203"/>
    <w:rsid w:val="00C9447D"/>
    <w:rsid w:val="00C94505"/>
    <w:rsid w:val="00C94584"/>
    <w:rsid w:val="00C945C2"/>
    <w:rsid w:val="00C946B2"/>
    <w:rsid w:val="00C946F6"/>
    <w:rsid w:val="00C9475D"/>
    <w:rsid w:val="00C94767"/>
    <w:rsid w:val="00C948FE"/>
    <w:rsid w:val="00C94935"/>
    <w:rsid w:val="00C9495E"/>
    <w:rsid w:val="00C9498D"/>
    <w:rsid w:val="00C94A00"/>
    <w:rsid w:val="00C94B1E"/>
    <w:rsid w:val="00C94B4C"/>
    <w:rsid w:val="00C94CB9"/>
    <w:rsid w:val="00C94DEE"/>
    <w:rsid w:val="00C94E0C"/>
    <w:rsid w:val="00C94E66"/>
    <w:rsid w:val="00C94E93"/>
    <w:rsid w:val="00C94F51"/>
    <w:rsid w:val="00C95056"/>
    <w:rsid w:val="00C95115"/>
    <w:rsid w:val="00C95131"/>
    <w:rsid w:val="00C95172"/>
    <w:rsid w:val="00C951DB"/>
    <w:rsid w:val="00C951FD"/>
    <w:rsid w:val="00C952C3"/>
    <w:rsid w:val="00C952C4"/>
    <w:rsid w:val="00C9536E"/>
    <w:rsid w:val="00C95471"/>
    <w:rsid w:val="00C95481"/>
    <w:rsid w:val="00C954D2"/>
    <w:rsid w:val="00C955D2"/>
    <w:rsid w:val="00C955EA"/>
    <w:rsid w:val="00C95696"/>
    <w:rsid w:val="00C9572C"/>
    <w:rsid w:val="00C95830"/>
    <w:rsid w:val="00C959CF"/>
    <w:rsid w:val="00C95A15"/>
    <w:rsid w:val="00C95A37"/>
    <w:rsid w:val="00C95A67"/>
    <w:rsid w:val="00C95B5F"/>
    <w:rsid w:val="00C95D21"/>
    <w:rsid w:val="00C95D92"/>
    <w:rsid w:val="00C95E82"/>
    <w:rsid w:val="00C961DD"/>
    <w:rsid w:val="00C962F3"/>
    <w:rsid w:val="00C96394"/>
    <w:rsid w:val="00C963A5"/>
    <w:rsid w:val="00C963BF"/>
    <w:rsid w:val="00C964B7"/>
    <w:rsid w:val="00C96516"/>
    <w:rsid w:val="00C96562"/>
    <w:rsid w:val="00C96603"/>
    <w:rsid w:val="00C9668B"/>
    <w:rsid w:val="00C9675E"/>
    <w:rsid w:val="00C9676B"/>
    <w:rsid w:val="00C96881"/>
    <w:rsid w:val="00C9694C"/>
    <w:rsid w:val="00C96B8E"/>
    <w:rsid w:val="00C96EA7"/>
    <w:rsid w:val="00C970A1"/>
    <w:rsid w:val="00C97375"/>
    <w:rsid w:val="00C97388"/>
    <w:rsid w:val="00C97397"/>
    <w:rsid w:val="00C975E6"/>
    <w:rsid w:val="00C976CD"/>
    <w:rsid w:val="00C976DF"/>
    <w:rsid w:val="00C977E3"/>
    <w:rsid w:val="00C9784E"/>
    <w:rsid w:val="00C9788E"/>
    <w:rsid w:val="00C978FE"/>
    <w:rsid w:val="00C97916"/>
    <w:rsid w:val="00C97962"/>
    <w:rsid w:val="00C97D48"/>
    <w:rsid w:val="00C97EAC"/>
    <w:rsid w:val="00C97EC3"/>
    <w:rsid w:val="00CA0058"/>
    <w:rsid w:val="00CA00B8"/>
    <w:rsid w:val="00CA01BD"/>
    <w:rsid w:val="00CA01C8"/>
    <w:rsid w:val="00CA05A5"/>
    <w:rsid w:val="00CA0601"/>
    <w:rsid w:val="00CA06C8"/>
    <w:rsid w:val="00CA07BF"/>
    <w:rsid w:val="00CA0948"/>
    <w:rsid w:val="00CA0C2D"/>
    <w:rsid w:val="00CA0E9B"/>
    <w:rsid w:val="00CA0FA7"/>
    <w:rsid w:val="00CA10BB"/>
    <w:rsid w:val="00CA10D0"/>
    <w:rsid w:val="00CA11E7"/>
    <w:rsid w:val="00CA1333"/>
    <w:rsid w:val="00CA13DE"/>
    <w:rsid w:val="00CA13E5"/>
    <w:rsid w:val="00CA1458"/>
    <w:rsid w:val="00CA1472"/>
    <w:rsid w:val="00CA14F6"/>
    <w:rsid w:val="00CA1620"/>
    <w:rsid w:val="00CA165C"/>
    <w:rsid w:val="00CA175E"/>
    <w:rsid w:val="00CA188B"/>
    <w:rsid w:val="00CA192C"/>
    <w:rsid w:val="00CA193B"/>
    <w:rsid w:val="00CA19A9"/>
    <w:rsid w:val="00CA1B16"/>
    <w:rsid w:val="00CA1BCC"/>
    <w:rsid w:val="00CA1C38"/>
    <w:rsid w:val="00CA1CA6"/>
    <w:rsid w:val="00CA1CFA"/>
    <w:rsid w:val="00CA1D49"/>
    <w:rsid w:val="00CA1D71"/>
    <w:rsid w:val="00CA1E51"/>
    <w:rsid w:val="00CA1E79"/>
    <w:rsid w:val="00CA2156"/>
    <w:rsid w:val="00CA21A9"/>
    <w:rsid w:val="00CA2497"/>
    <w:rsid w:val="00CA26A7"/>
    <w:rsid w:val="00CA28B5"/>
    <w:rsid w:val="00CA2966"/>
    <w:rsid w:val="00CA297B"/>
    <w:rsid w:val="00CA2A38"/>
    <w:rsid w:val="00CA2A79"/>
    <w:rsid w:val="00CA2ABE"/>
    <w:rsid w:val="00CA2AF9"/>
    <w:rsid w:val="00CA2C4D"/>
    <w:rsid w:val="00CA2E7F"/>
    <w:rsid w:val="00CA2F1B"/>
    <w:rsid w:val="00CA2F52"/>
    <w:rsid w:val="00CA2F86"/>
    <w:rsid w:val="00CA31C9"/>
    <w:rsid w:val="00CA31E0"/>
    <w:rsid w:val="00CA32E8"/>
    <w:rsid w:val="00CA3431"/>
    <w:rsid w:val="00CA3437"/>
    <w:rsid w:val="00CA3483"/>
    <w:rsid w:val="00CA387A"/>
    <w:rsid w:val="00CA39B3"/>
    <w:rsid w:val="00CA3B59"/>
    <w:rsid w:val="00CA3CE2"/>
    <w:rsid w:val="00CA3D6F"/>
    <w:rsid w:val="00CA3E14"/>
    <w:rsid w:val="00CA3EEF"/>
    <w:rsid w:val="00CA3F74"/>
    <w:rsid w:val="00CA3F92"/>
    <w:rsid w:val="00CA3FEA"/>
    <w:rsid w:val="00CA413A"/>
    <w:rsid w:val="00CA416E"/>
    <w:rsid w:val="00CA41AB"/>
    <w:rsid w:val="00CA42DD"/>
    <w:rsid w:val="00CA43F9"/>
    <w:rsid w:val="00CA444B"/>
    <w:rsid w:val="00CA444C"/>
    <w:rsid w:val="00CA4458"/>
    <w:rsid w:val="00CA4509"/>
    <w:rsid w:val="00CA45FC"/>
    <w:rsid w:val="00CA46E0"/>
    <w:rsid w:val="00CA481F"/>
    <w:rsid w:val="00CA4869"/>
    <w:rsid w:val="00CA487E"/>
    <w:rsid w:val="00CA4A21"/>
    <w:rsid w:val="00CA4BF8"/>
    <w:rsid w:val="00CA4EF5"/>
    <w:rsid w:val="00CA50F0"/>
    <w:rsid w:val="00CA516C"/>
    <w:rsid w:val="00CA52B2"/>
    <w:rsid w:val="00CA54ED"/>
    <w:rsid w:val="00CA55B4"/>
    <w:rsid w:val="00CA5642"/>
    <w:rsid w:val="00CA56C5"/>
    <w:rsid w:val="00CA5815"/>
    <w:rsid w:val="00CA5942"/>
    <w:rsid w:val="00CA59C2"/>
    <w:rsid w:val="00CA5AD4"/>
    <w:rsid w:val="00CA5C47"/>
    <w:rsid w:val="00CA5C82"/>
    <w:rsid w:val="00CA5CE6"/>
    <w:rsid w:val="00CA5EEB"/>
    <w:rsid w:val="00CA5EEF"/>
    <w:rsid w:val="00CA6052"/>
    <w:rsid w:val="00CA619F"/>
    <w:rsid w:val="00CA61B5"/>
    <w:rsid w:val="00CA6217"/>
    <w:rsid w:val="00CA626C"/>
    <w:rsid w:val="00CA62EE"/>
    <w:rsid w:val="00CA631A"/>
    <w:rsid w:val="00CA643E"/>
    <w:rsid w:val="00CA65EF"/>
    <w:rsid w:val="00CA6647"/>
    <w:rsid w:val="00CA674E"/>
    <w:rsid w:val="00CA679A"/>
    <w:rsid w:val="00CA67A8"/>
    <w:rsid w:val="00CA6E3C"/>
    <w:rsid w:val="00CA6E5C"/>
    <w:rsid w:val="00CA6FA1"/>
    <w:rsid w:val="00CA7129"/>
    <w:rsid w:val="00CA729C"/>
    <w:rsid w:val="00CA7354"/>
    <w:rsid w:val="00CA7414"/>
    <w:rsid w:val="00CA7450"/>
    <w:rsid w:val="00CA753B"/>
    <w:rsid w:val="00CA7632"/>
    <w:rsid w:val="00CA7682"/>
    <w:rsid w:val="00CA7854"/>
    <w:rsid w:val="00CA7874"/>
    <w:rsid w:val="00CA7915"/>
    <w:rsid w:val="00CA798E"/>
    <w:rsid w:val="00CA79B9"/>
    <w:rsid w:val="00CA79CE"/>
    <w:rsid w:val="00CA7A10"/>
    <w:rsid w:val="00CA7A75"/>
    <w:rsid w:val="00CA7BB4"/>
    <w:rsid w:val="00CA7D5D"/>
    <w:rsid w:val="00CA7DC5"/>
    <w:rsid w:val="00CA7DF1"/>
    <w:rsid w:val="00CA7E03"/>
    <w:rsid w:val="00CA7F28"/>
    <w:rsid w:val="00CA7F39"/>
    <w:rsid w:val="00CA7FC4"/>
    <w:rsid w:val="00CB0001"/>
    <w:rsid w:val="00CB0044"/>
    <w:rsid w:val="00CB00EA"/>
    <w:rsid w:val="00CB0125"/>
    <w:rsid w:val="00CB01EF"/>
    <w:rsid w:val="00CB01F6"/>
    <w:rsid w:val="00CB029E"/>
    <w:rsid w:val="00CB062B"/>
    <w:rsid w:val="00CB0704"/>
    <w:rsid w:val="00CB0768"/>
    <w:rsid w:val="00CB083F"/>
    <w:rsid w:val="00CB0937"/>
    <w:rsid w:val="00CB0A1F"/>
    <w:rsid w:val="00CB0AF6"/>
    <w:rsid w:val="00CB0CE9"/>
    <w:rsid w:val="00CB0EF5"/>
    <w:rsid w:val="00CB1049"/>
    <w:rsid w:val="00CB1132"/>
    <w:rsid w:val="00CB1226"/>
    <w:rsid w:val="00CB131F"/>
    <w:rsid w:val="00CB1320"/>
    <w:rsid w:val="00CB14ED"/>
    <w:rsid w:val="00CB16C4"/>
    <w:rsid w:val="00CB1793"/>
    <w:rsid w:val="00CB183E"/>
    <w:rsid w:val="00CB196B"/>
    <w:rsid w:val="00CB1A00"/>
    <w:rsid w:val="00CB1CB8"/>
    <w:rsid w:val="00CB1E3A"/>
    <w:rsid w:val="00CB1F09"/>
    <w:rsid w:val="00CB2016"/>
    <w:rsid w:val="00CB2099"/>
    <w:rsid w:val="00CB2121"/>
    <w:rsid w:val="00CB21A5"/>
    <w:rsid w:val="00CB21AF"/>
    <w:rsid w:val="00CB221C"/>
    <w:rsid w:val="00CB2476"/>
    <w:rsid w:val="00CB24A3"/>
    <w:rsid w:val="00CB25DB"/>
    <w:rsid w:val="00CB2659"/>
    <w:rsid w:val="00CB26D7"/>
    <w:rsid w:val="00CB2918"/>
    <w:rsid w:val="00CB2A50"/>
    <w:rsid w:val="00CB2A93"/>
    <w:rsid w:val="00CB2B16"/>
    <w:rsid w:val="00CB2B76"/>
    <w:rsid w:val="00CB2B91"/>
    <w:rsid w:val="00CB2C00"/>
    <w:rsid w:val="00CB2E15"/>
    <w:rsid w:val="00CB2E8D"/>
    <w:rsid w:val="00CB2E95"/>
    <w:rsid w:val="00CB2F94"/>
    <w:rsid w:val="00CB2FB0"/>
    <w:rsid w:val="00CB316B"/>
    <w:rsid w:val="00CB33D0"/>
    <w:rsid w:val="00CB34BB"/>
    <w:rsid w:val="00CB34CC"/>
    <w:rsid w:val="00CB3555"/>
    <w:rsid w:val="00CB363C"/>
    <w:rsid w:val="00CB3693"/>
    <w:rsid w:val="00CB3698"/>
    <w:rsid w:val="00CB372C"/>
    <w:rsid w:val="00CB384F"/>
    <w:rsid w:val="00CB3898"/>
    <w:rsid w:val="00CB393F"/>
    <w:rsid w:val="00CB39C4"/>
    <w:rsid w:val="00CB3B98"/>
    <w:rsid w:val="00CB3BA8"/>
    <w:rsid w:val="00CB3CD2"/>
    <w:rsid w:val="00CB3CE1"/>
    <w:rsid w:val="00CB3D6A"/>
    <w:rsid w:val="00CB3E40"/>
    <w:rsid w:val="00CB3E52"/>
    <w:rsid w:val="00CB3E69"/>
    <w:rsid w:val="00CB4062"/>
    <w:rsid w:val="00CB434C"/>
    <w:rsid w:val="00CB439C"/>
    <w:rsid w:val="00CB44D3"/>
    <w:rsid w:val="00CB44DC"/>
    <w:rsid w:val="00CB452B"/>
    <w:rsid w:val="00CB45FE"/>
    <w:rsid w:val="00CB46AE"/>
    <w:rsid w:val="00CB4772"/>
    <w:rsid w:val="00CB47AD"/>
    <w:rsid w:val="00CB4838"/>
    <w:rsid w:val="00CB4900"/>
    <w:rsid w:val="00CB4B20"/>
    <w:rsid w:val="00CB4B57"/>
    <w:rsid w:val="00CB4B88"/>
    <w:rsid w:val="00CB4BA1"/>
    <w:rsid w:val="00CB4C18"/>
    <w:rsid w:val="00CB4DC2"/>
    <w:rsid w:val="00CB4DCD"/>
    <w:rsid w:val="00CB4E3F"/>
    <w:rsid w:val="00CB4E4B"/>
    <w:rsid w:val="00CB4F2D"/>
    <w:rsid w:val="00CB4FE0"/>
    <w:rsid w:val="00CB5137"/>
    <w:rsid w:val="00CB519E"/>
    <w:rsid w:val="00CB535F"/>
    <w:rsid w:val="00CB53AE"/>
    <w:rsid w:val="00CB53F8"/>
    <w:rsid w:val="00CB5442"/>
    <w:rsid w:val="00CB5444"/>
    <w:rsid w:val="00CB544A"/>
    <w:rsid w:val="00CB5579"/>
    <w:rsid w:val="00CB5876"/>
    <w:rsid w:val="00CB5A02"/>
    <w:rsid w:val="00CB5A29"/>
    <w:rsid w:val="00CB5B08"/>
    <w:rsid w:val="00CB5B61"/>
    <w:rsid w:val="00CB5BDD"/>
    <w:rsid w:val="00CB5E59"/>
    <w:rsid w:val="00CB5EB5"/>
    <w:rsid w:val="00CB5F0B"/>
    <w:rsid w:val="00CB5FF4"/>
    <w:rsid w:val="00CB603C"/>
    <w:rsid w:val="00CB6272"/>
    <w:rsid w:val="00CB6304"/>
    <w:rsid w:val="00CB64F8"/>
    <w:rsid w:val="00CB6B3F"/>
    <w:rsid w:val="00CB6C9D"/>
    <w:rsid w:val="00CB6DCC"/>
    <w:rsid w:val="00CB6DF8"/>
    <w:rsid w:val="00CB6F31"/>
    <w:rsid w:val="00CB6FA6"/>
    <w:rsid w:val="00CB70CA"/>
    <w:rsid w:val="00CB7352"/>
    <w:rsid w:val="00CB7418"/>
    <w:rsid w:val="00CB741A"/>
    <w:rsid w:val="00CB75A0"/>
    <w:rsid w:val="00CB7640"/>
    <w:rsid w:val="00CB7881"/>
    <w:rsid w:val="00CB7A5E"/>
    <w:rsid w:val="00CB7A7D"/>
    <w:rsid w:val="00CB7B06"/>
    <w:rsid w:val="00CB7C49"/>
    <w:rsid w:val="00CB7D7B"/>
    <w:rsid w:val="00CB7EC4"/>
    <w:rsid w:val="00CB7F32"/>
    <w:rsid w:val="00CB7FC6"/>
    <w:rsid w:val="00CB7FCA"/>
    <w:rsid w:val="00CC0018"/>
    <w:rsid w:val="00CC0023"/>
    <w:rsid w:val="00CC0089"/>
    <w:rsid w:val="00CC01E1"/>
    <w:rsid w:val="00CC01EB"/>
    <w:rsid w:val="00CC0259"/>
    <w:rsid w:val="00CC02ED"/>
    <w:rsid w:val="00CC02EF"/>
    <w:rsid w:val="00CC0369"/>
    <w:rsid w:val="00CC03FB"/>
    <w:rsid w:val="00CC0670"/>
    <w:rsid w:val="00CC0743"/>
    <w:rsid w:val="00CC0BBE"/>
    <w:rsid w:val="00CC0BEF"/>
    <w:rsid w:val="00CC0DE1"/>
    <w:rsid w:val="00CC0E17"/>
    <w:rsid w:val="00CC0EB9"/>
    <w:rsid w:val="00CC100B"/>
    <w:rsid w:val="00CC11B0"/>
    <w:rsid w:val="00CC11DF"/>
    <w:rsid w:val="00CC1200"/>
    <w:rsid w:val="00CC123E"/>
    <w:rsid w:val="00CC1311"/>
    <w:rsid w:val="00CC13AD"/>
    <w:rsid w:val="00CC143D"/>
    <w:rsid w:val="00CC143E"/>
    <w:rsid w:val="00CC1572"/>
    <w:rsid w:val="00CC15F1"/>
    <w:rsid w:val="00CC1690"/>
    <w:rsid w:val="00CC175D"/>
    <w:rsid w:val="00CC1969"/>
    <w:rsid w:val="00CC19CF"/>
    <w:rsid w:val="00CC19DE"/>
    <w:rsid w:val="00CC1C85"/>
    <w:rsid w:val="00CC1D0E"/>
    <w:rsid w:val="00CC1DA4"/>
    <w:rsid w:val="00CC1DAF"/>
    <w:rsid w:val="00CC1E6C"/>
    <w:rsid w:val="00CC1F28"/>
    <w:rsid w:val="00CC21B3"/>
    <w:rsid w:val="00CC21E5"/>
    <w:rsid w:val="00CC2213"/>
    <w:rsid w:val="00CC2221"/>
    <w:rsid w:val="00CC2229"/>
    <w:rsid w:val="00CC22AE"/>
    <w:rsid w:val="00CC23B3"/>
    <w:rsid w:val="00CC2459"/>
    <w:rsid w:val="00CC2636"/>
    <w:rsid w:val="00CC26AF"/>
    <w:rsid w:val="00CC26FD"/>
    <w:rsid w:val="00CC2764"/>
    <w:rsid w:val="00CC27D6"/>
    <w:rsid w:val="00CC27FE"/>
    <w:rsid w:val="00CC283D"/>
    <w:rsid w:val="00CC284D"/>
    <w:rsid w:val="00CC2A5A"/>
    <w:rsid w:val="00CC2A78"/>
    <w:rsid w:val="00CC2CB3"/>
    <w:rsid w:val="00CC2D98"/>
    <w:rsid w:val="00CC2E06"/>
    <w:rsid w:val="00CC2E47"/>
    <w:rsid w:val="00CC2FB2"/>
    <w:rsid w:val="00CC3066"/>
    <w:rsid w:val="00CC32DE"/>
    <w:rsid w:val="00CC3549"/>
    <w:rsid w:val="00CC367D"/>
    <w:rsid w:val="00CC378B"/>
    <w:rsid w:val="00CC3985"/>
    <w:rsid w:val="00CC3A33"/>
    <w:rsid w:val="00CC3B3C"/>
    <w:rsid w:val="00CC3B98"/>
    <w:rsid w:val="00CC3C5F"/>
    <w:rsid w:val="00CC3D23"/>
    <w:rsid w:val="00CC3D91"/>
    <w:rsid w:val="00CC3E50"/>
    <w:rsid w:val="00CC403A"/>
    <w:rsid w:val="00CC4210"/>
    <w:rsid w:val="00CC4238"/>
    <w:rsid w:val="00CC4333"/>
    <w:rsid w:val="00CC43FC"/>
    <w:rsid w:val="00CC44F1"/>
    <w:rsid w:val="00CC44FE"/>
    <w:rsid w:val="00CC45AC"/>
    <w:rsid w:val="00CC45DA"/>
    <w:rsid w:val="00CC47A3"/>
    <w:rsid w:val="00CC4921"/>
    <w:rsid w:val="00CC49D0"/>
    <w:rsid w:val="00CC4D23"/>
    <w:rsid w:val="00CC500B"/>
    <w:rsid w:val="00CC5187"/>
    <w:rsid w:val="00CC52E5"/>
    <w:rsid w:val="00CC5357"/>
    <w:rsid w:val="00CC5431"/>
    <w:rsid w:val="00CC545C"/>
    <w:rsid w:val="00CC5476"/>
    <w:rsid w:val="00CC56A3"/>
    <w:rsid w:val="00CC5949"/>
    <w:rsid w:val="00CC595C"/>
    <w:rsid w:val="00CC5976"/>
    <w:rsid w:val="00CC59C8"/>
    <w:rsid w:val="00CC5AAF"/>
    <w:rsid w:val="00CC5B2D"/>
    <w:rsid w:val="00CC5B54"/>
    <w:rsid w:val="00CC5E35"/>
    <w:rsid w:val="00CC5E3E"/>
    <w:rsid w:val="00CC5ED5"/>
    <w:rsid w:val="00CC5F5A"/>
    <w:rsid w:val="00CC5FD3"/>
    <w:rsid w:val="00CC6048"/>
    <w:rsid w:val="00CC6209"/>
    <w:rsid w:val="00CC6314"/>
    <w:rsid w:val="00CC63BF"/>
    <w:rsid w:val="00CC63D4"/>
    <w:rsid w:val="00CC644D"/>
    <w:rsid w:val="00CC658D"/>
    <w:rsid w:val="00CC65E1"/>
    <w:rsid w:val="00CC6645"/>
    <w:rsid w:val="00CC6653"/>
    <w:rsid w:val="00CC665A"/>
    <w:rsid w:val="00CC668C"/>
    <w:rsid w:val="00CC66D6"/>
    <w:rsid w:val="00CC6721"/>
    <w:rsid w:val="00CC67B6"/>
    <w:rsid w:val="00CC67EC"/>
    <w:rsid w:val="00CC69A6"/>
    <w:rsid w:val="00CC6A54"/>
    <w:rsid w:val="00CC6BDE"/>
    <w:rsid w:val="00CC6BF9"/>
    <w:rsid w:val="00CC6BFC"/>
    <w:rsid w:val="00CC6D92"/>
    <w:rsid w:val="00CC6FB8"/>
    <w:rsid w:val="00CC709D"/>
    <w:rsid w:val="00CC718D"/>
    <w:rsid w:val="00CC719B"/>
    <w:rsid w:val="00CC7210"/>
    <w:rsid w:val="00CC74A2"/>
    <w:rsid w:val="00CC74D7"/>
    <w:rsid w:val="00CC779C"/>
    <w:rsid w:val="00CC7A5C"/>
    <w:rsid w:val="00CC7C4B"/>
    <w:rsid w:val="00CC7D2D"/>
    <w:rsid w:val="00CC7F36"/>
    <w:rsid w:val="00CC7F7E"/>
    <w:rsid w:val="00CD02DB"/>
    <w:rsid w:val="00CD0392"/>
    <w:rsid w:val="00CD0492"/>
    <w:rsid w:val="00CD0518"/>
    <w:rsid w:val="00CD0543"/>
    <w:rsid w:val="00CD0593"/>
    <w:rsid w:val="00CD061A"/>
    <w:rsid w:val="00CD063F"/>
    <w:rsid w:val="00CD07CA"/>
    <w:rsid w:val="00CD07DE"/>
    <w:rsid w:val="00CD08E7"/>
    <w:rsid w:val="00CD0964"/>
    <w:rsid w:val="00CD0AAF"/>
    <w:rsid w:val="00CD0D0F"/>
    <w:rsid w:val="00CD0DC5"/>
    <w:rsid w:val="00CD0DFC"/>
    <w:rsid w:val="00CD0EA7"/>
    <w:rsid w:val="00CD0FEA"/>
    <w:rsid w:val="00CD107A"/>
    <w:rsid w:val="00CD1184"/>
    <w:rsid w:val="00CD1311"/>
    <w:rsid w:val="00CD139E"/>
    <w:rsid w:val="00CD146B"/>
    <w:rsid w:val="00CD155B"/>
    <w:rsid w:val="00CD1719"/>
    <w:rsid w:val="00CD1893"/>
    <w:rsid w:val="00CD18AB"/>
    <w:rsid w:val="00CD1A3E"/>
    <w:rsid w:val="00CD1ADF"/>
    <w:rsid w:val="00CD1CEF"/>
    <w:rsid w:val="00CD1DEC"/>
    <w:rsid w:val="00CD1E73"/>
    <w:rsid w:val="00CD1EFF"/>
    <w:rsid w:val="00CD1FD1"/>
    <w:rsid w:val="00CD2042"/>
    <w:rsid w:val="00CD20D4"/>
    <w:rsid w:val="00CD2183"/>
    <w:rsid w:val="00CD2187"/>
    <w:rsid w:val="00CD22C6"/>
    <w:rsid w:val="00CD246B"/>
    <w:rsid w:val="00CD2519"/>
    <w:rsid w:val="00CD251C"/>
    <w:rsid w:val="00CD25B8"/>
    <w:rsid w:val="00CD268C"/>
    <w:rsid w:val="00CD26E9"/>
    <w:rsid w:val="00CD28A7"/>
    <w:rsid w:val="00CD2B48"/>
    <w:rsid w:val="00CD2B7E"/>
    <w:rsid w:val="00CD2C54"/>
    <w:rsid w:val="00CD2C94"/>
    <w:rsid w:val="00CD2CDC"/>
    <w:rsid w:val="00CD2CF3"/>
    <w:rsid w:val="00CD2D32"/>
    <w:rsid w:val="00CD2E9B"/>
    <w:rsid w:val="00CD2F34"/>
    <w:rsid w:val="00CD31EF"/>
    <w:rsid w:val="00CD324D"/>
    <w:rsid w:val="00CD326E"/>
    <w:rsid w:val="00CD3275"/>
    <w:rsid w:val="00CD327A"/>
    <w:rsid w:val="00CD3300"/>
    <w:rsid w:val="00CD381F"/>
    <w:rsid w:val="00CD382E"/>
    <w:rsid w:val="00CD383A"/>
    <w:rsid w:val="00CD3A58"/>
    <w:rsid w:val="00CD3A79"/>
    <w:rsid w:val="00CD3B40"/>
    <w:rsid w:val="00CD3B66"/>
    <w:rsid w:val="00CD3B6D"/>
    <w:rsid w:val="00CD3D82"/>
    <w:rsid w:val="00CD3DA1"/>
    <w:rsid w:val="00CD3F94"/>
    <w:rsid w:val="00CD4083"/>
    <w:rsid w:val="00CD4151"/>
    <w:rsid w:val="00CD415B"/>
    <w:rsid w:val="00CD4208"/>
    <w:rsid w:val="00CD42DE"/>
    <w:rsid w:val="00CD434A"/>
    <w:rsid w:val="00CD44ED"/>
    <w:rsid w:val="00CD4558"/>
    <w:rsid w:val="00CD460D"/>
    <w:rsid w:val="00CD4817"/>
    <w:rsid w:val="00CD4825"/>
    <w:rsid w:val="00CD4867"/>
    <w:rsid w:val="00CD4A39"/>
    <w:rsid w:val="00CD4ADB"/>
    <w:rsid w:val="00CD4CB3"/>
    <w:rsid w:val="00CD4F23"/>
    <w:rsid w:val="00CD4F25"/>
    <w:rsid w:val="00CD4FC6"/>
    <w:rsid w:val="00CD4FE5"/>
    <w:rsid w:val="00CD50E7"/>
    <w:rsid w:val="00CD520E"/>
    <w:rsid w:val="00CD5217"/>
    <w:rsid w:val="00CD54C4"/>
    <w:rsid w:val="00CD54DE"/>
    <w:rsid w:val="00CD54E1"/>
    <w:rsid w:val="00CD5562"/>
    <w:rsid w:val="00CD558B"/>
    <w:rsid w:val="00CD55B3"/>
    <w:rsid w:val="00CD5667"/>
    <w:rsid w:val="00CD56CE"/>
    <w:rsid w:val="00CD58B1"/>
    <w:rsid w:val="00CD58B9"/>
    <w:rsid w:val="00CD59D9"/>
    <w:rsid w:val="00CD5A05"/>
    <w:rsid w:val="00CD5B7D"/>
    <w:rsid w:val="00CD5C85"/>
    <w:rsid w:val="00CD5D9A"/>
    <w:rsid w:val="00CD5F3B"/>
    <w:rsid w:val="00CD5FC0"/>
    <w:rsid w:val="00CD6097"/>
    <w:rsid w:val="00CD609E"/>
    <w:rsid w:val="00CD60F3"/>
    <w:rsid w:val="00CD6140"/>
    <w:rsid w:val="00CD62A4"/>
    <w:rsid w:val="00CD6403"/>
    <w:rsid w:val="00CD6A93"/>
    <w:rsid w:val="00CD6ABC"/>
    <w:rsid w:val="00CD6AE3"/>
    <w:rsid w:val="00CD6B5C"/>
    <w:rsid w:val="00CD6CD1"/>
    <w:rsid w:val="00CD6DAE"/>
    <w:rsid w:val="00CD6DB9"/>
    <w:rsid w:val="00CD6EAE"/>
    <w:rsid w:val="00CD723D"/>
    <w:rsid w:val="00CD7373"/>
    <w:rsid w:val="00CD73BE"/>
    <w:rsid w:val="00CD73D6"/>
    <w:rsid w:val="00CD7438"/>
    <w:rsid w:val="00CD7468"/>
    <w:rsid w:val="00CD74AB"/>
    <w:rsid w:val="00CD74D3"/>
    <w:rsid w:val="00CD750A"/>
    <w:rsid w:val="00CD75E5"/>
    <w:rsid w:val="00CD788D"/>
    <w:rsid w:val="00CD7897"/>
    <w:rsid w:val="00CD78EF"/>
    <w:rsid w:val="00CD79F5"/>
    <w:rsid w:val="00CD7ABE"/>
    <w:rsid w:val="00CD7B53"/>
    <w:rsid w:val="00CD7CD0"/>
    <w:rsid w:val="00CD7DCA"/>
    <w:rsid w:val="00CD7DF6"/>
    <w:rsid w:val="00CD7E16"/>
    <w:rsid w:val="00CD7EE5"/>
    <w:rsid w:val="00CD7FAA"/>
    <w:rsid w:val="00CD7FD7"/>
    <w:rsid w:val="00CE0060"/>
    <w:rsid w:val="00CE0097"/>
    <w:rsid w:val="00CE00AB"/>
    <w:rsid w:val="00CE00B4"/>
    <w:rsid w:val="00CE04A0"/>
    <w:rsid w:val="00CE04BA"/>
    <w:rsid w:val="00CE04DE"/>
    <w:rsid w:val="00CE05F7"/>
    <w:rsid w:val="00CE061A"/>
    <w:rsid w:val="00CE062F"/>
    <w:rsid w:val="00CE06BD"/>
    <w:rsid w:val="00CE07A2"/>
    <w:rsid w:val="00CE0837"/>
    <w:rsid w:val="00CE0855"/>
    <w:rsid w:val="00CE0D66"/>
    <w:rsid w:val="00CE0E13"/>
    <w:rsid w:val="00CE0E63"/>
    <w:rsid w:val="00CE0E7B"/>
    <w:rsid w:val="00CE0EFE"/>
    <w:rsid w:val="00CE107B"/>
    <w:rsid w:val="00CE11A4"/>
    <w:rsid w:val="00CE11C4"/>
    <w:rsid w:val="00CE1267"/>
    <w:rsid w:val="00CE1331"/>
    <w:rsid w:val="00CE14C0"/>
    <w:rsid w:val="00CE15FD"/>
    <w:rsid w:val="00CE1601"/>
    <w:rsid w:val="00CE1729"/>
    <w:rsid w:val="00CE1786"/>
    <w:rsid w:val="00CE1854"/>
    <w:rsid w:val="00CE1938"/>
    <w:rsid w:val="00CE1AAD"/>
    <w:rsid w:val="00CE1EB7"/>
    <w:rsid w:val="00CE1F8B"/>
    <w:rsid w:val="00CE1FEF"/>
    <w:rsid w:val="00CE2042"/>
    <w:rsid w:val="00CE2082"/>
    <w:rsid w:val="00CE214A"/>
    <w:rsid w:val="00CE21DF"/>
    <w:rsid w:val="00CE2240"/>
    <w:rsid w:val="00CE23B9"/>
    <w:rsid w:val="00CE23BA"/>
    <w:rsid w:val="00CE25C8"/>
    <w:rsid w:val="00CE265A"/>
    <w:rsid w:val="00CE265B"/>
    <w:rsid w:val="00CE26B9"/>
    <w:rsid w:val="00CE273E"/>
    <w:rsid w:val="00CE2A5A"/>
    <w:rsid w:val="00CE2AAA"/>
    <w:rsid w:val="00CE3042"/>
    <w:rsid w:val="00CE30A7"/>
    <w:rsid w:val="00CE30B0"/>
    <w:rsid w:val="00CE30CD"/>
    <w:rsid w:val="00CE30E6"/>
    <w:rsid w:val="00CE31D9"/>
    <w:rsid w:val="00CE327E"/>
    <w:rsid w:val="00CE333D"/>
    <w:rsid w:val="00CE341F"/>
    <w:rsid w:val="00CE345F"/>
    <w:rsid w:val="00CE34DC"/>
    <w:rsid w:val="00CE3563"/>
    <w:rsid w:val="00CE3629"/>
    <w:rsid w:val="00CE368B"/>
    <w:rsid w:val="00CE36DD"/>
    <w:rsid w:val="00CE3834"/>
    <w:rsid w:val="00CE38DE"/>
    <w:rsid w:val="00CE3AB0"/>
    <w:rsid w:val="00CE3BF2"/>
    <w:rsid w:val="00CE3CDC"/>
    <w:rsid w:val="00CE3F06"/>
    <w:rsid w:val="00CE3F11"/>
    <w:rsid w:val="00CE3F4A"/>
    <w:rsid w:val="00CE40D2"/>
    <w:rsid w:val="00CE4224"/>
    <w:rsid w:val="00CE4349"/>
    <w:rsid w:val="00CE4391"/>
    <w:rsid w:val="00CE43D0"/>
    <w:rsid w:val="00CE462E"/>
    <w:rsid w:val="00CE46F9"/>
    <w:rsid w:val="00CE476B"/>
    <w:rsid w:val="00CE479E"/>
    <w:rsid w:val="00CE47B4"/>
    <w:rsid w:val="00CE4827"/>
    <w:rsid w:val="00CE48FE"/>
    <w:rsid w:val="00CE4924"/>
    <w:rsid w:val="00CE493C"/>
    <w:rsid w:val="00CE4ACE"/>
    <w:rsid w:val="00CE4B36"/>
    <w:rsid w:val="00CE4BBB"/>
    <w:rsid w:val="00CE4D3C"/>
    <w:rsid w:val="00CE4D54"/>
    <w:rsid w:val="00CE4D73"/>
    <w:rsid w:val="00CE4EAF"/>
    <w:rsid w:val="00CE5001"/>
    <w:rsid w:val="00CE52B1"/>
    <w:rsid w:val="00CE52C3"/>
    <w:rsid w:val="00CE535E"/>
    <w:rsid w:val="00CE548D"/>
    <w:rsid w:val="00CE5495"/>
    <w:rsid w:val="00CE55BD"/>
    <w:rsid w:val="00CE5764"/>
    <w:rsid w:val="00CE5899"/>
    <w:rsid w:val="00CE58AA"/>
    <w:rsid w:val="00CE593A"/>
    <w:rsid w:val="00CE593C"/>
    <w:rsid w:val="00CE5A03"/>
    <w:rsid w:val="00CE5A1D"/>
    <w:rsid w:val="00CE5A8B"/>
    <w:rsid w:val="00CE5AA4"/>
    <w:rsid w:val="00CE5AAF"/>
    <w:rsid w:val="00CE5ACA"/>
    <w:rsid w:val="00CE5B41"/>
    <w:rsid w:val="00CE5C42"/>
    <w:rsid w:val="00CE5C50"/>
    <w:rsid w:val="00CE5D71"/>
    <w:rsid w:val="00CE5E98"/>
    <w:rsid w:val="00CE5EF9"/>
    <w:rsid w:val="00CE5F30"/>
    <w:rsid w:val="00CE5FC4"/>
    <w:rsid w:val="00CE60CD"/>
    <w:rsid w:val="00CE60E8"/>
    <w:rsid w:val="00CE6170"/>
    <w:rsid w:val="00CE61CB"/>
    <w:rsid w:val="00CE66E7"/>
    <w:rsid w:val="00CE67DC"/>
    <w:rsid w:val="00CE680B"/>
    <w:rsid w:val="00CE6912"/>
    <w:rsid w:val="00CE69FC"/>
    <w:rsid w:val="00CE6BC0"/>
    <w:rsid w:val="00CE6C30"/>
    <w:rsid w:val="00CE6CC6"/>
    <w:rsid w:val="00CE6E68"/>
    <w:rsid w:val="00CE6E7E"/>
    <w:rsid w:val="00CE6E81"/>
    <w:rsid w:val="00CE6FB2"/>
    <w:rsid w:val="00CE72CA"/>
    <w:rsid w:val="00CE7394"/>
    <w:rsid w:val="00CE7528"/>
    <w:rsid w:val="00CE797B"/>
    <w:rsid w:val="00CE7AF9"/>
    <w:rsid w:val="00CE7BEE"/>
    <w:rsid w:val="00CE7C5C"/>
    <w:rsid w:val="00CE7C91"/>
    <w:rsid w:val="00CE7CB5"/>
    <w:rsid w:val="00CE7CFE"/>
    <w:rsid w:val="00CE7E38"/>
    <w:rsid w:val="00CE7EE6"/>
    <w:rsid w:val="00CF01F6"/>
    <w:rsid w:val="00CF0219"/>
    <w:rsid w:val="00CF0263"/>
    <w:rsid w:val="00CF02A4"/>
    <w:rsid w:val="00CF04B4"/>
    <w:rsid w:val="00CF05DB"/>
    <w:rsid w:val="00CF06C7"/>
    <w:rsid w:val="00CF07B4"/>
    <w:rsid w:val="00CF080E"/>
    <w:rsid w:val="00CF086A"/>
    <w:rsid w:val="00CF0A54"/>
    <w:rsid w:val="00CF0ABD"/>
    <w:rsid w:val="00CF0AFA"/>
    <w:rsid w:val="00CF0B32"/>
    <w:rsid w:val="00CF0B33"/>
    <w:rsid w:val="00CF0B8C"/>
    <w:rsid w:val="00CF0D36"/>
    <w:rsid w:val="00CF0D88"/>
    <w:rsid w:val="00CF0E9B"/>
    <w:rsid w:val="00CF0EEB"/>
    <w:rsid w:val="00CF0FC4"/>
    <w:rsid w:val="00CF1089"/>
    <w:rsid w:val="00CF11B8"/>
    <w:rsid w:val="00CF11BF"/>
    <w:rsid w:val="00CF12C8"/>
    <w:rsid w:val="00CF13DB"/>
    <w:rsid w:val="00CF1601"/>
    <w:rsid w:val="00CF1B32"/>
    <w:rsid w:val="00CF1B77"/>
    <w:rsid w:val="00CF1C79"/>
    <w:rsid w:val="00CF1C91"/>
    <w:rsid w:val="00CF1D89"/>
    <w:rsid w:val="00CF1DB3"/>
    <w:rsid w:val="00CF1DD6"/>
    <w:rsid w:val="00CF1E0B"/>
    <w:rsid w:val="00CF1EFB"/>
    <w:rsid w:val="00CF20B8"/>
    <w:rsid w:val="00CF20BC"/>
    <w:rsid w:val="00CF20C3"/>
    <w:rsid w:val="00CF2121"/>
    <w:rsid w:val="00CF2157"/>
    <w:rsid w:val="00CF21E6"/>
    <w:rsid w:val="00CF223A"/>
    <w:rsid w:val="00CF226E"/>
    <w:rsid w:val="00CF23CC"/>
    <w:rsid w:val="00CF2616"/>
    <w:rsid w:val="00CF26C2"/>
    <w:rsid w:val="00CF2708"/>
    <w:rsid w:val="00CF29E6"/>
    <w:rsid w:val="00CF29FB"/>
    <w:rsid w:val="00CF2B0A"/>
    <w:rsid w:val="00CF2C08"/>
    <w:rsid w:val="00CF2C81"/>
    <w:rsid w:val="00CF2C97"/>
    <w:rsid w:val="00CF2C98"/>
    <w:rsid w:val="00CF2CB6"/>
    <w:rsid w:val="00CF2D3C"/>
    <w:rsid w:val="00CF2D89"/>
    <w:rsid w:val="00CF2EAA"/>
    <w:rsid w:val="00CF2F64"/>
    <w:rsid w:val="00CF311A"/>
    <w:rsid w:val="00CF3125"/>
    <w:rsid w:val="00CF31B4"/>
    <w:rsid w:val="00CF31FB"/>
    <w:rsid w:val="00CF321B"/>
    <w:rsid w:val="00CF3321"/>
    <w:rsid w:val="00CF3330"/>
    <w:rsid w:val="00CF3359"/>
    <w:rsid w:val="00CF3400"/>
    <w:rsid w:val="00CF372A"/>
    <w:rsid w:val="00CF379F"/>
    <w:rsid w:val="00CF38E5"/>
    <w:rsid w:val="00CF3954"/>
    <w:rsid w:val="00CF3955"/>
    <w:rsid w:val="00CF3B09"/>
    <w:rsid w:val="00CF3BA9"/>
    <w:rsid w:val="00CF3D20"/>
    <w:rsid w:val="00CF3D34"/>
    <w:rsid w:val="00CF42DF"/>
    <w:rsid w:val="00CF4307"/>
    <w:rsid w:val="00CF43EF"/>
    <w:rsid w:val="00CF4561"/>
    <w:rsid w:val="00CF4678"/>
    <w:rsid w:val="00CF473F"/>
    <w:rsid w:val="00CF474B"/>
    <w:rsid w:val="00CF4810"/>
    <w:rsid w:val="00CF4A53"/>
    <w:rsid w:val="00CF4E62"/>
    <w:rsid w:val="00CF4E95"/>
    <w:rsid w:val="00CF52ED"/>
    <w:rsid w:val="00CF53A0"/>
    <w:rsid w:val="00CF544A"/>
    <w:rsid w:val="00CF5604"/>
    <w:rsid w:val="00CF570D"/>
    <w:rsid w:val="00CF5B34"/>
    <w:rsid w:val="00CF5CD2"/>
    <w:rsid w:val="00CF5D21"/>
    <w:rsid w:val="00CF6035"/>
    <w:rsid w:val="00CF60CB"/>
    <w:rsid w:val="00CF6171"/>
    <w:rsid w:val="00CF61C5"/>
    <w:rsid w:val="00CF61E6"/>
    <w:rsid w:val="00CF6204"/>
    <w:rsid w:val="00CF630A"/>
    <w:rsid w:val="00CF6331"/>
    <w:rsid w:val="00CF64CF"/>
    <w:rsid w:val="00CF6571"/>
    <w:rsid w:val="00CF6599"/>
    <w:rsid w:val="00CF671B"/>
    <w:rsid w:val="00CF6888"/>
    <w:rsid w:val="00CF69B4"/>
    <w:rsid w:val="00CF6B47"/>
    <w:rsid w:val="00CF6CC1"/>
    <w:rsid w:val="00CF6FC8"/>
    <w:rsid w:val="00CF70B1"/>
    <w:rsid w:val="00CF70C7"/>
    <w:rsid w:val="00CF70DC"/>
    <w:rsid w:val="00CF7347"/>
    <w:rsid w:val="00CF74F3"/>
    <w:rsid w:val="00CF7963"/>
    <w:rsid w:val="00CF7A3A"/>
    <w:rsid w:val="00CF7B62"/>
    <w:rsid w:val="00CF7F42"/>
    <w:rsid w:val="00CF7F9F"/>
    <w:rsid w:val="00CF7FAC"/>
    <w:rsid w:val="00CF7FAF"/>
    <w:rsid w:val="00D0008E"/>
    <w:rsid w:val="00D00127"/>
    <w:rsid w:val="00D0020E"/>
    <w:rsid w:val="00D002F4"/>
    <w:rsid w:val="00D004CA"/>
    <w:rsid w:val="00D00510"/>
    <w:rsid w:val="00D00539"/>
    <w:rsid w:val="00D00599"/>
    <w:rsid w:val="00D007CD"/>
    <w:rsid w:val="00D00988"/>
    <w:rsid w:val="00D009E6"/>
    <w:rsid w:val="00D009F4"/>
    <w:rsid w:val="00D00AB0"/>
    <w:rsid w:val="00D00AF9"/>
    <w:rsid w:val="00D00B3A"/>
    <w:rsid w:val="00D00CB4"/>
    <w:rsid w:val="00D00CC4"/>
    <w:rsid w:val="00D00CD9"/>
    <w:rsid w:val="00D00D82"/>
    <w:rsid w:val="00D00DC9"/>
    <w:rsid w:val="00D00DEC"/>
    <w:rsid w:val="00D00EEC"/>
    <w:rsid w:val="00D00FD5"/>
    <w:rsid w:val="00D00FF9"/>
    <w:rsid w:val="00D01259"/>
    <w:rsid w:val="00D0136D"/>
    <w:rsid w:val="00D01453"/>
    <w:rsid w:val="00D015D6"/>
    <w:rsid w:val="00D0166F"/>
    <w:rsid w:val="00D01673"/>
    <w:rsid w:val="00D0168D"/>
    <w:rsid w:val="00D018FE"/>
    <w:rsid w:val="00D0194D"/>
    <w:rsid w:val="00D01954"/>
    <w:rsid w:val="00D01C16"/>
    <w:rsid w:val="00D01C58"/>
    <w:rsid w:val="00D01D1F"/>
    <w:rsid w:val="00D01ED5"/>
    <w:rsid w:val="00D01EEE"/>
    <w:rsid w:val="00D021F0"/>
    <w:rsid w:val="00D0223F"/>
    <w:rsid w:val="00D02271"/>
    <w:rsid w:val="00D02456"/>
    <w:rsid w:val="00D02563"/>
    <w:rsid w:val="00D02570"/>
    <w:rsid w:val="00D026BC"/>
    <w:rsid w:val="00D0271D"/>
    <w:rsid w:val="00D029B4"/>
    <w:rsid w:val="00D02AD7"/>
    <w:rsid w:val="00D02C47"/>
    <w:rsid w:val="00D02D7F"/>
    <w:rsid w:val="00D02E86"/>
    <w:rsid w:val="00D02F69"/>
    <w:rsid w:val="00D02FB4"/>
    <w:rsid w:val="00D02FD8"/>
    <w:rsid w:val="00D03206"/>
    <w:rsid w:val="00D0327A"/>
    <w:rsid w:val="00D03327"/>
    <w:rsid w:val="00D03458"/>
    <w:rsid w:val="00D0359D"/>
    <w:rsid w:val="00D038FD"/>
    <w:rsid w:val="00D039E5"/>
    <w:rsid w:val="00D039E7"/>
    <w:rsid w:val="00D03A4F"/>
    <w:rsid w:val="00D03CD6"/>
    <w:rsid w:val="00D03E20"/>
    <w:rsid w:val="00D03E7A"/>
    <w:rsid w:val="00D03F74"/>
    <w:rsid w:val="00D04221"/>
    <w:rsid w:val="00D04287"/>
    <w:rsid w:val="00D043FB"/>
    <w:rsid w:val="00D044F4"/>
    <w:rsid w:val="00D0454D"/>
    <w:rsid w:val="00D0471C"/>
    <w:rsid w:val="00D04782"/>
    <w:rsid w:val="00D04827"/>
    <w:rsid w:val="00D0488B"/>
    <w:rsid w:val="00D048C3"/>
    <w:rsid w:val="00D0495A"/>
    <w:rsid w:val="00D04A0D"/>
    <w:rsid w:val="00D04A95"/>
    <w:rsid w:val="00D04CAF"/>
    <w:rsid w:val="00D04D60"/>
    <w:rsid w:val="00D04E34"/>
    <w:rsid w:val="00D04E35"/>
    <w:rsid w:val="00D04E6E"/>
    <w:rsid w:val="00D04E87"/>
    <w:rsid w:val="00D04EFF"/>
    <w:rsid w:val="00D04F17"/>
    <w:rsid w:val="00D04F35"/>
    <w:rsid w:val="00D04FC6"/>
    <w:rsid w:val="00D05020"/>
    <w:rsid w:val="00D05178"/>
    <w:rsid w:val="00D051A6"/>
    <w:rsid w:val="00D051E5"/>
    <w:rsid w:val="00D05215"/>
    <w:rsid w:val="00D05245"/>
    <w:rsid w:val="00D05307"/>
    <w:rsid w:val="00D0531F"/>
    <w:rsid w:val="00D05370"/>
    <w:rsid w:val="00D0557D"/>
    <w:rsid w:val="00D055C3"/>
    <w:rsid w:val="00D05669"/>
    <w:rsid w:val="00D05783"/>
    <w:rsid w:val="00D057D9"/>
    <w:rsid w:val="00D058A2"/>
    <w:rsid w:val="00D05A10"/>
    <w:rsid w:val="00D05B15"/>
    <w:rsid w:val="00D05B64"/>
    <w:rsid w:val="00D05C30"/>
    <w:rsid w:val="00D061D1"/>
    <w:rsid w:val="00D062D0"/>
    <w:rsid w:val="00D0630F"/>
    <w:rsid w:val="00D06434"/>
    <w:rsid w:val="00D06648"/>
    <w:rsid w:val="00D066D3"/>
    <w:rsid w:val="00D0673D"/>
    <w:rsid w:val="00D06878"/>
    <w:rsid w:val="00D06A55"/>
    <w:rsid w:val="00D06BA8"/>
    <w:rsid w:val="00D06CBF"/>
    <w:rsid w:val="00D06E09"/>
    <w:rsid w:val="00D06F7D"/>
    <w:rsid w:val="00D070A0"/>
    <w:rsid w:val="00D0713C"/>
    <w:rsid w:val="00D07220"/>
    <w:rsid w:val="00D074FF"/>
    <w:rsid w:val="00D07535"/>
    <w:rsid w:val="00D07765"/>
    <w:rsid w:val="00D078C6"/>
    <w:rsid w:val="00D07906"/>
    <w:rsid w:val="00D079A1"/>
    <w:rsid w:val="00D079E5"/>
    <w:rsid w:val="00D079E7"/>
    <w:rsid w:val="00D07ABB"/>
    <w:rsid w:val="00D07ACF"/>
    <w:rsid w:val="00D07B5D"/>
    <w:rsid w:val="00D07DD5"/>
    <w:rsid w:val="00D07FB4"/>
    <w:rsid w:val="00D10202"/>
    <w:rsid w:val="00D1036E"/>
    <w:rsid w:val="00D1041A"/>
    <w:rsid w:val="00D10476"/>
    <w:rsid w:val="00D1049C"/>
    <w:rsid w:val="00D1052A"/>
    <w:rsid w:val="00D1060A"/>
    <w:rsid w:val="00D10774"/>
    <w:rsid w:val="00D107E7"/>
    <w:rsid w:val="00D10D0E"/>
    <w:rsid w:val="00D10E7B"/>
    <w:rsid w:val="00D10E91"/>
    <w:rsid w:val="00D1105A"/>
    <w:rsid w:val="00D11114"/>
    <w:rsid w:val="00D11240"/>
    <w:rsid w:val="00D1137B"/>
    <w:rsid w:val="00D114D8"/>
    <w:rsid w:val="00D118AF"/>
    <w:rsid w:val="00D11A4B"/>
    <w:rsid w:val="00D11A98"/>
    <w:rsid w:val="00D11AF4"/>
    <w:rsid w:val="00D11D1B"/>
    <w:rsid w:val="00D11D63"/>
    <w:rsid w:val="00D11DB6"/>
    <w:rsid w:val="00D11E41"/>
    <w:rsid w:val="00D11ED2"/>
    <w:rsid w:val="00D11F56"/>
    <w:rsid w:val="00D12127"/>
    <w:rsid w:val="00D12482"/>
    <w:rsid w:val="00D125BD"/>
    <w:rsid w:val="00D125C9"/>
    <w:rsid w:val="00D12699"/>
    <w:rsid w:val="00D12700"/>
    <w:rsid w:val="00D12765"/>
    <w:rsid w:val="00D12815"/>
    <w:rsid w:val="00D12877"/>
    <w:rsid w:val="00D1298F"/>
    <w:rsid w:val="00D12A16"/>
    <w:rsid w:val="00D12B8B"/>
    <w:rsid w:val="00D12BB7"/>
    <w:rsid w:val="00D12BD6"/>
    <w:rsid w:val="00D12DE2"/>
    <w:rsid w:val="00D12DEE"/>
    <w:rsid w:val="00D12EB5"/>
    <w:rsid w:val="00D130FE"/>
    <w:rsid w:val="00D1316A"/>
    <w:rsid w:val="00D132D5"/>
    <w:rsid w:val="00D13460"/>
    <w:rsid w:val="00D134FB"/>
    <w:rsid w:val="00D135A0"/>
    <w:rsid w:val="00D135C4"/>
    <w:rsid w:val="00D13621"/>
    <w:rsid w:val="00D136B8"/>
    <w:rsid w:val="00D13719"/>
    <w:rsid w:val="00D13792"/>
    <w:rsid w:val="00D138E4"/>
    <w:rsid w:val="00D138ED"/>
    <w:rsid w:val="00D13924"/>
    <w:rsid w:val="00D13995"/>
    <w:rsid w:val="00D13B7D"/>
    <w:rsid w:val="00D13BA9"/>
    <w:rsid w:val="00D13BD1"/>
    <w:rsid w:val="00D13D74"/>
    <w:rsid w:val="00D13DC7"/>
    <w:rsid w:val="00D13E53"/>
    <w:rsid w:val="00D13EE1"/>
    <w:rsid w:val="00D13F04"/>
    <w:rsid w:val="00D14048"/>
    <w:rsid w:val="00D1422F"/>
    <w:rsid w:val="00D14492"/>
    <w:rsid w:val="00D14565"/>
    <w:rsid w:val="00D1456E"/>
    <w:rsid w:val="00D145B9"/>
    <w:rsid w:val="00D14656"/>
    <w:rsid w:val="00D146F0"/>
    <w:rsid w:val="00D14843"/>
    <w:rsid w:val="00D1492D"/>
    <w:rsid w:val="00D14987"/>
    <w:rsid w:val="00D14ADC"/>
    <w:rsid w:val="00D14B98"/>
    <w:rsid w:val="00D14C06"/>
    <w:rsid w:val="00D14D60"/>
    <w:rsid w:val="00D15060"/>
    <w:rsid w:val="00D150B3"/>
    <w:rsid w:val="00D15156"/>
    <w:rsid w:val="00D15172"/>
    <w:rsid w:val="00D151EA"/>
    <w:rsid w:val="00D15303"/>
    <w:rsid w:val="00D15305"/>
    <w:rsid w:val="00D1560E"/>
    <w:rsid w:val="00D15892"/>
    <w:rsid w:val="00D158C5"/>
    <w:rsid w:val="00D1595A"/>
    <w:rsid w:val="00D159D1"/>
    <w:rsid w:val="00D15A8A"/>
    <w:rsid w:val="00D15AC8"/>
    <w:rsid w:val="00D15C84"/>
    <w:rsid w:val="00D15CE1"/>
    <w:rsid w:val="00D15D88"/>
    <w:rsid w:val="00D16023"/>
    <w:rsid w:val="00D16051"/>
    <w:rsid w:val="00D160D8"/>
    <w:rsid w:val="00D160F7"/>
    <w:rsid w:val="00D16111"/>
    <w:rsid w:val="00D16170"/>
    <w:rsid w:val="00D16297"/>
    <w:rsid w:val="00D164B1"/>
    <w:rsid w:val="00D164BE"/>
    <w:rsid w:val="00D168DB"/>
    <w:rsid w:val="00D169A5"/>
    <w:rsid w:val="00D16C06"/>
    <w:rsid w:val="00D16C83"/>
    <w:rsid w:val="00D16D4E"/>
    <w:rsid w:val="00D16EF2"/>
    <w:rsid w:val="00D16F08"/>
    <w:rsid w:val="00D16F21"/>
    <w:rsid w:val="00D170DD"/>
    <w:rsid w:val="00D172F4"/>
    <w:rsid w:val="00D1735F"/>
    <w:rsid w:val="00D174D4"/>
    <w:rsid w:val="00D175E1"/>
    <w:rsid w:val="00D17788"/>
    <w:rsid w:val="00D177AB"/>
    <w:rsid w:val="00D17826"/>
    <w:rsid w:val="00D17A1C"/>
    <w:rsid w:val="00D17C5D"/>
    <w:rsid w:val="00D17CCE"/>
    <w:rsid w:val="00D17D98"/>
    <w:rsid w:val="00D17FAA"/>
    <w:rsid w:val="00D20039"/>
    <w:rsid w:val="00D200DE"/>
    <w:rsid w:val="00D201C8"/>
    <w:rsid w:val="00D202BF"/>
    <w:rsid w:val="00D20461"/>
    <w:rsid w:val="00D20562"/>
    <w:rsid w:val="00D2071E"/>
    <w:rsid w:val="00D20749"/>
    <w:rsid w:val="00D20783"/>
    <w:rsid w:val="00D20800"/>
    <w:rsid w:val="00D20879"/>
    <w:rsid w:val="00D20B75"/>
    <w:rsid w:val="00D20BB5"/>
    <w:rsid w:val="00D20C61"/>
    <w:rsid w:val="00D20EB0"/>
    <w:rsid w:val="00D20F59"/>
    <w:rsid w:val="00D21163"/>
    <w:rsid w:val="00D21360"/>
    <w:rsid w:val="00D21404"/>
    <w:rsid w:val="00D2148E"/>
    <w:rsid w:val="00D214A1"/>
    <w:rsid w:val="00D21675"/>
    <w:rsid w:val="00D217E3"/>
    <w:rsid w:val="00D21865"/>
    <w:rsid w:val="00D218AF"/>
    <w:rsid w:val="00D218BB"/>
    <w:rsid w:val="00D218C5"/>
    <w:rsid w:val="00D21A6E"/>
    <w:rsid w:val="00D21ADB"/>
    <w:rsid w:val="00D21B24"/>
    <w:rsid w:val="00D21B8E"/>
    <w:rsid w:val="00D21DE0"/>
    <w:rsid w:val="00D21E18"/>
    <w:rsid w:val="00D21FA8"/>
    <w:rsid w:val="00D220EF"/>
    <w:rsid w:val="00D22166"/>
    <w:rsid w:val="00D2216C"/>
    <w:rsid w:val="00D221B6"/>
    <w:rsid w:val="00D22321"/>
    <w:rsid w:val="00D224E2"/>
    <w:rsid w:val="00D22675"/>
    <w:rsid w:val="00D2270A"/>
    <w:rsid w:val="00D22766"/>
    <w:rsid w:val="00D22825"/>
    <w:rsid w:val="00D2296E"/>
    <w:rsid w:val="00D229E3"/>
    <w:rsid w:val="00D22B78"/>
    <w:rsid w:val="00D22B80"/>
    <w:rsid w:val="00D22B8A"/>
    <w:rsid w:val="00D22C1A"/>
    <w:rsid w:val="00D22E34"/>
    <w:rsid w:val="00D22E5D"/>
    <w:rsid w:val="00D22F1D"/>
    <w:rsid w:val="00D22FE7"/>
    <w:rsid w:val="00D230A2"/>
    <w:rsid w:val="00D2314B"/>
    <w:rsid w:val="00D23554"/>
    <w:rsid w:val="00D236B7"/>
    <w:rsid w:val="00D23818"/>
    <w:rsid w:val="00D23847"/>
    <w:rsid w:val="00D23B43"/>
    <w:rsid w:val="00D23BE3"/>
    <w:rsid w:val="00D23D35"/>
    <w:rsid w:val="00D23E48"/>
    <w:rsid w:val="00D24053"/>
    <w:rsid w:val="00D24062"/>
    <w:rsid w:val="00D240ED"/>
    <w:rsid w:val="00D242DE"/>
    <w:rsid w:val="00D24499"/>
    <w:rsid w:val="00D244BE"/>
    <w:rsid w:val="00D244CE"/>
    <w:rsid w:val="00D24537"/>
    <w:rsid w:val="00D24593"/>
    <w:rsid w:val="00D245FD"/>
    <w:rsid w:val="00D24640"/>
    <w:rsid w:val="00D2467C"/>
    <w:rsid w:val="00D2482F"/>
    <w:rsid w:val="00D24896"/>
    <w:rsid w:val="00D24B50"/>
    <w:rsid w:val="00D24B54"/>
    <w:rsid w:val="00D24B78"/>
    <w:rsid w:val="00D24EB0"/>
    <w:rsid w:val="00D25132"/>
    <w:rsid w:val="00D252E4"/>
    <w:rsid w:val="00D252E8"/>
    <w:rsid w:val="00D25352"/>
    <w:rsid w:val="00D25410"/>
    <w:rsid w:val="00D25556"/>
    <w:rsid w:val="00D2587A"/>
    <w:rsid w:val="00D25964"/>
    <w:rsid w:val="00D25A03"/>
    <w:rsid w:val="00D25EB8"/>
    <w:rsid w:val="00D25EC9"/>
    <w:rsid w:val="00D25F09"/>
    <w:rsid w:val="00D25FED"/>
    <w:rsid w:val="00D260F3"/>
    <w:rsid w:val="00D261BE"/>
    <w:rsid w:val="00D262EF"/>
    <w:rsid w:val="00D262F7"/>
    <w:rsid w:val="00D26382"/>
    <w:rsid w:val="00D263FE"/>
    <w:rsid w:val="00D2640C"/>
    <w:rsid w:val="00D26488"/>
    <w:rsid w:val="00D26610"/>
    <w:rsid w:val="00D26745"/>
    <w:rsid w:val="00D268D9"/>
    <w:rsid w:val="00D2692A"/>
    <w:rsid w:val="00D2696A"/>
    <w:rsid w:val="00D269B4"/>
    <w:rsid w:val="00D26A83"/>
    <w:rsid w:val="00D26CBC"/>
    <w:rsid w:val="00D26CD2"/>
    <w:rsid w:val="00D26D1D"/>
    <w:rsid w:val="00D26D2F"/>
    <w:rsid w:val="00D26E87"/>
    <w:rsid w:val="00D26EF9"/>
    <w:rsid w:val="00D26F36"/>
    <w:rsid w:val="00D27132"/>
    <w:rsid w:val="00D27232"/>
    <w:rsid w:val="00D275E0"/>
    <w:rsid w:val="00D27622"/>
    <w:rsid w:val="00D27705"/>
    <w:rsid w:val="00D2776B"/>
    <w:rsid w:val="00D277DE"/>
    <w:rsid w:val="00D278E5"/>
    <w:rsid w:val="00D278F4"/>
    <w:rsid w:val="00D279AF"/>
    <w:rsid w:val="00D27A0A"/>
    <w:rsid w:val="00D27B73"/>
    <w:rsid w:val="00D27B83"/>
    <w:rsid w:val="00D27BC1"/>
    <w:rsid w:val="00D27BEF"/>
    <w:rsid w:val="00D27C76"/>
    <w:rsid w:val="00D27F2D"/>
    <w:rsid w:val="00D27F65"/>
    <w:rsid w:val="00D30064"/>
    <w:rsid w:val="00D300C0"/>
    <w:rsid w:val="00D300E9"/>
    <w:rsid w:val="00D30118"/>
    <w:rsid w:val="00D30334"/>
    <w:rsid w:val="00D30362"/>
    <w:rsid w:val="00D304CF"/>
    <w:rsid w:val="00D304D3"/>
    <w:rsid w:val="00D30583"/>
    <w:rsid w:val="00D3068A"/>
    <w:rsid w:val="00D30719"/>
    <w:rsid w:val="00D30814"/>
    <w:rsid w:val="00D30873"/>
    <w:rsid w:val="00D308EE"/>
    <w:rsid w:val="00D3090A"/>
    <w:rsid w:val="00D30B73"/>
    <w:rsid w:val="00D30C21"/>
    <w:rsid w:val="00D30C66"/>
    <w:rsid w:val="00D30CE2"/>
    <w:rsid w:val="00D30D75"/>
    <w:rsid w:val="00D30D8A"/>
    <w:rsid w:val="00D30E1E"/>
    <w:rsid w:val="00D30E70"/>
    <w:rsid w:val="00D30E76"/>
    <w:rsid w:val="00D30EC6"/>
    <w:rsid w:val="00D30EC7"/>
    <w:rsid w:val="00D30F76"/>
    <w:rsid w:val="00D310F3"/>
    <w:rsid w:val="00D3111E"/>
    <w:rsid w:val="00D31221"/>
    <w:rsid w:val="00D31293"/>
    <w:rsid w:val="00D31318"/>
    <w:rsid w:val="00D31387"/>
    <w:rsid w:val="00D31641"/>
    <w:rsid w:val="00D316DF"/>
    <w:rsid w:val="00D31700"/>
    <w:rsid w:val="00D31822"/>
    <w:rsid w:val="00D31851"/>
    <w:rsid w:val="00D318BD"/>
    <w:rsid w:val="00D3198E"/>
    <w:rsid w:val="00D31A32"/>
    <w:rsid w:val="00D31B76"/>
    <w:rsid w:val="00D31D29"/>
    <w:rsid w:val="00D31EAB"/>
    <w:rsid w:val="00D31F8D"/>
    <w:rsid w:val="00D32109"/>
    <w:rsid w:val="00D323F9"/>
    <w:rsid w:val="00D323FA"/>
    <w:rsid w:val="00D32449"/>
    <w:rsid w:val="00D324E5"/>
    <w:rsid w:val="00D3251B"/>
    <w:rsid w:val="00D32664"/>
    <w:rsid w:val="00D326D0"/>
    <w:rsid w:val="00D32777"/>
    <w:rsid w:val="00D3288C"/>
    <w:rsid w:val="00D3295C"/>
    <w:rsid w:val="00D32B22"/>
    <w:rsid w:val="00D32B88"/>
    <w:rsid w:val="00D32BE2"/>
    <w:rsid w:val="00D32C62"/>
    <w:rsid w:val="00D32D23"/>
    <w:rsid w:val="00D32D36"/>
    <w:rsid w:val="00D32E10"/>
    <w:rsid w:val="00D32E22"/>
    <w:rsid w:val="00D32EC9"/>
    <w:rsid w:val="00D32F4B"/>
    <w:rsid w:val="00D32FA5"/>
    <w:rsid w:val="00D32FA8"/>
    <w:rsid w:val="00D3300B"/>
    <w:rsid w:val="00D3307C"/>
    <w:rsid w:val="00D3315B"/>
    <w:rsid w:val="00D3334B"/>
    <w:rsid w:val="00D3339B"/>
    <w:rsid w:val="00D33400"/>
    <w:rsid w:val="00D336AD"/>
    <w:rsid w:val="00D33708"/>
    <w:rsid w:val="00D3378F"/>
    <w:rsid w:val="00D337B7"/>
    <w:rsid w:val="00D33827"/>
    <w:rsid w:val="00D339CC"/>
    <w:rsid w:val="00D33C32"/>
    <w:rsid w:val="00D33D22"/>
    <w:rsid w:val="00D33DB8"/>
    <w:rsid w:val="00D33E6F"/>
    <w:rsid w:val="00D33EBE"/>
    <w:rsid w:val="00D33ECF"/>
    <w:rsid w:val="00D33F19"/>
    <w:rsid w:val="00D33F44"/>
    <w:rsid w:val="00D33FF0"/>
    <w:rsid w:val="00D34058"/>
    <w:rsid w:val="00D340B1"/>
    <w:rsid w:val="00D3416B"/>
    <w:rsid w:val="00D3416C"/>
    <w:rsid w:val="00D3425B"/>
    <w:rsid w:val="00D342BB"/>
    <w:rsid w:val="00D34376"/>
    <w:rsid w:val="00D343F4"/>
    <w:rsid w:val="00D34615"/>
    <w:rsid w:val="00D3461A"/>
    <w:rsid w:val="00D34629"/>
    <w:rsid w:val="00D346A0"/>
    <w:rsid w:val="00D34965"/>
    <w:rsid w:val="00D34A24"/>
    <w:rsid w:val="00D34E05"/>
    <w:rsid w:val="00D34F19"/>
    <w:rsid w:val="00D34F48"/>
    <w:rsid w:val="00D34F8A"/>
    <w:rsid w:val="00D35035"/>
    <w:rsid w:val="00D35230"/>
    <w:rsid w:val="00D35357"/>
    <w:rsid w:val="00D353B4"/>
    <w:rsid w:val="00D35434"/>
    <w:rsid w:val="00D35652"/>
    <w:rsid w:val="00D35755"/>
    <w:rsid w:val="00D358B1"/>
    <w:rsid w:val="00D35AB8"/>
    <w:rsid w:val="00D35C4A"/>
    <w:rsid w:val="00D35D84"/>
    <w:rsid w:val="00D35D9E"/>
    <w:rsid w:val="00D35E53"/>
    <w:rsid w:val="00D35E70"/>
    <w:rsid w:val="00D35E91"/>
    <w:rsid w:val="00D35EF1"/>
    <w:rsid w:val="00D35F87"/>
    <w:rsid w:val="00D35FD4"/>
    <w:rsid w:val="00D35FE9"/>
    <w:rsid w:val="00D36092"/>
    <w:rsid w:val="00D361D9"/>
    <w:rsid w:val="00D36277"/>
    <w:rsid w:val="00D362F7"/>
    <w:rsid w:val="00D36365"/>
    <w:rsid w:val="00D3655E"/>
    <w:rsid w:val="00D36660"/>
    <w:rsid w:val="00D368D2"/>
    <w:rsid w:val="00D36A37"/>
    <w:rsid w:val="00D36AD7"/>
    <w:rsid w:val="00D36CB6"/>
    <w:rsid w:val="00D36CF9"/>
    <w:rsid w:val="00D36CFB"/>
    <w:rsid w:val="00D36DD5"/>
    <w:rsid w:val="00D36EFD"/>
    <w:rsid w:val="00D36F62"/>
    <w:rsid w:val="00D37230"/>
    <w:rsid w:val="00D373FF"/>
    <w:rsid w:val="00D37460"/>
    <w:rsid w:val="00D374F4"/>
    <w:rsid w:val="00D375CA"/>
    <w:rsid w:val="00D375EF"/>
    <w:rsid w:val="00D376F0"/>
    <w:rsid w:val="00D3792F"/>
    <w:rsid w:val="00D37A77"/>
    <w:rsid w:val="00D37AFF"/>
    <w:rsid w:val="00D37B04"/>
    <w:rsid w:val="00D37CD0"/>
    <w:rsid w:val="00D37D1A"/>
    <w:rsid w:val="00D37ECC"/>
    <w:rsid w:val="00D4000D"/>
    <w:rsid w:val="00D400A2"/>
    <w:rsid w:val="00D401AB"/>
    <w:rsid w:val="00D401C6"/>
    <w:rsid w:val="00D4049E"/>
    <w:rsid w:val="00D40508"/>
    <w:rsid w:val="00D4068A"/>
    <w:rsid w:val="00D406B2"/>
    <w:rsid w:val="00D409DC"/>
    <w:rsid w:val="00D40B52"/>
    <w:rsid w:val="00D40B59"/>
    <w:rsid w:val="00D40B95"/>
    <w:rsid w:val="00D40C9D"/>
    <w:rsid w:val="00D40DA4"/>
    <w:rsid w:val="00D40E28"/>
    <w:rsid w:val="00D40EAE"/>
    <w:rsid w:val="00D40F00"/>
    <w:rsid w:val="00D4105C"/>
    <w:rsid w:val="00D4111E"/>
    <w:rsid w:val="00D4129E"/>
    <w:rsid w:val="00D41456"/>
    <w:rsid w:val="00D414C7"/>
    <w:rsid w:val="00D416C6"/>
    <w:rsid w:val="00D417BB"/>
    <w:rsid w:val="00D41951"/>
    <w:rsid w:val="00D41A59"/>
    <w:rsid w:val="00D41AB3"/>
    <w:rsid w:val="00D41B46"/>
    <w:rsid w:val="00D41B84"/>
    <w:rsid w:val="00D41C62"/>
    <w:rsid w:val="00D41CF9"/>
    <w:rsid w:val="00D41E40"/>
    <w:rsid w:val="00D41E77"/>
    <w:rsid w:val="00D42579"/>
    <w:rsid w:val="00D425AB"/>
    <w:rsid w:val="00D426E3"/>
    <w:rsid w:val="00D4281E"/>
    <w:rsid w:val="00D42990"/>
    <w:rsid w:val="00D429AC"/>
    <w:rsid w:val="00D429CF"/>
    <w:rsid w:val="00D42B95"/>
    <w:rsid w:val="00D42B97"/>
    <w:rsid w:val="00D42BBF"/>
    <w:rsid w:val="00D42BE3"/>
    <w:rsid w:val="00D42FD5"/>
    <w:rsid w:val="00D43096"/>
    <w:rsid w:val="00D432F1"/>
    <w:rsid w:val="00D43365"/>
    <w:rsid w:val="00D4343D"/>
    <w:rsid w:val="00D43450"/>
    <w:rsid w:val="00D434AF"/>
    <w:rsid w:val="00D434DD"/>
    <w:rsid w:val="00D43604"/>
    <w:rsid w:val="00D43634"/>
    <w:rsid w:val="00D43649"/>
    <w:rsid w:val="00D43843"/>
    <w:rsid w:val="00D43973"/>
    <w:rsid w:val="00D43B07"/>
    <w:rsid w:val="00D43B5C"/>
    <w:rsid w:val="00D43B5E"/>
    <w:rsid w:val="00D43BC4"/>
    <w:rsid w:val="00D43D89"/>
    <w:rsid w:val="00D43DE4"/>
    <w:rsid w:val="00D43E63"/>
    <w:rsid w:val="00D43F83"/>
    <w:rsid w:val="00D43FBC"/>
    <w:rsid w:val="00D44557"/>
    <w:rsid w:val="00D445C9"/>
    <w:rsid w:val="00D445E0"/>
    <w:rsid w:val="00D44715"/>
    <w:rsid w:val="00D44778"/>
    <w:rsid w:val="00D4478E"/>
    <w:rsid w:val="00D4483D"/>
    <w:rsid w:val="00D449FE"/>
    <w:rsid w:val="00D44B51"/>
    <w:rsid w:val="00D44BB0"/>
    <w:rsid w:val="00D44CCD"/>
    <w:rsid w:val="00D44DEF"/>
    <w:rsid w:val="00D44E4C"/>
    <w:rsid w:val="00D44EF4"/>
    <w:rsid w:val="00D44F36"/>
    <w:rsid w:val="00D44F9F"/>
    <w:rsid w:val="00D44FC6"/>
    <w:rsid w:val="00D44FC7"/>
    <w:rsid w:val="00D45001"/>
    <w:rsid w:val="00D450C8"/>
    <w:rsid w:val="00D45196"/>
    <w:rsid w:val="00D451AB"/>
    <w:rsid w:val="00D4525D"/>
    <w:rsid w:val="00D4529E"/>
    <w:rsid w:val="00D452D4"/>
    <w:rsid w:val="00D45401"/>
    <w:rsid w:val="00D455A6"/>
    <w:rsid w:val="00D455AF"/>
    <w:rsid w:val="00D45644"/>
    <w:rsid w:val="00D458A1"/>
    <w:rsid w:val="00D458E5"/>
    <w:rsid w:val="00D45903"/>
    <w:rsid w:val="00D45A0E"/>
    <w:rsid w:val="00D45A7A"/>
    <w:rsid w:val="00D45AE1"/>
    <w:rsid w:val="00D45B77"/>
    <w:rsid w:val="00D45D6C"/>
    <w:rsid w:val="00D45DA9"/>
    <w:rsid w:val="00D45DEB"/>
    <w:rsid w:val="00D45E9A"/>
    <w:rsid w:val="00D460C0"/>
    <w:rsid w:val="00D4610D"/>
    <w:rsid w:val="00D4614C"/>
    <w:rsid w:val="00D461EA"/>
    <w:rsid w:val="00D4638C"/>
    <w:rsid w:val="00D463A2"/>
    <w:rsid w:val="00D464F7"/>
    <w:rsid w:val="00D46593"/>
    <w:rsid w:val="00D465A8"/>
    <w:rsid w:val="00D465CC"/>
    <w:rsid w:val="00D4674B"/>
    <w:rsid w:val="00D46852"/>
    <w:rsid w:val="00D469D9"/>
    <w:rsid w:val="00D46A00"/>
    <w:rsid w:val="00D46A18"/>
    <w:rsid w:val="00D46AB2"/>
    <w:rsid w:val="00D46C0A"/>
    <w:rsid w:val="00D46C59"/>
    <w:rsid w:val="00D46C90"/>
    <w:rsid w:val="00D46D50"/>
    <w:rsid w:val="00D46D6C"/>
    <w:rsid w:val="00D47106"/>
    <w:rsid w:val="00D471ED"/>
    <w:rsid w:val="00D472D9"/>
    <w:rsid w:val="00D47331"/>
    <w:rsid w:val="00D47504"/>
    <w:rsid w:val="00D4769D"/>
    <w:rsid w:val="00D47723"/>
    <w:rsid w:val="00D47815"/>
    <w:rsid w:val="00D4786B"/>
    <w:rsid w:val="00D4788B"/>
    <w:rsid w:val="00D47923"/>
    <w:rsid w:val="00D47A4F"/>
    <w:rsid w:val="00D47BBA"/>
    <w:rsid w:val="00D47BD0"/>
    <w:rsid w:val="00D47D2C"/>
    <w:rsid w:val="00D500D3"/>
    <w:rsid w:val="00D501AA"/>
    <w:rsid w:val="00D501FA"/>
    <w:rsid w:val="00D50344"/>
    <w:rsid w:val="00D503A5"/>
    <w:rsid w:val="00D5047B"/>
    <w:rsid w:val="00D5050B"/>
    <w:rsid w:val="00D505F3"/>
    <w:rsid w:val="00D50694"/>
    <w:rsid w:val="00D5069A"/>
    <w:rsid w:val="00D50A57"/>
    <w:rsid w:val="00D50AE3"/>
    <w:rsid w:val="00D50B29"/>
    <w:rsid w:val="00D50E5C"/>
    <w:rsid w:val="00D50FE5"/>
    <w:rsid w:val="00D51105"/>
    <w:rsid w:val="00D51107"/>
    <w:rsid w:val="00D511C1"/>
    <w:rsid w:val="00D5127A"/>
    <w:rsid w:val="00D51352"/>
    <w:rsid w:val="00D51477"/>
    <w:rsid w:val="00D51647"/>
    <w:rsid w:val="00D516BD"/>
    <w:rsid w:val="00D516CC"/>
    <w:rsid w:val="00D51787"/>
    <w:rsid w:val="00D51837"/>
    <w:rsid w:val="00D518A7"/>
    <w:rsid w:val="00D519A0"/>
    <w:rsid w:val="00D51A9D"/>
    <w:rsid w:val="00D51AEE"/>
    <w:rsid w:val="00D51AFC"/>
    <w:rsid w:val="00D51E86"/>
    <w:rsid w:val="00D51F0F"/>
    <w:rsid w:val="00D520E6"/>
    <w:rsid w:val="00D520F2"/>
    <w:rsid w:val="00D5212F"/>
    <w:rsid w:val="00D52283"/>
    <w:rsid w:val="00D522E4"/>
    <w:rsid w:val="00D5240D"/>
    <w:rsid w:val="00D52445"/>
    <w:rsid w:val="00D526A5"/>
    <w:rsid w:val="00D526F8"/>
    <w:rsid w:val="00D5276E"/>
    <w:rsid w:val="00D527C8"/>
    <w:rsid w:val="00D5287C"/>
    <w:rsid w:val="00D528D8"/>
    <w:rsid w:val="00D52965"/>
    <w:rsid w:val="00D52AB5"/>
    <w:rsid w:val="00D52B1A"/>
    <w:rsid w:val="00D52B7E"/>
    <w:rsid w:val="00D52BBB"/>
    <w:rsid w:val="00D52BD8"/>
    <w:rsid w:val="00D52C10"/>
    <w:rsid w:val="00D52E6A"/>
    <w:rsid w:val="00D5310B"/>
    <w:rsid w:val="00D53146"/>
    <w:rsid w:val="00D531E0"/>
    <w:rsid w:val="00D53200"/>
    <w:rsid w:val="00D533FC"/>
    <w:rsid w:val="00D53509"/>
    <w:rsid w:val="00D53637"/>
    <w:rsid w:val="00D5363E"/>
    <w:rsid w:val="00D5376F"/>
    <w:rsid w:val="00D53868"/>
    <w:rsid w:val="00D5392D"/>
    <w:rsid w:val="00D53953"/>
    <w:rsid w:val="00D5396D"/>
    <w:rsid w:val="00D53A2A"/>
    <w:rsid w:val="00D53A5E"/>
    <w:rsid w:val="00D53B46"/>
    <w:rsid w:val="00D53BC0"/>
    <w:rsid w:val="00D53C42"/>
    <w:rsid w:val="00D53C7B"/>
    <w:rsid w:val="00D53CE6"/>
    <w:rsid w:val="00D543C3"/>
    <w:rsid w:val="00D54430"/>
    <w:rsid w:val="00D54675"/>
    <w:rsid w:val="00D5469F"/>
    <w:rsid w:val="00D546D9"/>
    <w:rsid w:val="00D54840"/>
    <w:rsid w:val="00D54905"/>
    <w:rsid w:val="00D54AA9"/>
    <w:rsid w:val="00D54B50"/>
    <w:rsid w:val="00D54BFD"/>
    <w:rsid w:val="00D54CFF"/>
    <w:rsid w:val="00D54D7E"/>
    <w:rsid w:val="00D54DE1"/>
    <w:rsid w:val="00D54DE7"/>
    <w:rsid w:val="00D54E3C"/>
    <w:rsid w:val="00D54E69"/>
    <w:rsid w:val="00D54FD0"/>
    <w:rsid w:val="00D552EE"/>
    <w:rsid w:val="00D55399"/>
    <w:rsid w:val="00D5546B"/>
    <w:rsid w:val="00D55569"/>
    <w:rsid w:val="00D55591"/>
    <w:rsid w:val="00D5567E"/>
    <w:rsid w:val="00D5569F"/>
    <w:rsid w:val="00D556E7"/>
    <w:rsid w:val="00D5572F"/>
    <w:rsid w:val="00D557F0"/>
    <w:rsid w:val="00D55928"/>
    <w:rsid w:val="00D55AF0"/>
    <w:rsid w:val="00D55C36"/>
    <w:rsid w:val="00D55CC3"/>
    <w:rsid w:val="00D55E1C"/>
    <w:rsid w:val="00D55EE9"/>
    <w:rsid w:val="00D55F0F"/>
    <w:rsid w:val="00D55F49"/>
    <w:rsid w:val="00D55F8E"/>
    <w:rsid w:val="00D562BB"/>
    <w:rsid w:val="00D562C0"/>
    <w:rsid w:val="00D562CB"/>
    <w:rsid w:val="00D5648E"/>
    <w:rsid w:val="00D565D4"/>
    <w:rsid w:val="00D567A6"/>
    <w:rsid w:val="00D56AF4"/>
    <w:rsid w:val="00D56B70"/>
    <w:rsid w:val="00D56C69"/>
    <w:rsid w:val="00D56DB0"/>
    <w:rsid w:val="00D56F15"/>
    <w:rsid w:val="00D570B9"/>
    <w:rsid w:val="00D5713D"/>
    <w:rsid w:val="00D5714F"/>
    <w:rsid w:val="00D57158"/>
    <w:rsid w:val="00D57180"/>
    <w:rsid w:val="00D573EC"/>
    <w:rsid w:val="00D574BF"/>
    <w:rsid w:val="00D574FC"/>
    <w:rsid w:val="00D57500"/>
    <w:rsid w:val="00D5772D"/>
    <w:rsid w:val="00D577B7"/>
    <w:rsid w:val="00D577D0"/>
    <w:rsid w:val="00D5787F"/>
    <w:rsid w:val="00D578F0"/>
    <w:rsid w:val="00D57965"/>
    <w:rsid w:val="00D579A3"/>
    <w:rsid w:val="00D57AB1"/>
    <w:rsid w:val="00D57B11"/>
    <w:rsid w:val="00D57BC4"/>
    <w:rsid w:val="00D57C2E"/>
    <w:rsid w:val="00D57C8F"/>
    <w:rsid w:val="00D57CDF"/>
    <w:rsid w:val="00D57D45"/>
    <w:rsid w:val="00D57F9F"/>
    <w:rsid w:val="00D57FD6"/>
    <w:rsid w:val="00D60157"/>
    <w:rsid w:val="00D601BE"/>
    <w:rsid w:val="00D60273"/>
    <w:rsid w:val="00D60289"/>
    <w:rsid w:val="00D60352"/>
    <w:rsid w:val="00D604C5"/>
    <w:rsid w:val="00D6057C"/>
    <w:rsid w:val="00D6062E"/>
    <w:rsid w:val="00D606BF"/>
    <w:rsid w:val="00D607FA"/>
    <w:rsid w:val="00D60805"/>
    <w:rsid w:val="00D60829"/>
    <w:rsid w:val="00D60980"/>
    <w:rsid w:val="00D60A87"/>
    <w:rsid w:val="00D60C4C"/>
    <w:rsid w:val="00D60CC3"/>
    <w:rsid w:val="00D60FCF"/>
    <w:rsid w:val="00D61001"/>
    <w:rsid w:val="00D610B1"/>
    <w:rsid w:val="00D611C6"/>
    <w:rsid w:val="00D61217"/>
    <w:rsid w:val="00D613D6"/>
    <w:rsid w:val="00D6147E"/>
    <w:rsid w:val="00D614B7"/>
    <w:rsid w:val="00D61572"/>
    <w:rsid w:val="00D615B9"/>
    <w:rsid w:val="00D616C5"/>
    <w:rsid w:val="00D6173B"/>
    <w:rsid w:val="00D617A2"/>
    <w:rsid w:val="00D617F7"/>
    <w:rsid w:val="00D6188D"/>
    <w:rsid w:val="00D6193A"/>
    <w:rsid w:val="00D61981"/>
    <w:rsid w:val="00D619FD"/>
    <w:rsid w:val="00D61A27"/>
    <w:rsid w:val="00D61ADF"/>
    <w:rsid w:val="00D61B87"/>
    <w:rsid w:val="00D61DD3"/>
    <w:rsid w:val="00D61E3D"/>
    <w:rsid w:val="00D61FAD"/>
    <w:rsid w:val="00D62271"/>
    <w:rsid w:val="00D623A7"/>
    <w:rsid w:val="00D6241D"/>
    <w:rsid w:val="00D627EF"/>
    <w:rsid w:val="00D62BE7"/>
    <w:rsid w:val="00D62D20"/>
    <w:rsid w:val="00D62D22"/>
    <w:rsid w:val="00D62DB5"/>
    <w:rsid w:val="00D62DB6"/>
    <w:rsid w:val="00D62DCA"/>
    <w:rsid w:val="00D62F7C"/>
    <w:rsid w:val="00D630C5"/>
    <w:rsid w:val="00D6312B"/>
    <w:rsid w:val="00D632C7"/>
    <w:rsid w:val="00D63376"/>
    <w:rsid w:val="00D63398"/>
    <w:rsid w:val="00D63447"/>
    <w:rsid w:val="00D6347A"/>
    <w:rsid w:val="00D6347D"/>
    <w:rsid w:val="00D6356D"/>
    <w:rsid w:val="00D635A4"/>
    <w:rsid w:val="00D635CE"/>
    <w:rsid w:val="00D6363A"/>
    <w:rsid w:val="00D636D3"/>
    <w:rsid w:val="00D636E1"/>
    <w:rsid w:val="00D638F6"/>
    <w:rsid w:val="00D63934"/>
    <w:rsid w:val="00D639A6"/>
    <w:rsid w:val="00D63B96"/>
    <w:rsid w:val="00D63B98"/>
    <w:rsid w:val="00D63E85"/>
    <w:rsid w:val="00D63F36"/>
    <w:rsid w:val="00D64059"/>
    <w:rsid w:val="00D64108"/>
    <w:rsid w:val="00D6423F"/>
    <w:rsid w:val="00D6428D"/>
    <w:rsid w:val="00D6431A"/>
    <w:rsid w:val="00D6437F"/>
    <w:rsid w:val="00D644C2"/>
    <w:rsid w:val="00D64667"/>
    <w:rsid w:val="00D64833"/>
    <w:rsid w:val="00D64874"/>
    <w:rsid w:val="00D6490E"/>
    <w:rsid w:val="00D64C56"/>
    <w:rsid w:val="00D64CB1"/>
    <w:rsid w:val="00D64D69"/>
    <w:rsid w:val="00D64EC5"/>
    <w:rsid w:val="00D650A2"/>
    <w:rsid w:val="00D651C3"/>
    <w:rsid w:val="00D651E6"/>
    <w:rsid w:val="00D6541A"/>
    <w:rsid w:val="00D65420"/>
    <w:rsid w:val="00D65425"/>
    <w:rsid w:val="00D6553D"/>
    <w:rsid w:val="00D655E5"/>
    <w:rsid w:val="00D6568F"/>
    <w:rsid w:val="00D656EB"/>
    <w:rsid w:val="00D65827"/>
    <w:rsid w:val="00D658F7"/>
    <w:rsid w:val="00D6590C"/>
    <w:rsid w:val="00D65C15"/>
    <w:rsid w:val="00D65C69"/>
    <w:rsid w:val="00D65CFB"/>
    <w:rsid w:val="00D65D96"/>
    <w:rsid w:val="00D65F20"/>
    <w:rsid w:val="00D65F7A"/>
    <w:rsid w:val="00D66181"/>
    <w:rsid w:val="00D661D1"/>
    <w:rsid w:val="00D6658E"/>
    <w:rsid w:val="00D6686E"/>
    <w:rsid w:val="00D66992"/>
    <w:rsid w:val="00D66A36"/>
    <w:rsid w:val="00D66A92"/>
    <w:rsid w:val="00D66BA4"/>
    <w:rsid w:val="00D66BF3"/>
    <w:rsid w:val="00D66C70"/>
    <w:rsid w:val="00D66CFF"/>
    <w:rsid w:val="00D66DF5"/>
    <w:rsid w:val="00D66E2D"/>
    <w:rsid w:val="00D66E5C"/>
    <w:rsid w:val="00D66EB8"/>
    <w:rsid w:val="00D66EDF"/>
    <w:rsid w:val="00D6725A"/>
    <w:rsid w:val="00D672AA"/>
    <w:rsid w:val="00D672B1"/>
    <w:rsid w:val="00D673A8"/>
    <w:rsid w:val="00D674CB"/>
    <w:rsid w:val="00D6768E"/>
    <w:rsid w:val="00D6777A"/>
    <w:rsid w:val="00D67974"/>
    <w:rsid w:val="00D679FD"/>
    <w:rsid w:val="00D67FA4"/>
    <w:rsid w:val="00D7000F"/>
    <w:rsid w:val="00D701E8"/>
    <w:rsid w:val="00D701EC"/>
    <w:rsid w:val="00D70220"/>
    <w:rsid w:val="00D70222"/>
    <w:rsid w:val="00D703B9"/>
    <w:rsid w:val="00D7044B"/>
    <w:rsid w:val="00D707A9"/>
    <w:rsid w:val="00D707EB"/>
    <w:rsid w:val="00D708E9"/>
    <w:rsid w:val="00D70987"/>
    <w:rsid w:val="00D70B97"/>
    <w:rsid w:val="00D71025"/>
    <w:rsid w:val="00D71026"/>
    <w:rsid w:val="00D7107A"/>
    <w:rsid w:val="00D710A1"/>
    <w:rsid w:val="00D710F4"/>
    <w:rsid w:val="00D712C1"/>
    <w:rsid w:val="00D712D8"/>
    <w:rsid w:val="00D712E7"/>
    <w:rsid w:val="00D713E8"/>
    <w:rsid w:val="00D7149A"/>
    <w:rsid w:val="00D714AB"/>
    <w:rsid w:val="00D71528"/>
    <w:rsid w:val="00D715B2"/>
    <w:rsid w:val="00D715E5"/>
    <w:rsid w:val="00D71810"/>
    <w:rsid w:val="00D7186B"/>
    <w:rsid w:val="00D71921"/>
    <w:rsid w:val="00D71BCE"/>
    <w:rsid w:val="00D71D70"/>
    <w:rsid w:val="00D71E9E"/>
    <w:rsid w:val="00D71F05"/>
    <w:rsid w:val="00D71F2B"/>
    <w:rsid w:val="00D720DF"/>
    <w:rsid w:val="00D72123"/>
    <w:rsid w:val="00D721E0"/>
    <w:rsid w:val="00D7241D"/>
    <w:rsid w:val="00D7250F"/>
    <w:rsid w:val="00D72544"/>
    <w:rsid w:val="00D72573"/>
    <w:rsid w:val="00D726C7"/>
    <w:rsid w:val="00D726ED"/>
    <w:rsid w:val="00D72720"/>
    <w:rsid w:val="00D727CC"/>
    <w:rsid w:val="00D72827"/>
    <w:rsid w:val="00D72842"/>
    <w:rsid w:val="00D72853"/>
    <w:rsid w:val="00D728AC"/>
    <w:rsid w:val="00D729FF"/>
    <w:rsid w:val="00D72A6B"/>
    <w:rsid w:val="00D72A83"/>
    <w:rsid w:val="00D72BF1"/>
    <w:rsid w:val="00D72CBF"/>
    <w:rsid w:val="00D72D8D"/>
    <w:rsid w:val="00D72F00"/>
    <w:rsid w:val="00D72FDC"/>
    <w:rsid w:val="00D73095"/>
    <w:rsid w:val="00D730B0"/>
    <w:rsid w:val="00D730FB"/>
    <w:rsid w:val="00D73107"/>
    <w:rsid w:val="00D7324A"/>
    <w:rsid w:val="00D73385"/>
    <w:rsid w:val="00D73430"/>
    <w:rsid w:val="00D734E2"/>
    <w:rsid w:val="00D73604"/>
    <w:rsid w:val="00D73744"/>
    <w:rsid w:val="00D73878"/>
    <w:rsid w:val="00D73996"/>
    <w:rsid w:val="00D73A2A"/>
    <w:rsid w:val="00D73BE8"/>
    <w:rsid w:val="00D73D02"/>
    <w:rsid w:val="00D73D14"/>
    <w:rsid w:val="00D73D5F"/>
    <w:rsid w:val="00D73E66"/>
    <w:rsid w:val="00D74170"/>
    <w:rsid w:val="00D743FF"/>
    <w:rsid w:val="00D74407"/>
    <w:rsid w:val="00D744E3"/>
    <w:rsid w:val="00D746F7"/>
    <w:rsid w:val="00D74808"/>
    <w:rsid w:val="00D749A1"/>
    <w:rsid w:val="00D749C1"/>
    <w:rsid w:val="00D74A58"/>
    <w:rsid w:val="00D74AEF"/>
    <w:rsid w:val="00D74D67"/>
    <w:rsid w:val="00D75007"/>
    <w:rsid w:val="00D7506D"/>
    <w:rsid w:val="00D7527C"/>
    <w:rsid w:val="00D75300"/>
    <w:rsid w:val="00D75336"/>
    <w:rsid w:val="00D753B1"/>
    <w:rsid w:val="00D7548D"/>
    <w:rsid w:val="00D754D5"/>
    <w:rsid w:val="00D754D7"/>
    <w:rsid w:val="00D7563F"/>
    <w:rsid w:val="00D75671"/>
    <w:rsid w:val="00D759D3"/>
    <w:rsid w:val="00D75AAA"/>
    <w:rsid w:val="00D75B70"/>
    <w:rsid w:val="00D75D53"/>
    <w:rsid w:val="00D75E66"/>
    <w:rsid w:val="00D75F81"/>
    <w:rsid w:val="00D76181"/>
    <w:rsid w:val="00D76208"/>
    <w:rsid w:val="00D76269"/>
    <w:rsid w:val="00D76291"/>
    <w:rsid w:val="00D765A0"/>
    <w:rsid w:val="00D76609"/>
    <w:rsid w:val="00D76640"/>
    <w:rsid w:val="00D76684"/>
    <w:rsid w:val="00D766AA"/>
    <w:rsid w:val="00D768A4"/>
    <w:rsid w:val="00D76998"/>
    <w:rsid w:val="00D76A23"/>
    <w:rsid w:val="00D76AB5"/>
    <w:rsid w:val="00D76B06"/>
    <w:rsid w:val="00D76D5F"/>
    <w:rsid w:val="00D76EB9"/>
    <w:rsid w:val="00D76EF0"/>
    <w:rsid w:val="00D76F49"/>
    <w:rsid w:val="00D77048"/>
    <w:rsid w:val="00D77114"/>
    <w:rsid w:val="00D77115"/>
    <w:rsid w:val="00D771FD"/>
    <w:rsid w:val="00D772E5"/>
    <w:rsid w:val="00D774FB"/>
    <w:rsid w:val="00D775DD"/>
    <w:rsid w:val="00D77643"/>
    <w:rsid w:val="00D77697"/>
    <w:rsid w:val="00D77764"/>
    <w:rsid w:val="00D777AD"/>
    <w:rsid w:val="00D777AF"/>
    <w:rsid w:val="00D7796D"/>
    <w:rsid w:val="00D77A7E"/>
    <w:rsid w:val="00D77ABC"/>
    <w:rsid w:val="00D77F4C"/>
    <w:rsid w:val="00D77FDB"/>
    <w:rsid w:val="00D800F7"/>
    <w:rsid w:val="00D80156"/>
    <w:rsid w:val="00D80213"/>
    <w:rsid w:val="00D80328"/>
    <w:rsid w:val="00D80501"/>
    <w:rsid w:val="00D8077C"/>
    <w:rsid w:val="00D80855"/>
    <w:rsid w:val="00D80A4A"/>
    <w:rsid w:val="00D80A74"/>
    <w:rsid w:val="00D80AE3"/>
    <w:rsid w:val="00D80B1A"/>
    <w:rsid w:val="00D80B86"/>
    <w:rsid w:val="00D80BFD"/>
    <w:rsid w:val="00D80C06"/>
    <w:rsid w:val="00D80CF3"/>
    <w:rsid w:val="00D80D74"/>
    <w:rsid w:val="00D80EA3"/>
    <w:rsid w:val="00D80FE9"/>
    <w:rsid w:val="00D8111F"/>
    <w:rsid w:val="00D8112B"/>
    <w:rsid w:val="00D8115E"/>
    <w:rsid w:val="00D81257"/>
    <w:rsid w:val="00D812C7"/>
    <w:rsid w:val="00D81373"/>
    <w:rsid w:val="00D81498"/>
    <w:rsid w:val="00D8157C"/>
    <w:rsid w:val="00D815D8"/>
    <w:rsid w:val="00D8176C"/>
    <w:rsid w:val="00D8177E"/>
    <w:rsid w:val="00D81864"/>
    <w:rsid w:val="00D81949"/>
    <w:rsid w:val="00D8195C"/>
    <w:rsid w:val="00D81A13"/>
    <w:rsid w:val="00D81A1A"/>
    <w:rsid w:val="00D81B18"/>
    <w:rsid w:val="00D81EFD"/>
    <w:rsid w:val="00D81F30"/>
    <w:rsid w:val="00D8201F"/>
    <w:rsid w:val="00D82057"/>
    <w:rsid w:val="00D8217E"/>
    <w:rsid w:val="00D82253"/>
    <w:rsid w:val="00D82516"/>
    <w:rsid w:val="00D82577"/>
    <w:rsid w:val="00D82666"/>
    <w:rsid w:val="00D826CC"/>
    <w:rsid w:val="00D827BE"/>
    <w:rsid w:val="00D82BA7"/>
    <w:rsid w:val="00D82C4D"/>
    <w:rsid w:val="00D82ED2"/>
    <w:rsid w:val="00D831DB"/>
    <w:rsid w:val="00D8327F"/>
    <w:rsid w:val="00D83280"/>
    <w:rsid w:val="00D834BA"/>
    <w:rsid w:val="00D834D0"/>
    <w:rsid w:val="00D834DC"/>
    <w:rsid w:val="00D83541"/>
    <w:rsid w:val="00D8355A"/>
    <w:rsid w:val="00D835B3"/>
    <w:rsid w:val="00D8361B"/>
    <w:rsid w:val="00D836D1"/>
    <w:rsid w:val="00D836EA"/>
    <w:rsid w:val="00D836F8"/>
    <w:rsid w:val="00D8372A"/>
    <w:rsid w:val="00D83768"/>
    <w:rsid w:val="00D8379A"/>
    <w:rsid w:val="00D83800"/>
    <w:rsid w:val="00D83B12"/>
    <w:rsid w:val="00D83C43"/>
    <w:rsid w:val="00D83CF2"/>
    <w:rsid w:val="00D83D28"/>
    <w:rsid w:val="00D83E4F"/>
    <w:rsid w:val="00D83E69"/>
    <w:rsid w:val="00D840A5"/>
    <w:rsid w:val="00D840B4"/>
    <w:rsid w:val="00D841D0"/>
    <w:rsid w:val="00D8433A"/>
    <w:rsid w:val="00D8435E"/>
    <w:rsid w:val="00D84460"/>
    <w:rsid w:val="00D844D8"/>
    <w:rsid w:val="00D84592"/>
    <w:rsid w:val="00D8459C"/>
    <w:rsid w:val="00D845FA"/>
    <w:rsid w:val="00D8466B"/>
    <w:rsid w:val="00D84689"/>
    <w:rsid w:val="00D846B3"/>
    <w:rsid w:val="00D8470F"/>
    <w:rsid w:val="00D8487E"/>
    <w:rsid w:val="00D84892"/>
    <w:rsid w:val="00D8497C"/>
    <w:rsid w:val="00D84A2C"/>
    <w:rsid w:val="00D84B03"/>
    <w:rsid w:val="00D84B4D"/>
    <w:rsid w:val="00D84B99"/>
    <w:rsid w:val="00D84CDD"/>
    <w:rsid w:val="00D84D05"/>
    <w:rsid w:val="00D84D3D"/>
    <w:rsid w:val="00D84F44"/>
    <w:rsid w:val="00D8501A"/>
    <w:rsid w:val="00D850A1"/>
    <w:rsid w:val="00D850CA"/>
    <w:rsid w:val="00D85305"/>
    <w:rsid w:val="00D85500"/>
    <w:rsid w:val="00D8563F"/>
    <w:rsid w:val="00D85666"/>
    <w:rsid w:val="00D856AF"/>
    <w:rsid w:val="00D85747"/>
    <w:rsid w:val="00D85880"/>
    <w:rsid w:val="00D8588B"/>
    <w:rsid w:val="00D8588D"/>
    <w:rsid w:val="00D85921"/>
    <w:rsid w:val="00D85AB2"/>
    <w:rsid w:val="00D85C77"/>
    <w:rsid w:val="00D85D3C"/>
    <w:rsid w:val="00D85D55"/>
    <w:rsid w:val="00D85DCA"/>
    <w:rsid w:val="00D85F1D"/>
    <w:rsid w:val="00D86039"/>
    <w:rsid w:val="00D860D2"/>
    <w:rsid w:val="00D861B6"/>
    <w:rsid w:val="00D86231"/>
    <w:rsid w:val="00D86281"/>
    <w:rsid w:val="00D86421"/>
    <w:rsid w:val="00D8644F"/>
    <w:rsid w:val="00D865F5"/>
    <w:rsid w:val="00D866A4"/>
    <w:rsid w:val="00D866DD"/>
    <w:rsid w:val="00D86757"/>
    <w:rsid w:val="00D867EF"/>
    <w:rsid w:val="00D8682F"/>
    <w:rsid w:val="00D86833"/>
    <w:rsid w:val="00D8684E"/>
    <w:rsid w:val="00D868FA"/>
    <w:rsid w:val="00D8696B"/>
    <w:rsid w:val="00D869A0"/>
    <w:rsid w:val="00D86A06"/>
    <w:rsid w:val="00D86AB8"/>
    <w:rsid w:val="00D86BED"/>
    <w:rsid w:val="00D86CD8"/>
    <w:rsid w:val="00D86D18"/>
    <w:rsid w:val="00D86F66"/>
    <w:rsid w:val="00D86F9B"/>
    <w:rsid w:val="00D86FC2"/>
    <w:rsid w:val="00D87056"/>
    <w:rsid w:val="00D870BC"/>
    <w:rsid w:val="00D871C8"/>
    <w:rsid w:val="00D872A2"/>
    <w:rsid w:val="00D873DC"/>
    <w:rsid w:val="00D8743F"/>
    <w:rsid w:val="00D87453"/>
    <w:rsid w:val="00D876EC"/>
    <w:rsid w:val="00D87886"/>
    <w:rsid w:val="00D8794E"/>
    <w:rsid w:val="00D87BB1"/>
    <w:rsid w:val="00D87C0C"/>
    <w:rsid w:val="00D87C14"/>
    <w:rsid w:val="00D87E18"/>
    <w:rsid w:val="00D87E52"/>
    <w:rsid w:val="00D901AD"/>
    <w:rsid w:val="00D901EA"/>
    <w:rsid w:val="00D902CA"/>
    <w:rsid w:val="00D903BE"/>
    <w:rsid w:val="00D903DE"/>
    <w:rsid w:val="00D90459"/>
    <w:rsid w:val="00D90481"/>
    <w:rsid w:val="00D9052E"/>
    <w:rsid w:val="00D906D9"/>
    <w:rsid w:val="00D907A7"/>
    <w:rsid w:val="00D90848"/>
    <w:rsid w:val="00D9086B"/>
    <w:rsid w:val="00D908F9"/>
    <w:rsid w:val="00D9095E"/>
    <w:rsid w:val="00D90A5C"/>
    <w:rsid w:val="00D90ACC"/>
    <w:rsid w:val="00D90B9B"/>
    <w:rsid w:val="00D90D93"/>
    <w:rsid w:val="00D911E6"/>
    <w:rsid w:val="00D9138B"/>
    <w:rsid w:val="00D91390"/>
    <w:rsid w:val="00D913DD"/>
    <w:rsid w:val="00D913EF"/>
    <w:rsid w:val="00D9146E"/>
    <w:rsid w:val="00D91540"/>
    <w:rsid w:val="00D917FC"/>
    <w:rsid w:val="00D918AF"/>
    <w:rsid w:val="00D91B3E"/>
    <w:rsid w:val="00D91CEA"/>
    <w:rsid w:val="00D91E08"/>
    <w:rsid w:val="00D91E9B"/>
    <w:rsid w:val="00D91EFC"/>
    <w:rsid w:val="00D91F6E"/>
    <w:rsid w:val="00D92148"/>
    <w:rsid w:val="00D92184"/>
    <w:rsid w:val="00D9223B"/>
    <w:rsid w:val="00D9227C"/>
    <w:rsid w:val="00D922E4"/>
    <w:rsid w:val="00D92349"/>
    <w:rsid w:val="00D9235E"/>
    <w:rsid w:val="00D925A1"/>
    <w:rsid w:val="00D92628"/>
    <w:rsid w:val="00D927A4"/>
    <w:rsid w:val="00D927AC"/>
    <w:rsid w:val="00D92803"/>
    <w:rsid w:val="00D92832"/>
    <w:rsid w:val="00D9285A"/>
    <w:rsid w:val="00D92A3A"/>
    <w:rsid w:val="00D92BC7"/>
    <w:rsid w:val="00D92D06"/>
    <w:rsid w:val="00D92EE2"/>
    <w:rsid w:val="00D93092"/>
    <w:rsid w:val="00D93206"/>
    <w:rsid w:val="00D93225"/>
    <w:rsid w:val="00D932AA"/>
    <w:rsid w:val="00D9340D"/>
    <w:rsid w:val="00D934BA"/>
    <w:rsid w:val="00D934C4"/>
    <w:rsid w:val="00D9355C"/>
    <w:rsid w:val="00D93667"/>
    <w:rsid w:val="00D937A8"/>
    <w:rsid w:val="00D937CA"/>
    <w:rsid w:val="00D938F3"/>
    <w:rsid w:val="00D939A2"/>
    <w:rsid w:val="00D93A16"/>
    <w:rsid w:val="00D93A71"/>
    <w:rsid w:val="00D93B28"/>
    <w:rsid w:val="00D93B89"/>
    <w:rsid w:val="00D93BCF"/>
    <w:rsid w:val="00D93C1B"/>
    <w:rsid w:val="00D93C53"/>
    <w:rsid w:val="00D93C65"/>
    <w:rsid w:val="00D93CD5"/>
    <w:rsid w:val="00D93D55"/>
    <w:rsid w:val="00D93D7F"/>
    <w:rsid w:val="00D93E19"/>
    <w:rsid w:val="00D93FFF"/>
    <w:rsid w:val="00D9405A"/>
    <w:rsid w:val="00D94187"/>
    <w:rsid w:val="00D941D4"/>
    <w:rsid w:val="00D9438B"/>
    <w:rsid w:val="00D94391"/>
    <w:rsid w:val="00D945AB"/>
    <w:rsid w:val="00D9496D"/>
    <w:rsid w:val="00D94A12"/>
    <w:rsid w:val="00D94D08"/>
    <w:rsid w:val="00D94DE8"/>
    <w:rsid w:val="00D94E49"/>
    <w:rsid w:val="00D94E8D"/>
    <w:rsid w:val="00D9500A"/>
    <w:rsid w:val="00D9505D"/>
    <w:rsid w:val="00D952D5"/>
    <w:rsid w:val="00D95384"/>
    <w:rsid w:val="00D9555C"/>
    <w:rsid w:val="00D95999"/>
    <w:rsid w:val="00D95A5A"/>
    <w:rsid w:val="00D95F7C"/>
    <w:rsid w:val="00D96288"/>
    <w:rsid w:val="00D96356"/>
    <w:rsid w:val="00D96699"/>
    <w:rsid w:val="00D966D5"/>
    <w:rsid w:val="00D9698F"/>
    <w:rsid w:val="00D96A0C"/>
    <w:rsid w:val="00D96A2C"/>
    <w:rsid w:val="00D96B8C"/>
    <w:rsid w:val="00D96BC4"/>
    <w:rsid w:val="00D96C82"/>
    <w:rsid w:val="00D96DBC"/>
    <w:rsid w:val="00D96DCC"/>
    <w:rsid w:val="00D96E5F"/>
    <w:rsid w:val="00D96ED8"/>
    <w:rsid w:val="00D96ED9"/>
    <w:rsid w:val="00D97131"/>
    <w:rsid w:val="00D97187"/>
    <w:rsid w:val="00D97203"/>
    <w:rsid w:val="00D97252"/>
    <w:rsid w:val="00D972A2"/>
    <w:rsid w:val="00D97556"/>
    <w:rsid w:val="00D975AB"/>
    <w:rsid w:val="00D97663"/>
    <w:rsid w:val="00D97680"/>
    <w:rsid w:val="00D97B44"/>
    <w:rsid w:val="00D97B88"/>
    <w:rsid w:val="00D97BEF"/>
    <w:rsid w:val="00D97CAF"/>
    <w:rsid w:val="00D97F2F"/>
    <w:rsid w:val="00D97F9A"/>
    <w:rsid w:val="00DA004C"/>
    <w:rsid w:val="00DA011B"/>
    <w:rsid w:val="00DA0175"/>
    <w:rsid w:val="00DA0354"/>
    <w:rsid w:val="00DA0420"/>
    <w:rsid w:val="00DA05D8"/>
    <w:rsid w:val="00DA0690"/>
    <w:rsid w:val="00DA0768"/>
    <w:rsid w:val="00DA076C"/>
    <w:rsid w:val="00DA07AA"/>
    <w:rsid w:val="00DA07C5"/>
    <w:rsid w:val="00DA09EC"/>
    <w:rsid w:val="00DA0ACF"/>
    <w:rsid w:val="00DA0CE1"/>
    <w:rsid w:val="00DA0E91"/>
    <w:rsid w:val="00DA0EB2"/>
    <w:rsid w:val="00DA0EFE"/>
    <w:rsid w:val="00DA0F38"/>
    <w:rsid w:val="00DA0F8E"/>
    <w:rsid w:val="00DA0FE6"/>
    <w:rsid w:val="00DA1247"/>
    <w:rsid w:val="00DA1442"/>
    <w:rsid w:val="00DA15C8"/>
    <w:rsid w:val="00DA15DF"/>
    <w:rsid w:val="00DA161A"/>
    <w:rsid w:val="00DA16CF"/>
    <w:rsid w:val="00DA1745"/>
    <w:rsid w:val="00DA174A"/>
    <w:rsid w:val="00DA1869"/>
    <w:rsid w:val="00DA18BC"/>
    <w:rsid w:val="00DA18EC"/>
    <w:rsid w:val="00DA1902"/>
    <w:rsid w:val="00DA1937"/>
    <w:rsid w:val="00DA19B0"/>
    <w:rsid w:val="00DA1A98"/>
    <w:rsid w:val="00DA1CD0"/>
    <w:rsid w:val="00DA1D2C"/>
    <w:rsid w:val="00DA1DA0"/>
    <w:rsid w:val="00DA1F52"/>
    <w:rsid w:val="00DA1FDD"/>
    <w:rsid w:val="00DA20A3"/>
    <w:rsid w:val="00DA21BC"/>
    <w:rsid w:val="00DA21E0"/>
    <w:rsid w:val="00DA2220"/>
    <w:rsid w:val="00DA2453"/>
    <w:rsid w:val="00DA2631"/>
    <w:rsid w:val="00DA2886"/>
    <w:rsid w:val="00DA289D"/>
    <w:rsid w:val="00DA29A8"/>
    <w:rsid w:val="00DA2B70"/>
    <w:rsid w:val="00DA2B8C"/>
    <w:rsid w:val="00DA2C18"/>
    <w:rsid w:val="00DA2C4A"/>
    <w:rsid w:val="00DA2DF6"/>
    <w:rsid w:val="00DA2E83"/>
    <w:rsid w:val="00DA2F92"/>
    <w:rsid w:val="00DA3012"/>
    <w:rsid w:val="00DA307A"/>
    <w:rsid w:val="00DA31B7"/>
    <w:rsid w:val="00DA3271"/>
    <w:rsid w:val="00DA32A5"/>
    <w:rsid w:val="00DA348B"/>
    <w:rsid w:val="00DA3494"/>
    <w:rsid w:val="00DA35A2"/>
    <w:rsid w:val="00DA3633"/>
    <w:rsid w:val="00DA38A9"/>
    <w:rsid w:val="00DA392C"/>
    <w:rsid w:val="00DA3A39"/>
    <w:rsid w:val="00DA3A49"/>
    <w:rsid w:val="00DA3D33"/>
    <w:rsid w:val="00DA3DF6"/>
    <w:rsid w:val="00DA3E2F"/>
    <w:rsid w:val="00DA3EBC"/>
    <w:rsid w:val="00DA3EEE"/>
    <w:rsid w:val="00DA4039"/>
    <w:rsid w:val="00DA405E"/>
    <w:rsid w:val="00DA4258"/>
    <w:rsid w:val="00DA4362"/>
    <w:rsid w:val="00DA43A0"/>
    <w:rsid w:val="00DA4562"/>
    <w:rsid w:val="00DA45D6"/>
    <w:rsid w:val="00DA4639"/>
    <w:rsid w:val="00DA4679"/>
    <w:rsid w:val="00DA46CD"/>
    <w:rsid w:val="00DA475F"/>
    <w:rsid w:val="00DA4850"/>
    <w:rsid w:val="00DA48B3"/>
    <w:rsid w:val="00DA48C3"/>
    <w:rsid w:val="00DA4968"/>
    <w:rsid w:val="00DA49BA"/>
    <w:rsid w:val="00DA4A1A"/>
    <w:rsid w:val="00DA4AD2"/>
    <w:rsid w:val="00DA4B83"/>
    <w:rsid w:val="00DA4C58"/>
    <w:rsid w:val="00DA4DF8"/>
    <w:rsid w:val="00DA4E90"/>
    <w:rsid w:val="00DA4F7F"/>
    <w:rsid w:val="00DA4FD2"/>
    <w:rsid w:val="00DA51B3"/>
    <w:rsid w:val="00DA5373"/>
    <w:rsid w:val="00DA53D0"/>
    <w:rsid w:val="00DA53F8"/>
    <w:rsid w:val="00DA546B"/>
    <w:rsid w:val="00DA546F"/>
    <w:rsid w:val="00DA5618"/>
    <w:rsid w:val="00DA56F9"/>
    <w:rsid w:val="00DA59FB"/>
    <w:rsid w:val="00DA5A94"/>
    <w:rsid w:val="00DA5BAF"/>
    <w:rsid w:val="00DA5D6D"/>
    <w:rsid w:val="00DA5DE0"/>
    <w:rsid w:val="00DA5FAF"/>
    <w:rsid w:val="00DA6085"/>
    <w:rsid w:val="00DA61C0"/>
    <w:rsid w:val="00DA6514"/>
    <w:rsid w:val="00DA6743"/>
    <w:rsid w:val="00DA67C1"/>
    <w:rsid w:val="00DA6824"/>
    <w:rsid w:val="00DA6851"/>
    <w:rsid w:val="00DA6870"/>
    <w:rsid w:val="00DA6A04"/>
    <w:rsid w:val="00DA6B3D"/>
    <w:rsid w:val="00DA6C16"/>
    <w:rsid w:val="00DA6C9E"/>
    <w:rsid w:val="00DA6CB6"/>
    <w:rsid w:val="00DA6D69"/>
    <w:rsid w:val="00DA7043"/>
    <w:rsid w:val="00DA7045"/>
    <w:rsid w:val="00DA7191"/>
    <w:rsid w:val="00DA72B2"/>
    <w:rsid w:val="00DA7322"/>
    <w:rsid w:val="00DA732C"/>
    <w:rsid w:val="00DA752A"/>
    <w:rsid w:val="00DA7597"/>
    <w:rsid w:val="00DA7634"/>
    <w:rsid w:val="00DA7705"/>
    <w:rsid w:val="00DA7727"/>
    <w:rsid w:val="00DA7842"/>
    <w:rsid w:val="00DA7863"/>
    <w:rsid w:val="00DA7953"/>
    <w:rsid w:val="00DA7966"/>
    <w:rsid w:val="00DA797B"/>
    <w:rsid w:val="00DA7991"/>
    <w:rsid w:val="00DA7A0F"/>
    <w:rsid w:val="00DA7A46"/>
    <w:rsid w:val="00DA7A60"/>
    <w:rsid w:val="00DA7C81"/>
    <w:rsid w:val="00DA7DFC"/>
    <w:rsid w:val="00DA7E4F"/>
    <w:rsid w:val="00DA7EFD"/>
    <w:rsid w:val="00DA7F1B"/>
    <w:rsid w:val="00DA7F78"/>
    <w:rsid w:val="00DB0045"/>
    <w:rsid w:val="00DB012F"/>
    <w:rsid w:val="00DB01ED"/>
    <w:rsid w:val="00DB0266"/>
    <w:rsid w:val="00DB02C5"/>
    <w:rsid w:val="00DB031B"/>
    <w:rsid w:val="00DB0324"/>
    <w:rsid w:val="00DB05B7"/>
    <w:rsid w:val="00DB05BD"/>
    <w:rsid w:val="00DB061A"/>
    <w:rsid w:val="00DB0637"/>
    <w:rsid w:val="00DB0867"/>
    <w:rsid w:val="00DB0B95"/>
    <w:rsid w:val="00DB0BB0"/>
    <w:rsid w:val="00DB0C1C"/>
    <w:rsid w:val="00DB0C4B"/>
    <w:rsid w:val="00DB0E02"/>
    <w:rsid w:val="00DB0E2C"/>
    <w:rsid w:val="00DB0E88"/>
    <w:rsid w:val="00DB0F0D"/>
    <w:rsid w:val="00DB0F54"/>
    <w:rsid w:val="00DB1044"/>
    <w:rsid w:val="00DB109A"/>
    <w:rsid w:val="00DB1144"/>
    <w:rsid w:val="00DB1176"/>
    <w:rsid w:val="00DB11E3"/>
    <w:rsid w:val="00DB121B"/>
    <w:rsid w:val="00DB14EB"/>
    <w:rsid w:val="00DB1636"/>
    <w:rsid w:val="00DB18F5"/>
    <w:rsid w:val="00DB1B4A"/>
    <w:rsid w:val="00DB1C73"/>
    <w:rsid w:val="00DB1CE6"/>
    <w:rsid w:val="00DB1D2E"/>
    <w:rsid w:val="00DB1FCF"/>
    <w:rsid w:val="00DB2028"/>
    <w:rsid w:val="00DB206E"/>
    <w:rsid w:val="00DB2228"/>
    <w:rsid w:val="00DB229D"/>
    <w:rsid w:val="00DB2355"/>
    <w:rsid w:val="00DB2359"/>
    <w:rsid w:val="00DB2459"/>
    <w:rsid w:val="00DB25F5"/>
    <w:rsid w:val="00DB2710"/>
    <w:rsid w:val="00DB272C"/>
    <w:rsid w:val="00DB284A"/>
    <w:rsid w:val="00DB28A1"/>
    <w:rsid w:val="00DB2914"/>
    <w:rsid w:val="00DB2A59"/>
    <w:rsid w:val="00DB2A6F"/>
    <w:rsid w:val="00DB2ADA"/>
    <w:rsid w:val="00DB2B89"/>
    <w:rsid w:val="00DB2C30"/>
    <w:rsid w:val="00DB2C8E"/>
    <w:rsid w:val="00DB2CF9"/>
    <w:rsid w:val="00DB2E7C"/>
    <w:rsid w:val="00DB2FD3"/>
    <w:rsid w:val="00DB316D"/>
    <w:rsid w:val="00DB31A1"/>
    <w:rsid w:val="00DB34D3"/>
    <w:rsid w:val="00DB35F1"/>
    <w:rsid w:val="00DB35FF"/>
    <w:rsid w:val="00DB36ED"/>
    <w:rsid w:val="00DB38DC"/>
    <w:rsid w:val="00DB3A1E"/>
    <w:rsid w:val="00DB3BB4"/>
    <w:rsid w:val="00DB3DCC"/>
    <w:rsid w:val="00DB3E9E"/>
    <w:rsid w:val="00DB3EA6"/>
    <w:rsid w:val="00DB3F47"/>
    <w:rsid w:val="00DB405F"/>
    <w:rsid w:val="00DB40E4"/>
    <w:rsid w:val="00DB4242"/>
    <w:rsid w:val="00DB42F2"/>
    <w:rsid w:val="00DB43B7"/>
    <w:rsid w:val="00DB43BE"/>
    <w:rsid w:val="00DB4403"/>
    <w:rsid w:val="00DB4443"/>
    <w:rsid w:val="00DB44AA"/>
    <w:rsid w:val="00DB44F2"/>
    <w:rsid w:val="00DB452A"/>
    <w:rsid w:val="00DB45AB"/>
    <w:rsid w:val="00DB4717"/>
    <w:rsid w:val="00DB47A2"/>
    <w:rsid w:val="00DB47C8"/>
    <w:rsid w:val="00DB4823"/>
    <w:rsid w:val="00DB4987"/>
    <w:rsid w:val="00DB4CEE"/>
    <w:rsid w:val="00DB4EA8"/>
    <w:rsid w:val="00DB4F23"/>
    <w:rsid w:val="00DB5063"/>
    <w:rsid w:val="00DB51FF"/>
    <w:rsid w:val="00DB53F5"/>
    <w:rsid w:val="00DB5415"/>
    <w:rsid w:val="00DB541B"/>
    <w:rsid w:val="00DB5620"/>
    <w:rsid w:val="00DB564D"/>
    <w:rsid w:val="00DB5777"/>
    <w:rsid w:val="00DB57BF"/>
    <w:rsid w:val="00DB5889"/>
    <w:rsid w:val="00DB5A42"/>
    <w:rsid w:val="00DB5A9B"/>
    <w:rsid w:val="00DB5AB5"/>
    <w:rsid w:val="00DB5B8E"/>
    <w:rsid w:val="00DB5C55"/>
    <w:rsid w:val="00DB5CC2"/>
    <w:rsid w:val="00DB5DAA"/>
    <w:rsid w:val="00DB5E24"/>
    <w:rsid w:val="00DB5EB2"/>
    <w:rsid w:val="00DB5F6C"/>
    <w:rsid w:val="00DB5FB2"/>
    <w:rsid w:val="00DB625E"/>
    <w:rsid w:val="00DB664A"/>
    <w:rsid w:val="00DB6699"/>
    <w:rsid w:val="00DB67C1"/>
    <w:rsid w:val="00DB69FE"/>
    <w:rsid w:val="00DB6A0F"/>
    <w:rsid w:val="00DB6AA9"/>
    <w:rsid w:val="00DB6CAE"/>
    <w:rsid w:val="00DB6F15"/>
    <w:rsid w:val="00DB709D"/>
    <w:rsid w:val="00DB722B"/>
    <w:rsid w:val="00DB72CA"/>
    <w:rsid w:val="00DB7307"/>
    <w:rsid w:val="00DB7375"/>
    <w:rsid w:val="00DB737C"/>
    <w:rsid w:val="00DB74B3"/>
    <w:rsid w:val="00DB74D0"/>
    <w:rsid w:val="00DB7565"/>
    <w:rsid w:val="00DB762B"/>
    <w:rsid w:val="00DB785A"/>
    <w:rsid w:val="00DB794B"/>
    <w:rsid w:val="00DB798E"/>
    <w:rsid w:val="00DB7A2E"/>
    <w:rsid w:val="00DB7B23"/>
    <w:rsid w:val="00DB7CF1"/>
    <w:rsid w:val="00DB7D6C"/>
    <w:rsid w:val="00DB7E48"/>
    <w:rsid w:val="00DB7ED8"/>
    <w:rsid w:val="00DB7FDD"/>
    <w:rsid w:val="00DC0015"/>
    <w:rsid w:val="00DC023A"/>
    <w:rsid w:val="00DC033F"/>
    <w:rsid w:val="00DC042F"/>
    <w:rsid w:val="00DC045C"/>
    <w:rsid w:val="00DC04FE"/>
    <w:rsid w:val="00DC0594"/>
    <w:rsid w:val="00DC07A1"/>
    <w:rsid w:val="00DC0810"/>
    <w:rsid w:val="00DC0934"/>
    <w:rsid w:val="00DC0BFE"/>
    <w:rsid w:val="00DC0D4A"/>
    <w:rsid w:val="00DC0DB1"/>
    <w:rsid w:val="00DC0F02"/>
    <w:rsid w:val="00DC0F8D"/>
    <w:rsid w:val="00DC100E"/>
    <w:rsid w:val="00DC109A"/>
    <w:rsid w:val="00DC112C"/>
    <w:rsid w:val="00DC11DD"/>
    <w:rsid w:val="00DC1325"/>
    <w:rsid w:val="00DC13F8"/>
    <w:rsid w:val="00DC1495"/>
    <w:rsid w:val="00DC1571"/>
    <w:rsid w:val="00DC178D"/>
    <w:rsid w:val="00DC1816"/>
    <w:rsid w:val="00DC18D7"/>
    <w:rsid w:val="00DC1A9C"/>
    <w:rsid w:val="00DC1D04"/>
    <w:rsid w:val="00DC1D5C"/>
    <w:rsid w:val="00DC1E4D"/>
    <w:rsid w:val="00DC1EAA"/>
    <w:rsid w:val="00DC1F90"/>
    <w:rsid w:val="00DC1FBF"/>
    <w:rsid w:val="00DC2132"/>
    <w:rsid w:val="00DC214A"/>
    <w:rsid w:val="00DC21DD"/>
    <w:rsid w:val="00DC2241"/>
    <w:rsid w:val="00DC2284"/>
    <w:rsid w:val="00DC2285"/>
    <w:rsid w:val="00DC22AC"/>
    <w:rsid w:val="00DC2483"/>
    <w:rsid w:val="00DC24F1"/>
    <w:rsid w:val="00DC251B"/>
    <w:rsid w:val="00DC253D"/>
    <w:rsid w:val="00DC2866"/>
    <w:rsid w:val="00DC2956"/>
    <w:rsid w:val="00DC298F"/>
    <w:rsid w:val="00DC2A24"/>
    <w:rsid w:val="00DC2AA0"/>
    <w:rsid w:val="00DC2B74"/>
    <w:rsid w:val="00DC2B93"/>
    <w:rsid w:val="00DC2BF2"/>
    <w:rsid w:val="00DC2D04"/>
    <w:rsid w:val="00DC2D52"/>
    <w:rsid w:val="00DC2DED"/>
    <w:rsid w:val="00DC2E98"/>
    <w:rsid w:val="00DC2EB4"/>
    <w:rsid w:val="00DC2F69"/>
    <w:rsid w:val="00DC3170"/>
    <w:rsid w:val="00DC321A"/>
    <w:rsid w:val="00DC34F2"/>
    <w:rsid w:val="00DC3523"/>
    <w:rsid w:val="00DC3542"/>
    <w:rsid w:val="00DC36D0"/>
    <w:rsid w:val="00DC3718"/>
    <w:rsid w:val="00DC3869"/>
    <w:rsid w:val="00DC38AC"/>
    <w:rsid w:val="00DC38D8"/>
    <w:rsid w:val="00DC38DA"/>
    <w:rsid w:val="00DC39E8"/>
    <w:rsid w:val="00DC3CA4"/>
    <w:rsid w:val="00DC3DBE"/>
    <w:rsid w:val="00DC3E76"/>
    <w:rsid w:val="00DC40D2"/>
    <w:rsid w:val="00DC410B"/>
    <w:rsid w:val="00DC41B2"/>
    <w:rsid w:val="00DC420E"/>
    <w:rsid w:val="00DC4282"/>
    <w:rsid w:val="00DC4304"/>
    <w:rsid w:val="00DC443C"/>
    <w:rsid w:val="00DC457F"/>
    <w:rsid w:val="00DC4722"/>
    <w:rsid w:val="00DC472A"/>
    <w:rsid w:val="00DC4898"/>
    <w:rsid w:val="00DC49A7"/>
    <w:rsid w:val="00DC49CE"/>
    <w:rsid w:val="00DC49F5"/>
    <w:rsid w:val="00DC4B79"/>
    <w:rsid w:val="00DC4B93"/>
    <w:rsid w:val="00DC4E70"/>
    <w:rsid w:val="00DC4FAF"/>
    <w:rsid w:val="00DC500A"/>
    <w:rsid w:val="00DC5127"/>
    <w:rsid w:val="00DC5201"/>
    <w:rsid w:val="00DC5318"/>
    <w:rsid w:val="00DC53B8"/>
    <w:rsid w:val="00DC53D5"/>
    <w:rsid w:val="00DC556C"/>
    <w:rsid w:val="00DC55BD"/>
    <w:rsid w:val="00DC5606"/>
    <w:rsid w:val="00DC572C"/>
    <w:rsid w:val="00DC58CC"/>
    <w:rsid w:val="00DC5A73"/>
    <w:rsid w:val="00DC5AD1"/>
    <w:rsid w:val="00DC5B96"/>
    <w:rsid w:val="00DC5C0D"/>
    <w:rsid w:val="00DC5C2C"/>
    <w:rsid w:val="00DC6013"/>
    <w:rsid w:val="00DC6019"/>
    <w:rsid w:val="00DC6158"/>
    <w:rsid w:val="00DC61AF"/>
    <w:rsid w:val="00DC6356"/>
    <w:rsid w:val="00DC649E"/>
    <w:rsid w:val="00DC64C1"/>
    <w:rsid w:val="00DC6585"/>
    <w:rsid w:val="00DC65B9"/>
    <w:rsid w:val="00DC65ED"/>
    <w:rsid w:val="00DC68E5"/>
    <w:rsid w:val="00DC6EA1"/>
    <w:rsid w:val="00DC7032"/>
    <w:rsid w:val="00DC7093"/>
    <w:rsid w:val="00DC70BA"/>
    <w:rsid w:val="00DC70BD"/>
    <w:rsid w:val="00DC72A4"/>
    <w:rsid w:val="00DC72D1"/>
    <w:rsid w:val="00DC73BC"/>
    <w:rsid w:val="00DC7435"/>
    <w:rsid w:val="00DC746E"/>
    <w:rsid w:val="00DC7614"/>
    <w:rsid w:val="00DC76EE"/>
    <w:rsid w:val="00DC780B"/>
    <w:rsid w:val="00DC7828"/>
    <w:rsid w:val="00DC79A0"/>
    <w:rsid w:val="00DC79AA"/>
    <w:rsid w:val="00DC7A62"/>
    <w:rsid w:val="00DC7A7D"/>
    <w:rsid w:val="00DC7D12"/>
    <w:rsid w:val="00DC7D2E"/>
    <w:rsid w:val="00DC7D4E"/>
    <w:rsid w:val="00DC7D95"/>
    <w:rsid w:val="00DC7EC4"/>
    <w:rsid w:val="00DC7F99"/>
    <w:rsid w:val="00DD01CA"/>
    <w:rsid w:val="00DD0287"/>
    <w:rsid w:val="00DD02F4"/>
    <w:rsid w:val="00DD043A"/>
    <w:rsid w:val="00DD05C7"/>
    <w:rsid w:val="00DD069E"/>
    <w:rsid w:val="00DD0AC9"/>
    <w:rsid w:val="00DD0B45"/>
    <w:rsid w:val="00DD0EB5"/>
    <w:rsid w:val="00DD1069"/>
    <w:rsid w:val="00DD1176"/>
    <w:rsid w:val="00DD118A"/>
    <w:rsid w:val="00DD1281"/>
    <w:rsid w:val="00DD15E9"/>
    <w:rsid w:val="00DD15FF"/>
    <w:rsid w:val="00DD1766"/>
    <w:rsid w:val="00DD17A5"/>
    <w:rsid w:val="00DD1861"/>
    <w:rsid w:val="00DD1867"/>
    <w:rsid w:val="00DD18E4"/>
    <w:rsid w:val="00DD19DA"/>
    <w:rsid w:val="00DD1A7E"/>
    <w:rsid w:val="00DD1B4E"/>
    <w:rsid w:val="00DD1DB3"/>
    <w:rsid w:val="00DD1FC2"/>
    <w:rsid w:val="00DD214E"/>
    <w:rsid w:val="00DD21FE"/>
    <w:rsid w:val="00DD240D"/>
    <w:rsid w:val="00DD245C"/>
    <w:rsid w:val="00DD2484"/>
    <w:rsid w:val="00DD2595"/>
    <w:rsid w:val="00DD25DE"/>
    <w:rsid w:val="00DD25EB"/>
    <w:rsid w:val="00DD275C"/>
    <w:rsid w:val="00DD283D"/>
    <w:rsid w:val="00DD291D"/>
    <w:rsid w:val="00DD295D"/>
    <w:rsid w:val="00DD2AED"/>
    <w:rsid w:val="00DD2BC1"/>
    <w:rsid w:val="00DD2E0D"/>
    <w:rsid w:val="00DD2F5E"/>
    <w:rsid w:val="00DD302F"/>
    <w:rsid w:val="00DD304A"/>
    <w:rsid w:val="00DD3064"/>
    <w:rsid w:val="00DD30D8"/>
    <w:rsid w:val="00DD31B0"/>
    <w:rsid w:val="00DD3206"/>
    <w:rsid w:val="00DD34D8"/>
    <w:rsid w:val="00DD3580"/>
    <w:rsid w:val="00DD3637"/>
    <w:rsid w:val="00DD368B"/>
    <w:rsid w:val="00DD399A"/>
    <w:rsid w:val="00DD3A13"/>
    <w:rsid w:val="00DD3BDC"/>
    <w:rsid w:val="00DD3C98"/>
    <w:rsid w:val="00DD3CA5"/>
    <w:rsid w:val="00DD3F7D"/>
    <w:rsid w:val="00DD4021"/>
    <w:rsid w:val="00DD4091"/>
    <w:rsid w:val="00DD420D"/>
    <w:rsid w:val="00DD4267"/>
    <w:rsid w:val="00DD429B"/>
    <w:rsid w:val="00DD435F"/>
    <w:rsid w:val="00DD44BB"/>
    <w:rsid w:val="00DD45BF"/>
    <w:rsid w:val="00DD483D"/>
    <w:rsid w:val="00DD4885"/>
    <w:rsid w:val="00DD4A98"/>
    <w:rsid w:val="00DD4B05"/>
    <w:rsid w:val="00DD4D92"/>
    <w:rsid w:val="00DD4FA4"/>
    <w:rsid w:val="00DD4FE2"/>
    <w:rsid w:val="00DD500E"/>
    <w:rsid w:val="00DD51BC"/>
    <w:rsid w:val="00DD552F"/>
    <w:rsid w:val="00DD5636"/>
    <w:rsid w:val="00DD5844"/>
    <w:rsid w:val="00DD59CE"/>
    <w:rsid w:val="00DD5A48"/>
    <w:rsid w:val="00DD5A72"/>
    <w:rsid w:val="00DD5B3B"/>
    <w:rsid w:val="00DD5BF3"/>
    <w:rsid w:val="00DD5C07"/>
    <w:rsid w:val="00DD5CB3"/>
    <w:rsid w:val="00DD5CC2"/>
    <w:rsid w:val="00DD5DF1"/>
    <w:rsid w:val="00DD5E75"/>
    <w:rsid w:val="00DD5EF3"/>
    <w:rsid w:val="00DD6016"/>
    <w:rsid w:val="00DD608F"/>
    <w:rsid w:val="00DD6112"/>
    <w:rsid w:val="00DD627D"/>
    <w:rsid w:val="00DD65DE"/>
    <w:rsid w:val="00DD6621"/>
    <w:rsid w:val="00DD6705"/>
    <w:rsid w:val="00DD6744"/>
    <w:rsid w:val="00DD6993"/>
    <w:rsid w:val="00DD6A9E"/>
    <w:rsid w:val="00DD6B1E"/>
    <w:rsid w:val="00DD6D1F"/>
    <w:rsid w:val="00DD6D91"/>
    <w:rsid w:val="00DD6DF2"/>
    <w:rsid w:val="00DD6E9C"/>
    <w:rsid w:val="00DD7221"/>
    <w:rsid w:val="00DD7251"/>
    <w:rsid w:val="00DD73C8"/>
    <w:rsid w:val="00DD742C"/>
    <w:rsid w:val="00DD7485"/>
    <w:rsid w:val="00DD74A9"/>
    <w:rsid w:val="00DD752D"/>
    <w:rsid w:val="00DD75C0"/>
    <w:rsid w:val="00DD75EF"/>
    <w:rsid w:val="00DD7808"/>
    <w:rsid w:val="00DD7948"/>
    <w:rsid w:val="00DD7AA9"/>
    <w:rsid w:val="00DD7AD5"/>
    <w:rsid w:val="00DD7B9B"/>
    <w:rsid w:val="00DD7BA2"/>
    <w:rsid w:val="00DD7C66"/>
    <w:rsid w:val="00DD7CB3"/>
    <w:rsid w:val="00DD7CB9"/>
    <w:rsid w:val="00DD7D85"/>
    <w:rsid w:val="00DD7DFD"/>
    <w:rsid w:val="00DD7E69"/>
    <w:rsid w:val="00DE0018"/>
    <w:rsid w:val="00DE01D5"/>
    <w:rsid w:val="00DE034C"/>
    <w:rsid w:val="00DE03A0"/>
    <w:rsid w:val="00DE0402"/>
    <w:rsid w:val="00DE0415"/>
    <w:rsid w:val="00DE077F"/>
    <w:rsid w:val="00DE07A1"/>
    <w:rsid w:val="00DE08A3"/>
    <w:rsid w:val="00DE0B17"/>
    <w:rsid w:val="00DE0B4F"/>
    <w:rsid w:val="00DE0B8A"/>
    <w:rsid w:val="00DE0DB9"/>
    <w:rsid w:val="00DE0EE9"/>
    <w:rsid w:val="00DE113C"/>
    <w:rsid w:val="00DE1255"/>
    <w:rsid w:val="00DE1376"/>
    <w:rsid w:val="00DE14A0"/>
    <w:rsid w:val="00DE1528"/>
    <w:rsid w:val="00DE15AD"/>
    <w:rsid w:val="00DE18EF"/>
    <w:rsid w:val="00DE194C"/>
    <w:rsid w:val="00DE19DE"/>
    <w:rsid w:val="00DE19E7"/>
    <w:rsid w:val="00DE1A7F"/>
    <w:rsid w:val="00DE1AE8"/>
    <w:rsid w:val="00DE1C01"/>
    <w:rsid w:val="00DE1C0E"/>
    <w:rsid w:val="00DE1CF4"/>
    <w:rsid w:val="00DE1D76"/>
    <w:rsid w:val="00DE1D92"/>
    <w:rsid w:val="00DE1DF2"/>
    <w:rsid w:val="00DE1E39"/>
    <w:rsid w:val="00DE1EE1"/>
    <w:rsid w:val="00DE1F6D"/>
    <w:rsid w:val="00DE1F7A"/>
    <w:rsid w:val="00DE2014"/>
    <w:rsid w:val="00DE2015"/>
    <w:rsid w:val="00DE201D"/>
    <w:rsid w:val="00DE2193"/>
    <w:rsid w:val="00DE228D"/>
    <w:rsid w:val="00DE2293"/>
    <w:rsid w:val="00DE233B"/>
    <w:rsid w:val="00DE2345"/>
    <w:rsid w:val="00DE23F1"/>
    <w:rsid w:val="00DE2417"/>
    <w:rsid w:val="00DE246B"/>
    <w:rsid w:val="00DE24EA"/>
    <w:rsid w:val="00DE2953"/>
    <w:rsid w:val="00DE2A57"/>
    <w:rsid w:val="00DE2C49"/>
    <w:rsid w:val="00DE2C63"/>
    <w:rsid w:val="00DE2D56"/>
    <w:rsid w:val="00DE2DB1"/>
    <w:rsid w:val="00DE2DFC"/>
    <w:rsid w:val="00DE2DFF"/>
    <w:rsid w:val="00DE2E9D"/>
    <w:rsid w:val="00DE302C"/>
    <w:rsid w:val="00DE3164"/>
    <w:rsid w:val="00DE3440"/>
    <w:rsid w:val="00DE34B0"/>
    <w:rsid w:val="00DE34D8"/>
    <w:rsid w:val="00DE3500"/>
    <w:rsid w:val="00DE3507"/>
    <w:rsid w:val="00DE361E"/>
    <w:rsid w:val="00DE36A9"/>
    <w:rsid w:val="00DE374E"/>
    <w:rsid w:val="00DE37BE"/>
    <w:rsid w:val="00DE37DE"/>
    <w:rsid w:val="00DE38A2"/>
    <w:rsid w:val="00DE3980"/>
    <w:rsid w:val="00DE4103"/>
    <w:rsid w:val="00DE419E"/>
    <w:rsid w:val="00DE4210"/>
    <w:rsid w:val="00DE42F4"/>
    <w:rsid w:val="00DE42F6"/>
    <w:rsid w:val="00DE4347"/>
    <w:rsid w:val="00DE43B6"/>
    <w:rsid w:val="00DE4578"/>
    <w:rsid w:val="00DE457F"/>
    <w:rsid w:val="00DE4744"/>
    <w:rsid w:val="00DE4747"/>
    <w:rsid w:val="00DE476D"/>
    <w:rsid w:val="00DE47DC"/>
    <w:rsid w:val="00DE4812"/>
    <w:rsid w:val="00DE482F"/>
    <w:rsid w:val="00DE4863"/>
    <w:rsid w:val="00DE4C5E"/>
    <w:rsid w:val="00DE4CD1"/>
    <w:rsid w:val="00DE4D14"/>
    <w:rsid w:val="00DE4D79"/>
    <w:rsid w:val="00DE4D81"/>
    <w:rsid w:val="00DE4DA8"/>
    <w:rsid w:val="00DE4DFE"/>
    <w:rsid w:val="00DE4F43"/>
    <w:rsid w:val="00DE4F52"/>
    <w:rsid w:val="00DE4F55"/>
    <w:rsid w:val="00DE51B4"/>
    <w:rsid w:val="00DE5204"/>
    <w:rsid w:val="00DE526D"/>
    <w:rsid w:val="00DE52AA"/>
    <w:rsid w:val="00DE530A"/>
    <w:rsid w:val="00DE5403"/>
    <w:rsid w:val="00DE5588"/>
    <w:rsid w:val="00DE55CB"/>
    <w:rsid w:val="00DE56BC"/>
    <w:rsid w:val="00DE56E9"/>
    <w:rsid w:val="00DE578B"/>
    <w:rsid w:val="00DE57A8"/>
    <w:rsid w:val="00DE57C5"/>
    <w:rsid w:val="00DE5885"/>
    <w:rsid w:val="00DE58E6"/>
    <w:rsid w:val="00DE591A"/>
    <w:rsid w:val="00DE59F4"/>
    <w:rsid w:val="00DE5BB0"/>
    <w:rsid w:val="00DE5D3F"/>
    <w:rsid w:val="00DE5E6A"/>
    <w:rsid w:val="00DE5F28"/>
    <w:rsid w:val="00DE5F44"/>
    <w:rsid w:val="00DE600A"/>
    <w:rsid w:val="00DE6049"/>
    <w:rsid w:val="00DE61DC"/>
    <w:rsid w:val="00DE6268"/>
    <w:rsid w:val="00DE678C"/>
    <w:rsid w:val="00DE68CA"/>
    <w:rsid w:val="00DE695D"/>
    <w:rsid w:val="00DE69E1"/>
    <w:rsid w:val="00DE6A4B"/>
    <w:rsid w:val="00DE6AEE"/>
    <w:rsid w:val="00DE6B39"/>
    <w:rsid w:val="00DE6B42"/>
    <w:rsid w:val="00DE6B4A"/>
    <w:rsid w:val="00DE6B4C"/>
    <w:rsid w:val="00DE6BC4"/>
    <w:rsid w:val="00DE6EC7"/>
    <w:rsid w:val="00DE6FC7"/>
    <w:rsid w:val="00DE70FC"/>
    <w:rsid w:val="00DE734D"/>
    <w:rsid w:val="00DE73AC"/>
    <w:rsid w:val="00DE7B41"/>
    <w:rsid w:val="00DE7CC2"/>
    <w:rsid w:val="00DE7EF8"/>
    <w:rsid w:val="00DE7EFE"/>
    <w:rsid w:val="00DF005A"/>
    <w:rsid w:val="00DF00EB"/>
    <w:rsid w:val="00DF010F"/>
    <w:rsid w:val="00DF0137"/>
    <w:rsid w:val="00DF0155"/>
    <w:rsid w:val="00DF04EE"/>
    <w:rsid w:val="00DF056B"/>
    <w:rsid w:val="00DF065E"/>
    <w:rsid w:val="00DF082A"/>
    <w:rsid w:val="00DF0843"/>
    <w:rsid w:val="00DF08AE"/>
    <w:rsid w:val="00DF0920"/>
    <w:rsid w:val="00DF09E0"/>
    <w:rsid w:val="00DF0A59"/>
    <w:rsid w:val="00DF0A72"/>
    <w:rsid w:val="00DF0AB6"/>
    <w:rsid w:val="00DF0D02"/>
    <w:rsid w:val="00DF0D8B"/>
    <w:rsid w:val="00DF0EBF"/>
    <w:rsid w:val="00DF0EDE"/>
    <w:rsid w:val="00DF0F95"/>
    <w:rsid w:val="00DF0FBA"/>
    <w:rsid w:val="00DF1003"/>
    <w:rsid w:val="00DF1178"/>
    <w:rsid w:val="00DF138A"/>
    <w:rsid w:val="00DF155A"/>
    <w:rsid w:val="00DF16C8"/>
    <w:rsid w:val="00DF1709"/>
    <w:rsid w:val="00DF1875"/>
    <w:rsid w:val="00DF1879"/>
    <w:rsid w:val="00DF198F"/>
    <w:rsid w:val="00DF19F1"/>
    <w:rsid w:val="00DF1B15"/>
    <w:rsid w:val="00DF1C48"/>
    <w:rsid w:val="00DF1E48"/>
    <w:rsid w:val="00DF1E58"/>
    <w:rsid w:val="00DF1E89"/>
    <w:rsid w:val="00DF1F1E"/>
    <w:rsid w:val="00DF20C5"/>
    <w:rsid w:val="00DF21A6"/>
    <w:rsid w:val="00DF2328"/>
    <w:rsid w:val="00DF2409"/>
    <w:rsid w:val="00DF249A"/>
    <w:rsid w:val="00DF2512"/>
    <w:rsid w:val="00DF2549"/>
    <w:rsid w:val="00DF2582"/>
    <w:rsid w:val="00DF26FF"/>
    <w:rsid w:val="00DF2741"/>
    <w:rsid w:val="00DF282F"/>
    <w:rsid w:val="00DF2885"/>
    <w:rsid w:val="00DF2BA2"/>
    <w:rsid w:val="00DF2BD1"/>
    <w:rsid w:val="00DF2C06"/>
    <w:rsid w:val="00DF2FBB"/>
    <w:rsid w:val="00DF3038"/>
    <w:rsid w:val="00DF30F1"/>
    <w:rsid w:val="00DF3187"/>
    <w:rsid w:val="00DF32E7"/>
    <w:rsid w:val="00DF33DD"/>
    <w:rsid w:val="00DF3467"/>
    <w:rsid w:val="00DF34EF"/>
    <w:rsid w:val="00DF3743"/>
    <w:rsid w:val="00DF3755"/>
    <w:rsid w:val="00DF3757"/>
    <w:rsid w:val="00DF37F4"/>
    <w:rsid w:val="00DF3930"/>
    <w:rsid w:val="00DF3A58"/>
    <w:rsid w:val="00DF3B3A"/>
    <w:rsid w:val="00DF3E35"/>
    <w:rsid w:val="00DF3E86"/>
    <w:rsid w:val="00DF3EBC"/>
    <w:rsid w:val="00DF40B3"/>
    <w:rsid w:val="00DF40FE"/>
    <w:rsid w:val="00DF42E0"/>
    <w:rsid w:val="00DF43E8"/>
    <w:rsid w:val="00DF441A"/>
    <w:rsid w:val="00DF466A"/>
    <w:rsid w:val="00DF4742"/>
    <w:rsid w:val="00DF4788"/>
    <w:rsid w:val="00DF49A6"/>
    <w:rsid w:val="00DF4BB6"/>
    <w:rsid w:val="00DF4BFC"/>
    <w:rsid w:val="00DF4D65"/>
    <w:rsid w:val="00DF4DAD"/>
    <w:rsid w:val="00DF510F"/>
    <w:rsid w:val="00DF5192"/>
    <w:rsid w:val="00DF53A0"/>
    <w:rsid w:val="00DF5544"/>
    <w:rsid w:val="00DF5687"/>
    <w:rsid w:val="00DF57E7"/>
    <w:rsid w:val="00DF5A29"/>
    <w:rsid w:val="00DF5B56"/>
    <w:rsid w:val="00DF5CA9"/>
    <w:rsid w:val="00DF6076"/>
    <w:rsid w:val="00DF60D6"/>
    <w:rsid w:val="00DF60EB"/>
    <w:rsid w:val="00DF60EC"/>
    <w:rsid w:val="00DF620E"/>
    <w:rsid w:val="00DF62ED"/>
    <w:rsid w:val="00DF6326"/>
    <w:rsid w:val="00DF64B2"/>
    <w:rsid w:val="00DF6540"/>
    <w:rsid w:val="00DF669B"/>
    <w:rsid w:val="00DF66E4"/>
    <w:rsid w:val="00DF68B2"/>
    <w:rsid w:val="00DF68FA"/>
    <w:rsid w:val="00DF69DA"/>
    <w:rsid w:val="00DF6AA9"/>
    <w:rsid w:val="00DF6AD1"/>
    <w:rsid w:val="00DF6AF8"/>
    <w:rsid w:val="00DF6B90"/>
    <w:rsid w:val="00DF6D1C"/>
    <w:rsid w:val="00DF6F88"/>
    <w:rsid w:val="00DF718E"/>
    <w:rsid w:val="00DF7249"/>
    <w:rsid w:val="00DF7293"/>
    <w:rsid w:val="00DF74E5"/>
    <w:rsid w:val="00DF771E"/>
    <w:rsid w:val="00DF7776"/>
    <w:rsid w:val="00DF77FF"/>
    <w:rsid w:val="00DF78C9"/>
    <w:rsid w:val="00DF7B0B"/>
    <w:rsid w:val="00DF7B3A"/>
    <w:rsid w:val="00DF7D84"/>
    <w:rsid w:val="00DF7ECC"/>
    <w:rsid w:val="00DF7F59"/>
    <w:rsid w:val="00DF7FC3"/>
    <w:rsid w:val="00E0019B"/>
    <w:rsid w:val="00E002F8"/>
    <w:rsid w:val="00E0043E"/>
    <w:rsid w:val="00E00460"/>
    <w:rsid w:val="00E004BA"/>
    <w:rsid w:val="00E005C1"/>
    <w:rsid w:val="00E006E9"/>
    <w:rsid w:val="00E00740"/>
    <w:rsid w:val="00E00844"/>
    <w:rsid w:val="00E00856"/>
    <w:rsid w:val="00E008C4"/>
    <w:rsid w:val="00E00991"/>
    <w:rsid w:val="00E00C71"/>
    <w:rsid w:val="00E00D15"/>
    <w:rsid w:val="00E00E00"/>
    <w:rsid w:val="00E00EAA"/>
    <w:rsid w:val="00E00F12"/>
    <w:rsid w:val="00E00FAE"/>
    <w:rsid w:val="00E01034"/>
    <w:rsid w:val="00E0103C"/>
    <w:rsid w:val="00E01058"/>
    <w:rsid w:val="00E010B1"/>
    <w:rsid w:val="00E01422"/>
    <w:rsid w:val="00E01432"/>
    <w:rsid w:val="00E01613"/>
    <w:rsid w:val="00E01715"/>
    <w:rsid w:val="00E01819"/>
    <w:rsid w:val="00E01899"/>
    <w:rsid w:val="00E01934"/>
    <w:rsid w:val="00E01A69"/>
    <w:rsid w:val="00E01C21"/>
    <w:rsid w:val="00E01ECD"/>
    <w:rsid w:val="00E01FDE"/>
    <w:rsid w:val="00E020EA"/>
    <w:rsid w:val="00E0220F"/>
    <w:rsid w:val="00E02210"/>
    <w:rsid w:val="00E02399"/>
    <w:rsid w:val="00E023DA"/>
    <w:rsid w:val="00E0240A"/>
    <w:rsid w:val="00E024CC"/>
    <w:rsid w:val="00E0274F"/>
    <w:rsid w:val="00E02806"/>
    <w:rsid w:val="00E02814"/>
    <w:rsid w:val="00E02937"/>
    <w:rsid w:val="00E0293A"/>
    <w:rsid w:val="00E02B0B"/>
    <w:rsid w:val="00E02D97"/>
    <w:rsid w:val="00E02DA2"/>
    <w:rsid w:val="00E02F0C"/>
    <w:rsid w:val="00E02F71"/>
    <w:rsid w:val="00E02FD4"/>
    <w:rsid w:val="00E03088"/>
    <w:rsid w:val="00E0308A"/>
    <w:rsid w:val="00E031DB"/>
    <w:rsid w:val="00E0338D"/>
    <w:rsid w:val="00E0339C"/>
    <w:rsid w:val="00E034EB"/>
    <w:rsid w:val="00E0364A"/>
    <w:rsid w:val="00E03769"/>
    <w:rsid w:val="00E03774"/>
    <w:rsid w:val="00E03783"/>
    <w:rsid w:val="00E0383D"/>
    <w:rsid w:val="00E038DC"/>
    <w:rsid w:val="00E03AF3"/>
    <w:rsid w:val="00E03ED5"/>
    <w:rsid w:val="00E03F3D"/>
    <w:rsid w:val="00E03F68"/>
    <w:rsid w:val="00E03FCD"/>
    <w:rsid w:val="00E04119"/>
    <w:rsid w:val="00E04173"/>
    <w:rsid w:val="00E0424F"/>
    <w:rsid w:val="00E04320"/>
    <w:rsid w:val="00E0443B"/>
    <w:rsid w:val="00E04491"/>
    <w:rsid w:val="00E044AB"/>
    <w:rsid w:val="00E044B8"/>
    <w:rsid w:val="00E045E7"/>
    <w:rsid w:val="00E047E5"/>
    <w:rsid w:val="00E04873"/>
    <w:rsid w:val="00E04897"/>
    <w:rsid w:val="00E04923"/>
    <w:rsid w:val="00E049A9"/>
    <w:rsid w:val="00E04A20"/>
    <w:rsid w:val="00E04A53"/>
    <w:rsid w:val="00E04AB7"/>
    <w:rsid w:val="00E04ABA"/>
    <w:rsid w:val="00E04AE7"/>
    <w:rsid w:val="00E04B88"/>
    <w:rsid w:val="00E04C97"/>
    <w:rsid w:val="00E04D2C"/>
    <w:rsid w:val="00E04EBA"/>
    <w:rsid w:val="00E04F6E"/>
    <w:rsid w:val="00E05086"/>
    <w:rsid w:val="00E050EC"/>
    <w:rsid w:val="00E05160"/>
    <w:rsid w:val="00E051DA"/>
    <w:rsid w:val="00E0534F"/>
    <w:rsid w:val="00E053A8"/>
    <w:rsid w:val="00E05508"/>
    <w:rsid w:val="00E05549"/>
    <w:rsid w:val="00E05731"/>
    <w:rsid w:val="00E05787"/>
    <w:rsid w:val="00E059E4"/>
    <w:rsid w:val="00E05A10"/>
    <w:rsid w:val="00E060BF"/>
    <w:rsid w:val="00E0623D"/>
    <w:rsid w:val="00E06243"/>
    <w:rsid w:val="00E062B6"/>
    <w:rsid w:val="00E0632A"/>
    <w:rsid w:val="00E0639E"/>
    <w:rsid w:val="00E06465"/>
    <w:rsid w:val="00E064A7"/>
    <w:rsid w:val="00E064E3"/>
    <w:rsid w:val="00E0650A"/>
    <w:rsid w:val="00E065DF"/>
    <w:rsid w:val="00E06853"/>
    <w:rsid w:val="00E0685A"/>
    <w:rsid w:val="00E068D6"/>
    <w:rsid w:val="00E068ED"/>
    <w:rsid w:val="00E069B9"/>
    <w:rsid w:val="00E06B9E"/>
    <w:rsid w:val="00E06E3E"/>
    <w:rsid w:val="00E06E8C"/>
    <w:rsid w:val="00E07140"/>
    <w:rsid w:val="00E07151"/>
    <w:rsid w:val="00E07169"/>
    <w:rsid w:val="00E071D5"/>
    <w:rsid w:val="00E071FA"/>
    <w:rsid w:val="00E0722D"/>
    <w:rsid w:val="00E0733C"/>
    <w:rsid w:val="00E07358"/>
    <w:rsid w:val="00E07375"/>
    <w:rsid w:val="00E076E9"/>
    <w:rsid w:val="00E07723"/>
    <w:rsid w:val="00E07828"/>
    <w:rsid w:val="00E07835"/>
    <w:rsid w:val="00E0783F"/>
    <w:rsid w:val="00E0785F"/>
    <w:rsid w:val="00E079BD"/>
    <w:rsid w:val="00E079E9"/>
    <w:rsid w:val="00E07A9F"/>
    <w:rsid w:val="00E07ABA"/>
    <w:rsid w:val="00E10008"/>
    <w:rsid w:val="00E1011D"/>
    <w:rsid w:val="00E1033B"/>
    <w:rsid w:val="00E103DC"/>
    <w:rsid w:val="00E105A8"/>
    <w:rsid w:val="00E1060F"/>
    <w:rsid w:val="00E10853"/>
    <w:rsid w:val="00E10974"/>
    <w:rsid w:val="00E109BC"/>
    <w:rsid w:val="00E109C1"/>
    <w:rsid w:val="00E10CCC"/>
    <w:rsid w:val="00E10D28"/>
    <w:rsid w:val="00E10E72"/>
    <w:rsid w:val="00E10F9C"/>
    <w:rsid w:val="00E10FD5"/>
    <w:rsid w:val="00E11023"/>
    <w:rsid w:val="00E11044"/>
    <w:rsid w:val="00E1114D"/>
    <w:rsid w:val="00E11209"/>
    <w:rsid w:val="00E11277"/>
    <w:rsid w:val="00E11282"/>
    <w:rsid w:val="00E11445"/>
    <w:rsid w:val="00E1144B"/>
    <w:rsid w:val="00E114B5"/>
    <w:rsid w:val="00E115F7"/>
    <w:rsid w:val="00E1177C"/>
    <w:rsid w:val="00E11807"/>
    <w:rsid w:val="00E11863"/>
    <w:rsid w:val="00E11AB8"/>
    <w:rsid w:val="00E11B60"/>
    <w:rsid w:val="00E11B88"/>
    <w:rsid w:val="00E11BA4"/>
    <w:rsid w:val="00E11D0F"/>
    <w:rsid w:val="00E11D56"/>
    <w:rsid w:val="00E11DF4"/>
    <w:rsid w:val="00E11E52"/>
    <w:rsid w:val="00E12007"/>
    <w:rsid w:val="00E12128"/>
    <w:rsid w:val="00E1215C"/>
    <w:rsid w:val="00E12185"/>
    <w:rsid w:val="00E12378"/>
    <w:rsid w:val="00E124AF"/>
    <w:rsid w:val="00E124FC"/>
    <w:rsid w:val="00E127E3"/>
    <w:rsid w:val="00E128D5"/>
    <w:rsid w:val="00E128FF"/>
    <w:rsid w:val="00E129BA"/>
    <w:rsid w:val="00E129F0"/>
    <w:rsid w:val="00E12A4B"/>
    <w:rsid w:val="00E12B2A"/>
    <w:rsid w:val="00E12B9E"/>
    <w:rsid w:val="00E12C10"/>
    <w:rsid w:val="00E12C2D"/>
    <w:rsid w:val="00E12C5A"/>
    <w:rsid w:val="00E12E1E"/>
    <w:rsid w:val="00E12F0C"/>
    <w:rsid w:val="00E130AD"/>
    <w:rsid w:val="00E1332A"/>
    <w:rsid w:val="00E133CD"/>
    <w:rsid w:val="00E134B1"/>
    <w:rsid w:val="00E13601"/>
    <w:rsid w:val="00E136BF"/>
    <w:rsid w:val="00E13782"/>
    <w:rsid w:val="00E137BF"/>
    <w:rsid w:val="00E139D0"/>
    <w:rsid w:val="00E13C52"/>
    <w:rsid w:val="00E13CA2"/>
    <w:rsid w:val="00E13CB7"/>
    <w:rsid w:val="00E13DDB"/>
    <w:rsid w:val="00E13FBC"/>
    <w:rsid w:val="00E13FCA"/>
    <w:rsid w:val="00E143E8"/>
    <w:rsid w:val="00E14BE6"/>
    <w:rsid w:val="00E14C04"/>
    <w:rsid w:val="00E14E5A"/>
    <w:rsid w:val="00E14E5F"/>
    <w:rsid w:val="00E15026"/>
    <w:rsid w:val="00E15047"/>
    <w:rsid w:val="00E150C5"/>
    <w:rsid w:val="00E150DE"/>
    <w:rsid w:val="00E153BF"/>
    <w:rsid w:val="00E153C8"/>
    <w:rsid w:val="00E1543B"/>
    <w:rsid w:val="00E15457"/>
    <w:rsid w:val="00E15479"/>
    <w:rsid w:val="00E15603"/>
    <w:rsid w:val="00E15689"/>
    <w:rsid w:val="00E157D3"/>
    <w:rsid w:val="00E1589C"/>
    <w:rsid w:val="00E15A4F"/>
    <w:rsid w:val="00E15D54"/>
    <w:rsid w:val="00E15E11"/>
    <w:rsid w:val="00E15E7A"/>
    <w:rsid w:val="00E15F79"/>
    <w:rsid w:val="00E15FCB"/>
    <w:rsid w:val="00E160FE"/>
    <w:rsid w:val="00E162A4"/>
    <w:rsid w:val="00E162D7"/>
    <w:rsid w:val="00E162FB"/>
    <w:rsid w:val="00E1639B"/>
    <w:rsid w:val="00E163C7"/>
    <w:rsid w:val="00E16407"/>
    <w:rsid w:val="00E1655B"/>
    <w:rsid w:val="00E16569"/>
    <w:rsid w:val="00E1668D"/>
    <w:rsid w:val="00E16716"/>
    <w:rsid w:val="00E16717"/>
    <w:rsid w:val="00E1684C"/>
    <w:rsid w:val="00E16869"/>
    <w:rsid w:val="00E16888"/>
    <w:rsid w:val="00E1688C"/>
    <w:rsid w:val="00E16963"/>
    <w:rsid w:val="00E169D0"/>
    <w:rsid w:val="00E169DE"/>
    <w:rsid w:val="00E16C84"/>
    <w:rsid w:val="00E16CED"/>
    <w:rsid w:val="00E16D64"/>
    <w:rsid w:val="00E16E56"/>
    <w:rsid w:val="00E16F2D"/>
    <w:rsid w:val="00E1725C"/>
    <w:rsid w:val="00E172C5"/>
    <w:rsid w:val="00E172FC"/>
    <w:rsid w:val="00E1742A"/>
    <w:rsid w:val="00E174E9"/>
    <w:rsid w:val="00E174F0"/>
    <w:rsid w:val="00E17519"/>
    <w:rsid w:val="00E17778"/>
    <w:rsid w:val="00E17857"/>
    <w:rsid w:val="00E17A35"/>
    <w:rsid w:val="00E17A6B"/>
    <w:rsid w:val="00E17B26"/>
    <w:rsid w:val="00E17B27"/>
    <w:rsid w:val="00E17BB3"/>
    <w:rsid w:val="00E17C84"/>
    <w:rsid w:val="00E17CFF"/>
    <w:rsid w:val="00E17D88"/>
    <w:rsid w:val="00E17DD3"/>
    <w:rsid w:val="00E17E8E"/>
    <w:rsid w:val="00E2006F"/>
    <w:rsid w:val="00E200FB"/>
    <w:rsid w:val="00E20192"/>
    <w:rsid w:val="00E2035A"/>
    <w:rsid w:val="00E2039D"/>
    <w:rsid w:val="00E204D7"/>
    <w:rsid w:val="00E20613"/>
    <w:rsid w:val="00E2063D"/>
    <w:rsid w:val="00E207F6"/>
    <w:rsid w:val="00E2080C"/>
    <w:rsid w:val="00E2082B"/>
    <w:rsid w:val="00E20955"/>
    <w:rsid w:val="00E20995"/>
    <w:rsid w:val="00E209CE"/>
    <w:rsid w:val="00E20A0B"/>
    <w:rsid w:val="00E20B71"/>
    <w:rsid w:val="00E20D4F"/>
    <w:rsid w:val="00E20DCA"/>
    <w:rsid w:val="00E20DD6"/>
    <w:rsid w:val="00E20DE0"/>
    <w:rsid w:val="00E20E33"/>
    <w:rsid w:val="00E20EF6"/>
    <w:rsid w:val="00E2106F"/>
    <w:rsid w:val="00E210C0"/>
    <w:rsid w:val="00E21174"/>
    <w:rsid w:val="00E21347"/>
    <w:rsid w:val="00E21427"/>
    <w:rsid w:val="00E2158B"/>
    <w:rsid w:val="00E215CF"/>
    <w:rsid w:val="00E21654"/>
    <w:rsid w:val="00E2184D"/>
    <w:rsid w:val="00E21877"/>
    <w:rsid w:val="00E219B4"/>
    <w:rsid w:val="00E21AD0"/>
    <w:rsid w:val="00E21CB3"/>
    <w:rsid w:val="00E21E4C"/>
    <w:rsid w:val="00E2202F"/>
    <w:rsid w:val="00E22079"/>
    <w:rsid w:val="00E220C6"/>
    <w:rsid w:val="00E2224F"/>
    <w:rsid w:val="00E22392"/>
    <w:rsid w:val="00E223A9"/>
    <w:rsid w:val="00E22548"/>
    <w:rsid w:val="00E22665"/>
    <w:rsid w:val="00E226B1"/>
    <w:rsid w:val="00E22784"/>
    <w:rsid w:val="00E227AE"/>
    <w:rsid w:val="00E227C4"/>
    <w:rsid w:val="00E227DC"/>
    <w:rsid w:val="00E229A8"/>
    <w:rsid w:val="00E22BD0"/>
    <w:rsid w:val="00E22D7C"/>
    <w:rsid w:val="00E22DFF"/>
    <w:rsid w:val="00E22FB1"/>
    <w:rsid w:val="00E2301D"/>
    <w:rsid w:val="00E23185"/>
    <w:rsid w:val="00E231E6"/>
    <w:rsid w:val="00E2323B"/>
    <w:rsid w:val="00E233E7"/>
    <w:rsid w:val="00E23526"/>
    <w:rsid w:val="00E23800"/>
    <w:rsid w:val="00E23C2F"/>
    <w:rsid w:val="00E23D4B"/>
    <w:rsid w:val="00E23D56"/>
    <w:rsid w:val="00E23F4E"/>
    <w:rsid w:val="00E2404C"/>
    <w:rsid w:val="00E240F9"/>
    <w:rsid w:val="00E24145"/>
    <w:rsid w:val="00E2418B"/>
    <w:rsid w:val="00E242C5"/>
    <w:rsid w:val="00E24469"/>
    <w:rsid w:val="00E24799"/>
    <w:rsid w:val="00E247B4"/>
    <w:rsid w:val="00E24828"/>
    <w:rsid w:val="00E2482D"/>
    <w:rsid w:val="00E2486C"/>
    <w:rsid w:val="00E24888"/>
    <w:rsid w:val="00E24906"/>
    <w:rsid w:val="00E24A08"/>
    <w:rsid w:val="00E24AF1"/>
    <w:rsid w:val="00E24B28"/>
    <w:rsid w:val="00E24C10"/>
    <w:rsid w:val="00E24C6A"/>
    <w:rsid w:val="00E24D08"/>
    <w:rsid w:val="00E24D0B"/>
    <w:rsid w:val="00E24D4C"/>
    <w:rsid w:val="00E24E39"/>
    <w:rsid w:val="00E24EFC"/>
    <w:rsid w:val="00E24FB5"/>
    <w:rsid w:val="00E251A1"/>
    <w:rsid w:val="00E252C7"/>
    <w:rsid w:val="00E2532D"/>
    <w:rsid w:val="00E25365"/>
    <w:rsid w:val="00E2539E"/>
    <w:rsid w:val="00E2541E"/>
    <w:rsid w:val="00E257EF"/>
    <w:rsid w:val="00E25816"/>
    <w:rsid w:val="00E258A0"/>
    <w:rsid w:val="00E25980"/>
    <w:rsid w:val="00E25C08"/>
    <w:rsid w:val="00E25C36"/>
    <w:rsid w:val="00E25C78"/>
    <w:rsid w:val="00E25C8A"/>
    <w:rsid w:val="00E25CA9"/>
    <w:rsid w:val="00E25CDB"/>
    <w:rsid w:val="00E25E05"/>
    <w:rsid w:val="00E25E41"/>
    <w:rsid w:val="00E25FB2"/>
    <w:rsid w:val="00E26144"/>
    <w:rsid w:val="00E2614E"/>
    <w:rsid w:val="00E26171"/>
    <w:rsid w:val="00E262F7"/>
    <w:rsid w:val="00E263D1"/>
    <w:rsid w:val="00E263D8"/>
    <w:rsid w:val="00E266DF"/>
    <w:rsid w:val="00E26810"/>
    <w:rsid w:val="00E2682C"/>
    <w:rsid w:val="00E268AE"/>
    <w:rsid w:val="00E269D9"/>
    <w:rsid w:val="00E26AD7"/>
    <w:rsid w:val="00E26B0E"/>
    <w:rsid w:val="00E26B67"/>
    <w:rsid w:val="00E26B84"/>
    <w:rsid w:val="00E26B96"/>
    <w:rsid w:val="00E26BD1"/>
    <w:rsid w:val="00E26BE0"/>
    <w:rsid w:val="00E26CBF"/>
    <w:rsid w:val="00E26DE6"/>
    <w:rsid w:val="00E26E4E"/>
    <w:rsid w:val="00E26E8A"/>
    <w:rsid w:val="00E26EDF"/>
    <w:rsid w:val="00E26F84"/>
    <w:rsid w:val="00E26FB6"/>
    <w:rsid w:val="00E27039"/>
    <w:rsid w:val="00E270E5"/>
    <w:rsid w:val="00E272AF"/>
    <w:rsid w:val="00E2733A"/>
    <w:rsid w:val="00E27536"/>
    <w:rsid w:val="00E27558"/>
    <w:rsid w:val="00E27574"/>
    <w:rsid w:val="00E276A9"/>
    <w:rsid w:val="00E279A1"/>
    <w:rsid w:val="00E27CC1"/>
    <w:rsid w:val="00E27CE6"/>
    <w:rsid w:val="00E27CEC"/>
    <w:rsid w:val="00E27DE7"/>
    <w:rsid w:val="00E27E42"/>
    <w:rsid w:val="00E27E4D"/>
    <w:rsid w:val="00E27E5F"/>
    <w:rsid w:val="00E27FAF"/>
    <w:rsid w:val="00E30029"/>
    <w:rsid w:val="00E30037"/>
    <w:rsid w:val="00E303DC"/>
    <w:rsid w:val="00E30475"/>
    <w:rsid w:val="00E30499"/>
    <w:rsid w:val="00E305D0"/>
    <w:rsid w:val="00E30683"/>
    <w:rsid w:val="00E30A68"/>
    <w:rsid w:val="00E30ACD"/>
    <w:rsid w:val="00E30B22"/>
    <w:rsid w:val="00E30B51"/>
    <w:rsid w:val="00E30B8E"/>
    <w:rsid w:val="00E30D58"/>
    <w:rsid w:val="00E30EAF"/>
    <w:rsid w:val="00E30EDA"/>
    <w:rsid w:val="00E30F4B"/>
    <w:rsid w:val="00E3102A"/>
    <w:rsid w:val="00E31048"/>
    <w:rsid w:val="00E310CC"/>
    <w:rsid w:val="00E31116"/>
    <w:rsid w:val="00E31162"/>
    <w:rsid w:val="00E31290"/>
    <w:rsid w:val="00E31426"/>
    <w:rsid w:val="00E314B5"/>
    <w:rsid w:val="00E314CC"/>
    <w:rsid w:val="00E314F8"/>
    <w:rsid w:val="00E31505"/>
    <w:rsid w:val="00E315C4"/>
    <w:rsid w:val="00E31701"/>
    <w:rsid w:val="00E31767"/>
    <w:rsid w:val="00E3179C"/>
    <w:rsid w:val="00E31A21"/>
    <w:rsid w:val="00E31A79"/>
    <w:rsid w:val="00E31C6B"/>
    <w:rsid w:val="00E31C7D"/>
    <w:rsid w:val="00E31DF5"/>
    <w:rsid w:val="00E31F28"/>
    <w:rsid w:val="00E3203F"/>
    <w:rsid w:val="00E32128"/>
    <w:rsid w:val="00E3221D"/>
    <w:rsid w:val="00E322DC"/>
    <w:rsid w:val="00E322F7"/>
    <w:rsid w:val="00E324BB"/>
    <w:rsid w:val="00E32772"/>
    <w:rsid w:val="00E329E1"/>
    <w:rsid w:val="00E32A44"/>
    <w:rsid w:val="00E32A7A"/>
    <w:rsid w:val="00E32BD8"/>
    <w:rsid w:val="00E32C52"/>
    <w:rsid w:val="00E32EAD"/>
    <w:rsid w:val="00E32ECD"/>
    <w:rsid w:val="00E32FE5"/>
    <w:rsid w:val="00E33001"/>
    <w:rsid w:val="00E330A1"/>
    <w:rsid w:val="00E331BD"/>
    <w:rsid w:val="00E33267"/>
    <w:rsid w:val="00E332C2"/>
    <w:rsid w:val="00E3330B"/>
    <w:rsid w:val="00E334C0"/>
    <w:rsid w:val="00E3364D"/>
    <w:rsid w:val="00E338C4"/>
    <w:rsid w:val="00E339DD"/>
    <w:rsid w:val="00E339EE"/>
    <w:rsid w:val="00E339F0"/>
    <w:rsid w:val="00E33A47"/>
    <w:rsid w:val="00E33E38"/>
    <w:rsid w:val="00E340AA"/>
    <w:rsid w:val="00E3410C"/>
    <w:rsid w:val="00E34170"/>
    <w:rsid w:val="00E341F5"/>
    <w:rsid w:val="00E3423C"/>
    <w:rsid w:val="00E34287"/>
    <w:rsid w:val="00E34324"/>
    <w:rsid w:val="00E344CB"/>
    <w:rsid w:val="00E3452C"/>
    <w:rsid w:val="00E34579"/>
    <w:rsid w:val="00E345EC"/>
    <w:rsid w:val="00E34791"/>
    <w:rsid w:val="00E34796"/>
    <w:rsid w:val="00E347A0"/>
    <w:rsid w:val="00E347B6"/>
    <w:rsid w:val="00E34884"/>
    <w:rsid w:val="00E34B09"/>
    <w:rsid w:val="00E34B0F"/>
    <w:rsid w:val="00E34B1D"/>
    <w:rsid w:val="00E34C92"/>
    <w:rsid w:val="00E34D67"/>
    <w:rsid w:val="00E34D8C"/>
    <w:rsid w:val="00E350B5"/>
    <w:rsid w:val="00E3522C"/>
    <w:rsid w:val="00E3532B"/>
    <w:rsid w:val="00E35427"/>
    <w:rsid w:val="00E3544B"/>
    <w:rsid w:val="00E354A9"/>
    <w:rsid w:val="00E354BB"/>
    <w:rsid w:val="00E35715"/>
    <w:rsid w:val="00E35718"/>
    <w:rsid w:val="00E3574A"/>
    <w:rsid w:val="00E3585B"/>
    <w:rsid w:val="00E3588A"/>
    <w:rsid w:val="00E35BBB"/>
    <w:rsid w:val="00E35BC8"/>
    <w:rsid w:val="00E35D05"/>
    <w:rsid w:val="00E35DA8"/>
    <w:rsid w:val="00E35DF1"/>
    <w:rsid w:val="00E35E8B"/>
    <w:rsid w:val="00E35EDC"/>
    <w:rsid w:val="00E35F71"/>
    <w:rsid w:val="00E3603E"/>
    <w:rsid w:val="00E36043"/>
    <w:rsid w:val="00E3627E"/>
    <w:rsid w:val="00E362DE"/>
    <w:rsid w:val="00E363A4"/>
    <w:rsid w:val="00E364C9"/>
    <w:rsid w:val="00E36539"/>
    <w:rsid w:val="00E36613"/>
    <w:rsid w:val="00E367C0"/>
    <w:rsid w:val="00E36918"/>
    <w:rsid w:val="00E36AB4"/>
    <w:rsid w:val="00E36B8A"/>
    <w:rsid w:val="00E36CE6"/>
    <w:rsid w:val="00E37017"/>
    <w:rsid w:val="00E3710A"/>
    <w:rsid w:val="00E3717D"/>
    <w:rsid w:val="00E372CB"/>
    <w:rsid w:val="00E37373"/>
    <w:rsid w:val="00E373AC"/>
    <w:rsid w:val="00E37411"/>
    <w:rsid w:val="00E37413"/>
    <w:rsid w:val="00E37424"/>
    <w:rsid w:val="00E37464"/>
    <w:rsid w:val="00E374F4"/>
    <w:rsid w:val="00E375C1"/>
    <w:rsid w:val="00E37681"/>
    <w:rsid w:val="00E377E8"/>
    <w:rsid w:val="00E3781E"/>
    <w:rsid w:val="00E37821"/>
    <w:rsid w:val="00E37841"/>
    <w:rsid w:val="00E3796D"/>
    <w:rsid w:val="00E379A0"/>
    <w:rsid w:val="00E379D4"/>
    <w:rsid w:val="00E37A5E"/>
    <w:rsid w:val="00E37A83"/>
    <w:rsid w:val="00E37AD1"/>
    <w:rsid w:val="00E37B7F"/>
    <w:rsid w:val="00E37C18"/>
    <w:rsid w:val="00E37C98"/>
    <w:rsid w:val="00E37C9A"/>
    <w:rsid w:val="00E37CE5"/>
    <w:rsid w:val="00E37DBB"/>
    <w:rsid w:val="00E37DCB"/>
    <w:rsid w:val="00E37E1E"/>
    <w:rsid w:val="00E37E42"/>
    <w:rsid w:val="00E37E49"/>
    <w:rsid w:val="00E37E88"/>
    <w:rsid w:val="00E37ED7"/>
    <w:rsid w:val="00E40283"/>
    <w:rsid w:val="00E4038D"/>
    <w:rsid w:val="00E403FB"/>
    <w:rsid w:val="00E40417"/>
    <w:rsid w:val="00E40444"/>
    <w:rsid w:val="00E40481"/>
    <w:rsid w:val="00E40625"/>
    <w:rsid w:val="00E4068F"/>
    <w:rsid w:val="00E40976"/>
    <w:rsid w:val="00E40986"/>
    <w:rsid w:val="00E40AEB"/>
    <w:rsid w:val="00E40C2A"/>
    <w:rsid w:val="00E40E8A"/>
    <w:rsid w:val="00E40F22"/>
    <w:rsid w:val="00E41412"/>
    <w:rsid w:val="00E41482"/>
    <w:rsid w:val="00E415B1"/>
    <w:rsid w:val="00E415F9"/>
    <w:rsid w:val="00E416FC"/>
    <w:rsid w:val="00E41711"/>
    <w:rsid w:val="00E419E7"/>
    <w:rsid w:val="00E419FC"/>
    <w:rsid w:val="00E41C77"/>
    <w:rsid w:val="00E41CA3"/>
    <w:rsid w:val="00E41CB6"/>
    <w:rsid w:val="00E41CD9"/>
    <w:rsid w:val="00E41DD6"/>
    <w:rsid w:val="00E41E0A"/>
    <w:rsid w:val="00E41EE6"/>
    <w:rsid w:val="00E41FB9"/>
    <w:rsid w:val="00E421D0"/>
    <w:rsid w:val="00E422CB"/>
    <w:rsid w:val="00E4241E"/>
    <w:rsid w:val="00E42421"/>
    <w:rsid w:val="00E424BC"/>
    <w:rsid w:val="00E424C6"/>
    <w:rsid w:val="00E42596"/>
    <w:rsid w:val="00E42628"/>
    <w:rsid w:val="00E426FF"/>
    <w:rsid w:val="00E427F0"/>
    <w:rsid w:val="00E42829"/>
    <w:rsid w:val="00E42896"/>
    <w:rsid w:val="00E42BA4"/>
    <w:rsid w:val="00E42BE9"/>
    <w:rsid w:val="00E42C72"/>
    <w:rsid w:val="00E42EB4"/>
    <w:rsid w:val="00E42EDF"/>
    <w:rsid w:val="00E43055"/>
    <w:rsid w:val="00E43099"/>
    <w:rsid w:val="00E43138"/>
    <w:rsid w:val="00E432D0"/>
    <w:rsid w:val="00E43464"/>
    <w:rsid w:val="00E434F4"/>
    <w:rsid w:val="00E43542"/>
    <w:rsid w:val="00E4367D"/>
    <w:rsid w:val="00E4375F"/>
    <w:rsid w:val="00E437EC"/>
    <w:rsid w:val="00E43800"/>
    <w:rsid w:val="00E4394A"/>
    <w:rsid w:val="00E4394B"/>
    <w:rsid w:val="00E439C8"/>
    <w:rsid w:val="00E439D5"/>
    <w:rsid w:val="00E43A9B"/>
    <w:rsid w:val="00E43AED"/>
    <w:rsid w:val="00E43B97"/>
    <w:rsid w:val="00E43BE1"/>
    <w:rsid w:val="00E43C11"/>
    <w:rsid w:val="00E43C72"/>
    <w:rsid w:val="00E43C87"/>
    <w:rsid w:val="00E43CE2"/>
    <w:rsid w:val="00E43D44"/>
    <w:rsid w:val="00E43DBD"/>
    <w:rsid w:val="00E43F80"/>
    <w:rsid w:val="00E4419D"/>
    <w:rsid w:val="00E4421A"/>
    <w:rsid w:val="00E44270"/>
    <w:rsid w:val="00E44288"/>
    <w:rsid w:val="00E442A9"/>
    <w:rsid w:val="00E442CA"/>
    <w:rsid w:val="00E44414"/>
    <w:rsid w:val="00E44472"/>
    <w:rsid w:val="00E4448C"/>
    <w:rsid w:val="00E44511"/>
    <w:rsid w:val="00E44559"/>
    <w:rsid w:val="00E445EB"/>
    <w:rsid w:val="00E4472F"/>
    <w:rsid w:val="00E4480F"/>
    <w:rsid w:val="00E44AD2"/>
    <w:rsid w:val="00E44D0D"/>
    <w:rsid w:val="00E45016"/>
    <w:rsid w:val="00E450DF"/>
    <w:rsid w:val="00E451BE"/>
    <w:rsid w:val="00E45258"/>
    <w:rsid w:val="00E452C4"/>
    <w:rsid w:val="00E4535B"/>
    <w:rsid w:val="00E4545F"/>
    <w:rsid w:val="00E4546B"/>
    <w:rsid w:val="00E455D3"/>
    <w:rsid w:val="00E4564D"/>
    <w:rsid w:val="00E456B4"/>
    <w:rsid w:val="00E4592A"/>
    <w:rsid w:val="00E45A29"/>
    <w:rsid w:val="00E45A41"/>
    <w:rsid w:val="00E45A7F"/>
    <w:rsid w:val="00E45B96"/>
    <w:rsid w:val="00E45D80"/>
    <w:rsid w:val="00E45E89"/>
    <w:rsid w:val="00E45EF9"/>
    <w:rsid w:val="00E4616C"/>
    <w:rsid w:val="00E46181"/>
    <w:rsid w:val="00E4618F"/>
    <w:rsid w:val="00E46297"/>
    <w:rsid w:val="00E4644D"/>
    <w:rsid w:val="00E46463"/>
    <w:rsid w:val="00E46747"/>
    <w:rsid w:val="00E4682C"/>
    <w:rsid w:val="00E46B6D"/>
    <w:rsid w:val="00E46CC5"/>
    <w:rsid w:val="00E46D5E"/>
    <w:rsid w:val="00E4702E"/>
    <w:rsid w:val="00E471D4"/>
    <w:rsid w:val="00E472AC"/>
    <w:rsid w:val="00E4731B"/>
    <w:rsid w:val="00E4741F"/>
    <w:rsid w:val="00E47588"/>
    <w:rsid w:val="00E475C6"/>
    <w:rsid w:val="00E47652"/>
    <w:rsid w:val="00E4767B"/>
    <w:rsid w:val="00E477EE"/>
    <w:rsid w:val="00E4780F"/>
    <w:rsid w:val="00E47824"/>
    <w:rsid w:val="00E47914"/>
    <w:rsid w:val="00E479A1"/>
    <w:rsid w:val="00E47A69"/>
    <w:rsid w:val="00E47AE3"/>
    <w:rsid w:val="00E47C85"/>
    <w:rsid w:val="00E47D19"/>
    <w:rsid w:val="00E501F9"/>
    <w:rsid w:val="00E50330"/>
    <w:rsid w:val="00E50335"/>
    <w:rsid w:val="00E503C6"/>
    <w:rsid w:val="00E503E6"/>
    <w:rsid w:val="00E5044C"/>
    <w:rsid w:val="00E504CC"/>
    <w:rsid w:val="00E505E9"/>
    <w:rsid w:val="00E50603"/>
    <w:rsid w:val="00E508ED"/>
    <w:rsid w:val="00E50926"/>
    <w:rsid w:val="00E50A3F"/>
    <w:rsid w:val="00E50A52"/>
    <w:rsid w:val="00E50B87"/>
    <w:rsid w:val="00E50C25"/>
    <w:rsid w:val="00E50C35"/>
    <w:rsid w:val="00E50C4F"/>
    <w:rsid w:val="00E50D11"/>
    <w:rsid w:val="00E50D3A"/>
    <w:rsid w:val="00E50DFF"/>
    <w:rsid w:val="00E510D6"/>
    <w:rsid w:val="00E511AB"/>
    <w:rsid w:val="00E51461"/>
    <w:rsid w:val="00E51472"/>
    <w:rsid w:val="00E5154F"/>
    <w:rsid w:val="00E51878"/>
    <w:rsid w:val="00E518D2"/>
    <w:rsid w:val="00E518E9"/>
    <w:rsid w:val="00E518FC"/>
    <w:rsid w:val="00E51919"/>
    <w:rsid w:val="00E51938"/>
    <w:rsid w:val="00E5196A"/>
    <w:rsid w:val="00E51AB6"/>
    <w:rsid w:val="00E51B6D"/>
    <w:rsid w:val="00E51E18"/>
    <w:rsid w:val="00E51E3A"/>
    <w:rsid w:val="00E51EAD"/>
    <w:rsid w:val="00E51F56"/>
    <w:rsid w:val="00E51F99"/>
    <w:rsid w:val="00E51FA9"/>
    <w:rsid w:val="00E520E6"/>
    <w:rsid w:val="00E521A6"/>
    <w:rsid w:val="00E52269"/>
    <w:rsid w:val="00E522C2"/>
    <w:rsid w:val="00E523E2"/>
    <w:rsid w:val="00E52613"/>
    <w:rsid w:val="00E526E9"/>
    <w:rsid w:val="00E5297D"/>
    <w:rsid w:val="00E52ABD"/>
    <w:rsid w:val="00E52CCF"/>
    <w:rsid w:val="00E52CF0"/>
    <w:rsid w:val="00E52D5C"/>
    <w:rsid w:val="00E52EB9"/>
    <w:rsid w:val="00E52EFD"/>
    <w:rsid w:val="00E52F35"/>
    <w:rsid w:val="00E53090"/>
    <w:rsid w:val="00E530B7"/>
    <w:rsid w:val="00E532C7"/>
    <w:rsid w:val="00E5330C"/>
    <w:rsid w:val="00E534C6"/>
    <w:rsid w:val="00E53581"/>
    <w:rsid w:val="00E535DE"/>
    <w:rsid w:val="00E537D5"/>
    <w:rsid w:val="00E53967"/>
    <w:rsid w:val="00E539D8"/>
    <w:rsid w:val="00E53A9A"/>
    <w:rsid w:val="00E53BF3"/>
    <w:rsid w:val="00E53F73"/>
    <w:rsid w:val="00E54168"/>
    <w:rsid w:val="00E541C1"/>
    <w:rsid w:val="00E541C3"/>
    <w:rsid w:val="00E54307"/>
    <w:rsid w:val="00E543C0"/>
    <w:rsid w:val="00E543CC"/>
    <w:rsid w:val="00E54400"/>
    <w:rsid w:val="00E54425"/>
    <w:rsid w:val="00E546DA"/>
    <w:rsid w:val="00E547E9"/>
    <w:rsid w:val="00E54853"/>
    <w:rsid w:val="00E549AD"/>
    <w:rsid w:val="00E54AAC"/>
    <w:rsid w:val="00E54B73"/>
    <w:rsid w:val="00E54BAC"/>
    <w:rsid w:val="00E54CAF"/>
    <w:rsid w:val="00E54D61"/>
    <w:rsid w:val="00E54D7B"/>
    <w:rsid w:val="00E54E1E"/>
    <w:rsid w:val="00E54E93"/>
    <w:rsid w:val="00E55001"/>
    <w:rsid w:val="00E55031"/>
    <w:rsid w:val="00E55070"/>
    <w:rsid w:val="00E5511C"/>
    <w:rsid w:val="00E55127"/>
    <w:rsid w:val="00E5545A"/>
    <w:rsid w:val="00E55533"/>
    <w:rsid w:val="00E555C1"/>
    <w:rsid w:val="00E55656"/>
    <w:rsid w:val="00E55696"/>
    <w:rsid w:val="00E556F7"/>
    <w:rsid w:val="00E5578F"/>
    <w:rsid w:val="00E5584A"/>
    <w:rsid w:val="00E559A2"/>
    <w:rsid w:val="00E55B88"/>
    <w:rsid w:val="00E55C36"/>
    <w:rsid w:val="00E55D08"/>
    <w:rsid w:val="00E55D5A"/>
    <w:rsid w:val="00E55F4B"/>
    <w:rsid w:val="00E560A1"/>
    <w:rsid w:val="00E561DE"/>
    <w:rsid w:val="00E56330"/>
    <w:rsid w:val="00E56347"/>
    <w:rsid w:val="00E56410"/>
    <w:rsid w:val="00E56411"/>
    <w:rsid w:val="00E564B4"/>
    <w:rsid w:val="00E564DD"/>
    <w:rsid w:val="00E5650C"/>
    <w:rsid w:val="00E56683"/>
    <w:rsid w:val="00E56905"/>
    <w:rsid w:val="00E56B82"/>
    <w:rsid w:val="00E56BBB"/>
    <w:rsid w:val="00E56D11"/>
    <w:rsid w:val="00E56D4D"/>
    <w:rsid w:val="00E56DAC"/>
    <w:rsid w:val="00E5705F"/>
    <w:rsid w:val="00E5715A"/>
    <w:rsid w:val="00E571BB"/>
    <w:rsid w:val="00E57260"/>
    <w:rsid w:val="00E57321"/>
    <w:rsid w:val="00E573C7"/>
    <w:rsid w:val="00E57649"/>
    <w:rsid w:val="00E577C9"/>
    <w:rsid w:val="00E57BA3"/>
    <w:rsid w:val="00E57BD5"/>
    <w:rsid w:val="00E57C15"/>
    <w:rsid w:val="00E57C5B"/>
    <w:rsid w:val="00E57C71"/>
    <w:rsid w:val="00E57C9A"/>
    <w:rsid w:val="00E57CC9"/>
    <w:rsid w:val="00E57CEE"/>
    <w:rsid w:val="00E57E1A"/>
    <w:rsid w:val="00E57EEE"/>
    <w:rsid w:val="00E60147"/>
    <w:rsid w:val="00E6022E"/>
    <w:rsid w:val="00E6030A"/>
    <w:rsid w:val="00E603B9"/>
    <w:rsid w:val="00E60430"/>
    <w:rsid w:val="00E6043E"/>
    <w:rsid w:val="00E604BF"/>
    <w:rsid w:val="00E604CA"/>
    <w:rsid w:val="00E60774"/>
    <w:rsid w:val="00E6086D"/>
    <w:rsid w:val="00E608ED"/>
    <w:rsid w:val="00E6092E"/>
    <w:rsid w:val="00E60A84"/>
    <w:rsid w:val="00E60B92"/>
    <w:rsid w:val="00E60DD6"/>
    <w:rsid w:val="00E60E16"/>
    <w:rsid w:val="00E61146"/>
    <w:rsid w:val="00E6129A"/>
    <w:rsid w:val="00E613FF"/>
    <w:rsid w:val="00E61404"/>
    <w:rsid w:val="00E61465"/>
    <w:rsid w:val="00E61468"/>
    <w:rsid w:val="00E615CB"/>
    <w:rsid w:val="00E61990"/>
    <w:rsid w:val="00E61A75"/>
    <w:rsid w:val="00E61A7F"/>
    <w:rsid w:val="00E61ABB"/>
    <w:rsid w:val="00E61B66"/>
    <w:rsid w:val="00E61BDB"/>
    <w:rsid w:val="00E61E21"/>
    <w:rsid w:val="00E61E7D"/>
    <w:rsid w:val="00E61F08"/>
    <w:rsid w:val="00E61F18"/>
    <w:rsid w:val="00E61F47"/>
    <w:rsid w:val="00E61F5D"/>
    <w:rsid w:val="00E61FA4"/>
    <w:rsid w:val="00E62064"/>
    <w:rsid w:val="00E620AB"/>
    <w:rsid w:val="00E620F9"/>
    <w:rsid w:val="00E62108"/>
    <w:rsid w:val="00E62188"/>
    <w:rsid w:val="00E621CB"/>
    <w:rsid w:val="00E62231"/>
    <w:rsid w:val="00E6229A"/>
    <w:rsid w:val="00E62345"/>
    <w:rsid w:val="00E6239C"/>
    <w:rsid w:val="00E62462"/>
    <w:rsid w:val="00E626CA"/>
    <w:rsid w:val="00E626CD"/>
    <w:rsid w:val="00E62740"/>
    <w:rsid w:val="00E62843"/>
    <w:rsid w:val="00E6288C"/>
    <w:rsid w:val="00E62A6B"/>
    <w:rsid w:val="00E62C15"/>
    <w:rsid w:val="00E62C50"/>
    <w:rsid w:val="00E62DFB"/>
    <w:rsid w:val="00E62E48"/>
    <w:rsid w:val="00E62E4C"/>
    <w:rsid w:val="00E63078"/>
    <w:rsid w:val="00E63096"/>
    <w:rsid w:val="00E631AB"/>
    <w:rsid w:val="00E63361"/>
    <w:rsid w:val="00E634EA"/>
    <w:rsid w:val="00E6367B"/>
    <w:rsid w:val="00E63760"/>
    <w:rsid w:val="00E63779"/>
    <w:rsid w:val="00E637D7"/>
    <w:rsid w:val="00E6383D"/>
    <w:rsid w:val="00E63847"/>
    <w:rsid w:val="00E63848"/>
    <w:rsid w:val="00E638A3"/>
    <w:rsid w:val="00E638CE"/>
    <w:rsid w:val="00E639A9"/>
    <w:rsid w:val="00E63D60"/>
    <w:rsid w:val="00E63E86"/>
    <w:rsid w:val="00E63F68"/>
    <w:rsid w:val="00E6435E"/>
    <w:rsid w:val="00E643C6"/>
    <w:rsid w:val="00E64423"/>
    <w:rsid w:val="00E6442B"/>
    <w:rsid w:val="00E644DE"/>
    <w:rsid w:val="00E644ED"/>
    <w:rsid w:val="00E645B5"/>
    <w:rsid w:val="00E64716"/>
    <w:rsid w:val="00E6472E"/>
    <w:rsid w:val="00E64965"/>
    <w:rsid w:val="00E64983"/>
    <w:rsid w:val="00E64A1F"/>
    <w:rsid w:val="00E64A37"/>
    <w:rsid w:val="00E64ACF"/>
    <w:rsid w:val="00E64B24"/>
    <w:rsid w:val="00E64C8E"/>
    <w:rsid w:val="00E64CEA"/>
    <w:rsid w:val="00E64D19"/>
    <w:rsid w:val="00E64DF4"/>
    <w:rsid w:val="00E64F0B"/>
    <w:rsid w:val="00E650D1"/>
    <w:rsid w:val="00E65145"/>
    <w:rsid w:val="00E65214"/>
    <w:rsid w:val="00E652D3"/>
    <w:rsid w:val="00E65370"/>
    <w:rsid w:val="00E655E8"/>
    <w:rsid w:val="00E65619"/>
    <w:rsid w:val="00E656B2"/>
    <w:rsid w:val="00E6577B"/>
    <w:rsid w:val="00E657AD"/>
    <w:rsid w:val="00E659B0"/>
    <w:rsid w:val="00E65A9E"/>
    <w:rsid w:val="00E65B0D"/>
    <w:rsid w:val="00E65B1E"/>
    <w:rsid w:val="00E65B2D"/>
    <w:rsid w:val="00E65BCF"/>
    <w:rsid w:val="00E65E2F"/>
    <w:rsid w:val="00E65F19"/>
    <w:rsid w:val="00E65FCA"/>
    <w:rsid w:val="00E66287"/>
    <w:rsid w:val="00E662FE"/>
    <w:rsid w:val="00E663E5"/>
    <w:rsid w:val="00E6653A"/>
    <w:rsid w:val="00E66566"/>
    <w:rsid w:val="00E6657E"/>
    <w:rsid w:val="00E665F9"/>
    <w:rsid w:val="00E666B9"/>
    <w:rsid w:val="00E666D3"/>
    <w:rsid w:val="00E6697E"/>
    <w:rsid w:val="00E669EE"/>
    <w:rsid w:val="00E66A3E"/>
    <w:rsid w:val="00E66A59"/>
    <w:rsid w:val="00E66DDF"/>
    <w:rsid w:val="00E66E79"/>
    <w:rsid w:val="00E66EC1"/>
    <w:rsid w:val="00E66F79"/>
    <w:rsid w:val="00E670C0"/>
    <w:rsid w:val="00E67128"/>
    <w:rsid w:val="00E671D9"/>
    <w:rsid w:val="00E67370"/>
    <w:rsid w:val="00E674D9"/>
    <w:rsid w:val="00E6752D"/>
    <w:rsid w:val="00E675E0"/>
    <w:rsid w:val="00E675E4"/>
    <w:rsid w:val="00E67863"/>
    <w:rsid w:val="00E679A5"/>
    <w:rsid w:val="00E679B0"/>
    <w:rsid w:val="00E67A21"/>
    <w:rsid w:val="00E67DA0"/>
    <w:rsid w:val="00E67DB6"/>
    <w:rsid w:val="00E67E63"/>
    <w:rsid w:val="00E67ECE"/>
    <w:rsid w:val="00E67F58"/>
    <w:rsid w:val="00E70084"/>
    <w:rsid w:val="00E70177"/>
    <w:rsid w:val="00E70193"/>
    <w:rsid w:val="00E7020D"/>
    <w:rsid w:val="00E702E0"/>
    <w:rsid w:val="00E70477"/>
    <w:rsid w:val="00E706CF"/>
    <w:rsid w:val="00E70778"/>
    <w:rsid w:val="00E70874"/>
    <w:rsid w:val="00E70957"/>
    <w:rsid w:val="00E70987"/>
    <w:rsid w:val="00E70B13"/>
    <w:rsid w:val="00E70B5F"/>
    <w:rsid w:val="00E70BF2"/>
    <w:rsid w:val="00E70D51"/>
    <w:rsid w:val="00E70E89"/>
    <w:rsid w:val="00E7115A"/>
    <w:rsid w:val="00E7134A"/>
    <w:rsid w:val="00E7140C"/>
    <w:rsid w:val="00E714EE"/>
    <w:rsid w:val="00E7157E"/>
    <w:rsid w:val="00E716A9"/>
    <w:rsid w:val="00E716E9"/>
    <w:rsid w:val="00E718BC"/>
    <w:rsid w:val="00E71C0D"/>
    <w:rsid w:val="00E71C50"/>
    <w:rsid w:val="00E71D34"/>
    <w:rsid w:val="00E71D92"/>
    <w:rsid w:val="00E71DDF"/>
    <w:rsid w:val="00E7207F"/>
    <w:rsid w:val="00E7229E"/>
    <w:rsid w:val="00E7243A"/>
    <w:rsid w:val="00E7249C"/>
    <w:rsid w:val="00E72602"/>
    <w:rsid w:val="00E726CF"/>
    <w:rsid w:val="00E727FA"/>
    <w:rsid w:val="00E728E5"/>
    <w:rsid w:val="00E72957"/>
    <w:rsid w:val="00E72A82"/>
    <w:rsid w:val="00E72C86"/>
    <w:rsid w:val="00E72CE0"/>
    <w:rsid w:val="00E72E2E"/>
    <w:rsid w:val="00E72F6B"/>
    <w:rsid w:val="00E7303E"/>
    <w:rsid w:val="00E73242"/>
    <w:rsid w:val="00E733C0"/>
    <w:rsid w:val="00E733CC"/>
    <w:rsid w:val="00E73434"/>
    <w:rsid w:val="00E73516"/>
    <w:rsid w:val="00E7371E"/>
    <w:rsid w:val="00E737D8"/>
    <w:rsid w:val="00E738B2"/>
    <w:rsid w:val="00E738E3"/>
    <w:rsid w:val="00E73904"/>
    <w:rsid w:val="00E73B44"/>
    <w:rsid w:val="00E73BE1"/>
    <w:rsid w:val="00E73E2B"/>
    <w:rsid w:val="00E73FEB"/>
    <w:rsid w:val="00E74106"/>
    <w:rsid w:val="00E74109"/>
    <w:rsid w:val="00E74230"/>
    <w:rsid w:val="00E742D4"/>
    <w:rsid w:val="00E742F0"/>
    <w:rsid w:val="00E742F5"/>
    <w:rsid w:val="00E74435"/>
    <w:rsid w:val="00E74443"/>
    <w:rsid w:val="00E7444B"/>
    <w:rsid w:val="00E74484"/>
    <w:rsid w:val="00E74860"/>
    <w:rsid w:val="00E74879"/>
    <w:rsid w:val="00E74A0E"/>
    <w:rsid w:val="00E74B10"/>
    <w:rsid w:val="00E74B5D"/>
    <w:rsid w:val="00E74DE9"/>
    <w:rsid w:val="00E74E72"/>
    <w:rsid w:val="00E74F46"/>
    <w:rsid w:val="00E74F5C"/>
    <w:rsid w:val="00E74F92"/>
    <w:rsid w:val="00E74FBC"/>
    <w:rsid w:val="00E75060"/>
    <w:rsid w:val="00E75061"/>
    <w:rsid w:val="00E7508C"/>
    <w:rsid w:val="00E751C5"/>
    <w:rsid w:val="00E75222"/>
    <w:rsid w:val="00E75236"/>
    <w:rsid w:val="00E75275"/>
    <w:rsid w:val="00E75332"/>
    <w:rsid w:val="00E7566E"/>
    <w:rsid w:val="00E7577D"/>
    <w:rsid w:val="00E75831"/>
    <w:rsid w:val="00E75866"/>
    <w:rsid w:val="00E758AD"/>
    <w:rsid w:val="00E7596E"/>
    <w:rsid w:val="00E75A6A"/>
    <w:rsid w:val="00E75AF1"/>
    <w:rsid w:val="00E75B51"/>
    <w:rsid w:val="00E75F53"/>
    <w:rsid w:val="00E76005"/>
    <w:rsid w:val="00E76106"/>
    <w:rsid w:val="00E761D6"/>
    <w:rsid w:val="00E762BF"/>
    <w:rsid w:val="00E762FB"/>
    <w:rsid w:val="00E763B5"/>
    <w:rsid w:val="00E76430"/>
    <w:rsid w:val="00E7663F"/>
    <w:rsid w:val="00E7670A"/>
    <w:rsid w:val="00E76835"/>
    <w:rsid w:val="00E7691E"/>
    <w:rsid w:val="00E769B2"/>
    <w:rsid w:val="00E76A3F"/>
    <w:rsid w:val="00E76A86"/>
    <w:rsid w:val="00E76BA6"/>
    <w:rsid w:val="00E76C93"/>
    <w:rsid w:val="00E76DAC"/>
    <w:rsid w:val="00E76E17"/>
    <w:rsid w:val="00E76ED7"/>
    <w:rsid w:val="00E7732B"/>
    <w:rsid w:val="00E774A2"/>
    <w:rsid w:val="00E77770"/>
    <w:rsid w:val="00E778A8"/>
    <w:rsid w:val="00E778AB"/>
    <w:rsid w:val="00E77A79"/>
    <w:rsid w:val="00E77C0A"/>
    <w:rsid w:val="00E77D4E"/>
    <w:rsid w:val="00E77EAB"/>
    <w:rsid w:val="00E8004D"/>
    <w:rsid w:val="00E80053"/>
    <w:rsid w:val="00E8010C"/>
    <w:rsid w:val="00E801BC"/>
    <w:rsid w:val="00E8024E"/>
    <w:rsid w:val="00E8026D"/>
    <w:rsid w:val="00E80530"/>
    <w:rsid w:val="00E805A0"/>
    <w:rsid w:val="00E80671"/>
    <w:rsid w:val="00E8072E"/>
    <w:rsid w:val="00E807DA"/>
    <w:rsid w:val="00E80898"/>
    <w:rsid w:val="00E808D4"/>
    <w:rsid w:val="00E8093A"/>
    <w:rsid w:val="00E809E9"/>
    <w:rsid w:val="00E80A25"/>
    <w:rsid w:val="00E80AF8"/>
    <w:rsid w:val="00E80D8E"/>
    <w:rsid w:val="00E81082"/>
    <w:rsid w:val="00E81119"/>
    <w:rsid w:val="00E81149"/>
    <w:rsid w:val="00E81373"/>
    <w:rsid w:val="00E81392"/>
    <w:rsid w:val="00E816B3"/>
    <w:rsid w:val="00E817E4"/>
    <w:rsid w:val="00E81854"/>
    <w:rsid w:val="00E819DE"/>
    <w:rsid w:val="00E81B1A"/>
    <w:rsid w:val="00E81C5D"/>
    <w:rsid w:val="00E81E75"/>
    <w:rsid w:val="00E81EF0"/>
    <w:rsid w:val="00E821CD"/>
    <w:rsid w:val="00E823C7"/>
    <w:rsid w:val="00E82494"/>
    <w:rsid w:val="00E824CA"/>
    <w:rsid w:val="00E82573"/>
    <w:rsid w:val="00E82593"/>
    <w:rsid w:val="00E825A4"/>
    <w:rsid w:val="00E825C9"/>
    <w:rsid w:val="00E82674"/>
    <w:rsid w:val="00E826AD"/>
    <w:rsid w:val="00E8281B"/>
    <w:rsid w:val="00E82826"/>
    <w:rsid w:val="00E82880"/>
    <w:rsid w:val="00E82958"/>
    <w:rsid w:val="00E829CA"/>
    <w:rsid w:val="00E82B73"/>
    <w:rsid w:val="00E82C68"/>
    <w:rsid w:val="00E82DDB"/>
    <w:rsid w:val="00E82E02"/>
    <w:rsid w:val="00E82E19"/>
    <w:rsid w:val="00E8305F"/>
    <w:rsid w:val="00E831E5"/>
    <w:rsid w:val="00E831FC"/>
    <w:rsid w:val="00E833AD"/>
    <w:rsid w:val="00E8349B"/>
    <w:rsid w:val="00E8358D"/>
    <w:rsid w:val="00E83650"/>
    <w:rsid w:val="00E836B2"/>
    <w:rsid w:val="00E836C2"/>
    <w:rsid w:val="00E8373E"/>
    <w:rsid w:val="00E8376B"/>
    <w:rsid w:val="00E8381C"/>
    <w:rsid w:val="00E838F4"/>
    <w:rsid w:val="00E8394D"/>
    <w:rsid w:val="00E83B15"/>
    <w:rsid w:val="00E83BA4"/>
    <w:rsid w:val="00E83DA6"/>
    <w:rsid w:val="00E83E7F"/>
    <w:rsid w:val="00E83EB0"/>
    <w:rsid w:val="00E84062"/>
    <w:rsid w:val="00E84076"/>
    <w:rsid w:val="00E8418E"/>
    <w:rsid w:val="00E8430F"/>
    <w:rsid w:val="00E84347"/>
    <w:rsid w:val="00E84371"/>
    <w:rsid w:val="00E8439A"/>
    <w:rsid w:val="00E843FD"/>
    <w:rsid w:val="00E844A2"/>
    <w:rsid w:val="00E844BF"/>
    <w:rsid w:val="00E84655"/>
    <w:rsid w:val="00E84769"/>
    <w:rsid w:val="00E84801"/>
    <w:rsid w:val="00E848C5"/>
    <w:rsid w:val="00E84924"/>
    <w:rsid w:val="00E84965"/>
    <w:rsid w:val="00E84AFB"/>
    <w:rsid w:val="00E84B9A"/>
    <w:rsid w:val="00E84C22"/>
    <w:rsid w:val="00E84C53"/>
    <w:rsid w:val="00E84E40"/>
    <w:rsid w:val="00E8509A"/>
    <w:rsid w:val="00E8510C"/>
    <w:rsid w:val="00E85114"/>
    <w:rsid w:val="00E8529E"/>
    <w:rsid w:val="00E8539D"/>
    <w:rsid w:val="00E853A7"/>
    <w:rsid w:val="00E853DE"/>
    <w:rsid w:val="00E854C3"/>
    <w:rsid w:val="00E85506"/>
    <w:rsid w:val="00E8552A"/>
    <w:rsid w:val="00E85573"/>
    <w:rsid w:val="00E85615"/>
    <w:rsid w:val="00E8580F"/>
    <w:rsid w:val="00E85A05"/>
    <w:rsid w:val="00E85A5D"/>
    <w:rsid w:val="00E85CFE"/>
    <w:rsid w:val="00E85DEE"/>
    <w:rsid w:val="00E85E21"/>
    <w:rsid w:val="00E85EF5"/>
    <w:rsid w:val="00E85F7C"/>
    <w:rsid w:val="00E85FC7"/>
    <w:rsid w:val="00E860BF"/>
    <w:rsid w:val="00E8614C"/>
    <w:rsid w:val="00E86174"/>
    <w:rsid w:val="00E863F3"/>
    <w:rsid w:val="00E864A7"/>
    <w:rsid w:val="00E8656C"/>
    <w:rsid w:val="00E86720"/>
    <w:rsid w:val="00E86729"/>
    <w:rsid w:val="00E868ED"/>
    <w:rsid w:val="00E869F0"/>
    <w:rsid w:val="00E86ACD"/>
    <w:rsid w:val="00E86B7B"/>
    <w:rsid w:val="00E86D03"/>
    <w:rsid w:val="00E86D84"/>
    <w:rsid w:val="00E86E3F"/>
    <w:rsid w:val="00E86E4D"/>
    <w:rsid w:val="00E86E7F"/>
    <w:rsid w:val="00E870D6"/>
    <w:rsid w:val="00E87214"/>
    <w:rsid w:val="00E8721D"/>
    <w:rsid w:val="00E87372"/>
    <w:rsid w:val="00E874B0"/>
    <w:rsid w:val="00E874FA"/>
    <w:rsid w:val="00E87629"/>
    <w:rsid w:val="00E87875"/>
    <w:rsid w:val="00E87908"/>
    <w:rsid w:val="00E87A24"/>
    <w:rsid w:val="00E87A28"/>
    <w:rsid w:val="00E87A54"/>
    <w:rsid w:val="00E87B2A"/>
    <w:rsid w:val="00E87B75"/>
    <w:rsid w:val="00E87BB9"/>
    <w:rsid w:val="00E87C03"/>
    <w:rsid w:val="00E87CE3"/>
    <w:rsid w:val="00E87DE4"/>
    <w:rsid w:val="00E900F1"/>
    <w:rsid w:val="00E90117"/>
    <w:rsid w:val="00E901B7"/>
    <w:rsid w:val="00E902C2"/>
    <w:rsid w:val="00E902F4"/>
    <w:rsid w:val="00E90457"/>
    <w:rsid w:val="00E90533"/>
    <w:rsid w:val="00E905D1"/>
    <w:rsid w:val="00E90685"/>
    <w:rsid w:val="00E906C8"/>
    <w:rsid w:val="00E9092A"/>
    <w:rsid w:val="00E90A3E"/>
    <w:rsid w:val="00E90B49"/>
    <w:rsid w:val="00E90B9C"/>
    <w:rsid w:val="00E90CA7"/>
    <w:rsid w:val="00E90D4C"/>
    <w:rsid w:val="00E90D9B"/>
    <w:rsid w:val="00E90DF5"/>
    <w:rsid w:val="00E90E9F"/>
    <w:rsid w:val="00E91165"/>
    <w:rsid w:val="00E9138C"/>
    <w:rsid w:val="00E91860"/>
    <w:rsid w:val="00E91C12"/>
    <w:rsid w:val="00E91D39"/>
    <w:rsid w:val="00E91D61"/>
    <w:rsid w:val="00E91E5B"/>
    <w:rsid w:val="00E91FD5"/>
    <w:rsid w:val="00E92078"/>
    <w:rsid w:val="00E921DC"/>
    <w:rsid w:val="00E922EA"/>
    <w:rsid w:val="00E92395"/>
    <w:rsid w:val="00E9248F"/>
    <w:rsid w:val="00E9250C"/>
    <w:rsid w:val="00E9256D"/>
    <w:rsid w:val="00E92660"/>
    <w:rsid w:val="00E926E5"/>
    <w:rsid w:val="00E92754"/>
    <w:rsid w:val="00E92789"/>
    <w:rsid w:val="00E9283C"/>
    <w:rsid w:val="00E92AC9"/>
    <w:rsid w:val="00E92B67"/>
    <w:rsid w:val="00E92BC2"/>
    <w:rsid w:val="00E92C15"/>
    <w:rsid w:val="00E92C5E"/>
    <w:rsid w:val="00E92CA9"/>
    <w:rsid w:val="00E92D8B"/>
    <w:rsid w:val="00E92D94"/>
    <w:rsid w:val="00E92E48"/>
    <w:rsid w:val="00E9305E"/>
    <w:rsid w:val="00E930C3"/>
    <w:rsid w:val="00E930D4"/>
    <w:rsid w:val="00E9310E"/>
    <w:rsid w:val="00E9313A"/>
    <w:rsid w:val="00E93272"/>
    <w:rsid w:val="00E932AE"/>
    <w:rsid w:val="00E93384"/>
    <w:rsid w:val="00E9344D"/>
    <w:rsid w:val="00E9364A"/>
    <w:rsid w:val="00E936F6"/>
    <w:rsid w:val="00E937DD"/>
    <w:rsid w:val="00E9380F"/>
    <w:rsid w:val="00E9399A"/>
    <w:rsid w:val="00E93BA6"/>
    <w:rsid w:val="00E93D55"/>
    <w:rsid w:val="00E93D86"/>
    <w:rsid w:val="00E93F60"/>
    <w:rsid w:val="00E93FF7"/>
    <w:rsid w:val="00E9402F"/>
    <w:rsid w:val="00E94073"/>
    <w:rsid w:val="00E94226"/>
    <w:rsid w:val="00E94255"/>
    <w:rsid w:val="00E9431A"/>
    <w:rsid w:val="00E9438B"/>
    <w:rsid w:val="00E943D5"/>
    <w:rsid w:val="00E94493"/>
    <w:rsid w:val="00E944B3"/>
    <w:rsid w:val="00E944DE"/>
    <w:rsid w:val="00E945D4"/>
    <w:rsid w:val="00E9460B"/>
    <w:rsid w:val="00E94650"/>
    <w:rsid w:val="00E94667"/>
    <w:rsid w:val="00E94690"/>
    <w:rsid w:val="00E946F1"/>
    <w:rsid w:val="00E946F7"/>
    <w:rsid w:val="00E947E8"/>
    <w:rsid w:val="00E9498C"/>
    <w:rsid w:val="00E94A33"/>
    <w:rsid w:val="00E94A3B"/>
    <w:rsid w:val="00E94B2E"/>
    <w:rsid w:val="00E94D30"/>
    <w:rsid w:val="00E94EF3"/>
    <w:rsid w:val="00E94F6B"/>
    <w:rsid w:val="00E9505D"/>
    <w:rsid w:val="00E9509E"/>
    <w:rsid w:val="00E951DA"/>
    <w:rsid w:val="00E9523A"/>
    <w:rsid w:val="00E9524C"/>
    <w:rsid w:val="00E952BA"/>
    <w:rsid w:val="00E95341"/>
    <w:rsid w:val="00E954B7"/>
    <w:rsid w:val="00E955FC"/>
    <w:rsid w:val="00E95637"/>
    <w:rsid w:val="00E95666"/>
    <w:rsid w:val="00E95692"/>
    <w:rsid w:val="00E9569C"/>
    <w:rsid w:val="00E956B0"/>
    <w:rsid w:val="00E957AF"/>
    <w:rsid w:val="00E95827"/>
    <w:rsid w:val="00E95ABD"/>
    <w:rsid w:val="00E95B7E"/>
    <w:rsid w:val="00E95CEB"/>
    <w:rsid w:val="00E95D55"/>
    <w:rsid w:val="00E95D95"/>
    <w:rsid w:val="00E95F6A"/>
    <w:rsid w:val="00E9627C"/>
    <w:rsid w:val="00E962D7"/>
    <w:rsid w:val="00E962F1"/>
    <w:rsid w:val="00E963FA"/>
    <w:rsid w:val="00E9645C"/>
    <w:rsid w:val="00E964FA"/>
    <w:rsid w:val="00E9657D"/>
    <w:rsid w:val="00E96768"/>
    <w:rsid w:val="00E96966"/>
    <w:rsid w:val="00E96A6B"/>
    <w:rsid w:val="00E96B90"/>
    <w:rsid w:val="00E96BA4"/>
    <w:rsid w:val="00E96C61"/>
    <w:rsid w:val="00E96CBD"/>
    <w:rsid w:val="00E96CCA"/>
    <w:rsid w:val="00E96E51"/>
    <w:rsid w:val="00E96E58"/>
    <w:rsid w:val="00E96FDB"/>
    <w:rsid w:val="00E97083"/>
    <w:rsid w:val="00E97191"/>
    <w:rsid w:val="00E97359"/>
    <w:rsid w:val="00E973D4"/>
    <w:rsid w:val="00E973EF"/>
    <w:rsid w:val="00E97536"/>
    <w:rsid w:val="00E9759A"/>
    <w:rsid w:val="00E97652"/>
    <w:rsid w:val="00E976AC"/>
    <w:rsid w:val="00E976DA"/>
    <w:rsid w:val="00E9777F"/>
    <w:rsid w:val="00E97897"/>
    <w:rsid w:val="00E9794E"/>
    <w:rsid w:val="00E97A75"/>
    <w:rsid w:val="00E97A7D"/>
    <w:rsid w:val="00E97C3D"/>
    <w:rsid w:val="00E97C88"/>
    <w:rsid w:val="00E97CF8"/>
    <w:rsid w:val="00E97D4A"/>
    <w:rsid w:val="00E97E43"/>
    <w:rsid w:val="00E97F37"/>
    <w:rsid w:val="00EA005E"/>
    <w:rsid w:val="00EA0075"/>
    <w:rsid w:val="00EA008E"/>
    <w:rsid w:val="00EA00F9"/>
    <w:rsid w:val="00EA01BA"/>
    <w:rsid w:val="00EA0273"/>
    <w:rsid w:val="00EA028B"/>
    <w:rsid w:val="00EA028F"/>
    <w:rsid w:val="00EA031F"/>
    <w:rsid w:val="00EA032A"/>
    <w:rsid w:val="00EA0469"/>
    <w:rsid w:val="00EA0491"/>
    <w:rsid w:val="00EA0493"/>
    <w:rsid w:val="00EA0498"/>
    <w:rsid w:val="00EA0533"/>
    <w:rsid w:val="00EA059C"/>
    <w:rsid w:val="00EA074A"/>
    <w:rsid w:val="00EA087E"/>
    <w:rsid w:val="00EA08A1"/>
    <w:rsid w:val="00EA08C0"/>
    <w:rsid w:val="00EA09BE"/>
    <w:rsid w:val="00EA0B63"/>
    <w:rsid w:val="00EA0CFA"/>
    <w:rsid w:val="00EA0D29"/>
    <w:rsid w:val="00EA0E2E"/>
    <w:rsid w:val="00EA0EBF"/>
    <w:rsid w:val="00EA103B"/>
    <w:rsid w:val="00EA107B"/>
    <w:rsid w:val="00EA108E"/>
    <w:rsid w:val="00EA1186"/>
    <w:rsid w:val="00EA1247"/>
    <w:rsid w:val="00EA13A3"/>
    <w:rsid w:val="00EA13A8"/>
    <w:rsid w:val="00EA1457"/>
    <w:rsid w:val="00EA155A"/>
    <w:rsid w:val="00EA15D6"/>
    <w:rsid w:val="00EA161F"/>
    <w:rsid w:val="00EA17FD"/>
    <w:rsid w:val="00EA1863"/>
    <w:rsid w:val="00EA1B3A"/>
    <w:rsid w:val="00EA1C03"/>
    <w:rsid w:val="00EA1CEE"/>
    <w:rsid w:val="00EA1EA8"/>
    <w:rsid w:val="00EA1F16"/>
    <w:rsid w:val="00EA203B"/>
    <w:rsid w:val="00EA2069"/>
    <w:rsid w:val="00EA21D2"/>
    <w:rsid w:val="00EA228B"/>
    <w:rsid w:val="00EA22A7"/>
    <w:rsid w:val="00EA2328"/>
    <w:rsid w:val="00EA2371"/>
    <w:rsid w:val="00EA23E2"/>
    <w:rsid w:val="00EA23F6"/>
    <w:rsid w:val="00EA2434"/>
    <w:rsid w:val="00EA2436"/>
    <w:rsid w:val="00EA250A"/>
    <w:rsid w:val="00EA2565"/>
    <w:rsid w:val="00EA25D5"/>
    <w:rsid w:val="00EA277A"/>
    <w:rsid w:val="00EA28F8"/>
    <w:rsid w:val="00EA2A96"/>
    <w:rsid w:val="00EA2C02"/>
    <w:rsid w:val="00EA2C64"/>
    <w:rsid w:val="00EA2C75"/>
    <w:rsid w:val="00EA2C9E"/>
    <w:rsid w:val="00EA2D3A"/>
    <w:rsid w:val="00EA2DCB"/>
    <w:rsid w:val="00EA2E35"/>
    <w:rsid w:val="00EA2E80"/>
    <w:rsid w:val="00EA2ED3"/>
    <w:rsid w:val="00EA2F0C"/>
    <w:rsid w:val="00EA3007"/>
    <w:rsid w:val="00EA3125"/>
    <w:rsid w:val="00EA34D0"/>
    <w:rsid w:val="00EA34DC"/>
    <w:rsid w:val="00EA3575"/>
    <w:rsid w:val="00EA357F"/>
    <w:rsid w:val="00EA3594"/>
    <w:rsid w:val="00EA363C"/>
    <w:rsid w:val="00EA36E5"/>
    <w:rsid w:val="00EA3996"/>
    <w:rsid w:val="00EA3CF7"/>
    <w:rsid w:val="00EA3E2A"/>
    <w:rsid w:val="00EA3E92"/>
    <w:rsid w:val="00EA3ED8"/>
    <w:rsid w:val="00EA3F49"/>
    <w:rsid w:val="00EA3FE2"/>
    <w:rsid w:val="00EA40A6"/>
    <w:rsid w:val="00EA4112"/>
    <w:rsid w:val="00EA41FB"/>
    <w:rsid w:val="00EA4232"/>
    <w:rsid w:val="00EA43AA"/>
    <w:rsid w:val="00EA43EE"/>
    <w:rsid w:val="00EA4463"/>
    <w:rsid w:val="00EA44D4"/>
    <w:rsid w:val="00EA45A3"/>
    <w:rsid w:val="00EA4645"/>
    <w:rsid w:val="00EA4745"/>
    <w:rsid w:val="00EA4762"/>
    <w:rsid w:val="00EA478E"/>
    <w:rsid w:val="00EA47CE"/>
    <w:rsid w:val="00EA4806"/>
    <w:rsid w:val="00EA4C35"/>
    <w:rsid w:val="00EA4CB0"/>
    <w:rsid w:val="00EA4D1C"/>
    <w:rsid w:val="00EA4D40"/>
    <w:rsid w:val="00EA5187"/>
    <w:rsid w:val="00EA54F4"/>
    <w:rsid w:val="00EA58CE"/>
    <w:rsid w:val="00EA597E"/>
    <w:rsid w:val="00EA59C6"/>
    <w:rsid w:val="00EA5B7A"/>
    <w:rsid w:val="00EA5C20"/>
    <w:rsid w:val="00EA5C29"/>
    <w:rsid w:val="00EA5C92"/>
    <w:rsid w:val="00EA5E05"/>
    <w:rsid w:val="00EA601E"/>
    <w:rsid w:val="00EA60DF"/>
    <w:rsid w:val="00EA617B"/>
    <w:rsid w:val="00EA61E4"/>
    <w:rsid w:val="00EA63C3"/>
    <w:rsid w:val="00EA64A8"/>
    <w:rsid w:val="00EA662A"/>
    <w:rsid w:val="00EA6673"/>
    <w:rsid w:val="00EA66F5"/>
    <w:rsid w:val="00EA679C"/>
    <w:rsid w:val="00EA6807"/>
    <w:rsid w:val="00EA68FD"/>
    <w:rsid w:val="00EA6B41"/>
    <w:rsid w:val="00EA6BA8"/>
    <w:rsid w:val="00EA6D2A"/>
    <w:rsid w:val="00EA6D62"/>
    <w:rsid w:val="00EA6EF6"/>
    <w:rsid w:val="00EA6F7B"/>
    <w:rsid w:val="00EA6F80"/>
    <w:rsid w:val="00EA7099"/>
    <w:rsid w:val="00EA7160"/>
    <w:rsid w:val="00EA72DE"/>
    <w:rsid w:val="00EA73A3"/>
    <w:rsid w:val="00EA74BC"/>
    <w:rsid w:val="00EA75E0"/>
    <w:rsid w:val="00EA76EE"/>
    <w:rsid w:val="00EA7773"/>
    <w:rsid w:val="00EA78A1"/>
    <w:rsid w:val="00EA7957"/>
    <w:rsid w:val="00EA79F7"/>
    <w:rsid w:val="00EA7AEE"/>
    <w:rsid w:val="00EA7C4A"/>
    <w:rsid w:val="00EA7D20"/>
    <w:rsid w:val="00EA7DF7"/>
    <w:rsid w:val="00EA7EF4"/>
    <w:rsid w:val="00EA7F09"/>
    <w:rsid w:val="00EB0060"/>
    <w:rsid w:val="00EB012F"/>
    <w:rsid w:val="00EB0360"/>
    <w:rsid w:val="00EB04A9"/>
    <w:rsid w:val="00EB04DB"/>
    <w:rsid w:val="00EB05F4"/>
    <w:rsid w:val="00EB0775"/>
    <w:rsid w:val="00EB084E"/>
    <w:rsid w:val="00EB09FC"/>
    <w:rsid w:val="00EB0BE2"/>
    <w:rsid w:val="00EB0BE4"/>
    <w:rsid w:val="00EB0E5A"/>
    <w:rsid w:val="00EB0E9F"/>
    <w:rsid w:val="00EB0F1C"/>
    <w:rsid w:val="00EB0FAE"/>
    <w:rsid w:val="00EB0FB0"/>
    <w:rsid w:val="00EB1029"/>
    <w:rsid w:val="00EB1098"/>
    <w:rsid w:val="00EB10AC"/>
    <w:rsid w:val="00EB11A1"/>
    <w:rsid w:val="00EB13D5"/>
    <w:rsid w:val="00EB1577"/>
    <w:rsid w:val="00EB176A"/>
    <w:rsid w:val="00EB1836"/>
    <w:rsid w:val="00EB18B0"/>
    <w:rsid w:val="00EB196D"/>
    <w:rsid w:val="00EB196F"/>
    <w:rsid w:val="00EB1A86"/>
    <w:rsid w:val="00EB1ACD"/>
    <w:rsid w:val="00EB1F6F"/>
    <w:rsid w:val="00EB2014"/>
    <w:rsid w:val="00EB2100"/>
    <w:rsid w:val="00EB2159"/>
    <w:rsid w:val="00EB21B9"/>
    <w:rsid w:val="00EB22A8"/>
    <w:rsid w:val="00EB22BB"/>
    <w:rsid w:val="00EB2569"/>
    <w:rsid w:val="00EB2587"/>
    <w:rsid w:val="00EB25AB"/>
    <w:rsid w:val="00EB266E"/>
    <w:rsid w:val="00EB279B"/>
    <w:rsid w:val="00EB2847"/>
    <w:rsid w:val="00EB2856"/>
    <w:rsid w:val="00EB2A2E"/>
    <w:rsid w:val="00EB2B70"/>
    <w:rsid w:val="00EB2BCB"/>
    <w:rsid w:val="00EB2CF9"/>
    <w:rsid w:val="00EB3161"/>
    <w:rsid w:val="00EB3295"/>
    <w:rsid w:val="00EB3360"/>
    <w:rsid w:val="00EB339C"/>
    <w:rsid w:val="00EB33F7"/>
    <w:rsid w:val="00EB3525"/>
    <w:rsid w:val="00EB356D"/>
    <w:rsid w:val="00EB379F"/>
    <w:rsid w:val="00EB38F6"/>
    <w:rsid w:val="00EB39AC"/>
    <w:rsid w:val="00EB3CE5"/>
    <w:rsid w:val="00EB3D5C"/>
    <w:rsid w:val="00EB3DAE"/>
    <w:rsid w:val="00EB3F40"/>
    <w:rsid w:val="00EB3F45"/>
    <w:rsid w:val="00EB3F69"/>
    <w:rsid w:val="00EB4125"/>
    <w:rsid w:val="00EB4135"/>
    <w:rsid w:val="00EB4156"/>
    <w:rsid w:val="00EB41C3"/>
    <w:rsid w:val="00EB41F8"/>
    <w:rsid w:val="00EB4520"/>
    <w:rsid w:val="00EB4543"/>
    <w:rsid w:val="00EB46D0"/>
    <w:rsid w:val="00EB4706"/>
    <w:rsid w:val="00EB47C0"/>
    <w:rsid w:val="00EB4A21"/>
    <w:rsid w:val="00EB4A93"/>
    <w:rsid w:val="00EB4C29"/>
    <w:rsid w:val="00EB4E05"/>
    <w:rsid w:val="00EB506B"/>
    <w:rsid w:val="00EB5078"/>
    <w:rsid w:val="00EB50A1"/>
    <w:rsid w:val="00EB511E"/>
    <w:rsid w:val="00EB53E5"/>
    <w:rsid w:val="00EB544F"/>
    <w:rsid w:val="00EB5470"/>
    <w:rsid w:val="00EB549C"/>
    <w:rsid w:val="00EB55E9"/>
    <w:rsid w:val="00EB56A0"/>
    <w:rsid w:val="00EB57CC"/>
    <w:rsid w:val="00EB59D2"/>
    <w:rsid w:val="00EB5A29"/>
    <w:rsid w:val="00EB5A97"/>
    <w:rsid w:val="00EB5C64"/>
    <w:rsid w:val="00EB5C8A"/>
    <w:rsid w:val="00EB5F9E"/>
    <w:rsid w:val="00EB6087"/>
    <w:rsid w:val="00EB61D8"/>
    <w:rsid w:val="00EB6261"/>
    <w:rsid w:val="00EB641F"/>
    <w:rsid w:val="00EB643C"/>
    <w:rsid w:val="00EB64B4"/>
    <w:rsid w:val="00EB651A"/>
    <w:rsid w:val="00EB658A"/>
    <w:rsid w:val="00EB6688"/>
    <w:rsid w:val="00EB6750"/>
    <w:rsid w:val="00EB67A9"/>
    <w:rsid w:val="00EB6889"/>
    <w:rsid w:val="00EB69A1"/>
    <w:rsid w:val="00EB6A81"/>
    <w:rsid w:val="00EB6AB9"/>
    <w:rsid w:val="00EB6BAE"/>
    <w:rsid w:val="00EB6CBB"/>
    <w:rsid w:val="00EB6D31"/>
    <w:rsid w:val="00EB6DA6"/>
    <w:rsid w:val="00EB6F50"/>
    <w:rsid w:val="00EB745D"/>
    <w:rsid w:val="00EB745E"/>
    <w:rsid w:val="00EB765C"/>
    <w:rsid w:val="00EB7733"/>
    <w:rsid w:val="00EB778D"/>
    <w:rsid w:val="00EB784E"/>
    <w:rsid w:val="00EB7895"/>
    <w:rsid w:val="00EB792D"/>
    <w:rsid w:val="00EB7A93"/>
    <w:rsid w:val="00EB7ADD"/>
    <w:rsid w:val="00EB7ADF"/>
    <w:rsid w:val="00EB7AE5"/>
    <w:rsid w:val="00EB7BFC"/>
    <w:rsid w:val="00EB7C0D"/>
    <w:rsid w:val="00EB7C51"/>
    <w:rsid w:val="00EB7C65"/>
    <w:rsid w:val="00EB7D36"/>
    <w:rsid w:val="00EB7D54"/>
    <w:rsid w:val="00EB7D5C"/>
    <w:rsid w:val="00EB7E92"/>
    <w:rsid w:val="00EB7EE6"/>
    <w:rsid w:val="00EB7EFF"/>
    <w:rsid w:val="00EB7F21"/>
    <w:rsid w:val="00EC0031"/>
    <w:rsid w:val="00EC02CB"/>
    <w:rsid w:val="00EC034E"/>
    <w:rsid w:val="00EC04FE"/>
    <w:rsid w:val="00EC0564"/>
    <w:rsid w:val="00EC06CC"/>
    <w:rsid w:val="00EC071C"/>
    <w:rsid w:val="00EC07A2"/>
    <w:rsid w:val="00EC0918"/>
    <w:rsid w:val="00EC099C"/>
    <w:rsid w:val="00EC0AAA"/>
    <w:rsid w:val="00EC0B26"/>
    <w:rsid w:val="00EC0CCE"/>
    <w:rsid w:val="00EC0CDD"/>
    <w:rsid w:val="00EC0DFD"/>
    <w:rsid w:val="00EC0F7A"/>
    <w:rsid w:val="00EC1032"/>
    <w:rsid w:val="00EC103D"/>
    <w:rsid w:val="00EC109E"/>
    <w:rsid w:val="00EC10A0"/>
    <w:rsid w:val="00EC1195"/>
    <w:rsid w:val="00EC1219"/>
    <w:rsid w:val="00EC1257"/>
    <w:rsid w:val="00EC12E5"/>
    <w:rsid w:val="00EC1383"/>
    <w:rsid w:val="00EC13C9"/>
    <w:rsid w:val="00EC13D0"/>
    <w:rsid w:val="00EC1411"/>
    <w:rsid w:val="00EC1591"/>
    <w:rsid w:val="00EC16C6"/>
    <w:rsid w:val="00EC16F1"/>
    <w:rsid w:val="00EC18F5"/>
    <w:rsid w:val="00EC1904"/>
    <w:rsid w:val="00EC191B"/>
    <w:rsid w:val="00EC1982"/>
    <w:rsid w:val="00EC1AF6"/>
    <w:rsid w:val="00EC1C26"/>
    <w:rsid w:val="00EC1C8A"/>
    <w:rsid w:val="00EC1D0C"/>
    <w:rsid w:val="00EC1DFD"/>
    <w:rsid w:val="00EC1E66"/>
    <w:rsid w:val="00EC1FC3"/>
    <w:rsid w:val="00EC20D8"/>
    <w:rsid w:val="00EC211D"/>
    <w:rsid w:val="00EC217C"/>
    <w:rsid w:val="00EC23AD"/>
    <w:rsid w:val="00EC251A"/>
    <w:rsid w:val="00EC2828"/>
    <w:rsid w:val="00EC282D"/>
    <w:rsid w:val="00EC2840"/>
    <w:rsid w:val="00EC2847"/>
    <w:rsid w:val="00EC285B"/>
    <w:rsid w:val="00EC2865"/>
    <w:rsid w:val="00EC2A6E"/>
    <w:rsid w:val="00EC2B0D"/>
    <w:rsid w:val="00EC2B9D"/>
    <w:rsid w:val="00EC2BCC"/>
    <w:rsid w:val="00EC2BD6"/>
    <w:rsid w:val="00EC2C28"/>
    <w:rsid w:val="00EC2CB2"/>
    <w:rsid w:val="00EC2D09"/>
    <w:rsid w:val="00EC2F3A"/>
    <w:rsid w:val="00EC30A8"/>
    <w:rsid w:val="00EC3203"/>
    <w:rsid w:val="00EC3245"/>
    <w:rsid w:val="00EC33B2"/>
    <w:rsid w:val="00EC34BB"/>
    <w:rsid w:val="00EC3573"/>
    <w:rsid w:val="00EC3582"/>
    <w:rsid w:val="00EC362C"/>
    <w:rsid w:val="00EC397D"/>
    <w:rsid w:val="00EC3A11"/>
    <w:rsid w:val="00EC3AFA"/>
    <w:rsid w:val="00EC3D5F"/>
    <w:rsid w:val="00EC410A"/>
    <w:rsid w:val="00EC419F"/>
    <w:rsid w:val="00EC41A5"/>
    <w:rsid w:val="00EC43C2"/>
    <w:rsid w:val="00EC466B"/>
    <w:rsid w:val="00EC4672"/>
    <w:rsid w:val="00EC46EC"/>
    <w:rsid w:val="00EC4771"/>
    <w:rsid w:val="00EC4892"/>
    <w:rsid w:val="00EC48BA"/>
    <w:rsid w:val="00EC4B1C"/>
    <w:rsid w:val="00EC4B27"/>
    <w:rsid w:val="00EC4CA0"/>
    <w:rsid w:val="00EC5003"/>
    <w:rsid w:val="00EC50A2"/>
    <w:rsid w:val="00EC50E6"/>
    <w:rsid w:val="00EC518D"/>
    <w:rsid w:val="00EC5269"/>
    <w:rsid w:val="00EC52B8"/>
    <w:rsid w:val="00EC53BC"/>
    <w:rsid w:val="00EC545A"/>
    <w:rsid w:val="00EC548E"/>
    <w:rsid w:val="00EC54F8"/>
    <w:rsid w:val="00EC5637"/>
    <w:rsid w:val="00EC5714"/>
    <w:rsid w:val="00EC5750"/>
    <w:rsid w:val="00EC5791"/>
    <w:rsid w:val="00EC57C6"/>
    <w:rsid w:val="00EC59E7"/>
    <w:rsid w:val="00EC5AC4"/>
    <w:rsid w:val="00EC5C5A"/>
    <w:rsid w:val="00EC5D15"/>
    <w:rsid w:val="00EC5F82"/>
    <w:rsid w:val="00EC5FB8"/>
    <w:rsid w:val="00EC6012"/>
    <w:rsid w:val="00EC628D"/>
    <w:rsid w:val="00EC63AF"/>
    <w:rsid w:val="00EC63E5"/>
    <w:rsid w:val="00EC646D"/>
    <w:rsid w:val="00EC652A"/>
    <w:rsid w:val="00EC662C"/>
    <w:rsid w:val="00EC6763"/>
    <w:rsid w:val="00EC67CB"/>
    <w:rsid w:val="00EC6ACA"/>
    <w:rsid w:val="00EC6B30"/>
    <w:rsid w:val="00EC6C28"/>
    <w:rsid w:val="00EC6C43"/>
    <w:rsid w:val="00EC6D0E"/>
    <w:rsid w:val="00EC6DFD"/>
    <w:rsid w:val="00EC6EF3"/>
    <w:rsid w:val="00EC6F47"/>
    <w:rsid w:val="00EC7048"/>
    <w:rsid w:val="00EC70E3"/>
    <w:rsid w:val="00EC713F"/>
    <w:rsid w:val="00EC71CB"/>
    <w:rsid w:val="00EC71D1"/>
    <w:rsid w:val="00EC74BD"/>
    <w:rsid w:val="00EC761F"/>
    <w:rsid w:val="00EC769C"/>
    <w:rsid w:val="00EC76A1"/>
    <w:rsid w:val="00EC76F3"/>
    <w:rsid w:val="00EC76F9"/>
    <w:rsid w:val="00EC7797"/>
    <w:rsid w:val="00EC78BC"/>
    <w:rsid w:val="00EC78DB"/>
    <w:rsid w:val="00EC790D"/>
    <w:rsid w:val="00EC7CAF"/>
    <w:rsid w:val="00EC7D87"/>
    <w:rsid w:val="00EC7E17"/>
    <w:rsid w:val="00EC7E8C"/>
    <w:rsid w:val="00ED00CE"/>
    <w:rsid w:val="00ED0168"/>
    <w:rsid w:val="00ED0204"/>
    <w:rsid w:val="00ED0409"/>
    <w:rsid w:val="00ED05D6"/>
    <w:rsid w:val="00ED060C"/>
    <w:rsid w:val="00ED060E"/>
    <w:rsid w:val="00ED067E"/>
    <w:rsid w:val="00ED072E"/>
    <w:rsid w:val="00ED0917"/>
    <w:rsid w:val="00ED0B97"/>
    <w:rsid w:val="00ED0C1E"/>
    <w:rsid w:val="00ED0C2E"/>
    <w:rsid w:val="00ED0C6F"/>
    <w:rsid w:val="00ED0C89"/>
    <w:rsid w:val="00ED0C97"/>
    <w:rsid w:val="00ED0C9D"/>
    <w:rsid w:val="00ED0D88"/>
    <w:rsid w:val="00ED0E15"/>
    <w:rsid w:val="00ED0ECF"/>
    <w:rsid w:val="00ED1039"/>
    <w:rsid w:val="00ED117A"/>
    <w:rsid w:val="00ED11C0"/>
    <w:rsid w:val="00ED11F8"/>
    <w:rsid w:val="00ED13C9"/>
    <w:rsid w:val="00ED13D1"/>
    <w:rsid w:val="00ED1549"/>
    <w:rsid w:val="00ED166C"/>
    <w:rsid w:val="00ED169A"/>
    <w:rsid w:val="00ED1781"/>
    <w:rsid w:val="00ED1887"/>
    <w:rsid w:val="00ED192A"/>
    <w:rsid w:val="00ED1973"/>
    <w:rsid w:val="00ED1A22"/>
    <w:rsid w:val="00ED1AA8"/>
    <w:rsid w:val="00ED1B74"/>
    <w:rsid w:val="00ED1C07"/>
    <w:rsid w:val="00ED1F5D"/>
    <w:rsid w:val="00ED20AC"/>
    <w:rsid w:val="00ED22D2"/>
    <w:rsid w:val="00ED233E"/>
    <w:rsid w:val="00ED2360"/>
    <w:rsid w:val="00ED270D"/>
    <w:rsid w:val="00ED2773"/>
    <w:rsid w:val="00ED28BB"/>
    <w:rsid w:val="00ED2911"/>
    <w:rsid w:val="00ED2945"/>
    <w:rsid w:val="00ED29F2"/>
    <w:rsid w:val="00ED2C2C"/>
    <w:rsid w:val="00ED2D3B"/>
    <w:rsid w:val="00ED2FCC"/>
    <w:rsid w:val="00ED3003"/>
    <w:rsid w:val="00ED3028"/>
    <w:rsid w:val="00ED307E"/>
    <w:rsid w:val="00ED30C5"/>
    <w:rsid w:val="00ED344C"/>
    <w:rsid w:val="00ED3587"/>
    <w:rsid w:val="00ED3634"/>
    <w:rsid w:val="00ED365F"/>
    <w:rsid w:val="00ED36C9"/>
    <w:rsid w:val="00ED36E3"/>
    <w:rsid w:val="00ED38B7"/>
    <w:rsid w:val="00ED3A81"/>
    <w:rsid w:val="00ED3B70"/>
    <w:rsid w:val="00ED3CD3"/>
    <w:rsid w:val="00ED3D57"/>
    <w:rsid w:val="00ED3E8D"/>
    <w:rsid w:val="00ED3F32"/>
    <w:rsid w:val="00ED408B"/>
    <w:rsid w:val="00ED40CD"/>
    <w:rsid w:val="00ED41CB"/>
    <w:rsid w:val="00ED42EF"/>
    <w:rsid w:val="00ED4578"/>
    <w:rsid w:val="00ED46CC"/>
    <w:rsid w:val="00ED4967"/>
    <w:rsid w:val="00ED4A62"/>
    <w:rsid w:val="00ED4C12"/>
    <w:rsid w:val="00ED4D0D"/>
    <w:rsid w:val="00ED4D15"/>
    <w:rsid w:val="00ED4E12"/>
    <w:rsid w:val="00ED4FB7"/>
    <w:rsid w:val="00ED507C"/>
    <w:rsid w:val="00ED50D8"/>
    <w:rsid w:val="00ED51CF"/>
    <w:rsid w:val="00ED52F7"/>
    <w:rsid w:val="00ED53B0"/>
    <w:rsid w:val="00ED5444"/>
    <w:rsid w:val="00ED5510"/>
    <w:rsid w:val="00ED5559"/>
    <w:rsid w:val="00ED55C7"/>
    <w:rsid w:val="00ED5646"/>
    <w:rsid w:val="00ED56BE"/>
    <w:rsid w:val="00ED56E8"/>
    <w:rsid w:val="00ED5B90"/>
    <w:rsid w:val="00ED5EA5"/>
    <w:rsid w:val="00ED6176"/>
    <w:rsid w:val="00ED6376"/>
    <w:rsid w:val="00ED63CD"/>
    <w:rsid w:val="00ED64FE"/>
    <w:rsid w:val="00ED66EA"/>
    <w:rsid w:val="00ED677B"/>
    <w:rsid w:val="00ED67CE"/>
    <w:rsid w:val="00ED6867"/>
    <w:rsid w:val="00ED68A4"/>
    <w:rsid w:val="00ED6A09"/>
    <w:rsid w:val="00ED6A74"/>
    <w:rsid w:val="00ED6BD9"/>
    <w:rsid w:val="00ED6E92"/>
    <w:rsid w:val="00ED6EDA"/>
    <w:rsid w:val="00ED712D"/>
    <w:rsid w:val="00ED750E"/>
    <w:rsid w:val="00ED7559"/>
    <w:rsid w:val="00ED7637"/>
    <w:rsid w:val="00ED7642"/>
    <w:rsid w:val="00ED7668"/>
    <w:rsid w:val="00ED76D2"/>
    <w:rsid w:val="00ED774F"/>
    <w:rsid w:val="00ED7942"/>
    <w:rsid w:val="00ED7983"/>
    <w:rsid w:val="00ED7A84"/>
    <w:rsid w:val="00ED7B3A"/>
    <w:rsid w:val="00ED7B80"/>
    <w:rsid w:val="00ED7C9B"/>
    <w:rsid w:val="00EE0029"/>
    <w:rsid w:val="00EE00BA"/>
    <w:rsid w:val="00EE00C7"/>
    <w:rsid w:val="00EE0279"/>
    <w:rsid w:val="00EE02C5"/>
    <w:rsid w:val="00EE043C"/>
    <w:rsid w:val="00EE0454"/>
    <w:rsid w:val="00EE04D4"/>
    <w:rsid w:val="00EE0516"/>
    <w:rsid w:val="00EE0538"/>
    <w:rsid w:val="00EE05EC"/>
    <w:rsid w:val="00EE0625"/>
    <w:rsid w:val="00EE0688"/>
    <w:rsid w:val="00EE0706"/>
    <w:rsid w:val="00EE0772"/>
    <w:rsid w:val="00EE08B1"/>
    <w:rsid w:val="00EE0A4C"/>
    <w:rsid w:val="00EE0A9A"/>
    <w:rsid w:val="00EE0AB7"/>
    <w:rsid w:val="00EE0B6E"/>
    <w:rsid w:val="00EE0C96"/>
    <w:rsid w:val="00EE0C9D"/>
    <w:rsid w:val="00EE0D87"/>
    <w:rsid w:val="00EE0F06"/>
    <w:rsid w:val="00EE0F13"/>
    <w:rsid w:val="00EE0F57"/>
    <w:rsid w:val="00EE0F8E"/>
    <w:rsid w:val="00EE0F97"/>
    <w:rsid w:val="00EE1046"/>
    <w:rsid w:val="00EE114B"/>
    <w:rsid w:val="00EE140F"/>
    <w:rsid w:val="00EE161D"/>
    <w:rsid w:val="00EE1697"/>
    <w:rsid w:val="00EE1706"/>
    <w:rsid w:val="00EE175D"/>
    <w:rsid w:val="00EE17DA"/>
    <w:rsid w:val="00EE1856"/>
    <w:rsid w:val="00EE189B"/>
    <w:rsid w:val="00EE1B10"/>
    <w:rsid w:val="00EE1B68"/>
    <w:rsid w:val="00EE1BA5"/>
    <w:rsid w:val="00EE1BBC"/>
    <w:rsid w:val="00EE1F00"/>
    <w:rsid w:val="00EE1F28"/>
    <w:rsid w:val="00EE1F2C"/>
    <w:rsid w:val="00EE1F65"/>
    <w:rsid w:val="00EE1FFE"/>
    <w:rsid w:val="00EE2371"/>
    <w:rsid w:val="00EE25B1"/>
    <w:rsid w:val="00EE25B9"/>
    <w:rsid w:val="00EE2663"/>
    <w:rsid w:val="00EE276C"/>
    <w:rsid w:val="00EE28A4"/>
    <w:rsid w:val="00EE28CE"/>
    <w:rsid w:val="00EE28F4"/>
    <w:rsid w:val="00EE2B3B"/>
    <w:rsid w:val="00EE2B77"/>
    <w:rsid w:val="00EE2BDD"/>
    <w:rsid w:val="00EE2C5F"/>
    <w:rsid w:val="00EE2D19"/>
    <w:rsid w:val="00EE2EB9"/>
    <w:rsid w:val="00EE2FC8"/>
    <w:rsid w:val="00EE302C"/>
    <w:rsid w:val="00EE3086"/>
    <w:rsid w:val="00EE31A1"/>
    <w:rsid w:val="00EE3255"/>
    <w:rsid w:val="00EE353E"/>
    <w:rsid w:val="00EE3728"/>
    <w:rsid w:val="00EE3761"/>
    <w:rsid w:val="00EE3789"/>
    <w:rsid w:val="00EE3863"/>
    <w:rsid w:val="00EE38A0"/>
    <w:rsid w:val="00EE38B6"/>
    <w:rsid w:val="00EE3B33"/>
    <w:rsid w:val="00EE3C60"/>
    <w:rsid w:val="00EE3E7B"/>
    <w:rsid w:val="00EE3E83"/>
    <w:rsid w:val="00EE4261"/>
    <w:rsid w:val="00EE434B"/>
    <w:rsid w:val="00EE43E9"/>
    <w:rsid w:val="00EE4493"/>
    <w:rsid w:val="00EE44DB"/>
    <w:rsid w:val="00EE45C0"/>
    <w:rsid w:val="00EE45C5"/>
    <w:rsid w:val="00EE45C7"/>
    <w:rsid w:val="00EE4837"/>
    <w:rsid w:val="00EE48F2"/>
    <w:rsid w:val="00EE4ADF"/>
    <w:rsid w:val="00EE4B3E"/>
    <w:rsid w:val="00EE4BBD"/>
    <w:rsid w:val="00EE4CE4"/>
    <w:rsid w:val="00EE4E25"/>
    <w:rsid w:val="00EE4EC7"/>
    <w:rsid w:val="00EE50AD"/>
    <w:rsid w:val="00EE5303"/>
    <w:rsid w:val="00EE53EB"/>
    <w:rsid w:val="00EE53FD"/>
    <w:rsid w:val="00EE5447"/>
    <w:rsid w:val="00EE54A8"/>
    <w:rsid w:val="00EE5734"/>
    <w:rsid w:val="00EE5A6B"/>
    <w:rsid w:val="00EE5B3C"/>
    <w:rsid w:val="00EE5B40"/>
    <w:rsid w:val="00EE5C43"/>
    <w:rsid w:val="00EE5D3D"/>
    <w:rsid w:val="00EE5DD4"/>
    <w:rsid w:val="00EE5E60"/>
    <w:rsid w:val="00EE5E66"/>
    <w:rsid w:val="00EE5F75"/>
    <w:rsid w:val="00EE614A"/>
    <w:rsid w:val="00EE6212"/>
    <w:rsid w:val="00EE621C"/>
    <w:rsid w:val="00EE63BE"/>
    <w:rsid w:val="00EE661C"/>
    <w:rsid w:val="00EE6654"/>
    <w:rsid w:val="00EE68A7"/>
    <w:rsid w:val="00EE6972"/>
    <w:rsid w:val="00EE699D"/>
    <w:rsid w:val="00EE6A07"/>
    <w:rsid w:val="00EE6A2B"/>
    <w:rsid w:val="00EE6B04"/>
    <w:rsid w:val="00EE6B89"/>
    <w:rsid w:val="00EE6F2E"/>
    <w:rsid w:val="00EE6F3F"/>
    <w:rsid w:val="00EE6FFD"/>
    <w:rsid w:val="00EE7055"/>
    <w:rsid w:val="00EE712F"/>
    <w:rsid w:val="00EE720B"/>
    <w:rsid w:val="00EE7281"/>
    <w:rsid w:val="00EE7311"/>
    <w:rsid w:val="00EE73B5"/>
    <w:rsid w:val="00EE73FA"/>
    <w:rsid w:val="00EE744F"/>
    <w:rsid w:val="00EE74A3"/>
    <w:rsid w:val="00EE7654"/>
    <w:rsid w:val="00EE7884"/>
    <w:rsid w:val="00EE7915"/>
    <w:rsid w:val="00EE79AF"/>
    <w:rsid w:val="00EE7A5A"/>
    <w:rsid w:val="00EE7A5B"/>
    <w:rsid w:val="00EE7C41"/>
    <w:rsid w:val="00EE7C8D"/>
    <w:rsid w:val="00EE7CFD"/>
    <w:rsid w:val="00EE7F39"/>
    <w:rsid w:val="00EF0024"/>
    <w:rsid w:val="00EF01C9"/>
    <w:rsid w:val="00EF0353"/>
    <w:rsid w:val="00EF0414"/>
    <w:rsid w:val="00EF0416"/>
    <w:rsid w:val="00EF044D"/>
    <w:rsid w:val="00EF0487"/>
    <w:rsid w:val="00EF0799"/>
    <w:rsid w:val="00EF080A"/>
    <w:rsid w:val="00EF087F"/>
    <w:rsid w:val="00EF09CD"/>
    <w:rsid w:val="00EF0AF7"/>
    <w:rsid w:val="00EF0F48"/>
    <w:rsid w:val="00EF0FD3"/>
    <w:rsid w:val="00EF1014"/>
    <w:rsid w:val="00EF10CC"/>
    <w:rsid w:val="00EF10CF"/>
    <w:rsid w:val="00EF112D"/>
    <w:rsid w:val="00EF1148"/>
    <w:rsid w:val="00EF11BE"/>
    <w:rsid w:val="00EF12C5"/>
    <w:rsid w:val="00EF1341"/>
    <w:rsid w:val="00EF14E0"/>
    <w:rsid w:val="00EF1514"/>
    <w:rsid w:val="00EF15F5"/>
    <w:rsid w:val="00EF1807"/>
    <w:rsid w:val="00EF1903"/>
    <w:rsid w:val="00EF1A2E"/>
    <w:rsid w:val="00EF1C75"/>
    <w:rsid w:val="00EF1CDD"/>
    <w:rsid w:val="00EF1CF5"/>
    <w:rsid w:val="00EF1EB2"/>
    <w:rsid w:val="00EF1F0D"/>
    <w:rsid w:val="00EF2006"/>
    <w:rsid w:val="00EF21AF"/>
    <w:rsid w:val="00EF227F"/>
    <w:rsid w:val="00EF2308"/>
    <w:rsid w:val="00EF245B"/>
    <w:rsid w:val="00EF24F7"/>
    <w:rsid w:val="00EF2722"/>
    <w:rsid w:val="00EF2A35"/>
    <w:rsid w:val="00EF2B93"/>
    <w:rsid w:val="00EF2BD5"/>
    <w:rsid w:val="00EF2DB3"/>
    <w:rsid w:val="00EF2FBF"/>
    <w:rsid w:val="00EF307F"/>
    <w:rsid w:val="00EF31AC"/>
    <w:rsid w:val="00EF3354"/>
    <w:rsid w:val="00EF3412"/>
    <w:rsid w:val="00EF34A1"/>
    <w:rsid w:val="00EF363D"/>
    <w:rsid w:val="00EF37DC"/>
    <w:rsid w:val="00EF3850"/>
    <w:rsid w:val="00EF393A"/>
    <w:rsid w:val="00EF3953"/>
    <w:rsid w:val="00EF3C7E"/>
    <w:rsid w:val="00EF3D3D"/>
    <w:rsid w:val="00EF3E73"/>
    <w:rsid w:val="00EF3E9C"/>
    <w:rsid w:val="00EF3F06"/>
    <w:rsid w:val="00EF40A5"/>
    <w:rsid w:val="00EF40BE"/>
    <w:rsid w:val="00EF40C5"/>
    <w:rsid w:val="00EF40DE"/>
    <w:rsid w:val="00EF416B"/>
    <w:rsid w:val="00EF41D3"/>
    <w:rsid w:val="00EF4469"/>
    <w:rsid w:val="00EF456E"/>
    <w:rsid w:val="00EF47B2"/>
    <w:rsid w:val="00EF4921"/>
    <w:rsid w:val="00EF4AE4"/>
    <w:rsid w:val="00EF4BC0"/>
    <w:rsid w:val="00EF4CB3"/>
    <w:rsid w:val="00EF5107"/>
    <w:rsid w:val="00EF5135"/>
    <w:rsid w:val="00EF513A"/>
    <w:rsid w:val="00EF515B"/>
    <w:rsid w:val="00EF516E"/>
    <w:rsid w:val="00EF550B"/>
    <w:rsid w:val="00EF562B"/>
    <w:rsid w:val="00EF5749"/>
    <w:rsid w:val="00EF57D6"/>
    <w:rsid w:val="00EF57FC"/>
    <w:rsid w:val="00EF5B32"/>
    <w:rsid w:val="00EF5B55"/>
    <w:rsid w:val="00EF5C05"/>
    <w:rsid w:val="00EF5C1B"/>
    <w:rsid w:val="00EF5CE4"/>
    <w:rsid w:val="00EF5DE4"/>
    <w:rsid w:val="00EF5E94"/>
    <w:rsid w:val="00EF5E9A"/>
    <w:rsid w:val="00EF5EEA"/>
    <w:rsid w:val="00EF5F84"/>
    <w:rsid w:val="00EF5F8E"/>
    <w:rsid w:val="00EF60A2"/>
    <w:rsid w:val="00EF623C"/>
    <w:rsid w:val="00EF6294"/>
    <w:rsid w:val="00EF62E8"/>
    <w:rsid w:val="00EF62F3"/>
    <w:rsid w:val="00EF64E9"/>
    <w:rsid w:val="00EF65AA"/>
    <w:rsid w:val="00EF65EE"/>
    <w:rsid w:val="00EF6601"/>
    <w:rsid w:val="00EF66AB"/>
    <w:rsid w:val="00EF671D"/>
    <w:rsid w:val="00EF67E9"/>
    <w:rsid w:val="00EF6805"/>
    <w:rsid w:val="00EF684E"/>
    <w:rsid w:val="00EF696D"/>
    <w:rsid w:val="00EF6A6F"/>
    <w:rsid w:val="00EF6AA6"/>
    <w:rsid w:val="00EF6B2C"/>
    <w:rsid w:val="00EF6D9B"/>
    <w:rsid w:val="00EF6E88"/>
    <w:rsid w:val="00EF6EAE"/>
    <w:rsid w:val="00EF6F70"/>
    <w:rsid w:val="00EF6FCA"/>
    <w:rsid w:val="00EF70F4"/>
    <w:rsid w:val="00EF711F"/>
    <w:rsid w:val="00EF71D7"/>
    <w:rsid w:val="00EF72B6"/>
    <w:rsid w:val="00EF730B"/>
    <w:rsid w:val="00EF745F"/>
    <w:rsid w:val="00EF74EA"/>
    <w:rsid w:val="00EF74F0"/>
    <w:rsid w:val="00EF7639"/>
    <w:rsid w:val="00EF768F"/>
    <w:rsid w:val="00EF7779"/>
    <w:rsid w:val="00EF77BC"/>
    <w:rsid w:val="00EF78A0"/>
    <w:rsid w:val="00EF78CA"/>
    <w:rsid w:val="00EF7A84"/>
    <w:rsid w:val="00EF7C66"/>
    <w:rsid w:val="00EF7CA7"/>
    <w:rsid w:val="00EF7CF2"/>
    <w:rsid w:val="00EF7D63"/>
    <w:rsid w:val="00EF7D7D"/>
    <w:rsid w:val="00EF7D85"/>
    <w:rsid w:val="00EF7E31"/>
    <w:rsid w:val="00EF7EC9"/>
    <w:rsid w:val="00EF7F31"/>
    <w:rsid w:val="00EF7FD3"/>
    <w:rsid w:val="00F0006B"/>
    <w:rsid w:val="00F00456"/>
    <w:rsid w:val="00F00508"/>
    <w:rsid w:val="00F0060F"/>
    <w:rsid w:val="00F006E3"/>
    <w:rsid w:val="00F00819"/>
    <w:rsid w:val="00F008FA"/>
    <w:rsid w:val="00F0090A"/>
    <w:rsid w:val="00F00940"/>
    <w:rsid w:val="00F00A30"/>
    <w:rsid w:val="00F00B2E"/>
    <w:rsid w:val="00F00C14"/>
    <w:rsid w:val="00F00D3F"/>
    <w:rsid w:val="00F00DC5"/>
    <w:rsid w:val="00F010E5"/>
    <w:rsid w:val="00F0115C"/>
    <w:rsid w:val="00F011E9"/>
    <w:rsid w:val="00F01387"/>
    <w:rsid w:val="00F01490"/>
    <w:rsid w:val="00F01512"/>
    <w:rsid w:val="00F017C5"/>
    <w:rsid w:val="00F01808"/>
    <w:rsid w:val="00F01820"/>
    <w:rsid w:val="00F01836"/>
    <w:rsid w:val="00F0188E"/>
    <w:rsid w:val="00F0193F"/>
    <w:rsid w:val="00F01A12"/>
    <w:rsid w:val="00F01A3D"/>
    <w:rsid w:val="00F01AAC"/>
    <w:rsid w:val="00F01C5B"/>
    <w:rsid w:val="00F01DD5"/>
    <w:rsid w:val="00F01E52"/>
    <w:rsid w:val="00F02141"/>
    <w:rsid w:val="00F022A8"/>
    <w:rsid w:val="00F02473"/>
    <w:rsid w:val="00F0256E"/>
    <w:rsid w:val="00F02671"/>
    <w:rsid w:val="00F0277C"/>
    <w:rsid w:val="00F028BB"/>
    <w:rsid w:val="00F028C3"/>
    <w:rsid w:val="00F02C7B"/>
    <w:rsid w:val="00F02DCB"/>
    <w:rsid w:val="00F02DDF"/>
    <w:rsid w:val="00F02EDB"/>
    <w:rsid w:val="00F02FB1"/>
    <w:rsid w:val="00F0319D"/>
    <w:rsid w:val="00F03213"/>
    <w:rsid w:val="00F03216"/>
    <w:rsid w:val="00F03245"/>
    <w:rsid w:val="00F03261"/>
    <w:rsid w:val="00F0346E"/>
    <w:rsid w:val="00F0363D"/>
    <w:rsid w:val="00F0389E"/>
    <w:rsid w:val="00F0392D"/>
    <w:rsid w:val="00F03ADE"/>
    <w:rsid w:val="00F03C67"/>
    <w:rsid w:val="00F03CA6"/>
    <w:rsid w:val="00F03D22"/>
    <w:rsid w:val="00F03DEC"/>
    <w:rsid w:val="00F03E7E"/>
    <w:rsid w:val="00F04065"/>
    <w:rsid w:val="00F0407A"/>
    <w:rsid w:val="00F0417B"/>
    <w:rsid w:val="00F04263"/>
    <w:rsid w:val="00F04286"/>
    <w:rsid w:val="00F042DC"/>
    <w:rsid w:val="00F04309"/>
    <w:rsid w:val="00F0448B"/>
    <w:rsid w:val="00F0448D"/>
    <w:rsid w:val="00F044A6"/>
    <w:rsid w:val="00F0463B"/>
    <w:rsid w:val="00F046BD"/>
    <w:rsid w:val="00F04963"/>
    <w:rsid w:val="00F04A1A"/>
    <w:rsid w:val="00F04BD7"/>
    <w:rsid w:val="00F04C23"/>
    <w:rsid w:val="00F04D0F"/>
    <w:rsid w:val="00F04D31"/>
    <w:rsid w:val="00F04D63"/>
    <w:rsid w:val="00F04DC0"/>
    <w:rsid w:val="00F04E1A"/>
    <w:rsid w:val="00F04E40"/>
    <w:rsid w:val="00F04E72"/>
    <w:rsid w:val="00F04F75"/>
    <w:rsid w:val="00F05041"/>
    <w:rsid w:val="00F050DA"/>
    <w:rsid w:val="00F05232"/>
    <w:rsid w:val="00F0526B"/>
    <w:rsid w:val="00F05481"/>
    <w:rsid w:val="00F05559"/>
    <w:rsid w:val="00F056B2"/>
    <w:rsid w:val="00F0576E"/>
    <w:rsid w:val="00F05787"/>
    <w:rsid w:val="00F057C2"/>
    <w:rsid w:val="00F057EE"/>
    <w:rsid w:val="00F0581F"/>
    <w:rsid w:val="00F0584D"/>
    <w:rsid w:val="00F058A8"/>
    <w:rsid w:val="00F05999"/>
    <w:rsid w:val="00F059AB"/>
    <w:rsid w:val="00F05A7B"/>
    <w:rsid w:val="00F05B05"/>
    <w:rsid w:val="00F05FE4"/>
    <w:rsid w:val="00F06322"/>
    <w:rsid w:val="00F065A7"/>
    <w:rsid w:val="00F0665E"/>
    <w:rsid w:val="00F066B7"/>
    <w:rsid w:val="00F067F6"/>
    <w:rsid w:val="00F0682D"/>
    <w:rsid w:val="00F06894"/>
    <w:rsid w:val="00F06906"/>
    <w:rsid w:val="00F06955"/>
    <w:rsid w:val="00F0698E"/>
    <w:rsid w:val="00F06A76"/>
    <w:rsid w:val="00F06ABA"/>
    <w:rsid w:val="00F06BFF"/>
    <w:rsid w:val="00F06C35"/>
    <w:rsid w:val="00F06C9C"/>
    <w:rsid w:val="00F06CBC"/>
    <w:rsid w:val="00F06D2F"/>
    <w:rsid w:val="00F06D9C"/>
    <w:rsid w:val="00F06DA0"/>
    <w:rsid w:val="00F06DDD"/>
    <w:rsid w:val="00F07019"/>
    <w:rsid w:val="00F07057"/>
    <w:rsid w:val="00F07099"/>
    <w:rsid w:val="00F070D4"/>
    <w:rsid w:val="00F07160"/>
    <w:rsid w:val="00F074FA"/>
    <w:rsid w:val="00F07612"/>
    <w:rsid w:val="00F076BF"/>
    <w:rsid w:val="00F076E4"/>
    <w:rsid w:val="00F0773C"/>
    <w:rsid w:val="00F07984"/>
    <w:rsid w:val="00F07A90"/>
    <w:rsid w:val="00F07AB8"/>
    <w:rsid w:val="00F07B33"/>
    <w:rsid w:val="00F07B75"/>
    <w:rsid w:val="00F07B8E"/>
    <w:rsid w:val="00F07DE5"/>
    <w:rsid w:val="00F07DEC"/>
    <w:rsid w:val="00F10133"/>
    <w:rsid w:val="00F10215"/>
    <w:rsid w:val="00F10225"/>
    <w:rsid w:val="00F102A7"/>
    <w:rsid w:val="00F10578"/>
    <w:rsid w:val="00F105EA"/>
    <w:rsid w:val="00F107E1"/>
    <w:rsid w:val="00F109E4"/>
    <w:rsid w:val="00F10A28"/>
    <w:rsid w:val="00F10B8A"/>
    <w:rsid w:val="00F10C71"/>
    <w:rsid w:val="00F10D1E"/>
    <w:rsid w:val="00F10D7E"/>
    <w:rsid w:val="00F10E80"/>
    <w:rsid w:val="00F10F10"/>
    <w:rsid w:val="00F1106A"/>
    <w:rsid w:val="00F1109A"/>
    <w:rsid w:val="00F11117"/>
    <w:rsid w:val="00F111B3"/>
    <w:rsid w:val="00F111B8"/>
    <w:rsid w:val="00F112B0"/>
    <w:rsid w:val="00F11304"/>
    <w:rsid w:val="00F11333"/>
    <w:rsid w:val="00F1147D"/>
    <w:rsid w:val="00F1170C"/>
    <w:rsid w:val="00F11768"/>
    <w:rsid w:val="00F11B1C"/>
    <w:rsid w:val="00F11BF2"/>
    <w:rsid w:val="00F11C23"/>
    <w:rsid w:val="00F11C6D"/>
    <w:rsid w:val="00F11CCB"/>
    <w:rsid w:val="00F11D55"/>
    <w:rsid w:val="00F11DC7"/>
    <w:rsid w:val="00F11E1D"/>
    <w:rsid w:val="00F11F57"/>
    <w:rsid w:val="00F11FA7"/>
    <w:rsid w:val="00F12029"/>
    <w:rsid w:val="00F1202A"/>
    <w:rsid w:val="00F1205F"/>
    <w:rsid w:val="00F12284"/>
    <w:rsid w:val="00F12324"/>
    <w:rsid w:val="00F12474"/>
    <w:rsid w:val="00F12541"/>
    <w:rsid w:val="00F1278C"/>
    <w:rsid w:val="00F12BCA"/>
    <w:rsid w:val="00F12BE6"/>
    <w:rsid w:val="00F12C6C"/>
    <w:rsid w:val="00F12C81"/>
    <w:rsid w:val="00F12CEE"/>
    <w:rsid w:val="00F12DBD"/>
    <w:rsid w:val="00F12E11"/>
    <w:rsid w:val="00F12E6B"/>
    <w:rsid w:val="00F12EB5"/>
    <w:rsid w:val="00F130E8"/>
    <w:rsid w:val="00F13124"/>
    <w:rsid w:val="00F13171"/>
    <w:rsid w:val="00F13184"/>
    <w:rsid w:val="00F1327E"/>
    <w:rsid w:val="00F13291"/>
    <w:rsid w:val="00F132AD"/>
    <w:rsid w:val="00F132F9"/>
    <w:rsid w:val="00F13336"/>
    <w:rsid w:val="00F1353A"/>
    <w:rsid w:val="00F13551"/>
    <w:rsid w:val="00F13580"/>
    <w:rsid w:val="00F13586"/>
    <w:rsid w:val="00F13629"/>
    <w:rsid w:val="00F1363E"/>
    <w:rsid w:val="00F1383C"/>
    <w:rsid w:val="00F13957"/>
    <w:rsid w:val="00F13A50"/>
    <w:rsid w:val="00F13AF2"/>
    <w:rsid w:val="00F13DE9"/>
    <w:rsid w:val="00F14340"/>
    <w:rsid w:val="00F143E2"/>
    <w:rsid w:val="00F143EE"/>
    <w:rsid w:val="00F14435"/>
    <w:rsid w:val="00F14480"/>
    <w:rsid w:val="00F14549"/>
    <w:rsid w:val="00F1455B"/>
    <w:rsid w:val="00F145BB"/>
    <w:rsid w:val="00F14625"/>
    <w:rsid w:val="00F1477E"/>
    <w:rsid w:val="00F148DE"/>
    <w:rsid w:val="00F1491D"/>
    <w:rsid w:val="00F14A23"/>
    <w:rsid w:val="00F14B8B"/>
    <w:rsid w:val="00F14B8E"/>
    <w:rsid w:val="00F14BA7"/>
    <w:rsid w:val="00F14C45"/>
    <w:rsid w:val="00F14CA7"/>
    <w:rsid w:val="00F14D34"/>
    <w:rsid w:val="00F14DA6"/>
    <w:rsid w:val="00F14DF7"/>
    <w:rsid w:val="00F1510D"/>
    <w:rsid w:val="00F15132"/>
    <w:rsid w:val="00F15233"/>
    <w:rsid w:val="00F153B6"/>
    <w:rsid w:val="00F15475"/>
    <w:rsid w:val="00F15618"/>
    <w:rsid w:val="00F15763"/>
    <w:rsid w:val="00F15808"/>
    <w:rsid w:val="00F1596D"/>
    <w:rsid w:val="00F159E8"/>
    <w:rsid w:val="00F15A07"/>
    <w:rsid w:val="00F15A9D"/>
    <w:rsid w:val="00F15AB2"/>
    <w:rsid w:val="00F15AE0"/>
    <w:rsid w:val="00F15B3D"/>
    <w:rsid w:val="00F15DF3"/>
    <w:rsid w:val="00F15E91"/>
    <w:rsid w:val="00F15FB5"/>
    <w:rsid w:val="00F15FEA"/>
    <w:rsid w:val="00F1608A"/>
    <w:rsid w:val="00F161BE"/>
    <w:rsid w:val="00F16296"/>
    <w:rsid w:val="00F164D2"/>
    <w:rsid w:val="00F1658A"/>
    <w:rsid w:val="00F165C0"/>
    <w:rsid w:val="00F1689B"/>
    <w:rsid w:val="00F169BC"/>
    <w:rsid w:val="00F16E72"/>
    <w:rsid w:val="00F16E79"/>
    <w:rsid w:val="00F16F98"/>
    <w:rsid w:val="00F1731B"/>
    <w:rsid w:val="00F1735C"/>
    <w:rsid w:val="00F17384"/>
    <w:rsid w:val="00F17473"/>
    <w:rsid w:val="00F1757B"/>
    <w:rsid w:val="00F17807"/>
    <w:rsid w:val="00F1786A"/>
    <w:rsid w:val="00F178FF"/>
    <w:rsid w:val="00F1792A"/>
    <w:rsid w:val="00F17C97"/>
    <w:rsid w:val="00F17D92"/>
    <w:rsid w:val="00F17E10"/>
    <w:rsid w:val="00F17E22"/>
    <w:rsid w:val="00F17F93"/>
    <w:rsid w:val="00F2019D"/>
    <w:rsid w:val="00F20519"/>
    <w:rsid w:val="00F2064C"/>
    <w:rsid w:val="00F2065A"/>
    <w:rsid w:val="00F2066B"/>
    <w:rsid w:val="00F207E1"/>
    <w:rsid w:val="00F20A73"/>
    <w:rsid w:val="00F20AC3"/>
    <w:rsid w:val="00F20AEF"/>
    <w:rsid w:val="00F20B00"/>
    <w:rsid w:val="00F20B53"/>
    <w:rsid w:val="00F20B5F"/>
    <w:rsid w:val="00F21056"/>
    <w:rsid w:val="00F210D0"/>
    <w:rsid w:val="00F210ED"/>
    <w:rsid w:val="00F21386"/>
    <w:rsid w:val="00F2139D"/>
    <w:rsid w:val="00F21459"/>
    <w:rsid w:val="00F21478"/>
    <w:rsid w:val="00F214F1"/>
    <w:rsid w:val="00F21612"/>
    <w:rsid w:val="00F21628"/>
    <w:rsid w:val="00F2182D"/>
    <w:rsid w:val="00F2191C"/>
    <w:rsid w:val="00F21949"/>
    <w:rsid w:val="00F21961"/>
    <w:rsid w:val="00F2197F"/>
    <w:rsid w:val="00F21A42"/>
    <w:rsid w:val="00F21B6F"/>
    <w:rsid w:val="00F21B88"/>
    <w:rsid w:val="00F21BA6"/>
    <w:rsid w:val="00F21C21"/>
    <w:rsid w:val="00F21C71"/>
    <w:rsid w:val="00F21D12"/>
    <w:rsid w:val="00F21D1C"/>
    <w:rsid w:val="00F21DAD"/>
    <w:rsid w:val="00F21F42"/>
    <w:rsid w:val="00F21FB3"/>
    <w:rsid w:val="00F22030"/>
    <w:rsid w:val="00F22035"/>
    <w:rsid w:val="00F22113"/>
    <w:rsid w:val="00F22401"/>
    <w:rsid w:val="00F225A7"/>
    <w:rsid w:val="00F2269C"/>
    <w:rsid w:val="00F2291C"/>
    <w:rsid w:val="00F22A18"/>
    <w:rsid w:val="00F22B9B"/>
    <w:rsid w:val="00F22C19"/>
    <w:rsid w:val="00F22D18"/>
    <w:rsid w:val="00F22F79"/>
    <w:rsid w:val="00F22F7D"/>
    <w:rsid w:val="00F22FD6"/>
    <w:rsid w:val="00F2300F"/>
    <w:rsid w:val="00F230C1"/>
    <w:rsid w:val="00F23243"/>
    <w:rsid w:val="00F23350"/>
    <w:rsid w:val="00F233C4"/>
    <w:rsid w:val="00F23434"/>
    <w:rsid w:val="00F234A5"/>
    <w:rsid w:val="00F2353D"/>
    <w:rsid w:val="00F235FB"/>
    <w:rsid w:val="00F235FC"/>
    <w:rsid w:val="00F23664"/>
    <w:rsid w:val="00F2367A"/>
    <w:rsid w:val="00F236FD"/>
    <w:rsid w:val="00F2371E"/>
    <w:rsid w:val="00F23843"/>
    <w:rsid w:val="00F23880"/>
    <w:rsid w:val="00F23918"/>
    <w:rsid w:val="00F23B93"/>
    <w:rsid w:val="00F23BC8"/>
    <w:rsid w:val="00F23D6A"/>
    <w:rsid w:val="00F23E4E"/>
    <w:rsid w:val="00F23F3C"/>
    <w:rsid w:val="00F23F72"/>
    <w:rsid w:val="00F23F8A"/>
    <w:rsid w:val="00F2406B"/>
    <w:rsid w:val="00F24438"/>
    <w:rsid w:val="00F24450"/>
    <w:rsid w:val="00F24939"/>
    <w:rsid w:val="00F24B44"/>
    <w:rsid w:val="00F24CB6"/>
    <w:rsid w:val="00F24EFF"/>
    <w:rsid w:val="00F2515D"/>
    <w:rsid w:val="00F25176"/>
    <w:rsid w:val="00F2521E"/>
    <w:rsid w:val="00F254EA"/>
    <w:rsid w:val="00F255EF"/>
    <w:rsid w:val="00F257E6"/>
    <w:rsid w:val="00F25863"/>
    <w:rsid w:val="00F259DF"/>
    <w:rsid w:val="00F25A80"/>
    <w:rsid w:val="00F25A8E"/>
    <w:rsid w:val="00F25AF1"/>
    <w:rsid w:val="00F25B50"/>
    <w:rsid w:val="00F25B62"/>
    <w:rsid w:val="00F25B63"/>
    <w:rsid w:val="00F25C9C"/>
    <w:rsid w:val="00F25D28"/>
    <w:rsid w:val="00F25E59"/>
    <w:rsid w:val="00F25ED2"/>
    <w:rsid w:val="00F26073"/>
    <w:rsid w:val="00F26137"/>
    <w:rsid w:val="00F261E8"/>
    <w:rsid w:val="00F26270"/>
    <w:rsid w:val="00F26385"/>
    <w:rsid w:val="00F2678A"/>
    <w:rsid w:val="00F267AE"/>
    <w:rsid w:val="00F2691B"/>
    <w:rsid w:val="00F26AA8"/>
    <w:rsid w:val="00F26AF2"/>
    <w:rsid w:val="00F26B6B"/>
    <w:rsid w:val="00F26B73"/>
    <w:rsid w:val="00F26DEF"/>
    <w:rsid w:val="00F26EF3"/>
    <w:rsid w:val="00F26F25"/>
    <w:rsid w:val="00F26F8C"/>
    <w:rsid w:val="00F27182"/>
    <w:rsid w:val="00F27383"/>
    <w:rsid w:val="00F27398"/>
    <w:rsid w:val="00F27466"/>
    <w:rsid w:val="00F27570"/>
    <w:rsid w:val="00F2767E"/>
    <w:rsid w:val="00F27808"/>
    <w:rsid w:val="00F27969"/>
    <w:rsid w:val="00F27973"/>
    <w:rsid w:val="00F27AD6"/>
    <w:rsid w:val="00F27CF0"/>
    <w:rsid w:val="00F27D48"/>
    <w:rsid w:val="00F27FA5"/>
    <w:rsid w:val="00F30093"/>
    <w:rsid w:val="00F3026A"/>
    <w:rsid w:val="00F302D1"/>
    <w:rsid w:val="00F3039A"/>
    <w:rsid w:val="00F30413"/>
    <w:rsid w:val="00F305A8"/>
    <w:rsid w:val="00F305B0"/>
    <w:rsid w:val="00F306D7"/>
    <w:rsid w:val="00F30750"/>
    <w:rsid w:val="00F307B3"/>
    <w:rsid w:val="00F307EF"/>
    <w:rsid w:val="00F30A58"/>
    <w:rsid w:val="00F30A91"/>
    <w:rsid w:val="00F30B8C"/>
    <w:rsid w:val="00F30BB4"/>
    <w:rsid w:val="00F30BC9"/>
    <w:rsid w:val="00F30D18"/>
    <w:rsid w:val="00F30DA0"/>
    <w:rsid w:val="00F30E3D"/>
    <w:rsid w:val="00F30F44"/>
    <w:rsid w:val="00F30F8A"/>
    <w:rsid w:val="00F31014"/>
    <w:rsid w:val="00F31293"/>
    <w:rsid w:val="00F312B5"/>
    <w:rsid w:val="00F31342"/>
    <w:rsid w:val="00F313A4"/>
    <w:rsid w:val="00F313C9"/>
    <w:rsid w:val="00F313F7"/>
    <w:rsid w:val="00F31462"/>
    <w:rsid w:val="00F314BB"/>
    <w:rsid w:val="00F31562"/>
    <w:rsid w:val="00F31599"/>
    <w:rsid w:val="00F316AE"/>
    <w:rsid w:val="00F3174C"/>
    <w:rsid w:val="00F317E9"/>
    <w:rsid w:val="00F317FF"/>
    <w:rsid w:val="00F31837"/>
    <w:rsid w:val="00F31C2D"/>
    <w:rsid w:val="00F31C3A"/>
    <w:rsid w:val="00F31CD9"/>
    <w:rsid w:val="00F31D1F"/>
    <w:rsid w:val="00F31D2E"/>
    <w:rsid w:val="00F31DD9"/>
    <w:rsid w:val="00F31E7F"/>
    <w:rsid w:val="00F31EB7"/>
    <w:rsid w:val="00F31EC4"/>
    <w:rsid w:val="00F31EE6"/>
    <w:rsid w:val="00F31F10"/>
    <w:rsid w:val="00F3231E"/>
    <w:rsid w:val="00F32357"/>
    <w:rsid w:val="00F323E5"/>
    <w:rsid w:val="00F32529"/>
    <w:rsid w:val="00F32593"/>
    <w:rsid w:val="00F327CC"/>
    <w:rsid w:val="00F32891"/>
    <w:rsid w:val="00F328FD"/>
    <w:rsid w:val="00F32A39"/>
    <w:rsid w:val="00F32A89"/>
    <w:rsid w:val="00F32B12"/>
    <w:rsid w:val="00F32C06"/>
    <w:rsid w:val="00F32C1A"/>
    <w:rsid w:val="00F32C5A"/>
    <w:rsid w:val="00F32C74"/>
    <w:rsid w:val="00F32CB3"/>
    <w:rsid w:val="00F32F13"/>
    <w:rsid w:val="00F32FF3"/>
    <w:rsid w:val="00F3309C"/>
    <w:rsid w:val="00F331B1"/>
    <w:rsid w:val="00F332AF"/>
    <w:rsid w:val="00F332F0"/>
    <w:rsid w:val="00F334F5"/>
    <w:rsid w:val="00F334F7"/>
    <w:rsid w:val="00F336DD"/>
    <w:rsid w:val="00F33736"/>
    <w:rsid w:val="00F33789"/>
    <w:rsid w:val="00F33905"/>
    <w:rsid w:val="00F3398D"/>
    <w:rsid w:val="00F33C5A"/>
    <w:rsid w:val="00F33D53"/>
    <w:rsid w:val="00F33F9F"/>
    <w:rsid w:val="00F34042"/>
    <w:rsid w:val="00F340D2"/>
    <w:rsid w:val="00F3415F"/>
    <w:rsid w:val="00F341EF"/>
    <w:rsid w:val="00F342F5"/>
    <w:rsid w:val="00F344BA"/>
    <w:rsid w:val="00F345E2"/>
    <w:rsid w:val="00F346AB"/>
    <w:rsid w:val="00F347D6"/>
    <w:rsid w:val="00F34A69"/>
    <w:rsid w:val="00F34AFE"/>
    <w:rsid w:val="00F34CA9"/>
    <w:rsid w:val="00F34DD0"/>
    <w:rsid w:val="00F34DDE"/>
    <w:rsid w:val="00F34F3A"/>
    <w:rsid w:val="00F34FA3"/>
    <w:rsid w:val="00F34FC3"/>
    <w:rsid w:val="00F3504A"/>
    <w:rsid w:val="00F35130"/>
    <w:rsid w:val="00F35254"/>
    <w:rsid w:val="00F3537D"/>
    <w:rsid w:val="00F353DE"/>
    <w:rsid w:val="00F3557F"/>
    <w:rsid w:val="00F35613"/>
    <w:rsid w:val="00F3566C"/>
    <w:rsid w:val="00F35733"/>
    <w:rsid w:val="00F357AA"/>
    <w:rsid w:val="00F357BC"/>
    <w:rsid w:val="00F358AD"/>
    <w:rsid w:val="00F35A2F"/>
    <w:rsid w:val="00F35C30"/>
    <w:rsid w:val="00F35E0D"/>
    <w:rsid w:val="00F3614F"/>
    <w:rsid w:val="00F3617D"/>
    <w:rsid w:val="00F361D0"/>
    <w:rsid w:val="00F3624B"/>
    <w:rsid w:val="00F363B3"/>
    <w:rsid w:val="00F36461"/>
    <w:rsid w:val="00F368E6"/>
    <w:rsid w:val="00F36951"/>
    <w:rsid w:val="00F3699A"/>
    <w:rsid w:val="00F369C2"/>
    <w:rsid w:val="00F36ABF"/>
    <w:rsid w:val="00F36AE1"/>
    <w:rsid w:val="00F36C87"/>
    <w:rsid w:val="00F36E5C"/>
    <w:rsid w:val="00F36EF4"/>
    <w:rsid w:val="00F36FC2"/>
    <w:rsid w:val="00F370C6"/>
    <w:rsid w:val="00F37267"/>
    <w:rsid w:val="00F373F0"/>
    <w:rsid w:val="00F374AE"/>
    <w:rsid w:val="00F37556"/>
    <w:rsid w:val="00F376ED"/>
    <w:rsid w:val="00F376F4"/>
    <w:rsid w:val="00F37741"/>
    <w:rsid w:val="00F379BB"/>
    <w:rsid w:val="00F37A60"/>
    <w:rsid w:val="00F37AAC"/>
    <w:rsid w:val="00F37C04"/>
    <w:rsid w:val="00F37D51"/>
    <w:rsid w:val="00F37D6F"/>
    <w:rsid w:val="00F37E2A"/>
    <w:rsid w:val="00F37F53"/>
    <w:rsid w:val="00F4008F"/>
    <w:rsid w:val="00F40105"/>
    <w:rsid w:val="00F402B5"/>
    <w:rsid w:val="00F40460"/>
    <w:rsid w:val="00F40485"/>
    <w:rsid w:val="00F404A7"/>
    <w:rsid w:val="00F4057D"/>
    <w:rsid w:val="00F40931"/>
    <w:rsid w:val="00F40A7A"/>
    <w:rsid w:val="00F40B48"/>
    <w:rsid w:val="00F40CA7"/>
    <w:rsid w:val="00F40E4A"/>
    <w:rsid w:val="00F40E5D"/>
    <w:rsid w:val="00F40FCF"/>
    <w:rsid w:val="00F41036"/>
    <w:rsid w:val="00F412B4"/>
    <w:rsid w:val="00F4134A"/>
    <w:rsid w:val="00F41397"/>
    <w:rsid w:val="00F41453"/>
    <w:rsid w:val="00F41477"/>
    <w:rsid w:val="00F4156B"/>
    <w:rsid w:val="00F4165C"/>
    <w:rsid w:val="00F41739"/>
    <w:rsid w:val="00F41869"/>
    <w:rsid w:val="00F4186A"/>
    <w:rsid w:val="00F418DC"/>
    <w:rsid w:val="00F419A1"/>
    <w:rsid w:val="00F41A1E"/>
    <w:rsid w:val="00F41A52"/>
    <w:rsid w:val="00F41AC5"/>
    <w:rsid w:val="00F41C2F"/>
    <w:rsid w:val="00F41D76"/>
    <w:rsid w:val="00F41E2A"/>
    <w:rsid w:val="00F41E42"/>
    <w:rsid w:val="00F41E80"/>
    <w:rsid w:val="00F41EBE"/>
    <w:rsid w:val="00F41F8D"/>
    <w:rsid w:val="00F420C8"/>
    <w:rsid w:val="00F42290"/>
    <w:rsid w:val="00F42536"/>
    <w:rsid w:val="00F4256F"/>
    <w:rsid w:val="00F425A8"/>
    <w:rsid w:val="00F425DA"/>
    <w:rsid w:val="00F42700"/>
    <w:rsid w:val="00F427F0"/>
    <w:rsid w:val="00F427FD"/>
    <w:rsid w:val="00F4287D"/>
    <w:rsid w:val="00F4291C"/>
    <w:rsid w:val="00F42B68"/>
    <w:rsid w:val="00F42BA6"/>
    <w:rsid w:val="00F42BCE"/>
    <w:rsid w:val="00F42C4B"/>
    <w:rsid w:val="00F42D0F"/>
    <w:rsid w:val="00F42DA9"/>
    <w:rsid w:val="00F42E69"/>
    <w:rsid w:val="00F42EE9"/>
    <w:rsid w:val="00F4301A"/>
    <w:rsid w:val="00F4325B"/>
    <w:rsid w:val="00F43348"/>
    <w:rsid w:val="00F4338F"/>
    <w:rsid w:val="00F43463"/>
    <w:rsid w:val="00F4348E"/>
    <w:rsid w:val="00F434DE"/>
    <w:rsid w:val="00F4355B"/>
    <w:rsid w:val="00F4367D"/>
    <w:rsid w:val="00F4380B"/>
    <w:rsid w:val="00F43886"/>
    <w:rsid w:val="00F439BC"/>
    <w:rsid w:val="00F439C9"/>
    <w:rsid w:val="00F43A29"/>
    <w:rsid w:val="00F43AB5"/>
    <w:rsid w:val="00F43AC4"/>
    <w:rsid w:val="00F43CD9"/>
    <w:rsid w:val="00F43DE0"/>
    <w:rsid w:val="00F44094"/>
    <w:rsid w:val="00F44339"/>
    <w:rsid w:val="00F4433B"/>
    <w:rsid w:val="00F4445C"/>
    <w:rsid w:val="00F444B3"/>
    <w:rsid w:val="00F445A2"/>
    <w:rsid w:val="00F44726"/>
    <w:rsid w:val="00F44887"/>
    <w:rsid w:val="00F44A07"/>
    <w:rsid w:val="00F44A0E"/>
    <w:rsid w:val="00F44B13"/>
    <w:rsid w:val="00F44BCA"/>
    <w:rsid w:val="00F44CEE"/>
    <w:rsid w:val="00F44E60"/>
    <w:rsid w:val="00F44EC9"/>
    <w:rsid w:val="00F45107"/>
    <w:rsid w:val="00F45160"/>
    <w:rsid w:val="00F45218"/>
    <w:rsid w:val="00F4522B"/>
    <w:rsid w:val="00F45535"/>
    <w:rsid w:val="00F4571F"/>
    <w:rsid w:val="00F4581B"/>
    <w:rsid w:val="00F45971"/>
    <w:rsid w:val="00F45C00"/>
    <w:rsid w:val="00F45C97"/>
    <w:rsid w:val="00F45CB9"/>
    <w:rsid w:val="00F45D34"/>
    <w:rsid w:val="00F45E60"/>
    <w:rsid w:val="00F45FFD"/>
    <w:rsid w:val="00F4615C"/>
    <w:rsid w:val="00F461C1"/>
    <w:rsid w:val="00F4629A"/>
    <w:rsid w:val="00F464A6"/>
    <w:rsid w:val="00F4686F"/>
    <w:rsid w:val="00F468D3"/>
    <w:rsid w:val="00F46927"/>
    <w:rsid w:val="00F469C7"/>
    <w:rsid w:val="00F46AE2"/>
    <w:rsid w:val="00F46B39"/>
    <w:rsid w:val="00F46CBC"/>
    <w:rsid w:val="00F47062"/>
    <w:rsid w:val="00F473C6"/>
    <w:rsid w:val="00F47473"/>
    <w:rsid w:val="00F4771A"/>
    <w:rsid w:val="00F47BA9"/>
    <w:rsid w:val="00F47E15"/>
    <w:rsid w:val="00F5019F"/>
    <w:rsid w:val="00F501D4"/>
    <w:rsid w:val="00F502D4"/>
    <w:rsid w:val="00F504B9"/>
    <w:rsid w:val="00F504F3"/>
    <w:rsid w:val="00F50516"/>
    <w:rsid w:val="00F505A8"/>
    <w:rsid w:val="00F505F3"/>
    <w:rsid w:val="00F50613"/>
    <w:rsid w:val="00F50782"/>
    <w:rsid w:val="00F5088E"/>
    <w:rsid w:val="00F508EF"/>
    <w:rsid w:val="00F50999"/>
    <w:rsid w:val="00F5099E"/>
    <w:rsid w:val="00F50A87"/>
    <w:rsid w:val="00F50AF0"/>
    <w:rsid w:val="00F50B31"/>
    <w:rsid w:val="00F50B36"/>
    <w:rsid w:val="00F50B91"/>
    <w:rsid w:val="00F50B96"/>
    <w:rsid w:val="00F50CB7"/>
    <w:rsid w:val="00F50D15"/>
    <w:rsid w:val="00F50ECB"/>
    <w:rsid w:val="00F50F70"/>
    <w:rsid w:val="00F50F91"/>
    <w:rsid w:val="00F51129"/>
    <w:rsid w:val="00F5123B"/>
    <w:rsid w:val="00F5129D"/>
    <w:rsid w:val="00F51302"/>
    <w:rsid w:val="00F51332"/>
    <w:rsid w:val="00F51396"/>
    <w:rsid w:val="00F516DA"/>
    <w:rsid w:val="00F51950"/>
    <w:rsid w:val="00F51A77"/>
    <w:rsid w:val="00F51AA5"/>
    <w:rsid w:val="00F51B43"/>
    <w:rsid w:val="00F51C6A"/>
    <w:rsid w:val="00F51C8A"/>
    <w:rsid w:val="00F51C95"/>
    <w:rsid w:val="00F51CA1"/>
    <w:rsid w:val="00F51D13"/>
    <w:rsid w:val="00F51DE5"/>
    <w:rsid w:val="00F5212F"/>
    <w:rsid w:val="00F52145"/>
    <w:rsid w:val="00F5224F"/>
    <w:rsid w:val="00F522E8"/>
    <w:rsid w:val="00F523BA"/>
    <w:rsid w:val="00F523BF"/>
    <w:rsid w:val="00F52406"/>
    <w:rsid w:val="00F5255F"/>
    <w:rsid w:val="00F52674"/>
    <w:rsid w:val="00F5276E"/>
    <w:rsid w:val="00F52802"/>
    <w:rsid w:val="00F5285C"/>
    <w:rsid w:val="00F52F39"/>
    <w:rsid w:val="00F5301F"/>
    <w:rsid w:val="00F53237"/>
    <w:rsid w:val="00F53283"/>
    <w:rsid w:val="00F532CE"/>
    <w:rsid w:val="00F5340F"/>
    <w:rsid w:val="00F53450"/>
    <w:rsid w:val="00F53663"/>
    <w:rsid w:val="00F537FB"/>
    <w:rsid w:val="00F5385F"/>
    <w:rsid w:val="00F538BE"/>
    <w:rsid w:val="00F53919"/>
    <w:rsid w:val="00F53C8E"/>
    <w:rsid w:val="00F53CC4"/>
    <w:rsid w:val="00F53D43"/>
    <w:rsid w:val="00F53D7C"/>
    <w:rsid w:val="00F540A4"/>
    <w:rsid w:val="00F543CC"/>
    <w:rsid w:val="00F54483"/>
    <w:rsid w:val="00F54498"/>
    <w:rsid w:val="00F54873"/>
    <w:rsid w:val="00F5493B"/>
    <w:rsid w:val="00F54980"/>
    <w:rsid w:val="00F54A74"/>
    <w:rsid w:val="00F54CC0"/>
    <w:rsid w:val="00F54D50"/>
    <w:rsid w:val="00F55097"/>
    <w:rsid w:val="00F552A1"/>
    <w:rsid w:val="00F55854"/>
    <w:rsid w:val="00F5589A"/>
    <w:rsid w:val="00F558A2"/>
    <w:rsid w:val="00F5590D"/>
    <w:rsid w:val="00F55A1C"/>
    <w:rsid w:val="00F55A50"/>
    <w:rsid w:val="00F55A97"/>
    <w:rsid w:val="00F55B37"/>
    <w:rsid w:val="00F55CEC"/>
    <w:rsid w:val="00F55CF5"/>
    <w:rsid w:val="00F55D1D"/>
    <w:rsid w:val="00F55D3E"/>
    <w:rsid w:val="00F55E26"/>
    <w:rsid w:val="00F5609A"/>
    <w:rsid w:val="00F56181"/>
    <w:rsid w:val="00F56235"/>
    <w:rsid w:val="00F562AC"/>
    <w:rsid w:val="00F5630C"/>
    <w:rsid w:val="00F56332"/>
    <w:rsid w:val="00F5634E"/>
    <w:rsid w:val="00F565E1"/>
    <w:rsid w:val="00F567A0"/>
    <w:rsid w:val="00F56813"/>
    <w:rsid w:val="00F5684F"/>
    <w:rsid w:val="00F5686F"/>
    <w:rsid w:val="00F56963"/>
    <w:rsid w:val="00F56AAB"/>
    <w:rsid w:val="00F56B1F"/>
    <w:rsid w:val="00F56BDF"/>
    <w:rsid w:val="00F56F0C"/>
    <w:rsid w:val="00F56FAE"/>
    <w:rsid w:val="00F57053"/>
    <w:rsid w:val="00F57430"/>
    <w:rsid w:val="00F5747B"/>
    <w:rsid w:val="00F574AB"/>
    <w:rsid w:val="00F574E4"/>
    <w:rsid w:val="00F575A5"/>
    <w:rsid w:val="00F575C4"/>
    <w:rsid w:val="00F57A33"/>
    <w:rsid w:val="00F57B55"/>
    <w:rsid w:val="00F57BEC"/>
    <w:rsid w:val="00F57C15"/>
    <w:rsid w:val="00F57CBF"/>
    <w:rsid w:val="00F57D86"/>
    <w:rsid w:val="00F57DD9"/>
    <w:rsid w:val="00F57E08"/>
    <w:rsid w:val="00F57F4B"/>
    <w:rsid w:val="00F60044"/>
    <w:rsid w:val="00F6009A"/>
    <w:rsid w:val="00F600BC"/>
    <w:rsid w:val="00F601E3"/>
    <w:rsid w:val="00F60257"/>
    <w:rsid w:val="00F608DA"/>
    <w:rsid w:val="00F60959"/>
    <w:rsid w:val="00F60AAB"/>
    <w:rsid w:val="00F60B8D"/>
    <w:rsid w:val="00F60BDE"/>
    <w:rsid w:val="00F60CA1"/>
    <w:rsid w:val="00F60E58"/>
    <w:rsid w:val="00F60E8D"/>
    <w:rsid w:val="00F60ECE"/>
    <w:rsid w:val="00F60F15"/>
    <w:rsid w:val="00F60FFA"/>
    <w:rsid w:val="00F6180A"/>
    <w:rsid w:val="00F6194E"/>
    <w:rsid w:val="00F61963"/>
    <w:rsid w:val="00F61A62"/>
    <w:rsid w:val="00F61A85"/>
    <w:rsid w:val="00F61E92"/>
    <w:rsid w:val="00F61FF5"/>
    <w:rsid w:val="00F6201E"/>
    <w:rsid w:val="00F622C6"/>
    <w:rsid w:val="00F62473"/>
    <w:rsid w:val="00F624DE"/>
    <w:rsid w:val="00F6253E"/>
    <w:rsid w:val="00F62547"/>
    <w:rsid w:val="00F62608"/>
    <w:rsid w:val="00F62647"/>
    <w:rsid w:val="00F62679"/>
    <w:rsid w:val="00F6271D"/>
    <w:rsid w:val="00F6272B"/>
    <w:rsid w:val="00F62730"/>
    <w:rsid w:val="00F627EF"/>
    <w:rsid w:val="00F62998"/>
    <w:rsid w:val="00F62C34"/>
    <w:rsid w:val="00F62D42"/>
    <w:rsid w:val="00F62D59"/>
    <w:rsid w:val="00F62DDB"/>
    <w:rsid w:val="00F62EDF"/>
    <w:rsid w:val="00F63285"/>
    <w:rsid w:val="00F63407"/>
    <w:rsid w:val="00F63428"/>
    <w:rsid w:val="00F63515"/>
    <w:rsid w:val="00F63565"/>
    <w:rsid w:val="00F6361F"/>
    <w:rsid w:val="00F636AC"/>
    <w:rsid w:val="00F639C6"/>
    <w:rsid w:val="00F63B8F"/>
    <w:rsid w:val="00F63CE7"/>
    <w:rsid w:val="00F63CFB"/>
    <w:rsid w:val="00F63DC4"/>
    <w:rsid w:val="00F63F59"/>
    <w:rsid w:val="00F641C3"/>
    <w:rsid w:val="00F6422C"/>
    <w:rsid w:val="00F6456C"/>
    <w:rsid w:val="00F64584"/>
    <w:rsid w:val="00F64745"/>
    <w:rsid w:val="00F64834"/>
    <w:rsid w:val="00F64A79"/>
    <w:rsid w:val="00F64B3B"/>
    <w:rsid w:val="00F64C5E"/>
    <w:rsid w:val="00F64C88"/>
    <w:rsid w:val="00F64D90"/>
    <w:rsid w:val="00F64DB9"/>
    <w:rsid w:val="00F64E0F"/>
    <w:rsid w:val="00F64F3C"/>
    <w:rsid w:val="00F64FA9"/>
    <w:rsid w:val="00F65290"/>
    <w:rsid w:val="00F6534F"/>
    <w:rsid w:val="00F65368"/>
    <w:rsid w:val="00F65395"/>
    <w:rsid w:val="00F65413"/>
    <w:rsid w:val="00F65529"/>
    <w:rsid w:val="00F6564F"/>
    <w:rsid w:val="00F65656"/>
    <w:rsid w:val="00F656A6"/>
    <w:rsid w:val="00F656E3"/>
    <w:rsid w:val="00F65735"/>
    <w:rsid w:val="00F65790"/>
    <w:rsid w:val="00F65803"/>
    <w:rsid w:val="00F65971"/>
    <w:rsid w:val="00F65A32"/>
    <w:rsid w:val="00F65A57"/>
    <w:rsid w:val="00F65A7D"/>
    <w:rsid w:val="00F65AA1"/>
    <w:rsid w:val="00F65B06"/>
    <w:rsid w:val="00F65B15"/>
    <w:rsid w:val="00F65C3C"/>
    <w:rsid w:val="00F65CFF"/>
    <w:rsid w:val="00F65FBC"/>
    <w:rsid w:val="00F661F1"/>
    <w:rsid w:val="00F6628B"/>
    <w:rsid w:val="00F66298"/>
    <w:rsid w:val="00F6629C"/>
    <w:rsid w:val="00F663EB"/>
    <w:rsid w:val="00F6641B"/>
    <w:rsid w:val="00F66617"/>
    <w:rsid w:val="00F666E4"/>
    <w:rsid w:val="00F666F3"/>
    <w:rsid w:val="00F669D5"/>
    <w:rsid w:val="00F66A6F"/>
    <w:rsid w:val="00F66B31"/>
    <w:rsid w:val="00F66B83"/>
    <w:rsid w:val="00F66B91"/>
    <w:rsid w:val="00F66CB0"/>
    <w:rsid w:val="00F66F95"/>
    <w:rsid w:val="00F66FEE"/>
    <w:rsid w:val="00F67020"/>
    <w:rsid w:val="00F67053"/>
    <w:rsid w:val="00F670BB"/>
    <w:rsid w:val="00F6726F"/>
    <w:rsid w:val="00F672FD"/>
    <w:rsid w:val="00F67437"/>
    <w:rsid w:val="00F6758B"/>
    <w:rsid w:val="00F67648"/>
    <w:rsid w:val="00F6770B"/>
    <w:rsid w:val="00F67A8B"/>
    <w:rsid w:val="00F67D55"/>
    <w:rsid w:val="00F67EAF"/>
    <w:rsid w:val="00F67F94"/>
    <w:rsid w:val="00F70106"/>
    <w:rsid w:val="00F70110"/>
    <w:rsid w:val="00F7011F"/>
    <w:rsid w:val="00F70149"/>
    <w:rsid w:val="00F701DC"/>
    <w:rsid w:val="00F70385"/>
    <w:rsid w:val="00F70526"/>
    <w:rsid w:val="00F7069C"/>
    <w:rsid w:val="00F706DE"/>
    <w:rsid w:val="00F707C2"/>
    <w:rsid w:val="00F70830"/>
    <w:rsid w:val="00F70870"/>
    <w:rsid w:val="00F70ACD"/>
    <w:rsid w:val="00F70B26"/>
    <w:rsid w:val="00F70BB5"/>
    <w:rsid w:val="00F70C86"/>
    <w:rsid w:val="00F70D2B"/>
    <w:rsid w:val="00F70D3C"/>
    <w:rsid w:val="00F70D98"/>
    <w:rsid w:val="00F70E68"/>
    <w:rsid w:val="00F70F08"/>
    <w:rsid w:val="00F711DA"/>
    <w:rsid w:val="00F713D8"/>
    <w:rsid w:val="00F71437"/>
    <w:rsid w:val="00F71479"/>
    <w:rsid w:val="00F714B8"/>
    <w:rsid w:val="00F7154A"/>
    <w:rsid w:val="00F717D0"/>
    <w:rsid w:val="00F718A1"/>
    <w:rsid w:val="00F718A2"/>
    <w:rsid w:val="00F71974"/>
    <w:rsid w:val="00F71A2D"/>
    <w:rsid w:val="00F71AAF"/>
    <w:rsid w:val="00F71B9E"/>
    <w:rsid w:val="00F71DFF"/>
    <w:rsid w:val="00F71E9A"/>
    <w:rsid w:val="00F721A0"/>
    <w:rsid w:val="00F721D8"/>
    <w:rsid w:val="00F72207"/>
    <w:rsid w:val="00F722DE"/>
    <w:rsid w:val="00F7234B"/>
    <w:rsid w:val="00F72587"/>
    <w:rsid w:val="00F72632"/>
    <w:rsid w:val="00F72672"/>
    <w:rsid w:val="00F72745"/>
    <w:rsid w:val="00F729AD"/>
    <w:rsid w:val="00F72A0D"/>
    <w:rsid w:val="00F72A80"/>
    <w:rsid w:val="00F72B0A"/>
    <w:rsid w:val="00F72C91"/>
    <w:rsid w:val="00F72C93"/>
    <w:rsid w:val="00F72CFD"/>
    <w:rsid w:val="00F72E41"/>
    <w:rsid w:val="00F72F14"/>
    <w:rsid w:val="00F731F4"/>
    <w:rsid w:val="00F73223"/>
    <w:rsid w:val="00F732D3"/>
    <w:rsid w:val="00F732F8"/>
    <w:rsid w:val="00F733CA"/>
    <w:rsid w:val="00F733EB"/>
    <w:rsid w:val="00F7350B"/>
    <w:rsid w:val="00F735BA"/>
    <w:rsid w:val="00F73671"/>
    <w:rsid w:val="00F736F7"/>
    <w:rsid w:val="00F73844"/>
    <w:rsid w:val="00F7385D"/>
    <w:rsid w:val="00F738FA"/>
    <w:rsid w:val="00F73911"/>
    <w:rsid w:val="00F73AAB"/>
    <w:rsid w:val="00F73CF9"/>
    <w:rsid w:val="00F73D66"/>
    <w:rsid w:val="00F73E31"/>
    <w:rsid w:val="00F73E5A"/>
    <w:rsid w:val="00F74000"/>
    <w:rsid w:val="00F741DB"/>
    <w:rsid w:val="00F74219"/>
    <w:rsid w:val="00F74288"/>
    <w:rsid w:val="00F74294"/>
    <w:rsid w:val="00F746B3"/>
    <w:rsid w:val="00F746DB"/>
    <w:rsid w:val="00F74758"/>
    <w:rsid w:val="00F7475B"/>
    <w:rsid w:val="00F747CA"/>
    <w:rsid w:val="00F74836"/>
    <w:rsid w:val="00F74903"/>
    <w:rsid w:val="00F74A58"/>
    <w:rsid w:val="00F74AD9"/>
    <w:rsid w:val="00F74B4B"/>
    <w:rsid w:val="00F74B95"/>
    <w:rsid w:val="00F74C1C"/>
    <w:rsid w:val="00F74CB4"/>
    <w:rsid w:val="00F74CDB"/>
    <w:rsid w:val="00F74E9F"/>
    <w:rsid w:val="00F754C2"/>
    <w:rsid w:val="00F754CE"/>
    <w:rsid w:val="00F75631"/>
    <w:rsid w:val="00F75638"/>
    <w:rsid w:val="00F75843"/>
    <w:rsid w:val="00F75893"/>
    <w:rsid w:val="00F759F7"/>
    <w:rsid w:val="00F75A5A"/>
    <w:rsid w:val="00F75B9B"/>
    <w:rsid w:val="00F75C6F"/>
    <w:rsid w:val="00F75D28"/>
    <w:rsid w:val="00F75D2A"/>
    <w:rsid w:val="00F75DF9"/>
    <w:rsid w:val="00F75E7E"/>
    <w:rsid w:val="00F75F25"/>
    <w:rsid w:val="00F760F3"/>
    <w:rsid w:val="00F76144"/>
    <w:rsid w:val="00F76191"/>
    <w:rsid w:val="00F7621D"/>
    <w:rsid w:val="00F76275"/>
    <w:rsid w:val="00F76460"/>
    <w:rsid w:val="00F7673C"/>
    <w:rsid w:val="00F768E3"/>
    <w:rsid w:val="00F76958"/>
    <w:rsid w:val="00F769C7"/>
    <w:rsid w:val="00F76A76"/>
    <w:rsid w:val="00F76A7A"/>
    <w:rsid w:val="00F76A87"/>
    <w:rsid w:val="00F76B3A"/>
    <w:rsid w:val="00F76B6B"/>
    <w:rsid w:val="00F76C48"/>
    <w:rsid w:val="00F76D58"/>
    <w:rsid w:val="00F76F72"/>
    <w:rsid w:val="00F7702A"/>
    <w:rsid w:val="00F770C0"/>
    <w:rsid w:val="00F770C5"/>
    <w:rsid w:val="00F7739C"/>
    <w:rsid w:val="00F77498"/>
    <w:rsid w:val="00F7768A"/>
    <w:rsid w:val="00F776B4"/>
    <w:rsid w:val="00F77763"/>
    <w:rsid w:val="00F778F5"/>
    <w:rsid w:val="00F779C9"/>
    <w:rsid w:val="00F77C36"/>
    <w:rsid w:val="00F77CEB"/>
    <w:rsid w:val="00F8005A"/>
    <w:rsid w:val="00F800B8"/>
    <w:rsid w:val="00F80131"/>
    <w:rsid w:val="00F801DF"/>
    <w:rsid w:val="00F80208"/>
    <w:rsid w:val="00F8031E"/>
    <w:rsid w:val="00F80496"/>
    <w:rsid w:val="00F804A3"/>
    <w:rsid w:val="00F805EC"/>
    <w:rsid w:val="00F8061F"/>
    <w:rsid w:val="00F80640"/>
    <w:rsid w:val="00F80662"/>
    <w:rsid w:val="00F80675"/>
    <w:rsid w:val="00F806F7"/>
    <w:rsid w:val="00F807B9"/>
    <w:rsid w:val="00F80866"/>
    <w:rsid w:val="00F80A30"/>
    <w:rsid w:val="00F80A88"/>
    <w:rsid w:val="00F80B21"/>
    <w:rsid w:val="00F80B4E"/>
    <w:rsid w:val="00F80C7F"/>
    <w:rsid w:val="00F80E7E"/>
    <w:rsid w:val="00F80EFA"/>
    <w:rsid w:val="00F80F5A"/>
    <w:rsid w:val="00F80F6B"/>
    <w:rsid w:val="00F8112B"/>
    <w:rsid w:val="00F8115A"/>
    <w:rsid w:val="00F81226"/>
    <w:rsid w:val="00F81498"/>
    <w:rsid w:val="00F81858"/>
    <w:rsid w:val="00F81953"/>
    <w:rsid w:val="00F819EF"/>
    <w:rsid w:val="00F81B40"/>
    <w:rsid w:val="00F81C24"/>
    <w:rsid w:val="00F81DCC"/>
    <w:rsid w:val="00F81E0E"/>
    <w:rsid w:val="00F81E6D"/>
    <w:rsid w:val="00F81F72"/>
    <w:rsid w:val="00F8208A"/>
    <w:rsid w:val="00F8221C"/>
    <w:rsid w:val="00F822E4"/>
    <w:rsid w:val="00F82308"/>
    <w:rsid w:val="00F8239A"/>
    <w:rsid w:val="00F823F5"/>
    <w:rsid w:val="00F823FD"/>
    <w:rsid w:val="00F824BE"/>
    <w:rsid w:val="00F824FC"/>
    <w:rsid w:val="00F82536"/>
    <w:rsid w:val="00F826A2"/>
    <w:rsid w:val="00F8277A"/>
    <w:rsid w:val="00F82943"/>
    <w:rsid w:val="00F829AB"/>
    <w:rsid w:val="00F829BD"/>
    <w:rsid w:val="00F82BF6"/>
    <w:rsid w:val="00F82C22"/>
    <w:rsid w:val="00F82CAE"/>
    <w:rsid w:val="00F82D98"/>
    <w:rsid w:val="00F82EE9"/>
    <w:rsid w:val="00F82F21"/>
    <w:rsid w:val="00F83012"/>
    <w:rsid w:val="00F831A6"/>
    <w:rsid w:val="00F83379"/>
    <w:rsid w:val="00F833A4"/>
    <w:rsid w:val="00F8353A"/>
    <w:rsid w:val="00F83652"/>
    <w:rsid w:val="00F836B6"/>
    <w:rsid w:val="00F837A3"/>
    <w:rsid w:val="00F83843"/>
    <w:rsid w:val="00F8386F"/>
    <w:rsid w:val="00F8399B"/>
    <w:rsid w:val="00F83AA9"/>
    <w:rsid w:val="00F83B2A"/>
    <w:rsid w:val="00F83C2D"/>
    <w:rsid w:val="00F83D29"/>
    <w:rsid w:val="00F83D67"/>
    <w:rsid w:val="00F83D92"/>
    <w:rsid w:val="00F83E71"/>
    <w:rsid w:val="00F83EB1"/>
    <w:rsid w:val="00F84098"/>
    <w:rsid w:val="00F840E9"/>
    <w:rsid w:val="00F84207"/>
    <w:rsid w:val="00F84286"/>
    <w:rsid w:val="00F84330"/>
    <w:rsid w:val="00F84437"/>
    <w:rsid w:val="00F8474F"/>
    <w:rsid w:val="00F84801"/>
    <w:rsid w:val="00F848BB"/>
    <w:rsid w:val="00F848F9"/>
    <w:rsid w:val="00F84923"/>
    <w:rsid w:val="00F84A05"/>
    <w:rsid w:val="00F84AEE"/>
    <w:rsid w:val="00F84C5D"/>
    <w:rsid w:val="00F84C78"/>
    <w:rsid w:val="00F84D3B"/>
    <w:rsid w:val="00F84E79"/>
    <w:rsid w:val="00F8509C"/>
    <w:rsid w:val="00F853D8"/>
    <w:rsid w:val="00F85435"/>
    <w:rsid w:val="00F854C1"/>
    <w:rsid w:val="00F8553A"/>
    <w:rsid w:val="00F8555A"/>
    <w:rsid w:val="00F856A1"/>
    <w:rsid w:val="00F85721"/>
    <w:rsid w:val="00F857D3"/>
    <w:rsid w:val="00F857DB"/>
    <w:rsid w:val="00F858D9"/>
    <w:rsid w:val="00F859BB"/>
    <w:rsid w:val="00F85A6F"/>
    <w:rsid w:val="00F85AC5"/>
    <w:rsid w:val="00F85B1B"/>
    <w:rsid w:val="00F85CE5"/>
    <w:rsid w:val="00F85EB7"/>
    <w:rsid w:val="00F85EE1"/>
    <w:rsid w:val="00F85EE8"/>
    <w:rsid w:val="00F85F5C"/>
    <w:rsid w:val="00F85F67"/>
    <w:rsid w:val="00F85F71"/>
    <w:rsid w:val="00F85FE6"/>
    <w:rsid w:val="00F86028"/>
    <w:rsid w:val="00F860CF"/>
    <w:rsid w:val="00F860DC"/>
    <w:rsid w:val="00F86101"/>
    <w:rsid w:val="00F8614E"/>
    <w:rsid w:val="00F8626D"/>
    <w:rsid w:val="00F86280"/>
    <w:rsid w:val="00F86304"/>
    <w:rsid w:val="00F863A8"/>
    <w:rsid w:val="00F863AA"/>
    <w:rsid w:val="00F86519"/>
    <w:rsid w:val="00F865EE"/>
    <w:rsid w:val="00F86648"/>
    <w:rsid w:val="00F8668F"/>
    <w:rsid w:val="00F866F4"/>
    <w:rsid w:val="00F86799"/>
    <w:rsid w:val="00F8685E"/>
    <w:rsid w:val="00F868B9"/>
    <w:rsid w:val="00F86903"/>
    <w:rsid w:val="00F869BC"/>
    <w:rsid w:val="00F86AEE"/>
    <w:rsid w:val="00F86B66"/>
    <w:rsid w:val="00F86D19"/>
    <w:rsid w:val="00F86DA5"/>
    <w:rsid w:val="00F86F1F"/>
    <w:rsid w:val="00F86F78"/>
    <w:rsid w:val="00F87290"/>
    <w:rsid w:val="00F8735D"/>
    <w:rsid w:val="00F87462"/>
    <w:rsid w:val="00F87551"/>
    <w:rsid w:val="00F877FF"/>
    <w:rsid w:val="00F87858"/>
    <w:rsid w:val="00F879B7"/>
    <w:rsid w:val="00F879DA"/>
    <w:rsid w:val="00F87C75"/>
    <w:rsid w:val="00F87C9F"/>
    <w:rsid w:val="00F87CCC"/>
    <w:rsid w:val="00F87FD9"/>
    <w:rsid w:val="00F90012"/>
    <w:rsid w:val="00F9010C"/>
    <w:rsid w:val="00F902DB"/>
    <w:rsid w:val="00F90311"/>
    <w:rsid w:val="00F9036D"/>
    <w:rsid w:val="00F90537"/>
    <w:rsid w:val="00F9060C"/>
    <w:rsid w:val="00F9064E"/>
    <w:rsid w:val="00F90685"/>
    <w:rsid w:val="00F90786"/>
    <w:rsid w:val="00F90901"/>
    <w:rsid w:val="00F90B50"/>
    <w:rsid w:val="00F90D1E"/>
    <w:rsid w:val="00F90E5B"/>
    <w:rsid w:val="00F90E69"/>
    <w:rsid w:val="00F91011"/>
    <w:rsid w:val="00F91097"/>
    <w:rsid w:val="00F9112F"/>
    <w:rsid w:val="00F9143C"/>
    <w:rsid w:val="00F9170D"/>
    <w:rsid w:val="00F917A0"/>
    <w:rsid w:val="00F918D3"/>
    <w:rsid w:val="00F919CA"/>
    <w:rsid w:val="00F91A2D"/>
    <w:rsid w:val="00F91AD1"/>
    <w:rsid w:val="00F91B91"/>
    <w:rsid w:val="00F91C9C"/>
    <w:rsid w:val="00F91D91"/>
    <w:rsid w:val="00F91EB0"/>
    <w:rsid w:val="00F91F27"/>
    <w:rsid w:val="00F91F45"/>
    <w:rsid w:val="00F92056"/>
    <w:rsid w:val="00F920C9"/>
    <w:rsid w:val="00F92366"/>
    <w:rsid w:val="00F923F4"/>
    <w:rsid w:val="00F92539"/>
    <w:rsid w:val="00F926E2"/>
    <w:rsid w:val="00F92734"/>
    <w:rsid w:val="00F92A7D"/>
    <w:rsid w:val="00F92A7F"/>
    <w:rsid w:val="00F92E15"/>
    <w:rsid w:val="00F92EE8"/>
    <w:rsid w:val="00F930A1"/>
    <w:rsid w:val="00F9323B"/>
    <w:rsid w:val="00F932D3"/>
    <w:rsid w:val="00F935A7"/>
    <w:rsid w:val="00F936A6"/>
    <w:rsid w:val="00F936A8"/>
    <w:rsid w:val="00F93824"/>
    <w:rsid w:val="00F9391D"/>
    <w:rsid w:val="00F93B52"/>
    <w:rsid w:val="00F93CED"/>
    <w:rsid w:val="00F93D18"/>
    <w:rsid w:val="00F93D8D"/>
    <w:rsid w:val="00F93ECD"/>
    <w:rsid w:val="00F93F47"/>
    <w:rsid w:val="00F94156"/>
    <w:rsid w:val="00F941B9"/>
    <w:rsid w:val="00F94347"/>
    <w:rsid w:val="00F94368"/>
    <w:rsid w:val="00F94375"/>
    <w:rsid w:val="00F943F7"/>
    <w:rsid w:val="00F94423"/>
    <w:rsid w:val="00F945EB"/>
    <w:rsid w:val="00F945ED"/>
    <w:rsid w:val="00F946F1"/>
    <w:rsid w:val="00F9472E"/>
    <w:rsid w:val="00F9478E"/>
    <w:rsid w:val="00F947CD"/>
    <w:rsid w:val="00F947EB"/>
    <w:rsid w:val="00F9491A"/>
    <w:rsid w:val="00F9494C"/>
    <w:rsid w:val="00F94A0E"/>
    <w:rsid w:val="00F94A2A"/>
    <w:rsid w:val="00F94A96"/>
    <w:rsid w:val="00F94C8B"/>
    <w:rsid w:val="00F94EC4"/>
    <w:rsid w:val="00F94F5F"/>
    <w:rsid w:val="00F94F9B"/>
    <w:rsid w:val="00F94FFD"/>
    <w:rsid w:val="00F950A4"/>
    <w:rsid w:val="00F950C0"/>
    <w:rsid w:val="00F95148"/>
    <w:rsid w:val="00F95201"/>
    <w:rsid w:val="00F95255"/>
    <w:rsid w:val="00F95358"/>
    <w:rsid w:val="00F95625"/>
    <w:rsid w:val="00F95661"/>
    <w:rsid w:val="00F95757"/>
    <w:rsid w:val="00F958D7"/>
    <w:rsid w:val="00F9595C"/>
    <w:rsid w:val="00F9598C"/>
    <w:rsid w:val="00F959F8"/>
    <w:rsid w:val="00F95A03"/>
    <w:rsid w:val="00F95A50"/>
    <w:rsid w:val="00F95A82"/>
    <w:rsid w:val="00F95A83"/>
    <w:rsid w:val="00F95AF7"/>
    <w:rsid w:val="00F95B49"/>
    <w:rsid w:val="00F95C78"/>
    <w:rsid w:val="00F95CCB"/>
    <w:rsid w:val="00F95D7C"/>
    <w:rsid w:val="00F95DC8"/>
    <w:rsid w:val="00F95E12"/>
    <w:rsid w:val="00F95F04"/>
    <w:rsid w:val="00F96016"/>
    <w:rsid w:val="00F962C0"/>
    <w:rsid w:val="00F964F9"/>
    <w:rsid w:val="00F965D3"/>
    <w:rsid w:val="00F96722"/>
    <w:rsid w:val="00F96991"/>
    <w:rsid w:val="00F96B27"/>
    <w:rsid w:val="00F96E89"/>
    <w:rsid w:val="00F96F5A"/>
    <w:rsid w:val="00F96F93"/>
    <w:rsid w:val="00F9701D"/>
    <w:rsid w:val="00F971B0"/>
    <w:rsid w:val="00F971B4"/>
    <w:rsid w:val="00F9733D"/>
    <w:rsid w:val="00F97367"/>
    <w:rsid w:val="00F97644"/>
    <w:rsid w:val="00F97691"/>
    <w:rsid w:val="00F97A23"/>
    <w:rsid w:val="00F97A46"/>
    <w:rsid w:val="00F97A61"/>
    <w:rsid w:val="00F97AE5"/>
    <w:rsid w:val="00F97CB8"/>
    <w:rsid w:val="00F97D55"/>
    <w:rsid w:val="00F97DA2"/>
    <w:rsid w:val="00F97EAF"/>
    <w:rsid w:val="00F97F18"/>
    <w:rsid w:val="00F97F4E"/>
    <w:rsid w:val="00F97F6A"/>
    <w:rsid w:val="00F97FBA"/>
    <w:rsid w:val="00FA016C"/>
    <w:rsid w:val="00FA0471"/>
    <w:rsid w:val="00FA0576"/>
    <w:rsid w:val="00FA057F"/>
    <w:rsid w:val="00FA0597"/>
    <w:rsid w:val="00FA06E8"/>
    <w:rsid w:val="00FA07BB"/>
    <w:rsid w:val="00FA0840"/>
    <w:rsid w:val="00FA0D3E"/>
    <w:rsid w:val="00FA0DCA"/>
    <w:rsid w:val="00FA0DFB"/>
    <w:rsid w:val="00FA0E59"/>
    <w:rsid w:val="00FA10E3"/>
    <w:rsid w:val="00FA11EE"/>
    <w:rsid w:val="00FA15C8"/>
    <w:rsid w:val="00FA1640"/>
    <w:rsid w:val="00FA16C1"/>
    <w:rsid w:val="00FA16EA"/>
    <w:rsid w:val="00FA17CA"/>
    <w:rsid w:val="00FA19B5"/>
    <w:rsid w:val="00FA1A63"/>
    <w:rsid w:val="00FA1BE2"/>
    <w:rsid w:val="00FA1C28"/>
    <w:rsid w:val="00FA1E45"/>
    <w:rsid w:val="00FA205E"/>
    <w:rsid w:val="00FA210C"/>
    <w:rsid w:val="00FA21BA"/>
    <w:rsid w:val="00FA21D5"/>
    <w:rsid w:val="00FA22BA"/>
    <w:rsid w:val="00FA252A"/>
    <w:rsid w:val="00FA25AA"/>
    <w:rsid w:val="00FA266A"/>
    <w:rsid w:val="00FA2804"/>
    <w:rsid w:val="00FA2841"/>
    <w:rsid w:val="00FA2BE3"/>
    <w:rsid w:val="00FA2C12"/>
    <w:rsid w:val="00FA2C5D"/>
    <w:rsid w:val="00FA2D86"/>
    <w:rsid w:val="00FA2ED5"/>
    <w:rsid w:val="00FA2F33"/>
    <w:rsid w:val="00FA3154"/>
    <w:rsid w:val="00FA3278"/>
    <w:rsid w:val="00FA3286"/>
    <w:rsid w:val="00FA3317"/>
    <w:rsid w:val="00FA342B"/>
    <w:rsid w:val="00FA3430"/>
    <w:rsid w:val="00FA348C"/>
    <w:rsid w:val="00FA36CF"/>
    <w:rsid w:val="00FA372A"/>
    <w:rsid w:val="00FA381D"/>
    <w:rsid w:val="00FA3836"/>
    <w:rsid w:val="00FA399A"/>
    <w:rsid w:val="00FA39A8"/>
    <w:rsid w:val="00FA39D5"/>
    <w:rsid w:val="00FA3A55"/>
    <w:rsid w:val="00FA3C4B"/>
    <w:rsid w:val="00FA3D75"/>
    <w:rsid w:val="00FA3D87"/>
    <w:rsid w:val="00FA3EBD"/>
    <w:rsid w:val="00FA3F2C"/>
    <w:rsid w:val="00FA4023"/>
    <w:rsid w:val="00FA42FA"/>
    <w:rsid w:val="00FA44AA"/>
    <w:rsid w:val="00FA463F"/>
    <w:rsid w:val="00FA4753"/>
    <w:rsid w:val="00FA47D4"/>
    <w:rsid w:val="00FA48B3"/>
    <w:rsid w:val="00FA4A0D"/>
    <w:rsid w:val="00FA4A76"/>
    <w:rsid w:val="00FA4AED"/>
    <w:rsid w:val="00FA4AFE"/>
    <w:rsid w:val="00FA4B3E"/>
    <w:rsid w:val="00FA4B4F"/>
    <w:rsid w:val="00FA4B88"/>
    <w:rsid w:val="00FA4C57"/>
    <w:rsid w:val="00FA4E72"/>
    <w:rsid w:val="00FA4F0F"/>
    <w:rsid w:val="00FA4F25"/>
    <w:rsid w:val="00FA5020"/>
    <w:rsid w:val="00FA5086"/>
    <w:rsid w:val="00FA515B"/>
    <w:rsid w:val="00FA5271"/>
    <w:rsid w:val="00FA53D8"/>
    <w:rsid w:val="00FA54D6"/>
    <w:rsid w:val="00FA563D"/>
    <w:rsid w:val="00FA5721"/>
    <w:rsid w:val="00FA579A"/>
    <w:rsid w:val="00FA57DC"/>
    <w:rsid w:val="00FA5A90"/>
    <w:rsid w:val="00FA5ABC"/>
    <w:rsid w:val="00FA5BBE"/>
    <w:rsid w:val="00FA5C4C"/>
    <w:rsid w:val="00FA5DD7"/>
    <w:rsid w:val="00FA5DE1"/>
    <w:rsid w:val="00FA5F28"/>
    <w:rsid w:val="00FA5F7E"/>
    <w:rsid w:val="00FA5FAE"/>
    <w:rsid w:val="00FA60F2"/>
    <w:rsid w:val="00FA61FA"/>
    <w:rsid w:val="00FA6201"/>
    <w:rsid w:val="00FA645E"/>
    <w:rsid w:val="00FA6674"/>
    <w:rsid w:val="00FA6778"/>
    <w:rsid w:val="00FA6792"/>
    <w:rsid w:val="00FA679E"/>
    <w:rsid w:val="00FA67ED"/>
    <w:rsid w:val="00FA68A9"/>
    <w:rsid w:val="00FA692F"/>
    <w:rsid w:val="00FA6961"/>
    <w:rsid w:val="00FA6A08"/>
    <w:rsid w:val="00FA6A31"/>
    <w:rsid w:val="00FA6A7C"/>
    <w:rsid w:val="00FA6DCA"/>
    <w:rsid w:val="00FA6F07"/>
    <w:rsid w:val="00FA6F37"/>
    <w:rsid w:val="00FA75B4"/>
    <w:rsid w:val="00FA7643"/>
    <w:rsid w:val="00FA786A"/>
    <w:rsid w:val="00FA7978"/>
    <w:rsid w:val="00FA7C3B"/>
    <w:rsid w:val="00FA7D44"/>
    <w:rsid w:val="00FA7D66"/>
    <w:rsid w:val="00FA7E52"/>
    <w:rsid w:val="00FA7EB1"/>
    <w:rsid w:val="00FA7EDF"/>
    <w:rsid w:val="00FA7F20"/>
    <w:rsid w:val="00FB011C"/>
    <w:rsid w:val="00FB0185"/>
    <w:rsid w:val="00FB027A"/>
    <w:rsid w:val="00FB045B"/>
    <w:rsid w:val="00FB045F"/>
    <w:rsid w:val="00FB05BE"/>
    <w:rsid w:val="00FB07AD"/>
    <w:rsid w:val="00FB0A85"/>
    <w:rsid w:val="00FB0AD8"/>
    <w:rsid w:val="00FB0BA5"/>
    <w:rsid w:val="00FB0C38"/>
    <w:rsid w:val="00FB0CC8"/>
    <w:rsid w:val="00FB0D03"/>
    <w:rsid w:val="00FB0E05"/>
    <w:rsid w:val="00FB0E88"/>
    <w:rsid w:val="00FB1054"/>
    <w:rsid w:val="00FB10B0"/>
    <w:rsid w:val="00FB1133"/>
    <w:rsid w:val="00FB127E"/>
    <w:rsid w:val="00FB12DE"/>
    <w:rsid w:val="00FB134C"/>
    <w:rsid w:val="00FB1464"/>
    <w:rsid w:val="00FB1675"/>
    <w:rsid w:val="00FB168A"/>
    <w:rsid w:val="00FB16A9"/>
    <w:rsid w:val="00FB16F0"/>
    <w:rsid w:val="00FB188C"/>
    <w:rsid w:val="00FB189C"/>
    <w:rsid w:val="00FB190C"/>
    <w:rsid w:val="00FB1A3B"/>
    <w:rsid w:val="00FB1DFF"/>
    <w:rsid w:val="00FB1F49"/>
    <w:rsid w:val="00FB2009"/>
    <w:rsid w:val="00FB20E7"/>
    <w:rsid w:val="00FB2129"/>
    <w:rsid w:val="00FB21FF"/>
    <w:rsid w:val="00FB22DF"/>
    <w:rsid w:val="00FB2506"/>
    <w:rsid w:val="00FB26BA"/>
    <w:rsid w:val="00FB26FF"/>
    <w:rsid w:val="00FB2865"/>
    <w:rsid w:val="00FB28C8"/>
    <w:rsid w:val="00FB2AC3"/>
    <w:rsid w:val="00FB2B49"/>
    <w:rsid w:val="00FB2C74"/>
    <w:rsid w:val="00FB2DBC"/>
    <w:rsid w:val="00FB2E17"/>
    <w:rsid w:val="00FB2E47"/>
    <w:rsid w:val="00FB30A4"/>
    <w:rsid w:val="00FB31CB"/>
    <w:rsid w:val="00FB35D8"/>
    <w:rsid w:val="00FB363C"/>
    <w:rsid w:val="00FB3802"/>
    <w:rsid w:val="00FB3858"/>
    <w:rsid w:val="00FB38BA"/>
    <w:rsid w:val="00FB39A6"/>
    <w:rsid w:val="00FB39F1"/>
    <w:rsid w:val="00FB3A93"/>
    <w:rsid w:val="00FB3BFB"/>
    <w:rsid w:val="00FB3C2D"/>
    <w:rsid w:val="00FB3D71"/>
    <w:rsid w:val="00FB3F00"/>
    <w:rsid w:val="00FB404B"/>
    <w:rsid w:val="00FB44A6"/>
    <w:rsid w:val="00FB45E7"/>
    <w:rsid w:val="00FB4820"/>
    <w:rsid w:val="00FB4962"/>
    <w:rsid w:val="00FB4A29"/>
    <w:rsid w:val="00FB4AEA"/>
    <w:rsid w:val="00FB4BB5"/>
    <w:rsid w:val="00FB4C1F"/>
    <w:rsid w:val="00FB4C99"/>
    <w:rsid w:val="00FB4D6C"/>
    <w:rsid w:val="00FB4DBB"/>
    <w:rsid w:val="00FB4ED0"/>
    <w:rsid w:val="00FB4EF3"/>
    <w:rsid w:val="00FB4F49"/>
    <w:rsid w:val="00FB51A7"/>
    <w:rsid w:val="00FB5236"/>
    <w:rsid w:val="00FB531D"/>
    <w:rsid w:val="00FB545F"/>
    <w:rsid w:val="00FB547E"/>
    <w:rsid w:val="00FB5517"/>
    <w:rsid w:val="00FB5526"/>
    <w:rsid w:val="00FB552F"/>
    <w:rsid w:val="00FB5530"/>
    <w:rsid w:val="00FB559A"/>
    <w:rsid w:val="00FB55DE"/>
    <w:rsid w:val="00FB5635"/>
    <w:rsid w:val="00FB5659"/>
    <w:rsid w:val="00FB5753"/>
    <w:rsid w:val="00FB581C"/>
    <w:rsid w:val="00FB58C0"/>
    <w:rsid w:val="00FB5926"/>
    <w:rsid w:val="00FB59C2"/>
    <w:rsid w:val="00FB59EC"/>
    <w:rsid w:val="00FB5A71"/>
    <w:rsid w:val="00FB5B42"/>
    <w:rsid w:val="00FB5C7D"/>
    <w:rsid w:val="00FB5C80"/>
    <w:rsid w:val="00FB5D78"/>
    <w:rsid w:val="00FB5D90"/>
    <w:rsid w:val="00FB5E1E"/>
    <w:rsid w:val="00FB5F97"/>
    <w:rsid w:val="00FB6254"/>
    <w:rsid w:val="00FB6384"/>
    <w:rsid w:val="00FB64FC"/>
    <w:rsid w:val="00FB6673"/>
    <w:rsid w:val="00FB66D9"/>
    <w:rsid w:val="00FB66E4"/>
    <w:rsid w:val="00FB6A54"/>
    <w:rsid w:val="00FB6C5B"/>
    <w:rsid w:val="00FB6D51"/>
    <w:rsid w:val="00FB6E68"/>
    <w:rsid w:val="00FB6F6D"/>
    <w:rsid w:val="00FB7053"/>
    <w:rsid w:val="00FB706A"/>
    <w:rsid w:val="00FB7337"/>
    <w:rsid w:val="00FB735A"/>
    <w:rsid w:val="00FB7437"/>
    <w:rsid w:val="00FB748F"/>
    <w:rsid w:val="00FB7622"/>
    <w:rsid w:val="00FB7806"/>
    <w:rsid w:val="00FB792A"/>
    <w:rsid w:val="00FB79C2"/>
    <w:rsid w:val="00FB79FE"/>
    <w:rsid w:val="00FB7A57"/>
    <w:rsid w:val="00FB7ACD"/>
    <w:rsid w:val="00FB7B0F"/>
    <w:rsid w:val="00FB7D3F"/>
    <w:rsid w:val="00FB7E90"/>
    <w:rsid w:val="00FC023D"/>
    <w:rsid w:val="00FC0385"/>
    <w:rsid w:val="00FC04CA"/>
    <w:rsid w:val="00FC063F"/>
    <w:rsid w:val="00FC0665"/>
    <w:rsid w:val="00FC07E9"/>
    <w:rsid w:val="00FC0AE4"/>
    <w:rsid w:val="00FC0B3A"/>
    <w:rsid w:val="00FC0BC4"/>
    <w:rsid w:val="00FC0BFA"/>
    <w:rsid w:val="00FC0EC1"/>
    <w:rsid w:val="00FC0F30"/>
    <w:rsid w:val="00FC104B"/>
    <w:rsid w:val="00FC11B4"/>
    <w:rsid w:val="00FC12EE"/>
    <w:rsid w:val="00FC13AD"/>
    <w:rsid w:val="00FC13E5"/>
    <w:rsid w:val="00FC14C3"/>
    <w:rsid w:val="00FC1510"/>
    <w:rsid w:val="00FC1619"/>
    <w:rsid w:val="00FC1633"/>
    <w:rsid w:val="00FC1687"/>
    <w:rsid w:val="00FC1717"/>
    <w:rsid w:val="00FC1781"/>
    <w:rsid w:val="00FC1792"/>
    <w:rsid w:val="00FC195C"/>
    <w:rsid w:val="00FC19F2"/>
    <w:rsid w:val="00FC1A06"/>
    <w:rsid w:val="00FC1B09"/>
    <w:rsid w:val="00FC1B86"/>
    <w:rsid w:val="00FC1BA3"/>
    <w:rsid w:val="00FC1D33"/>
    <w:rsid w:val="00FC1FFE"/>
    <w:rsid w:val="00FC2001"/>
    <w:rsid w:val="00FC2004"/>
    <w:rsid w:val="00FC2007"/>
    <w:rsid w:val="00FC2189"/>
    <w:rsid w:val="00FC21E3"/>
    <w:rsid w:val="00FC21E8"/>
    <w:rsid w:val="00FC2262"/>
    <w:rsid w:val="00FC22D5"/>
    <w:rsid w:val="00FC244B"/>
    <w:rsid w:val="00FC246E"/>
    <w:rsid w:val="00FC25BB"/>
    <w:rsid w:val="00FC28B1"/>
    <w:rsid w:val="00FC2974"/>
    <w:rsid w:val="00FC2EC7"/>
    <w:rsid w:val="00FC2F48"/>
    <w:rsid w:val="00FC3129"/>
    <w:rsid w:val="00FC3557"/>
    <w:rsid w:val="00FC35D1"/>
    <w:rsid w:val="00FC36EE"/>
    <w:rsid w:val="00FC3731"/>
    <w:rsid w:val="00FC3A39"/>
    <w:rsid w:val="00FC3BA2"/>
    <w:rsid w:val="00FC3BED"/>
    <w:rsid w:val="00FC3DD8"/>
    <w:rsid w:val="00FC3DFF"/>
    <w:rsid w:val="00FC3E97"/>
    <w:rsid w:val="00FC3F97"/>
    <w:rsid w:val="00FC40AE"/>
    <w:rsid w:val="00FC42CA"/>
    <w:rsid w:val="00FC43D1"/>
    <w:rsid w:val="00FC458F"/>
    <w:rsid w:val="00FC45A5"/>
    <w:rsid w:val="00FC45B1"/>
    <w:rsid w:val="00FC46CA"/>
    <w:rsid w:val="00FC47DF"/>
    <w:rsid w:val="00FC49C8"/>
    <w:rsid w:val="00FC4BE4"/>
    <w:rsid w:val="00FC4C6A"/>
    <w:rsid w:val="00FC4CF8"/>
    <w:rsid w:val="00FC4DBB"/>
    <w:rsid w:val="00FC5031"/>
    <w:rsid w:val="00FC50BD"/>
    <w:rsid w:val="00FC5122"/>
    <w:rsid w:val="00FC51C9"/>
    <w:rsid w:val="00FC5272"/>
    <w:rsid w:val="00FC531B"/>
    <w:rsid w:val="00FC535E"/>
    <w:rsid w:val="00FC55D3"/>
    <w:rsid w:val="00FC5701"/>
    <w:rsid w:val="00FC5757"/>
    <w:rsid w:val="00FC576A"/>
    <w:rsid w:val="00FC57B0"/>
    <w:rsid w:val="00FC588F"/>
    <w:rsid w:val="00FC59AD"/>
    <w:rsid w:val="00FC5AED"/>
    <w:rsid w:val="00FC5EF3"/>
    <w:rsid w:val="00FC60FE"/>
    <w:rsid w:val="00FC65F5"/>
    <w:rsid w:val="00FC66F6"/>
    <w:rsid w:val="00FC671C"/>
    <w:rsid w:val="00FC6953"/>
    <w:rsid w:val="00FC6E08"/>
    <w:rsid w:val="00FC6F6B"/>
    <w:rsid w:val="00FC70D5"/>
    <w:rsid w:val="00FC7194"/>
    <w:rsid w:val="00FC7206"/>
    <w:rsid w:val="00FC7247"/>
    <w:rsid w:val="00FC736B"/>
    <w:rsid w:val="00FC74BF"/>
    <w:rsid w:val="00FC753E"/>
    <w:rsid w:val="00FC7655"/>
    <w:rsid w:val="00FC7740"/>
    <w:rsid w:val="00FC7785"/>
    <w:rsid w:val="00FC77DF"/>
    <w:rsid w:val="00FC7AEA"/>
    <w:rsid w:val="00FC7BDB"/>
    <w:rsid w:val="00FC7D7A"/>
    <w:rsid w:val="00FD00AA"/>
    <w:rsid w:val="00FD0147"/>
    <w:rsid w:val="00FD019D"/>
    <w:rsid w:val="00FD01AB"/>
    <w:rsid w:val="00FD0423"/>
    <w:rsid w:val="00FD04EA"/>
    <w:rsid w:val="00FD05BA"/>
    <w:rsid w:val="00FD06D4"/>
    <w:rsid w:val="00FD0772"/>
    <w:rsid w:val="00FD07C0"/>
    <w:rsid w:val="00FD08D4"/>
    <w:rsid w:val="00FD08F5"/>
    <w:rsid w:val="00FD0A9D"/>
    <w:rsid w:val="00FD0AB2"/>
    <w:rsid w:val="00FD0C68"/>
    <w:rsid w:val="00FD0C89"/>
    <w:rsid w:val="00FD0CA1"/>
    <w:rsid w:val="00FD0D26"/>
    <w:rsid w:val="00FD0E4B"/>
    <w:rsid w:val="00FD1065"/>
    <w:rsid w:val="00FD10FE"/>
    <w:rsid w:val="00FD118D"/>
    <w:rsid w:val="00FD12EA"/>
    <w:rsid w:val="00FD1385"/>
    <w:rsid w:val="00FD1484"/>
    <w:rsid w:val="00FD160C"/>
    <w:rsid w:val="00FD16F1"/>
    <w:rsid w:val="00FD1749"/>
    <w:rsid w:val="00FD17BF"/>
    <w:rsid w:val="00FD17DF"/>
    <w:rsid w:val="00FD1919"/>
    <w:rsid w:val="00FD1954"/>
    <w:rsid w:val="00FD1A53"/>
    <w:rsid w:val="00FD1AF2"/>
    <w:rsid w:val="00FD1B1C"/>
    <w:rsid w:val="00FD1BBA"/>
    <w:rsid w:val="00FD1C2B"/>
    <w:rsid w:val="00FD1C95"/>
    <w:rsid w:val="00FD1CD7"/>
    <w:rsid w:val="00FD1DB6"/>
    <w:rsid w:val="00FD1F8C"/>
    <w:rsid w:val="00FD1F8F"/>
    <w:rsid w:val="00FD2050"/>
    <w:rsid w:val="00FD20F2"/>
    <w:rsid w:val="00FD210B"/>
    <w:rsid w:val="00FD216C"/>
    <w:rsid w:val="00FD2393"/>
    <w:rsid w:val="00FD2399"/>
    <w:rsid w:val="00FD23ED"/>
    <w:rsid w:val="00FD249F"/>
    <w:rsid w:val="00FD24DE"/>
    <w:rsid w:val="00FD2571"/>
    <w:rsid w:val="00FD260F"/>
    <w:rsid w:val="00FD26AF"/>
    <w:rsid w:val="00FD2800"/>
    <w:rsid w:val="00FD2A4F"/>
    <w:rsid w:val="00FD2A6B"/>
    <w:rsid w:val="00FD2A8F"/>
    <w:rsid w:val="00FD2C65"/>
    <w:rsid w:val="00FD2DE2"/>
    <w:rsid w:val="00FD2DF7"/>
    <w:rsid w:val="00FD2E3D"/>
    <w:rsid w:val="00FD2FF7"/>
    <w:rsid w:val="00FD3007"/>
    <w:rsid w:val="00FD302E"/>
    <w:rsid w:val="00FD30E1"/>
    <w:rsid w:val="00FD34CF"/>
    <w:rsid w:val="00FD355E"/>
    <w:rsid w:val="00FD3747"/>
    <w:rsid w:val="00FD378F"/>
    <w:rsid w:val="00FD3A30"/>
    <w:rsid w:val="00FD3B58"/>
    <w:rsid w:val="00FD3D67"/>
    <w:rsid w:val="00FD3E95"/>
    <w:rsid w:val="00FD3ED8"/>
    <w:rsid w:val="00FD3F12"/>
    <w:rsid w:val="00FD40AB"/>
    <w:rsid w:val="00FD4337"/>
    <w:rsid w:val="00FD437B"/>
    <w:rsid w:val="00FD43BD"/>
    <w:rsid w:val="00FD43DE"/>
    <w:rsid w:val="00FD45BD"/>
    <w:rsid w:val="00FD4659"/>
    <w:rsid w:val="00FD4692"/>
    <w:rsid w:val="00FD4753"/>
    <w:rsid w:val="00FD47B3"/>
    <w:rsid w:val="00FD4A43"/>
    <w:rsid w:val="00FD4B9F"/>
    <w:rsid w:val="00FD4BE2"/>
    <w:rsid w:val="00FD4DBA"/>
    <w:rsid w:val="00FD51F3"/>
    <w:rsid w:val="00FD5261"/>
    <w:rsid w:val="00FD52D0"/>
    <w:rsid w:val="00FD5588"/>
    <w:rsid w:val="00FD564C"/>
    <w:rsid w:val="00FD5907"/>
    <w:rsid w:val="00FD592E"/>
    <w:rsid w:val="00FD5A27"/>
    <w:rsid w:val="00FD5A4C"/>
    <w:rsid w:val="00FD5AD7"/>
    <w:rsid w:val="00FD5D3D"/>
    <w:rsid w:val="00FD5E50"/>
    <w:rsid w:val="00FD5E66"/>
    <w:rsid w:val="00FD5EBD"/>
    <w:rsid w:val="00FD5ECB"/>
    <w:rsid w:val="00FD600A"/>
    <w:rsid w:val="00FD62A7"/>
    <w:rsid w:val="00FD62AF"/>
    <w:rsid w:val="00FD6410"/>
    <w:rsid w:val="00FD647A"/>
    <w:rsid w:val="00FD65B7"/>
    <w:rsid w:val="00FD672C"/>
    <w:rsid w:val="00FD6A99"/>
    <w:rsid w:val="00FD6AEB"/>
    <w:rsid w:val="00FD6B8A"/>
    <w:rsid w:val="00FD6B8D"/>
    <w:rsid w:val="00FD6C12"/>
    <w:rsid w:val="00FD6C88"/>
    <w:rsid w:val="00FD6C90"/>
    <w:rsid w:val="00FD6F0F"/>
    <w:rsid w:val="00FD717A"/>
    <w:rsid w:val="00FD71FC"/>
    <w:rsid w:val="00FD720F"/>
    <w:rsid w:val="00FD7374"/>
    <w:rsid w:val="00FD73BC"/>
    <w:rsid w:val="00FD74A9"/>
    <w:rsid w:val="00FD74B9"/>
    <w:rsid w:val="00FD7546"/>
    <w:rsid w:val="00FD7710"/>
    <w:rsid w:val="00FD7778"/>
    <w:rsid w:val="00FD77E8"/>
    <w:rsid w:val="00FD7806"/>
    <w:rsid w:val="00FD78CE"/>
    <w:rsid w:val="00FD7934"/>
    <w:rsid w:val="00FD795A"/>
    <w:rsid w:val="00FD7999"/>
    <w:rsid w:val="00FD79E4"/>
    <w:rsid w:val="00FD7BA2"/>
    <w:rsid w:val="00FD7CC4"/>
    <w:rsid w:val="00FD7D84"/>
    <w:rsid w:val="00FD7DAB"/>
    <w:rsid w:val="00FE014B"/>
    <w:rsid w:val="00FE01E0"/>
    <w:rsid w:val="00FE0249"/>
    <w:rsid w:val="00FE0276"/>
    <w:rsid w:val="00FE030E"/>
    <w:rsid w:val="00FE032C"/>
    <w:rsid w:val="00FE040A"/>
    <w:rsid w:val="00FE0471"/>
    <w:rsid w:val="00FE0634"/>
    <w:rsid w:val="00FE063E"/>
    <w:rsid w:val="00FE077F"/>
    <w:rsid w:val="00FE081C"/>
    <w:rsid w:val="00FE0C45"/>
    <w:rsid w:val="00FE0C87"/>
    <w:rsid w:val="00FE0D40"/>
    <w:rsid w:val="00FE0D6D"/>
    <w:rsid w:val="00FE0D94"/>
    <w:rsid w:val="00FE0DAB"/>
    <w:rsid w:val="00FE0FE6"/>
    <w:rsid w:val="00FE127C"/>
    <w:rsid w:val="00FE1354"/>
    <w:rsid w:val="00FE1369"/>
    <w:rsid w:val="00FE136C"/>
    <w:rsid w:val="00FE1406"/>
    <w:rsid w:val="00FE1559"/>
    <w:rsid w:val="00FE1664"/>
    <w:rsid w:val="00FE16D3"/>
    <w:rsid w:val="00FE180E"/>
    <w:rsid w:val="00FE189D"/>
    <w:rsid w:val="00FE1958"/>
    <w:rsid w:val="00FE1999"/>
    <w:rsid w:val="00FE1A1B"/>
    <w:rsid w:val="00FE1AC3"/>
    <w:rsid w:val="00FE1B48"/>
    <w:rsid w:val="00FE1D25"/>
    <w:rsid w:val="00FE1DFE"/>
    <w:rsid w:val="00FE1EC3"/>
    <w:rsid w:val="00FE2173"/>
    <w:rsid w:val="00FE2185"/>
    <w:rsid w:val="00FE21B4"/>
    <w:rsid w:val="00FE233B"/>
    <w:rsid w:val="00FE233F"/>
    <w:rsid w:val="00FE234E"/>
    <w:rsid w:val="00FE23E4"/>
    <w:rsid w:val="00FE23EA"/>
    <w:rsid w:val="00FE2459"/>
    <w:rsid w:val="00FE24FF"/>
    <w:rsid w:val="00FE253B"/>
    <w:rsid w:val="00FE274B"/>
    <w:rsid w:val="00FE2896"/>
    <w:rsid w:val="00FE28BB"/>
    <w:rsid w:val="00FE29D2"/>
    <w:rsid w:val="00FE2BAD"/>
    <w:rsid w:val="00FE2C17"/>
    <w:rsid w:val="00FE2C61"/>
    <w:rsid w:val="00FE2E18"/>
    <w:rsid w:val="00FE2E7C"/>
    <w:rsid w:val="00FE31C5"/>
    <w:rsid w:val="00FE3247"/>
    <w:rsid w:val="00FE335F"/>
    <w:rsid w:val="00FE337D"/>
    <w:rsid w:val="00FE3496"/>
    <w:rsid w:val="00FE35C6"/>
    <w:rsid w:val="00FE39C8"/>
    <w:rsid w:val="00FE3B41"/>
    <w:rsid w:val="00FE3C4E"/>
    <w:rsid w:val="00FE3C87"/>
    <w:rsid w:val="00FE3E6C"/>
    <w:rsid w:val="00FE3E6F"/>
    <w:rsid w:val="00FE3EAD"/>
    <w:rsid w:val="00FE40D3"/>
    <w:rsid w:val="00FE434D"/>
    <w:rsid w:val="00FE45F8"/>
    <w:rsid w:val="00FE47AE"/>
    <w:rsid w:val="00FE48DB"/>
    <w:rsid w:val="00FE48E8"/>
    <w:rsid w:val="00FE4A2F"/>
    <w:rsid w:val="00FE4B51"/>
    <w:rsid w:val="00FE4B98"/>
    <w:rsid w:val="00FE4C2A"/>
    <w:rsid w:val="00FE4C73"/>
    <w:rsid w:val="00FE4D06"/>
    <w:rsid w:val="00FE4D0B"/>
    <w:rsid w:val="00FE4D7E"/>
    <w:rsid w:val="00FE4F14"/>
    <w:rsid w:val="00FE4F95"/>
    <w:rsid w:val="00FE5010"/>
    <w:rsid w:val="00FE5131"/>
    <w:rsid w:val="00FE518B"/>
    <w:rsid w:val="00FE5264"/>
    <w:rsid w:val="00FE52CB"/>
    <w:rsid w:val="00FE563C"/>
    <w:rsid w:val="00FE56DE"/>
    <w:rsid w:val="00FE57F2"/>
    <w:rsid w:val="00FE57FE"/>
    <w:rsid w:val="00FE5AA5"/>
    <w:rsid w:val="00FE5BD7"/>
    <w:rsid w:val="00FE5C60"/>
    <w:rsid w:val="00FE5CBB"/>
    <w:rsid w:val="00FE5CFD"/>
    <w:rsid w:val="00FE5E0A"/>
    <w:rsid w:val="00FE6058"/>
    <w:rsid w:val="00FE60C3"/>
    <w:rsid w:val="00FE61C7"/>
    <w:rsid w:val="00FE6271"/>
    <w:rsid w:val="00FE6751"/>
    <w:rsid w:val="00FE67A2"/>
    <w:rsid w:val="00FE67D2"/>
    <w:rsid w:val="00FE699A"/>
    <w:rsid w:val="00FE699F"/>
    <w:rsid w:val="00FE69B9"/>
    <w:rsid w:val="00FE6B92"/>
    <w:rsid w:val="00FE6BAD"/>
    <w:rsid w:val="00FE6C00"/>
    <w:rsid w:val="00FE6D3B"/>
    <w:rsid w:val="00FE6DA3"/>
    <w:rsid w:val="00FE6DC7"/>
    <w:rsid w:val="00FE6DFE"/>
    <w:rsid w:val="00FE6E59"/>
    <w:rsid w:val="00FE7065"/>
    <w:rsid w:val="00FE71D0"/>
    <w:rsid w:val="00FE71D5"/>
    <w:rsid w:val="00FE732C"/>
    <w:rsid w:val="00FE7330"/>
    <w:rsid w:val="00FE736A"/>
    <w:rsid w:val="00FE7446"/>
    <w:rsid w:val="00FE75D9"/>
    <w:rsid w:val="00FE7899"/>
    <w:rsid w:val="00FE7AE9"/>
    <w:rsid w:val="00FE7C35"/>
    <w:rsid w:val="00FE7CE1"/>
    <w:rsid w:val="00FE7D08"/>
    <w:rsid w:val="00FE7E05"/>
    <w:rsid w:val="00FE7E25"/>
    <w:rsid w:val="00FE7E4E"/>
    <w:rsid w:val="00FE7ED2"/>
    <w:rsid w:val="00FE7FAF"/>
    <w:rsid w:val="00FF001C"/>
    <w:rsid w:val="00FF009E"/>
    <w:rsid w:val="00FF011F"/>
    <w:rsid w:val="00FF0146"/>
    <w:rsid w:val="00FF01D7"/>
    <w:rsid w:val="00FF02CF"/>
    <w:rsid w:val="00FF035D"/>
    <w:rsid w:val="00FF0402"/>
    <w:rsid w:val="00FF0406"/>
    <w:rsid w:val="00FF044D"/>
    <w:rsid w:val="00FF04CA"/>
    <w:rsid w:val="00FF050E"/>
    <w:rsid w:val="00FF05A6"/>
    <w:rsid w:val="00FF06CA"/>
    <w:rsid w:val="00FF06CD"/>
    <w:rsid w:val="00FF072F"/>
    <w:rsid w:val="00FF0748"/>
    <w:rsid w:val="00FF076F"/>
    <w:rsid w:val="00FF07DF"/>
    <w:rsid w:val="00FF0841"/>
    <w:rsid w:val="00FF09C7"/>
    <w:rsid w:val="00FF09D3"/>
    <w:rsid w:val="00FF0A55"/>
    <w:rsid w:val="00FF0A81"/>
    <w:rsid w:val="00FF0C77"/>
    <w:rsid w:val="00FF0DA3"/>
    <w:rsid w:val="00FF0DF0"/>
    <w:rsid w:val="00FF0E41"/>
    <w:rsid w:val="00FF0FE5"/>
    <w:rsid w:val="00FF1027"/>
    <w:rsid w:val="00FF10C7"/>
    <w:rsid w:val="00FF1159"/>
    <w:rsid w:val="00FF1199"/>
    <w:rsid w:val="00FF11E4"/>
    <w:rsid w:val="00FF12D6"/>
    <w:rsid w:val="00FF1589"/>
    <w:rsid w:val="00FF15AE"/>
    <w:rsid w:val="00FF15B5"/>
    <w:rsid w:val="00FF1870"/>
    <w:rsid w:val="00FF1A4E"/>
    <w:rsid w:val="00FF1A71"/>
    <w:rsid w:val="00FF1B6C"/>
    <w:rsid w:val="00FF1B8E"/>
    <w:rsid w:val="00FF1BEE"/>
    <w:rsid w:val="00FF1C20"/>
    <w:rsid w:val="00FF1CBE"/>
    <w:rsid w:val="00FF1CE1"/>
    <w:rsid w:val="00FF1D48"/>
    <w:rsid w:val="00FF1E72"/>
    <w:rsid w:val="00FF1F04"/>
    <w:rsid w:val="00FF20D7"/>
    <w:rsid w:val="00FF2173"/>
    <w:rsid w:val="00FF2289"/>
    <w:rsid w:val="00FF246E"/>
    <w:rsid w:val="00FF25CC"/>
    <w:rsid w:val="00FF26EB"/>
    <w:rsid w:val="00FF28B2"/>
    <w:rsid w:val="00FF290A"/>
    <w:rsid w:val="00FF2B14"/>
    <w:rsid w:val="00FF2B37"/>
    <w:rsid w:val="00FF2BE0"/>
    <w:rsid w:val="00FF2D85"/>
    <w:rsid w:val="00FF30F7"/>
    <w:rsid w:val="00FF313F"/>
    <w:rsid w:val="00FF31C3"/>
    <w:rsid w:val="00FF3308"/>
    <w:rsid w:val="00FF3489"/>
    <w:rsid w:val="00FF35B8"/>
    <w:rsid w:val="00FF3648"/>
    <w:rsid w:val="00FF36E1"/>
    <w:rsid w:val="00FF36FF"/>
    <w:rsid w:val="00FF3733"/>
    <w:rsid w:val="00FF3742"/>
    <w:rsid w:val="00FF374B"/>
    <w:rsid w:val="00FF3B3B"/>
    <w:rsid w:val="00FF3D56"/>
    <w:rsid w:val="00FF3ED1"/>
    <w:rsid w:val="00FF3F1A"/>
    <w:rsid w:val="00FF3F59"/>
    <w:rsid w:val="00FF3FF2"/>
    <w:rsid w:val="00FF41B2"/>
    <w:rsid w:val="00FF427A"/>
    <w:rsid w:val="00FF432C"/>
    <w:rsid w:val="00FF45F6"/>
    <w:rsid w:val="00FF4613"/>
    <w:rsid w:val="00FF4766"/>
    <w:rsid w:val="00FF477B"/>
    <w:rsid w:val="00FF489E"/>
    <w:rsid w:val="00FF4B88"/>
    <w:rsid w:val="00FF4C9E"/>
    <w:rsid w:val="00FF4D84"/>
    <w:rsid w:val="00FF4F1C"/>
    <w:rsid w:val="00FF50AF"/>
    <w:rsid w:val="00FF534A"/>
    <w:rsid w:val="00FF5373"/>
    <w:rsid w:val="00FF5565"/>
    <w:rsid w:val="00FF55B1"/>
    <w:rsid w:val="00FF5633"/>
    <w:rsid w:val="00FF5933"/>
    <w:rsid w:val="00FF5937"/>
    <w:rsid w:val="00FF5A1D"/>
    <w:rsid w:val="00FF5B3A"/>
    <w:rsid w:val="00FF5B3E"/>
    <w:rsid w:val="00FF5B9F"/>
    <w:rsid w:val="00FF5C08"/>
    <w:rsid w:val="00FF5D41"/>
    <w:rsid w:val="00FF605B"/>
    <w:rsid w:val="00FF61CA"/>
    <w:rsid w:val="00FF6596"/>
    <w:rsid w:val="00FF663B"/>
    <w:rsid w:val="00FF6658"/>
    <w:rsid w:val="00FF6A73"/>
    <w:rsid w:val="00FF6A75"/>
    <w:rsid w:val="00FF6B15"/>
    <w:rsid w:val="00FF6B5D"/>
    <w:rsid w:val="00FF6CD8"/>
    <w:rsid w:val="00FF6D06"/>
    <w:rsid w:val="00FF6D5C"/>
    <w:rsid w:val="00FF6DE5"/>
    <w:rsid w:val="00FF6F01"/>
    <w:rsid w:val="00FF6F48"/>
    <w:rsid w:val="00FF71B7"/>
    <w:rsid w:val="00FF7256"/>
    <w:rsid w:val="00FF75E6"/>
    <w:rsid w:val="00FF7707"/>
    <w:rsid w:val="00FF793D"/>
    <w:rsid w:val="00FF7A22"/>
    <w:rsid w:val="00FF7B0A"/>
    <w:rsid w:val="00FF7B22"/>
    <w:rsid w:val="00FF7BD0"/>
    <w:rsid w:val="00FF7D2B"/>
    <w:rsid w:val="00FF7D70"/>
    <w:rsid w:val="00FF7F6A"/>
    <w:rsid w:val="010377E3"/>
    <w:rsid w:val="010BCD01"/>
    <w:rsid w:val="010D99DF"/>
    <w:rsid w:val="0111498A"/>
    <w:rsid w:val="0131EFF7"/>
    <w:rsid w:val="0144E8C8"/>
    <w:rsid w:val="01469E62"/>
    <w:rsid w:val="01600AB1"/>
    <w:rsid w:val="01694377"/>
    <w:rsid w:val="016AB0D3"/>
    <w:rsid w:val="01731ECC"/>
    <w:rsid w:val="017692EC"/>
    <w:rsid w:val="01932F68"/>
    <w:rsid w:val="01A9AFB8"/>
    <w:rsid w:val="01AB6C4C"/>
    <w:rsid w:val="01B534B1"/>
    <w:rsid w:val="01D2B2EA"/>
    <w:rsid w:val="01EA054B"/>
    <w:rsid w:val="01EE6AFD"/>
    <w:rsid w:val="01F24649"/>
    <w:rsid w:val="02195B74"/>
    <w:rsid w:val="0258C3B1"/>
    <w:rsid w:val="02B97F40"/>
    <w:rsid w:val="0303A15B"/>
    <w:rsid w:val="0316EF00"/>
    <w:rsid w:val="032BFC4A"/>
    <w:rsid w:val="032E4562"/>
    <w:rsid w:val="0347D9B0"/>
    <w:rsid w:val="0364C74B"/>
    <w:rsid w:val="036C9D66"/>
    <w:rsid w:val="03786CFD"/>
    <w:rsid w:val="03A0460B"/>
    <w:rsid w:val="03B8FC83"/>
    <w:rsid w:val="03CFD29E"/>
    <w:rsid w:val="03F2913C"/>
    <w:rsid w:val="041DB237"/>
    <w:rsid w:val="041F295B"/>
    <w:rsid w:val="0426658F"/>
    <w:rsid w:val="044E2E88"/>
    <w:rsid w:val="0465FB31"/>
    <w:rsid w:val="0472EA69"/>
    <w:rsid w:val="0482B464"/>
    <w:rsid w:val="048C86E1"/>
    <w:rsid w:val="04B17342"/>
    <w:rsid w:val="04D4CBC0"/>
    <w:rsid w:val="04DB5376"/>
    <w:rsid w:val="04F0C9F2"/>
    <w:rsid w:val="0509E46D"/>
    <w:rsid w:val="056AA57A"/>
    <w:rsid w:val="056BA2FF"/>
    <w:rsid w:val="0583E7C9"/>
    <w:rsid w:val="05B6A5A3"/>
    <w:rsid w:val="05CCB981"/>
    <w:rsid w:val="05EDE18F"/>
    <w:rsid w:val="0622CFB4"/>
    <w:rsid w:val="066B12E2"/>
    <w:rsid w:val="067F715C"/>
    <w:rsid w:val="067FEF2B"/>
    <w:rsid w:val="0697BAF2"/>
    <w:rsid w:val="069FDD27"/>
    <w:rsid w:val="06A9E2B3"/>
    <w:rsid w:val="06C2F98B"/>
    <w:rsid w:val="06D405EF"/>
    <w:rsid w:val="0744D992"/>
    <w:rsid w:val="075BB2F2"/>
    <w:rsid w:val="075DE661"/>
    <w:rsid w:val="076817E7"/>
    <w:rsid w:val="07A0375F"/>
    <w:rsid w:val="07D0A983"/>
    <w:rsid w:val="08061AA5"/>
    <w:rsid w:val="08369D73"/>
    <w:rsid w:val="083F431B"/>
    <w:rsid w:val="08461209"/>
    <w:rsid w:val="0851E576"/>
    <w:rsid w:val="08522D93"/>
    <w:rsid w:val="08588F73"/>
    <w:rsid w:val="0880CA39"/>
    <w:rsid w:val="0897F45E"/>
    <w:rsid w:val="08A2709F"/>
    <w:rsid w:val="08A8AE27"/>
    <w:rsid w:val="08AE7BC0"/>
    <w:rsid w:val="08B95A90"/>
    <w:rsid w:val="08CA8F63"/>
    <w:rsid w:val="08CCAAA4"/>
    <w:rsid w:val="08D4AB2E"/>
    <w:rsid w:val="08DB3EEC"/>
    <w:rsid w:val="09010D6D"/>
    <w:rsid w:val="0946E736"/>
    <w:rsid w:val="094A5EA3"/>
    <w:rsid w:val="09562D07"/>
    <w:rsid w:val="095641E2"/>
    <w:rsid w:val="096AB78B"/>
    <w:rsid w:val="09799B55"/>
    <w:rsid w:val="098A30C2"/>
    <w:rsid w:val="098C27E2"/>
    <w:rsid w:val="09987FED"/>
    <w:rsid w:val="09A8B9FF"/>
    <w:rsid w:val="09AD7015"/>
    <w:rsid w:val="09AF771E"/>
    <w:rsid w:val="09B77B4B"/>
    <w:rsid w:val="09B8C5CE"/>
    <w:rsid w:val="09E020F0"/>
    <w:rsid w:val="0A0617FA"/>
    <w:rsid w:val="0A0D2A57"/>
    <w:rsid w:val="0A1B66AB"/>
    <w:rsid w:val="0A82633E"/>
    <w:rsid w:val="0A8B4DC2"/>
    <w:rsid w:val="0AB73F6F"/>
    <w:rsid w:val="0ABB79E3"/>
    <w:rsid w:val="0ACB828F"/>
    <w:rsid w:val="0AF9C0B3"/>
    <w:rsid w:val="0B201716"/>
    <w:rsid w:val="0B27F2F7"/>
    <w:rsid w:val="0B2E762D"/>
    <w:rsid w:val="0B571443"/>
    <w:rsid w:val="0B6663D5"/>
    <w:rsid w:val="0BA04D8C"/>
    <w:rsid w:val="0BA55424"/>
    <w:rsid w:val="0BA89A5B"/>
    <w:rsid w:val="0BCA4B7E"/>
    <w:rsid w:val="0BD406E9"/>
    <w:rsid w:val="0BD4DA09"/>
    <w:rsid w:val="0BFE8745"/>
    <w:rsid w:val="0C19D9BA"/>
    <w:rsid w:val="0C1A805C"/>
    <w:rsid w:val="0C1D270C"/>
    <w:rsid w:val="0C2E4537"/>
    <w:rsid w:val="0C56C87F"/>
    <w:rsid w:val="0C747B5F"/>
    <w:rsid w:val="0C7F373F"/>
    <w:rsid w:val="0C9F2AA2"/>
    <w:rsid w:val="0CA3AE72"/>
    <w:rsid w:val="0CA8180F"/>
    <w:rsid w:val="0CE90EE3"/>
    <w:rsid w:val="0D0E2018"/>
    <w:rsid w:val="0D410140"/>
    <w:rsid w:val="0D4A947D"/>
    <w:rsid w:val="0D667DA2"/>
    <w:rsid w:val="0D6946FA"/>
    <w:rsid w:val="0D7F3AA6"/>
    <w:rsid w:val="0DC47CC5"/>
    <w:rsid w:val="0DD33077"/>
    <w:rsid w:val="0DE6BF08"/>
    <w:rsid w:val="0DFD7644"/>
    <w:rsid w:val="0E2DC941"/>
    <w:rsid w:val="0E2FD67B"/>
    <w:rsid w:val="0E3D60D8"/>
    <w:rsid w:val="0E466DF4"/>
    <w:rsid w:val="0E66538F"/>
    <w:rsid w:val="0E710CED"/>
    <w:rsid w:val="0E857562"/>
    <w:rsid w:val="0E9C433F"/>
    <w:rsid w:val="0E9D1225"/>
    <w:rsid w:val="0EAB84B3"/>
    <w:rsid w:val="0EC842DA"/>
    <w:rsid w:val="0ED513AC"/>
    <w:rsid w:val="0ED52EC1"/>
    <w:rsid w:val="0F22AFDC"/>
    <w:rsid w:val="0F2DE086"/>
    <w:rsid w:val="0F4E2A1E"/>
    <w:rsid w:val="0F7612B1"/>
    <w:rsid w:val="0F82E976"/>
    <w:rsid w:val="0F89E1DB"/>
    <w:rsid w:val="0FA7F7D3"/>
    <w:rsid w:val="0FC22981"/>
    <w:rsid w:val="0FCCFB41"/>
    <w:rsid w:val="0FD92B9C"/>
    <w:rsid w:val="0FE14FB4"/>
    <w:rsid w:val="0FE8785C"/>
    <w:rsid w:val="0FE8A50A"/>
    <w:rsid w:val="0FEE5235"/>
    <w:rsid w:val="0FEE6682"/>
    <w:rsid w:val="0FF5B7DB"/>
    <w:rsid w:val="0FFBCF4B"/>
    <w:rsid w:val="1000FB48"/>
    <w:rsid w:val="1006E103"/>
    <w:rsid w:val="100972D6"/>
    <w:rsid w:val="1019CA64"/>
    <w:rsid w:val="103FBDBF"/>
    <w:rsid w:val="10461B9F"/>
    <w:rsid w:val="105ABD50"/>
    <w:rsid w:val="106D51A8"/>
    <w:rsid w:val="1073A9A6"/>
    <w:rsid w:val="108B0CD6"/>
    <w:rsid w:val="10901087"/>
    <w:rsid w:val="10971DA9"/>
    <w:rsid w:val="10A7EC92"/>
    <w:rsid w:val="10BDDDE2"/>
    <w:rsid w:val="10D68BAC"/>
    <w:rsid w:val="10E0324A"/>
    <w:rsid w:val="10E48270"/>
    <w:rsid w:val="10E76300"/>
    <w:rsid w:val="10F1FEA1"/>
    <w:rsid w:val="10FC1A21"/>
    <w:rsid w:val="112FA9C3"/>
    <w:rsid w:val="11317FA4"/>
    <w:rsid w:val="1148C72F"/>
    <w:rsid w:val="114C00FC"/>
    <w:rsid w:val="1154125B"/>
    <w:rsid w:val="1157892B"/>
    <w:rsid w:val="117FB3F3"/>
    <w:rsid w:val="11B1BB7B"/>
    <w:rsid w:val="11B9DB42"/>
    <w:rsid w:val="120A1029"/>
    <w:rsid w:val="12187A7B"/>
    <w:rsid w:val="12264EFF"/>
    <w:rsid w:val="12290750"/>
    <w:rsid w:val="12308545"/>
    <w:rsid w:val="124E1B73"/>
    <w:rsid w:val="124F96A9"/>
    <w:rsid w:val="1259B32C"/>
    <w:rsid w:val="1264CCB3"/>
    <w:rsid w:val="1265D4CD"/>
    <w:rsid w:val="12913F2C"/>
    <w:rsid w:val="1295F589"/>
    <w:rsid w:val="12AE7F43"/>
    <w:rsid w:val="12E50AC7"/>
    <w:rsid w:val="12F19BFD"/>
    <w:rsid w:val="13143F2E"/>
    <w:rsid w:val="13467EEE"/>
    <w:rsid w:val="13548E25"/>
    <w:rsid w:val="135AEF65"/>
    <w:rsid w:val="137577D7"/>
    <w:rsid w:val="137953B0"/>
    <w:rsid w:val="137C024F"/>
    <w:rsid w:val="13AA84A5"/>
    <w:rsid w:val="13AD75BC"/>
    <w:rsid w:val="13BDE83B"/>
    <w:rsid w:val="13C39A73"/>
    <w:rsid w:val="13CB8EC6"/>
    <w:rsid w:val="13F74BC7"/>
    <w:rsid w:val="1404C295"/>
    <w:rsid w:val="14168BAB"/>
    <w:rsid w:val="141F03C2"/>
    <w:rsid w:val="14616D86"/>
    <w:rsid w:val="146A25DD"/>
    <w:rsid w:val="1476D484"/>
    <w:rsid w:val="14C52B46"/>
    <w:rsid w:val="14CBA935"/>
    <w:rsid w:val="14CD1110"/>
    <w:rsid w:val="14E61AD8"/>
    <w:rsid w:val="14F357B8"/>
    <w:rsid w:val="14F888D6"/>
    <w:rsid w:val="1502C181"/>
    <w:rsid w:val="1516E22F"/>
    <w:rsid w:val="152088D5"/>
    <w:rsid w:val="154D59D6"/>
    <w:rsid w:val="157E52D9"/>
    <w:rsid w:val="1590B78D"/>
    <w:rsid w:val="15948787"/>
    <w:rsid w:val="15968B1A"/>
    <w:rsid w:val="159CF1A1"/>
    <w:rsid w:val="15A10C70"/>
    <w:rsid w:val="15AEEE43"/>
    <w:rsid w:val="15B8ECEA"/>
    <w:rsid w:val="15BCA81A"/>
    <w:rsid w:val="15F9D06E"/>
    <w:rsid w:val="15FB20AC"/>
    <w:rsid w:val="16043F95"/>
    <w:rsid w:val="1612957C"/>
    <w:rsid w:val="163C9378"/>
    <w:rsid w:val="164238B6"/>
    <w:rsid w:val="164ADC8D"/>
    <w:rsid w:val="164F5949"/>
    <w:rsid w:val="16946ABC"/>
    <w:rsid w:val="16F6B82D"/>
    <w:rsid w:val="17151781"/>
    <w:rsid w:val="172B21ED"/>
    <w:rsid w:val="1738F934"/>
    <w:rsid w:val="173BEB4A"/>
    <w:rsid w:val="17625D07"/>
    <w:rsid w:val="17714CAB"/>
    <w:rsid w:val="17723718"/>
    <w:rsid w:val="179AC35A"/>
    <w:rsid w:val="17D75E66"/>
    <w:rsid w:val="1822C044"/>
    <w:rsid w:val="183FCC32"/>
    <w:rsid w:val="18723105"/>
    <w:rsid w:val="18C95C62"/>
    <w:rsid w:val="18CB2AB3"/>
    <w:rsid w:val="18DE7319"/>
    <w:rsid w:val="191E889C"/>
    <w:rsid w:val="19752D85"/>
    <w:rsid w:val="1985CD2B"/>
    <w:rsid w:val="199CED9A"/>
    <w:rsid w:val="19C91626"/>
    <w:rsid w:val="19CC7ABD"/>
    <w:rsid w:val="19D9A81B"/>
    <w:rsid w:val="19E59813"/>
    <w:rsid w:val="19E62669"/>
    <w:rsid w:val="1A10DA79"/>
    <w:rsid w:val="1A374BF1"/>
    <w:rsid w:val="1A67199E"/>
    <w:rsid w:val="1A821356"/>
    <w:rsid w:val="1A93FD15"/>
    <w:rsid w:val="1AC4B10A"/>
    <w:rsid w:val="1ACC128B"/>
    <w:rsid w:val="1AEEB7F0"/>
    <w:rsid w:val="1B03C1CB"/>
    <w:rsid w:val="1B07F726"/>
    <w:rsid w:val="1B0A6C6C"/>
    <w:rsid w:val="1B0CE9B6"/>
    <w:rsid w:val="1B1B2713"/>
    <w:rsid w:val="1B1CC369"/>
    <w:rsid w:val="1B2DD1D9"/>
    <w:rsid w:val="1B5233C2"/>
    <w:rsid w:val="1B65C165"/>
    <w:rsid w:val="1B901CAB"/>
    <w:rsid w:val="1BABE41C"/>
    <w:rsid w:val="1BB1E3AA"/>
    <w:rsid w:val="1BCC8648"/>
    <w:rsid w:val="1BD0026C"/>
    <w:rsid w:val="1BD17E23"/>
    <w:rsid w:val="1C4B78FD"/>
    <w:rsid w:val="1C5A281F"/>
    <w:rsid w:val="1C72D2DC"/>
    <w:rsid w:val="1C744DD4"/>
    <w:rsid w:val="1CAE87FC"/>
    <w:rsid w:val="1CB44C91"/>
    <w:rsid w:val="1CB4B036"/>
    <w:rsid w:val="1CDDDE62"/>
    <w:rsid w:val="1CE6617A"/>
    <w:rsid w:val="1CE8998C"/>
    <w:rsid w:val="1CEDE9D2"/>
    <w:rsid w:val="1CFE6386"/>
    <w:rsid w:val="1D16F7D9"/>
    <w:rsid w:val="1D1E2C8E"/>
    <w:rsid w:val="1D298E51"/>
    <w:rsid w:val="1D49AC57"/>
    <w:rsid w:val="1D5260BA"/>
    <w:rsid w:val="1D6795AF"/>
    <w:rsid w:val="1D79E0BB"/>
    <w:rsid w:val="1D8860C4"/>
    <w:rsid w:val="1D9C4D5E"/>
    <w:rsid w:val="1DFA6BEF"/>
    <w:rsid w:val="1E2707A3"/>
    <w:rsid w:val="1E62CE61"/>
    <w:rsid w:val="1E8BF237"/>
    <w:rsid w:val="1E98FB74"/>
    <w:rsid w:val="1EAC615A"/>
    <w:rsid w:val="1EAD9FBB"/>
    <w:rsid w:val="1EB2EC29"/>
    <w:rsid w:val="1ED379A6"/>
    <w:rsid w:val="1ED8C769"/>
    <w:rsid w:val="1EFB3CF1"/>
    <w:rsid w:val="1EFC7795"/>
    <w:rsid w:val="1F196081"/>
    <w:rsid w:val="1F1B7108"/>
    <w:rsid w:val="1F1D26DB"/>
    <w:rsid w:val="1F28573A"/>
    <w:rsid w:val="1F2EC754"/>
    <w:rsid w:val="1F44FE6D"/>
    <w:rsid w:val="1F7D86B3"/>
    <w:rsid w:val="1F8717BD"/>
    <w:rsid w:val="1FB12C53"/>
    <w:rsid w:val="1FCAE363"/>
    <w:rsid w:val="1FCC862A"/>
    <w:rsid w:val="2012300B"/>
    <w:rsid w:val="201F1774"/>
    <w:rsid w:val="202DDB69"/>
    <w:rsid w:val="20324125"/>
    <w:rsid w:val="207D83FF"/>
    <w:rsid w:val="2085D515"/>
    <w:rsid w:val="2087B9EF"/>
    <w:rsid w:val="20892137"/>
    <w:rsid w:val="208D8D51"/>
    <w:rsid w:val="20F66551"/>
    <w:rsid w:val="2115B902"/>
    <w:rsid w:val="2131F4FD"/>
    <w:rsid w:val="214CF19D"/>
    <w:rsid w:val="2157022F"/>
    <w:rsid w:val="2162031F"/>
    <w:rsid w:val="21854266"/>
    <w:rsid w:val="21A9B607"/>
    <w:rsid w:val="21B07265"/>
    <w:rsid w:val="21BCF99B"/>
    <w:rsid w:val="21D004BE"/>
    <w:rsid w:val="21D8FF93"/>
    <w:rsid w:val="220D78E4"/>
    <w:rsid w:val="2229206F"/>
    <w:rsid w:val="22527157"/>
    <w:rsid w:val="225C4E8B"/>
    <w:rsid w:val="225F162A"/>
    <w:rsid w:val="2290B501"/>
    <w:rsid w:val="229D8897"/>
    <w:rsid w:val="22A5292A"/>
    <w:rsid w:val="22AB0697"/>
    <w:rsid w:val="22C6BC0E"/>
    <w:rsid w:val="22C8C5BC"/>
    <w:rsid w:val="22CC8E1F"/>
    <w:rsid w:val="22CFF92E"/>
    <w:rsid w:val="22F76A6D"/>
    <w:rsid w:val="23125723"/>
    <w:rsid w:val="2332919C"/>
    <w:rsid w:val="234B4D17"/>
    <w:rsid w:val="2354A5F5"/>
    <w:rsid w:val="23943D5B"/>
    <w:rsid w:val="23B22024"/>
    <w:rsid w:val="23B66CC7"/>
    <w:rsid w:val="23CBB9D8"/>
    <w:rsid w:val="23E18836"/>
    <w:rsid w:val="23ED175C"/>
    <w:rsid w:val="23EEF844"/>
    <w:rsid w:val="2409DA8D"/>
    <w:rsid w:val="240ADDC6"/>
    <w:rsid w:val="2422F639"/>
    <w:rsid w:val="24286621"/>
    <w:rsid w:val="24649D8F"/>
    <w:rsid w:val="2498EFB3"/>
    <w:rsid w:val="249E572B"/>
    <w:rsid w:val="24EAFC02"/>
    <w:rsid w:val="24F50054"/>
    <w:rsid w:val="24F9B39B"/>
    <w:rsid w:val="25162FDE"/>
    <w:rsid w:val="251A9474"/>
    <w:rsid w:val="251CA306"/>
    <w:rsid w:val="2523BB7C"/>
    <w:rsid w:val="253C3699"/>
    <w:rsid w:val="254803C8"/>
    <w:rsid w:val="25575A4C"/>
    <w:rsid w:val="25858421"/>
    <w:rsid w:val="25933540"/>
    <w:rsid w:val="25D9BA54"/>
    <w:rsid w:val="25D9BD3F"/>
    <w:rsid w:val="25EAD627"/>
    <w:rsid w:val="26098D2F"/>
    <w:rsid w:val="2611F2D9"/>
    <w:rsid w:val="262DC82E"/>
    <w:rsid w:val="2634064A"/>
    <w:rsid w:val="26728529"/>
    <w:rsid w:val="26781CA0"/>
    <w:rsid w:val="26848C08"/>
    <w:rsid w:val="26AE1338"/>
    <w:rsid w:val="26AE7A62"/>
    <w:rsid w:val="26BB42A5"/>
    <w:rsid w:val="26C32749"/>
    <w:rsid w:val="26CED534"/>
    <w:rsid w:val="26FC1289"/>
    <w:rsid w:val="26FF7E3E"/>
    <w:rsid w:val="2704DC89"/>
    <w:rsid w:val="2738B313"/>
    <w:rsid w:val="276130EA"/>
    <w:rsid w:val="2761507B"/>
    <w:rsid w:val="277435EF"/>
    <w:rsid w:val="2792A1D2"/>
    <w:rsid w:val="27FE8BA7"/>
    <w:rsid w:val="28281060"/>
    <w:rsid w:val="2834439C"/>
    <w:rsid w:val="286DA663"/>
    <w:rsid w:val="289D933C"/>
    <w:rsid w:val="28A7DF02"/>
    <w:rsid w:val="28ABFD50"/>
    <w:rsid w:val="28AE2717"/>
    <w:rsid w:val="28D15448"/>
    <w:rsid w:val="28DD43D8"/>
    <w:rsid w:val="28F6B69D"/>
    <w:rsid w:val="28FD7CC4"/>
    <w:rsid w:val="291A6DB8"/>
    <w:rsid w:val="29245C23"/>
    <w:rsid w:val="2924D4C9"/>
    <w:rsid w:val="29396273"/>
    <w:rsid w:val="293B0AF9"/>
    <w:rsid w:val="29427E70"/>
    <w:rsid w:val="29577721"/>
    <w:rsid w:val="296ABBD2"/>
    <w:rsid w:val="29737565"/>
    <w:rsid w:val="29799C1F"/>
    <w:rsid w:val="297CDE06"/>
    <w:rsid w:val="298A9BC1"/>
    <w:rsid w:val="29A87B26"/>
    <w:rsid w:val="29C99E63"/>
    <w:rsid w:val="29D4087C"/>
    <w:rsid w:val="29D4E256"/>
    <w:rsid w:val="2A25C33E"/>
    <w:rsid w:val="2A572B31"/>
    <w:rsid w:val="2A588F5E"/>
    <w:rsid w:val="2A6DE07B"/>
    <w:rsid w:val="2A7DAE49"/>
    <w:rsid w:val="2A8824BE"/>
    <w:rsid w:val="2A8E8741"/>
    <w:rsid w:val="2A96EF99"/>
    <w:rsid w:val="2A9E9A0D"/>
    <w:rsid w:val="2A9F94E8"/>
    <w:rsid w:val="2AA111CB"/>
    <w:rsid w:val="2ADB9022"/>
    <w:rsid w:val="2ADF0129"/>
    <w:rsid w:val="2AEC947F"/>
    <w:rsid w:val="2AF22CD8"/>
    <w:rsid w:val="2AF95D1B"/>
    <w:rsid w:val="2AFD837B"/>
    <w:rsid w:val="2B1F57B1"/>
    <w:rsid w:val="2B38E7C7"/>
    <w:rsid w:val="2B4C0AD6"/>
    <w:rsid w:val="2B6DBCB1"/>
    <w:rsid w:val="2B81DFE3"/>
    <w:rsid w:val="2B92D808"/>
    <w:rsid w:val="2B9E67BD"/>
    <w:rsid w:val="2BB2F44E"/>
    <w:rsid w:val="2BCB49CC"/>
    <w:rsid w:val="2BEC02A3"/>
    <w:rsid w:val="2C031123"/>
    <w:rsid w:val="2C0AA06E"/>
    <w:rsid w:val="2C3E7E23"/>
    <w:rsid w:val="2C5B3559"/>
    <w:rsid w:val="2C85D5E1"/>
    <w:rsid w:val="2C937196"/>
    <w:rsid w:val="2CC6D0D6"/>
    <w:rsid w:val="2CCE170B"/>
    <w:rsid w:val="2CD7329C"/>
    <w:rsid w:val="2CE38816"/>
    <w:rsid w:val="2CF63445"/>
    <w:rsid w:val="2CFC5482"/>
    <w:rsid w:val="2CFC9453"/>
    <w:rsid w:val="2D05632B"/>
    <w:rsid w:val="2D0FECB1"/>
    <w:rsid w:val="2D3A0ED1"/>
    <w:rsid w:val="2D4F8BA1"/>
    <w:rsid w:val="2D990395"/>
    <w:rsid w:val="2DC841D0"/>
    <w:rsid w:val="2DDFB796"/>
    <w:rsid w:val="2DF79D32"/>
    <w:rsid w:val="2E0416C6"/>
    <w:rsid w:val="2E221B7F"/>
    <w:rsid w:val="2E28323B"/>
    <w:rsid w:val="2E2A8E35"/>
    <w:rsid w:val="2E3DCAD1"/>
    <w:rsid w:val="2E52B574"/>
    <w:rsid w:val="2E7ED91B"/>
    <w:rsid w:val="2E850CBD"/>
    <w:rsid w:val="2ECBAC5F"/>
    <w:rsid w:val="2ED2B24F"/>
    <w:rsid w:val="2ED8D18E"/>
    <w:rsid w:val="2EF720B3"/>
    <w:rsid w:val="2EFD1040"/>
    <w:rsid w:val="2F0AFFF5"/>
    <w:rsid w:val="2F11F3BC"/>
    <w:rsid w:val="2F15714A"/>
    <w:rsid w:val="2F196B08"/>
    <w:rsid w:val="2F27CD23"/>
    <w:rsid w:val="2F3B2986"/>
    <w:rsid w:val="2F520B40"/>
    <w:rsid w:val="2F61B54E"/>
    <w:rsid w:val="2F689A54"/>
    <w:rsid w:val="2F6EA2FA"/>
    <w:rsid w:val="2F77C4B5"/>
    <w:rsid w:val="2F82AD8E"/>
    <w:rsid w:val="2F9A16B1"/>
    <w:rsid w:val="2FBA238E"/>
    <w:rsid w:val="2FC0E6C1"/>
    <w:rsid w:val="2FC3DD2B"/>
    <w:rsid w:val="2FDCCE36"/>
    <w:rsid w:val="2FF4612F"/>
    <w:rsid w:val="2FFAA926"/>
    <w:rsid w:val="30315FC1"/>
    <w:rsid w:val="303BC504"/>
    <w:rsid w:val="30468EE9"/>
    <w:rsid w:val="304B7718"/>
    <w:rsid w:val="3083302E"/>
    <w:rsid w:val="308C6B8E"/>
    <w:rsid w:val="3093F0E8"/>
    <w:rsid w:val="30959E79"/>
    <w:rsid w:val="30CD5599"/>
    <w:rsid w:val="30D5A61A"/>
    <w:rsid w:val="30F37E5A"/>
    <w:rsid w:val="3111B466"/>
    <w:rsid w:val="31453AC7"/>
    <w:rsid w:val="314ED4C4"/>
    <w:rsid w:val="3165A5EB"/>
    <w:rsid w:val="317D53FC"/>
    <w:rsid w:val="3183A981"/>
    <w:rsid w:val="31850951"/>
    <w:rsid w:val="31A18BF3"/>
    <w:rsid w:val="31A688BC"/>
    <w:rsid w:val="31AED740"/>
    <w:rsid w:val="31AF9198"/>
    <w:rsid w:val="31BA9522"/>
    <w:rsid w:val="31C6DA08"/>
    <w:rsid w:val="31F3357A"/>
    <w:rsid w:val="31FD80DA"/>
    <w:rsid w:val="32082CDF"/>
    <w:rsid w:val="3277A989"/>
    <w:rsid w:val="327B0558"/>
    <w:rsid w:val="32AB06CE"/>
    <w:rsid w:val="32B38448"/>
    <w:rsid w:val="32E12FA8"/>
    <w:rsid w:val="330C3B3A"/>
    <w:rsid w:val="33697A12"/>
    <w:rsid w:val="3395E880"/>
    <w:rsid w:val="339F742A"/>
    <w:rsid w:val="33BAD46D"/>
    <w:rsid w:val="33D76CAA"/>
    <w:rsid w:val="33F1D664"/>
    <w:rsid w:val="341C844D"/>
    <w:rsid w:val="34358FBF"/>
    <w:rsid w:val="34389100"/>
    <w:rsid w:val="34652990"/>
    <w:rsid w:val="3495AE98"/>
    <w:rsid w:val="34A81F7D"/>
    <w:rsid w:val="34BA4542"/>
    <w:rsid w:val="34C4010D"/>
    <w:rsid w:val="34C55339"/>
    <w:rsid w:val="34E74F1C"/>
    <w:rsid w:val="34EE3C12"/>
    <w:rsid w:val="34F5EBD3"/>
    <w:rsid w:val="34F9E743"/>
    <w:rsid w:val="34FF1051"/>
    <w:rsid w:val="3501AF55"/>
    <w:rsid w:val="357E390B"/>
    <w:rsid w:val="35A8B251"/>
    <w:rsid w:val="35AA77E6"/>
    <w:rsid w:val="35AAACBC"/>
    <w:rsid w:val="35AD8AB2"/>
    <w:rsid w:val="35B79051"/>
    <w:rsid w:val="35BF191D"/>
    <w:rsid w:val="35D0B1DD"/>
    <w:rsid w:val="35D89C6F"/>
    <w:rsid w:val="35ED020E"/>
    <w:rsid w:val="361052B5"/>
    <w:rsid w:val="3627FADE"/>
    <w:rsid w:val="362BC7D7"/>
    <w:rsid w:val="364B63E0"/>
    <w:rsid w:val="36776E1C"/>
    <w:rsid w:val="36CBE8C5"/>
    <w:rsid w:val="36E5A28A"/>
    <w:rsid w:val="373A82B4"/>
    <w:rsid w:val="37492846"/>
    <w:rsid w:val="3751CC12"/>
    <w:rsid w:val="375E8783"/>
    <w:rsid w:val="37683D94"/>
    <w:rsid w:val="376DECD5"/>
    <w:rsid w:val="37A10E62"/>
    <w:rsid w:val="37A4A27E"/>
    <w:rsid w:val="37B680C5"/>
    <w:rsid w:val="37CFF6BB"/>
    <w:rsid w:val="37DE4728"/>
    <w:rsid w:val="37E798E8"/>
    <w:rsid w:val="37E7ED05"/>
    <w:rsid w:val="384EFE73"/>
    <w:rsid w:val="385363C9"/>
    <w:rsid w:val="38EA6409"/>
    <w:rsid w:val="39241A36"/>
    <w:rsid w:val="3938B97F"/>
    <w:rsid w:val="39530C16"/>
    <w:rsid w:val="395C89F3"/>
    <w:rsid w:val="39764178"/>
    <w:rsid w:val="397E38AD"/>
    <w:rsid w:val="3980D1F9"/>
    <w:rsid w:val="39833773"/>
    <w:rsid w:val="39CA1EC3"/>
    <w:rsid w:val="39E1C41B"/>
    <w:rsid w:val="39F89586"/>
    <w:rsid w:val="39F90C35"/>
    <w:rsid w:val="3A03E12C"/>
    <w:rsid w:val="3A0537CB"/>
    <w:rsid w:val="3A3BF119"/>
    <w:rsid w:val="3A5416FF"/>
    <w:rsid w:val="3A818CCF"/>
    <w:rsid w:val="3AAD2C07"/>
    <w:rsid w:val="3AE98056"/>
    <w:rsid w:val="3AF8C7ED"/>
    <w:rsid w:val="3B03D62D"/>
    <w:rsid w:val="3B08AD81"/>
    <w:rsid w:val="3B13400C"/>
    <w:rsid w:val="3B1B953F"/>
    <w:rsid w:val="3B4C9CCE"/>
    <w:rsid w:val="3B7AA35F"/>
    <w:rsid w:val="3B89638E"/>
    <w:rsid w:val="3B90D24D"/>
    <w:rsid w:val="3BA438FC"/>
    <w:rsid w:val="3BEC4133"/>
    <w:rsid w:val="3C1AD7E3"/>
    <w:rsid w:val="3C312842"/>
    <w:rsid w:val="3C7DC888"/>
    <w:rsid w:val="3C8CDD99"/>
    <w:rsid w:val="3CAD4AC2"/>
    <w:rsid w:val="3CAD56EB"/>
    <w:rsid w:val="3CBB875D"/>
    <w:rsid w:val="3CBF9C9C"/>
    <w:rsid w:val="3CEB077D"/>
    <w:rsid w:val="3CF3F5E9"/>
    <w:rsid w:val="3CFFA6EB"/>
    <w:rsid w:val="3D2E8511"/>
    <w:rsid w:val="3D43C8F9"/>
    <w:rsid w:val="3D507A1D"/>
    <w:rsid w:val="3D65CBDC"/>
    <w:rsid w:val="3D88014B"/>
    <w:rsid w:val="3DB796DC"/>
    <w:rsid w:val="3DB82073"/>
    <w:rsid w:val="3DC26F57"/>
    <w:rsid w:val="3E182103"/>
    <w:rsid w:val="3E1F2269"/>
    <w:rsid w:val="3E3B828E"/>
    <w:rsid w:val="3E49D2AB"/>
    <w:rsid w:val="3E6DA4E9"/>
    <w:rsid w:val="3EA8220A"/>
    <w:rsid w:val="3EB40640"/>
    <w:rsid w:val="3EEEC718"/>
    <w:rsid w:val="3F1B41FD"/>
    <w:rsid w:val="3F30FE11"/>
    <w:rsid w:val="3F3253B9"/>
    <w:rsid w:val="3F39BAB6"/>
    <w:rsid w:val="3F4481D4"/>
    <w:rsid w:val="3F4E3F25"/>
    <w:rsid w:val="3F5CC0A5"/>
    <w:rsid w:val="3F95A1EF"/>
    <w:rsid w:val="3F97F113"/>
    <w:rsid w:val="3F9B2D1E"/>
    <w:rsid w:val="3FA64461"/>
    <w:rsid w:val="3FCABC36"/>
    <w:rsid w:val="3FDD7F7A"/>
    <w:rsid w:val="4016F17B"/>
    <w:rsid w:val="4055C72D"/>
    <w:rsid w:val="40708619"/>
    <w:rsid w:val="408EFAA8"/>
    <w:rsid w:val="40A0D83E"/>
    <w:rsid w:val="40A1ACB7"/>
    <w:rsid w:val="40B2EF11"/>
    <w:rsid w:val="40BD5622"/>
    <w:rsid w:val="40C2F2F9"/>
    <w:rsid w:val="40C5BD7F"/>
    <w:rsid w:val="40C61002"/>
    <w:rsid w:val="40C7E416"/>
    <w:rsid w:val="40E26B2A"/>
    <w:rsid w:val="40F41CC2"/>
    <w:rsid w:val="4123D19A"/>
    <w:rsid w:val="41274162"/>
    <w:rsid w:val="4128100B"/>
    <w:rsid w:val="41293456"/>
    <w:rsid w:val="414D804E"/>
    <w:rsid w:val="41620DC9"/>
    <w:rsid w:val="4164A980"/>
    <w:rsid w:val="416AC606"/>
    <w:rsid w:val="419E5A7B"/>
    <w:rsid w:val="41A0EE97"/>
    <w:rsid w:val="41AF5440"/>
    <w:rsid w:val="42638719"/>
    <w:rsid w:val="426AD36C"/>
    <w:rsid w:val="429DF337"/>
    <w:rsid w:val="42A7BE57"/>
    <w:rsid w:val="42A7F4EA"/>
    <w:rsid w:val="42E3F3DA"/>
    <w:rsid w:val="42F89348"/>
    <w:rsid w:val="42FA60C6"/>
    <w:rsid w:val="43069667"/>
    <w:rsid w:val="430C9E85"/>
    <w:rsid w:val="430D83D0"/>
    <w:rsid w:val="431430A7"/>
    <w:rsid w:val="431757B3"/>
    <w:rsid w:val="43291083"/>
    <w:rsid w:val="4355F124"/>
    <w:rsid w:val="435F8422"/>
    <w:rsid w:val="43717DBF"/>
    <w:rsid w:val="438E48FD"/>
    <w:rsid w:val="43B82ADE"/>
    <w:rsid w:val="43C4B3CF"/>
    <w:rsid w:val="43D8AC00"/>
    <w:rsid w:val="43F1E3F0"/>
    <w:rsid w:val="43F217B7"/>
    <w:rsid w:val="44015E5F"/>
    <w:rsid w:val="4404BA96"/>
    <w:rsid w:val="4416D51A"/>
    <w:rsid w:val="443CBAF2"/>
    <w:rsid w:val="44563429"/>
    <w:rsid w:val="4457C825"/>
    <w:rsid w:val="4467FD9F"/>
    <w:rsid w:val="4483D589"/>
    <w:rsid w:val="44A27593"/>
    <w:rsid w:val="44C10A2D"/>
    <w:rsid w:val="4513D44B"/>
    <w:rsid w:val="4523E12D"/>
    <w:rsid w:val="453BBF2B"/>
    <w:rsid w:val="4550D525"/>
    <w:rsid w:val="4554F133"/>
    <w:rsid w:val="455CC3CF"/>
    <w:rsid w:val="455DA17B"/>
    <w:rsid w:val="456DC9D5"/>
    <w:rsid w:val="456E2746"/>
    <w:rsid w:val="4583B821"/>
    <w:rsid w:val="458AFED9"/>
    <w:rsid w:val="458C9E06"/>
    <w:rsid w:val="45BAB1D3"/>
    <w:rsid w:val="45C950E1"/>
    <w:rsid w:val="45D011E8"/>
    <w:rsid w:val="45D26DA0"/>
    <w:rsid w:val="45ECF190"/>
    <w:rsid w:val="460D8C84"/>
    <w:rsid w:val="460E7A17"/>
    <w:rsid w:val="460E8876"/>
    <w:rsid w:val="4620BD20"/>
    <w:rsid w:val="4635C3B0"/>
    <w:rsid w:val="465E1B6D"/>
    <w:rsid w:val="466E65A5"/>
    <w:rsid w:val="46710133"/>
    <w:rsid w:val="46A04BBF"/>
    <w:rsid w:val="46C621C8"/>
    <w:rsid w:val="46D0C99D"/>
    <w:rsid w:val="46D54283"/>
    <w:rsid w:val="46E7B7D4"/>
    <w:rsid w:val="46F25864"/>
    <w:rsid w:val="471A51B8"/>
    <w:rsid w:val="4720CDDE"/>
    <w:rsid w:val="47710D48"/>
    <w:rsid w:val="477855AB"/>
    <w:rsid w:val="478154D9"/>
    <w:rsid w:val="47CEA8DA"/>
    <w:rsid w:val="47CF3631"/>
    <w:rsid w:val="47EBCE23"/>
    <w:rsid w:val="47F6FF17"/>
    <w:rsid w:val="482B0575"/>
    <w:rsid w:val="4837FA56"/>
    <w:rsid w:val="484F1128"/>
    <w:rsid w:val="48562CF8"/>
    <w:rsid w:val="48587E61"/>
    <w:rsid w:val="4894F2A4"/>
    <w:rsid w:val="48980E54"/>
    <w:rsid w:val="48A320D1"/>
    <w:rsid w:val="48AA8C06"/>
    <w:rsid w:val="48B491E7"/>
    <w:rsid w:val="48D58033"/>
    <w:rsid w:val="48D77E71"/>
    <w:rsid w:val="490D4250"/>
    <w:rsid w:val="491679C1"/>
    <w:rsid w:val="4917E216"/>
    <w:rsid w:val="49273315"/>
    <w:rsid w:val="492C0977"/>
    <w:rsid w:val="493B259F"/>
    <w:rsid w:val="493C3113"/>
    <w:rsid w:val="49437C99"/>
    <w:rsid w:val="494B9A1D"/>
    <w:rsid w:val="4959B382"/>
    <w:rsid w:val="49613092"/>
    <w:rsid w:val="49643772"/>
    <w:rsid w:val="4977B643"/>
    <w:rsid w:val="498244FC"/>
    <w:rsid w:val="49A51106"/>
    <w:rsid w:val="49BC46E6"/>
    <w:rsid w:val="49EC0033"/>
    <w:rsid w:val="4A02E756"/>
    <w:rsid w:val="4A09069A"/>
    <w:rsid w:val="4A1E35E0"/>
    <w:rsid w:val="4A2C947A"/>
    <w:rsid w:val="4A48E502"/>
    <w:rsid w:val="4A542B5E"/>
    <w:rsid w:val="4A714A5D"/>
    <w:rsid w:val="4A959309"/>
    <w:rsid w:val="4A9C0A0C"/>
    <w:rsid w:val="4AB1D422"/>
    <w:rsid w:val="4AC470B5"/>
    <w:rsid w:val="4ACF16D4"/>
    <w:rsid w:val="4AD91B26"/>
    <w:rsid w:val="4AE5EA44"/>
    <w:rsid w:val="4AFF7D62"/>
    <w:rsid w:val="4B3513B8"/>
    <w:rsid w:val="4B653C7D"/>
    <w:rsid w:val="4B6EF041"/>
    <w:rsid w:val="4B74D5E2"/>
    <w:rsid w:val="4BB472E7"/>
    <w:rsid w:val="4BBED81F"/>
    <w:rsid w:val="4BC770AF"/>
    <w:rsid w:val="4BD5A6BB"/>
    <w:rsid w:val="4BE43410"/>
    <w:rsid w:val="4BEB3080"/>
    <w:rsid w:val="4BFA1364"/>
    <w:rsid w:val="4C07D6AC"/>
    <w:rsid w:val="4C105734"/>
    <w:rsid w:val="4C1587B0"/>
    <w:rsid w:val="4C1B6598"/>
    <w:rsid w:val="4C2BCBB2"/>
    <w:rsid w:val="4C33CC27"/>
    <w:rsid w:val="4C3ED7D2"/>
    <w:rsid w:val="4CBF9990"/>
    <w:rsid w:val="4CEBFDE4"/>
    <w:rsid w:val="4CFE8D33"/>
    <w:rsid w:val="4D016C63"/>
    <w:rsid w:val="4D218001"/>
    <w:rsid w:val="4D2CDA3A"/>
    <w:rsid w:val="4D4A6712"/>
    <w:rsid w:val="4D681B20"/>
    <w:rsid w:val="4D6E1605"/>
    <w:rsid w:val="4D77A56B"/>
    <w:rsid w:val="4D8896DC"/>
    <w:rsid w:val="4DDF7B10"/>
    <w:rsid w:val="4DEAEAEC"/>
    <w:rsid w:val="4DF3F6A6"/>
    <w:rsid w:val="4DF4578E"/>
    <w:rsid w:val="4E228400"/>
    <w:rsid w:val="4E33BD15"/>
    <w:rsid w:val="4E40D661"/>
    <w:rsid w:val="4E4A7FFE"/>
    <w:rsid w:val="4E67BD6B"/>
    <w:rsid w:val="4E6C541A"/>
    <w:rsid w:val="4E846904"/>
    <w:rsid w:val="4E8A24B3"/>
    <w:rsid w:val="4E8C54C9"/>
    <w:rsid w:val="4E940D90"/>
    <w:rsid w:val="4EB12BC0"/>
    <w:rsid w:val="4EB2A3B4"/>
    <w:rsid w:val="4EB58EEE"/>
    <w:rsid w:val="4EF75C4E"/>
    <w:rsid w:val="4F1F9793"/>
    <w:rsid w:val="4F226FCA"/>
    <w:rsid w:val="4F709E6A"/>
    <w:rsid w:val="4F8DC943"/>
    <w:rsid w:val="4FA0265A"/>
    <w:rsid w:val="4FA7C6D0"/>
    <w:rsid w:val="4FAB568A"/>
    <w:rsid w:val="4FB201A5"/>
    <w:rsid w:val="4FCB9CF5"/>
    <w:rsid w:val="4FD07906"/>
    <w:rsid w:val="4FE74913"/>
    <w:rsid w:val="4FE8757A"/>
    <w:rsid w:val="4FEA6108"/>
    <w:rsid w:val="5014D0C3"/>
    <w:rsid w:val="50203965"/>
    <w:rsid w:val="5026F365"/>
    <w:rsid w:val="50274945"/>
    <w:rsid w:val="502AA5C6"/>
    <w:rsid w:val="504C4211"/>
    <w:rsid w:val="50676D9C"/>
    <w:rsid w:val="5068E5E1"/>
    <w:rsid w:val="508F8C7E"/>
    <w:rsid w:val="5095CFAE"/>
    <w:rsid w:val="509F3C87"/>
    <w:rsid w:val="50C039CB"/>
    <w:rsid w:val="50E4A692"/>
    <w:rsid w:val="510F0EC2"/>
    <w:rsid w:val="511BD1AF"/>
    <w:rsid w:val="51291D6E"/>
    <w:rsid w:val="512A003F"/>
    <w:rsid w:val="512DF413"/>
    <w:rsid w:val="51413E04"/>
    <w:rsid w:val="5145C7D6"/>
    <w:rsid w:val="514FCBF6"/>
    <w:rsid w:val="515501D0"/>
    <w:rsid w:val="519DBFD4"/>
    <w:rsid w:val="51A590D3"/>
    <w:rsid w:val="51B1E953"/>
    <w:rsid w:val="51F2BB0E"/>
    <w:rsid w:val="52482160"/>
    <w:rsid w:val="524EAF41"/>
    <w:rsid w:val="527E8C7E"/>
    <w:rsid w:val="5280316E"/>
    <w:rsid w:val="5290B4EC"/>
    <w:rsid w:val="52C40780"/>
    <w:rsid w:val="52E083F8"/>
    <w:rsid w:val="52F318E4"/>
    <w:rsid w:val="532A717D"/>
    <w:rsid w:val="53755660"/>
    <w:rsid w:val="537C39AA"/>
    <w:rsid w:val="539B4BC4"/>
    <w:rsid w:val="53A3D32D"/>
    <w:rsid w:val="53A7A6C3"/>
    <w:rsid w:val="53CA3F75"/>
    <w:rsid w:val="53D0B3B1"/>
    <w:rsid w:val="53DA2399"/>
    <w:rsid w:val="53E5E836"/>
    <w:rsid w:val="54051453"/>
    <w:rsid w:val="541DBF39"/>
    <w:rsid w:val="54352B1B"/>
    <w:rsid w:val="543F1F71"/>
    <w:rsid w:val="5446AF84"/>
    <w:rsid w:val="546D406B"/>
    <w:rsid w:val="546E7F20"/>
    <w:rsid w:val="548D2FE8"/>
    <w:rsid w:val="54A4C892"/>
    <w:rsid w:val="54BA0A23"/>
    <w:rsid w:val="54D4A032"/>
    <w:rsid w:val="54F66ECE"/>
    <w:rsid w:val="54FF5873"/>
    <w:rsid w:val="55092C33"/>
    <w:rsid w:val="5511210F"/>
    <w:rsid w:val="5527BCC9"/>
    <w:rsid w:val="5545FBDC"/>
    <w:rsid w:val="55BEBED0"/>
    <w:rsid w:val="55D391D9"/>
    <w:rsid w:val="55F45C95"/>
    <w:rsid w:val="56056437"/>
    <w:rsid w:val="5613709D"/>
    <w:rsid w:val="563F3423"/>
    <w:rsid w:val="564E1567"/>
    <w:rsid w:val="56672861"/>
    <w:rsid w:val="5673D8E9"/>
    <w:rsid w:val="569C2322"/>
    <w:rsid w:val="56A11D2E"/>
    <w:rsid w:val="56B9A7B7"/>
    <w:rsid w:val="56BE5465"/>
    <w:rsid w:val="56BEBCE5"/>
    <w:rsid w:val="57420752"/>
    <w:rsid w:val="57530D56"/>
    <w:rsid w:val="57A086D3"/>
    <w:rsid w:val="57CF3D39"/>
    <w:rsid w:val="57D2904B"/>
    <w:rsid w:val="57DD3E2E"/>
    <w:rsid w:val="5805E12B"/>
    <w:rsid w:val="5820E088"/>
    <w:rsid w:val="5830CD1B"/>
    <w:rsid w:val="58482692"/>
    <w:rsid w:val="584B4CCA"/>
    <w:rsid w:val="58679C66"/>
    <w:rsid w:val="586FA390"/>
    <w:rsid w:val="587EE612"/>
    <w:rsid w:val="58AB8F84"/>
    <w:rsid w:val="58D54697"/>
    <w:rsid w:val="590B4D12"/>
    <w:rsid w:val="5917051C"/>
    <w:rsid w:val="591D9B52"/>
    <w:rsid w:val="5932972E"/>
    <w:rsid w:val="59395EB5"/>
    <w:rsid w:val="593E1D9D"/>
    <w:rsid w:val="595BF316"/>
    <w:rsid w:val="5969B6CA"/>
    <w:rsid w:val="5987EBAC"/>
    <w:rsid w:val="59991409"/>
    <w:rsid w:val="59AB2310"/>
    <w:rsid w:val="59B6B5AE"/>
    <w:rsid w:val="59B8D513"/>
    <w:rsid w:val="59F70394"/>
    <w:rsid w:val="5A0A1C1B"/>
    <w:rsid w:val="5A0A7390"/>
    <w:rsid w:val="5A0F68A6"/>
    <w:rsid w:val="5A19230A"/>
    <w:rsid w:val="5A262802"/>
    <w:rsid w:val="5A5364CE"/>
    <w:rsid w:val="5A8E1BE3"/>
    <w:rsid w:val="5A9431B6"/>
    <w:rsid w:val="5ACAA05B"/>
    <w:rsid w:val="5ACAF860"/>
    <w:rsid w:val="5AD744A7"/>
    <w:rsid w:val="5ADD2D00"/>
    <w:rsid w:val="5B18617D"/>
    <w:rsid w:val="5B4CEBA0"/>
    <w:rsid w:val="5B5760B0"/>
    <w:rsid w:val="5B5FF3BC"/>
    <w:rsid w:val="5B788B4C"/>
    <w:rsid w:val="5B7CADA0"/>
    <w:rsid w:val="5B993999"/>
    <w:rsid w:val="5B99D20D"/>
    <w:rsid w:val="5BB0C9E3"/>
    <w:rsid w:val="5BBC2ED3"/>
    <w:rsid w:val="5BCC63F4"/>
    <w:rsid w:val="5BCFD906"/>
    <w:rsid w:val="5BDC572F"/>
    <w:rsid w:val="5BF2C679"/>
    <w:rsid w:val="5BF84A2E"/>
    <w:rsid w:val="5C01B5FA"/>
    <w:rsid w:val="5C01FCA1"/>
    <w:rsid w:val="5C037450"/>
    <w:rsid w:val="5C09234C"/>
    <w:rsid w:val="5C2B7E3F"/>
    <w:rsid w:val="5C2F4FC8"/>
    <w:rsid w:val="5C40024F"/>
    <w:rsid w:val="5C457D01"/>
    <w:rsid w:val="5C616114"/>
    <w:rsid w:val="5C83E00F"/>
    <w:rsid w:val="5CA3A712"/>
    <w:rsid w:val="5CBC8447"/>
    <w:rsid w:val="5CC8654A"/>
    <w:rsid w:val="5D1377CC"/>
    <w:rsid w:val="5D263554"/>
    <w:rsid w:val="5D2D507F"/>
    <w:rsid w:val="5D3C852E"/>
    <w:rsid w:val="5D4147A2"/>
    <w:rsid w:val="5D73385F"/>
    <w:rsid w:val="5D747997"/>
    <w:rsid w:val="5D862E62"/>
    <w:rsid w:val="5D992629"/>
    <w:rsid w:val="5D9B752B"/>
    <w:rsid w:val="5DA6825A"/>
    <w:rsid w:val="5DB1CD2E"/>
    <w:rsid w:val="5E0E3015"/>
    <w:rsid w:val="5E17BF1A"/>
    <w:rsid w:val="5E26EB7E"/>
    <w:rsid w:val="5E2C2460"/>
    <w:rsid w:val="5E5972EA"/>
    <w:rsid w:val="5E6C3111"/>
    <w:rsid w:val="5E6D6001"/>
    <w:rsid w:val="5E912FB7"/>
    <w:rsid w:val="5E920754"/>
    <w:rsid w:val="5E99AE67"/>
    <w:rsid w:val="5ED36A11"/>
    <w:rsid w:val="5EFB14E5"/>
    <w:rsid w:val="5F4120CD"/>
    <w:rsid w:val="5F5E1B7A"/>
    <w:rsid w:val="5F6D248B"/>
    <w:rsid w:val="5F755BF4"/>
    <w:rsid w:val="5F79239A"/>
    <w:rsid w:val="5F8BA18A"/>
    <w:rsid w:val="5FACEFCC"/>
    <w:rsid w:val="5FB3C2FB"/>
    <w:rsid w:val="5FBDE92F"/>
    <w:rsid w:val="60041147"/>
    <w:rsid w:val="60170FC9"/>
    <w:rsid w:val="6029DBCC"/>
    <w:rsid w:val="6034A07E"/>
    <w:rsid w:val="604503AF"/>
    <w:rsid w:val="6055EA7B"/>
    <w:rsid w:val="606313B1"/>
    <w:rsid w:val="60823780"/>
    <w:rsid w:val="60864099"/>
    <w:rsid w:val="60CDF4B7"/>
    <w:rsid w:val="60DE35CA"/>
    <w:rsid w:val="613737AC"/>
    <w:rsid w:val="6145F472"/>
    <w:rsid w:val="614B11FC"/>
    <w:rsid w:val="61530929"/>
    <w:rsid w:val="615D75EE"/>
    <w:rsid w:val="61ABF12F"/>
    <w:rsid w:val="61AF9197"/>
    <w:rsid w:val="61B72FC1"/>
    <w:rsid w:val="61C775A5"/>
    <w:rsid w:val="6254F9F0"/>
    <w:rsid w:val="629C88A2"/>
    <w:rsid w:val="62A6EF17"/>
    <w:rsid w:val="62AF8C56"/>
    <w:rsid w:val="62B2E9FE"/>
    <w:rsid w:val="62D5988C"/>
    <w:rsid w:val="62E93CD1"/>
    <w:rsid w:val="62F5D9E9"/>
    <w:rsid w:val="630655AA"/>
    <w:rsid w:val="6312701F"/>
    <w:rsid w:val="6318FCDA"/>
    <w:rsid w:val="63229518"/>
    <w:rsid w:val="63365415"/>
    <w:rsid w:val="6357CCAB"/>
    <w:rsid w:val="637256FA"/>
    <w:rsid w:val="637324FD"/>
    <w:rsid w:val="6376EC77"/>
    <w:rsid w:val="638262B0"/>
    <w:rsid w:val="63CFE906"/>
    <w:rsid w:val="63F84288"/>
    <w:rsid w:val="641A4B7E"/>
    <w:rsid w:val="645CCA75"/>
    <w:rsid w:val="6465A611"/>
    <w:rsid w:val="649D9E17"/>
    <w:rsid w:val="649F84C3"/>
    <w:rsid w:val="64F22AB0"/>
    <w:rsid w:val="655551CF"/>
    <w:rsid w:val="655BACB4"/>
    <w:rsid w:val="655F03F9"/>
    <w:rsid w:val="656E1D07"/>
    <w:rsid w:val="6588FCB7"/>
    <w:rsid w:val="6599A1B2"/>
    <w:rsid w:val="65B5879E"/>
    <w:rsid w:val="66110AD9"/>
    <w:rsid w:val="664DE518"/>
    <w:rsid w:val="666C3CBC"/>
    <w:rsid w:val="667276F4"/>
    <w:rsid w:val="668684C3"/>
    <w:rsid w:val="66AA4393"/>
    <w:rsid w:val="66AFCFA2"/>
    <w:rsid w:val="66DA8500"/>
    <w:rsid w:val="66E3E7E2"/>
    <w:rsid w:val="672EC5CE"/>
    <w:rsid w:val="6733DDE4"/>
    <w:rsid w:val="6734DA9B"/>
    <w:rsid w:val="6760CBC5"/>
    <w:rsid w:val="6789AA63"/>
    <w:rsid w:val="679E1352"/>
    <w:rsid w:val="67A8E1A8"/>
    <w:rsid w:val="67B65500"/>
    <w:rsid w:val="67CCBAD6"/>
    <w:rsid w:val="67D205C2"/>
    <w:rsid w:val="67FF358E"/>
    <w:rsid w:val="681E1D9A"/>
    <w:rsid w:val="68398352"/>
    <w:rsid w:val="684D1CFF"/>
    <w:rsid w:val="684F7A52"/>
    <w:rsid w:val="68758773"/>
    <w:rsid w:val="6896A4BB"/>
    <w:rsid w:val="689CBCD1"/>
    <w:rsid w:val="68A5289E"/>
    <w:rsid w:val="68D94084"/>
    <w:rsid w:val="68DE9D59"/>
    <w:rsid w:val="6905738C"/>
    <w:rsid w:val="690F3E08"/>
    <w:rsid w:val="6937DD3E"/>
    <w:rsid w:val="69401528"/>
    <w:rsid w:val="6959AE11"/>
    <w:rsid w:val="695C41B1"/>
    <w:rsid w:val="695CFE95"/>
    <w:rsid w:val="698AAC28"/>
    <w:rsid w:val="69A791FF"/>
    <w:rsid w:val="69D9AAC7"/>
    <w:rsid w:val="69F4D35B"/>
    <w:rsid w:val="6A110475"/>
    <w:rsid w:val="6A1F4E07"/>
    <w:rsid w:val="6A438647"/>
    <w:rsid w:val="6A5FE245"/>
    <w:rsid w:val="6A61C000"/>
    <w:rsid w:val="6A6B3ABB"/>
    <w:rsid w:val="6A75AC70"/>
    <w:rsid w:val="6A8A76EE"/>
    <w:rsid w:val="6ABE5AE6"/>
    <w:rsid w:val="6AE1B89F"/>
    <w:rsid w:val="6B1691E0"/>
    <w:rsid w:val="6B364B7E"/>
    <w:rsid w:val="6B68E190"/>
    <w:rsid w:val="6B695BE1"/>
    <w:rsid w:val="6B73BDBE"/>
    <w:rsid w:val="6BB5B065"/>
    <w:rsid w:val="6BF61B3F"/>
    <w:rsid w:val="6BF620DD"/>
    <w:rsid w:val="6C17715A"/>
    <w:rsid w:val="6C18710D"/>
    <w:rsid w:val="6C39DBCB"/>
    <w:rsid w:val="6C6BD4DE"/>
    <w:rsid w:val="6C789C5F"/>
    <w:rsid w:val="6CA78007"/>
    <w:rsid w:val="6CD3B606"/>
    <w:rsid w:val="6D6A15DE"/>
    <w:rsid w:val="6D757224"/>
    <w:rsid w:val="6D7D4126"/>
    <w:rsid w:val="6DBF983A"/>
    <w:rsid w:val="6DCBBD8C"/>
    <w:rsid w:val="6DCD7F65"/>
    <w:rsid w:val="6DF4A43F"/>
    <w:rsid w:val="6E07C896"/>
    <w:rsid w:val="6E0DE744"/>
    <w:rsid w:val="6E1B253D"/>
    <w:rsid w:val="6E40F2EE"/>
    <w:rsid w:val="6EAFA36C"/>
    <w:rsid w:val="6EB407E0"/>
    <w:rsid w:val="6EB610B6"/>
    <w:rsid w:val="6EC3C7E1"/>
    <w:rsid w:val="6F05E63F"/>
    <w:rsid w:val="6F236046"/>
    <w:rsid w:val="6F595708"/>
    <w:rsid w:val="6F76A78D"/>
    <w:rsid w:val="6F98506C"/>
    <w:rsid w:val="6F9CEC70"/>
    <w:rsid w:val="6FA6D68D"/>
    <w:rsid w:val="6FA7737B"/>
    <w:rsid w:val="6FA99073"/>
    <w:rsid w:val="6FBC1C6D"/>
    <w:rsid w:val="6FBC6B15"/>
    <w:rsid w:val="6FC61C3E"/>
    <w:rsid w:val="7019A13F"/>
    <w:rsid w:val="704F1198"/>
    <w:rsid w:val="70589E23"/>
    <w:rsid w:val="7076FB0E"/>
    <w:rsid w:val="7087741B"/>
    <w:rsid w:val="709C7830"/>
    <w:rsid w:val="70B03375"/>
    <w:rsid w:val="70B24B34"/>
    <w:rsid w:val="70C3344E"/>
    <w:rsid w:val="70C4079B"/>
    <w:rsid w:val="70D93BDF"/>
    <w:rsid w:val="70E04F9C"/>
    <w:rsid w:val="70F88F18"/>
    <w:rsid w:val="711A0825"/>
    <w:rsid w:val="711DDB43"/>
    <w:rsid w:val="713BE4F5"/>
    <w:rsid w:val="71587814"/>
    <w:rsid w:val="715D2E43"/>
    <w:rsid w:val="7183DCA0"/>
    <w:rsid w:val="718A3987"/>
    <w:rsid w:val="718D4981"/>
    <w:rsid w:val="71AAFFB0"/>
    <w:rsid w:val="71BEAA1B"/>
    <w:rsid w:val="71C016FB"/>
    <w:rsid w:val="71C75FD4"/>
    <w:rsid w:val="72049CF2"/>
    <w:rsid w:val="7215F0EC"/>
    <w:rsid w:val="7220869B"/>
    <w:rsid w:val="7224041F"/>
    <w:rsid w:val="72245EA4"/>
    <w:rsid w:val="7230C0AD"/>
    <w:rsid w:val="72427300"/>
    <w:rsid w:val="72440E93"/>
    <w:rsid w:val="72755848"/>
    <w:rsid w:val="7277B3DD"/>
    <w:rsid w:val="727C51DB"/>
    <w:rsid w:val="72A3EEDD"/>
    <w:rsid w:val="72D2AECD"/>
    <w:rsid w:val="734CDA97"/>
    <w:rsid w:val="735711C1"/>
    <w:rsid w:val="73AD8A8F"/>
    <w:rsid w:val="73B22ADA"/>
    <w:rsid w:val="73D7F957"/>
    <w:rsid w:val="73DCEECA"/>
    <w:rsid w:val="73FCC6D1"/>
    <w:rsid w:val="73FCD58B"/>
    <w:rsid w:val="740ACCB3"/>
    <w:rsid w:val="741E9965"/>
    <w:rsid w:val="742136B4"/>
    <w:rsid w:val="74227BF0"/>
    <w:rsid w:val="745926B0"/>
    <w:rsid w:val="746080CF"/>
    <w:rsid w:val="74637CAE"/>
    <w:rsid w:val="749A12EB"/>
    <w:rsid w:val="74AF9BDA"/>
    <w:rsid w:val="74B3CACD"/>
    <w:rsid w:val="74C8E2EC"/>
    <w:rsid w:val="74D79950"/>
    <w:rsid w:val="74F25EE1"/>
    <w:rsid w:val="74F42DC6"/>
    <w:rsid w:val="751B614F"/>
    <w:rsid w:val="75342244"/>
    <w:rsid w:val="75379C92"/>
    <w:rsid w:val="75842085"/>
    <w:rsid w:val="75B4E042"/>
    <w:rsid w:val="75D948AC"/>
    <w:rsid w:val="760EE108"/>
    <w:rsid w:val="760F9126"/>
    <w:rsid w:val="7611BBD7"/>
    <w:rsid w:val="76384201"/>
    <w:rsid w:val="764403EB"/>
    <w:rsid w:val="7683AFFA"/>
    <w:rsid w:val="768811E3"/>
    <w:rsid w:val="769B7B4C"/>
    <w:rsid w:val="769C093B"/>
    <w:rsid w:val="76B3701B"/>
    <w:rsid w:val="76B8BBC3"/>
    <w:rsid w:val="76C2972D"/>
    <w:rsid w:val="76D56DE6"/>
    <w:rsid w:val="77020898"/>
    <w:rsid w:val="770BCC10"/>
    <w:rsid w:val="77168989"/>
    <w:rsid w:val="7737A4B1"/>
    <w:rsid w:val="77391A64"/>
    <w:rsid w:val="77423894"/>
    <w:rsid w:val="775243D7"/>
    <w:rsid w:val="775E07F9"/>
    <w:rsid w:val="777C1736"/>
    <w:rsid w:val="778961C4"/>
    <w:rsid w:val="77A3F2B2"/>
    <w:rsid w:val="77A9B0CC"/>
    <w:rsid w:val="77B08E1C"/>
    <w:rsid w:val="77BAF758"/>
    <w:rsid w:val="77C3F4C7"/>
    <w:rsid w:val="77CFB833"/>
    <w:rsid w:val="77E7F214"/>
    <w:rsid w:val="78067BED"/>
    <w:rsid w:val="780E893A"/>
    <w:rsid w:val="7826A4AE"/>
    <w:rsid w:val="78394C23"/>
    <w:rsid w:val="786148FD"/>
    <w:rsid w:val="7864CE03"/>
    <w:rsid w:val="78DC95B1"/>
    <w:rsid w:val="78F09084"/>
    <w:rsid w:val="793BF922"/>
    <w:rsid w:val="795AFED0"/>
    <w:rsid w:val="79718912"/>
    <w:rsid w:val="797E077A"/>
    <w:rsid w:val="7983E744"/>
    <w:rsid w:val="799118C8"/>
    <w:rsid w:val="79938045"/>
    <w:rsid w:val="799EC0DD"/>
    <w:rsid w:val="79CC1AB2"/>
    <w:rsid w:val="79D3D63B"/>
    <w:rsid w:val="79DEC590"/>
    <w:rsid w:val="7A119513"/>
    <w:rsid w:val="7A1C9E17"/>
    <w:rsid w:val="7A263A0D"/>
    <w:rsid w:val="7A3D2AF6"/>
    <w:rsid w:val="7A553DF5"/>
    <w:rsid w:val="7A75CAF8"/>
    <w:rsid w:val="7A94EC88"/>
    <w:rsid w:val="7AA6D697"/>
    <w:rsid w:val="7AA73B3E"/>
    <w:rsid w:val="7AAF20F8"/>
    <w:rsid w:val="7B16199B"/>
    <w:rsid w:val="7B1AB3DB"/>
    <w:rsid w:val="7B1AF820"/>
    <w:rsid w:val="7B260A79"/>
    <w:rsid w:val="7B5F444C"/>
    <w:rsid w:val="7BA406A8"/>
    <w:rsid w:val="7BB9E80A"/>
    <w:rsid w:val="7BBBCE3A"/>
    <w:rsid w:val="7BC1EF7A"/>
    <w:rsid w:val="7BD68028"/>
    <w:rsid w:val="7C7C9E3F"/>
    <w:rsid w:val="7C90B7DE"/>
    <w:rsid w:val="7CACD77F"/>
    <w:rsid w:val="7CBF03DD"/>
    <w:rsid w:val="7CFD9A7C"/>
    <w:rsid w:val="7D102E93"/>
    <w:rsid w:val="7D2D6E38"/>
    <w:rsid w:val="7D310ED7"/>
    <w:rsid w:val="7D600176"/>
    <w:rsid w:val="7D61D2DB"/>
    <w:rsid w:val="7DAFE27D"/>
    <w:rsid w:val="7DC7C5AD"/>
    <w:rsid w:val="7E181DD8"/>
    <w:rsid w:val="7E2C2C28"/>
    <w:rsid w:val="7E3C2CF2"/>
    <w:rsid w:val="7E48A7E0"/>
    <w:rsid w:val="7E83D490"/>
    <w:rsid w:val="7E938E5A"/>
    <w:rsid w:val="7E9CD5F2"/>
    <w:rsid w:val="7EA4A9FB"/>
    <w:rsid w:val="7EA6AC7A"/>
    <w:rsid w:val="7EC180B2"/>
    <w:rsid w:val="7EC71998"/>
    <w:rsid w:val="7EDC77BA"/>
    <w:rsid w:val="7EDE38C2"/>
    <w:rsid w:val="7EF3624C"/>
    <w:rsid w:val="7F003E37"/>
    <w:rsid w:val="7F06EA9D"/>
    <w:rsid w:val="7F0E8B86"/>
    <w:rsid w:val="7F27068E"/>
    <w:rsid w:val="7F4B93AD"/>
    <w:rsid w:val="7F771117"/>
    <w:rsid w:val="7F7DC181"/>
    <w:rsid w:val="7F8613AE"/>
    <w:rsid w:val="7FA95C7E"/>
    <w:rsid w:val="7FB043D5"/>
    <w:rsid w:val="7FC0B5AD"/>
    <w:rsid w:val="7FC1BEEB"/>
    <w:rsid w:val="7FE0794F"/>
    <w:rsid w:val="7FEC5CEE"/>
    <w:rsid w:val="7FF351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14AA1EA8-B48C-4AA0-8128-FA37EC50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9" w:unhideWhenUsed="1" w:qFormat="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B0E"/>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4D587B"/>
    <w:pPr>
      <w:keepNext/>
      <w:tabs>
        <w:tab w:val="clear" w:pos="567"/>
      </w:tabs>
      <w:spacing w:before="160"/>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2078E2"/>
    <w:pPr>
      <w:spacing w:before="40" w:line="240" w:lineRule="auto"/>
      <w:ind w:left="170" w:hanging="170"/>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2078E2"/>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 w:val="clear" w:pos="2268"/>
      </w:tabs>
      <w:spacing w:after="80" w:line="320" w:lineRule="atLeast"/>
      <w:ind w:left="567"/>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styleId="NormalIndent">
    <w:name w:val="Normal Indent"/>
    <w:basedOn w:val="Normal"/>
    <w:uiPriority w:val="9"/>
    <w:qFormat/>
    <w:rsid w:val="00207800"/>
    <w:pPr>
      <w:tabs>
        <w:tab w:val="clear" w:pos="567"/>
      </w:tabs>
      <w:spacing w:after="120" w:line="264" w:lineRule="auto"/>
      <w:ind w:left="792"/>
    </w:pPr>
    <w:rPr>
      <w:rFonts w:asciiTheme="minorHAnsi" w:eastAsiaTheme="minorEastAsia" w:hAnsiTheme="minorHAnsi"/>
      <w:color w:val="000000" w:themeColor="text1"/>
      <w:szCs w:val="20"/>
      <w:lang w:eastAsia="en-AU"/>
    </w:rPr>
  </w:style>
  <w:style w:type="paragraph" w:customStyle="1" w:styleId="BoxText">
    <w:name w:val="Box Text"/>
    <w:basedOn w:val="Normal"/>
    <w:link w:val="BoxTextChar"/>
    <w:qFormat/>
    <w:rsid w:val="00014D34"/>
    <w:pPr>
      <w:keepLines/>
      <w:pBdr>
        <w:top w:val="single" w:sz="4" w:space="4" w:color="DDDDDD"/>
        <w:left w:val="single" w:sz="4" w:space="4" w:color="DDDDDD"/>
        <w:bottom w:val="single" w:sz="4" w:space="4" w:color="DDDDDD"/>
        <w:right w:val="single" w:sz="4" w:space="4" w:color="DDDDDD"/>
      </w:pBdr>
      <w:shd w:val="clear" w:color="auto" w:fill="BFBFBF" w:themeFill="text1" w:themeFillTint="40"/>
      <w:tabs>
        <w:tab w:val="clear" w:pos="567"/>
      </w:tabs>
      <w:spacing w:before="0" w:after="120" w:line="280" w:lineRule="exact"/>
      <w:ind w:left="113" w:right="113"/>
      <w:jc w:val="both"/>
    </w:pPr>
    <w:rPr>
      <w:rFonts w:ascii="Arial" w:eastAsia="Times New Roman" w:hAnsi="Arial" w:cs="Times New Roman"/>
      <w:sz w:val="22"/>
      <w:szCs w:val="20"/>
    </w:rPr>
  </w:style>
  <w:style w:type="paragraph" w:customStyle="1" w:styleId="BoxHeading2">
    <w:name w:val="Box Heading 2"/>
    <w:basedOn w:val="Normal"/>
    <w:next w:val="Normal"/>
    <w:rsid w:val="00B65F11"/>
    <w:pPr>
      <w:keepNext/>
      <w:keepLines/>
      <w:pBdr>
        <w:top w:val="single" w:sz="4" w:space="4" w:color="DDDDDD"/>
        <w:left w:val="single" w:sz="4" w:space="4" w:color="DDDDDD"/>
        <w:bottom w:val="single" w:sz="4" w:space="4" w:color="DDDDDD"/>
        <w:right w:val="single" w:sz="4" w:space="4" w:color="DDDDDD"/>
      </w:pBdr>
      <w:shd w:val="clear" w:color="auto" w:fill="BFBFBF" w:themeFill="text1" w:themeFillTint="40"/>
      <w:tabs>
        <w:tab w:val="clear" w:pos="567"/>
      </w:tabs>
      <w:spacing w:after="120" w:line="280" w:lineRule="exact"/>
      <w:ind w:left="113" w:right="113"/>
    </w:pPr>
    <w:rPr>
      <w:rFonts w:ascii="Arial" w:eastAsia="Times New Roman" w:hAnsi="Arial" w:cs="Times New Roman"/>
      <w:b/>
      <w:sz w:val="22"/>
      <w:szCs w:val="20"/>
    </w:rPr>
  </w:style>
  <w:style w:type="paragraph" w:customStyle="1" w:styleId="Heading35">
    <w:name w:val="Heading 3.5"/>
    <w:aliases w:val="CGC 2025 Heading 3.5"/>
    <w:basedOn w:val="Heading2"/>
    <w:qFormat/>
    <w:rsid w:val="00C77095"/>
    <w:pPr>
      <w:spacing w:before="240" w:after="0" w:line="240" w:lineRule="auto"/>
    </w:pPr>
    <w:rPr>
      <w:i/>
      <w:sz w:val="26"/>
    </w:rPr>
  </w:style>
  <w:style w:type="paragraph" w:customStyle="1" w:styleId="Bullet">
    <w:name w:val="Bullet"/>
    <w:basedOn w:val="Normal"/>
    <w:link w:val="BulletChar"/>
    <w:rsid w:val="006411BF"/>
    <w:pPr>
      <w:numPr>
        <w:numId w:val="29"/>
      </w:numPr>
      <w:shd w:val="clear" w:color="auto" w:fill="E5F8FF"/>
    </w:pPr>
    <w:rPr>
      <w:rFonts w:ascii="Work Sans" w:eastAsia="Times New Roman" w:hAnsi="Work Sans" w:cs="Times New Roman"/>
      <w:szCs w:val="20"/>
    </w:rPr>
  </w:style>
  <w:style w:type="character" w:customStyle="1" w:styleId="BoxTextChar">
    <w:name w:val="Box Text Char"/>
    <w:basedOn w:val="DefaultParagraphFont"/>
    <w:link w:val="BoxText"/>
    <w:rsid w:val="006411BF"/>
    <w:rPr>
      <w:rFonts w:ascii="Arial" w:eastAsia="Times New Roman" w:hAnsi="Arial" w:cs="Times New Roman"/>
      <w:szCs w:val="20"/>
      <w:shd w:val="clear" w:color="auto" w:fill="BFBFBF" w:themeFill="text1" w:themeFillTint="40"/>
    </w:rPr>
  </w:style>
  <w:style w:type="character" w:customStyle="1" w:styleId="BulletChar">
    <w:name w:val="Bullet Char"/>
    <w:basedOn w:val="BoxTextChar"/>
    <w:link w:val="Bullet"/>
    <w:rsid w:val="006411BF"/>
    <w:rPr>
      <w:rFonts w:ascii="Work Sans" w:eastAsia="Times New Roman" w:hAnsi="Work Sans" w:cs="Times New Roman"/>
      <w:sz w:val="20"/>
      <w:szCs w:val="20"/>
      <w:shd w:val="clear" w:color="auto" w:fill="E5F8FF"/>
    </w:rPr>
  </w:style>
  <w:style w:type="paragraph" w:customStyle="1" w:styleId="Dash">
    <w:name w:val="Dash"/>
    <w:basedOn w:val="Normal"/>
    <w:link w:val="DashChar"/>
    <w:rsid w:val="006411BF"/>
    <w:pPr>
      <w:numPr>
        <w:ilvl w:val="1"/>
        <w:numId w:val="29"/>
      </w:numPr>
      <w:shd w:val="clear" w:color="auto" w:fill="E5F8FF"/>
    </w:pPr>
    <w:rPr>
      <w:rFonts w:ascii="Work Sans" w:eastAsia="Times New Roman" w:hAnsi="Work Sans" w:cs="Times New Roman"/>
      <w:szCs w:val="20"/>
    </w:rPr>
  </w:style>
  <w:style w:type="character" w:customStyle="1" w:styleId="DashChar">
    <w:name w:val="Dash Char"/>
    <w:basedOn w:val="BoxTextChar"/>
    <w:link w:val="Dash"/>
    <w:rsid w:val="006411BF"/>
    <w:rPr>
      <w:rFonts w:ascii="Work Sans" w:eastAsia="Times New Roman" w:hAnsi="Work Sans" w:cs="Times New Roman"/>
      <w:sz w:val="20"/>
      <w:szCs w:val="20"/>
      <w:shd w:val="clear" w:color="auto" w:fill="E5F8FF"/>
    </w:rPr>
  </w:style>
  <w:style w:type="paragraph" w:customStyle="1" w:styleId="DoubleDot">
    <w:name w:val="Double Dot"/>
    <w:basedOn w:val="Normal"/>
    <w:link w:val="DoubleDotChar"/>
    <w:rsid w:val="006411BF"/>
    <w:pPr>
      <w:numPr>
        <w:ilvl w:val="2"/>
        <w:numId w:val="29"/>
      </w:numPr>
      <w:shd w:val="clear" w:color="auto" w:fill="E5F8FF"/>
    </w:pPr>
    <w:rPr>
      <w:rFonts w:ascii="Work Sans" w:eastAsia="Times New Roman" w:hAnsi="Work Sans" w:cs="Times New Roman"/>
      <w:szCs w:val="20"/>
    </w:rPr>
  </w:style>
  <w:style w:type="character" w:customStyle="1" w:styleId="DoubleDotChar">
    <w:name w:val="Double Dot Char"/>
    <w:basedOn w:val="BoxTextChar"/>
    <w:link w:val="DoubleDot"/>
    <w:rsid w:val="006411BF"/>
    <w:rPr>
      <w:rFonts w:ascii="Work Sans" w:eastAsia="Times New Roman" w:hAnsi="Work Sans" w:cs="Times New Roman"/>
      <w:sz w:val="20"/>
      <w:szCs w:val="20"/>
      <w:shd w:val="clear" w:color="auto" w:fill="E5F8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9375218">
      <w:bodyDiv w:val="1"/>
      <w:marLeft w:val="0"/>
      <w:marRight w:val="0"/>
      <w:marTop w:val="0"/>
      <w:marBottom w:val="0"/>
      <w:divBdr>
        <w:top w:val="none" w:sz="0" w:space="0" w:color="auto"/>
        <w:left w:val="none" w:sz="0" w:space="0" w:color="auto"/>
        <w:bottom w:val="none" w:sz="0" w:space="0" w:color="auto"/>
        <w:right w:val="none" w:sz="0" w:space="0" w:color="auto"/>
      </w:divBdr>
    </w:div>
    <w:div w:id="16204118">
      <w:bodyDiv w:val="1"/>
      <w:marLeft w:val="0"/>
      <w:marRight w:val="0"/>
      <w:marTop w:val="0"/>
      <w:marBottom w:val="0"/>
      <w:divBdr>
        <w:top w:val="none" w:sz="0" w:space="0" w:color="auto"/>
        <w:left w:val="none" w:sz="0" w:space="0" w:color="auto"/>
        <w:bottom w:val="none" w:sz="0" w:space="0" w:color="auto"/>
        <w:right w:val="none" w:sz="0" w:space="0" w:color="auto"/>
      </w:divBdr>
    </w:div>
    <w:div w:id="18431086">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0206302">
      <w:bodyDiv w:val="1"/>
      <w:marLeft w:val="0"/>
      <w:marRight w:val="0"/>
      <w:marTop w:val="0"/>
      <w:marBottom w:val="0"/>
      <w:divBdr>
        <w:top w:val="none" w:sz="0" w:space="0" w:color="auto"/>
        <w:left w:val="none" w:sz="0" w:space="0" w:color="auto"/>
        <w:bottom w:val="none" w:sz="0" w:space="0" w:color="auto"/>
        <w:right w:val="none" w:sz="0" w:space="0" w:color="auto"/>
      </w:divBdr>
    </w:div>
    <w:div w:id="57286191">
      <w:bodyDiv w:val="1"/>
      <w:marLeft w:val="0"/>
      <w:marRight w:val="0"/>
      <w:marTop w:val="0"/>
      <w:marBottom w:val="0"/>
      <w:divBdr>
        <w:top w:val="none" w:sz="0" w:space="0" w:color="auto"/>
        <w:left w:val="none" w:sz="0" w:space="0" w:color="auto"/>
        <w:bottom w:val="none" w:sz="0" w:space="0" w:color="auto"/>
        <w:right w:val="none" w:sz="0" w:space="0" w:color="auto"/>
      </w:divBdr>
    </w:div>
    <w:div w:id="67507916">
      <w:bodyDiv w:val="1"/>
      <w:marLeft w:val="0"/>
      <w:marRight w:val="0"/>
      <w:marTop w:val="0"/>
      <w:marBottom w:val="0"/>
      <w:divBdr>
        <w:top w:val="none" w:sz="0" w:space="0" w:color="auto"/>
        <w:left w:val="none" w:sz="0" w:space="0" w:color="auto"/>
        <w:bottom w:val="none" w:sz="0" w:space="0" w:color="auto"/>
        <w:right w:val="none" w:sz="0" w:space="0" w:color="auto"/>
      </w:divBdr>
    </w:div>
    <w:div w:id="73011665">
      <w:bodyDiv w:val="1"/>
      <w:marLeft w:val="0"/>
      <w:marRight w:val="0"/>
      <w:marTop w:val="0"/>
      <w:marBottom w:val="0"/>
      <w:divBdr>
        <w:top w:val="none" w:sz="0" w:space="0" w:color="auto"/>
        <w:left w:val="none" w:sz="0" w:space="0" w:color="auto"/>
        <w:bottom w:val="none" w:sz="0" w:space="0" w:color="auto"/>
        <w:right w:val="none" w:sz="0" w:space="0" w:color="auto"/>
      </w:divBdr>
    </w:div>
    <w:div w:id="80295272">
      <w:bodyDiv w:val="1"/>
      <w:marLeft w:val="0"/>
      <w:marRight w:val="0"/>
      <w:marTop w:val="0"/>
      <w:marBottom w:val="0"/>
      <w:divBdr>
        <w:top w:val="none" w:sz="0" w:space="0" w:color="auto"/>
        <w:left w:val="none" w:sz="0" w:space="0" w:color="auto"/>
        <w:bottom w:val="none" w:sz="0" w:space="0" w:color="auto"/>
        <w:right w:val="none" w:sz="0" w:space="0" w:color="auto"/>
      </w:divBdr>
    </w:div>
    <w:div w:id="82384809">
      <w:bodyDiv w:val="1"/>
      <w:marLeft w:val="0"/>
      <w:marRight w:val="0"/>
      <w:marTop w:val="0"/>
      <w:marBottom w:val="0"/>
      <w:divBdr>
        <w:top w:val="none" w:sz="0" w:space="0" w:color="auto"/>
        <w:left w:val="none" w:sz="0" w:space="0" w:color="auto"/>
        <w:bottom w:val="none" w:sz="0" w:space="0" w:color="auto"/>
        <w:right w:val="none" w:sz="0" w:space="0" w:color="auto"/>
      </w:divBdr>
    </w:div>
    <w:div w:id="90247896">
      <w:bodyDiv w:val="1"/>
      <w:marLeft w:val="0"/>
      <w:marRight w:val="0"/>
      <w:marTop w:val="0"/>
      <w:marBottom w:val="0"/>
      <w:divBdr>
        <w:top w:val="none" w:sz="0" w:space="0" w:color="auto"/>
        <w:left w:val="none" w:sz="0" w:space="0" w:color="auto"/>
        <w:bottom w:val="none" w:sz="0" w:space="0" w:color="auto"/>
        <w:right w:val="none" w:sz="0" w:space="0" w:color="auto"/>
      </w:divBdr>
    </w:div>
    <w:div w:id="91122413">
      <w:bodyDiv w:val="1"/>
      <w:marLeft w:val="0"/>
      <w:marRight w:val="0"/>
      <w:marTop w:val="0"/>
      <w:marBottom w:val="0"/>
      <w:divBdr>
        <w:top w:val="none" w:sz="0" w:space="0" w:color="auto"/>
        <w:left w:val="none" w:sz="0" w:space="0" w:color="auto"/>
        <w:bottom w:val="none" w:sz="0" w:space="0" w:color="auto"/>
        <w:right w:val="none" w:sz="0" w:space="0" w:color="auto"/>
      </w:divBdr>
    </w:div>
    <w:div w:id="93400067">
      <w:bodyDiv w:val="1"/>
      <w:marLeft w:val="0"/>
      <w:marRight w:val="0"/>
      <w:marTop w:val="0"/>
      <w:marBottom w:val="0"/>
      <w:divBdr>
        <w:top w:val="none" w:sz="0" w:space="0" w:color="auto"/>
        <w:left w:val="none" w:sz="0" w:space="0" w:color="auto"/>
        <w:bottom w:val="none" w:sz="0" w:space="0" w:color="auto"/>
        <w:right w:val="none" w:sz="0" w:space="0" w:color="auto"/>
      </w:divBdr>
    </w:div>
    <w:div w:id="98188848">
      <w:bodyDiv w:val="1"/>
      <w:marLeft w:val="0"/>
      <w:marRight w:val="0"/>
      <w:marTop w:val="0"/>
      <w:marBottom w:val="0"/>
      <w:divBdr>
        <w:top w:val="none" w:sz="0" w:space="0" w:color="auto"/>
        <w:left w:val="none" w:sz="0" w:space="0" w:color="auto"/>
        <w:bottom w:val="none" w:sz="0" w:space="0" w:color="auto"/>
        <w:right w:val="none" w:sz="0" w:space="0" w:color="auto"/>
      </w:divBdr>
    </w:div>
    <w:div w:id="115950714">
      <w:bodyDiv w:val="1"/>
      <w:marLeft w:val="0"/>
      <w:marRight w:val="0"/>
      <w:marTop w:val="0"/>
      <w:marBottom w:val="0"/>
      <w:divBdr>
        <w:top w:val="none" w:sz="0" w:space="0" w:color="auto"/>
        <w:left w:val="none" w:sz="0" w:space="0" w:color="auto"/>
        <w:bottom w:val="none" w:sz="0" w:space="0" w:color="auto"/>
        <w:right w:val="none" w:sz="0" w:space="0" w:color="auto"/>
      </w:divBdr>
    </w:div>
    <w:div w:id="122500056">
      <w:bodyDiv w:val="1"/>
      <w:marLeft w:val="0"/>
      <w:marRight w:val="0"/>
      <w:marTop w:val="0"/>
      <w:marBottom w:val="0"/>
      <w:divBdr>
        <w:top w:val="none" w:sz="0" w:space="0" w:color="auto"/>
        <w:left w:val="none" w:sz="0" w:space="0" w:color="auto"/>
        <w:bottom w:val="none" w:sz="0" w:space="0" w:color="auto"/>
        <w:right w:val="none" w:sz="0" w:space="0" w:color="auto"/>
      </w:divBdr>
    </w:div>
    <w:div w:id="122894951">
      <w:bodyDiv w:val="1"/>
      <w:marLeft w:val="0"/>
      <w:marRight w:val="0"/>
      <w:marTop w:val="0"/>
      <w:marBottom w:val="0"/>
      <w:divBdr>
        <w:top w:val="none" w:sz="0" w:space="0" w:color="auto"/>
        <w:left w:val="none" w:sz="0" w:space="0" w:color="auto"/>
        <w:bottom w:val="none" w:sz="0" w:space="0" w:color="auto"/>
        <w:right w:val="none" w:sz="0" w:space="0" w:color="auto"/>
      </w:divBdr>
    </w:div>
    <w:div w:id="148136779">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60976915">
      <w:bodyDiv w:val="1"/>
      <w:marLeft w:val="0"/>
      <w:marRight w:val="0"/>
      <w:marTop w:val="0"/>
      <w:marBottom w:val="0"/>
      <w:divBdr>
        <w:top w:val="none" w:sz="0" w:space="0" w:color="auto"/>
        <w:left w:val="none" w:sz="0" w:space="0" w:color="auto"/>
        <w:bottom w:val="none" w:sz="0" w:space="0" w:color="auto"/>
        <w:right w:val="none" w:sz="0" w:space="0" w:color="auto"/>
      </w:divBdr>
    </w:div>
    <w:div w:id="166602037">
      <w:bodyDiv w:val="1"/>
      <w:marLeft w:val="0"/>
      <w:marRight w:val="0"/>
      <w:marTop w:val="0"/>
      <w:marBottom w:val="0"/>
      <w:divBdr>
        <w:top w:val="none" w:sz="0" w:space="0" w:color="auto"/>
        <w:left w:val="none" w:sz="0" w:space="0" w:color="auto"/>
        <w:bottom w:val="none" w:sz="0" w:space="0" w:color="auto"/>
        <w:right w:val="none" w:sz="0" w:space="0" w:color="auto"/>
      </w:divBdr>
    </w:div>
    <w:div w:id="168066210">
      <w:bodyDiv w:val="1"/>
      <w:marLeft w:val="0"/>
      <w:marRight w:val="0"/>
      <w:marTop w:val="0"/>
      <w:marBottom w:val="0"/>
      <w:divBdr>
        <w:top w:val="none" w:sz="0" w:space="0" w:color="auto"/>
        <w:left w:val="none" w:sz="0" w:space="0" w:color="auto"/>
        <w:bottom w:val="none" w:sz="0" w:space="0" w:color="auto"/>
        <w:right w:val="none" w:sz="0" w:space="0" w:color="auto"/>
      </w:divBdr>
    </w:div>
    <w:div w:id="185801808">
      <w:bodyDiv w:val="1"/>
      <w:marLeft w:val="0"/>
      <w:marRight w:val="0"/>
      <w:marTop w:val="0"/>
      <w:marBottom w:val="0"/>
      <w:divBdr>
        <w:top w:val="none" w:sz="0" w:space="0" w:color="auto"/>
        <w:left w:val="none" w:sz="0" w:space="0" w:color="auto"/>
        <w:bottom w:val="none" w:sz="0" w:space="0" w:color="auto"/>
        <w:right w:val="none" w:sz="0" w:space="0" w:color="auto"/>
      </w:divBdr>
    </w:div>
    <w:div w:id="187381055">
      <w:bodyDiv w:val="1"/>
      <w:marLeft w:val="0"/>
      <w:marRight w:val="0"/>
      <w:marTop w:val="0"/>
      <w:marBottom w:val="0"/>
      <w:divBdr>
        <w:top w:val="none" w:sz="0" w:space="0" w:color="auto"/>
        <w:left w:val="none" w:sz="0" w:space="0" w:color="auto"/>
        <w:bottom w:val="none" w:sz="0" w:space="0" w:color="auto"/>
        <w:right w:val="none" w:sz="0" w:space="0" w:color="auto"/>
      </w:divBdr>
    </w:div>
    <w:div w:id="207106235">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18901815">
      <w:bodyDiv w:val="1"/>
      <w:marLeft w:val="0"/>
      <w:marRight w:val="0"/>
      <w:marTop w:val="0"/>
      <w:marBottom w:val="0"/>
      <w:divBdr>
        <w:top w:val="none" w:sz="0" w:space="0" w:color="auto"/>
        <w:left w:val="none" w:sz="0" w:space="0" w:color="auto"/>
        <w:bottom w:val="none" w:sz="0" w:space="0" w:color="auto"/>
        <w:right w:val="none" w:sz="0" w:space="0" w:color="auto"/>
      </w:divBdr>
    </w:div>
    <w:div w:id="232550991">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611041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69778447">
      <w:bodyDiv w:val="1"/>
      <w:marLeft w:val="0"/>
      <w:marRight w:val="0"/>
      <w:marTop w:val="0"/>
      <w:marBottom w:val="0"/>
      <w:divBdr>
        <w:top w:val="none" w:sz="0" w:space="0" w:color="auto"/>
        <w:left w:val="none" w:sz="0" w:space="0" w:color="auto"/>
        <w:bottom w:val="none" w:sz="0" w:space="0" w:color="auto"/>
        <w:right w:val="none" w:sz="0" w:space="0" w:color="auto"/>
      </w:divBdr>
    </w:div>
    <w:div w:id="271933773">
      <w:bodyDiv w:val="1"/>
      <w:marLeft w:val="0"/>
      <w:marRight w:val="0"/>
      <w:marTop w:val="0"/>
      <w:marBottom w:val="0"/>
      <w:divBdr>
        <w:top w:val="none" w:sz="0" w:space="0" w:color="auto"/>
        <w:left w:val="none" w:sz="0" w:space="0" w:color="auto"/>
        <w:bottom w:val="none" w:sz="0" w:space="0" w:color="auto"/>
        <w:right w:val="none" w:sz="0" w:space="0" w:color="auto"/>
      </w:divBdr>
    </w:div>
    <w:div w:id="272906428">
      <w:bodyDiv w:val="1"/>
      <w:marLeft w:val="0"/>
      <w:marRight w:val="0"/>
      <w:marTop w:val="0"/>
      <w:marBottom w:val="0"/>
      <w:divBdr>
        <w:top w:val="none" w:sz="0" w:space="0" w:color="auto"/>
        <w:left w:val="none" w:sz="0" w:space="0" w:color="auto"/>
        <w:bottom w:val="none" w:sz="0" w:space="0" w:color="auto"/>
        <w:right w:val="none" w:sz="0" w:space="0" w:color="auto"/>
      </w:divBdr>
    </w:div>
    <w:div w:id="275019874">
      <w:bodyDiv w:val="1"/>
      <w:marLeft w:val="0"/>
      <w:marRight w:val="0"/>
      <w:marTop w:val="0"/>
      <w:marBottom w:val="0"/>
      <w:divBdr>
        <w:top w:val="none" w:sz="0" w:space="0" w:color="auto"/>
        <w:left w:val="none" w:sz="0" w:space="0" w:color="auto"/>
        <w:bottom w:val="none" w:sz="0" w:space="0" w:color="auto"/>
        <w:right w:val="none" w:sz="0" w:space="0" w:color="auto"/>
      </w:divBdr>
    </w:div>
    <w:div w:id="276134159">
      <w:bodyDiv w:val="1"/>
      <w:marLeft w:val="0"/>
      <w:marRight w:val="0"/>
      <w:marTop w:val="0"/>
      <w:marBottom w:val="0"/>
      <w:divBdr>
        <w:top w:val="none" w:sz="0" w:space="0" w:color="auto"/>
        <w:left w:val="none" w:sz="0" w:space="0" w:color="auto"/>
        <w:bottom w:val="none" w:sz="0" w:space="0" w:color="auto"/>
        <w:right w:val="none" w:sz="0" w:space="0" w:color="auto"/>
      </w:divBdr>
    </w:div>
    <w:div w:id="278729577">
      <w:bodyDiv w:val="1"/>
      <w:marLeft w:val="0"/>
      <w:marRight w:val="0"/>
      <w:marTop w:val="0"/>
      <w:marBottom w:val="0"/>
      <w:divBdr>
        <w:top w:val="none" w:sz="0" w:space="0" w:color="auto"/>
        <w:left w:val="none" w:sz="0" w:space="0" w:color="auto"/>
        <w:bottom w:val="none" w:sz="0" w:space="0" w:color="auto"/>
        <w:right w:val="none" w:sz="0" w:space="0" w:color="auto"/>
      </w:divBdr>
    </w:div>
    <w:div w:id="283461308">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00424917">
      <w:bodyDiv w:val="1"/>
      <w:marLeft w:val="0"/>
      <w:marRight w:val="0"/>
      <w:marTop w:val="0"/>
      <w:marBottom w:val="0"/>
      <w:divBdr>
        <w:top w:val="none" w:sz="0" w:space="0" w:color="auto"/>
        <w:left w:val="none" w:sz="0" w:space="0" w:color="auto"/>
        <w:bottom w:val="none" w:sz="0" w:space="0" w:color="auto"/>
        <w:right w:val="none" w:sz="0" w:space="0" w:color="auto"/>
      </w:divBdr>
    </w:div>
    <w:div w:id="310673355">
      <w:bodyDiv w:val="1"/>
      <w:marLeft w:val="0"/>
      <w:marRight w:val="0"/>
      <w:marTop w:val="0"/>
      <w:marBottom w:val="0"/>
      <w:divBdr>
        <w:top w:val="none" w:sz="0" w:space="0" w:color="auto"/>
        <w:left w:val="none" w:sz="0" w:space="0" w:color="auto"/>
        <w:bottom w:val="none" w:sz="0" w:space="0" w:color="auto"/>
        <w:right w:val="none" w:sz="0" w:space="0" w:color="auto"/>
      </w:divBdr>
    </w:div>
    <w:div w:id="315260445">
      <w:bodyDiv w:val="1"/>
      <w:marLeft w:val="0"/>
      <w:marRight w:val="0"/>
      <w:marTop w:val="0"/>
      <w:marBottom w:val="0"/>
      <w:divBdr>
        <w:top w:val="none" w:sz="0" w:space="0" w:color="auto"/>
        <w:left w:val="none" w:sz="0" w:space="0" w:color="auto"/>
        <w:bottom w:val="none" w:sz="0" w:space="0" w:color="auto"/>
        <w:right w:val="none" w:sz="0" w:space="0" w:color="auto"/>
      </w:divBdr>
    </w:div>
    <w:div w:id="319232141">
      <w:bodyDiv w:val="1"/>
      <w:marLeft w:val="0"/>
      <w:marRight w:val="0"/>
      <w:marTop w:val="0"/>
      <w:marBottom w:val="0"/>
      <w:divBdr>
        <w:top w:val="none" w:sz="0" w:space="0" w:color="auto"/>
        <w:left w:val="none" w:sz="0" w:space="0" w:color="auto"/>
        <w:bottom w:val="none" w:sz="0" w:space="0" w:color="auto"/>
        <w:right w:val="none" w:sz="0" w:space="0" w:color="auto"/>
      </w:divBdr>
    </w:div>
    <w:div w:id="331614923">
      <w:bodyDiv w:val="1"/>
      <w:marLeft w:val="0"/>
      <w:marRight w:val="0"/>
      <w:marTop w:val="0"/>
      <w:marBottom w:val="0"/>
      <w:divBdr>
        <w:top w:val="none" w:sz="0" w:space="0" w:color="auto"/>
        <w:left w:val="none" w:sz="0" w:space="0" w:color="auto"/>
        <w:bottom w:val="none" w:sz="0" w:space="0" w:color="auto"/>
        <w:right w:val="none" w:sz="0" w:space="0" w:color="auto"/>
      </w:divBdr>
    </w:div>
    <w:div w:id="336199872">
      <w:bodyDiv w:val="1"/>
      <w:marLeft w:val="0"/>
      <w:marRight w:val="0"/>
      <w:marTop w:val="0"/>
      <w:marBottom w:val="0"/>
      <w:divBdr>
        <w:top w:val="none" w:sz="0" w:space="0" w:color="auto"/>
        <w:left w:val="none" w:sz="0" w:space="0" w:color="auto"/>
        <w:bottom w:val="none" w:sz="0" w:space="0" w:color="auto"/>
        <w:right w:val="none" w:sz="0" w:space="0" w:color="auto"/>
      </w:divBdr>
    </w:div>
    <w:div w:id="341012920">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66639238">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00251891">
      <w:bodyDiv w:val="1"/>
      <w:marLeft w:val="0"/>
      <w:marRight w:val="0"/>
      <w:marTop w:val="0"/>
      <w:marBottom w:val="0"/>
      <w:divBdr>
        <w:top w:val="none" w:sz="0" w:space="0" w:color="auto"/>
        <w:left w:val="none" w:sz="0" w:space="0" w:color="auto"/>
        <w:bottom w:val="none" w:sz="0" w:space="0" w:color="auto"/>
        <w:right w:val="none" w:sz="0" w:space="0" w:color="auto"/>
      </w:divBdr>
    </w:div>
    <w:div w:id="401022422">
      <w:bodyDiv w:val="1"/>
      <w:marLeft w:val="0"/>
      <w:marRight w:val="0"/>
      <w:marTop w:val="0"/>
      <w:marBottom w:val="0"/>
      <w:divBdr>
        <w:top w:val="none" w:sz="0" w:space="0" w:color="auto"/>
        <w:left w:val="none" w:sz="0" w:space="0" w:color="auto"/>
        <w:bottom w:val="none" w:sz="0" w:space="0" w:color="auto"/>
        <w:right w:val="none" w:sz="0" w:space="0" w:color="auto"/>
      </w:divBdr>
    </w:div>
    <w:div w:id="421680236">
      <w:bodyDiv w:val="1"/>
      <w:marLeft w:val="0"/>
      <w:marRight w:val="0"/>
      <w:marTop w:val="0"/>
      <w:marBottom w:val="0"/>
      <w:divBdr>
        <w:top w:val="none" w:sz="0" w:space="0" w:color="auto"/>
        <w:left w:val="none" w:sz="0" w:space="0" w:color="auto"/>
        <w:bottom w:val="none" w:sz="0" w:space="0" w:color="auto"/>
        <w:right w:val="none" w:sz="0" w:space="0" w:color="auto"/>
      </w:divBdr>
    </w:div>
    <w:div w:id="430274128">
      <w:bodyDiv w:val="1"/>
      <w:marLeft w:val="0"/>
      <w:marRight w:val="0"/>
      <w:marTop w:val="0"/>
      <w:marBottom w:val="0"/>
      <w:divBdr>
        <w:top w:val="none" w:sz="0" w:space="0" w:color="auto"/>
        <w:left w:val="none" w:sz="0" w:space="0" w:color="auto"/>
        <w:bottom w:val="none" w:sz="0" w:space="0" w:color="auto"/>
        <w:right w:val="none" w:sz="0" w:space="0" w:color="auto"/>
      </w:divBdr>
    </w:div>
    <w:div w:id="436367106">
      <w:bodyDiv w:val="1"/>
      <w:marLeft w:val="0"/>
      <w:marRight w:val="0"/>
      <w:marTop w:val="0"/>
      <w:marBottom w:val="0"/>
      <w:divBdr>
        <w:top w:val="none" w:sz="0" w:space="0" w:color="auto"/>
        <w:left w:val="none" w:sz="0" w:space="0" w:color="auto"/>
        <w:bottom w:val="none" w:sz="0" w:space="0" w:color="auto"/>
        <w:right w:val="none" w:sz="0" w:space="0" w:color="auto"/>
      </w:divBdr>
    </w:div>
    <w:div w:id="437221760">
      <w:bodyDiv w:val="1"/>
      <w:marLeft w:val="0"/>
      <w:marRight w:val="0"/>
      <w:marTop w:val="0"/>
      <w:marBottom w:val="0"/>
      <w:divBdr>
        <w:top w:val="none" w:sz="0" w:space="0" w:color="auto"/>
        <w:left w:val="none" w:sz="0" w:space="0" w:color="auto"/>
        <w:bottom w:val="none" w:sz="0" w:space="0" w:color="auto"/>
        <w:right w:val="none" w:sz="0" w:space="0" w:color="auto"/>
      </w:divBdr>
    </w:div>
    <w:div w:id="441267580">
      <w:bodyDiv w:val="1"/>
      <w:marLeft w:val="0"/>
      <w:marRight w:val="0"/>
      <w:marTop w:val="0"/>
      <w:marBottom w:val="0"/>
      <w:divBdr>
        <w:top w:val="none" w:sz="0" w:space="0" w:color="auto"/>
        <w:left w:val="none" w:sz="0" w:space="0" w:color="auto"/>
        <w:bottom w:val="none" w:sz="0" w:space="0" w:color="auto"/>
        <w:right w:val="none" w:sz="0" w:space="0" w:color="auto"/>
      </w:divBdr>
    </w:div>
    <w:div w:id="446697305">
      <w:bodyDiv w:val="1"/>
      <w:marLeft w:val="0"/>
      <w:marRight w:val="0"/>
      <w:marTop w:val="0"/>
      <w:marBottom w:val="0"/>
      <w:divBdr>
        <w:top w:val="none" w:sz="0" w:space="0" w:color="auto"/>
        <w:left w:val="none" w:sz="0" w:space="0" w:color="auto"/>
        <w:bottom w:val="none" w:sz="0" w:space="0" w:color="auto"/>
        <w:right w:val="none" w:sz="0" w:space="0" w:color="auto"/>
      </w:divBdr>
    </w:div>
    <w:div w:id="447818369">
      <w:bodyDiv w:val="1"/>
      <w:marLeft w:val="0"/>
      <w:marRight w:val="0"/>
      <w:marTop w:val="0"/>
      <w:marBottom w:val="0"/>
      <w:divBdr>
        <w:top w:val="none" w:sz="0" w:space="0" w:color="auto"/>
        <w:left w:val="none" w:sz="0" w:space="0" w:color="auto"/>
        <w:bottom w:val="none" w:sz="0" w:space="0" w:color="auto"/>
        <w:right w:val="none" w:sz="0" w:space="0" w:color="auto"/>
      </w:divBdr>
    </w:div>
    <w:div w:id="469203440">
      <w:bodyDiv w:val="1"/>
      <w:marLeft w:val="0"/>
      <w:marRight w:val="0"/>
      <w:marTop w:val="0"/>
      <w:marBottom w:val="0"/>
      <w:divBdr>
        <w:top w:val="none" w:sz="0" w:space="0" w:color="auto"/>
        <w:left w:val="none" w:sz="0" w:space="0" w:color="auto"/>
        <w:bottom w:val="none" w:sz="0" w:space="0" w:color="auto"/>
        <w:right w:val="none" w:sz="0" w:space="0" w:color="auto"/>
      </w:divBdr>
    </w:div>
    <w:div w:id="469592876">
      <w:bodyDiv w:val="1"/>
      <w:marLeft w:val="0"/>
      <w:marRight w:val="0"/>
      <w:marTop w:val="0"/>
      <w:marBottom w:val="0"/>
      <w:divBdr>
        <w:top w:val="none" w:sz="0" w:space="0" w:color="auto"/>
        <w:left w:val="none" w:sz="0" w:space="0" w:color="auto"/>
        <w:bottom w:val="none" w:sz="0" w:space="0" w:color="auto"/>
        <w:right w:val="none" w:sz="0" w:space="0" w:color="auto"/>
      </w:divBdr>
    </w:div>
    <w:div w:id="484974968">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33886983">
      <w:bodyDiv w:val="1"/>
      <w:marLeft w:val="0"/>
      <w:marRight w:val="0"/>
      <w:marTop w:val="0"/>
      <w:marBottom w:val="0"/>
      <w:divBdr>
        <w:top w:val="none" w:sz="0" w:space="0" w:color="auto"/>
        <w:left w:val="none" w:sz="0" w:space="0" w:color="auto"/>
        <w:bottom w:val="none" w:sz="0" w:space="0" w:color="auto"/>
        <w:right w:val="none" w:sz="0" w:space="0" w:color="auto"/>
      </w:divBdr>
    </w:div>
    <w:div w:id="538055371">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47762468">
      <w:bodyDiv w:val="1"/>
      <w:marLeft w:val="0"/>
      <w:marRight w:val="0"/>
      <w:marTop w:val="0"/>
      <w:marBottom w:val="0"/>
      <w:divBdr>
        <w:top w:val="none" w:sz="0" w:space="0" w:color="auto"/>
        <w:left w:val="none" w:sz="0" w:space="0" w:color="auto"/>
        <w:bottom w:val="none" w:sz="0" w:space="0" w:color="auto"/>
        <w:right w:val="none" w:sz="0" w:space="0" w:color="auto"/>
      </w:divBdr>
    </w:div>
    <w:div w:id="551504059">
      <w:bodyDiv w:val="1"/>
      <w:marLeft w:val="0"/>
      <w:marRight w:val="0"/>
      <w:marTop w:val="0"/>
      <w:marBottom w:val="0"/>
      <w:divBdr>
        <w:top w:val="none" w:sz="0" w:space="0" w:color="auto"/>
        <w:left w:val="none" w:sz="0" w:space="0" w:color="auto"/>
        <w:bottom w:val="none" w:sz="0" w:space="0" w:color="auto"/>
        <w:right w:val="none" w:sz="0" w:space="0" w:color="auto"/>
      </w:divBdr>
    </w:div>
    <w:div w:id="560215971">
      <w:bodyDiv w:val="1"/>
      <w:marLeft w:val="0"/>
      <w:marRight w:val="0"/>
      <w:marTop w:val="0"/>
      <w:marBottom w:val="0"/>
      <w:divBdr>
        <w:top w:val="none" w:sz="0" w:space="0" w:color="auto"/>
        <w:left w:val="none" w:sz="0" w:space="0" w:color="auto"/>
        <w:bottom w:val="none" w:sz="0" w:space="0" w:color="auto"/>
        <w:right w:val="none" w:sz="0" w:space="0" w:color="auto"/>
      </w:divBdr>
    </w:div>
    <w:div w:id="566839828">
      <w:bodyDiv w:val="1"/>
      <w:marLeft w:val="0"/>
      <w:marRight w:val="0"/>
      <w:marTop w:val="0"/>
      <w:marBottom w:val="0"/>
      <w:divBdr>
        <w:top w:val="none" w:sz="0" w:space="0" w:color="auto"/>
        <w:left w:val="none" w:sz="0" w:space="0" w:color="auto"/>
        <w:bottom w:val="none" w:sz="0" w:space="0" w:color="auto"/>
        <w:right w:val="none" w:sz="0" w:space="0" w:color="auto"/>
      </w:divBdr>
    </w:div>
    <w:div w:id="566887948">
      <w:bodyDiv w:val="1"/>
      <w:marLeft w:val="0"/>
      <w:marRight w:val="0"/>
      <w:marTop w:val="0"/>
      <w:marBottom w:val="0"/>
      <w:divBdr>
        <w:top w:val="none" w:sz="0" w:space="0" w:color="auto"/>
        <w:left w:val="none" w:sz="0" w:space="0" w:color="auto"/>
        <w:bottom w:val="none" w:sz="0" w:space="0" w:color="auto"/>
        <w:right w:val="none" w:sz="0" w:space="0" w:color="auto"/>
      </w:divBdr>
    </w:div>
    <w:div w:id="566957191">
      <w:bodyDiv w:val="1"/>
      <w:marLeft w:val="0"/>
      <w:marRight w:val="0"/>
      <w:marTop w:val="0"/>
      <w:marBottom w:val="0"/>
      <w:divBdr>
        <w:top w:val="none" w:sz="0" w:space="0" w:color="auto"/>
        <w:left w:val="none" w:sz="0" w:space="0" w:color="auto"/>
        <w:bottom w:val="none" w:sz="0" w:space="0" w:color="auto"/>
        <w:right w:val="none" w:sz="0" w:space="0" w:color="auto"/>
      </w:divBdr>
    </w:div>
    <w:div w:id="575358507">
      <w:bodyDiv w:val="1"/>
      <w:marLeft w:val="0"/>
      <w:marRight w:val="0"/>
      <w:marTop w:val="0"/>
      <w:marBottom w:val="0"/>
      <w:divBdr>
        <w:top w:val="none" w:sz="0" w:space="0" w:color="auto"/>
        <w:left w:val="none" w:sz="0" w:space="0" w:color="auto"/>
        <w:bottom w:val="none" w:sz="0" w:space="0" w:color="auto"/>
        <w:right w:val="none" w:sz="0" w:space="0" w:color="auto"/>
      </w:divBdr>
    </w:div>
    <w:div w:id="580875851">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8788238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0817837">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24771099">
      <w:bodyDiv w:val="1"/>
      <w:marLeft w:val="0"/>
      <w:marRight w:val="0"/>
      <w:marTop w:val="0"/>
      <w:marBottom w:val="0"/>
      <w:divBdr>
        <w:top w:val="none" w:sz="0" w:space="0" w:color="auto"/>
        <w:left w:val="none" w:sz="0" w:space="0" w:color="auto"/>
        <w:bottom w:val="none" w:sz="0" w:space="0" w:color="auto"/>
        <w:right w:val="none" w:sz="0" w:space="0" w:color="auto"/>
      </w:divBdr>
    </w:div>
    <w:div w:id="625811822">
      <w:bodyDiv w:val="1"/>
      <w:marLeft w:val="0"/>
      <w:marRight w:val="0"/>
      <w:marTop w:val="0"/>
      <w:marBottom w:val="0"/>
      <w:divBdr>
        <w:top w:val="none" w:sz="0" w:space="0" w:color="auto"/>
        <w:left w:val="none" w:sz="0" w:space="0" w:color="auto"/>
        <w:bottom w:val="none" w:sz="0" w:space="0" w:color="auto"/>
        <w:right w:val="none" w:sz="0" w:space="0" w:color="auto"/>
      </w:divBdr>
    </w:div>
    <w:div w:id="626738073">
      <w:bodyDiv w:val="1"/>
      <w:marLeft w:val="0"/>
      <w:marRight w:val="0"/>
      <w:marTop w:val="0"/>
      <w:marBottom w:val="0"/>
      <w:divBdr>
        <w:top w:val="none" w:sz="0" w:space="0" w:color="auto"/>
        <w:left w:val="none" w:sz="0" w:space="0" w:color="auto"/>
        <w:bottom w:val="none" w:sz="0" w:space="0" w:color="auto"/>
        <w:right w:val="none" w:sz="0" w:space="0" w:color="auto"/>
      </w:divBdr>
    </w:div>
    <w:div w:id="630331746">
      <w:bodyDiv w:val="1"/>
      <w:marLeft w:val="0"/>
      <w:marRight w:val="0"/>
      <w:marTop w:val="0"/>
      <w:marBottom w:val="0"/>
      <w:divBdr>
        <w:top w:val="none" w:sz="0" w:space="0" w:color="auto"/>
        <w:left w:val="none" w:sz="0" w:space="0" w:color="auto"/>
        <w:bottom w:val="none" w:sz="0" w:space="0" w:color="auto"/>
        <w:right w:val="none" w:sz="0" w:space="0" w:color="auto"/>
      </w:divBdr>
    </w:div>
    <w:div w:id="631248895">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91422621">
      <w:bodyDiv w:val="1"/>
      <w:marLeft w:val="0"/>
      <w:marRight w:val="0"/>
      <w:marTop w:val="0"/>
      <w:marBottom w:val="0"/>
      <w:divBdr>
        <w:top w:val="none" w:sz="0" w:space="0" w:color="auto"/>
        <w:left w:val="none" w:sz="0" w:space="0" w:color="auto"/>
        <w:bottom w:val="none" w:sz="0" w:space="0" w:color="auto"/>
        <w:right w:val="none" w:sz="0" w:space="0" w:color="auto"/>
      </w:divBdr>
    </w:div>
    <w:div w:id="691876152">
      <w:bodyDiv w:val="1"/>
      <w:marLeft w:val="0"/>
      <w:marRight w:val="0"/>
      <w:marTop w:val="0"/>
      <w:marBottom w:val="0"/>
      <w:divBdr>
        <w:top w:val="none" w:sz="0" w:space="0" w:color="auto"/>
        <w:left w:val="none" w:sz="0" w:space="0" w:color="auto"/>
        <w:bottom w:val="none" w:sz="0" w:space="0" w:color="auto"/>
        <w:right w:val="none" w:sz="0" w:space="0" w:color="auto"/>
      </w:divBdr>
    </w:div>
    <w:div w:id="700404001">
      <w:bodyDiv w:val="1"/>
      <w:marLeft w:val="0"/>
      <w:marRight w:val="0"/>
      <w:marTop w:val="0"/>
      <w:marBottom w:val="0"/>
      <w:divBdr>
        <w:top w:val="none" w:sz="0" w:space="0" w:color="auto"/>
        <w:left w:val="none" w:sz="0" w:space="0" w:color="auto"/>
        <w:bottom w:val="none" w:sz="0" w:space="0" w:color="auto"/>
        <w:right w:val="none" w:sz="0" w:space="0" w:color="auto"/>
      </w:divBdr>
    </w:div>
    <w:div w:id="702630084">
      <w:bodyDiv w:val="1"/>
      <w:marLeft w:val="0"/>
      <w:marRight w:val="0"/>
      <w:marTop w:val="0"/>
      <w:marBottom w:val="0"/>
      <w:divBdr>
        <w:top w:val="none" w:sz="0" w:space="0" w:color="auto"/>
        <w:left w:val="none" w:sz="0" w:space="0" w:color="auto"/>
        <w:bottom w:val="none" w:sz="0" w:space="0" w:color="auto"/>
        <w:right w:val="none" w:sz="0" w:space="0" w:color="auto"/>
      </w:divBdr>
    </w:div>
    <w:div w:id="702709124">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0583017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27806711">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51968762">
      <w:bodyDiv w:val="1"/>
      <w:marLeft w:val="0"/>
      <w:marRight w:val="0"/>
      <w:marTop w:val="0"/>
      <w:marBottom w:val="0"/>
      <w:divBdr>
        <w:top w:val="none" w:sz="0" w:space="0" w:color="auto"/>
        <w:left w:val="none" w:sz="0" w:space="0" w:color="auto"/>
        <w:bottom w:val="none" w:sz="0" w:space="0" w:color="auto"/>
        <w:right w:val="none" w:sz="0" w:space="0" w:color="auto"/>
      </w:divBdr>
    </w:div>
    <w:div w:id="759908957">
      <w:bodyDiv w:val="1"/>
      <w:marLeft w:val="0"/>
      <w:marRight w:val="0"/>
      <w:marTop w:val="0"/>
      <w:marBottom w:val="0"/>
      <w:divBdr>
        <w:top w:val="none" w:sz="0" w:space="0" w:color="auto"/>
        <w:left w:val="none" w:sz="0" w:space="0" w:color="auto"/>
        <w:bottom w:val="none" w:sz="0" w:space="0" w:color="auto"/>
        <w:right w:val="none" w:sz="0" w:space="0" w:color="auto"/>
      </w:divBdr>
    </w:div>
    <w:div w:id="780950312">
      <w:bodyDiv w:val="1"/>
      <w:marLeft w:val="0"/>
      <w:marRight w:val="0"/>
      <w:marTop w:val="0"/>
      <w:marBottom w:val="0"/>
      <w:divBdr>
        <w:top w:val="none" w:sz="0" w:space="0" w:color="auto"/>
        <w:left w:val="none" w:sz="0" w:space="0" w:color="auto"/>
        <w:bottom w:val="none" w:sz="0" w:space="0" w:color="auto"/>
        <w:right w:val="none" w:sz="0" w:space="0" w:color="auto"/>
      </w:divBdr>
    </w:div>
    <w:div w:id="801339892">
      <w:bodyDiv w:val="1"/>
      <w:marLeft w:val="0"/>
      <w:marRight w:val="0"/>
      <w:marTop w:val="0"/>
      <w:marBottom w:val="0"/>
      <w:divBdr>
        <w:top w:val="none" w:sz="0" w:space="0" w:color="auto"/>
        <w:left w:val="none" w:sz="0" w:space="0" w:color="auto"/>
        <w:bottom w:val="none" w:sz="0" w:space="0" w:color="auto"/>
        <w:right w:val="none" w:sz="0" w:space="0" w:color="auto"/>
      </w:divBdr>
    </w:div>
    <w:div w:id="805247099">
      <w:bodyDiv w:val="1"/>
      <w:marLeft w:val="0"/>
      <w:marRight w:val="0"/>
      <w:marTop w:val="0"/>
      <w:marBottom w:val="0"/>
      <w:divBdr>
        <w:top w:val="none" w:sz="0" w:space="0" w:color="auto"/>
        <w:left w:val="none" w:sz="0" w:space="0" w:color="auto"/>
        <w:bottom w:val="none" w:sz="0" w:space="0" w:color="auto"/>
        <w:right w:val="none" w:sz="0" w:space="0" w:color="auto"/>
      </w:divBdr>
    </w:div>
    <w:div w:id="833648016">
      <w:bodyDiv w:val="1"/>
      <w:marLeft w:val="0"/>
      <w:marRight w:val="0"/>
      <w:marTop w:val="0"/>
      <w:marBottom w:val="0"/>
      <w:divBdr>
        <w:top w:val="none" w:sz="0" w:space="0" w:color="auto"/>
        <w:left w:val="none" w:sz="0" w:space="0" w:color="auto"/>
        <w:bottom w:val="none" w:sz="0" w:space="0" w:color="auto"/>
        <w:right w:val="none" w:sz="0" w:space="0" w:color="auto"/>
      </w:divBdr>
    </w:div>
    <w:div w:id="834952376">
      <w:bodyDiv w:val="1"/>
      <w:marLeft w:val="0"/>
      <w:marRight w:val="0"/>
      <w:marTop w:val="0"/>
      <w:marBottom w:val="0"/>
      <w:divBdr>
        <w:top w:val="none" w:sz="0" w:space="0" w:color="auto"/>
        <w:left w:val="none" w:sz="0" w:space="0" w:color="auto"/>
        <w:bottom w:val="none" w:sz="0" w:space="0" w:color="auto"/>
        <w:right w:val="none" w:sz="0" w:space="0" w:color="auto"/>
      </w:divBdr>
    </w:div>
    <w:div w:id="858467934">
      <w:bodyDiv w:val="1"/>
      <w:marLeft w:val="0"/>
      <w:marRight w:val="0"/>
      <w:marTop w:val="0"/>
      <w:marBottom w:val="0"/>
      <w:divBdr>
        <w:top w:val="none" w:sz="0" w:space="0" w:color="auto"/>
        <w:left w:val="none" w:sz="0" w:space="0" w:color="auto"/>
        <w:bottom w:val="none" w:sz="0" w:space="0" w:color="auto"/>
        <w:right w:val="none" w:sz="0" w:space="0" w:color="auto"/>
      </w:divBdr>
    </w:div>
    <w:div w:id="868954844">
      <w:bodyDiv w:val="1"/>
      <w:marLeft w:val="0"/>
      <w:marRight w:val="0"/>
      <w:marTop w:val="0"/>
      <w:marBottom w:val="0"/>
      <w:divBdr>
        <w:top w:val="none" w:sz="0" w:space="0" w:color="auto"/>
        <w:left w:val="none" w:sz="0" w:space="0" w:color="auto"/>
        <w:bottom w:val="none" w:sz="0" w:space="0" w:color="auto"/>
        <w:right w:val="none" w:sz="0" w:space="0" w:color="auto"/>
      </w:divBdr>
    </w:div>
    <w:div w:id="879434301">
      <w:bodyDiv w:val="1"/>
      <w:marLeft w:val="0"/>
      <w:marRight w:val="0"/>
      <w:marTop w:val="0"/>
      <w:marBottom w:val="0"/>
      <w:divBdr>
        <w:top w:val="none" w:sz="0" w:space="0" w:color="auto"/>
        <w:left w:val="none" w:sz="0" w:space="0" w:color="auto"/>
        <w:bottom w:val="none" w:sz="0" w:space="0" w:color="auto"/>
        <w:right w:val="none" w:sz="0" w:space="0" w:color="auto"/>
      </w:divBdr>
    </w:div>
    <w:div w:id="879824430">
      <w:bodyDiv w:val="1"/>
      <w:marLeft w:val="0"/>
      <w:marRight w:val="0"/>
      <w:marTop w:val="0"/>
      <w:marBottom w:val="0"/>
      <w:divBdr>
        <w:top w:val="none" w:sz="0" w:space="0" w:color="auto"/>
        <w:left w:val="none" w:sz="0" w:space="0" w:color="auto"/>
        <w:bottom w:val="none" w:sz="0" w:space="0" w:color="auto"/>
        <w:right w:val="none" w:sz="0" w:space="0" w:color="auto"/>
      </w:divBdr>
    </w:div>
    <w:div w:id="881551868">
      <w:bodyDiv w:val="1"/>
      <w:marLeft w:val="0"/>
      <w:marRight w:val="0"/>
      <w:marTop w:val="0"/>
      <w:marBottom w:val="0"/>
      <w:divBdr>
        <w:top w:val="none" w:sz="0" w:space="0" w:color="auto"/>
        <w:left w:val="none" w:sz="0" w:space="0" w:color="auto"/>
        <w:bottom w:val="none" w:sz="0" w:space="0" w:color="auto"/>
        <w:right w:val="none" w:sz="0" w:space="0" w:color="auto"/>
      </w:divBdr>
    </w:div>
    <w:div w:id="886643579">
      <w:bodyDiv w:val="1"/>
      <w:marLeft w:val="0"/>
      <w:marRight w:val="0"/>
      <w:marTop w:val="0"/>
      <w:marBottom w:val="0"/>
      <w:divBdr>
        <w:top w:val="none" w:sz="0" w:space="0" w:color="auto"/>
        <w:left w:val="none" w:sz="0" w:space="0" w:color="auto"/>
        <w:bottom w:val="none" w:sz="0" w:space="0" w:color="auto"/>
        <w:right w:val="none" w:sz="0" w:space="0" w:color="auto"/>
      </w:divBdr>
    </w:div>
    <w:div w:id="888229850">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7086489">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04145191">
      <w:bodyDiv w:val="1"/>
      <w:marLeft w:val="0"/>
      <w:marRight w:val="0"/>
      <w:marTop w:val="0"/>
      <w:marBottom w:val="0"/>
      <w:divBdr>
        <w:top w:val="none" w:sz="0" w:space="0" w:color="auto"/>
        <w:left w:val="none" w:sz="0" w:space="0" w:color="auto"/>
        <w:bottom w:val="none" w:sz="0" w:space="0" w:color="auto"/>
        <w:right w:val="none" w:sz="0" w:space="0" w:color="auto"/>
      </w:divBdr>
    </w:div>
    <w:div w:id="912475417">
      <w:bodyDiv w:val="1"/>
      <w:marLeft w:val="0"/>
      <w:marRight w:val="0"/>
      <w:marTop w:val="0"/>
      <w:marBottom w:val="0"/>
      <w:divBdr>
        <w:top w:val="none" w:sz="0" w:space="0" w:color="auto"/>
        <w:left w:val="none" w:sz="0" w:space="0" w:color="auto"/>
        <w:bottom w:val="none" w:sz="0" w:space="0" w:color="auto"/>
        <w:right w:val="none" w:sz="0" w:space="0" w:color="auto"/>
      </w:divBdr>
    </w:div>
    <w:div w:id="914322939">
      <w:bodyDiv w:val="1"/>
      <w:marLeft w:val="0"/>
      <w:marRight w:val="0"/>
      <w:marTop w:val="0"/>
      <w:marBottom w:val="0"/>
      <w:divBdr>
        <w:top w:val="none" w:sz="0" w:space="0" w:color="auto"/>
        <w:left w:val="none" w:sz="0" w:space="0" w:color="auto"/>
        <w:bottom w:val="none" w:sz="0" w:space="0" w:color="auto"/>
        <w:right w:val="none" w:sz="0" w:space="0" w:color="auto"/>
      </w:divBdr>
    </w:div>
    <w:div w:id="919951072">
      <w:bodyDiv w:val="1"/>
      <w:marLeft w:val="0"/>
      <w:marRight w:val="0"/>
      <w:marTop w:val="0"/>
      <w:marBottom w:val="0"/>
      <w:divBdr>
        <w:top w:val="none" w:sz="0" w:space="0" w:color="auto"/>
        <w:left w:val="none" w:sz="0" w:space="0" w:color="auto"/>
        <w:bottom w:val="none" w:sz="0" w:space="0" w:color="auto"/>
        <w:right w:val="none" w:sz="0" w:space="0" w:color="auto"/>
      </w:divBdr>
    </w:div>
    <w:div w:id="924651712">
      <w:bodyDiv w:val="1"/>
      <w:marLeft w:val="0"/>
      <w:marRight w:val="0"/>
      <w:marTop w:val="0"/>
      <w:marBottom w:val="0"/>
      <w:divBdr>
        <w:top w:val="none" w:sz="0" w:space="0" w:color="auto"/>
        <w:left w:val="none" w:sz="0" w:space="0" w:color="auto"/>
        <w:bottom w:val="none" w:sz="0" w:space="0" w:color="auto"/>
        <w:right w:val="none" w:sz="0" w:space="0" w:color="auto"/>
      </w:divBdr>
    </w:div>
    <w:div w:id="935286934">
      <w:bodyDiv w:val="1"/>
      <w:marLeft w:val="0"/>
      <w:marRight w:val="0"/>
      <w:marTop w:val="0"/>
      <w:marBottom w:val="0"/>
      <w:divBdr>
        <w:top w:val="none" w:sz="0" w:space="0" w:color="auto"/>
        <w:left w:val="none" w:sz="0" w:space="0" w:color="auto"/>
        <w:bottom w:val="none" w:sz="0" w:space="0" w:color="auto"/>
        <w:right w:val="none" w:sz="0" w:space="0" w:color="auto"/>
      </w:divBdr>
    </w:div>
    <w:div w:id="942228222">
      <w:bodyDiv w:val="1"/>
      <w:marLeft w:val="0"/>
      <w:marRight w:val="0"/>
      <w:marTop w:val="0"/>
      <w:marBottom w:val="0"/>
      <w:divBdr>
        <w:top w:val="none" w:sz="0" w:space="0" w:color="auto"/>
        <w:left w:val="none" w:sz="0" w:space="0" w:color="auto"/>
        <w:bottom w:val="none" w:sz="0" w:space="0" w:color="auto"/>
        <w:right w:val="none" w:sz="0" w:space="0" w:color="auto"/>
      </w:divBdr>
    </w:div>
    <w:div w:id="950434757">
      <w:bodyDiv w:val="1"/>
      <w:marLeft w:val="0"/>
      <w:marRight w:val="0"/>
      <w:marTop w:val="0"/>
      <w:marBottom w:val="0"/>
      <w:divBdr>
        <w:top w:val="none" w:sz="0" w:space="0" w:color="auto"/>
        <w:left w:val="none" w:sz="0" w:space="0" w:color="auto"/>
        <w:bottom w:val="none" w:sz="0" w:space="0" w:color="auto"/>
        <w:right w:val="none" w:sz="0" w:space="0" w:color="auto"/>
      </w:divBdr>
    </w:div>
    <w:div w:id="985278278">
      <w:bodyDiv w:val="1"/>
      <w:marLeft w:val="0"/>
      <w:marRight w:val="0"/>
      <w:marTop w:val="0"/>
      <w:marBottom w:val="0"/>
      <w:divBdr>
        <w:top w:val="none" w:sz="0" w:space="0" w:color="auto"/>
        <w:left w:val="none" w:sz="0" w:space="0" w:color="auto"/>
        <w:bottom w:val="none" w:sz="0" w:space="0" w:color="auto"/>
        <w:right w:val="none" w:sz="0" w:space="0" w:color="auto"/>
      </w:divBdr>
    </w:div>
    <w:div w:id="991058018">
      <w:bodyDiv w:val="1"/>
      <w:marLeft w:val="0"/>
      <w:marRight w:val="0"/>
      <w:marTop w:val="0"/>
      <w:marBottom w:val="0"/>
      <w:divBdr>
        <w:top w:val="none" w:sz="0" w:space="0" w:color="auto"/>
        <w:left w:val="none" w:sz="0" w:space="0" w:color="auto"/>
        <w:bottom w:val="none" w:sz="0" w:space="0" w:color="auto"/>
        <w:right w:val="none" w:sz="0" w:space="0" w:color="auto"/>
      </w:divBdr>
    </w:div>
    <w:div w:id="99249135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09285353">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36352846">
      <w:bodyDiv w:val="1"/>
      <w:marLeft w:val="0"/>
      <w:marRight w:val="0"/>
      <w:marTop w:val="0"/>
      <w:marBottom w:val="0"/>
      <w:divBdr>
        <w:top w:val="none" w:sz="0" w:space="0" w:color="auto"/>
        <w:left w:val="none" w:sz="0" w:space="0" w:color="auto"/>
        <w:bottom w:val="none" w:sz="0" w:space="0" w:color="auto"/>
        <w:right w:val="none" w:sz="0" w:space="0" w:color="auto"/>
      </w:divBdr>
    </w:div>
    <w:div w:id="1044061412">
      <w:bodyDiv w:val="1"/>
      <w:marLeft w:val="0"/>
      <w:marRight w:val="0"/>
      <w:marTop w:val="0"/>
      <w:marBottom w:val="0"/>
      <w:divBdr>
        <w:top w:val="none" w:sz="0" w:space="0" w:color="auto"/>
        <w:left w:val="none" w:sz="0" w:space="0" w:color="auto"/>
        <w:bottom w:val="none" w:sz="0" w:space="0" w:color="auto"/>
        <w:right w:val="none" w:sz="0" w:space="0" w:color="auto"/>
      </w:divBdr>
    </w:div>
    <w:div w:id="1050879079">
      <w:bodyDiv w:val="1"/>
      <w:marLeft w:val="0"/>
      <w:marRight w:val="0"/>
      <w:marTop w:val="0"/>
      <w:marBottom w:val="0"/>
      <w:divBdr>
        <w:top w:val="none" w:sz="0" w:space="0" w:color="auto"/>
        <w:left w:val="none" w:sz="0" w:space="0" w:color="auto"/>
        <w:bottom w:val="none" w:sz="0" w:space="0" w:color="auto"/>
        <w:right w:val="none" w:sz="0" w:space="0" w:color="auto"/>
      </w:divBdr>
    </w:div>
    <w:div w:id="1063601632">
      <w:bodyDiv w:val="1"/>
      <w:marLeft w:val="0"/>
      <w:marRight w:val="0"/>
      <w:marTop w:val="0"/>
      <w:marBottom w:val="0"/>
      <w:divBdr>
        <w:top w:val="none" w:sz="0" w:space="0" w:color="auto"/>
        <w:left w:val="none" w:sz="0" w:space="0" w:color="auto"/>
        <w:bottom w:val="none" w:sz="0" w:space="0" w:color="auto"/>
        <w:right w:val="none" w:sz="0" w:space="0" w:color="auto"/>
      </w:divBdr>
    </w:div>
    <w:div w:id="1065375453">
      <w:bodyDiv w:val="1"/>
      <w:marLeft w:val="0"/>
      <w:marRight w:val="0"/>
      <w:marTop w:val="0"/>
      <w:marBottom w:val="0"/>
      <w:divBdr>
        <w:top w:val="none" w:sz="0" w:space="0" w:color="auto"/>
        <w:left w:val="none" w:sz="0" w:space="0" w:color="auto"/>
        <w:bottom w:val="none" w:sz="0" w:space="0" w:color="auto"/>
        <w:right w:val="none" w:sz="0" w:space="0" w:color="auto"/>
      </w:divBdr>
    </w:div>
    <w:div w:id="1094394833">
      <w:bodyDiv w:val="1"/>
      <w:marLeft w:val="0"/>
      <w:marRight w:val="0"/>
      <w:marTop w:val="0"/>
      <w:marBottom w:val="0"/>
      <w:divBdr>
        <w:top w:val="none" w:sz="0" w:space="0" w:color="auto"/>
        <w:left w:val="none" w:sz="0" w:space="0" w:color="auto"/>
        <w:bottom w:val="none" w:sz="0" w:space="0" w:color="auto"/>
        <w:right w:val="none" w:sz="0" w:space="0" w:color="auto"/>
      </w:divBdr>
    </w:div>
    <w:div w:id="1108936708">
      <w:bodyDiv w:val="1"/>
      <w:marLeft w:val="0"/>
      <w:marRight w:val="0"/>
      <w:marTop w:val="0"/>
      <w:marBottom w:val="0"/>
      <w:divBdr>
        <w:top w:val="none" w:sz="0" w:space="0" w:color="auto"/>
        <w:left w:val="none" w:sz="0" w:space="0" w:color="auto"/>
        <w:bottom w:val="none" w:sz="0" w:space="0" w:color="auto"/>
        <w:right w:val="none" w:sz="0" w:space="0" w:color="auto"/>
      </w:divBdr>
    </w:div>
    <w:div w:id="1117722397">
      <w:bodyDiv w:val="1"/>
      <w:marLeft w:val="0"/>
      <w:marRight w:val="0"/>
      <w:marTop w:val="0"/>
      <w:marBottom w:val="0"/>
      <w:divBdr>
        <w:top w:val="none" w:sz="0" w:space="0" w:color="auto"/>
        <w:left w:val="none" w:sz="0" w:space="0" w:color="auto"/>
        <w:bottom w:val="none" w:sz="0" w:space="0" w:color="auto"/>
        <w:right w:val="none" w:sz="0" w:space="0" w:color="auto"/>
      </w:divBdr>
    </w:div>
    <w:div w:id="1118834026">
      <w:bodyDiv w:val="1"/>
      <w:marLeft w:val="0"/>
      <w:marRight w:val="0"/>
      <w:marTop w:val="0"/>
      <w:marBottom w:val="0"/>
      <w:divBdr>
        <w:top w:val="none" w:sz="0" w:space="0" w:color="auto"/>
        <w:left w:val="none" w:sz="0" w:space="0" w:color="auto"/>
        <w:bottom w:val="none" w:sz="0" w:space="0" w:color="auto"/>
        <w:right w:val="none" w:sz="0" w:space="0" w:color="auto"/>
      </w:divBdr>
    </w:div>
    <w:div w:id="1119108030">
      <w:bodyDiv w:val="1"/>
      <w:marLeft w:val="0"/>
      <w:marRight w:val="0"/>
      <w:marTop w:val="0"/>
      <w:marBottom w:val="0"/>
      <w:divBdr>
        <w:top w:val="none" w:sz="0" w:space="0" w:color="auto"/>
        <w:left w:val="none" w:sz="0" w:space="0" w:color="auto"/>
        <w:bottom w:val="none" w:sz="0" w:space="0" w:color="auto"/>
        <w:right w:val="none" w:sz="0" w:space="0" w:color="auto"/>
      </w:divBdr>
    </w:div>
    <w:div w:id="1147043745">
      <w:bodyDiv w:val="1"/>
      <w:marLeft w:val="0"/>
      <w:marRight w:val="0"/>
      <w:marTop w:val="0"/>
      <w:marBottom w:val="0"/>
      <w:divBdr>
        <w:top w:val="none" w:sz="0" w:space="0" w:color="auto"/>
        <w:left w:val="none" w:sz="0" w:space="0" w:color="auto"/>
        <w:bottom w:val="none" w:sz="0" w:space="0" w:color="auto"/>
        <w:right w:val="none" w:sz="0" w:space="0" w:color="auto"/>
      </w:divBdr>
    </w:div>
    <w:div w:id="1171020846">
      <w:bodyDiv w:val="1"/>
      <w:marLeft w:val="0"/>
      <w:marRight w:val="0"/>
      <w:marTop w:val="0"/>
      <w:marBottom w:val="0"/>
      <w:divBdr>
        <w:top w:val="none" w:sz="0" w:space="0" w:color="auto"/>
        <w:left w:val="none" w:sz="0" w:space="0" w:color="auto"/>
        <w:bottom w:val="none" w:sz="0" w:space="0" w:color="auto"/>
        <w:right w:val="none" w:sz="0" w:space="0" w:color="auto"/>
      </w:divBdr>
    </w:div>
    <w:div w:id="1171526895">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0937635">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4484094">
      <w:bodyDiv w:val="1"/>
      <w:marLeft w:val="0"/>
      <w:marRight w:val="0"/>
      <w:marTop w:val="0"/>
      <w:marBottom w:val="0"/>
      <w:divBdr>
        <w:top w:val="none" w:sz="0" w:space="0" w:color="auto"/>
        <w:left w:val="none" w:sz="0" w:space="0" w:color="auto"/>
        <w:bottom w:val="none" w:sz="0" w:space="0" w:color="auto"/>
        <w:right w:val="none" w:sz="0" w:space="0" w:color="auto"/>
      </w:divBdr>
    </w:div>
    <w:div w:id="1225069165">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34121268">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248467733">
      <w:bodyDiv w:val="1"/>
      <w:marLeft w:val="0"/>
      <w:marRight w:val="0"/>
      <w:marTop w:val="0"/>
      <w:marBottom w:val="0"/>
      <w:divBdr>
        <w:top w:val="none" w:sz="0" w:space="0" w:color="auto"/>
        <w:left w:val="none" w:sz="0" w:space="0" w:color="auto"/>
        <w:bottom w:val="none" w:sz="0" w:space="0" w:color="auto"/>
        <w:right w:val="none" w:sz="0" w:space="0" w:color="auto"/>
      </w:divBdr>
    </w:div>
    <w:div w:id="1256017243">
      <w:bodyDiv w:val="1"/>
      <w:marLeft w:val="0"/>
      <w:marRight w:val="0"/>
      <w:marTop w:val="0"/>
      <w:marBottom w:val="0"/>
      <w:divBdr>
        <w:top w:val="none" w:sz="0" w:space="0" w:color="auto"/>
        <w:left w:val="none" w:sz="0" w:space="0" w:color="auto"/>
        <w:bottom w:val="none" w:sz="0" w:space="0" w:color="auto"/>
        <w:right w:val="none" w:sz="0" w:space="0" w:color="auto"/>
      </w:divBdr>
    </w:div>
    <w:div w:id="1262562929">
      <w:bodyDiv w:val="1"/>
      <w:marLeft w:val="0"/>
      <w:marRight w:val="0"/>
      <w:marTop w:val="0"/>
      <w:marBottom w:val="0"/>
      <w:divBdr>
        <w:top w:val="none" w:sz="0" w:space="0" w:color="auto"/>
        <w:left w:val="none" w:sz="0" w:space="0" w:color="auto"/>
        <w:bottom w:val="none" w:sz="0" w:space="0" w:color="auto"/>
        <w:right w:val="none" w:sz="0" w:space="0" w:color="auto"/>
      </w:divBdr>
    </w:div>
    <w:div w:id="1280603820">
      <w:bodyDiv w:val="1"/>
      <w:marLeft w:val="0"/>
      <w:marRight w:val="0"/>
      <w:marTop w:val="0"/>
      <w:marBottom w:val="0"/>
      <w:divBdr>
        <w:top w:val="none" w:sz="0" w:space="0" w:color="auto"/>
        <w:left w:val="none" w:sz="0" w:space="0" w:color="auto"/>
        <w:bottom w:val="none" w:sz="0" w:space="0" w:color="auto"/>
        <w:right w:val="none" w:sz="0" w:space="0" w:color="auto"/>
      </w:divBdr>
    </w:div>
    <w:div w:id="1284922690">
      <w:bodyDiv w:val="1"/>
      <w:marLeft w:val="0"/>
      <w:marRight w:val="0"/>
      <w:marTop w:val="0"/>
      <w:marBottom w:val="0"/>
      <w:divBdr>
        <w:top w:val="none" w:sz="0" w:space="0" w:color="auto"/>
        <w:left w:val="none" w:sz="0" w:space="0" w:color="auto"/>
        <w:bottom w:val="none" w:sz="0" w:space="0" w:color="auto"/>
        <w:right w:val="none" w:sz="0" w:space="0" w:color="auto"/>
      </w:divBdr>
    </w:div>
    <w:div w:id="1287783638">
      <w:bodyDiv w:val="1"/>
      <w:marLeft w:val="0"/>
      <w:marRight w:val="0"/>
      <w:marTop w:val="0"/>
      <w:marBottom w:val="0"/>
      <w:divBdr>
        <w:top w:val="none" w:sz="0" w:space="0" w:color="auto"/>
        <w:left w:val="none" w:sz="0" w:space="0" w:color="auto"/>
        <w:bottom w:val="none" w:sz="0" w:space="0" w:color="auto"/>
        <w:right w:val="none" w:sz="0" w:space="0" w:color="auto"/>
      </w:divBdr>
    </w:div>
    <w:div w:id="1357585088">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80477988">
      <w:bodyDiv w:val="1"/>
      <w:marLeft w:val="0"/>
      <w:marRight w:val="0"/>
      <w:marTop w:val="0"/>
      <w:marBottom w:val="0"/>
      <w:divBdr>
        <w:top w:val="none" w:sz="0" w:space="0" w:color="auto"/>
        <w:left w:val="none" w:sz="0" w:space="0" w:color="auto"/>
        <w:bottom w:val="none" w:sz="0" w:space="0" w:color="auto"/>
        <w:right w:val="none" w:sz="0" w:space="0" w:color="auto"/>
      </w:divBdr>
    </w:div>
    <w:div w:id="1391924972">
      <w:bodyDiv w:val="1"/>
      <w:marLeft w:val="0"/>
      <w:marRight w:val="0"/>
      <w:marTop w:val="0"/>
      <w:marBottom w:val="0"/>
      <w:divBdr>
        <w:top w:val="none" w:sz="0" w:space="0" w:color="auto"/>
        <w:left w:val="none" w:sz="0" w:space="0" w:color="auto"/>
        <w:bottom w:val="none" w:sz="0" w:space="0" w:color="auto"/>
        <w:right w:val="none" w:sz="0" w:space="0" w:color="auto"/>
      </w:divBdr>
    </w:div>
    <w:div w:id="1402405728">
      <w:bodyDiv w:val="1"/>
      <w:marLeft w:val="0"/>
      <w:marRight w:val="0"/>
      <w:marTop w:val="0"/>
      <w:marBottom w:val="0"/>
      <w:divBdr>
        <w:top w:val="none" w:sz="0" w:space="0" w:color="auto"/>
        <w:left w:val="none" w:sz="0" w:space="0" w:color="auto"/>
        <w:bottom w:val="none" w:sz="0" w:space="0" w:color="auto"/>
        <w:right w:val="none" w:sz="0" w:space="0" w:color="auto"/>
      </w:divBdr>
    </w:div>
    <w:div w:id="1412240621">
      <w:bodyDiv w:val="1"/>
      <w:marLeft w:val="0"/>
      <w:marRight w:val="0"/>
      <w:marTop w:val="0"/>
      <w:marBottom w:val="0"/>
      <w:divBdr>
        <w:top w:val="none" w:sz="0" w:space="0" w:color="auto"/>
        <w:left w:val="none" w:sz="0" w:space="0" w:color="auto"/>
        <w:bottom w:val="none" w:sz="0" w:space="0" w:color="auto"/>
        <w:right w:val="none" w:sz="0" w:space="0" w:color="auto"/>
      </w:divBdr>
    </w:div>
    <w:div w:id="1415081584">
      <w:bodyDiv w:val="1"/>
      <w:marLeft w:val="0"/>
      <w:marRight w:val="0"/>
      <w:marTop w:val="0"/>
      <w:marBottom w:val="0"/>
      <w:divBdr>
        <w:top w:val="none" w:sz="0" w:space="0" w:color="auto"/>
        <w:left w:val="none" w:sz="0" w:space="0" w:color="auto"/>
        <w:bottom w:val="none" w:sz="0" w:space="0" w:color="auto"/>
        <w:right w:val="none" w:sz="0" w:space="0" w:color="auto"/>
      </w:divBdr>
    </w:div>
    <w:div w:id="1426148043">
      <w:bodyDiv w:val="1"/>
      <w:marLeft w:val="0"/>
      <w:marRight w:val="0"/>
      <w:marTop w:val="0"/>
      <w:marBottom w:val="0"/>
      <w:divBdr>
        <w:top w:val="none" w:sz="0" w:space="0" w:color="auto"/>
        <w:left w:val="none" w:sz="0" w:space="0" w:color="auto"/>
        <w:bottom w:val="none" w:sz="0" w:space="0" w:color="auto"/>
        <w:right w:val="none" w:sz="0" w:space="0" w:color="auto"/>
      </w:divBdr>
    </w:div>
    <w:div w:id="1445226517">
      <w:bodyDiv w:val="1"/>
      <w:marLeft w:val="0"/>
      <w:marRight w:val="0"/>
      <w:marTop w:val="0"/>
      <w:marBottom w:val="0"/>
      <w:divBdr>
        <w:top w:val="none" w:sz="0" w:space="0" w:color="auto"/>
        <w:left w:val="none" w:sz="0" w:space="0" w:color="auto"/>
        <w:bottom w:val="none" w:sz="0" w:space="0" w:color="auto"/>
        <w:right w:val="none" w:sz="0" w:space="0" w:color="auto"/>
      </w:divBdr>
    </w:div>
    <w:div w:id="1454712016">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64735398">
      <w:bodyDiv w:val="1"/>
      <w:marLeft w:val="0"/>
      <w:marRight w:val="0"/>
      <w:marTop w:val="0"/>
      <w:marBottom w:val="0"/>
      <w:divBdr>
        <w:top w:val="none" w:sz="0" w:space="0" w:color="auto"/>
        <w:left w:val="none" w:sz="0" w:space="0" w:color="auto"/>
        <w:bottom w:val="none" w:sz="0" w:space="0" w:color="auto"/>
        <w:right w:val="none" w:sz="0" w:space="0" w:color="auto"/>
      </w:divBdr>
    </w:div>
    <w:div w:id="1466125211">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0169941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14800336">
      <w:bodyDiv w:val="1"/>
      <w:marLeft w:val="0"/>
      <w:marRight w:val="0"/>
      <w:marTop w:val="0"/>
      <w:marBottom w:val="0"/>
      <w:divBdr>
        <w:top w:val="none" w:sz="0" w:space="0" w:color="auto"/>
        <w:left w:val="none" w:sz="0" w:space="0" w:color="auto"/>
        <w:bottom w:val="none" w:sz="0" w:space="0" w:color="auto"/>
        <w:right w:val="none" w:sz="0" w:space="0" w:color="auto"/>
      </w:divBdr>
    </w:div>
    <w:div w:id="1524858402">
      <w:bodyDiv w:val="1"/>
      <w:marLeft w:val="0"/>
      <w:marRight w:val="0"/>
      <w:marTop w:val="0"/>
      <w:marBottom w:val="0"/>
      <w:divBdr>
        <w:top w:val="none" w:sz="0" w:space="0" w:color="auto"/>
        <w:left w:val="none" w:sz="0" w:space="0" w:color="auto"/>
        <w:bottom w:val="none" w:sz="0" w:space="0" w:color="auto"/>
        <w:right w:val="none" w:sz="0" w:space="0" w:color="auto"/>
      </w:divBdr>
    </w:div>
    <w:div w:id="1532300990">
      <w:bodyDiv w:val="1"/>
      <w:marLeft w:val="0"/>
      <w:marRight w:val="0"/>
      <w:marTop w:val="0"/>
      <w:marBottom w:val="0"/>
      <w:divBdr>
        <w:top w:val="none" w:sz="0" w:space="0" w:color="auto"/>
        <w:left w:val="none" w:sz="0" w:space="0" w:color="auto"/>
        <w:bottom w:val="none" w:sz="0" w:space="0" w:color="auto"/>
        <w:right w:val="none" w:sz="0" w:space="0" w:color="auto"/>
      </w:divBdr>
    </w:div>
    <w:div w:id="1549994052">
      <w:bodyDiv w:val="1"/>
      <w:marLeft w:val="0"/>
      <w:marRight w:val="0"/>
      <w:marTop w:val="0"/>
      <w:marBottom w:val="0"/>
      <w:divBdr>
        <w:top w:val="none" w:sz="0" w:space="0" w:color="auto"/>
        <w:left w:val="none" w:sz="0" w:space="0" w:color="auto"/>
        <w:bottom w:val="none" w:sz="0" w:space="0" w:color="auto"/>
        <w:right w:val="none" w:sz="0" w:space="0" w:color="auto"/>
      </w:divBdr>
    </w:div>
    <w:div w:id="1584216776">
      <w:bodyDiv w:val="1"/>
      <w:marLeft w:val="0"/>
      <w:marRight w:val="0"/>
      <w:marTop w:val="0"/>
      <w:marBottom w:val="0"/>
      <w:divBdr>
        <w:top w:val="none" w:sz="0" w:space="0" w:color="auto"/>
        <w:left w:val="none" w:sz="0" w:space="0" w:color="auto"/>
        <w:bottom w:val="none" w:sz="0" w:space="0" w:color="auto"/>
        <w:right w:val="none" w:sz="0" w:space="0" w:color="auto"/>
      </w:divBdr>
    </w:div>
    <w:div w:id="1593322566">
      <w:bodyDiv w:val="1"/>
      <w:marLeft w:val="0"/>
      <w:marRight w:val="0"/>
      <w:marTop w:val="0"/>
      <w:marBottom w:val="0"/>
      <w:divBdr>
        <w:top w:val="none" w:sz="0" w:space="0" w:color="auto"/>
        <w:left w:val="none" w:sz="0" w:space="0" w:color="auto"/>
        <w:bottom w:val="none" w:sz="0" w:space="0" w:color="auto"/>
        <w:right w:val="none" w:sz="0" w:space="0" w:color="auto"/>
      </w:divBdr>
    </w:div>
    <w:div w:id="1604796894">
      <w:bodyDiv w:val="1"/>
      <w:marLeft w:val="0"/>
      <w:marRight w:val="0"/>
      <w:marTop w:val="0"/>
      <w:marBottom w:val="0"/>
      <w:divBdr>
        <w:top w:val="none" w:sz="0" w:space="0" w:color="auto"/>
        <w:left w:val="none" w:sz="0" w:space="0" w:color="auto"/>
        <w:bottom w:val="none" w:sz="0" w:space="0" w:color="auto"/>
        <w:right w:val="none" w:sz="0" w:space="0" w:color="auto"/>
      </w:divBdr>
    </w:div>
    <w:div w:id="1615362331">
      <w:bodyDiv w:val="1"/>
      <w:marLeft w:val="0"/>
      <w:marRight w:val="0"/>
      <w:marTop w:val="0"/>
      <w:marBottom w:val="0"/>
      <w:divBdr>
        <w:top w:val="none" w:sz="0" w:space="0" w:color="auto"/>
        <w:left w:val="none" w:sz="0" w:space="0" w:color="auto"/>
        <w:bottom w:val="none" w:sz="0" w:space="0" w:color="auto"/>
        <w:right w:val="none" w:sz="0" w:space="0" w:color="auto"/>
      </w:divBdr>
    </w:div>
    <w:div w:id="1615476050">
      <w:bodyDiv w:val="1"/>
      <w:marLeft w:val="0"/>
      <w:marRight w:val="0"/>
      <w:marTop w:val="0"/>
      <w:marBottom w:val="0"/>
      <w:divBdr>
        <w:top w:val="none" w:sz="0" w:space="0" w:color="auto"/>
        <w:left w:val="none" w:sz="0" w:space="0" w:color="auto"/>
        <w:bottom w:val="none" w:sz="0" w:space="0" w:color="auto"/>
        <w:right w:val="none" w:sz="0" w:space="0" w:color="auto"/>
      </w:divBdr>
    </w:div>
    <w:div w:id="1616019166">
      <w:bodyDiv w:val="1"/>
      <w:marLeft w:val="0"/>
      <w:marRight w:val="0"/>
      <w:marTop w:val="0"/>
      <w:marBottom w:val="0"/>
      <w:divBdr>
        <w:top w:val="none" w:sz="0" w:space="0" w:color="auto"/>
        <w:left w:val="none" w:sz="0" w:space="0" w:color="auto"/>
        <w:bottom w:val="none" w:sz="0" w:space="0" w:color="auto"/>
        <w:right w:val="none" w:sz="0" w:space="0" w:color="auto"/>
      </w:divBdr>
    </w:div>
    <w:div w:id="1631322610">
      <w:bodyDiv w:val="1"/>
      <w:marLeft w:val="0"/>
      <w:marRight w:val="0"/>
      <w:marTop w:val="0"/>
      <w:marBottom w:val="0"/>
      <w:divBdr>
        <w:top w:val="none" w:sz="0" w:space="0" w:color="auto"/>
        <w:left w:val="none" w:sz="0" w:space="0" w:color="auto"/>
        <w:bottom w:val="none" w:sz="0" w:space="0" w:color="auto"/>
        <w:right w:val="none" w:sz="0" w:space="0" w:color="auto"/>
      </w:divBdr>
    </w:div>
    <w:div w:id="1634367998">
      <w:bodyDiv w:val="1"/>
      <w:marLeft w:val="0"/>
      <w:marRight w:val="0"/>
      <w:marTop w:val="0"/>
      <w:marBottom w:val="0"/>
      <w:divBdr>
        <w:top w:val="none" w:sz="0" w:space="0" w:color="auto"/>
        <w:left w:val="none" w:sz="0" w:space="0" w:color="auto"/>
        <w:bottom w:val="none" w:sz="0" w:space="0" w:color="auto"/>
        <w:right w:val="none" w:sz="0" w:space="0" w:color="auto"/>
      </w:divBdr>
    </w:div>
    <w:div w:id="1635404460">
      <w:bodyDiv w:val="1"/>
      <w:marLeft w:val="0"/>
      <w:marRight w:val="0"/>
      <w:marTop w:val="0"/>
      <w:marBottom w:val="0"/>
      <w:divBdr>
        <w:top w:val="none" w:sz="0" w:space="0" w:color="auto"/>
        <w:left w:val="none" w:sz="0" w:space="0" w:color="auto"/>
        <w:bottom w:val="none" w:sz="0" w:space="0" w:color="auto"/>
        <w:right w:val="none" w:sz="0" w:space="0" w:color="auto"/>
      </w:divBdr>
    </w:div>
    <w:div w:id="1637176080">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42231361">
      <w:bodyDiv w:val="1"/>
      <w:marLeft w:val="0"/>
      <w:marRight w:val="0"/>
      <w:marTop w:val="0"/>
      <w:marBottom w:val="0"/>
      <w:divBdr>
        <w:top w:val="none" w:sz="0" w:space="0" w:color="auto"/>
        <w:left w:val="none" w:sz="0" w:space="0" w:color="auto"/>
        <w:bottom w:val="none" w:sz="0" w:space="0" w:color="auto"/>
        <w:right w:val="none" w:sz="0" w:space="0" w:color="auto"/>
      </w:divBdr>
    </w:div>
    <w:div w:id="1652558981">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75952663">
      <w:bodyDiv w:val="1"/>
      <w:marLeft w:val="0"/>
      <w:marRight w:val="0"/>
      <w:marTop w:val="0"/>
      <w:marBottom w:val="0"/>
      <w:divBdr>
        <w:top w:val="none" w:sz="0" w:space="0" w:color="auto"/>
        <w:left w:val="none" w:sz="0" w:space="0" w:color="auto"/>
        <w:bottom w:val="none" w:sz="0" w:space="0" w:color="auto"/>
        <w:right w:val="none" w:sz="0" w:space="0" w:color="auto"/>
      </w:divBdr>
    </w:div>
    <w:div w:id="1676958375">
      <w:bodyDiv w:val="1"/>
      <w:marLeft w:val="0"/>
      <w:marRight w:val="0"/>
      <w:marTop w:val="0"/>
      <w:marBottom w:val="0"/>
      <w:divBdr>
        <w:top w:val="none" w:sz="0" w:space="0" w:color="auto"/>
        <w:left w:val="none" w:sz="0" w:space="0" w:color="auto"/>
        <w:bottom w:val="none" w:sz="0" w:space="0" w:color="auto"/>
        <w:right w:val="none" w:sz="0" w:space="0" w:color="auto"/>
      </w:divBdr>
    </w:div>
    <w:div w:id="1714958822">
      <w:bodyDiv w:val="1"/>
      <w:marLeft w:val="0"/>
      <w:marRight w:val="0"/>
      <w:marTop w:val="0"/>
      <w:marBottom w:val="0"/>
      <w:divBdr>
        <w:top w:val="none" w:sz="0" w:space="0" w:color="auto"/>
        <w:left w:val="none" w:sz="0" w:space="0" w:color="auto"/>
        <w:bottom w:val="none" w:sz="0" w:space="0" w:color="auto"/>
        <w:right w:val="none" w:sz="0" w:space="0" w:color="auto"/>
      </w:divBdr>
    </w:div>
    <w:div w:id="1720281571">
      <w:bodyDiv w:val="1"/>
      <w:marLeft w:val="0"/>
      <w:marRight w:val="0"/>
      <w:marTop w:val="0"/>
      <w:marBottom w:val="0"/>
      <w:divBdr>
        <w:top w:val="none" w:sz="0" w:space="0" w:color="auto"/>
        <w:left w:val="none" w:sz="0" w:space="0" w:color="auto"/>
        <w:bottom w:val="none" w:sz="0" w:space="0" w:color="auto"/>
        <w:right w:val="none" w:sz="0" w:space="0" w:color="auto"/>
      </w:divBdr>
    </w:div>
    <w:div w:id="1742361091">
      <w:bodyDiv w:val="1"/>
      <w:marLeft w:val="0"/>
      <w:marRight w:val="0"/>
      <w:marTop w:val="0"/>
      <w:marBottom w:val="0"/>
      <w:divBdr>
        <w:top w:val="none" w:sz="0" w:space="0" w:color="auto"/>
        <w:left w:val="none" w:sz="0" w:space="0" w:color="auto"/>
        <w:bottom w:val="none" w:sz="0" w:space="0" w:color="auto"/>
        <w:right w:val="none" w:sz="0" w:space="0" w:color="auto"/>
      </w:divBdr>
    </w:div>
    <w:div w:id="174811171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4206">
      <w:bodyDiv w:val="1"/>
      <w:marLeft w:val="0"/>
      <w:marRight w:val="0"/>
      <w:marTop w:val="0"/>
      <w:marBottom w:val="0"/>
      <w:divBdr>
        <w:top w:val="none" w:sz="0" w:space="0" w:color="auto"/>
        <w:left w:val="none" w:sz="0" w:space="0" w:color="auto"/>
        <w:bottom w:val="none" w:sz="0" w:space="0" w:color="auto"/>
        <w:right w:val="none" w:sz="0" w:space="0" w:color="auto"/>
      </w:divBdr>
    </w:div>
    <w:div w:id="1752851604">
      <w:bodyDiv w:val="1"/>
      <w:marLeft w:val="0"/>
      <w:marRight w:val="0"/>
      <w:marTop w:val="0"/>
      <w:marBottom w:val="0"/>
      <w:divBdr>
        <w:top w:val="none" w:sz="0" w:space="0" w:color="auto"/>
        <w:left w:val="none" w:sz="0" w:space="0" w:color="auto"/>
        <w:bottom w:val="none" w:sz="0" w:space="0" w:color="auto"/>
        <w:right w:val="none" w:sz="0" w:space="0" w:color="auto"/>
      </w:divBdr>
    </w:div>
    <w:div w:id="1780449139">
      <w:bodyDiv w:val="1"/>
      <w:marLeft w:val="0"/>
      <w:marRight w:val="0"/>
      <w:marTop w:val="0"/>
      <w:marBottom w:val="0"/>
      <w:divBdr>
        <w:top w:val="none" w:sz="0" w:space="0" w:color="auto"/>
        <w:left w:val="none" w:sz="0" w:space="0" w:color="auto"/>
        <w:bottom w:val="none" w:sz="0" w:space="0" w:color="auto"/>
        <w:right w:val="none" w:sz="0" w:space="0" w:color="auto"/>
      </w:divBdr>
    </w:div>
    <w:div w:id="1789202155">
      <w:bodyDiv w:val="1"/>
      <w:marLeft w:val="0"/>
      <w:marRight w:val="0"/>
      <w:marTop w:val="0"/>
      <w:marBottom w:val="0"/>
      <w:divBdr>
        <w:top w:val="none" w:sz="0" w:space="0" w:color="auto"/>
        <w:left w:val="none" w:sz="0" w:space="0" w:color="auto"/>
        <w:bottom w:val="none" w:sz="0" w:space="0" w:color="auto"/>
        <w:right w:val="none" w:sz="0" w:space="0" w:color="auto"/>
      </w:divBdr>
    </w:div>
    <w:div w:id="1813789002">
      <w:bodyDiv w:val="1"/>
      <w:marLeft w:val="0"/>
      <w:marRight w:val="0"/>
      <w:marTop w:val="0"/>
      <w:marBottom w:val="0"/>
      <w:divBdr>
        <w:top w:val="none" w:sz="0" w:space="0" w:color="auto"/>
        <w:left w:val="none" w:sz="0" w:space="0" w:color="auto"/>
        <w:bottom w:val="none" w:sz="0" w:space="0" w:color="auto"/>
        <w:right w:val="none" w:sz="0" w:space="0" w:color="auto"/>
      </w:divBdr>
    </w:div>
    <w:div w:id="1833525900">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59539666">
      <w:bodyDiv w:val="1"/>
      <w:marLeft w:val="0"/>
      <w:marRight w:val="0"/>
      <w:marTop w:val="0"/>
      <w:marBottom w:val="0"/>
      <w:divBdr>
        <w:top w:val="none" w:sz="0" w:space="0" w:color="auto"/>
        <w:left w:val="none" w:sz="0" w:space="0" w:color="auto"/>
        <w:bottom w:val="none" w:sz="0" w:space="0" w:color="auto"/>
        <w:right w:val="none" w:sz="0" w:space="0" w:color="auto"/>
      </w:divBdr>
    </w:div>
    <w:div w:id="1869173892">
      <w:bodyDiv w:val="1"/>
      <w:marLeft w:val="0"/>
      <w:marRight w:val="0"/>
      <w:marTop w:val="0"/>
      <w:marBottom w:val="0"/>
      <w:divBdr>
        <w:top w:val="none" w:sz="0" w:space="0" w:color="auto"/>
        <w:left w:val="none" w:sz="0" w:space="0" w:color="auto"/>
        <w:bottom w:val="none" w:sz="0" w:space="0" w:color="auto"/>
        <w:right w:val="none" w:sz="0" w:space="0" w:color="auto"/>
      </w:divBdr>
    </w:div>
    <w:div w:id="1878270367">
      <w:bodyDiv w:val="1"/>
      <w:marLeft w:val="0"/>
      <w:marRight w:val="0"/>
      <w:marTop w:val="0"/>
      <w:marBottom w:val="0"/>
      <w:divBdr>
        <w:top w:val="none" w:sz="0" w:space="0" w:color="auto"/>
        <w:left w:val="none" w:sz="0" w:space="0" w:color="auto"/>
        <w:bottom w:val="none" w:sz="0" w:space="0" w:color="auto"/>
        <w:right w:val="none" w:sz="0" w:space="0" w:color="auto"/>
      </w:divBdr>
    </w:div>
    <w:div w:id="1909220250">
      <w:bodyDiv w:val="1"/>
      <w:marLeft w:val="0"/>
      <w:marRight w:val="0"/>
      <w:marTop w:val="0"/>
      <w:marBottom w:val="0"/>
      <w:divBdr>
        <w:top w:val="none" w:sz="0" w:space="0" w:color="auto"/>
        <w:left w:val="none" w:sz="0" w:space="0" w:color="auto"/>
        <w:bottom w:val="none" w:sz="0" w:space="0" w:color="auto"/>
        <w:right w:val="none" w:sz="0" w:space="0" w:color="auto"/>
      </w:divBdr>
    </w:div>
    <w:div w:id="1924409260">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3031981">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54508412">
      <w:bodyDiv w:val="1"/>
      <w:marLeft w:val="0"/>
      <w:marRight w:val="0"/>
      <w:marTop w:val="0"/>
      <w:marBottom w:val="0"/>
      <w:divBdr>
        <w:top w:val="none" w:sz="0" w:space="0" w:color="auto"/>
        <w:left w:val="none" w:sz="0" w:space="0" w:color="auto"/>
        <w:bottom w:val="none" w:sz="0" w:space="0" w:color="auto"/>
        <w:right w:val="none" w:sz="0" w:space="0" w:color="auto"/>
      </w:divBdr>
    </w:div>
    <w:div w:id="1956868748">
      <w:bodyDiv w:val="1"/>
      <w:marLeft w:val="0"/>
      <w:marRight w:val="0"/>
      <w:marTop w:val="0"/>
      <w:marBottom w:val="0"/>
      <w:divBdr>
        <w:top w:val="none" w:sz="0" w:space="0" w:color="auto"/>
        <w:left w:val="none" w:sz="0" w:space="0" w:color="auto"/>
        <w:bottom w:val="none" w:sz="0" w:space="0" w:color="auto"/>
        <w:right w:val="none" w:sz="0" w:space="0" w:color="auto"/>
      </w:divBdr>
    </w:div>
    <w:div w:id="1959336146">
      <w:bodyDiv w:val="1"/>
      <w:marLeft w:val="0"/>
      <w:marRight w:val="0"/>
      <w:marTop w:val="0"/>
      <w:marBottom w:val="0"/>
      <w:divBdr>
        <w:top w:val="none" w:sz="0" w:space="0" w:color="auto"/>
        <w:left w:val="none" w:sz="0" w:space="0" w:color="auto"/>
        <w:bottom w:val="none" w:sz="0" w:space="0" w:color="auto"/>
        <w:right w:val="none" w:sz="0" w:space="0" w:color="auto"/>
      </w:divBdr>
    </w:div>
    <w:div w:id="1976250693">
      <w:bodyDiv w:val="1"/>
      <w:marLeft w:val="0"/>
      <w:marRight w:val="0"/>
      <w:marTop w:val="0"/>
      <w:marBottom w:val="0"/>
      <w:divBdr>
        <w:top w:val="none" w:sz="0" w:space="0" w:color="auto"/>
        <w:left w:val="none" w:sz="0" w:space="0" w:color="auto"/>
        <w:bottom w:val="none" w:sz="0" w:space="0" w:color="auto"/>
        <w:right w:val="none" w:sz="0" w:space="0" w:color="auto"/>
      </w:divBdr>
    </w:div>
    <w:div w:id="1978340689">
      <w:bodyDiv w:val="1"/>
      <w:marLeft w:val="0"/>
      <w:marRight w:val="0"/>
      <w:marTop w:val="0"/>
      <w:marBottom w:val="0"/>
      <w:divBdr>
        <w:top w:val="none" w:sz="0" w:space="0" w:color="auto"/>
        <w:left w:val="none" w:sz="0" w:space="0" w:color="auto"/>
        <w:bottom w:val="none" w:sz="0" w:space="0" w:color="auto"/>
        <w:right w:val="none" w:sz="0" w:space="0" w:color="auto"/>
      </w:divBdr>
    </w:div>
    <w:div w:id="1979726702">
      <w:bodyDiv w:val="1"/>
      <w:marLeft w:val="0"/>
      <w:marRight w:val="0"/>
      <w:marTop w:val="0"/>
      <w:marBottom w:val="0"/>
      <w:divBdr>
        <w:top w:val="none" w:sz="0" w:space="0" w:color="auto"/>
        <w:left w:val="none" w:sz="0" w:space="0" w:color="auto"/>
        <w:bottom w:val="none" w:sz="0" w:space="0" w:color="auto"/>
        <w:right w:val="none" w:sz="0" w:space="0" w:color="auto"/>
      </w:divBdr>
    </w:div>
    <w:div w:id="1981566692">
      <w:bodyDiv w:val="1"/>
      <w:marLeft w:val="0"/>
      <w:marRight w:val="0"/>
      <w:marTop w:val="0"/>
      <w:marBottom w:val="0"/>
      <w:divBdr>
        <w:top w:val="none" w:sz="0" w:space="0" w:color="auto"/>
        <w:left w:val="none" w:sz="0" w:space="0" w:color="auto"/>
        <w:bottom w:val="none" w:sz="0" w:space="0" w:color="auto"/>
        <w:right w:val="none" w:sz="0" w:space="0" w:color="auto"/>
      </w:divBdr>
    </w:div>
    <w:div w:id="1986280685">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21008353">
      <w:bodyDiv w:val="1"/>
      <w:marLeft w:val="0"/>
      <w:marRight w:val="0"/>
      <w:marTop w:val="0"/>
      <w:marBottom w:val="0"/>
      <w:divBdr>
        <w:top w:val="none" w:sz="0" w:space="0" w:color="auto"/>
        <w:left w:val="none" w:sz="0" w:space="0" w:color="auto"/>
        <w:bottom w:val="none" w:sz="0" w:space="0" w:color="auto"/>
        <w:right w:val="none" w:sz="0" w:space="0" w:color="auto"/>
      </w:divBdr>
    </w:div>
    <w:div w:id="2029788382">
      <w:bodyDiv w:val="1"/>
      <w:marLeft w:val="0"/>
      <w:marRight w:val="0"/>
      <w:marTop w:val="0"/>
      <w:marBottom w:val="0"/>
      <w:divBdr>
        <w:top w:val="none" w:sz="0" w:space="0" w:color="auto"/>
        <w:left w:val="none" w:sz="0" w:space="0" w:color="auto"/>
        <w:bottom w:val="none" w:sz="0" w:space="0" w:color="auto"/>
        <w:right w:val="none" w:sz="0" w:space="0" w:color="auto"/>
      </w:divBdr>
    </w:div>
    <w:div w:id="2037535386">
      <w:bodyDiv w:val="1"/>
      <w:marLeft w:val="0"/>
      <w:marRight w:val="0"/>
      <w:marTop w:val="0"/>
      <w:marBottom w:val="0"/>
      <w:divBdr>
        <w:top w:val="none" w:sz="0" w:space="0" w:color="auto"/>
        <w:left w:val="none" w:sz="0" w:space="0" w:color="auto"/>
        <w:bottom w:val="none" w:sz="0" w:space="0" w:color="auto"/>
        <w:right w:val="none" w:sz="0" w:space="0" w:color="auto"/>
      </w:divBdr>
    </w:div>
    <w:div w:id="2039354704">
      <w:bodyDiv w:val="1"/>
      <w:marLeft w:val="0"/>
      <w:marRight w:val="0"/>
      <w:marTop w:val="0"/>
      <w:marBottom w:val="0"/>
      <w:divBdr>
        <w:top w:val="none" w:sz="0" w:space="0" w:color="auto"/>
        <w:left w:val="none" w:sz="0" w:space="0" w:color="auto"/>
        <w:bottom w:val="none" w:sz="0" w:space="0" w:color="auto"/>
        <w:right w:val="none" w:sz="0" w:space="0" w:color="auto"/>
      </w:divBdr>
    </w:div>
    <w:div w:id="2049066000">
      <w:bodyDiv w:val="1"/>
      <w:marLeft w:val="0"/>
      <w:marRight w:val="0"/>
      <w:marTop w:val="0"/>
      <w:marBottom w:val="0"/>
      <w:divBdr>
        <w:top w:val="none" w:sz="0" w:space="0" w:color="auto"/>
        <w:left w:val="none" w:sz="0" w:space="0" w:color="auto"/>
        <w:bottom w:val="none" w:sz="0" w:space="0" w:color="auto"/>
        <w:right w:val="none" w:sz="0" w:space="0" w:color="auto"/>
      </w:divBdr>
    </w:div>
    <w:div w:id="2050640221">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75472741">
      <w:bodyDiv w:val="1"/>
      <w:marLeft w:val="0"/>
      <w:marRight w:val="0"/>
      <w:marTop w:val="0"/>
      <w:marBottom w:val="0"/>
      <w:divBdr>
        <w:top w:val="none" w:sz="0" w:space="0" w:color="auto"/>
        <w:left w:val="none" w:sz="0" w:space="0" w:color="auto"/>
        <w:bottom w:val="none" w:sz="0" w:space="0" w:color="auto"/>
        <w:right w:val="none" w:sz="0" w:space="0" w:color="auto"/>
      </w:divBdr>
    </w:div>
    <w:div w:id="2078236324">
      <w:bodyDiv w:val="1"/>
      <w:marLeft w:val="0"/>
      <w:marRight w:val="0"/>
      <w:marTop w:val="0"/>
      <w:marBottom w:val="0"/>
      <w:divBdr>
        <w:top w:val="none" w:sz="0" w:space="0" w:color="auto"/>
        <w:left w:val="none" w:sz="0" w:space="0" w:color="auto"/>
        <w:bottom w:val="none" w:sz="0" w:space="0" w:color="auto"/>
        <w:right w:val="none" w:sz="0" w:space="0" w:color="auto"/>
      </w:divBdr>
    </w:div>
    <w:div w:id="2082828099">
      <w:bodyDiv w:val="1"/>
      <w:marLeft w:val="0"/>
      <w:marRight w:val="0"/>
      <w:marTop w:val="0"/>
      <w:marBottom w:val="0"/>
      <w:divBdr>
        <w:top w:val="none" w:sz="0" w:space="0" w:color="auto"/>
        <w:left w:val="none" w:sz="0" w:space="0" w:color="auto"/>
        <w:bottom w:val="none" w:sz="0" w:space="0" w:color="auto"/>
        <w:right w:val="none" w:sz="0" w:space="0" w:color="auto"/>
      </w:divBdr>
    </w:div>
    <w:div w:id="2098094196">
      <w:bodyDiv w:val="1"/>
      <w:marLeft w:val="0"/>
      <w:marRight w:val="0"/>
      <w:marTop w:val="0"/>
      <w:marBottom w:val="0"/>
      <w:divBdr>
        <w:top w:val="none" w:sz="0" w:space="0" w:color="auto"/>
        <w:left w:val="none" w:sz="0" w:space="0" w:color="auto"/>
        <w:bottom w:val="none" w:sz="0" w:space="0" w:color="auto"/>
        <w:right w:val="none" w:sz="0" w:space="0" w:color="auto"/>
      </w:divBdr>
    </w:div>
    <w:div w:id="2110004866">
      <w:bodyDiv w:val="1"/>
      <w:marLeft w:val="0"/>
      <w:marRight w:val="0"/>
      <w:marTop w:val="0"/>
      <w:marBottom w:val="0"/>
      <w:divBdr>
        <w:top w:val="none" w:sz="0" w:space="0" w:color="auto"/>
        <w:left w:val="none" w:sz="0" w:space="0" w:color="auto"/>
        <w:bottom w:val="none" w:sz="0" w:space="0" w:color="auto"/>
        <w:right w:val="none" w:sz="0" w:space="0" w:color="auto"/>
      </w:divBdr>
    </w:div>
    <w:div w:id="2114784171">
      <w:bodyDiv w:val="1"/>
      <w:marLeft w:val="0"/>
      <w:marRight w:val="0"/>
      <w:marTop w:val="0"/>
      <w:marBottom w:val="0"/>
      <w:divBdr>
        <w:top w:val="none" w:sz="0" w:space="0" w:color="auto"/>
        <w:left w:val="none" w:sz="0" w:space="0" w:color="auto"/>
        <w:bottom w:val="none" w:sz="0" w:space="0" w:color="auto"/>
        <w:right w:val="none" w:sz="0" w:space="0" w:color="auto"/>
      </w:divBdr>
    </w:div>
    <w:div w:id="21277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https://www.cgc.gov.au/reports-for-government/2025-methodology-review/consultation" TargetMode="External"/><Relationship Id="rId17" Type="http://schemas.openxmlformats.org/officeDocument/2006/relationships/image" Target="media/image5.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6/2025%20Methodology%20Review%20-%20Consultation%20paper%20-%20Health_Final.pdf" TargetMode="External"/><Relationship Id="rId24" Type="http://schemas.openxmlformats.org/officeDocument/2006/relationships/hyperlink" Target="https://www.health.gov.au/resources/publications/hcp-annual-report-2022-23-preliminary?language=en"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aihw.gov.au/reports/health-welfare-expenditure/health-expenditure-australia-2021-22/data" TargetMode="External"/><Relationship Id="rId28" Type="http://schemas.openxmlformats.org/officeDocument/2006/relationships/hyperlink" Target="https://view.officeapps.live.com/op/view.aspx?src=https%3A%2F%2Fwww.ihacpa.gov.au%2Fsites%2Fdefault%2Ffiles%2F2022-01%2FTier%25202%2520Non-Admitted%2520Services%2520Definitions%2520Manual%25202021%25E2%2580%259322.docx&amp;wdOrigin=BROWSELINK" TargetMode="Externa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3.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reports/cancer-screening/nbcsp-monitoring-2023/data" TargetMode="External"/><Relationship Id="rId13" Type="http://schemas.openxmlformats.org/officeDocument/2006/relationships/hyperlink" Target="https://www.aihw.gov.au/getmedia/8e401209-0eb0-4aeb-a536-faefa8fe54c3/aihw-hpf-69.pdf?v=20230605174048&amp;inline=true" TargetMode="External"/><Relationship Id="rId18" Type="http://schemas.openxmlformats.org/officeDocument/2006/relationships/hyperlink" Target="https://melbourneinstitute.unimelb.edu.au/__data/assets/pdf_file/0005/4721936/wp2023n09.pdf" TargetMode="External"/><Relationship Id="rId26" Type="http://schemas.openxmlformats.org/officeDocument/2006/relationships/hyperlink" Target="https://www.ihacpa.gov.au/resources/australian-hospital-patient-costing-standards-version-42" TargetMode="External"/><Relationship Id="rId3" Type="http://schemas.openxmlformats.org/officeDocument/2006/relationships/hyperlink" Target="https://www.ihacpa.gov.au/sites/default/files/2022-12/pricing_framework_for_australian_public_hospital_services_2023-24_-_final.pdf" TargetMode="External"/><Relationship Id="rId21" Type="http://schemas.openxmlformats.org/officeDocument/2006/relationships/hyperlink" Target="https://www.aihw.gov.au/reports/health-welfare-expenditure/health-expenditure-australia-2020-21/contents/summary" TargetMode="External"/><Relationship Id="rId7" Type="http://schemas.openxmlformats.org/officeDocument/2006/relationships/hyperlink" Target="https://www.aihw.gov.au/reports/dental-oral-health/oral-health-and-dental-care-in-australia/contents/dental-care" TargetMode="External"/><Relationship Id="rId12" Type="http://schemas.openxmlformats.org/officeDocument/2006/relationships/hyperlink" Target="https://www.aihw.gov.au/reports/cancer-screening/nbcsp-monitoring-2023/data" TargetMode="External"/><Relationship Id="rId17" Type="http://schemas.openxmlformats.org/officeDocument/2006/relationships/hyperlink" Target="https://www.health.gov.au/sites/default/files/documents/2022/07/environmental-health-standing-committee-enhealth-strategic-plan-2020-2023_0.pdf" TargetMode="External"/><Relationship Id="rId25" Type="http://schemas.openxmlformats.org/officeDocument/2006/relationships/hyperlink" Target="https://www.ihacpa.gov.au/resources/australian-hospital-patient-costing-standards-version-41" TargetMode="External"/><Relationship Id="rId2" Type="http://schemas.openxmlformats.org/officeDocument/2006/relationships/hyperlink" Target="https://www.aihw.gov.au/reports-data/myhospitals/sectors/admitted-patients" TargetMode="External"/><Relationship Id="rId16" Type="http://schemas.openxmlformats.org/officeDocument/2006/relationships/hyperlink" Target="https://www.health.gov.au/sites/default/files/documents/2021/12/national-preventive-health-strategy-2021-2030_1.pdf" TargetMode="External"/><Relationship Id="rId20" Type="http://schemas.openxmlformats.org/officeDocument/2006/relationships/hyperlink" Target="https://www.aihw.gov.au/reports-data/myhospitals/sectors/admitted-patients" TargetMode="External"/><Relationship Id="rId1" Type="http://schemas.openxmlformats.org/officeDocument/2006/relationships/hyperlink" Target="https://www.cgc.gov.au/sites/default/files/2022-12/Discussion%20Paper%20-%202023%20Update%20New%20Issues.pdf" TargetMode="External"/><Relationship Id="rId6" Type="http://schemas.openxmlformats.org/officeDocument/2006/relationships/hyperlink" Target="https://www.aihw.gov.au/mental-health/topic-areas/expenditure" TargetMode="External"/><Relationship Id="rId11" Type="http://schemas.openxmlformats.org/officeDocument/2006/relationships/hyperlink" Target="https://www.aihw.gov.au/getmedia/54a38a6a-9e3c-4f58-b2f6-cdef977a7d60/aihw-can-155_15sept.pdf?v=20230915162104&amp;inline=true" TargetMode="External"/><Relationship Id="rId24" Type="http://schemas.openxmlformats.org/officeDocument/2006/relationships/hyperlink" Target="https://www.ihacpa.gov.au/sites/default/files/2022-03/consultation_paper_on_the_pricing_framework_for_australian_public_hospital_services_2022%E2%80%9323.pdf" TargetMode="External"/><Relationship Id="rId5" Type="http://schemas.openxmlformats.org/officeDocument/2006/relationships/hyperlink" Target="https://www.pc.gov.au/ongoing/report-on-government-services/2024/health/services-for-mental-health" TargetMode="External"/><Relationship Id="rId15" Type="http://schemas.openxmlformats.org/officeDocument/2006/relationships/hyperlink" Target="https://www.aihw.gov.au/reports/australias-health/health-promotion" TargetMode="External"/><Relationship Id="rId23" Type="http://schemas.openxmlformats.org/officeDocument/2006/relationships/hyperlink" Target="https://www.cgc.gov.au/sites/default/files/2023-06/2025%20Methodology%20Review%20-%20Commission%27s%20position%20on%20fiscal%20equalisation%2C%20supporting%20principles%20and%20assessment%20guidelines.pdf" TargetMode="External"/><Relationship Id="rId10" Type="http://schemas.openxmlformats.org/officeDocument/2006/relationships/hyperlink" Target="https://www.aihw.gov.au/getmedia/24a90b13-3a38-49b2-8f51-1711f61ba2d4/aihw-can-157.pdf?v=20231129123308&amp;inline=true" TargetMode="External"/><Relationship Id="rId19" Type="http://schemas.openxmlformats.org/officeDocument/2006/relationships/hyperlink" Target="https://www.aihw.gov.au/reports-data/myhospitals/sectors/admitted-patients" TargetMode="External"/><Relationship Id="rId4" Type="http://schemas.openxmlformats.org/officeDocument/2006/relationships/hyperlink" Target="https://meteor.aihw.gov.au/content/764449" TargetMode="External"/><Relationship Id="rId9" Type="http://schemas.openxmlformats.org/officeDocument/2006/relationships/hyperlink" Target="https://www.aihw.gov.au/reports-data/myhospitals/sectors/emergency-department-care" TargetMode="External"/><Relationship Id="rId14" Type="http://schemas.openxmlformats.org/officeDocument/2006/relationships/hyperlink" Target="https://www.health.gov.au/sites/default/files/documents/2020/10/national-framework-for-communicable-disease-control.pdf" TargetMode="External"/><Relationship Id="rId22" Type="http://schemas.openxmlformats.org/officeDocument/2006/relationships/hyperlink" Target="https://www.aihw.gov.au/reports-data/myhospitals/content/gloss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2.xml><?xml version="1.0" encoding="utf-8"?>
<ds:datastoreItem xmlns:ds="http://schemas.openxmlformats.org/officeDocument/2006/customXml" ds:itemID="{ADCD2A77-C706-4F8E-9C6F-2D649C3F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0DF9C94A-53B2-4B40-BB19-46D4024B1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197</TotalTime>
  <Pages>64</Pages>
  <Words>22248</Words>
  <Characters>126817</Characters>
  <Application>Microsoft Office Word</Application>
  <DocSecurity>0</DocSecurity>
  <Lines>1056</Lines>
  <Paragraphs>297</Paragraphs>
  <ScaleCrop>false</ScaleCrop>
  <Company>Hewlett-Packard Company</Company>
  <LinksUpToDate>false</LinksUpToDate>
  <CharactersWithSpaces>148768</CharactersWithSpaces>
  <SharedDoc>false</SharedDoc>
  <HLinks>
    <vt:vector size="222" baseType="variant">
      <vt:variant>
        <vt:i4>7078011</vt:i4>
      </vt:variant>
      <vt:variant>
        <vt:i4>201</vt:i4>
      </vt:variant>
      <vt:variant>
        <vt:i4>0</vt:i4>
      </vt:variant>
      <vt:variant>
        <vt:i4>5</vt:i4>
      </vt:variant>
      <vt:variant>
        <vt:lpwstr>https://view.officeapps.live.com/op/view.aspx?src=https%3A%2F%2Fwww.ihacpa.gov.au%2Fsites%2Fdefault%2Ffiles%2F2022-01%2FTier%25202%2520Non-Admitted%2520Services%2520Definitions%2520Manual%25202021%25E2%2580%259322.docx&amp;wdOrigin=BROWSELINK</vt:lpwstr>
      </vt:variant>
      <vt:variant>
        <vt:lpwstr/>
      </vt:variant>
      <vt:variant>
        <vt:i4>2293823</vt:i4>
      </vt:variant>
      <vt:variant>
        <vt:i4>87</vt:i4>
      </vt:variant>
      <vt:variant>
        <vt:i4>0</vt:i4>
      </vt:variant>
      <vt:variant>
        <vt:i4>5</vt:i4>
      </vt:variant>
      <vt:variant>
        <vt:lpwstr>https://www.health.gov.au/resources/publications/hcp-annual-report-2022-23-preliminary?language=en</vt:lpwstr>
      </vt:variant>
      <vt:variant>
        <vt:lpwstr/>
      </vt:variant>
      <vt:variant>
        <vt:i4>1966093</vt:i4>
      </vt:variant>
      <vt:variant>
        <vt:i4>75</vt:i4>
      </vt:variant>
      <vt:variant>
        <vt:i4>0</vt:i4>
      </vt:variant>
      <vt:variant>
        <vt:i4>5</vt:i4>
      </vt:variant>
      <vt:variant>
        <vt:lpwstr>https://www.aihw.gov.au/reports/health-welfare-expenditure/health-expenditure-australia-2021-22/data</vt:lpwstr>
      </vt:variant>
      <vt:variant>
        <vt:lpwstr/>
      </vt:variant>
      <vt:variant>
        <vt:i4>131098</vt:i4>
      </vt:variant>
      <vt:variant>
        <vt:i4>3</vt:i4>
      </vt:variant>
      <vt:variant>
        <vt:i4>0</vt:i4>
      </vt:variant>
      <vt:variant>
        <vt:i4>5</vt:i4>
      </vt:variant>
      <vt:variant>
        <vt:lpwstr>https://www.cgc.gov.au/reports-for-government/2025-methodology-review/consultation</vt:lpwstr>
      </vt:variant>
      <vt:variant>
        <vt:lpwstr>tranche-1-consultation-papers-</vt:lpwstr>
      </vt:variant>
      <vt:variant>
        <vt:i4>3407878</vt:i4>
      </vt:variant>
      <vt:variant>
        <vt:i4>0</vt:i4>
      </vt:variant>
      <vt:variant>
        <vt:i4>0</vt:i4>
      </vt:variant>
      <vt:variant>
        <vt:i4>5</vt:i4>
      </vt:variant>
      <vt:variant>
        <vt:lpwstr>https://www.cgc.gov.au/sites/default/files/2023-06/2025 Methodology Review - Consultation paper - Health_Final.pdf</vt:lpwstr>
      </vt:variant>
      <vt:variant>
        <vt:lpwstr/>
      </vt:variant>
      <vt:variant>
        <vt:i4>5308490</vt:i4>
      </vt:variant>
      <vt:variant>
        <vt:i4>75</vt:i4>
      </vt:variant>
      <vt:variant>
        <vt:i4>0</vt:i4>
      </vt:variant>
      <vt:variant>
        <vt:i4>5</vt:i4>
      </vt:variant>
      <vt:variant>
        <vt:lpwstr>https://www.ihacpa.gov.au/resources/australian-hospital-patient-costing-standards-version-42</vt:lpwstr>
      </vt:variant>
      <vt:variant>
        <vt:lpwstr/>
      </vt:variant>
      <vt:variant>
        <vt:i4>5374026</vt:i4>
      </vt:variant>
      <vt:variant>
        <vt:i4>72</vt:i4>
      </vt:variant>
      <vt:variant>
        <vt:i4>0</vt:i4>
      </vt:variant>
      <vt:variant>
        <vt:i4>5</vt:i4>
      </vt:variant>
      <vt:variant>
        <vt:lpwstr>https://www.ihacpa.gov.au/resources/australian-hospital-patient-costing-standards-version-41</vt:lpwstr>
      </vt:variant>
      <vt:variant>
        <vt:lpwstr/>
      </vt:variant>
      <vt:variant>
        <vt:i4>3407942</vt:i4>
      </vt:variant>
      <vt:variant>
        <vt:i4>69</vt:i4>
      </vt:variant>
      <vt:variant>
        <vt:i4>0</vt:i4>
      </vt:variant>
      <vt:variant>
        <vt:i4>5</vt:i4>
      </vt:variant>
      <vt:variant>
        <vt:lpwstr>https://www.ihacpa.gov.au/sites/default/files/2022-03/consultation_paper_on_the_pricing_framework_for_australian_public_hospital_services_2022%E2%80%9323.pdf</vt:lpwstr>
      </vt:variant>
      <vt:variant>
        <vt:lpwstr/>
      </vt:variant>
      <vt:variant>
        <vt:i4>2752566</vt:i4>
      </vt:variant>
      <vt:variant>
        <vt:i4>66</vt:i4>
      </vt:variant>
      <vt:variant>
        <vt:i4>0</vt:i4>
      </vt:variant>
      <vt:variant>
        <vt:i4>5</vt:i4>
      </vt:variant>
      <vt:variant>
        <vt:lpwstr>https://www.cgc.gov.au/sites/default/files/2023-06/2025 Methodology Review - Commission%27s position on fiscal equalisation%2C supporting principles and assessment guidelines.pdf</vt:lpwstr>
      </vt:variant>
      <vt:variant>
        <vt:lpwstr/>
      </vt:variant>
      <vt:variant>
        <vt:i4>4325402</vt:i4>
      </vt:variant>
      <vt:variant>
        <vt:i4>63</vt:i4>
      </vt:variant>
      <vt:variant>
        <vt:i4>0</vt:i4>
      </vt:variant>
      <vt:variant>
        <vt:i4>5</vt:i4>
      </vt:variant>
      <vt:variant>
        <vt:lpwstr>https://www.aihw.gov.au/reports-data/myhospitals/content/glossary</vt:lpwstr>
      </vt:variant>
      <vt:variant>
        <vt:lpwstr/>
      </vt:variant>
      <vt:variant>
        <vt:i4>2031687</vt:i4>
      </vt:variant>
      <vt:variant>
        <vt:i4>60</vt:i4>
      </vt:variant>
      <vt:variant>
        <vt:i4>0</vt:i4>
      </vt:variant>
      <vt:variant>
        <vt:i4>5</vt:i4>
      </vt:variant>
      <vt:variant>
        <vt:lpwstr>https://www.aihw.gov.au/reports/health-welfare-expenditure/health-expenditure-australia-2020-21/contents/summary</vt:lpwstr>
      </vt:variant>
      <vt:variant>
        <vt:lpwstr/>
      </vt:variant>
      <vt:variant>
        <vt:i4>8257658</vt:i4>
      </vt:variant>
      <vt:variant>
        <vt:i4>57</vt:i4>
      </vt:variant>
      <vt:variant>
        <vt:i4>0</vt:i4>
      </vt:variant>
      <vt:variant>
        <vt:i4>5</vt:i4>
      </vt:variant>
      <vt:variant>
        <vt:lpwstr>https://www.aihw.gov.au/reports-data/myhospitals/sectors/admitted-patients</vt:lpwstr>
      </vt:variant>
      <vt:variant>
        <vt:lpwstr/>
      </vt:variant>
      <vt:variant>
        <vt:i4>8257658</vt:i4>
      </vt:variant>
      <vt:variant>
        <vt:i4>54</vt:i4>
      </vt:variant>
      <vt:variant>
        <vt:i4>0</vt:i4>
      </vt:variant>
      <vt:variant>
        <vt:i4>5</vt:i4>
      </vt:variant>
      <vt:variant>
        <vt:lpwstr>https://www.aihw.gov.au/reports-data/myhospitals/sectors/admitted-patients</vt:lpwstr>
      </vt:variant>
      <vt:variant>
        <vt:lpwstr/>
      </vt:variant>
      <vt:variant>
        <vt:i4>3538969</vt:i4>
      </vt:variant>
      <vt:variant>
        <vt:i4>51</vt:i4>
      </vt:variant>
      <vt:variant>
        <vt:i4>0</vt:i4>
      </vt:variant>
      <vt:variant>
        <vt:i4>5</vt:i4>
      </vt:variant>
      <vt:variant>
        <vt:lpwstr>https://melbourneinstitute.unimelb.edu.au/__data/assets/pdf_file/0005/4721936/wp2023n09.pdf</vt:lpwstr>
      </vt:variant>
      <vt:variant>
        <vt:lpwstr/>
      </vt:variant>
      <vt:variant>
        <vt:i4>1179755</vt:i4>
      </vt:variant>
      <vt:variant>
        <vt:i4>48</vt:i4>
      </vt:variant>
      <vt:variant>
        <vt:i4>0</vt:i4>
      </vt:variant>
      <vt:variant>
        <vt:i4>5</vt:i4>
      </vt:variant>
      <vt:variant>
        <vt:lpwstr>https://www.health.gov.au/sites/default/files/documents/2022/07/environmental-health-standing-committee-enhealth-strategic-plan-2020-2023_0.pdf</vt:lpwstr>
      </vt:variant>
      <vt:variant>
        <vt:lpwstr/>
      </vt:variant>
      <vt:variant>
        <vt:i4>1310761</vt:i4>
      </vt:variant>
      <vt:variant>
        <vt:i4>45</vt:i4>
      </vt:variant>
      <vt:variant>
        <vt:i4>0</vt:i4>
      </vt:variant>
      <vt:variant>
        <vt:i4>5</vt:i4>
      </vt:variant>
      <vt:variant>
        <vt:lpwstr>https://www.health.gov.au/sites/default/files/documents/2021/12/national-preventive-health-strategy-2021-2030_1.pdf</vt:lpwstr>
      </vt:variant>
      <vt:variant>
        <vt:lpwstr/>
      </vt:variant>
      <vt:variant>
        <vt:i4>6684709</vt:i4>
      </vt:variant>
      <vt:variant>
        <vt:i4>42</vt:i4>
      </vt:variant>
      <vt:variant>
        <vt:i4>0</vt:i4>
      </vt:variant>
      <vt:variant>
        <vt:i4>5</vt:i4>
      </vt:variant>
      <vt:variant>
        <vt:lpwstr>https://www.aihw.gov.au/reports/australias-health/health-promotion</vt:lpwstr>
      </vt:variant>
      <vt:variant>
        <vt:lpwstr/>
      </vt:variant>
      <vt:variant>
        <vt:i4>2949237</vt:i4>
      </vt:variant>
      <vt:variant>
        <vt:i4>39</vt:i4>
      </vt:variant>
      <vt:variant>
        <vt:i4>0</vt:i4>
      </vt:variant>
      <vt:variant>
        <vt:i4>5</vt:i4>
      </vt:variant>
      <vt:variant>
        <vt:lpwstr>https://www.health.gov.au/sites/default/files/documents/2020/10/national-framework-for-communicable-disease-control.pdf</vt:lpwstr>
      </vt:variant>
      <vt:variant>
        <vt:lpwstr/>
      </vt:variant>
      <vt:variant>
        <vt:i4>6488119</vt:i4>
      </vt:variant>
      <vt:variant>
        <vt:i4>36</vt:i4>
      </vt:variant>
      <vt:variant>
        <vt:i4>0</vt:i4>
      </vt:variant>
      <vt:variant>
        <vt:i4>5</vt:i4>
      </vt:variant>
      <vt:variant>
        <vt:lpwstr>https://www.aihw.gov.au/getmedia/8e401209-0eb0-4aeb-a536-faefa8fe54c3/aihw-hpf-69.pdf?v=20230605174048&amp;inline=true</vt:lpwstr>
      </vt:variant>
      <vt:variant>
        <vt:lpwstr/>
      </vt:variant>
      <vt:variant>
        <vt:i4>6946857</vt:i4>
      </vt:variant>
      <vt:variant>
        <vt:i4>33</vt:i4>
      </vt:variant>
      <vt:variant>
        <vt:i4>0</vt:i4>
      </vt:variant>
      <vt:variant>
        <vt:i4>5</vt:i4>
      </vt:variant>
      <vt:variant>
        <vt:lpwstr>https://www.aihw.gov.au/reports/cancer-screening/nbcsp-monitoring-2023/data</vt:lpwstr>
      </vt:variant>
      <vt:variant>
        <vt:lpwstr/>
      </vt:variant>
      <vt:variant>
        <vt:i4>7012357</vt:i4>
      </vt:variant>
      <vt:variant>
        <vt:i4>30</vt:i4>
      </vt:variant>
      <vt:variant>
        <vt:i4>0</vt:i4>
      </vt:variant>
      <vt:variant>
        <vt:i4>5</vt:i4>
      </vt:variant>
      <vt:variant>
        <vt:lpwstr>https://www.aihw.gov.au/getmedia/54a38a6a-9e3c-4f58-b2f6-cdef977a7d60/aihw-can-155_15sept.pdf?v=20230915162104&amp;inline=true</vt:lpwstr>
      </vt:variant>
      <vt:variant>
        <vt:lpwstr/>
      </vt:variant>
      <vt:variant>
        <vt:i4>7471214</vt:i4>
      </vt:variant>
      <vt:variant>
        <vt:i4>27</vt:i4>
      </vt:variant>
      <vt:variant>
        <vt:i4>0</vt:i4>
      </vt:variant>
      <vt:variant>
        <vt:i4>5</vt:i4>
      </vt:variant>
      <vt:variant>
        <vt:lpwstr>https://www.aihw.gov.au/getmedia/24a90b13-3a38-49b2-8f51-1711f61ba2d4/aihw-can-157.pdf?v=20231129123308&amp;inline=true</vt:lpwstr>
      </vt:variant>
      <vt:variant>
        <vt:lpwstr/>
      </vt:variant>
      <vt:variant>
        <vt:i4>6750262</vt:i4>
      </vt:variant>
      <vt:variant>
        <vt:i4>24</vt:i4>
      </vt:variant>
      <vt:variant>
        <vt:i4>0</vt:i4>
      </vt:variant>
      <vt:variant>
        <vt:i4>5</vt:i4>
      </vt:variant>
      <vt:variant>
        <vt:lpwstr>https://www.aihw.gov.au/reports-data/myhospitals/sectors/emergency-department-care</vt:lpwstr>
      </vt:variant>
      <vt:variant>
        <vt:lpwstr/>
      </vt:variant>
      <vt:variant>
        <vt:i4>6946857</vt:i4>
      </vt:variant>
      <vt:variant>
        <vt:i4>21</vt:i4>
      </vt:variant>
      <vt:variant>
        <vt:i4>0</vt:i4>
      </vt:variant>
      <vt:variant>
        <vt:i4>5</vt:i4>
      </vt:variant>
      <vt:variant>
        <vt:lpwstr>https://www.aihw.gov.au/reports/cancer-screening/nbcsp-monitoring-2023/data</vt:lpwstr>
      </vt:variant>
      <vt:variant>
        <vt:lpwstr/>
      </vt:variant>
      <vt:variant>
        <vt:i4>4456522</vt:i4>
      </vt:variant>
      <vt:variant>
        <vt:i4>18</vt:i4>
      </vt:variant>
      <vt:variant>
        <vt:i4>0</vt:i4>
      </vt:variant>
      <vt:variant>
        <vt:i4>5</vt:i4>
      </vt:variant>
      <vt:variant>
        <vt:lpwstr>https://www.aihw.gov.au/reports/dental-oral-health/oral-health-and-dental-care-in-australia/contents/dental-care</vt:lpwstr>
      </vt:variant>
      <vt:variant>
        <vt:lpwstr/>
      </vt:variant>
      <vt:variant>
        <vt:i4>5111818</vt:i4>
      </vt:variant>
      <vt:variant>
        <vt:i4>15</vt:i4>
      </vt:variant>
      <vt:variant>
        <vt:i4>0</vt:i4>
      </vt:variant>
      <vt:variant>
        <vt:i4>5</vt:i4>
      </vt:variant>
      <vt:variant>
        <vt:lpwstr>https://www.aihw.gov.au/mental-health/topic-areas/expenditure</vt:lpwstr>
      </vt:variant>
      <vt:variant>
        <vt:lpwstr/>
      </vt:variant>
      <vt:variant>
        <vt:i4>3145853</vt:i4>
      </vt:variant>
      <vt:variant>
        <vt:i4>12</vt:i4>
      </vt:variant>
      <vt:variant>
        <vt:i4>0</vt:i4>
      </vt:variant>
      <vt:variant>
        <vt:i4>5</vt:i4>
      </vt:variant>
      <vt:variant>
        <vt:lpwstr>https://www.pc.gov.au/ongoing/report-on-government-services/2024/health/services-for-mental-health</vt:lpwstr>
      </vt:variant>
      <vt:variant>
        <vt:lpwstr/>
      </vt:variant>
      <vt:variant>
        <vt:i4>5963777</vt:i4>
      </vt:variant>
      <vt:variant>
        <vt:i4>9</vt:i4>
      </vt:variant>
      <vt:variant>
        <vt:i4>0</vt:i4>
      </vt:variant>
      <vt:variant>
        <vt:i4>5</vt:i4>
      </vt:variant>
      <vt:variant>
        <vt:lpwstr>https://meteor.aihw.gov.au/content/764449</vt:lpwstr>
      </vt:variant>
      <vt:variant>
        <vt:lpwstr/>
      </vt:variant>
      <vt:variant>
        <vt:i4>1441905</vt:i4>
      </vt:variant>
      <vt:variant>
        <vt:i4>6</vt:i4>
      </vt:variant>
      <vt:variant>
        <vt:i4>0</vt:i4>
      </vt:variant>
      <vt:variant>
        <vt:i4>5</vt:i4>
      </vt:variant>
      <vt:variant>
        <vt:lpwstr>https://www.ihacpa.gov.au/sites/default/files/2022-12/pricing_framework_for_australian_public_hospital_services_2023-24_-_final.pdf</vt:lpwstr>
      </vt:variant>
      <vt:variant>
        <vt:lpwstr/>
      </vt:variant>
      <vt:variant>
        <vt:i4>6553641</vt:i4>
      </vt:variant>
      <vt:variant>
        <vt:i4>3</vt:i4>
      </vt:variant>
      <vt:variant>
        <vt:i4>0</vt:i4>
      </vt:variant>
      <vt:variant>
        <vt:i4>5</vt:i4>
      </vt:variant>
      <vt:variant>
        <vt:lpwstr>https://www.aihw.gov.au/reports-data/myhospitals/sectors/admitted-patients</vt:lpwstr>
      </vt:variant>
      <vt:variant>
        <vt:lpwstr>more-data</vt:lpwstr>
      </vt:variant>
      <vt:variant>
        <vt:i4>1966109</vt:i4>
      </vt:variant>
      <vt:variant>
        <vt:i4>0</vt:i4>
      </vt:variant>
      <vt:variant>
        <vt:i4>0</vt:i4>
      </vt:variant>
      <vt:variant>
        <vt:i4>5</vt:i4>
      </vt:variant>
      <vt:variant>
        <vt:lpwstr>https://www.cgc.gov.au/sites/default/files/2022-12/Discussion Paper - 2023 Update New Issues.pdf</vt:lpwstr>
      </vt:variant>
      <vt:variant>
        <vt:lpwstr/>
      </vt:variant>
      <vt:variant>
        <vt:i4>983095</vt:i4>
      </vt:variant>
      <vt:variant>
        <vt:i4>15</vt:i4>
      </vt:variant>
      <vt:variant>
        <vt:i4>0</vt:i4>
      </vt:variant>
      <vt:variant>
        <vt:i4>5</vt:i4>
      </vt:variant>
      <vt:variant>
        <vt:lpwstr>mailto:Katrina.Baldock@cgc.gov.au</vt:lpwstr>
      </vt:variant>
      <vt:variant>
        <vt:lpwstr/>
      </vt:variant>
      <vt:variant>
        <vt:i4>983095</vt:i4>
      </vt:variant>
      <vt:variant>
        <vt:i4>12</vt:i4>
      </vt:variant>
      <vt:variant>
        <vt:i4>0</vt:i4>
      </vt:variant>
      <vt:variant>
        <vt:i4>5</vt:i4>
      </vt:variant>
      <vt:variant>
        <vt:lpwstr>mailto:Katrina.Baldock@cgc.gov.au</vt:lpwstr>
      </vt:variant>
      <vt:variant>
        <vt:lpwstr/>
      </vt:variant>
      <vt:variant>
        <vt:i4>2293861</vt:i4>
      </vt:variant>
      <vt:variant>
        <vt:i4>9</vt:i4>
      </vt:variant>
      <vt:variant>
        <vt:i4>0</vt:i4>
      </vt:variant>
      <vt:variant>
        <vt:i4>5</vt:i4>
      </vt:variant>
      <vt:variant>
        <vt:lpwstr>https://www.stylemanual.gov.au/referencing-and-attribution/documentary-note</vt:lpwstr>
      </vt:variant>
      <vt:variant>
        <vt:lpwstr/>
      </vt:variant>
      <vt:variant>
        <vt:i4>1966109</vt:i4>
      </vt:variant>
      <vt:variant>
        <vt:i4>6</vt:i4>
      </vt:variant>
      <vt:variant>
        <vt:i4>0</vt:i4>
      </vt:variant>
      <vt:variant>
        <vt:i4>5</vt:i4>
      </vt:variant>
      <vt:variant>
        <vt:lpwstr>https://www.cgc.gov.au/sites/default/files/2022-12/Discussion Paper - 2023 Update New Issues.pdf</vt:lpwstr>
      </vt:variant>
      <vt:variant>
        <vt:lpwstr/>
      </vt:variant>
      <vt:variant>
        <vt:i4>8257625</vt:i4>
      </vt:variant>
      <vt:variant>
        <vt:i4>3</vt:i4>
      </vt:variant>
      <vt:variant>
        <vt:i4>0</vt:i4>
      </vt:variant>
      <vt:variant>
        <vt:i4>5</vt:i4>
      </vt:variant>
      <vt:variant>
        <vt:lpwstr>mailto:Ben.Crabb@cgc.gov.au</vt:lpwstr>
      </vt:variant>
      <vt:variant>
        <vt:lpwstr/>
      </vt:variant>
      <vt:variant>
        <vt:i4>2686977</vt:i4>
      </vt:variant>
      <vt:variant>
        <vt:i4>0</vt:i4>
      </vt:variant>
      <vt:variant>
        <vt:i4>0</vt:i4>
      </vt:variant>
      <vt:variant>
        <vt:i4>5</vt:i4>
      </vt:variant>
      <vt:variant>
        <vt:lpwstr>mailto:Peter.Philippa@cgc.gov.au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385</cp:revision>
  <cp:lastPrinted>2024-05-31T16:42:00Z</cp:lastPrinted>
  <dcterms:created xsi:type="dcterms:W3CDTF">2024-06-16T17:07:00Z</dcterms:created>
  <dcterms:modified xsi:type="dcterms:W3CDTF">2024-06-21T08:40:00Z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945008cf-d2ba-41e6-a41d-5b57dd8ea001</vt:lpwstr>
  </property>
</Properties>
</file>