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FF98" w14:textId="24445A19" w:rsidR="00AB1CDB" w:rsidRDefault="0006723A" w:rsidP="00B7134B">
      <w:pPr>
        <w:pStyle w:val="Heading1"/>
      </w:pPr>
      <w:bookmarkStart w:id="0" w:name="_Toc133236145"/>
      <w:bookmarkStart w:id="1" w:name="_Toc133236171"/>
      <w:bookmarkStart w:id="2" w:name="_Toc143772067"/>
      <w:r>
        <w:t>Welfare</w:t>
      </w:r>
    </w:p>
    <w:p w14:paraId="1F0C236A" w14:textId="465B9182" w:rsidR="00B7134B" w:rsidRDefault="00C53513" w:rsidP="00AB1CDB">
      <w:pPr>
        <w:pStyle w:val="Heading2"/>
      </w:pPr>
      <w:r>
        <w:t>Overview</w:t>
      </w:r>
      <w:bookmarkStart w:id="3" w:name="_Toc143772068"/>
      <w:bookmarkStart w:id="4" w:name="_Toc133236159"/>
      <w:bookmarkStart w:id="5" w:name="_Toc133236185"/>
      <w:bookmarkEnd w:id="0"/>
      <w:bookmarkEnd w:id="1"/>
      <w:bookmarkEnd w:id="2"/>
    </w:p>
    <w:p w14:paraId="4F367058" w14:textId="69B05631" w:rsidR="00500BEC" w:rsidRPr="00C46E01" w:rsidRDefault="00F126D6" w:rsidP="00500BEC">
      <w:pPr>
        <w:pStyle w:val="CGC2025ParaNumbers"/>
      </w:pPr>
      <w:r w:rsidRPr="00C46E01">
        <w:t xml:space="preserve">On </w:t>
      </w:r>
      <w:r w:rsidR="00A21BDA" w:rsidRPr="00C46E01">
        <w:t>26</w:t>
      </w:r>
      <w:r w:rsidRPr="00C46E01">
        <w:t xml:space="preserve"> </w:t>
      </w:r>
      <w:r w:rsidR="00A21BDA" w:rsidRPr="00C46E01">
        <w:t xml:space="preserve">October </w:t>
      </w:r>
      <w:r w:rsidRPr="00C46E01">
        <w:t xml:space="preserve">2023, the Commission issued a </w:t>
      </w:r>
      <w:hyperlink r:id="rId11" w:history="1">
        <w:r w:rsidR="006065F2" w:rsidRPr="00C46E01">
          <w:rPr>
            <w:rStyle w:val="Hyperlink"/>
          </w:rPr>
          <w:t>c</w:t>
        </w:r>
        <w:r w:rsidRPr="00C46E01">
          <w:rPr>
            <w:rStyle w:val="Hyperlink"/>
          </w:rPr>
          <w:t>onsultation paper</w:t>
        </w:r>
      </w:hyperlink>
      <w:r w:rsidRPr="00C46E01">
        <w:t xml:space="preserve"> on the </w:t>
      </w:r>
      <w:r w:rsidR="00A21BDA" w:rsidRPr="00C46E01">
        <w:t xml:space="preserve">welfare </w:t>
      </w:r>
      <w:r w:rsidRPr="00C46E01">
        <w:t>assessment</w:t>
      </w:r>
      <w:r w:rsidR="00A6204E" w:rsidRPr="00C46E01">
        <w:t>.</w:t>
      </w:r>
      <w:r w:rsidR="006A7C7E" w:rsidRPr="00C46E01">
        <w:t xml:space="preserve"> </w:t>
      </w:r>
      <w:r w:rsidR="00A6204E" w:rsidRPr="00C46E01">
        <w:t xml:space="preserve">The Commission </w:t>
      </w:r>
      <w:r w:rsidR="00E600E9" w:rsidRPr="00C46E01">
        <w:t>considered</w:t>
      </w:r>
      <w:r w:rsidR="00E600E9" w:rsidRPr="00C46E01" w:rsidDel="00BC13C4">
        <w:t xml:space="preserve"> changes since the 2020</w:t>
      </w:r>
      <w:r w:rsidR="00E600E9" w:rsidRPr="00C46E01">
        <w:t xml:space="preserve"> </w:t>
      </w:r>
      <w:r w:rsidR="00E600E9" w:rsidRPr="00C46E01" w:rsidDel="00BC13C4">
        <w:t>Review</w:t>
      </w:r>
      <w:r w:rsidR="00E600E9" w:rsidRPr="00C46E01" w:rsidDel="000D1DDA">
        <w:t xml:space="preserve"> and </w:t>
      </w:r>
      <w:r w:rsidR="00E600E9" w:rsidRPr="00C46E01">
        <w:t>their implications</w:t>
      </w:r>
      <w:r w:rsidR="00E600E9" w:rsidRPr="00C46E01" w:rsidDel="00BC13C4">
        <w:t xml:space="preserve"> for </w:t>
      </w:r>
      <w:r w:rsidR="00A00A17">
        <w:t xml:space="preserve">the </w:t>
      </w:r>
      <w:r w:rsidR="00E600E9" w:rsidRPr="00C46E01">
        <w:t>assessment method</w:t>
      </w:r>
      <w:r w:rsidR="009E18D8" w:rsidRPr="00C46E01">
        <w:t>.</w:t>
      </w:r>
    </w:p>
    <w:p w14:paraId="110B72D8" w14:textId="2E810589" w:rsidR="00876A6A" w:rsidRPr="00C46E01" w:rsidRDefault="00B66E6C" w:rsidP="00A0029B">
      <w:pPr>
        <w:pStyle w:val="CGC2025ParaNumbers"/>
      </w:pPr>
      <w:r w:rsidRPr="00C46E01">
        <w:t xml:space="preserve">The Commission proposed </w:t>
      </w:r>
      <w:r w:rsidR="00A129EA">
        <w:t>4</w:t>
      </w:r>
      <w:r w:rsidR="00B574AE" w:rsidRPr="00C46E01">
        <w:t xml:space="preserve"> changes </w:t>
      </w:r>
      <w:r w:rsidR="00020336" w:rsidRPr="00C46E01">
        <w:t xml:space="preserve">to the </w:t>
      </w:r>
      <w:r w:rsidRPr="00C46E01">
        <w:t>2020 Review assessment method</w:t>
      </w:r>
      <w:r w:rsidR="005273A7">
        <w:t xml:space="preserve">. The proposed changes </w:t>
      </w:r>
      <w:r w:rsidR="00C11A6B">
        <w:t>wer</w:t>
      </w:r>
      <w:r w:rsidR="005273A7">
        <w:t>e</w:t>
      </w:r>
      <w:r w:rsidR="009C3754">
        <w:t>:</w:t>
      </w:r>
    </w:p>
    <w:p w14:paraId="3B063DDC" w14:textId="33A9A547" w:rsidR="00E8680F" w:rsidRPr="00C46E01" w:rsidRDefault="008975A8" w:rsidP="00876A6A">
      <w:pPr>
        <w:pStyle w:val="CGC2025Bullet1"/>
      </w:pPr>
      <w:r>
        <w:t>collect</w:t>
      </w:r>
      <w:r w:rsidR="000C0D31">
        <w:t>ing</w:t>
      </w:r>
      <w:r w:rsidR="00E8680F" w:rsidRPr="00C46E01">
        <w:t xml:space="preserve"> National Disability Insurance Scheme </w:t>
      </w:r>
      <w:r w:rsidR="00BA0F0E">
        <w:t xml:space="preserve">(NDIS) </w:t>
      </w:r>
      <w:r w:rsidR="00E8680F" w:rsidRPr="00C46E01">
        <w:t xml:space="preserve">data </w:t>
      </w:r>
      <w:r>
        <w:t>f</w:t>
      </w:r>
      <w:r w:rsidR="000C0D31">
        <w:t>rom the Department of Social Services Portfolio Budget Statement</w:t>
      </w:r>
    </w:p>
    <w:p w14:paraId="4E7D7753" w14:textId="50AA110D" w:rsidR="00A3748A" w:rsidRDefault="009C3754" w:rsidP="00876A6A">
      <w:pPr>
        <w:pStyle w:val="CGC2025Bullet1"/>
      </w:pPr>
      <w:r>
        <w:t>d</w:t>
      </w:r>
      <w:r w:rsidR="00A9683F" w:rsidRPr="00C46E01">
        <w:t xml:space="preserve">eveloping a </w:t>
      </w:r>
      <w:r w:rsidR="00A3748A" w:rsidRPr="00C46E01">
        <w:t>homelessness services assessment</w:t>
      </w:r>
    </w:p>
    <w:p w14:paraId="14083BBF" w14:textId="5A57C94B" w:rsidR="003D729F" w:rsidRDefault="009C3754" w:rsidP="00876A6A">
      <w:pPr>
        <w:pStyle w:val="CGC2025Bullet1"/>
      </w:pPr>
      <w:r>
        <w:t>c</w:t>
      </w:r>
      <w:r w:rsidR="00FA12AD" w:rsidRPr="00C46E01">
        <w:t xml:space="preserve">ombining </w:t>
      </w:r>
      <w:r w:rsidR="00047640" w:rsidRPr="00C46E01">
        <w:t>other welfare</w:t>
      </w:r>
      <w:r w:rsidR="00CC4827" w:rsidRPr="00C46E01">
        <w:t xml:space="preserve"> and non-NDIS disability services, aged </w:t>
      </w:r>
      <w:proofErr w:type="gramStart"/>
      <w:r w:rsidR="00CC4827" w:rsidRPr="00C46E01">
        <w:t>care</w:t>
      </w:r>
      <w:proofErr w:type="gramEnd"/>
      <w:r w:rsidR="00CC4827" w:rsidRPr="00C46E01">
        <w:t xml:space="preserve"> and the national redress scheme into a single </w:t>
      </w:r>
      <w:r w:rsidR="00F509B2" w:rsidRPr="00C46E01">
        <w:t>assessment</w:t>
      </w:r>
    </w:p>
    <w:p w14:paraId="23F4A308" w14:textId="6F66F97A" w:rsidR="003A44DC" w:rsidRPr="00C46E01" w:rsidRDefault="003D729F" w:rsidP="003D729F">
      <w:pPr>
        <w:pStyle w:val="CGC2025Bullet1"/>
      </w:pPr>
      <w:r>
        <w:t>ceasing to collect national redress scheme spending</w:t>
      </w:r>
      <w:r w:rsidR="00F509B2" w:rsidRPr="00C46E01">
        <w:t>.</w:t>
      </w:r>
    </w:p>
    <w:p w14:paraId="37ADBBD8" w14:textId="37C69107" w:rsidR="00B7134B" w:rsidRDefault="006B6095">
      <w:pPr>
        <w:pStyle w:val="CGC2025ParaNumbers"/>
      </w:pPr>
      <w:r w:rsidRPr="00C46E01">
        <w:t xml:space="preserve">A summary of state </w:t>
      </w:r>
      <w:r w:rsidR="00B97A4E">
        <w:t xml:space="preserve">and territory (state) </w:t>
      </w:r>
      <w:r w:rsidR="002A07BA" w:rsidRPr="00C46E01">
        <w:t xml:space="preserve">responses to each consultation question </w:t>
      </w:r>
      <w:r w:rsidRPr="00C46E01">
        <w:t xml:space="preserve">is </w:t>
      </w:r>
      <w:r w:rsidR="00132FD9" w:rsidRPr="00C46E01">
        <w:t>included</w:t>
      </w:r>
      <w:r w:rsidR="00132FD9" w:rsidRPr="00A0029B">
        <w:t xml:space="preserve"> </w:t>
      </w:r>
      <w:r w:rsidRPr="00A0029B">
        <w:t>below</w:t>
      </w:r>
      <w:r w:rsidR="00344417">
        <w:t>, as well as t</w:t>
      </w:r>
      <w:r w:rsidRPr="00A0029B">
        <w:t>he Commission’s draft position</w:t>
      </w:r>
      <w:r w:rsidR="00132FD9">
        <w:t xml:space="preserve"> </w:t>
      </w:r>
      <w:r w:rsidR="00B97A4E">
        <w:t>on the</w:t>
      </w:r>
      <w:r w:rsidR="00B7134B">
        <w:t xml:space="preserve"> 2025</w:t>
      </w:r>
      <w:r w:rsidR="00B97A4E">
        <w:t> </w:t>
      </w:r>
      <w:r w:rsidR="00B7134B">
        <w:t>Review assessment method.</w:t>
      </w:r>
    </w:p>
    <w:p w14:paraId="22604165" w14:textId="24C91740" w:rsidR="009E401E" w:rsidRPr="00AA7FC1" w:rsidRDefault="009E401E">
      <w:pPr>
        <w:pStyle w:val="CGC2025ParaNumbers"/>
      </w:pPr>
      <w:r>
        <w:t xml:space="preserve">State submissions can be </w:t>
      </w:r>
      <w:r w:rsidR="00F71F0F">
        <w:t xml:space="preserve">viewed </w:t>
      </w:r>
      <w:hyperlink r:id="rId12" w:history="1">
        <w:r w:rsidR="00F71F0F" w:rsidRPr="00D4546A">
          <w:rPr>
            <w:rStyle w:val="Hyperlink"/>
          </w:rPr>
          <w:t>here</w:t>
        </w:r>
      </w:hyperlink>
      <w:r w:rsidR="00F71F0F" w:rsidRPr="002450D6">
        <w:t>.</w:t>
      </w:r>
    </w:p>
    <w:bookmarkEnd w:id="3"/>
    <w:p w14:paraId="2DE02396" w14:textId="0BD53FE6" w:rsidR="00D2314B" w:rsidRDefault="00D2314B" w:rsidP="00AB1CDB">
      <w:pPr>
        <w:pStyle w:val="Heading2"/>
      </w:pPr>
      <w:r w:rsidRPr="00EC2B77">
        <w:t>Consultation</w:t>
      </w:r>
      <w:r w:rsidR="002D3B75">
        <w:t xml:space="preserve"> </w:t>
      </w:r>
      <w:r w:rsidR="003664EB">
        <w:t>questions</w:t>
      </w:r>
    </w:p>
    <w:p w14:paraId="757DCC01" w14:textId="50FA72C2" w:rsidR="00384884" w:rsidRPr="00284B22" w:rsidRDefault="00384884" w:rsidP="0006723A">
      <w:pPr>
        <w:pStyle w:val="Heading3"/>
      </w:pPr>
      <w:r>
        <w:t xml:space="preserve">Q1. </w:t>
      </w:r>
      <w:r w:rsidR="0006723A">
        <w:t>Do states agree that the state NDIS contributions can be collected from the Commonwealth Budget papers rather than from the states?</w:t>
      </w:r>
    </w:p>
    <w:p w14:paraId="569CF661" w14:textId="050EFBFD" w:rsidR="0064569F" w:rsidRDefault="0064569F" w:rsidP="0064569F">
      <w:pPr>
        <w:pStyle w:val="Heading4"/>
      </w:pPr>
      <w:r>
        <w:t>State views</w:t>
      </w:r>
    </w:p>
    <w:p w14:paraId="028BE524" w14:textId="2A1CB00D" w:rsidR="5DCD298D" w:rsidRDefault="5DCD298D" w:rsidP="24E3E578">
      <w:pPr>
        <w:pStyle w:val="CGC2025ParaNumbers"/>
        <w:rPr>
          <w:szCs w:val="20"/>
        </w:rPr>
      </w:pPr>
      <w:r>
        <w:t>All states except Tasmania</w:t>
      </w:r>
      <w:r w:rsidR="461CAD32">
        <w:t xml:space="preserve"> and South Australia </w:t>
      </w:r>
      <w:r>
        <w:t xml:space="preserve">agreed with the </w:t>
      </w:r>
      <w:r w:rsidR="00F956CA">
        <w:t xml:space="preserve">Commission’s </w:t>
      </w:r>
      <w:r>
        <w:t>proposal to collect state NDIS contributions from</w:t>
      </w:r>
      <w:r w:rsidR="3C984075">
        <w:t xml:space="preserve"> Commonwealth Budget Papers</w:t>
      </w:r>
      <w:r w:rsidR="00B97A4E">
        <w:t>,</w:t>
      </w:r>
      <w:r w:rsidR="3C984075">
        <w:t xml:space="preserve"> </w:t>
      </w:r>
      <w:r w:rsidR="00FE7A86">
        <w:t xml:space="preserve">specifically </w:t>
      </w:r>
      <w:r>
        <w:t xml:space="preserve">the </w:t>
      </w:r>
      <w:r w:rsidR="1A38DAE6">
        <w:t xml:space="preserve">Social Services </w:t>
      </w:r>
      <w:r w:rsidR="004A62BF">
        <w:t>P</w:t>
      </w:r>
      <w:r w:rsidR="1A38DAE6">
        <w:t xml:space="preserve">ortfolio </w:t>
      </w:r>
      <w:r w:rsidR="004A62BF">
        <w:t>B</w:t>
      </w:r>
      <w:r w:rsidR="1A38DAE6">
        <w:t xml:space="preserve">udget </w:t>
      </w:r>
      <w:r w:rsidR="004A62BF">
        <w:t>S</w:t>
      </w:r>
      <w:r w:rsidR="1A38DAE6">
        <w:t>tatement.</w:t>
      </w:r>
    </w:p>
    <w:p w14:paraId="106939A1" w14:textId="299AACFA" w:rsidR="08EE3B99" w:rsidRDefault="08EE3B99" w:rsidP="24E3E578">
      <w:pPr>
        <w:pStyle w:val="CGC2025ParaNumbers"/>
        <w:rPr>
          <w:szCs w:val="20"/>
        </w:rPr>
      </w:pPr>
      <w:r w:rsidRPr="24E3E578">
        <w:rPr>
          <w:szCs w:val="20"/>
        </w:rPr>
        <w:t>Tasmania</w:t>
      </w:r>
      <w:r w:rsidR="2B779C11" w:rsidRPr="24E3E578">
        <w:rPr>
          <w:szCs w:val="20"/>
        </w:rPr>
        <w:t xml:space="preserve"> </w:t>
      </w:r>
      <w:r w:rsidR="00A073C5">
        <w:rPr>
          <w:szCs w:val="20"/>
        </w:rPr>
        <w:t xml:space="preserve">did not support the proposal </w:t>
      </w:r>
      <w:r w:rsidR="00B97A4E">
        <w:rPr>
          <w:szCs w:val="20"/>
        </w:rPr>
        <w:t xml:space="preserve">and said this was </w:t>
      </w:r>
      <w:r w:rsidR="00A073C5">
        <w:rPr>
          <w:szCs w:val="20"/>
        </w:rPr>
        <w:t xml:space="preserve">because </w:t>
      </w:r>
      <w:r w:rsidR="5DAD6E98" w:rsidRPr="24E3E578">
        <w:rPr>
          <w:szCs w:val="20"/>
        </w:rPr>
        <w:t xml:space="preserve">state NDIS contributions are not published in </w:t>
      </w:r>
      <w:r w:rsidR="002C37DE" w:rsidRPr="00936DE4">
        <w:rPr>
          <w:szCs w:val="20"/>
        </w:rPr>
        <w:t xml:space="preserve">Commonwealth </w:t>
      </w:r>
      <w:r w:rsidR="00196B1C" w:rsidRPr="00936DE4">
        <w:rPr>
          <w:szCs w:val="20"/>
        </w:rPr>
        <w:t xml:space="preserve">Budget </w:t>
      </w:r>
      <w:r w:rsidR="004A62BF" w:rsidRPr="00936DE4">
        <w:rPr>
          <w:szCs w:val="20"/>
        </w:rPr>
        <w:t>P</w:t>
      </w:r>
      <w:r w:rsidR="00196B1C" w:rsidRPr="00936DE4">
        <w:rPr>
          <w:szCs w:val="20"/>
        </w:rPr>
        <w:t>aper 2</w:t>
      </w:r>
      <w:r w:rsidR="00450797" w:rsidRPr="00936DE4">
        <w:rPr>
          <w:szCs w:val="20"/>
        </w:rPr>
        <w:t>.</w:t>
      </w:r>
    </w:p>
    <w:p w14:paraId="2FB79C33" w14:textId="4ECA3012" w:rsidR="00450797" w:rsidRDefault="00450797" w:rsidP="24E3E578">
      <w:pPr>
        <w:pStyle w:val="CGC2025ParaNumbers"/>
        <w:rPr>
          <w:szCs w:val="20"/>
        </w:rPr>
      </w:pPr>
      <w:r>
        <w:rPr>
          <w:szCs w:val="20"/>
        </w:rPr>
        <w:t xml:space="preserve">South Australia </w:t>
      </w:r>
      <w:r w:rsidR="00B97A4E">
        <w:rPr>
          <w:szCs w:val="20"/>
        </w:rPr>
        <w:t xml:space="preserve">said it </w:t>
      </w:r>
      <w:r w:rsidR="009A406E">
        <w:rPr>
          <w:szCs w:val="20"/>
        </w:rPr>
        <w:t>questioned</w:t>
      </w:r>
      <w:r w:rsidR="006F3A7C">
        <w:rPr>
          <w:szCs w:val="20"/>
        </w:rPr>
        <w:t xml:space="preserve"> </w:t>
      </w:r>
      <w:r w:rsidR="00E6499B">
        <w:rPr>
          <w:szCs w:val="20"/>
        </w:rPr>
        <w:t>whether</w:t>
      </w:r>
      <w:r w:rsidR="006F3A7C">
        <w:rPr>
          <w:szCs w:val="20"/>
        </w:rPr>
        <w:t xml:space="preserve"> state NDIS funding arrangements would be harmonised</w:t>
      </w:r>
      <w:r w:rsidR="009223B0">
        <w:rPr>
          <w:szCs w:val="20"/>
        </w:rPr>
        <w:t xml:space="preserve"> </w:t>
      </w:r>
      <w:r w:rsidR="00E6499B">
        <w:rPr>
          <w:szCs w:val="20"/>
        </w:rPr>
        <w:t xml:space="preserve">after </w:t>
      </w:r>
      <w:r w:rsidR="003D466D">
        <w:rPr>
          <w:szCs w:val="20"/>
        </w:rPr>
        <w:t xml:space="preserve">the </w:t>
      </w:r>
      <w:r w:rsidR="00E6499B">
        <w:rPr>
          <w:szCs w:val="20"/>
        </w:rPr>
        <w:t xml:space="preserve">current </w:t>
      </w:r>
      <w:r w:rsidR="003D466D">
        <w:rPr>
          <w:szCs w:val="20"/>
        </w:rPr>
        <w:t xml:space="preserve">funding </w:t>
      </w:r>
      <w:r w:rsidR="00E6499B">
        <w:rPr>
          <w:szCs w:val="20"/>
        </w:rPr>
        <w:t>negotiation</w:t>
      </w:r>
      <w:r w:rsidR="007E3D3C">
        <w:rPr>
          <w:szCs w:val="20"/>
        </w:rPr>
        <w:t>s</w:t>
      </w:r>
      <w:r w:rsidR="00B97A4E">
        <w:rPr>
          <w:szCs w:val="20"/>
        </w:rPr>
        <w:t>. It noted</w:t>
      </w:r>
      <w:r w:rsidR="007E3D3C">
        <w:rPr>
          <w:szCs w:val="20"/>
        </w:rPr>
        <w:t xml:space="preserve"> that </w:t>
      </w:r>
      <w:r w:rsidR="00364350">
        <w:rPr>
          <w:szCs w:val="20"/>
        </w:rPr>
        <w:t>the states and Commonwealth will work together to implement legislative and other changes to the NDIS</w:t>
      </w:r>
      <w:r w:rsidR="00130366">
        <w:rPr>
          <w:szCs w:val="20"/>
        </w:rPr>
        <w:t xml:space="preserve"> following the 2023 Review</w:t>
      </w:r>
      <w:r w:rsidR="008A2949">
        <w:rPr>
          <w:szCs w:val="20"/>
        </w:rPr>
        <w:t xml:space="preserve"> of the NDIS</w:t>
      </w:r>
      <w:r w:rsidR="00364350">
        <w:rPr>
          <w:szCs w:val="20"/>
        </w:rPr>
        <w:t>.</w:t>
      </w:r>
    </w:p>
    <w:p w14:paraId="7E0D7FCC" w14:textId="0528A9FC" w:rsidR="006E27B5" w:rsidRDefault="00254632" w:rsidP="006E27B5">
      <w:pPr>
        <w:pStyle w:val="CGC2025ParaNumbers"/>
        <w:rPr>
          <w:szCs w:val="20"/>
        </w:rPr>
      </w:pPr>
      <w:r>
        <w:rPr>
          <w:szCs w:val="20"/>
        </w:rPr>
        <w:lastRenderedPageBreak/>
        <w:t xml:space="preserve">Western Australia </w:t>
      </w:r>
      <w:r w:rsidR="00525736">
        <w:rPr>
          <w:szCs w:val="20"/>
        </w:rPr>
        <w:t xml:space="preserve">said it </w:t>
      </w:r>
      <w:r>
        <w:rPr>
          <w:szCs w:val="20"/>
        </w:rPr>
        <w:t xml:space="preserve">questioned how the Commission would determine the </w:t>
      </w:r>
      <w:r w:rsidR="00172BF0">
        <w:rPr>
          <w:szCs w:val="20"/>
        </w:rPr>
        <w:t xml:space="preserve">share of </w:t>
      </w:r>
      <w:r w:rsidR="00D901CA">
        <w:rPr>
          <w:szCs w:val="20"/>
        </w:rPr>
        <w:t>state spending on</w:t>
      </w:r>
      <w:r w:rsidR="00DE1BB7">
        <w:rPr>
          <w:szCs w:val="20"/>
        </w:rPr>
        <w:t xml:space="preserve"> non-NDIS</w:t>
      </w:r>
      <w:r w:rsidR="00D901CA">
        <w:rPr>
          <w:szCs w:val="20"/>
        </w:rPr>
        <w:t xml:space="preserve"> disability services, which is </w:t>
      </w:r>
      <w:r w:rsidR="002D1606">
        <w:rPr>
          <w:szCs w:val="20"/>
        </w:rPr>
        <w:t xml:space="preserve">currently collected </w:t>
      </w:r>
      <w:r w:rsidR="00DE1BB7">
        <w:rPr>
          <w:szCs w:val="20"/>
        </w:rPr>
        <w:t>from the states</w:t>
      </w:r>
      <w:r w:rsidR="00DE5F50">
        <w:rPr>
          <w:szCs w:val="20"/>
        </w:rPr>
        <w:t xml:space="preserve"> as part of the data provision</w:t>
      </w:r>
      <w:r w:rsidR="00DE1BB7">
        <w:rPr>
          <w:szCs w:val="20"/>
        </w:rPr>
        <w:t>.</w:t>
      </w:r>
    </w:p>
    <w:p w14:paraId="242514EE" w14:textId="18E25BEA" w:rsidR="00254632" w:rsidRPr="006E27B5" w:rsidRDefault="006E27B5" w:rsidP="006E27B5">
      <w:pPr>
        <w:pStyle w:val="CGC2025ParaNumbers"/>
        <w:rPr>
          <w:szCs w:val="20"/>
        </w:rPr>
      </w:pPr>
      <w:r>
        <w:rPr>
          <w:szCs w:val="20"/>
        </w:rPr>
        <w:t xml:space="preserve">Victoria </w:t>
      </w:r>
      <w:r w:rsidR="00DB52DE">
        <w:rPr>
          <w:szCs w:val="20"/>
        </w:rPr>
        <w:t xml:space="preserve">said the Commission should provide states with </w:t>
      </w:r>
      <w:r>
        <w:rPr>
          <w:szCs w:val="20"/>
        </w:rPr>
        <w:t>a comparative analysis of data collected from states and the Commonwealth.</w:t>
      </w:r>
    </w:p>
    <w:p w14:paraId="2A5737AE" w14:textId="6A80DC71" w:rsidR="0006723A" w:rsidRDefault="0006723A" w:rsidP="0006723A">
      <w:pPr>
        <w:pStyle w:val="Heading4"/>
      </w:pPr>
      <w:r>
        <w:t>Commission response</w:t>
      </w:r>
    </w:p>
    <w:p w14:paraId="77557B0B" w14:textId="007716BE" w:rsidR="0006723A" w:rsidRDefault="0006723A" w:rsidP="00631669">
      <w:pPr>
        <w:pStyle w:val="CGC2025ParaNumbers"/>
      </w:pPr>
      <w:r>
        <w:t xml:space="preserve">The Commission </w:t>
      </w:r>
      <w:r w:rsidR="00172C20">
        <w:t xml:space="preserve">notes that state </w:t>
      </w:r>
      <w:r w:rsidR="00B66856">
        <w:t xml:space="preserve">NDIS </w:t>
      </w:r>
      <w:r w:rsidR="00172C20">
        <w:t xml:space="preserve">funding contributions are not published in </w:t>
      </w:r>
      <w:r w:rsidR="00DB52DE">
        <w:t xml:space="preserve">Commonwealth </w:t>
      </w:r>
      <w:r w:rsidR="00172C20">
        <w:t xml:space="preserve">Budget Paper 2 </w:t>
      </w:r>
      <w:r w:rsidR="00251AA1">
        <w:t xml:space="preserve">and has clarified that </w:t>
      </w:r>
      <w:r w:rsidR="002D3ED5">
        <w:t>they</w:t>
      </w:r>
      <w:r w:rsidR="00172C20">
        <w:t xml:space="preserve"> are published in the Department of Social Services Portfolio </w:t>
      </w:r>
      <w:r w:rsidR="00DB52DE">
        <w:t>B</w:t>
      </w:r>
      <w:r w:rsidR="00172C20">
        <w:t xml:space="preserve">udget </w:t>
      </w:r>
      <w:r w:rsidR="00DB52DE">
        <w:t>S</w:t>
      </w:r>
      <w:r w:rsidR="00172C20">
        <w:t>tatement.</w:t>
      </w:r>
    </w:p>
    <w:p w14:paraId="1FBC39E7" w14:textId="677E7A62" w:rsidR="00943EE0" w:rsidRDefault="0056488B" w:rsidP="00A14043">
      <w:pPr>
        <w:pStyle w:val="CGC2025ParaNumbers"/>
      </w:pPr>
      <w:r>
        <w:t xml:space="preserve">All existing funding arrangements </w:t>
      </w:r>
      <w:r w:rsidR="00380DC0">
        <w:t>for</w:t>
      </w:r>
      <w:r>
        <w:t xml:space="preserve"> the NDIS, </w:t>
      </w:r>
      <w:r w:rsidR="00981C30">
        <w:t xml:space="preserve">with new funding agreements negotiated under variations to existing terms, </w:t>
      </w:r>
      <w:r>
        <w:t>have a</w:t>
      </w:r>
      <w:r w:rsidR="00C20229">
        <w:t xml:space="preserve"> clause </w:t>
      </w:r>
      <w:r w:rsidR="00CE0BD4">
        <w:t>ensuring</w:t>
      </w:r>
      <w:r w:rsidR="00C20229">
        <w:t xml:space="preserve"> that </w:t>
      </w:r>
      <w:r w:rsidR="00CE0BD4">
        <w:t>should</w:t>
      </w:r>
      <w:r w:rsidR="00C20229">
        <w:t xml:space="preserve"> </w:t>
      </w:r>
      <w:r w:rsidR="00CE0BD4">
        <w:t xml:space="preserve">a state negotiate </w:t>
      </w:r>
      <w:r w:rsidR="00EF2662">
        <w:t xml:space="preserve">more favourable terms </w:t>
      </w:r>
      <w:r w:rsidR="00CE0BD4">
        <w:t>with the Commonwealth, these terms will also be</w:t>
      </w:r>
      <w:r w:rsidR="00EF2662">
        <w:t xml:space="preserve"> reflected in all </w:t>
      </w:r>
      <w:r w:rsidR="00CE0BD4">
        <w:t>other</w:t>
      </w:r>
      <w:r w:rsidR="00EF2662">
        <w:t xml:space="preserve"> funding agreements</w:t>
      </w:r>
      <w:r w:rsidR="00084683">
        <w:t>.</w:t>
      </w:r>
      <w:r w:rsidR="00B02F89">
        <w:t xml:space="preserve"> This </w:t>
      </w:r>
      <w:r w:rsidR="006842C2">
        <w:t xml:space="preserve">is expected to </w:t>
      </w:r>
      <w:r w:rsidR="00B02F89">
        <w:t xml:space="preserve">maintain harmonisation </w:t>
      </w:r>
      <w:r w:rsidR="00BA2D54">
        <w:t xml:space="preserve">between </w:t>
      </w:r>
      <w:r w:rsidR="00957D9E">
        <w:t>states.</w:t>
      </w:r>
    </w:p>
    <w:p w14:paraId="02AFB0D3" w14:textId="64D758C2" w:rsidR="00D90B13" w:rsidRDefault="00087109" w:rsidP="00F26798">
      <w:pPr>
        <w:pStyle w:val="CGC2025ParaNumbers"/>
      </w:pPr>
      <w:r>
        <w:t>Figure 1</w:t>
      </w:r>
      <w:r w:rsidR="00D90B13">
        <w:t xml:space="preserve"> shows </w:t>
      </w:r>
      <w:r w:rsidR="006024F8">
        <w:t>the difference</w:t>
      </w:r>
      <w:r w:rsidR="00D90B13">
        <w:t xml:space="preserve"> between state provided NDIS spending data and state NDIS contributions reported by the Department of Social Services. Since 2021–22, state provided data </w:t>
      </w:r>
      <w:r w:rsidR="00375F47">
        <w:t xml:space="preserve">is </w:t>
      </w:r>
      <w:r w:rsidR="00D90B13">
        <w:t>97% of the total state and in-kind contributions to the NDIS</w:t>
      </w:r>
      <w:r w:rsidR="00375F47">
        <w:t>. The remaining 3%</w:t>
      </w:r>
      <w:r w:rsidR="00D90B13">
        <w:t xml:space="preserve"> represent</w:t>
      </w:r>
      <w:r w:rsidR="00375F47">
        <w:t>s the</w:t>
      </w:r>
      <w:r w:rsidR="00D90B13">
        <w:t xml:space="preserve"> in-kind contributions from Commonwealth agencies. The</w:t>
      </w:r>
      <w:r w:rsidR="00340B17">
        <w:t xml:space="preserve"> </w:t>
      </w:r>
      <w:r w:rsidR="00D90B13">
        <w:t>NDIS assessment method</w:t>
      </w:r>
      <w:r w:rsidR="00AE6BEB">
        <w:t xml:space="preserve"> in the 2020 Review</w:t>
      </w:r>
      <w:r w:rsidR="00D90B13">
        <w:t>, based on equal</w:t>
      </w:r>
      <w:r w:rsidR="00D67E65">
        <w:t> </w:t>
      </w:r>
      <w:r w:rsidR="00D90B13">
        <w:t>per</w:t>
      </w:r>
      <w:r w:rsidR="00D67E65">
        <w:t> </w:t>
      </w:r>
      <w:r w:rsidR="00D90B13">
        <w:t xml:space="preserve">capita at the most recent census, </w:t>
      </w:r>
      <w:r w:rsidR="001218FF">
        <w:t>result</w:t>
      </w:r>
      <w:r w:rsidR="002B68B0">
        <w:t>s</w:t>
      </w:r>
      <w:r w:rsidR="001218FF">
        <w:t xml:space="preserve"> in</w:t>
      </w:r>
      <w:r w:rsidR="00D90B13">
        <w:t xml:space="preserve"> this discrepancy be</w:t>
      </w:r>
      <w:r w:rsidR="001218FF">
        <w:t>ing</w:t>
      </w:r>
      <w:r w:rsidR="00D90B13">
        <w:t xml:space="preserve"> distributed </w:t>
      </w:r>
      <w:r w:rsidR="005D025D">
        <w:t>on a population basis</w:t>
      </w:r>
      <w:r w:rsidR="0058308E">
        <w:t xml:space="preserve"> </w:t>
      </w:r>
      <w:r w:rsidR="00D90B13">
        <w:t>across all states.</w:t>
      </w:r>
      <w:r w:rsidR="004C1DB8">
        <w:t xml:space="preserve"> </w:t>
      </w:r>
      <w:r w:rsidR="00537C8C">
        <w:t>The Commission</w:t>
      </w:r>
      <w:r w:rsidR="00A5354D">
        <w:t xml:space="preserve"> propose</w:t>
      </w:r>
      <w:r w:rsidR="00537C8C">
        <w:t>s</w:t>
      </w:r>
      <w:r w:rsidR="00A5354D">
        <w:t xml:space="preserve"> that this method be retained for the 2025 Review.</w:t>
      </w:r>
    </w:p>
    <w:p w14:paraId="5D1FA6A1" w14:textId="05457F57" w:rsidR="00DA5C91" w:rsidRPr="00DA5C91" w:rsidRDefault="00DA5C91" w:rsidP="00DA5C91">
      <w:pPr>
        <w:pStyle w:val="Caption"/>
        <w:rPr>
          <w:rFonts w:ascii="Work Sans" w:hAnsi="Work Sans"/>
        </w:rPr>
      </w:pPr>
      <w:bookmarkStart w:id="6" w:name="_Ref168656538"/>
      <w:r w:rsidRPr="00DA5C91">
        <w:rPr>
          <w:rFonts w:ascii="Work Sans" w:hAnsi="Work Sans"/>
        </w:rPr>
        <w:lastRenderedPageBreak/>
        <w:t xml:space="preserve">Figure </w:t>
      </w:r>
      <w:r w:rsidRPr="00DA5C91">
        <w:rPr>
          <w:rFonts w:ascii="Work Sans" w:hAnsi="Work Sans"/>
        </w:rPr>
        <w:fldChar w:fldCharType="begin"/>
      </w:r>
      <w:r w:rsidRPr="00DA5C91">
        <w:rPr>
          <w:rFonts w:ascii="Work Sans" w:hAnsi="Work Sans"/>
        </w:rPr>
        <w:instrText xml:space="preserve"> SEQ Figure \* ARABIC </w:instrText>
      </w:r>
      <w:r w:rsidRPr="00DA5C91">
        <w:rPr>
          <w:rFonts w:ascii="Work Sans" w:hAnsi="Work Sans"/>
        </w:rPr>
        <w:fldChar w:fldCharType="separate"/>
      </w:r>
      <w:r w:rsidR="00E61CEB">
        <w:rPr>
          <w:rFonts w:ascii="Work Sans" w:hAnsi="Work Sans"/>
          <w:noProof/>
        </w:rPr>
        <w:t>1</w:t>
      </w:r>
      <w:r w:rsidRPr="00DA5C91">
        <w:rPr>
          <w:rFonts w:ascii="Work Sans" w:hAnsi="Work Sans"/>
        </w:rPr>
        <w:fldChar w:fldCharType="end"/>
      </w:r>
      <w:bookmarkEnd w:id="6"/>
      <w:r w:rsidRPr="00DA5C91">
        <w:rPr>
          <w:rFonts w:ascii="Work Sans" w:hAnsi="Work Sans"/>
        </w:rPr>
        <w:t xml:space="preserve"> </w:t>
      </w:r>
      <w:r>
        <w:rPr>
          <w:rFonts w:ascii="Work Sans" w:hAnsi="Work Sans"/>
        </w:rPr>
        <w:tab/>
      </w:r>
      <w:r w:rsidRPr="00DA5C91">
        <w:rPr>
          <w:rFonts w:ascii="Work Sans" w:hAnsi="Work Sans"/>
        </w:rPr>
        <w:t xml:space="preserve">Comparative analysis of state and Department of Social Services provided NDIS contributions from state </w:t>
      </w:r>
      <w:proofErr w:type="gramStart"/>
      <w:r w:rsidRPr="00DA5C91">
        <w:rPr>
          <w:rFonts w:ascii="Work Sans" w:hAnsi="Work Sans"/>
        </w:rPr>
        <w:t>governments</w:t>
      </w:r>
      <w:proofErr w:type="gramEnd"/>
    </w:p>
    <w:p w14:paraId="143AE515" w14:textId="15A8A241" w:rsidR="00371076" w:rsidRDefault="0007125C" w:rsidP="00D90B13">
      <w:pPr>
        <w:pStyle w:val="CGC2025Caption"/>
        <w:ind w:left="1440" w:hanging="1440"/>
      </w:pPr>
      <w:r w:rsidRPr="0007125C">
        <w:rPr>
          <w:b w:val="0"/>
        </w:rPr>
        <w:t xml:space="preserve"> </w:t>
      </w:r>
      <w:r w:rsidRPr="0007125C">
        <w:rPr>
          <w:noProof/>
        </w:rPr>
        <w:drawing>
          <wp:inline distT="0" distB="0" distL="0" distR="0" wp14:anchorId="7C401535" wp14:editId="7841F6DE">
            <wp:extent cx="5662295" cy="35699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2295" cy="3569970"/>
                    </a:xfrm>
                    <a:prstGeom prst="rect">
                      <a:avLst/>
                    </a:prstGeom>
                    <a:noFill/>
                    <a:ln>
                      <a:noFill/>
                    </a:ln>
                  </pic:spPr>
                </pic:pic>
              </a:graphicData>
            </a:graphic>
          </wp:inline>
        </w:drawing>
      </w:r>
    </w:p>
    <w:p w14:paraId="4AEE180A" w14:textId="56A4B66A" w:rsidR="00673508" w:rsidRDefault="0007125C" w:rsidP="003C55BE">
      <w:pPr>
        <w:pStyle w:val="CGC2025TableNote"/>
        <w:tabs>
          <w:tab w:val="clear" w:pos="567"/>
          <w:tab w:val="clear" w:pos="680"/>
          <w:tab w:val="left" w:pos="426"/>
          <w:tab w:val="left" w:pos="993"/>
        </w:tabs>
      </w:pPr>
      <w:r>
        <w:t>(a)</w:t>
      </w:r>
      <w:r w:rsidR="00A15C36">
        <w:t xml:space="preserve"> </w:t>
      </w:r>
      <w:r w:rsidR="003C55BE">
        <w:tab/>
      </w:r>
      <w:r w:rsidR="003C55BE">
        <w:tab/>
      </w:r>
      <w:r w:rsidR="00A15C36">
        <w:t>DSS estimate</w:t>
      </w:r>
      <w:r w:rsidR="00CC106C">
        <w:t>.</w:t>
      </w:r>
    </w:p>
    <w:p w14:paraId="587539A0" w14:textId="66BBA5EF" w:rsidR="00D90B13" w:rsidRDefault="00D90B13" w:rsidP="00D90B13">
      <w:pPr>
        <w:pStyle w:val="CGC2025TableNote"/>
      </w:pPr>
      <w:r>
        <w:t xml:space="preserve">Source: </w:t>
      </w:r>
      <w:r w:rsidR="00CC106C">
        <w:tab/>
      </w:r>
      <w:r w:rsidR="00CC106C">
        <w:tab/>
      </w:r>
      <w:r>
        <w:t>Department of Social Services Portfolio Budget Statements and State data.</w:t>
      </w:r>
    </w:p>
    <w:p w14:paraId="74B4C9B9" w14:textId="21860D74" w:rsidR="0064569F" w:rsidRDefault="0064569F" w:rsidP="0064569F">
      <w:pPr>
        <w:pStyle w:val="Heading4"/>
      </w:pPr>
      <w:r>
        <w:t xml:space="preserve">Commission </w:t>
      </w:r>
      <w:r w:rsidR="04915E6F">
        <w:t xml:space="preserve">draft </w:t>
      </w:r>
      <w:r w:rsidR="00E22A31">
        <w:t>position</w:t>
      </w:r>
    </w:p>
    <w:p w14:paraId="07269C0E" w14:textId="4CB32A60" w:rsidR="00AE53C3" w:rsidRDefault="0012308B" w:rsidP="00E219E2">
      <w:pPr>
        <w:pStyle w:val="CGC2025ParaNumbers"/>
      </w:pPr>
      <w:bookmarkStart w:id="7" w:name="_Hlk143180807"/>
      <w:bookmarkStart w:id="8" w:name="_Hlk134711004"/>
      <w:bookmarkStart w:id="9" w:name="_Hlk134711005"/>
      <w:bookmarkStart w:id="10" w:name="_Hlk135050051"/>
      <w:bookmarkStart w:id="11" w:name="_Hlk135050052"/>
      <w:r>
        <w:t xml:space="preserve">The Commission </w:t>
      </w:r>
      <w:bookmarkEnd w:id="7"/>
      <w:r w:rsidR="00537C8C">
        <w:t>proposes</w:t>
      </w:r>
      <w:r>
        <w:t xml:space="preserve"> </w:t>
      </w:r>
      <w:r w:rsidR="00FF2CDE">
        <w:t>to</w:t>
      </w:r>
      <w:r>
        <w:t xml:space="preserve"> </w:t>
      </w:r>
      <w:r w:rsidR="00A82567">
        <w:t xml:space="preserve">collect state contributions to the NDIS from the </w:t>
      </w:r>
      <w:r w:rsidR="002306BC">
        <w:t xml:space="preserve">Commonwealth </w:t>
      </w:r>
      <w:r w:rsidR="00A82567">
        <w:t xml:space="preserve">Department of Social Services </w:t>
      </w:r>
      <w:r w:rsidR="00630CD7">
        <w:t>P</w:t>
      </w:r>
      <w:r w:rsidR="00A82567">
        <w:t xml:space="preserve">ortfolio </w:t>
      </w:r>
      <w:r w:rsidR="00630CD7">
        <w:t>B</w:t>
      </w:r>
      <w:r w:rsidR="00A82567">
        <w:t xml:space="preserve">udget </w:t>
      </w:r>
      <w:r w:rsidR="00630CD7">
        <w:t>S</w:t>
      </w:r>
      <w:r w:rsidR="00A82567">
        <w:t>tate</w:t>
      </w:r>
      <w:r w:rsidR="00630CD7">
        <w:t>ment.</w:t>
      </w:r>
    </w:p>
    <w:p w14:paraId="0E8442BF" w14:textId="16524D40" w:rsidR="00BF6B64" w:rsidRDefault="00BF6B64" w:rsidP="006D1918">
      <w:pPr>
        <w:pStyle w:val="CGC2025ParaNumbers"/>
      </w:pPr>
      <w:r>
        <w:t xml:space="preserve">The Commission proposes to derive state spending on non-NDIS disability services </w:t>
      </w:r>
      <w:r w:rsidR="006D1918" w:rsidRPr="006D1918">
        <w:t>as the difference between total state spending on disability services and state NDIS</w:t>
      </w:r>
      <w:r w:rsidR="0017475D">
        <w:t> </w:t>
      </w:r>
      <w:r w:rsidR="006D1918" w:rsidRPr="006D1918">
        <w:t>spending</w:t>
      </w:r>
      <w:r>
        <w:t xml:space="preserve"> from the </w:t>
      </w:r>
      <w:r w:rsidR="00280B67">
        <w:t xml:space="preserve">Commonwealth </w:t>
      </w:r>
      <w:r>
        <w:t>Department of Social Services Portfolio Budget Statement.</w:t>
      </w:r>
    </w:p>
    <w:p w14:paraId="1BAF407A" w14:textId="292BC784" w:rsidR="00384884" w:rsidRPr="00284B22" w:rsidRDefault="00384884" w:rsidP="00384884">
      <w:pPr>
        <w:pStyle w:val="Heading3"/>
      </w:pPr>
      <w:r>
        <w:t xml:space="preserve">Q2. </w:t>
      </w:r>
      <w:bookmarkEnd w:id="8"/>
      <w:bookmarkEnd w:id="9"/>
      <w:bookmarkEnd w:id="10"/>
      <w:bookmarkEnd w:id="11"/>
      <w:r w:rsidR="0006723A" w:rsidRPr="0006723A">
        <w:t>Do states agree that the current NDIS assessment is fit for purpose?</w:t>
      </w:r>
    </w:p>
    <w:bookmarkEnd w:id="4"/>
    <w:bookmarkEnd w:id="5"/>
    <w:p w14:paraId="13ADEA32" w14:textId="620F25AD" w:rsidR="0006723A" w:rsidRDefault="0006723A" w:rsidP="0006723A">
      <w:pPr>
        <w:pStyle w:val="Heading4"/>
      </w:pPr>
      <w:r>
        <w:t>State views</w:t>
      </w:r>
    </w:p>
    <w:p w14:paraId="11FE4A6C" w14:textId="11F12826" w:rsidR="0006723A" w:rsidRDefault="00C36E49" w:rsidP="00631669">
      <w:pPr>
        <w:pStyle w:val="CGC2025ParaNumbers"/>
      </w:pPr>
      <w:r>
        <w:t>All states except South Australia supported maintaining the existing NDIS assessment.</w:t>
      </w:r>
    </w:p>
    <w:p w14:paraId="6DE77949" w14:textId="7EDA3B0C" w:rsidR="00C36E49" w:rsidRDefault="00C36E49" w:rsidP="00631669">
      <w:pPr>
        <w:pStyle w:val="CGC2025ParaNumbers"/>
      </w:pPr>
      <w:r>
        <w:t xml:space="preserve">South Australia </w:t>
      </w:r>
      <w:r w:rsidR="00CC271C">
        <w:t>referred to</w:t>
      </w:r>
      <w:r w:rsidR="004F3E52">
        <w:t xml:space="preserve"> </w:t>
      </w:r>
      <w:r>
        <w:t xml:space="preserve">the potential impact of changes </w:t>
      </w:r>
      <w:r w:rsidR="00380DC0">
        <w:t xml:space="preserve">to </w:t>
      </w:r>
      <w:r w:rsidR="00363A9D">
        <w:t xml:space="preserve">NDIS funding agreements </w:t>
      </w:r>
      <w:r>
        <w:t xml:space="preserve">committed </w:t>
      </w:r>
      <w:r w:rsidR="00380DC0">
        <w:t xml:space="preserve">to on 6 December 2023 by </w:t>
      </w:r>
      <w:r w:rsidR="004C03C6">
        <w:t>N</w:t>
      </w:r>
      <w:r w:rsidR="00380DC0">
        <w:t xml:space="preserve">ational </w:t>
      </w:r>
      <w:r w:rsidR="004C03C6">
        <w:t>C</w:t>
      </w:r>
      <w:r w:rsidR="00380DC0">
        <w:t>abinet.</w:t>
      </w:r>
      <w:r w:rsidR="004D76B4">
        <w:rPr>
          <w:rStyle w:val="FootnoteReference"/>
        </w:rPr>
        <w:footnoteReference w:id="2"/>
      </w:r>
      <w:r w:rsidR="00380DC0">
        <w:t xml:space="preserve"> </w:t>
      </w:r>
      <w:r w:rsidR="004F3E52">
        <w:t xml:space="preserve">It also </w:t>
      </w:r>
      <w:r w:rsidR="006B5549">
        <w:t xml:space="preserve">said that </w:t>
      </w:r>
      <w:r w:rsidR="006B5549">
        <w:lastRenderedPageBreak/>
        <w:t xml:space="preserve">there was </w:t>
      </w:r>
      <w:r w:rsidR="006D0650">
        <w:t>a possibility that state NDIS contributions may not be uniform across states</w:t>
      </w:r>
      <w:r w:rsidR="00C25EF2">
        <w:t xml:space="preserve"> </w:t>
      </w:r>
      <w:r w:rsidR="004F3E52">
        <w:t>and</w:t>
      </w:r>
      <w:r w:rsidR="001273E8">
        <w:t xml:space="preserve"> </w:t>
      </w:r>
      <w:r w:rsidR="00D4693B">
        <w:t>accordingly</w:t>
      </w:r>
      <w:r w:rsidR="00904E56">
        <w:t>,</w:t>
      </w:r>
      <w:r w:rsidR="00654875">
        <w:t xml:space="preserve"> </w:t>
      </w:r>
      <w:r w:rsidR="001273E8">
        <w:t xml:space="preserve">it is not clear whether </w:t>
      </w:r>
      <w:r w:rsidR="0007337E">
        <w:t>the existing method of assessing NDIS</w:t>
      </w:r>
      <w:r w:rsidR="0017475D">
        <w:t> </w:t>
      </w:r>
      <w:r w:rsidR="0007337E">
        <w:t>contributions will be appropriate going forward.</w:t>
      </w:r>
      <w:r w:rsidR="007656EB">
        <w:t xml:space="preserve"> As a result, South Aus</w:t>
      </w:r>
      <w:r w:rsidR="001F7A44">
        <w:t xml:space="preserve">tralia stated </w:t>
      </w:r>
      <w:r w:rsidR="005A6439">
        <w:t>it was</w:t>
      </w:r>
      <w:r w:rsidR="001F7A44">
        <w:t xml:space="preserve"> </w:t>
      </w:r>
      <w:r w:rsidR="00A9595D">
        <w:t xml:space="preserve">not </w:t>
      </w:r>
      <w:r w:rsidR="00E826A0">
        <w:t>able</w:t>
      </w:r>
      <w:r w:rsidR="00A9595D">
        <w:t xml:space="preserve"> to </w:t>
      </w:r>
      <w:r w:rsidR="006B794F">
        <w:t>agree</w:t>
      </w:r>
      <w:r w:rsidR="00A9595D">
        <w:t xml:space="preserve"> to the Commission’s proposal</w:t>
      </w:r>
      <w:r w:rsidR="006B794F">
        <w:t>.</w:t>
      </w:r>
    </w:p>
    <w:p w14:paraId="63B08979" w14:textId="284535BA" w:rsidR="00994F0A" w:rsidRDefault="00A75F4A" w:rsidP="00631669">
      <w:pPr>
        <w:pStyle w:val="CGC2025ParaNumbers"/>
      </w:pPr>
      <w:r>
        <w:t xml:space="preserve">The </w:t>
      </w:r>
      <w:r w:rsidR="00994F0A">
        <w:t xml:space="preserve">ACT agreed that under current </w:t>
      </w:r>
      <w:r w:rsidR="00B7036D">
        <w:t>arrangements</w:t>
      </w:r>
      <w:r w:rsidR="00994F0A">
        <w:t xml:space="preserve"> the method remains fit for purpose, </w:t>
      </w:r>
      <w:r w:rsidR="00C9094C">
        <w:t>but</w:t>
      </w:r>
      <w:r w:rsidR="00994F0A">
        <w:t xml:space="preserve"> if the NDIS funding allocations change</w:t>
      </w:r>
      <w:r w:rsidR="009C1222">
        <w:t>,</w:t>
      </w:r>
      <w:r w:rsidR="00994F0A">
        <w:t xml:space="preserve"> the Commission should remain open to reflecting this in the assessment method.</w:t>
      </w:r>
    </w:p>
    <w:p w14:paraId="6379C4EF" w14:textId="77777777" w:rsidR="0006723A" w:rsidRDefault="0006723A" w:rsidP="0006723A">
      <w:pPr>
        <w:pStyle w:val="Heading4"/>
      </w:pPr>
      <w:r>
        <w:t>Commission response</w:t>
      </w:r>
    </w:p>
    <w:p w14:paraId="22E0BA8A" w14:textId="2559581F" w:rsidR="0023585D" w:rsidRDefault="00994F0A" w:rsidP="006F5156">
      <w:pPr>
        <w:pStyle w:val="CGC2025ParaNumbers"/>
      </w:pPr>
      <w:r>
        <w:t>The Commission agrees</w:t>
      </w:r>
      <w:r w:rsidR="00173D29">
        <w:t xml:space="preserve"> with South Australia and</w:t>
      </w:r>
      <w:r w:rsidR="00B60184">
        <w:t xml:space="preserve"> the</w:t>
      </w:r>
      <w:r w:rsidR="00173D29">
        <w:t xml:space="preserve"> ACT</w:t>
      </w:r>
      <w:r>
        <w:t xml:space="preserve"> that if Commonwealth</w:t>
      </w:r>
      <w:r w:rsidR="00A97469">
        <w:t>-</w:t>
      </w:r>
      <w:r>
        <w:t>state NDIS funding arrangements change, this should be reflected in the assessment method.</w:t>
      </w:r>
    </w:p>
    <w:p w14:paraId="73479B71" w14:textId="0D37D786" w:rsidR="0006723A" w:rsidRPr="0006723A" w:rsidRDefault="009B29DA" w:rsidP="00626EAC">
      <w:pPr>
        <w:pStyle w:val="CGC2025ParaNumbers"/>
        <w:keepLines/>
      </w:pPr>
      <w:r>
        <w:t>In</w:t>
      </w:r>
      <w:r w:rsidR="009E1EB1">
        <w:t xml:space="preserve"> the event </w:t>
      </w:r>
      <w:r w:rsidR="00B302C9">
        <w:t>states receive more favourable terms</w:t>
      </w:r>
      <w:r w:rsidR="00536AC1">
        <w:t>,</w:t>
      </w:r>
      <w:r w:rsidR="00F85BB5">
        <w:t xml:space="preserve"> </w:t>
      </w:r>
      <w:r w:rsidR="00712337">
        <w:t xml:space="preserve">the </w:t>
      </w:r>
      <w:r w:rsidR="00F71794">
        <w:t xml:space="preserve">current Commonwealth-state funding agreements </w:t>
      </w:r>
      <w:r w:rsidR="00C9265B">
        <w:t xml:space="preserve">allow for </w:t>
      </w:r>
      <w:r w:rsidR="00712337">
        <w:t xml:space="preserve">states to petition the Commonwealth to </w:t>
      </w:r>
      <w:r w:rsidR="00536AC1">
        <w:t>receive the same terms offered to other states</w:t>
      </w:r>
      <w:r w:rsidR="00C851CF">
        <w:t>.</w:t>
      </w:r>
      <w:r w:rsidR="00A00CE4">
        <w:rPr>
          <w:rStyle w:val="FootnoteReference"/>
        </w:rPr>
        <w:footnoteReference w:id="3"/>
      </w:r>
    </w:p>
    <w:p w14:paraId="1D2333C4" w14:textId="77777777" w:rsidR="0006723A" w:rsidRDefault="0006723A" w:rsidP="0006723A">
      <w:pPr>
        <w:pStyle w:val="Heading4"/>
      </w:pPr>
      <w:r>
        <w:t>Commission draft position</w:t>
      </w:r>
    </w:p>
    <w:p w14:paraId="6A85A777" w14:textId="13817530" w:rsidR="0006723A" w:rsidRDefault="0006723A" w:rsidP="006F5156">
      <w:pPr>
        <w:pStyle w:val="CGC2025ParaNumbers"/>
      </w:pPr>
      <w:r>
        <w:t>The Commission</w:t>
      </w:r>
      <w:r w:rsidR="00653003">
        <w:t xml:space="preserve"> proposes</w:t>
      </w:r>
      <w:r>
        <w:t xml:space="preserve"> </w:t>
      </w:r>
      <w:r w:rsidR="00B15ED0">
        <w:t>to maintain the current method of assessing state contributions to the NDIS.</w:t>
      </w:r>
      <w:r w:rsidR="00C50268">
        <w:t xml:space="preserve"> </w:t>
      </w:r>
      <w:r w:rsidR="00645B4C">
        <w:t xml:space="preserve">The Commission will consider an alternative assessment method </w:t>
      </w:r>
      <w:r w:rsidR="00F82941">
        <w:t xml:space="preserve">for state NDIS contributions </w:t>
      </w:r>
      <w:r w:rsidR="00645B4C">
        <w:t xml:space="preserve">if </w:t>
      </w:r>
      <w:r w:rsidR="00515D67">
        <w:t xml:space="preserve">there is a change to </w:t>
      </w:r>
      <w:r w:rsidR="000E5822">
        <w:t xml:space="preserve">current </w:t>
      </w:r>
      <w:r w:rsidR="00515D67">
        <w:t xml:space="preserve">arrangements </w:t>
      </w:r>
      <w:r w:rsidR="00BE36EE">
        <w:t>or</w:t>
      </w:r>
      <w:r w:rsidR="00515D67">
        <w:t xml:space="preserve"> </w:t>
      </w:r>
      <w:r w:rsidR="00645B4C">
        <w:t>the underlying driver of state NDIS contributions changes.</w:t>
      </w:r>
      <w:r w:rsidR="002222A7">
        <w:t xml:space="preserve"> Terms of reference for annual updates of GST </w:t>
      </w:r>
      <w:r w:rsidR="00E66C45">
        <w:t xml:space="preserve">relativities </w:t>
      </w:r>
      <w:r w:rsidR="00FF1A87">
        <w:t>typically</w:t>
      </w:r>
      <w:r w:rsidR="00E66C45">
        <w:t xml:space="preserve"> allow </w:t>
      </w:r>
      <w:r w:rsidR="00251DD4">
        <w:t xml:space="preserve">for </w:t>
      </w:r>
      <w:r w:rsidR="00E66C45">
        <w:t xml:space="preserve">a change of assessment method </w:t>
      </w:r>
      <w:r w:rsidR="00F261E9">
        <w:t>whe</w:t>
      </w:r>
      <w:r w:rsidR="00E137FA">
        <w:t>n</w:t>
      </w:r>
      <w:r w:rsidR="00F261E9">
        <w:t xml:space="preserve"> there </w:t>
      </w:r>
      <w:r w:rsidR="00BE7D80">
        <w:t>has been</w:t>
      </w:r>
      <w:r w:rsidR="00F261E9">
        <w:t xml:space="preserve"> a significant change in </w:t>
      </w:r>
      <w:r w:rsidR="00FF1A87">
        <w:t>Commonwealth-state relations.</w:t>
      </w:r>
    </w:p>
    <w:p w14:paraId="425A5163" w14:textId="20C659D4" w:rsidR="0006723A" w:rsidRPr="00284B22" w:rsidRDefault="0006723A" w:rsidP="0006723A">
      <w:pPr>
        <w:pStyle w:val="Heading3"/>
      </w:pPr>
      <w:r>
        <w:t xml:space="preserve">Q3. </w:t>
      </w:r>
      <w:r w:rsidRPr="0006723A">
        <w:t>Do states support the development of a homelessness services assessment?</w:t>
      </w:r>
    </w:p>
    <w:p w14:paraId="1DF107FA" w14:textId="7A2553DB" w:rsidR="0006723A" w:rsidRDefault="0006723A" w:rsidP="0006723A">
      <w:pPr>
        <w:pStyle w:val="Heading4"/>
      </w:pPr>
      <w:r>
        <w:t>State views</w:t>
      </w:r>
    </w:p>
    <w:p w14:paraId="4ADBC247" w14:textId="2977EEE1" w:rsidR="00DC58C3" w:rsidRDefault="00D96133" w:rsidP="00932E1D">
      <w:pPr>
        <w:pStyle w:val="CGC2025ParaNumbers"/>
      </w:pPr>
      <w:r>
        <w:t>All states except Victoria and Queensland</w:t>
      </w:r>
      <w:r w:rsidR="00E70E27">
        <w:t xml:space="preserve"> supported the development of a homelessness services assessment</w:t>
      </w:r>
      <w:r w:rsidR="00FC7ADF">
        <w:t xml:space="preserve"> in </w:t>
      </w:r>
      <w:proofErr w:type="gramStart"/>
      <w:r w:rsidR="00FC7ADF">
        <w:t>concept</w:t>
      </w:r>
      <w:r w:rsidR="00F41950">
        <w:t>, if</w:t>
      </w:r>
      <w:proofErr w:type="gramEnd"/>
      <w:r w:rsidR="00F41950">
        <w:t xml:space="preserve"> it is material</w:t>
      </w:r>
      <w:r w:rsidR="00E70E27">
        <w:t>.</w:t>
      </w:r>
    </w:p>
    <w:p w14:paraId="1BD2F689" w14:textId="0B0EA959" w:rsidR="006F2A73" w:rsidRDefault="006F2A73" w:rsidP="006F2A73">
      <w:pPr>
        <w:pStyle w:val="CGC2025ParaNumbers"/>
      </w:pPr>
      <w:r>
        <w:t>Western</w:t>
      </w:r>
      <w:r w:rsidR="00C56D94">
        <w:t> </w:t>
      </w:r>
      <w:r>
        <w:t xml:space="preserve">Australia </w:t>
      </w:r>
      <w:r w:rsidR="00293718">
        <w:t xml:space="preserve">said its </w:t>
      </w:r>
      <w:r>
        <w:t>support for a potential homelessness services assessment was conditional on the exclusion of socio-economic status as a driver of need</w:t>
      </w:r>
      <w:r w:rsidR="006C7695">
        <w:t xml:space="preserve"> (discussed</w:t>
      </w:r>
      <w:r w:rsidR="003D7CFC">
        <w:t xml:space="preserve"> below under Question 4)</w:t>
      </w:r>
      <w:r w:rsidR="00D26167">
        <w:t>.</w:t>
      </w:r>
    </w:p>
    <w:p w14:paraId="70E7AAEA" w14:textId="5A4D4050" w:rsidR="006F2A73" w:rsidRDefault="006F2A73" w:rsidP="006F2A73">
      <w:pPr>
        <w:pStyle w:val="CGC2025ParaNumbers"/>
      </w:pPr>
      <w:r>
        <w:t>South</w:t>
      </w:r>
      <w:r w:rsidR="00C56D94">
        <w:t> </w:t>
      </w:r>
      <w:r>
        <w:t xml:space="preserve">Australia said its support was dependent on the availability of </w:t>
      </w:r>
      <w:r w:rsidR="00124F55">
        <w:t>appropriate</w:t>
      </w:r>
      <w:r w:rsidR="009128F8">
        <w:t xml:space="preserve"> and</w:t>
      </w:r>
      <w:r w:rsidR="00124F55">
        <w:t xml:space="preserve"> </w:t>
      </w:r>
      <w:r>
        <w:t>reliable data for all states.</w:t>
      </w:r>
    </w:p>
    <w:p w14:paraId="11F91383" w14:textId="7213D0FA" w:rsidR="00FC7ADF" w:rsidRDefault="00D708C7" w:rsidP="00FC7ADF">
      <w:pPr>
        <w:pStyle w:val="CGC2025ParaNumbers"/>
      </w:pPr>
      <w:r>
        <w:t>Q</w:t>
      </w:r>
      <w:r w:rsidRPr="00DD3581">
        <w:t xml:space="preserve">ueensland </w:t>
      </w:r>
      <w:r w:rsidR="00C94058">
        <w:t xml:space="preserve">said </w:t>
      </w:r>
      <w:r w:rsidR="00BC7F9F">
        <w:t xml:space="preserve">that </w:t>
      </w:r>
      <w:r w:rsidR="00C94058">
        <w:t xml:space="preserve">it </w:t>
      </w:r>
      <w:r>
        <w:t>considered a differential assessment was</w:t>
      </w:r>
      <w:r w:rsidRPr="00DD3581">
        <w:t xml:space="preserve"> unlikely </w:t>
      </w:r>
      <w:r>
        <w:t xml:space="preserve">to </w:t>
      </w:r>
      <w:r w:rsidRPr="00DD3581">
        <w:t xml:space="preserve">be material. </w:t>
      </w:r>
      <w:r>
        <w:t xml:space="preserve">It </w:t>
      </w:r>
      <w:r w:rsidR="00B85D33" w:rsidRPr="00DD3581">
        <w:t xml:space="preserve">indicated </w:t>
      </w:r>
      <w:r>
        <w:t xml:space="preserve">that most </w:t>
      </w:r>
      <w:r w:rsidR="00B85D33" w:rsidRPr="00DD3581">
        <w:t xml:space="preserve">expenditure on homelessness services is </w:t>
      </w:r>
      <w:r w:rsidR="009F52EB">
        <w:t xml:space="preserve">currently </w:t>
      </w:r>
      <w:r w:rsidR="009F52EB">
        <w:lastRenderedPageBreak/>
        <w:t xml:space="preserve">assessed </w:t>
      </w:r>
      <w:r w:rsidR="00FC7ADF">
        <w:t>in the</w:t>
      </w:r>
      <w:r w:rsidR="00B85D33" w:rsidRPr="00DD3581">
        <w:t xml:space="preserve"> housing, </w:t>
      </w:r>
      <w:proofErr w:type="gramStart"/>
      <w:r w:rsidR="00B85D33" w:rsidRPr="00DD3581">
        <w:t>health</w:t>
      </w:r>
      <w:proofErr w:type="gramEnd"/>
      <w:r w:rsidR="00B85D33" w:rsidRPr="00DD3581">
        <w:t xml:space="preserve"> and welfare</w:t>
      </w:r>
      <w:r w:rsidR="00174379">
        <w:t xml:space="preserve"> categories</w:t>
      </w:r>
      <w:r w:rsidR="00B85D33" w:rsidRPr="00DD3581">
        <w:t xml:space="preserve">, with </w:t>
      </w:r>
      <w:r w:rsidR="009F52EB">
        <w:t xml:space="preserve">similar </w:t>
      </w:r>
      <w:r w:rsidR="00B85D33" w:rsidRPr="00DD3581">
        <w:t xml:space="preserve">drivers to </w:t>
      </w:r>
      <w:r w:rsidR="009F52EB">
        <w:t>the proposed</w:t>
      </w:r>
      <w:r w:rsidR="00B85D33" w:rsidRPr="00DD3581">
        <w:t xml:space="preserve"> homelessness services assessment.</w:t>
      </w:r>
    </w:p>
    <w:p w14:paraId="264AAC7F" w14:textId="435EFBAF" w:rsidR="00043CE6" w:rsidRDefault="00B85D33" w:rsidP="002B5EEB">
      <w:pPr>
        <w:pStyle w:val="CGC2025ParaNumbers"/>
      </w:pPr>
      <w:r w:rsidRPr="00DD3581">
        <w:t>Victoria</w:t>
      </w:r>
      <w:r w:rsidR="0055241A">
        <w:t xml:space="preserve"> </w:t>
      </w:r>
      <w:r w:rsidR="00014B49">
        <w:t xml:space="preserve">said it </w:t>
      </w:r>
      <w:r w:rsidR="0055241A">
        <w:t xml:space="preserve">questioned </w:t>
      </w:r>
      <w:r w:rsidR="001B0822">
        <w:t>whether a differential assessment would be material</w:t>
      </w:r>
      <w:r w:rsidRPr="00DD3581">
        <w:t xml:space="preserve">, noting the </w:t>
      </w:r>
      <w:r w:rsidR="00FB3BFD" w:rsidRPr="00DD3581">
        <w:t>small</w:t>
      </w:r>
      <w:r w:rsidRPr="00DD3581">
        <w:t xml:space="preserve"> recurrent </w:t>
      </w:r>
      <w:r w:rsidR="006E407F">
        <w:t>state spending</w:t>
      </w:r>
      <w:r w:rsidRPr="00DD3581">
        <w:t xml:space="preserve"> on specialist homelessness services. </w:t>
      </w:r>
      <w:r w:rsidR="00DE53E9">
        <w:t>In addition</w:t>
      </w:r>
      <w:r w:rsidRPr="00DD3581">
        <w:t xml:space="preserve">, Victoria </w:t>
      </w:r>
      <w:r w:rsidR="00D60CFD">
        <w:t>said</w:t>
      </w:r>
      <w:r w:rsidR="00D60CFD" w:rsidRPr="00DD3581">
        <w:t xml:space="preserve"> </w:t>
      </w:r>
      <w:r w:rsidRPr="00DD3581">
        <w:t xml:space="preserve">there </w:t>
      </w:r>
      <w:r w:rsidR="00D60CFD">
        <w:t>was</w:t>
      </w:r>
      <w:r w:rsidRPr="00DD3581">
        <w:t xml:space="preserve"> insufficient </w:t>
      </w:r>
      <w:r w:rsidR="00DE53E9">
        <w:t xml:space="preserve">evidence </w:t>
      </w:r>
      <w:r w:rsidR="00F768CD">
        <w:t xml:space="preserve">of </w:t>
      </w:r>
      <w:r w:rsidRPr="00DD3581">
        <w:t>change since the 2020</w:t>
      </w:r>
      <w:r w:rsidR="00F768CD">
        <w:t> </w:t>
      </w:r>
      <w:r w:rsidRPr="00DD3581">
        <w:t>Review to overturn the Commission’s previous finding of no evidence of causal drivers of homelessness</w:t>
      </w:r>
      <w:r w:rsidR="008F2F2D">
        <w:t>.</w:t>
      </w:r>
    </w:p>
    <w:p w14:paraId="0D543D1D" w14:textId="34D34F30" w:rsidR="004107DB" w:rsidRDefault="004107DB" w:rsidP="004107DB">
      <w:pPr>
        <w:pStyle w:val="Heading5"/>
      </w:pPr>
      <w:r>
        <w:t>State concerns with</w:t>
      </w:r>
      <w:r w:rsidR="00C56D94">
        <w:t xml:space="preserve"> the</w:t>
      </w:r>
      <w:r>
        <w:t xml:space="preserve"> </w:t>
      </w:r>
      <w:r w:rsidR="007E55F3" w:rsidRPr="007E55F3">
        <w:t xml:space="preserve">Australian Institute of Health and Welfare </w:t>
      </w:r>
      <w:r>
        <w:t>specialist homelessness services data collection</w:t>
      </w:r>
    </w:p>
    <w:p w14:paraId="5B1CA7E6" w14:textId="7830D8A5" w:rsidR="004107DB" w:rsidRDefault="00B94EFE" w:rsidP="004107DB">
      <w:pPr>
        <w:pStyle w:val="CGC2025ParaNumbers"/>
      </w:pPr>
      <w:r>
        <w:t>In the welfare consultation paper, the Commission proposed to use specialist homelessness services usage data from the Australian Institute of Health and Welfare to measure the use of homelessness services by different population groups. New</w:t>
      </w:r>
      <w:r w:rsidR="00A06182">
        <w:t> </w:t>
      </w:r>
      <w:r>
        <w:t>South</w:t>
      </w:r>
      <w:r w:rsidR="00A06182">
        <w:t> </w:t>
      </w:r>
      <w:r>
        <w:t>Wales</w:t>
      </w:r>
      <w:r w:rsidR="00651715">
        <w:t>, South</w:t>
      </w:r>
      <w:r w:rsidR="00A06182">
        <w:t> </w:t>
      </w:r>
      <w:r w:rsidR="00651715">
        <w:t>Australia</w:t>
      </w:r>
      <w:r>
        <w:t xml:space="preserve"> and </w:t>
      </w:r>
      <w:r w:rsidR="000158D0">
        <w:t xml:space="preserve">the </w:t>
      </w:r>
      <w:r>
        <w:t>Northern</w:t>
      </w:r>
      <w:r w:rsidR="00A06182">
        <w:t> </w:t>
      </w:r>
      <w:r w:rsidR="000158D0">
        <w:t>T</w:t>
      </w:r>
      <w:r>
        <w:t xml:space="preserve">erritory </w:t>
      </w:r>
      <w:r w:rsidR="00F768CD">
        <w:t xml:space="preserve">raised </w:t>
      </w:r>
      <w:r w:rsidR="00144DD4">
        <w:t>concerns with this data set based on the coverage of state programs and state specific circumstances.</w:t>
      </w:r>
    </w:p>
    <w:p w14:paraId="2EE17460" w14:textId="1C8C79A4" w:rsidR="00144DD4" w:rsidRDefault="00EE48A3" w:rsidP="007E55F3">
      <w:pPr>
        <w:pStyle w:val="CGC2025ParaNumbers"/>
      </w:pPr>
      <w:r>
        <w:t>New</w:t>
      </w:r>
      <w:r w:rsidR="00A06182">
        <w:t> </w:t>
      </w:r>
      <w:r>
        <w:t>South</w:t>
      </w:r>
      <w:r w:rsidR="00A06182">
        <w:t> </w:t>
      </w:r>
      <w:r>
        <w:t xml:space="preserve">Wales </w:t>
      </w:r>
      <w:r w:rsidR="00766537">
        <w:t>said that</w:t>
      </w:r>
      <w:r>
        <w:t xml:space="preserve"> its </w:t>
      </w:r>
      <w:r w:rsidR="002A64C9">
        <w:t>t</w:t>
      </w:r>
      <w:r>
        <w:t xml:space="preserve">emporary </w:t>
      </w:r>
      <w:r w:rsidR="002A64C9">
        <w:t>a</w:t>
      </w:r>
      <w:r>
        <w:t xml:space="preserve">ccommodation program was excluded from </w:t>
      </w:r>
      <w:r w:rsidR="007E55F3" w:rsidRPr="007E55F3">
        <w:t xml:space="preserve">Australian Institute of Health and Welfare </w:t>
      </w:r>
      <w:r w:rsidR="00C45A2C">
        <w:t xml:space="preserve">specialist homelessness services </w:t>
      </w:r>
      <w:r>
        <w:t>dat</w:t>
      </w:r>
      <w:r w:rsidR="00B94EFE">
        <w:t>a</w:t>
      </w:r>
      <w:r w:rsidR="00F768CD">
        <w:t>.</w:t>
      </w:r>
      <w:r w:rsidR="00B94EFE" w:rsidDel="00F768CD">
        <w:t xml:space="preserve"> </w:t>
      </w:r>
      <w:r w:rsidR="00F768CD">
        <w:t xml:space="preserve">This </w:t>
      </w:r>
      <w:r w:rsidR="00B94EFE">
        <w:t>was confirm</w:t>
      </w:r>
      <w:r w:rsidR="00F768CD">
        <w:t>ed</w:t>
      </w:r>
      <w:r w:rsidR="00B94EFE">
        <w:t xml:space="preserve"> by </w:t>
      </w:r>
      <w:r w:rsidR="00EA6127">
        <w:t xml:space="preserve">the </w:t>
      </w:r>
      <w:r w:rsidR="007E55F3" w:rsidRPr="007E55F3">
        <w:t>Australian Institute of Health and Welfare</w:t>
      </w:r>
      <w:r w:rsidR="00766537">
        <w:t>.</w:t>
      </w:r>
      <w:r w:rsidR="00B94EFE">
        <w:t xml:space="preserve"> </w:t>
      </w:r>
      <w:r w:rsidR="00C335CC">
        <w:t>New</w:t>
      </w:r>
      <w:r w:rsidR="001B47EC">
        <w:t> </w:t>
      </w:r>
      <w:r w:rsidR="00C335CC">
        <w:t>South</w:t>
      </w:r>
      <w:r w:rsidR="00A06182">
        <w:t> </w:t>
      </w:r>
      <w:r w:rsidR="00C335CC">
        <w:t xml:space="preserve">Wales </w:t>
      </w:r>
      <w:r w:rsidR="007E55F3">
        <w:t>said</w:t>
      </w:r>
      <w:r w:rsidR="00C335CC">
        <w:t xml:space="preserve"> that it was willing to work with the Commission to </w:t>
      </w:r>
      <w:r w:rsidR="008D24BE">
        <w:t>identify whether the temporary accommodation program was in scope and had a material impact on the proposed assessment.</w:t>
      </w:r>
      <w:r w:rsidR="003F2F2C">
        <w:t xml:space="preserve"> New</w:t>
      </w:r>
      <w:r w:rsidR="002E4ED8">
        <w:t> </w:t>
      </w:r>
      <w:r w:rsidR="003F2F2C">
        <w:t>South</w:t>
      </w:r>
      <w:r w:rsidR="002E4ED8">
        <w:t> </w:t>
      </w:r>
      <w:r w:rsidR="003F2F2C">
        <w:t xml:space="preserve">Wales said that it was </w:t>
      </w:r>
      <w:r w:rsidR="00984E7E">
        <w:t>also</w:t>
      </w:r>
      <w:r w:rsidR="003F2F2C">
        <w:t xml:space="preserve"> willing to provide cross</w:t>
      </w:r>
      <w:r w:rsidR="008C2D6A">
        <w:t>-</w:t>
      </w:r>
      <w:r w:rsidR="003F2F2C">
        <w:t>classified temporary accommodation use data to the Commission for its assessment</w:t>
      </w:r>
      <w:r w:rsidR="00FB40BD">
        <w:t>.</w:t>
      </w:r>
    </w:p>
    <w:p w14:paraId="7B59FD44" w14:textId="5B12D662" w:rsidR="00651715" w:rsidRDefault="00651715" w:rsidP="00651715">
      <w:pPr>
        <w:pStyle w:val="CGC2025ParaNumbers"/>
      </w:pPr>
      <w:r>
        <w:t>South</w:t>
      </w:r>
      <w:r w:rsidR="00A06182">
        <w:t> </w:t>
      </w:r>
      <w:r>
        <w:t xml:space="preserve">Australia </w:t>
      </w:r>
      <w:r w:rsidR="00F92D35">
        <w:t xml:space="preserve">said </w:t>
      </w:r>
      <w:r>
        <w:t xml:space="preserve">that their </w:t>
      </w:r>
      <w:r w:rsidR="002A64C9">
        <w:t>e</w:t>
      </w:r>
      <w:r>
        <w:t xml:space="preserve">mergency </w:t>
      </w:r>
      <w:r w:rsidR="002A64C9">
        <w:t>a</w:t>
      </w:r>
      <w:r>
        <w:t xml:space="preserve">ccommodation </w:t>
      </w:r>
      <w:r w:rsidR="002A64C9">
        <w:t>p</w:t>
      </w:r>
      <w:r>
        <w:t>rogram is currently excluded from homelessness services expenditure. Similarly</w:t>
      </w:r>
      <w:r w:rsidR="002475F3">
        <w:t>,</w:t>
      </w:r>
      <w:r>
        <w:t xml:space="preserve"> the preventative component of their Private Rental Assistance Program is also excluded.</w:t>
      </w:r>
    </w:p>
    <w:p w14:paraId="33AD8D30" w14:textId="0AF96360" w:rsidR="00EE48A3" w:rsidRPr="004107DB" w:rsidRDefault="00084FFE" w:rsidP="006510EE">
      <w:pPr>
        <w:pStyle w:val="CGC2025ParaNumbers"/>
      </w:pPr>
      <w:r>
        <w:t xml:space="preserve">The </w:t>
      </w:r>
      <w:r w:rsidR="00FC7ADF">
        <w:t>Northern</w:t>
      </w:r>
      <w:r w:rsidR="00351F99">
        <w:t> </w:t>
      </w:r>
      <w:r w:rsidR="00FC7ADF">
        <w:t xml:space="preserve">Territory </w:t>
      </w:r>
      <w:r w:rsidR="00C8183B">
        <w:t xml:space="preserve">said the Commission should </w:t>
      </w:r>
      <w:r w:rsidR="00FC7ADF">
        <w:t>use</w:t>
      </w:r>
      <w:r w:rsidR="00FC7ADF" w:rsidDel="00C8183B">
        <w:t xml:space="preserve"> </w:t>
      </w:r>
      <w:r w:rsidR="002F4702">
        <w:t>Australian Bureau of Statistics (</w:t>
      </w:r>
      <w:r w:rsidR="0025046B">
        <w:t>ABS</w:t>
      </w:r>
      <w:r w:rsidR="002F4702">
        <w:t>)</w:t>
      </w:r>
      <w:r w:rsidR="0025046B">
        <w:t xml:space="preserve"> census data on homelessness rather than the </w:t>
      </w:r>
      <w:r w:rsidR="006510EE" w:rsidRPr="006510EE">
        <w:t xml:space="preserve">Australian Institute of Health and Welfare </w:t>
      </w:r>
      <w:r w:rsidR="00BB7352">
        <w:t xml:space="preserve">specialist </w:t>
      </w:r>
      <w:r w:rsidR="00FC7ADF">
        <w:t>homelessness services</w:t>
      </w:r>
      <w:r w:rsidR="00BB7352">
        <w:t xml:space="preserve"> data. </w:t>
      </w:r>
      <w:r w:rsidR="00067EEB">
        <w:t>It</w:t>
      </w:r>
      <w:r w:rsidR="00FC7ADF">
        <w:t xml:space="preserve"> </w:t>
      </w:r>
      <w:r w:rsidR="00455224">
        <w:t xml:space="preserve">said </w:t>
      </w:r>
      <w:r w:rsidR="00BB7352">
        <w:t xml:space="preserve">that the </w:t>
      </w:r>
      <w:r w:rsidR="006510EE" w:rsidRPr="006510EE">
        <w:t xml:space="preserve">Australian Institute of Health and Welfare </w:t>
      </w:r>
      <w:r w:rsidR="00BB7352">
        <w:t xml:space="preserve">dataset did not comprehensively capture the level of need in the </w:t>
      </w:r>
      <w:r w:rsidR="00067EEB">
        <w:t>Northern Territory</w:t>
      </w:r>
      <w:r w:rsidR="00BB7352">
        <w:t xml:space="preserve">, </w:t>
      </w:r>
      <w:r w:rsidR="0025046B">
        <w:t>particularly</w:t>
      </w:r>
      <w:r w:rsidR="00BB7352">
        <w:t xml:space="preserve"> the level of overcrowding.</w:t>
      </w:r>
    </w:p>
    <w:p w14:paraId="1DA34304" w14:textId="3469D3CF" w:rsidR="0006723A" w:rsidRDefault="0006723A" w:rsidP="0006723A">
      <w:pPr>
        <w:pStyle w:val="Heading4"/>
      </w:pPr>
      <w:r>
        <w:t>Commission response</w:t>
      </w:r>
    </w:p>
    <w:p w14:paraId="61BC3A07" w14:textId="53B45B02" w:rsidR="00EB0332" w:rsidRDefault="0006723A" w:rsidP="00EB0332">
      <w:pPr>
        <w:pStyle w:val="CGC2025ParaNumbers"/>
      </w:pPr>
      <w:r>
        <w:t xml:space="preserve">The Commission </w:t>
      </w:r>
      <w:r w:rsidR="004529E6">
        <w:t>agrees with</w:t>
      </w:r>
      <w:r w:rsidR="00A91FB8">
        <w:t xml:space="preserve"> the </w:t>
      </w:r>
      <w:r w:rsidR="00C1360C">
        <w:t>need for</w:t>
      </w:r>
      <w:r w:rsidR="001D330D" w:rsidDel="00F768CD">
        <w:t xml:space="preserve"> </w:t>
      </w:r>
      <w:r w:rsidR="001D330D">
        <w:t xml:space="preserve">nationally consistent data to </w:t>
      </w:r>
      <w:r w:rsidR="00C45A2C">
        <w:t xml:space="preserve">assess </w:t>
      </w:r>
      <w:r w:rsidR="00732033">
        <w:t>state spending on</w:t>
      </w:r>
      <w:r w:rsidR="001D330D">
        <w:t xml:space="preserve"> homelessness services. </w:t>
      </w:r>
      <w:r w:rsidR="00CC3805">
        <w:t xml:space="preserve">While the Commission </w:t>
      </w:r>
      <w:r w:rsidR="00732033">
        <w:t>acknowledges th</w:t>
      </w:r>
      <w:r w:rsidR="004529E6">
        <w:t>at there are some</w:t>
      </w:r>
      <w:r w:rsidR="00732033">
        <w:t xml:space="preserve"> limitations </w:t>
      </w:r>
      <w:r w:rsidR="00953509">
        <w:t xml:space="preserve">with </w:t>
      </w:r>
      <w:r w:rsidR="00732033">
        <w:t>the</w:t>
      </w:r>
      <w:r w:rsidR="00CC3805">
        <w:t xml:space="preserve"> </w:t>
      </w:r>
      <w:r w:rsidR="006510EE" w:rsidRPr="006510EE">
        <w:t xml:space="preserve">Australian Institute of Health and Welfare </w:t>
      </w:r>
      <w:r w:rsidR="0086066C">
        <w:t>homelessness service data</w:t>
      </w:r>
      <w:r w:rsidR="006510EE">
        <w:t xml:space="preserve">, this </w:t>
      </w:r>
      <w:r w:rsidR="0040632C">
        <w:t xml:space="preserve">does </w:t>
      </w:r>
      <w:r w:rsidR="006510EE">
        <w:t xml:space="preserve">not </w:t>
      </w:r>
      <w:r w:rsidR="007F73DA">
        <w:t xml:space="preserve">necessarily </w:t>
      </w:r>
      <w:r w:rsidR="006510EE">
        <w:t>pre</w:t>
      </w:r>
      <w:r w:rsidR="0014437D">
        <w:t>vent</w:t>
      </w:r>
      <w:r w:rsidR="006510EE">
        <w:t xml:space="preserve"> its use in developing an assessment. </w:t>
      </w:r>
      <w:r w:rsidR="00B12CF2">
        <w:t xml:space="preserve">The data remains the </w:t>
      </w:r>
      <w:r w:rsidR="00EC3D83">
        <w:t>C</w:t>
      </w:r>
      <w:r w:rsidR="00B12CF2">
        <w:t>ommission</w:t>
      </w:r>
      <w:r w:rsidR="00EC3D83">
        <w:t>’</w:t>
      </w:r>
      <w:r w:rsidR="00B12CF2">
        <w:t xml:space="preserve">s preferred data source </w:t>
      </w:r>
      <w:r w:rsidR="004443B2">
        <w:t>because</w:t>
      </w:r>
      <w:r w:rsidR="00B12CF2">
        <w:t xml:space="preserve"> it is collected using consistent definitions</w:t>
      </w:r>
      <w:r w:rsidR="00AA66BC">
        <w:t xml:space="preserve">, it </w:t>
      </w:r>
      <w:r w:rsidR="003839DE">
        <w:t>allows for cross-classification of services users</w:t>
      </w:r>
      <w:r w:rsidR="00AA66BC">
        <w:t xml:space="preserve"> </w:t>
      </w:r>
      <w:r w:rsidR="00A84F63">
        <w:t>and</w:t>
      </w:r>
      <w:r w:rsidR="003839DE">
        <w:t xml:space="preserve"> is collected</w:t>
      </w:r>
      <w:r w:rsidR="00B12CF2">
        <w:t xml:space="preserve"> </w:t>
      </w:r>
      <w:r w:rsidR="00522C81">
        <w:t xml:space="preserve">annually </w:t>
      </w:r>
      <w:r w:rsidR="003839DE">
        <w:t>for all states</w:t>
      </w:r>
      <w:r w:rsidR="00EC3D83">
        <w:t>.</w:t>
      </w:r>
      <w:r w:rsidR="00903A4B">
        <w:t xml:space="preserve"> Consistent definitions </w:t>
      </w:r>
      <w:r w:rsidR="004418A3">
        <w:t xml:space="preserve">across states </w:t>
      </w:r>
      <w:r w:rsidR="00903A4B">
        <w:t>for</w:t>
      </w:r>
      <w:r w:rsidR="004418A3">
        <w:t xml:space="preserve"> the</w:t>
      </w:r>
      <w:r w:rsidR="00903A4B">
        <w:t xml:space="preserve"> data collection and contemporaneity are particularly important.</w:t>
      </w:r>
    </w:p>
    <w:p w14:paraId="5368779E" w14:textId="22A94602" w:rsidR="00EB0332" w:rsidRPr="00A06182" w:rsidRDefault="0014792A" w:rsidP="00EB0332">
      <w:pPr>
        <w:pStyle w:val="CGC2025ParaNumbers"/>
      </w:pPr>
      <w:r w:rsidRPr="00A06182">
        <w:lastRenderedPageBreak/>
        <w:t>New</w:t>
      </w:r>
      <w:r w:rsidR="00A62303">
        <w:t> </w:t>
      </w:r>
      <w:r w:rsidRPr="00A06182">
        <w:t>South</w:t>
      </w:r>
      <w:r w:rsidR="00A62303">
        <w:t> </w:t>
      </w:r>
      <w:r w:rsidRPr="00A06182">
        <w:t>Wales and South</w:t>
      </w:r>
      <w:r w:rsidR="00A62303">
        <w:t> </w:t>
      </w:r>
      <w:r w:rsidRPr="00A06182">
        <w:t>Australia</w:t>
      </w:r>
      <w:r w:rsidR="005153AA" w:rsidRPr="00A06182">
        <w:t xml:space="preserve"> </w:t>
      </w:r>
      <w:r w:rsidR="0075249A" w:rsidRPr="00A06182">
        <w:t xml:space="preserve">said </w:t>
      </w:r>
      <w:r w:rsidR="00424D77" w:rsidRPr="00A06182">
        <w:t>that</w:t>
      </w:r>
      <w:r w:rsidR="000D2971" w:rsidRPr="00A06182">
        <w:t xml:space="preserve"> </w:t>
      </w:r>
      <w:r w:rsidR="00EE796C" w:rsidRPr="00A06182">
        <w:t>spending on</w:t>
      </w:r>
      <w:r w:rsidR="00424D77" w:rsidRPr="00A06182">
        <w:t xml:space="preserve"> </w:t>
      </w:r>
      <w:r w:rsidR="00AF2A75" w:rsidRPr="00A06182">
        <w:t xml:space="preserve">temporary accommodation programs </w:t>
      </w:r>
      <w:r w:rsidR="004C7E9B" w:rsidRPr="00A06182">
        <w:t>is</w:t>
      </w:r>
      <w:r w:rsidR="0075249A" w:rsidRPr="00A06182">
        <w:t xml:space="preserve"> </w:t>
      </w:r>
      <w:r w:rsidR="00AF2A75" w:rsidRPr="00A06182">
        <w:t xml:space="preserve">not included </w:t>
      </w:r>
      <w:r w:rsidR="00D71920" w:rsidRPr="00A06182">
        <w:t xml:space="preserve">in </w:t>
      </w:r>
      <w:r w:rsidR="00EE796C" w:rsidRPr="00A06182">
        <w:t>the</w:t>
      </w:r>
      <w:r w:rsidR="00D71920" w:rsidRPr="00A06182">
        <w:t xml:space="preserve"> Report on Government Services</w:t>
      </w:r>
      <w:r w:rsidR="007306CD" w:rsidRPr="00A06182">
        <w:t xml:space="preserve"> definition of </w:t>
      </w:r>
      <w:r w:rsidR="00E51F49" w:rsidRPr="00A06182">
        <w:t xml:space="preserve">specialist </w:t>
      </w:r>
      <w:r w:rsidR="007306CD" w:rsidRPr="00A06182">
        <w:t>homelessness services</w:t>
      </w:r>
      <w:r w:rsidR="00146FC3" w:rsidRPr="00A06182">
        <w:t>.</w:t>
      </w:r>
    </w:p>
    <w:p w14:paraId="0B053534" w14:textId="5CDB5D0C" w:rsidR="006071D8" w:rsidRPr="00A06182" w:rsidRDefault="00FE67EE" w:rsidP="00EB0332">
      <w:pPr>
        <w:pStyle w:val="CGC2025ParaNumbers"/>
      </w:pPr>
      <w:r w:rsidRPr="00A06182">
        <w:t>T</w:t>
      </w:r>
      <w:r w:rsidR="00CE7B7F" w:rsidRPr="00A06182">
        <w:t xml:space="preserve">he Commission does not have </w:t>
      </w:r>
      <w:r w:rsidR="006B25B4" w:rsidRPr="00A06182">
        <w:t>data on the use of</w:t>
      </w:r>
      <w:r w:rsidR="000B7433" w:rsidRPr="00A06182">
        <w:t xml:space="preserve"> the</w:t>
      </w:r>
      <w:r w:rsidR="006B25B4" w:rsidRPr="00A06182">
        <w:t xml:space="preserve"> </w:t>
      </w:r>
      <w:r w:rsidR="000B7433" w:rsidRPr="00A06182">
        <w:t xml:space="preserve">excluded temporary accommodation </w:t>
      </w:r>
      <w:r w:rsidR="006B25B4" w:rsidRPr="00A06182">
        <w:t xml:space="preserve">services </w:t>
      </w:r>
      <w:r w:rsidR="000B7433" w:rsidRPr="00A06182">
        <w:t xml:space="preserve">in these states </w:t>
      </w:r>
      <w:r w:rsidR="006B25B4" w:rsidRPr="00A06182">
        <w:t xml:space="preserve">by population groups such as </w:t>
      </w:r>
      <w:r w:rsidR="00294607">
        <w:t>Indigenous</w:t>
      </w:r>
      <w:r w:rsidR="000B7433" w:rsidRPr="00A06182">
        <w:t xml:space="preserve"> status</w:t>
      </w:r>
      <w:r w:rsidR="00D03AAE" w:rsidRPr="00A06182">
        <w:t>.</w:t>
      </w:r>
      <w:r w:rsidR="00D34C29" w:rsidRPr="00A06182">
        <w:t xml:space="preserve"> </w:t>
      </w:r>
      <w:r w:rsidR="00D03AAE" w:rsidRPr="00A06182">
        <w:t>T</w:t>
      </w:r>
      <w:r w:rsidR="00D34C29" w:rsidRPr="00A06182">
        <w:t>herefore</w:t>
      </w:r>
      <w:r w:rsidR="003B010D" w:rsidRPr="00A06182">
        <w:t>,</w:t>
      </w:r>
      <w:r w:rsidR="00D03AAE" w:rsidRPr="00A06182">
        <w:t xml:space="preserve"> the Commission</w:t>
      </w:r>
      <w:r w:rsidR="00D34C29" w:rsidRPr="00A06182">
        <w:t xml:space="preserve"> cannot </w:t>
      </w:r>
      <w:r w:rsidR="00672080" w:rsidRPr="00A06182">
        <w:t xml:space="preserve">evaluate </w:t>
      </w:r>
      <w:r w:rsidR="004732AF" w:rsidRPr="00A06182">
        <w:t xml:space="preserve">whether </w:t>
      </w:r>
      <w:r w:rsidR="00966C4C" w:rsidRPr="00A06182">
        <w:t>it is appropriate to</w:t>
      </w:r>
      <w:r w:rsidR="004732AF" w:rsidRPr="00A06182">
        <w:t xml:space="preserve"> </w:t>
      </w:r>
      <w:r w:rsidR="00DC1535" w:rsidRPr="00A06182">
        <w:t>assess</w:t>
      </w:r>
      <w:r w:rsidR="00966C4C" w:rsidRPr="00A06182">
        <w:t xml:space="preserve"> </w:t>
      </w:r>
      <w:r w:rsidR="00DC1535" w:rsidRPr="00A06182">
        <w:t xml:space="preserve">spending </w:t>
      </w:r>
      <w:r w:rsidR="00ED25AF" w:rsidRPr="00A06182">
        <w:t xml:space="preserve">on these programs </w:t>
      </w:r>
      <w:r w:rsidR="00DC1535" w:rsidRPr="00A06182">
        <w:t>using</w:t>
      </w:r>
      <w:r w:rsidR="006D661F" w:rsidRPr="00A06182">
        <w:t xml:space="preserve"> Australian Institute of Health and Welfare</w:t>
      </w:r>
      <w:r w:rsidR="00DC1535" w:rsidRPr="00A06182">
        <w:t xml:space="preserve"> specialist homelessness services </w:t>
      </w:r>
      <w:r w:rsidR="00C86F30" w:rsidRPr="00A06182">
        <w:t xml:space="preserve">use </w:t>
      </w:r>
      <w:r w:rsidR="00DC1535" w:rsidRPr="00A06182">
        <w:t>data</w:t>
      </w:r>
      <w:r w:rsidR="000B756E" w:rsidRPr="00A06182">
        <w:t xml:space="preserve">. On this basis, the Commission considers </w:t>
      </w:r>
      <w:r w:rsidR="00C86F30" w:rsidRPr="00A06182">
        <w:t xml:space="preserve">that </w:t>
      </w:r>
      <w:r w:rsidR="00771247" w:rsidRPr="00A06182">
        <w:t>the</w:t>
      </w:r>
      <w:r w:rsidR="000B0B61">
        <w:t xml:space="preserve"> New South Wales and South Australia</w:t>
      </w:r>
      <w:r w:rsidR="00C86F30" w:rsidRPr="00A06182">
        <w:t xml:space="preserve"> </w:t>
      </w:r>
      <w:r w:rsidR="000B756E" w:rsidRPr="00A06182">
        <w:t>temporary accommodation programs</w:t>
      </w:r>
      <w:r w:rsidR="00771247" w:rsidRPr="00A06182">
        <w:t xml:space="preserve"> which are excluded from the Report on Government Services</w:t>
      </w:r>
      <w:r w:rsidR="000B756E" w:rsidRPr="00A06182">
        <w:t xml:space="preserve"> </w:t>
      </w:r>
      <w:r w:rsidR="00C86F30" w:rsidRPr="00A06182">
        <w:t xml:space="preserve">are </w:t>
      </w:r>
      <w:r w:rsidR="000B756E" w:rsidRPr="00A06182">
        <w:t xml:space="preserve">out of scope of the </w:t>
      </w:r>
      <w:r w:rsidR="00C86F30" w:rsidRPr="00A06182">
        <w:t xml:space="preserve">proposed </w:t>
      </w:r>
      <w:r w:rsidR="000B756E" w:rsidRPr="00A06182">
        <w:t>specialist homelessness services assessment.</w:t>
      </w:r>
      <w:r w:rsidR="00CE7B7F" w:rsidRPr="00A06182">
        <w:t xml:space="preserve"> </w:t>
      </w:r>
      <w:r w:rsidR="00345D6D">
        <w:t xml:space="preserve">These expenses will </w:t>
      </w:r>
      <w:r w:rsidR="005E7B11">
        <w:t xml:space="preserve">continue to </w:t>
      </w:r>
      <w:r w:rsidR="00345D6D">
        <w:t xml:space="preserve">be </w:t>
      </w:r>
      <w:r w:rsidR="007468D0">
        <w:t>assessed</w:t>
      </w:r>
      <w:r w:rsidR="00345D6D">
        <w:t xml:space="preserve"> where </w:t>
      </w:r>
      <w:r w:rsidR="00787AC0">
        <w:t>states report them</w:t>
      </w:r>
      <w:r w:rsidR="003E049C">
        <w:t xml:space="preserve"> in the ABS </w:t>
      </w:r>
      <w:r w:rsidR="003E049C" w:rsidRPr="00413439">
        <w:t>Classification of the Functions of Government</w:t>
      </w:r>
      <w:r w:rsidR="00787AC0">
        <w:t>.</w:t>
      </w:r>
    </w:p>
    <w:p w14:paraId="41B780C6" w14:textId="20499213" w:rsidR="00B6526A" w:rsidRDefault="008116CA" w:rsidP="00AD1929">
      <w:pPr>
        <w:pStyle w:val="CGC2025ParaNumbers"/>
      </w:pPr>
      <w:r>
        <w:t>Currently</w:t>
      </w:r>
      <w:r w:rsidR="0082738B">
        <w:t>,</w:t>
      </w:r>
      <w:r>
        <w:t xml:space="preserve"> </w:t>
      </w:r>
      <w:r w:rsidR="00716D0E">
        <w:t>South</w:t>
      </w:r>
      <w:r w:rsidR="0042790C">
        <w:t> </w:t>
      </w:r>
      <w:r w:rsidR="00716D0E">
        <w:t xml:space="preserve">Australia’s </w:t>
      </w:r>
      <w:r>
        <w:t>private rental assistance program</w:t>
      </w:r>
      <w:r w:rsidR="00716D0E">
        <w:t xml:space="preserve"> and similar programs provided by </w:t>
      </w:r>
      <w:r w:rsidR="00181293">
        <w:t xml:space="preserve">other </w:t>
      </w:r>
      <w:r w:rsidR="00716D0E">
        <w:t xml:space="preserve">states </w:t>
      </w:r>
      <w:r>
        <w:t xml:space="preserve">are assessed </w:t>
      </w:r>
      <w:r w:rsidR="00716D0E">
        <w:t xml:space="preserve">in the </w:t>
      </w:r>
      <w:r>
        <w:t>housing assessment</w:t>
      </w:r>
      <w:r w:rsidR="003C3CAA">
        <w:t>,</w:t>
      </w:r>
      <w:r w:rsidR="005E2F07">
        <w:t xml:space="preserve"> as noted in the </w:t>
      </w:r>
      <w:r w:rsidR="00EE2EFE">
        <w:t xml:space="preserve">Commission’s </w:t>
      </w:r>
      <w:r w:rsidR="00451783">
        <w:t>2020 Review report</w:t>
      </w:r>
      <w:r w:rsidR="00980533">
        <w:t>.</w:t>
      </w:r>
      <w:r w:rsidR="00EA41AE">
        <w:rPr>
          <w:rStyle w:val="FootnoteReference"/>
        </w:rPr>
        <w:footnoteReference w:id="4"/>
      </w:r>
      <w:r w:rsidR="00980533">
        <w:t xml:space="preserve"> This </w:t>
      </w:r>
      <w:r w:rsidR="000C373A">
        <w:t xml:space="preserve">will </w:t>
      </w:r>
      <w:r w:rsidR="00874A66">
        <w:t xml:space="preserve">remain </w:t>
      </w:r>
      <w:r w:rsidR="00980533">
        <w:t>the case in the 2025 Review.</w:t>
      </w:r>
    </w:p>
    <w:p w14:paraId="2EADB756" w14:textId="00963FFB" w:rsidR="00712839" w:rsidRDefault="00712839" w:rsidP="00712839">
      <w:pPr>
        <w:pStyle w:val="CGC2025ParaNumbers"/>
      </w:pPr>
      <w:r>
        <w:t xml:space="preserve">The Commission notes </w:t>
      </w:r>
      <w:r w:rsidR="00394DBD">
        <w:t xml:space="preserve">Queensland’s and </w:t>
      </w:r>
      <w:r>
        <w:t xml:space="preserve">Victoria’s </w:t>
      </w:r>
      <w:r w:rsidR="00555309">
        <w:t xml:space="preserve">observations </w:t>
      </w:r>
      <w:r w:rsidR="00E75565">
        <w:t>on</w:t>
      </w:r>
      <w:r>
        <w:t xml:space="preserve"> the materiality of </w:t>
      </w:r>
      <w:r w:rsidR="00394DBD">
        <w:t xml:space="preserve">the proposed </w:t>
      </w:r>
      <w:r>
        <w:t xml:space="preserve">homelessness services assessment. </w:t>
      </w:r>
      <w:r w:rsidR="00087109">
        <w:t>Table 1</w:t>
      </w:r>
      <w:r w:rsidR="0085764E">
        <w:t xml:space="preserve"> </w:t>
      </w:r>
      <w:r w:rsidR="00D37E21">
        <w:t>shows the indicative impact of a socio-demographic assessment of specialist homelessness services compared to an equal per capita assessment</w:t>
      </w:r>
      <w:r w:rsidR="00681E94">
        <w:t>.</w:t>
      </w:r>
    </w:p>
    <w:p w14:paraId="69132976" w14:textId="4E82BE46" w:rsidR="005B4849" w:rsidRDefault="005B4849" w:rsidP="00C73FAB">
      <w:pPr>
        <w:pStyle w:val="CGC2025Caption"/>
        <w:keepNext/>
        <w:keepLines/>
        <w:ind w:left="1134" w:hanging="1134"/>
      </w:pPr>
      <w:bookmarkStart w:id="12" w:name="_Ref163544984"/>
      <w:r>
        <w:t xml:space="preserve">Table </w:t>
      </w:r>
      <w:fldSimple w:instr=" SEQ Table \* ARABIC ">
        <w:r w:rsidR="00E61CEB">
          <w:rPr>
            <w:noProof/>
          </w:rPr>
          <w:t>1</w:t>
        </w:r>
      </w:fldSimple>
      <w:bookmarkEnd w:id="12"/>
      <w:r>
        <w:tab/>
      </w:r>
      <w:r w:rsidR="00570700">
        <w:t xml:space="preserve">Indicative GST impact of assessing specialist </w:t>
      </w:r>
      <w:r>
        <w:t>homelessness services</w:t>
      </w:r>
      <w:r w:rsidR="00A225BD">
        <w:t xml:space="preserve"> </w:t>
      </w:r>
      <w:r w:rsidR="00166B23">
        <w:t xml:space="preserve">compared to </w:t>
      </w:r>
      <w:r w:rsidR="00A225BD">
        <w:t xml:space="preserve">an equal per capita </w:t>
      </w:r>
      <w:proofErr w:type="gramStart"/>
      <w:r w:rsidR="00A225BD">
        <w:t>assessment</w:t>
      </w:r>
      <w:proofErr w:type="gramEnd"/>
    </w:p>
    <w:tbl>
      <w:tblPr>
        <w:tblW w:w="8942" w:type="dxa"/>
        <w:tblLook w:val="04A0" w:firstRow="1" w:lastRow="0" w:firstColumn="1" w:lastColumn="0" w:noHBand="0" w:noVBand="1"/>
      </w:tblPr>
      <w:tblGrid>
        <w:gridCol w:w="2942"/>
        <w:gridCol w:w="634"/>
        <w:gridCol w:w="766"/>
        <w:gridCol w:w="767"/>
        <w:gridCol w:w="765"/>
        <w:gridCol w:w="763"/>
        <w:gridCol w:w="767"/>
        <w:gridCol w:w="767"/>
        <w:gridCol w:w="771"/>
      </w:tblGrid>
      <w:tr w:rsidR="00137008" w:rsidRPr="001C06A0" w14:paraId="5704FB0E" w14:textId="77777777" w:rsidTr="00D769A2">
        <w:trPr>
          <w:trHeight w:val="375"/>
        </w:trPr>
        <w:tc>
          <w:tcPr>
            <w:tcW w:w="2942" w:type="dxa"/>
            <w:tcBorders>
              <w:top w:val="nil"/>
              <w:left w:val="nil"/>
              <w:bottom w:val="nil"/>
              <w:right w:val="nil"/>
            </w:tcBorders>
            <w:shd w:val="clear" w:color="000000" w:fill="006991"/>
            <w:vAlign w:val="center"/>
            <w:hideMark/>
          </w:tcPr>
          <w:p w14:paraId="1F2A774D" w14:textId="77777777" w:rsidR="005B4849" w:rsidRPr="001C06A0" w:rsidRDefault="005B4849" w:rsidP="003C2151">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1C06A0">
              <w:rPr>
                <w:rFonts w:ascii="Open Sans Semibold" w:eastAsia="Times New Roman" w:hAnsi="Open Sans Semibold" w:cs="Open Sans Semibold"/>
                <w:color w:val="FFFFFF"/>
                <w:sz w:val="16"/>
                <w:szCs w:val="16"/>
                <w:lang w:eastAsia="en-AU"/>
              </w:rPr>
              <w:t> </w:t>
            </w:r>
          </w:p>
        </w:tc>
        <w:tc>
          <w:tcPr>
            <w:tcW w:w="634" w:type="dxa"/>
            <w:tcBorders>
              <w:top w:val="nil"/>
              <w:left w:val="nil"/>
              <w:bottom w:val="nil"/>
              <w:right w:val="nil"/>
            </w:tcBorders>
            <w:shd w:val="clear" w:color="000000" w:fill="006991"/>
            <w:vAlign w:val="center"/>
            <w:hideMark/>
          </w:tcPr>
          <w:p w14:paraId="3B2F79DF" w14:textId="77777777" w:rsidR="005B4849" w:rsidRPr="001C06A0" w:rsidRDefault="005B4849" w:rsidP="00D769A2">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C06A0">
              <w:rPr>
                <w:rFonts w:ascii="Open Sans Semibold" w:eastAsia="Times New Roman" w:hAnsi="Open Sans Semibold" w:cs="Open Sans Semibold"/>
                <w:color w:val="FFFFFF"/>
                <w:sz w:val="16"/>
                <w:szCs w:val="16"/>
                <w:lang w:eastAsia="en-AU"/>
              </w:rPr>
              <w:t>NSW</w:t>
            </w:r>
          </w:p>
        </w:tc>
        <w:tc>
          <w:tcPr>
            <w:tcW w:w="766" w:type="dxa"/>
            <w:tcBorders>
              <w:top w:val="nil"/>
              <w:left w:val="nil"/>
              <w:bottom w:val="nil"/>
              <w:right w:val="nil"/>
            </w:tcBorders>
            <w:shd w:val="clear" w:color="000000" w:fill="006991"/>
            <w:vAlign w:val="center"/>
            <w:hideMark/>
          </w:tcPr>
          <w:p w14:paraId="276342FE" w14:textId="77777777" w:rsidR="005B4849" w:rsidRPr="001C06A0" w:rsidRDefault="005B4849" w:rsidP="00D769A2">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C06A0">
              <w:rPr>
                <w:rFonts w:ascii="Open Sans Semibold" w:eastAsia="Times New Roman" w:hAnsi="Open Sans Semibold" w:cs="Open Sans Semibold"/>
                <w:color w:val="FFFFFF"/>
                <w:sz w:val="16"/>
                <w:szCs w:val="16"/>
                <w:lang w:eastAsia="en-AU"/>
              </w:rPr>
              <w:t>Vic</w:t>
            </w:r>
          </w:p>
        </w:tc>
        <w:tc>
          <w:tcPr>
            <w:tcW w:w="767" w:type="dxa"/>
            <w:tcBorders>
              <w:top w:val="nil"/>
              <w:left w:val="nil"/>
              <w:bottom w:val="nil"/>
              <w:right w:val="nil"/>
            </w:tcBorders>
            <w:shd w:val="clear" w:color="000000" w:fill="006991"/>
            <w:vAlign w:val="center"/>
            <w:hideMark/>
          </w:tcPr>
          <w:p w14:paraId="260DE217" w14:textId="77777777" w:rsidR="005B4849" w:rsidRPr="001C06A0" w:rsidRDefault="005B4849" w:rsidP="00D769A2">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C06A0">
              <w:rPr>
                <w:rFonts w:ascii="Open Sans Semibold" w:eastAsia="Times New Roman" w:hAnsi="Open Sans Semibold" w:cs="Open Sans Semibold"/>
                <w:color w:val="FFFFFF"/>
                <w:sz w:val="16"/>
                <w:szCs w:val="16"/>
                <w:lang w:eastAsia="en-AU"/>
              </w:rPr>
              <w:t>Qld</w:t>
            </w:r>
          </w:p>
        </w:tc>
        <w:tc>
          <w:tcPr>
            <w:tcW w:w="765" w:type="dxa"/>
            <w:tcBorders>
              <w:top w:val="nil"/>
              <w:left w:val="nil"/>
              <w:bottom w:val="nil"/>
              <w:right w:val="nil"/>
            </w:tcBorders>
            <w:shd w:val="clear" w:color="000000" w:fill="006991"/>
            <w:vAlign w:val="center"/>
            <w:hideMark/>
          </w:tcPr>
          <w:p w14:paraId="7DA761B2" w14:textId="77777777" w:rsidR="005B4849" w:rsidRPr="001C06A0" w:rsidRDefault="005B4849" w:rsidP="00D769A2">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C06A0">
              <w:rPr>
                <w:rFonts w:ascii="Open Sans Semibold" w:eastAsia="Times New Roman" w:hAnsi="Open Sans Semibold" w:cs="Open Sans Semibold"/>
                <w:color w:val="FFFFFF"/>
                <w:sz w:val="16"/>
                <w:szCs w:val="16"/>
                <w:lang w:eastAsia="en-AU"/>
              </w:rPr>
              <w:t>WA</w:t>
            </w:r>
          </w:p>
        </w:tc>
        <w:tc>
          <w:tcPr>
            <w:tcW w:w="763" w:type="dxa"/>
            <w:tcBorders>
              <w:top w:val="nil"/>
              <w:left w:val="nil"/>
              <w:bottom w:val="nil"/>
              <w:right w:val="nil"/>
            </w:tcBorders>
            <w:shd w:val="clear" w:color="000000" w:fill="006991"/>
            <w:vAlign w:val="center"/>
            <w:hideMark/>
          </w:tcPr>
          <w:p w14:paraId="195BE599" w14:textId="77777777" w:rsidR="005B4849" w:rsidRPr="001C06A0" w:rsidRDefault="005B4849" w:rsidP="00D769A2">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C06A0">
              <w:rPr>
                <w:rFonts w:ascii="Open Sans Semibold" w:eastAsia="Times New Roman" w:hAnsi="Open Sans Semibold" w:cs="Open Sans Semibold"/>
                <w:color w:val="FFFFFF"/>
                <w:sz w:val="16"/>
                <w:szCs w:val="16"/>
                <w:lang w:eastAsia="en-AU"/>
              </w:rPr>
              <w:t>SA</w:t>
            </w:r>
          </w:p>
        </w:tc>
        <w:tc>
          <w:tcPr>
            <w:tcW w:w="767" w:type="dxa"/>
            <w:tcBorders>
              <w:top w:val="nil"/>
              <w:left w:val="nil"/>
              <w:bottom w:val="nil"/>
              <w:right w:val="nil"/>
            </w:tcBorders>
            <w:shd w:val="clear" w:color="000000" w:fill="006991"/>
            <w:vAlign w:val="center"/>
            <w:hideMark/>
          </w:tcPr>
          <w:p w14:paraId="7583E2D7" w14:textId="77777777" w:rsidR="005B4849" w:rsidRPr="001C06A0" w:rsidRDefault="005B4849" w:rsidP="00D769A2">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C06A0">
              <w:rPr>
                <w:rFonts w:ascii="Open Sans Semibold" w:eastAsia="Times New Roman" w:hAnsi="Open Sans Semibold" w:cs="Open Sans Semibold"/>
                <w:color w:val="FFFFFF"/>
                <w:sz w:val="16"/>
                <w:szCs w:val="16"/>
                <w:lang w:eastAsia="en-AU"/>
              </w:rPr>
              <w:t>Tas</w:t>
            </w:r>
          </w:p>
        </w:tc>
        <w:tc>
          <w:tcPr>
            <w:tcW w:w="767" w:type="dxa"/>
            <w:tcBorders>
              <w:top w:val="nil"/>
              <w:left w:val="nil"/>
              <w:bottom w:val="nil"/>
              <w:right w:val="nil"/>
            </w:tcBorders>
            <w:shd w:val="clear" w:color="000000" w:fill="006991"/>
            <w:vAlign w:val="center"/>
            <w:hideMark/>
          </w:tcPr>
          <w:p w14:paraId="5FA23E27" w14:textId="77777777" w:rsidR="005B4849" w:rsidRPr="001C06A0" w:rsidRDefault="005B4849" w:rsidP="00D769A2">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C06A0">
              <w:rPr>
                <w:rFonts w:ascii="Open Sans Semibold" w:eastAsia="Times New Roman" w:hAnsi="Open Sans Semibold" w:cs="Open Sans Semibold"/>
                <w:color w:val="FFFFFF"/>
                <w:sz w:val="16"/>
                <w:szCs w:val="16"/>
                <w:lang w:eastAsia="en-AU"/>
              </w:rPr>
              <w:t>ACT</w:t>
            </w:r>
          </w:p>
        </w:tc>
        <w:tc>
          <w:tcPr>
            <w:tcW w:w="771" w:type="dxa"/>
            <w:tcBorders>
              <w:top w:val="nil"/>
              <w:left w:val="nil"/>
              <w:bottom w:val="nil"/>
              <w:right w:val="nil"/>
            </w:tcBorders>
            <w:shd w:val="clear" w:color="000000" w:fill="006991"/>
            <w:vAlign w:val="center"/>
            <w:hideMark/>
          </w:tcPr>
          <w:p w14:paraId="6E37354F" w14:textId="77777777" w:rsidR="005B4849" w:rsidRPr="001C06A0" w:rsidRDefault="005B4849" w:rsidP="00D769A2">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C06A0">
              <w:rPr>
                <w:rFonts w:ascii="Open Sans Semibold" w:eastAsia="Times New Roman" w:hAnsi="Open Sans Semibold" w:cs="Open Sans Semibold"/>
                <w:color w:val="FFFFFF"/>
                <w:sz w:val="16"/>
                <w:szCs w:val="16"/>
                <w:lang w:eastAsia="en-AU"/>
              </w:rPr>
              <w:t>NT</w:t>
            </w:r>
          </w:p>
        </w:tc>
      </w:tr>
      <w:tr w:rsidR="00705C3B" w:rsidRPr="001C06A0" w14:paraId="62AB7813" w14:textId="77777777" w:rsidTr="00D769A2">
        <w:trPr>
          <w:trHeight w:val="319"/>
        </w:trPr>
        <w:tc>
          <w:tcPr>
            <w:tcW w:w="2942" w:type="dxa"/>
            <w:tcBorders>
              <w:top w:val="single" w:sz="8" w:space="0" w:color="ADD6EA"/>
              <w:left w:val="nil"/>
              <w:bottom w:val="nil"/>
              <w:right w:val="nil"/>
            </w:tcBorders>
            <w:shd w:val="clear" w:color="auto" w:fill="auto"/>
            <w:vAlign w:val="center"/>
            <w:hideMark/>
          </w:tcPr>
          <w:p w14:paraId="75201C87" w14:textId="77777777" w:rsidR="00705C3B" w:rsidRPr="001C06A0" w:rsidRDefault="00705C3B" w:rsidP="00D769A2">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GST impact</w:t>
            </w:r>
            <w:r w:rsidRPr="001C06A0">
              <w:rPr>
                <w:rFonts w:eastAsia="Times New Roman" w:cs="Open Sans Light"/>
                <w:color w:val="000000"/>
                <w:sz w:val="16"/>
                <w:szCs w:val="16"/>
                <w:lang w:eastAsia="en-AU"/>
              </w:rPr>
              <w:t xml:space="preserve"> ($m)</w:t>
            </w:r>
          </w:p>
        </w:tc>
        <w:tc>
          <w:tcPr>
            <w:tcW w:w="634" w:type="dxa"/>
            <w:tcBorders>
              <w:top w:val="single" w:sz="8" w:space="0" w:color="ADD6EA"/>
              <w:left w:val="nil"/>
              <w:bottom w:val="nil"/>
              <w:right w:val="nil"/>
            </w:tcBorders>
            <w:shd w:val="clear" w:color="auto" w:fill="auto"/>
            <w:vAlign w:val="center"/>
            <w:hideMark/>
          </w:tcPr>
          <w:p w14:paraId="6BF35C14" w14:textId="21F3CC1C" w:rsidR="00705C3B" w:rsidRPr="001C06A0" w:rsidRDefault="00705C3B" w:rsidP="00D769A2">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w:t>
            </w:r>
            <w:r w:rsidRPr="009469E7">
              <w:rPr>
                <w:rFonts w:eastAsia="Times New Roman" w:cs="Open Sans Light"/>
                <w:color w:val="000000"/>
                <w:sz w:val="16"/>
                <w:szCs w:val="16"/>
                <w:lang w:eastAsia="en-AU"/>
              </w:rPr>
              <w:t>9</w:t>
            </w:r>
          </w:p>
        </w:tc>
        <w:tc>
          <w:tcPr>
            <w:tcW w:w="766" w:type="dxa"/>
            <w:tcBorders>
              <w:top w:val="single" w:sz="8" w:space="0" w:color="ADD6EA"/>
              <w:left w:val="nil"/>
              <w:bottom w:val="nil"/>
              <w:right w:val="nil"/>
            </w:tcBorders>
            <w:shd w:val="clear" w:color="auto" w:fill="auto"/>
            <w:vAlign w:val="center"/>
            <w:hideMark/>
          </w:tcPr>
          <w:p w14:paraId="722060FA" w14:textId="5141C394" w:rsidR="00705C3B" w:rsidRPr="001C06A0" w:rsidRDefault="00705C3B" w:rsidP="00D769A2">
            <w:pPr>
              <w:keepNext/>
              <w:keepLines/>
              <w:tabs>
                <w:tab w:val="clear" w:pos="567"/>
              </w:tabs>
              <w:spacing w:before="0" w:line="240" w:lineRule="auto"/>
              <w:jc w:val="right"/>
              <w:rPr>
                <w:rFonts w:eastAsia="Times New Roman" w:cs="Open Sans Light"/>
                <w:color w:val="000000"/>
                <w:sz w:val="16"/>
                <w:szCs w:val="16"/>
                <w:lang w:eastAsia="en-AU"/>
              </w:rPr>
            </w:pPr>
            <w:r w:rsidRPr="009469E7">
              <w:rPr>
                <w:rFonts w:eastAsia="Times New Roman" w:cs="Open Sans Light"/>
                <w:color w:val="000000"/>
                <w:sz w:val="16"/>
                <w:szCs w:val="16"/>
                <w:lang w:eastAsia="en-AU"/>
              </w:rPr>
              <w:t>-70</w:t>
            </w:r>
          </w:p>
        </w:tc>
        <w:tc>
          <w:tcPr>
            <w:tcW w:w="767" w:type="dxa"/>
            <w:tcBorders>
              <w:top w:val="single" w:sz="8" w:space="0" w:color="ADD6EA"/>
              <w:left w:val="nil"/>
              <w:bottom w:val="nil"/>
              <w:right w:val="nil"/>
            </w:tcBorders>
            <w:shd w:val="clear" w:color="auto" w:fill="auto"/>
            <w:vAlign w:val="center"/>
            <w:hideMark/>
          </w:tcPr>
          <w:p w14:paraId="5F353E72" w14:textId="0460655E" w:rsidR="00705C3B" w:rsidRPr="001C06A0" w:rsidRDefault="00705C3B" w:rsidP="00D769A2">
            <w:pPr>
              <w:keepNext/>
              <w:keepLines/>
              <w:tabs>
                <w:tab w:val="clear" w:pos="567"/>
              </w:tabs>
              <w:spacing w:before="0" w:line="240" w:lineRule="auto"/>
              <w:jc w:val="right"/>
              <w:rPr>
                <w:rFonts w:eastAsia="Times New Roman" w:cs="Open Sans Light"/>
                <w:color w:val="000000"/>
                <w:sz w:val="16"/>
                <w:szCs w:val="16"/>
                <w:lang w:eastAsia="en-AU"/>
              </w:rPr>
            </w:pPr>
            <w:r w:rsidRPr="009469E7">
              <w:rPr>
                <w:rFonts w:eastAsia="Times New Roman" w:cs="Open Sans Light"/>
                <w:color w:val="000000"/>
                <w:sz w:val="16"/>
                <w:szCs w:val="16"/>
                <w:lang w:eastAsia="en-AU"/>
              </w:rPr>
              <w:t>51</w:t>
            </w:r>
          </w:p>
        </w:tc>
        <w:tc>
          <w:tcPr>
            <w:tcW w:w="765" w:type="dxa"/>
            <w:tcBorders>
              <w:top w:val="single" w:sz="8" w:space="0" w:color="ADD6EA"/>
              <w:left w:val="nil"/>
              <w:bottom w:val="nil"/>
              <w:right w:val="nil"/>
            </w:tcBorders>
            <w:shd w:val="clear" w:color="auto" w:fill="auto"/>
            <w:vAlign w:val="center"/>
            <w:hideMark/>
          </w:tcPr>
          <w:p w14:paraId="18A97D59" w14:textId="628BC295" w:rsidR="00705C3B" w:rsidRPr="001C06A0" w:rsidRDefault="00705C3B" w:rsidP="00D769A2">
            <w:pPr>
              <w:keepNext/>
              <w:keepLines/>
              <w:tabs>
                <w:tab w:val="clear" w:pos="567"/>
              </w:tabs>
              <w:spacing w:before="0" w:line="240" w:lineRule="auto"/>
              <w:jc w:val="right"/>
              <w:rPr>
                <w:rFonts w:eastAsia="Times New Roman" w:cs="Open Sans Light"/>
                <w:color w:val="000000"/>
                <w:sz w:val="16"/>
                <w:szCs w:val="16"/>
                <w:lang w:eastAsia="en-AU"/>
              </w:rPr>
            </w:pPr>
            <w:r w:rsidRPr="009469E7">
              <w:rPr>
                <w:rFonts w:eastAsia="Times New Roman" w:cs="Open Sans Light"/>
                <w:color w:val="000000"/>
                <w:sz w:val="16"/>
                <w:szCs w:val="16"/>
                <w:lang w:eastAsia="en-AU"/>
              </w:rPr>
              <w:t>1</w:t>
            </w:r>
          </w:p>
        </w:tc>
        <w:tc>
          <w:tcPr>
            <w:tcW w:w="763" w:type="dxa"/>
            <w:tcBorders>
              <w:top w:val="single" w:sz="8" w:space="0" w:color="ADD6EA"/>
              <w:left w:val="nil"/>
              <w:bottom w:val="nil"/>
              <w:right w:val="nil"/>
            </w:tcBorders>
            <w:shd w:val="clear" w:color="auto" w:fill="auto"/>
            <w:vAlign w:val="center"/>
            <w:hideMark/>
          </w:tcPr>
          <w:p w14:paraId="393A8252" w14:textId="7B6614AF" w:rsidR="00705C3B" w:rsidRPr="001C06A0" w:rsidRDefault="00705C3B" w:rsidP="00D769A2">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w:t>
            </w:r>
            <w:r w:rsidRPr="009469E7">
              <w:rPr>
                <w:rFonts w:eastAsia="Times New Roman" w:cs="Open Sans Light"/>
                <w:color w:val="000000"/>
                <w:sz w:val="16"/>
                <w:szCs w:val="16"/>
                <w:lang w:eastAsia="en-AU"/>
              </w:rPr>
              <w:t>7</w:t>
            </w:r>
          </w:p>
        </w:tc>
        <w:tc>
          <w:tcPr>
            <w:tcW w:w="767" w:type="dxa"/>
            <w:tcBorders>
              <w:top w:val="single" w:sz="8" w:space="0" w:color="ADD6EA"/>
              <w:left w:val="nil"/>
              <w:bottom w:val="nil"/>
              <w:right w:val="nil"/>
            </w:tcBorders>
            <w:shd w:val="clear" w:color="auto" w:fill="auto"/>
            <w:vAlign w:val="center"/>
            <w:hideMark/>
          </w:tcPr>
          <w:p w14:paraId="14A6461B" w14:textId="75C198EF" w:rsidR="00705C3B" w:rsidRPr="001C06A0" w:rsidRDefault="00705C3B" w:rsidP="00D769A2">
            <w:pPr>
              <w:keepNext/>
              <w:keepLines/>
              <w:tabs>
                <w:tab w:val="clear" w:pos="567"/>
              </w:tabs>
              <w:spacing w:before="0" w:line="240" w:lineRule="auto"/>
              <w:jc w:val="right"/>
              <w:rPr>
                <w:rFonts w:eastAsia="Times New Roman" w:cs="Open Sans Light"/>
                <w:color w:val="000000"/>
                <w:sz w:val="16"/>
                <w:szCs w:val="16"/>
                <w:lang w:eastAsia="en-AU"/>
              </w:rPr>
            </w:pPr>
            <w:r w:rsidRPr="009469E7">
              <w:rPr>
                <w:rFonts w:eastAsia="Times New Roman" w:cs="Open Sans Light"/>
                <w:color w:val="000000"/>
                <w:sz w:val="16"/>
                <w:szCs w:val="16"/>
                <w:lang w:eastAsia="en-AU"/>
              </w:rPr>
              <w:t>7</w:t>
            </w:r>
          </w:p>
        </w:tc>
        <w:tc>
          <w:tcPr>
            <w:tcW w:w="767" w:type="dxa"/>
            <w:tcBorders>
              <w:top w:val="single" w:sz="8" w:space="0" w:color="ADD6EA"/>
              <w:left w:val="nil"/>
              <w:bottom w:val="nil"/>
              <w:right w:val="nil"/>
            </w:tcBorders>
            <w:shd w:val="clear" w:color="auto" w:fill="auto"/>
            <w:vAlign w:val="center"/>
            <w:hideMark/>
          </w:tcPr>
          <w:p w14:paraId="49DC23C5" w14:textId="0555BFE0" w:rsidR="00705C3B" w:rsidRPr="001C06A0" w:rsidRDefault="00705C3B" w:rsidP="00D769A2">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w:t>
            </w:r>
            <w:r w:rsidRPr="009469E7">
              <w:rPr>
                <w:rFonts w:eastAsia="Times New Roman" w:cs="Open Sans Light"/>
                <w:color w:val="000000"/>
                <w:sz w:val="16"/>
                <w:szCs w:val="16"/>
                <w:lang w:eastAsia="en-AU"/>
              </w:rPr>
              <w:t>9</w:t>
            </w:r>
          </w:p>
        </w:tc>
        <w:tc>
          <w:tcPr>
            <w:tcW w:w="771" w:type="dxa"/>
            <w:tcBorders>
              <w:top w:val="single" w:sz="8" w:space="0" w:color="ADD6EA"/>
              <w:left w:val="nil"/>
              <w:bottom w:val="nil"/>
              <w:right w:val="nil"/>
            </w:tcBorders>
            <w:shd w:val="clear" w:color="auto" w:fill="auto"/>
            <w:vAlign w:val="center"/>
            <w:hideMark/>
          </w:tcPr>
          <w:p w14:paraId="1D550B9E" w14:textId="5B0229FE" w:rsidR="00705C3B" w:rsidRPr="001C06A0" w:rsidRDefault="00705C3B" w:rsidP="00D769A2">
            <w:pPr>
              <w:keepNext/>
              <w:keepLines/>
              <w:tabs>
                <w:tab w:val="clear" w:pos="567"/>
              </w:tabs>
              <w:spacing w:before="0" w:line="240" w:lineRule="auto"/>
              <w:jc w:val="right"/>
              <w:rPr>
                <w:rFonts w:eastAsia="Times New Roman" w:cs="Open Sans Light"/>
                <w:color w:val="000000"/>
                <w:sz w:val="16"/>
                <w:szCs w:val="16"/>
                <w:lang w:eastAsia="en-AU"/>
              </w:rPr>
            </w:pPr>
            <w:r w:rsidRPr="009469E7">
              <w:rPr>
                <w:rFonts w:eastAsia="Times New Roman" w:cs="Open Sans Light"/>
                <w:color w:val="000000"/>
                <w:sz w:val="16"/>
                <w:szCs w:val="16"/>
                <w:lang w:eastAsia="en-AU"/>
              </w:rPr>
              <w:t>36</w:t>
            </w:r>
          </w:p>
        </w:tc>
      </w:tr>
      <w:tr w:rsidR="00705C3B" w:rsidRPr="001C06A0" w14:paraId="03B88AB3" w14:textId="77777777" w:rsidTr="00D769A2">
        <w:trPr>
          <w:trHeight w:val="375"/>
        </w:trPr>
        <w:tc>
          <w:tcPr>
            <w:tcW w:w="2942" w:type="dxa"/>
            <w:tcBorders>
              <w:top w:val="single" w:sz="8" w:space="0" w:color="ADD6EA"/>
              <w:left w:val="nil"/>
              <w:bottom w:val="single" w:sz="8" w:space="0" w:color="ADD6EA"/>
              <w:right w:val="nil"/>
            </w:tcBorders>
            <w:shd w:val="clear" w:color="auto" w:fill="auto"/>
            <w:vAlign w:val="center"/>
            <w:hideMark/>
          </w:tcPr>
          <w:p w14:paraId="672A5C46" w14:textId="77777777" w:rsidR="00705C3B" w:rsidRPr="001C06A0" w:rsidRDefault="00705C3B" w:rsidP="00D769A2">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GST impact</w:t>
            </w:r>
            <w:r w:rsidRPr="001C06A0">
              <w:rPr>
                <w:rFonts w:eastAsia="Times New Roman" w:cs="Open Sans Light"/>
                <w:color w:val="000000"/>
                <w:sz w:val="16"/>
                <w:szCs w:val="16"/>
                <w:lang w:eastAsia="en-AU"/>
              </w:rPr>
              <w:t xml:space="preserve"> ($pc)</w:t>
            </w:r>
            <w:r>
              <w:rPr>
                <w:rFonts w:eastAsia="Times New Roman" w:cs="Open Sans Light"/>
                <w:color w:val="000000"/>
                <w:sz w:val="16"/>
                <w:szCs w:val="16"/>
                <w:lang w:eastAsia="en-AU"/>
              </w:rPr>
              <w:t xml:space="preserve"> </w:t>
            </w:r>
          </w:p>
        </w:tc>
        <w:tc>
          <w:tcPr>
            <w:tcW w:w="634" w:type="dxa"/>
            <w:tcBorders>
              <w:top w:val="single" w:sz="8" w:space="0" w:color="ADD6EA"/>
              <w:left w:val="nil"/>
              <w:bottom w:val="single" w:sz="8" w:space="0" w:color="ADD6EA"/>
              <w:right w:val="nil"/>
            </w:tcBorders>
            <w:shd w:val="clear" w:color="auto" w:fill="auto"/>
            <w:vAlign w:val="center"/>
            <w:hideMark/>
          </w:tcPr>
          <w:p w14:paraId="5F22CE6E" w14:textId="55035BED" w:rsidR="00705C3B" w:rsidRPr="001C06A0" w:rsidRDefault="00705C3B" w:rsidP="00D769A2">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w:t>
            </w:r>
          </w:p>
        </w:tc>
        <w:tc>
          <w:tcPr>
            <w:tcW w:w="766" w:type="dxa"/>
            <w:tcBorders>
              <w:top w:val="single" w:sz="8" w:space="0" w:color="ADD6EA"/>
              <w:left w:val="nil"/>
              <w:bottom w:val="single" w:sz="8" w:space="0" w:color="ADD6EA"/>
              <w:right w:val="nil"/>
            </w:tcBorders>
            <w:shd w:val="clear" w:color="auto" w:fill="auto"/>
            <w:vAlign w:val="center"/>
            <w:hideMark/>
          </w:tcPr>
          <w:p w14:paraId="55564C78" w14:textId="47A44D65" w:rsidR="00705C3B" w:rsidRPr="001C06A0" w:rsidRDefault="00705C3B" w:rsidP="00D769A2">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-10</w:t>
            </w:r>
          </w:p>
        </w:tc>
        <w:tc>
          <w:tcPr>
            <w:tcW w:w="767" w:type="dxa"/>
            <w:tcBorders>
              <w:top w:val="single" w:sz="8" w:space="0" w:color="ADD6EA"/>
              <w:left w:val="nil"/>
              <w:bottom w:val="single" w:sz="8" w:space="0" w:color="ADD6EA"/>
              <w:right w:val="nil"/>
            </w:tcBorders>
            <w:shd w:val="clear" w:color="auto" w:fill="auto"/>
            <w:vAlign w:val="center"/>
            <w:hideMark/>
          </w:tcPr>
          <w:p w14:paraId="6AC070C2" w14:textId="1C002EE8" w:rsidR="00705C3B" w:rsidRPr="001C06A0" w:rsidRDefault="00705C3B" w:rsidP="00D769A2">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9</w:t>
            </w:r>
          </w:p>
        </w:tc>
        <w:tc>
          <w:tcPr>
            <w:tcW w:w="765" w:type="dxa"/>
            <w:tcBorders>
              <w:top w:val="single" w:sz="8" w:space="0" w:color="ADD6EA"/>
              <w:left w:val="nil"/>
              <w:bottom w:val="single" w:sz="8" w:space="0" w:color="ADD6EA"/>
              <w:right w:val="nil"/>
            </w:tcBorders>
            <w:shd w:val="clear" w:color="auto" w:fill="auto"/>
            <w:vAlign w:val="center"/>
            <w:hideMark/>
          </w:tcPr>
          <w:p w14:paraId="73B2A228" w14:textId="7B25CF5D" w:rsidR="00705C3B" w:rsidRPr="001C06A0" w:rsidRDefault="00705C3B" w:rsidP="00D769A2">
            <w:pPr>
              <w:keepNext/>
              <w:keepLines/>
              <w:tabs>
                <w:tab w:val="clear" w:pos="567"/>
              </w:tabs>
              <w:spacing w:before="0" w:line="240" w:lineRule="auto"/>
              <w:jc w:val="right"/>
              <w:rPr>
                <w:rFonts w:eastAsia="Times New Roman" w:cs="Open Sans Light"/>
                <w:color w:val="000000"/>
                <w:sz w:val="16"/>
                <w:szCs w:val="16"/>
                <w:lang w:eastAsia="en-AU"/>
              </w:rPr>
            </w:pPr>
            <w:r w:rsidRPr="009469E7">
              <w:rPr>
                <w:rFonts w:eastAsia="Times New Roman" w:cs="Open Sans Light"/>
                <w:color w:val="000000"/>
                <w:sz w:val="16"/>
                <w:szCs w:val="16"/>
                <w:lang w:eastAsia="en-AU"/>
              </w:rPr>
              <w:t>0</w:t>
            </w:r>
          </w:p>
        </w:tc>
        <w:tc>
          <w:tcPr>
            <w:tcW w:w="763" w:type="dxa"/>
            <w:tcBorders>
              <w:top w:val="single" w:sz="8" w:space="0" w:color="ADD6EA"/>
              <w:left w:val="nil"/>
              <w:bottom w:val="single" w:sz="8" w:space="0" w:color="ADD6EA"/>
              <w:right w:val="nil"/>
            </w:tcBorders>
            <w:shd w:val="clear" w:color="auto" w:fill="auto"/>
            <w:vAlign w:val="center"/>
            <w:hideMark/>
          </w:tcPr>
          <w:p w14:paraId="2703D703" w14:textId="7EBE983D" w:rsidR="00705C3B" w:rsidRPr="001C06A0" w:rsidRDefault="00705C3B" w:rsidP="00D769A2">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w:t>
            </w:r>
          </w:p>
        </w:tc>
        <w:tc>
          <w:tcPr>
            <w:tcW w:w="767" w:type="dxa"/>
            <w:tcBorders>
              <w:top w:val="single" w:sz="8" w:space="0" w:color="ADD6EA"/>
              <w:left w:val="nil"/>
              <w:bottom w:val="single" w:sz="8" w:space="0" w:color="ADD6EA"/>
              <w:right w:val="nil"/>
            </w:tcBorders>
            <w:shd w:val="clear" w:color="auto" w:fill="auto"/>
            <w:vAlign w:val="center"/>
            <w:hideMark/>
          </w:tcPr>
          <w:p w14:paraId="595C58F1" w14:textId="5F329852" w:rsidR="00705C3B" w:rsidRPr="001C06A0" w:rsidRDefault="00705C3B" w:rsidP="00D769A2">
            <w:pPr>
              <w:keepNext/>
              <w:keepLines/>
              <w:tabs>
                <w:tab w:val="clear" w:pos="567"/>
              </w:tabs>
              <w:spacing w:before="0" w:line="240" w:lineRule="auto"/>
              <w:jc w:val="right"/>
              <w:rPr>
                <w:rFonts w:eastAsia="Times New Roman" w:cs="Open Sans Light"/>
                <w:color w:val="000000"/>
                <w:sz w:val="16"/>
                <w:szCs w:val="16"/>
                <w:lang w:eastAsia="en-AU"/>
              </w:rPr>
            </w:pPr>
            <w:r w:rsidRPr="009469E7">
              <w:rPr>
                <w:rFonts w:eastAsia="Times New Roman" w:cs="Open Sans Light"/>
                <w:color w:val="000000"/>
                <w:sz w:val="16"/>
                <w:szCs w:val="16"/>
                <w:lang w:eastAsia="en-AU"/>
              </w:rPr>
              <w:t>12</w:t>
            </w:r>
          </w:p>
        </w:tc>
        <w:tc>
          <w:tcPr>
            <w:tcW w:w="767" w:type="dxa"/>
            <w:tcBorders>
              <w:top w:val="single" w:sz="8" w:space="0" w:color="ADD6EA"/>
              <w:left w:val="nil"/>
              <w:bottom w:val="single" w:sz="8" w:space="0" w:color="ADD6EA"/>
              <w:right w:val="nil"/>
            </w:tcBorders>
            <w:shd w:val="clear" w:color="auto" w:fill="auto"/>
            <w:vAlign w:val="center"/>
            <w:hideMark/>
          </w:tcPr>
          <w:p w14:paraId="46CD00FF" w14:textId="329A5C6F" w:rsidR="00705C3B" w:rsidRPr="001C06A0" w:rsidRDefault="00705C3B" w:rsidP="00D769A2">
            <w:pPr>
              <w:keepNext/>
              <w:keepLines/>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-19</w:t>
            </w:r>
          </w:p>
        </w:tc>
        <w:tc>
          <w:tcPr>
            <w:tcW w:w="771" w:type="dxa"/>
            <w:tcBorders>
              <w:top w:val="single" w:sz="8" w:space="0" w:color="ADD6EA"/>
              <w:left w:val="nil"/>
              <w:bottom w:val="single" w:sz="8" w:space="0" w:color="ADD6EA"/>
              <w:right w:val="nil"/>
            </w:tcBorders>
            <w:shd w:val="clear" w:color="auto" w:fill="auto"/>
            <w:vAlign w:val="center"/>
            <w:hideMark/>
          </w:tcPr>
          <w:p w14:paraId="41AC229C" w14:textId="2752C755" w:rsidR="00705C3B" w:rsidRPr="001C06A0" w:rsidRDefault="00705C3B" w:rsidP="00D769A2">
            <w:pPr>
              <w:keepNext/>
              <w:keepLines/>
              <w:tabs>
                <w:tab w:val="clear" w:pos="567"/>
              </w:tabs>
              <w:spacing w:before="0" w:line="240" w:lineRule="auto"/>
              <w:jc w:val="right"/>
              <w:rPr>
                <w:rFonts w:eastAsia="Times New Roman" w:cs="Open Sans Light"/>
                <w:color w:val="000000"/>
                <w:sz w:val="16"/>
                <w:szCs w:val="16"/>
                <w:lang w:eastAsia="en-AU"/>
              </w:rPr>
            </w:pPr>
            <w:r w:rsidRPr="009469E7">
              <w:rPr>
                <w:rFonts w:eastAsia="Times New Roman" w:cs="Open Sans Light"/>
                <w:color w:val="000000"/>
                <w:sz w:val="16"/>
                <w:szCs w:val="16"/>
                <w:lang w:eastAsia="en-AU"/>
              </w:rPr>
              <w:t>140</w:t>
            </w:r>
          </w:p>
        </w:tc>
      </w:tr>
    </w:tbl>
    <w:p w14:paraId="59ADA834" w14:textId="1529493C" w:rsidR="005B4849" w:rsidRDefault="00401EA8" w:rsidP="00481B2E">
      <w:pPr>
        <w:pStyle w:val="CGC2025TableNote"/>
        <w:keepNext/>
        <w:keepLines/>
        <w:tabs>
          <w:tab w:val="clear" w:pos="567"/>
          <w:tab w:val="clear" w:pos="680"/>
          <w:tab w:val="left" w:pos="709"/>
          <w:tab w:val="left" w:pos="993"/>
        </w:tabs>
        <w:ind w:left="709" w:hanging="596"/>
      </w:pPr>
      <w:r>
        <w:t xml:space="preserve">Note: </w:t>
      </w:r>
      <w:r w:rsidR="00481B2E">
        <w:tab/>
      </w:r>
      <w:r w:rsidR="005B4849">
        <w:t xml:space="preserve">Specialist homelessness services were assessed using </w:t>
      </w:r>
      <w:r w:rsidR="008045F1">
        <w:t>I</w:t>
      </w:r>
      <w:r w:rsidR="005B4849">
        <w:t xml:space="preserve">ndigenous status, age, socioeconomic </w:t>
      </w:r>
      <w:proofErr w:type="gramStart"/>
      <w:r w:rsidR="005B4849">
        <w:t>status</w:t>
      </w:r>
      <w:proofErr w:type="gramEnd"/>
      <w:r w:rsidR="005B4849">
        <w:t xml:space="preserve"> and remoteness with a regional and wage cost adjustment.</w:t>
      </w:r>
      <w:r w:rsidR="00180A2D">
        <w:t xml:space="preserve"> Expense data was sourced from the</w:t>
      </w:r>
      <w:r w:rsidR="00F92B0A">
        <w:t xml:space="preserve"> states and </w:t>
      </w:r>
      <w:r w:rsidR="00EF20FF">
        <w:t>the</w:t>
      </w:r>
      <w:r>
        <w:t xml:space="preserve"> Productivity Commission</w:t>
      </w:r>
      <w:r w:rsidR="00F008AE">
        <w:t>’s</w:t>
      </w:r>
      <w:r w:rsidR="00180A2D">
        <w:t xml:space="preserve"> </w:t>
      </w:r>
      <w:r w:rsidR="00180A2D" w:rsidRPr="0023084D">
        <w:rPr>
          <w:i/>
          <w:iCs/>
        </w:rPr>
        <w:t>Report on Government Ser</w:t>
      </w:r>
      <w:r w:rsidRPr="0023084D">
        <w:rPr>
          <w:i/>
          <w:iCs/>
        </w:rPr>
        <w:t>v</w:t>
      </w:r>
      <w:r w:rsidR="00180A2D" w:rsidRPr="0023084D">
        <w:rPr>
          <w:i/>
          <w:iCs/>
        </w:rPr>
        <w:t>i</w:t>
      </w:r>
      <w:r w:rsidRPr="0023084D">
        <w:rPr>
          <w:i/>
          <w:iCs/>
        </w:rPr>
        <w:t>c</w:t>
      </w:r>
      <w:r w:rsidR="00180A2D" w:rsidRPr="0023084D">
        <w:rPr>
          <w:i/>
          <w:iCs/>
        </w:rPr>
        <w:t>es</w:t>
      </w:r>
      <w:r>
        <w:t>.</w:t>
      </w:r>
    </w:p>
    <w:p w14:paraId="761AAF0D" w14:textId="77777777" w:rsidR="005B4849" w:rsidRPr="00B2411F" w:rsidRDefault="005B4849" w:rsidP="003C2151">
      <w:pPr>
        <w:pStyle w:val="CGC2025TableNote"/>
        <w:keepNext/>
        <w:keepLines/>
      </w:pPr>
      <w:r>
        <w:t>Source: Commission calculation.</w:t>
      </w:r>
    </w:p>
    <w:p w14:paraId="03C9FA92" w14:textId="7139F3DE" w:rsidR="00E57C5F" w:rsidRDefault="00E57C5F" w:rsidP="00B243F0">
      <w:pPr>
        <w:pStyle w:val="CGC2025ParaNumbers"/>
      </w:pPr>
      <w:r>
        <w:t xml:space="preserve">The Commission does not consider the ABS </w:t>
      </w:r>
      <w:r w:rsidR="00081A51">
        <w:t>2021 C</w:t>
      </w:r>
      <w:r>
        <w:t xml:space="preserve">ensus </w:t>
      </w:r>
      <w:r w:rsidR="00CE5372">
        <w:t xml:space="preserve">homelessness </w:t>
      </w:r>
      <w:r>
        <w:t xml:space="preserve">data </w:t>
      </w:r>
      <w:r w:rsidR="006C132B">
        <w:t>as a</w:t>
      </w:r>
      <w:r w:rsidR="00011A8D">
        <w:t xml:space="preserve"> viable </w:t>
      </w:r>
      <w:r w:rsidR="006C132B">
        <w:t xml:space="preserve">alternative to </w:t>
      </w:r>
      <w:r w:rsidR="00545E7E">
        <w:t>assess</w:t>
      </w:r>
      <w:r>
        <w:t xml:space="preserve"> </w:t>
      </w:r>
      <w:r w:rsidR="00982AFA">
        <w:t xml:space="preserve">state </w:t>
      </w:r>
      <w:r w:rsidR="00FF2114">
        <w:t xml:space="preserve">government </w:t>
      </w:r>
      <w:r w:rsidR="00982AFA">
        <w:t xml:space="preserve">spending on homelessness </w:t>
      </w:r>
      <w:r>
        <w:t xml:space="preserve">services. </w:t>
      </w:r>
      <w:r w:rsidR="004362B8">
        <w:t>T</w:t>
      </w:r>
      <w:r>
        <w:t xml:space="preserve">he </w:t>
      </w:r>
      <w:r w:rsidR="00051065">
        <w:t>c</w:t>
      </w:r>
      <w:r>
        <w:t xml:space="preserve">ensus captures the level of homelessness </w:t>
      </w:r>
      <w:r w:rsidR="006B1151">
        <w:t>(including overcrowding)</w:t>
      </w:r>
      <w:r w:rsidR="00511761">
        <w:t xml:space="preserve"> on census night</w:t>
      </w:r>
      <w:r w:rsidR="00260848">
        <w:t>.</w:t>
      </w:r>
      <w:r w:rsidR="002935C0">
        <w:t xml:space="preserve"> However,</w:t>
      </w:r>
      <w:r w:rsidR="00260848">
        <w:t xml:space="preserve"> </w:t>
      </w:r>
      <w:r w:rsidR="002935C0">
        <w:t>t</w:t>
      </w:r>
      <w:r w:rsidR="00260848">
        <w:t>he census</w:t>
      </w:r>
      <w:r w:rsidR="006B1151">
        <w:t xml:space="preserve"> </w:t>
      </w:r>
      <w:r w:rsidR="004362B8">
        <w:t>exclud</w:t>
      </w:r>
      <w:r w:rsidR="00260848">
        <w:t>es</w:t>
      </w:r>
      <w:r w:rsidR="004362B8">
        <w:t xml:space="preserve"> the population at risk of homelessness</w:t>
      </w:r>
      <w:r w:rsidR="004F7B28">
        <w:t xml:space="preserve">. </w:t>
      </w:r>
      <w:r w:rsidR="004466AB">
        <w:t>If t</w:t>
      </w:r>
      <w:r w:rsidR="00233817">
        <w:t>he Commission</w:t>
      </w:r>
      <w:r w:rsidR="00FC2B44">
        <w:t xml:space="preserve"> assessed</w:t>
      </w:r>
      <w:r w:rsidR="00233817">
        <w:t xml:space="preserve"> </w:t>
      </w:r>
      <w:r w:rsidR="00DD77B1">
        <w:t>the population which reported being</w:t>
      </w:r>
      <w:r w:rsidR="0031556C">
        <w:t xml:space="preserve"> homeless on census night</w:t>
      </w:r>
      <w:r w:rsidR="004F7B28">
        <w:t xml:space="preserve"> </w:t>
      </w:r>
      <w:r w:rsidR="0031556C">
        <w:t xml:space="preserve">and </w:t>
      </w:r>
      <w:r w:rsidR="00E34C8B">
        <w:t>assum</w:t>
      </w:r>
      <w:r w:rsidR="0031556C">
        <w:t>ed</w:t>
      </w:r>
      <w:r w:rsidR="00375D05">
        <w:t xml:space="preserve"> all </w:t>
      </w:r>
      <w:r w:rsidR="00E34C8B">
        <w:t>people experiencing homelessness used services</w:t>
      </w:r>
      <w:r w:rsidR="00511761">
        <w:t xml:space="preserve">, </w:t>
      </w:r>
      <w:r w:rsidR="00F878E1">
        <w:t>56</w:t>
      </w:r>
      <w:r w:rsidR="00511761">
        <w:t>% of the users of homelessness services would be excluded from the assessment (</w:t>
      </w:r>
      <w:r w:rsidR="00087109">
        <w:t>Figure 2</w:t>
      </w:r>
      <w:r w:rsidR="00511761">
        <w:t>).</w:t>
      </w:r>
      <w:r w:rsidR="00F57189">
        <w:t xml:space="preserve"> </w:t>
      </w:r>
      <w:r w:rsidR="00947C0D">
        <w:t xml:space="preserve">In addition, </w:t>
      </w:r>
      <w:r w:rsidR="00D71106">
        <w:t xml:space="preserve">the </w:t>
      </w:r>
      <w:r w:rsidR="00606E0D">
        <w:t>rank o</w:t>
      </w:r>
      <w:r w:rsidR="00D92FE9">
        <w:t xml:space="preserve">f states differs when comparing the </w:t>
      </w:r>
      <w:r w:rsidR="00606E0D">
        <w:t xml:space="preserve">level of </w:t>
      </w:r>
      <w:r w:rsidR="007218F1">
        <w:t xml:space="preserve">specialist homelessness </w:t>
      </w:r>
      <w:r w:rsidR="00F57189">
        <w:t>service</w:t>
      </w:r>
      <w:r w:rsidR="00D92FE9">
        <w:t xml:space="preserve"> use</w:t>
      </w:r>
      <w:r w:rsidR="00F57189">
        <w:t xml:space="preserve"> </w:t>
      </w:r>
      <w:r w:rsidR="00E545F2">
        <w:t>and</w:t>
      </w:r>
      <w:r w:rsidR="003B500B">
        <w:t xml:space="preserve"> the reported homeless </w:t>
      </w:r>
      <w:r w:rsidR="00E545F2">
        <w:t>population on census night</w:t>
      </w:r>
      <w:r w:rsidR="00BC0D0D">
        <w:t xml:space="preserve">. </w:t>
      </w:r>
      <w:r w:rsidR="00081A51">
        <w:lastRenderedPageBreak/>
        <w:t xml:space="preserve">For example, the population accessing homelessness services in </w:t>
      </w:r>
      <w:r w:rsidR="008E10BF">
        <w:t>Victoria</w:t>
      </w:r>
      <w:r w:rsidR="00081A51">
        <w:t xml:space="preserve"> is larger than that in </w:t>
      </w:r>
      <w:r w:rsidR="008E10BF">
        <w:t>New</w:t>
      </w:r>
      <w:r w:rsidR="00B66FAF">
        <w:t> </w:t>
      </w:r>
      <w:r w:rsidR="008E10BF">
        <w:t>South</w:t>
      </w:r>
      <w:r w:rsidR="00B66FAF">
        <w:t> </w:t>
      </w:r>
      <w:r w:rsidR="008E10BF">
        <w:t>Wales</w:t>
      </w:r>
      <w:r w:rsidR="00081A51">
        <w:t xml:space="preserve">, despite </w:t>
      </w:r>
      <w:r w:rsidR="008E10BF">
        <w:t>New</w:t>
      </w:r>
      <w:r w:rsidR="00B66FAF">
        <w:t> </w:t>
      </w:r>
      <w:r w:rsidR="008E10BF">
        <w:t>South</w:t>
      </w:r>
      <w:r w:rsidR="00B66FAF">
        <w:t> </w:t>
      </w:r>
      <w:r w:rsidR="008E10BF">
        <w:t>Wales</w:t>
      </w:r>
      <w:r w:rsidR="00081A51">
        <w:t xml:space="preserve"> having a larger homeless population on </w:t>
      </w:r>
      <w:r w:rsidR="00DB4EBF">
        <w:t>c</w:t>
      </w:r>
      <w:r w:rsidR="00081A51">
        <w:t>ensus night.</w:t>
      </w:r>
      <w:r w:rsidR="008E10BF">
        <w:t xml:space="preserve"> This is also the case when comparing South</w:t>
      </w:r>
      <w:r w:rsidR="00B66FAF">
        <w:t> </w:t>
      </w:r>
      <w:r w:rsidR="008E10BF">
        <w:t>Australia and Western</w:t>
      </w:r>
      <w:r w:rsidR="00B66FAF">
        <w:t> </w:t>
      </w:r>
      <w:r w:rsidR="008E10BF">
        <w:t>Australia.</w:t>
      </w:r>
    </w:p>
    <w:p w14:paraId="6FE867DC" w14:textId="11992BD2" w:rsidR="0005784D" w:rsidRPr="0005784D" w:rsidRDefault="0005784D" w:rsidP="0005784D">
      <w:pPr>
        <w:pStyle w:val="Caption"/>
        <w:rPr>
          <w:rFonts w:ascii="Work Sans" w:hAnsi="Work Sans"/>
        </w:rPr>
      </w:pPr>
      <w:bookmarkStart w:id="13" w:name="_Ref168657548"/>
      <w:r w:rsidRPr="0005784D">
        <w:rPr>
          <w:rFonts w:ascii="Work Sans" w:hAnsi="Work Sans"/>
        </w:rPr>
        <w:t xml:space="preserve">Figure </w:t>
      </w:r>
      <w:r w:rsidRPr="0005784D">
        <w:rPr>
          <w:rFonts w:ascii="Work Sans" w:hAnsi="Work Sans"/>
        </w:rPr>
        <w:fldChar w:fldCharType="begin"/>
      </w:r>
      <w:r w:rsidRPr="0005784D">
        <w:rPr>
          <w:rFonts w:ascii="Work Sans" w:hAnsi="Work Sans"/>
        </w:rPr>
        <w:instrText xml:space="preserve"> SEQ Figure \* ARABIC </w:instrText>
      </w:r>
      <w:r w:rsidRPr="0005784D">
        <w:rPr>
          <w:rFonts w:ascii="Work Sans" w:hAnsi="Work Sans"/>
        </w:rPr>
        <w:fldChar w:fldCharType="separate"/>
      </w:r>
      <w:r w:rsidR="00E61CEB">
        <w:rPr>
          <w:rFonts w:ascii="Work Sans" w:hAnsi="Work Sans"/>
          <w:noProof/>
        </w:rPr>
        <w:t>2</w:t>
      </w:r>
      <w:r w:rsidRPr="0005784D">
        <w:rPr>
          <w:rFonts w:ascii="Work Sans" w:hAnsi="Work Sans"/>
        </w:rPr>
        <w:fldChar w:fldCharType="end"/>
      </w:r>
      <w:bookmarkEnd w:id="13"/>
      <w:r w:rsidRPr="0005784D">
        <w:rPr>
          <w:rFonts w:ascii="Work Sans" w:hAnsi="Work Sans"/>
        </w:rPr>
        <w:t xml:space="preserve"> </w:t>
      </w:r>
      <w:r>
        <w:rPr>
          <w:rFonts w:ascii="Work Sans" w:hAnsi="Work Sans"/>
        </w:rPr>
        <w:tab/>
      </w:r>
      <w:r w:rsidRPr="0005784D">
        <w:rPr>
          <w:rFonts w:ascii="Work Sans" w:hAnsi="Work Sans"/>
        </w:rPr>
        <w:t xml:space="preserve">Number of people experiencing homelessness and number of people accessing specialist homelessness </w:t>
      </w:r>
      <w:proofErr w:type="gramStart"/>
      <w:r w:rsidRPr="0005784D">
        <w:rPr>
          <w:rFonts w:ascii="Work Sans" w:hAnsi="Work Sans"/>
        </w:rPr>
        <w:t>services</w:t>
      </w:r>
      <w:proofErr w:type="gramEnd"/>
    </w:p>
    <w:p w14:paraId="3A4A97D7" w14:textId="06AF962C" w:rsidR="00743B35" w:rsidRDefault="00B7604F" w:rsidP="00743B35">
      <w:pPr>
        <w:pStyle w:val="CGC2025ParaNumbers"/>
        <w:numPr>
          <w:ilvl w:val="0"/>
          <w:numId w:val="0"/>
        </w:numPr>
        <w:ind w:left="567" w:hanging="567"/>
      </w:pPr>
      <w:r w:rsidRPr="00B7604F">
        <w:rPr>
          <w:noProof/>
        </w:rPr>
        <w:drawing>
          <wp:inline distT="0" distB="0" distL="0" distR="0" wp14:anchorId="6DE6E53E" wp14:editId="3CCFB06A">
            <wp:extent cx="5671185" cy="356997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1185" cy="3569970"/>
                    </a:xfrm>
                    <a:prstGeom prst="rect">
                      <a:avLst/>
                    </a:prstGeom>
                    <a:noFill/>
                    <a:ln>
                      <a:noFill/>
                    </a:ln>
                  </pic:spPr>
                </pic:pic>
              </a:graphicData>
            </a:graphic>
          </wp:inline>
        </w:drawing>
      </w:r>
    </w:p>
    <w:p w14:paraId="1124A30C" w14:textId="5CB75AD0" w:rsidR="00600DFC" w:rsidRDefault="005F16D0" w:rsidP="00BA76F1">
      <w:pPr>
        <w:pStyle w:val="CGC2025TableNote"/>
        <w:tabs>
          <w:tab w:val="clear" w:pos="567"/>
          <w:tab w:val="clear" w:pos="680"/>
          <w:tab w:val="left" w:pos="709"/>
          <w:tab w:val="left" w:pos="851"/>
        </w:tabs>
        <w:ind w:left="672" w:hanging="559"/>
      </w:pPr>
      <w:r>
        <w:t xml:space="preserve">Source: </w:t>
      </w:r>
      <w:r w:rsidR="009A2ED2" w:rsidRPr="009A2ED2">
        <w:t>Australian Bureau of Statistics</w:t>
      </w:r>
      <w:r w:rsidR="00A13958">
        <w:t xml:space="preserve"> (ABS),</w:t>
      </w:r>
      <w:r w:rsidR="009A2ED2" w:rsidRPr="009A2ED2">
        <w:t xml:space="preserve"> </w:t>
      </w:r>
      <w:hyperlink r:id="rId15" w:history="1">
        <w:r w:rsidR="009A2ED2" w:rsidRPr="00BA76F1">
          <w:rPr>
            <w:rStyle w:val="Hyperlink"/>
            <w:i/>
            <w:iCs/>
          </w:rPr>
          <w:t>2021</w:t>
        </w:r>
        <w:r w:rsidR="00A13958" w:rsidRPr="00BA76F1">
          <w:rPr>
            <w:rStyle w:val="Hyperlink"/>
            <w:i/>
            <w:iCs/>
          </w:rPr>
          <w:t xml:space="preserve"> </w:t>
        </w:r>
        <w:r w:rsidR="009A2ED2" w:rsidRPr="00BA76F1">
          <w:rPr>
            <w:rStyle w:val="Hyperlink"/>
            <w:i/>
            <w:iCs/>
          </w:rPr>
          <w:t>Census</w:t>
        </w:r>
      </w:hyperlink>
      <w:r w:rsidR="009A2ED2" w:rsidRPr="009A2ED2">
        <w:t xml:space="preserve"> [</w:t>
      </w:r>
      <w:proofErr w:type="spellStart"/>
      <w:r w:rsidR="009A2ED2" w:rsidRPr="009A2ED2">
        <w:t>TableBuilder</w:t>
      </w:r>
      <w:proofErr w:type="spellEnd"/>
      <w:r w:rsidR="009A2ED2" w:rsidRPr="009A2ED2">
        <w:t xml:space="preserve">], accessed </w:t>
      </w:r>
      <w:r w:rsidR="00A13958">
        <w:t>1 April 2024 and</w:t>
      </w:r>
      <w:r w:rsidR="009A2ED2" w:rsidRPr="009A2ED2">
        <w:t xml:space="preserve"> </w:t>
      </w:r>
      <w:r w:rsidR="003F0D8A" w:rsidRPr="003F0D8A">
        <w:t xml:space="preserve">Australian Institute of Health and Welfare (AIHW), </w:t>
      </w:r>
      <w:hyperlink r:id="rId16" w:history="1">
        <w:r w:rsidR="003F0D8A" w:rsidRPr="00E171A0">
          <w:rPr>
            <w:rStyle w:val="Hyperlink"/>
            <w:i/>
            <w:iCs/>
          </w:rPr>
          <w:t>Specialist Homelessness Services Collection: 2011–12 to 2021–22</w:t>
        </w:r>
      </w:hyperlink>
      <w:r w:rsidR="003F0D8A" w:rsidRPr="003F0D8A">
        <w:t xml:space="preserve"> [dataset], AIHW, Canberra, 2022, accessed 1 September 2023</w:t>
      </w:r>
      <w:r w:rsidR="000229B2">
        <w:t>.</w:t>
      </w:r>
    </w:p>
    <w:p w14:paraId="694B8C28" w14:textId="10FBDB09" w:rsidR="00E2083E" w:rsidRPr="00E17057" w:rsidRDefault="00E2083E" w:rsidP="005A4718">
      <w:pPr>
        <w:pStyle w:val="CGC2025ParaNumbers"/>
      </w:pPr>
      <w:r w:rsidRPr="00E17057">
        <w:t>Victoria questioned whether there was evidence to change the Commission’s finding in the 2020 Review of no evidence of causal drivers of homelessness.</w:t>
      </w:r>
    </w:p>
    <w:p w14:paraId="2933E22A" w14:textId="4926A455" w:rsidR="007060A4" w:rsidRPr="00E17057" w:rsidRDefault="006A0CA3" w:rsidP="005A4718">
      <w:pPr>
        <w:pStyle w:val="CGC2025ParaNumbers"/>
      </w:pPr>
      <w:r w:rsidRPr="00E17057">
        <w:t xml:space="preserve">The Commission considers that </w:t>
      </w:r>
      <w:r w:rsidR="009953E2" w:rsidRPr="00E17057">
        <w:t>the</w:t>
      </w:r>
      <w:r w:rsidRPr="00E17057">
        <w:t xml:space="preserve"> current proposal is not comparable to previous </w:t>
      </w:r>
      <w:r w:rsidR="00C87BB0" w:rsidRPr="00E17057">
        <w:t>attempts to assess</w:t>
      </w:r>
      <w:r w:rsidR="00087967" w:rsidRPr="00E17057">
        <w:t xml:space="preserve"> </w:t>
      </w:r>
      <w:r w:rsidRPr="00E17057">
        <w:t xml:space="preserve">state spending on specialist homelessness services. The proposed assessment </w:t>
      </w:r>
      <w:r w:rsidR="00EA4EEF" w:rsidRPr="00E17057">
        <w:t xml:space="preserve">does not aim to </w:t>
      </w:r>
      <w:r w:rsidR="00756864" w:rsidRPr="00E17057">
        <w:t xml:space="preserve">directly assess the </w:t>
      </w:r>
      <w:r w:rsidR="00087967" w:rsidRPr="00E17057">
        <w:t>causes</w:t>
      </w:r>
      <w:r w:rsidR="00756864" w:rsidRPr="00E17057">
        <w:t xml:space="preserve"> of homelessness, but instead, differences in the use of state services by population group</w:t>
      </w:r>
      <w:r w:rsidR="005A1507" w:rsidRPr="00E17057">
        <w:t>s</w:t>
      </w:r>
      <w:r w:rsidR="00756864" w:rsidRPr="00E17057">
        <w:t xml:space="preserve">. This definitional change shifts the </w:t>
      </w:r>
      <w:r w:rsidR="000E4C8D" w:rsidRPr="00E17057">
        <w:t>focus</w:t>
      </w:r>
      <w:r w:rsidR="00756864" w:rsidRPr="00E17057">
        <w:t xml:space="preserve"> from a causal determinant of homelessness to the population groups that have a higher use of services. This is consistent with the approach taken in other assessments, for example health, where differences in service use are the focus, rather than the determinants of poor health.</w:t>
      </w:r>
    </w:p>
    <w:p w14:paraId="164557A6" w14:textId="7AC61F22" w:rsidR="00157E1E" w:rsidRPr="00E17057" w:rsidRDefault="00900D77" w:rsidP="005A4718">
      <w:pPr>
        <w:pStyle w:val="CGC2025ParaNumbers"/>
      </w:pPr>
      <w:r w:rsidRPr="00E17057">
        <w:t>Additionally, t</w:t>
      </w:r>
      <w:r w:rsidR="002F5ED2" w:rsidRPr="00E17057">
        <w:t xml:space="preserve">he Commission </w:t>
      </w:r>
      <w:r w:rsidR="00696B8D" w:rsidRPr="00E17057">
        <w:t>considers</w:t>
      </w:r>
      <w:r w:rsidR="002F5ED2" w:rsidRPr="00E17057">
        <w:t xml:space="preserve"> </w:t>
      </w:r>
      <w:r w:rsidR="004B457D" w:rsidRPr="00E17057">
        <w:t>that there is sufficient evidence to revisit the</w:t>
      </w:r>
      <w:r w:rsidR="00B823A2" w:rsidRPr="00E17057">
        <w:t xml:space="preserve"> treatment of </w:t>
      </w:r>
      <w:r w:rsidR="00235D88" w:rsidRPr="00E17057">
        <w:t>state specialist</w:t>
      </w:r>
      <w:r w:rsidR="00B823A2" w:rsidRPr="00E17057">
        <w:t xml:space="preserve"> homelessness </w:t>
      </w:r>
      <w:r w:rsidR="004B457D" w:rsidRPr="00E17057">
        <w:t xml:space="preserve">services </w:t>
      </w:r>
      <w:r w:rsidR="00B823A2" w:rsidRPr="00E17057">
        <w:t xml:space="preserve">spending. </w:t>
      </w:r>
      <w:r w:rsidR="005E6B63" w:rsidRPr="00E17057">
        <w:t>Commission analysi</w:t>
      </w:r>
      <w:r w:rsidR="001A28AC" w:rsidRPr="00E17057">
        <w:t xml:space="preserve">s of </w:t>
      </w:r>
      <w:r w:rsidR="0009377F" w:rsidRPr="00E17057">
        <w:t>Australian Institute of Health and Welfare</w:t>
      </w:r>
      <w:r w:rsidR="001A28AC" w:rsidRPr="00E17057">
        <w:t xml:space="preserve"> data indicates differential service usage by </w:t>
      </w:r>
      <w:r w:rsidR="00F66C0A" w:rsidRPr="00E17057">
        <w:t>socio-demographic</w:t>
      </w:r>
      <w:r w:rsidR="005E6B63" w:rsidRPr="00E17057">
        <w:t xml:space="preserve"> characteristics</w:t>
      </w:r>
      <w:r w:rsidR="005A1507" w:rsidRPr="00E17057">
        <w:t xml:space="preserve"> (</w:t>
      </w:r>
      <w:r w:rsidR="00087109">
        <w:t>Figure 3</w:t>
      </w:r>
      <w:r w:rsidR="005A1507" w:rsidRPr="00E17057">
        <w:t>)</w:t>
      </w:r>
      <w:r w:rsidR="001A28AC" w:rsidRPr="00E17057">
        <w:t xml:space="preserve">, with </w:t>
      </w:r>
      <w:r w:rsidR="003B30B7" w:rsidRPr="00E17057">
        <w:t>these populatio</w:t>
      </w:r>
      <w:r w:rsidR="0009377F" w:rsidRPr="00E17057">
        <w:t>n groups</w:t>
      </w:r>
      <w:r w:rsidR="003B30B7" w:rsidRPr="00E17057">
        <w:t xml:space="preserve"> differing among states.</w:t>
      </w:r>
      <w:r w:rsidR="00074EC4" w:rsidRPr="00E17057">
        <w:t xml:space="preserve"> </w:t>
      </w:r>
      <w:r w:rsidR="00F07A68" w:rsidRPr="00E17057">
        <w:t>As a result,</w:t>
      </w:r>
      <w:r w:rsidR="00AF2B21" w:rsidRPr="00E17057">
        <w:t xml:space="preserve"> </w:t>
      </w:r>
      <w:r w:rsidR="00F07A68" w:rsidRPr="00E17057">
        <w:t>an</w:t>
      </w:r>
      <w:r w:rsidR="00AF2B21" w:rsidRPr="00E17057">
        <w:t xml:space="preserve"> assessment</w:t>
      </w:r>
      <w:r w:rsidR="00D059A4" w:rsidRPr="00E17057">
        <w:t xml:space="preserve"> based on socio-demographic </w:t>
      </w:r>
      <w:r w:rsidR="00D059A4" w:rsidRPr="00E17057">
        <w:lastRenderedPageBreak/>
        <w:t xml:space="preserve">characteristics </w:t>
      </w:r>
      <w:r w:rsidR="00F07A68" w:rsidRPr="00E17057">
        <w:t>has been found to be materially different from</w:t>
      </w:r>
      <w:r w:rsidR="00C702AA" w:rsidRPr="00E17057">
        <w:t xml:space="preserve"> an equal per capita assessment (</w:t>
      </w:r>
      <w:r w:rsidR="00E05C5D">
        <w:t>Table 1</w:t>
      </w:r>
      <w:r w:rsidR="00C702AA" w:rsidRPr="00E17057">
        <w:t>)</w:t>
      </w:r>
      <w:r w:rsidR="00F07A68" w:rsidRPr="00E17057">
        <w:t>.</w:t>
      </w:r>
    </w:p>
    <w:p w14:paraId="66D6125F" w14:textId="5243082E" w:rsidR="00157E1E" w:rsidRPr="00E17057" w:rsidRDefault="00157E1E" w:rsidP="00CD21DE">
      <w:pPr>
        <w:pStyle w:val="Caption"/>
        <w:rPr>
          <w:rFonts w:ascii="Work Sans" w:hAnsi="Work Sans"/>
        </w:rPr>
      </w:pPr>
      <w:bookmarkStart w:id="14" w:name="_Ref147756417"/>
      <w:r w:rsidRPr="00E17057">
        <w:rPr>
          <w:rFonts w:ascii="Work Sans" w:hAnsi="Work Sans"/>
        </w:rPr>
        <w:t xml:space="preserve">Figure </w:t>
      </w:r>
      <w:r w:rsidR="00DA5C91" w:rsidRPr="00E17057">
        <w:rPr>
          <w:rFonts w:ascii="Work Sans" w:hAnsi="Work Sans"/>
        </w:rPr>
        <w:fldChar w:fldCharType="begin"/>
      </w:r>
      <w:r w:rsidR="00DA5C91" w:rsidRPr="00E17057">
        <w:rPr>
          <w:rFonts w:ascii="Work Sans" w:hAnsi="Work Sans"/>
        </w:rPr>
        <w:instrText xml:space="preserve"> SEQ Figure \* ARABIC </w:instrText>
      </w:r>
      <w:r w:rsidR="00DA5C91" w:rsidRPr="00E17057">
        <w:rPr>
          <w:rFonts w:ascii="Work Sans" w:hAnsi="Work Sans"/>
        </w:rPr>
        <w:fldChar w:fldCharType="separate"/>
      </w:r>
      <w:r w:rsidR="00E61CEB">
        <w:rPr>
          <w:rFonts w:ascii="Work Sans" w:hAnsi="Work Sans"/>
          <w:noProof/>
        </w:rPr>
        <w:t>3</w:t>
      </w:r>
      <w:r w:rsidR="00DA5C91" w:rsidRPr="00E17057">
        <w:rPr>
          <w:rFonts w:ascii="Work Sans" w:hAnsi="Work Sans"/>
        </w:rPr>
        <w:fldChar w:fldCharType="end"/>
      </w:r>
      <w:bookmarkEnd w:id="14"/>
      <w:r w:rsidRPr="00E17057">
        <w:tab/>
      </w:r>
      <w:r w:rsidRPr="00E17057">
        <w:rPr>
          <w:rFonts w:ascii="Work Sans" w:hAnsi="Work Sans"/>
        </w:rPr>
        <w:t>Proportion of specialist homelessness services clients by socio-demographic characteristics</w:t>
      </w:r>
    </w:p>
    <w:p w14:paraId="53E43382" w14:textId="416BD20F" w:rsidR="00157E1E" w:rsidRPr="00E17057" w:rsidRDefault="00A87BC1" w:rsidP="00CD21DE">
      <w:pPr>
        <w:pStyle w:val="CGC2025ParaNumbers"/>
        <w:numPr>
          <w:ilvl w:val="0"/>
          <w:numId w:val="0"/>
        </w:numPr>
        <w:ind w:left="567" w:hanging="567"/>
      </w:pPr>
      <w:r w:rsidRPr="00A87BC1">
        <w:rPr>
          <w:noProof/>
        </w:rPr>
        <w:drawing>
          <wp:inline distT="0" distB="0" distL="0" distR="0" wp14:anchorId="596C9E10" wp14:editId="52F5FFE6">
            <wp:extent cx="5731510" cy="3366135"/>
            <wp:effectExtent l="0" t="0" r="254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366135"/>
                    </a:xfrm>
                    <a:prstGeom prst="rect">
                      <a:avLst/>
                    </a:prstGeom>
                    <a:noFill/>
                    <a:ln>
                      <a:noFill/>
                    </a:ln>
                  </pic:spPr>
                </pic:pic>
              </a:graphicData>
            </a:graphic>
          </wp:inline>
        </w:drawing>
      </w:r>
    </w:p>
    <w:p w14:paraId="2D058792" w14:textId="52E7E565" w:rsidR="00DB73F3" w:rsidRDefault="00AE3175" w:rsidP="00CB5387">
      <w:pPr>
        <w:pStyle w:val="CGC2025TableNote"/>
        <w:ind w:left="709" w:hanging="596"/>
      </w:pPr>
      <w:r w:rsidRPr="00E17057">
        <w:t xml:space="preserve">Source: </w:t>
      </w:r>
      <w:r w:rsidRPr="00E17057">
        <w:rPr>
          <w:rStyle w:val="CGC2025TableNoteChar"/>
        </w:rPr>
        <w:t xml:space="preserve">AIHW, </w:t>
      </w:r>
      <w:hyperlink r:id="rId18" w:history="1">
        <w:r w:rsidRPr="00CB5387">
          <w:rPr>
            <w:rStyle w:val="Hyperlink"/>
            <w:i/>
            <w:iCs/>
          </w:rPr>
          <w:t>Specialist Homelessness Services Collection</w:t>
        </w:r>
        <w:r w:rsidR="001D4BB1" w:rsidRPr="00CB5387">
          <w:rPr>
            <w:rStyle w:val="Hyperlink"/>
            <w:i/>
            <w:iCs/>
          </w:rPr>
          <w:t>:</w:t>
        </w:r>
        <w:r w:rsidRPr="00CB5387">
          <w:rPr>
            <w:rStyle w:val="Hyperlink"/>
            <w:i/>
            <w:iCs/>
          </w:rPr>
          <w:t xml:space="preserve"> 2011–12 to 2021–22</w:t>
        </w:r>
      </w:hyperlink>
      <w:r w:rsidR="002873E6">
        <w:rPr>
          <w:rStyle w:val="CGC2025TableNoteChar"/>
          <w:i/>
          <w:iCs/>
        </w:rPr>
        <w:t>.</w:t>
      </w:r>
    </w:p>
    <w:p w14:paraId="69B23FB9" w14:textId="77777777" w:rsidR="0006723A" w:rsidRDefault="0006723A" w:rsidP="0006723A">
      <w:pPr>
        <w:pStyle w:val="Heading4"/>
      </w:pPr>
      <w:r>
        <w:t>Commission draft position</w:t>
      </w:r>
    </w:p>
    <w:p w14:paraId="76438D6C" w14:textId="3F9F24AC" w:rsidR="0006723A" w:rsidRDefault="0006723A" w:rsidP="00631669">
      <w:pPr>
        <w:pStyle w:val="CGC2025ParaNumbers"/>
      </w:pPr>
      <w:r>
        <w:t xml:space="preserve">The Commission </w:t>
      </w:r>
      <w:r w:rsidR="00D47C52">
        <w:t>proposes</w:t>
      </w:r>
      <w:r>
        <w:t xml:space="preserve"> </w:t>
      </w:r>
      <w:r w:rsidR="00CE7073">
        <w:t xml:space="preserve">to </w:t>
      </w:r>
      <w:r w:rsidR="009F7088">
        <w:t>include</w:t>
      </w:r>
      <w:r w:rsidR="005B0FF4">
        <w:t xml:space="preserve"> a homelessness services </w:t>
      </w:r>
      <w:r w:rsidR="0033648A">
        <w:t>assessment</w:t>
      </w:r>
      <w:r w:rsidR="00CD21DE">
        <w:t xml:space="preserve"> using data on specialist homelessness services use from the Australian Institute of Health and Welfare</w:t>
      </w:r>
      <w:r w:rsidR="009F7088">
        <w:t xml:space="preserve"> in the 2025 Review method</w:t>
      </w:r>
      <w:r w:rsidR="005129B1">
        <w:t>.</w:t>
      </w:r>
    </w:p>
    <w:p w14:paraId="1FB5A980" w14:textId="4C6B5656" w:rsidR="0006723A" w:rsidRPr="00284B22" w:rsidRDefault="0006723A" w:rsidP="0006723A">
      <w:pPr>
        <w:pStyle w:val="Heading3"/>
      </w:pPr>
      <w:r>
        <w:t>Q4. Will states be able to identify spending on homelessness services and identify where that spending is reported in the Government Finance Statistics classifications?</w:t>
      </w:r>
    </w:p>
    <w:p w14:paraId="17345FA1" w14:textId="2AE5BD1A" w:rsidR="0006723A" w:rsidRDefault="0006723A" w:rsidP="0006723A">
      <w:pPr>
        <w:pStyle w:val="Heading4"/>
      </w:pPr>
      <w:r>
        <w:t>State views</w:t>
      </w:r>
    </w:p>
    <w:p w14:paraId="22271129" w14:textId="511411DF" w:rsidR="00162000" w:rsidRDefault="003C0321" w:rsidP="00631669">
      <w:pPr>
        <w:pStyle w:val="CGC2025ParaNumbers"/>
      </w:pPr>
      <w:r>
        <w:t>New</w:t>
      </w:r>
      <w:r w:rsidR="00567B9B">
        <w:t> </w:t>
      </w:r>
      <w:r>
        <w:t>South</w:t>
      </w:r>
      <w:r w:rsidR="00567B9B">
        <w:t> </w:t>
      </w:r>
      <w:r>
        <w:t xml:space="preserve">Wales, </w:t>
      </w:r>
      <w:r w:rsidR="00E112B4">
        <w:t>South</w:t>
      </w:r>
      <w:r w:rsidR="00567B9B">
        <w:t> </w:t>
      </w:r>
      <w:r w:rsidR="00E112B4">
        <w:t xml:space="preserve">Australia, </w:t>
      </w:r>
      <w:proofErr w:type="gramStart"/>
      <w:r>
        <w:t>Tasmania</w:t>
      </w:r>
      <w:proofErr w:type="gramEnd"/>
      <w:r>
        <w:t xml:space="preserve"> and the Northern Territory </w:t>
      </w:r>
      <w:r w:rsidR="00E112B4">
        <w:t>stated</w:t>
      </w:r>
      <w:r w:rsidR="00856D14">
        <w:t xml:space="preserve"> they would all be able to</w:t>
      </w:r>
      <w:r>
        <w:t xml:space="preserve"> </w:t>
      </w:r>
      <w:r w:rsidR="00E112B4">
        <w:t xml:space="preserve">identify </w:t>
      </w:r>
      <w:r w:rsidR="00CD1E42">
        <w:t xml:space="preserve">spending on homelessness services in the </w:t>
      </w:r>
      <w:r w:rsidR="00AD3E09">
        <w:t>AB</w:t>
      </w:r>
      <w:r w:rsidR="00FF5A37">
        <w:t>S</w:t>
      </w:r>
      <w:r w:rsidR="00314DA2">
        <w:t> </w:t>
      </w:r>
      <w:r w:rsidR="00CD1E42">
        <w:t>Government Finance Statistics classification.</w:t>
      </w:r>
    </w:p>
    <w:p w14:paraId="5D34D839" w14:textId="21189B0C" w:rsidR="008933A9" w:rsidRDefault="00EC2CF1" w:rsidP="00413439">
      <w:pPr>
        <w:pStyle w:val="CGC2025ParaNumbers"/>
      </w:pPr>
      <w:r>
        <w:t xml:space="preserve">South Australia </w:t>
      </w:r>
      <w:r w:rsidR="00162000">
        <w:t>said</w:t>
      </w:r>
      <w:r>
        <w:t xml:space="preserve"> that </w:t>
      </w:r>
      <w:r w:rsidR="00873FBC">
        <w:t xml:space="preserve">while </w:t>
      </w:r>
      <w:r w:rsidR="00162000">
        <w:t>most of</w:t>
      </w:r>
      <w:r w:rsidR="00873FBC">
        <w:t xml:space="preserve"> </w:t>
      </w:r>
      <w:r w:rsidR="00F64709">
        <w:t>its</w:t>
      </w:r>
      <w:r w:rsidR="00873FBC">
        <w:t xml:space="preserve"> homelessness services expenditure is included </w:t>
      </w:r>
      <w:r w:rsidR="006E3759">
        <w:t>in</w:t>
      </w:r>
      <w:r w:rsidR="000229B2">
        <w:t xml:space="preserve"> the</w:t>
      </w:r>
      <w:r w:rsidR="0029444D">
        <w:t xml:space="preserve"> </w:t>
      </w:r>
      <w:r w:rsidR="00970E34">
        <w:t xml:space="preserve">ABS </w:t>
      </w:r>
      <w:r w:rsidR="000A4DB4" w:rsidRPr="00413439">
        <w:t>Classification of the Functions of Government</w:t>
      </w:r>
      <w:r w:rsidR="00F168DF">
        <w:t xml:space="preserve"> (COFOG)</w:t>
      </w:r>
      <w:r w:rsidR="000A4DB4">
        <w:t xml:space="preserve"> </w:t>
      </w:r>
      <w:r w:rsidR="009D6A22">
        <w:t>1051</w:t>
      </w:r>
      <w:r w:rsidR="0017475D">
        <w:t> </w:t>
      </w:r>
      <w:r w:rsidR="009D6A22">
        <w:t xml:space="preserve">(Housing) and </w:t>
      </w:r>
      <w:r w:rsidR="00006BCE">
        <w:t>COFOG</w:t>
      </w:r>
      <w:r w:rsidR="009E5C44">
        <w:t> </w:t>
      </w:r>
      <w:r w:rsidR="009D6A22">
        <w:t>106</w:t>
      </w:r>
      <w:r w:rsidR="00006BCE">
        <w:t>9 (Social exclusion not elsewhere classified)</w:t>
      </w:r>
      <w:r w:rsidR="00D92262">
        <w:t>,</w:t>
      </w:r>
      <w:r w:rsidR="000B77B2">
        <w:t xml:space="preserve"> </w:t>
      </w:r>
      <w:r w:rsidR="00E411C2">
        <w:t>some programs</w:t>
      </w:r>
      <w:r w:rsidR="008C485F">
        <w:t xml:space="preserve"> sit outside of this</w:t>
      </w:r>
      <w:r w:rsidR="00EB43E0">
        <w:t xml:space="preserve"> classification </w:t>
      </w:r>
      <w:r w:rsidR="00715E03">
        <w:t>and there are</w:t>
      </w:r>
      <w:r w:rsidR="00462AAA">
        <w:t xml:space="preserve"> other</w:t>
      </w:r>
      <w:r w:rsidR="00715E03">
        <w:t xml:space="preserve"> non-homelessness services</w:t>
      </w:r>
      <w:r w:rsidR="00462AAA">
        <w:t xml:space="preserve"> programs reported in these COFOG classifications</w:t>
      </w:r>
      <w:r w:rsidR="008C485F">
        <w:t>.</w:t>
      </w:r>
    </w:p>
    <w:p w14:paraId="5361BA2B" w14:textId="6F134804" w:rsidR="00CD1E42" w:rsidRDefault="00EB0205" w:rsidP="00631669">
      <w:pPr>
        <w:pStyle w:val="CGC2025ParaNumbers"/>
      </w:pPr>
      <w:r>
        <w:lastRenderedPageBreak/>
        <w:t>Queensland, Western</w:t>
      </w:r>
      <w:r w:rsidR="00567B9B">
        <w:t> </w:t>
      </w:r>
      <w:proofErr w:type="gramStart"/>
      <w:r>
        <w:t>Australia</w:t>
      </w:r>
      <w:proofErr w:type="gramEnd"/>
      <w:r>
        <w:t xml:space="preserve"> and the ACT</w:t>
      </w:r>
      <w:r w:rsidR="00456247">
        <w:t xml:space="preserve"> expressed concerns about their ability to identify this expenditure within the </w:t>
      </w:r>
      <w:r w:rsidR="00CC0B25">
        <w:t xml:space="preserve">ABS </w:t>
      </w:r>
      <w:r w:rsidR="00456247">
        <w:t>Government Finance Statistics classification</w:t>
      </w:r>
      <w:r w:rsidR="00050246">
        <w:t>s</w:t>
      </w:r>
      <w:r w:rsidR="00456247">
        <w:t xml:space="preserve">. These states </w:t>
      </w:r>
      <w:r w:rsidR="00806C97">
        <w:t>said that</w:t>
      </w:r>
      <w:r w:rsidR="00456247">
        <w:t xml:space="preserve"> homelessness services expenditure </w:t>
      </w:r>
      <w:r w:rsidR="001A1CEF">
        <w:t xml:space="preserve">is </w:t>
      </w:r>
      <w:r w:rsidR="00064EAE">
        <w:t>reported</w:t>
      </w:r>
      <w:r w:rsidR="00806C97">
        <w:t xml:space="preserve"> in </w:t>
      </w:r>
      <w:r w:rsidR="00064EAE">
        <w:t xml:space="preserve">many </w:t>
      </w:r>
      <w:r w:rsidR="00870738">
        <w:t>ABS</w:t>
      </w:r>
      <w:r w:rsidR="00E46927">
        <w:t> </w:t>
      </w:r>
      <w:r w:rsidR="00F0508B">
        <w:t>COFOG</w:t>
      </w:r>
      <w:r w:rsidR="00064EAE">
        <w:t xml:space="preserve"> </w:t>
      </w:r>
      <w:r w:rsidR="00FC1596">
        <w:t xml:space="preserve">classifications </w:t>
      </w:r>
      <w:r w:rsidR="00AC0CE1">
        <w:t xml:space="preserve">because </w:t>
      </w:r>
      <w:r w:rsidR="00064EAE">
        <w:t xml:space="preserve">many state </w:t>
      </w:r>
      <w:r w:rsidR="00FC1596">
        <w:t xml:space="preserve">departments </w:t>
      </w:r>
      <w:r w:rsidR="00064EAE">
        <w:t xml:space="preserve">had service delivery obligations </w:t>
      </w:r>
      <w:r w:rsidR="000F596F">
        <w:t xml:space="preserve">in this area </w:t>
      </w:r>
      <w:r w:rsidR="00064EAE">
        <w:t xml:space="preserve">including health, </w:t>
      </w:r>
      <w:proofErr w:type="gramStart"/>
      <w:r w:rsidR="00A22535">
        <w:t>education</w:t>
      </w:r>
      <w:proofErr w:type="gramEnd"/>
      <w:r w:rsidR="00A22535">
        <w:t xml:space="preserve"> and housing.</w:t>
      </w:r>
    </w:p>
    <w:p w14:paraId="4F456BF1" w14:textId="380C9E34" w:rsidR="0006723A" w:rsidRDefault="002C5B05" w:rsidP="00631669">
      <w:pPr>
        <w:pStyle w:val="CGC2025ParaNumbers"/>
      </w:pPr>
      <w:r>
        <w:t xml:space="preserve">Victoria </w:t>
      </w:r>
      <w:r w:rsidR="0058253C">
        <w:t xml:space="preserve">said that it would not be </w:t>
      </w:r>
      <w:r>
        <w:t xml:space="preserve">able </w:t>
      </w:r>
      <w:r w:rsidR="008933A9">
        <w:t xml:space="preserve">to identify expenditure on homelessness services as reported in the </w:t>
      </w:r>
      <w:r w:rsidR="00870738">
        <w:t xml:space="preserve">ABS </w:t>
      </w:r>
      <w:r w:rsidR="000F596F">
        <w:t>Government Finance Statistics</w:t>
      </w:r>
      <w:r w:rsidR="008933A9">
        <w:t>.</w:t>
      </w:r>
      <w:r w:rsidR="00CD1E42">
        <w:t xml:space="preserve"> Further, Victoria</w:t>
      </w:r>
      <w:r w:rsidR="00AD7A0B">
        <w:t xml:space="preserve"> viewed the </w:t>
      </w:r>
      <w:r w:rsidR="00870738">
        <w:t>ABS Government Finance Statistics</w:t>
      </w:r>
      <w:r w:rsidR="00AD7A0B">
        <w:t xml:space="preserve"> </w:t>
      </w:r>
      <w:r w:rsidR="00076AF1">
        <w:t xml:space="preserve">as an inappropriate </w:t>
      </w:r>
      <w:r w:rsidR="003F0701">
        <w:t>source</w:t>
      </w:r>
      <w:r w:rsidR="00076AF1">
        <w:t xml:space="preserve"> </w:t>
      </w:r>
      <w:r w:rsidR="0058253C">
        <w:t xml:space="preserve">because </w:t>
      </w:r>
      <w:r w:rsidR="001A4946">
        <w:t>of</w:t>
      </w:r>
      <w:r w:rsidR="00076AF1">
        <w:t xml:space="preserve"> differing definitions for homelessness across </w:t>
      </w:r>
      <w:r w:rsidR="00F83C6B">
        <w:t>government</w:t>
      </w:r>
      <w:r w:rsidR="003972B4">
        <w:t>s</w:t>
      </w:r>
      <w:r w:rsidR="00F83C6B">
        <w:t>. Victoria stated it support</w:t>
      </w:r>
      <w:r w:rsidR="00870738">
        <w:t>ed</w:t>
      </w:r>
      <w:r w:rsidR="00F83C6B">
        <w:t xml:space="preserve"> the </w:t>
      </w:r>
      <w:r w:rsidR="00870738">
        <w:t xml:space="preserve">use of the </w:t>
      </w:r>
      <w:r w:rsidR="00F83C6B">
        <w:t xml:space="preserve">definition included in the </w:t>
      </w:r>
      <w:r w:rsidR="00870738">
        <w:t xml:space="preserve">Productivity Commission’s </w:t>
      </w:r>
      <w:r w:rsidR="00F83C6B">
        <w:t>Report on Government Services.</w:t>
      </w:r>
      <w:r w:rsidR="004F3E52">
        <w:rPr>
          <w:rStyle w:val="FootnoteReference"/>
        </w:rPr>
        <w:footnoteReference w:id="5"/>
      </w:r>
    </w:p>
    <w:p w14:paraId="354AEF31" w14:textId="77777777" w:rsidR="0006723A" w:rsidRDefault="0006723A" w:rsidP="0006723A">
      <w:pPr>
        <w:pStyle w:val="Heading4"/>
      </w:pPr>
      <w:r>
        <w:t>Commission response</w:t>
      </w:r>
    </w:p>
    <w:p w14:paraId="1B256484" w14:textId="77777777" w:rsidR="00C33820" w:rsidRDefault="00462AAA" w:rsidP="00C33820">
      <w:pPr>
        <w:pStyle w:val="CGC2025ParaNumbers"/>
      </w:pPr>
      <w:r>
        <w:t>Currently</w:t>
      </w:r>
      <w:r w:rsidR="00E11D72">
        <w:t>,</w:t>
      </w:r>
      <w:r>
        <w:t xml:space="preserve"> the Commission cannot identify where states are reporting homelessness services spending in the ABS Government Financial statistics. </w:t>
      </w:r>
      <w:r w:rsidR="005A4B7E">
        <w:t xml:space="preserve">This means the Commission cannot </w:t>
      </w:r>
      <w:r w:rsidR="00F20A46">
        <w:t>accurately determine</w:t>
      </w:r>
      <w:r w:rsidR="005A4B7E">
        <w:t xml:space="preserve"> the current treatment of homelessness services spending.</w:t>
      </w:r>
    </w:p>
    <w:p w14:paraId="39AEAFE7" w14:textId="52A10539" w:rsidR="00AF0341" w:rsidRDefault="0006723A" w:rsidP="00C33820">
      <w:pPr>
        <w:pStyle w:val="CGC2025ParaNumbers"/>
      </w:pPr>
      <w:r>
        <w:t>The Commission agrees</w:t>
      </w:r>
      <w:r w:rsidR="00B93862">
        <w:t xml:space="preserve"> </w:t>
      </w:r>
      <w:r w:rsidR="00870738">
        <w:t>there is a</w:t>
      </w:r>
      <w:r w:rsidR="00B93862">
        <w:t xml:space="preserve"> need for a </w:t>
      </w:r>
      <w:r w:rsidR="00F80704">
        <w:t>clear definition</w:t>
      </w:r>
      <w:r w:rsidR="00A25ACB">
        <w:t xml:space="preserve"> regarding what constitutes </w:t>
      </w:r>
      <w:r w:rsidR="009B5876">
        <w:t xml:space="preserve">specialist </w:t>
      </w:r>
      <w:r w:rsidR="00A25ACB">
        <w:t>homelessness services</w:t>
      </w:r>
      <w:r w:rsidR="00870738">
        <w:t>.</w:t>
      </w:r>
      <w:r w:rsidR="003F634E">
        <w:t xml:space="preserve"> </w:t>
      </w:r>
      <w:r w:rsidR="00F02C55">
        <w:t xml:space="preserve">In its </w:t>
      </w:r>
      <w:hyperlink r:id="rId19" w:history="1">
        <w:r w:rsidR="00B767D9" w:rsidRPr="00C46E01">
          <w:rPr>
            <w:rStyle w:val="Hyperlink"/>
          </w:rPr>
          <w:t>consultation paper</w:t>
        </w:r>
      </w:hyperlink>
      <w:r w:rsidR="00B67F03">
        <w:t xml:space="preserve">, </w:t>
      </w:r>
      <w:r w:rsidR="00B767D9">
        <w:t xml:space="preserve">the Commission proposed </w:t>
      </w:r>
      <w:r w:rsidR="00F6139F">
        <w:t>to</w:t>
      </w:r>
      <w:r w:rsidR="00B767D9">
        <w:t xml:space="preserve"> use </w:t>
      </w:r>
      <w:r w:rsidR="00F600C1">
        <w:t>the</w:t>
      </w:r>
      <w:r w:rsidR="008C5BD2">
        <w:t xml:space="preserve"> definition from the</w:t>
      </w:r>
      <w:r w:rsidR="00F600C1">
        <w:t xml:space="preserve"> Productivity Commission</w:t>
      </w:r>
      <w:r w:rsidR="00AA0159">
        <w:t>’</w:t>
      </w:r>
      <w:r w:rsidR="00F600C1">
        <w:t>s Report on Government Services</w:t>
      </w:r>
      <w:r w:rsidR="009F7FF7">
        <w:t xml:space="preserve">, which </w:t>
      </w:r>
      <w:r w:rsidR="00104229">
        <w:t>include</w:t>
      </w:r>
      <w:r w:rsidR="0058418E">
        <w:t>s</w:t>
      </w:r>
      <w:r w:rsidR="00104229">
        <w:t xml:space="preserve"> services such as ‘</w:t>
      </w:r>
      <w:r w:rsidR="009F7FF7">
        <w:t>supported accommodation, counselling, advocacy, links to housing, health, education and employment services, outreach support, brokerage and meals services, and financial and employment assistance</w:t>
      </w:r>
      <w:r w:rsidR="00104229">
        <w:t>.’</w:t>
      </w:r>
      <w:r w:rsidR="00912551">
        <w:rPr>
          <w:rStyle w:val="FootnoteReference"/>
        </w:rPr>
        <w:footnoteReference w:id="6"/>
      </w:r>
      <w:r w:rsidR="007619B1">
        <w:t xml:space="preserve"> T</w:t>
      </w:r>
      <w:r w:rsidR="00F6139F">
        <w:t>his remains the Commission</w:t>
      </w:r>
      <w:r w:rsidR="00934A1C">
        <w:t>’s</w:t>
      </w:r>
      <w:r w:rsidR="00F6139F">
        <w:t xml:space="preserve"> preferred definition</w:t>
      </w:r>
      <w:r w:rsidR="009B5876">
        <w:t>.</w:t>
      </w:r>
    </w:p>
    <w:p w14:paraId="618B437C" w14:textId="1B215C31" w:rsidR="00BB0F97" w:rsidRDefault="00033105" w:rsidP="00AF0341">
      <w:pPr>
        <w:pStyle w:val="CGC2025ParaNumbers"/>
      </w:pPr>
      <w:r>
        <w:t>T</w:t>
      </w:r>
      <w:r w:rsidR="00BB0F97">
        <w:t>he Commission understands</w:t>
      </w:r>
      <w:r w:rsidR="0000052D">
        <w:t xml:space="preserve"> the</w:t>
      </w:r>
      <w:r w:rsidR="00BB0F97">
        <w:t xml:space="preserve"> challenges in collecting data across agencies or departments</w:t>
      </w:r>
      <w:r w:rsidR="003C0A86">
        <w:t xml:space="preserve"> and allocating spending to relevant COFOG classifications</w:t>
      </w:r>
      <w:r>
        <w:t>. However</w:t>
      </w:r>
      <w:r w:rsidR="00BB0F97">
        <w:t xml:space="preserve">, the Commission </w:t>
      </w:r>
      <w:r w:rsidR="004B634F">
        <w:t>notes that</w:t>
      </w:r>
      <w:r w:rsidR="00A22535">
        <w:t xml:space="preserve"> states report this information annually </w:t>
      </w:r>
      <w:r w:rsidR="00FA0933">
        <w:t xml:space="preserve">to </w:t>
      </w:r>
      <w:r w:rsidR="00BB0F97">
        <w:t>the Productivity Commission</w:t>
      </w:r>
      <w:r w:rsidR="00B77567">
        <w:t xml:space="preserve"> </w:t>
      </w:r>
      <w:r w:rsidR="0000052D">
        <w:t>for</w:t>
      </w:r>
      <w:r w:rsidR="00B77567">
        <w:t xml:space="preserve"> the</w:t>
      </w:r>
      <w:r w:rsidR="00BB0F97">
        <w:t xml:space="preserve"> </w:t>
      </w:r>
      <w:r w:rsidR="00EA6B2C">
        <w:t>Report on Government Services.</w:t>
      </w:r>
    </w:p>
    <w:p w14:paraId="73C6F64F" w14:textId="4DD079B5" w:rsidR="003F39BA" w:rsidRDefault="003F39BA" w:rsidP="003F39BA">
      <w:pPr>
        <w:pStyle w:val="CGC2025ParaNumbers"/>
      </w:pPr>
      <w:r>
        <w:t>Where the Commission can identify misreporting and the size of the misreporting makes a material difference to the assessment, it works with states to resolve the issues.</w:t>
      </w:r>
    </w:p>
    <w:p w14:paraId="00393EAC" w14:textId="0B958E44" w:rsidR="0006723A" w:rsidRDefault="0006723A" w:rsidP="0006723A">
      <w:pPr>
        <w:pStyle w:val="Heading4"/>
      </w:pPr>
      <w:r>
        <w:t>Commission draft position</w:t>
      </w:r>
    </w:p>
    <w:p w14:paraId="24E10DAB" w14:textId="0B922530" w:rsidR="00623117" w:rsidRDefault="003C2CB6" w:rsidP="00DC4693">
      <w:pPr>
        <w:pStyle w:val="CGC2025ParaNumbers"/>
      </w:pPr>
      <w:r w:rsidRPr="003C2CB6">
        <w:t xml:space="preserve">To support the new assessment method, </w:t>
      </w:r>
      <w:r w:rsidR="00303AC7">
        <w:t>the Commission proposes a</w:t>
      </w:r>
      <w:r w:rsidRPr="003C2CB6">
        <w:t xml:space="preserve"> new annual data request </w:t>
      </w:r>
      <w:r w:rsidR="006D3935">
        <w:t>to</w:t>
      </w:r>
      <w:r w:rsidR="006D3935" w:rsidRPr="003C2CB6">
        <w:t xml:space="preserve"> </w:t>
      </w:r>
      <w:r w:rsidRPr="003C2CB6">
        <w:t>obtain state expenses on homelessness services</w:t>
      </w:r>
      <w:r w:rsidR="00261811">
        <w:t xml:space="preserve"> by COFOG classification</w:t>
      </w:r>
      <w:r w:rsidRPr="003C2CB6">
        <w:t xml:space="preserve">, using the definition used by the Productivity Commission for the </w:t>
      </w:r>
      <w:r w:rsidR="000C31F2" w:rsidRPr="00BF4EC2">
        <w:t>Report on Government Services</w:t>
      </w:r>
      <w:r w:rsidRPr="003C2CB6">
        <w:t>.</w:t>
      </w:r>
      <w:r w:rsidR="00D12042">
        <w:t xml:space="preserve"> </w:t>
      </w:r>
      <w:r w:rsidR="00960AF9">
        <w:t xml:space="preserve">If states are unable to provide data to the </w:t>
      </w:r>
      <w:r w:rsidR="00960AF9">
        <w:lastRenderedPageBreak/>
        <w:t xml:space="preserve">Commission, the Commission will use </w:t>
      </w:r>
      <w:r w:rsidR="00D12042">
        <w:t xml:space="preserve">state </w:t>
      </w:r>
      <w:r w:rsidR="00960AF9">
        <w:t>expenditure</w:t>
      </w:r>
      <w:r w:rsidR="00D12042">
        <w:t xml:space="preserve"> data</w:t>
      </w:r>
      <w:r w:rsidR="00960AF9">
        <w:t xml:space="preserve"> from the Report on Government Services and allocate the funding 50/50 between the social housing and welfare COFOG</w:t>
      </w:r>
      <w:r w:rsidR="00D12042">
        <w:t>s</w:t>
      </w:r>
      <w:r w:rsidR="00960AF9">
        <w:t>.</w:t>
      </w:r>
    </w:p>
    <w:p w14:paraId="07142EB5" w14:textId="4FAA3F7D" w:rsidR="0006723A" w:rsidRPr="00284B22" w:rsidRDefault="0006723A" w:rsidP="007716BC">
      <w:pPr>
        <w:pStyle w:val="Heading3"/>
        <w:keepNext/>
        <w:keepLines/>
      </w:pPr>
      <w:r>
        <w:t>Q5. Do states support the proposed drivers to assess homelessness spending, noting further work is to be undertaken on mental health conditions as a potential driver?</w:t>
      </w:r>
    </w:p>
    <w:p w14:paraId="2C50820A" w14:textId="0D1BCDAF" w:rsidR="0006723A" w:rsidRDefault="0006723A" w:rsidP="0006723A">
      <w:pPr>
        <w:pStyle w:val="Heading4"/>
      </w:pPr>
      <w:r>
        <w:t>State views</w:t>
      </w:r>
    </w:p>
    <w:p w14:paraId="69AD0599" w14:textId="5A3A7E59" w:rsidR="00D44E8E" w:rsidRDefault="00106778" w:rsidP="006E0527">
      <w:pPr>
        <w:pStyle w:val="CGC2025ParaNumbers"/>
      </w:pPr>
      <w:r>
        <w:t>All</w:t>
      </w:r>
      <w:r w:rsidR="00590433">
        <w:t xml:space="preserve"> states </w:t>
      </w:r>
      <w:r>
        <w:t xml:space="preserve">except </w:t>
      </w:r>
      <w:r w:rsidR="006E0527">
        <w:t>Victoria</w:t>
      </w:r>
      <w:r w:rsidR="006C2EBE">
        <w:t xml:space="preserve"> </w:t>
      </w:r>
      <w:r w:rsidR="00590433">
        <w:t xml:space="preserve">supported the proposed drivers of homelessness services spending </w:t>
      </w:r>
      <w:r w:rsidR="00BA33ED">
        <w:t>in full or in part.</w:t>
      </w:r>
      <w:r w:rsidR="00D30E7D">
        <w:t xml:space="preserve"> However</w:t>
      </w:r>
      <w:r w:rsidR="006D5409">
        <w:t>,</w:t>
      </w:r>
      <w:r w:rsidR="00D30E7D">
        <w:t xml:space="preserve"> states also cited that additional drivers should be considered</w:t>
      </w:r>
      <w:r>
        <w:t xml:space="preserve"> when developing the assessment.</w:t>
      </w:r>
    </w:p>
    <w:p w14:paraId="75EF08F8" w14:textId="3B249567" w:rsidR="00E275A6" w:rsidRDefault="00E275A6" w:rsidP="00E275A6">
      <w:pPr>
        <w:pStyle w:val="CGC2025ParaNumbers"/>
      </w:pPr>
      <w:r>
        <w:t xml:space="preserve">Victoria </w:t>
      </w:r>
      <w:r w:rsidR="00075CE7">
        <w:t>said</w:t>
      </w:r>
      <w:r>
        <w:t xml:space="preserve"> that a separate assessment is inappropriate </w:t>
      </w:r>
      <w:r w:rsidR="00075CE7">
        <w:t xml:space="preserve">as </w:t>
      </w:r>
      <w:r>
        <w:t xml:space="preserve">the </w:t>
      </w:r>
      <w:r w:rsidR="00075CE7">
        <w:t xml:space="preserve">academic </w:t>
      </w:r>
      <w:r>
        <w:t xml:space="preserve">literature </w:t>
      </w:r>
      <w:r w:rsidR="00075CE7">
        <w:t xml:space="preserve">indicates there </w:t>
      </w:r>
      <w:r w:rsidR="00E127D1">
        <w:t>are</w:t>
      </w:r>
      <w:r w:rsidR="00075CE7">
        <w:t xml:space="preserve"> no</w:t>
      </w:r>
      <w:r w:rsidR="001A042B">
        <w:t xml:space="preserve"> </w:t>
      </w:r>
      <w:r>
        <w:t xml:space="preserve">causal factors for homelessness, and that many of </w:t>
      </w:r>
      <w:r w:rsidR="006139CA">
        <w:t xml:space="preserve">the </w:t>
      </w:r>
      <w:r>
        <w:t xml:space="preserve">drivers identified represent a cause and effect of homelessness. Victoria reiterated its support for an equal per capita assessment. However, Victoria also cited </w:t>
      </w:r>
      <w:r w:rsidR="006F2637">
        <w:t>potential factors that may increase the risk of homelessness.</w:t>
      </w:r>
    </w:p>
    <w:p w14:paraId="598E0A24" w14:textId="1AAC5AA2" w:rsidR="004C502E" w:rsidRDefault="006D4934" w:rsidP="00631669">
      <w:pPr>
        <w:pStyle w:val="CGC2025ParaNumbers"/>
      </w:pPr>
      <w:r>
        <w:t>Potential d</w:t>
      </w:r>
      <w:r w:rsidR="00BA75ED">
        <w:t xml:space="preserve">rivers raised by states in addition to </w:t>
      </w:r>
      <w:r w:rsidR="00881F28">
        <w:t xml:space="preserve">those proposed by the Commission in its consultation </w:t>
      </w:r>
      <w:r w:rsidR="001E3EBB">
        <w:t>paper</w:t>
      </w:r>
      <w:r w:rsidR="00881F28">
        <w:t xml:space="preserve"> (</w:t>
      </w:r>
      <w:r w:rsidR="00884F98">
        <w:t>a</w:t>
      </w:r>
      <w:r w:rsidR="00BA75ED">
        <w:t>ge, socio</w:t>
      </w:r>
      <w:r w:rsidR="00467573">
        <w:t>-</w:t>
      </w:r>
      <w:r w:rsidR="00BA75ED">
        <w:t xml:space="preserve">economic status, remoteness, </w:t>
      </w:r>
      <w:r w:rsidR="00B10082">
        <w:t>I</w:t>
      </w:r>
      <w:r w:rsidR="0052122C">
        <w:t>ndigenous</w:t>
      </w:r>
      <w:r w:rsidR="00543BCA">
        <w:t xml:space="preserve"> </w:t>
      </w:r>
      <w:proofErr w:type="gramStart"/>
      <w:r w:rsidR="00543BCA">
        <w:t>status</w:t>
      </w:r>
      <w:proofErr w:type="gramEnd"/>
      <w:r w:rsidR="00543BCA">
        <w:t xml:space="preserve"> and mental health</w:t>
      </w:r>
      <w:r w:rsidR="00881F28">
        <w:t>)</w:t>
      </w:r>
      <w:r w:rsidR="00543BCA">
        <w:t xml:space="preserve"> include:</w:t>
      </w:r>
    </w:p>
    <w:p w14:paraId="075583C5" w14:textId="37356566" w:rsidR="004C502E" w:rsidRDefault="00286C77" w:rsidP="00FA7581">
      <w:pPr>
        <w:pStyle w:val="CGC2025Bullet1"/>
      </w:pPr>
      <w:r>
        <w:t>overcrowding (</w:t>
      </w:r>
      <w:r w:rsidR="009E60CA">
        <w:t>New</w:t>
      </w:r>
      <w:r w:rsidR="00D844D4">
        <w:t xml:space="preserve"> South Wales and </w:t>
      </w:r>
      <w:r w:rsidR="009C5D99">
        <w:t>the</w:t>
      </w:r>
      <w:r w:rsidR="00D844D4">
        <w:t xml:space="preserve"> Northern Territory</w:t>
      </w:r>
      <w:r>
        <w:t>)</w:t>
      </w:r>
    </w:p>
    <w:p w14:paraId="48D72BE5" w14:textId="61FE82B8" w:rsidR="00825D62" w:rsidRDefault="00286C77" w:rsidP="0033235C">
      <w:pPr>
        <w:pStyle w:val="CGC2025Bullet1"/>
      </w:pPr>
      <w:r>
        <w:t>family and domestic violence (New South Wales</w:t>
      </w:r>
      <w:r w:rsidR="006E0527">
        <w:t>,</w:t>
      </w:r>
      <w:r>
        <w:t xml:space="preserve"> </w:t>
      </w:r>
      <w:r w:rsidR="006E0527">
        <w:t xml:space="preserve">Victoria, </w:t>
      </w:r>
      <w:r>
        <w:t xml:space="preserve">South </w:t>
      </w:r>
      <w:proofErr w:type="gramStart"/>
      <w:r>
        <w:t>Australia</w:t>
      </w:r>
      <w:proofErr w:type="gramEnd"/>
      <w:r w:rsidR="00647288">
        <w:t xml:space="preserve"> </w:t>
      </w:r>
      <w:r w:rsidR="00D57504">
        <w:t xml:space="preserve">and </w:t>
      </w:r>
      <w:r w:rsidR="009C5D99">
        <w:t xml:space="preserve">the </w:t>
      </w:r>
      <w:r w:rsidR="00647288">
        <w:t>Northern Territory</w:t>
      </w:r>
      <w:r>
        <w:t>)</w:t>
      </w:r>
    </w:p>
    <w:p w14:paraId="1CB464BF" w14:textId="6E8C8E5D" w:rsidR="002218BC" w:rsidRDefault="006F2637" w:rsidP="00FA7581">
      <w:pPr>
        <w:pStyle w:val="CGC2025Bullet1"/>
      </w:pPr>
      <w:r>
        <w:t>d</w:t>
      </w:r>
      <w:r w:rsidR="00825D62">
        <w:t>rug and alcohol use (New South Wales)</w:t>
      </w:r>
    </w:p>
    <w:p w14:paraId="21B4B108" w14:textId="005BEAC3" w:rsidR="00EA3CD6" w:rsidRDefault="006F2637" w:rsidP="00FA7581">
      <w:pPr>
        <w:pStyle w:val="CGC2025Bullet1"/>
      </w:pPr>
      <w:r>
        <w:t>d</w:t>
      </w:r>
      <w:r w:rsidR="00EA3CD6">
        <w:t>isability (New South Wales</w:t>
      </w:r>
      <w:r w:rsidR="00D57504">
        <w:t xml:space="preserve"> and</w:t>
      </w:r>
      <w:r w:rsidR="00647288">
        <w:t xml:space="preserve"> South Australia</w:t>
      </w:r>
      <w:r w:rsidR="00EA3CD6">
        <w:t>)</w:t>
      </w:r>
    </w:p>
    <w:p w14:paraId="719C1F97" w14:textId="1424E326" w:rsidR="003D1762" w:rsidRDefault="006F2637" w:rsidP="00FA7581">
      <w:pPr>
        <w:pStyle w:val="CGC2025Bullet1"/>
      </w:pPr>
      <w:r>
        <w:t>c</w:t>
      </w:r>
      <w:r w:rsidR="00BA33ED">
        <w:t xml:space="preserve">ultural and </w:t>
      </w:r>
      <w:r w:rsidR="00F4282C">
        <w:t>l</w:t>
      </w:r>
      <w:r w:rsidR="00BA33ED">
        <w:t>inguistic divers</w:t>
      </w:r>
      <w:r w:rsidR="00CF127B">
        <w:t>ity</w:t>
      </w:r>
      <w:r w:rsidR="00BA33ED">
        <w:t xml:space="preserve"> (</w:t>
      </w:r>
      <w:r w:rsidR="004C502E">
        <w:t>South Australia</w:t>
      </w:r>
      <w:r w:rsidR="00BA33ED">
        <w:t>)</w:t>
      </w:r>
    </w:p>
    <w:p w14:paraId="73245A3E" w14:textId="2EFEC3CD" w:rsidR="009A7D61" w:rsidRDefault="009C5D99" w:rsidP="00FA7581">
      <w:pPr>
        <w:pStyle w:val="CGC2025Bullet1"/>
      </w:pPr>
      <w:r>
        <w:t>h</w:t>
      </w:r>
      <w:r w:rsidR="003D1762">
        <w:t>ousing affordability (New South Wales,</w:t>
      </w:r>
      <w:r w:rsidR="00054FDB">
        <w:t xml:space="preserve"> </w:t>
      </w:r>
      <w:proofErr w:type="gramStart"/>
      <w:r w:rsidR="00054FDB">
        <w:t>Victoria</w:t>
      </w:r>
      <w:proofErr w:type="gramEnd"/>
      <w:r w:rsidR="00D57504">
        <w:t xml:space="preserve"> and</w:t>
      </w:r>
      <w:r w:rsidR="003D1762">
        <w:t xml:space="preserve"> Western Australia)</w:t>
      </w:r>
      <w:r w:rsidR="009A7D61">
        <w:t>.</w:t>
      </w:r>
    </w:p>
    <w:p w14:paraId="1548104E" w14:textId="2536BFA7" w:rsidR="00BA33ED" w:rsidRDefault="007B50EE" w:rsidP="00BA33ED">
      <w:pPr>
        <w:pStyle w:val="CGC2025ParaNumbers"/>
      </w:pPr>
      <w:r>
        <w:t xml:space="preserve">New South Wales </w:t>
      </w:r>
      <w:r w:rsidR="006F2637">
        <w:t>said</w:t>
      </w:r>
      <w:r>
        <w:t xml:space="preserve"> that </w:t>
      </w:r>
      <w:r w:rsidR="006F2637">
        <w:t>while socio-economic status</w:t>
      </w:r>
      <w:r>
        <w:t xml:space="preserve"> is a relevant factor</w:t>
      </w:r>
      <w:r w:rsidR="009F3531">
        <w:t>,</w:t>
      </w:r>
      <w:r>
        <w:t xml:space="preserve"> this could reflect a correlation with other variables such as domestic violence or disability. </w:t>
      </w:r>
      <w:r w:rsidR="00BA33ED">
        <w:t xml:space="preserve">Western Australia </w:t>
      </w:r>
      <w:r w:rsidR="008C0EDD">
        <w:t>did</w:t>
      </w:r>
      <w:r w:rsidR="00BA33ED">
        <w:t xml:space="preserve"> not support </w:t>
      </w:r>
      <w:r w:rsidR="008C0EDD">
        <w:t xml:space="preserve">using </w:t>
      </w:r>
      <w:r w:rsidR="000A5DC5">
        <w:t xml:space="preserve">low </w:t>
      </w:r>
      <w:r w:rsidR="006F2637">
        <w:t>socio-economic status</w:t>
      </w:r>
      <w:r w:rsidR="00BA33ED">
        <w:t xml:space="preserve"> </w:t>
      </w:r>
      <w:r w:rsidR="008E30E1">
        <w:t>because</w:t>
      </w:r>
      <w:r w:rsidR="0076448B">
        <w:t xml:space="preserve"> </w:t>
      </w:r>
      <w:r w:rsidR="00BA33ED">
        <w:t xml:space="preserve">it </w:t>
      </w:r>
      <w:r w:rsidR="006C1054">
        <w:t>does not</w:t>
      </w:r>
      <w:r w:rsidR="00BA33ED">
        <w:t xml:space="preserve"> consider state specific circumstances such as </w:t>
      </w:r>
      <w:r w:rsidR="00B133EA">
        <w:t xml:space="preserve">income relative to </w:t>
      </w:r>
      <w:r w:rsidR="00BA33ED">
        <w:t>rent</w:t>
      </w:r>
      <w:r>
        <w:t>al affordability</w:t>
      </w:r>
      <w:r w:rsidR="00BA33ED">
        <w:t>.</w:t>
      </w:r>
    </w:p>
    <w:p w14:paraId="08A6419A" w14:textId="49FE1C86" w:rsidR="00BA33ED" w:rsidRDefault="00BA33ED" w:rsidP="00BA33ED">
      <w:pPr>
        <w:pStyle w:val="CGC2025ParaNumbers"/>
      </w:pPr>
      <w:r>
        <w:t xml:space="preserve">Queensland and Western Australia </w:t>
      </w:r>
      <w:r w:rsidR="0076448B">
        <w:t>said they had</w:t>
      </w:r>
      <w:r>
        <w:t xml:space="preserve"> reservations over the inclusion of mental health </w:t>
      </w:r>
      <w:r w:rsidR="00E8543C">
        <w:t xml:space="preserve">as a driver </w:t>
      </w:r>
      <w:r>
        <w:t>given concerns over the ability of the data to accurately represent psychological stress in remote areas. Tasmania support</w:t>
      </w:r>
      <w:r w:rsidR="00A73C2C">
        <w:t>ed</w:t>
      </w:r>
      <w:r>
        <w:t xml:space="preserve"> the conceptual case for the inclusion of mental health as a driver of homelessness services expenditure.</w:t>
      </w:r>
    </w:p>
    <w:p w14:paraId="0AA2A0D8" w14:textId="15FD5D8E" w:rsidR="005F04DA" w:rsidRDefault="005F04DA" w:rsidP="003A6854">
      <w:pPr>
        <w:pStyle w:val="CGC2025ParaNumbers"/>
      </w:pPr>
      <w:r>
        <w:t xml:space="preserve">New South </w:t>
      </w:r>
      <w:r w:rsidR="00C053BB">
        <w:t xml:space="preserve">Wales </w:t>
      </w:r>
      <w:r>
        <w:t>said that the current general regional cost gradient was not fit for purpose.</w:t>
      </w:r>
    </w:p>
    <w:p w14:paraId="10C5C842" w14:textId="1E92800D" w:rsidR="003A6854" w:rsidRDefault="00BA33ED" w:rsidP="003A6854">
      <w:pPr>
        <w:pStyle w:val="CGC2025ParaNumbers"/>
      </w:pPr>
      <w:r>
        <w:lastRenderedPageBreak/>
        <w:t>The ACT supported the inclusion of wage and regional cost factors, as well as a cross-border adjustment.</w:t>
      </w:r>
    </w:p>
    <w:p w14:paraId="45FE25B2" w14:textId="77777777" w:rsidR="0006723A" w:rsidRDefault="0006723A" w:rsidP="0006723A">
      <w:pPr>
        <w:pStyle w:val="Heading4"/>
      </w:pPr>
      <w:r>
        <w:t>Commission response</w:t>
      </w:r>
    </w:p>
    <w:p w14:paraId="749BE1E4" w14:textId="3415A6EF" w:rsidR="009F3531" w:rsidRDefault="00AD7CCF" w:rsidP="006F5156">
      <w:pPr>
        <w:pStyle w:val="CGC2025ParaNumbers"/>
      </w:pPr>
      <w:r>
        <w:t xml:space="preserve">The Commission </w:t>
      </w:r>
      <w:r w:rsidR="00FE165D">
        <w:t>notes</w:t>
      </w:r>
      <w:r w:rsidR="003159B9">
        <w:t xml:space="preserve"> that</w:t>
      </w:r>
      <w:r w:rsidR="00FE165D">
        <w:t xml:space="preserve"> </w:t>
      </w:r>
      <w:r w:rsidR="00C42A48">
        <w:t xml:space="preserve">the </w:t>
      </w:r>
      <w:r w:rsidR="003159B9">
        <w:t xml:space="preserve">literature presented in the 2020 Review </w:t>
      </w:r>
      <w:r>
        <w:t>suggest</w:t>
      </w:r>
      <w:r w:rsidR="003159B9">
        <w:t>ed</w:t>
      </w:r>
      <w:r>
        <w:t xml:space="preserve"> </w:t>
      </w:r>
      <w:r w:rsidR="003159B9">
        <w:t xml:space="preserve">there was limited evidence for </w:t>
      </w:r>
      <w:r>
        <w:t xml:space="preserve">causal factors </w:t>
      </w:r>
      <w:r w:rsidR="003159B9">
        <w:t>of</w:t>
      </w:r>
      <w:r>
        <w:t xml:space="preserve"> homelessness</w:t>
      </w:r>
      <w:r w:rsidR="00AC2659">
        <w:t xml:space="preserve">. </w:t>
      </w:r>
      <w:r w:rsidR="000B6843">
        <w:t>The Commission’s proposed method does not aim to consider the causal factors of homelessness</w:t>
      </w:r>
      <w:r w:rsidR="00822157">
        <w:t xml:space="preserve">, rather it assesses </w:t>
      </w:r>
      <w:r w:rsidR="00A44055">
        <w:t>the</w:t>
      </w:r>
      <w:r w:rsidR="00822157">
        <w:t xml:space="preserve"> factors</w:t>
      </w:r>
      <w:r w:rsidR="00A44055">
        <w:t xml:space="preserve"> which</w:t>
      </w:r>
      <w:r w:rsidR="00822157">
        <w:t xml:space="preserve"> influence the use of specialist homelessness services</w:t>
      </w:r>
      <w:r w:rsidR="00AC1806">
        <w:t>.</w:t>
      </w:r>
      <w:r w:rsidR="0073363D">
        <w:t xml:space="preserve"> The </w:t>
      </w:r>
      <w:r w:rsidR="00015757">
        <w:t xml:space="preserve">initially </w:t>
      </w:r>
      <w:r w:rsidR="0073363D">
        <w:t xml:space="preserve">proposed drivers of Indigenous status, age, </w:t>
      </w:r>
      <w:proofErr w:type="gramStart"/>
      <w:r w:rsidR="0073363D">
        <w:t>remoteness</w:t>
      </w:r>
      <w:proofErr w:type="gramEnd"/>
      <w:r w:rsidR="0073363D">
        <w:t xml:space="preserve"> and socio</w:t>
      </w:r>
      <w:r w:rsidR="00A665F6">
        <w:t>-</w:t>
      </w:r>
      <w:r w:rsidR="0073363D">
        <w:t xml:space="preserve">economic status are recognised as </w:t>
      </w:r>
      <w:r w:rsidR="00015757">
        <w:t xml:space="preserve">factors which </w:t>
      </w:r>
      <w:r w:rsidR="004F19E9">
        <w:t>correlate with</w:t>
      </w:r>
      <w:r w:rsidR="00015757">
        <w:t xml:space="preserve"> increase</w:t>
      </w:r>
      <w:r w:rsidR="004F19E9">
        <w:t>d</w:t>
      </w:r>
      <w:r w:rsidR="00015757">
        <w:t xml:space="preserve"> use of homelessness services</w:t>
      </w:r>
      <w:r w:rsidR="00B877BF">
        <w:t xml:space="preserve"> in the National Housing and Homelessness agreement</w:t>
      </w:r>
      <w:r w:rsidR="00FF1216">
        <w:t>.</w:t>
      </w:r>
      <w:r w:rsidR="00015757" w:rsidRPr="001E3EBB">
        <w:rPr>
          <w:rStyle w:val="FootnoteReference"/>
        </w:rPr>
        <w:footnoteReference w:id="7"/>
      </w:r>
      <w:r w:rsidR="00015757">
        <w:t xml:space="preserve"> </w:t>
      </w:r>
      <w:r w:rsidR="00201B9C">
        <w:t>In a</w:t>
      </w:r>
      <w:r w:rsidR="002049B7">
        <w:t xml:space="preserve">ddition, </w:t>
      </w:r>
      <w:r w:rsidR="00BF3647">
        <w:t xml:space="preserve">the distribution of these population groups </w:t>
      </w:r>
      <w:r w:rsidR="00DA352C">
        <w:t xml:space="preserve">differs </w:t>
      </w:r>
      <w:r w:rsidR="00BF3647">
        <w:t xml:space="preserve">across </w:t>
      </w:r>
      <w:r w:rsidR="008B19DA">
        <w:t>states</w:t>
      </w:r>
      <w:r w:rsidR="00180F8B">
        <w:t>.</w:t>
      </w:r>
    </w:p>
    <w:p w14:paraId="69B27473" w14:textId="026CE327" w:rsidR="00B877BF" w:rsidRPr="0006723A" w:rsidRDefault="00B877BF" w:rsidP="00B877BF">
      <w:pPr>
        <w:pStyle w:val="CGC2025ParaNumbers"/>
      </w:pPr>
      <w:r>
        <w:t>The Commission acknowledges that age itself does not fully encapsulate the complex movements in</w:t>
      </w:r>
      <w:r w:rsidR="004A2616">
        <w:t xml:space="preserve"> </w:t>
      </w:r>
      <w:r>
        <w:t>to and out of homelessness services and how risk factors influence different groups. The Commission views age as a reasonable risk factor for homelessness services spending</w:t>
      </w:r>
      <w:r w:rsidR="00E35675">
        <w:t>,</w:t>
      </w:r>
      <w:r>
        <w:t xml:space="preserve"> reflecting the priority groups from the National</w:t>
      </w:r>
      <w:r w:rsidR="006E0BCE">
        <w:t> </w:t>
      </w:r>
      <w:r w:rsidR="0052122C">
        <w:t>H</w:t>
      </w:r>
      <w:r>
        <w:t xml:space="preserve">ousing and </w:t>
      </w:r>
      <w:r w:rsidR="0052122C">
        <w:t>H</w:t>
      </w:r>
      <w:r>
        <w:t xml:space="preserve">omelessness </w:t>
      </w:r>
      <w:r w:rsidR="00A27837">
        <w:t>A</w:t>
      </w:r>
      <w:r>
        <w:t>greement, which include</w:t>
      </w:r>
      <w:r w:rsidR="006E0BCE">
        <w:t>s</w:t>
      </w:r>
      <w:r>
        <w:t xml:space="preserve"> children and young people and older people.</w:t>
      </w:r>
      <w:r>
        <w:rPr>
          <w:rStyle w:val="FootnoteReference"/>
        </w:rPr>
        <w:footnoteReference w:id="8"/>
      </w:r>
    </w:p>
    <w:p w14:paraId="07CF55B4" w14:textId="74CEE841" w:rsidR="00B877BF" w:rsidRDefault="00B877BF" w:rsidP="001F7282">
      <w:pPr>
        <w:pStyle w:val="CGC2025ParaNumbers"/>
      </w:pPr>
      <w:r>
        <w:t xml:space="preserve">The Commission notes Western Australia’s view that </w:t>
      </w:r>
      <w:r w:rsidR="000A5DC5">
        <w:t xml:space="preserve">low </w:t>
      </w:r>
      <w:r>
        <w:t xml:space="preserve">socio-economic status is not a driver of state spending on homelessness services, particularly in remote mining communities where there are severe housing shortages. </w:t>
      </w:r>
      <w:r w:rsidR="004A2616">
        <w:t>Upon further consultation with Western Australia</w:t>
      </w:r>
      <w:r w:rsidR="005F2970">
        <w:t xml:space="preserve">, </w:t>
      </w:r>
      <w:r w:rsidR="001F7282">
        <w:t xml:space="preserve">the inclusion of all socio-economic status quintiles was sufficient to address this concern. The Commission </w:t>
      </w:r>
      <w:r w:rsidR="00EF7930">
        <w:t xml:space="preserve">considers there is a strong </w:t>
      </w:r>
      <w:r>
        <w:t>conceptual case for the inclusion of socio-economic status as a driver of homelessness services spending</w:t>
      </w:r>
      <w:r w:rsidR="00EF7930">
        <w:t>.</w:t>
      </w:r>
      <w:r>
        <w:t xml:space="preserve"> </w:t>
      </w:r>
      <w:r w:rsidR="00E02E75">
        <w:t xml:space="preserve">The </w:t>
      </w:r>
      <w:r w:rsidR="005E2F09">
        <w:t>Australian H</w:t>
      </w:r>
      <w:r w:rsidR="000525F1">
        <w:t xml:space="preserve">ousing </w:t>
      </w:r>
      <w:r w:rsidR="00B5534C">
        <w:t xml:space="preserve">and </w:t>
      </w:r>
      <w:r w:rsidR="005E2F09">
        <w:t>U</w:t>
      </w:r>
      <w:r w:rsidR="00B5534C">
        <w:t xml:space="preserve">rban </w:t>
      </w:r>
      <w:r w:rsidR="005E2F09">
        <w:t>R</w:t>
      </w:r>
      <w:r w:rsidR="00B5534C">
        <w:t xml:space="preserve">esearch </w:t>
      </w:r>
      <w:r w:rsidR="005E2F09">
        <w:t>I</w:t>
      </w:r>
      <w:r w:rsidR="00B5534C">
        <w:t>nstitute</w:t>
      </w:r>
      <w:r>
        <w:t xml:space="preserve"> note</w:t>
      </w:r>
      <w:r w:rsidR="00EB277F">
        <w:t>s</w:t>
      </w:r>
      <w:r>
        <w:t xml:space="preserve"> the heightened risk of homelessness among those receiving income support or on low incomes.</w:t>
      </w:r>
      <w:r w:rsidR="00E02E75">
        <w:rPr>
          <w:rStyle w:val="FootnoteReference"/>
        </w:rPr>
        <w:footnoteReference w:id="9"/>
      </w:r>
      <w:r>
        <w:t xml:space="preserve"> The Commission views this as sufficient evidence to </w:t>
      </w:r>
      <w:r w:rsidR="001F7282">
        <w:t xml:space="preserve">support the inclusion of </w:t>
      </w:r>
      <w:r>
        <w:t>socio-economic status as a driver</w:t>
      </w:r>
      <w:r w:rsidR="001F7282">
        <w:t xml:space="preserve"> of need</w:t>
      </w:r>
      <w:r>
        <w:t>.</w:t>
      </w:r>
    </w:p>
    <w:p w14:paraId="0E35D007" w14:textId="4DEBF6A1" w:rsidR="00163E15" w:rsidRDefault="00270CA9" w:rsidP="00150327">
      <w:pPr>
        <w:pStyle w:val="CGC2025ParaNumbers"/>
      </w:pPr>
      <w:r>
        <w:t xml:space="preserve">The Commission agrees with Tasmania that there is a strong conceptual case for mental health conditions to be a driver of homelessness services spending. </w:t>
      </w:r>
      <w:r w:rsidR="00A44055">
        <w:t xml:space="preserve">The Commission also considers </w:t>
      </w:r>
      <w:r w:rsidR="00AE08D6">
        <w:t xml:space="preserve">that </w:t>
      </w:r>
      <w:r w:rsidR="00A44055">
        <w:t>there</w:t>
      </w:r>
      <w:r w:rsidR="00A8312C">
        <w:t xml:space="preserve"> is</w:t>
      </w:r>
      <w:r w:rsidR="00A44055">
        <w:t xml:space="preserve"> a strong conceptual case for including family and domestic violence, alcohol and drug use</w:t>
      </w:r>
      <w:r w:rsidR="00DD12DD">
        <w:t xml:space="preserve"> and</w:t>
      </w:r>
      <w:r w:rsidR="00890209">
        <w:t xml:space="preserve"> disabilities as drivers of state spending</w:t>
      </w:r>
      <w:r w:rsidR="00543425">
        <w:t xml:space="preserve"> on homelessness services</w:t>
      </w:r>
      <w:r w:rsidR="00472156">
        <w:t xml:space="preserve"> (</w:t>
      </w:r>
      <w:r w:rsidR="00525C56">
        <w:t>Figure 4</w:t>
      </w:r>
      <w:r w:rsidR="00472156">
        <w:t>)</w:t>
      </w:r>
      <w:r w:rsidR="00890209">
        <w:t>.</w:t>
      </w:r>
      <w:r w:rsidR="00150327" w:rsidDel="004A74FC">
        <w:t xml:space="preserve"> </w:t>
      </w:r>
      <w:r w:rsidR="00D15A56">
        <w:t>However, data quality concerns prevent the Commission from developing robust drivers of need for homelessness services spending</w:t>
      </w:r>
      <w:r w:rsidR="00C207AB">
        <w:t xml:space="preserve"> (</w:t>
      </w:r>
      <w:r w:rsidR="00525C56">
        <w:t>Box 1</w:t>
      </w:r>
      <w:r w:rsidR="00C207AB">
        <w:t>)</w:t>
      </w:r>
      <w:r w:rsidR="00D15A56">
        <w:t>.</w:t>
      </w:r>
    </w:p>
    <w:p w14:paraId="7719854F" w14:textId="7AEDC754" w:rsidR="00D10E1F" w:rsidRDefault="00D10E1F" w:rsidP="00DA1C42">
      <w:pPr>
        <w:pStyle w:val="CGC2025Caption"/>
        <w:keepNext/>
        <w:tabs>
          <w:tab w:val="left" w:pos="1134"/>
        </w:tabs>
      </w:pPr>
      <w:bookmarkStart w:id="15" w:name="_Ref163660297"/>
      <w:r>
        <w:lastRenderedPageBreak/>
        <w:t xml:space="preserve">Figure </w:t>
      </w:r>
      <w:fldSimple w:instr=" SEQ Figure \* ARABIC ">
        <w:r w:rsidR="00E61CEB">
          <w:rPr>
            <w:noProof/>
          </w:rPr>
          <w:t>4</w:t>
        </w:r>
      </w:fldSimple>
      <w:bookmarkEnd w:id="15"/>
      <w:r>
        <w:tab/>
      </w:r>
      <w:r w:rsidR="0062452D">
        <w:t xml:space="preserve">Proportion of </w:t>
      </w:r>
      <w:r w:rsidR="00885B92">
        <w:t>s</w:t>
      </w:r>
      <w:r w:rsidR="0062452D">
        <w:t xml:space="preserve">pecialist </w:t>
      </w:r>
      <w:r w:rsidR="00885B92">
        <w:t>h</w:t>
      </w:r>
      <w:r w:rsidR="0062452D">
        <w:t>omelessness services clients by client group</w:t>
      </w:r>
    </w:p>
    <w:p w14:paraId="02C73A7E" w14:textId="57AF3A95" w:rsidR="00DE473D" w:rsidRDefault="00DE4C1E" w:rsidP="00DE473D">
      <w:pPr>
        <w:pStyle w:val="CGC2025ParaNumbers"/>
        <w:numPr>
          <w:ilvl w:val="0"/>
          <w:numId w:val="0"/>
        </w:numPr>
      </w:pPr>
      <w:r>
        <w:rPr>
          <w:noProof/>
        </w:rPr>
        <w:drawing>
          <wp:inline distT="0" distB="0" distL="0" distR="0" wp14:anchorId="30E8725F" wp14:editId="563E356E">
            <wp:extent cx="5652000" cy="3564000"/>
            <wp:effectExtent l="0" t="0" r="635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52000" cy="3564000"/>
                    </a:xfrm>
                    <a:prstGeom prst="rect">
                      <a:avLst/>
                    </a:prstGeom>
                    <a:noFill/>
                  </pic:spPr>
                </pic:pic>
              </a:graphicData>
            </a:graphic>
          </wp:inline>
        </w:drawing>
      </w:r>
    </w:p>
    <w:p w14:paraId="178B925C" w14:textId="0F0E7D96" w:rsidR="00751B2D" w:rsidRDefault="00EC2828" w:rsidP="00CD7356">
      <w:pPr>
        <w:pStyle w:val="CGC2025TableNote"/>
        <w:tabs>
          <w:tab w:val="clear" w:pos="567"/>
          <w:tab w:val="clear" w:pos="680"/>
          <w:tab w:val="left" w:pos="1134"/>
        </w:tabs>
        <w:ind w:left="672" w:hanging="559"/>
      </w:pPr>
      <w:r>
        <w:t xml:space="preserve">Note: </w:t>
      </w:r>
      <w:r w:rsidR="00CD7356">
        <w:tab/>
      </w:r>
      <w:r w:rsidR="003E7DCD" w:rsidRPr="003E7DCD">
        <w:t>Young people presenting alone are aged 15–24. Children on a care and protection order are aged under 18 years. Older clients are aged 55 and over. Clients exiting custodial arrangements, clients with a current mental health issue, and clients with problematic drug or alcohol issues are aged 10 and over.</w:t>
      </w:r>
    </w:p>
    <w:p w14:paraId="5D1A904C" w14:textId="2BFAE70C" w:rsidR="005C3D6F" w:rsidRDefault="00B32560" w:rsidP="00B621E7">
      <w:pPr>
        <w:pStyle w:val="CGC2025TableNote"/>
        <w:ind w:left="709" w:hanging="596"/>
        <w:rPr>
          <w:highlight w:val="yellow"/>
        </w:rPr>
      </w:pPr>
      <w:r>
        <w:t xml:space="preserve">Source: </w:t>
      </w:r>
      <w:r w:rsidR="00751B2D" w:rsidRPr="00E17057">
        <w:rPr>
          <w:rStyle w:val="CGC2025TableNoteChar"/>
        </w:rPr>
        <w:t xml:space="preserve">AIHW, </w:t>
      </w:r>
      <w:hyperlink r:id="rId21" w:history="1">
        <w:r w:rsidR="00751B2D" w:rsidRPr="00CB5387">
          <w:rPr>
            <w:rStyle w:val="Hyperlink"/>
            <w:i/>
            <w:iCs/>
          </w:rPr>
          <w:t>Specialist Homelessness Services Collection: 2011–12 to 2021–22</w:t>
        </w:r>
      </w:hyperlink>
      <w:r w:rsidR="00751B2D">
        <w:rPr>
          <w:rStyle w:val="CGC2025TableNoteChar"/>
          <w:i/>
          <w:iCs/>
        </w:rPr>
        <w:t>.</w:t>
      </w:r>
    </w:p>
    <w:p w14:paraId="4BF0763A" w14:textId="1A6A0067" w:rsidR="00657BFB" w:rsidRPr="00B50D61" w:rsidRDefault="00657BFB" w:rsidP="00657BFB">
      <w:pPr>
        <w:pStyle w:val="CGC2025ParaNumbers"/>
      </w:pPr>
      <w:r w:rsidRPr="00B934DA">
        <w:t xml:space="preserve">For the Commission to </w:t>
      </w:r>
      <w:r w:rsidR="00C47A18" w:rsidRPr="00B934DA">
        <w:t xml:space="preserve">be able to consider using a driver </w:t>
      </w:r>
      <w:r w:rsidR="003D7E83">
        <w:t xml:space="preserve">in an assessment, </w:t>
      </w:r>
      <w:r w:rsidR="00C47A18" w:rsidRPr="00B934DA">
        <w:t xml:space="preserve">the data must satisfy </w:t>
      </w:r>
      <w:r w:rsidR="00DA1C42">
        <w:t>2</w:t>
      </w:r>
      <w:r w:rsidR="00C47A18" w:rsidRPr="00B50D61">
        <w:t xml:space="preserve"> conditions</w:t>
      </w:r>
      <w:r w:rsidR="00C3661C" w:rsidRPr="00B50D61">
        <w:t>:</w:t>
      </w:r>
    </w:p>
    <w:p w14:paraId="39B4B20F" w14:textId="030BA374" w:rsidR="00C034F8" w:rsidRPr="00B50D61" w:rsidRDefault="00C3661C" w:rsidP="00657BFB">
      <w:pPr>
        <w:pStyle w:val="CGC2025Bullet1"/>
      </w:pPr>
      <w:r w:rsidRPr="00B50D61">
        <w:t xml:space="preserve">the </w:t>
      </w:r>
      <w:r w:rsidR="00B90F6D" w:rsidRPr="00B50D61">
        <w:t>population of service users</w:t>
      </w:r>
      <w:r w:rsidRPr="00B50D61">
        <w:t xml:space="preserve"> must be able to be </w:t>
      </w:r>
      <w:proofErr w:type="gramStart"/>
      <w:r w:rsidR="00B50D61" w:rsidRPr="00B50D61">
        <w:t>cross</w:t>
      </w:r>
      <w:r w:rsidR="00B00FA7">
        <w:t>-</w:t>
      </w:r>
      <w:r w:rsidR="00B50D61" w:rsidRPr="00B50D61">
        <w:t>classified</w:t>
      </w:r>
      <w:proofErr w:type="gramEnd"/>
      <w:r w:rsidR="00CB5B5B" w:rsidRPr="00B50D61">
        <w:t xml:space="preserve"> </w:t>
      </w:r>
      <w:r w:rsidR="00097871" w:rsidRPr="00B50D61">
        <w:t>by the proposed driver</w:t>
      </w:r>
      <w:r w:rsidR="008E72F1" w:rsidRPr="00B50D61">
        <w:t xml:space="preserve"> (i.e</w:t>
      </w:r>
      <w:r w:rsidR="00B50D61">
        <w:t>.</w:t>
      </w:r>
      <w:r w:rsidR="008E72F1" w:rsidRPr="00B50D61">
        <w:t xml:space="preserve"> mental health conditions)</w:t>
      </w:r>
      <w:r w:rsidR="00097871" w:rsidRPr="00B50D61">
        <w:t xml:space="preserve"> as well as other drivers</w:t>
      </w:r>
    </w:p>
    <w:p w14:paraId="07986D9B" w14:textId="053CE148" w:rsidR="00FC081B" w:rsidRPr="00B50D61" w:rsidRDefault="008E23B7" w:rsidP="00657BFB">
      <w:pPr>
        <w:pStyle w:val="CGC2025Bullet1"/>
      </w:pPr>
      <w:r w:rsidRPr="00B50D61">
        <w:t xml:space="preserve">the population of each state must be able to </w:t>
      </w:r>
      <w:r w:rsidR="00657612" w:rsidRPr="00B50D61">
        <w:t xml:space="preserve">be </w:t>
      </w:r>
      <w:proofErr w:type="gramStart"/>
      <w:r w:rsidR="00B50D61" w:rsidRPr="00B50D61">
        <w:t>cross</w:t>
      </w:r>
      <w:r w:rsidR="00B00FA7">
        <w:t>-</w:t>
      </w:r>
      <w:r w:rsidR="00B50D61" w:rsidRPr="00B50D61">
        <w:t>classified</w:t>
      </w:r>
      <w:proofErr w:type="gramEnd"/>
      <w:r w:rsidR="00854760" w:rsidRPr="00B50D61">
        <w:t xml:space="preserve"> </w:t>
      </w:r>
      <w:r w:rsidR="00C12F92" w:rsidRPr="00B50D61">
        <w:t xml:space="preserve">for </w:t>
      </w:r>
      <w:r w:rsidRPr="00B50D61">
        <w:t xml:space="preserve">each of </w:t>
      </w:r>
      <w:r w:rsidR="00C12F92" w:rsidRPr="00B50D61">
        <w:t>the proposed drivers</w:t>
      </w:r>
      <w:r w:rsidR="00286E8D" w:rsidRPr="00B50D61">
        <w:t>. This is necessary to derive a national policy neutral level of service use and assess state’s different population characteristics.</w:t>
      </w:r>
    </w:p>
    <w:p w14:paraId="64B0D73E" w14:textId="4FF8D0AF" w:rsidR="00657BFB" w:rsidRDefault="00E420CE" w:rsidP="00657BFB">
      <w:pPr>
        <w:pStyle w:val="CGC2025ParaNumbers"/>
      </w:pPr>
      <w:r w:rsidRPr="00B50D61">
        <w:t>Further</w:t>
      </w:r>
      <w:r w:rsidR="008E1E34" w:rsidRPr="00B50D61">
        <w:t>,</w:t>
      </w:r>
      <w:r w:rsidRPr="00B50D61">
        <w:t xml:space="preserve"> data sources </w:t>
      </w:r>
      <w:r w:rsidR="00720279" w:rsidRPr="00B50D61">
        <w:t xml:space="preserve">are required to have broadly consistent definitions to ensure </w:t>
      </w:r>
      <w:r w:rsidR="00480145" w:rsidRPr="00B50D61">
        <w:t>comparability</w:t>
      </w:r>
      <w:r w:rsidR="00FA0E9E" w:rsidRPr="00B50D61">
        <w:t xml:space="preserve">. </w:t>
      </w:r>
      <w:r w:rsidR="00E63118">
        <w:t>D</w:t>
      </w:r>
      <w:r w:rsidR="00FA0E9E" w:rsidRPr="00B50D61">
        <w:t>ata source</w:t>
      </w:r>
      <w:r w:rsidR="00480145" w:rsidRPr="00B50D61">
        <w:t>s</w:t>
      </w:r>
      <w:r w:rsidR="00FA0E9E" w:rsidRPr="00B50D61">
        <w:t xml:space="preserve"> </w:t>
      </w:r>
      <w:r w:rsidR="007C0A27">
        <w:t xml:space="preserve">should </w:t>
      </w:r>
      <w:r w:rsidR="00FA0E9E" w:rsidRPr="00B50D61">
        <w:t xml:space="preserve">also </w:t>
      </w:r>
      <w:r w:rsidR="00235F7D">
        <w:t xml:space="preserve">be of </w:t>
      </w:r>
      <w:r w:rsidR="00720279" w:rsidRPr="00B50D61">
        <w:t>sufficient sample size to ensure tha</w:t>
      </w:r>
      <w:r w:rsidR="00C13B6C" w:rsidRPr="00B50D61">
        <w:t>t cross</w:t>
      </w:r>
      <w:r w:rsidR="00B00FA7">
        <w:t>-</w:t>
      </w:r>
      <w:r w:rsidR="00C13B6C" w:rsidRPr="00B50D61">
        <w:t xml:space="preserve">classification does not </w:t>
      </w:r>
      <w:r w:rsidR="00FA0E9E" w:rsidRPr="00B50D61">
        <w:t xml:space="preserve">result in </w:t>
      </w:r>
      <w:r w:rsidR="00C13B6C" w:rsidRPr="00B50D61">
        <w:t>excessive data loss</w:t>
      </w:r>
      <w:r w:rsidR="00FA0E9E" w:rsidRPr="00B50D61">
        <w:t xml:space="preserve">, </w:t>
      </w:r>
      <w:r w:rsidR="00734BDF" w:rsidRPr="00B50D61">
        <w:t xml:space="preserve">confidentiality </w:t>
      </w:r>
      <w:r w:rsidR="00734BDF" w:rsidRPr="00A330DC">
        <w:t>concerns</w:t>
      </w:r>
      <w:r w:rsidR="00C13B6C" w:rsidRPr="00A330DC">
        <w:t xml:space="preserve"> </w:t>
      </w:r>
      <w:r w:rsidR="00FA0E9E" w:rsidRPr="00A330DC">
        <w:t>or null values for variables of interest</w:t>
      </w:r>
      <w:r w:rsidR="00657BFB" w:rsidRPr="00A330DC">
        <w:t>.</w:t>
      </w:r>
    </w:p>
    <w:p w14:paraId="30A03565" w14:textId="583B9F9B" w:rsidR="003B4810" w:rsidRDefault="003B4810" w:rsidP="00657BFB">
      <w:pPr>
        <w:pStyle w:val="CGC2025ParaNumbers"/>
      </w:pPr>
      <w:r>
        <w:t xml:space="preserve">The Commission identified </w:t>
      </w:r>
      <w:r w:rsidR="00887B9F">
        <w:t>I</w:t>
      </w:r>
      <w:r>
        <w:t xml:space="preserve">ndigenous status, age, socio-economic </w:t>
      </w:r>
      <w:proofErr w:type="gramStart"/>
      <w:r>
        <w:t>status</w:t>
      </w:r>
      <w:proofErr w:type="gramEnd"/>
      <w:r>
        <w:t xml:space="preserve"> and remoteness as </w:t>
      </w:r>
      <w:r w:rsidR="00DD1632">
        <w:t>drivers of use of homelessness services which could be assessed using A</w:t>
      </w:r>
      <w:r w:rsidR="00503A01">
        <w:t xml:space="preserve">ustralian </w:t>
      </w:r>
      <w:r w:rsidR="00DD1632">
        <w:t>I</w:t>
      </w:r>
      <w:r w:rsidR="00503A01">
        <w:t xml:space="preserve">nstitute of </w:t>
      </w:r>
      <w:r w:rsidR="00DD1632">
        <w:t>H</w:t>
      </w:r>
      <w:r w:rsidR="00503A01">
        <w:t xml:space="preserve">ealth and </w:t>
      </w:r>
      <w:r w:rsidR="00DD1632">
        <w:t>W</w:t>
      </w:r>
      <w:r w:rsidR="00503A01">
        <w:t>elfare</w:t>
      </w:r>
      <w:r w:rsidR="00DD1632">
        <w:t xml:space="preserve"> and </w:t>
      </w:r>
      <w:r w:rsidR="00B64E74">
        <w:t>n</w:t>
      </w:r>
      <w:r w:rsidR="00DD1632">
        <w:t>ational data.</w:t>
      </w:r>
    </w:p>
    <w:p w14:paraId="6890D2EB" w14:textId="2AF01AA9" w:rsidR="00FB1340" w:rsidRPr="00994DDA" w:rsidRDefault="00B64E74" w:rsidP="00657BFB">
      <w:pPr>
        <w:pStyle w:val="CGC2025ParaNumbers"/>
      </w:pPr>
      <w:r w:rsidRPr="00994DDA">
        <w:t>In addition to this, the Commission considered the following drivers proposed by the states:</w:t>
      </w:r>
    </w:p>
    <w:p w14:paraId="27E67CCB" w14:textId="0A29E5B3" w:rsidR="00FB1340" w:rsidRPr="002D201E" w:rsidRDefault="00B64E74" w:rsidP="00FB1340">
      <w:pPr>
        <w:pStyle w:val="CGC2025Bullet1"/>
      </w:pPr>
      <w:r w:rsidRPr="002D201E">
        <w:t>overcrowding</w:t>
      </w:r>
    </w:p>
    <w:p w14:paraId="627B1444" w14:textId="58135257" w:rsidR="00FB1340" w:rsidRPr="002D201E" w:rsidRDefault="00B64E74" w:rsidP="00FB1340">
      <w:pPr>
        <w:pStyle w:val="CGC2025Bullet1"/>
      </w:pPr>
      <w:r w:rsidRPr="002D201E">
        <w:t>housing affordability</w:t>
      </w:r>
    </w:p>
    <w:p w14:paraId="7AD8D6DD" w14:textId="1AB19D66" w:rsidR="00FB1340" w:rsidRPr="002D201E" w:rsidRDefault="00B64E74" w:rsidP="00FB1340">
      <w:pPr>
        <w:pStyle w:val="CGC2025Bullet1"/>
      </w:pPr>
      <w:r w:rsidRPr="002D201E">
        <w:t>family and domestic violence</w:t>
      </w:r>
    </w:p>
    <w:p w14:paraId="052E34C8" w14:textId="0657F69F" w:rsidR="00FB1340" w:rsidRPr="002D201E" w:rsidRDefault="00B64E74" w:rsidP="00FB1340">
      <w:pPr>
        <w:pStyle w:val="CGC2025Bullet1"/>
      </w:pPr>
      <w:r w:rsidRPr="002D201E">
        <w:t>drug and alcohol use</w:t>
      </w:r>
    </w:p>
    <w:p w14:paraId="4A1E2A81" w14:textId="6885EA75" w:rsidR="00FB1340" w:rsidRPr="002D201E" w:rsidRDefault="00B64E74" w:rsidP="00FB1340">
      <w:pPr>
        <w:pStyle w:val="CGC2025Bullet1"/>
      </w:pPr>
      <w:r w:rsidRPr="002D201E">
        <w:lastRenderedPageBreak/>
        <w:t>disability</w:t>
      </w:r>
    </w:p>
    <w:p w14:paraId="06316F9E" w14:textId="4C8E9B49" w:rsidR="00B64E74" w:rsidRPr="002D201E" w:rsidRDefault="00B64E74" w:rsidP="00FB1340">
      <w:pPr>
        <w:pStyle w:val="CGC2025Bullet1"/>
      </w:pPr>
      <w:r w:rsidRPr="002D201E">
        <w:t>mental health</w:t>
      </w:r>
      <w:r w:rsidR="00FB1340" w:rsidRPr="002D201E">
        <w:t xml:space="preserve"> conditions</w:t>
      </w:r>
      <w:r w:rsidRPr="002D201E">
        <w:t>.</w:t>
      </w:r>
    </w:p>
    <w:p w14:paraId="609B7D43" w14:textId="090699F8" w:rsidR="00FB1340" w:rsidRPr="00994DDA" w:rsidRDefault="00FB1340" w:rsidP="00FB1340">
      <w:pPr>
        <w:pStyle w:val="CGC2025ParaNumbers"/>
      </w:pPr>
      <w:r w:rsidRPr="00994DDA">
        <w:t>The Commission accept</w:t>
      </w:r>
      <w:r w:rsidR="00F776E5">
        <w:t>s</w:t>
      </w:r>
      <w:r w:rsidR="0053489B">
        <w:t xml:space="preserve"> that there is a </w:t>
      </w:r>
      <w:r w:rsidRPr="00994DDA">
        <w:t xml:space="preserve">conceptual case for the </w:t>
      </w:r>
      <w:r w:rsidR="0053489B">
        <w:t xml:space="preserve">inclusion of </w:t>
      </w:r>
      <w:r w:rsidR="00F54226">
        <w:t>the</w:t>
      </w:r>
      <w:r w:rsidR="00B27A6E">
        <w:t>se</w:t>
      </w:r>
      <w:r w:rsidR="00F54226">
        <w:t xml:space="preserve"> </w:t>
      </w:r>
      <w:r w:rsidRPr="00994DDA">
        <w:t xml:space="preserve">drivers </w:t>
      </w:r>
      <w:r w:rsidR="00F54226">
        <w:t xml:space="preserve">as </w:t>
      </w:r>
      <w:r w:rsidRPr="00994DDA">
        <w:t xml:space="preserve">proposed by the states. However, it is not </w:t>
      </w:r>
      <w:r w:rsidR="00A12BB5">
        <w:t xml:space="preserve">currently </w:t>
      </w:r>
      <w:r w:rsidRPr="00994DDA">
        <w:t>feasible to assess homelessness services spending using the</w:t>
      </w:r>
      <w:r w:rsidR="004207C0">
        <w:t>se</w:t>
      </w:r>
      <w:r w:rsidRPr="00994DDA">
        <w:t xml:space="preserve"> drivers. This is because the national data necessary to undertake the assessment are not fit for the Commission’s purpose.</w:t>
      </w:r>
    </w:p>
    <w:p w14:paraId="6B07E151" w14:textId="1BB36FD5" w:rsidR="009E51BD" w:rsidRPr="00994DDA" w:rsidRDefault="00525C56" w:rsidP="00DD3C8C">
      <w:pPr>
        <w:pStyle w:val="CGC2025ParaNumbers"/>
      </w:pPr>
      <w:r>
        <w:t>Table 2</w:t>
      </w:r>
      <w:r w:rsidR="007D050F" w:rsidRPr="00994DDA">
        <w:t xml:space="preserve"> summarises the data sources the Commission investigated to</w:t>
      </w:r>
      <w:r w:rsidR="003C47F0" w:rsidRPr="00994DDA">
        <w:t xml:space="preserve"> </w:t>
      </w:r>
      <w:r w:rsidR="00746726" w:rsidRPr="00994DDA">
        <w:t>determine</w:t>
      </w:r>
      <w:r w:rsidR="003C47F0" w:rsidRPr="00994DDA">
        <w:t xml:space="preserve"> whether it could </w:t>
      </w:r>
      <w:r w:rsidR="00417E13" w:rsidRPr="00994DDA">
        <w:t>assess</w:t>
      </w:r>
      <w:r w:rsidR="00B64E74" w:rsidRPr="00994DDA">
        <w:t xml:space="preserve"> the drivers proposed by the states.</w:t>
      </w:r>
    </w:p>
    <w:p w14:paraId="0D2730CA" w14:textId="677A0427" w:rsidR="00111977" w:rsidRPr="00994DDA" w:rsidRDefault="00F86FC2" w:rsidP="00111977">
      <w:pPr>
        <w:pStyle w:val="CGC2025ParaNumbers"/>
      </w:pPr>
      <w:r w:rsidRPr="00994DDA">
        <w:t xml:space="preserve">The Australian Institute of Health and Welfare data </w:t>
      </w:r>
      <w:r w:rsidR="00594619" w:rsidRPr="00994DDA">
        <w:t>can</w:t>
      </w:r>
      <w:r w:rsidRPr="00994DDA">
        <w:t xml:space="preserve"> be used to </w:t>
      </w:r>
      <w:r w:rsidR="003F7F45" w:rsidRPr="00994DDA">
        <w:t>cross</w:t>
      </w:r>
      <w:r w:rsidR="002E665A">
        <w:t>-</w:t>
      </w:r>
      <w:r w:rsidR="003F7F45" w:rsidRPr="00994DDA">
        <w:t>classify</w:t>
      </w:r>
      <w:r w:rsidRPr="00994DDA">
        <w:t xml:space="preserve"> </w:t>
      </w:r>
      <w:r w:rsidR="00E634D2" w:rsidRPr="00994DDA">
        <w:t xml:space="preserve">service use </w:t>
      </w:r>
      <w:r w:rsidR="002853D3" w:rsidRPr="00994DDA">
        <w:t xml:space="preserve">for </w:t>
      </w:r>
      <w:r w:rsidR="00D74E88" w:rsidRPr="00994DDA">
        <w:t>all</w:t>
      </w:r>
      <w:r w:rsidR="009E51BD" w:rsidRPr="00994DDA">
        <w:t xml:space="preserve"> the drivers pr</w:t>
      </w:r>
      <w:r w:rsidR="001215BD" w:rsidRPr="00994DDA">
        <w:t>oposed by states</w:t>
      </w:r>
      <w:r w:rsidRPr="00994DDA">
        <w:t xml:space="preserve"> except for overcrowding. </w:t>
      </w:r>
      <w:r w:rsidR="00F10EE2" w:rsidRPr="00994DDA">
        <w:t xml:space="preserve">This is because </w:t>
      </w:r>
      <w:r w:rsidR="00673F88" w:rsidRPr="00994DDA">
        <w:t>the</w:t>
      </w:r>
      <w:r w:rsidR="001B04F9" w:rsidRPr="00994DDA">
        <w:t xml:space="preserve"> Australian Institute of Health and Welfare</w:t>
      </w:r>
      <w:r w:rsidR="00673F88" w:rsidRPr="00994DDA">
        <w:t xml:space="preserve"> </w:t>
      </w:r>
      <w:r w:rsidR="005536E8" w:rsidRPr="00994DDA">
        <w:t xml:space="preserve">data does not distinguish overcrowding from other </w:t>
      </w:r>
      <w:r w:rsidR="009D38DE" w:rsidRPr="00994DDA">
        <w:t xml:space="preserve">sources of housing instability such as living in an inadequate dwelling or </w:t>
      </w:r>
      <w:r w:rsidR="00455645" w:rsidRPr="00994DDA">
        <w:t>couch surfing.</w:t>
      </w:r>
    </w:p>
    <w:p w14:paraId="6A48C7F3" w14:textId="0C9547B7" w:rsidR="00FB1340" w:rsidRPr="00994DDA" w:rsidRDefault="00FB1340" w:rsidP="00452EC1">
      <w:pPr>
        <w:pStyle w:val="CGC2025ParaNumbers"/>
      </w:pPr>
      <w:r w:rsidRPr="00994DDA">
        <w:t xml:space="preserve">Housing affordability </w:t>
      </w:r>
      <w:r w:rsidR="00090F98" w:rsidRPr="00994DDA">
        <w:t>derived from</w:t>
      </w:r>
      <w:r w:rsidRPr="00994DDA">
        <w:t xml:space="preserve"> the 2021 Census Rent affordability </w:t>
      </w:r>
      <w:r w:rsidR="00744C6C">
        <w:t>i</w:t>
      </w:r>
      <w:r w:rsidRPr="00994DDA">
        <w:t xml:space="preserve">ndicator (RAID) </w:t>
      </w:r>
      <w:r w:rsidR="00FB66F1" w:rsidRPr="00994DDA">
        <w:t>cannot be</w:t>
      </w:r>
      <w:r w:rsidR="009901B0" w:rsidRPr="00994DDA">
        <w:t xml:space="preserve"> used to assess homelessness services because it is collected at the household level,</w:t>
      </w:r>
      <w:r w:rsidR="00700D93" w:rsidRPr="00994DDA">
        <w:t xml:space="preserve"> which prevents cross-classification by person level attributes including Indigenous status and age.</w:t>
      </w:r>
    </w:p>
    <w:p w14:paraId="02304D05" w14:textId="1B242EAE" w:rsidR="00700D93" w:rsidRPr="00994DDA" w:rsidRDefault="00854695" w:rsidP="00452EC1">
      <w:pPr>
        <w:pStyle w:val="CGC2025ParaNumbers"/>
      </w:pPr>
      <w:r w:rsidRPr="00994DDA">
        <w:t xml:space="preserve">The </w:t>
      </w:r>
      <w:r w:rsidR="008652F7" w:rsidRPr="00994DDA">
        <w:t>ABS 2021–22 P</w:t>
      </w:r>
      <w:r w:rsidRPr="00994DDA">
        <w:t xml:space="preserve">ersonal </w:t>
      </w:r>
      <w:r w:rsidR="008652F7" w:rsidRPr="00994DDA">
        <w:t>S</w:t>
      </w:r>
      <w:r w:rsidRPr="00994DDA">
        <w:t xml:space="preserve">afety </w:t>
      </w:r>
      <w:r w:rsidR="008652F7" w:rsidRPr="00994DDA">
        <w:t>S</w:t>
      </w:r>
      <w:r w:rsidRPr="00994DDA">
        <w:t xml:space="preserve">urvey </w:t>
      </w:r>
      <w:r w:rsidR="00231483" w:rsidRPr="00994DDA">
        <w:t>is not suitable for estimating cross</w:t>
      </w:r>
      <w:r w:rsidR="00AA431B">
        <w:noBreakHyphen/>
      </w:r>
      <w:r w:rsidR="00231483" w:rsidRPr="00994DDA">
        <w:t xml:space="preserve">classified prevalence of </w:t>
      </w:r>
      <w:r w:rsidR="009A76B9" w:rsidRPr="00994DDA">
        <w:t>f</w:t>
      </w:r>
      <w:r w:rsidR="00700D93" w:rsidRPr="00994DDA">
        <w:t>amily and domestic violence</w:t>
      </w:r>
      <w:r w:rsidR="009A76B9" w:rsidRPr="00994DDA">
        <w:t>.</w:t>
      </w:r>
      <w:r w:rsidR="00C04145" w:rsidRPr="00994DDA">
        <w:t xml:space="preserve"> </w:t>
      </w:r>
      <w:r w:rsidR="006B763F" w:rsidRPr="00994DDA">
        <w:t xml:space="preserve">The sample of </w:t>
      </w:r>
      <w:r w:rsidR="00A43E8C">
        <w:t xml:space="preserve">around </w:t>
      </w:r>
      <w:r w:rsidR="006B763F" w:rsidRPr="00994DDA">
        <w:t>12,000 respondents</w:t>
      </w:r>
      <w:r w:rsidR="009D4507" w:rsidRPr="00994DDA">
        <w:t xml:space="preserve"> </w:t>
      </w:r>
      <w:r w:rsidR="006B763F" w:rsidRPr="00994DDA">
        <w:t xml:space="preserve">is </w:t>
      </w:r>
      <w:r w:rsidR="00E743C3" w:rsidRPr="00994DDA">
        <w:t xml:space="preserve">too small </w:t>
      </w:r>
      <w:r w:rsidR="001C4261" w:rsidRPr="00994DDA">
        <w:t xml:space="preserve">and </w:t>
      </w:r>
      <w:r w:rsidR="006B763F" w:rsidRPr="00994DDA">
        <w:t xml:space="preserve">not </w:t>
      </w:r>
      <w:r w:rsidR="00793A30" w:rsidRPr="00994DDA">
        <w:t xml:space="preserve">suitable for </w:t>
      </w:r>
      <w:r w:rsidR="001D43AC" w:rsidRPr="00994DDA">
        <w:t>cross</w:t>
      </w:r>
      <w:r w:rsidR="002E665A">
        <w:t>-</w:t>
      </w:r>
      <w:r w:rsidR="001D43AC" w:rsidRPr="00994DDA">
        <w:t>classification</w:t>
      </w:r>
      <w:r w:rsidR="00664D7E" w:rsidRPr="00994DDA">
        <w:t>.</w:t>
      </w:r>
      <w:r w:rsidR="00AF24C9" w:rsidRPr="00994DDA">
        <w:t xml:space="preserve"> </w:t>
      </w:r>
      <w:r w:rsidR="00C53B2B" w:rsidRPr="00994DDA">
        <w:t>C</w:t>
      </w:r>
      <w:r w:rsidR="001D43AC" w:rsidRPr="00994DDA">
        <w:t>ross</w:t>
      </w:r>
      <w:r w:rsidR="00A43E8C">
        <w:noBreakHyphen/>
      </w:r>
      <w:r w:rsidR="001D43AC" w:rsidRPr="00994DDA">
        <w:t>classified</w:t>
      </w:r>
      <w:r w:rsidR="0077706A" w:rsidRPr="00994DDA">
        <w:t xml:space="preserve"> </w:t>
      </w:r>
      <w:r w:rsidR="007C06D3" w:rsidRPr="00994DDA">
        <w:t>micro</w:t>
      </w:r>
      <w:r w:rsidR="0077706A" w:rsidRPr="00994DDA">
        <w:t>data</w:t>
      </w:r>
      <w:r w:rsidR="0064395B" w:rsidRPr="00994DDA">
        <w:t xml:space="preserve"> will be subject to confidentiality </w:t>
      </w:r>
      <w:r w:rsidR="0077706A" w:rsidRPr="00994DDA">
        <w:t xml:space="preserve">restrictions </w:t>
      </w:r>
      <w:r w:rsidR="003B2989" w:rsidRPr="00994DDA">
        <w:t>when cross</w:t>
      </w:r>
      <w:r w:rsidR="00A43E8C">
        <w:noBreakHyphen/>
      </w:r>
      <w:r w:rsidR="003B2989" w:rsidRPr="00994DDA">
        <w:t>classif</w:t>
      </w:r>
      <w:r w:rsidR="007C06D3" w:rsidRPr="00994DDA">
        <w:t xml:space="preserve">ied </w:t>
      </w:r>
      <w:r w:rsidR="0077706A" w:rsidRPr="00994DDA">
        <w:t>by other factors of interest such as age</w:t>
      </w:r>
      <w:r w:rsidR="00824150" w:rsidRPr="00994DDA">
        <w:t xml:space="preserve"> </w:t>
      </w:r>
      <w:r w:rsidR="008D3E3B" w:rsidRPr="00994DDA">
        <w:t xml:space="preserve">and </w:t>
      </w:r>
      <w:r w:rsidR="00C73285" w:rsidRPr="00994DDA">
        <w:t>I</w:t>
      </w:r>
      <w:r w:rsidR="008D3E3B" w:rsidRPr="00994DDA">
        <w:t xml:space="preserve">ndigenous status </w:t>
      </w:r>
      <w:r w:rsidR="00824150" w:rsidRPr="00994DDA">
        <w:t>because of the small sample</w:t>
      </w:r>
      <w:r w:rsidR="007C06D3" w:rsidRPr="00994DDA">
        <w:t>, preventing its use by the Commission</w:t>
      </w:r>
      <w:r w:rsidR="003B2989" w:rsidRPr="00994DDA">
        <w:t>.</w:t>
      </w:r>
    </w:p>
    <w:p w14:paraId="0FF1F168" w14:textId="63C385A0" w:rsidR="00700D93" w:rsidRPr="00994DDA" w:rsidRDefault="008D2E6D" w:rsidP="00452EC1">
      <w:pPr>
        <w:pStyle w:val="CGC2025ParaNumbers"/>
      </w:pPr>
      <w:bookmarkStart w:id="16" w:name="_Ref166078208"/>
      <w:r w:rsidRPr="00994DDA">
        <w:t xml:space="preserve">Data on </w:t>
      </w:r>
      <w:r w:rsidR="00E3715B" w:rsidRPr="00994DDA">
        <w:t>national d</w:t>
      </w:r>
      <w:r w:rsidR="00700D93" w:rsidRPr="00994DDA">
        <w:t>rug and alcohol use</w:t>
      </w:r>
      <w:r w:rsidR="00E3715B" w:rsidRPr="00994DDA">
        <w:t xml:space="preserve"> </w:t>
      </w:r>
      <w:r w:rsidR="0004365B" w:rsidRPr="00994DDA">
        <w:t>from</w:t>
      </w:r>
      <w:r w:rsidR="00E3715B" w:rsidRPr="00994DDA">
        <w:t xml:space="preserve"> the National Health Survey</w:t>
      </w:r>
      <w:r w:rsidR="0004365B" w:rsidRPr="00994DDA">
        <w:t xml:space="preserve"> is not suitable for the Commission</w:t>
      </w:r>
      <w:r w:rsidR="00DF6C21">
        <w:t>’</w:t>
      </w:r>
      <w:r w:rsidR="0004365B" w:rsidRPr="00994DDA">
        <w:t>s analysis</w:t>
      </w:r>
      <w:r w:rsidR="00E3715B" w:rsidRPr="00994DDA">
        <w:t>. In the 20</w:t>
      </w:r>
      <w:r w:rsidR="00564679" w:rsidRPr="00994DDA">
        <w:t>21–</w:t>
      </w:r>
      <w:r w:rsidR="00E3715B" w:rsidRPr="00994DDA">
        <w:t xml:space="preserve">22 survey </w:t>
      </w:r>
      <w:r w:rsidR="000F44E9" w:rsidRPr="00994DDA">
        <w:t xml:space="preserve">the alcohol and drug </w:t>
      </w:r>
      <w:r w:rsidR="00735650" w:rsidRPr="00994DDA">
        <w:t>related problems stressor</w:t>
      </w:r>
      <w:r w:rsidR="00CD15D4" w:rsidRPr="00994DDA">
        <w:t xml:space="preserve"> </w:t>
      </w:r>
      <w:r w:rsidR="000F44E9" w:rsidRPr="00994DDA">
        <w:t>collection ceased</w:t>
      </w:r>
      <w:r w:rsidR="001618F2" w:rsidRPr="00994DDA">
        <w:t xml:space="preserve">. </w:t>
      </w:r>
      <w:r w:rsidR="00CD15D4" w:rsidRPr="00994DDA">
        <w:t>In addition</w:t>
      </w:r>
      <w:r w:rsidR="00564679" w:rsidRPr="00994DDA">
        <w:t>,</w:t>
      </w:r>
      <w:r w:rsidR="00CD15D4" w:rsidRPr="00994DDA">
        <w:t xml:space="preserve"> the National </w:t>
      </w:r>
      <w:r w:rsidR="00730DC4" w:rsidRPr="00994DDA">
        <w:t>H</w:t>
      </w:r>
      <w:r w:rsidR="00CD15D4" w:rsidRPr="00994DDA">
        <w:t xml:space="preserve">ealth </w:t>
      </w:r>
      <w:r w:rsidR="00730DC4" w:rsidRPr="00994DDA">
        <w:t>S</w:t>
      </w:r>
      <w:r w:rsidR="00CD15D4" w:rsidRPr="00994DDA">
        <w:t xml:space="preserve">urvey is a sample survey </w:t>
      </w:r>
      <w:r w:rsidR="006A44D7" w:rsidRPr="00994DDA">
        <w:t xml:space="preserve">like </w:t>
      </w:r>
      <w:r w:rsidR="00CD15D4" w:rsidRPr="00994DDA">
        <w:t xml:space="preserve">the Personal Safety survey. The sample of </w:t>
      </w:r>
      <w:r w:rsidR="000954D1">
        <w:t xml:space="preserve">around </w:t>
      </w:r>
      <w:r w:rsidR="00CD15D4" w:rsidRPr="00994DDA">
        <w:t>13</w:t>
      </w:r>
      <w:r w:rsidR="000954D1">
        <w:t>,</w:t>
      </w:r>
      <w:r w:rsidR="00CD15D4" w:rsidRPr="00994DDA">
        <w:t>000</w:t>
      </w:r>
      <w:r w:rsidR="0017475D">
        <w:t> </w:t>
      </w:r>
      <w:r w:rsidR="00CD15D4" w:rsidRPr="00994DDA">
        <w:t>households</w:t>
      </w:r>
      <w:r w:rsidR="0039629F" w:rsidRPr="00994DDA">
        <w:t xml:space="preserve"> will result in confidentiality concerns when </w:t>
      </w:r>
      <w:proofErr w:type="gramStart"/>
      <w:r w:rsidR="0039629F" w:rsidRPr="00994DDA">
        <w:t>cross</w:t>
      </w:r>
      <w:r w:rsidR="002E665A">
        <w:t>-</w:t>
      </w:r>
      <w:r w:rsidR="0039629F" w:rsidRPr="00994DDA">
        <w:t>classifying</w:t>
      </w:r>
      <w:proofErr w:type="gramEnd"/>
      <w:r w:rsidR="0039629F" w:rsidRPr="00994DDA">
        <w:t xml:space="preserve"> the data by other variables of interest such as age and </w:t>
      </w:r>
      <w:r w:rsidR="00260793" w:rsidRPr="00994DDA">
        <w:t>I</w:t>
      </w:r>
      <w:r w:rsidR="0039629F" w:rsidRPr="00994DDA">
        <w:t>ndigenous status.</w:t>
      </w:r>
      <w:bookmarkEnd w:id="16"/>
    </w:p>
    <w:p w14:paraId="11A99C6E" w14:textId="1347E8CC" w:rsidR="00700D93" w:rsidRPr="00994DDA" w:rsidRDefault="00C57582" w:rsidP="00452EC1">
      <w:pPr>
        <w:pStyle w:val="CGC2025ParaNumbers"/>
      </w:pPr>
      <w:r w:rsidRPr="00994DDA">
        <w:t>There are 3</w:t>
      </w:r>
      <w:r w:rsidR="00BC621C" w:rsidRPr="00994DDA">
        <w:t xml:space="preserve"> data sources </w:t>
      </w:r>
      <w:r w:rsidR="00A773FE" w:rsidRPr="00994DDA">
        <w:t>which could be used to estimate the prevalence of disabilities in the national population</w:t>
      </w:r>
      <w:r w:rsidR="000F3304">
        <w:t>,</w:t>
      </w:r>
      <w:r w:rsidR="00814B7A" w:rsidRPr="00994DDA">
        <w:t xml:space="preserve"> each with limitations</w:t>
      </w:r>
      <w:r w:rsidR="002E665A">
        <w:t>.</w:t>
      </w:r>
    </w:p>
    <w:p w14:paraId="197E6705" w14:textId="4BBBAB7A" w:rsidR="00A773FE" w:rsidRPr="002D201E" w:rsidRDefault="002E665A" w:rsidP="00133988">
      <w:pPr>
        <w:pStyle w:val="CGC2025Bullet1"/>
      </w:pPr>
      <w:r>
        <w:t xml:space="preserve">The </w:t>
      </w:r>
      <w:r w:rsidR="006F23E2" w:rsidRPr="002D201E">
        <w:t xml:space="preserve">ABS </w:t>
      </w:r>
      <w:r w:rsidR="00A773FE" w:rsidRPr="002D201E">
        <w:t xml:space="preserve">Survey of Disability, </w:t>
      </w:r>
      <w:r w:rsidR="007226EE" w:rsidRPr="002D201E">
        <w:t>Ag</w:t>
      </w:r>
      <w:r w:rsidR="007226EE">
        <w:t>e</w:t>
      </w:r>
      <w:r w:rsidR="007226EE" w:rsidRPr="002D201E">
        <w:t>ing,</w:t>
      </w:r>
      <w:r w:rsidR="00A773FE" w:rsidRPr="002D201E">
        <w:t xml:space="preserve"> and </w:t>
      </w:r>
      <w:r w:rsidR="00E762D2">
        <w:t>C</w:t>
      </w:r>
      <w:r w:rsidR="00A773FE" w:rsidRPr="002D201E">
        <w:t>arers</w:t>
      </w:r>
      <w:r w:rsidR="006F23E2" w:rsidRPr="002D201E">
        <w:t xml:space="preserve"> 2018–19</w:t>
      </w:r>
      <w:r w:rsidR="00133988" w:rsidRPr="002D201E">
        <w:t xml:space="preserve"> </w:t>
      </w:r>
      <w:r w:rsidR="00193946" w:rsidRPr="002D201E">
        <w:t xml:space="preserve">is the ABS’s preferred source for </w:t>
      </w:r>
      <w:r w:rsidR="006F789B" w:rsidRPr="002D201E">
        <w:t xml:space="preserve">the prevalence of disability. However, it </w:t>
      </w:r>
      <w:r w:rsidR="00133988" w:rsidRPr="002D201E">
        <w:t>is not suitable for the Commission</w:t>
      </w:r>
      <w:r w:rsidR="00E46301">
        <w:t>’</w:t>
      </w:r>
      <w:r w:rsidR="00133988" w:rsidRPr="002D201E">
        <w:t>s purposes because it does not allow for the cross</w:t>
      </w:r>
      <w:r>
        <w:t>-</w:t>
      </w:r>
      <w:r w:rsidR="00133988" w:rsidRPr="002D201E">
        <w:t>classification of respondents by Indigenous status.</w:t>
      </w:r>
    </w:p>
    <w:p w14:paraId="592F29B2" w14:textId="3F83586E" w:rsidR="00A773FE" w:rsidRPr="00994DDA" w:rsidRDefault="00E04A35" w:rsidP="00A773FE">
      <w:pPr>
        <w:pStyle w:val="CGC2025Bullet1"/>
      </w:pPr>
      <w:r w:rsidRPr="00994DDA">
        <w:t xml:space="preserve">Core activity need for assistance from the 2021 </w:t>
      </w:r>
      <w:r w:rsidR="00A773FE" w:rsidRPr="00994DDA">
        <w:t xml:space="preserve">ABS Census </w:t>
      </w:r>
      <w:r w:rsidR="00133988" w:rsidRPr="00994DDA">
        <w:t xml:space="preserve">is not suitable </w:t>
      </w:r>
      <w:r w:rsidRPr="00994DDA">
        <w:t xml:space="preserve">for use because it does not distinguish </w:t>
      </w:r>
      <w:r w:rsidR="001E2AC2" w:rsidRPr="00994DDA">
        <w:t>the reason for requiring assistance</w:t>
      </w:r>
      <w:r w:rsidR="000C60BF" w:rsidRPr="00994DDA">
        <w:t xml:space="preserve"> such as old age or disability</w:t>
      </w:r>
      <w:r w:rsidR="00AD1D10" w:rsidRPr="00994DDA">
        <w:t xml:space="preserve"> or other long-term health conditions</w:t>
      </w:r>
      <w:r w:rsidR="000C60BF" w:rsidRPr="00994DDA">
        <w:t>.</w:t>
      </w:r>
    </w:p>
    <w:p w14:paraId="083329F8" w14:textId="7BCB8FFE" w:rsidR="00A773FE" w:rsidRPr="00994DDA" w:rsidRDefault="002E665A" w:rsidP="00994DDA">
      <w:pPr>
        <w:pStyle w:val="CGC2025Bullet1"/>
      </w:pPr>
      <w:r>
        <w:lastRenderedPageBreak/>
        <w:t xml:space="preserve">The </w:t>
      </w:r>
      <w:r w:rsidR="00A773FE" w:rsidRPr="00994DDA">
        <w:t>National health survey</w:t>
      </w:r>
      <w:r w:rsidR="00564679" w:rsidRPr="00994DDA">
        <w:t xml:space="preserve"> 2021</w:t>
      </w:r>
      <w:r>
        <w:t>–</w:t>
      </w:r>
      <w:r w:rsidR="00564679" w:rsidRPr="00994DDA">
        <w:t>22</w:t>
      </w:r>
      <w:r w:rsidR="00AD1D10" w:rsidRPr="00994DDA">
        <w:t xml:space="preserve"> </w:t>
      </w:r>
      <w:r w:rsidR="007F44CA" w:rsidRPr="00994DDA">
        <w:t xml:space="preserve">is not suitable for the use by the Commission for the reasons outlined </w:t>
      </w:r>
      <w:r w:rsidR="00C13B1D">
        <w:t>previously (</w:t>
      </w:r>
      <w:r w:rsidR="007F44CA" w:rsidRPr="00994DDA">
        <w:t xml:space="preserve">paragraph </w:t>
      </w:r>
      <w:r w:rsidR="00C13B1D">
        <w:fldChar w:fldCharType="begin"/>
      </w:r>
      <w:r w:rsidR="00C13B1D">
        <w:instrText xml:space="preserve"> REF _Ref166078208 \r \h </w:instrText>
      </w:r>
      <w:r w:rsidR="00C13B1D">
        <w:fldChar w:fldCharType="separate"/>
      </w:r>
      <w:r w:rsidR="00E61CEB">
        <w:t>68</w:t>
      </w:r>
      <w:r w:rsidR="00C13B1D">
        <w:fldChar w:fldCharType="end"/>
      </w:r>
      <w:r w:rsidR="00C13B1D">
        <w:t>)</w:t>
      </w:r>
      <w:r w:rsidR="009F7B4F">
        <w:t>.</w:t>
      </w:r>
      <w:r w:rsidR="006A44D7" w:rsidRPr="00994DDA">
        <w:t xml:space="preserve"> </w:t>
      </w:r>
      <w:r w:rsidR="009F7B4F">
        <w:t>I</w:t>
      </w:r>
      <w:r w:rsidR="006A44D7" w:rsidRPr="00994DDA">
        <w:t>n particular</w:t>
      </w:r>
      <w:r w:rsidR="009F7B4F">
        <w:t>,</w:t>
      </w:r>
      <w:r w:rsidR="006A44D7" w:rsidRPr="00994DDA">
        <w:t xml:space="preserve"> the small sample size </w:t>
      </w:r>
      <w:r w:rsidR="00515C61" w:rsidRPr="00994DDA">
        <w:t xml:space="preserve">prevents the </w:t>
      </w:r>
      <w:r w:rsidR="006A44D7" w:rsidRPr="00994DDA">
        <w:t>cross</w:t>
      </w:r>
      <w:r>
        <w:t>-</w:t>
      </w:r>
      <w:r w:rsidR="006A44D7" w:rsidRPr="00994DDA">
        <w:t>classification of data</w:t>
      </w:r>
      <w:r w:rsidR="00515C61" w:rsidRPr="00994DDA">
        <w:t>.</w:t>
      </w:r>
    </w:p>
    <w:p w14:paraId="15B66717" w14:textId="5D1250A9" w:rsidR="00ED2AC5" w:rsidRPr="00994DDA" w:rsidRDefault="00ED2AC5" w:rsidP="00452EC1">
      <w:pPr>
        <w:pStyle w:val="CGC2025ParaNumbers"/>
      </w:pPr>
      <w:r w:rsidRPr="00994DDA">
        <w:t xml:space="preserve">Detailed analysis on the options considered to assess mental health conditions as a driver of state homelessness services spending are outlined in </w:t>
      </w:r>
      <w:r w:rsidR="00525C56">
        <w:t>Box 1</w:t>
      </w:r>
      <w:r w:rsidRPr="00994DDA">
        <w:t>.</w:t>
      </w:r>
    </w:p>
    <w:p w14:paraId="4C0E0108" w14:textId="575D7670" w:rsidR="00452EC1" w:rsidRDefault="000B753B" w:rsidP="00452EC1">
      <w:pPr>
        <w:pStyle w:val="CGC2025ParaNumbers"/>
      </w:pPr>
      <w:r>
        <w:t xml:space="preserve">Even </w:t>
      </w:r>
      <w:r w:rsidR="00A41D93">
        <w:t>for</w:t>
      </w:r>
      <w:r>
        <w:t xml:space="preserve"> </w:t>
      </w:r>
      <w:r w:rsidR="00895466">
        <w:t>large sample data</w:t>
      </w:r>
      <w:r w:rsidR="00B94828">
        <w:t xml:space="preserve">, the Commission </w:t>
      </w:r>
      <w:r w:rsidR="0066733D">
        <w:t xml:space="preserve">is unable to </w:t>
      </w:r>
      <w:r w:rsidR="00DA44AE" w:rsidRPr="00A330DC">
        <w:t>assess all drivers</w:t>
      </w:r>
      <w:r w:rsidR="004D4B15">
        <w:t xml:space="preserve"> simultaneously</w:t>
      </w:r>
      <w:r w:rsidR="00DA44AE" w:rsidRPr="00A330DC">
        <w:t xml:space="preserve"> </w:t>
      </w:r>
      <w:r w:rsidR="00BA5257">
        <w:t xml:space="preserve">without </w:t>
      </w:r>
      <w:r w:rsidR="00CA7F30">
        <w:t>exposing</w:t>
      </w:r>
      <w:r w:rsidR="00F70F15" w:rsidRPr="00A330DC">
        <w:t xml:space="preserve"> sensitive unit record data </w:t>
      </w:r>
      <w:r w:rsidR="00B32CC3">
        <w:t>or</w:t>
      </w:r>
      <w:r w:rsidR="00B32CC3" w:rsidRPr="00A330DC">
        <w:t xml:space="preserve"> </w:t>
      </w:r>
      <w:r w:rsidR="00F70F15" w:rsidRPr="00A330DC">
        <w:t xml:space="preserve">excessive </w:t>
      </w:r>
      <w:r w:rsidR="00C82FD7">
        <w:t>null</w:t>
      </w:r>
      <w:r w:rsidR="00F70F15" w:rsidRPr="00A330DC">
        <w:t xml:space="preserve"> values.</w:t>
      </w:r>
      <w:r w:rsidR="00F70F15" w:rsidRPr="00F70F15">
        <w:t xml:space="preserve"> </w:t>
      </w:r>
      <w:r w:rsidR="00F70F15" w:rsidRPr="00A330DC">
        <w:t>This require</w:t>
      </w:r>
      <w:r w:rsidR="00CA7F30">
        <w:t>s</w:t>
      </w:r>
      <w:r w:rsidR="00F70F15" w:rsidRPr="00A330DC">
        <w:t xml:space="preserve"> the Commission to use its judgement to </w:t>
      </w:r>
      <w:r w:rsidR="00F70F15">
        <w:t>prioritise which drivers will be assessed at the expense of alternatives</w:t>
      </w:r>
      <w:r w:rsidR="00F70F15" w:rsidRPr="00A330DC">
        <w:t>.</w:t>
      </w:r>
    </w:p>
    <w:p w14:paraId="063E1E31" w14:textId="0A7DAABF" w:rsidR="007D050F" w:rsidRDefault="007D050F" w:rsidP="00986761">
      <w:pPr>
        <w:pStyle w:val="CGC2025Caption"/>
        <w:keepNext/>
        <w:tabs>
          <w:tab w:val="left" w:pos="1134"/>
        </w:tabs>
      </w:pPr>
      <w:bookmarkStart w:id="17" w:name="_Ref163565377"/>
      <w:r>
        <w:t xml:space="preserve">Table </w:t>
      </w:r>
      <w:fldSimple w:instr=" SEQ Table \* ARABIC ">
        <w:r w:rsidR="00E61CEB">
          <w:rPr>
            <w:noProof/>
          </w:rPr>
          <w:t>2</w:t>
        </w:r>
      </w:fldSimple>
      <w:bookmarkEnd w:id="17"/>
      <w:r w:rsidR="003C47F0">
        <w:tab/>
        <w:t xml:space="preserve">Feasibility of assessing proposed drivers </w:t>
      </w:r>
      <w:r w:rsidR="00AA6D90">
        <w:t>using different</w:t>
      </w:r>
      <w:r w:rsidR="003C47F0">
        <w:t xml:space="preserve"> data </w:t>
      </w:r>
      <w:proofErr w:type="gramStart"/>
      <w:r w:rsidR="00AA6D90">
        <w:t>sources</w:t>
      </w:r>
      <w:proofErr w:type="gramEnd"/>
    </w:p>
    <w:tbl>
      <w:tblPr>
        <w:tblStyle w:val="GridTable2"/>
        <w:tblW w:w="0" w:type="auto"/>
        <w:tblLook w:val="04A0" w:firstRow="1" w:lastRow="0" w:firstColumn="1" w:lastColumn="0" w:noHBand="0" w:noVBand="1"/>
      </w:tblPr>
      <w:tblGrid>
        <w:gridCol w:w="1418"/>
        <w:gridCol w:w="1134"/>
        <w:gridCol w:w="2126"/>
        <w:gridCol w:w="1559"/>
        <w:gridCol w:w="1418"/>
        <w:gridCol w:w="1371"/>
      </w:tblGrid>
      <w:tr w:rsidR="00C508B7" w14:paraId="3ACACC2D" w14:textId="77777777" w:rsidTr="00DB17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left w:val="nil"/>
              <w:bottom w:val="single" w:sz="4" w:space="0" w:color="auto"/>
              <w:right w:val="single" w:sz="4" w:space="0" w:color="auto"/>
            </w:tcBorders>
          </w:tcPr>
          <w:p w14:paraId="73B5CA18" w14:textId="77777777" w:rsidR="00C508B7" w:rsidRPr="00547CB2" w:rsidRDefault="00C508B7" w:rsidP="006F5156">
            <w:pPr>
              <w:rPr>
                <w:rFonts w:ascii="Open Sans Semibold" w:hAnsi="Open Sans Semibold" w:cs="Open Sans Semibold"/>
                <w:b w:val="0"/>
                <w:bCs w:val="0"/>
                <w:sz w:val="16"/>
                <w:szCs w:val="18"/>
              </w:rPr>
            </w:pPr>
            <w:r w:rsidRPr="00547CB2">
              <w:rPr>
                <w:rFonts w:ascii="Open Sans Semibold" w:hAnsi="Open Sans Semibold" w:cs="Open Sans Semibold"/>
                <w:b w:val="0"/>
                <w:bCs w:val="0"/>
                <w:sz w:val="16"/>
                <w:szCs w:val="18"/>
              </w:rPr>
              <w:t>Proposed driver</w:t>
            </w:r>
          </w:p>
        </w:tc>
        <w:tc>
          <w:tcPr>
            <w:tcW w:w="1134" w:type="dxa"/>
            <w:tcBorders>
              <w:top w:val="single" w:sz="4" w:space="0" w:color="auto"/>
              <w:left w:val="single" w:sz="4" w:space="0" w:color="auto"/>
              <w:bottom w:val="single" w:sz="4" w:space="0" w:color="auto"/>
              <w:right w:val="single" w:sz="4" w:space="0" w:color="auto"/>
            </w:tcBorders>
          </w:tcPr>
          <w:p w14:paraId="2016F395" w14:textId="76B088E8" w:rsidR="00C508B7" w:rsidRPr="00547CB2" w:rsidRDefault="007D6EFC" w:rsidP="006F5156">
            <w:pPr>
              <w:cnfStyle w:val="100000000000" w:firstRow="1" w:lastRow="0" w:firstColumn="0" w:lastColumn="0" w:oddVBand="0" w:evenVBand="0" w:oddHBand="0" w:evenHBand="0" w:firstRowFirstColumn="0" w:firstRowLastColumn="0" w:lastRowFirstColumn="0" w:lastRowLastColumn="0"/>
              <w:rPr>
                <w:rFonts w:ascii="Open Sans Semibold" w:hAnsi="Open Sans Semibold" w:cs="Open Sans Semibold"/>
                <w:b w:val="0"/>
                <w:bCs w:val="0"/>
                <w:sz w:val="16"/>
                <w:szCs w:val="18"/>
              </w:rPr>
            </w:pPr>
            <w:r w:rsidRPr="00547CB2">
              <w:rPr>
                <w:rFonts w:ascii="Open Sans Semibold" w:hAnsi="Open Sans Semibold" w:cs="Open Sans Semibold"/>
                <w:b w:val="0"/>
                <w:bCs w:val="0"/>
                <w:sz w:val="16"/>
                <w:szCs w:val="18"/>
              </w:rPr>
              <w:t>Available in AIHW data</w:t>
            </w:r>
          </w:p>
        </w:tc>
        <w:tc>
          <w:tcPr>
            <w:tcW w:w="2126" w:type="dxa"/>
            <w:tcBorders>
              <w:top w:val="single" w:sz="4" w:space="0" w:color="auto"/>
              <w:left w:val="single" w:sz="4" w:space="0" w:color="auto"/>
              <w:bottom w:val="single" w:sz="4" w:space="0" w:color="auto"/>
              <w:right w:val="single" w:sz="4" w:space="0" w:color="auto"/>
            </w:tcBorders>
          </w:tcPr>
          <w:p w14:paraId="2B8B4E28" w14:textId="77777777" w:rsidR="00C508B7" w:rsidRPr="00547CB2" w:rsidRDefault="00C508B7" w:rsidP="006F5156">
            <w:pPr>
              <w:cnfStyle w:val="100000000000" w:firstRow="1" w:lastRow="0" w:firstColumn="0" w:lastColumn="0" w:oddVBand="0" w:evenVBand="0" w:oddHBand="0" w:evenHBand="0" w:firstRowFirstColumn="0" w:firstRowLastColumn="0" w:lastRowFirstColumn="0" w:lastRowLastColumn="0"/>
              <w:rPr>
                <w:rFonts w:ascii="Open Sans Semibold" w:hAnsi="Open Sans Semibold" w:cs="Open Sans Semibold"/>
                <w:b w:val="0"/>
                <w:bCs w:val="0"/>
                <w:sz w:val="16"/>
                <w:szCs w:val="18"/>
              </w:rPr>
            </w:pPr>
            <w:r w:rsidRPr="00547CB2">
              <w:rPr>
                <w:rFonts w:ascii="Open Sans Semibold" w:hAnsi="Open Sans Semibold" w:cs="Open Sans Semibold"/>
                <w:b w:val="0"/>
                <w:bCs w:val="0"/>
                <w:sz w:val="16"/>
                <w:szCs w:val="18"/>
              </w:rPr>
              <w:t>National data source</w:t>
            </w:r>
          </w:p>
        </w:tc>
        <w:tc>
          <w:tcPr>
            <w:tcW w:w="1559" w:type="dxa"/>
            <w:tcBorders>
              <w:top w:val="single" w:sz="4" w:space="0" w:color="auto"/>
              <w:left w:val="single" w:sz="4" w:space="0" w:color="auto"/>
              <w:bottom w:val="single" w:sz="4" w:space="0" w:color="auto"/>
              <w:right w:val="single" w:sz="4" w:space="0" w:color="auto"/>
            </w:tcBorders>
          </w:tcPr>
          <w:p w14:paraId="1A4222C2" w14:textId="6A83EA4F" w:rsidR="00C508B7" w:rsidRPr="00547CB2" w:rsidRDefault="006152B8" w:rsidP="006F5156">
            <w:pPr>
              <w:cnfStyle w:val="100000000000" w:firstRow="1" w:lastRow="0" w:firstColumn="0" w:lastColumn="0" w:oddVBand="0" w:evenVBand="0" w:oddHBand="0" w:evenHBand="0" w:firstRowFirstColumn="0" w:firstRowLastColumn="0" w:lastRowFirstColumn="0" w:lastRowLastColumn="0"/>
              <w:rPr>
                <w:rFonts w:ascii="Open Sans Semibold" w:hAnsi="Open Sans Semibold" w:cs="Open Sans Semibold"/>
                <w:b w:val="0"/>
                <w:bCs w:val="0"/>
                <w:sz w:val="16"/>
                <w:szCs w:val="18"/>
              </w:rPr>
            </w:pPr>
            <w:r>
              <w:rPr>
                <w:rFonts w:ascii="Open Sans Semibold" w:hAnsi="Open Sans Semibold" w:cs="Open Sans Semibold"/>
                <w:b w:val="0"/>
                <w:bCs w:val="0"/>
                <w:sz w:val="16"/>
                <w:szCs w:val="18"/>
              </w:rPr>
              <w:t>C</w:t>
            </w:r>
            <w:r w:rsidR="00841137" w:rsidRPr="00547CB2">
              <w:rPr>
                <w:rFonts w:ascii="Open Sans Semibold" w:hAnsi="Open Sans Semibold" w:cs="Open Sans Semibold"/>
                <w:b w:val="0"/>
                <w:bCs w:val="0"/>
                <w:sz w:val="16"/>
                <w:szCs w:val="18"/>
              </w:rPr>
              <w:t>ross-classifi</w:t>
            </w:r>
            <w:r w:rsidR="00BC712E" w:rsidRPr="00547CB2">
              <w:rPr>
                <w:rFonts w:ascii="Open Sans Semibold" w:hAnsi="Open Sans Semibold" w:cs="Open Sans Semibold"/>
                <w:b w:val="0"/>
                <w:bCs w:val="0"/>
                <w:sz w:val="16"/>
                <w:szCs w:val="18"/>
              </w:rPr>
              <w:t xml:space="preserve">able </w:t>
            </w:r>
            <w:r w:rsidR="0024226B" w:rsidRPr="00547CB2">
              <w:rPr>
                <w:rFonts w:ascii="Open Sans Semibold" w:hAnsi="Open Sans Semibold" w:cs="Open Sans Semibold"/>
                <w:b w:val="0"/>
                <w:bCs w:val="0"/>
                <w:sz w:val="16"/>
                <w:szCs w:val="18"/>
              </w:rPr>
              <w:t xml:space="preserve">person level </w:t>
            </w:r>
            <w:r w:rsidR="00522142" w:rsidRPr="00547CB2">
              <w:rPr>
                <w:rFonts w:ascii="Open Sans Semibold" w:hAnsi="Open Sans Semibold" w:cs="Open Sans Semibold"/>
                <w:b w:val="0"/>
                <w:bCs w:val="0"/>
                <w:sz w:val="16"/>
                <w:szCs w:val="18"/>
              </w:rPr>
              <w:t>data</w:t>
            </w:r>
          </w:p>
        </w:tc>
        <w:tc>
          <w:tcPr>
            <w:tcW w:w="1418" w:type="dxa"/>
            <w:tcBorders>
              <w:top w:val="single" w:sz="4" w:space="0" w:color="auto"/>
              <w:left w:val="single" w:sz="4" w:space="0" w:color="auto"/>
              <w:bottom w:val="single" w:sz="4" w:space="0" w:color="auto"/>
              <w:right w:val="single" w:sz="4" w:space="0" w:color="auto"/>
            </w:tcBorders>
          </w:tcPr>
          <w:p w14:paraId="763C383A" w14:textId="6A2665B8" w:rsidR="00C508B7" w:rsidRPr="00547CB2" w:rsidRDefault="00C508B7" w:rsidP="006F5156">
            <w:pPr>
              <w:cnfStyle w:val="100000000000" w:firstRow="1" w:lastRow="0" w:firstColumn="0" w:lastColumn="0" w:oddVBand="0" w:evenVBand="0" w:oddHBand="0" w:evenHBand="0" w:firstRowFirstColumn="0" w:firstRowLastColumn="0" w:lastRowFirstColumn="0" w:lastRowLastColumn="0"/>
              <w:rPr>
                <w:rFonts w:ascii="Open Sans Semibold" w:hAnsi="Open Sans Semibold" w:cs="Open Sans Semibold"/>
                <w:b w:val="0"/>
                <w:bCs w:val="0"/>
                <w:sz w:val="16"/>
                <w:szCs w:val="18"/>
              </w:rPr>
            </w:pPr>
            <w:r w:rsidRPr="00547CB2">
              <w:rPr>
                <w:rFonts w:ascii="Open Sans Semibold" w:hAnsi="Open Sans Semibold" w:cs="Open Sans Semibold"/>
                <w:b w:val="0"/>
                <w:bCs w:val="0"/>
                <w:sz w:val="16"/>
                <w:szCs w:val="18"/>
              </w:rPr>
              <w:t>Sufficient sample size and data quality</w:t>
            </w:r>
          </w:p>
        </w:tc>
        <w:tc>
          <w:tcPr>
            <w:tcW w:w="1371" w:type="dxa"/>
            <w:tcBorders>
              <w:top w:val="single" w:sz="4" w:space="0" w:color="auto"/>
              <w:left w:val="single" w:sz="4" w:space="0" w:color="auto"/>
              <w:bottom w:val="single" w:sz="4" w:space="0" w:color="auto"/>
              <w:right w:val="nil"/>
            </w:tcBorders>
          </w:tcPr>
          <w:p w14:paraId="7F45FB68" w14:textId="0E7D78FB" w:rsidR="00C508B7" w:rsidRPr="00547CB2" w:rsidRDefault="008A2392" w:rsidP="006F5156">
            <w:pPr>
              <w:cnfStyle w:val="100000000000" w:firstRow="1" w:lastRow="0" w:firstColumn="0" w:lastColumn="0" w:oddVBand="0" w:evenVBand="0" w:oddHBand="0" w:evenHBand="0" w:firstRowFirstColumn="0" w:firstRowLastColumn="0" w:lastRowFirstColumn="0" w:lastRowLastColumn="0"/>
              <w:rPr>
                <w:rFonts w:ascii="Open Sans Semibold" w:hAnsi="Open Sans Semibold" w:cs="Open Sans Semibold"/>
                <w:b w:val="0"/>
                <w:bCs w:val="0"/>
                <w:sz w:val="16"/>
                <w:szCs w:val="18"/>
              </w:rPr>
            </w:pPr>
            <w:r w:rsidRPr="00547CB2">
              <w:rPr>
                <w:rFonts w:ascii="Open Sans Semibold" w:hAnsi="Open Sans Semibold" w:cs="Open Sans Semibold"/>
                <w:b w:val="0"/>
                <w:bCs w:val="0"/>
                <w:sz w:val="16"/>
                <w:szCs w:val="18"/>
              </w:rPr>
              <w:t xml:space="preserve">Definition consistent with AIHW </w:t>
            </w:r>
            <w:r w:rsidR="00C508B7" w:rsidRPr="00547CB2">
              <w:rPr>
                <w:rFonts w:ascii="Open Sans Semibold" w:hAnsi="Open Sans Semibold" w:cs="Open Sans Semibold"/>
                <w:b w:val="0"/>
                <w:bCs w:val="0"/>
                <w:sz w:val="16"/>
                <w:szCs w:val="18"/>
              </w:rPr>
              <w:t>definition</w:t>
            </w:r>
          </w:p>
        </w:tc>
      </w:tr>
      <w:tr w:rsidR="00C508B7" w14:paraId="3D9E030E" w14:textId="77777777" w:rsidTr="00DB1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tcBorders>
          </w:tcPr>
          <w:p w14:paraId="1107BCE2" w14:textId="77777777" w:rsidR="00C508B7" w:rsidRPr="002D606A" w:rsidRDefault="00C508B7" w:rsidP="006F5156">
            <w:pPr>
              <w:rPr>
                <w:b w:val="0"/>
                <w:bCs w:val="0"/>
                <w:sz w:val="16"/>
                <w:szCs w:val="16"/>
              </w:rPr>
            </w:pPr>
            <w:r w:rsidRPr="002D606A">
              <w:rPr>
                <w:b w:val="0"/>
                <w:bCs w:val="0"/>
                <w:sz w:val="16"/>
                <w:szCs w:val="16"/>
              </w:rPr>
              <w:t>Indigenous status</w:t>
            </w:r>
          </w:p>
        </w:tc>
        <w:tc>
          <w:tcPr>
            <w:tcW w:w="1134" w:type="dxa"/>
            <w:tcBorders>
              <w:top w:val="single" w:sz="4" w:space="0" w:color="auto"/>
            </w:tcBorders>
          </w:tcPr>
          <w:p w14:paraId="70E5D81B" w14:textId="77777777" w:rsidR="00C508B7" w:rsidRPr="00A10FB3" w:rsidRDefault="00C508B7" w:rsidP="006F5156">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45" behindDoc="0" locked="0" layoutInCell="1" allowOverlap="1" wp14:anchorId="366FDA89" wp14:editId="7C1F876E">
                  <wp:simplePos x="1936376" y="3777129"/>
                  <wp:positionH relativeFrom="margin">
                    <wp:align>center</wp:align>
                  </wp:positionH>
                  <wp:positionV relativeFrom="margin">
                    <wp:align>center</wp:align>
                  </wp:positionV>
                  <wp:extent cx="173318" cy="173318"/>
                  <wp:effectExtent l="0" t="0" r="0" b="0"/>
                  <wp:wrapSquare wrapText="bothSides"/>
                  <wp:docPr id="1155125191" name="Graphic 115512519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2126" w:type="dxa"/>
            <w:tcBorders>
              <w:top w:val="single" w:sz="4" w:space="0" w:color="auto"/>
            </w:tcBorders>
          </w:tcPr>
          <w:p w14:paraId="3CA071E1" w14:textId="77777777" w:rsidR="00C508B7" w:rsidRPr="00A10FB3" w:rsidRDefault="00C508B7" w:rsidP="006F5156">
            <w:pPr>
              <w:cnfStyle w:val="000000100000" w:firstRow="0" w:lastRow="0" w:firstColumn="0" w:lastColumn="0" w:oddVBand="0" w:evenVBand="0" w:oddHBand="1" w:evenHBand="0" w:firstRowFirstColumn="0" w:firstRowLastColumn="0" w:lastRowFirstColumn="0" w:lastRowLastColumn="0"/>
              <w:rPr>
                <w:sz w:val="16"/>
                <w:szCs w:val="16"/>
              </w:rPr>
            </w:pPr>
            <w:r w:rsidRPr="00A10FB3">
              <w:rPr>
                <w:sz w:val="16"/>
                <w:szCs w:val="16"/>
              </w:rPr>
              <w:t>ABS Estimated resident population</w:t>
            </w:r>
          </w:p>
        </w:tc>
        <w:tc>
          <w:tcPr>
            <w:tcW w:w="1559" w:type="dxa"/>
            <w:tcBorders>
              <w:top w:val="single" w:sz="4" w:space="0" w:color="auto"/>
            </w:tcBorders>
          </w:tcPr>
          <w:p w14:paraId="723D9821" w14:textId="77777777" w:rsidR="00C508B7" w:rsidRPr="00A10FB3" w:rsidRDefault="00C508B7" w:rsidP="006F5156">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46" behindDoc="0" locked="0" layoutInCell="1" allowOverlap="1" wp14:anchorId="609B7E65" wp14:editId="484CD736">
                  <wp:simplePos x="0" y="0"/>
                  <wp:positionH relativeFrom="margin">
                    <wp:align>center</wp:align>
                  </wp:positionH>
                  <wp:positionV relativeFrom="margin">
                    <wp:align>center</wp:align>
                  </wp:positionV>
                  <wp:extent cx="173318" cy="173318"/>
                  <wp:effectExtent l="0" t="0" r="0" b="0"/>
                  <wp:wrapSquare wrapText="bothSides"/>
                  <wp:docPr id="394737154" name="Graphic 39473715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418" w:type="dxa"/>
            <w:tcBorders>
              <w:top w:val="single" w:sz="4" w:space="0" w:color="auto"/>
            </w:tcBorders>
          </w:tcPr>
          <w:p w14:paraId="4002308F" w14:textId="77777777" w:rsidR="00C508B7" w:rsidRPr="00A10FB3" w:rsidRDefault="00C508B7" w:rsidP="006F5156">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47" behindDoc="0" locked="0" layoutInCell="1" allowOverlap="1" wp14:anchorId="46E90962" wp14:editId="7519DB7A">
                  <wp:simplePos x="0" y="0"/>
                  <wp:positionH relativeFrom="margin">
                    <wp:align>center</wp:align>
                  </wp:positionH>
                  <wp:positionV relativeFrom="margin">
                    <wp:align>center</wp:align>
                  </wp:positionV>
                  <wp:extent cx="173318" cy="173318"/>
                  <wp:effectExtent l="0" t="0" r="0" b="0"/>
                  <wp:wrapSquare wrapText="bothSides"/>
                  <wp:docPr id="1220415370" name="Graphic 122041537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371" w:type="dxa"/>
            <w:tcBorders>
              <w:top w:val="single" w:sz="4" w:space="0" w:color="auto"/>
            </w:tcBorders>
          </w:tcPr>
          <w:p w14:paraId="2F0DC07B" w14:textId="77777777" w:rsidR="00C508B7" w:rsidRPr="00A10FB3" w:rsidRDefault="00C508B7" w:rsidP="006F5156">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48" behindDoc="0" locked="0" layoutInCell="1" allowOverlap="1" wp14:anchorId="7C05C037" wp14:editId="03AC0993">
                  <wp:simplePos x="0" y="0"/>
                  <wp:positionH relativeFrom="margin">
                    <wp:align>center</wp:align>
                  </wp:positionH>
                  <wp:positionV relativeFrom="margin">
                    <wp:align>center</wp:align>
                  </wp:positionV>
                  <wp:extent cx="173318" cy="173318"/>
                  <wp:effectExtent l="0" t="0" r="0" b="0"/>
                  <wp:wrapSquare wrapText="bothSides"/>
                  <wp:docPr id="185010665" name="Graphic 18501066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r>
      <w:tr w:rsidR="00C508B7" w14:paraId="015C3B38" w14:textId="77777777" w:rsidTr="00DB17F7">
        <w:tc>
          <w:tcPr>
            <w:cnfStyle w:val="001000000000" w:firstRow="0" w:lastRow="0" w:firstColumn="1" w:lastColumn="0" w:oddVBand="0" w:evenVBand="0" w:oddHBand="0" w:evenHBand="0" w:firstRowFirstColumn="0" w:firstRowLastColumn="0" w:lastRowFirstColumn="0" w:lastRowLastColumn="0"/>
            <w:tcW w:w="1418" w:type="dxa"/>
          </w:tcPr>
          <w:p w14:paraId="71E7F7CA" w14:textId="77777777" w:rsidR="00C508B7" w:rsidRPr="002D606A" w:rsidRDefault="00C508B7" w:rsidP="006F5156">
            <w:pPr>
              <w:rPr>
                <w:b w:val="0"/>
                <w:bCs w:val="0"/>
                <w:sz w:val="16"/>
                <w:szCs w:val="16"/>
              </w:rPr>
            </w:pPr>
            <w:r w:rsidRPr="002D606A">
              <w:rPr>
                <w:b w:val="0"/>
                <w:bCs w:val="0"/>
                <w:sz w:val="16"/>
                <w:szCs w:val="16"/>
              </w:rPr>
              <w:t>Age</w:t>
            </w:r>
          </w:p>
        </w:tc>
        <w:tc>
          <w:tcPr>
            <w:tcW w:w="1134" w:type="dxa"/>
          </w:tcPr>
          <w:p w14:paraId="6B19FA10" w14:textId="77777777" w:rsidR="00C508B7" w:rsidRPr="00A10FB3" w:rsidRDefault="00C508B7" w:rsidP="006F5156">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49" behindDoc="0" locked="0" layoutInCell="1" allowOverlap="1" wp14:anchorId="79F80F29" wp14:editId="3C6A9207">
                  <wp:simplePos x="0" y="0"/>
                  <wp:positionH relativeFrom="margin">
                    <wp:align>center</wp:align>
                  </wp:positionH>
                  <wp:positionV relativeFrom="margin">
                    <wp:align>top</wp:align>
                  </wp:positionV>
                  <wp:extent cx="173318" cy="173318"/>
                  <wp:effectExtent l="0" t="0" r="0" b="0"/>
                  <wp:wrapSquare wrapText="bothSides"/>
                  <wp:docPr id="1220824253" name="Graphic 122082425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2126" w:type="dxa"/>
          </w:tcPr>
          <w:p w14:paraId="5E9B376A" w14:textId="77777777" w:rsidR="00C508B7" w:rsidRPr="00A10FB3" w:rsidRDefault="00C508B7" w:rsidP="006F5156">
            <w:pPr>
              <w:cnfStyle w:val="000000000000" w:firstRow="0" w:lastRow="0" w:firstColumn="0" w:lastColumn="0" w:oddVBand="0" w:evenVBand="0" w:oddHBand="0" w:evenHBand="0" w:firstRowFirstColumn="0" w:firstRowLastColumn="0" w:lastRowFirstColumn="0" w:lastRowLastColumn="0"/>
              <w:rPr>
                <w:sz w:val="16"/>
                <w:szCs w:val="16"/>
              </w:rPr>
            </w:pPr>
            <w:r w:rsidRPr="00A10FB3">
              <w:rPr>
                <w:sz w:val="16"/>
                <w:szCs w:val="16"/>
              </w:rPr>
              <w:t>ABS Estimated resident population</w:t>
            </w:r>
          </w:p>
        </w:tc>
        <w:tc>
          <w:tcPr>
            <w:tcW w:w="1559" w:type="dxa"/>
          </w:tcPr>
          <w:p w14:paraId="03A9C43D" w14:textId="77777777" w:rsidR="00C508B7" w:rsidRPr="00A10FB3" w:rsidRDefault="00C508B7" w:rsidP="006F5156">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50" behindDoc="0" locked="0" layoutInCell="1" allowOverlap="1" wp14:anchorId="5F70F361" wp14:editId="0B35AC1B">
                  <wp:simplePos x="0" y="0"/>
                  <wp:positionH relativeFrom="margin">
                    <wp:align>center</wp:align>
                  </wp:positionH>
                  <wp:positionV relativeFrom="margin">
                    <wp:align>top</wp:align>
                  </wp:positionV>
                  <wp:extent cx="173318" cy="173318"/>
                  <wp:effectExtent l="0" t="0" r="0" b="0"/>
                  <wp:wrapSquare wrapText="bothSides"/>
                  <wp:docPr id="1034687318" name="Graphic 103468731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418" w:type="dxa"/>
          </w:tcPr>
          <w:p w14:paraId="22DA0CC3" w14:textId="77777777" w:rsidR="00C508B7" w:rsidRPr="00A10FB3" w:rsidRDefault="00C508B7" w:rsidP="006F5156">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51" behindDoc="0" locked="0" layoutInCell="1" allowOverlap="1" wp14:anchorId="25182F73" wp14:editId="2BE105A0">
                  <wp:simplePos x="0" y="0"/>
                  <wp:positionH relativeFrom="margin">
                    <wp:align>center</wp:align>
                  </wp:positionH>
                  <wp:positionV relativeFrom="margin">
                    <wp:align>top</wp:align>
                  </wp:positionV>
                  <wp:extent cx="173318" cy="173318"/>
                  <wp:effectExtent l="0" t="0" r="0" b="0"/>
                  <wp:wrapSquare wrapText="bothSides"/>
                  <wp:docPr id="2076224252" name="Graphic 207622425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371" w:type="dxa"/>
          </w:tcPr>
          <w:p w14:paraId="22285BF3" w14:textId="77777777" w:rsidR="00C508B7" w:rsidRPr="00A10FB3" w:rsidRDefault="00C508B7" w:rsidP="006F5156">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52" behindDoc="0" locked="0" layoutInCell="1" allowOverlap="1" wp14:anchorId="72A1A376" wp14:editId="3E08EBFD">
                  <wp:simplePos x="0" y="0"/>
                  <wp:positionH relativeFrom="margin">
                    <wp:align>center</wp:align>
                  </wp:positionH>
                  <wp:positionV relativeFrom="margin">
                    <wp:align>top</wp:align>
                  </wp:positionV>
                  <wp:extent cx="173318" cy="173318"/>
                  <wp:effectExtent l="0" t="0" r="0" b="0"/>
                  <wp:wrapSquare wrapText="bothSides"/>
                  <wp:docPr id="736297786" name="Graphic 73629778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r>
      <w:tr w:rsidR="00C508B7" w14:paraId="3EC17DDB" w14:textId="77777777" w:rsidTr="00DB1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A5880D3" w14:textId="09ACAE7A" w:rsidR="00C508B7" w:rsidRPr="002D606A" w:rsidRDefault="0000571E" w:rsidP="006F5156">
            <w:pPr>
              <w:rPr>
                <w:b w:val="0"/>
                <w:bCs w:val="0"/>
                <w:sz w:val="16"/>
                <w:szCs w:val="16"/>
              </w:rPr>
            </w:pPr>
            <w:r w:rsidRPr="002D606A">
              <w:rPr>
                <w:b w:val="0"/>
                <w:bCs w:val="0"/>
                <w:sz w:val="16"/>
                <w:szCs w:val="16"/>
              </w:rPr>
              <w:t>Socio-economic status</w:t>
            </w:r>
          </w:p>
        </w:tc>
        <w:tc>
          <w:tcPr>
            <w:tcW w:w="1134" w:type="dxa"/>
          </w:tcPr>
          <w:p w14:paraId="4053024F" w14:textId="77777777" w:rsidR="00C508B7" w:rsidRPr="00A10FB3" w:rsidRDefault="00C508B7" w:rsidP="006F5156">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53" behindDoc="0" locked="0" layoutInCell="1" allowOverlap="1" wp14:anchorId="77522824" wp14:editId="25DAE81D">
                  <wp:simplePos x="0" y="0"/>
                  <wp:positionH relativeFrom="margin">
                    <wp:align>center</wp:align>
                  </wp:positionH>
                  <wp:positionV relativeFrom="margin">
                    <wp:align>center</wp:align>
                  </wp:positionV>
                  <wp:extent cx="173318" cy="173318"/>
                  <wp:effectExtent l="0" t="0" r="0" b="0"/>
                  <wp:wrapSquare wrapText="bothSides"/>
                  <wp:docPr id="887342359" name="Graphic 88734235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2126" w:type="dxa"/>
          </w:tcPr>
          <w:p w14:paraId="4B8C65F8" w14:textId="77777777" w:rsidR="00C508B7" w:rsidRPr="00A10FB3" w:rsidRDefault="00C508B7" w:rsidP="006F5156">
            <w:pPr>
              <w:cnfStyle w:val="000000100000" w:firstRow="0" w:lastRow="0" w:firstColumn="0" w:lastColumn="0" w:oddVBand="0" w:evenVBand="0" w:oddHBand="1" w:evenHBand="0" w:firstRowFirstColumn="0" w:firstRowLastColumn="0" w:lastRowFirstColumn="0" w:lastRowLastColumn="0"/>
              <w:rPr>
                <w:sz w:val="16"/>
                <w:szCs w:val="16"/>
              </w:rPr>
            </w:pPr>
            <w:r w:rsidRPr="00A10FB3">
              <w:rPr>
                <w:sz w:val="16"/>
                <w:szCs w:val="16"/>
              </w:rPr>
              <w:t>ABS Estimated resident population</w:t>
            </w:r>
          </w:p>
        </w:tc>
        <w:tc>
          <w:tcPr>
            <w:tcW w:w="1559" w:type="dxa"/>
          </w:tcPr>
          <w:p w14:paraId="6430A9B1" w14:textId="77777777" w:rsidR="00C508B7" w:rsidRPr="00A10FB3" w:rsidRDefault="00C508B7" w:rsidP="006F5156">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54" behindDoc="0" locked="0" layoutInCell="1" allowOverlap="1" wp14:anchorId="5A075DE6" wp14:editId="67AA37B0">
                  <wp:simplePos x="0" y="0"/>
                  <wp:positionH relativeFrom="margin">
                    <wp:align>center</wp:align>
                  </wp:positionH>
                  <wp:positionV relativeFrom="margin">
                    <wp:align>center</wp:align>
                  </wp:positionV>
                  <wp:extent cx="173318" cy="173318"/>
                  <wp:effectExtent l="0" t="0" r="0" b="0"/>
                  <wp:wrapSquare wrapText="bothSides"/>
                  <wp:docPr id="930468691" name="Graphic 93046869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418" w:type="dxa"/>
          </w:tcPr>
          <w:p w14:paraId="39EAD9E5" w14:textId="77777777" w:rsidR="00C508B7" w:rsidRPr="00A10FB3" w:rsidRDefault="00C508B7" w:rsidP="006F5156">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55" behindDoc="0" locked="0" layoutInCell="1" allowOverlap="1" wp14:anchorId="082753CD" wp14:editId="67C6926C">
                  <wp:simplePos x="0" y="0"/>
                  <wp:positionH relativeFrom="margin">
                    <wp:align>center</wp:align>
                  </wp:positionH>
                  <wp:positionV relativeFrom="margin">
                    <wp:align>center</wp:align>
                  </wp:positionV>
                  <wp:extent cx="173318" cy="173318"/>
                  <wp:effectExtent l="0" t="0" r="0" b="0"/>
                  <wp:wrapSquare wrapText="bothSides"/>
                  <wp:docPr id="1273321952" name="Graphic 127332195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371" w:type="dxa"/>
          </w:tcPr>
          <w:p w14:paraId="01B603EE" w14:textId="77777777" w:rsidR="00C508B7" w:rsidRPr="00A10FB3" w:rsidRDefault="00C508B7" w:rsidP="006F5156">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56" behindDoc="0" locked="0" layoutInCell="1" allowOverlap="1" wp14:anchorId="47EC26DB" wp14:editId="499B6F6F">
                  <wp:simplePos x="0" y="0"/>
                  <wp:positionH relativeFrom="margin">
                    <wp:align>center</wp:align>
                  </wp:positionH>
                  <wp:positionV relativeFrom="margin">
                    <wp:align>center</wp:align>
                  </wp:positionV>
                  <wp:extent cx="173318" cy="173318"/>
                  <wp:effectExtent l="0" t="0" r="0" b="0"/>
                  <wp:wrapSquare wrapText="bothSides"/>
                  <wp:docPr id="1123281784" name="Graphic 112328178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r>
      <w:tr w:rsidR="00C508B7" w14:paraId="51D07338" w14:textId="77777777" w:rsidTr="00DB17F7">
        <w:tc>
          <w:tcPr>
            <w:cnfStyle w:val="001000000000" w:firstRow="0" w:lastRow="0" w:firstColumn="1" w:lastColumn="0" w:oddVBand="0" w:evenVBand="0" w:oddHBand="0" w:evenHBand="0" w:firstRowFirstColumn="0" w:firstRowLastColumn="0" w:lastRowFirstColumn="0" w:lastRowLastColumn="0"/>
            <w:tcW w:w="1418" w:type="dxa"/>
          </w:tcPr>
          <w:p w14:paraId="2005FD79" w14:textId="77777777" w:rsidR="00C508B7" w:rsidRPr="002D606A" w:rsidRDefault="00C508B7" w:rsidP="006F5156">
            <w:pPr>
              <w:rPr>
                <w:b w:val="0"/>
                <w:bCs w:val="0"/>
                <w:sz w:val="16"/>
                <w:szCs w:val="16"/>
              </w:rPr>
            </w:pPr>
            <w:r w:rsidRPr="002D606A">
              <w:rPr>
                <w:b w:val="0"/>
                <w:bCs w:val="0"/>
                <w:sz w:val="16"/>
                <w:szCs w:val="16"/>
              </w:rPr>
              <w:t>Remoteness</w:t>
            </w:r>
          </w:p>
        </w:tc>
        <w:tc>
          <w:tcPr>
            <w:tcW w:w="1134" w:type="dxa"/>
          </w:tcPr>
          <w:p w14:paraId="20D9DD4E" w14:textId="77777777" w:rsidR="00C508B7" w:rsidRPr="00A10FB3" w:rsidRDefault="00C508B7" w:rsidP="006F5156">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57" behindDoc="0" locked="0" layoutInCell="1" allowOverlap="1" wp14:anchorId="6B0EC0ED" wp14:editId="300C2881">
                  <wp:simplePos x="0" y="0"/>
                  <wp:positionH relativeFrom="margin">
                    <wp:align>center</wp:align>
                  </wp:positionH>
                  <wp:positionV relativeFrom="margin">
                    <wp:align>top</wp:align>
                  </wp:positionV>
                  <wp:extent cx="173318" cy="173318"/>
                  <wp:effectExtent l="0" t="0" r="0" b="0"/>
                  <wp:wrapSquare wrapText="bothSides"/>
                  <wp:docPr id="1218867173" name="Graphic 121886717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2126" w:type="dxa"/>
          </w:tcPr>
          <w:p w14:paraId="610BC4B6" w14:textId="77777777" w:rsidR="00C508B7" w:rsidRPr="00A10FB3" w:rsidRDefault="00C508B7" w:rsidP="006F5156">
            <w:pPr>
              <w:cnfStyle w:val="000000000000" w:firstRow="0" w:lastRow="0" w:firstColumn="0" w:lastColumn="0" w:oddVBand="0" w:evenVBand="0" w:oddHBand="0" w:evenHBand="0" w:firstRowFirstColumn="0" w:firstRowLastColumn="0" w:lastRowFirstColumn="0" w:lastRowLastColumn="0"/>
              <w:rPr>
                <w:sz w:val="16"/>
                <w:szCs w:val="16"/>
              </w:rPr>
            </w:pPr>
            <w:r w:rsidRPr="00A10FB3">
              <w:rPr>
                <w:sz w:val="16"/>
                <w:szCs w:val="16"/>
              </w:rPr>
              <w:t>ABS Estimated resident population</w:t>
            </w:r>
          </w:p>
        </w:tc>
        <w:tc>
          <w:tcPr>
            <w:tcW w:w="1559" w:type="dxa"/>
          </w:tcPr>
          <w:p w14:paraId="1B866FFB" w14:textId="53D2FC48" w:rsidR="00C508B7" w:rsidRPr="00A10FB3" w:rsidRDefault="00C508B7" w:rsidP="006F5156">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58" behindDoc="0" locked="0" layoutInCell="1" allowOverlap="1" wp14:anchorId="5D7A9F9F" wp14:editId="444A90E5">
                  <wp:simplePos x="0" y="0"/>
                  <wp:positionH relativeFrom="margin">
                    <wp:align>center</wp:align>
                  </wp:positionH>
                  <wp:positionV relativeFrom="margin">
                    <wp:align>top</wp:align>
                  </wp:positionV>
                  <wp:extent cx="173318" cy="173318"/>
                  <wp:effectExtent l="0" t="0" r="0" b="0"/>
                  <wp:wrapSquare wrapText="bothSides"/>
                  <wp:docPr id="1185047835" name="Graphic 118504783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418" w:type="dxa"/>
          </w:tcPr>
          <w:p w14:paraId="0F82BF50" w14:textId="77777777" w:rsidR="00C508B7" w:rsidRPr="00A10FB3" w:rsidRDefault="00C508B7" w:rsidP="006F5156">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59" behindDoc="0" locked="0" layoutInCell="1" allowOverlap="1" wp14:anchorId="7BA57DE0" wp14:editId="16DAEEAB">
                  <wp:simplePos x="0" y="0"/>
                  <wp:positionH relativeFrom="margin">
                    <wp:align>center</wp:align>
                  </wp:positionH>
                  <wp:positionV relativeFrom="margin">
                    <wp:align>top</wp:align>
                  </wp:positionV>
                  <wp:extent cx="173318" cy="173318"/>
                  <wp:effectExtent l="0" t="0" r="0" b="0"/>
                  <wp:wrapSquare wrapText="bothSides"/>
                  <wp:docPr id="1760351712" name="Graphic 176035171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371" w:type="dxa"/>
          </w:tcPr>
          <w:p w14:paraId="25F20C59" w14:textId="77777777" w:rsidR="00C508B7" w:rsidRPr="00A10FB3" w:rsidRDefault="00C508B7" w:rsidP="006F5156">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60" behindDoc="0" locked="0" layoutInCell="1" allowOverlap="1" wp14:anchorId="6802C600" wp14:editId="4D72CA76">
                  <wp:simplePos x="0" y="0"/>
                  <wp:positionH relativeFrom="margin">
                    <wp:align>center</wp:align>
                  </wp:positionH>
                  <wp:positionV relativeFrom="margin">
                    <wp:align>top</wp:align>
                  </wp:positionV>
                  <wp:extent cx="173318" cy="173318"/>
                  <wp:effectExtent l="0" t="0" r="0" b="0"/>
                  <wp:wrapSquare wrapText="bothSides"/>
                  <wp:docPr id="1735025593" name="Graphic 173502559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r>
      <w:tr w:rsidR="00C508B7" w14:paraId="69EC317E" w14:textId="77777777" w:rsidTr="00DB17F7">
        <w:trPr>
          <w:cnfStyle w:val="000000100000" w:firstRow="0" w:lastRow="0" w:firstColumn="0" w:lastColumn="0" w:oddVBand="0" w:evenVBand="0" w:oddHBand="1" w:evenHBand="0" w:firstRowFirstColumn="0" w:firstRowLastColumn="0" w:lastRowFirstColumn="0" w:lastRowLastColumn="0"/>
          <w:trHeight w:val="1176"/>
        </w:trPr>
        <w:tc>
          <w:tcPr>
            <w:cnfStyle w:val="001000000000" w:firstRow="0" w:lastRow="0" w:firstColumn="1" w:lastColumn="0" w:oddVBand="0" w:evenVBand="0" w:oddHBand="0" w:evenHBand="0" w:firstRowFirstColumn="0" w:firstRowLastColumn="0" w:lastRowFirstColumn="0" w:lastRowLastColumn="0"/>
            <w:tcW w:w="1418" w:type="dxa"/>
          </w:tcPr>
          <w:p w14:paraId="44E110B9" w14:textId="77777777" w:rsidR="00C508B7" w:rsidRPr="002D606A" w:rsidRDefault="00C508B7" w:rsidP="006F5156">
            <w:pPr>
              <w:rPr>
                <w:b w:val="0"/>
                <w:bCs w:val="0"/>
                <w:sz w:val="16"/>
                <w:szCs w:val="16"/>
              </w:rPr>
            </w:pPr>
            <w:r w:rsidRPr="002D606A">
              <w:rPr>
                <w:b w:val="0"/>
                <w:bCs w:val="0"/>
                <w:sz w:val="16"/>
                <w:szCs w:val="16"/>
              </w:rPr>
              <w:t>Overcrowding</w:t>
            </w:r>
          </w:p>
        </w:tc>
        <w:tc>
          <w:tcPr>
            <w:tcW w:w="1134" w:type="dxa"/>
          </w:tcPr>
          <w:p w14:paraId="094B59D5" w14:textId="77777777" w:rsidR="00C508B7" w:rsidRPr="00A10FB3" w:rsidRDefault="00C508B7" w:rsidP="006F5156">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40" behindDoc="0" locked="0" layoutInCell="1" allowOverlap="1" wp14:anchorId="47CDF040" wp14:editId="4286A9DB">
                  <wp:simplePos x="1936376" y="5516282"/>
                  <wp:positionH relativeFrom="margin">
                    <wp:align>center</wp:align>
                  </wp:positionH>
                  <wp:positionV relativeFrom="margin">
                    <wp:align>top</wp:align>
                  </wp:positionV>
                  <wp:extent cx="197224" cy="197224"/>
                  <wp:effectExtent l="0" t="0" r="0" b="0"/>
                  <wp:wrapSquare wrapText="bothSides"/>
                  <wp:docPr id="688917442" name="Graphic 68891744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97224" cy="197224"/>
                          </a:xfrm>
                          <a:prstGeom prst="rect">
                            <a:avLst/>
                          </a:prstGeom>
                        </pic:spPr>
                      </pic:pic>
                    </a:graphicData>
                  </a:graphic>
                </wp:anchor>
              </w:drawing>
            </w:r>
          </w:p>
        </w:tc>
        <w:tc>
          <w:tcPr>
            <w:tcW w:w="2126" w:type="dxa"/>
          </w:tcPr>
          <w:p w14:paraId="2AC204F1" w14:textId="4425B870" w:rsidR="00C508B7" w:rsidRPr="00A10FB3" w:rsidRDefault="001F752B" w:rsidP="006F5156">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Homelessness operation groups (OPGP) — </w:t>
            </w:r>
            <w:r w:rsidR="009E0368" w:rsidRPr="00307203">
              <w:rPr>
                <w:sz w:val="16"/>
                <w:szCs w:val="16"/>
              </w:rPr>
              <w:t>Census of Population and Housing</w:t>
            </w:r>
            <w:r w:rsidR="00DA59A0" w:rsidRPr="00307203">
              <w:rPr>
                <w:sz w:val="16"/>
                <w:szCs w:val="16"/>
              </w:rPr>
              <w:t>: Estimating Homelessness</w:t>
            </w:r>
          </w:p>
        </w:tc>
        <w:tc>
          <w:tcPr>
            <w:tcW w:w="1559" w:type="dxa"/>
          </w:tcPr>
          <w:p w14:paraId="70444CBE" w14:textId="6187A477" w:rsidR="00C508B7" w:rsidRPr="00A10FB3" w:rsidRDefault="007F1CA3" w:rsidP="006F5156">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309" behindDoc="0" locked="0" layoutInCell="1" allowOverlap="1" wp14:anchorId="0CF346B6" wp14:editId="45405D57">
                  <wp:simplePos x="0" y="0"/>
                  <wp:positionH relativeFrom="margin">
                    <wp:posOffset>333071</wp:posOffset>
                  </wp:positionH>
                  <wp:positionV relativeFrom="margin">
                    <wp:posOffset>19050</wp:posOffset>
                  </wp:positionV>
                  <wp:extent cx="173318" cy="173318"/>
                  <wp:effectExtent l="0" t="0" r="0" b="0"/>
                  <wp:wrapSquare wrapText="bothSides"/>
                  <wp:docPr id="779263899" name="Graphic 77926389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418" w:type="dxa"/>
          </w:tcPr>
          <w:p w14:paraId="074101E6" w14:textId="77777777" w:rsidR="00C508B7" w:rsidRPr="00A10FB3" w:rsidRDefault="00C508B7" w:rsidP="006F5156">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64" behindDoc="0" locked="0" layoutInCell="1" allowOverlap="1" wp14:anchorId="2C7E00C6" wp14:editId="78F081B8">
                  <wp:simplePos x="0" y="0"/>
                  <wp:positionH relativeFrom="margin">
                    <wp:align>center</wp:align>
                  </wp:positionH>
                  <wp:positionV relativeFrom="margin">
                    <wp:align>top</wp:align>
                  </wp:positionV>
                  <wp:extent cx="173318" cy="173318"/>
                  <wp:effectExtent l="0" t="0" r="0" b="0"/>
                  <wp:wrapSquare wrapText="bothSides"/>
                  <wp:docPr id="2052280023" name="Graphic 205228002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371" w:type="dxa"/>
          </w:tcPr>
          <w:p w14:paraId="63F2852E" w14:textId="5689F2FA" w:rsidR="00C508B7" w:rsidRPr="00A10FB3" w:rsidRDefault="00DE17EB" w:rsidP="00DE17EB">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N/A</w:t>
            </w:r>
          </w:p>
        </w:tc>
      </w:tr>
      <w:tr w:rsidR="00C508B7" w14:paraId="1156F524" w14:textId="77777777" w:rsidTr="00DB17F7">
        <w:tc>
          <w:tcPr>
            <w:cnfStyle w:val="001000000000" w:firstRow="0" w:lastRow="0" w:firstColumn="1" w:lastColumn="0" w:oddVBand="0" w:evenVBand="0" w:oddHBand="0" w:evenHBand="0" w:firstRowFirstColumn="0" w:firstRowLastColumn="0" w:lastRowFirstColumn="0" w:lastRowLastColumn="0"/>
            <w:tcW w:w="1418" w:type="dxa"/>
          </w:tcPr>
          <w:p w14:paraId="25338B50" w14:textId="77777777" w:rsidR="00C508B7" w:rsidRPr="002D606A" w:rsidRDefault="00C508B7" w:rsidP="006F5156">
            <w:pPr>
              <w:rPr>
                <w:b w:val="0"/>
                <w:bCs w:val="0"/>
                <w:sz w:val="16"/>
                <w:szCs w:val="16"/>
              </w:rPr>
            </w:pPr>
            <w:r w:rsidRPr="002D606A">
              <w:rPr>
                <w:b w:val="0"/>
                <w:bCs w:val="0"/>
                <w:sz w:val="16"/>
                <w:szCs w:val="16"/>
              </w:rPr>
              <w:t xml:space="preserve">Housing affordability </w:t>
            </w:r>
          </w:p>
        </w:tc>
        <w:tc>
          <w:tcPr>
            <w:tcW w:w="1134" w:type="dxa"/>
          </w:tcPr>
          <w:p w14:paraId="45743C0D" w14:textId="77777777" w:rsidR="00C508B7" w:rsidRPr="00A10FB3" w:rsidRDefault="00C508B7" w:rsidP="006F5156">
            <w:pPr>
              <w:cnfStyle w:val="000000000000" w:firstRow="0" w:lastRow="0" w:firstColumn="0" w:lastColumn="0" w:oddVBand="0" w:evenVBand="0" w:oddHBand="0" w:evenHBand="0" w:firstRowFirstColumn="0" w:firstRowLastColumn="0" w:lastRowFirstColumn="0" w:lastRowLastColumn="0"/>
              <w:rPr>
                <w:noProof/>
                <w:sz w:val="16"/>
                <w:szCs w:val="16"/>
              </w:rPr>
            </w:pPr>
            <w:r w:rsidRPr="00A10FB3">
              <w:rPr>
                <w:noProof/>
                <w:sz w:val="16"/>
                <w:szCs w:val="16"/>
              </w:rPr>
              <w:drawing>
                <wp:anchor distT="0" distB="0" distL="114300" distR="114300" simplePos="0" relativeHeight="251658261" behindDoc="0" locked="0" layoutInCell="1" allowOverlap="1" wp14:anchorId="66A7D57F" wp14:editId="4FB6599A">
                  <wp:simplePos x="0" y="0"/>
                  <wp:positionH relativeFrom="margin">
                    <wp:align>center</wp:align>
                  </wp:positionH>
                  <wp:positionV relativeFrom="margin">
                    <wp:align>top</wp:align>
                  </wp:positionV>
                  <wp:extent cx="173318" cy="173318"/>
                  <wp:effectExtent l="0" t="0" r="0" b="0"/>
                  <wp:wrapSquare wrapText="bothSides"/>
                  <wp:docPr id="879482421" name="Graphic 87948242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2126" w:type="dxa"/>
          </w:tcPr>
          <w:p w14:paraId="17309D36" w14:textId="54EC5C37" w:rsidR="00C508B7" w:rsidRPr="00A10FB3" w:rsidRDefault="005C3AAA" w:rsidP="006F5156">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Rent affordability indicator</w:t>
            </w:r>
            <w:r w:rsidR="001F752B">
              <w:rPr>
                <w:sz w:val="16"/>
                <w:szCs w:val="16"/>
              </w:rPr>
              <w:t xml:space="preserve"> (RAID)</w:t>
            </w:r>
            <w:r>
              <w:rPr>
                <w:sz w:val="16"/>
                <w:szCs w:val="16"/>
              </w:rPr>
              <w:t xml:space="preserve"> — </w:t>
            </w:r>
            <w:r w:rsidR="00C17C3A" w:rsidRPr="00307203">
              <w:rPr>
                <w:sz w:val="16"/>
                <w:szCs w:val="16"/>
              </w:rPr>
              <w:t>Census of Population and Housing</w:t>
            </w:r>
          </w:p>
        </w:tc>
        <w:tc>
          <w:tcPr>
            <w:tcW w:w="1559" w:type="dxa"/>
          </w:tcPr>
          <w:p w14:paraId="3F0BD5F7" w14:textId="77777777" w:rsidR="00C508B7" w:rsidRPr="00A10FB3" w:rsidRDefault="00C508B7" w:rsidP="006F5156">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42" behindDoc="0" locked="0" layoutInCell="1" allowOverlap="1" wp14:anchorId="21985B70" wp14:editId="6CF8A024">
                  <wp:simplePos x="0" y="0"/>
                  <wp:positionH relativeFrom="margin">
                    <wp:align>center</wp:align>
                  </wp:positionH>
                  <wp:positionV relativeFrom="margin">
                    <wp:align>top</wp:align>
                  </wp:positionV>
                  <wp:extent cx="197224" cy="197224"/>
                  <wp:effectExtent l="0" t="0" r="0" b="0"/>
                  <wp:wrapSquare wrapText="bothSides"/>
                  <wp:docPr id="846465423" name="Graphic 84646542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97224" cy="197224"/>
                          </a:xfrm>
                          <a:prstGeom prst="rect">
                            <a:avLst/>
                          </a:prstGeom>
                        </pic:spPr>
                      </pic:pic>
                    </a:graphicData>
                  </a:graphic>
                </wp:anchor>
              </w:drawing>
            </w:r>
          </w:p>
        </w:tc>
        <w:tc>
          <w:tcPr>
            <w:tcW w:w="1418" w:type="dxa"/>
          </w:tcPr>
          <w:p w14:paraId="441C4B28" w14:textId="2239CAA7" w:rsidR="00C508B7" w:rsidRPr="00A10FB3" w:rsidRDefault="00D7244E" w:rsidP="006F5156">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68" behindDoc="0" locked="0" layoutInCell="1" allowOverlap="1" wp14:anchorId="1E202058" wp14:editId="3D071E3C">
                  <wp:simplePos x="0" y="0"/>
                  <wp:positionH relativeFrom="margin">
                    <wp:align>center</wp:align>
                  </wp:positionH>
                  <wp:positionV relativeFrom="margin">
                    <wp:align>top</wp:align>
                  </wp:positionV>
                  <wp:extent cx="173318" cy="173318"/>
                  <wp:effectExtent l="0" t="0" r="0" b="0"/>
                  <wp:wrapSquare wrapText="bothSides"/>
                  <wp:docPr id="442493691" name="Graphic 44249369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371" w:type="dxa"/>
          </w:tcPr>
          <w:p w14:paraId="0C7C22FD" w14:textId="77777777" w:rsidR="00C508B7" w:rsidRPr="00A10FB3" w:rsidRDefault="00C508B7" w:rsidP="006F5156">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41" behindDoc="0" locked="0" layoutInCell="1" allowOverlap="1" wp14:anchorId="192477B9" wp14:editId="2711A463">
                  <wp:simplePos x="0" y="0"/>
                  <wp:positionH relativeFrom="margin">
                    <wp:align>center</wp:align>
                  </wp:positionH>
                  <wp:positionV relativeFrom="margin">
                    <wp:align>top</wp:align>
                  </wp:positionV>
                  <wp:extent cx="197224" cy="197224"/>
                  <wp:effectExtent l="0" t="0" r="0" b="0"/>
                  <wp:wrapSquare wrapText="bothSides"/>
                  <wp:docPr id="2114413277" name="Graphic 2114413277"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97224" cy="197224"/>
                          </a:xfrm>
                          <a:prstGeom prst="rect">
                            <a:avLst/>
                          </a:prstGeom>
                        </pic:spPr>
                      </pic:pic>
                    </a:graphicData>
                  </a:graphic>
                </wp:anchor>
              </w:drawing>
            </w:r>
          </w:p>
        </w:tc>
      </w:tr>
      <w:tr w:rsidR="00C508B7" w14:paraId="5D13C1D5" w14:textId="77777777" w:rsidTr="00DB17F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418" w:type="dxa"/>
          </w:tcPr>
          <w:p w14:paraId="50072684" w14:textId="3768D651" w:rsidR="00C508B7" w:rsidRPr="002D606A" w:rsidRDefault="00C508B7" w:rsidP="006F5156">
            <w:pPr>
              <w:rPr>
                <w:b w:val="0"/>
                <w:bCs w:val="0"/>
                <w:sz w:val="16"/>
                <w:szCs w:val="16"/>
              </w:rPr>
            </w:pPr>
            <w:r w:rsidRPr="002D606A">
              <w:rPr>
                <w:b w:val="0"/>
                <w:bCs w:val="0"/>
                <w:sz w:val="16"/>
                <w:szCs w:val="16"/>
              </w:rPr>
              <w:t xml:space="preserve">Family </w:t>
            </w:r>
            <w:r w:rsidR="00AC4EE1" w:rsidRPr="002D606A">
              <w:rPr>
                <w:b w:val="0"/>
                <w:bCs w:val="0"/>
                <w:sz w:val="16"/>
                <w:szCs w:val="16"/>
              </w:rPr>
              <w:t>and</w:t>
            </w:r>
            <w:r w:rsidRPr="002D606A">
              <w:rPr>
                <w:b w:val="0"/>
                <w:bCs w:val="0"/>
                <w:sz w:val="16"/>
                <w:szCs w:val="16"/>
              </w:rPr>
              <w:t xml:space="preserve"> Domestic Violence</w:t>
            </w:r>
          </w:p>
        </w:tc>
        <w:tc>
          <w:tcPr>
            <w:tcW w:w="1134" w:type="dxa"/>
          </w:tcPr>
          <w:p w14:paraId="3D5D77E3" w14:textId="77777777" w:rsidR="00C508B7" w:rsidRPr="00A10FB3" w:rsidRDefault="00C508B7" w:rsidP="006F5156">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62" behindDoc="0" locked="0" layoutInCell="1" allowOverlap="1" wp14:anchorId="6ADC3BEF" wp14:editId="1DF43517">
                  <wp:simplePos x="0" y="0"/>
                  <wp:positionH relativeFrom="margin">
                    <wp:align>center</wp:align>
                  </wp:positionH>
                  <wp:positionV relativeFrom="margin">
                    <wp:align>top</wp:align>
                  </wp:positionV>
                  <wp:extent cx="173318" cy="173318"/>
                  <wp:effectExtent l="0" t="0" r="0" b="0"/>
                  <wp:wrapSquare wrapText="bothSides"/>
                  <wp:docPr id="774565196" name="Graphic 77456519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2126" w:type="dxa"/>
          </w:tcPr>
          <w:p w14:paraId="45CD0273" w14:textId="4A16855A" w:rsidR="00C508B7" w:rsidRPr="00BE47C5" w:rsidRDefault="00FB5410" w:rsidP="006F5156">
            <w:pPr>
              <w:cnfStyle w:val="000000100000" w:firstRow="0" w:lastRow="0" w:firstColumn="0" w:lastColumn="0" w:oddVBand="0" w:evenVBand="0" w:oddHBand="1" w:evenHBand="0" w:firstRowFirstColumn="0" w:firstRowLastColumn="0" w:lastRowFirstColumn="0" w:lastRowLastColumn="0"/>
              <w:rPr>
                <w:sz w:val="16"/>
                <w:szCs w:val="16"/>
              </w:rPr>
            </w:pPr>
            <w:r w:rsidRPr="00BE47C5">
              <w:rPr>
                <w:sz w:val="16"/>
                <w:szCs w:val="16"/>
              </w:rPr>
              <w:t>20</w:t>
            </w:r>
            <w:r w:rsidR="00F4675D">
              <w:rPr>
                <w:sz w:val="16"/>
                <w:szCs w:val="16"/>
              </w:rPr>
              <w:t>21–22</w:t>
            </w:r>
            <w:r w:rsidR="001F752B">
              <w:rPr>
                <w:sz w:val="16"/>
                <w:szCs w:val="16"/>
              </w:rPr>
              <w:t xml:space="preserve"> ABS</w:t>
            </w:r>
            <w:r w:rsidRPr="00BE47C5">
              <w:rPr>
                <w:sz w:val="16"/>
                <w:szCs w:val="16"/>
              </w:rPr>
              <w:t xml:space="preserve"> Personal Safety Survey </w:t>
            </w:r>
          </w:p>
        </w:tc>
        <w:tc>
          <w:tcPr>
            <w:tcW w:w="1559" w:type="dxa"/>
          </w:tcPr>
          <w:p w14:paraId="64E3DE73" w14:textId="77777777" w:rsidR="00C508B7" w:rsidRPr="00A10FB3" w:rsidRDefault="00C508B7" w:rsidP="006F5156">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43" behindDoc="0" locked="0" layoutInCell="1" allowOverlap="1" wp14:anchorId="3CA5712C" wp14:editId="31F37934">
                  <wp:simplePos x="0" y="0"/>
                  <wp:positionH relativeFrom="margin">
                    <wp:align>center</wp:align>
                  </wp:positionH>
                  <wp:positionV relativeFrom="margin">
                    <wp:align>top</wp:align>
                  </wp:positionV>
                  <wp:extent cx="197224" cy="197224"/>
                  <wp:effectExtent l="0" t="0" r="0" b="0"/>
                  <wp:wrapSquare wrapText="bothSides"/>
                  <wp:docPr id="675627874" name="Graphic 675627874"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97224" cy="197224"/>
                          </a:xfrm>
                          <a:prstGeom prst="rect">
                            <a:avLst/>
                          </a:prstGeom>
                        </pic:spPr>
                      </pic:pic>
                    </a:graphicData>
                  </a:graphic>
                </wp:anchor>
              </w:drawing>
            </w:r>
          </w:p>
        </w:tc>
        <w:tc>
          <w:tcPr>
            <w:tcW w:w="1418" w:type="dxa"/>
          </w:tcPr>
          <w:p w14:paraId="14D9D877" w14:textId="77777777" w:rsidR="00C508B7" w:rsidRPr="00A10FB3" w:rsidRDefault="00C508B7" w:rsidP="006F5156">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44" behindDoc="0" locked="0" layoutInCell="1" allowOverlap="1" wp14:anchorId="647DA006" wp14:editId="4270E1BE">
                  <wp:simplePos x="0" y="0"/>
                  <wp:positionH relativeFrom="margin">
                    <wp:align>center</wp:align>
                  </wp:positionH>
                  <wp:positionV relativeFrom="margin">
                    <wp:align>top</wp:align>
                  </wp:positionV>
                  <wp:extent cx="197224" cy="197224"/>
                  <wp:effectExtent l="0" t="0" r="0" b="0"/>
                  <wp:wrapSquare wrapText="bothSides"/>
                  <wp:docPr id="991265163" name="Graphic 99126516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97224" cy="197224"/>
                          </a:xfrm>
                          <a:prstGeom prst="rect">
                            <a:avLst/>
                          </a:prstGeom>
                        </pic:spPr>
                      </pic:pic>
                    </a:graphicData>
                  </a:graphic>
                </wp:anchor>
              </w:drawing>
            </w:r>
          </w:p>
        </w:tc>
        <w:tc>
          <w:tcPr>
            <w:tcW w:w="1371" w:type="dxa"/>
          </w:tcPr>
          <w:p w14:paraId="04521C49" w14:textId="4C6E0AFA" w:rsidR="00C508B7" w:rsidRPr="00A10FB3" w:rsidRDefault="00E0416C" w:rsidP="006F5156">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69" behindDoc="0" locked="0" layoutInCell="1" allowOverlap="1" wp14:anchorId="34A7F283" wp14:editId="59634BCB">
                  <wp:simplePos x="0" y="0"/>
                  <wp:positionH relativeFrom="margin">
                    <wp:align>center</wp:align>
                  </wp:positionH>
                  <wp:positionV relativeFrom="margin">
                    <wp:align>top</wp:align>
                  </wp:positionV>
                  <wp:extent cx="173318" cy="173318"/>
                  <wp:effectExtent l="0" t="0" r="0" b="0"/>
                  <wp:wrapSquare wrapText="bothSides"/>
                  <wp:docPr id="818759091" name="Graphic 81875909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r>
      <w:tr w:rsidR="00C508B7" w14:paraId="05AD43DC" w14:textId="77777777" w:rsidTr="00DB17F7">
        <w:tc>
          <w:tcPr>
            <w:cnfStyle w:val="001000000000" w:firstRow="0" w:lastRow="0" w:firstColumn="1" w:lastColumn="0" w:oddVBand="0" w:evenVBand="0" w:oddHBand="0" w:evenHBand="0" w:firstRowFirstColumn="0" w:firstRowLastColumn="0" w:lastRowFirstColumn="0" w:lastRowLastColumn="0"/>
            <w:tcW w:w="1418" w:type="dxa"/>
          </w:tcPr>
          <w:p w14:paraId="59FFF3C0" w14:textId="77777777" w:rsidR="00C508B7" w:rsidRPr="002D606A" w:rsidRDefault="00C508B7" w:rsidP="006F5156">
            <w:pPr>
              <w:rPr>
                <w:b w:val="0"/>
                <w:bCs w:val="0"/>
                <w:sz w:val="16"/>
                <w:szCs w:val="16"/>
              </w:rPr>
            </w:pPr>
            <w:r w:rsidRPr="002D606A">
              <w:rPr>
                <w:b w:val="0"/>
                <w:bCs w:val="0"/>
                <w:sz w:val="16"/>
                <w:szCs w:val="16"/>
              </w:rPr>
              <w:t>Drug and Alcohol use</w:t>
            </w:r>
          </w:p>
        </w:tc>
        <w:tc>
          <w:tcPr>
            <w:tcW w:w="1134" w:type="dxa"/>
          </w:tcPr>
          <w:p w14:paraId="4B36F1C1" w14:textId="77777777" w:rsidR="00C508B7" w:rsidRPr="00A10FB3" w:rsidRDefault="00C508B7" w:rsidP="006F5156">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63" behindDoc="0" locked="0" layoutInCell="1" allowOverlap="1" wp14:anchorId="7D5FB85C" wp14:editId="5C308F57">
                  <wp:simplePos x="0" y="0"/>
                  <wp:positionH relativeFrom="margin">
                    <wp:align>center</wp:align>
                  </wp:positionH>
                  <wp:positionV relativeFrom="margin">
                    <wp:align>top</wp:align>
                  </wp:positionV>
                  <wp:extent cx="173318" cy="173318"/>
                  <wp:effectExtent l="0" t="0" r="0" b="0"/>
                  <wp:wrapSquare wrapText="bothSides"/>
                  <wp:docPr id="1807737176" name="Graphic 180773717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2126" w:type="dxa"/>
          </w:tcPr>
          <w:p w14:paraId="15E54D43" w14:textId="71104461" w:rsidR="00C508B7" w:rsidRPr="00A10FB3" w:rsidRDefault="001F752B" w:rsidP="006F5156">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ABS </w:t>
            </w:r>
            <w:r w:rsidR="00E02995">
              <w:rPr>
                <w:sz w:val="16"/>
                <w:szCs w:val="16"/>
              </w:rPr>
              <w:t xml:space="preserve">National </w:t>
            </w:r>
            <w:r w:rsidR="00F06BA9">
              <w:rPr>
                <w:sz w:val="16"/>
                <w:szCs w:val="16"/>
              </w:rPr>
              <w:t>Health Survey 2020-21</w:t>
            </w:r>
          </w:p>
        </w:tc>
        <w:tc>
          <w:tcPr>
            <w:tcW w:w="1559" w:type="dxa"/>
          </w:tcPr>
          <w:p w14:paraId="18D1B625" w14:textId="69610BDE" w:rsidR="00C508B7" w:rsidRPr="00A10FB3" w:rsidRDefault="00390893" w:rsidP="006F5156">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66" behindDoc="0" locked="0" layoutInCell="1" allowOverlap="1" wp14:anchorId="4B113A69" wp14:editId="4D6BD5C6">
                  <wp:simplePos x="0" y="0"/>
                  <wp:positionH relativeFrom="margin">
                    <wp:align>center</wp:align>
                  </wp:positionH>
                  <wp:positionV relativeFrom="margin">
                    <wp:align>top</wp:align>
                  </wp:positionV>
                  <wp:extent cx="173318" cy="173318"/>
                  <wp:effectExtent l="0" t="0" r="0" b="0"/>
                  <wp:wrapSquare wrapText="bothSides"/>
                  <wp:docPr id="576263680" name="Graphic 57626368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418" w:type="dxa"/>
          </w:tcPr>
          <w:p w14:paraId="404562C3" w14:textId="4568331E" w:rsidR="00C508B7" w:rsidRPr="00A10FB3" w:rsidRDefault="00390893" w:rsidP="006F5156">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65" behindDoc="0" locked="0" layoutInCell="1" allowOverlap="1" wp14:anchorId="497DF1DF" wp14:editId="3CF4F275">
                  <wp:simplePos x="0" y="0"/>
                  <wp:positionH relativeFrom="margin">
                    <wp:align>center</wp:align>
                  </wp:positionH>
                  <wp:positionV relativeFrom="margin">
                    <wp:align>top</wp:align>
                  </wp:positionV>
                  <wp:extent cx="197224" cy="197224"/>
                  <wp:effectExtent l="0" t="0" r="0" b="0"/>
                  <wp:wrapSquare wrapText="bothSides"/>
                  <wp:docPr id="904403888" name="Graphic 904403888"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97224" cy="197224"/>
                          </a:xfrm>
                          <a:prstGeom prst="rect">
                            <a:avLst/>
                          </a:prstGeom>
                        </pic:spPr>
                      </pic:pic>
                    </a:graphicData>
                  </a:graphic>
                </wp:anchor>
              </w:drawing>
            </w:r>
          </w:p>
        </w:tc>
        <w:tc>
          <w:tcPr>
            <w:tcW w:w="1371" w:type="dxa"/>
          </w:tcPr>
          <w:p w14:paraId="40EAAAF5" w14:textId="4F148BEC" w:rsidR="00C508B7" w:rsidRPr="00A10FB3" w:rsidRDefault="00053D39" w:rsidP="006F5156">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67" behindDoc="0" locked="0" layoutInCell="1" allowOverlap="1" wp14:anchorId="6248C482" wp14:editId="7FD4EAC7">
                  <wp:simplePos x="0" y="0"/>
                  <wp:positionH relativeFrom="margin">
                    <wp:align>center</wp:align>
                  </wp:positionH>
                  <wp:positionV relativeFrom="margin">
                    <wp:align>top</wp:align>
                  </wp:positionV>
                  <wp:extent cx="197224" cy="197224"/>
                  <wp:effectExtent l="0" t="0" r="0" b="0"/>
                  <wp:wrapSquare wrapText="bothSides"/>
                  <wp:docPr id="396627977" name="Graphic 396627977"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97224" cy="197224"/>
                          </a:xfrm>
                          <a:prstGeom prst="rect">
                            <a:avLst/>
                          </a:prstGeom>
                        </pic:spPr>
                      </pic:pic>
                    </a:graphicData>
                  </a:graphic>
                </wp:anchor>
              </w:drawing>
            </w:r>
          </w:p>
        </w:tc>
      </w:tr>
      <w:tr w:rsidR="000721C4" w14:paraId="39DACE03" w14:textId="77777777" w:rsidTr="00DB1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87C8372" w14:textId="703F89B7" w:rsidR="000721C4" w:rsidRPr="002D606A" w:rsidRDefault="000721C4" w:rsidP="000721C4">
            <w:pPr>
              <w:rPr>
                <w:b w:val="0"/>
                <w:bCs w:val="0"/>
                <w:sz w:val="16"/>
                <w:szCs w:val="16"/>
              </w:rPr>
            </w:pPr>
            <w:r w:rsidRPr="002D606A">
              <w:rPr>
                <w:b w:val="0"/>
                <w:bCs w:val="0"/>
                <w:sz w:val="16"/>
                <w:szCs w:val="16"/>
              </w:rPr>
              <w:t>Disability</w:t>
            </w:r>
          </w:p>
        </w:tc>
        <w:tc>
          <w:tcPr>
            <w:tcW w:w="1134" w:type="dxa"/>
          </w:tcPr>
          <w:p w14:paraId="5BCBB708" w14:textId="509327A4" w:rsidR="000721C4" w:rsidRPr="00A10FB3" w:rsidRDefault="000721C4" w:rsidP="000721C4">
            <w:pPr>
              <w:cnfStyle w:val="000000100000" w:firstRow="0" w:lastRow="0" w:firstColumn="0" w:lastColumn="0" w:oddVBand="0" w:evenVBand="0" w:oddHBand="1" w:evenHBand="0" w:firstRowFirstColumn="0" w:firstRowLastColumn="0" w:lastRowFirstColumn="0" w:lastRowLastColumn="0"/>
              <w:rPr>
                <w:noProof/>
                <w:sz w:val="16"/>
                <w:szCs w:val="16"/>
              </w:rPr>
            </w:pPr>
            <w:r w:rsidRPr="00A10FB3">
              <w:rPr>
                <w:noProof/>
                <w:sz w:val="16"/>
                <w:szCs w:val="16"/>
              </w:rPr>
              <w:drawing>
                <wp:anchor distT="0" distB="0" distL="114300" distR="114300" simplePos="0" relativeHeight="251658326" behindDoc="0" locked="0" layoutInCell="1" allowOverlap="1" wp14:anchorId="3864A9A7" wp14:editId="08CD34CD">
                  <wp:simplePos x="0" y="0"/>
                  <wp:positionH relativeFrom="margin">
                    <wp:align>center</wp:align>
                  </wp:positionH>
                  <wp:positionV relativeFrom="margin">
                    <wp:align>top</wp:align>
                  </wp:positionV>
                  <wp:extent cx="173318" cy="173318"/>
                  <wp:effectExtent l="0" t="0" r="0" b="0"/>
                  <wp:wrapSquare wrapText="bothSides"/>
                  <wp:docPr id="331054748" name="Graphic 33105474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2126" w:type="dxa"/>
          </w:tcPr>
          <w:p w14:paraId="3139893F" w14:textId="6BE9CDA5" w:rsidR="000721C4" w:rsidRDefault="006F1F42" w:rsidP="000721C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ABS </w:t>
            </w:r>
            <w:r w:rsidR="000721C4">
              <w:rPr>
                <w:sz w:val="16"/>
                <w:szCs w:val="16"/>
              </w:rPr>
              <w:t xml:space="preserve">Survey of </w:t>
            </w:r>
            <w:r>
              <w:rPr>
                <w:sz w:val="16"/>
                <w:szCs w:val="16"/>
              </w:rPr>
              <w:t>D</w:t>
            </w:r>
            <w:r w:rsidR="000721C4">
              <w:rPr>
                <w:sz w:val="16"/>
                <w:szCs w:val="16"/>
              </w:rPr>
              <w:t xml:space="preserve">isability, </w:t>
            </w:r>
            <w:r w:rsidR="00C93010">
              <w:rPr>
                <w:sz w:val="16"/>
                <w:szCs w:val="16"/>
              </w:rPr>
              <w:t>A</w:t>
            </w:r>
            <w:r w:rsidR="000721C4">
              <w:rPr>
                <w:sz w:val="16"/>
                <w:szCs w:val="16"/>
              </w:rPr>
              <w:t xml:space="preserve">geing and </w:t>
            </w:r>
            <w:r w:rsidR="00C93010">
              <w:rPr>
                <w:sz w:val="16"/>
                <w:szCs w:val="16"/>
              </w:rPr>
              <w:t>C</w:t>
            </w:r>
            <w:r w:rsidR="000721C4">
              <w:rPr>
                <w:sz w:val="16"/>
                <w:szCs w:val="16"/>
              </w:rPr>
              <w:t>arers</w:t>
            </w:r>
          </w:p>
        </w:tc>
        <w:tc>
          <w:tcPr>
            <w:tcW w:w="1559" w:type="dxa"/>
          </w:tcPr>
          <w:p w14:paraId="0752F97A" w14:textId="21F8DC54" w:rsidR="000721C4" w:rsidRPr="00A10FB3" w:rsidRDefault="000721C4" w:rsidP="000721C4">
            <w:pPr>
              <w:cnfStyle w:val="000000100000" w:firstRow="0" w:lastRow="0" w:firstColumn="0" w:lastColumn="0" w:oddVBand="0" w:evenVBand="0" w:oddHBand="1" w:evenHBand="0" w:firstRowFirstColumn="0" w:firstRowLastColumn="0" w:lastRowFirstColumn="0" w:lastRowLastColumn="0"/>
              <w:rPr>
                <w:noProof/>
                <w:sz w:val="16"/>
                <w:szCs w:val="16"/>
              </w:rPr>
            </w:pPr>
            <w:r w:rsidRPr="00A10FB3">
              <w:rPr>
                <w:noProof/>
                <w:sz w:val="16"/>
                <w:szCs w:val="16"/>
              </w:rPr>
              <w:drawing>
                <wp:anchor distT="0" distB="0" distL="114300" distR="114300" simplePos="0" relativeHeight="251658327" behindDoc="0" locked="0" layoutInCell="1" allowOverlap="1" wp14:anchorId="632949EC" wp14:editId="4205C08B">
                  <wp:simplePos x="0" y="0"/>
                  <wp:positionH relativeFrom="margin">
                    <wp:align>center</wp:align>
                  </wp:positionH>
                  <wp:positionV relativeFrom="margin">
                    <wp:align>top</wp:align>
                  </wp:positionV>
                  <wp:extent cx="173318" cy="173318"/>
                  <wp:effectExtent l="0" t="0" r="0" b="0"/>
                  <wp:wrapSquare wrapText="bothSides"/>
                  <wp:docPr id="1626946545" name="Graphic 162694654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418" w:type="dxa"/>
          </w:tcPr>
          <w:p w14:paraId="15396AA8" w14:textId="71B87E38" w:rsidR="000721C4" w:rsidRPr="00A10FB3" w:rsidRDefault="000721C4" w:rsidP="000721C4">
            <w:pPr>
              <w:cnfStyle w:val="000000100000" w:firstRow="0" w:lastRow="0" w:firstColumn="0" w:lastColumn="0" w:oddVBand="0" w:evenVBand="0" w:oddHBand="1" w:evenHBand="0" w:firstRowFirstColumn="0" w:firstRowLastColumn="0" w:lastRowFirstColumn="0" w:lastRowLastColumn="0"/>
              <w:rPr>
                <w:noProof/>
                <w:sz w:val="16"/>
                <w:szCs w:val="16"/>
              </w:rPr>
            </w:pPr>
            <w:r w:rsidRPr="00A10FB3">
              <w:rPr>
                <w:noProof/>
                <w:sz w:val="16"/>
                <w:szCs w:val="16"/>
              </w:rPr>
              <w:drawing>
                <wp:anchor distT="0" distB="0" distL="114300" distR="114300" simplePos="0" relativeHeight="251658328" behindDoc="0" locked="0" layoutInCell="1" allowOverlap="1" wp14:anchorId="4DCF0F7F" wp14:editId="1B925D5F">
                  <wp:simplePos x="0" y="0"/>
                  <wp:positionH relativeFrom="margin">
                    <wp:align>center</wp:align>
                  </wp:positionH>
                  <wp:positionV relativeFrom="margin">
                    <wp:align>top</wp:align>
                  </wp:positionV>
                  <wp:extent cx="197224" cy="197224"/>
                  <wp:effectExtent l="0" t="0" r="0" b="0"/>
                  <wp:wrapSquare wrapText="bothSides"/>
                  <wp:docPr id="342128553" name="Graphic 34212855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97224" cy="197224"/>
                          </a:xfrm>
                          <a:prstGeom prst="rect">
                            <a:avLst/>
                          </a:prstGeom>
                        </pic:spPr>
                      </pic:pic>
                    </a:graphicData>
                  </a:graphic>
                </wp:anchor>
              </w:drawing>
            </w:r>
          </w:p>
        </w:tc>
        <w:tc>
          <w:tcPr>
            <w:tcW w:w="1371" w:type="dxa"/>
          </w:tcPr>
          <w:p w14:paraId="56BD5E63" w14:textId="5914BE02" w:rsidR="000721C4" w:rsidRPr="00A10FB3" w:rsidRDefault="000721C4" w:rsidP="000721C4">
            <w:pPr>
              <w:cnfStyle w:val="000000100000" w:firstRow="0" w:lastRow="0" w:firstColumn="0" w:lastColumn="0" w:oddVBand="0" w:evenVBand="0" w:oddHBand="1" w:evenHBand="0" w:firstRowFirstColumn="0" w:firstRowLastColumn="0" w:lastRowFirstColumn="0" w:lastRowLastColumn="0"/>
              <w:rPr>
                <w:noProof/>
                <w:sz w:val="16"/>
                <w:szCs w:val="16"/>
              </w:rPr>
            </w:pPr>
            <w:r w:rsidRPr="00A10FB3">
              <w:rPr>
                <w:noProof/>
                <w:sz w:val="16"/>
                <w:szCs w:val="16"/>
              </w:rPr>
              <w:drawing>
                <wp:anchor distT="0" distB="0" distL="114300" distR="114300" simplePos="0" relativeHeight="251658329" behindDoc="0" locked="0" layoutInCell="1" allowOverlap="1" wp14:anchorId="0BCA2AEC" wp14:editId="65DD4B31">
                  <wp:simplePos x="0" y="0"/>
                  <wp:positionH relativeFrom="margin">
                    <wp:align>center</wp:align>
                  </wp:positionH>
                  <wp:positionV relativeFrom="margin">
                    <wp:align>top</wp:align>
                  </wp:positionV>
                  <wp:extent cx="173318" cy="173318"/>
                  <wp:effectExtent l="0" t="0" r="0" b="0"/>
                  <wp:wrapSquare wrapText="bothSides"/>
                  <wp:docPr id="559445222" name="Graphic 55944522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r>
      <w:tr w:rsidR="000721C4" w14:paraId="2D798895" w14:textId="77777777" w:rsidTr="00DB17F7">
        <w:tc>
          <w:tcPr>
            <w:cnfStyle w:val="001000000000" w:firstRow="0" w:lastRow="0" w:firstColumn="1" w:lastColumn="0" w:oddVBand="0" w:evenVBand="0" w:oddHBand="0" w:evenHBand="0" w:firstRowFirstColumn="0" w:firstRowLastColumn="0" w:lastRowFirstColumn="0" w:lastRowLastColumn="0"/>
            <w:tcW w:w="1418" w:type="dxa"/>
          </w:tcPr>
          <w:p w14:paraId="63111401" w14:textId="28B38764" w:rsidR="000721C4" w:rsidRPr="002D606A" w:rsidRDefault="000721C4" w:rsidP="000721C4">
            <w:pPr>
              <w:rPr>
                <w:b w:val="0"/>
                <w:bCs w:val="0"/>
                <w:sz w:val="16"/>
                <w:szCs w:val="16"/>
              </w:rPr>
            </w:pPr>
            <w:r w:rsidRPr="002D606A">
              <w:rPr>
                <w:b w:val="0"/>
                <w:bCs w:val="0"/>
                <w:sz w:val="16"/>
                <w:szCs w:val="16"/>
              </w:rPr>
              <w:t>Disability</w:t>
            </w:r>
          </w:p>
        </w:tc>
        <w:tc>
          <w:tcPr>
            <w:tcW w:w="1134" w:type="dxa"/>
          </w:tcPr>
          <w:p w14:paraId="21395656" w14:textId="0A5DD050" w:rsidR="000721C4" w:rsidRPr="00A10FB3" w:rsidRDefault="000721C4" w:rsidP="000721C4">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346" behindDoc="0" locked="0" layoutInCell="1" allowOverlap="1" wp14:anchorId="4C0D3D64" wp14:editId="32F9053D">
                  <wp:simplePos x="0" y="0"/>
                  <wp:positionH relativeFrom="margin">
                    <wp:align>center</wp:align>
                  </wp:positionH>
                  <wp:positionV relativeFrom="margin">
                    <wp:align>top</wp:align>
                  </wp:positionV>
                  <wp:extent cx="173318" cy="173318"/>
                  <wp:effectExtent l="0" t="0" r="0" b="0"/>
                  <wp:wrapSquare wrapText="bothSides"/>
                  <wp:docPr id="1868766658" name="Graphic 186876665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2126" w:type="dxa"/>
          </w:tcPr>
          <w:p w14:paraId="2FB1F144" w14:textId="164ABBD2" w:rsidR="000721C4" w:rsidRPr="00A10FB3" w:rsidRDefault="000721C4" w:rsidP="000721C4">
            <w:pPr>
              <w:cnfStyle w:val="000000000000" w:firstRow="0" w:lastRow="0" w:firstColumn="0" w:lastColumn="0" w:oddVBand="0" w:evenVBand="0" w:oddHBand="0" w:evenHBand="0" w:firstRowFirstColumn="0" w:firstRowLastColumn="0" w:lastRowFirstColumn="0" w:lastRowLastColumn="0"/>
              <w:rPr>
                <w:sz w:val="16"/>
                <w:szCs w:val="16"/>
              </w:rPr>
            </w:pPr>
            <w:r w:rsidRPr="00726061">
              <w:rPr>
                <w:sz w:val="16"/>
                <w:szCs w:val="16"/>
              </w:rPr>
              <w:t xml:space="preserve">Core activity need for assistance </w:t>
            </w:r>
            <w:r>
              <w:rPr>
                <w:sz w:val="16"/>
                <w:szCs w:val="16"/>
              </w:rPr>
              <w:t xml:space="preserve">(ASSNP)—ABS Census of Population and Housing </w:t>
            </w:r>
          </w:p>
        </w:tc>
        <w:tc>
          <w:tcPr>
            <w:tcW w:w="1559" w:type="dxa"/>
          </w:tcPr>
          <w:p w14:paraId="5881973E" w14:textId="4C1425C7" w:rsidR="000721C4" w:rsidRPr="00A10FB3" w:rsidRDefault="000721C4" w:rsidP="000721C4">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347" behindDoc="0" locked="0" layoutInCell="1" allowOverlap="1" wp14:anchorId="3BFA2FDD" wp14:editId="080B12B2">
                  <wp:simplePos x="0" y="0"/>
                  <wp:positionH relativeFrom="margin">
                    <wp:align>center</wp:align>
                  </wp:positionH>
                  <wp:positionV relativeFrom="margin">
                    <wp:align>top</wp:align>
                  </wp:positionV>
                  <wp:extent cx="173318" cy="173318"/>
                  <wp:effectExtent l="0" t="0" r="0" b="0"/>
                  <wp:wrapSquare wrapText="bothSides"/>
                  <wp:docPr id="1779176674" name="Graphic 177917667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418" w:type="dxa"/>
          </w:tcPr>
          <w:p w14:paraId="7E9401AF" w14:textId="2BD8EF3D" w:rsidR="000721C4" w:rsidRPr="00A10FB3" w:rsidRDefault="000721C4" w:rsidP="000721C4">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348" behindDoc="0" locked="0" layoutInCell="1" allowOverlap="1" wp14:anchorId="3C5EAFF5" wp14:editId="179117B5">
                  <wp:simplePos x="0" y="0"/>
                  <wp:positionH relativeFrom="margin">
                    <wp:align>center</wp:align>
                  </wp:positionH>
                  <wp:positionV relativeFrom="margin">
                    <wp:align>top</wp:align>
                  </wp:positionV>
                  <wp:extent cx="197224" cy="197224"/>
                  <wp:effectExtent l="0" t="0" r="0" b="0"/>
                  <wp:wrapSquare wrapText="bothSides"/>
                  <wp:docPr id="1680813675" name="Graphic 1680813675"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97224" cy="197224"/>
                          </a:xfrm>
                          <a:prstGeom prst="rect">
                            <a:avLst/>
                          </a:prstGeom>
                        </pic:spPr>
                      </pic:pic>
                    </a:graphicData>
                  </a:graphic>
                </wp:anchor>
              </w:drawing>
            </w:r>
          </w:p>
        </w:tc>
        <w:tc>
          <w:tcPr>
            <w:tcW w:w="1371" w:type="dxa"/>
          </w:tcPr>
          <w:p w14:paraId="0F118074" w14:textId="34473C18" w:rsidR="000721C4" w:rsidRPr="00A10FB3" w:rsidRDefault="000721C4" w:rsidP="000721C4">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349" behindDoc="0" locked="0" layoutInCell="1" allowOverlap="1" wp14:anchorId="2BD9272F" wp14:editId="44C0EDF9">
                  <wp:simplePos x="0" y="0"/>
                  <wp:positionH relativeFrom="margin">
                    <wp:align>center</wp:align>
                  </wp:positionH>
                  <wp:positionV relativeFrom="margin">
                    <wp:align>top</wp:align>
                  </wp:positionV>
                  <wp:extent cx="197224" cy="197224"/>
                  <wp:effectExtent l="0" t="0" r="0" b="0"/>
                  <wp:wrapSquare wrapText="bothSides"/>
                  <wp:docPr id="1446467515" name="Graphic 1446467515"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97224" cy="197224"/>
                          </a:xfrm>
                          <a:prstGeom prst="rect">
                            <a:avLst/>
                          </a:prstGeom>
                        </pic:spPr>
                      </pic:pic>
                    </a:graphicData>
                  </a:graphic>
                </wp:anchor>
              </w:drawing>
            </w:r>
          </w:p>
        </w:tc>
      </w:tr>
      <w:tr w:rsidR="000721C4" w14:paraId="446A5161" w14:textId="77777777" w:rsidTr="00DB1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FC1755A" w14:textId="209EDEBE" w:rsidR="000721C4" w:rsidRPr="002D606A" w:rsidRDefault="000721C4" w:rsidP="000721C4">
            <w:pPr>
              <w:rPr>
                <w:b w:val="0"/>
                <w:bCs w:val="0"/>
                <w:sz w:val="16"/>
                <w:szCs w:val="16"/>
              </w:rPr>
            </w:pPr>
            <w:r w:rsidRPr="002D606A">
              <w:rPr>
                <w:b w:val="0"/>
                <w:bCs w:val="0"/>
                <w:sz w:val="16"/>
                <w:szCs w:val="16"/>
              </w:rPr>
              <w:t>Disability</w:t>
            </w:r>
          </w:p>
        </w:tc>
        <w:tc>
          <w:tcPr>
            <w:tcW w:w="1134" w:type="dxa"/>
          </w:tcPr>
          <w:p w14:paraId="2BBFBF1C" w14:textId="09D3E9A8" w:rsidR="000721C4" w:rsidRPr="00A10FB3" w:rsidRDefault="000721C4" w:rsidP="000721C4">
            <w:pPr>
              <w:cnfStyle w:val="000000100000" w:firstRow="0" w:lastRow="0" w:firstColumn="0" w:lastColumn="0" w:oddVBand="0" w:evenVBand="0" w:oddHBand="1" w:evenHBand="0" w:firstRowFirstColumn="0" w:firstRowLastColumn="0" w:lastRowFirstColumn="0" w:lastRowLastColumn="0"/>
              <w:rPr>
                <w:noProof/>
                <w:sz w:val="16"/>
                <w:szCs w:val="16"/>
              </w:rPr>
            </w:pPr>
            <w:r w:rsidRPr="00A10FB3">
              <w:rPr>
                <w:noProof/>
                <w:sz w:val="16"/>
                <w:szCs w:val="16"/>
              </w:rPr>
              <w:drawing>
                <wp:anchor distT="0" distB="0" distL="114300" distR="114300" simplePos="0" relativeHeight="251658342" behindDoc="0" locked="0" layoutInCell="1" allowOverlap="1" wp14:anchorId="21B78236" wp14:editId="180B2397">
                  <wp:simplePos x="0" y="0"/>
                  <wp:positionH relativeFrom="margin">
                    <wp:align>center</wp:align>
                  </wp:positionH>
                  <wp:positionV relativeFrom="margin">
                    <wp:align>top</wp:align>
                  </wp:positionV>
                  <wp:extent cx="173318" cy="173318"/>
                  <wp:effectExtent l="0" t="0" r="0" b="0"/>
                  <wp:wrapSquare wrapText="bothSides"/>
                  <wp:docPr id="643380243" name="Graphic 64338024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2126" w:type="dxa"/>
          </w:tcPr>
          <w:p w14:paraId="76135E99" w14:textId="7E6126C0" w:rsidR="000721C4" w:rsidRDefault="000721C4" w:rsidP="000721C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ABS National Health Survey 2020-21</w:t>
            </w:r>
          </w:p>
        </w:tc>
        <w:tc>
          <w:tcPr>
            <w:tcW w:w="1559" w:type="dxa"/>
          </w:tcPr>
          <w:p w14:paraId="60211415" w14:textId="70189E37" w:rsidR="000721C4" w:rsidRPr="00A10FB3" w:rsidRDefault="000721C4" w:rsidP="000721C4">
            <w:pPr>
              <w:cnfStyle w:val="000000100000" w:firstRow="0" w:lastRow="0" w:firstColumn="0" w:lastColumn="0" w:oddVBand="0" w:evenVBand="0" w:oddHBand="1" w:evenHBand="0" w:firstRowFirstColumn="0" w:firstRowLastColumn="0" w:lastRowFirstColumn="0" w:lastRowLastColumn="0"/>
              <w:rPr>
                <w:noProof/>
                <w:sz w:val="16"/>
                <w:szCs w:val="16"/>
              </w:rPr>
            </w:pPr>
            <w:r w:rsidRPr="00A10FB3">
              <w:rPr>
                <w:noProof/>
                <w:sz w:val="16"/>
                <w:szCs w:val="16"/>
              </w:rPr>
              <w:drawing>
                <wp:anchor distT="0" distB="0" distL="114300" distR="114300" simplePos="0" relativeHeight="251658343" behindDoc="0" locked="0" layoutInCell="1" allowOverlap="1" wp14:anchorId="7B7A9797" wp14:editId="2916868D">
                  <wp:simplePos x="0" y="0"/>
                  <wp:positionH relativeFrom="margin">
                    <wp:align>center</wp:align>
                  </wp:positionH>
                  <wp:positionV relativeFrom="margin">
                    <wp:align>top</wp:align>
                  </wp:positionV>
                  <wp:extent cx="173318" cy="173318"/>
                  <wp:effectExtent l="0" t="0" r="0" b="0"/>
                  <wp:wrapSquare wrapText="bothSides"/>
                  <wp:docPr id="398364023" name="Graphic 39836402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418" w:type="dxa"/>
          </w:tcPr>
          <w:p w14:paraId="700C573F" w14:textId="60348B17" w:rsidR="000721C4" w:rsidRPr="00A10FB3" w:rsidRDefault="000721C4" w:rsidP="000721C4">
            <w:pPr>
              <w:cnfStyle w:val="000000100000" w:firstRow="0" w:lastRow="0" w:firstColumn="0" w:lastColumn="0" w:oddVBand="0" w:evenVBand="0" w:oddHBand="1" w:evenHBand="0" w:firstRowFirstColumn="0" w:firstRowLastColumn="0" w:lastRowFirstColumn="0" w:lastRowLastColumn="0"/>
              <w:rPr>
                <w:noProof/>
                <w:sz w:val="16"/>
                <w:szCs w:val="16"/>
              </w:rPr>
            </w:pPr>
            <w:r w:rsidRPr="00A10FB3">
              <w:rPr>
                <w:noProof/>
                <w:sz w:val="16"/>
                <w:szCs w:val="16"/>
              </w:rPr>
              <w:drawing>
                <wp:anchor distT="0" distB="0" distL="114300" distR="114300" simplePos="0" relativeHeight="251658344" behindDoc="0" locked="0" layoutInCell="1" allowOverlap="1" wp14:anchorId="5AC8D037" wp14:editId="64E8A62B">
                  <wp:simplePos x="0" y="0"/>
                  <wp:positionH relativeFrom="margin">
                    <wp:align>center</wp:align>
                  </wp:positionH>
                  <wp:positionV relativeFrom="margin">
                    <wp:align>top</wp:align>
                  </wp:positionV>
                  <wp:extent cx="197224" cy="197224"/>
                  <wp:effectExtent l="0" t="0" r="0" b="0"/>
                  <wp:wrapSquare wrapText="bothSides"/>
                  <wp:docPr id="104669978" name="Graphic 104669978"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97224" cy="197224"/>
                          </a:xfrm>
                          <a:prstGeom prst="rect">
                            <a:avLst/>
                          </a:prstGeom>
                        </pic:spPr>
                      </pic:pic>
                    </a:graphicData>
                  </a:graphic>
                </wp:anchor>
              </w:drawing>
            </w:r>
          </w:p>
        </w:tc>
        <w:tc>
          <w:tcPr>
            <w:tcW w:w="1371" w:type="dxa"/>
          </w:tcPr>
          <w:p w14:paraId="247C0220" w14:textId="4C3BB7CE" w:rsidR="000721C4" w:rsidRPr="00A10FB3" w:rsidRDefault="000721C4" w:rsidP="000721C4">
            <w:pPr>
              <w:cnfStyle w:val="000000100000" w:firstRow="0" w:lastRow="0" w:firstColumn="0" w:lastColumn="0" w:oddVBand="0" w:evenVBand="0" w:oddHBand="1" w:evenHBand="0" w:firstRowFirstColumn="0" w:firstRowLastColumn="0" w:lastRowFirstColumn="0" w:lastRowLastColumn="0"/>
              <w:rPr>
                <w:noProof/>
                <w:sz w:val="16"/>
                <w:szCs w:val="16"/>
              </w:rPr>
            </w:pPr>
            <w:r w:rsidRPr="00A10FB3">
              <w:rPr>
                <w:noProof/>
                <w:sz w:val="16"/>
                <w:szCs w:val="16"/>
              </w:rPr>
              <w:drawing>
                <wp:anchor distT="0" distB="0" distL="114300" distR="114300" simplePos="0" relativeHeight="251658345" behindDoc="0" locked="0" layoutInCell="1" allowOverlap="1" wp14:anchorId="2A07412A" wp14:editId="735BAE3D">
                  <wp:simplePos x="0" y="0"/>
                  <wp:positionH relativeFrom="margin">
                    <wp:align>center</wp:align>
                  </wp:positionH>
                  <wp:positionV relativeFrom="margin">
                    <wp:align>top</wp:align>
                  </wp:positionV>
                  <wp:extent cx="197224" cy="197224"/>
                  <wp:effectExtent l="0" t="0" r="0" b="0"/>
                  <wp:wrapSquare wrapText="bothSides"/>
                  <wp:docPr id="1751763768" name="Graphic 1751763768"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97224" cy="197224"/>
                          </a:xfrm>
                          <a:prstGeom prst="rect">
                            <a:avLst/>
                          </a:prstGeom>
                        </pic:spPr>
                      </pic:pic>
                    </a:graphicData>
                  </a:graphic>
                </wp:anchor>
              </w:drawing>
            </w:r>
          </w:p>
        </w:tc>
      </w:tr>
      <w:tr w:rsidR="000721C4" w14:paraId="396899E5" w14:textId="77777777" w:rsidTr="00DB17F7">
        <w:tc>
          <w:tcPr>
            <w:cnfStyle w:val="001000000000" w:firstRow="0" w:lastRow="0" w:firstColumn="1" w:lastColumn="0" w:oddVBand="0" w:evenVBand="0" w:oddHBand="0" w:evenHBand="0" w:firstRowFirstColumn="0" w:firstRowLastColumn="0" w:lastRowFirstColumn="0" w:lastRowLastColumn="0"/>
            <w:tcW w:w="1418" w:type="dxa"/>
          </w:tcPr>
          <w:p w14:paraId="2B40F806" w14:textId="54D0A76E" w:rsidR="000721C4" w:rsidRPr="002D606A" w:rsidRDefault="000721C4" w:rsidP="000721C4">
            <w:pPr>
              <w:rPr>
                <w:b w:val="0"/>
                <w:bCs w:val="0"/>
                <w:sz w:val="16"/>
                <w:szCs w:val="16"/>
              </w:rPr>
            </w:pPr>
            <w:r w:rsidRPr="002D606A">
              <w:rPr>
                <w:b w:val="0"/>
                <w:bCs w:val="0"/>
                <w:sz w:val="16"/>
                <w:szCs w:val="16"/>
              </w:rPr>
              <w:t>Mental Health</w:t>
            </w:r>
          </w:p>
        </w:tc>
        <w:tc>
          <w:tcPr>
            <w:tcW w:w="1134" w:type="dxa"/>
          </w:tcPr>
          <w:p w14:paraId="7677BE17" w14:textId="63B3FF3A" w:rsidR="000721C4" w:rsidRPr="00A10FB3" w:rsidRDefault="000721C4" w:rsidP="000721C4">
            <w:pPr>
              <w:cnfStyle w:val="000000000000" w:firstRow="0" w:lastRow="0" w:firstColumn="0" w:lastColumn="0" w:oddVBand="0" w:evenVBand="0" w:oddHBand="0" w:evenHBand="0" w:firstRowFirstColumn="0" w:firstRowLastColumn="0" w:lastRowFirstColumn="0" w:lastRowLastColumn="0"/>
              <w:rPr>
                <w:noProof/>
                <w:sz w:val="16"/>
                <w:szCs w:val="16"/>
              </w:rPr>
            </w:pPr>
            <w:r w:rsidRPr="00A10FB3">
              <w:rPr>
                <w:noProof/>
                <w:sz w:val="16"/>
                <w:szCs w:val="16"/>
              </w:rPr>
              <w:drawing>
                <wp:anchor distT="0" distB="0" distL="114300" distR="114300" simplePos="0" relativeHeight="251658338" behindDoc="0" locked="0" layoutInCell="1" allowOverlap="1" wp14:anchorId="0B532CDD" wp14:editId="10ECD721">
                  <wp:simplePos x="0" y="0"/>
                  <wp:positionH relativeFrom="margin">
                    <wp:align>center</wp:align>
                  </wp:positionH>
                  <wp:positionV relativeFrom="margin">
                    <wp:align>center</wp:align>
                  </wp:positionV>
                  <wp:extent cx="173318" cy="173318"/>
                  <wp:effectExtent l="0" t="0" r="0" b="0"/>
                  <wp:wrapSquare wrapText="bothSides"/>
                  <wp:docPr id="834452002" name="Graphic 83445200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2126" w:type="dxa"/>
          </w:tcPr>
          <w:p w14:paraId="6AC4763C" w14:textId="6905D358" w:rsidR="000721C4" w:rsidRPr="00726061" w:rsidRDefault="000721C4" w:rsidP="000721C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ABS </w:t>
            </w:r>
            <w:r w:rsidRPr="00A10FB3">
              <w:rPr>
                <w:sz w:val="16"/>
                <w:szCs w:val="16"/>
              </w:rPr>
              <w:t>National Study of Mental Health and Wellbeing 2020-22</w:t>
            </w:r>
          </w:p>
        </w:tc>
        <w:tc>
          <w:tcPr>
            <w:tcW w:w="1559" w:type="dxa"/>
          </w:tcPr>
          <w:p w14:paraId="0DF8BBA2" w14:textId="1F89C651" w:rsidR="000721C4" w:rsidRPr="00A10FB3" w:rsidRDefault="000721C4" w:rsidP="000721C4">
            <w:pPr>
              <w:cnfStyle w:val="000000000000" w:firstRow="0" w:lastRow="0" w:firstColumn="0" w:lastColumn="0" w:oddVBand="0" w:evenVBand="0" w:oddHBand="0" w:evenHBand="0" w:firstRowFirstColumn="0" w:firstRowLastColumn="0" w:lastRowFirstColumn="0" w:lastRowLastColumn="0"/>
              <w:rPr>
                <w:noProof/>
                <w:sz w:val="16"/>
                <w:szCs w:val="16"/>
              </w:rPr>
            </w:pPr>
            <w:r w:rsidRPr="00A10FB3">
              <w:rPr>
                <w:noProof/>
                <w:sz w:val="16"/>
                <w:szCs w:val="16"/>
              </w:rPr>
              <w:drawing>
                <wp:anchor distT="0" distB="0" distL="114300" distR="114300" simplePos="0" relativeHeight="251658339" behindDoc="0" locked="0" layoutInCell="1" allowOverlap="1" wp14:anchorId="0389C1C2" wp14:editId="56DAE905">
                  <wp:simplePos x="0" y="0"/>
                  <wp:positionH relativeFrom="margin">
                    <wp:align>center</wp:align>
                  </wp:positionH>
                  <wp:positionV relativeFrom="margin">
                    <wp:align>top</wp:align>
                  </wp:positionV>
                  <wp:extent cx="197224" cy="197224"/>
                  <wp:effectExtent l="0" t="0" r="0" b="0"/>
                  <wp:wrapSquare wrapText="bothSides"/>
                  <wp:docPr id="1841584048" name="Graphic 1841584048"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97224" cy="197224"/>
                          </a:xfrm>
                          <a:prstGeom prst="rect">
                            <a:avLst/>
                          </a:prstGeom>
                        </pic:spPr>
                      </pic:pic>
                    </a:graphicData>
                  </a:graphic>
                </wp:anchor>
              </w:drawing>
            </w:r>
          </w:p>
        </w:tc>
        <w:tc>
          <w:tcPr>
            <w:tcW w:w="1418" w:type="dxa"/>
          </w:tcPr>
          <w:p w14:paraId="1A42F59E" w14:textId="272A51D7" w:rsidR="000721C4" w:rsidRPr="00A10FB3" w:rsidRDefault="000721C4" w:rsidP="000721C4">
            <w:pPr>
              <w:cnfStyle w:val="000000000000" w:firstRow="0" w:lastRow="0" w:firstColumn="0" w:lastColumn="0" w:oddVBand="0" w:evenVBand="0" w:oddHBand="0" w:evenHBand="0" w:firstRowFirstColumn="0" w:firstRowLastColumn="0" w:lastRowFirstColumn="0" w:lastRowLastColumn="0"/>
              <w:rPr>
                <w:noProof/>
                <w:sz w:val="16"/>
                <w:szCs w:val="16"/>
              </w:rPr>
            </w:pPr>
            <w:r w:rsidRPr="00A10FB3">
              <w:rPr>
                <w:noProof/>
                <w:sz w:val="16"/>
                <w:szCs w:val="16"/>
              </w:rPr>
              <w:drawing>
                <wp:anchor distT="0" distB="0" distL="114300" distR="114300" simplePos="0" relativeHeight="251658340" behindDoc="0" locked="0" layoutInCell="1" allowOverlap="1" wp14:anchorId="1D926399" wp14:editId="1403AACB">
                  <wp:simplePos x="0" y="0"/>
                  <wp:positionH relativeFrom="margin">
                    <wp:posOffset>297959</wp:posOffset>
                  </wp:positionH>
                  <wp:positionV relativeFrom="margin">
                    <wp:posOffset>30480</wp:posOffset>
                  </wp:positionV>
                  <wp:extent cx="197224" cy="197224"/>
                  <wp:effectExtent l="0" t="0" r="0" b="0"/>
                  <wp:wrapSquare wrapText="bothSides"/>
                  <wp:docPr id="1366754520" name="Graphic 1366754520"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97224" cy="197224"/>
                          </a:xfrm>
                          <a:prstGeom prst="rect">
                            <a:avLst/>
                          </a:prstGeom>
                        </pic:spPr>
                      </pic:pic>
                    </a:graphicData>
                  </a:graphic>
                </wp:anchor>
              </w:drawing>
            </w:r>
          </w:p>
        </w:tc>
        <w:tc>
          <w:tcPr>
            <w:tcW w:w="1371" w:type="dxa"/>
          </w:tcPr>
          <w:p w14:paraId="15D577FB" w14:textId="6BBBE8CA" w:rsidR="000721C4" w:rsidRPr="00A10FB3" w:rsidRDefault="000721C4" w:rsidP="000721C4">
            <w:pPr>
              <w:cnfStyle w:val="000000000000" w:firstRow="0" w:lastRow="0" w:firstColumn="0" w:lastColumn="0" w:oddVBand="0" w:evenVBand="0" w:oddHBand="0" w:evenHBand="0" w:firstRowFirstColumn="0" w:firstRowLastColumn="0" w:lastRowFirstColumn="0" w:lastRowLastColumn="0"/>
              <w:rPr>
                <w:noProof/>
                <w:sz w:val="16"/>
                <w:szCs w:val="16"/>
              </w:rPr>
            </w:pPr>
            <w:r w:rsidRPr="00A10FB3">
              <w:rPr>
                <w:noProof/>
                <w:sz w:val="16"/>
                <w:szCs w:val="16"/>
              </w:rPr>
              <w:drawing>
                <wp:anchor distT="0" distB="0" distL="114300" distR="114300" simplePos="0" relativeHeight="251658341" behindDoc="0" locked="0" layoutInCell="1" allowOverlap="1" wp14:anchorId="22DE6C52" wp14:editId="49EE3EA9">
                  <wp:simplePos x="0" y="0"/>
                  <wp:positionH relativeFrom="margin">
                    <wp:align>center</wp:align>
                  </wp:positionH>
                  <wp:positionV relativeFrom="margin">
                    <wp:align>top</wp:align>
                  </wp:positionV>
                  <wp:extent cx="173318" cy="173318"/>
                  <wp:effectExtent l="0" t="0" r="0" b="0"/>
                  <wp:wrapSquare wrapText="bothSides"/>
                  <wp:docPr id="690232764" name="Graphic 69023276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r>
      <w:tr w:rsidR="000721C4" w14:paraId="326DACBF" w14:textId="77777777" w:rsidTr="00DB17F7">
        <w:trPr>
          <w:cnfStyle w:val="000000100000" w:firstRow="0" w:lastRow="0" w:firstColumn="0" w:lastColumn="0" w:oddVBand="0" w:evenVBand="0" w:oddHBand="1"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1418" w:type="dxa"/>
          </w:tcPr>
          <w:p w14:paraId="2A797693" w14:textId="77777777" w:rsidR="000721C4" w:rsidRPr="002D606A" w:rsidRDefault="000721C4" w:rsidP="000721C4">
            <w:pPr>
              <w:rPr>
                <w:b w:val="0"/>
                <w:bCs w:val="0"/>
                <w:sz w:val="16"/>
                <w:szCs w:val="16"/>
              </w:rPr>
            </w:pPr>
            <w:r w:rsidRPr="002D606A">
              <w:rPr>
                <w:b w:val="0"/>
                <w:bCs w:val="0"/>
                <w:sz w:val="16"/>
                <w:szCs w:val="16"/>
              </w:rPr>
              <w:lastRenderedPageBreak/>
              <w:t>Mental Health</w:t>
            </w:r>
          </w:p>
        </w:tc>
        <w:tc>
          <w:tcPr>
            <w:tcW w:w="1134" w:type="dxa"/>
          </w:tcPr>
          <w:p w14:paraId="10C6B2F5" w14:textId="77777777" w:rsidR="000721C4" w:rsidRPr="00A10FB3" w:rsidRDefault="000721C4" w:rsidP="000721C4">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335" behindDoc="0" locked="0" layoutInCell="1" allowOverlap="1" wp14:anchorId="21CF5C25" wp14:editId="2B0EAC7E">
                  <wp:simplePos x="0" y="0"/>
                  <wp:positionH relativeFrom="margin">
                    <wp:align>center</wp:align>
                  </wp:positionH>
                  <wp:positionV relativeFrom="margin">
                    <wp:align>center</wp:align>
                  </wp:positionV>
                  <wp:extent cx="173318" cy="173318"/>
                  <wp:effectExtent l="0" t="0" r="0" b="0"/>
                  <wp:wrapSquare wrapText="bothSides"/>
                  <wp:docPr id="1188828836" name="Graphic 118882883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2126" w:type="dxa"/>
          </w:tcPr>
          <w:p w14:paraId="31CC1468" w14:textId="1A160AD0" w:rsidR="000721C4" w:rsidRPr="00A10FB3" w:rsidRDefault="000721C4" w:rsidP="000721C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H</w:t>
            </w:r>
            <w:r w:rsidRPr="00EE19E7">
              <w:rPr>
                <w:sz w:val="16"/>
                <w:szCs w:val="16"/>
              </w:rPr>
              <w:t>as mental health condition</w:t>
            </w:r>
            <w:r>
              <w:rPr>
                <w:sz w:val="16"/>
                <w:szCs w:val="16"/>
              </w:rPr>
              <w:t xml:space="preserve"> — ABS Census of Population and Housing </w:t>
            </w:r>
          </w:p>
        </w:tc>
        <w:tc>
          <w:tcPr>
            <w:tcW w:w="1559" w:type="dxa"/>
          </w:tcPr>
          <w:p w14:paraId="7D37A47B" w14:textId="77777777" w:rsidR="000721C4" w:rsidRPr="00A10FB3" w:rsidRDefault="000721C4" w:rsidP="000721C4">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336" behindDoc="0" locked="0" layoutInCell="1" allowOverlap="1" wp14:anchorId="6CFC2853" wp14:editId="20A3EE17">
                  <wp:simplePos x="0" y="0"/>
                  <wp:positionH relativeFrom="margin">
                    <wp:align>center</wp:align>
                  </wp:positionH>
                  <wp:positionV relativeFrom="margin">
                    <wp:align>top</wp:align>
                  </wp:positionV>
                  <wp:extent cx="173318" cy="173318"/>
                  <wp:effectExtent l="0" t="0" r="0" b="0"/>
                  <wp:wrapSquare wrapText="bothSides"/>
                  <wp:docPr id="880432755" name="Graphic 88043275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418" w:type="dxa"/>
          </w:tcPr>
          <w:p w14:paraId="5AAE068E" w14:textId="1B6EB82E" w:rsidR="000721C4" w:rsidRPr="00A10FB3" w:rsidRDefault="000721C4" w:rsidP="000721C4">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331" behindDoc="0" locked="0" layoutInCell="1" allowOverlap="1" wp14:anchorId="4BF1BE99" wp14:editId="6943B636">
                  <wp:simplePos x="0" y="0"/>
                  <wp:positionH relativeFrom="margin">
                    <wp:align>center</wp:align>
                  </wp:positionH>
                  <wp:positionV relativeFrom="margin">
                    <wp:align>top</wp:align>
                  </wp:positionV>
                  <wp:extent cx="197224" cy="197224"/>
                  <wp:effectExtent l="0" t="0" r="0" b="0"/>
                  <wp:wrapSquare wrapText="bothSides"/>
                  <wp:docPr id="1021587287" name="Graphic 1021587287"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97224" cy="197224"/>
                          </a:xfrm>
                          <a:prstGeom prst="rect">
                            <a:avLst/>
                          </a:prstGeom>
                        </pic:spPr>
                      </pic:pic>
                    </a:graphicData>
                  </a:graphic>
                </wp:anchor>
              </w:drawing>
            </w:r>
          </w:p>
        </w:tc>
        <w:tc>
          <w:tcPr>
            <w:tcW w:w="1371" w:type="dxa"/>
          </w:tcPr>
          <w:p w14:paraId="613E69CC" w14:textId="77777777" w:rsidR="000721C4" w:rsidRPr="00A10FB3" w:rsidRDefault="000721C4" w:rsidP="000721C4">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337" behindDoc="0" locked="0" layoutInCell="1" allowOverlap="1" wp14:anchorId="231F1562" wp14:editId="7A840CD7">
                  <wp:simplePos x="0" y="0"/>
                  <wp:positionH relativeFrom="margin">
                    <wp:align>center</wp:align>
                  </wp:positionH>
                  <wp:positionV relativeFrom="margin">
                    <wp:align>top</wp:align>
                  </wp:positionV>
                  <wp:extent cx="173318" cy="173318"/>
                  <wp:effectExtent l="0" t="0" r="0" b="0"/>
                  <wp:wrapSquare wrapText="bothSides"/>
                  <wp:docPr id="261602189" name="Graphic 26160218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r>
      <w:tr w:rsidR="000721C4" w14:paraId="13222700" w14:textId="77777777" w:rsidTr="00DB17F7">
        <w:tc>
          <w:tcPr>
            <w:cnfStyle w:val="001000000000" w:firstRow="0" w:lastRow="0" w:firstColumn="1" w:lastColumn="0" w:oddVBand="0" w:evenVBand="0" w:oddHBand="0" w:evenHBand="0" w:firstRowFirstColumn="0" w:firstRowLastColumn="0" w:lastRowFirstColumn="0" w:lastRowLastColumn="0"/>
            <w:tcW w:w="1418" w:type="dxa"/>
          </w:tcPr>
          <w:p w14:paraId="375BFC52" w14:textId="77777777" w:rsidR="000721C4" w:rsidRPr="002D606A" w:rsidRDefault="000721C4" w:rsidP="000721C4">
            <w:pPr>
              <w:rPr>
                <w:b w:val="0"/>
                <w:bCs w:val="0"/>
                <w:sz w:val="16"/>
                <w:szCs w:val="18"/>
              </w:rPr>
            </w:pPr>
            <w:r w:rsidRPr="002D606A">
              <w:rPr>
                <w:b w:val="0"/>
                <w:bCs w:val="0"/>
                <w:sz w:val="16"/>
                <w:szCs w:val="18"/>
              </w:rPr>
              <w:t>Mental Health</w:t>
            </w:r>
          </w:p>
        </w:tc>
        <w:tc>
          <w:tcPr>
            <w:tcW w:w="1134" w:type="dxa"/>
          </w:tcPr>
          <w:p w14:paraId="5EEB97A6" w14:textId="77777777" w:rsidR="000721C4" w:rsidRPr="00A10FB3" w:rsidRDefault="000721C4" w:rsidP="000721C4">
            <w:pPr>
              <w:cnfStyle w:val="000000000000" w:firstRow="0" w:lastRow="0" w:firstColumn="0" w:lastColumn="0" w:oddVBand="0" w:evenVBand="0" w:oddHBand="0" w:evenHBand="0" w:firstRowFirstColumn="0" w:firstRowLastColumn="0" w:lastRowFirstColumn="0" w:lastRowLastColumn="0"/>
              <w:rPr>
                <w:sz w:val="16"/>
                <w:szCs w:val="18"/>
              </w:rPr>
            </w:pPr>
            <w:r w:rsidRPr="00A10FB3">
              <w:rPr>
                <w:noProof/>
                <w:sz w:val="16"/>
                <w:szCs w:val="18"/>
              </w:rPr>
              <w:drawing>
                <wp:anchor distT="0" distB="0" distL="114300" distR="114300" simplePos="0" relativeHeight="251658330" behindDoc="0" locked="0" layoutInCell="1" allowOverlap="1" wp14:anchorId="41605310" wp14:editId="275F666E">
                  <wp:simplePos x="0" y="0"/>
                  <wp:positionH relativeFrom="margin">
                    <wp:align>center</wp:align>
                  </wp:positionH>
                  <wp:positionV relativeFrom="margin">
                    <wp:align>center</wp:align>
                  </wp:positionV>
                  <wp:extent cx="173318" cy="173318"/>
                  <wp:effectExtent l="0" t="0" r="0" b="0"/>
                  <wp:wrapSquare wrapText="bothSides"/>
                  <wp:docPr id="465403442" name="Graphic 46540344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2126" w:type="dxa"/>
          </w:tcPr>
          <w:p w14:paraId="0F25AE8C" w14:textId="613E9F96" w:rsidR="000721C4" w:rsidRPr="00A10FB3" w:rsidRDefault="000721C4" w:rsidP="000721C4">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t xml:space="preserve">ABS </w:t>
            </w:r>
            <w:r w:rsidRPr="00A10FB3">
              <w:rPr>
                <w:sz w:val="16"/>
                <w:szCs w:val="18"/>
              </w:rPr>
              <w:t>National Health Survey 20</w:t>
            </w:r>
            <w:r>
              <w:rPr>
                <w:sz w:val="16"/>
                <w:szCs w:val="18"/>
              </w:rPr>
              <w:t>20-21</w:t>
            </w:r>
          </w:p>
        </w:tc>
        <w:tc>
          <w:tcPr>
            <w:tcW w:w="1559" w:type="dxa"/>
          </w:tcPr>
          <w:p w14:paraId="33A5F246" w14:textId="77777777" w:rsidR="000721C4" w:rsidRPr="00A10FB3" w:rsidRDefault="000721C4" w:rsidP="000721C4">
            <w:pPr>
              <w:cnfStyle w:val="000000000000" w:firstRow="0" w:lastRow="0" w:firstColumn="0" w:lastColumn="0" w:oddVBand="0" w:evenVBand="0" w:oddHBand="0" w:evenHBand="0" w:firstRowFirstColumn="0" w:firstRowLastColumn="0" w:lastRowFirstColumn="0" w:lastRowLastColumn="0"/>
              <w:rPr>
                <w:sz w:val="16"/>
                <w:szCs w:val="18"/>
              </w:rPr>
            </w:pPr>
            <w:r w:rsidRPr="00A10FB3">
              <w:rPr>
                <w:noProof/>
                <w:sz w:val="16"/>
                <w:szCs w:val="18"/>
              </w:rPr>
              <w:drawing>
                <wp:anchor distT="0" distB="0" distL="114300" distR="114300" simplePos="0" relativeHeight="251658333" behindDoc="0" locked="0" layoutInCell="1" allowOverlap="1" wp14:anchorId="11E946BB" wp14:editId="3D4B3353">
                  <wp:simplePos x="0" y="0"/>
                  <wp:positionH relativeFrom="margin">
                    <wp:align>center</wp:align>
                  </wp:positionH>
                  <wp:positionV relativeFrom="margin">
                    <wp:align>top</wp:align>
                  </wp:positionV>
                  <wp:extent cx="173318" cy="173318"/>
                  <wp:effectExtent l="0" t="0" r="0" b="0"/>
                  <wp:wrapSquare wrapText="bothSides"/>
                  <wp:docPr id="1477146218" name="Graphic 147714621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418" w:type="dxa"/>
          </w:tcPr>
          <w:p w14:paraId="004C30DD" w14:textId="77777777" w:rsidR="000721C4" w:rsidRPr="00A10FB3" w:rsidRDefault="000721C4" w:rsidP="000721C4">
            <w:pPr>
              <w:cnfStyle w:val="000000000000" w:firstRow="0" w:lastRow="0" w:firstColumn="0" w:lastColumn="0" w:oddVBand="0" w:evenVBand="0" w:oddHBand="0" w:evenHBand="0" w:firstRowFirstColumn="0" w:firstRowLastColumn="0" w:lastRowFirstColumn="0" w:lastRowLastColumn="0"/>
              <w:rPr>
                <w:sz w:val="16"/>
                <w:szCs w:val="18"/>
              </w:rPr>
            </w:pPr>
            <w:r w:rsidRPr="00A10FB3">
              <w:rPr>
                <w:noProof/>
                <w:sz w:val="16"/>
                <w:szCs w:val="18"/>
              </w:rPr>
              <w:drawing>
                <wp:anchor distT="0" distB="0" distL="114300" distR="114300" simplePos="0" relativeHeight="251658332" behindDoc="0" locked="0" layoutInCell="1" allowOverlap="1" wp14:anchorId="08FCC442" wp14:editId="6401C7EE">
                  <wp:simplePos x="0" y="0"/>
                  <wp:positionH relativeFrom="margin">
                    <wp:align>center</wp:align>
                  </wp:positionH>
                  <wp:positionV relativeFrom="margin">
                    <wp:align>top</wp:align>
                  </wp:positionV>
                  <wp:extent cx="197224" cy="197224"/>
                  <wp:effectExtent l="0" t="0" r="0" b="0"/>
                  <wp:wrapSquare wrapText="bothSides"/>
                  <wp:docPr id="559356524" name="Graphic 559356524"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97224" cy="197224"/>
                          </a:xfrm>
                          <a:prstGeom prst="rect">
                            <a:avLst/>
                          </a:prstGeom>
                        </pic:spPr>
                      </pic:pic>
                    </a:graphicData>
                  </a:graphic>
                </wp:anchor>
              </w:drawing>
            </w:r>
          </w:p>
        </w:tc>
        <w:tc>
          <w:tcPr>
            <w:tcW w:w="1371" w:type="dxa"/>
          </w:tcPr>
          <w:p w14:paraId="05FB4211" w14:textId="77777777" w:rsidR="000721C4" w:rsidRPr="00A10FB3" w:rsidRDefault="000721C4" w:rsidP="000721C4">
            <w:pPr>
              <w:cnfStyle w:val="000000000000" w:firstRow="0" w:lastRow="0" w:firstColumn="0" w:lastColumn="0" w:oddVBand="0" w:evenVBand="0" w:oddHBand="0" w:evenHBand="0" w:firstRowFirstColumn="0" w:firstRowLastColumn="0" w:lastRowFirstColumn="0" w:lastRowLastColumn="0"/>
              <w:rPr>
                <w:sz w:val="16"/>
                <w:szCs w:val="18"/>
              </w:rPr>
            </w:pPr>
            <w:r w:rsidRPr="00A10FB3">
              <w:rPr>
                <w:noProof/>
                <w:sz w:val="16"/>
                <w:szCs w:val="18"/>
              </w:rPr>
              <w:drawing>
                <wp:anchor distT="0" distB="0" distL="114300" distR="114300" simplePos="0" relativeHeight="251658334" behindDoc="0" locked="0" layoutInCell="1" allowOverlap="1" wp14:anchorId="335FD8E4" wp14:editId="7F107E16">
                  <wp:simplePos x="0" y="0"/>
                  <wp:positionH relativeFrom="margin">
                    <wp:align>center</wp:align>
                  </wp:positionH>
                  <wp:positionV relativeFrom="margin">
                    <wp:align>top</wp:align>
                  </wp:positionV>
                  <wp:extent cx="173318" cy="173318"/>
                  <wp:effectExtent l="0" t="0" r="0" b="0"/>
                  <wp:wrapSquare wrapText="bothSides"/>
                  <wp:docPr id="2025297133" name="Graphic 202529713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r>
    </w:tbl>
    <w:p w14:paraId="4BE27A5F" w14:textId="18FFD6D1" w:rsidR="001F0502" w:rsidRDefault="001F0502" w:rsidP="002417CB"/>
    <w:p w14:paraId="577AB1AB" w14:textId="43362757" w:rsidR="002417CB" w:rsidRPr="004361E9" w:rsidRDefault="00A97961" w:rsidP="00A97961">
      <w:pPr>
        <w:pStyle w:val="BoxText"/>
        <w:pBdr>
          <w:bottom w:val="single" w:sz="4" w:space="19" w:color="DDDDDD"/>
        </w:pBdr>
        <w:shd w:val="clear" w:color="auto" w:fill="E5F8FF"/>
        <w:ind w:left="426"/>
        <w:rPr>
          <w:rFonts w:ascii="Open Sans Semibold" w:hAnsi="Open Sans Semibold" w:cs="Open Sans Semibold"/>
          <w:bCs/>
          <w:color w:val="006991"/>
          <w:sz w:val="26"/>
          <w:szCs w:val="26"/>
        </w:rPr>
      </w:pPr>
      <w:bookmarkStart w:id="18" w:name="Box1"/>
      <w:r>
        <w:rPr>
          <w:rFonts w:ascii="Open Sans Semibold" w:hAnsi="Open Sans Semibold" w:cs="Open Sans Semibold"/>
          <w:bCs/>
          <w:color w:val="006991"/>
          <w:sz w:val="26"/>
          <w:szCs w:val="26"/>
        </w:rPr>
        <w:br/>
      </w:r>
      <w:r w:rsidR="002417CB" w:rsidRPr="004361E9">
        <w:rPr>
          <w:rFonts w:ascii="Open Sans Semibold" w:hAnsi="Open Sans Semibold" w:cs="Open Sans Semibold"/>
          <w:bCs/>
          <w:color w:val="006991"/>
          <w:sz w:val="26"/>
          <w:szCs w:val="26"/>
        </w:rPr>
        <w:t>Box 1</w:t>
      </w:r>
      <w:r w:rsidR="002417CB" w:rsidRPr="004361E9">
        <w:rPr>
          <w:rFonts w:ascii="Open Sans Semibold" w:hAnsi="Open Sans Semibold" w:cs="Open Sans Semibold"/>
          <w:bCs/>
          <w:color w:val="006991"/>
          <w:sz w:val="26"/>
          <w:szCs w:val="26"/>
        </w:rPr>
        <w:tab/>
      </w:r>
      <w:bookmarkEnd w:id="18"/>
      <w:r w:rsidR="002417CB" w:rsidRPr="004361E9">
        <w:rPr>
          <w:rFonts w:ascii="Open Sans Semibold" w:hAnsi="Open Sans Semibold" w:cs="Open Sans Semibold"/>
          <w:bCs/>
          <w:color w:val="006991"/>
          <w:sz w:val="26"/>
          <w:szCs w:val="26"/>
        </w:rPr>
        <w:t xml:space="preserve">Case study on assessing mental health as a driver of need </w:t>
      </w:r>
      <w:r w:rsidR="00DD2D16">
        <w:rPr>
          <w:rFonts w:ascii="Open Sans Semibold" w:hAnsi="Open Sans Semibold" w:cs="Open Sans Semibold"/>
          <w:bCs/>
          <w:color w:val="006991"/>
          <w:sz w:val="26"/>
          <w:szCs w:val="26"/>
        </w:rPr>
        <w:tab/>
      </w:r>
      <w:r w:rsidR="00DD2D16">
        <w:rPr>
          <w:rFonts w:ascii="Open Sans Semibold" w:hAnsi="Open Sans Semibold" w:cs="Open Sans Semibold"/>
          <w:bCs/>
          <w:color w:val="006991"/>
          <w:sz w:val="26"/>
          <w:szCs w:val="26"/>
        </w:rPr>
        <w:tab/>
      </w:r>
      <w:r w:rsidR="002417CB" w:rsidRPr="004361E9">
        <w:rPr>
          <w:rFonts w:ascii="Open Sans Semibold" w:hAnsi="Open Sans Semibold" w:cs="Open Sans Semibold"/>
          <w:bCs/>
          <w:color w:val="006991"/>
          <w:sz w:val="26"/>
          <w:szCs w:val="26"/>
        </w:rPr>
        <w:t xml:space="preserve">for homelessness services </w:t>
      </w:r>
      <w:proofErr w:type="gramStart"/>
      <w:r w:rsidR="002417CB" w:rsidRPr="004361E9">
        <w:rPr>
          <w:rFonts w:ascii="Open Sans Semibold" w:hAnsi="Open Sans Semibold" w:cs="Open Sans Semibold"/>
          <w:bCs/>
          <w:color w:val="006991"/>
          <w:sz w:val="26"/>
          <w:szCs w:val="26"/>
        </w:rPr>
        <w:t>spending</w:t>
      </w:r>
      <w:proofErr w:type="gramEnd"/>
    </w:p>
    <w:p w14:paraId="29E14FBE" w14:textId="44CF2E67" w:rsidR="002417CB" w:rsidRPr="002417CB" w:rsidRDefault="002417CB" w:rsidP="00A97961">
      <w:pPr>
        <w:pStyle w:val="BoxText"/>
        <w:pBdr>
          <w:bottom w:val="single" w:sz="4" w:space="19" w:color="DDDDDD"/>
        </w:pBdr>
        <w:shd w:val="clear" w:color="auto" w:fill="E5F8FF"/>
        <w:ind w:left="426"/>
        <w:rPr>
          <w:rFonts w:ascii="Work Sans" w:hAnsi="Work Sans"/>
          <w:sz w:val="20"/>
        </w:rPr>
      </w:pPr>
      <w:r w:rsidRPr="002417CB">
        <w:rPr>
          <w:rFonts w:ascii="Work Sans" w:hAnsi="Work Sans"/>
          <w:sz w:val="20"/>
        </w:rPr>
        <w:t>The Commission considered the inclusion of mental health conditions as a driver of state spending on homelessness services in the 2025 Review Consultation paper. However, upon further investigation</w:t>
      </w:r>
      <w:r w:rsidR="00F00E37">
        <w:rPr>
          <w:rFonts w:ascii="Work Sans" w:hAnsi="Work Sans"/>
          <w:sz w:val="20"/>
        </w:rPr>
        <w:t>,</w:t>
      </w:r>
      <w:r w:rsidRPr="002417CB">
        <w:rPr>
          <w:rFonts w:ascii="Work Sans" w:hAnsi="Work Sans"/>
          <w:sz w:val="20"/>
        </w:rPr>
        <w:t xml:space="preserve"> </w:t>
      </w:r>
      <w:r w:rsidR="00C6445E">
        <w:rPr>
          <w:rFonts w:ascii="Work Sans" w:hAnsi="Work Sans"/>
          <w:sz w:val="20"/>
        </w:rPr>
        <w:t xml:space="preserve">fit for purpose </w:t>
      </w:r>
      <w:r w:rsidRPr="002417CB">
        <w:rPr>
          <w:rFonts w:ascii="Work Sans" w:hAnsi="Work Sans"/>
          <w:sz w:val="20"/>
        </w:rPr>
        <w:t>data</w:t>
      </w:r>
      <w:r w:rsidR="00FC3B05">
        <w:rPr>
          <w:rFonts w:ascii="Work Sans" w:hAnsi="Work Sans"/>
          <w:sz w:val="20"/>
        </w:rPr>
        <w:t xml:space="preserve"> </w:t>
      </w:r>
      <w:r w:rsidRPr="002417CB">
        <w:rPr>
          <w:rFonts w:ascii="Work Sans" w:hAnsi="Work Sans"/>
          <w:sz w:val="20"/>
        </w:rPr>
        <w:t>were not available.</w:t>
      </w:r>
    </w:p>
    <w:p w14:paraId="43BCFD78" w14:textId="11D9C4F5" w:rsidR="002417CB" w:rsidRPr="002417CB" w:rsidRDefault="002417CB" w:rsidP="00A97961">
      <w:pPr>
        <w:pStyle w:val="BoxText"/>
        <w:pBdr>
          <w:bottom w:val="single" w:sz="4" w:space="19" w:color="DDDDDD"/>
        </w:pBdr>
        <w:shd w:val="clear" w:color="auto" w:fill="E5F8FF"/>
        <w:ind w:left="426"/>
        <w:rPr>
          <w:rFonts w:ascii="Work Sans" w:hAnsi="Work Sans"/>
          <w:sz w:val="20"/>
        </w:rPr>
      </w:pPr>
      <w:r w:rsidRPr="002417CB">
        <w:rPr>
          <w:rFonts w:ascii="Work Sans" w:hAnsi="Work Sans"/>
          <w:sz w:val="20"/>
        </w:rPr>
        <w:t xml:space="preserve">Data on the use of specialist homelessness services by people with mental health conditions from the Australian Institute of Health and Welfare </w:t>
      </w:r>
      <w:r w:rsidR="00A63112">
        <w:rPr>
          <w:rFonts w:ascii="Work Sans" w:hAnsi="Work Sans"/>
          <w:sz w:val="20"/>
        </w:rPr>
        <w:t>are</w:t>
      </w:r>
      <w:r w:rsidRPr="002417CB">
        <w:rPr>
          <w:rFonts w:ascii="Work Sans" w:hAnsi="Work Sans"/>
          <w:sz w:val="20"/>
        </w:rPr>
        <w:t xml:space="preserve"> available, cross</w:t>
      </w:r>
      <w:r w:rsidR="002E665A">
        <w:rPr>
          <w:rFonts w:ascii="Work Sans" w:hAnsi="Work Sans"/>
          <w:sz w:val="20"/>
        </w:rPr>
        <w:noBreakHyphen/>
      </w:r>
      <w:r w:rsidRPr="002417CB">
        <w:rPr>
          <w:rFonts w:ascii="Work Sans" w:hAnsi="Work Sans"/>
          <w:sz w:val="20"/>
        </w:rPr>
        <w:t xml:space="preserve">classified by age, Indigenous status, </w:t>
      </w:r>
      <w:proofErr w:type="gramStart"/>
      <w:r w:rsidRPr="002417CB">
        <w:rPr>
          <w:rFonts w:ascii="Work Sans" w:hAnsi="Work Sans"/>
          <w:sz w:val="20"/>
        </w:rPr>
        <w:t>remoteness</w:t>
      </w:r>
      <w:proofErr w:type="gramEnd"/>
      <w:r w:rsidRPr="002417CB">
        <w:rPr>
          <w:rFonts w:ascii="Work Sans" w:hAnsi="Work Sans"/>
          <w:sz w:val="20"/>
        </w:rPr>
        <w:t xml:space="preserve"> and socio</w:t>
      </w:r>
      <w:r w:rsidR="00383BB1">
        <w:rPr>
          <w:rFonts w:ascii="Work Sans" w:hAnsi="Work Sans"/>
          <w:sz w:val="20"/>
        </w:rPr>
        <w:noBreakHyphen/>
      </w:r>
      <w:r w:rsidRPr="002417CB">
        <w:rPr>
          <w:rFonts w:ascii="Work Sans" w:hAnsi="Work Sans"/>
          <w:sz w:val="20"/>
        </w:rPr>
        <w:t>economic status. This satisfies the first condition for a driver in a comprehensive socio-demographic assessment.</w:t>
      </w:r>
    </w:p>
    <w:p w14:paraId="4454CF71" w14:textId="684D6909" w:rsidR="002417CB" w:rsidRPr="002417CB" w:rsidRDefault="002417CB" w:rsidP="00A97961">
      <w:pPr>
        <w:pStyle w:val="BoxText"/>
        <w:pBdr>
          <w:bottom w:val="single" w:sz="4" w:space="19" w:color="DDDDDD"/>
        </w:pBdr>
        <w:shd w:val="clear" w:color="auto" w:fill="E5F8FF"/>
        <w:ind w:left="426"/>
        <w:rPr>
          <w:rFonts w:ascii="Work Sans" w:hAnsi="Work Sans"/>
          <w:sz w:val="20"/>
        </w:rPr>
      </w:pPr>
      <w:r w:rsidRPr="002417CB">
        <w:rPr>
          <w:rFonts w:ascii="Work Sans" w:hAnsi="Work Sans"/>
          <w:sz w:val="20"/>
        </w:rPr>
        <w:t>However, there were data quality concerns with the 3 potential national datasets which could</w:t>
      </w:r>
      <w:r w:rsidR="00F67C7D">
        <w:rPr>
          <w:rFonts w:ascii="Work Sans" w:hAnsi="Work Sans"/>
          <w:sz w:val="20"/>
        </w:rPr>
        <w:t xml:space="preserve"> have</w:t>
      </w:r>
      <w:r w:rsidRPr="002417CB">
        <w:rPr>
          <w:rFonts w:ascii="Work Sans" w:hAnsi="Work Sans"/>
          <w:sz w:val="20"/>
        </w:rPr>
        <w:t xml:space="preserve"> be</w:t>
      </w:r>
      <w:r w:rsidR="00F67C7D">
        <w:rPr>
          <w:rFonts w:ascii="Work Sans" w:hAnsi="Work Sans"/>
          <w:sz w:val="20"/>
        </w:rPr>
        <w:t>en</w:t>
      </w:r>
      <w:r w:rsidRPr="002417CB">
        <w:rPr>
          <w:rFonts w:ascii="Work Sans" w:hAnsi="Work Sans"/>
          <w:sz w:val="20"/>
        </w:rPr>
        <w:t xml:space="preserve"> used to estimate the prevalence of mental health conditions </w:t>
      </w:r>
      <w:r w:rsidR="003255E9">
        <w:rPr>
          <w:rFonts w:ascii="Work Sans" w:hAnsi="Work Sans"/>
          <w:sz w:val="20"/>
        </w:rPr>
        <w:t xml:space="preserve">in </w:t>
      </w:r>
      <w:r w:rsidRPr="002417CB">
        <w:rPr>
          <w:rFonts w:ascii="Work Sans" w:hAnsi="Work Sans"/>
          <w:sz w:val="20"/>
        </w:rPr>
        <w:t>cross</w:t>
      </w:r>
      <w:r w:rsidR="00EC059A">
        <w:rPr>
          <w:rFonts w:ascii="Work Sans" w:hAnsi="Work Sans"/>
          <w:sz w:val="20"/>
        </w:rPr>
        <w:noBreakHyphen/>
      </w:r>
      <w:r w:rsidRPr="002417CB">
        <w:rPr>
          <w:rFonts w:ascii="Work Sans" w:hAnsi="Work Sans"/>
          <w:sz w:val="20"/>
        </w:rPr>
        <w:t>classif</w:t>
      </w:r>
      <w:r w:rsidR="003255E9">
        <w:rPr>
          <w:rFonts w:ascii="Work Sans" w:hAnsi="Work Sans"/>
          <w:sz w:val="20"/>
        </w:rPr>
        <w:t>ied</w:t>
      </w:r>
      <w:r w:rsidRPr="002417CB">
        <w:rPr>
          <w:rFonts w:ascii="Work Sans" w:hAnsi="Work Sans"/>
          <w:sz w:val="20"/>
        </w:rPr>
        <w:t xml:space="preserve"> state populations.</w:t>
      </w:r>
    </w:p>
    <w:p w14:paraId="04A6FCA5" w14:textId="6DD589E1" w:rsidR="002417CB" w:rsidRPr="002417CB" w:rsidRDefault="002417CB" w:rsidP="00A97961">
      <w:pPr>
        <w:pStyle w:val="BoxText"/>
        <w:pBdr>
          <w:bottom w:val="single" w:sz="4" w:space="19" w:color="DDDDDD"/>
        </w:pBdr>
        <w:shd w:val="clear" w:color="auto" w:fill="E5F8FF"/>
        <w:ind w:left="426"/>
        <w:rPr>
          <w:rFonts w:ascii="Work Sans" w:hAnsi="Work Sans"/>
          <w:sz w:val="20"/>
        </w:rPr>
      </w:pPr>
      <w:r w:rsidRPr="002417CB">
        <w:rPr>
          <w:rFonts w:ascii="Work Sans" w:hAnsi="Work Sans"/>
          <w:sz w:val="20"/>
        </w:rPr>
        <w:t>The ABS recommends using the National Study of Mental Health and Wellbeing to estimate the prevalence of mental health conditions in the community</w:t>
      </w:r>
      <w:r w:rsidR="00EC059A">
        <w:rPr>
          <w:rFonts w:ascii="Work Sans" w:hAnsi="Work Sans"/>
          <w:sz w:val="20"/>
        </w:rPr>
        <w:t>.</w:t>
      </w:r>
      <w:r w:rsidR="00782221">
        <w:rPr>
          <w:rStyle w:val="FootnoteReference"/>
        </w:rPr>
        <w:footnoteReference w:id="10"/>
      </w:r>
      <w:r w:rsidRPr="002417CB">
        <w:rPr>
          <w:rFonts w:ascii="Work Sans" w:hAnsi="Work Sans"/>
          <w:sz w:val="20"/>
        </w:rPr>
        <w:t xml:space="preserve"> However, estimates are not available for First Nations people, nor does the survey include people living in very remote Australia. As a result, these data are not currently suitable to be used by the Commission. </w:t>
      </w:r>
      <w:r w:rsidR="003255E9">
        <w:rPr>
          <w:rFonts w:ascii="Work Sans" w:hAnsi="Work Sans"/>
          <w:sz w:val="20"/>
        </w:rPr>
        <w:t>W</w:t>
      </w:r>
      <w:r w:rsidRPr="002417CB">
        <w:rPr>
          <w:rFonts w:ascii="Work Sans" w:hAnsi="Work Sans"/>
          <w:sz w:val="20"/>
        </w:rPr>
        <w:t>ork is being undertaken by the Commonwealth Department of Health and the ABS to develop a survey of First Nations people.</w:t>
      </w:r>
    </w:p>
    <w:p w14:paraId="1536EA36" w14:textId="0C18389B" w:rsidR="002417CB" w:rsidRPr="002417CB" w:rsidRDefault="00F13639" w:rsidP="00A97961">
      <w:pPr>
        <w:pStyle w:val="BoxText"/>
        <w:pBdr>
          <w:bottom w:val="single" w:sz="4" w:space="19" w:color="DDDDDD"/>
        </w:pBdr>
        <w:shd w:val="clear" w:color="auto" w:fill="E5F8FF"/>
        <w:ind w:left="426"/>
        <w:rPr>
          <w:rFonts w:ascii="Work Sans" w:hAnsi="Work Sans"/>
          <w:sz w:val="20"/>
        </w:rPr>
      </w:pPr>
      <w:r>
        <w:rPr>
          <w:rFonts w:ascii="Work Sans" w:hAnsi="Work Sans"/>
          <w:sz w:val="20"/>
        </w:rPr>
        <w:t xml:space="preserve">The second </w:t>
      </w:r>
      <w:r w:rsidR="00E04F8D">
        <w:rPr>
          <w:rFonts w:ascii="Work Sans" w:hAnsi="Work Sans"/>
          <w:sz w:val="20"/>
        </w:rPr>
        <w:t>data source</w:t>
      </w:r>
      <w:r>
        <w:rPr>
          <w:rFonts w:ascii="Work Sans" w:hAnsi="Work Sans"/>
          <w:sz w:val="20"/>
        </w:rPr>
        <w:t xml:space="preserve"> is the 2021 ABS Census. </w:t>
      </w:r>
      <w:r w:rsidR="002417CB" w:rsidRPr="002417CB">
        <w:rPr>
          <w:rFonts w:ascii="Work Sans" w:hAnsi="Work Sans"/>
          <w:sz w:val="20"/>
        </w:rPr>
        <w:t>The 2021 ABS Census collected information on whether people were suffering from long-term health conditions</w:t>
      </w:r>
      <w:r w:rsidR="00E73834">
        <w:rPr>
          <w:rFonts w:ascii="Work Sans" w:hAnsi="Work Sans"/>
          <w:sz w:val="20"/>
        </w:rPr>
        <w:t>,</w:t>
      </w:r>
      <w:r w:rsidR="002417CB" w:rsidRPr="002417CB">
        <w:rPr>
          <w:rFonts w:ascii="Work Sans" w:hAnsi="Work Sans"/>
          <w:sz w:val="20"/>
        </w:rPr>
        <w:t xml:space="preserve"> including mental health conditions. However, the </w:t>
      </w:r>
      <w:r w:rsidR="00D45C58" w:rsidRPr="002417CB">
        <w:rPr>
          <w:rFonts w:ascii="Work Sans" w:hAnsi="Work Sans"/>
          <w:sz w:val="20"/>
        </w:rPr>
        <w:t>2021</w:t>
      </w:r>
      <w:r w:rsidR="00D45C58">
        <w:rPr>
          <w:rFonts w:ascii="Work Sans" w:hAnsi="Work Sans"/>
          <w:sz w:val="20"/>
        </w:rPr>
        <w:t> </w:t>
      </w:r>
      <w:r w:rsidR="008F2ABA">
        <w:rPr>
          <w:rFonts w:ascii="Work Sans" w:hAnsi="Work Sans"/>
          <w:sz w:val="20"/>
        </w:rPr>
        <w:t>C</w:t>
      </w:r>
      <w:r w:rsidR="002417CB" w:rsidRPr="002417CB">
        <w:rPr>
          <w:rFonts w:ascii="Work Sans" w:hAnsi="Work Sans"/>
          <w:sz w:val="20"/>
        </w:rPr>
        <w:t>ensus is also unsuitable for the Commission</w:t>
      </w:r>
      <w:r w:rsidR="000B33AB">
        <w:rPr>
          <w:rFonts w:ascii="Work Sans" w:hAnsi="Work Sans"/>
          <w:sz w:val="20"/>
        </w:rPr>
        <w:t>’</w:t>
      </w:r>
      <w:r w:rsidR="002417CB" w:rsidRPr="002417CB">
        <w:rPr>
          <w:rFonts w:ascii="Work Sans" w:hAnsi="Work Sans"/>
          <w:sz w:val="20"/>
        </w:rPr>
        <w:t>s use</w:t>
      </w:r>
      <w:r w:rsidR="00E82B76">
        <w:rPr>
          <w:rFonts w:ascii="Work Sans" w:hAnsi="Work Sans"/>
          <w:sz w:val="20"/>
        </w:rPr>
        <w:t xml:space="preserve"> because </w:t>
      </w:r>
      <w:r w:rsidR="002417CB" w:rsidRPr="002417CB">
        <w:rPr>
          <w:rFonts w:ascii="Work Sans" w:hAnsi="Work Sans"/>
          <w:sz w:val="20"/>
        </w:rPr>
        <w:t xml:space="preserve">the </w:t>
      </w:r>
      <w:r w:rsidR="00A13319">
        <w:rPr>
          <w:rFonts w:ascii="Work Sans" w:hAnsi="Work Sans"/>
          <w:sz w:val="20"/>
        </w:rPr>
        <w:t>c</w:t>
      </w:r>
      <w:r w:rsidR="00FC3B05">
        <w:rPr>
          <w:rFonts w:ascii="Work Sans" w:hAnsi="Work Sans"/>
          <w:sz w:val="20"/>
        </w:rPr>
        <w:t>ensus</w:t>
      </w:r>
      <w:r w:rsidR="002417CB" w:rsidRPr="002417CB">
        <w:rPr>
          <w:rFonts w:ascii="Work Sans" w:hAnsi="Work Sans"/>
          <w:sz w:val="20"/>
        </w:rPr>
        <w:t xml:space="preserve"> mental health condition question </w:t>
      </w:r>
      <w:r w:rsidR="00E82B76">
        <w:rPr>
          <w:rFonts w:ascii="Work Sans" w:hAnsi="Work Sans"/>
          <w:sz w:val="20"/>
        </w:rPr>
        <w:t>is self-reported</w:t>
      </w:r>
      <w:r w:rsidR="00F87531">
        <w:rPr>
          <w:rFonts w:ascii="Work Sans" w:hAnsi="Work Sans"/>
          <w:sz w:val="20"/>
        </w:rPr>
        <w:t xml:space="preserve"> leading to </w:t>
      </w:r>
      <w:r w:rsidR="00CC5388">
        <w:rPr>
          <w:rFonts w:ascii="Work Sans" w:hAnsi="Work Sans"/>
          <w:sz w:val="20"/>
        </w:rPr>
        <w:t xml:space="preserve">potential </w:t>
      </w:r>
      <w:r w:rsidR="00243381">
        <w:rPr>
          <w:rFonts w:ascii="Work Sans" w:hAnsi="Work Sans"/>
          <w:sz w:val="20"/>
        </w:rPr>
        <w:t>underreporting</w:t>
      </w:r>
      <w:r w:rsidR="00455591">
        <w:rPr>
          <w:rFonts w:ascii="Work Sans" w:hAnsi="Work Sans"/>
          <w:sz w:val="20"/>
        </w:rPr>
        <w:t>. The</w:t>
      </w:r>
      <w:r w:rsidR="00F92B04">
        <w:rPr>
          <w:rFonts w:ascii="Work Sans" w:hAnsi="Work Sans"/>
          <w:sz w:val="20"/>
        </w:rPr>
        <w:t>se</w:t>
      </w:r>
      <w:r w:rsidR="00455591">
        <w:rPr>
          <w:rFonts w:ascii="Work Sans" w:hAnsi="Work Sans"/>
          <w:sz w:val="20"/>
        </w:rPr>
        <w:t xml:space="preserve"> data </w:t>
      </w:r>
      <w:r w:rsidR="00243175">
        <w:rPr>
          <w:rFonts w:ascii="Work Sans" w:hAnsi="Work Sans"/>
          <w:sz w:val="20"/>
        </w:rPr>
        <w:t>are</w:t>
      </w:r>
      <w:r w:rsidR="00455591">
        <w:rPr>
          <w:rFonts w:ascii="Work Sans" w:hAnsi="Work Sans"/>
          <w:sz w:val="20"/>
        </w:rPr>
        <w:t xml:space="preserve"> also </w:t>
      </w:r>
      <w:r w:rsidR="002417CB" w:rsidRPr="002417CB">
        <w:rPr>
          <w:rFonts w:ascii="Work Sans" w:hAnsi="Work Sans"/>
          <w:sz w:val="20"/>
        </w:rPr>
        <w:t>inconsisten</w:t>
      </w:r>
      <w:r w:rsidR="00E82B76">
        <w:rPr>
          <w:rFonts w:ascii="Work Sans" w:hAnsi="Work Sans"/>
          <w:sz w:val="20"/>
        </w:rPr>
        <w:t>t</w:t>
      </w:r>
      <w:r w:rsidR="002417CB" w:rsidRPr="002417CB">
        <w:rPr>
          <w:rFonts w:ascii="Work Sans" w:hAnsi="Work Sans"/>
          <w:sz w:val="20"/>
        </w:rPr>
        <w:t xml:space="preserve"> with the ABS’s preferred data source for prevalence of mental health conditions (National Study of Mental Health and Wellbeing</w:t>
      </w:r>
      <w:r w:rsidR="00E82B76">
        <w:rPr>
          <w:rFonts w:ascii="Work Sans" w:hAnsi="Work Sans"/>
          <w:sz w:val="20"/>
        </w:rPr>
        <w:t>)</w:t>
      </w:r>
      <w:r w:rsidR="00D93A50">
        <w:rPr>
          <w:rFonts w:ascii="Work Sans" w:hAnsi="Work Sans"/>
          <w:sz w:val="20"/>
        </w:rPr>
        <w:t>,</w:t>
      </w:r>
      <w:r w:rsidR="00E82B76" w:rsidRPr="00E82B76">
        <w:rPr>
          <w:rFonts w:ascii="Work Sans" w:hAnsi="Work Sans"/>
          <w:sz w:val="20"/>
        </w:rPr>
        <w:t xml:space="preserve"> </w:t>
      </w:r>
      <w:r w:rsidR="00E82B76" w:rsidRPr="002417CB">
        <w:rPr>
          <w:rFonts w:ascii="Work Sans" w:hAnsi="Work Sans"/>
          <w:sz w:val="20"/>
        </w:rPr>
        <w:t>particularly for the Northern Territory</w:t>
      </w:r>
      <w:r w:rsidR="00E82B76">
        <w:rPr>
          <w:rFonts w:ascii="Work Sans" w:hAnsi="Work Sans"/>
          <w:sz w:val="20"/>
        </w:rPr>
        <w:t>. This</w:t>
      </w:r>
      <w:r w:rsidR="002417CB" w:rsidRPr="002417CB">
        <w:rPr>
          <w:rFonts w:ascii="Work Sans" w:hAnsi="Work Sans"/>
          <w:sz w:val="20"/>
        </w:rPr>
        <w:t xml:space="preserve"> led the Commission to conclude that the </w:t>
      </w:r>
      <w:r w:rsidR="008F3D27">
        <w:rPr>
          <w:rFonts w:ascii="Work Sans" w:hAnsi="Work Sans"/>
          <w:sz w:val="20"/>
        </w:rPr>
        <w:t>2021 C</w:t>
      </w:r>
      <w:r w:rsidR="002417CB" w:rsidRPr="002417CB">
        <w:rPr>
          <w:rFonts w:ascii="Work Sans" w:hAnsi="Work Sans"/>
          <w:sz w:val="20"/>
        </w:rPr>
        <w:t xml:space="preserve">ensus data </w:t>
      </w:r>
      <w:r w:rsidR="00243175">
        <w:rPr>
          <w:rFonts w:ascii="Work Sans" w:hAnsi="Work Sans"/>
          <w:sz w:val="20"/>
        </w:rPr>
        <w:t>are</w:t>
      </w:r>
      <w:r w:rsidR="002417CB" w:rsidRPr="002417CB">
        <w:rPr>
          <w:rFonts w:ascii="Work Sans" w:hAnsi="Work Sans"/>
          <w:sz w:val="20"/>
        </w:rPr>
        <w:t xml:space="preserve"> not representative of the prevalence of mental health conditions in Australia </w:t>
      </w:r>
      <w:r w:rsidR="002417CB" w:rsidRPr="00565FD6">
        <w:rPr>
          <w:rFonts w:ascii="Work Sans" w:hAnsi="Work Sans"/>
          <w:sz w:val="20"/>
        </w:rPr>
        <w:t>(</w:t>
      </w:r>
      <w:r w:rsidR="00360B69" w:rsidRPr="003F794F">
        <w:rPr>
          <w:rFonts w:ascii="Work Sans" w:hAnsi="Work Sans"/>
          <w:sz w:val="20"/>
        </w:rPr>
        <w:fldChar w:fldCharType="begin"/>
      </w:r>
      <w:r w:rsidR="00360B69" w:rsidRPr="003F794F">
        <w:rPr>
          <w:rFonts w:ascii="Work Sans" w:hAnsi="Work Sans"/>
          <w:sz w:val="20"/>
        </w:rPr>
        <w:instrText xml:space="preserve"> REF Figure5 \h </w:instrText>
      </w:r>
      <w:r w:rsidR="003F794F" w:rsidRPr="003F794F">
        <w:rPr>
          <w:rFonts w:ascii="Work Sans" w:hAnsi="Work Sans"/>
          <w:sz w:val="20"/>
        </w:rPr>
        <w:instrText xml:space="preserve"> \* MERGEFORMAT </w:instrText>
      </w:r>
      <w:r w:rsidR="00360B69" w:rsidRPr="003F794F">
        <w:rPr>
          <w:rFonts w:ascii="Work Sans" w:hAnsi="Work Sans"/>
          <w:sz w:val="20"/>
        </w:rPr>
      </w:r>
      <w:r w:rsidR="00360B69" w:rsidRPr="003F794F">
        <w:rPr>
          <w:rFonts w:ascii="Work Sans" w:hAnsi="Work Sans"/>
          <w:sz w:val="20"/>
        </w:rPr>
        <w:fldChar w:fldCharType="separate"/>
      </w:r>
      <w:r w:rsidR="00E61CEB" w:rsidRPr="00E61CEB">
        <w:rPr>
          <w:rFonts w:ascii="Work Sans" w:hAnsi="Work Sans"/>
          <w:sz w:val="20"/>
        </w:rPr>
        <w:t>Figure 5</w:t>
      </w:r>
      <w:r w:rsidR="00360B69" w:rsidRPr="003F794F">
        <w:rPr>
          <w:rFonts w:ascii="Work Sans" w:hAnsi="Work Sans"/>
          <w:sz w:val="20"/>
        </w:rPr>
        <w:fldChar w:fldCharType="end"/>
      </w:r>
      <w:r w:rsidR="002417CB" w:rsidRPr="002417CB">
        <w:rPr>
          <w:rFonts w:ascii="Work Sans" w:hAnsi="Work Sans"/>
          <w:sz w:val="20"/>
        </w:rPr>
        <w:t>). The Commission’s view is that while using the 2021 Census data is feasible, the result is unlikely to reflect the impact of mental health conditions on the need for state spending on specialist homelessness services</w:t>
      </w:r>
      <w:r w:rsidR="00B75789">
        <w:rPr>
          <w:rFonts w:ascii="Work Sans" w:hAnsi="Work Sans"/>
          <w:sz w:val="20"/>
        </w:rPr>
        <w:t>,</w:t>
      </w:r>
      <w:r w:rsidR="002417CB" w:rsidRPr="002417CB">
        <w:rPr>
          <w:rFonts w:ascii="Work Sans" w:hAnsi="Work Sans"/>
          <w:sz w:val="20"/>
        </w:rPr>
        <w:t xml:space="preserve"> particularly in the Northern Territory.</w:t>
      </w:r>
    </w:p>
    <w:p w14:paraId="2B405E08" w14:textId="39DBAA1D" w:rsidR="002417CB" w:rsidRDefault="002417CB" w:rsidP="00A97961">
      <w:pPr>
        <w:pStyle w:val="BoxText"/>
        <w:pBdr>
          <w:bottom w:val="single" w:sz="4" w:space="19" w:color="DDDDDD"/>
        </w:pBdr>
        <w:shd w:val="clear" w:color="auto" w:fill="E5F8FF"/>
        <w:ind w:left="426"/>
        <w:rPr>
          <w:rFonts w:ascii="Work Sans" w:hAnsi="Work Sans"/>
          <w:sz w:val="20"/>
        </w:rPr>
      </w:pPr>
      <w:r w:rsidRPr="002417CB">
        <w:rPr>
          <w:rFonts w:ascii="Work Sans" w:hAnsi="Work Sans"/>
          <w:sz w:val="20"/>
        </w:rPr>
        <w:lastRenderedPageBreak/>
        <w:t xml:space="preserve">The final data source considered by the Commission to assess mental health conditions was the National Health Survey and the companion National Aboriginal and Torres Strait Islander Health Survey. Commission analysis of the survey microdata </w:t>
      </w:r>
      <w:r w:rsidR="00D45025">
        <w:rPr>
          <w:rFonts w:ascii="Work Sans" w:hAnsi="Work Sans"/>
          <w:sz w:val="20"/>
        </w:rPr>
        <w:t>in the</w:t>
      </w:r>
      <w:r w:rsidRPr="002417CB">
        <w:rPr>
          <w:rFonts w:ascii="Work Sans" w:hAnsi="Work Sans"/>
          <w:sz w:val="20"/>
        </w:rPr>
        <w:t xml:space="preserve"> Person Level Integrated Data Asset (P</w:t>
      </w:r>
      <w:r w:rsidR="0034517D">
        <w:rPr>
          <w:rFonts w:ascii="Work Sans" w:hAnsi="Work Sans"/>
          <w:sz w:val="20"/>
        </w:rPr>
        <w:t>LI</w:t>
      </w:r>
      <w:r w:rsidRPr="002417CB">
        <w:rPr>
          <w:rFonts w:ascii="Work Sans" w:hAnsi="Work Sans"/>
          <w:sz w:val="20"/>
        </w:rPr>
        <w:t>DA) managed by the ABS demonstrated that survey samples did not allow for the cross-classification of mental health conditions by age, socioeconomic status</w:t>
      </w:r>
      <w:r w:rsidR="00490C2A">
        <w:rPr>
          <w:rFonts w:ascii="Work Sans" w:hAnsi="Work Sans"/>
          <w:sz w:val="20"/>
        </w:rPr>
        <w:t>,</w:t>
      </w:r>
      <w:r w:rsidRPr="002417CB">
        <w:rPr>
          <w:rFonts w:ascii="Work Sans" w:hAnsi="Work Sans"/>
          <w:sz w:val="20"/>
        </w:rPr>
        <w:t xml:space="preserve"> remoteness</w:t>
      </w:r>
      <w:r w:rsidR="00D343BD">
        <w:rPr>
          <w:rFonts w:ascii="Work Sans" w:hAnsi="Work Sans"/>
          <w:sz w:val="20"/>
        </w:rPr>
        <w:t xml:space="preserve">, </w:t>
      </w:r>
      <w:r w:rsidRPr="002417CB">
        <w:rPr>
          <w:rFonts w:ascii="Work Sans" w:hAnsi="Work Sans"/>
          <w:sz w:val="20"/>
        </w:rPr>
        <w:t xml:space="preserve">Indigenous </w:t>
      </w:r>
      <w:proofErr w:type="gramStart"/>
      <w:r w:rsidRPr="002417CB">
        <w:rPr>
          <w:rFonts w:ascii="Work Sans" w:hAnsi="Work Sans"/>
          <w:sz w:val="20"/>
        </w:rPr>
        <w:t>status</w:t>
      </w:r>
      <w:proofErr w:type="gramEnd"/>
      <w:r w:rsidRPr="002417CB">
        <w:rPr>
          <w:rFonts w:ascii="Work Sans" w:hAnsi="Work Sans"/>
          <w:sz w:val="20"/>
        </w:rPr>
        <w:t xml:space="preserve"> and state </w:t>
      </w:r>
      <w:r w:rsidR="00604EEF">
        <w:rPr>
          <w:rFonts w:ascii="Work Sans" w:hAnsi="Work Sans"/>
          <w:sz w:val="20"/>
        </w:rPr>
        <w:t>because of</w:t>
      </w:r>
      <w:r w:rsidRPr="002417CB">
        <w:rPr>
          <w:rFonts w:ascii="Work Sans" w:hAnsi="Work Sans"/>
          <w:sz w:val="20"/>
        </w:rPr>
        <w:t xml:space="preserve"> confidentiality</w:t>
      </w:r>
      <w:r w:rsidR="000A24D1">
        <w:rPr>
          <w:rFonts w:ascii="Work Sans" w:hAnsi="Work Sans"/>
          <w:sz w:val="20"/>
        </w:rPr>
        <w:t>.</w:t>
      </w:r>
      <w:r w:rsidR="00782221">
        <w:rPr>
          <w:rStyle w:val="FootnoteReference"/>
        </w:rPr>
        <w:footnoteReference w:id="11"/>
      </w:r>
    </w:p>
    <w:p w14:paraId="576EFD14" w14:textId="604219B6" w:rsidR="00D9012E" w:rsidRPr="00A23A15" w:rsidRDefault="0057135B" w:rsidP="00A23A15">
      <w:pPr>
        <w:pStyle w:val="BoxText"/>
        <w:pBdr>
          <w:bottom w:val="single" w:sz="4" w:space="19" w:color="DDDDDD"/>
        </w:pBdr>
        <w:shd w:val="clear" w:color="auto" w:fill="E5F8FF"/>
        <w:tabs>
          <w:tab w:val="left" w:pos="1418"/>
        </w:tabs>
        <w:ind w:left="426"/>
        <w:rPr>
          <w:rFonts w:ascii="Work Sans" w:hAnsi="Work Sans"/>
          <w:b/>
          <w:bCs/>
          <w:sz w:val="20"/>
        </w:rPr>
      </w:pPr>
      <w:bookmarkStart w:id="19" w:name="Figure5"/>
      <w:r w:rsidRPr="00A23A15">
        <w:rPr>
          <w:rFonts w:ascii="Work Sans" w:hAnsi="Work Sans"/>
          <w:b/>
          <w:bCs/>
          <w:sz w:val="20"/>
        </w:rPr>
        <w:t>Figure 5</w:t>
      </w:r>
      <w:bookmarkEnd w:id="19"/>
      <w:r w:rsidRPr="00A23A15">
        <w:rPr>
          <w:rFonts w:ascii="Work Sans" w:hAnsi="Work Sans"/>
          <w:b/>
          <w:bCs/>
          <w:sz w:val="20"/>
        </w:rPr>
        <w:tab/>
        <w:t>National prevalence of mental health conditions, by state, by data source</w:t>
      </w:r>
    </w:p>
    <w:p w14:paraId="2E8CB8BF" w14:textId="0382BC45" w:rsidR="00D9012E" w:rsidRDefault="004B11BB" w:rsidP="00A97961">
      <w:pPr>
        <w:pStyle w:val="BoxText"/>
        <w:pBdr>
          <w:bottom w:val="single" w:sz="4" w:space="19" w:color="DDDDDD"/>
        </w:pBdr>
        <w:shd w:val="clear" w:color="auto" w:fill="E5F8FF"/>
        <w:ind w:left="426"/>
        <w:rPr>
          <w:rFonts w:ascii="Work Sans" w:hAnsi="Work Sans"/>
          <w:sz w:val="20"/>
        </w:rPr>
      </w:pPr>
      <w:r w:rsidRPr="004B11BB">
        <w:rPr>
          <w:noProof/>
        </w:rPr>
        <w:drawing>
          <wp:anchor distT="0" distB="0" distL="114300" distR="114300" simplePos="0" relativeHeight="251658350" behindDoc="0" locked="0" layoutInCell="1" allowOverlap="1" wp14:anchorId="759ACCAD" wp14:editId="42445EB6">
            <wp:simplePos x="0" y="0"/>
            <wp:positionH relativeFrom="column">
              <wp:posOffset>307731</wp:posOffset>
            </wp:positionH>
            <wp:positionV relativeFrom="paragraph">
              <wp:posOffset>69362</wp:posOffset>
            </wp:positionV>
            <wp:extent cx="5257800" cy="2433757"/>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83301" cy="24455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B6005A" w14:textId="5B7E1F34" w:rsidR="002417CB" w:rsidRPr="00BA0A72" w:rsidRDefault="002417CB" w:rsidP="00A97961">
      <w:pPr>
        <w:pStyle w:val="BoxText"/>
        <w:pBdr>
          <w:bottom w:val="single" w:sz="4" w:space="19" w:color="DDDDDD"/>
        </w:pBdr>
        <w:shd w:val="clear" w:color="auto" w:fill="E5F8FF"/>
        <w:ind w:left="426"/>
        <w:rPr>
          <w:rFonts w:ascii="Work Sans" w:hAnsi="Work Sans"/>
          <w:color w:val="FFFFFF" w:themeColor="background1"/>
          <w:sz w:val="20"/>
          <w14:textFill>
            <w14:noFill/>
          </w14:textFill>
        </w:rPr>
      </w:pPr>
    </w:p>
    <w:p w14:paraId="1A5C14EA" w14:textId="6E7E6F5A" w:rsidR="002417CB" w:rsidRDefault="002417CB" w:rsidP="00A97961">
      <w:pPr>
        <w:pStyle w:val="BoxText"/>
        <w:pBdr>
          <w:bottom w:val="single" w:sz="4" w:space="19" w:color="DDDDDD"/>
        </w:pBdr>
        <w:shd w:val="clear" w:color="auto" w:fill="E5F8FF"/>
        <w:ind w:left="426"/>
        <w:rPr>
          <w:rFonts w:ascii="Work Sans" w:hAnsi="Work Sans"/>
          <w:sz w:val="20"/>
        </w:rPr>
      </w:pPr>
    </w:p>
    <w:p w14:paraId="4CDA8D03" w14:textId="6013BA3B" w:rsidR="00BA0A72" w:rsidRDefault="00BA0A72" w:rsidP="00A97961">
      <w:pPr>
        <w:pStyle w:val="BoxText"/>
        <w:pBdr>
          <w:bottom w:val="single" w:sz="4" w:space="19" w:color="DDDDDD"/>
        </w:pBdr>
        <w:shd w:val="clear" w:color="auto" w:fill="E5F8FF"/>
        <w:ind w:left="426"/>
        <w:rPr>
          <w:rFonts w:ascii="Work Sans" w:hAnsi="Work Sans"/>
          <w:sz w:val="20"/>
        </w:rPr>
      </w:pPr>
    </w:p>
    <w:p w14:paraId="4AFF2F9E" w14:textId="2CBDD04F" w:rsidR="00BA0A72" w:rsidRDefault="00BA0A72" w:rsidP="00A97961">
      <w:pPr>
        <w:pStyle w:val="BoxText"/>
        <w:pBdr>
          <w:bottom w:val="single" w:sz="4" w:space="19" w:color="DDDDDD"/>
        </w:pBdr>
        <w:shd w:val="clear" w:color="auto" w:fill="E5F8FF"/>
        <w:ind w:left="426"/>
        <w:rPr>
          <w:rFonts w:ascii="Work Sans" w:hAnsi="Work Sans"/>
          <w:sz w:val="20"/>
        </w:rPr>
      </w:pPr>
    </w:p>
    <w:p w14:paraId="2D649A6A" w14:textId="42FB542C" w:rsidR="002417CB" w:rsidRDefault="002417CB" w:rsidP="00A97961">
      <w:pPr>
        <w:pStyle w:val="BoxText"/>
        <w:pBdr>
          <w:bottom w:val="single" w:sz="4" w:space="19" w:color="DDDDDD"/>
        </w:pBdr>
        <w:shd w:val="clear" w:color="auto" w:fill="E5F8FF"/>
        <w:ind w:left="426"/>
        <w:rPr>
          <w:rFonts w:ascii="Work Sans" w:hAnsi="Work Sans"/>
          <w:sz w:val="20"/>
        </w:rPr>
      </w:pPr>
    </w:p>
    <w:p w14:paraId="2C4321B1" w14:textId="77777777" w:rsidR="00B210F5" w:rsidRDefault="00B210F5" w:rsidP="00A97961">
      <w:pPr>
        <w:pStyle w:val="BoxText"/>
        <w:pBdr>
          <w:bottom w:val="single" w:sz="4" w:space="19" w:color="DDDDDD"/>
        </w:pBdr>
        <w:shd w:val="clear" w:color="auto" w:fill="E5F8FF"/>
        <w:ind w:left="426"/>
        <w:rPr>
          <w:rFonts w:ascii="Work Sans" w:hAnsi="Work Sans"/>
          <w:sz w:val="20"/>
        </w:rPr>
      </w:pPr>
    </w:p>
    <w:p w14:paraId="3EAF4B64" w14:textId="1C4D67E9" w:rsidR="00B210F5" w:rsidRDefault="00B210F5" w:rsidP="00A97961">
      <w:pPr>
        <w:pStyle w:val="BoxText"/>
        <w:pBdr>
          <w:bottom w:val="single" w:sz="4" w:space="19" w:color="DDDDDD"/>
        </w:pBdr>
        <w:shd w:val="clear" w:color="auto" w:fill="E5F8FF"/>
        <w:ind w:left="426"/>
        <w:rPr>
          <w:rFonts w:ascii="Work Sans" w:hAnsi="Work Sans"/>
          <w:sz w:val="20"/>
        </w:rPr>
      </w:pPr>
    </w:p>
    <w:p w14:paraId="2AFAFB0E" w14:textId="3806B904" w:rsidR="00B210F5" w:rsidRDefault="00B210F5" w:rsidP="00A97961">
      <w:pPr>
        <w:pStyle w:val="BoxText"/>
        <w:pBdr>
          <w:bottom w:val="single" w:sz="4" w:space="19" w:color="DDDDDD"/>
        </w:pBdr>
        <w:shd w:val="clear" w:color="auto" w:fill="E5F8FF"/>
        <w:ind w:left="426"/>
        <w:rPr>
          <w:rFonts w:ascii="Work Sans" w:hAnsi="Work Sans"/>
          <w:sz w:val="20"/>
        </w:rPr>
      </w:pPr>
    </w:p>
    <w:p w14:paraId="764D19C0" w14:textId="4537735E" w:rsidR="00B210F5" w:rsidRDefault="00B210F5" w:rsidP="00A97961">
      <w:pPr>
        <w:pStyle w:val="BoxText"/>
        <w:pBdr>
          <w:bottom w:val="single" w:sz="4" w:space="19" w:color="DDDDDD"/>
        </w:pBdr>
        <w:shd w:val="clear" w:color="auto" w:fill="E5F8FF"/>
        <w:ind w:left="426"/>
        <w:rPr>
          <w:rFonts w:ascii="Work Sans" w:hAnsi="Work Sans"/>
          <w:sz w:val="20"/>
        </w:rPr>
      </w:pPr>
    </w:p>
    <w:p w14:paraId="3D97D892" w14:textId="2D94B84A" w:rsidR="00E02E5A" w:rsidRPr="00E02E5A" w:rsidRDefault="006417EF" w:rsidP="00CD7356">
      <w:pPr>
        <w:pStyle w:val="BoxText"/>
        <w:pBdr>
          <w:bottom w:val="single" w:sz="4" w:space="19" w:color="DDDDDD"/>
        </w:pBdr>
        <w:shd w:val="clear" w:color="auto" w:fill="E5F8FF"/>
        <w:tabs>
          <w:tab w:val="left" w:pos="709"/>
          <w:tab w:val="left" w:pos="851"/>
        </w:tabs>
        <w:spacing w:after="0" w:line="240" w:lineRule="auto"/>
        <w:ind w:left="426"/>
        <w:rPr>
          <w:rFonts w:ascii="Work Sans" w:hAnsi="Work Sans"/>
          <w:sz w:val="14"/>
          <w:szCs w:val="14"/>
        </w:rPr>
      </w:pPr>
      <w:bookmarkStart w:id="20" w:name="tempbookmark"/>
      <w:bookmarkEnd w:id="20"/>
      <w:r>
        <w:rPr>
          <w:rFonts w:ascii="Work Sans" w:hAnsi="Work Sans"/>
          <w:sz w:val="14"/>
          <w:szCs w:val="14"/>
        </w:rPr>
        <w:t xml:space="preserve">(a) </w:t>
      </w:r>
      <w:r w:rsidR="00CD7356">
        <w:rPr>
          <w:rFonts w:ascii="Work Sans" w:hAnsi="Work Sans"/>
          <w:sz w:val="14"/>
          <w:szCs w:val="14"/>
        </w:rPr>
        <w:tab/>
      </w:r>
      <w:r w:rsidR="00E02E5A" w:rsidRPr="00E02E5A">
        <w:rPr>
          <w:rFonts w:ascii="Work Sans" w:hAnsi="Work Sans"/>
          <w:sz w:val="14"/>
          <w:szCs w:val="14"/>
        </w:rPr>
        <w:t>Long term health conditions – mental health. (b) 12-month mental disorder</w:t>
      </w:r>
      <w:r w:rsidR="00012B74">
        <w:rPr>
          <w:rFonts w:ascii="Work Sans" w:hAnsi="Work Sans"/>
          <w:sz w:val="14"/>
          <w:szCs w:val="14"/>
        </w:rPr>
        <w:t>.</w:t>
      </w:r>
      <w:r w:rsidR="00E02E5A" w:rsidRPr="00E02E5A">
        <w:rPr>
          <w:rFonts w:ascii="Work Sans" w:hAnsi="Work Sans"/>
          <w:sz w:val="14"/>
          <w:szCs w:val="14"/>
        </w:rPr>
        <w:t xml:space="preserve"> (c) Mental and behavioural conditions.</w:t>
      </w:r>
      <w:r w:rsidR="007829AD">
        <w:rPr>
          <w:rFonts w:ascii="Work Sans" w:hAnsi="Work Sans"/>
          <w:sz w:val="14"/>
          <w:szCs w:val="14"/>
        </w:rPr>
        <w:br/>
      </w:r>
      <w:r w:rsidR="00E02E5A" w:rsidRPr="00E02E5A">
        <w:rPr>
          <w:rFonts w:ascii="Work Sans" w:hAnsi="Work Sans"/>
          <w:sz w:val="14"/>
          <w:szCs w:val="14"/>
        </w:rPr>
        <w:t xml:space="preserve">Source: </w:t>
      </w:r>
      <w:r w:rsidR="00697926" w:rsidRPr="005B3DAE">
        <w:rPr>
          <w:rFonts w:ascii="Work Sans" w:hAnsi="Work Sans"/>
          <w:sz w:val="14"/>
          <w:szCs w:val="14"/>
        </w:rPr>
        <w:t xml:space="preserve">ABS, </w:t>
      </w:r>
      <w:hyperlink r:id="rId27" w:history="1">
        <w:r w:rsidR="00697926" w:rsidRPr="005B3DAE">
          <w:rPr>
            <w:rStyle w:val="Hyperlink"/>
            <w:rFonts w:ascii="Work Sans" w:hAnsi="Work Sans"/>
            <w:i/>
            <w:iCs/>
            <w:sz w:val="14"/>
            <w:szCs w:val="14"/>
          </w:rPr>
          <w:t>2021 Census</w:t>
        </w:r>
      </w:hyperlink>
      <w:r w:rsidR="006E4A46">
        <w:rPr>
          <w:rFonts w:ascii="Work Sans" w:hAnsi="Work Sans"/>
          <w:sz w:val="14"/>
          <w:szCs w:val="14"/>
        </w:rPr>
        <w:t>; ABS</w:t>
      </w:r>
      <w:r w:rsidR="00697926">
        <w:rPr>
          <w:rFonts w:ascii="Work Sans" w:hAnsi="Work Sans"/>
          <w:sz w:val="14"/>
          <w:szCs w:val="14"/>
        </w:rPr>
        <w:t>,</w:t>
      </w:r>
      <w:r w:rsidR="00D04D5D">
        <w:rPr>
          <w:rFonts w:ascii="Work Sans" w:hAnsi="Work Sans"/>
          <w:sz w:val="14"/>
          <w:szCs w:val="14"/>
        </w:rPr>
        <w:t xml:space="preserve"> </w:t>
      </w:r>
      <w:hyperlink r:id="rId28" w:history="1">
        <w:r w:rsidR="006B7758" w:rsidRPr="00CE1471">
          <w:rPr>
            <w:rStyle w:val="Hyperlink"/>
            <w:rFonts w:ascii="Work Sans" w:hAnsi="Work Sans"/>
            <w:i/>
            <w:iCs/>
            <w:sz w:val="14"/>
            <w:szCs w:val="14"/>
          </w:rPr>
          <w:t>National Study of Mental Health and Wellbeing</w:t>
        </w:r>
      </w:hyperlink>
      <w:r w:rsidR="000C2031">
        <w:rPr>
          <w:rFonts w:ascii="Work Sans" w:hAnsi="Work Sans"/>
          <w:sz w:val="14"/>
          <w:szCs w:val="14"/>
        </w:rPr>
        <w:t>,</w:t>
      </w:r>
      <w:r w:rsidR="006B7758">
        <w:rPr>
          <w:rFonts w:ascii="Work Sans" w:hAnsi="Work Sans"/>
          <w:sz w:val="14"/>
          <w:szCs w:val="14"/>
        </w:rPr>
        <w:t xml:space="preserve"> ABS</w:t>
      </w:r>
      <w:r w:rsidR="00697926">
        <w:rPr>
          <w:rFonts w:ascii="Work Sans" w:hAnsi="Work Sans"/>
          <w:sz w:val="14"/>
          <w:szCs w:val="14"/>
        </w:rPr>
        <w:t>,</w:t>
      </w:r>
      <w:r w:rsidR="006B7758">
        <w:rPr>
          <w:rFonts w:ascii="Work Sans" w:hAnsi="Work Sans"/>
          <w:sz w:val="14"/>
          <w:szCs w:val="14"/>
        </w:rPr>
        <w:t xml:space="preserve"> </w:t>
      </w:r>
      <w:r w:rsidR="006A0C08">
        <w:rPr>
          <w:rFonts w:ascii="Work Sans" w:hAnsi="Work Sans"/>
          <w:sz w:val="14"/>
          <w:szCs w:val="14"/>
        </w:rPr>
        <w:t>2023</w:t>
      </w:r>
      <w:r w:rsidR="00886AE6">
        <w:rPr>
          <w:rFonts w:ascii="Work Sans" w:hAnsi="Work Sans"/>
          <w:sz w:val="14"/>
          <w:szCs w:val="14"/>
        </w:rPr>
        <w:t xml:space="preserve">, </w:t>
      </w:r>
      <w:r w:rsidR="00B81DDE">
        <w:rPr>
          <w:rFonts w:ascii="Work Sans" w:hAnsi="Work Sans"/>
          <w:sz w:val="14"/>
          <w:szCs w:val="14"/>
        </w:rPr>
        <w:t>accessed 1 April 2024; ABS</w:t>
      </w:r>
      <w:r w:rsidR="00697926">
        <w:rPr>
          <w:rFonts w:ascii="Work Sans" w:hAnsi="Work Sans"/>
          <w:sz w:val="14"/>
          <w:szCs w:val="14"/>
        </w:rPr>
        <w:t>,</w:t>
      </w:r>
      <w:r w:rsidR="00B81DDE">
        <w:rPr>
          <w:rFonts w:ascii="Work Sans" w:hAnsi="Work Sans"/>
          <w:sz w:val="14"/>
          <w:szCs w:val="14"/>
        </w:rPr>
        <w:t xml:space="preserve"> </w:t>
      </w:r>
      <w:r w:rsidR="00B24147">
        <w:rPr>
          <w:rFonts w:ascii="Work Sans" w:hAnsi="Work Sans"/>
          <w:sz w:val="14"/>
          <w:szCs w:val="14"/>
        </w:rPr>
        <w:br/>
      </w:r>
      <w:r w:rsidR="00B24147">
        <w:t xml:space="preserve">         </w:t>
      </w:r>
      <w:hyperlink r:id="rId29" w:history="1">
        <w:r w:rsidR="00B81DDE" w:rsidRPr="00CE1471">
          <w:rPr>
            <w:rStyle w:val="Hyperlink"/>
            <w:rFonts w:ascii="Work Sans" w:hAnsi="Work Sans"/>
            <w:i/>
            <w:iCs/>
            <w:sz w:val="14"/>
            <w:szCs w:val="14"/>
          </w:rPr>
          <w:t>National Health Survey</w:t>
        </w:r>
      </w:hyperlink>
      <w:r w:rsidR="00697926">
        <w:rPr>
          <w:rStyle w:val="Hyperlink"/>
          <w:rFonts w:ascii="Work Sans" w:hAnsi="Work Sans"/>
          <w:i/>
          <w:sz w:val="14"/>
          <w:szCs w:val="14"/>
        </w:rPr>
        <w:t>,</w:t>
      </w:r>
      <w:r w:rsidR="00B81DDE">
        <w:rPr>
          <w:rFonts w:ascii="Work Sans" w:hAnsi="Work Sans"/>
          <w:sz w:val="14"/>
          <w:szCs w:val="14"/>
        </w:rPr>
        <w:t xml:space="preserve"> </w:t>
      </w:r>
      <w:r w:rsidR="00C34EF0">
        <w:rPr>
          <w:rFonts w:ascii="Work Sans" w:hAnsi="Work Sans"/>
          <w:sz w:val="14"/>
          <w:szCs w:val="14"/>
        </w:rPr>
        <w:t>ABS</w:t>
      </w:r>
      <w:r w:rsidR="00697926">
        <w:rPr>
          <w:rFonts w:ascii="Work Sans" w:hAnsi="Work Sans"/>
          <w:sz w:val="14"/>
          <w:szCs w:val="14"/>
        </w:rPr>
        <w:t>,</w:t>
      </w:r>
      <w:r w:rsidR="00C34EF0">
        <w:rPr>
          <w:rFonts w:ascii="Work Sans" w:hAnsi="Work Sans"/>
          <w:sz w:val="14"/>
          <w:szCs w:val="14"/>
        </w:rPr>
        <w:t xml:space="preserve"> </w:t>
      </w:r>
      <w:r w:rsidR="00AA57FF">
        <w:rPr>
          <w:rFonts w:ascii="Work Sans" w:hAnsi="Work Sans"/>
          <w:sz w:val="14"/>
          <w:szCs w:val="14"/>
        </w:rPr>
        <w:t>2023</w:t>
      </w:r>
      <w:r w:rsidR="00C34EF0">
        <w:rPr>
          <w:rFonts w:ascii="Work Sans" w:hAnsi="Work Sans"/>
          <w:sz w:val="14"/>
          <w:szCs w:val="14"/>
        </w:rPr>
        <w:t>, accessed 1 April 2024.</w:t>
      </w:r>
    </w:p>
    <w:p w14:paraId="23733D9C" w14:textId="6308E7C8" w:rsidR="0006723A" w:rsidRDefault="0006723A" w:rsidP="0006723A">
      <w:pPr>
        <w:pStyle w:val="Heading4"/>
      </w:pPr>
      <w:r>
        <w:t>Commission draft position</w:t>
      </w:r>
    </w:p>
    <w:p w14:paraId="19E32596" w14:textId="6EEA1200" w:rsidR="00C563E8" w:rsidRDefault="00C563E8" w:rsidP="00C563E8">
      <w:pPr>
        <w:pStyle w:val="CGC2025ParaNumbers"/>
      </w:pPr>
      <w:r>
        <w:t>The Commission proposes to</w:t>
      </w:r>
      <w:r w:rsidR="00FA1FC3">
        <w:t xml:space="preserve"> </w:t>
      </w:r>
      <w:r w:rsidR="00443279">
        <w:t xml:space="preserve">include a differential </w:t>
      </w:r>
      <w:r w:rsidR="00FA1FC3">
        <w:t>assessment of homelessness services spending using the drivers identified in the consultation paper:</w:t>
      </w:r>
    </w:p>
    <w:p w14:paraId="09FC34FD" w14:textId="77777777" w:rsidR="00A3021F" w:rsidRDefault="00A3021F" w:rsidP="00A3021F">
      <w:pPr>
        <w:pStyle w:val="CGC2025Bullet1"/>
      </w:pPr>
      <w:r>
        <w:t>age</w:t>
      </w:r>
    </w:p>
    <w:p w14:paraId="2B897A92" w14:textId="77777777" w:rsidR="00A3021F" w:rsidRDefault="00A3021F" w:rsidP="00A3021F">
      <w:pPr>
        <w:pStyle w:val="CGC2025Bullet1"/>
      </w:pPr>
      <w:r>
        <w:t>Indigenous status</w:t>
      </w:r>
    </w:p>
    <w:p w14:paraId="542FF068" w14:textId="77777777" w:rsidR="00A3021F" w:rsidRPr="00C563E8" w:rsidRDefault="00A3021F" w:rsidP="00A3021F">
      <w:pPr>
        <w:pStyle w:val="CGC2025Bullet1"/>
      </w:pPr>
      <w:r>
        <w:t>socio-economic status</w:t>
      </w:r>
    </w:p>
    <w:p w14:paraId="4E26968E" w14:textId="77777777" w:rsidR="00A3021F" w:rsidRPr="00C563E8" w:rsidRDefault="00A3021F" w:rsidP="00A3021F">
      <w:pPr>
        <w:pStyle w:val="CGC2025Bullet1"/>
      </w:pPr>
      <w:r>
        <w:t>remoteness.</w:t>
      </w:r>
    </w:p>
    <w:p w14:paraId="7C09C08E" w14:textId="1D359CB4" w:rsidR="00A3021F" w:rsidRDefault="0001407B" w:rsidP="00C563E8">
      <w:pPr>
        <w:pStyle w:val="CGC2025ParaNumbers"/>
      </w:pPr>
      <w:r>
        <w:t>T</w:t>
      </w:r>
      <w:r w:rsidR="00A3021F">
        <w:t xml:space="preserve">he Commission agrees with states </w:t>
      </w:r>
      <w:r w:rsidR="00D66D66">
        <w:t>that</w:t>
      </w:r>
      <w:r w:rsidR="009F7A2C" w:rsidDel="005F4547">
        <w:t xml:space="preserve"> </w:t>
      </w:r>
      <w:r w:rsidR="009F7A2C">
        <w:t>mental health</w:t>
      </w:r>
      <w:r w:rsidR="00C4769A">
        <w:t xml:space="preserve"> conditions,</w:t>
      </w:r>
      <w:r w:rsidR="009F7A2C">
        <w:t xml:space="preserve"> </w:t>
      </w:r>
      <w:r w:rsidR="00294839">
        <w:t xml:space="preserve">family and domestic violence, </w:t>
      </w:r>
      <w:r w:rsidR="009F7A2C">
        <w:t>disabilit</w:t>
      </w:r>
      <w:r w:rsidR="00933AB8">
        <w:t>y</w:t>
      </w:r>
      <w:r w:rsidR="00C4769A">
        <w:t>,</w:t>
      </w:r>
      <w:r w:rsidR="00294839">
        <w:t xml:space="preserve"> and housing affordability </w:t>
      </w:r>
      <w:r w:rsidR="0062014C">
        <w:t xml:space="preserve">are </w:t>
      </w:r>
      <w:r w:rsidR="008C0824">
        <w:t xml:space="preserve">potential </w:t>
      </w:r>
      <w:r w:rsidR="009F7A2C">
        <w:t>drivers of state spending</w:t>
      </w:r>
      <w:r>
        <w:t xml:space="preserve">. </w:t>
      </w:r>
      <w:r w:rsidR="00FE75A4">
        <w:t>However</w:t>
      </w:r>
      <w:r w:rsidR="009F7A2C" w:rsidDel="0001407B">
        <w:t>,</w:t>
      </w:r>
      <w:r w:rsidR="009F7A2C">
        <w:t xml:space="preserve"> data limitations prevent the Commission from </w:t>
      </w:r>
      <w:r w:rsidR="007D65F2">
        <w:t>including</w:t>
      </w:r>
      <w:r w:rsidR="009F7A2C">
        <w:t xml:space="preserve"> these drivers in </w:t>
      </w:r>
      <w:r w:rsidR="007D65F2">
        <w:t xml:space="preserve">the </w:t>
      </w:r>
      <w:r w:rsidR="009F7A2C">
        <w:t>proposed assessment</w:t>
      </w:r>
      <w:r w:rsidR="00987C7E">
        <w:t xml:space="preserve"> </w:t>
      </w:r>
      <w:r w:rsidR="006E6C03">
        <w:t>for</w:t>
      </w:r>
      <w:r w:rsidR="00987C7E">
        <w:t xml:space="preserve"> the 2025 Review</w:t>
      </w:r>
      <w:r w:rsidR="00992125">
        <w:t xml:space="preserve">. The Commission will continue to monitor </w:t>
      </w:r>
      <w:r w:rsidR="00017A73">
        <w:t xml:space="preserve">for </w:t>
      </w:r>
      <w:r w:rsidR="00992125">
        <w:t xml:space="preserve">improvements in data quality for the proposed drivers and </w:t>
      </w:r>
      <w:r w:rsidR="00D409DB">
        <w:t>engage with the ABS and external data agencies on</w:t>
      </w:r>
      <w:r w:rsidR="00F65F0B">
        <w:t xml:space="preserve"> potential</w:t>
      </w:r>
      <w:r w:rsidR="00D409DB">
        <w:t xml:space="preserve"> data </w:t>
      </w:r>
      <w:r w:rsidR="00394661">
        <w:t>improvements</w:t>
      </w:r>
      <w:r w:rsidR="00D409DB">
        <w:t>.</w:t>
      </w:r>
    </w:p>
    <w:p w14:paraId="2548B0D9" w14:textId="0CE7FA15" w:rsidR="0006723A" w:rsidRPr="00284B22" w:rsidRDefault="0006723A" w:rsidP="0091790C">
      <w:pPr>
        <w:pStyle w:val="Heading3"/>
        <w:keepNext/>
        <w:keepLines/>
      </w:pPr>
      <w:r>
        <w:lastRenderedPageBreak/>
        <w:t>Q6. Do states support combining the other welfare, non-NDIS aged care and National Redress Scheme components and assessing spending using the 2020 Review method for other welfare (equal per capita assessment method with regional and wage cost factors)?</w:t>
      </w:r>
    </w:p>
    <w:p w14:paraId="70B53498" w14:textId="4A945E05" w:rsidR="0006723A" w:rsidRDefault="0006723A" w:rsidP="0006723A">
      <w:pPr>
        <w:pStyle w:val="Heading4"/>
      </w:pPr>
      <w:r>
        <w:t>State views</w:t>
      </w:r>
    </w:p>
    <w:p w14:paraId="72AF9B29" w14:textId="098A20D6" w:rsidR="0006723A" w:rsidRDefault="00BD493D" w:rsidP="00631669">
      <w:pPr>
        <w:pStyle w:val="CGC2025ParaNumbers"/>
      </w:pPr>
      <w:r>
        <w:t xml:space="preserve">All states except South Australia supported combining </w:t>
      </w:r>
      <w:r w:rsidR="006B69E3">
        <w:t xml:space="preserve">the </w:t>
      </w:r>
      <w:r>
        <w:t xml:space="preserve">other welfare assessment and the </w:t>
      </w:r>
      <w:r w:rsidR="00AD596B">
        <w:t>n</w:t>
      </w:r>
      <w:r>
        <w:t>on-NDIS</w:t>
      </w:r>
      <w:r w:rsidR="0098038E">
        <w:t xml:space="preserve"> disability services</w:t>
      </w:r>
      <w:r>
        <w:t>, aged-</w:t>
      </w:r>
      <w:proofErr w:type="gramStart"/>
      <w:r>
        <w:t>care</w:t>
      </w:r>
      <w:proofErr w:type="gramEnd"/>
      <w:r>
        <w:t xml:space="preserve"> and national redress scheme assessment</w:t>
      </w:r>
      <w:r w:rsidR="00600A5D">
        <w:t>, citing the benefit of simplifying the welfare assessment. The</w:t>
      </w:r>
      <w:r w:rsidR="001A4D4B">
        <w:t>y</w:t>
      </w:r>
      <w:r w:rsidR="00600A5D">
        <w:t xml:space="preserve"> also support</w:t>
      </w:r>
      <w:r w:rsidR="008F20A3">
        <w:t>ed</w:t>
      </w:r>
      <w:r w:rsidR="00600A5D">
        <w:t xml:space="preserve"> retaining the regional cost and wage cost adjustments for the combined assessment</w:t>
      </w:r>
      <w:r w:rsidR="001C1264">
        <w:t>,</w:t>
      </w:r>
      <w:r w:rsidR="00D13140">
        <w:t xml:space="preserve"> citing the immaterial impact of regional costs on national redress scheme </w:t>
      </w:r>
      <w:r w:rsidR="00203B39">
        <w:t>spending</w:t>
      </w:r>
      <w:r w:rsidR="00D13140">
        <w:t>.</w:t>
      </w:r>
    </w:p>
    <w:p w14:paraId="64667D93" w14:textId="771A467F" w:rsidR="00600A5D" w:rsidRDefault="00D13140" w:rsidP="00631669">
      <w:pPr>
        <w:pStyle w:val="CGC2025ParaNumbers"/>
      </w:pPr>
      <w:r>
        <w:t xml:space="preserve">South Australia </w:t>
      </w:r>
      <w:r w:rsidR="00396486">
        <w:t>did not support the proposal</w:t>
      </w:r>
      <w:r w:rsidR="00203B39">
        <w:t>,</w:t>
      </w:r>
      <w:r w:rsidR="00396486">
        <w:t xml:space="preserve"> citing the potential</w:t>
      </w:r>
      <w:r w:rsidR="00166F8B">
        <w:t xml:space="preserve"> expansion of </w:t>
      </w:r>
      <w:r w:rsidR="00B5483C">
        <w:t>non</w:t>
      </w:r>
      <w:r w:rsidR="00443279">
        <w:noBreakHyphen/>
      </w:r>
      <w:r w:rsidR="00B5483C">
        <w:t xml:space="preserve">NDIS disability services and uncertainty </w:t>
      </w:r>
      <w:r w:rsidR="00A65109">
        <w:t xml:space="preserve">on the scope </w:t>
      </w:r>
      <w:r w:rsidR="00E773D9">
        <w:t xml:space="preserve">of </w:t>
      </w:r>
      <w:r w:rsidR="00396486">
        <w:t xml:space="preserve">the </w:t>
      </w:r>
      <w:r w:rsidR="00E773D9">
        <w:t xml:space="preserve">non-NDIS </w:t>
      </w:r>
      <w:r w:rsidR="00396486">
        <w:t>foundational supports</w:t>
      </w:r>
      <w:r w:rsidR="00767FE7">
        <w:t xml:space="preserve"> agreed by states and the Commonwealth on 6</w:t>
      </w:r>
      <w:r w:rsidR="00FE183A">
        <w:t> </w:t>
      </w:r>
      <w:r w:rsidR="00767FE7">
        <w:t>December</w:t>
      </w:r>
      <w:r w:rsidR="00FE183A">
        <w:t> </w:t>
      </w:r>
      <w:r w:rsidR="00767FE7">
        <w:t>2023</w:t>
      </w:r>
      <w:r w:rsidR="00631669">
        <w:t>.</w:t>
      </w:r>
      <w:r w:rsidR="00094B6E">
        <w:rPr>
          <w:rStyle w:val="FootnoteReference"/>
        </w:rPr>
        <w:footnoteReference w:id="12"/>
      </w:r>
    </w:p>
    <w:p w14:paraId="55E05C1E" w14:textId="77777777" w:rsidR="0006723A" w:rsidRDefault="0006723A" w:rsidP="0006723A">
      <w:pPr>
        <w:pStyle w:val="Heading4"/>
      </w:pPr>
      <w:r>
        <w:t>Commission response</w:t>
      </w:r>
    </w:p>
    <w:p w14:paraId="24304436" w14:textId="54CC95C1" w:rsidR="006927D5" w:rsidRDefault="00120FD8" w:rsidP="006927D5">
      <w:pPr>
        <w:pStyle w:val="CGC2025ParaNumbers"/>
      </w:pPr>
      <w:r>
        <w:t>The Commi</w:t>
      </w:r>
      <w:r w:rsidR="001D4D60">
        <w:t xml:space="preserve">ssion </w:t>
      </w:r>
      <w:r w:rsidR="001B228A">
        <w:t xml:space="preserve">agrees </w:t>
      </w:r>
      <w:r w:rsidR="006927D5">
        <w:t xml:space="preserve">with South Australia that if there are substantial changes to non-NDIS disability supports, this could </w:t>
      </w:r>
      <w:r w:rsidR="00CE0E14">
        <w:t>require</w:t>
      </w:r>
      <w:r w:rsidR="006927D5">
        <w:t xml:space="preserve"> a different assessment approach</w:t>
      </w:r>
      <w:r w:rsidR="00CB0D49">
        <w:t xml:space="preserve">. However, </w:t>
      </w:r>
      <w:r w:rsidR="003A44A1">
        <w:t>currently</w:t>
      </w:r>
      <w:r w:rsidR="002B1810">
        <w:t xml:space="preserve"> </w:t>
      </w:r>
      <w:r w:rsidR="00CB0D49">
        <w:t>the prospect of changes to non-disability supports is uncertain</w:t>
      </w:r>
      <w:r w:rsidR="006927D5">
        <w:t>.</w:t>
      </w:r>
    </w:p>
    <w:p w14:paraId="09C03119" w14:textId="77777777" w:rsidR="0006723A" w:rsidRDefault="0006723A" w:rsidP="0006723A">
      <w:pPr>
        <w:pStyle w:val="Heading4"/>
      </w:pPr>
      <w:r>
        <w:t>Commission draft position</w:t>
      </w:r>
    </w:p>
    <w:p w14:paraId="2D28403C" w14:textId="15935DBF" w:rsidR="0006723A" w:rsidRDefault="007B36AE" w:rsidP="00631669">
      <w:pPr>
        <w:pStyle w:val="CGC2025ParaNumbers"/>
      </w:pPr>
      <w:r>
        <w:t xml:space="preserve">The Commission </w:t>
      </w:r>
      <w:r w:rsidR="00CD42F8">
        <w:t>proposes</w:t>
      </w:r>
      <w:r>
        <w:t xml:space="preserve"> to </w:t>
      </w:r>
      <w:r w:rsidR="00372127">
        <w:t>combine the other welfare assessment and the</w:t>
      </w:r>
      <w:r w:rsidR="006A1DC2">
        <w:br/>
      </w:r>
      <w:r w:rsidR="00E56D56">
        <w:t>non-NDIS disability services</w:t>
      </w:r>
      <w:r w:rsidR="00372127">
        <w:t>, aged-</w:t>
      </w:r>
      <w:proofErr w:type="gramStart"/>
      <w:r w:rsidR="00372127">
        <w:t>care</w:t>
      </w:r>
      <w:proofErr w:type="gramEnd"/>
      <w:r w:rsidR="00372127">
        <w:t xml:space="preserve"> and national redress scheme assessment </w:t>
      </w:r>
      <w:r w:rsidR="00E56D56">
        <w:t>into</w:t>
      </w:r>
      <w:r w:rsidR="00372127">
        <w:t xml:space="preserve"> a single </w:t>
      </w:r>
      <w:r w:rsidR="00616D65">
        <w:t>o</w:t>
      </w:r>
      <w:r w:rsidR="00372127">
        <w:t xml:space="preserve">ther </w:t>
      </w:r>
      <w:r w:rsidR="00616D65">
        <w:t>w</w:t>
      </w:r>
      <w:r w:rsidR="00372127">
        <w:t>elfare assessment</w:t>
      </w:r>
      <w:r w:rsidR="00116B83">
        <w:t>.</w:t>
      </w:r>
    </w:p>
    <w:p w14:paraId="110B3B14" w14:textId="1D070C2B" w:rsidR="00EB54FF" w:rsidRDefault="00EB54FF" w:rsidP="00EB54FF">
      <w:pPr>
        <w:pStyle w:val="CGC2025ParaNumbers"/>
      </w:pPr>
      <w:r>
        <w:t>The Commission will continue to monitor developments in the future Commonwealth-state framework for providing non-NDIS foundational supports.</w:t>
      </w:r>
    </w:p>
    <w:p w14:paraId="5E2A035E" w14:textId="73DDAA97" w:rsidR="0006723A" w:rsidRPr="00284B22" w:rsidRDefault="0006723A" w:rsidP="00B92B42">
      <w:pPr>
        <w:pStyle w:val="Heading3"/>
        <w:keepNext/>
        <w:keepLines/>
      </w:pPr>
      <w:r>
        <w:t>Q7. Do states support the Commission ceasing to collect state spending on the National Redress Scheme?</w:t>
      </w:r>
    </w:p>
    <w:p w14:paraId="0CD00D82" w14:textId="38E7BBE9" w:rsidR="0006723A" w:rsidRDefault="0006723A" w:rsidP="0006723A">
      <w:pPr>
        <w:pStyle w:val="Heading4"/>
      </w:pPr>
      <w:r>
        <w:t>State views</w:t>
      </w:r>
    </w:p>
    <w:p w14:paraId="24A2FE55" w14:textId="0BF98CD5" w:rsidR="0006723A" w:rsidRDefault="00FE0B98" w:rsidP="00631669">
      <w:pPr>
        <w:pStyle w:val="CGC2025ParaNumbers"/>
      </w:pPr>
      <w:r>
        <w:t>All states</w:t>
      </w:r>
      <w:r w:rsidR="00603DBF">
        <w:t xml:space="preserve"> </w:t>
      </w:r>
      <w:r>
        <w:t>support</w:t>
      </w:r>
      <w:r w:rsidR="00603DBF">
        <w:t xml:space="preserve">ed </w:t>
      </w:r>
      <w:r w:rsidR="00AF1DB0">
        <w:t xml:space="preserve">the Commission’s proposal to stop </w:t>
      </w:r>
      <w:r w:rsidR="0099656E">
        <w:t>collect</w:t>
      </w:r>
      <w:r w:rsidR="00AF1DB0">
        <w:t>ing</w:t>
      </w:r>
      <w:r w:rsidR="0099656E">
        <w:t xml:space="preserve"> state spending on the National Redress Scheme for Institutional Child Sexual Abuse</w:t>
      </w:r>
      <w:r w:rsidR="00EB69E8">
        <w:t xml:space="preserve">, </w:t>
      </w:r>
      <w:r w:rsidR="0099656E">
        <w:t>citin</w:t>
      </w:r>
      <w:r w:rsidR="00D01BDE">
        <w:t>g the immateriality of national redress scheme spending</w:t>
      </w:r>
      <w:r w:rsidR="00880E55">
        <w:t>.</w:t>
      </w:r>
    </w:p>
    <w:p w14:paraId="16CAF617" w14:textId="77777777" w:rsidR="0006723A" w:rsidRDefault="0006723A" w:rsidP="0006723A">
      <w:pPr>
        <w:pStyle w:val="Heading4"/>
      </w:pPr>
      <w:r>
        <w:lastRenderedPageBreak/>
        <w:t>Commission draft position</w:t>
      </w:r>
    </w:p>
    <w:p w14:paraId="3CB33739" w14:textId="175F6CA7" w:rsidR="0006723A" w:rsidRDefault="0006723A" w:rsidP="00631669">
      <w:pPr>
        <w:pStyle w:val="CGC2025ParaNumbers"/>
      </w:pPr>
      <w:r>
        <w:t xml:space="preserve">The Commission </w:t>
      </w:r>
      <w:r w:rsidR="00AB627C">
        <w:t>proposes</w:t>
      </w:r>
      <w:r>
        <w:t xml:space="preserve"> </w:t>
      </w:r>
      <w:r w:rsidR="00D01BDE">
        <w:t xml:space="preserve">to stop collecting state spending on the National Redress Scheme from the </w:t>
      </w:r>
      <w:r w:rsidR="00523422">
        <w:t>states</w:t>
      </w:r>
      <w:r w:rsidR="008861DB">
        <w:t xml:space="preserve"> </w:t>
      </w:r>
      <w:r w:rsidR="00BF2468">
        <w:t>because it is not material</w:t>
      </w:r>
      <w:r w:rsidR="000544B7">
        <w:t>.</w:t>
      </w:r>
    </w:p>
    <w:p w14:paraId="0F601AD1" w14:textId="434EA02D" w:rsidR="00C57838" w:rsidRPr="00490172" w:rsidRDefault="00C57838" w:rsidP="007716BC">
      <w:pPr>
        <w:pStyle w:val="Heading2"/>
        <w:keepNext/>
        <w:keepLines/>
      </w:pPr>
      <w:r>
        <w:t xml:space="preserve">Other issues raised by </w:t>
      </w:r>
      <w:proofErr w:type="gramStart"/>
      <w:r>
        <w:t>states</w:t>
      </w:r>
      <w:proofErr w:type="gramEnd"/>
    </w:p>
    <w:p w14:paraId="1142E4BE" w14:textId="21FD9754" w:rsidR="00AA3520" w:rsidRDefault="000E1927" w:rsidP="00582AB7">
      <w:pPr>
        <w:pStyle w:val="Heading3"/>
        <w:keepNext/>
        <w:keepLines/>
      </w:pPr>
      <w:r>
        <w:t>Cultural and Linguistic Diversity (</w:t>
      </w:r>
      <w:r w:rsidR="00523422">
        <w:t>CALD</w:t>
      </w:r>
      <w:r>
        <w:t>)</w:t>
      </w:r>
    </w:p>
    <w:p w14:paraId="15987C1F" w14:textId="5B26EE37" w:rsidR="00C34139" w:rsidRDefault="00AB0BEC" w:rsidP="00631669">
      <w:pPr>
        <w:pStyle w:val="CGC2025ParaNumbers"/>
      </w:pPr>
      <w:r>
        <w:t xml:space="preserve">New South Wales and Victoria </w:t>
      </w:r>
      <w:r w:rsidR="008334E6">
        <w:t xml:space="preserve">said the Commission should </w:t>
      </w:r>
      <w:r w:rsidR="003F398B">
        <w:t>inclu</w:t>
      </w:r>
      <w:r w:rsidR="008334E6">
        <w:t>de</w:t>
      </w:r>
      <w:r w:rsidR="003F398B">
        <w:t xml:space="preserve"> </w:t>
      </w:r>
      <w:r w:rsidR="003D3931">
        <w:t xml:space="preserve">a cultural and linguistic diversity cost </w:t>
      </w:r>
      <w:r w:rsidR="00C5017E">
        <w:t xml:space="preserve">or use </w:t>
      </w:r>
      <w:r w:rsidR="003D3931">
        <w:t>weight</w:t>
      </w:r>
      <w:r w:rsidR="00DA1FE9">
        <w:t xml:space="preserve">, citing the increased cost of providing </w:t>
      </w:r>
      <w:r w:rsidR="009B318E">
        <w:t>support</w:t>
      </w:r>
      <w:r w:rsidR="00DA1FE9">
        <w:t xml:space="preserve"> </w:t>
      </w:r>
      <w:r w:rsidR="007B6C38">
        <w:t xml:space="preserve">to </w:t>
      </w:r>
      <w:r w:rsidR="00DA1FE9">
        <w:t xml:space="preserve">migrants </w:t>
      </w:r>
      <w:r w:rsidR="00850371">
        <w:t xml:space="preserve">and </w:t>
      </w:r>
      <w:r w:rsidR="00DA1FE9">
        <w:t>refugees.</w:t>
      </w:r>
    </w:p>
    <w:p w14:paraId="0AEB17ED" w14:textId="77777777" w:rsidR="0006723A" w:rsidRDefault="0006723A" w:rsidP="0006723A">
      <w:pPr>
        <w:pStyle w:val="Heading4"/>
      </w:pPr>
      <w:r>
        <w:t>Commission response</w:t>
      </w:r>
    </w:p>
    <w:p w14:paraId="06B85C4D" w14:textId="0B61C5F3" w:rsidR="008924DB" w:rsidRDefault="00460F3A" w:rsidP="006F5156">
      <w:pPr>
        <w:pStyle w:val="CGC2025ParaNumbers"/>
      </w:pPr>
      <w:r>
        <w:t xml:space="preserve">The Commission </w:t>
      </w:r>
      <w:r w:rsidR="00A07A23">
        <w:t xml:space="preserve">considers </w:t>
      </w:r>
      <w:r w:rsidR="000068BF">
        <w:t xml:space="preserve">that </w:t>
      </w:r>
      <w:r w:rsidR="00A07A23">
        <w:t>there is a</w:t>
      </w:r>
      <w:r w:rsidR="00AF3FEB">
        <w:t xml:space="preserve"> conceptual case</w:t>
      </w:r>
      <w:r>
        <w:t xml:space="preserve"> that </w:t>
      </w:r>
      <w:r w:rsidR="00E51D33">
        <w:t xml:space="preserve">in </w:t>
      </w:r>
      <w:r>
        <w:t xml:space="preserve">providing </w:t>
      </w:r>
      <w:r w:rsidR="0012092D">
        <w:t xml:space="preserve">welfare </w:t>
      </w:r>
      <w:r>
        <w:t>services to culturally and linguistically diverse populations</w:t>
      </w:r>
      <w:r w:rsidR="00E51D33">
        <w:t>, states</w:t>
      </w:r>
      <w:r w:rsidR="00A02A2D">
        <w:t xml:space="preserve"> incur additional costs</w:t>
      </w:r>
      <w:r w:rsidR="0012092D">
        <w:t>.</w:t>
      </w:r>
    </w:p>
    <w:p w14:paraId="51A4E833" w14:textId="24E903AB" w:rsidR="000378CC" w:rsidDel="00F412B0" w:rsidRDefault="000378CC" w:rsidP="00671984">
      <w:pPr>
        <w:pStyle w:val="CGC2025ParaNumbers"/>
      </w:pPr>
      <w:r>
        <w:t xml:space="preserve">A substantial amount of work is required to develop, </w:t>
      </w:r>
      <w:proofErr w:type="gramStart"/>
      <w:r>
        <w:t>test</w:t>
      </w:r>
      <w:proofErr w:type="gramEnd"/>
      <w:r>
        <w:t xml:space="preserve"> and consult with states on a potential cultural</w:t>
      </w:r>
      <w:r w:rsidR="006E15CD">
        <w:t xml:space="preserve"> </w:t>
      </w:r>
      <w:r>
        <w:t>and linguistic</w:t>
      </w:r>
      <w:r w:rsidR="006E15CD">
        <w:t xml:space="preserve"> </w:t>
      </w:r>
      <w:r>
        <w:t>divers</w:t>
      </w:r>
      <w:r w:rsidR="006E15CD">
        <w:t>ity</w:t>
      </w:r>
      <w:r>
        <w:t xml:space="preserve"> driver for the </w:t>
      </w:r>
      <w:r w:rsidR="00C96568">
        <w:t>welfare</w:t>
      </w:r>
      <w:r>
        <w:t xml:space="preserve"> assessment. This includes the appropriate definition of cultural and linguistic diversity </w:t>
      </w:r>
      <w:r w:rsidR="006E15CD">
        <w:t>for</w:t>
      </w:r>
      <w:r>
        <w:t xml:space="preserve"> </w:t>
      </w:r>
      <w:r w:rsidR="00672E82">
        <w:t xml:space="preserve">welfare service </w:t>
      </w:r>
      <w:r>
        <w:t xml:space="preserve">use as well as </w:t>
      </w:r>
      <w:r w:rsidR="00A953C7">
        <w:t>identifying</w:t>
      </w:r>
      <w:r>
        <w:t xml:space="preserve"> fit for purpose data. </w:t>
      </w:r>
      <w:r w:rsidR="00794C65">
        <w:t>It is proposed that t</w:t>
      </w:r>
      <w:r>
        <w:t xml:space="preserve">his work be undertaken </w:t>
      </w:r>
      <w:r w:rsidR="00794C65">
        <w:t xml:space="preserve">in consultation </w:t>
      </w:r>
      <w:r>
        <w:t>with states between reviews</w:t>
      </w:r>
      <w:r w:rsidR="00F65002">
        <w:t>.</w:t>
      </w:r>
    </w:p>
    <w:p w14:paraId="29C9958C" w14:textId="77777777" w:rsidR="0006723A" w:rsidRDefault="0006723A" w:rsidP="0006723A">
      <w:pPr>
        <w:pStyle w:val="Heading4"/>
      </w:pPr>
      <w:r>
        <w:t>Commission draft position</w:t>
      </w:r>
    </w:p>
    <w:p w14:paraId="5C15EC3C" w14:textId="5FA5B24F" w:rsidR="002E5E89" w:rsidRPr="002E5E89" w:rsidRDefault="002E5E89" w:rsidP="00124439">
      <w:pPr>
        <w:pStyle w:val="CGC2025ParaNumbers"/>
      </w:pPr>
      <w:r>
        <w:t xml:space="preserve">The </w:t>
      </w:r>
      <w:r w:rsidR="00124439" w:rsidRPr="00124439">
        <w:t xml:space="preserve">Commission </w:t>
      </w:r>
      <w:r w:rsidR="000868F4">
        <w:t xml:space="preserve">proposes to </w:t>
      </w:r>
      <w:r w:rsidR="00124439" w:rsidRPr="00124439">
        <w:t xml:space="preserve">consider how cultural and linguistic diversity affects state service costs as a part of </w:t>
      </w:r>
      <w:r w:rsidR="00BB19BC">
        <w:t>its</w:t>
      </w:r>
      <w:r w:rsidR="00BB19BC" w:rsidRPr="00124439">
        <w:t xml:space="preserve"> </w:t>
      </w:r>
      <w:r w:rsidR="000868F4">
        <w:t xml:space="preserve">proposed </w:t>
      </w:r>
      <w:r w:rsidR="00BB1AFC">
        <w:t>f</w:t>
      </w:r>
      <w:r w:rsidR="00124439" w:rsidRPr="00124439">
        <w:t>orward work program</w:t>
      </w:r>
      <w:r w:rsidR="00924DC8">
        <w:t>.</w:t>
      </w:r>
    </w:p>
    <w:p w14:paraId="1C5D1932" w14:textId="7749E69B" w:rsidR="00AA3520" w:rsidRDefault="0075610A" w:rsidP="005430E7">
      <w:pPr>
        <w:pStyle w:val="Heading3"/>
      </w:pPr>
      <w:bookmarkStart w:id="21" w:name="_Welfare_specific_regional"/>
      <w:bookmarkStart w:id="22" w:name="_Ref163561358"/>
      <w:bookmarkEnd w:id="21"/>
      <w:r>
        <w:t>Welfare specific r</w:t>
      </w:r>
      <w:r w:rsidR="002C6FA4">
        <w:t>egional cost gradient</w:t>
      </w:r>
      <w:bookmarkEnd w:id="22"/>
    </w:p>
    <w:p w14:paraId="40F72ABC" w14:textId="28AE3873" w:rsidR="00B97339" w:rsidRDefault="00AF5CC2" w:rsidP="00B97339">
      <w:pPr>
        <w:pStyle w:val="CGC2025ParaNumbers"/>
      </w:pPr>
      <w:r>
        <w:t xml:space="preserve">New South Wales </w:t>
      </w:r>
      <w:r w:rsidR="003748A0">
        <w:t xml:space="preserve">said the Commission should use </w:t>
      </w:r>
      <w:r w:rsidR="006C70E4">
        <w:t>a combine</w:t>
      </w:r>
      <w:r w:rsidR="00A037A7">
        <w:t>d welfare</w:t>
      </w:r>
      <w:r w:rsidR="009417BA">
        <w:t xml:space="preserve"> </w:t>
      </w:r>
      <w:r w:rsidR="00A037A7">
        <w:t xml:space="preserve">specific regional cost and </w:t>
      </w:r>
      <w:r w:rsidR="002064CE">
        <w:t>service delivery scale</w:t>
      </w:r>
      <w:r w:rsidR="00B905B6">
        <w:t xml:space="preserve"> gradient</w:t>
      </w:r>
      <w:r w:rsidR="001A209E">
        <w:t xml:space="preserve">. This would </w:t>
      </w:r>
      <w:r w:rsidR="00056B20">
        <w:t xml:space="preserve">replace </w:t>
      </w:r>
      <w:r w:rsidR="001A209E">
        <w:t>the</w:t>
      </w:r>
      <w:r w:rsidR="00DD751F">
        <w:t xml:space="preserve"> </w:t>
      </w:r>
      <w:r w:rsidR="00B97339">
        <w:t xml:space="preserve">existing general </w:t>
      </w:r>
      <w:r w:rsidR="001A209E">
        <w:t xml:space="preserve">regional cost </w:t>
      </w:r>
      <w:r w:rsidR="00B97339">
        <w:t xml:space="preserve">gradient. New South Wales </w:t>
      </w:r>
      <w:r w:rsidR="00E421E4">
        <w:t xml:space="preserve">said it </w:t>
      </w:r>
      <w:r w:rsidR="00C05C4D">
        <w:t>engaged a consultant to undertake</w:t>
      </w:r>
      <w:r w:rsidR="00B97339">
        <w:t xml:space="preserve"> analysis</w:t>
      </w:r>
      <w:r w:rsidR="00142932">
        <w:t>,</w:t>
      </w:r>
      <w:r w:rsidR="00B106D4">
        <w:t xml:space="preserve"> </w:t>
      </w:r>
      <w:r w:rsidR="00142932">
        <w:t>which</w:t>
      </w:r>
      <w:r w:rsidR="00234558">
        <w:t xml:space="preserve"> found that </w:t>
      </w:r>
      <w:r w:rsidR="008A5A95">
        <w:t xml:space="preserve">the general </w:t>
      </w:r>
      <w:r w:rsidR="001A209E">
        <w:t xml:space="preserve">regional </w:t>
      </w:r>
      <w:r w:rsidR="008A5A95">
        <w:t xml:space="preserve">cost gradient </w:t>
      </w:r>
      <w:r w:rsidR="00B106D4">
        <w:t>overstat</w:t>
      </w:r>
      <w:r w:rsidR="008A5A95">
        <w:t>es the impact</w:t>
      </w:r>
      <w:r w:rsidR="00B106D4">
        <w:t xml:space="preserve"> of travel</w:t>
      </w:r>
      <w:r w:rsidR="00167104">
        <w:t xml:space="preserve"> </w:t>
      </w:r>
      <w:r w:rsidR="008A5A95">
        <w:t xml:space="preserve">to regional and remote communities </w:t>
      </w:r>
      <w:r w:rsidR="00D27022">
        <w:t xml:space="preserve">after considering </w:t>
      </w:r>
      <w:r w:rsidR="008A5A95">
        <w:t>traffic in major cities</w:t>
      </w:r>
      <w:r w:rsidR="004225AE">
        <w:t>.</w:t>
      </w:r>
    </w:p>
    <w:p w14:paraId="08D030DB" w14:textId="77777777" w:rsidR="0006723A" w:rsidRDefault="0006723A" w:rsidP="0006723A">
      <w:pPr>
        <w:pStyle w:val="Heading4"/>
      </w:pPr>
      <w:bookmarkStart w:id="23" w:name="_Toc143772072"/>
      <w:r>
        <w:t>Commission response</w:t>
      </w:r>
    </w:p>
    <w:p w14:paraId="5CD21F22" w14:textId="28D9BD9B" w:rsidR="00484EB8" w:rsidRDefault="00F45C35">
      <w:pPr>
        <w:pStyle w:val="CGC2025ParaNumbers"/>
      </w:pPr>
      <w:r>
        <w:t>While New South Wales said that the general cost gradient overstated costs in New</w:t>
      </w:r>
      <w:r w:rsidR="00F01068">
        <w:t> </w:t>
      </w:r>
      <w:r>
        <w:t xml:space="preserve">South Wales, </w:t>
      </w:r>
      <w:r w:rsidR="00933491">
        <w:t>the Commission is not aware of evidence that this is the case in other states.</w:t>
      </w:r>
    </w:p>
    <w:p w14:paraId="4978E308" w14:textId="10DF1AD7" w:rsidR="00C0216F" w:rsidRDefault="005C2B4E">
      <w:pPr>
        <w:pStyle w:val="CGC2025ParaNumbers"/>
      </w:pPr>
      <w:r>
        <w:t xml:space="preserve">The report </w:t>
      </w:r>
      <w:r w:rsidR="00484EB8">
        <w:t>c</w:t>
      </w:r>
      <w:r>
        <w:t xml:space="preserve">ommissioned by New South Wales has </w:t>
      </w:r>
      <w:r w:rsidR="00484EB8">
        <w:t>not been provided to the Commission</w:t>
      </w:r>
      <w:r w:rsidR="00C17A63">
        <w:t xml:space="preserve"> or other states</w:t>
      </w:r>
      <w:r w:rsidR="00484EB8">
        <w:t>.</w:t>
      </w:r>
      <w:r w:rsidR="00CC2F62">
        <w:t xml:space="preserve"> </w:t>
      </w:r>
      <w:r w:rsidR="007064CF">
        <w:t xml:space="preserve">As a result, the Commission has not been able to consider the </w:t>
      </w:r>
      <w:r w:rsidR="00747A49">
        <w:t xml:space="preserve">implications </w:t>
      </w:r>
      <w:r w:rsidR="00E613CD">
        <w:t xml:space="preserve">of the findings in the report on </w:t>
      </w:r>
      <w:r w:rsidR="00747A49">
        <w:t xml:space="preserve">the </w:t>
      </w:r>
      <w:r w:rsidR="00E613CD">
        <w:t xml:space="preserve">welfare </w:t>
      </w:r>
      <w:r w:rsidR="00747A49">
        <w:t>assessment</w:t>
      </w:r>
      <w:r w:rsidR="00777583">
        <w:t>.</w:t>
      </w:r>
    </w:p>
    <w:p w14:paraId="72D2977B" w14:textId="06A6BEAA" w:rsidR="00A05107" w:rsidRDefault="00BB0B59">
      <w:pPr>
        <w:pStyle w:val="CGC2025ParaNumbers"/>
      </w:pPr>
      <w:r>
        <w:lastRenderedPageBreak/>
        <w:t>I</w:t>
      </w:r>
      <w:r w:rsidR="003554DA">
        <w:t>n the 2020 Review</w:t>
      </w:r>
      <w:r>
        <w:t>,</w:t>
      </w:r>
      <w:r w:rsidR="003554DA">
        <w:t xml:space="preserve"> </w:t>
      </w:r>
      <w:r w:rsidR="00A2638B">
        <w:t>t</w:t>
      </w:r>
      <w:r w:rsidR="003554DA">
        <w:t xml:space="preserve">he Commission </w:t>
      </w:r>
      <w:r w:rsidR="00455AF5">
        <w:t>concluded that there was</w:t>
      </w:r>
      <w:r>
        <w:t xml:space="preserve"> insufficient</w:t>
      </w:r>
      <w:r w:rsidR="00455AF5">
        <w:t xml:space="preserve"> </w:t>
      </w:r>
      <w:r>
        <w:t xml:space="preserve">category specific data to develop a </w:t>
      </w:r>
      <w:r w:rsidR="005E2384">
        <w:t>category specific regional cost gradient. This remains the Commission’s view</w:t>
      </w:r>
      <w:r w:rsidR="00F64B9F">
        <w:t xml:space="preserve"> for the 2025 Review</w:t>
      </w:r>
      <w:r w:rsidR="00A34F9A">
        <w:t>.</w:t>
      </w:r>
    </w:p>
    <w:p w14:paraId="026B1A9A" w14:textId="77777777" w:rsidR="0006723A" w:rsidRDefault="0006723A" w:rsidP="0006723A">
      <w:pPr>
        <w:pStyle w:val="Heading4"/>
      </w:pPr>
      <w:r>
        <w:t>Commission draft position</w:t>
      </w:r>
    </w:p>
    <w:p w14:paraId="61E82B8F" w14:textId="6EAC854F" w:rsidR="0006723A" w:rsidRDefault="0006723A" w:rsidP="00631669">
      <w:pPr>
        <w:pStyle w:val="CGC2025ParaNumbers"/>
      </w:pPr>
      <w:r>
        <w:t xml:space="preserve">The Commission </w:t>
      </w:r>
      <w:r w:rsidR="00777583">
        <w:t>proposes</w:t>
      </w:r>
      <w:r>
        <w:t xml:space="preserve"> </w:t>
      </w:r>
      <w:r w:rsidR="00FF7466">
        <w:t xml:space="preserve">to </w:t>
      </w:r>
      <w:r w:rsidR="00E613CD">
        <w:t>continue to use the general</w:t>
      </w:r>
      <w:r w:rsidR="003D50FF">
        <w:t xml:space="preserve"> </w:t>
      </w:r>
      <w:r w:rsidR="005562E5">
        <w:t>regional cost gradient.</w:t>
      </w:r>
    </w:p>
    <w:p w14:paraId="1C341064" w14:textId="063DC2A7" w:rsidR="00AA3520" w:rsidRDefault="00AA3520" w:rsidP="005430E7">
      <w:pPr>
        <w:pStyle w:val="Heading3"/>
      </w:pPr>
      <w:r>
        <w:t xml:space="preserve">Service delivery scale in </w:t>
      </w:r>
      <w:r w:rsidR="00C91A45">
        <w:t>c</w:t>
      </w:r>
      <w:r>
        <w:t>hild protection services</w:t>
      </w:r>
    </w:p>
    <w:p w14:paraId="73894E9A" w14:textId="0AA99DB3" w:rsidR="00AA3520" w:rsidRDefault="00AA3520" w:rsidP="00AA3520">
      <w:pPr>
        <w:pStyle w:val="CGC2025ParaNumbers"/>
      </w:pPr>
      <w:r>
        <w:t xml:space="preserve">New South </w:t>
      </w:r>
      <w:r w:rsidR="00E27DEB">
        <w:t xml:space="preserve">Wales </w:t>
      </w:r>
      <w:r w:rsidR="00AD1FD7">
        <w:t>said</w:t>
      </w:r>
      <w:r w:rsidR="00E27DEB">
        <w:t xml:space="preserve"> that the introduction of the </w:t>
      </w:r>
      <w:r w:rsidR="00BE0C26">
        <w:t xml:space="preserve">service </w:t>
      </w:r>
      <w:r w:rsidR="00E27DEB">
        <w:t xml:space="preserve">delivery scale factor in the child protection and family services assessment was not </w:t>
      </w:r>
      <w:r w:rsidR="00745FC4">
        <w:t xml:space="preserve">supported by </w:t>
      </w:r>
      <w:r w:rsidR="00E27DEB">
        <w:t>sufficient evidence in the 2010 Review.</w:t>
      </w:r>
    </w:p>
    <w:p w14:paraId="18539385" w14:textId="77777777" w:rsidR="00AA3520" w:rsidRDefault="00AA3520" w:rsidP="00AA3520">
      <w:pPr>
        <w:pStyle w:val="Heading4"/>
      </w:pPr>
      <w:r>
        <w:t>Commission response</w:t>
      </w:r>
    </w:p>
    <w:p w14:paraId="4EAC7A94" w14:textId="6B39169A" w:rsidR="001E7A23" w:rsidRPr="00362F69" w:rsidRDefault="00C529CB" w:rsidP="001E7A23">
      <w:pPr>
        <w:pStyle w:val="CGC2025ParaNumbers"/>
      </w:pPr>
      <w:r w:rsidRPr="00362F69">
        <w:t xml:space="preserve">The Commission acknowledges that there </w:t>
      </w:r>
      <w:r w:rsidR="00CD251F" w:rsidRPr="00362F69">
        <w:t xml:space="preserve">was </w:t>
      </w:r>
      <w:r w:rsidRPr="00362F69">
        <w:t>limited empirical evidence in the 2010</w:t>
      </w:r>
      <w:r w:rsidR="00E05FF6" w:rsidRPr="00362F69">
        <w:t> </w:t>
      </w:r>
      <w:r w:rsidRPr="00362F69">
        <w:t xml:space="preserve">Review </w:t>
      </w:r>
      <w:r w:rsidR="003328F7" w:rsidRPr="00362F69">
        <w:t xml:space="preserve">and </w:t>
      </w:r>
      <w:r w:rsidR="005950FC" w:rsidRPr="00362F69">
        <w:t>judg</w:t>
      </w:r>
      <w:r w:rsidR="00020EA6">
        <w:t>e</w:t>
      </w:r>
      <w:r w:rsidR="005950FC" w:rsidRPr="00362F69">
        <w:t xml:space="preserve">ment </w:t>
      </w:r>
      <w:r w:rsidR="00967B75" w:rsidRPr="00362F69">
        <w:t xml:space="preserve">was used </w:t>
      </w:r>
      <w:r w:rsidR="006150CE" w:rsidRPr="00362F69">
        <w:t xml:space="preserve">to include </w:t>
      </w:r>
      <w:r w:rsidR="00D87D8A" w:rsidRPr="00362F69">
        <w:t>s</w:t>
      </w:r>
      <w:r w:rsidRPr="00362F69">
        <w:t xml:space="preserve">ervice delivery scale in the </w:t>
      </w:r>
      <w:r w:rsidR="00D87D8A" w:rsidRPr="00362F69">
        <w:t>c</w:t>
      </w:r>
      <w:r w:rsidRPr="00362F69">
        <w:t>hild protection services assessment.</w:t>
      </w:r>
    </w:p>
    <w:p w14:paraId="1CE7BACD" w14:textId="49F2061E" w:rsidR="00E02AB3" w:rsidRPr="00362F69" w:rsidRDefault="00C03FAF" w:rsidP="00B90E81">
      <w:pPr>
        <w:pStyle w:val="CGC2025ParaNumbers"/>
      </w:pPr>
      <w:r w:rsidRPr="00362F69">
        <w:t>The Commission considers there is a conceptual case that the costs of providing child protection services in regional and remote communities increase because of the small scale of service provision in these communities.</w:t>
      </w:r>
      <w:r w:rsidR="00872D65" w:rsidRPr="00362F69">
        <w:t xml:space="preserve"> The partial centralisation of </w:t>
      </w:r>
      <w:r w:rsidR="00086727" w:rsidRPr="00362F69">
        <w:t>s</w:t>
      </w:r>
      <w:r w:rsidR="0003213C" w:rsidRPr="00362F69">
        <w:t xml:space="preserve">tate child protection </w:t>
      </w:r>
      <w:r w:rsidR="00B50908" w:rsidRPr="00362F69">
        <w:t>referral systems</w:t>
      </w:r>
      <w:r w:rsidR="00814624" w:rsidRPr="00362F69">
        <w:t xml:space="preserve"> in most states</w:t>
      </w:r>
      <w:r w:rsidR="008A1190" w:rsidRPr="00362F69">
        <w:t xml:space="preserve">, accompanied </w:t>
      </w:r>
      <w:r w:rsidR="00A16EF9" w:rsidRPr="00362F69">
        <w:t xml:space="preserve">by </w:t>
      </w:r>
      <w:r w:rsidR="00CF26CB" w:rsidRPr="00362F69">
        <w:t>a network of government</w:t>
      </w:r>
      <w:r w:rsidR="00867077" w:rsidRPr="00362F69">
        <w:t xml:space="preserve"> service</w:t>
      </w:r>
      <w:r w:rsidR="00CF26CB" w:rsidRPr="00362F69">
        <w:t xml:space="preserve"> centres</w:t>
      </w:r>
      <w:r w:rsidR="00872D65" w:rsidRPr="00362F69">
        <w:t xml:space="preserve"> indicates</w:t>
      </w:r>
      <w:r w:rsidR="00814624" w:rsidRPr="00362F69">
        <w:t xml:space="preserve"> there </w:t>
      </w:r>
      <w:r w:rsidR="00835632" w:rsidRPr="00362F69">
        <w:t xml:space="preserve">could </w:t>
      </w:r>
      <w:r w:rsidR="00AC2B6D" w:rsidRPr="00362F69">
        <w:t>be</w:t>
      </w:r>
      <w:r w:rsidR="00814624" w:rsidRPr="00362F69">
        <w:t xml:space="preserve"> some economies of scale from centralising service provision</w:t>
      </w:r>
      <w:r w:rsidR="00872D65" w:rsidRPr="00362F69">
        <w:t>.</w:t>
      </w:r>
      <w:r w:rsidR="00B50908" w:rsidRPr="00362F69">
        <w:t xml:space="preserve"> </w:t>
      </w:r>
      <w:r w:rsidR="00925343" w:rsidRPr="00362F69">
        <w:t xml:space="preserve">However, the Commission is not aware of empirical evidence that supports the decision in the 2010 Review to include service delivery scale in the child protection </w:t>
      </w:r>
      <w:r w:rsidR="006323AA" w:rsidRPr="00362F69">
        <w:t xml:space="preserve">and family </w:t>
      </w:r>
      <w:r w:rsidR="00925343" w:rsidRPr="00362F69">
        <w:t>services assessment.</w:t>
      </w:r>
    </w:p>
    <w:p w14:paraId="6F3CB6A1" w14:textId="60215818" w:rsidR="00CC3569" w:rsidRPr="00362F69" w:rsidRDefault="00CC3569" w:rsidP="000B308E">
      <w:pPr>
        <w:pStyle w:val="CGC2025ParaNumbers"/>
      </w:pPr>
      <w:r w:rsidRPr="00362F69">
        <w:t xml:space="preserve">The Commission </w:t>
      </w:r>
      <w:r w:rsidR="00BD0456" w:rsidRPr="00362F69">
        <w:t>acknowledges</w:t>
      </w:r>
      <w:r w:rsidR="00274637" w:rsidRPr="00362F69">
        <w:t xml:space="preserve"> the complexity of </w:t>
      </w:r>
      <w:r w:rsidR="00D32D40" w:rsidRPr="00362F69">
        <w:t>child</w:t>
      </w:r>
      <w:r w:rsidR="00C75D16" w:rsidRPr="00362F69">
        <w:t xml:space="preserve"> protection</w:t>
      </w:r>
      <w:r w:rsidR="00D32D40" w:rsidRPr="00362F69">
        <w:t xml:space="preserve"> and family </w:t>
      </w:r>
      <w:r w:rsidR="000B308E" w:rsidRPr="00362F69">
        <w:t>service</w:t>
      </w:r>
      <w:r w:rsidR="00C75D16" w:rsidRPr="00362F69">
        <w:t>s</w:t>
      </w:r>
      <w:r w:rsidR="000B308E" w:rsidRPr="00362F69">
        <w:t xml:space="preserve"> provision</w:t>
      </w:r>
      <w:r w:rsidR="001F393E" w:rsidRPr="00362F69">
        <w:t xml:space="preserve"> an</w:t>
      </w:r>
      <w:r w:rsidR="00BD0456" w:rsidRPr="00362F69">
        <w:t>d the challenges states face providin</w:t>
      </w:r>
      <w:r w:rsidR="00EB0F62" w:rsidRPr="00362F69">
        <w:t>g these services</w:t>
      </w:r>
      <w:r w:rsidR="00BD0456" w:rsidRPr="00362F69">
        <w:t xml:space="preserve"> </w:t>
      </w:r>
      <w:r w:rsidR="008776D9" w:rsidRPr="00362F69">
        <w:t>in</w:t>
      </w:r>
      <w:r w:rsidR="00EB0F62" w:rsidRPr="00362F69">
        <w:t xml:space="preserve"> both</w:t>
      </w:r>
      <w:r w:rsidR="008776D9" w:rsidRPr="00362F69">
        <w:t xml:space="preserve"> remote and urban communities. </w:t>
      </w:r>
      <w:r w:rsidR="00D757AE" w:rsidRPr="00362F69">
        <w:t xml:space="preserve">The Commission also </w:t>
      </w:r>
      <w:r w:rsidR="009B34A8" w:rsidRPr="00362F69">
        <w:t>recognises</w:t>
      </w:r>
      <w:r w:rsidR="00D757AE" w:rsidRPr="00362F69">
        <w:t xml:space="preserve"> the importance </w:t>
      </w:r>
      <w:r w:rsidR="00472F0F" w:rsidRPr="00362F69">
        <w:t xml:space="preserve">of </w:t>
      </w:r>
      <w:r w:rsidR="007F2FD4" w:rsidRPr="00362F69">
        <w:t>service provision networks in increasing accessibility to regional and remote communities.</w:t>
      </w:r>
    </w:p>
    <w:p w14:paraId="69C11FF6" w14:textId="77777777" w:rsidR="00AA3520" w:rsidRPr="00362F69" w:rsidRDefault="00AA3520" w:rsidP="00AA3520">
      <w:pPr>
        <w:pStyle w:val="Heading4"/>
      </w:pPr>
      <w:r w:rsidRPr="00362F69">
        <w:t>Commission draft position</w:t>
      </w:r>
    </w:p>
    <w:p w14:paraId="08A13181" w14:textId="0C0453A1" w:rsidR="007D34C8" w:rsidRPr="00362F69" w:rsidRDefault="007D34C8" w:rsidP="007D34C8">
      <w:pPr>
        <w:pStyle w:val="CGC2025ParaNumbers"/>
      </w:pPr>
      <w:r w:rsidRPr="00362F69">
        <w:t xml:space="preserve">The Commission will continue to apply the </w:t>
      </w:r>
      <w:r w:rsidR="00193423" w:rsidRPr="00362F69">
        <w:t xml:space="preserve">service delivery scale factor to child </w:t>
      </w:r>
      <w:r w:rsidR="00C75D16" w:rsidRPr="00362F69">
        <w:t xml:space="preserve">protection </w:t>
      </w:r>
      <w:r w:rsidR="00193423" w:rsidRPr="00362F69">
        <w:t>and family</w:t>
      </w:r>
      <w:r w:rsidR="00D32D40" w:rsidRPr="00362F69">
        <w:t xml:space="preserve"> </w:t>
      </w:r>
      <w:r w:rsidR="00193423" w:rsidRPr="00362F69">
        <w:t xml:space="preserve">services expenditure </w:t>
      </w:r>
      <w:r w:rsidR="00FD4631" w:rsidRPr="00362F69">
        <w:t>based on the persisting conceptual cas</w:t>
      </w:r>
      <w:r w:rsidR="003D5113" w:rsidRPr="00362F69">
        <w:t>e</w:t>
      </w:r>
      <w:r w:rsidR="004F27DF" w:rsidRPr="00362F69">
        <w:t xml:space="preserve">. </w:t>
      </w:r>
    </w:p>
    <w:p w14:paraId="4699BE58" w14:textId="4D9B2B93" w:rsidR="00906773" w:rsidRPr="00362F69" w:rsidRDefault="00073865" w:rsidP="00292736">
      <w:pPr>
        <w:pStyle w:val="CGC2025ParaNumbers"/>
      </w:pPr>
      <w:r w:rsidRPr="00362F69">
        <w:t>T</w:t>
      </w:r>
      <w:r w:rsidR="00906773" w:rsidRPr="00362F69">
        <w:t xml:space="preserve">he Commission </w:t>
      </w:r>
      <w:r w:rsidR="00C75D16" w:rsidRPr="00362F69">
        <w:t xml:space="preserve">will continue to </w:t>
      </w:r>
      <w:r w:rsidR="00932324" w:rsidRPr="00362F69">
        <w:t xml:space="preserve">monitor </w:t>
      </w:r>
      <w:r w:rsidR="00EA538F" w:rsidRPr="00362F69">
        <w:t xml:space="preserve">the availability of evidence </w:t>
      </w:r>
      <w:r w:rsidR="00745BF8" w:rsidRPr="00362F69">
        <w:t>regarding</w:t>
      </w:r>
      <w:r w:rsidRPr="00362F69">
        <w:t xml:space="preserve"> service delivery scale</w:t>
      </w:r>
      <w:r w:rsidR="00ED5C47" w:rsidRPr="00362F69">
        <w:t xml:space="preserve">, including </w:t>
      </w:r>
      <w:r w:rsidR="00906773" w:rsidRPr="00362F69">
        <w:t>work</w:t>
      </w:r>
      <w:r w:rsidR="00ED5C47" w:rsidRPr="00362F69">
        <w:t>ing</w:t>
      </w:r>
      <w:r w:rsidR="00906773" w:rsidRPr="00362F69">
        <w:t xml:space="preserve"> with states </w:t>
      </w:r>
      <w:r w:rsidR="006A329E" w:rsidRPr="00362F69">
        <w:t xml:space="preserve">to estimate </w:t>
      </w:r>
      <w:r w:rsidR="00906773" w:rsidRPr="00362F69">
        <w:t xml:space="preserve">how the scale of service </w:t>
      </w:r>
      <w:r w:rsidR="00F942F4" w:rsidRPr="00362F69">
        <w:t xml:space="preserve">delivery </w:t>
      </w:r>
      <w:r w:rsidR="006A329E" w:rsidRPr="00362F69">
        <w:t>affects the cost</w:t>
      </w:r>
      <w:r w:rsidR="00565D4E">
        <w:t>s</w:t>
      </w:r>
      <w:r w:rsidR="006A329E" w:rsidRPr="00362F69">
        <w:t xml:space="preserve"> of service provision </w:t>
      </w:r>
      <w:r w:rsidR="00906773" w:rsidRPr="00362F69">
        <w:t xml:space="preserve">in regional </w:t>
      </w:r>
      <w:r w:rsidR="006A329E" w:rsidRPr="00362F69">
        <w:t xml:space="preserve">and remote </w:t>
      </w:r>
      <w:r w:rsidR="00906773" w:rsidRPr="00362F69">
        <w:t>areas</w:t>
      </w:r>
      <w:r w:rsidR="00C75D16" w:rsidRPr="00362F69">
        <w:t>.</w:t>
      </w:r>
    </w:p>
    <w:p w14:paraId="3F3AFCD0" w14:textId="77777777" w:rsidR="00F043D0" w:rsidRDefault="00F043D0">
      <w:pPr>
        <w:tabs>
          <w:tab w:val="clear" w:pos="567"/>
        </w:tabs>
        <w:spacing w:before="0" w:after="200" w:line="276" w:lineRule="auto"/>
        <w:rPr>
          <w:rFonts w:ascii="Work Sans" w:eastAsia="Times New Roman" w:hAnsi="Work Sans" w:cs="Open Sans"/>
          <w:b/>
          <w:bCs/>
          <w:color w:val="006991"/>
          <w:sz w:val="28"/>
          <w:szCs w:val="28"/>
        </w:rPr>
      </w:pPr>
      <w:r>
        <w:br w:type="page"/>
      </w:r>
    </w:p>
    <w:p w14:paraId="7B4E8E9C" w14:textId="323F3E04" w:rsidR="00427F32" w:rsidRPr="00F057E7" w:rsidRDefault="00FB46C9" w:rsidP="00427F32">
      <w:pPr>
        <w:pStyle w:val="Heading3"/>
      </w:pPr>
      <w:r>
        <w:lastRenderedPageBreak/>
        <w:t>First Nations</w:t>
      </w:r>
      <w:r w:rsidR="00427F32">
        <w:t xml:space="preserve"> cost </w:t>
      </w:r>
      <w:r w:rsidR="00C02D3A">
        <w:t xml:space="preserve">weight for </w:t>
      </w:r>
      <w:r w:rsidR="00851401">
        <w:t>c</w:t>
      </w:r>
      <w:r w:rsidR="00C02D3A">
        <w:t xml:space="preserve">hild protection and family </w:t>
      </w:r>
      <w:proofErr w:type="gramStart"/>
      <w:r w:rsidR="00C02D3A">
        <w:t>services</w:t>
      </w:r>
      <w:proofErr w:type="gramEnd"/>
    </w:p>
    <w:p w14:paraId="3B449F4D" w14:textId="504B4031" w:rsidR="00AA1BBF" w:rsidRDefault="00463944" w:rsidP="00AA3860">
      <w:pPr>
        <w:pStyle w:val="CGC2025ParaNumbers"/>
      </w:pPr>
      <w:r>
        <w:t xml:space="preserve">Western Australia </w:t>
      </w:r>
      <w:r w:rsidR="002277CC">
        <w:t xml:space="preserve">said the Commission should </w:t>
      </w:r>
      <w:r>
        <w:t>inclu</w:t>
      </w:r>
      <w:r w:rsidR="002277CC">
        <w:t xml:space="preserve">de </w:t>
      </w:r>
      <w:r>
        <w:t xml:space="preserve">a </w:t>
      </w:r>
      <w:r w:rsidR="00FB46C9">
        <w:t xml:space="preserve">First Nations </w:t>
      </w:r>
      <w:r>
        <w:t>cost weight</w:t>
      </w:r>
      <w:r w:rsidR="00244ABF">
        <w:t xml:space="preserve"> to represent the cost associated </w:t>
      </w:r>
      <w:r w:rsidR="00285EDE">
        <w:t xml:space="preserve">with providing child protection and family services to </w:t>
      </w:r>
      <w:r w:rsidR="008F6967">
        <w:t>First Nations</w:t>
      </w:r>
      <w:r w:rsidR="00285EDE">
        <w:t xml:space="preserve"> Australians.</w:t>
      </w:r>
    </w:p>
    <w:p w14:paraId="0A0DDA28" w14:textId="4158F6D2" w:rsidR="007E266B" w:rsidRDefault="00046683" w:rsidP="00AA3860">
      <w:pPr>
        <w:pStyle w:val="CGC2025ParaNumbers"/>
      </w:pPr>
      <w:r>
        <w:t xml:space="preserve">Western Australia said that the funding model for child protection </w:t>
      </w:r>
      <w:r w:rsidR="00D45D35">
        <w:t>and out of home care services</w:t>
      </w:r>
      <w:r>
        <w:t xml:space="preserve"> has differential cost profiles for </w:t>
      </w:r>
      <w:r w:rsidR="00F1386C">
        <w:t xml:space="preserve">locations with a high proportion of </w:t>
      </w:r>
      <w:r w:rsidR="00CB340F">
        <w:t>Fir</w:t>
      </w:r>
      <w:r w:rsidR="00E209CD">
        <w:t>s</w:t>
      </w:r>
      <w:r w:rsidR="00CB340F">
        <w:t>t Nations</w:t>
      </w:r>
      <w:r w:rsidR="006625E7">
        <w:t xml:space="preserve"> </w:t>
      </w:r>
      <w:r w:rsidR="00F1386C">
        <w:t>children</w:t>
      </w:r>
      <w:r w:rsidR="00B8365A">
        <w:t xml:space="preserve">. This is </w:t>
      </w:r>
      <w:r w:rsidR="00F1386C">
        <w:t>to facilitate the</w:t>
      </w:r>
      <w:r w:rsidR="00B771DB">
        <w:t xml:space="preserve"> additional staff </w:t>
      </w:r>
      <w:r w:rsidR="00B8365A">
        <w:t>needed</w:t>
      </w:r>
      <w:r w:rsidR="00B771DB">
        <w:t xml:space="preserve"> to provide culturally appropriate services.</w:t>
      </w:r>
    </w:p>
    <w:p w14:paraId="1BBEE870" w14:textId="77777777" w:rsidR="00427F32" w:rsidRDefault="00427F32" w:rsidP="00427F32">
      <w:pPr>
        <w:pStyle w:val="Heading4"/>
      </w:pPr>
      <w:r>
        <w:t>Commission response</w:t>
      </w:r>
    </w:p>
    <w:p w14:paraId="784F8B99" w14:textId="1DF55240" w:rsidR="00427F32" w:rsidRDefault="004E0D5C" w:rsidP="00AA3860">
      <w:pPr>
        <w:pStyle w:val="CGC2025ParaNumbers"/>
      </w:pPr>
      <w:r>
        <w:t xml:space="preserve">This issue was raised by the Northern </w:t>
      </w:r>
      <w:r w:rsidR="00E209CD">
        <w:t>T</w:t>
      </w:r>
      <w:r>
        <w:t>erritory in the 2020 Review.</w:t>
      </w:r>
      <w:r w:rsidR="001A0D7B">
        <w:t xml:space="preserve"> </w:t>
      </w:r>
      <w:r w:rsidR="008856CE">
        <w:t xml:space="preserve">The Commission concluded that a </w:t>
      </w:r>
      <w:r w:rsidR="000B5148">
        <w:t xml:space="preserve">First Nations </w:t>
      </w:r>
      <w:r w:rsidR="008856CE">
        <w:t xml:space="preserve">cost weight was not justified because Productivity Commission data showed there was no difference in the average time spent in </w:t>
      </w:r>
      <w:r w:rsidR="00946A5E">
        <w:t xml:space="preserve">out of home care </w:t>
      </w:r>
      <w:r w:rsidR="008856CE">
        <w:t xml:space="preserve">by </w:t>
      </w:r>
      <w:r w:rsidR="00130C9E">
        <w:t>First Nations</w:t>
      </w:r>
      <w:r w:rsidR="008856CE">
        <w:t xml:space="preserve"> and non-Indigenous children. </w:t>
      </w:r>
      <w:r w:rsidR="00DB7305">
        <w:t xml:space="preserve">The Commission is not aware of a </w:t>
      </w:r>
      <w:r w:rsidR="008856CE">
        <w:t xml:space="preserve">reliable </w:t>
      </w:r>
      <w:r w:rsidR="00DB7305">
        <w:t xml:space="preserve">source </w:t>
      </w:r>
      <w:r w:rsidR="00702888">
        <w:t xml:space="preserve">of </w:t>
      </w:r>
      <w:r w:rsidR="008856CE">
        <w:t xml:space="preserve">data </w:t>
      </w:r>
      <w:r w:rsidR="00702888">
        <w:t>that would support the inclusion of</w:t>
      </w:r>
      <w:r w:rsidR="008856CE">
        <w:t xml:space="preserve"> a </w:t>
      </w:r>
      <w:r w:rsidR="00130C9E">
        <w:t>First Nations</w:t>
      </w:r>
      <w:r w:rsidR="008856CE">
        <w:t xml:space="preserve"> cost weight.</w:t>
      </w:r>
    </w:p>
    <w:p w14:paraId="24896E5A" w14:textId="1DA29414" w:rsidR="00B90AD2" w:rsidRDefault="00B90AD2" w:rsidP="00B90AD2">
      <w:pPr>
        <w:pStyle w:val="Heading4"/>
      </w:pPr>
      <w:r>
        <w:t>Commission draft position</w:t>
      </w:r>
    </w:p>
    <w:p w14:paraId="1EAB6631" w14:textId="579FA459" w:rsidR="00427F32" w:rsidRDefault="00427F32" w:rsidP="00427F32">
      <w:pPr>
        <w:pStyle w:val="CGC2025ParaNumbers"/>
      </w:pPr>
      <w:r>
        <w:t xml:space="preserve">The Commission </w:t>
      </w:r>
      <w:r w:rsidR="00702888">
        <w:t>proposes</w:t>
      </w:r>
      <w:r>
        <w:t xml:space="preserve"> </w:t>
      </w:r>
      <w:r w:rsidR="00EF5D9E">
        <w:t xml:space="preserve">not to </w:t>
      </w:r>
      <w:r w:rsidR="00996F82">
        <w:t>include a</w:t>
      </w:r>
      <w:r w:rsidR="00130C9E">
        <w:t xml:space="preserve"> First Nations </w:t>
      </w:r>
      <w:r w:rsidR="00996F82">
        <w:t xml:space="preserve">cost weight in the </w:t>
      </w:r>
      <w:r w:rsidR="001A0D7B">
        <w:t>c</w:t>
      </w:r>
      <w:r w:rsidR="00996F82">
        <w:t>hild protection and family services assessment.</w:t>
      </w:r>
    </w:p>
    <w:p w14:paraId="56D1BB0A" w14:textId="36354BD3" w:rsidR="00D52BD8" w:rsidRDefault="00A81186" w:rsidP="00005831">
      <w:pPr>
        <w:pStyle w:val="Heading2"/>
        <w:keepNext/>
      </w:pPr>
      <w:r>
        <w:t>Draft</w:t>
      </w:r>
      <w:r w:rsidR="00596CF9">
        <w:t xml:space="preserve"> </w:t>
      </w:r>
      <w:r w:rsidR="00FD4B9F">
        <w:t>2025 Review</w:t>
      </w:r>
      <w:r w:rsidR="000046FB">
        <w:t xml:space="preserve"> </w:t>
      </w:r>
      <w:bookmarkEnd w:id="23"/>
      <w:r w:rsidR="002826BC">
        <w:t>a</w:t>
      </w:r>
      <w:r w:rsidR="000F4F75">
        <w:t xml:space="preserve">ssessment </w:t>
      </w:r>
      <w:r w:rsidR="002826BC">
        <w:t>m</w:t>
      </w:r>
      <w:r w:rsidR="000F4F75">
        <w:t>ethod</w:t>
      </w:r>
    </w:p>
    <w:p w14:paraId="0EA7AE97" w14:textId="20BC5570" w:rsidR="00DD21AB" w:rsidRPr="00116C00" w:rsidRDefault="00DD21AB" w:rsidP="00631669">
      <w:pPr>
        <w:pStyle w:val="CGC2025ParaNumbers"/>
      </w:pPr>
      <w:r w:rsidRPr="003E7666">
        <w:t>Following consideration of state vie</w:t>
      </w:r>
      <w:r w:rsidRPr="00116C00">
        <w:t xml:space="preserve">ws, the Commission proposes to </w:t>
      </w:r>
      <w:r w:rsidR="00E96E35" w:rsidRPr="00116C00">
        <w:t xml:space="preserve">differentially </w:t>
      </w:r>
      <w:r w:rsidRPr="00116C00">
        <w:t xml:space="preserve">assess state </w:t>
      </w:r>
      <w:r w:rsidR="00E96E35" w:rsidRPr="00116C00">
        <w:t xml:space="preserve">spending </w:t>
      </w:r>
      <w:r w:rsidRPr="00116C00">
        <w:t xml:space="preserve">needs for </w:t>
      </w:r>
      <w:r w:rsidR="00BC2FB6" w:rsidRPr="00116C00">
        <w:t xml:space="preserve">homelessness services rather </w:t>
      </w:r>
      <w:r w:rsidR="00E96E35" w:rsidRPr="00116C00">
        <w:t xml:space="preserve">than treat the spending as </w:t>
      </w:r>
      <w:r w:rsidR="003D50FF" w:rsidRPr="00116C00">
        <w:t>equal per capit</w:t>
      </w:r>
      <w:r w:rsidR="00116C00">
        <w:t>a.</w:t>
      </w:r>
    </w:p>
    <w:p w14:paraId="6E18856E" w14:textId="3A4B1334" w:rsidR="009B20FE" w:rsidRPr="00116C00" w:rsidRDefault="009B20FE" w:rsidP="00631669">
      <w:pPr>
        <w:pStyle w:val="CGC2025ParaNumbers"/>
      </w:pPr>
      <w:r w:rsidRPr="00116C00">
        <w:t xml:space="preserve">To support the new assessment method, a new annual data request will obtain state expenses on homelessness services, </w:t>
      </w:r>
      <w:r w:rsidR="008B5690" w:rsidRPr="00116C00">
        <w:t>using the definition</w:t>
      </w:r>
      <w:r w:rsidRPr="00116C00">
        <w:t xml:space="preserve"> </w:t>
      </w:r>
      <w:r w:rsidR="008B5690" w:rsidRPr="00116C00">
        <w:t xml:space="preserve">used by the </w:t>
      </w:r>
      <w:r w:rsidRPr="00116C00">
        <w:t>Productivity Commission for the Report on Government Services.</w:t>
      </w:r>
    </w:p>
    <w:p w14:paraId="272EDFAD" w14:textId="0B24A28D" w:rsidR="006A509F" w:rsidRDefault="006A509F" w:rsidP="00631669">
      <w:pPr>
        <w:pStyle w:val="CGC2025ParaNumbers"/>
      </w:pPr>
      <w:r>
        <w:t>The Commission also proposes to jointly assess other welfare</w:t>
      </w:r>
      <w:r w:rsidR="00750246">
        <w:t>,</w:t>
      </w:r>
      <w:r>
        <w:t xml:space="preserve"> non-NDIS aged care and </w:t>
      </w:r>
      <w:r w:rsidR="00750246">
        <w:t xml:space="preserve">the </w:t>
      </w:r>
      <w:r>
        <w:t xml:space="preserve">National redress scheme as </w:t>
      </w:r>
      <w:r w:rsidR="00D40EE2">
        <w:t>equal per capita</w:t>
      </w:r>
      <w:r>
        <w:t xml:space="preserve">, recognising the prior separate </w:t>
      </w:r>
      <w:r w:rsidR="00D40EE2">
        <w:t>equal per capita</w:t>
      </w:r>
      <w:r>
        <w:t xml:space="preserve"> treatment in the 2020 Review.</w:t>
      </w:r>
    </w:p>
    <w:p w14:paraId="1A9D01B3" w14:textId="42362BDB" w:rsidR="009B20FE" w:rsidRPr="00E17351" w:rsidRDefault="009B20FE" w:rsidP="00631669">
      <w:pPr>
        <w:pStyle w:val="CGC2025ParaNumbers"/>
      </w:pPr>
      <w:r w:rsidRPr="00E17351">
        <w:t xml:space="preserve">The Commission will collect state expenditure on the NDIS from the </w:t>
      </w:r>
      <w:r w:rsidR="006E2E4E" w:rsidRPr="00E17351">
        <w:t xml:space="preserve">Commonwealth Department of </w:t>
      </w:r>
      <w:r w:rsidRPr="00E17351">
        <w:t>Social Services</w:t>
      </w:r>
      <w:r w:rsidR="006E2E4E" w:rsidRPr="00E17351">
        <w:t>’</w:t>
      </w:r>
      <w:r w:rsidRPr="00E17351">
        <w:t xml:space="preserve"> Portfolio </w:t>
      </w:r>
      <w:r w:rsidR="006E2E4E" w:rsidRPr="00E17351">
        <w:t>B</w:t>
      </w:r>
      <w:r w:rsidRPr="00E17351">
        <w:t xml:space="preserve">udget </w:t>
      </w:r>
      <w:r w:rsidR="006E2E4E" w:rsidRPr="00E17351">
        <w:t>S</w:t>
      </w:r>
      <w:r w:rsidRPr="00E17351">
        <w:t>tatement</w:t>
      </w:r>
      <w:r w:rsidR="006A509F" w:rsidRPr="00E17351">
        <w:t xml:space="preserve"> rather than from the states.</w:t>
      </w:r>
    </w:p>
    <w:p w14:paraId="3A11189F" w14:textId="77777777" w:rsidR="00F043D0" w:rsidRDefault="00F043D0">
      <w:pPr>
        <w:tabs>
          <w:tab w:val="clear" w:pos="567"/>
        </w:tabs>
        <w:spacing w:before="0" w:after="200" w:line="276" w:lineRule="auto"/>
        <w:rPr>
          <w:rFonts w:ascii="Work Sans" w:hAnsi="Work Sans"/>
          <w:szCs w:val="24"/>
        </w:rPr>
      </w:pPr>
      <w:r>
        <w:br w:type="page"/>
      </w:r>
    </w:p>
    <w:p w14:paraId="22404328" w14:textId="2A3FB936" w:rsidR="00623FD4" w:rsidRDefault="00525C56" w:rsidP="00F043D0">
      <w:pPr>
        <w:pStyle w:val="CGC2025ParaNumbers"/>
      </w:pPr>
      <w:r>
        <w:lastRenderedPageBreak/>
        <w:t>Table 3</w:t>
      </w:r>
      <w:r w:rsidR="00BF22D9">
        <w:t xml:space="preserve"> </w:t>
      </w:r>
      <w:r w:rsidR="00DD21AB" w:rsidRPr="003E7666">
        <w:t xml:space="preserve">shows the </w:t>
      </w:r>
      <w:r w:rsidR="00004EFD">
        <w:t xml:space="preserve">proposed </w:t>
      </w:r>
      <w:r w:rsidR="00DD21AB" w:rsidRPr="003E7666">
        <w:t xml:space="preserve">structure of the </w:t>
      </w:r>
      <w:r w:rsidR="00DD21AB">
        <w:t xml:space="preserve">2025 Review </w:t>
      </w:r>
      <w:r w:rsidR="00236066">
        <w:t>welfare</w:t>
      </w:r>
      <w:r w:rsidR="00DD21AB" w:rsidRPr="003E7666">
        <w:t xml:space="preserve"> assessment.</w:t>
      </w:r>
      <w:r w:rsidR="00730505">
        <w:t xml:space="preserve"> </w:t>
      </w:r>
    </w:p>
    <w:p w14:paraId="32BD574A" w14:textId="048A1D85" w:rsidR="00E60957" w:rsidRDefault="00BF22D9" w:rsidP="006D4E38">
      <w:pPr>
        <w:pStyle w:val="CGC2025Caption"/>
        <w:tabs>
          <w:tab w:val="left" w:pos="1134"/>
        </w:tabs>
      </w:pPr>
      <w:bookmarkStart w:id="24" w:name="_Ref164079522"/>
      <w:r>
        <w:t xml:space="preserve">Table </w:t>
      </w:r>
      <w:fldSimple w:instr=" SEQ Table \* ARABIC ">
        <w:r w:rsidR="00E61CEB">
          <w:rPr>
            <w:noProof/>
          </w:rPr>
          <w:t>3</w:t>
        </w:r>
      </w:fldSimple>
      <w:bookmarkEnd w:id="24"/>
      <w:r w:rsidR="00E60957">
        <w:tab/>
      </w:r>
      <w:r w:rsidR="00E60957" w:rsidRPr="00E66A48">
        <w:t xml:space="preserve">Proposed structure </w:t>
      </w:r>
      <w:r w:rsidR="00B8099D">
        <w:t>of</w:t>
      </w:r>
      <w:r w:rsidR="00B8099D" w:rsidRPr="00211078">
        <w:t xml:space="preserve"> </w:t>
      </w:r>
      <w:r w:rsidR="00E60957">
        <w:t xml:space="preserve">the welfare </w:t>
      </w:r>
      <w:proofErr w:type="gramStart"/>
      <w:r w:rsidR="00E60957">
        <w:t>assessment</w:t>
      </w:r>
      <w:proofErr w:type="gramEnd"/>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8"/>
        <w:gridCol w:w="181"/>
        <w:gridCol w:w="1803"/>
        <w:gridCol w:w="4253"/>
        <w:gridCol w:w="1371"/>
      </w:tblGrid>
      <w:tr w:rsidR="00E60957" w:rsidRPr="0053358F" w14:paraId="0D10C893" w14:textId="77777777" w:rsidTr="00FA4791">
        <w:trPr>
          <w:trHeight w:val="331"/>
        </w:trPr>
        <w:tc>
          <w:tcPr>
            <w:tcW w:w="1418" w:type="dxa"/>
            <w:tcBorders>
              <w:top w:val="nil"/>
              <w:left w:val="nil"/>
              <w:bottom w:val="single" w:sz="6" w:space="0" w:color="ADD6EA"/>
              <w:right w:val="nil"/>
            </w:tcBorders>
            <w:shd w:val="clear" w:color="auto" w:fill="006991"/>
            <w:vAlign w:val="center"/>
            <w:hideMark/>
          </w:tcPr>
          <w:p w14:paraId="24CA85E1" w14:textId="77777777" w:rsidR="00E60957" w:rsidRPr="00433DCB" w:rsidRDefault="00E60957" w:rsidP="00B24147">
            <w:pPr>
              <w:tabs>
                <w:tab w:val="clear" w:pos="567"/>
              </w:tabs>
              <w:spacing w:before="0" w:line="240" w:lineRule="auto"/>
              <w:ind w:firstLine="84"/>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Component </w:t>
            </w:r>
          </w:p>
        </w:tc>
        <w:tc>
          <w:tcPr>
            <w:tcW w:w="181" w:type="dxa"/>
            <w:tcBorders>
              <w:top w:val="nil"/>
              <w:left w:val="nil"/>
              <w:bottom w:val="single" w:sz="6" w:space="0" w:color="ADD6EA"/>
              <w:right w:val="nil"/>
            </w:tcBorders>
            <w:shd w:val="clear" w:color="auto" w:fill="006991"/>
            <w:vAlign w:val="center"/>
            <w:hideMark/>
          </w:tcPr>
          <w:p w14:paraId="087ED3F8" w14:textId="77777777" w:rsidR="00E60957" w:rsidRPr="00433DCB" w:rsidRDefault="00E60957" w:rsidP="00FA4791">
            <w:pPr>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FFFFFF"/>
                <w:sz w:val="16"/>
                <w:szCs w:val="16"/>
                <w:lang w:eastAsia="en-AU"/>
              </w:rPr>
              <w:t> </w:t>
            </w:r>
            <w:r w:rsidRPr="00433DCB">
              <w:rPr>
                <w:rFonts w:ascii="Open Sans Semibold" w:eastAsia="Times New Roman" w:hAnsi="Open Sans Semibold" w:cs="Segoe UI"/>
                <w:color w:val="FFFFFF"/>
                <w:sz w:val="16"/>
                <w:szCs w:val="16"/>
                <w:lang w:eastAsia="en-AU"/>
              </w:rPr>
              <w:t> </w:t>
            </w:r>
          </w:p>
        </w:tc>
        <w:tc>
          <w:tcPr>
            <w:tcW w:w="1803" w:type="dxa"/>
            <w:tcBorders>
              <w:top w:val="nil"/>
              <w:left w:val="nil"/>
              <w:bottom w:val="single" w:sz="6" w:space="0" w:color="ADD6EA"/>
              <w:right w:val="nil"/>
            </w:tcBorders>
            <w:shd w:val="clear" w:color="auto" w:fill="006991"/>
            <w:vAlign w:val="center"/>
            <w:hideMark/>
          </w:tcPr>
          <w:p w14:paraId="049692A9" w14:textId="77777777" w:rsidR="00E60957" w:rsidRPr="00433DCB" w:rsidRDefault="00E60957" w:rsidP="00FA4791">
            <w:pPr>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Driver </w:t>
            </w:r>
            <w:r>
              <w:rPr>
                <w:rFonts w:ascii="Open Sans Semibold" w:eastAsia="Times New Roman" w:hAnsi="Open Sans Semibold" w:cs="Segoe UI"/>
                <w:color w:val="FFFFFF"/>
                <w:sz w:val="16"/>
                <w:szCs w:val="16"/>
                <w:lang w:eastAsia="en-AU"/>
              </w:rPr>
              <w:t>of need</w:t>
            </w:r>
          </w:p>
        </w:tc>
        <w:tc>
          <w:tcPr>
            <w:tcW w:w="4253" w:type="dxa"/>
            <w:tcBorders>
              <w:top w:val="nil"/>
              <w:left w:val="nil"/>
              <w:bottom w:val="single" w:sz="6" w:space="0" w:color="ADD6EA"/>
              <w:right w:val="nil"/>
            </w:tcBorders>
            <w:shd w:val="clear" w:color="auto" w:fill="006991"/>
            <w:vAlign w:val="center"/>
            <w:hideMark/>
          </w:tcPr>
          <w:p w14:paraId="1F850E66" w14:textId="77777777" w:rsidR="00E60957" w:rsidRPr="00433DCB" w:rsidRDefault="00E60957" w:rsidP="00FA4791">
            <w:pPr>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Influence measured by driver </w:t>
            </w:r>
          </w:p>
        </w:tc>
        <w:tc>
          <w:tcPr>
            <w:tcW w:w="1371" w:type="dxa"/>
            <w:tcBorders>
              <w:top w:val="nil"/>
              <w:left w:val="nil"/>
              <w:bottom w:val="single" w:sz="6" w:space="0" w:color="ADD6EA"/>
              <w:right w:val="nil"/>
            </w:tcBorders>
            <w:shd w:val="clear" w:color="auto" w:fill="006991"/>
            <w:vAlign w:val="center"/>
          </w:tcPr>
          <w:p w14:paraId="4E8630F3" w14:textId="77777777" w:rsidR="00E60957" w:rsidRPr="00433DCB" w:rsidRDefault="00E60957" w:rsidP="00FA4791">
            <w:pPr>
              <w:tabs>
                <w:tab w:val="clear" w:pos="567"/>
              </w:tabs>
              <w:spacing w:before="0" w:line="240" w:lineRule="auto"/>
              <w:textAlignment w:val="baseline"/>
              <w:rPr>
                <w:rFonts w:ascii="Open Sans Semibold" w:eastAsia="Times New Roman" w:hAnsi="Open Sans Semibold" w:cs="Segoe UI"/>
                <w:color w:val="FFFFFF"/>
                <w:sz w:val="16"/>
                <w:szCs w:val="16"/>
                <w:lang w:eastAsia="en-AU"/>
              </w:rPr>
            </w:pPr>
            <w:r w:rsidRPr="00433DCB">
              <w:rPr>
                <w:rFonts w:ascii="Open Sans Semibold" w:eastAsia="Times New Roman" w:hAnsi="Open Sans Semibold" w:cs="Segoe UI"/>
                <w:color w:val="FFFFFF"/>
                <w:sz w:val="16"/>
                <w:szCs w:val="16"/>
                <w:lang w:eastAsia="en-AU"/>
              </w:rPr>
              <w:t>Change since 2020</w:t>
            </w:r>
            <w:r>
              <w:rPr>
                <w:rFonts w:ascii="Open Sans Semibold" w:eastAsia="Times New Roman" w:hAnsi="Open Sans Semibold" w:cs="Segoe UI"/>
                <w:color w:val="FFFFFF"/>
                <w:sz w:val="16"/>
                <w:szCs w:val="16"/>
                <w:lang w:eastAsia="en-AU"/>
              </w:rPr>
              <w:t> </w:t>
            </w:r>
            <w:r w:rsidRPr="00433DCB">
              <w:rPr>
                <w:rFonts w:ascii="Open Sans Semibold" w:eastAsia="Times New Roman" w:hAnsi="Open Sans Semibold" w:cs="Segoe UI"/>
                <w:color w:val="FFFFFF"/>
                <w:sz w:val="16"/>
                <w:szCs w:val="16"/>
                <w:lang w:eastAsia="en-AU"/>
              </w:rPr>
              <w:t>Review?</w:t>
            </w:r>
          </w:p>
        </w:tc>
      </w:tr>
      <w:tr w:rsidR="0017475D" w:rsidRPr="0053358F" w14:paraId="7E1C587F" w14:textId="77777777" w:rsidTr="0017475D">
        <w:trPr>
          <w:trHeight w:val="255"/>
        </w:trPr>
        <w:tc>
          <w:tcPr>
            <w:tcW w:w="1418" w:type="dxa"/>
            <w:tcBorders>
              <w:top w:val="nil"/>
              <w:left w:val="nil"/>
              <w:bottom w:val="single" w:sz="6" w:space="0" w:color="ADD6EA"/>
              <w:right w:val="nil"/>
            </w:tcBorders>
            <w:shd w:val="clear" w:color="auto" w:fill="B6D5E4"/>
            <w:vAlign w:val="center"/>
          </w:tcPr>
          <w:p w14:paraId="696197E7" w14:textId="77777777" w:rsidR="0017475D" w:rsidRPr="00433DCB" w:rsidRDefault="0017475D" w:rsidP="00B24147">
            <w:pPr>
              <w:tabs>
                <w:tab w:val="clear" w:pos="567"/>
              </w:tabs>
              <w:spacing w:before="0" w:line="240" w:lineRule="auto"/>
              <w:ind w:firstLine="84"/>
              <w:textAlignment w:val="baseline"/>
              <w:rPr>
                <w:rFonts w:ascii="Open Sans Semibold" w:eastAsia="Times New Roman" w:hAnsi="Open Sans Semibold" w:cs="Segoe UI"/>
                <w:color w:val="FFFFFF"/>
                <w:sz w:val="16"/>
                <w:szCs w:val="16"/>
                <w:lang w:eastAsia="en-AU"/>
              </w:rPr>
            </w:pPr>
          </w:p>
        </w:tc>
        <w:tc>
          <w:tcPr>
            <w:tcW w:w="181" w:type="dxa"/>
            <w:tcBorders>
              <w:top w:val="nil"/>
              <w:left w:val="nil"/>
              <w:bottom w:val="single" w:sz="6" w:space="0" w:color="ADD6EA"/>
              <w:right w:val="nil"/>
            </w:tcBorders>
            <w:shd w:val="clear" w:color="auto" w:fill="B6D5E4"/>
            <w:vAlign w:val="center"/>
          </w:tcPr>
          <w:p w14:paraId="600D748C" w14:textId="77777777" w:rsidR="0017475D" w:rsidRPr="00433DCB" w:rsidRDefault="0017475D" w:rsidP="00FA4791">
            <w:pPr>
              <w:tabs>
                <w:tab w:val="clear" w:pos="567"/>
              </w:tabs>
              <w:spacing w:before="0" w:line="240" w:lineRule="auto"/>
              <w:textAlignment w:val="baseline"/>
              <w:rPr>
                <w:rFonts w:ascii="Arial" w:eastAsia="Times New Roman" w:hAnsi="Arial" w:cs="Arial"/>
                <w:color w:val="FFFFFF"/>
                <w:sz w:val="16"/>
                <w:szCs w:val="16"/>
                <w:lang w:eastAsia="en-AU"/>
              </w:rPr>
            </w:pPr>
          </w:p>
        </w:tc>
        <w:tc>
          <w:tcPr>
            <w:tcW w:w="1803" w:type="dxa"/>
            <w:tcBorders>
              <w:top w:val="nil"/>
              <w:left w:val="nil"/>
              <w:bottom w:val="single" w:sz="6" w:space="0" w:color="ADD6EA"/>
              <w:right w:val="nil"/>
            </w:tcBorders>
            <w:shd w:val="clear" w:color="auto" w:fill="B6D5E4"/>
            <w:vAlign w:val="center"/>
          </w:tcPr>
          <w:p w14:paraId="7F3D13D2" w14:textId="77777777" w:rsidR="0017475D" w:rsidRPr="00433DCB" w:rsidRDefault="0017475D" w:rsidP="00FA4791">
            <w:pPr>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c>
          <w:tcPr>
            <w:tcW w:w="4253" w:type="dxa"/>
            <w:tcBorders>
              <w:top w:val="nil"/>
              <w:left w:val="nil"/>
              <w:bottom w:val="single" w:sz="6" w:space="0" w:color="ADD6EA"/>
              <w:right w:val="nil"/>
            </w:tcBorders>
            <w:shd w:val="clear" w:color="auto" w:fill="B6D5E4"/>
            <w:vAlign w:val="center"/>
          </w:tcPr>
          <w:p w14:paraId="652E4DE2" w14:textId="77777777" w:rsidR="0017475D" w:rsidRPr="00433DCB" w:rsidRDefault="0017475D" w:rsidP="00FA4791">
            <w:pPr>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c>
          <w:tcPr>
            <w:tcW w:w="1371" w:type="dxa"/>
            <w:tcBorders>
              <w:top w:val="nil"/>
              <w:left w:val="nil"/>
              <w:bottom w:val="single" w:sz="6" w:space="0" w:color="ADD6EA"/>
              <w:right w:val="nil"/>
            </w:tcBorders>
            <w:shd w:val="clear" w:color="auto" w:fill="B6D5E4"/>
            <w:vAlign w:val="center"/>
          </w:tcPr>
          <w:p w14:paraId="3C6EB4D6" w14:textId="77777777" w:rsidR="0017475D" w:rsidRPr="00433DCB" w:rsidRDefault="0017475D" w:rsidP="00FA4791">
            <w:pPr>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r>
      <w:tr w:rsidR="00E60957" w:rsidRPr="00433DCB" w14:paraId="2FCA533C" w14:textId="77777777" w:rsidTr="00FA4791">
        <w:trPr>
          <w:trHeight w:val="795"/>
        </w:trPr>
        <w:tc>
          <w:tcPr>
            <w:tcW w:w="1418" w:type="dxa"/>
            <w:tcBorders>
              <w:top w:val="nil"/>
              <w:left w:val="nil"/>
              <w:bottom w:val="nil"/>
              <w:right w:val="nil"/>
            </w:tcBorders>
            <w:shd w:val="clear" w:color="auto" w:fill="auto"/>
            <w:hideMark/>
          </w:tcPr>
          <w:p w14:paraId="57EB7143" w14:textId="77777777" w:rsidR="00E60957" w:rsidRPr="00433DCB" w:rsidRDefault="00E60957" w:rsidP="00B24147">
            <w:pPr>
              <w:tabs>
                <w:tab w:val="clear" w:pos="567"/>
              </w:tabs>
              <w:spacing w:before="0" w:line="240" w:lineRule="auto"/>
              <w:ind w:left="84"/>
              <w:textAlignment w:val="baseline"/>
              <w:rPr>
                <w:rFonts w:eastAsia="Times New Roman" w:cs="Segoe UI"/>
                <w:sz w:val="18"/>
                <w:szCs w:val="18"/>
                <w:lang w:eastAsia="en-AU"/>
              </w:rPr>
            </w:pPr>
            <w:r>
              <w:rPr>
                <w:rFonts w:eastAsia="Times New Roman" w:cs="Segoe UI"/>
                <w:color w:val="000000"/>
                <w:sz w:val="16"/>
                <w:szCs w:val="16"/>
                <w:lang w:eastAsia="en-AU"/>
              </w:rPr>
              <w:t>Child protection and family services</w:t>
            </w:r>
          </w:p>
        </w:tc>
        <w:tc>
          <w:tcPr>
            <w:tcW w:w="181" w:type="dxa"/>
            <w:tcBorders>
              <w:top w:val="nil"/>
              <w:left w:val="nil"/>
              <w:bottom w:val="nil"/>
              <w:right w:val="nil"/>
            </w:tcBorders>
            <w:shd w:val="clear" w:color="auto" w:fill="auto"/>
            <w:hideMark/>
          </w:tcPr>
          <w:p w14:paraId="7E650A93" w14:textId="77777777" w:rsidR="00E60957" w:rsidRPr="00433DCB" w:rsidRDefault="00E60957" w:rsidP="00FA4791">
            <w:pPr>
              <w:tabs>
                <w:tab w:val="clear" w:pos="567"/>
              </w:tabs>
              <w:spacing w:before="0" w:line="240" w:lineRule="auto"/>
              <w:textAlignment w:val="baseline"/>
              <w:rPr>
                <w:rFonts w:eastAsia="Times New Roman" w:cs="Segoe UI"/>
                <w:sz w:val="18"/>
                <w:szCs w:val="18"/>
                <w:lang w:eastAsia="en-AU"/>
              </w:rPr>
            </w:pPr>
            <w:r w:rsidRPr="00433DCB">
              <w:rPr>
                <w:rFonts w:ascii="Arial" w:eastAsia="Times New Roman" w:hAnsi="Arial" w:cs="Arial"/>
                <w:color w:val="000000"/>
                <w:sz w:val="16"/>
                <w:szCs w:val="16"/>
                <w:lang w:eastAsia="en-AU"/>
              </w:rPr>
              <w:t> </w:t>
            </w:r>
            <w:r w:rsidRPr="00433DCB">
              <w:rPr>
                <w:rFonts w:eastAsia="Times New Roman" w:cs="Segoe UI"/>
                <w:color w:val="000000"/>
                <w:sz w:val="16"/>
                <w:szCs w:val="16"/>
                <w:lang w:eastAsia="en-AU"/>
              </w:rPr>
              <w:t> </w:t>
            </w:r>
          </w:p>
        </w:tc>
        <w:tc>
          <w:tcPr>
            <w:tcW w:w="1803" w:type="dxa"/>
            <w:tcBorders>
              <w:top w:val="nil"/>
              <w:left w:val="nil"/>
              <w:bottom w:val="nil"/>
              <w:right w:val="nil"/>
            </w:tcBorders>
            <w:shd w:val="clear" w:color="auto" w:fill="auto"/>
            <w:hideMark/>
          </w:tcPr>
          <w:p w14:paraId="0553B78C" w14:textId="77777777" w:rsidR="00E60957" w:rsidRPr="00433DCB" w:rsidRDefault="00E60957" w:rsidP="00FA4791">
            <w:pPr>
              <w:tabs>
                <w:tab w:val="clear" w:pos="567"/>
              </w:tabs>
              <w:spacing w:before="0" w:line="240" w:lineRule="auto"/>
              <w:textAlignment w:val="baseline"/>
              <w:rPr>
                <w:rFonts w:eastAsia="Times New Roman" w:cs="Segoe UI"/>
                <w:sz w:val="18"/>
                <w:szCs w:val="18"/>
                <w:lang w:eastAsia="en-AU"/>
              </w:rPr>
            </w:pPr>
            <w:r w:rsidRPr="56F1BA88">
              <w:rPr>
                <w:rFonts w:eastAsia="Times New Roman" w:cs="Segoe UI"/>
                <w:color w:val="000000" w:themeColor="text1"/>
                <w:sz w:val="16"/>
                <w:szCs w:val="16"/>
                <w:lang w:eastAsia="en-AU"/>
              </w:rPr>
              <w:t>Socio-demographic composition</w:t>
            </w:r>
          </w:p>
        </w:tc>
        <w:tc>
          <w:tcPr>
            <w:tcW w:w="4253" w:type="dxa"/>
            <w:tcBorders>
              <w:top w:val="nil"/>
              <w:left w:val="nil"/>
              <w:bottom w:val="nil"/>
              <w:right w:val="nil"/>
            </w:tcBorders>
            <w:shd w:val="clear" w:color="auto" w:fill="auto"/>
            <w:hideMark/>
          </w:tcPr>
          <w:p w14:paraId="77B518FF" w14:textId="1A58E1E0" w:rsidR="00E60957" w:rsidRPr="00433DCB" w:rsidRDefault="00E60957" w:rsidP="00FA4791">
            <w:pPr>
              <w:tabs>
                <w:tab w:val="clear" w:pos="567"/>
              </w:tabs>
              <w:spacing w:before="0" w:line="240" w:lineRule="auto"/>
              <w:textAlignment w:val="baseline"/>
              <w:rPr>
                <w:rFonts w:eastAsia="Times New Roman" w:cs="Segoe UI"/>
                <w:sz w:val="18"/>
                <w:szCs w:val="18"/>
                <w:lang w:eastAsia="en-AU"/>
              </w:rPr>
            </w:pPr>
            <w:r w:rsidRPr="1CD2C273">
              <w:rPr>
                <w:rFonts w:eastAsia="Open Sans Light" w:cs="Open Sans Light"/>
                <w:sz w:val="16"/>
                <w:szCs w:val="16"/>
              </w:rPr>
              <w:t xml:space="preserve">Recognises that </w:t>
            </w:r>
            <w:r>
              <w:rPr>
                <w:rFonts w:eastAsia="Open Sans Light" w:cs="Open Sans Light"/>
                <w:sz w:val="16"/>
                <w:szCs w:val="16"/>
              </w:rPr>
              <w:t>service use is influenced by the</w:t>
            </w:r>
            <w:r>
              <w:rPr>
                <w:rFonts w:eastAsia="Open Sans Light" w:cs="Open Sans Light"/>
                <w:sz w:val="16"/>
                <w:szCs w:val="16"/>
              </w:rPr>
              <w:br/>
              <w:t>socio-demographic composition of the state population including those</w:t>
            </w:r>
            <w:r w:rsidRPr="1CD2C273">
              <w:rPr>
                <w:rFonts w:eastAsia="Open Sans Light" w:cs="Open Sans Light"/>
                <w:sz w:val="16"/>
                <w:szCs w:val="16"/>
              </w:rPr>
              <w:t xml:space="preserve"> aged 0-14</w:t>
            </w:r>
            <w:r>
              <w:rPr>
                <w:rFonts w:eastAsia="Open Sans Light" w:cs="Open Sans Light"/>
                <w:sz w:val="16"/>
                <w:szCs w:val="16"/>
              </w:rPr>
              <w:t>,</w:t>
            </w:r>
            <w:r w:rsidRPr="1CD2C273">
              <w:rPr>
                <w:rFonts w:eastAsia="Open Sans Light" w:cs="Open Sans Light"/>
                <w:sz w:val="16"/>
                <w:szCs w:val="16"/>
              </w:rPr>
              <w:t xml:space="preserve"> </w:t>
            </w:r>
            <w:r>
              <w:rPr>
                <w:rFonts w:eastAsia="Open Sans Light" w:cs="Open Sans Light"/>
                <w:sz w:val="16"/>
                <w:szCs w:val="16"/>
              </w:rPr>
              <w:t>Indigenous status,</w:t>
            </w:r>
            <w:r w:rsidRPr="1CD2C273">
              <w:rPr>
                <w:rFonts w:eastAsia="Open Sans Light" w:cs="Open Sans Light"/>
                <w:sz w:val="16"/>
                <w:szCs w:val="16"/>
              </w:rPr>
              <w:t xml:space="preserve"> </w:t>
            </w:r>
            <w:r>
              <w:rPr>
                <w:rFonts w:eastAsia="Open Sans Light" w:cs="Open Sans Light"/>
                <w:sz w:val="16"/>
                <w:szCs w:val="16"/>
              </w:rPr>
              <w:br/>
            </w:r>
            <w:r w:rsidRPr="1CD2C273">
              <w:rPr>
                <w:rFonts w:eastAsia="Open Sans Light" w:cs="Open Sans Light"/>
                <w:sz w:val="16"/>
                <w:szCs w:val="16"/>
              </w:rPr>
              <w:t xml:space="preserve">socio-economic status (SES) and </w:t>
            </w:r>
            <w:r>
              <w:rPr>
                <w:rFonts w:eastAsia="Open Sans Light" w:cs="Open Sans Light"/>
                <w:sz w:val="16"/>
                <w:szCs w:val="16"/>
              </w:rPr>
              <w:t>where people live</w:t>
            </w:r>
            <w:r w:rsidRPr="1CD2C273">
              <w:rPr>
                <w:rFonts w:eastAsia="Open Sans Light" w:cs="Open Sans Light"/>
                <w:sz w:val="16"/>
                <w:szCs w:val="16"/>
              </w:rPr>
              <w:t>.</w:t>
            </w:r>
          </w:p>
        </w:tc>
        <w:tc>
          <w:tcPr>
            <w:tcW w:w="1371" w:type="dxa"/>
            <w:tcBorders>
              <w:top w:val="nil"/>
              <w:left w:val="nil"/>
              <w:bottom w:val="nil"/>
              <w:right w:val="nil"/>
            </w:tcBorders>
          </w:tcPr>
          <w:p w14:paraId="798CF61B" w14:textId="77777777" w:rsidR="00E60957" w:rsidRPr="1CD2C273" w:rsidRDefault="00E60957" w:rsidP="00FA4791">
            <w:pPr>
              <w:tabs>
                <w:tab w:val="clear" w:pos="567"/>
              </w:tabs>
              <w:spacing w:before="0" w:line="240" w:lineRule="auto"/>
              <w:textAlignment w:val="baseline"/>
              <w:rPr>
                <w:rFonts w:eastAsia="Open Sans Light" w:cs="Open Sans Light"/>
                <w:sz w:val="16"/>
                <w:szCs w:val="16"/>
              </w:rPr>
            </w:pPr>
            <w:r>
              <w:rPr>
                <w:rFonts w:eastAsia="Times New Roman" w:cs="Segoe UI"/>
                <w:color w:val="000000"/>
                <w:sz w:val="16"/>
                <w:szCs w:val="16"/>
                <w:lang w:eastAsia="en-AU"/>
              </w:rPr>
              <w:t>No</w:t>
            </w:r>
          </w:p>
        </w:tc>
      </w:tr>
      <w:tr w:rsidR="00E60957" w:rsidRPr="00433DCB" w14:paraId="58ECD0A8" w14:textId="77777777" w:rsidTr="00FA4791">
        <w:trPr>
          <w:trHeight w:val="284"/>
        </w:trPr>
        <w:tc>
          <w:tcPr>
            <w:tcW w:w="1418" w:type="dxa"/>
            <w:tcBorders>
              <w:top w:val="nil"/>
              <w:left w:val="nil"/>
              <w:bottom w:val="nil"/>
              <w:right w:val="nil"/>
            </w:tcBorders>
            <w:shd w:val="clear" w:color="auto" w:fill="auto"/>
            <w:hideMark/>
          </w:tcPr>
          <w:p w14:paraId="7FE7EE26" w14:textId="77777777" w:rsidR="00E60957" w:rsidRPr="00433DCB" w:rsidRDefault="00E60957" w:rsidP="00FA4791">
            <w:pPr>
              <w:tabs>
                <w:tab w:val="clear" w:pos="567"/>
              </w:tabs>
              <w:spacing w:before="0" w:line="240" w:lineRule="auto"/>
              <w:textAlignment w:val="baseline"/>
              <w:rPr>
                <w:rFonts w:eastAsia="Times New Roman" w:cs="Segoe UI"/>
                <w:sz w:val="18"/>
                <w:szCs w:val="18"/>
                <w:lang w:eastAsia="en-AU"/>
              </w:rPr>
            </w:pPr>
            <w:r w:rsidRPr="00433DCB">
              <w:rPr>
                <w:rFonts w:eastAsia="Times New Roman" w:cs="Segoe UI"/>
                <w:color w:val="000000"/>
                <w:sz w:val="16"/>
                <w:szCs w:val="16"/>
                <w:lang w:eastAsia="en-AU"/>
              </w:rPr>
              <w:t> </w:t>
            </w:r>
          </w:p>
        </w:tc>
        <w:tc>
          <w:tcPr>
            <w:tcW w:w="181" w:type="dxa"/>
            <w:tcBorders>
              <w:top w:val="single" w:sz="6" w:space="0" w:color="ADD6EA"/>
              <w:left w:val="nil"/>
              <w:bottom w:val="nil"/>
              <w:right w:val="nil"/>
            </w:tcBorders>
            <w:shd w:val="clear" w:color="auto" w:fill="auto"/>
            <w:hideMark/>
          </w:tcPr>
          <w:p w14:paraId="7FA82156" w14:textId="77777777" w:rsidR="00E60957" w:rsidRPr="00433DCB" w:rsidRDefault="00E60957" w:rsidP="00FA4791">
            <w:pPr>
              <w:tabs>
                <w:tab w:val="clear" w:pos="567"/>
              </w:tabs>
              <w:spacing w:before="0" w:line="240" w:lineRule="auto"/>
              <w:textAlignment w:val="baseline"/>
              <w:rPr>
                <w:rFonts w:eastAsia="Times New Roman" w:cs="Segoe UI"/>
                <w:sz w:val="18"/>
                <w:szCs w:val="18"/>
                <w:lang w:eastAsia="en-AU"/>
              </w:rPr>
            </w:pPr>
            <w:r w:rsidRPr="00433DCB">
              <w:rPr>
                <w:rFonts w:ascii="Arial" w:eastAsia="Times New Roman" w:hAnsi="Arial" w:cs="Arial"/>
                <w:color w:val="000000"/>
                <w:sz w:val="16"/>
                <w:szCs w:val="16"/>
                <w:lang w:eastAsia="en-AU"/>
              </w:rPr>
              <w:t> </w:t>
            </w:r>
            <w:r w:rsidRPr="00433DCB">
              <w:rPr>
                <w:rFonts w:eastAsia="Times New Roman" w:cs="Segoe UI"/>
                <w:color w:val="000000"/>
                <w:sz w:val="16"/>
                <w:szCs w:val="16"/>
                <w:lang w:eastAsia="en-AU"/>
              </w:rPr>
              <w:t> </w:t>
            </w:r>
          </w:p>
        </w:tc>
        <w:tc>
          <w:tcPr>
            <w:tcW w:w="1803" w:type="dxa"/>
            <w:tcBorders>
              <w:top w:val="single" w:sz="6" w:space="0" w:color="ADD6EA"/>
              <w:left w:val="nil"/>
              <w:bottom w:val="nil"/>
              <w:right w:val="nil"/>
            </w:tcBorders>
            <w:shd w:val="clear" w:color="auto" w:fill="auto"/>
            <w:hideMark/>
          </w:tcPr>
          <w:p w14:paraId="7013D20E" w14:textId="77777777" w:rsidR="00E60957" w:rsidRPr="00433DCB" w:rsidRDefault="00E60957" w:rsidP="00FA4791">
            <w:pPr>
              <w:tabs>
                <w:tab w:val="clear" w:pos="567"/>
              </w:tabs>
              <w:spacing w:before="0" w:line="240" w:lineRule="auto"/>
              <w:textAlignment w:val="baseline"/>
              <w:rPr>
                <w:rFonts w:eastAsia="Times New Roman" w:cs="Segoe UI"/>
                <w:sz w:val="18"/>
                <w:szCs w:val="18"/>
                <w:lang w:eastAsia="en-AU"/>
              </w:rPr>
            </w:pPr>
            <w:r w:rsidRPr="00433DCB">
              <w:rPr>
                <w:rFonts w:eastAsia="Times New Roman" w:cs="Segoe UI"/>
                <w:color w:val="000000"/>
                <w:sz w:val="16"/>
                <w:szCs w:val="16"/>
                <w:lang w:eastAsia="en-AU"/>
              </w:rPr>
              <w:t>Wage costs</w:t>
            </w:r>
          </w:p>
        </w:tc>
        <w:tc>
          <w:tcPr>
            <w:tcW w:w="4253" w:type="dxa"/>
            <w:tcBorders>
              <w:top w:val="single" w:sz="6" w:space="0" w:color="ADD6EA"/>
              <w:left w:val="nil"/>
              <w:bottom w:val="nil"/>
              <w:right w:val="nil"/>
            </w:tcBorders>
            <w:shd w:val="clear" w:color="auto" w:fill="auto"/>
            <w:hideMark/>
          </w:tcPr>
          <w:p w14:paraId="436E5FFE" w14:textId="77777777" w:rsidR="00E60957" w:rsidRPr="00433DCB" w:rsidRDefault="00E60957" w:rsidP="00FA4791">
            <w:pPr>
              <w:tabs>
                <w:tab w:val="clear" w:pos="567"/>
              </w:tabs>
              <w:spacing w:before="0" w:line="240" w:lineRule="auto"/>
              <w:textAlignment w:val="baseline"/>
              <w:rPr>
                <w:rFonts w:eastAsia="Times New Roman" w:cs="Segoe UI"/>
                <w:sz w:val="18"/>
                <w:szCs w:val="18"/>
                <w:lang w:eastAsia="en-AU"/>
              </w:rPr>
            </w:pPr>
            <w:r w:rsidRPr="00433DCB">
              <w:rPr>
                <w:rFonts w:eastAsia="Times New Roman" w:cs="Segoe UI"/>
                <w:color w:val="000000"/>
                <w:sz w:val="16"/>
                <w:szCs w:val="16"/>
                <w:lang w:eastAsia="en-AU"/>
              </w:rPr>
              <w:t>Recognises differences in wage costs between states. </w:t>
            </w:r>
          </w:p>
        </w:tc>
        <w:tc>
          <w:tcPr>
            <w:tcW w:w="1371" w:type="dxa"/>
            <w:tcBorders>
              <w:top w:val="single" w:sz="6" w:space="0" w:color="ADD6EA"/>
              <w:left w:val="nil"/>
              <w:bottom w:val="nil"/>
              <w:right w:val="nil"/>
            </w:tcBorders>
          </w:tcPr>
          <w:p w14:paraId="7C656551" w14:textId="77777777" w:rsidR="00E60957" w:rsidRPr="00433DCB" w:rsidRDefault="00E60957" w:rsidP="00FA4791">
            <w:pPr>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No</w:t>
            </w:r>
          </w:p>
        </w:tc>
      </w:tr>
      <w:tr w:rsidR="00E60957" w:rsidRPr="00433DCB" w14:paraId="0F22C37D" w14:textId="77777777" w:rsidTr="00FA4791">
        <w:trPr>
          <w:trHeight w:val="540"/>
        </w:trPr>
        <w:tc>
          <w:tcPr>
            <w:tcW w:w="1418" w:type="dxa"/>
            <w:tcBorders>
              <w:top w:val="nil"/>
              <w:left w:val="nil"/>
              <w:bottom w:val="nil"/>
              <w:right w:val="nil"/>
            </w:tcBorders>
            <w:shd w:val="clear" w:color="auto" w:fill="auto"/>
          </w:tcPr>
          <w:p w14:paraId="100D9D2B" w14:textId="77777777" w:rsidR="00E60957" w:rsidRPr="00433DCB" w:rsidRDefault="00E60957" w:rsidP="00FA4791">
            <w:pPr>
              <w:tabs>
                <w:tab w:val="clear" w:pos="567"/>
              </w:tabs>
              <w:spacing w:before="0" w:line="240" w:lineRule="auto"/>
              <w:textAlignment w:val="baseline"/>
              <w:rPr>
                <w:rFonts w:eastAsia="Times New Roman" w:cs="Segoe UI"/>
                <w:color w:val="000000"/>
                <w:sz w:val="16"/>
                <w:szCs w:val="16"/>
                <w:lang w:eastAsia="en-AU"/>
              </w:rPr>
            </w:pPr>
          </w:p>
        </w:tc>
        <w:tc>
          <w:tcPr>
            <w:tcW w:w="181" w:type="dxa"/>
            <w:tcBorders>
              <w:top w:val="single" w:sz="6" w:space="0" w:color="ADD6EA"/>
              <w:left w:val="nil"/>
              <w:bottom w:val="nil"/>
              <w:right w:val="nil"/>
            </w:tcBorders>
            <w:shd w:val="clear" w:color="auto" w:fill="auto"/>
          </w:tcPr>
          <w:p w14:paraId="75532FD1" w14:textId="77777777" w:rsidR="00E60957" w:rsidRPr="00433DCB" w:rsidRDefault="00E60957" w:rsidP="00FA4791">
            <w:pPr>
              <w:tabs>
                <w:tab w:val="clear" w:pos="567"/>
              </w:tabs>
              <w:spacing w:before="0" w:line="240" w:lineRule="auto"/>
              <w:textAlignment w:val="baseline"/>
              <w:rPr>
                <w:rFonts w:ascii="Arial" w:eastAsia="Times New Roman" w:hAnsi="Arial" w:cs="Arial"/>
                <w:color w:val="000000"/>
                <w:sz w:val="16"/>
                <w:szCs w:val="16"/>
                <w:lang w:eastAsia="en-AU"/>
              </w:rPr>
            </w:pPr>
          </w:p>
        </w:tc>
        <w:tc>
          <w:tcPr>
            <w:tcW w:w="1803" w:type="dxa"/>
            <w:tcBorders>
              <w:top w:val="single" w:sz="6" w:space="0" w:color="ADD6EA"/>
              <w:left w:val="nil"/>
              <w:bottom w:val="nil"/>
              <w:right w:val="nil"/>
            </w:tcBorders>
            <w:shd w:val="clear" w:color="auto" w:fill="auto"/>
          </w:tcPr>
          <w:p w14:paraId="135E63C8" w14:textId="77777777" w:rsidR="00E60957" w:rsidRPr="00715F5B" w:rsidRDefault="00E60957" w:rsidP="00FA4791">
            <w:pPr>
              <w:tabs>
                <w:tab w:val="clear" w:pos="567"/>
              </w:tabs>
              <w:spacing w:before="0" w:line="240" w:lineRule="auto"/>
              <w:textAlignment w:val="baseline"/>
              <w:rPr>
                <w:rFonts w:eastAsia="Times New Roman" w:cs="Segoe UI"/>
                <w:color w:val="000000"/>
                <w:sz w:val="16"/>
                <w:szCs w:val="16"/>
                <w:lang w:eastAsia="en-AU"/>
              </w:rPr>
            </w:pPr>
            <w:r w:rsidRPr="00715F5B">
              <w:rPr>
                <w:rFonts w:eastAsia="Times New Roman" w:cs="Segoe UI"/>
                <w:color w:val="000000"/>
                <w:sz w:val="16"/>
                <w:szCs w:val="16"/>
                <w:lang w:eastAsia="en-AU"/>
              </w:rPr>
              <w:t>Regional costs and service delivery scale</w:t>
            </w:r>
          </w:p>
        </w:tc>
        <w:tc>
          <w:tcPr>
            <w:tcW w:w="4253" w:type="dxa"/>
            <w:tcBorders>
              <w:top w:val="single" w:sz="6" w:space="0" w:color="ADD6EA"/>
              <w:left w:val="nil"/>
              <w:bottom w:val="nil"/>
              <w:right w:val="nil"/>
            </w:tcBorders>
            <w:shd w:val="clear" w:color="auto" w:fill="auto"/>
          </w:tcPr>
          <w:p w14:paraId="2726B711" w14:textId="77777777" w:rsidR="00E60957" w:rsidRPr="00715F5B" w:rsidRDefault="00E60957" w:rsidP="00FA4791">
            <w:pPr>
              <w:tabs>
                <w:tab w:val="clear" w:pos="567"/>
              </w:tabs>
              <w:spacing w:before="0" w:line="240" w:lineRule="auto"/>
              <w:textAlignment w:val="baseline"/>
              <w:rPr>
                <w:rFonts w:eastAsia="Times New Roman" w:cs="Segoe UI"/>
                <w:color w:val="000000"/>
                <w:sz w:val="16"/>
                <w:szCs w:val="16"/>
                <w:lang w:eastAsia="en-AU"/>
              </w:rPr>
            </w:pPr>
            <w:r w:rsidRPr="00715F5B">
              <w:rPr>
                <w:rFonts w:eastAsia="Times New Roman" w:cs="Segoe UI"/>
                <w:color w:val="000000"/>
                <w:sz w:val="16"/>
                <w:szCs w:val="16"/>
                <w:lang w:eastAsia="en-AU"/>
              </w:rPr>
              <w:t>Recognises the cost of providing services to different areas within a state and to small population centres.</w:t>
            </w:r>
          </w:p>
        </w:tc>
        <w:tc>
          <w:tcPr>
            <w:tcW w:w="1371" w:type="dxa"/>
            <w:tcBorders>
              <w:top w:val="single" w:sz="6" w:space="0" w:color="ADD6EA"/>
              <w:left w:val="nil"/>
              <w:bottom w:val="nil"/>
              <w:right w:val="nil"/>
            </w:tcBorders>
          </w:tcPr>
          <w:p w14:paraId="1349BEA0" w14:textId="77777777" w:rsidR="00E60957" w:rsidRPr="00715F5B" w:rsidRDefault="00E60957" w:rsidP="00FA4791">
            <w:pPr>
              <w:tabs>
                <w:tab w:val="clear" w:pos="567"/>
              </w:tabs>
              <w:spacing w:before="0" w:line="240" w:lineRule="auto"/>
              <w:textAlignment w:val="baseline"/>
              <w:rPr>
                <w:rFonts w:eastAsia="Times New Roman" w:cs="Segoe UI"/>
                <w:color w:val="000000"/>
                <w:sz w:val="16"/>
                <w:szCs w:val="16"/>
                <w:lang w:eastAsia="en-AU"/>
              </w:rPr>
            </w:pPr>
            <w:r w:rsidRPr="00715F5B">
              <w:rPr>
                <w:rFonts w:eastAsia="Times New Roman" w:cs="Segoe UI"/>
                <w:color w:val="000000"/>
                <w:sz w:val="16"/>
                <w:szCs w:val="16"/>
                <w:lang w:eastAsia="en-AU"/>
              </w:rPr>
              <w:t>No</w:t>
            </w:r>
          </w:p>
        </w:tc>
      </w:tr>
      <w:tr w:rsidR="00E60957" w:rsidRPr="00433DCB" w14:paraId="4C54D307" w14:textId="77777777" w:rsidTr="00FA4791">
        <w:trPr>
          <w:trHeight w:val="560"/>
        </w:trPr>
        <w:tc>
          <w:tcPr>
            <w:tcW w:w="1418" w:type="dxa"/>
            <w:tcBorders>
              <w:top w:val="single" w:sz="6" w:space="0" w:color="ADD6EA"/>
              <w:left w:val="nil"/>
              <w:bottom w:val="single" w:sz="6" w:space="0" w:color="ADD6EA"/>
              <w:right w:val="nil"/>
            </w:tcBorders>
            <w:shd w:val="clear" w:color="auto" w:fill="auto"/>
            <w:hideMark/>
          </w:tcPr>
          <w:p w14:paraId="43B25133" w14:textId="77777777" w:rsidR="00E60957" w:rsidRPr="00433DCB" w:rsidRDefault="00E60957" w:rsidP="00B24147">
            <w:pPr>
              <w:tabs>
                <w:tab w:val="clear" w:pos="567"/>
              </w:tabs>
              <w:spacing w:before="0" w:line="240" w:lineRule="auto"/>
              <w:ind w:left="98"/>
              <w:textAlignment w:val="baseline"/>
              <w:rPr>
                <w:rFonts w:eastAsia="Times New Roman" w:cs="Segoe UI"/>
                <w:sz w:val="18"/>
                <w:szCs w:val="18"/>
                <w:lang w:eastAsia="en-AU"/>
              </w:rPr>
            </w:pPr>
            <w:r>
              <w:rPr>
                <w:rFonts w:eastAsia="Times New Roman" w:cs="Segoe UI"/>
                <w:color w:val="000000"/>
                <w:sz w:val="16"/>
                <w:szCs w:val="16"/>
                <w:lang w:eastAsia="en-AU"/>
              </w:rPr>
              <w:t>National Disability Insurance Scheme</w:t>
            </w:r>
            <w:r w:rsidRPr="00433DCB">
              <w:rPr>
                <w:rFonts w:eastAsia="Times New Roman" w:cs="Segoe UI"/>
                <w:color w:val="000000"/>
                <w:sz w:val="16"/>
                <w:szCs w:val="16"/>
                <w:lang w:eastAsia="en-AU"/>
              </w:rPr>
              <w:t> </w:t>
            </w:r>
          </w:p>
        </w:tc>
        <w:tc>
          <w:tcPr>
            <w:tcW w:w="181" w:type="dxa"/>
            <w:tcBorders>
              <w:top w:val="single" w:sz="6" w:space="0" w:color="ADD6EA"/>
              <w:left w:val="nil"/>
              <w:bottom w:val="single" w:sz="6" w:space="0" w:color="ADD6EA"/>
              <w:right w:val="nil"/>
            </w:tcBorders>
            <w:shd w:val="clear" w:color="auto" w:fill="auto"/>
            <w:hideMark/>
          </w:tcPr>
          <w:p w14:paraId="2AE1F39C" w14:textId="77777777" w:rsidR="00E60957" w:rsidRPr="00433DCB" w:rsidRDefault="00E60957" w:rsidP="00FA4791">
            <w:pPr>
              <w:tabs>
                <w:tab w:val="clear" w:pos="567"/>
              </w:tabs>
              <w:spacing w:before="0" w:line="240" w:lineRule="auto"/>
              <w:textAlignment w:val="baseline"/>
              <w:rPr>
                <w:rFonts w:eastAsia="Times New Roman" w:cs="Segoe UI"/>
                <w:sz w:val="18"/>
                <w:szCs w:val="18"/>
                <w:lang w:eastAsia="en-AU"/>
              </w:rPr>
            </w:pPr>
            <w:r w:rsidRPr="00433DCB">
              <w:rPr>
                <w:rFonts w:ascii="Arial" w:eastAsia="Times New Roman" w:hAnsi="Arial" w:cs="Arial"/>
                <w:color w:val="000000"/>
                <w:sz w:val="16"/>
                <w:szCs w:val="16"/>
                <w:lang w:eastAsia="en-AU"/>
              </w:rPr>
              <w:t> </w:t>
            </w:r>
            <w:r w:rsidRPr="00433DCB">
              <w:rPr>
                <w:rFonts w:eastAsia="Times New Roman" w:cs="Segoe UI"/>
                <w:color w:val="000000"/>
                <w:sz w:val="16"/>
                <w:szCs w:val="16"/>
                <w:lang w:eastAsia="en-AU"/>
              </w:rPr>
              <w:t> </w:t>
            </w:r>
          </w:p>
        </w:tc>
        <w:tc>
          <w:tcPr>
            <w:tcW w:w="1803" w:type="dxa"/>
            <w:tcBorders>
              <w:top w:val="single" w:sz="6" w:space="0" w:color="ADD6EA"/>
              <w:left w:val="nil"/>
              <w:bottom w:val="single" w:sz="6" w:space="0" w:color="ADD6EA"/>
              <w:right w:val="nil"/>
            </w:tcBorders>
            <w:shd w:val="clear" w:color="auto" w:fill="auto"/>
            <w:hideMark/>
          </w:tcPr>
          <w:p w14:paraId="394B7898" w14:textId="77777777" w:rsidR="00E60957" w:rsidRPr="00715F5B" w:rsidRDefault="00E60957" w:rsidP="00FA4791">
            <w:pPr>
              <w:tabs>
                <w:tab w:val="clear" w:pos="567"/>
              </w:tabs>
              <w:spacing w:before="0" w:line="240" w:lineRule="auto"/>
              <w:textAlignment w:val="baseline"/>
              <w:rPr>
                <w:rFonts w:eastAsia="Times New Roman" w:cs="Segoe UI"/>
                <w:sz w:val="18"/>
                <w:szCs w:val="18"/>
                <w:lang w:eastAsia="en-AU"/>
              </w:rPr>
            </w:pPr>
            <w:r w:rsidRPr="00715F5B">
              <w:rPr>
                <w:rFonts w:eastAsia="Times New Roman" w:cs="Segoe UI"/>
                <w:color w:val="000000"/>
                <w:sz w:val="16"/>
                <w:szCs w:val="16"/>
                <w:lang w:eastAsia="en-AU"/>
              </w:rPr>
              <w:t>Census population shares</w:t>
            </w:r>
          </w:p>
        </w:tc>
        <w:tc>
          <w:tcPr>
            <w:tcW w:w="4253" w:type="dxa"/>
            <w:tcBorders>
              <w:top w:val="single" w:sz="6" w:space="0" w:color="ADD6EA"/>
              <w:left w:val="nil"/>
              <w:bottom w:val="single" w:sz="6" w:space="0" w:color="ADD6EA"/>
              <w:right w:val="nil"/>
            </w:tcBorders>
            <w:shd w:val="clear" w:color="auto" w:fill="auto"/>
            <w:hideMark/>
          </w:tcPr>
          <w:p w14:paraId="1F5E3FA7" w14:textId="77777777" w:rsidR="00E60957" w:rsidRPr="00715F5B" w:rsidRDefault="00E60957" w:rsidP="00FA4791">
            <w:pPr>
              <w:tabs>
                <w:tab w:val="clear" w:pos="567"/>
              </w:tabs>
              <w:spacing w:before="0" w:line="240" w:lineRule="auto"/>
              <w:textAlignment w:val="baseline"/>
            </w:pPr>
            <w:r w:rsidRPr="00715F5B">
              <w:rPr>
                <w:rFonts w:eastAsia="Open Sans Light" w:cs="Open Sans Light"/>
                <w:sz w:val="16"/>
                <w:szCs w:val="16"/>
              </w:rPr>
              <w:t>2021 Census population shares.</w:t>
            </w:r>
          </w:p>
        </w:tc>
        <w:tc>
          <w:tcPr>
            <w:tcW w:w="1371" w:type="dxa"/>
            <w:tcBorders>
              <w:top w:val="single" w:sz="6" w:space="0" w:color="ADD6EA"/>
              <w:left w:val="nil"/>
              <w:bottom w:val="single" w:sz="6" w:space="0" w:color="ADD6EA"/>
              <w:right w:val="nil"/>
            </w:tcBorders>
          </w:tcPr>
          <w:p w14:paraId="7DBCBABD" w14:textId="77777777" w:rsidR="00E60957" w:rsidRPr="00715F5B" w:rsidRDefault="00E60957" w:rsidP="00FA4791">
            <w:pPr>
              <w:tabs>
                <w:tab w:val="clear" w:pos="567"/>
              </w:tabs>
              <w:spacing w:before="0" w:line="240" w:lineRule="auto"/>
              <w:textAlignment w:val="baseline"/>
              <w:rPr>
                <w:rFonts w:eastAsia="Open Sans Light" w:cs="Open Sans Light"/>
                <w:sz w:val="16"/>
                <w:szCs w:val="16"/>
              </w:rPr>
            </w:pPr>
            <w:r w:rsidRPr="00715F5B">
              <w:rPr>
                <w:rFonts w:eastAsia="Times New Roman" w:cs="Segoe UI"/>
                <w:color w:val="000000"/>
                <w:sz w:val="16"/>
                <w:szCs w:val="16"/>
                <w:lang w:eastAsia="en-AU"/>
              </w:rPr>
              <w:t>No</w:t>
            </w:r>
          </w:p>
        </w:tc>
      </w:tr>
      <w:tr w:rsidR="00E60957" w:rsidRPr="00433DCB" w14:paraId="664410DD" w14:textId="77777777" w:rsidTr="00FA4791">
        <w:trPr>
          <w:trHeight w:val="315"/>
        </w:trPr>
        <w:tc>
          <w:tcPr>
            <w:tcW w:w="1418" w:type="dxa"/>
            <w:tcBorders>
              <w:top w:val="single" w:sz="6" w:space="0" w:color="ADD6EA"/>
              <w:left w:val="nil"/>
              <w:bottom w:val="single" w:sz="6" w:space="0" w:color="ADD6EA"/>
              <w:right w:val="nil"/>
            </w:tcBorders>
            <w:shd w:val="clear" w:color="auto" w:fill="auto"/>
          </w:tcPr>
          <w:p w14:paraId="6D30A2CF" w14:textId="77777777" w:rsidR="00E60957" w:rsidRDefault="00E60957" w:rsidP="00B24147">
            <w:pPr>
              <w:tabs>
                <w:tab w:val="clear" w:pos="567"/>
              </w:tabs>
              <w:spacing w:before="0" w:line="240" w:lineRule="auto"/>
              <w:ind w:firstLine="112"/>
              <w:textAlignment w:val="baseline"/>
              <w:rPr>
                <w:rFonts w:eastAsia="Times New Roman" w:cs="Segoe UI"/>
                <w:color w:val="000000"/>
                <w:sz w:val="16"/>
                <w:szCs w:val="16"/>
                <w:lang w:eastAsia="en-AU"/>
              </w:rPr>
            </w:pPr>
            <w:r>
              <w:rPr>
                <w:rFonts w:eastAsia="Times New Roman" w:cs="Segoe UI"/>
                <w:color w:val="000000"/>
                <w:sz w:val="16"/>
                <w:szCs w:val="16"/>
                <w:lang w:eastAsia="en-AU"/>
              </w:rPr>
              <w:t>Concessions</w:t>
            </w:r>
            <w:r w:rsidRPr="00433DCB">
              <w:rPr>
                <w:rFonts w:eastAsia="Times New Roman" w:cs="Segoe UI"/>
                <w:color w:val="000000"/>
                <w:sz w:val="16"/>
                <w:szCs w:val="16"/>
                <w:lang w:eastAsia="en-AU"/>
              </w:rPr>
              <w:t> </w:t>
            </w:r>
          </w:p>
        </w:tc>
        <w:tc>
          <w:tcPr>
            <w:tcW w:w="181" w:type="dxa"/>
            <w:tcBorders>
              <w:top w:val="single" w:sz="6" w:space="0" w:color="ADD6EA"/>
              <w:left w:val="nil"/>
              <w:bottom w:val="single" w:sz="6" w:space="0" w:color="ADD6EA"/>
              <w:right w:val="nil"/>
            </w:tcBorders>
            <w:shd w:val="clear" w:color="auto" w:fill="auto"/>
          </w:tcPr>
          <w:p w14:paraId="7DE2D548" w14:textId="77777777" w:rsidR="00E60957" w:rsidRPr="00433DCB" w:rsidRDefault="00E60957" w:rsidP="00FA4791">
            <w:pPr>
              <w:tabs>
                <w:tab w:val="clear" w:pos="567"/>
              </w:tabs>
              <w:spacing w:before="0" w:line="240" w:lineRule="auto"/>
              <w:textAlignment w:val="baseline"/>
              <w:rPr>
                <w:rFonts w:ascii="Arial" w:eastAsia="Times New Roman" w:hAnsi="Arial" w:cs="Arial"/>
                <w:color w:val="000000"/>
                <w:sz w:val="16"/>
                <w:szCs w:val="16"/>
                <w:lang w:eastAsia="en-AU"/>
              </w:rPr>
            </w:pPr>
            <w:r w:rsidRPr="00433DCB">
              <w:rPr>
                <w:rFonts w:ascii="Arial" w:eastAsia="Times New Roman" w:hAnsi="Arial" w:cs="Arial"/>
                <w:color w:val="000000"/>
                <w:sz w:val="16"/>
                <w:szCs w:val="16"/>
                <w:lang w:eastAsia="en-AU"/>
              </w:rPr>
              <w:t> </w:t>
            </w:r>
            <w:r w:rsidRPr="00433DCB">
              <w:rPr>
                <w:rFonts w:eastAsia="Times New Roman" w:cs="Segoe UI"/>
                <w:color w:val="000000"/>
                <w:sz w:val="16"/>
                <w:szCs w:val="16"/>
                <w:lang w:eastAsia="en-AU"/>
              </w:rPr>
              <w:t> </w:t>
            </w:r>
          </w:p>
        </w:tc>
        <w:tc>
          <w:tcPr>
            <w:tcW w:w="1803" w:type="dxa"/>
            <w:tcBorders>
              <w:top w:val="single" w:sz="6" w:space="0" w:color="ADD6EA"/>
              <w:left w:val="nil"/>
              <w:bottom w:val="single" w:sz="6" w:space="0" w:color="ADD6EA"/>
              <w:right w:val="nil"/>
            </w:tcBorders>
            <w:shd w:val="clear" w:color="auto" w:fill="auto"/>
          </w:tcPr>
          <w:p w14:paraId="021D358E" w14:textId="77777777" w:rsidR="00E60957" w:rsidRPr="00715F5B" w:rsidRDefault="00E60957" w:rsidP="00FA4791">
            <w:pPr>
              <w:tabs>
                <w:tab w:val="clear" w:pos="567"/>
              </w:tabs>
              <w:spacing w:before="0" w:line="240" w:lineRule="auto"/>
              <w:textAlignment w:val="baseline"/>
              <w:rPr>
                <w:rFonts w:eastAsia="Times New Roman" w:cs="Segoe UI"/>
                <w:color w:val="000000"/>
                <w:sz w:val="16"/>
                <w:szCs w:val="16"/>
                <w:lang w:eastAsia="en-AU"/>
              </w:rPr>
            </w:pPr>
            <w:r w:rsidRPr="00715F5B">
              <w:rPr>
                <w:rFonts w:eastAsia="Times New Roman" w:cs="Segoe UI"/>
                <w:color w:val="000000" w:themeColor="text1"/>
                <w:sz w:val="16"/>
                <w:szCs w:val="16"/>
                <w:lang w:eastAsia="en-AU"/>
              </w:rPr>
              <w:t>Socio-demographic composition</w:t>
            </w:r>
          </w:p>
        </w:tc>
        <w:tc>
          <w:tcPr>
            <w:tcW w:w="4253" w:type="dxa"/>
            <w:tcBorders>
              <w:top w:val="single" w:sz="6" w:space="0" w:color="ADD6EA"/>
              <w:left w:val="nil"/>
              <w:bottom w:val="single" w:sz="6" w:space="0" w:color="ADD6EA"/>
              <w:right w:val="nil"/>
            </w:tcBorders>
            <w:shd w:val="clear" w:color="auto" w:fill="auto"/>
          </w:tcPr>
          <w:p w14:paraId="359C2895" w14:textId="77777777" w:rsidR="00E60957" w:rsidRPr="00715F5B" w:rsidRDefault="00E60957" w:rsidP="00FA4791">
            <w:pPr>
              <w:tabs>
                <w:tab w:val="clear" w:pos="567"/>
              </w:tabs>
              <w:spacing w:before="0" w:line="240" w:lineRule="auto"/>
              <w:textAlignment w:val="baseline"/>
              <w:rPr>
                <w:rFonts w:eastAsia="Times New Roman" w:cs="Segoe UI"/>
                <w:color w:val="000000"/>
                <w:sz w:val="16"/>
                <w:szCs w:val="16"/>
                <w:lang w:eastAsia="en-AU"/>
              </w:rPr>
            </w:pPr>
            <w:r w:rsidRPr="00715F5B">
              <w:rPr>
                <w:rFonts w:eastAsia="Open Sans Light" w:cs="Open Sans Light"/>
                <w:sz w:val="16"/>
                <w:szCs w:val="16"/>
              </w:rPr>
              <w:t>Recognises that numbers of pensioner concession card and health care card holders affect the use and cost of providing concessions.</w:t>
            </w:r>
          </w:p>
        </w:tc>
        <w:tc>
          <w:tcPr>
            <w:tcW w:w="1371" w:type="dxa"/>
            <w:tcBorders>
              <w:top w:val="single" w:sz="6" w:space="0" w:color="ADD6EA"/>
              <w:left w:val="nil"/>
              <w:bottom w:val="single" w:sz="6" w:space="0" w:color="ADD6EA"/>
              <w:right w:val="nil"/>
            </w:tcBorders>
          </w:tcPr>
          <w:p w14:paraId="42CDA51D" w14:textId="77777777" w:rsidR="00E60957" w:rsidRPr="00715F5B" w:rsidRDefault="00E60957" w:rsidP="00FA4791">
            <w:pPr>
              <w:tabs>
                <w:tab w:val="clear" w:pos="567"/>
              </w:tabs>
              <w:spacing w:before="0" w:line="240" w:lineRule="auto"/>
              <w:textAlignment w:val="baseline"/>
              <w:rPr>
                <w:rFonts w:eastAsia="Open Sans Light" w:cs="Open Sans Light"/>
                <w:sz w:val="16"/>
                <w:szCs w:val="16"/>
              </w:rPr>
            </w:pPr>
            <w:r w:rsidRPr="00715F5B">
              <w:rPr>
                <w:rFonts w:eastAsia="Times New Roman" w:cs="Segoe UI"/>
                <w:color w:val="000000"/>
                <w:sz w:val="16"/>
                <w:szCs w:val="16"/>
                <w:lang w:eastAsia="en-AU"/>
              </w:rPr>
              <w:t>No</w:t>
            </w:r>
          </w:p>
        </w:tc>
      </w:tr>
      <w:tr w:rsidR="00E60957" w:rsidRPr="00433DCB" w14:paraId="25131679" w14:textId="77777777" w:rsidTr="00FA4791">
        <w:trPr>
          <w:trHeight w:val="315"/>
        </w:trPr>
        <w:tc>
          <w:tcPr>
            <w:tcW w:w="1418" w:type="dxa"/>
            <w:tcBorders>
              <w:top w:val="single" w:sz="6" w:space="0" w:color="ADD6EA"/>
              <w:left w:val="nil"/>
              <w:bottom w:val="nil"/>
              <w:right w:val="nil"/>
            </w:tcBorders>
            <w:shd w:val="clear" w:color="auto" w:fill="auto"/>
          </w:tcPr>
          <w:p w14:paraId="5C47EB7D" w14:textId="77777777" w:rsidR="00E60957" w:rsidRPr="00B1105B" w:rsidRDefault="00E60957" w:rsidP="003D712D">
            <w:pPr>
              <w:tabs>
                <w:tab w:val="clear" w:pos="567"/>
              </w:tabs>
              <w:spacing w:before="0" w:line="240" w:lineRule="auto"/>
              <w:ind w:left="98"/>
              <w:textAlignment w:val="baseline"/>
              <w:rPr>
                <w:rFonts w:eastAsia="Times New Roman" w:cs="Segoe UI"/>
                <w:color w:val="000000"/>
                <w:sz w:val="16"/>
                <w:szCs w:val="16"/>
                <w:lang w:eastAsia="en-AU"/>
              </w:rPr>
            </w:pPr>
            <w:r w:rsidRPr="00B1105B">
              <w:rPr>
                <w:rFonts w:eastAsia="Times New Roman" w:cs="Segoe UI"/>
                <w:color w:val="000000"/>
                <w:sz w:val="16"/>
                <w:szCs w:val="16"/>
                <w:lang w:eastAsia="en-AU"/>
              </w:rPr>
              <w:t>Homelessness services</w:t>
            </w:r>
          </w:p>
        </w:tc>
        <w:tc>
          <w:tcPr>
            <w:tcW w:w="181" w:type="dxa"/>
            <w:tcBorders>
              <w:top w:val="single" w:sz="6" w:space="0" w:color="ADD6EA"/>
              <w:left w:val="nil"/>
              <w:bottom w:val="single" w:sz="6" w:space="0" w:color="ADD6EA"/>
              <w:right w:val="nil"/>
            </w:tcBorders>
            <w:shd w:val="clear" w:color="auto" w:fill="auto"/>
          </w:tcPr>
          <w:p w14:paraId="4E220841" w14:textId="77777777" w:rsidR="00E60957" w:rsidRPr="008B5690" w:rsidRDefault="00E60957" w:rsidP="00FA4791">
            <w:pPr>
              <w:tabs>
                <w:tab w:val="clear" w:pos="567"/>
              </w:tabs>
              <w:spacing w:before="0" w:line="240" w:lineRule="auto"/>
              <w:textAlignment w:val="baseline"/>
              <w:rPr>
                <w:rFonts w:ascii="Arial" w:eastAsia="Times New Roman" w:hAnsi="Arial" w:cs="Arial"/>
                <w:color w:val="000000"/>
                <w:sz w:val="16"/>
                <w:szCs w:val="16"/>
                <w:highlight w:val="yellow"/>
                <w:lang w:eastAsia="en-AU"/>
              </w:rPr>
            </w:pPr>
          </w:p>
        </w:tc>
        <w:tc>
          <w:tcPr>
            <w:tcW w:w="1803" w:type="dxa"/>
            <w:tcBorders>
              <w:top w:val="single" w:sz="6" w:space="0" w:color="ADD6EA"/>
              <w:left w:val="nil"/>
              <w:bottom w:val="single" w:sz="6" w:space="0" w:color="ADD6EA"/>
              <w:right w:val="nil"/>
            </w:tcBorders>
            <w:shd w:val="clear" w:color="auto" w:fill="auto"/>
          </w:tcPr>
          <w:p w14:paraId="0AA38A65" w14:textId="77777777" w:rsidR="00E60957" w:rsidRPr="00715F5B" w:rsidRDefault="00E60957" w:rsidP="00FA4791">
            <w:pPr>
              <w:tabs>
                <w:tab w:val="clear" w:pos="567"/>
              </w:tabs>
              <w:spacing w:before="0" w:line="240" w:lineRule="auto"/>
              <w:textAlignment w:val="baseline"/>
              <w:rPr>
                <w:rFonts w:eastAsia="Times New Roman" w:cs="Segoe UI"/>
                <w:color w:val="000000"/>
                <w:sz w:val="16"/>
                <w:szCs w:val="16"/>
                <w:lang w:eastAsia="en-AU"/>
              </w:rPr>
            </w:pPr>
            <w:r w:rsidRPr="00715F5B">
              <w:rPr>
                <w:rFonts w:eastAsia="Times New Roman" w:cs="Segoe UI"/>
                <w:color w:val="000000" w:themeColor="text1"/>
                <w:sz w:val="16"/>
                <w:szCs w:val="16"/>
                <w:lang w:eastAsia="en-AU"/>
              </w:rPr>
              <w:t>Socio-demographic composition </w:t>
            </w:r>
          </w:p>
        </w:tc>
        <w:tc>
          <w:tcPr>
            <w:tcW w:w="4253" w:type="dxa"/>
            <w:tcBorders>
              <w:top w:val="single" w:sz="6" w:space="0" w:color="ADD6EA"/>
              <w:left w:val="nil"/>
              <w:bottom w:val="single" w:sz="6" w:space="0" w:color="ADD6EA"/>
              <w:right w:val="nil"/>
            </w:tcBorders>
            <w:shd w:val="clear" w:color="auto" w:fill="auto"/>
          </w:tcPr>
          <w:p w14:paraId="3F0103EE" w14:textId="43091DE8" w:rsidR="00E60957" w:rsidRPr="00715F5B" w:rsidRDefault="00E60957" w:rsidP="00FA4791">
            <w:pPr>
              <w:tabs>
                <w:tab w:val="clear" w:pos="567"/>
              </w:tabs>
              <w:spacing w:before="0" w:line="240" w:lineRule="auto"/>
              <w:textAlignment w:val="baseline"/>
              <w:rPr>
                <w:rFonts w:eastAsia="Open Sans Light" w:cs="Open Sans Light"/>
                <w:sz w:val="16"/>
                <w:szCs w:val="16"/>
              </w:rPr>
            </w:pPr>
            <w:r w:rsidRPr="00715F5B">
              <w:rPr>
                <w:rFonts w:eastAsia="Open Sans Light" w:cs="Open Sans Light"/>
                <w:sz w:val="16"/>
                <w:szCs w:val="16"/>
              </w:rPr>
              <w:t>Recognises that service use is influenced by the socio</w:t>
            </w:r>
            <w:r w:rsidR="00AC159F">
              <w:rPr>
                <w:rFonts w:eastAsia="Open Sans Light" w:cs="Open Sans Light"/>
                <w:sz w:val="16"/>
                <w:szCs w:val="16"/>
              </w:rPr>
              <w:noBreakHyphen/>
            </w:r>
            <w:r w:rsidRPr="00715F5B">
              <w:rPr>
                <w:rFonts w:eastAsia="Open Sans Light" w:cs="Open Sans Light"/>
                <w:sz w:val="16"/>
                <w:szCs w:val="16"/>
              </w:rPr>
              <w:t>demographic composition of the state population</w:t>
            </w:r>
            <w:r w:rsidR="00AC159F">
              <w:rPr>
                <w:rFonts w:eastAsia="Open Sans Light" w:cs="Open Sans Light"/>
                <w:sz w:val="16"/>
                <w:szCs w:val="16"/>
              </w:rPr>
              <w:t>,</w:t>
            </w:r>
            <w:r w:rsidRPr="00715F5B">
              <w:rPr>
                <w:rFonts w:eastAsia="Open Sans Light" w:cs="Open Sans Light"/>
                <w:sz w:val="16"/>
                <w:szCs w:val="16"/>
              </w:rPr>
              <w:t xml:space="preserve"> including Indigenous status, SES, </w:t>
            </w:r>
            <w:proofErr w:type="gramStart"/>
            <w:r w:rsidRPr="00715F5B">
              <w:rPr>
                <w:rFonts w:eastAsia="Open Sans Light" w:cs="Open Sans Light"/>
                <w:sz w:val="16"/>
                <w:szCs w:val="16"/>
              </w:rPr>
              <w:t>age</w:t>
            </w:r>
            <w:proofErr w:type="gramEnd"/>
            <w:r w:rsidRPr="00715F5B">
              <w:rPr>
                <w:rFonts w:eastAsia="Open Sans Light" w:cs="Open Sans Light"/>
                <w:sz w:val="16"/>
                <w:szCs w:val="16"/>
              </w:rPr>
              <w:t xml:space="preserve"> and location.</w:t>
            </w:r>
          </w:p>
        </w:tc>
        <w:tc>
          <w:tcPr>
            <w:tcW w:w="1371" w:type="dxa"/>
            <w:tcBorders>
              <w:top w:val="single" w:sz="6" w:space="0" w:color="ADD6EA"/>
              <w:left w:val="nil"/>
              <w:bottom w:val="single" w:sz="6" w:space="0" w:color="ADD6EA"/>
              <w:right w:val="nil"/>
            </w:tcBorders>
          </w:tcPr>
          <w:p w14:paraId="2500A6FE" w14:textId="77777777" w:rsidR="00E60957" w:rsidRPr="00715F5B" w:rsidRDefault="00E60957" w:rsidP="00FA4791">
            <w:pPr>
              <w:tabs>
                <w:tab w:val="clear" w:pos="567"/>
              </w:tabs>
              <w:spacing w:before="0" w:line="240" w:lineRule="auto"/>
              <w:textAlignment w:val="baseline"/>
              <w:rPr>
                <w:rFonts w:eastAsia="Times New Roman" w:cs="Segoe UI"/>
                <w:color w:val="000000"/>
                <w:sz w:val="16"/>
                <w:szCs w:val="16"/>
                <w:lang w:eastAsia="en-AU"/>
              </w:rPr>
            </w:pPr>
            <w:r w:rsidRPr="00715F5B">
              <w:rPr>
                <w:rFonts w:eastAsia="Times New Roman" w:cs="Segoe UI"/>
                <w:color w:val="000000"/>
                <w:sz w:val="16"/>
                <w:szCs w:val="16"/>
                <w:lang w:eastAsia="en-AU"/>
              </w:rPr>
              <w:t>Yes</w:t>
            </w:r>
          </w:p>
        </w:tc>
      </w:tr>
      <w:tr w:rsidR="00E60957" w:rsidRPr="00433DCB" w14:paraId="4BF70DBA" w14:textId="77777777" w:rsidTr="00FA4791">
        <w:trPr>
          <w:trHeight w:val="315"/>
        </w:trPr>
        <w:tc>
          <w:tcPr>
            <w:tcW w:w="1418" w:type="dxa"/>
            <w:tcBorders>
              <w:top w:val="nil"/>
              <w:left w:val="nil"/>
              <w:bottom w:val="nil"/>
              <w:right w:val="nil"/>
            </w:tcBorders>
            <w:shd w:val="clear" w:color="auto" w:fill="auto"/>
          </w:tcPr>
          <w:p w14:paraId="6851DC46" w14:textId="77777777" w:rsidR="00E60957" w:rsidRPr="008B5690" w:rsidRDefault="00E60957" w:rsidP="00FA4791">
            <w:pPr>
              <w:tabs>
                <w:tab w:val="clear" w:pos="567"/>
              </w:tabs>
              <w:spacing w:before="0" w:line="240" w:lineRule="auto"/>
              <w:textAlignment w:val="baseline"/>
              <w:rPr>
                <w:rFonts w:eastAsia="Times New Roman" w:cs="Segoe UI"/>
                <w:color w:val="000000"/>
                <w:sz w:val="16"/>
                <w:szCs w:val="16"/>
                <w:highlight w:val="yellow"/>
                <w:lang w:eastAsia="en-AU"/>
              </w:rPr>
            </w:pPr>
          </w:p>
        </w:tc>
        <w:tc>
          <w:tcPr>
            <w:tcW w:w="181" w:type="dxa"/>
            <w:tcBorders>
              <w:top w:val="single" w:sz="6" w:space="0" w:color="ADD6EA"/>
              <w:left w:val="nil"/>
              <w:bottom w:val="single" w:sz="6" w:space="0" w:color="ADD6EA"/>
              <w:right w:val="nil"/>
            </w:tcBorders>
            <w:shd w:val="clear" w:color="auto" w:fill="auto"/>
          </w:tcPr>
          <w:p w14:paraId="277C4BBD" w14:textId="77777777" w:rsidR="00E60957" w:rsidRPr="008B5690" w:rsidRDefault="00E60957" w:rsidP="00FA4791">
            <w:pPr>
              <w:tabs>
                <w:tab w:val="clear" w:pos="567"/>
              </w:tabs>
              <w:spacing w:before="0" w:line="240" w:lineRule="auto"/>
              <w:textAlignment w:val="baseline"/>
              <w:rPr>
                <w:rFonts w:ascii="Arial" w:eastAsia="Times New Roman" w:hAnsi="Arial" w:cs="Arial"/>
                <w:color w:val="000000"/>
                <w:sz w:val="16"/>
                <w:szCs w:val="16"/>
                <w:highlight w:val="yellow"/>
                <w:lang w:eastAsia="en-AU"/>
              </w:rPr>
            </w:pPr>
          </w:p>
        </w:tc>
        <w:tc>
          <w:tcPr>
            <w:tcW w:w="1803" w:type="dxa"/>
            <w:tcBorders>
              <w:top w:val="single" w:sz="6" w:space="0" w:color="ADD6EA"/>
              <w:left w:val="nil"/>
              <w:bottom w:val="single" w:sz="6" w:space="0" w:color="ADD6EA"/>
              <w:right w:val="nil"/>
            </w:tcBorders>
            <w:shd w:val="clear" w:color="auto" w:fill="auto"/>
          </w:tcPr>
          <w:p w14:paraId="6672511F" w14:textId="77777777" w:rsidR="00E60957" w:rsidRPr="00715F5B" w:rsidRDefault="00E60957" w:rsidP="00FA4791">
            <w:pPr>
              <w:tabs>
                <w:tab w:val="clear" w:pos="567"/>
              </w:tabs>
              <w:spacing w:before="0" w:line="240" w:lineRule="auto"/>
              <w:textAlignment w:val="baseline"/>
              <w:rPr>
                <w:rFonts w:eastAsia="Times New Roman" w:cs="Segoe UI"/>
                <w:color w:val="000000"/>
                <w:sz w:val="16"/>
                <w:szCs w:val="16"/>
                <w:lang w:eastAsia="en-AU"/>
              </w:rPr>
            </w:pPr>
            <w:r w:rsidRPr="00715F5B">
              <w:rPr>
                <w:rFonts w:eastAsia="Times New Roman" w:cs="Segoe UI"/>
                <w:color w:val="000000"/>
                <w:sz w:val="16"/>
                <w:szCs w:val="16"/>
                <w:lang w:eastAsia="en-AU"/>
              </w:rPr>
              <w:t>Wage costs</w:t>
            </w:r>
          </w:p>
        </w:tc>
        <w:tc>
          <w:tcPr>
            <w:tcW w:w="4253" w:type="dxa"/>
            <w:tcBorders>
              <w:top w:val="single" w:sz="6" w:space="0" w:color="ADD6EA"/>
              <w:left w:val="nil"/>
              <w:bottom w:val="single" w:sz="6" w:space="0" w:color="ADD6EA"/>
              <w:right w:val="nil"/>
            </w:tcBorders>
            <w:shd w:val="clear" w:color="auto" w:fill="auto"/>
          </w:tcPr>
          <w:p w14:paraId="4A9F0CB2" w14:textId="77777777" w:rsidR="00E60957" w:rsidRPr="00715F5B" w:rsidRDefault="00E60957" w:rsidP="00FA4791">
            <w:pPr>
              <w:tabs>
                <w:tab w:val="clear" w:pos="567"/>
              </w:tabs>
              <w:spacing w:before="0" w:line="240" w:lineRule="auto"/>
              <w:textAlignment w:val="baseline"/>
              <w:rPr>
                <w:rFonts w:eastAsia="Open Sans Light" w:cs="Open Sans Light"/>
                <w:sz w:val="16"/>
                <w:szCs w:val="16"/>
              </w:rPr>
            </w:pPr>
            <w:r w:rsidRPr="00715F5B">
              <w:rPr>
                <w:rFonts w:eastAsia="Times New Roman" w:cs="Segoe UI"/>
                <w:color w:val="000000"/>
                <w:sz w:val="16"/>
                <w:szCs w:val="16"/>
                <w:lang w:eastAsia="en-AU"/>
              </w:rPr>
              <w:t>Recognises differences in wage costs between states.</w:t>
            </w:r>
          </w:p>
        </w:tc>
        <w:tc>
          <w:tcPr>
            <w:tcW w:w="1371" w:type="dxa"/>
            <w:tcBorders>
              <w:top w:val="single" w:sz="6" w:space="0" w:color="ADD6EA"/>
              <w:left w:val="nil"/>
              <w:bottom w:val="single" w:sz="6" w:space="0" w:color="ADD6EA"/>
              <w:right w:val="nil"/>
            </w:tcBorders>
          </w:tcPr>
          <w:p w14:paraId="52B6DADC" w14:textId="77777777" w:rsidR="00E60957" w:rsidRPr="00715F5B" w:rsidRDefault="00E60957" w:rsidP="00FA4791">
            <w:pPr>
              <w:tabs>
                <w:tab w:val="clear" w:pos="567"/>
              </w:tabs>
              <w:spacing w:before="0" w:line="240" w:lineRule="auto"/>
              <w:textAlignment w:val="baseline"/>
              <w:rPr>
                <w:rFonts w:eastAsia="Times New Roman" w:cs="Segoe UI"/>
                <w:color w:val="000000"/>
                <w:sz w:val="16"/>
                <w:szCs w:val="16"/>
                <w:lang w:eastAsia="en-AU"/>
              </w:rPr>
            </w:pPr>
            <w:r w:rsidRPr="00715F5B">
              <w:rPr>
                <w:rFonts w:eastAsia="Times New Roman" w:cs="Segoe UI"/>
                <w:color w:val="000000"/>
                <w:sz w:val="16"/>
                <w:szCs w:val="16"/>
                <w:lang w:eastAsia="en-AU"/>
              </w:rPr>
              <w:t>Yes</w:t>
            </w:r>
          </w:p>
        </w:tc>
      </w:tr>
      <w:tr w:rsidR="00E60957" w:rsidRPr="00433DCB" w14:paraId="1417AAD6" w14:textId="77777777" w:rsidTr="00FA4791">
        <w:trPr>
          <w:trHeight w:val="315"/>
        </w:trPr>
        <w:tc>
          <w:tcPr>
            <w:tcW w:w="1418" w:type="dxa"/>
            <w:tcBorders>
              <w:top w:val="nil"/>
              <w:left w:val="nil"/>
              <w:bottom w:val="nil"/>
              <w:right w:val="nil"/>
            </w:tcBorders>
            <w:shd w:val="clear" w:color="auto" w:fill="auto"/>
          </w:tcPr>
          <w:p w14:paraId="5FD6704F" w14:textId="77777777" w:rsidR="00E60957" w:rsidRPr="008B5690" w:rsidRDefault="00E60957" w:rsidP="00FA4791">
            <w:pPr>
              <w:tabs>
                <w:tab w:val="clear" w:pos="567"/>
              </w:tabs>
              <w:spacing w:before="0" w:line="240" w:lineRule="auto"/>
              <w:textAlignment w:val="baseline"/>
              <w:rPr>
                <w:rFonts w:eastAsia="Times New Roman" w:cs="Segoe UI"/>
                <w:color w:val="000000"/>
                <w:sz w:val="16"/>
                <w:szCs w:val="16"/>
                <w:highlight w:val="yellow"/>
                <w:lang w:eastAsia="en-AU"/>
              </w:rPr>
            </w:pPr>
          </w:p>
        </w:tc>
        <w:tc>
          <w:tcPr>
            <w:tcW w:w="181" w:type="dxa"/>
            <w:tcBorders>
              <w:top w:val="single" w:sz="6" w:space="0" w:color="ADD6EA"/>
              <w:left w:val="nil"/>
              <w:bottom w:val="single" w:sz="6" w:space="0" w:color="ADD6EA"/>
              <w:right w:val="nil"/>
            </w:tcBorders>
            <w:shd w:val="clear" w:color="auto" w:fill="auto"/>
          </w:tcPr>
          <w:p w14:paraId="409F7B70" w14:textId="77777777" w:rsidR="00E60957" w:rsidRPr="008B5690" w:rsidRDefault="00E60957" w:rsidP="00FA4791">
            <w:pPr>
              <w:tabs>
                <w:tab w:val="clear" w:pos="567"/>
              </w:tabs>
              <w:spacing w:before="0" w:line="240" w:lineRule="auto"/>
              <w:textAlignment w:val="baseline"/>
              <w:rPr>
                <w:rFonts w:ascii="Arial" w:eastAsia="Times New Roman" w:hAnsi="Arial" w:cs="Arial"/>
                <w:color w:val="000000"/>
                <w:sz w:val="16"/>
                <w:szCs w:val="16"/>
                <w:highlight w:val="yellow"/>
                <w:lang w:eastAsia="en-AU"/>
              </w:rPr>
            </w:pPr>
          </w:p>
        </w:tc>
        <w:tc>
          <w:tcPr>
            <w:tcW w:w="1803" w:type="dxa"/>
            <w:tcBorders>
              <w:top w:val="single" w:sz="6" w:space="0" w:color="ADD6EA"/>
              <w:left w:val="nil"/>
              <w:bottom w:val="single" w:sz="6" w:space="0" w:color="ADD6EA"/>
              <w:right w:val="nil"/>
            </w:tcBorders>
            <w:shd w:val="clear" w:color="auto" w:fill="auto"/>
          </w:tcPr>
          <w:p w14:paraId="414F5160" w14:textId="4EFD39CE" w:rsidR="00E60957" w:rsidRPr="00715F5B" w:rsidRDefault="00E60957" w:rsidP="00FA4791">
            <w:pPr>
              <w:tabs>
                <w:tab w:val="clear" w:pos="567"/>
              </w:tabs>
              <w:spacing w:before="0" w:line="240" w:lineRule="auto"/>
              <w:textAlignment w:val="baseline"/>
              <w:rPr>
                <w:rFonts w:eastAsia="Times New Roman" w:cs="Segoe UI"/>
                <w:color w:val="000000"/>
                <w:sz w:val="16"/>
                <w:szCs w:val="16"/>
                <w:lang w:eastAsia="en-AU"/>
              </w:rPr>
            </w:pPr>
            <w:r w:rsidRPr="00715F5B">
              <w:rPr>
                <w:rFonts w:eastAsia="Times New Roman" w:cs="Segoe UI"/>
                <w:color w:val="000000"/>
                <w:sz w:val="16"/>
                <w:szCs w:val="16"/>
                <w:lang w:eastAsia="en-AU"/>
              </w:rPr>
              <w:t>Regional costs </w:t>
            </w:r>
          </w:p>
        </w:tc>
        <w:tc>
          <w:tcPr>
            <w:tcW w:w="4253" w:type="dxa"/>
            <w:tcBorders>
              <w:top w:val="single" w:sz="6" w:space="0" w:color="ADD6EA"/>
              <w:left w:val="nil"/>
              <w:bottom w:val="single" w:sz="6" w:space="0" w:color="ADD6EA"/>
              <w:right w:val="nil"/>
            </w:tcBorders>
            <w:shd w:val="clear" w:color="auto" w:fill="auto"/>
          </w:tcPr>
          <w:p w14:paraId="1AF1B9FA" w14:textId="421234A3" w:rsidR="00E60957" w:rsidRPr="00715F5B" w:rsidRDefault="00E60957" w:rsidP="00FA4791">
            <w:pPr>
              <w:tabs>
                <w:tab w:val="clear" w:pos="567"/>
              </w:tabs>
              <w:spacing w:before="0" w:line="240" w:lineRule="auto"/>
              <w:textAlignment w:val="baseline"/>
              <w:rPr>
                <w:rFonts w:eastAsia="Open Sans Light" w:cs="Open Sans Light"/>
                <w:sz w:val="16"/>
                <w:szCs w:val="16"/>
              </w:rPr>
            </w:pPr>
            <w:r w:rsidRPr="00715F5B">
              <w:rPr>
                <w:rFonts w:eastAsia="Times New Roman" w:cs="Segoe UI"/>
                <w:color w:val="000000"/>
                <w:sz w:val="16"/>
                <w:szCs w:val="16"/>
                <w:lang w:eastAsia="en-AU"/>
              </w:rPr>
              <w:t>Recognises the cost of providing services to different areas within a state.</w:t>
            </w:r>
          </w:p>
        </w:tc>
        <w:tc>
          <w:tcPr>
            <w:tcW w:w="1371" w:type="dxa"/>
            <w:tcBorders>
              <w:top w:val="single" w:sz="6" w:space="0" w:color="ADD6EA"/>
              <w:left w:val="nil"/>
              <w:bottom w:val="single" w:sz="6" w:space="0" w:color="ADD6EA"/>
              <w:right w:val="nil"/>
            </w:tcBorders>
          </w:tcPr>
          <w:p w14:paraId="46786717" w14:textId="77777777" w:rsidR="00E60957" w:rsidRPr="00715F5B" w:rsidRDefault="00E60957" w:rsidP="00FA4791">
            <w:pPr>
              <w:tabs>
                <w:tab w:val="clear" w:pos="567"/>
              </w:tabs>
              <w:spacing w:before="0" w:line="240" w:lineRule="auto"/>
              <w:textAlignment w:val="baseline"/>
              <w:rPr>
                <w:rFonts w:eastAsia="Times New Roman" w:cs="Segoe UI"/>
                <w:color w:val="000000"/>
                <w:sz w:val="16"/>
                <w:szCs w:val="16"/>
                <w:lang w:eastAsia="en-AU"/>
              </w:rPr>
            </w:pPr>
            <w:r w:rsidRPr="00715F5B">
              <w:rPr>
                <w:rFonts w:eastAsia="Times New Roman" w:cs="Segoe UI"/>
                <w:color w:val="000000"/>
                <w:sz w:val="16"/>
                <w:szCs w:val="16"/>
                <w:lang w:eastAsia="en-AU"/>
              </w:rPr>
              <w:t>Yes</w:t>
            </w:r>
          </w:p>
        </w:tc>
      </w:tr>
      <w:tr w:rsidR="00E60957" w:rsidRPr="00433DCB" w14:paraId="179C7276" w14:textId="77777777" w:rsidTr="00FA4791">
        <w:trPr>
          <w:trHeight w:val="315"/>
        </w:trPr>
        <w:tc>
          <w:tcPr>
            <w:tcW w:w="1418" w:type="dxa"/>
            <w:tcBorders>
              <w:top w:val="nil"/>
              <w:left w:val="nil"/>
              <w:bottom w:val="single" w:sz="4" w:space="0" w:color="B8CCE4" w:themeColor="accent1" w:themeTint="66"/>
              <w:right w:val="nil"/>
            </w:tcBorders>
            <w:shd w:val="clear" w:color="auto" w:fill="auto"/>
          </w:tcPr>
          <w:p w14:paraId="6B01802C" w14:textId="77777777" w:rsidR="00E60957" w:rsidRPr="008B5690" w:rsidRDefault="00E60957" w:rsidP="00FA4791">
            <w:pPr>
              <w:tabs>
                <w:tab w:val="clear" w:pos="567"/>
              </w:tabs>
              <w:spacing w:before="0" w:line="240" w:lineRule="auto"/>
              <w:textAlignment w:val="baseline"/>
              <w:rPr>
                <w:rFonts w:eastAsia="Times New Roman" w:cs="Segoe UI"/>
                <w:color w:val="000000"/>
                <w:sz w:val="16"/>
                <w:szCs w:val="16"/>
                <w:highlight w:val="yellow"/>
                <w:lang w:eastAsia="en-AU"/>
              </w:rPr>
            </w:pPr>
          </w:p>
        </w:tc>
        <w:tc>
          <w:tcPr>
            <w:tcW w:w="181" w:type="dxa"/>
            <w:tcBorders>
              <w:top w:val="single" w:sz="6" w:space="0" w:color="ADD6EA"/>
              <w:left w:val="nil"/>
              <w:bottom w:val="single" w:sz="6" w:space="0" w:color="ADD6EA"/>
              <w:right w:val="nil"/>
            </w:tcBorders>
            <w:shd w:val="clear" w:color="auto" w:fill="auto"/>
          </w:tcPr>
          <w:p w14:paraId="339F0D2C" w14:textId="77777777" w:rsidR="00E60957" w:rsidRPr="008B5690" w:rsidRDefault="00E60957" w:rsidP="00FA4791">
            <w:pPr>
              <w:tabs>
                <w:tab w:val="clear" w:pos="567"/>
              </w:tabs>
              <w:spacing w:before="0" w:line="240" w:lineRule="auto"/>
              <w:textAlignment w:val="baseline"/>
              <w:rPr>
                <w:rFonts w:ascii="Arial" w:eastAsia="Times New Roman" w:hAnsi="Arial" w:cs="Arial"/>
                <w:color w:val="000000"/>
                <w:sz w:val="16"/>
                <w:szCs w:val="16"/>
                <w:highlight w:val="yellow"/>
                <w:lang w:eastAsia="en-AU"/>
              </w:rPr>
            </w:pPr>
          </w:p>
        </w:tc>
        <w:tc>
          <w:tcPr>
            <w:tcW w:w="1803" w:type="dxa"/>
            <w:tcBorders>
              <w:top w:val="single" w:sz="6" w:space="0" w:color="ADD6EA"/>
              <w:left w:val="nil"/>
              <w:bottom w:val="single" w:sz="6" w:space="0" w:color="ADD6EA"/>
              <w:right w:val="nil"/>
            </w:tcBorders>
            <w:shd w:val="clear" w:color="auto" w:fill="auto"/>
          </w:tcPr>
          <w:p w14:paraId="77C92E1E" w14:textId="77777777" w:rsidR="00E60957" w:rsidRPr="00715F5B" w:rsidRDefault="00E60957" w:rsidP="00FA4791">
            <w:pPr>
              <w:tabs>
                <w:tab w:val="clear" w:pos="567"/>
              </w:tabs>
              <w:spacing w:before="0" w:line="240" w:lineRule="auto"/>
              <w:textAlignment w:val="baseline"/>
              <w:rPr>
                <w:rFonts w:eastAsia="Times New Roman" w:cs="Segoe UI"/>
                <w:color w:val="000000"/>
                <w:sz w:val="16"/>
                <w:szCs w:val="16"/>
                <w:lang w:eastAsia="en-AU"/>
              </w:rPr>
            </w:pPr>
            <w:r w:rsidRPr="00715F5B">
              <w:rPr>
                <w:rFonts w:eastAsia="Times New Roman" w:cs="Segoe UI"/>
                <w:color w:val="000000"/>
                <w:sz w:val="16"/>
                <w:szCs w:val="16"/>
                <w:lang w:eastAsia="en-AU"/>
              </w:rPr>
              <w:t>Cross-border costs</w:t>
            </w:r>
          </w:p>
        </w:tc>
        <w:tc>
          <w:tcPr>
            <w:tcW w:w="4253" w:type="dxa"/>
            <w:tcBorders>
              <w:top w:val="single" w:sz="6" w:space="0" w:color="ADD6EA"/>
              <w:left w:val="nil"/>
              <w:bottom w:val="single" w:sz="6" w:space="0" w:color="ADD6EA"/>
              <w:right w:val="nil"/>
            </w:tcBorders>
            <w:shd w:val="clear" w:color="auto" w:fill="auto"/>
          </w:tcPr>
          <w:p w14:paraId="7BFB2CA1" w14:textId="77777777" w:rsidR="00E60957" w:rsidRPr="00715F5B" w:rsidRDefault="00E60957" w:rsidP="00FA4791">
            <w:pPr>
              <w:tabs>
                <w:tab w:val="clear" w:pos="567"/>
              </w:tabs>
              <w:spacing w:before="0" w:line="240" w:lineRule="auto"/>
              <w:textAlignment w:val="baseline"/>
              <w:rPr>
                <w:rFonts w:eastAsia="Times New Roman" w:cs="Segoe UI"/>
                <w:color w:val="000000"/>
                <w:sz w:val="16"/>
                <w:szCs w:val="16"/>
                <w:lang w:eastAsia="en-AU"/>
              </w:rPr>
            </w:pPr>
            <w:r w:rsidRPr="00715F5B">
              <w:rPr>
                <w:rFonts w:eastAsia="Times New Roman" w:cs="Segoe UI"/>
                <w:color w:val="000000"/>
                <w:sz w:val="16"/>
                <w:szCs w:val="16"/>
                <w:lang w:eastAsia="en-AU"/>
              </w:rPr>
              <w:t>Recognises the cost to the ACT of providing homelessness services to New South Wales residents.</w:t>
            </w:r>
          </w:p>
        </w:tc>
        <w:tc>
          <w:tcPr>
            <w:tcW w:w="1371" w:type="dxa"/>
            <w:tcBorders>
              <w:top w:val="single" w:sz="6" w:space="0" w:color="ADD6EA"/>
              <w:left w:val="nil"/>
              <w:bottom w:val="single" w:sz="6" w:space="0" w:color="ADD6EA"/>
              <w:right w:val="nil"/>
            </w:tcBorders>
          </w:tcPr>
          <w:p w14:paraId="6DEC26E1" w14:textId="77777777" w:rsidR="00E60957" w:rsidRPr="00715F5B" w:rsidRDefault="00E60957" w:rsidP="00FA4791">
            <w:pPr>
              <w:tabs>
                <w:tab w:val="clear" w:pos="567"/>
              </w:tabs>
              <w:spacing w:before="0" w:line="240" w:lineRule="auto"/>
              <w:textAlignment w:val="baseline"/>
              <w:rPr>
                <w:rFonts w:eastAsia="Times New Roman" w:cs="Segoe UI"/>
                <w:color w:val="000000"/>
                <w:sz w:val="16"/>
                <w:szCs w:val="16"/>
                <w:lang w:eastAsia="en-AU"/>
              </w:rPr>
            </w:pPr>
            <w:r w:rsidRPr="00715F5B">
              <w:rPr>
                <w:rFonts w:eastAsia="Times New Roman" w:cs="Segoe UI"/>
                <w:color w:val="000000"/>
                <w:sz w:val="16"/>
                <w:szCs w:val="16"/>
                <w:lang w:eastAsia="en-AU"/>
              </w:rPr>
              <w:t>Yes</w:t>
            </w:r>
          </w:p>
        </w:tc>
      </w:tr>
      <w:tr w:rsidR="00E60957" w:rsidRPr="00B264AF" w14:paraId="1078079B" w14:textId="77777777" w:rsidTr="00FA4791">
        <w:trPr>
          <w:trHeight w:val="279"/>
        </w:trPr>
        <w:tc>
          <w:tcPr>
            <w:tcW w:w="1418" w:type="dxa"/>
            <w:vMerge w:val="restart"/>
            <w:tcBorders>
              <w:top w:val="single" w:sz="4" w:space="0" w:color="B8CCE4" w:themeColor="accent1" w:themeTint="66"/>
              <w:left w:val="nil"/>
              <w:bottom w:val="single" w:sz="4" w:space="0" w:color="B8CCE4" w:themeColor="accent1" w:themeTint="66"/>
              <w:right w:val="nil"/>
            </w:tcBorders>
            <w:shd w:val="clear" w:color="auto" w:fill="auto"/>
          </w:tcPr>
          <w:p w14:paraId="67DFE1EC" w14:textId="39A1C48D" w:rsidR="00E60957" w:rsidRDefault="00E60957" w:rsidP="003D712D">
            <w:pPr>
              <w:tabs>
                <w:tab w:val="clear" w:pos="567"/>
              </w:tabs>
              <w:spacing w:before="0" w:line="240" w:lineRule="auto"/>
              <w:ind w:left="126"/>
              <w:textAlignment w:val="baseline"/>
              <w:rPr>
                <w:rFonts w:eastAsia="Times New Roman" w:cs="Segoe UI"/>
                <w:color w:val="000000"/>
                <w:sz w:val="16"/>
                <w:szCs w:val="16"/>
                <w:lang w:eastAsia="en-AU"/>
              </w:rPr>
            </w:pPr>
            <w:r w:rsidRPr="31D5CD2D">
              <w:rPr>
                <w:rFonts w:eastAsia="Times New Roman" w:cs="Segoe UI"/>
                <w:color w:val="000000" w:themeColor="text1"/>
                <w:sz w:val="16"/>
                <w:szCs w:val="16"/>
                <w:lang w:eastAsia="en-AU"/>
              </w:rPr>
              <w:t>Other welfare including non</w:t>
            </w:r>
            <w:r w:rsidR="008D4956">
              <w:rPr>
                <w:rFonts w:eastAsia="Times New Roman" w:cs="Segoe UI"/>
                <w:color w:val="000000" w:themeColor="text1"/>
                <w:sz w:val="16"/>
                <w:szCs w:val="16"/>
                <w:lang w:eastAsia="en-AU"/>
              </w:rPr>
              <w:t>-</w:t>
            </w:r>
            <w:r w:rsidRPr="31D5CD2D">
              <w:rPr>
                <w:rFonts w:eastAsia="Times New Roman" w:cs="Segoe UI"/>
                <w:color w:val="000000" w:themeColor="text1"/>
                <w:sz w:val="16"/>
                <w:szCs w:val="16"/>
                <w:lang w:eastAsia="en-AU"/>
              </w:rPr>
              <w:t>NDIS, aged care, and National Redress Scheme</w:t>
            </w:r>
          </w:p>
        </w:tc>
        <w:tc>
          <w:tcPr>
            <w:tcW w:w="181" w:type="dxa"/>
            <w:tcBorders>
              <w:top w:val="single" w:sz="6" w:space="0" w:color="ADD6EA"/>
              <w:left w:val="nil"/>
              <w:bottom w:val="single" w:sz="6" w:space="0" w:color="ADD6EA"/>
              <w:right w:val="nil"/>
            </w:tcBorders>
            <w:shd w:val="clear" w:color="auto" w:fill="auto"/>
          </w:tcPr>
          <w:p w14:paraId="12EAF866" w14:textId="77777777" w:rsidR="00E60957" w:rsidRPr="00B264AF" w:rsidRDefault="00E60957" w:rsidP="00FA4791">
            <w:pPr>
              <w:tabs>
                <w:tab w:val="clear" w:pos="567"/>
              </w:tabs>
              <w:spacing w:before="0" w:line="240" w:lineRule="auto"/>
              <w:textAlignment w:val="baseline"/>
              <w:rPr>
                <w:rFonts w:eastAsia="Times New Roman" w:cs="Segoe UI"/>
                <w:color w:val="000000"/>
                <w:sz w:val="16"/>
                <w:szCs w:val="16"/>
                <w:lang w:eastAsia="en-AU"/>
              </w:rPr>
            </w:pPr>
          </w:p>
        </w:tc>
        <w:tc>
          <w:tcPr>
            <w:tcW w:w="1803" w:type="dxa"/>
            <w:tcBorders>
              <w:top w:val="single" w:sz="6" w:space="0" w:color="ADD6EA"/>
              <w:left w:val="nil"/>
              <w:bottom w:val="single" w:sz="6" w:space="0" w:color="ADD6EA"/>
              <w:right w:val="nil"/>
            </w:tcBorders>
            <w:shd w:val="clear" w:color="auto" w:fill="auto"/>
          </w:tcPr>
          <w:p w14:paraId="5B48167A" w14:textId="77777777" w:rsidR="00E60957" w:rsidRPr="00715F5B" w:rsidRDefault="00E60957" w:rsidP="00FA4791">
            <w:pPr>
              <w:tabs>
                <w:tab w:val="clear" w:pos="567"/>
              </w:tabs>
              <w:spacing w:before="0" w:line="240" w:lineRule="auto"/>
              <w:textAlignment w:val="baseline"/>
              <w:rPr>
                <w:rFonts w:eastAsia="Times New Roman" w:cs="Segoe UI"/>
                <w:color w:val="000000"/>
                <w:sz w:val="16"/>
                <w:szCs w:val="16"/>
                <w:lang w:eastAsia="en-AU"/>
              </w:rPr>
            </w:pPr>
            <w:r w:rsidRPr="00715F5B">
              <w:rPr>
                <w:rFonts w:eastAsia="Times New Roman" w:cs="Segoe UI"/>
                <w:color w:val="000000"/>
                <w:sz w:val="16"/>
                <w:szCs w:val="16"/>
                <w:lang w:eastAsia="en-AU"/>
              </w:rPr>
              <w:t>Equal per capita </w:t>
            </w:r>
          </w:p>
        </w:tc>
        <w:tc>
          <w:tcPr>
            <w:tcW w:w="4253" w:type="dxa"/>
            <w:tcBorders>
              <w:top w:val="single" w:sz="6" w:space="0" w:color="ADD6EA"/>
              <w:left w:val="nil"/>
              <w:bottom w:val="single" w:sz="6" w:space="0" w:color="ADD6EA"/>
              <w:right w:val="nil"/>
            </w:tcBorders>
            <w:shd w:val="clear" w:color="auto" w:fill="auto"/>
          </w:tcPr>
          <w:p w14:paraId="779333B6" w14:textId="77777777" w:rsidR="00E60957" w:rsidRPr="00715F5B" w:rsidRDefault="00E60957" w:rsidP="00FA4791">
            <w:pPr>
              <w:tabs>
                <w:tab w:val="clear" w:pos="567"/>
              </w:tabs>
              <w:spacing w:before="0" w:line="240" w:lineRule="auto"/>
              <w:textAlignment w:val="baseline"/>
              <w:rPr>
                <w:rFonts w:eastAsia="Times New Roman" w:cs="Segoe UI"/>
                <w:color w:val="000000"/>
                <w:sz w:val="16"/>
                <w:szCs w:val="16"/>
                <w:lang w:eastAsia="en-AU"/>
              </w:rPr>
            </w:pPr>
            <w:r w:rsidRPr="00715F5B">
              <w:rPr>
                <w:rFonts w:eastAsia="Times New Roman" w:cs="Segoe UI"/>
                <w:color w:val="000000"/>
                <w:sz w:val="16"/>
                <w:szCs w:val="16"/>
                <w:lang w:eastAsia="en-AU"/>
              </w:rPr>
              <w:t>This is an equal per capita assessment.</w:t>
            </w:r>
          </w:p>
        </w:tc>
        <w:tc>
          <w:tcPr>
            <w:tcW w:w="1371" w:type="dxa"/>
            <w:tcBorders>
              <w:top w:val="single" w:sz="6" w:space="0" w:color="ADD6EA"/>
              <w:left w:val="nil"/>
              <w:bottom w:val="single" w:sz="6" w:space="0" w:color="ADD6EA"/>
              <w:right w:val="nil"/>
            </w:tcBorders>
          </w:tcPr>
          <w:p w14:paraId="6533D4CF" w14:textId="77777777" w:rsidR="00E60957" w:rsidRPr="00715F5B" w:rsidRDefault="00E60957" w:rsidP="00FA4791">
            <w:pPr>
              <w:tabs>
                <w:tab w:val="clear" w:pos="567"/>
              </w:tabs>
              <w:spacing w:before="0" w:line="240" w:lineRule="auto"/>
              <w:textAlignment w:val="baseline"/>
              <w:rPr>
                <w:rFonts w:eastAsia="Times New Roman" w:cs="Segoe UI"/>
                <w:color w:val="000000"/>
                <w:sz w:val="16"/>
                <w:szCs w:val="16"/>
                <w:lang w:eastAsia="en-AU"/>
              </w:rPr>
            </w:pPr>
            <w:r w:rsidRPr="00715F5B">
              <w:rPr>
                <w:rFonts w:eastAsia="Times New Roman" w:cs="Segoe UI"/>
                <w:color w:val="000000"/>
                <w:sz w:val="16"/>
                <w:szCs w:val="16"/>
                <w:lang w:eastAsia="en-AU"/>
              </w:rPr>
              <w:t>Yes</w:t>
            </w:r>
          </w:p>
        </w:tc>
      </w:tr>
      <w:tr w:rsidR="00E60957" w:rsidRPr="00433DCB" w14:paraId="3BC09F99" w14:textId="77777777" w:rsidTr="00FA4791">
        <w:trPr>
          <w:trHeight w:val="315"/>
        </w:trPr>
        <w:tc>
          <w:tcPr>
            <w:tcW w:w="1418" w:type="dxa"/>
            <w:vMerge/>
            <w:tcBorders>
              <w:left w:val="nil"/>
            </w:tcBorders>
          </w:tcPr>
          <w:p w14:paraId="67C88931" w14:textId="77777777" w:rsidR="00E60957" w:rsidRDefault="00E60957" w:rsidP="00FA4791">
            <w:pPr>
              <w:tabs>
                <w:tab w:val="clear" w:pos="567"/>
              </w:tabs>
              <w:spacing w:before="0" w:line="240" w:lineRule="auto"/>
              <w:textAlignment w:val="baseline"/>
              <w:rPr>
                <w:rFonts w:eastAsia="Times New Roman" w:cs="Segoe UI"/>
                <w:color w:val="000000"/>
                <w:sz w:val="16"/>
                <w:szCs w:val="16"/>
                <w:lang w:eastAsia="en-AU"/>
              </w:rPr>
            </w:pPr>
          </w:p>
        </w:tc>
        <w:tc>
          <w:tcPr>
            <w:tcW w:w="181" w:type="dxa"/>
            <w:tcBorders>
              <w:top w:val="single" w:sz="6" w:space="0" w:color="ADD6EA"/>
              <w:left w:val="none" w:sz="4" w:space="0" w:color="000000" w:themeColor="text1"/>
              <w:bottom w:val="single" w:sz="6" w:space="0" w:color="ADD6EA"/>
              <w:right w:val="nil"/>
            </w:tcBorders>
            <w:shd w:val="clear" w:color="auto" w:fill="auto"/>
          </w:tcPr>
          <w:p w14:paraId="13440C5F" w14:textId="77777777" w:rsidR="00E60957" w:rsidRPr="00433DCB" w:rsidRDefault="00E60957" w:rsidP="00FA4791">
            <w:pPr>
              <w:tabs>
                <w:tab w:val="clear" w:pos="567"/>
              </w:tabs>
              <w:spacing w:before="0" w:line="240" w:lineRule="auto"/>
              <w:textAlignment w:val="baseline"/>
              <w:rPr>
                <w:rFonts w:ascii="Arial" w:eastAsia="Times New Roman" w:hAnsi="Arial" w:cs="Arial"/>
                <w:color w:val="000000"/>
                <w:sz w:val="16"/>
                <w:szCs w:val="16"/>
                <w:lang w:eastAsia="en-AU"/>
              </w:rPr>
            </w:pPr>
          </w:p>
        </w:tc>
        <w:tc>
          <w:tcPr>
            <w:tcW w:w="1803" w:type="dxa"/>
            <w:tcBorders>
              <w:top w:val="single" w:sz="6" w:space="0" w:color="ADD6EA"/>
              <w:left w:val="nil"/>
              <w:bottom w:val="single" w:sz="6" w:space="0" w:color="ADD6EA"/>
              <w:right w:val="nil"/>
            </w:tcBorders>
            <w:shd w:val="clear" w:color="auto" w:fill="auto"/>
          </w:tcPr>
          <w:p w14:paraId="349B5DBF" w14:textId="77777777" w:rsidR="00E60957" w:rsidRPr="00715F5B" w:rsidRDefault="00E60957" w:rsidP="00FA4791">
            <w:pPr>
              <w:tabs>
                <w:tab w:val="clear" w:pos="567"/>
              </w:tabs>
              <w:spacing w:before="0" w:line="240" w:lineRule="auto"/>
              <w:textAlignment w:val="baseline"/>
              <w:rPr>
                <w:rFonts w:eastAsia="Times New Roman" w:cs="Segoe UI"/>
                <w:color w:val="000000"/>
                <w:sz w:val="16"/>
                <w:szCs w:val="16"/>
                <w:lang w:eastAsia="en-AU"/>
              </w:rPr>
            </w:pPr>
            <w:r w:rsidRPr="00715F5B">
              <w:rPr>
                <w:rFonts w:eastAsia="Times New Roman" w:cs="Segoe UI"/>
                <w:color w:val="000000"/>
                <w:sz w:val="16"/>
                <w:szCs w:val="16"/>
                <w:lang w:eastAsia="en-AU"/>
              </w:rPr>
              <w:t>Wage costs</w:t>
            </w:r>
          </w:p>
        </w:tc>
        <w:tc>
          <w:tcPr>
            <w:tcW w:w="4253" w:type="dxa"/>
            <w:tcBorders>
              <w:top w:val="single" w:sz="6" w:space="0" w:color="ADD6EA"/>
              <w:left w:val="nil"/>
              <w:bottom w:val="single" w:sz="6" w:space="0" w:color="ADD6EA"/>
              <w:right w:val="nil"/>
            </w:tcBorders>
            <w:shd w:val="clear" w:color="auto" w:fill="auto"/>
          </w:tcPr>
          <w:p w14:paraId="47683BEE" w14:textId="77777777" w:rsidR="00E60957" w:rsidRPr="00715F5B" w:rsidRDefault="00E60957" w:rsidP="00FA4791">
            <w:pPr>
              <w:tabs>
                <w:tab w:val="clear" w:pos="567"/>
              </w:tabs>
              <w:spacing w:before="0" w:line="240" w:lineRule="auto"/>
              <w:textAlignment w:val="baseline"/>
              <w:rPr>
                <w:rFonts w:eastAsia="Times New Roman" w:cs="Segoe UI"/>
                <w:color w:val="000000"/>
                <w:sz w:val="16"/>
                <w:szCs w:val="16"/>
                <w:lang w:eastAsia="en-AU"/>
              </w:rPr>
            </w:pPr>
            <w:r w:rsidRPr="00715F5B">
              <w:rPr>
                <w:rFonts w:eastAsia="Times New Roman" w:cs="Segoe UI"/>
                <w:color w:val="000000" w:themeColor="text1"/>
                <w:sz w:val="16"/>
                <w:szCs w:val="16"/>
                <w:lang w:eastAsia="en-AU"/>
              </w:rPr>
              <w:t>Recognises differences in wage costs between states.</w:t>
            </w:r>
          </w:p>
        </w:tc>
        <w:tc>
          <w:tcPr>
            <w:tcW w:w="1371" w:type="dxa"/>
            <w:tcBorders>
              <w:top w:val="single" w:sz="6" w:space="0" w:color="ADD6EA"/>
              <w:left w:val="nil"/>
              <w:bottom w:val="single" w:sz="6" w:space="0" w:color="ADD6EA"/>
              <w:right w:val="nil"/>
            </w:tcBorders>
          </w:tcPr>
          <w:p w14:paraId="04D0079C" w14:textId="77777777" w:rsidR="00E60957" w:rsidRPr="00715F5B" w:rsidRDefault="00E60957" w:rsidP="00FA4791">
            <w:pPr>
              <w:tabs>
                <w:tab w:val="clear" w:pos="567"/>
              </w:tabs>
              <w:spacing w:before="0" w:line="240" w:lineRule="auto"/>
              <w:textAlignment w:val="baseline"/>
              <w:rPr>
                <w:rFonts w:eastAsia="Times New Roman" w:cs="Segoe UI"/>
                <w:color w:val="000000" w:themeColor="text1"/>
                <w:sz w:val="16"/>
                <w:szCs w:val="16"/>
                <w:lang w:eastAsia="en-AU"/>
              </w:rPr>
            </w:pPr>
            <w:r w:rsidRPr="00715F5B">
              <w:rPr>
                <w:rFonts w:eastAsia="Times New Roman" w:cs="Segoe UI"/>
                <w:color w:val="000000"/>
                <w:sz w:val="16"/>
                <w:szCs w:val="16"/>
                <w:lang w:eastAsia="en-AU"/>
              </w:rPr>
              <w:t>No</w:t>
            </w:r>
          </w:p>
        </w:tc>
      </w:tr>
      <w:tr w:rsidR="00E60957" w:rsidRPr="00433DCB" w14:paraId="5C2BF3E2" w14:textId="77777777" w:rsidTr="00FA4791">
        <w:trPr>
          <w:trHeight w:val="315"/>
        </w:trPr>
        <w:tc>
          <w:tcPr>
            <w:tcW w:w="1418" w:type="dxa"/>
            <w:vMerge/>
            <w:tcBorders>
              <w:left w:val="nil"/>
              <w:bottom w:val="single" w:sz="6" w:space="0" w:color="ADD6EA"/>
            </w:tcBorders>
          </w:tcPr>
          <w:p w14:paraId="67B785B3" w14:textId="77777777" w:rsidR="00E60957" w:rsidRDefault="00E60957" w:rsidP="00FA4791">
            <w:pPr>
              <w:tabs>
                <w:tab w:val="clear" w:pos="567"/>
              </w:tabs>
              <w:spacing w:before="0" w:line="240" w:lineRule="auto"/>
              <w:textAlignment w:val="baseline"/>
              <w:rPr>
                <w:rFonts w:eastAsia="Times New Roman" w:cs="Segoe UI"/>
                <w:color w:val="000000"/>
                <w:sz w:val="16"/>
                <w:szCs w:val="16"/>
                <w:lang w:eastAsia="en-AU"/>
              </w:rPr>
            </w:pPr>
          </w:p>
        </w:tc>
        <w:tc>
          <w:tcPr>
            <w:tcW w:w="181" w:type="dxa"/>
            <w:tcBorders>
              <w:top w:val="single" w:sz="6" w:space="0" w:color="ADD6EA"/>
              <w:left w:val="nil"/>
              <w:bottom w:val="single" w:sz="6" w:space="0" w:color="ADD6EA"/>
              <w:right w:val="nil"/>
            </w:tcBorders>
            <w:shd w:val="clear" w:color="auto" w:fill="auto"/>
          </w:tcPr>
          <w:p w14:paraId="06910B0F" w14:textId="77777777" w:rsidR="00E60957" w:rsidRPr="00433DCB" w:rsidRDefault="00E60957" w:rsidP="00FA4791">
            <w:pPr>
              <w:tabs>
                <w:tab w:val="clear" w:pos="567"/>
              </w:tabs>
              <w:spacing w:before="0" w:line="240" w:lineRule="auto"/>
              <w:textAlignment w:val="baseline"/>
              <w:rPr>
                <w:rFonts w:ascii="Arial" w:eastAsia="Times New Roman" w:hAnsi="Arial" w:cs="Arial"/>
                <w:color w:val="000000"/>
                <w:sz w:val="16"/>
                <w:szCs w:val="16"/>
                <w:lang w:eastAsia="en-AU"/>
              </w:rPr>
            </w:pPr>
          </w:p>
        </w:tc>
        <w:tc>
          <w:tcPr>
            <w:tcW w:w="1803" w:type="dxa"/>
            <w:tcBorders>
              <w:top w:val="single" w:sz="6" w:space="0" w:color="ADD6EA"/>
              <w:left w:val="nil"/>
              <w:bottom w:val="single" w:sz="6" w:space="0" w:color="ADD6EA"/>
              <w:right w:val="nil"/>
            </w:tcBorders>
            <w:shd w:val="clear" w:color="auto" w:fill="auto"/>
          </w:tcPr>
          <w:p w14:paraId="0561E890" w14:textId="77777777" w:rsidR="00E60957" w:rsidRPr="00433DCB" w:rsidRDefault="00E60957" w:rsidP="00FA4791">
            <w:pPr>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Regional costs</w:t>
            </w:r>
          </w:p>
        </w:tc>
        <w:tc>
          <w:tcPr>
            <w:tcW w:w="4253" w:type="dxa"/>
            <w:tcBorders>
              <w:top w:val="single" w:sz="6" w:space="0" w:color="ADD6EA"/>
              <w:left w:val="nil"/>
              <w:bottom w:val="single" w:sz="6" w:space="0" w:color="ADD6EA"/>
              <w:right w:val="nil"/>
            </w:tcBorders>
            <w:shd w:val="clear" w:color="auto" w:fill="auto"/>
          </w:tcPr>
          <w:p w14:paraId="182392F0" w14:textId="77777777" w:rsidR="00E60957" w:rsidRPr="00433DCB" w:rsidRDefault="00E60957" w:rsidP="00FA4791">
            <w:pPr>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Recognises the cost of providing services to different areas within a state.</w:t>
            </w:r>
          </w:p>
        </w:tc>
        <w:tc>
          <w:tcPr>
            <w:tcW w:w="1371" w:type="dxa"/>
            <w:tcBorders>
              <w:top w:val="single" w:sz="6" w:space="0" w:color="ADD6EA"/>
              <w:left w:val="nil"/>
              <w:bottom w:val="single" w:sz="6" w:space="0" w:color="ADD6EA"/>
              <w:right w:val="nil"/>
            </w:tcBorders>
          </w:tcPr>
          <w:p w14:paraId="27C8C4A0" w14:textId="77777777" w:rsidR="00E60957" w:rsidRDefault="00E60957" w:rsidP="00FA4791">
            <w:pPr>
              <w:tabs>
                <w:tab w:val="clear" w:pos="567"/>
              </w:tabs>
              <w:spacing w:before="0" w:line="240" w:lineRule="auto"/>
              <w:textAlignment w:val="baseline"/>
              <w:rPr>
                <w:rFonts w:eastAsia="Times New Roman" w:cs="Segoe UI"/>
                <w:color w:val="000000"/>
                <w:sz w:val="16"/>
                <w:szCs w:val="16"/>
                <w:lang w:eastAsia="en-AU"/>
              </w:rPr>
            </w:pPr>
            <w:r>
              <w:rPr>
                <w:rFonts w:eastAsia="Times New Roman" w:cs="Segoe UI"/>
                <w:color w:val="000000"/>
                <w:sz w:val="16"/>
                <w:szCs w:val="16"/>
                <w:lang w:eastAsia="en-AU"/>
              </w:rPr>
              <w:t>No</w:t>
            </w:r>
          </w:p>
        </w:tc>
      </w:tr>
    </w:tbl>
    <w:p w14:paraId="4C42867E" w14:textId="77777777" w:rsidR="00F043D0" w:rsidRDefault="00F043D0" w:rsidP="00E60957">
      <w:pPr>
        <w:pStyle w:val="Heading2"/>
      </w:pPr>
    </w:p>
    <w:p w14:paraId="25FD7686" w14:textId="77777777" w:rsidR="00F043D0" w:rsidRDefault="00F043D0">
      <w:pPr>
        <w:tabs>
          <w:tab w:val="clear" w:pos="567"/>
        </w:tabs>
        <w:spacing w:before="0" w:after="200" w:line="276" w:lineRule="auto"/>
        <w:rPr>
          <w:rFonts w:ascii="Work Sans" w:eastAsia="Times New Roman" w:hAnsi="Work Sans" w:cs="Open Sans"/>
          <w:b/>
          <w:bCs/>
          <w:color w:val="006991"/>
          <w:sz w:val="36"/>
          <w:szCs w:val="36"/>
        </w:rPr>
      </w:pPr>
      <w:r>
        <w:br w:type="page"/>
      </w:r>
    </w:p>
    <w:p w14:paraId="0C42A863" w14:textId="2F2E8051" w:rsidR="00730505" w:rsidRPr="00730505" w:rsidRDefault="00BD1F46" w:rsidP="00E60957">
      <w:pPr>
        <w:pStyle w:val="Heading2"/>
      </w:pPr>
      <w:r w:rsidRPr="00917210">
        <w:lastRenderedPageBreak/>
        <w:t>Indicative distribution impacts</w:t>
      </w:r>
    </w:p>
    <w:p w14:paraId="5BFAF632" w14:textId="082BA293" w:rsidR="00BF2200" w:rsidRPr="00567B9B" w:rsidRDefault="00BF2200" w:rsidP="00BF2200">
      <w:pPr>
        <w:pStyle w:val="CGC2025ParaNumbers"/>
        <w:tabs>
          <w:tab w:val="clear" w:pos="567"/>
        </w:tabs>
      </w:pPr>
      <w:r w:rsidRPr="00567B9B">
        <w:t>The impact on the GST distribution in 2024</w:t>
      </w:r>
      <w:r w:rsidR="00D376FD" w:rsidRPr="00567B9B">
        <w:t>–</w:t>
      </w:r>
      <w:r w:rsidRPr="00567B9B">
        <w:t xml:space="preserve">25 </w:t>
      </w:r>
      <w:r w:rsidR="00EA6688">
        <w:t>of</w:t>
      </w:r>
      <w:r w:rsidR="00EA6688" w:rsidRPr="00567B9B">
        <w:t xml:space="preserve"> </w:t>
      </w:r>
      <w:r w:rsidRPr="00567B9B">
        <w:t>the proposed method change</w:t>
      </w:r>
      <w:r w:rsidR="002757AE" w:rsidRPr="00567B9B">
        <w:t>s</w:t>
      </w:r>
      <w:r w:rsidRPr="00567B9B">
        <w:t xml:space="preserve"> </w:t>
      </w:r>
      <w:r w:rsidR="00312111">
        <w:t>is</w:t>
      </w:r>
      <w:r w:rsidRPr="00567B9B">
        <w:t xml:space="preserve"> shown in </w:t>
      </w:r>
      <w:r w:rsidR="00525C56">
        <w:t>Table 4</w:t>
      </w:r>
      <w:r w:rsidRPr="00567B9B">
        <w:t>.</w:t>
      </w:r>
    </w:p>
    <w:p w14:paraId="15718BB4" w14:textId="1A7A19C7" w:rsidR="00063E0E" w:rsidRPr="00567B9B" w:rsidRDefault="00063E0E" w:rsidP="00063E0E">
      <w:pPr>
        <w:pStyle w:val="CGC2025Caption"/>
        <w:keepLines/>
        <w:ind w:left="1134" w:hanging="1134"/>
      </w:pPr>
      <w:bookmarkStart w:id="25" w:name="_Ref161928534"/>
      <w:r w:rsidRPr="00567B9B">
        <w:t xml:space="preserve">Table </w:t>
      </w:r>
      <w:fldSimple w:instr=" SEQ Table \* ARABIC ">
        <w:r w:rsidR="00E61CEB">
          <w:rPr>
            <w:noProof/>
          </w:rPr>
          <w:t>4</w:t>
        </w:r>
      </w:fldSimple>
      <w:bookmarkEnd w:id="25"/>
      <w:r w:rsidRPr="00567B9B">
        <w:tab/>
        <w:t>Indicative impact on GST distribution</w:t>
      </w:r>
      <w:r w:rsidR="000E451D" w:rsidRPr="00567B9B">
        <w:t xml:space="preserve"> </w:t>
      </w:r>
      <w:r w:rsidRPr="00567B9B">
        <w:t>(difference from an equal per capita distribution)</w:t>
      </w:r>
      <w:r w:rsidR="00075526">
        <w:t>, 2024–25</w:t>
      </w:r>
    </w:p>
    <w:tbl>
      <w:tblPr>
        <w:tblW w:w="8942" w:type="dxa"/>
        <w:tblLook w:val="04A0" w:firstRow="1" w:lastRow="0" w:firstColumn="1" w:lastColumn="0" w:noHBand="0" w:noVBand="1"/>
      </w:tblPr>
      <w:tblGrid>
        <w:gridCol w:w="2708"/>
        <w:gridCol w:w="610"/>
        <w:gridCol w:w="703"/>
        <w:gridCol w:w="703"/>
        <w:gridCol w:w="703"/>
        <w:gridCol w:w="703"/>
        <w:gridCol w:w="703"/>
        <w:gridCol w:w="703"/>
        <w:gridCol w:w="703"/>
        <w:gridCol w:w="703"/>
      </w:tblGrid>
      <w:tr w:rsidR="00063E0E" w:rsidRPr="00567B9B" w14:paraId="15561ECC" w14:textId="77777777" w:rsidTr="00E11FEC">
        <w:trPr>
          <w:trHeight w:val="556"/>
        </w:trPr>
        <w:tc>
          <w:tcPr>
            <w:tcW w:w="2694" w:type="dxa"/>
            <w:tcBorders>
              <w:top w:val="nil"/>
              <w:left w:val="nil"/>
              <w:bottom w:val="nil"/>
              <w:right w:val="nil"/>
            </w:tcBorders>
            <w:shd w:val="clear" w:color="000000" w:fill="006991"/>
            <w:vAlign w:val="bottom"/>
            <w:hideMark/>
          </w:tcPr>
          <w:p w14:paraId="400936E2" w14:textId="77777777" w:rsidR="00063E0E" w:rsidRPr="00567B9B" w:rsidRDefault="00063E0E" w:rsidP="00DC4693">
            <w:pPr>
              <w:tabs>
                <w:tab w:val="clear" w:pos="567"/>
              </w:tabs>
              <w:spacing w:before="0" w:line="240" w:lineRule="auto"/>
              <w:rPr>
                <w:rFonts w:ascii="Open Sans Semibold" w:eastAsia="Times New Roman" w:hAnsi="Open Sans Semibold" w:cs="Open Sans Semibold"/>
                <w:color w:val="FFFFFF"/>
                <w:sz w:val="16"/>
                <w:szCs w:val="16"/>
                <w:lang w:eastAsia="en-AU"/>
              </w:rPr>
            </w:pPr>
            <w:bookmarkStart w:id="26" w:name="RANGE!A11:J19"/>
            <w:bookmarkStart w:id="27" w:name="RANGE!A11:J15"/>
            <w:bookmarkEnd w:id="26"/>
            <w:r w:rsidRPr="00567B9B">
              <w:rPr>
                <w:rFonts w:ascii="Open Sans Semibold" w:eastAsia="Times New Roman" w:hAnsi="Open Sans Semibold" w:cs="Open Sans Semibold"/>
                <w:color w:val="FFFFFF"/>
                <w:sz w:val="16"/>
                <w:szCs w:val="16"/>
                <w:lang w:eastAsia="en-AU"/>
              </w:rPr>
              <w:t> </w:t>
            </w:r>
            <w:bookmarkEnd w:id="27"/>
          </w:p>
        </w:tc>
        <w:tc>
          <w:tcPr>
            <w:tcW w:w="606" w:type="dxa"/>
            <w:tcBorders>
              <w:top w:val="nil"/>
              <w:left w:val="nil"/>
              <w:bottom w:val="nil"/>
              <w:right w:val="nil"/>
            </w:tcBorders>
            <w:shd w:val="clear" w:color="000000" w:fill="006991"/>
            <w:vAlign w:val="center"/>
            <w:hideMark/>
          </w:tcPr>
          <w:p w14:paraId="3C8B424F" w14:textId="77777777" w:rsidR="00063E0E" w:rsidRPr="00567B9B" w:rsidRDefault="00063E0E" w:rsidP="00E11F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67B9B">
              <w:rPr>
                <w:rFonts w:ascii="Open Sans Semibold" w:eastAsia="Times New Roman" w:hAnsi="Open Sans Semibold" w:cs="Open Sans Semibold"/>
                <w:color w:val="FFFFFF"/>
                <w:sz w:val="16"/>
                <w:szCs w:val="16"/>
                <w:lang w:eastAsia="en-AU"/>
              </w:rPr>
              <w:t>NSW</w:t>
            </w:r>
          </w:p>
        </w:tc>
        <w:tc>
          <w:tcPr>
            <w:tcW w:w="700" w:type="dxa"/>
            <w:tcBorders>
              <w:top w:val="nil"/>
              <w:left w:val="nil"/>
              <w:bottom w:val="nil"/>
              <w:right w:val="nil"/>
            </w:tcBorders>
            <w:shd w:val="clear" w:color="000000" w:fill="006991"/>
            <w:vAlign w:val="center"/>
            <w:hideMark/>
          </w:tcPr>
          <w:p w14:paraId="457BB21B" w14:textId="77777777" w:rsidR="00063E0E" w:rsidRPr="00567B9B" w:rsidRDefault="00063E0E" w:rsidP="00E11F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67B9B">
              <w:rPr>
                <w:rFonts w:ascii="Open Sans Semibold" w:eastAsia="Times New Roman" w:hAnsi="Open Sans Semibold" w:cs="Open Sans Semibold"/>
                <w:color w:val="FFFFFF"/>
                <w:sz w:val="16"/>
                <w:szCs w:val="16"/>
                <w:lang w:eastAsia="en-AU"/>
              </w:rPr>
              <w:t>Vic</w:t>
            </w:r>
          </w:p>
        </w:tc>
        <w:tc>
          <w:tcPr>
            <w:tcW w:w="700" w:type="dxa"/>
            <w:tcBorders>
              <w:top w:val="nil"/>
              <w:left w:val="nil"/>
              <w:bottom w:val="nil"/>
              <w:right w:val="nil"/>
            </w:tcBorders>
            <w:shd w:val="clear" w:color="000000" w:fill="006991"/>
            <w:vAlign w:val="center"/>
            <w:hideMark/>
          </w:tcPr>
          <w:p w14:paraId="356C94BE" w14:textId="77777777" w:rsidR="00063E0E" w:rsidRPr="00567B9B" w:rsidRDefault="00063E0E" w:rsidP="00E11F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67B9B">
              <w:rPr>
                <w:rFonts w:ascii="Open Sans Semibold" w:eastAsia="Times New Roman" w:hAnsi="Open Sans Semibold" w:cs="Open Sans Semibold"/>
                <w:color w:val="FFFFFF"/>
                <w:sz w:val="16"/>
                <w:szCs w:val="16"/>
                <w:lang w:eastAsia="en-AU"/>
              </w:rPr>
              <w:t>Qld</w:t>
            </w:r>
          </w:p>
        </w:tc>
        <w:tc>
          <w:tcPr>
            <w:tcW w:w="700" w:type="dxa"/>
            <w:tcBorders>
              <w:top w:val="nil"/>
              <w:left w:val="nil"/>
              <w:bottom w:val="nil"/>
              <w:right w:val="nil"/>
            </w:tcBorders>
            <w:shd w:val="clear" w:color="000000" w:fill="006991"/>
            <w:vAlign w:val="center"/>
            <w:hideMark/>
          </w:tcPr>
          <w:p w14:paraId="21931C2F" w14:textId="77777777" w:rsidR="00063E0E" w:rsidRPr="00567B9B" w:rsidRDefault="00063E0E" w:rsidP="00E11F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67B9B">
              <w:rPr>
                <w:rFonts w:ascii="Open Sans Semibold" w:eastAsia="Times New Roman" w:hAnsi="Open Sans Semibold" w:cs="Open Sans Semibold"/>
                <w:color w:val="FFFFFF"/>
                <w:sz w:val="16"/>
                <w:szCs w:val="16"/>
                <w:lang w:eastAsia="en-AU"/>
              </w:rPr>
              <w:t>WA</w:t>
            </w:r>
          </w:p>
        </w:tc>
        <w:tc>
          <w:tcPr>
            <w:tcW w:w="700" w:type="dxa"/>
            <w:tcBorders>
              <w:top w:val="nil"/>
              <w:left w:val="nil"/>
              <w:bottom w:val="nil"/>
              <w:right w:val="nil"/>
            </w:tcBorders>
            <w:shd w:val="clear" w:color="000000" w:fill="006991"/>
            <w:vAlign w:val="center"/>
            <w:hideMark/>
          </w:tcPr>
          <w:p w14:paraId="23AD04C7" w14:textId="77777777" w:rsidR="00063E0E" w:rsidRPr="00567B9B" w:rsidRDefault="00063E0E" w:rsidP="00E11F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67B9B">
              <w:rPr>
                <w:rFonts w:ascii="Open Sans Semibold" w:eastAsia="Times New Roman" w:hAnsi="Open Sans Semibold" w:cs="Open Sans Semibold"/>
                <w:color w:val="FFFFFF"/>
                <w:sz w:val="16"/>
                <w:szCs w:val="16"/>
                <w:lang w:eastAsia="en-AU"/>
              </w:rPr>
              <w:t>SA</w:t>
            </w:r>
          </w:p>
        </w:tc>
        <w:tc>
          <w:tcPr>
            <w:tcW w:w="700" w:type="dxa"/>
            <w:tcBorders>
              <w:top w:val="nil"/>
              <w:left w:val="nil"/>
              <w:bottom w:val="nil"/>
              <w:right w:val="nil"/>
            </w:tcBorders>
            <w:shd w:val="clear" w:color="000000" w:fill="006991"/>
            <w:vAlign w:val="center"/>
            <w:hideMark/>
          </w:tcPr>
          <w:p w14:paraId="3F9D07A1" w14:textId="77777777" w:rsidR="00063E0E" w:rsidRPr="00567B9B" w:rsidRDefault="00063E0E" w:rsidP="00E11F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67B9B">
              <w:rPr>
                <w:rFonts w:ascii="Open Sans Semibold" w:eastAsia="Times New Roman" w:hAnsi="Open Sans Semibold" w:cs="Open Sans Semibold"/>
                <w:color w:val="FFFFFF"/>
                <w:sz w:val="16"/>
                <w:szCs w:val="16"/>
                <w:lang w:eastAsia="en-AU"/>
              </w:rPr>
              <w:t>Tas</w:t>
            </w:r>
          </w:p>
        </w:tc>
        <w:tc>
          <w:tcPr>
            <w:tcW w:w="700" w:type="dxa"/>
            <w:tcBorders>
              <w:top w:val="nil"/>
              <w:left w:val="nil"/>
              <w:bottom w:val="nil"/>
              <w:right w:val="nil"/>
            </w:tcBorders>
            <w:shd w:val="clear" w:color="000000" w:fill="006991"/>
            <w:vAlign w:val="center"/>
            <w:hideMark/>
          </w:tcPr>
          <w:p w14:paraId="063A9451" w14:textId="77777777" w:rsidR="00063E0E" w:rsidRPr="00567B9B" w:rsidRDefault="00063E0E" w:rsidP="00E11F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67B9B">
              <w:rPr>
                <w:rFonts w:ascii="Open Sans Semibold" w:eastAsia="Times New Roman" w:hAnsi="Open Sans Semibold" w:cs="Open Sans Semibold"/>
                <w:color w:val="FFFFFF"/>
                <w:sz w:val="16"/>
                <w:szCs w:val="16"/>
                <w:lang w:eastAsia="en-AU"/>
              </w:rPr>
              <w:t>ACT</w:t>
            </w:r>
          </w:p>
        </w:tc>
        <w:tc>
          <w:tcPr>
            <w:tcW w:w="700" w:type="dxa"/>
            <w:tcBorders>
              <w:top w:val="nil"/>
              <w:left w:val="nil"/>
              <w:bottom w:val="nil"/>
              <w:right w:val="nil"/>
            </w:tcBorders>
            <w:shd w:val="clear" w:color="000000" w:fill="006991"/>
            <w:vAlign w:val="center"/>
            <w:hideMark/>
          </w:tcPr>
          <w:p w14:paraId="10589F53" w14:textId="77777777" w:rsidR="00063E0E" w:rsidRPr="00567B9B" w:rsidRDefault="00063E0E" w:rsidP="00E11F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67B9B">
              <w:rPr>
                <w:rFonts w:ascii="Open Sans Semibold" w:eastAsia="Times New Roman" w:hAnsi="Open Sans Semibold" w:cs="Open Sans Semibold"/>
                <w:color w:val="FFFFFF"/>
                <w:sz w:val="16"/>
                <w:szCs w:val="16"/>
                <w:lang w:eastAsia="en-AU"/>
              </w:rPr>
              <w:t>NT</w:t>
            </w:r>
          </w:p>
        </w:tc>
        <w:tc>
          <w:tcPr>
            <w:tcW w:w="700" w:type="dxa"/>
            <w:tcBorders>
              <w:top w:val="nil"/>
              <w:left w:val="nil"/>
              <w:bottom w:val="nil"/>
              <w:right w:val="nil"/>
            </w:tcBorders>
            <w:shd w:val="clear" w:color="000000" w:fill="006991"/>
            <w:vAlign w:val="center"/>
            <w:hideMark/>
          </w:tcPr>
          <w:p w14:paraId="32E4F9F6" w14:textId="77777777" w:rsidR="00063E0E" w:rsidRPr="00567B9B" w:rsidRDefault="00063E0E" w:rsidP="00E11FEC">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67B9B">
              <w:rPr>
                <w:rFonts w:ascii="Open Sans Semibold" w:eastAsia="Times New Roman" w:hAnsi="Open Sans Semibold" w:cs="Open Sans Semibold"/>
                <w:color w:val="FFFFFF"/>
                <w:sz w:val="16"/>
                <w:szCs w:val="16"/>
                <w:lang w:eastAsia="en-AU"/>
              </w:rPr>
              <w:t>Total Effect</w:t>
            </w:r>
          </w:p>
        </w:tc>
      </w:tr>
      <w:tr w:rsidR="00063E0E" w:rsidRPr="00567B9B" w14:paraId="03613A39" w14:textId="77777777" w:rsidTr="00E11FEC">
        <w:trPr>
          <w:trHeight w:val="259"/>
        </w:trPr>
        <w:tc>
          <w:tcPr>
            <w:tcW w:w="2694" w:type="dxa"/>
            <w:tcBorders>
              <w:top w:val="single" w:sz="4" w:space="0" w:color="ADD6EA"/>
              <w:left w:val="nil"/>
              <w:bottom w:val="nil"/>
              <w:right w:val="nil"/>
            </w:tcBorders>
            <w:shd w:val="clear" w:color="000000" w:fill="B6D5E4"/>
            <w:vAlign w:val="bottom"/>
            <w:hideMark/>
          </w:tcPr>
          <w:p w14:paraId="23E83614" w14:textId="77777777" w:rsidR="00063E0E" w:rsidRPr="00567B9B" w:rsidRDefault="00063E0E" w:rsidP="00DC4693">
            <w:pPr>
              <w:tabs>
                <w:tab w:val="clear" w:pos="567"/>
              </w:tabs>
              <w:spacing w:before="0" w:line="240" w:lineRule="auto"/>
              <w:rPr>
                <w:rFonts w:ascii="Open Sans Semibold" w:eastAsia="Times New Roman" w:hAnsi="Open Sans Semibold" w:cs="Open Sans Semibold"/>
                <w:color w:val="000000"/>
                <w:sz w:val="16"/>
                <w:szCs w:val="16"/>
                <w:lang w:eastAsia="en-AU"/>
              </w:rPr>
            </w:pPr>
            <w:r w:rsidRPr="00567B9B">
              <w:rPr>
                <w:rFonts w:ascii="Open Sans Semibold" w:eastAsia="Times New Roman" w:hAnsi="Open Sans Semibold" w:cs="Open Sans Semibold"/>
                <w:color w:val="000000"/>
                <w:sz w:val="16"/>
                <w:szCs w:val="16"/>
                <w:lang w:eastAsia="en-AU"/>
              </w:rPr>
              <w:t> </w:t>
            </w:r>
          </w:p>
        </w:tc>
        <w:tc>
          <w:tcPr>
            <w:tcW w:w="606" w:type="dxa"/>
            <w:tcBorders>
              <w:top w:val="single" w:sz="4" w:space="0" w:color="ADD6EA"/>
              <w:left w:val="nil"/>
              <w:bottom w:val="nil"/>
              <w:right w:val="nil"/>
            </w:tcBorders>
            <w:shd w:val="clear" w:color="000000" w:fill="B6D5E4"/>
            <w:noWrap/>
            <w:vAlign w:val="center"/>
            <w:hideMark/>
          </w:tcPr>
          <w:p w14:paraId="1E6F5910" w14:textId="77777777" w:rsidR="00063E0E" w:rsidRPr="00567B9B" w:rsidRDefault="00063E0E" w:rsidP="00E11F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7B9B">
              <w:rPr>
                <w:rFonts w:ascii="Open Sans Semibold" w:eastAsia="Times New Roman" w:hAnsi="Open Sans Semibold" w:cs="Open Sans Semibold"/>
                <w:color w:val="000000"/>
                <w:sz w:val="16"/>
                <w:szCs w:val="16"/>
                <w:lang w:eastAsia="en-AU"/>
              </w:rPr>
              <w:t>$m</w:t>
            </w:r>
          </w:p>
        </w:tc>
        <w:tc>
          <w:tcPr>
            <w:tcW w:w="700" w:type="dxa"/>
            <w:tcBorders>
              <w:top w:val="single" w:sz="4" w:space="0" w:color="ADD6EA"/>
              <w:left w:val="nil"/>
              <w:bottom w:val="nil"/>
              <w:right w:val="nil"/>
            </w:tcBorders>
            <w:shd w:val="clear" w:color="000000" w:fill="B6D5E4"/>
            <w:noWrap/>
            <w:vAlign w:val="center"/>
            <w:hideMark/>
          </w:tcPr>
          <w:p w14:paraId="30B86C57" w14:textId="77777777" w:rsidR="00063E0E" w:rsidRPr="00567B9B" w:rsidRDefault="00063E0E" w:rsidP="00E11F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7B9B">
              <w:rPr>
                <w:rFonts w:ascii="Open Sans Semibold" w:eastAsia="Times New Roman" w:hAnsi="Open Sans Semibold" w:cs="Open Sans Semibold"/>
                <w:color w:val="000000"/>
                <w:sz w:val="16"/>
                <w:szCs w:val="16"/>
                <w:lang w:eastAsia="en-AU"/>
              </w:rPr>
              <w:t>$m</w:t>
            </w:r>
          </w:p>
        </w:tc>
        <w:tc>
          <w:tcPr>
            <w:tcW w:w="700" w:type="dxa"/>
            <w:tcBorders>
              <w:top w:val="single" w:sz="4" w:space="0" w:color="ADD6EA"/>
              <w:left w:val="nil"/>
              <w:bottom w:val="nil"/>
              <w:right w:val="nil"/>
            </w:tcBorders>
            <w:shd w:val="clear" w:color="000000" w:fill="B6D5E4"/>
            <w:noWrap/>
            <w:vAlign w:val="center"/>
            <w:hideMark/>
          </w:tcPr>
          <w:p w14:paraId="2E2121EB" w14:textId="77777777" w:rsidR="00063E0E" w:rsidRPr="00567B9B" w:rsidRDefault="00063E0E" w:rsidP="00E11F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7B9B">
              <w:rPr>
                <w:rFonts w:ascii="Open Sans Semibold" w:eastAsia="Times New Roman" w:hAnsi="Open Sans Semibold" w:cs="Open Sans Semibold"/>
                <w:color w:val="000000"/>
                <w:sz w:val="16"/>
                <w:szCs w:val="16"/>
                <w:lang w:eastAsia="en-AU"/>
              </w:rPr>
              <w:t>$m</w:t>
            </w:r>
          </w:p>
        </w:tc>
        <w:tc>
          <w:tcPr>
            <w:tcW w:w="700" w:type="dxa"/>
            <w:tcBorders>
              <w:top w:val="single" w:sz="4" w:space="0" w:color="ADD6EA"/>
              <w:left w:val="nil"/>
              <w:bottom w:val="nil"/>
              <w:right w:val="nil"/>
            </w:tcBorders>
            <w:shd w:val="clear" w:color="000000" w:fill="B6D5E4"/>
            <w:noWrap/>
            <w:vAlign w:val="center"/>
            <w:hideMark/>
          </w:tcPr>
          <w:p w14:paraId="481F05D1" w14:textId="77777777" w:rsidR="00063E0E" w:rsidRPr="00567B9B" w:rsidRDefault="00063E0E" w:rsidP="00E11F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7B9B">
              <w:rPr>
                <w:rFonts w:ascii="Open Sans Semibold" w:eastAsia="Times New Roman" w:hAnsi="Open Sans Semibold" w:cs="Open Sans Semibold"/>
                <w:color w:val="000000"/>
                <w:sz w:val="16"/>
                <w:szCs w:val="16"/>
                <w:lang w:eastAsia="en-AU"/>
              </w:rPr>
              <w:t>$m</w:t>
            </w:r>
          </w:p>
        </w:tc>
        <w:tc>
          <w:tcPr>
            <w:tcW w:w="700" w:type="dxa"/>
            <w:tcBorders>
              <w:top w:val="single" w:sz="4" w:space="0" w:color="ADD6EA"/>
              <w:left w:val="nil"/>
              <w:bottom w:val="nil"/>
              <w:right w:val="nil"/>
            </w:tcBorders>
            <w:shd w:val="clear" w:color="000000" w:fill="B6D5E4"/>
            <w:noWrap/>
            <w:vAlign w:val="center"/>
            <w:hideMark/>
          </w:tcPr>
          <w:p w14:paraId="692F0DC5" w14:textId="77777777" w:rsidR="00063E0E" w:rsidRPr="00567B9B" w:rsidRDefault="00063E0E" w:rsidP="00E11F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7B9B">
              <w:rPr>
                <w:rFonts w:ascii="Open Sans Semibold" w:eastAsia="Times New Roman" w:hAnsi="Open Sans Semibold" w:cs="Open Sans Semibold"/>
                <w:color w:val="000000"/>
                <w:sz w:val="16"/>
                <w:szCs w:val="16"/>
                <w:lang w:eastAsia="en-AU"/>
              </w:rPr>
              <w:t>$m</w:t>
            </w:r>
          </w:p>
        </w:tc>
        <w:tc>
          <w:tcPr>
            <w:tcW w:w="700" w:type="dxa"/>
            <w:tcBorders>
              <w:top w:val="single" w:sz="4" w:space="0" w:color="ADD6EA"/>
              <w:left w:val="nil"/>
              <w:bottom w:val="nil"/>
              <w:right w:val="nil"/>
            </w:tcBorders>
            <w:shd w:val="clear" w:color="000000" w:fill="B6D5E4"/>
            <w:noWrap/>
            <w:vAlign w:val="center"/>
            <w:hideMark/>
          </w:tcPr>
          <w:p w14:paraId="4D303F84" w14:textId="77777777" w:rsidR="00063E0E" w:rsidRPr="00567B9B" w:rsidRDefault="00063E0E" w:rsidP="00E11F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7B9B">
              <w:rPr>
                <w:rFonts w:ascii="Open Sans Semibold" w:eastAsia="Times New Roman" w:hAnsi="Open Sans Semibold" w:cs="Open Sans Semibold"/>
                <w:color w:val="000000"/>
                <w:sz w:val="16"/>
                <w:szCs w:val="16"/>
                <w:lang w:eastAsia="en-AU"/>
              </w:rPr>
              <w:t>$m</w:t>
            </w:r>
          </w:p>
        </w:tc>
        <w:tc>
          <w:tcPr>
            <w:tcW w:w="700" w:type="dxa"/>
            <w:tcBorders>
              <w:top w:val="single" w:sz="4" w:space="0" w:color="ADD6EA"/>
              <w:left w:val="nil"/>
              <w:bottom w:val="nil"/>
              <w:right w:val="nil"/>
            </w:tcBorders>
            <w:shd w:val="clear" w:color="000000" w:fill="B6D5E4"/>
            <w:noWrap/>
            <w:vAlign w:val="center"/>
            <w:hideMark/>
          </w:tcPr>
          <w:p w14:paraId="4F019BF2" w14:textId="77777777" w:rsidR="00063E0E" w:rsidRPr="00567B9B" w:rsidRDefault="00063E0E" w:rsidP="00E11F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7B9B">
              <w:rPr>
                <w:rFonts w:ascii="Open Sans Semibold" w:eastAsia="Times New Roman" w:hAnsi="Open Sans Semibold" w:cs="Open Sans Semibold"/>
                <w:color w:val="000000"/>
                <w:sz w:val="16"/>
                <w:szCs w:val="16"/>
                <w:lang w:eastAsia="en-AU"/>
              </w:rPr>
              <w:t>$m</w:t>
            </w:r>
          </w:p>
        </w:tc>
        <w:tc>
          <w:tcPr>
            <w:tcW w:w="700" w:type="dxa"/>
            <w:tcBorders>
              <w:top w:val="single" w:sz="4" w:space="0" w:color="ADD6EA"/>
              <w:left w:val="nil"/>
              <w:bottom w:val="nil"/>
              <w:right w:val="nil"/>
            </w:tcBorders>
            <w:shd w:val="clear" w:color="000000" w:fill="B6D5E4"/>
            <w:noWrap/>
            <w:vAlign w:val="center"/>
            <w:hideMark/>
          </w:tcPr>
          <w:p w14:paraId="0BC86976" w14:textId="77777777" w:rsidR="00063E0E" w:rsidRPr="00567B9B" w:rsidRDefault="00063E0E" w:rsidP="00E11F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7B9B">
              <w:rPr>
                <w:rFonts w:ascii="Open Sans Semibold" w:eastAsia="Times New Roman" w:hAnsi="Open Sans Semibold" w:cs="Open Sans Semibold"/>
                <w:color w:val="000000"/>
                <w:sz w:val="16"/>
                <w:szCs w:val="16"/>
                <w:lang w:eastAsia="en-AU"/>
              </w:rPr>
              <w:t>$m</w:t>
            </w:r>
          </w:p>
        </w:tc>
        <w:tc>
          <w:tcPr>
            <w:tcW w:w="700" w:type="dxa"/>
            <w:tcBorders>
              <w:top w:val="single" w:sz="4" w:space="0" w:color="ADD6EA"/>
              <w:left w:val="nil"/>
              <w:bottom w:val="nil"/>
              <w:right w:val="nil"/>
            </w:tcBorders>
            <w:shd w:val="clear" w:color="000000" w:fill="B6D5E4"/>
            <w:noWrap/>
            <w:vAlign w:val="center"/>
            <w:hideMark/>
          </w:tcPr>
          <w:p w14:paraId="22827F7A" w14:textId="77777777" w:rsidR="00063E0E" w:rsidRPr="00567B9B" w:rsidRDefault="00063E0E" w:rsidP="00E11F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7B9B">
              <w:rPr>
                <w:rFonts w:ascii="Open Sans Semibold" w:eastAsia="Times New Roman" w:hAnsi="Open Sans Semibold" w:cs="Open Sans Semibold"/>
                <w:color w:val="000000"/>
                <w:sz w:val="16"/>
                <w:szCs w:val="16"/>
                <w:lang w:eastAsia="en-AU"/>
              </w:rPr>
              <w:t>$m</w:t>
            </w:r>
          </w:p>
        </w:tc>
      </w:tr>
      <w:tr w:rsidR="00A56DF0" w:rsidRPr="00567B9B" w14:paraId="14DF7D51" w14:textId="77777777" w:rsidTr="00E11FEC">
        <w:trPr>
          <w:trHeight w:val="315"/>
        </w:trPr>
        <w:tc>
          <w:tcPr>
            <w:tcW w:w="2694" w:type="dxa"/>
            <w:tcBorders>
              <w:top w:val="single" w:sz="4" w:space="0" w:color="ADD6EA"/>
              <w:left w:val="nil"/>
              <w:bottom w:val="nil"/>
              <w:right w:val="nil"/>
            </w:tcBorders>
            <w:shd w:val="clear" w:color="auto" w:fill="auto"/>
            <w:vAlign w:val="center"/>
            <w:hideMark/>
          </w:tcPr>
          <w:p w14:paraId="44035A73" w14:textId="77777777" w:rsidR="00A56DF0" w:rsidRPr="00567B9B" w:rsidRDefault="00A56DF0" w:rsidP="00E11FEC">
            <w:pPr>
              <w:tabs>
                <w:tab w:val="clear" w:pos="567"/>
              </w:tabs>
              <w:spacing w:before="0" w:line="240" w:lineRule="auto"/>
              <w:rPr>
                <w:rFonts w:eastAsia="Times New Roman" w:cs="Open Sans Light"/>
                <w:color w:val="000000"/>
                <w:sz w:val="16"/>
                <w:szCs w:val="16"/>
                <w:lang w:eastAsia="en-AU"/>
              </w:rPr>
            </w:pPr>
            <w:r w:rsidRPr="00567B9B">
              <w:rPr>
                <w:rFonts w:cs="Open Sans Light"/>
                <w:color w:val="000000"/>
                <w:sz w:val="16"/>
                <w:szCs w:val="16"/>
              </w:rPr>
              <w:t>U2024 using R2020 methods</w:t>
            </w:r>
          </w:p>
        </w:tc>
        <w:tc>
          <w:tcPr>
            <w:tcW w:w="606" w:type="dxa"/>
            <w:tcBorders>
              <w:top w:val="single" w:sz="4" w:space="0" w:color="ADD6EA"/>
              <w:left w:val="nil"/>
              <w:bottom w:val="nil"/>
              <w:right w:val="nil"/>
            </w:tcBorders>
            <w:shd w:val="clear" w:color="auto" w:fill="auto"/>
            <w:vAlign w:val="center"/>
            <w:hideMark/>
          </w:tcPr>
          <w:p w14:paraId="4FB1BB07" w14:textId="6A4F2BEA" w:rsidR="00A56DF0" w:rsidRPr="00567B9B" w:rsidRDefault="00A56DF0"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56</w:t>
            </w:r>
          </w:p>
        </w:tc>
        <w:tc>
          <w:tcPr>
            <w:tcW w:w="700" w:type="dxa"/>
            <w:tcBorders>
              <w:top w:val="single" w:sz="4" w:space="0" w:color="ADD6EA"/>
              <w:left w:val="nil"/>
              <w:bottom w:val="nil"/>
              <w:right w:val="nil"/>
            </w:tcBorders>
            <w:shd w:val="clear" w:color="auto" w:fill="auto"/>
            <w:vAlign w:val="center"/>
            <w:hideMark/>
          </w:tcPr>
          <w:p w14:paraId="7060DFCB" w14:textId="1C0A6F89" w:rsidR="00A56DF0" w:rsidRPr="00567B9B" w:rsidRDefault="00A56DF0"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-696</w:t>
            </w:r>
          </w:p>
        </w:tc>
        <w:tc>
          <w:tcPr>
            <w:tcW w:w="700" w:type="dxa"/>
            <w:tcBorders>
              <w:top w:val="single" w:sz="4" w:space="0" w:color="ADD6EA"/>
              <w:left w:val="nil"/>
              <w:bottom w:val="nil"/>
              <w:right w:val="nil"/>
            </w:tcBorders>
            <w:shd w:val="clear" w:color="auto" w:fill="auto"/>
            <w:vAlign w:val="center"/>
            <w:hideMark/>
          </w:tcPr>
          <w:p w14:paraId="4F76704C" w14:textId="70C0B985" w:rsidR="00A56DF0" w:rsidRPr="00567B9B" w:rsidRDefault="00A56DF0"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357</w:t>
            </w:r>
          </w:p>
        </w:tc>
        <w:tc>
          <w:tcPr>
            <w:tcW w:w="700" w:type="dxa"/>
            <w:tcBorders>
              <w:top w:val="single" w:sz="4" w:space="0" w:color="ADD6EA"/>
              <w:left w:val="nil"/>
              <w:bottom w:val="nil"/>
              <w:right w:val="nil"/>
            </w:tcBorders>
            <w:shd w:val="clear" w:color="auto" w:fill="auto"/>
            <w:vAlign w:val="center"/>
            <w:hideMark/>
          </w:tcPr>
          <w:p w14:paraId="0DBEEFB3" w14:textId="2BC26B92" w:rsidR="00A56DF0" w:rsidRPr="00567B9B" w:rsidRDefault="00A56DF0"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37</w:t>
            </w:r>
          </w:p>
        </w:tc>
        <w:tc>
          <w:tcPr>
            <w:tcW w:w="700" w:type="dxa"/>
            <w:tcBorders>
              <w:top w:val="single" w:sz="4" w:space="0" w:color="ADD6EA"/>
              <w:left w:val="nil"/>
              <w:bottom w:val="nil"/>
              <w:right w:val="nil"/>
            </w:tcBorders>
            <w:shd w:val="clear" w:color="auto" w:fill="auto"/>
            <w:vAlign w:val="center"/>
            <w:hideMark/>
          </w:tcPr>
          <w:p w14:paraId="70FE6291" w14:textId="56CE0CC4" w:rsidR="00A56DF0" w:rsidRPr="00567B9B" w:rsidRDefault="00A56DF0"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-17</w:t>
            </w:r>
          </w:p>
        </w:tc>
        <w:tc>
          <w:tcPr>
            <w:tcW w:w="700" w:type="dxa"/>
            <w:tcBorders>
              <w:top w:val="single" w:sz="4" w:space="0" w:color="ADD6EA"/>
              <w:left w:val="nil"/>
              <w:bottom w:val="nil"/>
              <w:right w:val="nil"/>
            </w:tcBorders>
            <w:shd w:val="clear" w:color="auto" w:fill="auto"/>
            <w:vAlign w:val="center"/>
            <w:hideMark/>
          </w:tcPr>
          <w:p w14:paraId="6A184BE2" w14:textId="77FD3E7C" w:rsidR="00A56DF0" w:rsidRPr="00567B9B" w:rsidRDefault="00A56DF0"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62</w:t>
            </w:r>
          </w:p>
        </w:tc>
        <w:tc>
          <w:tcPr>
            <w:tcW w:w="700" w:type="dxa"/>
            <w:tcBorders>
              <w:top w:val="single" w:sz="4" w:space="0" w:color="ADD6EA"/>
              <w:left w:val="nil"/>
              <w:bottom w:val="nil"/>
              <w:right w:val="nil"/>
            </w:tcBorders>
            <w:shd w:val="clear" w:color="auto" w:fill="auto"/>
            <w:vAlign w:val="center"/>
            <w:hideMark/>
          </w:tcPr>
          <w:p w14:paraId="41241D01" w14:textId="1343A3B2" w:rsidR="00A56DF0" w:rsidRPr="00567B9B" w:rsidRDefault="00A56DF0"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-78</w:t>
            </w:r>
          </w:p>
        </w:tc>
        <w:tc>
          <w:tcPr>
            <w:tcW w:w="700" w:type="dxa"/>
            <w:tcBorders>
              <w:top w:val="single" w:sz="4" w:space="0" w:color="ADD6EA"/>
              <w:left w:val="nil"/>
              <w:bottom w:val="nil"/>
              <w:right w:val="nil"/>
            </w:tcBorders>
            <w:shd w:val="clear" w:color="auto" w:fill="auto"/>
            <w:vAlign w:val="center"/>
            <w:hideMark/>
          </w:tcPr>
          <w:p w14:paraId="21798B87" w14:textId="7BB64165" w:rsidR="00A56DF0" w:rsidRPr="00567B9B" w:rsidRDefault="00A56DF0"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278</w:t>
            </w:r>
          </w:p>
        </w:tc>
        <w:tc>
          <w:tcPr>
            <w:tcW w:w="700" w:type="dxa"/>
            <w:tcBorders>
              <w:top w:val="single" w:sz="4" w:space="0" w:color="ADD6EA"/>
              <w:left w:val="nil"/>
              <w:bottom w:val="nil"/>
              <w:right w:val="nil"/>
            </w:tcBorders>
            <w:shd w:val="clear" w:color="auto" w:fill="auto"/>
            <w:vAlign w:val="center"/>
            <w:hideMark/>
          </w:tcPr>
          <w:p w14:paraId="4EEA7D8E" w14:textId="507566C5" w:rsidR="00A56DF0" w:rsidRPr="00567B9B" w:rsidRDefault="00A56DF0"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790</w:t>
            </w:r>
          </w:p>
        </w:tc>
      </w:tr>
      <w:tr w:rsidR="00A56DF0" w:rsidRPr="00567B9B" w14:paraId="580915C9" w14:textId="77777777" w:rsidTr="00E11FEC">
        <w:trPr>
          <w:trHeight w:val="315"/>
        </w:trPr>
        <w:tc>
          <w:tcPr>
            <w:tcW w:w="2694" w:type="dxa"/>
            <w:tcBorders>
              <w:top w:val="single" w:sz="4" w:space="0" w:color="ADD6EA"/>
              <w:left w:val="nil"/>
              <w:bottom w:val="nil"/>
              <w:right w:val="nil"/>
            </w:tcBorders>
            <w:shd w:val="clear" w:color="auto" w:fill="auto"/>
            <w:vAlign w:val="center"/>
            <w:hideMark/>
          </w:tcPr>
          <w:p w14:paraId="5CD73FE6" w14:textId="77777777" w:rsidR="00A56DF0" w:rsidRPr="00567B9B" w:rsidRDefault="00A56DF0" w:rsidP="00E11FEC">
            <w:pPr>
              <w:tabs>
                <w:tab w:val="clear" w:pos="567"/>
              </w:tabs>
              <w:spacing w:before="0" w:line="240" w:lineRule="auto"/>
              <w:rPr>
                <w:rFonts w:eastAsia="Times New Roman" w:cs="Open Sans Light"/>
                <w:color w:val="000000"/>
                <w:sz w:val="16"/>
                <w:szCs w:val="16"/>
                <w:lang w:eastAsia="en-AU"/>
              </w:rPr>
            </w:pPr>
            <w:r w:rsidRPr="00567B9B">
              <w:rPr>
                <w:rFonts w:cs="Open Sans Light"/>
                <w:color w:val="000000"/>
                <w:sz w:val="16"/>
                <w:szCs w:val="16"/>
              </w:rPr>
              <w:t>U2024 using draft R2025 methods</w:t>
            </w:r>
          </w:p>
        </w:tc>
        <w:tc>
          <w:tcPr>
            <w:tcW w:w="606" w:type="dxa"/>
            <w:tcBorders>
              <w:top w:val="single" w:sz="4" w:space="0" w:color="ADD6EA"/>
              <w:left w:val="nil"/>
              <w:bottom w:val="nil"/>
              <w:right w:val="nil"/>
            </w:tcBorders>
            <w:shd w:val="clear" w:color="auto" w:fill="auto"/>
            <w:vAlign w:val="center"/>
            <w:hideMark/>
          </w:tcPr>
          <w:p w14:paraId="48BB5297" w14:textId="3497B1A8" w:rsidR="00A56DF0" w:rsidRPr="00567B9B" w:rsidRDefault="00A56DF0"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56</w:t>
            </w:r>
          </w:p>
        </w:tc>
        <w:tc>
          <w:tcPr>
            <w:tcW w:w="700" w:type="dxa"/>
            <w:tcBorders>
              <w:top w:val="single" w:sz="4" w:space="0" w:color="ADD6EA"/>
              <w:left w:val="nil"/>
              <w:bottom w:val="nil"/>
              <w:right w:val="nil"/>
            </w:tcBorders>
            <w:shd w:val="clear" w:color="auto" w:fill="auto"/>
            <w:vAlign w:val="center"/>
            <w:hideMark/>
          </w:tcPr>
          <w:p w14:paraId="555C443E" w14:textId="707EF3A9" w:rsidR="00A56DF0" w:rsidRPr="00567B9B" w:rsidRDefault="00A56DF0"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-765</w:t>
            </w:r>
          </w:p>
        </w:tc>
        <w:tc>
          <w:tcPr>
            <w:tcW w:w="700" w:type="dxa"/>
            <w:tcBorders>
              <w:top w:val="single" w:sz="4" w:space="0" w:color="ADD6EA"/>
              <w:left w:val="nil"/>
              <w:bottom w:val="nil"/>
              <w:right w:val="nil"/>
            </w:tcBorders>
            <w:shd w:val="clear" w:color="auto" w:fill="auto"/>
            <w:vAlign w:val="center"/>
            <w:hideMark/>
          </w:tcPr>
          <w:p w14:paraId="4FB2F31C" w14:textId="018CDBE2" w:rsidR="00A56DF0" w:rsidRPr="00567B9B" w:rsidRDefault="00A56DF0"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406</w:t>
            </w:r>
          </w:p>
        </w:tc>
        <w:tc>
          <w:tcPr>
            <w:tcW w:w="700" w:type="dxa"/>
            <w:tcBorders>
              <w:top w:val="single" w:sz="4" w:space="0" w:color="ADD6EA"/>
              <w:left w:val="nil"/>
              <w:bottom w:val="nil"/>
              <w:right w:val="nil"/>
            </w:tcBorders>
            <w:shd w:val="clear" w:color="auto" w:fill="auto"/>
            <w:vAlign w:val="center"/>
            <w:hideMark/>
          </w:tcPr>
          <w:p w14:paraId="1F256B4A" w14:textId="7F283BF1" w:rsidR="00A56DF0" w:rsidRPr="00567B9B" w:rsidRDefault="00A56DF0"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40</w:t>
            </w:r>
          </w:p>
        </w:tc>
        <w:tc>
          <w:tcPr>
            <w:tcW w:w="700" w:type="dxa"/>
            <w:tcBorders>
              <w:top w:val="single" w:sz="4" w:space="0" w:color="ADD6EA"/>
              <w:left w:val="nil"/>
              <w:bottom w:val="nil"/>
              <w:right w:val="nil"/>
            </w:tcBorders>
            <w:shd w:val="clear" w:color="auto" w:fill="auto"/>
            <w:vAlign w:val="center"/>
            <w:hideMark/>
          </w:tcPr>
          <w:p w14:paraId="7991C1DB" w14:textId="57AF3026" w:rsidR="00A56DF0" w:rsidRPr="00567B9B" w:rsidRDefault="00A56DF0"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-27</w:t>
            </w:r>
          </w:p>
        </w:tc>
        <w:tc>
          <w:tcPr>
            <w:tcW w:w="700" w:type="dxa"/>
            <w:tcBorders>
              <w:top w:val="single" w:sz="4" w:space="0" w:color="ADD6EA"/>
              <w:left w:val="nil"/>
              <w:bottom w:val="nil"/>
              <w:right w:val="nil"/>
            </w:tcBorders>
            <w:shd w:val="clear" w:color="auto" w:fill="auto"/>
            <w:vAlign w:val="center"/>
            <w:hideMark/>
          </w:tcPr>
          <w:p w14:paraId="67C6F5CD" w14:textId="34D92891" w:rsidR="00A56DF0" w:rsidRPr="00567B9B" w:rsidRDefault="00A56DF0"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68</w:t>
            </w:r>
          </w:p>
        </w:tc>
        <w:tc>
          <w:tcPr>
            <w:tcW w:w="700" w:type="dxa"/>
            <w:tcBorders>
              <w:top w:val="single" w:sz="4" w:space="0" w:color="ADD6EA"/>
              <w:left w:val="nil"/>
              <w:bottom w:val="nil"/>
              <w:right w:val="nil"/>
            </w:tcBorders>
            <w:shd w:val="clear" w:color="auto" w:fill="auto"/>
            <w:vAlign w:val="center"/>
            <w:hideMark/>
          </w:tcPr>
          <w:p w14:paraId="56D0B46E" w14:textId="3E582C2A" w:rsidR="00A56DF0" w:rsidRPr="00567B9B" w:rsidRDefault="00A56DF0"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-86</w:t>
            </w:r>
          </w:p>
        </w:tc>
        <w:tc>
          <w:tcPr>
            <w:tcW w:w="700" w:type="dxa"/>
            <w:tcBorders>
              <w:top w:val="single" w:sz="4" w:space="0" w:color="ADD6EA"/>
              <w:left w:val="nil"/>
              <w:bottom w:val="nil"/>
              <w:right w:val="nil"/>
            </w:tcBorders>
            <w:shd w:val="clear" w:color="auto" w:fill="auto"/>
            <w:vAlign w:val="center"/>
            <w:hideMark/>
          </w:tcPr>
          <w:p w14:paraId="1FA6BC93" w14:textId="28398DC1" w:rsidR="00A56DF0" w:rsidRPr="00567B9B" w:rsidRDefault="00A56DF0"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309</w:t>
            </w:r>
          </w:p>
        </w:tc>
        <w:tc>
          <w:tcPr>
            <w:tcW w:w="700" w:type="dxa"/>
            <w:tcBorders>
              <w:top w:val="single" w:sz="4" w:space="0" w:color="ADD6EA"/>
              <w:left w:val="nil"/>
              <w:bottom w:val="nil"/>
              <w:right w:val="nil"/>
            </w:tcBorders>
            <w:shd w:val="clear" w:color="auto" w:fill="auto"/>
            <w:vAlign w:val="center"/>
            <w:hideMark/>
          </w:tcPr>
          <w:p w14:paraId="5A9D1A5C" w14:textId="71D36916" w:rsidR="00A56DF0" w:rsidRPr="00567B9B" w:rsidRDefault="00A56DF0"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878</w:t>
            </w:r>
          </w:p>
        </w:tc>
      </w:tr>
      <w:tr w:rsidR="00A56DF0" w:rsidRPr="00567B9B" w14:paraId="5BFBF875" w14:textId="77777777" w:rsidTr="00E11FEC">
        <w:trPr>
          <w:trHeight w:val="315"/>
        </w:trPr>
        <w:tc>
          <w:tcPr>
            <w:tcW w:w="2694" w:type="dxa"/>
            <w:tcBorders>
              <w:top w:val="single" w:sz="4" w:space="0" w:color="ADD6EA"/>
              <w:left w:val="nil"/>
              <w:bottom w:val="nil"/>
              <w:right w:val="nil"/>
            </w:tcBorders>
            <w:shd w:val="clear" w:color="auto" w:fill="auto"/>
            <w:vAlign w:val="center"/>
            <w:hideMark/>
          </w:tcPr>
          <w:p w14:paraId="6F959C1B" w14:textId="77777777" w:rsidR="00A56DF0" w:rsidRPr="00567B9B" w:rsidRDefault="00A56DF0" w:rsidP="00E11FEC">
            <w:pPr>
              <w:tabs>
                <w:tab w:val="clear" w:pos="567"/>
              </w:tabs>
              <w:spacing w:before="0" w:line="240" w:lineRule="auto"/>
              <w:rPr>
                <w:rFonts w:eastAsia="Times New Roman" w:cs="Open Sans Light"/>
                <w:color w:val="000000"/>
                <w:sz w:val="16"/>
                <w:szCs w:val="16"/>
                <w:lang w:eastAsia="en-AU"/>
              </w:rPr>
            </w:pPr>
            <w:r w:rsidRPr="00567B9B">
              <w:rPr>
                <w:rFonts w:cs="Open Sans Light"/>
                <w:color w:val="000000"/>
                <w:sz w:val="16"/>
                <w:szCs w:val="16"/>
              </w:rPr>
              <w:t>Effect of draft method changes</w:t>
            </w:r>
          </w:p>
        </w:tc>
        <w:tc>
          <w:tcPr>
            <w:tcW w:w="606" w:type="dxa"/>
            <w:tcBorders>
              <w:top w:val="single" w:sz="4" w:space="0" w:color="ADD6EA"/>
              <w:left w:val="nil"/>
              <w:bottom w:val="nil"/>
              <w:right w:val="nil"/>
            </w:tcBorders>
            <w:shd w:val="clear" w:color="auto" w:fill="auto"/>
            <w:vAlign w:val="center"/>
            <w:hideMark/>
          </w:tcPr>
          <w:p w14:paraId="59929AB6" w14:textId="23ADF53A" w:rsidR="00A56DF0" w:rsidRPr="00567B9B" w:rsidRDefault="00A56DF0"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w:t>
            </w:r>
          </w:p>
        </w:tc>
        <w:tc>
          <w:tcPr>
            <w:tcW w:w="700" w:type="dxa"/>
            <w:tcBorders>
              <w:top w:val="single" w:sz="4" w:space="0" w:color="ADD6EA"/>
              <w:left w:val="nil"/>
              <w:bottom w:val="nil"/>
              <w:right w:val="nil"/>
            </w:tcBorders>
            <w:shd w:val="clear" w:color="auto" w:fill="auto"/>
            <w:vAlign w:val="center"/>
            <w:hideMark/>
          </w:tcPr>
          <w:p w14:paraId="68462F53" w14:textId="5D4F0559" w:rsidR="00A56DF0" w:rsidRPr="00567B9B" w:rsidRDefault="00A56DF0"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-69</w:t>
            </w:r>
          </w:p>
        </w:tc>
        <w:tc>
          <w:tcPr>
            <w:tcW w:w="700" w:type="dxa"/>
            <w:tcBorders>
              <w:top w:val="single" w:sz="4" w:space="0" w:color="ADD6EA"/>
              <w:left w:val="nil"/>
              <w:bottom w:val="nil"/>
              <w:right w:val="nil"/>
            </w:tcBorders>
            <w:shd w:val="clear" w:color="auto" w:fill="auto"/>
            <w:vAlign w:val="center"/>
            <w:hideMark/>
          </w:tcPr>
          <w:p w14:paraId="679282FA" w14:textId="2AE02D41" w:rsidR="00A56DF0" w:rsidRPr="00567B9B" w:rsidRDefault="00A56DF0"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48</w:t>
            </w:r>
          </w:p>
        </w:tc>
        <w:tc>
          <w:tcPr>
            <w:tcW w:w="700" w:type="dxa"/>
            <w:tcBorders>
              <w:top w:val="single" w:sz="4" w:space="0" w:color="ADD6EA"/>
              <w:left w:val="nil"/>
              <w:bottom w:val="nil"/>
              <w:right w:val="nil"/>
            </w:tcBorders>
            <w:shd w:val="clear" w:color="auto" w:fill="auto"/>
            <w:vAlign w:val="center"/>
            <w:hideMark/>
          </w:tcPr>
          <w:p w14:paraId="7AB7AC60" w14:textId="07E8A71F" w:rsidR="00A56DF0" w:rsidRPr="00567B9B" w:rsidRDefault="00A56DF0"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w:t>
            </w:r>
          </w:p>
        </w:tc>
        <w:tc>
          <w:tcPr>
            <w:tcW w:w="700" w:type="dxa"/>
            <w:tcBorders>
              <w:top w:val="single" w:sz="4" w:space="0" w:color="ADD6EA"/>
              <w:left w:val="nil"/>
              <w:bottom w:val="nil"/>
              <w:right w:val="nil"/>
            </w:tcBorders>
            <w:shd w:val="clear" w:color="auto" w:fill="auto"/>
            <w:vAlign w:val="center"/>
            <w:hideMark/>
          </w:tcPr>
          <w:p w14:paraId="735CCCDE" w14:textId="174DE662" w:rsidR="00A56DF0" w:rsidRPr="00567B9B" w:rsidRDefault="00A56DF0"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-10</w:t>
            </w:r>
          </w:p>
        </w:tc>
        <w:tc>
          <w:tcPr>
            <w:tcW w:w="700" w:type="dxa"/>
            <w:tcBorders>
              <w:top w:val="single" w:sz="4" w:space="0" w:color="ADD6EA"/>
              <w:left w:val="nil"/>
              <w:bottom w:val="nil"/>
              <w:right w:val="nil"/>
            </w:tcBorders>
            <w:shd w:val="clear" w:color="auto" w:fill="auto"/>
            <w:vAlign w:val="center"/>
            <w:hideMark/>
          </w:tcPr>
          <w:p w14:paraId="4A2C535D" w14:textId="710AB723" w:rsidR="00A56DF0" w:rsidRPr="00567B9B" w:rsidRDefault="00A56DF0"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5</w:t>
            </w:r>
          </w:p>
        </w:tc>
        <w:tc>
          <w:tcPr>
            <w:tcW w:w="700" w:type="dxa"/>
            <w:tcBorders>
              <w:top w:val="single" w:sz="4" w:space="0" w:color="ADD6EA"/>
              <w:left w:val="nil"/>
              <w:bottom w:val="nil"/>
              <w:right w:val="nil"/>
            </w:tcBorders>
            <w:shd w:val="clear" w:color="auto" w:fill="auto"/>
            <w:vAlign w:val="center"/>
            <w:hideMark/>
          </w:tcPr>
          <w:p w14:paraId="2186F439" w14:textId="582A8DE5" w:rsidR="00A56DF0" w:rsidRPr="00567B9B" w:rsidRDefault="00A56DF0"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-9</w:t>
            </w:r>
          </w:p>
        </w:tc>
        <w:tc>
          <w:tcPr>
            <w:tcW w:w="700" w:type="dxa"/>
            <w:tcBorders>
              <w:top w:val="single" w:sz="4" w:space="0" w:color="ADD6EA"/>
              <w:left w:val="nil"/>
              <w:bottom w:val="nil"/>
              <w:right w:val="nil"/>
            </w:tcBorders>
            <w:shd w:val="clear" w:color="auto" w:fill="auto"/>
            <w:vAlign w:val="center"/>
            <w:hideMark/>
          </w:tcPr>
          <w:p w14:paraId="5153F597" w14:textId="53A9A658" w:rsidR="00A56DF0" w:rsidRPr="00567B9B" w:rsidRDefault="00A56DF0"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31</w:t>
            </w:r>
          </w:p>
        </w:tc>
        <w:tc>
          <w:tcPr>
            <w:tcW w:w="700" w:type="dxa"/>
            <w:tcBorders>
              <w:top w:val="single" w:sz="4" w:space="0" w:color="ADD6EA"/>
              <w:left w:val="nil"/>
              <w:bottom w:val="nil"/>
              <w:right w:val="nil"/>
            </w:tcBorders>
            <w:shd w:val="clear" w:color="auto" w:fill="auto"/>
            <w:vAlign w:val="center"/>
            <w:hideMark/>
          </w:tcPr>
          <w:p w14:paraId="1D017541" w14:textId="19D27C38" w:rsidR="00A56DF0" w:rsidRPr="00567B9B" w:rsidRDefault="00A56DF0"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88</w:t>
            </w:r>
          </w:p>
        </w:tc>
      </w:tr>
      <w:tr w:rsidR="00063E0E" w:rsidRPr="00567B9B" w14:paraId="4307011C" w14:textId="77777777" w:rsidTr="00E11FEC">
        <w:trPr>
          <w:trHeight w:val="255"/>
        </w:trPr>
        <w:tc>
          <w:tcPr>
            <w:tcW w:w="2694" w:type="dxa"/>
            <w:tcBorders>
              <w:top w:val="single" w:sz="4" w:space="0" w:color="ADD6EA"/>
              <w:left w:val="nil"/>
              <w:bottom w:val="nil"/>
              <w:right w:val="nil"/>
            </w:tcBorders>
            <w:shd w:val="clear" w:color="000000" w:fill="B6D5E4"/>
            <w:vAlign w:val="center"/>
            <w:hideMark/>
          </w:tcPr>
          <w:p w14:paraId="6C778308" w14:textId="77777777" w:rsidR="00063E0E" w:rsidRPr="00567B9B" w:rsidRDefault="00063E0E" w:rsidP="00E11FEC">
            <w:pPr>
              <w:tabs>
                <w:tab w:val="clear" w:pos="567"/>
              </w:tabs>
              <w:spacing w:before="0" w:line="240" w:lineRule="auto"/>
              <w:rPr>
                <w:rFonts w:ascii="Open Sans Semibold" w:eastAsia="Times New Roman" w:hAnsi="Open Sans Semibold" w:cs="Open Sans Semibold"/>
                <w:color w:val="000000"/>
                <w:sz w:val="16"/>
                <w:szCs w:val="16"/>
                <w:lang w:eastAsia="en-AU"/>
              </w:rPr>
            </w:pPr>
            <w:r w:rsidRPr="00567B9B">
              <w:rPr>
                <w:rFonts w:ascii="Open Sans Semibold" w:hAnsi="Open Sans Semibold" w:cs="Open Sans Semibold"/>
                <w:color w:val="000000"/>
                <w:sz w:val="16"/>
                <w:szCs w:val="16"/>
              </w:rPr>
              <w:t> </w:t>
            </w:r>
          </w:p>
        </w:tc>
        <w:tc>
          <w:tcPr>
            <w:tcW w:w="606" w:type="dxa"/>
            <w:tcBorders>
              <w:top w:val="single" w:sz="4" w:space="0" w:color="ADD6EA"/>
              <w:left w:val="nil"/>
              <w:bottom w:val="nil"/>
              <w:right w:val="nil"/>
            </w:tcBorders>
            <w:shd w:val="clear" w:color="000000" w:fill="B6D5E4"/>
            <w:noWrap/>
            <w:vAlign w:val="center"/>
            <w:hideMark/>
          </w:tcPr>
          <w:p w14:paraId="3FEAC4A4" w14:textId="77777777" w:rsidR="00063E0E" w:rsidRPr="00567B9B" w:rsidRDefault="00063E0E" w:rsidP="00E11F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7B9B">
              <w:rPr>
                <w:rFonts w:ascii="Open Sans Semibold" w:hAnsi="Open Sans Semibold" w:cs="Open Sans Semibold"/>
                <w:color w:val="000000"/>
                <w:sz w:val="16"/>
                <w:szCs w:val="16"/>
              </w:rPr>
              <w:t>$pc</w:t>
            </w:r>
          </w:p>
        </w:tc>
        <w:tc>
          <w:tcPr>
            <w:tcW w:w="700" w:type="dxa"/>
            <w:tcBorders>
              <w:top w:val="single" w:sz="4" w:space="0" w:color="ADD6EA"/>
              <w:left w:val="nil"/>
              <w:bottom w:val="nil"/>
              <w:right w:val="nil"/>
            </w:tcBorders>
            <w:shd w:val="clear" w:color="000000" w:fill="B6D5E4"/>
            <w:noWrap/>
            <w:vAlign w:val="center"/>
            <w:hideMark/>
          </w:tcPr>
          <w:p w14:paraId="2C868F70" w14:textId="77777777" w:rsidR="00063E0E" w:rsidRPr="00567B9B" w:rsidRDefault="00063E0E" w:rsidP="00E11F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7B9B">
              <w:rPr>
                <w:rFonts w:ascii="Open Sans Semibold" w:hAnsi="Open Sans Semibold" w:cs="Open Sans Semibold"/>
                <w:color w:val="000000"/>
                <w:sz w:val="16"/>
                <w:szCs w:val="16"/>
              </w:rPr>
              <w:t>$pc</w:t>
            </w:r>
          </w:p>
        </w:tc>
        <w:tc>
          <w:tcPr>
            <w:tcW w:w="700" w:type="dxa"/>
            <w:tcBorders>
              <w:top w:val="single" w:sz="4" w:space="0" w:color="ADD6EA"/>
              <w:left w:val="nil"/>
              <w:bottom w:val="nil"/>
              <w:right w:val="nil"/>
            </w:tcBorders>
            <w:shd w:val="clear" w:color="000000" w:fill="B6D5E4"/>
            <w:noWrap/>
            <w:vAlign w:val="center"/>
            <w:hideMark/>
          </w:tcPr>
          <w:p w14:paraId="41397695" w14:textId="77777777" w:rsidR="00063E0E" w:rsidRPr="00567B9B" w:rsidRDefault="00063E0E" w:rsidP="00E11F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7B9B">
              <w:rPr>
                <w:rFonts w:ascii="Open Sans Semibold" w:hAnsi="Open Sans Semibold" w:cs="Open Sans Semibold"/>
                <w:color w:val="000000"/>
                <w:sz w:val="16"/>
                <w:szCs w:val="16"/>
              </w:rPr>
              <w:t>$pc</w:t>
            </w:r>
          </w:p>
        </w:tc>
        <w:tc>
          <w:tcPr>
            <w:tcW w:w="700" w:type="dxa"/>
            <w:tcBorders>
              <w:top w:val="single" w:sz="4" w:space="0" w:color="ADD6EA"/>
              <w:left w:val="nil"/>
              <w:bottom w:val="nil"/>
              <w:right w:val="nil"/>
            </w:tcBorders>
            <w:shd w:val="clear" w:color="000000" w:fill="B6D5E4"/>
            <w:noWrap/>
            <w:vAlign w:val="center"/>
            <w:hideMark/>
          </w:tcPr>
          <w:p w14:paraId="54870320" w14:textId="77777777" w:rsidR="00063E0E" w:rsidRPr="00567B9B" w:rsidRDefault="00063E0E" w:rsidP="00E11F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7B9B">
              <w:rPr>
                <w:rFonts w:ascii="Open Sans Semibold" w:hAnsi="Open Sans Semibold" w:cs="Open Sans Semibold"/>
                <w:color w:val="000000"/>
                <w:sz w:val="16"/>
                <w:szCs w:val="16"/>
              </w:rPr>
              <w:t>$pc</w:t>
            </w:r>
          </w:p>
        </w:tc>
        <w:tc>
          <w:tcPr>
            <w:tcW w:w="700" w:type="dxa"/>
            <w:tcBorders>
              <w:top w:val="single" w:sz="4" w:space="0" w:color="ADD6EA"/>
              <w:left w:val="nil"/>
              <w:bottom w:val="nil"/>
              <w:right w:val="nil"/>
            </w:tcBorders>
            <w:shd w:val="clear" w:color="000000" w:fill="B6D5E4"/>
            <w:noWrap/>
            <w:vAlign w:val="center"/>
            <w:hideMark/>
          </w:tcPr>
          <w:p w14:paraId="5A8FCA06" w14:textId="77777777" w:rsidR="00063E0E" w:rsidRPr="00567B9B" w:rsidRDefault="00063E0E" w:rsidP="00E11F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7B9B">
              <w:rPr>
                <w:rFonts w:ascii="Open Sans Semibold" w:hAnsi="Open Sans Semibold" w:cs="Open Sans Semibold"/>
                <w:color w:val="000000"/>
                <w:sz w:val="16"/>
                <w:szCs w:val="16"/>
              </w:rPr>
              <w:t>$pc</w:t>
            </w:r>
          </w:p>
        </w:tc>
        <w:tc>
          <w:tcPr>
            <w:tcW w:w="700" w:type="dxa"/>
            <w:tcBorders>
              <w:top w:val="single" w:sz="4" w:space="0" w:color="ADD6EA"/>
              <w:left w:val="nil"/>
              <w:bottom w:val="nil"/>
              <w:right w:val="nil"/>
            </w:tcBorders>
            <w:shd w:val="clear" w:color="000000" w:fill="B6D5E4"/>
            <w:noWrap/>
            <w:vAlign w:val="center"/>
            <w:hideMark/>
          </w:tcPr>
          <w:p w14:paraId="59463B7E" w14:textId="77777777" w:rsidR="00063E0E" w:rsidRPr="00567B9B" w:rsidRDefault="00063E0E" w:rsidP="00E11F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7B9B">
              <w:rPr>
                <w:rFonts w:ascii="Open Sans Semibold" w:hAnsi="Open Sans Semibold" w:cs="Open Sans Semibold"/>
                <w:color w:val="000000"/>
                <w:sz w:val="16"/>
                <w:szCs w:val="16"/>
              </w:rPr>
              <w:t>$pc</w:t>
            </w:r>
          </w:p>
        </w:tc>
        <w:tc>
          <w:tcPr>
            <w:tcW w:w="700" w:type="dxa"/>
            <w:tcBorders>
              <w:top w:val="single" w:sz="4" w:space="0" w:color="ADD6EA"/>
              <w:left w:val="nil"/>
              <w:bottom w:val="nil"/>
              <w:right w:val="nil"/>
            </w:tcBorders>
            <w:shd w:val="clear" w:color="000000" w:fill="B6D5E4"/>
            <w:noWrap/>
            <w:vAlign w:val="center"/>
            <w:hideMark/>
          </w:tcPr>
          <w:p w14:paraId="76653F84" w14:textId="77777777" w:rsidR="00063E0E" w:rsidRPr="00567B9B" w:rsidRDefault="00063E0E" w:rsidP="00E11F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7B9B">
              <w:rPr>
                <w:rFonts w:ascii="Open Sans Semibold" w:hAnsi="Open Sans Semibold" w:cs="Open Sans Semibold"/>
                <w:color w:val="000000"/>
                <w:sz w:val="16"/>
                <w:szCs w:val="16"/>
              </w:rPr>
              <w:t>$pc</w:t>
            </w:r>
          </w:p>
        </w:tc>
        <w:tc>
          <w:tcPr>
            <w:tcW w:w="700" w:type="dxa"/>
            <w:tcBorders>
              <w:top w:val="single" w:sz="4" w:space="0" w:color="ADD6EA"/>
              <w:left w:val="nil"/>
              <w:bottom w:val="nil"/>
              <w:right w:val="nil"/>
            </w:tcBorders>
            <w:shd w:val="clear" w:color="000000" w:fill="B6D5E4"/>
            <w:noWrap/>
            <w:vAlign w:val="center"/>
            <w:hideMark/>
          </w:tcPr>
          <w:p w14:paraId="254296A1" w14:textId="77777777" w:rsidR="00063E0E" w:rsidRPr="00567B9B" w:rsidRDefault="00063E0E" w:rsidP="00E11F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7B9B">
              <w:rPr>
                <w:rFonts w:ascii="Open Sans Semibold" w:hAnsi="Open Sans Semibold" w:cs="Open Sans Semibold"/>
                <w:color w:val="000000"/>
                <w:sz w:val="16"/>
                <w:szCs w:val="16"/>
              </w:rPr>
              <w:t>$pc</w:t>
            </w:r>
          </w:p>
        </w:tc>
        <w:tc>
          <w:tcPr>
            <w:tcW w:w="700" w:type="dxa"/>
            <w:tcBorders>
              <w:top w:val="single" w:sz="4" w:space="0" w:color="ADD6EA"/>
              <w:left w:val="nil"/>
              <w:bottom w:val="nil"/>
              <w:right w:val="nil"/>
            </w:tcBorders>
            <w:shd w:val="clear" w:color="000000" w:fill="B6D5E4"/>
            <w:noWrap/>
            <w:vAlign w:val="center"/>
            <w:hideMark/>
          </w:tcPr>
          <w:p w14:paraId="069952B8" w14:textId="77777777" w:rsidR="00063E0E" w:rsidRPr="00567B9B" w:rsidRDefault="00063E0E" w:rsidP="00E11FEC">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67B9B">
              <w:rPr>
                <w:rFonts w:ascii="Open Sans Semibold" w:hAnsi="Open Sans Semibold" w:cs="Open Sans Semibold"/>
                <w:color w:val="000000"/>
                <w:sz w:val="16"/>
                <w:szCs w:val="16"/>
              </w:rPr>
              <w:t>$pc</w:t>
            </w:r>
          </w:p>
        </w:tc>
      </w:tr>
      <w:tr w:rsidR="00CD2CFA" w:rsidRPr="00567B9B" w14:paraId="773FFC2D" w14:textId="77777777" w:rsidTr="00E11FEC">
        <w:trPr>
          <w:trHeight w:val="315"/>
        </w:trPr>
        <w:tc>
          <w:tcPr>
            <w:tcW w:w="2694" w:type="dxa"/>
            <w:tcBorders>
              <w:top w:val="single" w:sz="4" w:space="0" w:color="ADD6EA"/>
              <w:left w:val="nil"/>
              <w:bottom w:val="nil"/>
              <w:right w:val="nil"/>
            </w:tcBorders>
            <w:shd w:val="clear" w:color="auto" w:fill="auto"/>
            <w:vAlign w:val="center"/>
            <w:hideMark/>
          </w:tcPr>
          <w:p w14:paraId="7EC265B6" w14:textId="77777777" w:rsidR="00CD2CFA" w:rsidRPr="00567B9B" w:rsidRDefault="00CD2CFA" w:rsidP="00E11FEC">
            <w:pPr>
              <w:tabs>
                <w:tab w:val="clear" w:pos="567"/>
              </w:tabs>
              <w:spacing w:before="0" w:line="240" w:lineRule="auto"/>
              <w:rPr>
                <w:rFonts w:eastAsia="Times New Roman" w:cs="Open Sans Light"/>
                <w:color w:val="000000"/>
                <w:sz w:val="16"/>
                <w:szCs w:val="16"/>
                <w:lang w:eastAsia="en-AU"/>
              </w:rPr>
            </w:pPr>
            <w:r w:rsidRPr="00567B9B">
              <w:rPr>
                <w:rFonts w:cs="Open Sans Light"/>
                <w:color w:val="000000"/>
                <w:sz w:val="16"/>
                <w:szCs w:val="16"/>
              </w:rPr>
              <w:t>U2024 using R2020 methods</w:t>
            </w:r>
          </w:p>
        </w:tc>
        <w:tc>
          <w:tcPr>
            <w:tcW w:w="606" w:type="dxa"/>
            <w:tcBorders>
              <w:top w:val="single" w:sz="4" w:space="0" w:color="ADD6EA"/>
              <w:left w:val="nil"/>
              <w:bottom w:val="nil"/>
              <w:right w:val="nil"/>
            </w:tcBorders>
            <w:shd w:val="clear" w:color="auto" w:fill="auto"/>
            <w:vAlign w:val="center"/>
            <w:hideMark/>
          </w:tcPr>
          <w:p w14:paraId="02C4EF75" w14:textId="63576E78" w:rsidR="00CD2CFA" w:rsidRPr="00567B9B" w:rsidRDefault="00CD2CFA"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7</w:t>
            </w:r>
          </w:p>
        </w:tc>
        <w:tc>
          <w:tcPr>
            <w:tcW w:w="700" w:type="dxa"/>
            <w:tcBorders>
              <w:top w:val="single" w:sz="4" w:space="0" w:color="ADD6EA"/>
              <w:left w:val="nil"/>
              <w:bottom w:val="nil"/>
              <w:right w:val="nil"/>
            </w:tcBorders>
            <w:shd w:val="clear" w:color="auto" w:fill="auto"/>
            <w:vAlign w:val="center"/>
            <w:hideMark/>
          </w:tcPr>
          <w:p w14:paraId="58230430" w14:textId="2A67C95B" w:rsidR="00CD2CFA" w:rsidRPr="00567B9B" w:rsidRDefault="00CD2CFA"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-99</w:t>
            </w:r>
          </w:p>
        </w:tc>
        <w:tc>
          <w:tcPr>
            <w:tcW w:w="700" w:type="dxa"/>
            <w:tcBorders>
              <w:top w:val="single" w:sz="4" w:space="0" w:color="ADD6EA"/>
              <w:left w:val="nil"/>
              <w:bottom w:val="nil"/>
              <w:right w:val="nil"/>
            </w:tcBorders>
            <w:shd w:val="clear" w:color="auto" w:fill="auto"/>
            <w:vAlign w:val="center"/>
            <w:hideMark/>
          </w:tcPr>
          <w:p w14:paraId="5264977B" w14:textId="40A2CE0F" w:rsidR="00CD2CFA" w:rsidRPr="00567B9B" w:rsidRDefault="00CD2CFA"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64</w:t>
            </w:r>
          </w:p>
        </w:tc>
        <w:tc>
          <w:tcPr>
            <w:tcW w:w="700" w:type="dxa"/>
            <w:tcBorders>
              <w:top w:val="single" w:sz="4" w:space="0" w:color="ADD6EA"/>
              <w:left w:val="nil"/>
              <w:bottom w:val="nil"/>
              <w:right w:val="nil"/>
            </w:tcBorders>
            <w:shd w:val="clear" w:color="auto" w:fill="auto"/>
            <w:vAlign w:val="center"/>
            <w:hideMark/>
          </w:tcPr>
          <w:p w14:paraId="781425B1" w14:textId="51A0F6A4" w:rsidR="00CD2CFA" w:rsidRPr="00567B9B" w:rsidRDefault="00CD2CFA"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12</w:t>
            </w:r>
          </w:p>
        </w:tc>
        <w:tc>
          <w:tcPr>
            <w:tcW w:w="700" w:type="dxa"/>
            <w:tcBorders>
              <w:top w:val="single" w:sz="4" w:space="0" w:color="ADD6EA"/>
              <w:left w:val="nil"/>
              <w:bottom w:val="nil"/>
              <w:right w:val="nil"/>
            </w:tcBorders>
            <w:shd w:val="clear" w:color="auto" w:fill="auto"/>
            <w:vAlign w:val="center"/>
            <w:hideMark/>
          </w:tcPr>
          <w:p w14:paraId="37F6F99A" w14:textId="7C589FBF" w:rsidR="00CD2CFA" w:rsidRPr="00567B9B" w:rsidRDefault="00CD2CFA"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-9</w:t>
            </w:r>
          </w:p>
        </w:tc>
        <w:tc>
          <w:tcPr>
            <w:tcW w:w="700" w:type="dxa"/>
            <w:tcBorders>
              <w:top w:val="single" w:sz="4" w:space="0" w:color="ADD6EA"/>
              <w:left w:val="nil"/>
              <w:bottom w:val="nil"/>
              <w:right w:val="nil"/>
            </w:tcBorders>
            <w:shd w:val="clear" w:color="auto" w:fill="auto"/>
            <w:vAlign w:val="center"/>
            <w:hideMark/>
          </w:tcPr>
          <w:p w14:paraId="18D25DFE" w14:textId="57A8C308" w:rsidR="00CD2CFA" w:rsidRPr="00567B9B" w:rsidRDefault="00CD2CFA"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107</w:t>
            </w:r>
          </w:p>
        </w:tc>
        <w:tc>
          <w:tcPr>
            <w:tcW w:w="700" w:type="dxa"/>
            <w:tcBorders>
              <w:top w:val="single" w:sz="4" w:space="0" w:color="ADD6EA"/>
              <w:left w:val="nil"/>
              <w:bottom w:val="nil"/>
              <w:right w:val="nil"/>
            </w:tcBorders>
            <w:shd w:val="clear" w:color="auto" w:fill="auto"/>
            <w:vAlign w:val="center"/>
            <w:hideMark/>
          </w:tcPr>
          <w:p w14:paraId="596C92F8" w14:textId="6ECB9950" w:rsidR="00CD2CFA" w:rsidRPr="00567B9B" w:rsidRDefault="00CD2CFA"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-162</w:t>
            </w:r>
          </w:p>
        </w:tc>
        <w:tc>
          <w:tcPr>
            <w:tcW w:w="700" w:type="dxa"/>
            <w:tcBorders>
              <w:top w:val="single" w:sz="4" w:space="0" w:color="ADD6EA"/>
              <w:left w:val="nil"/>
              <w:bottom w:val="nil"/>
              <w:right w:val="nil"/>
            </w:tcBorders>
            <w:shd w:val="clear" w:color="auto" w:fill="auto"/>
            <w:vAlign w:val="center"/>
            <w:hideMark/>
          </w:tcPr>
          <w:p w14:paraId="354F08B0" w14:textId="1C0DABE9" w:rsidR="00CD2CFA" w:rsidRPr="00567B9B" w:rsidRDefault="00CD2CFA"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1,082</w:t>
            </w:r>
          </w:p>
        </w:tc>
        <w:tc>
          <w:tcPr>
            <w:tcW w:w="700" w:type="dxa"/>
            <w:tcBorders>
              <w:top w:val="single" w:sz="4" w:space="0" w:color="ADD6EA"/>
              <w:left w:val="nil"/>
              <w:bottom w:val="single" w:sz="4" w:space="0" w:color="ADD6EA"/>
              <w:right w:val="nil"/>
            </w:tcBorders>
            <w:shd w:val="clear" w:color="auto" w:fill="auto"/>
            <w:vAlign w:val="center"/>
            <w:hideMark/>
          </w:tcPr>
          <w:p w14:paraId="340D248D" w14:textId="4116B110" w:rsidR="00CD2CFA" w:rsidRPr="00567B9B" w:rsidRDefault="00CD2CFA"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29</w:t>
            </w:r>
          </w:p>
        </w:tc>
      </w:tr>
      <w:tr w:rsidR="00CD2CFA" w:rsidRPr="00567B9B" w14:paraId="3DE5E9D1" w14:textId="77777777" w:rsidTr="00E11FEC">
        <w:trPr>
          <w:trHeight w:val="315"/>
        </w:trPr>
        <w:tc>
          <w:tcPr>
            <w:tcW w:w="2694" w:type="dxa"/>
            <w:tcBorders>
              <w:top w:val="single" w:sz="4" w:space="0" w:color="ADD6EA"/>
              <w:left w:val="nil"/>
              <w:bottom w:val="nil"/>
              <w:right w:val="nil"/>
            </w:tcBorders>
            <w:shd w:val="clear" w:color="auto" w:fill="auto"/>
            <w:vAlign w:val="center"/>
            <w:hideMark/>
          </w:tcPr>
          <w:p w14:paraId="6CBA4B12" w14:textId="77777777" w:rsidR="00CD2CFA" w:rsidRPr="00567B9B" w:rsidRDefault="00CD2CFA" w:rsidP="00E11FEC">
            <w:pPr>
              <w:tabs>
                <w:tab w:val="clear" w:pos="567"/>
              </w:tabs>
              <w:spacing w:before="0" w:line="240" w:lineRule="auto"/>
              <w:rPr>
                <w:rFonts w:eastAsia="Times New Roman" w:cs="Open Sans Light"/>
                <w:color w:val="000000"/>
                <w:sz w:val="16"/>
                <w:szCs w:val="16"/>
                <w:lang w:eastAsia="en-AU"/>
              </w:rPr>
            </w:pPr>
            <w:r w:rsidRPr="00567B9B">
              <w:rPr>
                <w:rFonts w:cs="Open Sans Light"/>
                <w:color w:val="000000"/>
                <w:sz w:val="16"/>
                <w:szCs w:val="16"/>
              </w:rPr>
              <w:t>U2024 using draft R2025 methods</w:t>
            </w:r>
          </w:p>
        </w:tc>
        <w:tc>
          <w:tcPr>
            <w:tcW w:w="606" w:type="dxa"/>
            <w:tcBorders>
              <w:top w:val="single" w:sz="4" w:space="0" w:color="ADD6EA"/>
              <w:left w:val="nil"/>
              <w:bottom w:val="nil"/>
              <w:right w:val="nil"/>
            </w:tcBorders>
            <w:shd w:val="clear" w:color="auto" w:fill="auto"/>
            <w:vAlign w:val="center"/>
            <w:hideMark/>
          </w:tcPr>
          <w:p w14:paraId="41DEF424" w14:textId="1B6E2C87" w:rsidR="00CD2CFA" w:rsidRPr="00567B9B" w:rsidRDefault="00CD2CFA"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7</w:t>
            </w:r>
          </w:p>
        </w:tc>
        <w:tc>
          <w:tcPr>
            <w:tcW w:w="700" w:type="dxa"/>
            <w:tcBorders>
              <w:top w:val="single" w:sz="4" w:space="0" w:color="ADD6EA"/>
              <w:left w:val="nil"/>
              <w:bottom w:val="nil"/>
              <w:right w:val="nil"/>
            </w:tcBorders>
            <w:shd w:val="clear" w:color="auto" w:fill="auto"/>
            <w:vAlign w:val="center"/>
            <w:hideMark/>
          </w:tcPr>
          <w:p w14:paraId="2148D3A2" w14:textId="0DD7DCF3" w:rsidR="00CD2CFA" w:rsidRPr="00567B9B" w:rsidRDefault="00CD2CFA"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-109</w:t>
            </w:r>
          </w:p>
        </w:tc>
        <w:tc>
          <w:tcPr>
            <w:tcW w:w="700" w:type="dxa"/>
            <w:tcBorders>
              <w:top w:val="single" w:sz="4" w:space="0" w:color="ADD6EA"/>
              <w:left w:val="nil"/>
              <w:bottom w:val="nil"/>
              <w:right w:val="nil"/>
            </w:tcBorders>
            <w:shd w:val="clear" w:color="auto" w:fill="auto"/>
            <w:vAlign w:val="center"/>
            <w:hideMark/>
          </w:tcPr>
          <w:p w14:paraId="01EBBD6E" w14:textId="2511CFFA" w:rsidR="00CD2CFA" w:rsidRPr="00567B9B" w:rsidRDefault="00CD2CFA"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72</w:t>
            </w:r>
          </w:p>
        </w:tc>
        <w:tc>
          <w:tcPr>
            <w:tcW w:w="700" w:type="dxa"/>
            <w:tcBorders>
              <w:top w:val="single" w:sz="4" w:space="0" w:color="ADD6EA"/>
              <w:left w:val="nil"/>
              <w:bottom w:val="nil"/>
              <w:right w:val="nil"/>
            </w:tcBorders>
            <w:shd w:val="clear" w:color="auto" w:fill="auto"/>
            <w:vAlign w:val="center"/>
            <w:hideMark/>
          </w:tcPr>
          <w:p w14:paraId="4BCED4B1" w14:textId="25CB3FB0" w:rsidR="00CD2CFA" w:rsidRPr="00567B9B" w:rsidRDefault="00CD2CFA"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14</w:t>
            </w:r>
          </w:p>
        </w:tc>
        <w:tc>
          <w:tcPr>
            <w:tcW w:w="700" w:type="dxa"/>
            <w:tcBorders>
              <w:top w:val="single" w:sz="4" w:space="0" w:color="ADD6EA"/>
              <w:left w:val="nil"/>
              <w:bottom w:val="nil"/>
              <w:right w:val="nil"/>
            </w:tcBorders>
            <w:shd w:val="clear" w:color="auto" w:fill="auto"/>
            <w:vAlign w:val="center"/>
            <w:hideMark/>
          </w:tcPr>
          <w:p w14:paraId="58C258D4" w14:textId="05F2103A" w:rsidR="00CD2CFA" w:rsidRPr="00567B9B" w:rsidRDefault="00CD2CFA"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-14</w:t>
            </w:r>
          </w:p>
        </w:tc>
        <w:tc>
          <w:tcPr>
            <w:tcW w:w="700" w:type="dxa"/>
            <w:tcBorders>
              <w:top w:val="single" w:sz="4" w:space="0" w:color="ADD6EA"/>
              <w:left w:val="nil"/>
              <w:bottom w:val="nil"/>
              <w:right w:val="nil"/>
            </w:tcBorders>
            <w:shd w:val="clear" w:color="auto" w:fill="auto"/>
            <w:vAlign w:val="center"/>
            <w:hideMark/>
          </w:tcPr>
          <w:p w14:paraId="32D69548" w14:textId="70C8AE93" w:rsidR="00CD2CFA" w:rsidRPr="00567B9B" w:rsidRDefault="00CD2CFA"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116</w:t>
            </w:r>
          </w:p>
        </w:tc>
        <w:tc>
          <w:tcPr>
            <w:tcW w:w="700" w:type="dxa"/>
            <w:tcBorders>
              <w:top w:val="single" w:sz="4" w:space="0" w:color="ADD6EA"/>
              <w:left w:val="nil"/>
              <w:bottom w:val="nil"/>
              <w:right w:val="nil"/>
            </w:tcBorders>
            <w:shd w:val="clear" w:color="auto" w:fill="auto"/>
            <w:vAlign w:val="center"/>
            <w:hideMark/>
          </w:tcPr>
          <w:p w14:paraId="6D29C3F2" w14:textId="31ECC529" w:rsidR="00CD2CFA" w:rsidRPr="00567B9B" w:rsidRDefault="00CD2CFA"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-180</w:t>
            </w:r>
          </w:p>
        </w:tc>
        <w:tc>
          <w:tcPr>
            <w:tcW w:w="700" w:type="dxa"/>
            <w:tcBorders>
              <w:top w:val="single" w:sz="4" w:space="0" w:color="ADD6EA"/>
              <w:left w:val="nil"/>
              <w:bottom w:val="nil"/>
              <w:right w:val="nil"/>
            </w:tcBorders>
            <w:shd w:val="clear" w:color="auto" w:fill="auto"/>
            <w:vAlign w:val="center"/>
            <w:hideMark/>
          </w:tcPr>
          <w:p w14:paraId="764EFE1E" w14:textId="3A29FE5D" w:rsidR="00CD2CFA" w:rsidRPr="00567B9B" w:rsidRDefault="00CD2CFA"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1,202</w:t>
            </w:r>
          </w:p>
        </w:tc>
        <w:tc>
          <w:tcPr>
            <w:tcW w:w="700" w:type="dxa"/>
            <w:tcBorders>
              <w:top w:val="nil"/>
              <w:left w:val="nil"/>
              <w:bottom w:val="single" w:sz="4" w:space="0" w:color="ADD6EA"/>
              <w:right w:val="nil"/>
            </w:tcBorders>
            <w:shd w:val="clear" w:color="auto" w:fill="auto"/>
            <w:vAlign w:val="center"/>
            <w:hideMark/>
          </w:tcPr>
          <w:p w14:paraId="4F77B19E" w14:textId="1970F31B" w:rsidR="00CD2CFA" w:rsidRPr="00567B9B" w:rsidRDefault="00CD2CFA"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32</w:t>
            </w:r>
          </w:p>
        </w:tc>
      </w:tr>
      <w:tr w:rsidR="00CD2CFA" w:rsidRPr="00567B9B" w14:paraId="0DA9385B" w14:textId="77777777" w:rsidTr="00E11FEC">
        <w:trPr>
          <w:trHeight w:val="315"/>
        </w:trPr>
        <w:tc>
          <w:tcPr>
            <w:tcW w:w="2694" w:type="dxa"/>
            <w:tcBorders>
              <w:top w:val="single" w:sz="4" w:space="0" w:color="ADD6EA"/>
              <w:left w:val="nil"/>
              <w:bottom w:val="single" w:sz="4" w:space="0" w:color="ADD6EA"/>
              <w:right w:val="nil"/>
            </w:tcBorders>
            <w:shd w:val="clear" w:color="auto" w:fill="auto"/>
            <w:vAlign w:val="center"/>
            <w:hideMark/>
          </w:tcPr>
          <w:p w14:paraId="3847D496" w14:textId="77777777" w:rsidR="00CD2CFA" w:rsidRPr="00567B9B" w:rsidRDefault="00CD2CFA" w:rsidP="00E11FEC">
            <w:pPr>
              <w:tabs>
                <w:tab w:val="clear" w:pos="567"/>
              </w:tabs>
              <w:spacing w:before="0" w:line="240" w:lineRule="auto"/>
              <w:rPr>
                <w:rFonts w:eastAsia="Times New Roman" w:cs="Open Sans Light"/>
                <w:color w:val="000000"/>
                <w:sz w:val="16"/>
                <w:szCs w:val="16"/>
                <w:lang w:eastAsia="en-AU"/>
              </w:rPr>
            </w:pPr>
            <w:r w:rsidRPr="00567B9B">
              <w:rPr>
                <w:rFonts w:cs="Open Sans Light"/>
                <w:color w:val="000000"/>
                <w:sz w:val="16"/>
                <w:szCs w:val="16"/>
              </w:rPr>
              <w:t>Effect of draft method changes</w:t>
            </w:r>
          </w:p>
        </w:tc>
        <w:tc>
          <w:tcPr>
            <w:tcW w:w="606" w:type="dxa"/>
            <w:tcBorders>
              <w:top w:val="single" w:sz="4" w:space="0" w:color="ADD6EA"/>
              <w:left w:val="nil"/>
              <w:bottom w:val="single" w:sz="4" w:space="0" w:color="ADD6EA"/>
              <w:right w:val="nil"/>
            </w:tcBorders>
            <w:shd w:val="clear" w:color="auto" w:fill="auto"/>
            <w:vAlign w:val="center"/>
            <w:hideMark/>
          </w:tcPr>
          <w:p w14:paraId="36B35A48" w14:textId="15C839C4" w:rsidR="00CD2CFA" w:rsidRPr="00567B9B" w:rsidRDefault="00CD2CFA"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w:t>
            </w:r>
          </w:p>
        </w:tc>
        <w:tc>
          <w:tcPr>
            <w:tcW w:w="700" w:type="dxa"/>
            <w:tcBorders>
              <w:top w:val="single" w:sz="4" w:space="0" w:color="ADD6EA"/>
              <w:left w:val="nil"/>
              <w:bottom w:val="single" w:sz="4" w:space="0" w:color="ADD6EA"/>
              <w:right w:val="nil"/>
            </w:tcBorders>
            <w:shd w:val="clear" w:color="auto" w:fill="auto"/>
            <w:vAlign w:val="center"/>
            <w:hideMark/>
          </w:tcPr>
          <w:p w14:paraId="199B4331" w14:textId="2B093406" w:rsidR="00CD2CFA" w:rsidRPr="00567B9B" w:rsidRDefault="00CD2CFA"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-10</w:t>
            </w:r>
          </w:p>
        </w:tc>
        <w:tc>
          <w:tcPr>
            <w:tcW w:w="700" w:type="dxa"/>
            <w:tcBorders>
              <w:top w:val="single" w:sz="4" w:space="0" w:color="ADD6EA"/>
              <w:left w:val="nil"/>
              <w:bottom w:val="single" w:sz="4" w:space="0" w:color="ADD6EA"/>
              <w:right w:val="nil"/>
            </w:tcBorders>
            <w:shd w:val="clear" w:color="auto" w:fill="auto"/>
            <w:vAlign w:val="center"/>
            <w:hideMark/>
          </w:tcPr>
          <w:p w14:paraId="746D69C4" w14:textId="57DD0B82" w:rsidR="00CD2CFA" w:rsidRPr="00567B9B" w:rsidRDefault="00CD2CFA"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9</w:t>
            </w:r>
          </w:p>
        </w:tc>
        <w:tc>
          <w:tcPr>
            <w:tcW w:w="700" w:type="dxa"/>
            <w:tcBorders>
              <w:top w:val="single" w:sz="4" w:space="0" w:color="ADD6EA"/>
              <w:left w:val="nil"/>
              <w:bottom w:val="single" w:sz="4" w:space="0" w:color="ADD6EA"/>
              <w:right w:val="nil"/>
            </w:tcBorders>
            <w:shd w:val="clear" w:color="auto" w:fill="auto"/>
            <w:vAlign w:val="center"/>
            <w:hideMark/>
          </w:tcPr>
          <w:p w14:paraId="247F8289" w14:textId="28603C16" w:rsidR="00CD2CFA" w:rsidRPr="00567B9B" w:rsidRDefault="00CD2CFA"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w:t>
            </w:r>
          </w:p>
        </w:tc>
        <w:tc>
          <w:tcPr>
            <w:tcW w:w="700" w:type="dxa"/>
            <w:tcBorders>
              <w:top w:val="single" w:sz="4" w:space="0" w:color="ADD6EA"/>
              <w:left w:val="nil"/>
              <w:bottom w:val="single" w:sz="4" w:space="0" w:color="ADD6EA"/>
              <w:right w:val="nil"/>
            </w:tcBorders>
            <w:shd w:val="clear" w:color="auto" w:fill="auto"/>
            <w:vAlign w:val="center"/>
            <w:hideMark/>
          </w:tcPr>
          <w:p w14:paraId="4ABF7ED6" w14:textId="5735A324" w:rsidR="00CD2CFA" w:rsidRPr="00567B9B" w:rsidRDefault="00CD2CFA"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-6</w:t>
            </w:r>
          </w:p>
        </w:tc>
        <w:tc>
          <w:tcPr>
            <w:tcW w:w="700" w:type="dxa"/>
            <w:tcBorders>
              <w:top w:val="single" w:sz="4" w:space="0" w:color="ADD6EA"/>
              <w:left w:val="nil"/>
              <w:bottom w:val="single" w:sz="4" w:space="0" w:color="ADD6EA"/>
              <w:right w:val="nil"/>
            </w:tcBorders>
            <w:shd w:val="clear" w:color="auto" w:fill="auto"/>
            <w:vAlign w:val="center"/>
            <w:hideMark/>
          </w:tcPr>
          <w:p w14:paraId="2F71B302" w14:textId="547B956C" w:rsidR="00CD2CFA" w:rsidRPr="00567B9B" w:rsidRDefault="00CD2CFA"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9</w:t>
            </w:r>
          </w:p>
        </w:tc>
        <w:tc>
          <w:tcPr>
            <w:tcW w:w="700" w:type="dxa"/>
            <w:tcBorders>
              <w:top w:val="single" w:sz="4" w:space="0" w:color="ADD6EA"/>
              <w:left w:val="nil"/>
              <w:bottom w:val="single" w:sz="4" w:space="0" w:color="ADD6EA"/>
              <w:right w:val="nil"/>
            </w:tcBorders>
            <w:shd w:val="clear" w:color="auto" w:fill="auto"/>
            <w:vAlign w:val="center"/>
            <w:hideMark/>
          </w:tcPr>
          <w:p w14:paraId="37ED1058" w14:textId="03848F5A" w:rsidR="00CD2CFA" w:rsidRPr="00567B9B" w:rsidRDefault="00CD2CFA"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-18</w:t>
            </w:r>
          </w:p>
        </w:tc>
        <w:tc>
          <w:tcPr>
            <w:tcW w:w="700" w:type="dxa"/>
            <w:tcBorders>
              <w:top w:val="single" w:sz="4" w:space="0" w:color="ADD6EA"/>
              <w:left w:val="nil"/>
              <w:bottom w:val="single" w:sz="4" w:space="0" w:color="ADD6EA"/>
              <w:right w:val="nil"/>
            </w:tcBorders>
            <w:shd w:val="clear" w:color="auto" w:fill="auto"/>
            <w:vAlign w:val="center"/>
            <w:hideMark/>
          </w:tcPr>
          <w:p w14:paraId="1C98D7CA" w14:textId="26B4B3CC" w:rsidR="00CD2CFA" w:rsidRPr="00567B9B" w:rsidRDefault="00CD2CFA"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119</w:t>
            </w:r>
          </w:p>
        </w:tc>
        <w:tc>
          <w:tcPr>
            <w:tcW w:w="700" w:type="dxa"/>
            <w:tcBorders>
              <w:top w:val="nil"/>
              <w:left w:val="nil"/>
              <w:bottom w:val="single" w:sz="4" w:space="0" w:color="ADD6EA"/>
              <w:right w:val="nil"/>
            </w:tcBorders>
            <w:shd w:val="clear" w:color="auto" w:fill="auto"/>
            <w:vAlign w:val="center"/>
            <w:hideMark/>
          </w:tcPr>
          <w:p w14:paraId="2E9B0F5D" w14:textId="4439ED73" w:rsidR="00CD2CFA" w:rsidRPr="00567B9B" w:rsidRDefault="00CD2CFA" w:rsidP="00E11FEC">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w:t>
            </w:r>
          </w:p>
        </w:tc>
      </w:tr>
    </w:tbl>
    <w:p w14:paraId="4D5A3EB1" w14:textId="6278BA6E" w:rsidR="00C2606A" w:rsidRPr="00567B9B" w:rsidRDefault="00063E0E" w:rsidP="003D712D">
      <w:pPr>
        <w:pStyle w:val="CGC2025TableNote"/>
        <w:keepLines/>
        <w:tabs>
          <w:tab w:val="clear" w:pos="567"/>
          <w:tab w:val="clear" w:pos="680"/>
          <w:tab w:val="left" w:pos="851"/>
        </w:tabs>
        <w:ind w:left="709" w:hanging="596"/>
      </w:pPr>
      <w:r w:rsidRPr="00567B9B">
        <w:t xml:space="preserve">Note: </w:t>
      </w:r>
      <w:r w:rsidR="003D712D">
        <w:tab/>
      </w:r>
      <w:r w:rsidRPr="00567B9B">
        <w:t>Based on no change to either the wage costs assessment or the measure of socio-economic status. The effect of these changes is shown in the wage costs and socio-economic status chapters.</w:t>
      </w:r>
    </w:p>
    <w:p w14:paraId="2B6CE837" w14:textId="48919B51" w:rsidR="00C2606A" w:rsidRPr="00DC11A5" w:rsidRDefault="00C2606A" w:rsidP="00EA6688">
      <w:pPr>
        <w:pStyle w:val="CGC2025TableNote"/>
        <w:keepLines/>
        <w:ind w:left="518" w:hanging="405"/>
      </w:pPr>
      <w:r>
        <w:tab/>
      </w:r>
      <w:r w:rsidR="003D712D">
        <w:tab/>
      </w:r>
      <w:r w:rsidR="003D712D">
        <w:tab/>
      </w:r>
      <w:r w:rsidR="003D712D">
        <w:tab/>
      </w:r>
      <w:r w:rsidRPr="00DC11A5">
        <w:t>The GST pool and population estimates are equivalent to those used in the 2024 Update.</w:t>
      </w:r>
    </w:p>
    <w:p w14:paraId="38568620" w14:textId="77777777" w:rsidR="00063E0E" w:rsidRPr="00567B9B" w:rsidRDefault="00063E0E" w:rsidP="003D712D">
      <w:pPr>
        <w:pStyle w:val="CGC2025TableNote"/>
        <w:keepLines/>
        <w:tabs>
          <w:tab w:val="clear" w:pos="567"/>
          <w:tab w:val="clear" w:pos="680"/>
          <w:tab w:val="left" w:pos="709"/>
          <w:tab w:val="left" w:pos="993"/>
        </w:tabs>
        <w:ind w:left="709" w:firstLine="14"/>
      </w:pPr>
      <w:r w:rsidRPr="00567B9B">
        <w:t>The data included in the table have not been subject to full quality assurance processes and as such, should be treated as indicative only.</w:t>
      </w:r>
    </w:p>
    <w:p w14:paraId="349DCD12" w14:textId="509E5A95" w:rsidR="00392973" w:rsidRPr="00567B9B" w:rsidRDefault="00392973" w:rsidP="003D712D">
      <w:pPr>
        <w:pStyle w:val="CGC2025TableNote"/>
        <w:keepLines/>
        <w:tabs>
          <w:tab w:val="clear" w:pos="567"/>
          <w:tab w:val="clear" w:pos="680"/>
          <w:tab w:val="left" w:pos="851"/>
          <w:tab w:val="left" w:pos="1134"/>
        </w:tabs>
        <w:ind w:left="709" w:firstLine="14"/>
      </w:pPr>
      <w:r w:rsidRPr="00DC11A5">
        <w:t xml:space="preserve">Indicative GST impacts are provided for illustrative purposes only and should not be used to predict impacts on </w:t>
      </w:r>
      <w:r>
        <w:t xml:space="preserve">the </w:t>
      </w:r>
      <w:r w:rsidRPr="00DC11A5">
        <w:t>GST distribution for 2025</w:t>
      </w:r>
      <w:r>
        <w:t>–</w:t>
      </w:r>
      <w:r w:rsidRPr="00DC11A5">
        <w:t>26.</w:t>
      </w:r>
    </w:p>
    <w:p w14:paraId="4913394A" w14:textId="7E55187F" w:rsidR="00063E0E" w:rsidRPr="00567B9B" w:rsidRDefault="00063E0E" w:rsidP="00063E0E">
      <w:pPr>
        <w:pStyle w:val="CGC2025TableNote"/>
      </w:pPr>
    </w:p>
    <w:p w14:paraId="3FF58CAB" w14:textId="57B18E99" w:rsidR="00B76BEC" w:rsidRPr="00567B9B" w:rsidRDefault="00B76BEC" w:rsidP="00007077">
      <w:pPr>
        <w:pStyle w:val="CGC2025ParaNumbers"/>
      </w:pPr>
      <w:r w:rsidRPr="00567B9B">
        <w:t xml:space="preserve">The proposed changes to the welfare assessment will increase the GST </w:t>
      </w:r>
      <w:r w:rsidR="00C53FF9">
        <w:t>distributed</w:t>
      </w:r>
      <w:r w:rsidR="00C53FF9" w:rsidRPr="00567B9B">
        <w:t xml:space="preserve"> </w:t>
      </w:r>
      <w:r w:rsidR="00C53FF9">
        <w:t>to</w:t>
      </w:r>
      <w:r w:rsidR="00C53FF9" w:rsidRPr="00567B9B">
        <w:t xml:space="preserve"> </w:t>
      </w:r>
      <w:r w:rsidR="00125430" w:rsidRPr="00567B9B">
        <w:t>the</w:t>
      </w:r>
      <w:r w:rsidRPr="00567B9B">
        <w:t xml:space="preserve"> Northern Territory</w:t>
      </w:r>
      <w:r w:rsidR="00593247" w:rsidRPr="00567B9B">
        <w:t xml:space="preserve">, </w:t>
      </w:r>
      <w:proofErr w:type="gramStart"/>
      <w:r w:rsidR="00593247" w:rsidRPr="00567B9B">
        <w:t>Tasmania</w:t>
      </w:r>
      <w:proofErr w:type="gramEnd"/>
      <w:r w:rsidR="00E6741C" w:rsidRPr="00567B9B">
        <w:t xml:space="preserve"> and Queensland</w:t>
      </w:r>
      <w:r w:rsidRPr="00567B9B">
        <w:t>. The largest driver of change is the introduction of a differential socio-demographic assessment of state spending on specialist homelessness services</w:t>
      </w:r>
      <w:r w:rsidR="00B3785D" w:rsidRPr="00567B9B">
        <w:t xml:space="preserve"> (</w:t>
      </w:r>
      <w:r w:rsidR="00525C56">
        <w:t>Table 5</w:t>
      </w:r>
      <w:r w:rsidR="00B3785D" w:rsidRPr="00567B9B">
        <w:t>)</w:t>
      </w:r>
      <w:r w:rsidRPr="00567B9B">
        <w:t>. Under the new method, the</w:t>
      </w:r>
      <w:r w:rsidR="00C53FF9">
        <w:t xml:space="preserve">se states </w:t>
      </w:r>
      <w:r w:rsidR="00AB331E" w:rsidRPr="00567B9B">
        <w:t>are</w:t>
      </w:r>
      <w:r w:rsidRPr="00567B9B">
        <w:t xml:space="preserve"> assessed as having higher spending needs</w:t>
      </w:r>
      <w:r w:rsidR="00B02D5C">
        <w:t xml:space="preserve"> </w:t>
      </w:r>
      <w:r w:rsidRPr="00567B9B">
        <w:t xml:space="preserve">because of the </w:t>
      </w:r>
      <w:r w:rsidR="00B02D5C">
        <w:t>increased</w:t>
      </w:r>
      <w:r w:rsidRPr="00567B9B">
        <w:t xml:space="preserve"> use of homelessness services by First Nations people</w:t>
      </w:r>
      <w:r w:rsidR="001F1C35" w:rsidRPr="00567B9B">
        <w:t>.</w:t>
      </w:r>
    </w:p>
    <w:p w14:paraId="6BE7989B" w14:textId="2F0534D6" w:rsidR="0062474C" w:rsidRPr="00567B9B" w:rsidRDefault="0062474C" w:rsidP="00415692">
      <w:pPr>
        <w:pStyle w:val="CGC2025ParaNumbers"/>
      </w:pPr>
      <w:r w:rsidRPr="00567B9B">
        <w:t xml:space="preserve">The proposed introduction of a specialist homelessness services assessment will </w:t>
      </w:r>
      <w:r w:rsidR="00C7049D">
        <w:t xml:space="preserve">reduce the GST distributed to </w:t>
      </w:r>
      <w:r w:rsidR="00945CFD">
        <w:t>the</w:t>
      </w:r>
      <w:r w:rsidRPr="00567B9B">
        <w:t xml:space="preserve"> ACT</w:t>
      </w:r>
      <w:r w:rsidR="00024043" w:rsidRPr="00567B9B">
        <w:t xml:space="preserve"> and</w:t>
      </w:r>
      <w:r w:rsidRPr="00567B9B">
        <w:t xml:space="preserve"> Victoria. For these states, the reduction in GST is because of the</w:t>
      </w:r>
      <w:r w:rsidR="00417494" w:rsidRPr="00567B9B">
        <w:t>ir</w:t>
      </w:r>
      <w:r w:rsidRPr="00567B9B">
        <w:t xml:space="preserve"> small First Nations populatio</w:t>
      </w:r>
      <w:r w:rsidR="00417494" w:rsidRPr="00567B9B">
        <w:t>ns</w:t>
      </w:r>
      <w:r w:rsidRPr="00567B9B">
        <w:t xml:space="preserve"> </w:t>
      </w:r>
      <w:r w:rsidR="00A52E9D" w:rsidRPr="00567B9B">
        <w:t>and</w:t>
      </w:r>
      <w:r w:rsidRPr="00567B9B">
        <w:t xml:space="preserve"> the </w:t>
      </w:r>
      <w:r w:rsidR="0062672E" w:rsidRPr="00567B9B">
        <w:t xml:space="preserve">relatively </w:t>
      </w:r>
      <w:r w:rsidRPr="00567B9B">
        <w:t>high</w:t>
      </w:r>
      <w:r w:rsidR="0062672E" w:rsidRPr="00567B9B">
        <w:t>er</w:t>
      </w:r>
      <w:r w:rsidRPr="00567B9B">
        <w:t xml:space="preserve"> socio-economic status of </w:t>
      </w:r>
      <w:r w:rsidR="007A7297" w:rsidRPr="00567B9B">
        <w:t>their</w:t>
      </w:r>
      <w:r w:rsidRPr="00567B9B">
        <w:t xml:space="preserve"> populations.</w:t>
      </w:r>
    </w:p>
    <w:p w14:paraId="5451E11B" w14:textId="77777777" w:rsidR="00F043D0" w:rsidRDefault="00F043D0">
      <w:pPr>
        <w:tabs>
          <w:tab w:val="clear" w:pos="567"/>
        </w:tabs>
        <w:spacing w:before="0" w:after="200" w:line="276" w:lineRule="auto"/>
        <w:rPr>
          <w:rFonts w:ascii="Work Sans" w:hAnsi="Work Sans"/>
          <w:b/>
        </w:rPr>
      </w:pPr>
      <w:bookmarkStart w:id="28" w:name="_Ref167791421"/>
      <w:r>
        <w:br w:type="page"/>
      </w:r>
    </w:p>
    <w:p w14:paraId="5955924F" w14:textId="07B8B705" w:rsidR="00623FD4" w:rsidRPr="00567B9B" w:rsidRDefault="00623FD4" w:rsidP="00312111">
      <w:pPr>
        <w:pStyle w:val="CGC2025Caption"/>
        <w:ind w:left="1134" w:hanging="1134"/>
      </w:pPr>
      <w:r w:rsidRPr="00567B9B">
        <w:lastRenderedPageBreak/>
        <w:t xml:space="preserve">Table </w:t>
      </w:r>
      <w:fldSimple w:instr=" SEQ Table \* ARABIC ">
        <w:r w:rsidR="00E61CEB">
          <w:rPr>
            <w:noProof/>
          </w:rPr>
          <w:t>5</w:t>
        </w:r>
      </w:fldSimple>
      <w:bookmarkEnd w:id="28"/>
      <w:r w:rsidRPr="00567B9B">
        <w:tab/>
      </w:r>
      <w:r w:rsidR="00BF635B" w:rsidRPr="00C816F1">
        <w:rPr>
          <w:lang w:eastAsia="en-AU"/>
        </w:rPr>
        <w:t xml:space="preserve">Indicative </w:t>
      </w:r>
      <w:r w:rsidR="00BF635B" w:rsidRPr="00C816F1">
        <w:t>impact</w:t>
      </w:r>
      <w:r w:rsidR="00BF635B" w:rsidRPr="00C816F1">
        <w:rPr>
          <w:lang w:eastAsia="en-AU"/>
        </w:rPr>
        <w:t xml:space="preserve"> on GST distribution</w:t>
      </w:r>
      <w:r w:rsidR="00312111">
        <w:rPr>
          <w:lang w:eastAsia="en-AU"/>
        </w:rPr>
        <w:t xml:space="preserve"> of proposed method changes</w:t>
      </w:r>
      <w:r w:rsidR="00BF635B" w:rsidRPr="00BF635B">
        <w:t xml:space="preserve"> (disaggregated), </w:t>
      </w:r>
      <w:r w:rsidR="00AD073C" w:rsidRPr="00BF635B">
        <w:t>2024–25</w:t>
      </w:r>
    </w:p>
    <w:tbl>
      <w:tblPr>
        <w:tblW w:w="8942" w:type="dxa"/>
        <w:tblCellMar>
          <w:left w:w="0" w:type="dxa"/>
          <w:right w:w="0" w:type="dxa"/>
        </w:tblCellMar>
        <w:tblLook w:val="04A0" w:firstRow="1" w:lastRow="0" w:firstColumn="1" w:lastColumn="0" w:noHBand="0" w:noVBand="1"/>
      </w:tblPr>
      <w:tblGrid>
        <w:gridCol w:w="3530"/>
        <w:gridCol w:w="602"/>
        <w:gridCol w:w="602"/>
        <w:gridCol w:w="602"/>
        <w:gridCol w:w="601"/>
        <w:gridCol w:w="601"/>
        <w:gridCol w:w="601"/>
        <w:gridCol w:w="601"/>
        <w:gridCol w:w="601"/>
        <w:gridCol w:w="601"/>
      </w:tblGrid>
      <w:tr w:rsidR="00EC01F3" w14:paraId="17A66188" w14:textId="77777777" w:rsidTr="00E11FEC">
        <w:trPr>
          <w:trHeight w:val="552"/>
        </w:trPr>
        <w:tc>
          <w:tcPr>
            <w:tcW w:w="556" w:type="dxa"/>
            <w:tcBorders>
              <w:top w:val="nil"/>
              <w:left w:val="nil"/>
              <w:bottom w:val="nil"/>
              <w:right w:val="nil"/>
            </w:tcBorders>
            <w:shd w:val="clear" w:color="000000" w:fill="006991"/>
            <w:tcMar>
              <w:top w:w="15" w:type="dxa"/>
              <w:left w:w="15" w:type="dxa"/>
              <w:bottom w:w="0" w:type="dxa"/>
              <w:right w:w="15" w:type="dxa"/>
            </w:tcMar>
            <w:vAlign w:val="center"/>
            <w:hideMark/>
          </w:tcPr>
          <w:p w14:paraId="0B95C6C2" w14:textId="77777777" w:rsidR="00EC01F3" w:rsidRDefault="00EC01F3">
            <w:pPr>
              <w:tabs>
                <w:tab w:val="clear" w:pos="567"/>
              </w:tabs>
              <w:spacing w:before="0" w:line="240" w:lineRule="auto"/>
              <w:rPr>
                <w:rFonts w:ascii="Open Sans Semibold" w:hAnsi="Open Sans Semibold" w:cs="Open Sans Semibold"/>
                <w:color w:val="FFFFFF"/>
                <w:sz w:val="16"/>
                <w:szCs w:val="16"/>
              </w:rPr>
            </w:pPr>
            <w:r>
              <w:rPr>
                <w:rFonts w:ascii="Open Sans Semibold" w:hAnsi="Open Sans Semibold" w:cs="Open Sans Semibold"/>
                <w:color w:val="FFFFFF"/>
                <w:sz w:val="16"/>
                <w:szCs w:val="16"/>
              </w:rPr>
              <w:t> </w:t>
            </w:r>
          </w:p>
        </w:tc>
        <w:tc>
          <w:tcPr>
            <w:tcW w:w="600" w:type="dxa"/>
            <w:tcBorders>
              <w:top w:val="nil"/>
              <w:left w:val="nil"/>
              <w:bottom w:val="nil"/>
              <w:right w:val="nil"/>
            </w:tcBorders>
            <w:shd w:val="clear" w:color="000000" w:fill="006991"/>
            <w:tcMar>
              <w:top w:w="15" w:type="dxa"/>
              <w:left w:w="15" w:type="dxa"/>
              <w:bottom w:w="0" w:type="dxa"/>
              <w:right w:w="15" w:type="dxa"/>
            </w:tcMar>
            <w:vAlign w:val="center"/>
            <w:hideMark/>
          </w:tcPr>
          <w:p w14:paraId="0BF6AE69" w14:textId="77777777" w:rsidR="00EC01F3" w:rsidRDefault="00EC01F3" w:rsidP="00E11FEC">
            <w:pPr>
              <w:jc w:val="right"/>
              <w:rPr>
                <w:rFonts w:ascii="Open Sans Semibold" w:hAnsi="Open Sans Semibold" w:cs="Open Sans Semibold"/>
                <w:color w:val="FFFFFF"/>
                <w:sz w:val="16"/>
                <w:szCs w:val="16"/>
              </w:rPr>
            </w:pPr>
            <w:r>
              <w:rPr>
                <w:rFonts w:ascii="Open Sans Semibold" w:hAnsi="Open Sans Semibold" w:cs="Open Sans Semibold"/>
                <w:color w:val="FFFFFF"/>
                <w:sz w:val="16"/>
                <w:szCs w:val="16"/>
              </w:rPr>
              <w:t>NSW</w:t>
            </w:r>
          </w:p>
        </w:tc>
        <w:tc>
          <w:tcPr>
            <w:tcW w:w="600" w:type="dxa"/>
            <w:tcBorders>
              <w:top w:val="nil"/>
              <w:left w:val="nil"/>
              <w:bottom w:val="nil"/>
              <w:right w:val="nil"/>
            </w:tcBorders>
            <w:shd w:val="clear" w:color="000000" w:fill="006991"/>
            <w:tcMar>
              <w:top w:w="15" w:type="dxa"/>
              <w:left w:w="15" w:type="dxa"/>
              <w:bottom w:w="0" w:type="dxa"/>
              <w:right w:w="15" w:type="dxa"/>
            </w:tcMar>
            <w:vAlign w:val="center"/>
            <w:hideMark/>
          </w:tcPr>
          <w:p w14:paraId="118DB2E3" w14:textId="77777777" w:rsidR="00EC01F3" w:rsidRDefault="00EC01F3" w:rsidP="00E11FEC">
            <w:pPr>
              <w:jc w:val="right"/>
              <w:rPr>
                <w:rFonts w:ascii="Open Sans Semibold" w:hAnsi="Open Sans Semibold" w:cs="Open Sans Semibold"/>
                <w:color w:val="FFFFFF"/>
                <w:sz w:val="16"/>
                <w:szCs w:val="16"/>
              </w:rPr>
            </w:pPr>
            <w:r>
              <w:rPr>
                <w:rFonts w:ascii="Open Sans Semibold" w:hAnsi="Open Sans Semibold" w:cs="Open Sans Semibold"/>
                <w:color w:val="FFFFFF"/>
                <w:sz w:val="16"/>
                <w:szCs w:val="16"/>
              </w:rPr>
              <w:t>Vic</w:t>
            </w:r>
          </w:p>
        </w:tc>
        <w:tc>
          <w:tcPr>
            <w:tcW w:w="600" w:type="dxa"/>
            <w:tcBorders>
              <w:top w:val="nil"/>
              <w:left w:val="nil"/>
              <w:bottom w:val="nil"/>
              <w:right w:val="nil"/>
            </w:tcBorders>
            <w:shd w:val="clear" w:color="000000" w:fill="006991"/>
            <w:tcMar>
              <w:top w:w="15" w:type="dxa"/>
              <w:left w:w="15" w:type="dxa"/>
              <w:bottom w:w="0" w:type="dxa"/>
              <w:right w:w="15" w:type="dxa"/>
            </w:tcMar>
            <w:vAlign w:val="center"/>
            <w:hideMark/>
          </w:tcPr>
          <w:p w14:paraId="04145F8C" w14:textId="77777777" w:rsidR="00EC01F3" w:rsidRDefault="00EC01F3" w:rsidP="00E11FEC">
            <w:pPr>
              <w:jc w:val="right"/>
              <w:rPr>
                <w:rFonts w:ascii="Open Sans Semibold" w:hAnsi="Open Sans Semibold" w:cs="Open Sans Semibold"/>
                <w:color w:val="FFFFFF"/>
                <w:sz w:val="16"/>
                <w:szCs w:val="16"/>
              </w:rPr>
            </w:pPr>
            <w:r>
              <w:rPr>
                <w:rFonts w:ascii="Open Sans Semibold" w:hAnsi="Open Sans Semibold" w:cs="Open Sans Semibold"/>
                <w:color w:val="FFFFFF"/>
                <w:sz w:val="16"/>
                <w:szCs w:val="16"/>
              </w:rPr>
              <w:t>Qld</w:t>
            </w:r>
          </w:p>
        </w:tc>
        <w:tc>
          <w:tcPr>
            <w:tcW w:w="600" w:type="dxa"/>
            <w:tcBorders>
              <w:top w:val="nil"/>
              <w:left w:val="nil"/>
              <w:bottom w:val="nil"/>
              <w:right w:val="nil"/>
            </w:tcBorders>
            <w:shd w:val="clear" w:color="000000" w:fill="006991"/>
            <w:tcMar>
              <w:top w:w="15" w:type="dxa"/>
              <w:left w:w="15" w:type="dxa"/>
              <w:bottom w:w="0" w:type="dxa"/>
              <w:right w:w="15" w:type="dxa"/>
            </w:tcMar>
            <w:vAlign w:val="center"/>
            <w:hideMark/>
          </w:tcPr>
          <w:p w14:paraId="1CA2305D" w14:textId="77777777" w:rsidR="00EC01F3" w:rsidRDefault="00EC01F3" w:rsidP="00E11FEC">
            <w:pPr>
              <w:jc w:val="right"/>
              <w:rPr>
                <w:rFonts w:ascii="Open Sans Semibold" w:hAnsi="Open Sans Semibold" w:cs="Open Sans Semibold"/>
                <w:color w:val="FFFFFF"/>
                <w:sz w:val="16"/>
                <w:szCs w:val="16"/>
              </w:rPr>
            </w:pPr>
            <w:r>
              <w:rPr>
                <w:rFonts w:ascii="Open Sans Semibold" w:hAnsi="Open Sans Semibold" w:cs="Open Sans Semibold"/>
                <w:color w:val="FFFFFF"/>
                <w:sz w:val="16"/>
                <w:szCs w:val="16"/>
              </w:rPr>
              <w:t>WA</w:t>
            </w:r>
          </w:p>
        </w:tc>
        <w:tc>
          <w:tcPr>
            <w:tcW w:w="600" w:type="dxa"/>
            <w:tcBorders>
              <w:top w:val="nil"/>
              <w:left w:val="nil"/>
              <w:bottom w:val="nil"/>
              <w:right w:val="nil"/>
            </w:tcBorders>
            <w:shd w:val="clear" w:color="000000" w:fill="006991"/>
            <w:tcMar>
              <w:top w:w="15" w:type="dxa"/>
              <w:left w:w="15" w:type="dxa"/>
              <w:bottom w:w="0" w:type="dxa"/>
              <w:right w:w="15" w:type="dxa"/>
            </w:tcMar>
            <w:vAlign w:val="center"/>
            <w:hideMark/>
          </w:tcPr>
          <w:p w14:paraId="15262399" w14:textId="77777777" w:rsidR="00EC01F3" w:rsidRDefault="00EC01F3" w:rsidP="00E11FEC">
            <w:pPr>
              <w:jc w:val="right"/>
              <w:rPr>
                <w:rFonts w:ascii="Open Sans Semibold" w:hAnsi="Open Sans Semibold" w:cs="Open Sans Semibold"/>
                <w:color w:val="FFFFFF"/>
                <w:sz w:val="16"/>
                <w:szCs w:val="16"/>
              </w:rPr>
            </w:pPr>
            <w:r>
              <w:rPr>
                <w:rFonts w:ascii="Open Sans Semibold" w:hAnsi="Open Sans Semibold" w:cs="Open Sans Semibold"/>
                <w:color w:val="FFFFFF"/>
                <w:sz w:val="16"/>
                <w:szCs w:val="16"/>
              </w:rPr>
              <w:t>SA</w:t>
            </w:r>
          </w:p>
        </w:tc>
        <w:tc>
          <w:tcPr>
            <w:tcW w:w="600" w:type="dxa"/>
            <w:tcBorders>
              <w:top w:val="nil"/>
              <w:left w:val="nil"/>
              <w:bottom w:val="nil"/>
              <w:right w:val="nil"/>
            </w:tcBorders>
            <w:shd w:val="clear" w:color="000000" w:fill="006991"/>
            <w:tcMar>
              <w:top w:w="15" w:type="dxa"/>
              <w:left w:w="15" w:type="dxa"/>
              <w:bottom w:w="0" w:type="dxa"/>
              <w:right w:w="15" w:type="dxa"/>
            </w:tcMar>
            <w:vAlign w:val="center"/>
            <w:hideMark/>
          </w:tcPr>
          <w:p w14:paraId="733066D1" w14:textId="77777777" w:rsidR="00EC01F3" w:rsidRDefault="00EC01F3" w:rsidP="00E11FEC">
            <w:pPr>
              <w:jc w:val="right"/>
              <w:rPr>
                <w:rFonts w:ascii="Open Sans Semibold" w:hAnsi="Open Sans Semibold" w:cs="Open Sans Semibold"/>
                <w:color w:val="FFFFFF"/>
                <w:sz w:val="16"/>
                <w:szCs w:val="16"/>
              </w:rPr>
            </w:pPr>
            <w:r>
              <w:rPr>
                <w:rFonts w:ascii="Open Sans Semibold" w:hAnsi="Open Sans Semibold" w:cs="Open Sans Semibold"/>
                <w:color w:val="FFFFFF"/>
                <w:sz w:val="16"/>
                <w:szCs w:val="16"/>
              </w:rPr>
              <w:t>Tas</w:t>
            </w:r>
          </w:p>
        </w:tc>
        <w:tc>
          <w:tcPr>
            <w:tcW w:w="600" w:type="dxa"/>
            <w:tcBorders>
              <w:top w:val="nil"/>
              <w:left w:val="nil"/>
              <w:bottom w:val="nil"/>
              <w:right w:val="nil"/>
            </w:tcBorders>
            <w:shd w:val="clear" w:color="000000" w:fill="006991"/>
            <w:tcMar>
              <w:top w:w="15" w:type="dxa"/>
              <w:left w:w="15" w:type="dxa"/>
              <w:bottom w:w="0" w:type="dxa"/>
              <w:right w:w="15" w:type="dxa"/>
            </w:tcMar>
            <w:vAlign w:val="center"/>
            <w:hideMark/>
          </w:tcPr>
          <w:p w14:paraId="22E54FA5" w14:textId="77777777" w:rsidR="00EC01F3" w:rsidRDefault="00EC01F3" w:rsidP="00E11FEC">
            <w:pPr>
              <w:jc w:val="right"/>
              <w:rPr>
                <w:rFonts w:ascii="Open Sans Semibold" w:hAnsi="Open Sans Semibold" w:cs="Open Sans Semibold"/>
                <w:color w:val="FFFFFF"/>
                <w:sz w:val="16"/>
                <w:szCs w:val="16"/>
              </w:rPr>
            </w:pPr>
            <w:r>
              <w:rPr>
                <w:rFonts w:ascii="Open Sans Semibold" w:hAnsi="Open Sans Semibold" w:cs="Open Sans Semibold"/>
                <w:color w:val="FFFFFF"/>
                <w:sz w:val="16"/>
                <w:szCs w:val="16"/>
              </w:rPr>
              <w:t>ACT</w:t>
            </w:r>
          </w:p>
        </w:tc>
        <w:tc>
          <w:tcPr>
            <w:tcW w:w="600" w:type="dxa"/>
            <w:tcBorders>
              <w:top w:val="nil"/>
              <w:left w:val="nil"/>
              <w:bottom w:val="nil"/>
              <w:right w:val="nil"/>
            </w:tcBorders>
            <w:shd w:val="clear" w:color="000000" w:fill="006991"/>
            <w:tcMar>
              <w:top w:w="15" w:type="dxa"/>
              <w:left w:w="15" w:type="dxa"/>
              <w:bottom w:w="0" w:type="dxa"/>
              <w:right w:w="15" w:type="dxa"/>
            </w:tcMar>
            <w:vAlign w:val="center"/>
            <w:hideMark/>
          </w:tcPr>
          <w:p w14:paraId="522D4030" w14:textId="77777777" w:rsidR="00EC01F3" w:rsidRDefault="00EC01F3" w:rsidP="00E11FEC">
            <w:pPr>
              <w:jc w:val="right"/>
              <w:rPr>
                <w:rFonts w:ascii="Open Sans Semibold" w:hAnsi="Open Sans Semibold" w:cs="Open Sans Semibold"/>
                <w:color w:val="FFFFFF"/>
                <w:sz w:val="16"/>
                <w:szCs w:val="16"/>
              </w:rPr>
            </w:pPr>
            <w:r>
              <w:rPr>
                <w:rFonts w:ascii="Open Sans Semibold" w:hAnsi="Open Sans Semibold" w:cs="Open Sans Semibold"/>
                <w:color w:val="FFFFFF"/>
                <w:sz w:val="16"/>
                <w:szCs w:val="16"/>
              </w:rPr>
              <w:t>NT</w:t>
            </w:r>
          </w:p>
        </w:tc>
        <w:tc>
          <w:tcPr>
            <w:tcW w:w="600" w:type="dxa"/>
            <w:tcBorders>
              <w:top w:val="nil"/>
              <w:left w:val="nil"/>
              <w:bottom w:val="nil"/>
              <w:right w:val="nil"/>
            </w:tcBorders>
            <w:shd w:val="clear" w:color="000000" w:fill="006991"/>
            <w:tcMar>
              <w:top w:w="15" w:type="dxa"/>
              <w:left w:w="15" w:type="dxa"/>
              <w:bottom w:w="0" w:type="dxa"/>
              <w:right w:w="15" w:type="dxa"/>
            </w:tcMar>
            <w:vAlign w:val="center"/>
            <w:hideMark/>
          </w:tcPr>
          <w:p w14:paraId="2D0443B6" w14:textId="77777777" w:rsidR="00EC01F3" w:rsidRDefault="00EC01F3" w:rsidP="00E11FEC">
            <w:pPr>
              <w:jc w:val="right"/>
              <w:rPr>
                <w:rFonts w:ascii="Open Sans Semibold" w:hAnsi="Open Sans Semibold" w:cs="Open Sans Semibold"/>
                <w:color w:val="FFFFFF"/>
                <w:sz w:val="16"/>
                <w:szCs w:val="16"/>
              </w:rPr>
            </w:pPr>
            <w:r>
              <w:rPr>
                <w:rFonts w:ascii="Open Sans Semibold" w:hAnsi="Open Sans Semibold" w:cs="Open Sans Semibold"/>
                <w:color w:val="FFFFFF"/>
                <w:sz w:val="16"/>
                <w:szCs w:val="16"/>
              </w:rPr>
              <w:t>Total Effect</w:t>
            </w:r>
          </w:p>
        </w:tc>
      </w:tr>
      <w:tr w:rsidR="00EC01F3" w14:paraId="72C08B05" w14:textId="77777777" w:rsidTr="00E11FEC">
        <w:trPr>
          <w:trHeight w:val="255"/>
        </w:trPr>
        <w:tc>
          <w:tcPr>
            <w:tcW w:w="3520" w:type="dxa"/>
            <w:tcBorders>
              <w:top w:val="single" w:sz="4" w:space="0" w:color="ADD6EA"/>
              <w:left w:val="nil"/>
              <w:bottom w:val="nil"/>
              <w:right w:val="nil"/>
            </w:tcBorders>
            <w:shd w:val="clear" w:color="000000" w:fill="B6D5E4"/>
            <w:tcMar>
              <w:top w:w="15" w:type="dxa"/>
              <w:left w:w="15" w:type="dxa"/>
              <w:bottom w:w="0" w:type="dxa"/>
              <w:right w:w="15" w:type="dxa"/>
            </w:tcMar>
            <w:vAlign w:val="bottom"/>
            <w:hideMark/>
          </w:tcPr>
          <w:p w14:paraId="64F84BA9" w14:textId="77777777" w:rsidR="00EC01F3" w:rsidRDefault="00EC01F3">
            <w:pPr>
              <w:rPr>
                <w:rFonts w:ascii="Open Sans Semibold" w:hAnsi="Open Sans Semibold" w:cs="Open Sans Semibold"/>
                <w:color w:val="000000"/>
                <w:sz w:val="16"/>
                <w:szCs w:val="16"/>
              </w:rPr>
            </w:pPr>
            <w:r>
              <w:rPr>
                <w:rFonts w:ascii="Open Sans Semibold" w:hAnsi="Open Sans Semibold" w:cs="Open Sans Semibold"/>
                <w:color w:val="000000"/>
                <w:sz w:val="16"/>
                <w:szCs w:val="16"/>
              </w:rPr>
              <w:t> </w:t>
            </w:r>
          </w:p>
        </w:tc>
        <w:tc>
          <w:tcPr>
            <w:tcW w:w="600" w:type="dxa"/>
            <w:tcBorders>
              <w:top w:val="single" w:sz="4" w:space="0" w:color="ADD6EA"/>
              <w:left w:val="nil"/>
              <w:bottom w:val="nil"/>
              <w:right w:val="nil"/>
            </w:tcBorders>
            <w:shd w:val="clear" w:color="000000" w:fill="B6D5E4"/>
            <w:tcMar>
              <w:top w:w="15" w:type="dxa"/>
              <w:left w:w="15" w:type="dxa"/>
              <w:bottom w:w="0" w:type="dxa"/>
              <w:right w:w="15" w:type="dxa"/>
            </w:tcMar>
            <w:vAlign w:val="center"/>
            <w:hideMark/>
          </w:tcPr>
          <w:p w14:paraId="247B8782"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$m</w:t>
            </w:r>
          </w:p>
        </w:tc>
        <w:tc>
          <w:tcPr>
            <w:tcW w:w="600" w:type="dxa"/>
            <w:tcBorders>
              <w:top w:val="single" w:sz="4" w:space="0" w:color="ADD6EA"/>
              <w:left w:val="nil"/>
              <w:bottom w:val="nil"/>
              <w:right w:val="nil"/>
            </w:tcBorders>
            <w:shd w:val="clear" w:color="000000" w:fill="B6D5E4"/>
            <w:tcMar>
              <w:top w:w="15" w:type="dxa"/>
              <w:left w:w="15" w:type="dxa"/>
              <w:bottom w:w="0" w:type="dxa"/>
              <w:right w:w="15" w:type="dxa"/>
            </w:tcMar>
            <w:vAlign w:val="center"/>
            <w:hideMark/>
          </w:tcPr>
          <w:p w14:paraId="320A5C65"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$m</w:t>
            </w:r>
          </w:p>
        </w:tc>
        <w:tc>
          <w:tcPr>
            <w:tcW w:w="600" w:type="dxa"/>
            <w:tcBorders>
              <w:top w:val="single" w:sz="4" w:space="0" w:color="ADD6EA"/>
              <w:left w:val="nil"/>
              <w:bottom w:val="nil"/>
              <w:right w:val="nil"/>
            </w:tcBorders>
            <w:shd w:val="clear" w:color="000000" w:fill="B6D5E4"/>
            <w:tcMar>
              <w:top w:w="15" w:type="dxa"/>
              <w:left w:w="15" w:type="dxa"/>
              <w:bottom w:w="0" w:type="dxa"/>
              <w:right w:w="15" w:type="dxa"/>
            </w:tcMar>
            <w:vAlign w:val="center"/>
            <w:hideMark/>
          </w:tcPr>
          <w:p w14:paraId="5287642F"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$m</w:t>
            </w:r>
          </w:p>
        </w:tc>
        <w:tc>
          <w:tcPr>
            <w:tcW w:w="600" w:type="dxa"/>
            <w:tcBorders>
              <w:top w:val="single" w:sz="4" w:space="0" w:color="ADD6EA"/>
              <w:left w:val="nil"/>
              <w:bottom w:val="nil"/>
              <w:right w:val="nil"/>
            </w:tcBorders>
            <w:shd w:val="clear" w:color="000000" w:fill="B6D5E4"/>
            <w:tcMar>
              <w:top w:w="15" w:type="dxa"/>
              <w:left w:w="15" w:type="dxa"/>
              <w:bottom w:w="0" w:type="dxa"/>
              <w:right w:w="15" w:type="dxa"/>
            </w:tcMar>
            <w:vAlign w:val="center"/>
            <w:hideMark/>
          </w:tcPr>
          <w:p w14:paraId="2F1B4295"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$m</w:t>
            </w:r>
          </w:p>
        </w:tc>
        <w:tc>
          <w:tcPr>
            <w:tcW w:w="600" w:type="dxa"/>
            <w:tcBorders>
              <w:top w:val="single" w:sz="4" w:space="0" w:color="ADD6EA"/>
              <w:left w:val="nil"/>
              <w:bottom w:val="nil"/>
              <w:right w:val="nil"/>
            </w:tcBorders>
            <w:shd w:val="clear" w:color="000000" w:fill="B6D5E4"/>
            <w:tcMar>
              <w:top w:w="15" w:type="dxa"/>
              <w:left w:w="15" w:type="dxa"/>
              <w:bottom w:w="0" w:type="dxa"/>
              <w:right w:w="15" w:type="dxa"/>
            </w:tcMar>
            <w:vAlign w:val="center"/>
            <w:hideMark/>
          </w:tcPr>
          <w:p w14:paraId="43D609FF"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$m</w:t>
            </w:r>
          </w:p>
        </w:tc>
        <w:tc>
          <w:tcPr>
            <w:tcW w:w="600" w:type="dxa"/>
            <w:tcBorders>
              <w:top w:val="single" w:sz="4" w:space="0" w:color="ADD6EA"/>
              <w:left w:val="nil"/>
              <w:bottom w:val="nil"/>
              <w:right w:val="nil"/>
            </w:tcBorders>
            <w:shd w:val="clear" w:color="000000" w:fill="B6D5E4"/>
            <w:tcMar>
              <w:top w:w="15" w:type="dxa"/>
              <w:left w:w="15" w:type="dxa"/>
              <w:bottom w:w="0" w:type="dxa"/>
              <w:right w:w="15" w:type="dxa"/>
            </w:tcMar>
            <w:vAlign w:val="center"/>
            <w:hideMark/>
          </w:tcPr>
          <w:p w14:paraId="054A5A80"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$m</w:t>
            </w:r>
          </w:p>
        </w:tc>
        <w:tc>
          <w:tcPr>
            <w:tcW w:w="600" w:type="dxa"/>
            <w:tcBorders>
              <w:top w:val="single" w:sz="4" w:space="0" w:color="ADD6EA"/>
              <w:left w:val="nil"/>
              <w:bottom w:val="nil"/>
              <w:right w:val="nil"/>
            </w:tcBorders>
            <w:shd w:val="clear" w:color="000000" w:fill="B6D5E4"/>
            <w:tcMar>
              <w:top w:w="15" w:type="dxa"/>
              <w:left w:w="15" w:type="dxa"/>
              <w:bottom w:w="0" w:type="dxa"/>
              <w:right w:w="15" w:type="dxa"/>
            </w:tcMar>
            <w:vAlign w:val="center"/>
            <w:hideMark/>
          </w:tcPr>
          <w:p w14:paraId="107E9255"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$m</w:t>
            </w:r>
          </w:p>
        </w:tc>
        <w:tc>
          <w:tcPr>
            <w:tcW w:w="600" w:type="dxa"/>
            <w:tcBorders>
              <w:top w:val="single" w:sz="4" w:space="0" w:color="ADD6EA"/>
              <w:left w:val="nil"/>
              <w:bottom w:val="nil"/>
              <w:right w:val="nil"/>
            </w:tcBorders>
            <w:shd w:val="clear" w:color="000000" w:fill="B6D5E4"/>
            <w:tcMar>
              <w:top w:w="15" w:type="dxa"/>
              <w:left w:w="15" w:type="dxa"/>
              <w:bottom w:w="0" w:type="dxa"/>
              <w:right w:w="15" w:type="dxa"/>
            </w:tcMar>
            <w:vAlign w:val="center"/>
            <w:hideMark/>
          </w:tcPr>
          <w:p w14:paraId="62C07256"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$m</w:t>
            </w:r>
          </w:p>
        </w:tc>
        <w:tc>
          <w:tcPr>
            <w:tcW w:w="600" w:type="dxa"/>
            <w:tcBorders>
              <w:top w:val="single" w:sz="4" w:space="0" w:color="ADD6EA"/>
              <w:left w:val="nil"/>
              <w:bottom w:val="nil"/>
              <w:right w:val="nil"/>
            </w:tcBorders>
            <w:shd w:val="clear" w:color="000000" w:fill="B6D5E4"/>
            <w:tcMar>
              <w:top w:w="15" w:type="dxa"/>
              <w:left w:w="15" w:type="dxa"/>
              <w:bottom w:w="0" w:type="dxa"/>
              <w:right w:w="15" w:type="dxa"/>
            </w:tcMar>
            <w:vAlign w:val="center"/>
            <w:hideMark/>
          </w:tcPr>
          <w:p w14:paraId="0BEF3492"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$m</w:t>
            </w:r>
          </w:p>
        </w:tc>
      </w:tr>
      <w:tr w:rsidR="00EC01F3" w14:paraId="7820CC44" w14:textId="77777777" w:rsidTr="00E11FEC">
        <w:trPr>
          <w:trHeight w:val="319"/>
        </w:trPr>
        <w:tc>
          <w:tcPr>
            <w:tcW w:w="3520" w:type="dxa"/>
            <w:tcBorders>
              <w:top w:val="single" w:sz="8" w:space="0" w:color="ADD6EA"/>
              <w:left w:val="nil"/>
              <w:bottom w:val="nil"/>
              <w:right w:val="nil"/>
            </w:tcBorders>
            <w:shd w:val="clear" w:color="000000" w:fill="FFFFFF"/>
            <w:tcMar>
              <w:top w:w="15" w:type="dxa"/>
              <w:left w:w="15" w:type="dxa"/>
              <w:bottom w:w="0" w:type="dxa"/>
              <w:right w:w="15" w:type="dxa"/>
            </w:tcMar>
            <w:vAlign w:val="center"/>
            <w:hideMark/>
          </w:tcPr>
          <w:p w14:paraId="5FA231AE" w14:textId="77777777" w:rsidR="00EC01F3" w:rsidRDefault="00EC01F3" w:rsidP="00E11FEC">
            <w:pPr>
              <w:rPr>
                <w:rFonts w:cs="Open Sans Light"/>
                <w:color w:val="000000"/>
                <w:sz w:val="16"/>
                <w:szCs w:val="16"/>
              </w:rPr>
            </w:pPr>
            <w:r>
              <w:rPr>
                <w:rFonts w:cs="Open Sans Light"/>
                <w:color w:val="000000"/>
                <w:sz w:val="16"/>
                <w:szCs w:val="16"/>
              </w:rPr>
              <w:t>New homelessness assessment (</w:t>
            </w:r>
            <w:r>
              <w:rPr>
                <w:rFonts w:cs="Open Sans Light"/>
                <w:color w:val="000000"/>
                <w:sz w:val="14"/>
                <w:szCs w:val="14"/>
              </w:rPr>
              <w:t>a)</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6C58CB95" w14:textId="77777777" w:rsidR="00EC01F3" w:rsidRDefault="00EC01F3" w:rsidP="00E11FEC">
            <w:pPr>
              <w:jc w:val="right"/>
              <w:rPr>
                <w:rFonts w:cs="Open Sans Light"/>
                <w:color w:val="000000"/>
                <w:sz w:val="16"/>
                <w:szCs w:val="16"/>
              </w:rPr>
            </w:pPr>
            <w:r>
              <w:rPr>
                <w:rFonts w:cs="Open Sans Light"/>
                <w:color w:val="000000"/>
                <w:sz w:val="16"/>
                <w:szCs w:val="16"/>
              </w:rPr>
              <w:t>-9</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2586F822" w14:textId="77777777" w:rsidR="00EC01F3" w:rsidRDefault="00EC01F3" w:rsidP="00E11FEC">
            <w:pPr>
              <w:jc w:val="right"/>
              <w:rPr>
                <w:rFonts w:cs="Open Sans Light"/>
                <w:color w:val="000000"/>
                <w:sz w:val="16"/>
                <w:szCs w:val="16"/>
              </w:rPr>
            </w:pPr>
            <w:r>
              <w:rPr>
                <w:rFonts w:cs="Open Sans Light"/>
                <w:color w:val="000000"/>
                <w:sz w:val="16"/>
                <w:szCs w:val="16"/>
              </w:rPr>
              <w:t>-70</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45EA047F" w14:textId="77777777" w:rsidR="00EC01F3" w:rsidRDefault="00EC01F3" w:rsidP="00E11FEC">
            <w:pPr>
              <w:jc w:val="right"/>
              <w:rPr>
                <w:rFonts w:cs="Open Sans Light"/>
                <w:color w:val="000000"/>
                <w:sz w:val="16"/>
                <w:szCs w:val="16"/>
              </w:rPr>
            </w:pPr>
            <w:r>
              <w:rPr>
                <w:rFonts w:cs="Open Sans Light"/>
                <w:color w:val="000000"/>
                <w:sz w:val="16"/>
                <w:szCs w:val="16"/>
              </w:rPr>
              <w:t>51</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3DBB554D" w14:textId="77777777" w:rsidR="00EC01F3" w:rsidRDefault="00EC01F3" w:rsidP="00E11FEC">
            <w:pPr>
              <w:jc w:val="right"/>
              <w:rPr>
                <w:rFonts w:cs="Open Sans Light"/>
                <w:color w:val="000000"/>
                <w:sz w:val="16"/>
                <w:szCs w:val="16"/>
              </w:rPr>
            </w:pPr>
            <w:r>
              <w:rPr>
                <w:rFonts w:cs="Open Sans Light"/>
                <w:color w:val="000000"/>
                <w:sz w:val="16"/>
                <w:szCs w:val="16"/>
              </w:rPr>
              <w:t>1</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56C44AA8" w14:textId="77777777" w:rsidR="00EC01F3" w:rsidRDefault="00EC01F3" w:rsidP="00E11FEC">
            <w:pPr>
              <w:jc w:val="right"/>
              <w:rPr>
                <w:rFonts w:cs="Open Sans Light"/>
                <w:color w:val="000000"/>
                <w:sz w:val="16"/>
                <w:szCs w:val="16"/>
              </w:rPr>
            </w:pPr>
            <w:r>
              <w:rPr>
                <w:rFonts w:cs="Open Sans Light"/>
                <w:color w:val="000000"/>
                <w:sz w:val="16"/>
                <w:szCs w:val="16"/>
              </w:rPr>
              <w:t>-7</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4370E726" w14:textId="77777777" w:rsidR="00EC01F3" w:rsidRDefault="00EC01F3" w:rsidP="00E11FEC">
            <w:pPr>
              <w:jc w:val="right"/>
              <w:rPr>
                <w:rFonts w:cs="Open Sans Light"/>
                <w:color w:val="000000"/>
                <w:sz w:val="16"/>
                <w:szCs w:val="16"/>
              </w:rPr>
            </w:pPr>
            <w:r>
              <w:rPr>
                <w:rFonts w:cs="Open Sans Light"/>
                <w:color w:val="000000"/>
                <w:sz w:val="16"/>
                <w:szCs w:val="16"/>
              </w:rPr>
              <w:t>7</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5D6067A8" w14:textId="77777777" w:rsidR="00EC01F3" w:rsidRDefault="00EC01F3" w:rsidP="00E11FEC">
            <w:pPr>
              <w:jc w:val="right"/>
              <w:rPr>
                <w:rFonts w:cs="Open Sans Light"/>
                <w:color w:val="000000"/>
                <w:sz w:val="16"/>
                <w:szCs w:val="16"/>
              </w:rPr>
            </w:pPr>
            <w:r>
              <w:rPr>
                <w:rFonts w:cs="Open Sans Light"/>
                <w:color w:val="000000"/>
                <w:sz w:val="16"/>
                <w:szCs w:val="16"/>
              </w:rPr>
              <w:t>-9</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5675837A" w14:textId="77777777" w:rsidR="00EC01F3" w:rsidRDefault="00EC01F3" w:rsidP="00E11FEC">
            <w:pPr>
              <w:jc w:val="right"/>
              <w:rPr>
                <w:rFonts w:cs="Open Sans Light"/>
                <w:color w:val="000000"/>
                <w:sz w:val="16"/>
                <w:szCs w:val="16"/>
              </w:rPr>
            </w:pPr>
            <w:r>
              <w:rPr>
                <w:rFonts w:cs="Open Sans Light"/>
                <w:color w:val="000000"/>
                <w:sz w:val="16"/>
                <w:szCs w:val="16"/>
              </w:rPr>
              <w:t>36</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7541CB4A" w14:textId="77777777" w:rsidR="00EC01F3" w:rsidRDefault="00EC01F3" w:rsidP="00E11FEC">
            <w:pPr>
              <w:jc w:val="right"/>
              <w:rPr>
                <w:rFonts w:cs="Open Sans Light"/>
                <w:color w:val="000000"/>
                <w:sz w:val="16"/>
                <w:szCs w:val="16"/>
              </w:rPr>
            </w:pPr>
            <w:r>
              <w:rPr>
                <w:rFonts w:cs="Open Sans Light"/>
                <w:color w:val="000000"/>
                <w:sz w:val="16"/>
                <w:szCs w:val="16"/>
              </w:rPr>
              <w:t>96</w:t>
            </w:r>
          </w:p>
        </w:tc>
      </w:tr>
      <w:tr w:rsidR="00EC01F3" w14:paraId="7C827684" w14:textId="77777777" w:rsidTr="00E11FEC">
        <w:trPr>
          <w:trHeight w:val="510"/>
        </w:trPr>
        <w:tc>
          <w:tcPr>
            <w:tcW w:w="3520" w:type="dxa"/>
            <w:tcBorders>
              <w:top w:val="single" w:sz="8" w:space="0" w:color="ADD6EA"/>
              <w:left w:val="nil"/>
              <w:bottom w:val="nil"/>
              <w:right w:val="nil"/>
            </w:tcBorders>
            <w:shd w:val="clear" w:color="000000" w:fill="FFFFFF"/>
            <w:tcMar>
              <w:top w:w="15" w:type="dxa"/>
              <w:left w:w="15" w:type="dxa"/>
              <w:bottom w:w="0" w:type="dxa"/>
              <w:right w:w="15" w:type="dxa"/>
            </w:tcMar>
            <w:vAlign w:val="center"/>
            <w:hideMark/>
          </w:tcPr>
          <w:p w14:paraId="1D494C9C" w14:textId="77777777" w:rsidR="00EC01F3" w:rsidRDefault="00EC01F3" w:rsidP="00E11FEC">
            <w:pPr>
              <w:rPr>
                <w:rFonts w:cs="Open Sans Light"/>
                <w:color w:val="000000"/>
                <w:sz w:val="16"/>
                <w:szCs w:val="16"/>
              </w:rPr>
            </w:pPr>
            <w:r>
              <w:rPr>
                <w:rFonts w:cs="Open Sans Light"/>
                <w:color w:val="000000"/>
                <w:sz w:val="16"/>
                <w:szCs w:val="16"/>
              </w:rPr>
              <w:t>Revisions to general regional cost gradient for child protection and family services</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200CB28C" w14:textId="77777777" w:rsidR="00EC01F3" w:rsidRDefault="00EC01F3" w:rsidP="00E11FEC">
            <w:pPr>
              <w:jc w:val="right"/>
              <w:rPr>
                <w:rFonts w:cs="Open Sans Light"/>
                <w:color w:val="000000"/>
                <w:sz w:val="16"/>
                <w:szCs w:val="16"/>
              </w:rPr>
            </w:pPr>
            <w:r>
              <w:rPr>
                <w:rFonts w:cs="Open Sans Light"/>
                <w:color w:val="000000"/>
                <w:sz w:val="16"/>
                <w:szCs w:val="16"/>
              </w:rPr>
              <w:t>9</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222A6F57" w14:textId="77777777" w:rsidR="00EC01F3" w:rsidRDefault="00EC01F3" w:rsidP="00E11FEC">
            <w:pPr>
              <w:jc w:val="right"/>
              <w:rPr>
                <w:rFonts w:cs="Open Sans Light"/>
                <w:color w:val="000000"/>
                <w:sz w:val="16"/>
                <w:szCs w:val="16"/>
              </w:rPr>
            </w:pPr>
            <w:r>
              <w:rPr>
                <w:rFonts w:cs="Open Sans Light"/>
                <w:color w:val="000000"/>
                <w:sz w:val="16"/>
                <w:szCs w:val="16"/>
              </w:rPr>
              <w:t>7</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50FE2536" w14:textId="77777777" w:rsidR="00EC01F3" w:rsidRDefault="00EC01F3" w:rsidP="00E11FEC">
            <w:pPr>
              <w:jc w:val="right"/>
              <w:rPr>
                <w:rFonts w:cs="Open Sans Light"/>
                <w:color w:val="000000"/>
                <w:sz w:val="16"/>
                <w:szCs w:val="16"/>
              </w:rPr>
            </w:pPr>
            <w:r>
              <w:rPr>
                <w:rFonts w:cs="Open Sans Light"/>
                <w:color w:val="000000"/>
                <w:sz w:val="16"/>
                <w:szCs w:val="16"/>
              </w:rPr>
              <w:t>-2</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40E662D5" w14:textId="77777777" w:rsidR="00EC01F3" w:rsidRDefault="00EC01F3" w:rsidP="00E11FEC">
            <w:pPr>
              <w:jc w:val="right"/>
              <w:rPr>
                <w:rFonts w:cs="Open Sans Light"/>
                <w:color w:val="000000"/>
                <w:sz w:val="16"/>
                <w:szCs w:val="16"/>
              </w:rPr>
            </w:pPr>
            <w:r>
              <w:rPr>
                <w:rFonts w:cs="Open Sans Light"/>
                <w:color w:val="000000"/>
                <w:sz w:val="16"/>
                <w:szCs w:val="16"/>
              </w:rPr>
              <w:t>-3</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616A5387" w14:textId="77777777" w:rsidR="00EC01F3" w:rsidRDefault="00EC01F3" w:rsidP="00E11FEC">
            <w:pPr>
              <w:jc w:val="right"/>
              <w:rPr>
                <w:rFonts w:cs="Open Sans Light"/>
                <w:color w:val="000000"/>
                <w:sz w:val="16"/>
                <w:szCs w:val="16"/>
              </w:rPr>
            </w:pPr>
            <w:r>
              <w:rPr>
                <w:rFonts w:cs="Open Sans Light"/>
                <w:color w:val="000000"/>
                <w:sz w:val="16"/>
                <w:szCs w:val="16"/>
              </w:rPr>
              <w:t>-1</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47134D31" w14:textId="77777777" w:rsidR="00EC01F3" w:rsidRDefault="00EC01F3" w:rsidP="00E11FEC">
            <w:pPr>
              <w:jc w:val="right"/>
              <w:rPr>
                <w:rFonts w:cs="Open Sans Light"/>
                <w:color w:val="000000"/>
                <w:sz w:val="16"/>
                <w:szCs w:val="16"/>
              </w:rPr>
            </w:pPr>
            <w:r>
              <w:rPr>
                <w:rFonts w:cs="Open Sans Light"/>
                <w:color w:val="000000"/>
                <w:sz w:val="16"/>
                <w:szCs w:val="16"/>
              </w:rPr>
              <w:t>-1</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4A8520E6" w14:textId="77777777" w:rsidR="00EC01F3" w:rsidRDefault="00EC01F3" w:rsidP="00E11FEC">
            <w:pPr>
              <w:jc w:val="right"/>
              <w:rPr>
                <w:rFonts w:cs="Open Sans Light"/>
                <w:color w:val="000000"/>
                <w:sz w:val="16"/>
                <w:szCs w:val="16"/>
              </w:rPr>
            </w:pPr>
            <w:r>
              <w:rPr>
                <w:rFonts w:cs="Open Sans Light"/>
                <w:color w:val="000000"/>
                <w:sz w:val="16"/>
                <w:szCs w:val="16"/>
              </w:rPr>
              <w:t>1</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704BF80F" w14:textId="77777777" w:rsidR="00EC01F3" w:rsidRDefault="00EC01F3" w:rsidP="00E11FEC">
            <w:pPr>
              <w:jc w:val="right"/>
              <w:rPr>
                <w:rFonts w:cs="Open Sans Light"/>
                <w:color w:val="000000"/>
                <w:sz w:val="16"/>
                <w:szCs w:val="16"/>
              </w:rPr>
            </w:pPr>
            <w:r>
              <w:rPr>
                <w:rFonts w:cs="Open Sans Light"/>
                <w:color w:val="000000"/>
                <w:sz w:val="16"/>
                <w:szCs w:val="16"/>
              </w:rPr>
              <w:t>-9</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2D7855DB" w14:textId="77777777" w:rsidR="00EC01F3" w:rsidRDefault="00EC01F3" w:rsidP="00E11FEC">
            <w:pPr>
              <w:jc w:val="right"/>
              <w:rPr>
                <w:rFonts w:cs="Open Sans Light"/>
                <w:color w:val="000000"/>
                <w:sz w:val="16"/>
                <w:szCs w:val="16"/>
              </w:rPr>
            </w:pPr>
            <w:r>
              <w:rPr>
                <w:rFonts w:cs="Open Sans Light"/>
                <w:color w:val="000000"/>
                <w:sz w:val="16"/>
                <w:szCs w:val="16"/>
              </w:rPr>
              <w:t>16</w:t>
            </w:r>
          </w:p>
        </w:tc>
      </w:tr>
      <w:tr w:rsidR="00EC01F3" w14:paraId="351C4267" w14:textId="77777777" w:rsidTr="00E11FEC">
        <w:trPr>
          <w:trHeight w:val="318"/>
        </w:trPr>
        <w:tc>
          <w:tcPr>
            <w:tcW w:w="3520" w:type="dxa"/>
            <w:tcBorders>
              <w:top w:val="single" w:sz="8" w:space="0" w:color="ADD6EA"/>
              <w:left w:val="nil"/>
              <w:bottom w:val="nil"/>
              <w:right w:val="nil"/>
            </w:tcBorders>
            <w:shd w:val="clear" w:color="000000" w:fill="FFFFFF"/>
            <w:tcMar>
              <w:top w:w="15" w:type="dxa"/>
              <w:left w:w="15" w:type="dxa"/>
              <w:bottom w:w="0" w:type="dxa"/>
              <w:right w:w="15" w:type="dxa"/>
            </w:tcMar>
            <w:vAlign w:val="center"/>
            <w:hideMark/>
          </w:tcPr>
          <w:p w14:paraId="34099C7E" w14:textId="77777777" w:rsidR="00EC01F3" w:rsidRDefault="00EC01F3" w:rsidP="00E11FEC">
            <w:pPr>
              <w:rPr>
                <w:rFonts w:cs="Open Sans Light"/>
                <w:color w:val="000000"/>
                <w:sz w:val="16"/>
                <w:szCs w:val="16"/>
              </w:rPr>
            </w:pPr>
            <w:r>
              <w:rPr>
                <w:rFonts w:cs="Open Sans Light"/>
                <w:color w:val="000000"/>
                <w:sz w:val="16"/>
                <w:szCs w:val="16"/>
              </w:rPr>
              <w:t>Other (</w:t>
            </w:r>
            <w:r>
              <w:rPr>
                <w:rFonts w:cs="Open Sans Light"/>
                <w:color w:val="000000"/>
                <w:sz w:val="14"/>
                <w:szCs w:val="14"/>
              </w:rPr>
              <w:t>b)</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6FC54F09" w14:textId="77777777" w:rsidR="00EC01F3" w:rsidRDefault="00EC01F3" w:rsidP="00E11FEC">
            <w:pPr>
              <w:jc w:val="right"/>
              <w:rPr>
                <w:rFonts w:cs="Open Sans Light"/>
                <w:color w:val="000000"/>
                <w:sz w:val="16"/>
                <w:szCs w:val="16"/>
              </w:rPr>
            </w:pPr>
            <w:r>
              <w:rPr>
                <w:rFonts w:cs="Open Sans Light"/>
                <w:color w:val="000000"/>
                <w:sz w:val="16"/>
                <w:szCs w:val="16"/>
              </w:rPr>
              <w:t>0</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7F75EE1F" w14:textId="77777777" w:rsidR="00EC01F3" w:rsidRDefault="00EC01F3" w:rsidP="00E11FEC">
            <w:pPr>
              <w:jc w:val="right"/>
              <w:rPr>
                <w:rFonts w:cs="Open Sans Light"/>
                <w:color w:val="000000"/>
                <w:sz w:val="16"/>
                <w:szCs w:val="16"/>
              </w:rPr>
            </w:pPr>
            <w:r>
              <w:rPr>
                <w:rFonts w:cs="Open Sans Light"/>
                <w:color w:val="000000"/>
                <w:sz w:val="16"/>
                <w:szCs w:val="16"/>
              </w:rPr>
              <w:t>-5</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6A3D2427" w14:textId="77777777" w:rsidR="00EC01F3" w:rsidRDefault="00EC01F3" w:rsidP="00E11FEC">
            <w:pPr>
              <w:jc w:val="right"/>
              <w:rPr>
                <w:rFonts w:cs="Open Sans Light"/>
                <w:color w:val="000000"/>
                <w:sz w:val="16"/>
                <w:szCs w:val="16"/>
              </w:rPr>
            </w:pPr>
            <w:r>
              <w:rPr>
                <w:rFonts w:cs="Open Sans Light"/>
                <w:color w:val="000000"/>
                <w:sz w:val="16"/>
                <w:szCs w:val="16"/>
              </w:rPr>
              <w:t>-1</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46A0E6FA" w14:textId="77777777" w:rsidR="00EC01F3" w:rsidRDefault="00EC01F3" w:rsidP="00E11FEC">
            <w:pPr>
              <w:jc w:val="right"/>
              <w:rPr>
                <w:rFonts w:cs="Open Sans Light"/>
                <w:color w:val="000000"/>
                <w:sz w:val="16"/>
                <w:szCs w:val="16"/>
              </w:rPr>
            </w:pPr>
            <w:r>
              <w:rPr>
                <w:rFonts w:cs="Open Sans Light"/>
                <w:color w:val="000000"/>
                <w:sz w:val="16"/>
                <w:szCs w:val="16"/>
              </w:rPr>
              <w:t>6</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25C9D37F" w14:textId="77777777" w:rsidR="00EC01F3" w:rsidRDefault="00EC01F3" w:rsidP="00E11FEC">
            <w:pPr>
              <w:jc w:val="right"/>
              <w:rPr>
                <w:rFonts w:cs="Open Sans Light"/>
                <w:color w:val="000000"/>
                <w:sz w:val="16"/>
                <w:szCs w:val="16"/>
              </w:rPr>
            </w:pPr>
            <w:r>
              <w:rPr>
                <w:rFonts w:cs="Open Sans Light"/>
                <w:color w:val="000000"/>
                <w:sz w:val="16"/>
                <w:szCs w:val="16"/>
              </w:rPr>
              <w:t>-2</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4AC37E56" w14:textId="77777777" w:rsidR="00EC01F3" w:rsidRDefault="00EC01F3" w:rsidP="00E11FEC">
            <w:pPr>
              <w:jc w:val="right"/>
              <w:rPr>
                <w:rFonts w:cs="Open Sans Light"/>
                <w:color w:val="000000"/>
                <w:sz w:val="16"/>
                <w:szCs w:val="16"/>
              </w:rPr>
            </w:pPr>
            <w:r>
              <w:rPr>
                <w:rFonts w:cs="Open Sans Light"/>
                <w:color w:val="000000"/>
                <w:sz w:val="16"/>
                <w:szCs w:val="16"/>
              </w:rPr>
              <w:t>0</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48D282DB" w14:textId="77777777" w:rsidR="00EC01F3" w:rsidRDefault="00EC01F3" w:rsidP="00E11FEC">
            <w:pPr>
              <w:jc w:val="right"/>
              <w:rPr>
                <w:rFonts w:cs="Open Sans Light"/>
                <w:color w:val="000000"/>
                <w:sz w:val="16"/>
                <w:szCs w:val="16"/>
              </w:rPr>
            </w:pPr>
            <w:r>
              <w:rPr>
                <w:rFonts w:cs="Open Sans Light"/>
                <w:color w:val="000000"/>
                <w:sz w:val="16"/>
                <w:szCs w:val="16"/>
              </w:rPr>
              <w:t>0</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4EF2EEB0" w14:textId="77777777" w:rsidR="00EC01F3" w:rsidRDefault="00EC01F3" w:rsidP="00E11FEC">
            <w:pPr>
              <w:jc w:val="right"/>
              <w:rPr>
                <w:rFonts w:cs="Open Sans Light"/>
                <w:color w:val="000000"/>
                <w:sz w:val="16"/>
                <w:szCs w:val="16"/>
              </w:rPr>
            </w:pPr>
            <w:r>
              <w:rPr>
                <w:rFonts w:cs="Open Sans Light"/>
                <w:color w:val="000000"/>
                <w:sz w:val="16"/>
                <w:szCs w:val="16"/>
              </w:rPr>
              <w:t>3</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58BBBBB0" w14:textId="77777777" w:rsidR="00EC01F3" w:rsidRDefault="00EC01F3" w:rsidP="00E11FEC">
            <w:pPr>
              <w:jc w:val="right"/>
              <w:rPr>
                <w:rFonts w:cs="Open Sans Light"/>
                <w:color w:val="000000"/>
                <w:sz w:val="16"/>
                <w:szCs w:val="16"/>
              </w:rPr>
            </w:pPr>
            <w:r>
              <w:rPr>
                <w:rFonts w:cs="Open Sans Light"/>
                <w:color w:val="000000"/>
                <w:sz w:val="16"/>
                <w:szCs w:val="16"/>
              </w:rPr>
              <w:t>9</w:t>
            </w:r>
          </w:p>
        </w:tc>
      </w:tr>
      <w:tr w:rsidR="00EC01F3" w14:paraId="39CDD34D" w14:textId="77777777" w:rsidTr="00E11FEC">
        <w:trPr>
          <w:trHeight w:val="319"/>
        </w:trPr>
        <w:tc>
          <w:tcPr>
            <w:tcW w:w="3520" w:type="dxa"/>
            <w:tcBorders>
              <w:top w:val="single" w:sz="4" w:space="0" w:color="ADD6EA"/>
              <w:left w:val="nil"/>
              <w:bottom w:val="nil"/>
              <w:right w:val="nil"/>
            </w:tcBorders>
            <w:shd w:val="clear" w:color="000000" w:fill="D6E7F0"/>
            <w:tcMar>
              <w:top w:w="15" w:type="dxa"/>
              <w:left w:w="15" w:type="dxa"/>
              <w:bottom w:w="0" w:type="dxa"/>
              <w:right w:w="15" w:type="dxa"/>
            </w:tcMar>
            <w:vAlign w:val="center"/>
            <w:hideMark/>
          </w:tcPr>
          <w:p w14:paraId="182C3FBD" w14:textId="77777777" w:rsidR="00EC01F3" w:rsidRDefault="00EC01F3" w:rsidP="00E11FEC">
            <w:pPr>
              <w:rPr>
                <w:rFonts w:ascii="Open Sans Semibold" w:hAnsi="Open Sans Semibold" w:cs="Open Sans Semibold"/>
                <w:color w:val="000000"/>
                <w:sz w:val="16"/>
                <w:szCs w:val="16"/>
              </w:rPr>
            </w:pPr>
            <w:r>
              <w:rPr>
                <w:rFonts w:ascii="Open Sans Semibold" w:hAnsi="Open Sans Semibold" w:cs="Open Sans Semibold"/>
                <w:color w:val="000000"/>
                <w:sz w:val="16"/>
                <w:szCs w:val="16"/>
              </w:rPr>
              <w:t>Total</w:t>
            </w:r>
          </w:p>
        </w:tc>
        <w:tc>
          <w:tcPr>
            <w:tcW w:w="600" w:type="dxa"/>
            <w:tcBorders>
              <w:top w:val="single" w:sz="4" w:space="0" w:color="ADD6EA"/>
              <w:left w:val="nil"/>
              <w:bottom w:val="nil"/>
              <w:right w:val="nil"/>
            </w:tcBorders>
            <w:shd w:val="clear" w:color="000000" w:fill="D6E7F0"/>
            <w:tcMar>
              <w:top w:w="15" w:type="dxa"/>
              <w:left w:w="15" w:type="dxa"/>
              <w:bottom w:w="0" w:type="dxa"/>
              <w:right w:w="15" w:type="dxa"/>
            </w:tcMar>
            <w:vAlign w:val="center"/>
            <w:hideMark/>
          </w:tcPr>
          <w:p w14:paraId="7495F2B9"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0</w:t>
            </w:r>
          </w:p>
        </w:tc>
        <w:tc>
          <w:tcPr>
            <w:tcW w:w="600" w:type="dxa"/>
            <w:tcBorders>
              <w:top w:val="single" w:sz="4" w:space="0" w:color="ADD6EA"/>
              <w:left w:val="nil"/>
              <w:bottom w:val="nil"/>
              <w:right w:val="nil"/>
            </w:tcBorders>
            <w:shd w:val="clear" w:color="000000" w:fill="D6E7F0"/>
            <w:tcMar>
              <w:top w:w="15" w:type="dxa"/>
              <w:left w:w="15" w:type="dxa"/>
              <w:bottom w:w="0" w:type="dxa"/>
              <w:right w:w="15" w:type="dxa"/>
            </w:tcMar>
            <w:vAlign w:val="center"/>
            <w:hideMark/>
          </w:tcPr>
          <w:p w14:paraId="378DA4D5"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-69</w:t>
            </w:r>
          </w:p>
        </w:tc>
        <w:tc>
          <w:tcPr>
            <w:tcW w:w="600" w:type="dxa"/>
            <w:tcBorders>
              <w:top w:val="single" w:sz="4" w:space="0" w:color="ADD6EA"/>
              <w:left w:val="nil"/>
              <w:bottom w:val="nil"/>
              <w:right w:val="nil"/>
            </w:tcBorders>
            <w:shd w:val="clear" w:color="000000" w:fill="D6E7F0"/>
            <w:tcMar>
              <w:top w:w="15" w:type="dxa"/>
              <w:left w:w="15" w:type="dxa"/>
              <w:bottom w:w="0" w:type="dxa"/>
              <w:right w:w="15" w:type="dxa"/>
            </w:tcMar>
            <w:vAlign w:val="center"/>
            <w:hideMark/>
          </w:tcPr>
          <w:p w14:paraId="4FF96282"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48</w:t>
            </w:r>
          </w:p>
        </w:tc>
        <w:tc>
          <w:tcPr>
            <w:tcW w:w="600" w:type="dxa"/>
            <w:tcBorders>
              <w:top w:val="single" w:sz="4" w:space="0" w:color="ADD6EA"/>
              <w:left w:val="nil"/>
              <w:bottom w:val="nil"/>
              <w:right w:val="nil"/>
            </w:tcBorders>
            <w:shd w:val="clear" w:color="000000" w:fill="D6E7F0"/>
            <w:tcMar>
              <w:top w:w="15" w:type="dxa"/>
              <w:left w:w="15" w:type="dxa"/>
              <w:bottom w:w="0" w:type="dxa"/>
              <w:right w:w="15" w:type="dxa"/>
            </w:tcMar>
            <w:vAlign w:val="center"/>
            <w:hideMark/>
          </w:tcPr>
          <w:p w14:paraId="2D44FAFB"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4</w:t>
            </w:r>
          </w:p>
        </w:tc>
        <w:tc>
          <w:tcPr>
            <w:tcW w:w="600" w:type="dxa"/>
            <w:tcBorders>
              <w:top w:val="single" w:sz="4" w:space="0" w:color="ADD6EA"/>
              <w:left w:val="nil"/>
              <w:bottom w:val="nil"/>
              <w:right w:val="nil"/>
            </w:tcBorders>
            <w:shd w:val="clear" w:color="000000" w:fill="D6E7F0"/>
            <w:tcMar>
              <w:top w:w="15" w:type="dxa"/>
              <w:left w:w="15" w:type="dxa"/>
              <w:bottom w:w="0" w:type="dxa"/>
              <w:right w:w="15" w:type="dxa"/>
            </w:tcMar>
            <w:vAlign w:val="center"/>
            <w:hideMark/>
          </w:tcPr>
          <w:p w14:paraId="4A5D3C49"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-10</w:t>
            </w:r>
          </w:p>
        </w:tc>
        <w:tc>
          <w:tcPr>
            <w:tcW w:w="600" w:type="dxa"/>
            <w:tcBorders>
              <w:top w:val="single" w:sz="4" w:space="0" w:color="ADD6EA"/>
              <w:left w:val="nil"/>
              <w:bottom w:val="nil"/>
              <w:right w:val="nil"/>
            </w:tcBorders>
            <w:shd w:val="clear" w:color="000000" w:fill="D6E7F0"/>
            <w:tcMar>
              <w:top w:w="15" w:type="dxa"/>
              <w:left w:w="15" w:type="dxa"/>
              <w:bottom w:w="0" w:type="dxa"/>
              <w:right w:w="15" w:type="dxa"/>
            </w:tcMar>
            <w:vAlign w:val="center"/>
            <w:hideMark/>
          </w:tcPr>
          <w:p w14:paraId="75DE92D5"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5</w:t>
            </w:r>
          </w:p>
        </w:tc>
        <w:tc>
          <w:tcPr>
            <w:tcW w:w="600" w:type="dxa"/>
            <w:tcBorders>
              <w:top w:val="single" w:sz="4" w:space="0" w:color="ADD6EA"/>
              <w:left w:val="nil"/>
              <w:bottom w:val="nil"/>
              <w:right w:val="nil"/>
            </w:tcBorders>
            <w:shd w:val="clear" w:color="000000" w:fill="D6E7F0"/>
            <w:tcMar>
              <w:top w:w="15" w:type="dxa"/>
              <w:left w:w="15" w:type="dxa"/>
              <w:bottom w:w="0" w:type="dxa"/>
              <w:right w:w="15" w:type="dxa"/>
            </w:tcMar>
            <w:vAlign w:val="center"/>
            <w:hideMark/>
          </w:tcPr>
          <w:p w14:paraId="76B3FF2B"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-9</w:t>
            </w:r>
          </w:p>
        </w:tc>
        <w:tc>
          <w:tcPr>
            <w:tcW w:w="600" w:type="dxa"/>
            <w:tcBorders>
              <w:top w:val="single" w:sz="4" w:space="0" w:color="ADD6EA"/>
              <w:left w:val="nil"/>
              <w:bottom w:val="nil"/>
              <w:right w:val="nil"/>
            </w:tcBorders>
            <w:shd w:val="clear" w:color="000000" w:fill="D6E7F0"/>
            <w:tcMar>
              <w:top w:w="15" w:type="dxa"/>
              <w:left w:w="15" w:type="dxa"/>
              <w:bottom w:w="0" w:type="dxa"/>
              <w:right w:w="15" w:type="dxa"/>
            </w:tcMar>
            <w:vAlign w:val="center"/>
            <w:hideMark/>
          </w:tcPr>
          <w:p w14:paraId="72511652"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31</w:t>
            </w:r>
          </w:p>
        </w:tc>
        <w:tc>
          <w:tcPr>
            <w:tcW w:w="600" w:type="dxa"/>
            <w:tcBorders>
              <w:top w:val="single" w:sz="4" w:space="0" w:color="ADD6EA"/>
              <w:left w:val="nil"/>
              <w:bottom w:val="nil"/>
              <w:right w:val="nil"/>
            </w:tcBorders>
            <w:shd w:val="clear" w:color="000000" w:fill="D6E7F0"/>
            <w:tcMar>
              <w:top w:w="15" w:type="dxa"/>
              <w:left w:w="15" w:type="dxa"/>
              <w:bottom w:w="0" w:type="dxa"/>
              <w:right w:w="15" w:type="dxa"/>
            </w:tcMar>
            <w:vAlign w:val="center"/>
            <w:hideMark/>
          </w:tcPr>
          <w:p w14:paraId="2BD231D0"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88</w:t>
            </w:r>
          </w:p>
        </w:tc>
      </w:tr>
      <w:tr w:rsidR="00EC01F3" w14:paraId="73B2410B" w14:textId="77777777" w:rsidTr="00E11FEC">
        <w:trPr>
          <w:trHeight w:val="255"/>
        </w:trPr>
        <w:tc>
          <w:tcPr>
            <w:tcW w:w="3520" w:type="dxa"/>
            <w:tcBorders>
              <w:top w:val="single" w:sz="4" w:space="0" w:color="ADD6EA"/>
              <w:left w:val="nil"/>
              <w:bottom w:val="nil"/>
              <w:right w:val="nil"/>
            </w:tcBorders>
            <w:shd w:val="clear" w:color="000000" w:fill="B6D5E4"/>
            <w:tcMar>
              <w:top w:w="15" w:type="dxa"/>
              <w:left w:w="15" w:type="dxa"/>
              <w:bottom w:w="0" w:type="dxa"/>
              <w:right w:w="15" w:type="dxa"/>
            </w:tcMar>
            <w:vAlign w:val="center"/>
            <w:hideMark/>
          </w:tcPr>
          <w:p w14:paraId="2830098A" w14:textId="77777777" w:rsidR="00EC01F3" w:rsidRDefault="00EC01F3" w:rsidP="00E11FEC">
            <w:pPr>
              <w:rPr>
                <w:rFonts w:ascii="Open Sans Semibold" w:hAnsi="Open Sans Semibold" w:cs="Open Sans Semibold"/>
                <w:color w:val="000000"/>
                <w:sz w:val="16"/>
                <w:szCs w:val="16"/>
              </w:rPr>
            </w:pPr>
            <w:r>
              <w:rPr>
                <w:rFonts w:ascii="Open Sans Semibold" w:hAnsi="Open Sans Semibold" w:cs="Open Sans Semibold"/>
                <w:color w:val="000000"/>
                <w:sz w:val="16"/>
                <w:szCs w:val="16"/>
              </w:rPr>
              <w:t> </w:t>
            </w:r>
          </w:p>
        </w:tc>
        <w:tc>
          <w:tcPr>
            <w:tcW w:w="600" w:type="dxa"/>
            <w:tcBorders>
              <w:top w:val="single" w:sz="4" w:space="0" w:color="ADD6EA"/>
              <w:left w:val="nil"/>
              <w:bottom w:val="nil"/>
              <w:right w:val="nil"/>
            </w:tcBorders>
            <w:shd w:val="clear" w:color="000000" w:fill="B6D5E4"/>
            <w:tcMar>
              <w:top w:w="15" w:type="dxa"/>
              <w:left w:w="15" w:type="dxa"/>
              <w:bottom w:w="0" w:type="dxa"/>
              <w:right w:w="15" w:type="dxa"/>
            </w:tcMar>
            <w:vAlign w:val="center"/>
            <w:hideMark/>
          </w:tcPr>
          <w:p w14:paraId="55EAC16F"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$pc</w:t>
            </w:r>
          </w:p>
        </w:tc>
        <w:tc>
          <w:tcPr>
            <w:tcW w:w="600" w:type="dxa"/>
            <w:tcBorders>
              <w:top w:val="single" w:sz="4" w:space="0" w:color="ADD6EA"/>
              <w:left w:val="nil"/>
              <w:bottom w:val="nil"/>
              <w:right w:val="nil"/>
            </w:tcBorders>
            <w:shd w:val="clear" w:color="000000" w:fill="B6D5E4"/>
            <w:tcMar>
              <w:top w:w="15" w:type="dxa"/>
              <w:left w:w="15" w:type="dxa"/>
              <w:bottom w:w="0" w:type="dxa"/>
              <w:right w:w="15" w:type="dxa"/>
            </w:tcMar>
            <w:vAlign w:val="center"/>
            <w:hideMark/>
          </w:tcPr>
          <w:p w14:paraId="2A0B920C"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$pc</w:t>
            </w:r>
          </w:p>
        </w:tc>
        <w:tc>
          <w:tcPr>
            <w:tcW w:w="600" w:type="dxa"/>
            <w:tcBorders>
              <w:top w:val="single" w:sz="4" w:space="0" w:color="ADD6EA"/>
              <w:left w:val="nil"/>
              <w:bottom w:val="nil"/>
              <w:right w:val="nil"/>
            </w:tcBorders>
            <w:shd w:val="clear" w:color="000000" w:fill="B6D5E4"/>
            <w:tcMar>
              <w:top w:w="15" w:type="dxa"/>
              <w:left w:w="15" w:type="dxa"/>
              <w:bottom w:w="0" w:type="dxa"/>
              <w:right w:w="15" w:type="dxa"/>
            </w:tcMar>
            <w:vAlign w:val="center"/>
            <w:hideMark/>
          </w:tcPr>
          <w:p w14:paraId="18EE9E38"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$pc</w:t>
            </w:r>
          </w:p>
        </w:tc>
        <w:tc>
          <w:tcPr>
            <w:tcW w:w="600" w:type="dxa"/>
            <w:tcBorders>
              <w:top w:val="single" w:sz="4" w:space="0" w:color="ADD6EA"/>
              <w:left w:val="nil"/>
              <w:bottom w:val="nil"/>
              <w:right w:val="nil"/>
            </w:tcBorders>
            <w:shd w:val="clear" w:color="000000" w:fill="B6D5E4"/>
            <w:tcMar>
              <w:top w:w="15" w:type="dxa"/>
              <w:left w:w="15" w:type="dxa"/>
              <w:bottom w:w="0" w:type="dxa"/>
              <w:right w:w="15" w:type="dxa"/>
            </w:tcMar>
            <w:vAlign w:val="center"/>
            <w:hideMark/>
          </w:tcPr>
          <w:p w14:paraId="1538853E"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$pc</w:t>
            </w:r>
          </w:p>
        </w:tc>
        <w:tc>
          <w:tcPr>
            <w:tcW w:w="600" w:type="dxa"/>
            <w:tcBorders>
              <w:top w:val="single" w:sz="4" w:space="0" w:color="ADD6EA"/>
              <w:left w:val="nil"/>
              <w:bottom w:val="nil"/>
              <w:right w:val="nil"/>
            </w:tcBorders>
            <w:shd w:val="clear" w:color="000000" w:fill="B6D5E4"/>
            <w:tcMar>
              <w:top w:w="15" w:type="dxa"/>
              <w:left w:w="15" w:type="dxa"/>
              <w:bottom w:w="0" w:type="dxa"/>
              <w:right w:w="15" w:type="dxa"/>
            </w:tcMar>
            <w:vAlign w:val="center"/>
            <w:hideMark/>
          </w:tcPr>
          <w:p w14:paraId="345C4629"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$pc</w:t>
            </w:r>
          </w:p>
        </w:tc>
        <w:tc>
          <w:tcPr>
            <w:tcW w:w="600" w:type="dxa"/>
            <w:tcBorders>
              <w:top w:val="single" w:sz="4" w:space="0" w:color="ADD6EA"/>
              <w:left w:val="nil"/>
              <w:bottom w:val="nil"/>
              <w:right w:val="nil"/>
            </w:tcBorders>
            <w:shd w:val="clear" w:color="000000" w:fill="B6D5E4"/>
            <w:tcMar>
              <w:top w:w="15" w:type="dxa"/>
              <w:left w:w="15" w:type="dxa"/>
              <w:bottom w:w="0" w:type="dxa"/>
              <w:right w:w="15" w:type="dxa"/>
            </w:tcMar>
            <w:vAlign w:val="center"/>
            <w:hideMark/>
          </w:tcPr>
          <w:p w14:paraId="52FC53EE"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$pc</w:t>
            </w:r>
          </w:p>
        </w:tc>
        <w:tc>
          <w:tcPr>
            <w:tcW w:w="600" w:type="dxa"/>
            <w:tcBorders>
              <w:top w:val="single" w:sz="4" w:space="0" w:color="ADD6EA"/>
              <w:left w:val="nil"/>
              <w:bottom w:val="nil"/>
              <w:right w:val="nil"/>
            </w:tcBorders>
            <w:shd w:val="clear" w:color="000000" w:fill="B6D5E4"/>
            <w:tcMar>
              <w:top w:w="15" w:type="dxa"/>
              <w:left w:w="15" w:type="dxa"/>
              <w:bottom w:w="0" w:type="dxa"/>
              <w:right w:w="15" w:type="dxa"/>
            </w:tcMar>
            <w:vAlign w:val="center"/>
            <w:hideMark/>
          </w:tcPr>
          <w:p w14:paraId="352CC4C7"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$pc</w:t>
            </w:r>
          </w:p>
        </w:tc>
        <w:tc>
          <w:tcPr>
            <w:tcW w:w="600" w:type="dxa"/>
            <w:tcBorders>
              <w:top w:val="single" w:sz="4" w:space="0" w:color="ADD6EA"/>
              <w:left w:val="nil"/>
              <w:bottom w:val="nil"/>
              <w:right w:val="nil"/>
            </w:tcBorders>
            <w:shd w:val="clear" w:color="000000" w:fill="B6D5E4"/>
            <w:tcMar>
              <w:top w:w="15" w:type="dxa"/>
              <w:left w:w="15" w:type="dxa"/>
              <w:bottom w:w="0" w:type="dxa"/>
              <w:right w:w="15" w:type="dxa"/>
            </w:tcMar>
            <w:vAlign w:val="center"/>
            <w:hideMark/>
          </w:tcPr>
          <w:p w14:paraId="1185CEAD"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$pc</w:t>
            </w:r>
          </w:p>
        </w:tc>
        <w:tc>
          <w:tcPr>
            <w:tcW w:w="600" w:type="dxa"/>
            <w:tcBorders>
              <w:top w:val="single" w:sz="4" w:space="0" w:color="ADD6EA"/>
              <w:left w:val="nil"/>
              <w:bottom w:val="nil"/>
              <w:right w:val="nil"/>
            </w:tcBorders>
            <w:shd w:val="clear" w:color="000000" w:fill="B6D5E4"/>
            <w:tcMar>
              <w:top w:w="15" w:type="dxa"/>
              <w:left w:w="15" w:type="dxa"/>
              <w:bottom w:w="0" w:type="dxa"/>
              <w:right w:w="15" w:type="dxa"/>
            </w:tcMar>
            <w:vAlign w:val="center"/>
            <w:hideMark/>
          </w:tcPr>
          <w:p w14:paraId="55568828"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$pc</w:t>
            </w:r>
          </w:p>
        </w:tc>
      </w:tr>
      <w:tr w:rsidR="00EC01F3" w14:paraId="4DC7E691" w14:textId="77777777" w:rsidTr="00E11FEC">
        <w:trPr>
          <w:trHeight w:val="315"/>
        </w:trPr>
        <w:tc>
          <w:tcPr>
            <w:tcW w:w="3520" w:type="dxa"/>
            <w:tcBorders>
              <w:top w:val="single" w:sz="8" w:space="0" w:color="ADD6EA"/>
              <w:left w:val="nil"/>
              <w:bottom w:val="nil"/>
              <w:right w:val="nil"/>
            </w:tcBorders>
            <w:shd w:val="clear" w:color="000000" w:fill="FFFFFF"/>
            <w:tcMar>
              <w:top w:w="15" w:type="dxa"/>
              <w:left w:w="15" w:type="dxa"/>
              <w:bottom w:w="0" w:type="dxa"/>
              <w:right w:w="15" w:type="dxa"/>
            </w:tcMar>
            <w:vAlign w:val="center"/>
            <w:hideMark/>
          </w:tcPr>
          <w:p w14:paraId="18762D06" w14:textId="77777777" w:rsidR="00EC01F3" w:rsidRDefault="00EC01F3" w:rsidP="00E11FEC">
            <w:pPr>
              <w:rPr>
                <w:rFonts w:cs="Open Sans Light"/>
                <w:color w:val="000000"/>
                <w:sz w:val="16"/>
                <w:szCs w:val="16"/>
              </w:rPr>
            </w:pPr>
            <w:r>
              <w:rPr>
                <w:rFonts w:cs="Open Sans Light"/>
                <w:color w:val="000000"/>
                <w:sz w:val="16"/>
                <w:szCs w:val="16"/>
              </w:rPr>
              <w:t>New homelessness assessment (</w:t>
            </w:r>
            <w:r>
              <w:rPr>
                <w:rFonts w:cs="Open Sans Light"/>
                <w:color w:val="000000"/>
                <w:sz w:val="14"/>
                <w:szCs w:val="14"/>
              </w:rPr>
              <w:t>a)</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08A9F38F" w14:textId="77777777" w:rsidR="00EC01F3" w:rsidRDefault="00EC01F3" w:rsidP="00E11FEC">
            <w:pPr>
              <w:jc w:val="right"/>
              <w:rPr>
                <w:rFonts w:cs="Open Sans Light"/>
                <w:color w:val="000000"/>
                <w:sz w:val="16"/>
                <w:szCs w:val="16"/>
              </w:rPr>
            </w:pPr>
            <w:r>
              <w:rPr>
                <w:rFonts w:cs="Open Sans Light"/>
                <w:color w:val="000000"/>
                <w:sz w:val="16"/>
                <w:szCs w:val="16"/>
              </w:rPr>
              <w:t>-1</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7AF16726" w14:textId="77777777" w:rsidR="00EC01F3" w:rsidRDefault="00EC01F3" w:rsidP="00E11FEC">
            <w:pPr>
              <w:jc w:val="right"/>
              <w:rPr>
                <w:rFonts w:cs="Open Sans Light"/>
                <w:color w:val="000000"/>
                <w:sz w:val="16"/>
                <w:szCs w:val="16"/>
              </w:rPr>
            </w:pPr>
            <w:r>
              <w:rPr>
                <w:rFonts w:cs="Open Sans Light"/>
                <w:color w:val="000000"/>
                <w:sz w:val="16"/>
                <w:szCs w:val="16"/>
              </w:rPr>
              <w:t>-10</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1A0F1178" w14:textId="77777777" w:rsidR="00EC01F3" w:rsidRDefault="00EC01F3" w:rsidP="00E11FEC">
            <w:pPr>
              <w:jc w:val="right"/>
              <w:rPr>
                <w:rFonts w:cs="Open Sans Light"/>
                <w:color w:val="000000"/>
                <w:sz w:val="16"/>
                <w:szCs w:val="16"/>
              </w:rPr>
            </w:pPr>
            <w:r>
              <w:rPr>
                <w:rFonts w:cs="Open Sans Light"/>
                <w:color w:val="000000"/>
                <w:sz w:val="16"/>
                <w:szCs w:val="16"/>
              </w:rPr>
              <w:t>9</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4F1DFB64" w14:textId="77777777" w:rsidR="00EC01F3" w:rsidRDefault="00EC01F3" w:rsidP="00E11FEC">
            <w:pPr>
              <w:jc w:val="right"/>
              <w:rPr>
                <w:rFonts w:cs="Open Sans Light"/>
                <w:color w:val="000000"/>
                <w:sz w:val="16"/>
                <w:szCs w:val="16"/>
              </w:rPr>
            </w:pPr>
            <w:r>
              <w:rPr>
                <w:rFonts w:cs="Open Sans Light"/>
                <w:color w:val="000000"/>
                <w:sz w:val="16"/>
                <w:szCs w:val="16"/>
              </w:rPr>
              <w:t>0</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4C41FA27" w14:textId="77777777" w:rsidR="00EC01F3" w:rsidRDefault="00EC01F3" w:rsidP="00E11FEC">
            <w:pPr>
              <w:jc w:val="right"/>
              <w:rPr>
                <w:rFonts w:cs="Open Sans Light"/>
                <w:color w:val="000000"/>
                <w:sz w:val="16"/>
                <w:szCs w:val="16"/>
              </w:rPr>
            </w:pPr>
            <w:r>
              <w:rPr>
                <w:rFonts w:cs="Open Sans Light"/>
                <w:color w:val="000000"/>
                <w:sz w:val="16"/>
                <w:szCs w:val="16"/>
              </w:rPr>
              <w:t>-4</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1A26874E" w14:textId="77777777" w:rsidR="00EC01F3" w:rsidRDefault="00EC01F3" w:rsidP="00E11FEC">
            <w:pPr>
              <w:jc w:val="right"/>
              <w:rPr>
                <w:rFonts w:cs="Open Sans Light"/>
                <w:color w:val="000000"/>
                <w:sz w:val="16"/>
                <w:szCs w:val="16"/>
              </w:rPr>
            </w:pPr>
            <w:r>
              <w:rPr>
                <w:rFonts w:cs="Open Sans Light"/>
                <w:color w:val="000000"/>
                <w:sz w:val="16"/>
                <w:szCs w:val="16"/>
              </w:rPr>
              <w:t>12</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53218CB5" w14:textId="77777777" w:rsidR="00EC01F3" w:rsidRDefault="00EC01F3" w:rsidP="00E11FEC">
            <w:pPr>
              <w:jc w:val="right"/>
              <w:rPr>
                <w:rFonts w:cs="Open Sans Light"/>
                <w:color w:val="000000"/>
                <w:sz w:val="16"/>
                <w:szCs w:val="16"/>
              </w:rPr>
            </w:pPr>
            <w:r>
              <w:rPr>
                <w:rFonts w:cs="Open Sans Light"/>
                <w:color w:val="000000"/>
                <w:sz w:val="16"/>
                <w:szCs w:val="16"/>
              </w:rPr>
              <w:t>-19</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491FDFA2" w14:textId="77777777" w:rsidR="00EC01F3" w:rsidRDefault="00EC01F3" w:rsidP="00E11FEC">
            <w:pPr>
              <w:jc w:val="right"/>
              <w:rPr>
                <w:rFonts w:cs="Open Sans Light"/>
                <w:color w:val="000000"/>
                <w:sz w:val="16"/>
                <w:szCs w:val="16"/>
              </w:rPr>
            </w:pPr>
            <w:r>
              <w:rPr>
                <w:rFonts w:cs="Open Sans Light"/>
                <w:color w:val="000000"/>
                <w:sz w:val="16"/>
                <w:szCs w:val="16"/>
              </w:rPr>
              <w:t>140</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66D3288F" w14:textId="77777777" w:rsidR="00EC01F3" w:rsidRDefault="00EC01F3" w:rsidP="00E11FEC">
            <w:pPr>
              <w:jc w:val="right"/>
              <w:rPr>
                <w:rFonts w:cs="Open Sans Light"/>
                <w:color w:val="000000"/>
                <w:sz w:val="16"/>
                <w:szCs w:val="16"/>
              </w:rPr>
            </w:pPr>
            <w:r>
              <w:rPr>
                <w:rFonts w:cs="Open Sans Light"/>
                <w:color w:val="000000"/>
                <w:sz w:val="16"/>
                <w:szCs w:val="16"/>
              </w:rPr>
              <w:t>3</w:t>
            </w:r>
          </w:p>
        </w:tc>
      </w:tr>
      <w:tr w:rsidR="00EC01F3" w14:paraId="525BC9FF" w14:textId="77777777" w:rsidTr="00E11FEC">
        <w:trPr>
          <w:trHeight w:val="540"/>
        </w:trPr>
        <w:tc>
          <w:tcPr>
            <w:tcW w:w="3520" w:type="dxa"/>
            <w:tcBorders>
              <w:top w:val="single" w:sz="8" w:space="0" w:color="ADD6EA"/>
              <w:left w:val="nil"/>
              <w:bottom w:val="nil"/>
              <w:right w:val="nil"/>
            </w:tcBorders>
            <w:shd w:val="clear" w:color="000000" w:fill="FFFFFF"/>
            <w:tcMar>
              <w:top w:w="15" w:type="dxa"/>
              <w:left w:w="15" w:type="dxa"/>
              <w:bottom w:w="0" w:type="dxa"/>
              <w:right w:w="15" w:type="dxa"/>
            </w:tcMar>
            <w:vAlign w:val="center"/>
            <w:hideMark/>
          </w:tcPr>
          <w:p w14:paraId="08E522BE" w14:textId="77777777" w:rsidR="00EC01F3" w:rsidRDefault="00EC01F3" w:rsidP="00E11FEC">
            <w:pPr>
              <w:rPr>
                <w:rFonts w:cs="Open Sans Light"/>
                <w:color w:val="000000"/>
                <w:sz w:val="16"/>
                <w:szCs w:val="16"/>
              </w:rPr>
            </w:pPr>
            <w:r>
              <w:rPr>
                <w:rFonts w:cs="Open Sans Light"/>
                <w:color w:val="000000"/>
                <w:sz w:val="16"/>
                <w:szCs w:val="16"/>
              </w:rPr>
              <w:t>Revisions to general regional cost gradient for child protection and family services</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5972933C" w14:textId="77777777" w:rsidR="00EC01F3" w:rsidRDefault="00EC01F3" w:rsidP="00E11FEC">
            <w:pPr>
              <w:jc w:val="right"/>
              <w:rPr>
                <w:rFonts w:cs="Open Sans Light"/>
                <w:color w:val="000000"/>
                <w:sz w:val="16"/>
                <w:szCs w:val="16"/>
              </w:rPr>
            </w:pPr>
            <w:r>
              <w:rPr>
                <w:rFonts w:cs="Open Sans Light"/>
                <w:color w:val="000000"/>
                <w:sz w:val="16"/>
                <w:szCs w:val="16"/>
              </w:rPr>
              <w:t>1</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1B875830" w14:textId="77777777" w:rsidR="00EC01F3" w:rsidRDefault="00EC01F3" w:rsidP="00E11FEC">
            <w:pPr>
              <w:jc w:val="right"/>
              <w:rPr>
                <w:rFonts w:cs="Open Sans Light"/>
                <w:color w:val="000000"/>
                <w:sz w:val="16"/>
                <w:szCs w:val="16"/>
              </w:rPr>
            </w:pPr>
            <w:r>
              <w:rPr>
                <w:rFonts w:cs="Open Sans Light"/>
                <w:color w:val="000000"/>
                <w:sz w:val="16"/>
                <w:szCs w:val="16"/>
              </w:rPr>
              <w:t>1</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324EF8CA" w14:textId="77777777" w:rsidR="00EC01F3" w:rsidRDefault="00EC01F3" w:rsidP="00E11FEC">
            <w:pPr>
              <w:jc w:val="right"/>
              <w:rPr>
                <w:rFonts w:cs="Open Sans Light"/>
                <w:color w:val="000000"/>
                <w:sz w:val="16"/>
                <w:szCs w:val="16"/>
              </w:rPr>
            </w:pPr>
            <w:r>
              <w:rPr>
                <w:rFonts w:cs="Open Sans Light"/>
                <w:color w:val="000000"/>
                <w:sz w:val="16"/>
                <w:szCs w:val="16"/>
              </w:rPr>
              <w:t>0</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1AAB1E93" w14:textId="77777777" w:rsidR="00EC01F3" w:rsidRDefault="00EC01F3" w:rsidP="00E11FEC">
            <w:pPr>
              <w:jc w:val="right"/>
              <w:rPr>
                <w:rFonts w:cs="Open Sans Light"/>
                <w:color w:val="000000"/>
                <w:sz w:val="16"/>
                <w:szCs w:val="16"/>
              </w:rPr>
            </w:pPr>
            <w:r>
              <w:rPr>
                <w:rFonts w:cs="Open Sans Light"/>
                <w:color w:val="000000"/>
                <w:sz w:val="16"/>
                <w:szCs w:val="16"/>
              </w:rPr>
              <w:t>-1</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31C0A1EE" w14:textId="77777777" w:rsidR="00EC01F3" w:rsidRDefault="00EC01F3" w:rsidP="00E11FEC">
            <w:pPr>
              <w:jc w:val="right"/>
              <w:rPr>
                <w:rFonts w:cs="Open Sans Light"/>
                <w:color w:val="000000"/>
                <w:sz w:val="16"/>
                <w:szCs w:val="16"/>
              </w:rPr>
            </w:pPr>
            <w:r>
              <w:rPr>
                <w:rFonts w:cs="Open Sans Light"/>
                <w:color w:val="000000"/>
                <w:sz w:val="16"/>
                <w:szCs w:val="16"/>
              </w:rPr>
              <w:t>0</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4610E799" w14:textId="77777777" w:rsidR="00EC01F3" w:rsidRDefault="00EC01F3" w:rsidP="00E11FEC">
            <w:pPr>
              <w:jc w:val="right"/>
              <w:rPr>
                <w:rFonts w:cs="Open Sans Light"/>
                <w:color w:val="000000"/>
                <w:sz w:val="16"/>
                <w:szCs w:val="16"/>
              </w:rPr>
            </w:pPr>
            <w:r>
              <w:rPr>
                <w:rFonts w:cs="Open Sans Light"/>
                <w:color w:val="000000"/>
                <w:sz w:val="16"/>
                <w:szCs w:val="16"/>
              </w:rPr>
              <w:t>-2</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1191C502" w14:textId="77777777" w:rsidR="00EC01F3" w:rsidRDefault="00EC01F3" w:rsidP="00E11FEC">
            <w:pPr>
              <w:jc w:val="right"/>
              <w:rPr>
                <w:rFonts w:cs="Open Sans Light"/>
                <w:color w:val="000000"/>
                <w:sz w:val="16"/>
                <w:szCs w:val="16"/>
              </w:rPr>
            </w:pPr>
            <w:r>
              <w:rPr>
                <w:rFonts w:cs="Open Sans Light"/>
                <w:color w:val="000000"/>
                <w:sz w:val="16"/>
                <w:szCs w:val="16"/>
              </w:rPr>
              <w:t>1</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203F8AD6" w14:textId="77777777" w:rsidR="00EC01F3" w:rsidRDefault="00EC01F3" w:rsidP="00E11FEC">
            <w:pPr>
              <w:jc w:val="right"/>
              <w:rPr>
                <w:rFonts w:cs="Open Sans Light"/>
                <w:color w:val="000000"/>
                <w:sz w:val="16"/>
                <w:szCs w:val="16"/>
              </w:rPr>
            </w:pPr>
            <w:r>
              <w:rPr>
                <w:rFonts w:cs="Open Sans Light"/>
                <w:color w:val="000000"/>
                <w:sz w:val="16"/>
                <w:szCs w:val="16"/>
              </w:rPr>
              <w:t>-33</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40BDF48E" w14:textId="77777777" w:rsidR="00EC01F3" w:rsidRDefault="00EC01F3" w:rsidP="00E11FEC">
            <w:pPr>
              <w:jc w:val="right"/>
              <w:rPr>
                <w:rFonts w:cs="Open Sans Light"/>
                <w:color w:val="000000"/>
                <w:sz w:val="16"/>
                <w:szCs w:val="16"/>
              </w:rPr>
            </w:pPr>
            <w:r>
              <w:rPr>
                <w:rFonts w:cs="Open Sans Light"/>
                <w:color w:val="000000"/>
                <w:sz w:val="16"/>
                <w:szCs w:val="16"/>
              </w:rPr>
              <w:t>1</w:t>
            </w:r>
          </w:p>
        </w:tc>
      </w:tr>
      <w:tr w:rsidR="00EC01F3" w14:paraId="0E92FAAE" w14:textId="77777777" w:rsidTr="00E11FEC">
        <w:trPr>
          <w:trHeight w:val="300"/>
        </w:trPr>
        <w:tc>
          <w:tcPr>
            <w:tcW w:w="3520" w:type="dxa"/>
            <w:tcBorders>
              <w:top w:val="single" w:sz="8" w:space="0" w:color="ADD6EA"/>
              <w:left w:val="nil"/>
              <w:bottom w:val="nil"/>
              <w:right w:val="nil"/>
            </w:tcBorders>
            <w:shd w:val="clear" w:color="000000" w:fill="FFFFFF"/>
            <w:tcMar>
              <w:top w:w="15" w:type="dxa"/>
              <w:left w:w="15" w:type="dxa"/>
              <w:bottom w:w="0" w:type="dxa"/>
              <w:right w:w="15" w:type="dxa"/>
            </w:tcMar>
            <w:vAlign w:val="center"/>
            <w:hideMark/>
          </w:tcPr>
          <w:p w14:paraId="26611062" w14:textId="77777777" w:rsidR="00EC01F3" w:rsidRDefault="00EC01F3" w:rsidP="00E11FEC">
            <w:pPr>
              <w:rPr>
                <w:rFonts w:cs="Open Sans Light"/>
                <w:color w:val="000000"/>
                <w:sz w:val="16"/>
                <w:szCs w:val="16"/>
              </w:rPr>
            </w:pPr>
            <w:r>
              <w:rPr>
                <w:rFonts w:cs="Open Sans Light"/>
                <w:color w:val="000000"/>
                <w:sz w:val="16"/>
                <w:szCs w:val="16"/>
              </w:rPr>
              <w:t>Other (</w:t>
            </w:r>
            <w:r>
              <w:rPr>
                <w:rFonts w:cs="Open Sans Light"/>
                <w:color w:val="000000"/>
                <w:sz w:val="14"/>
                <w:szCs w:val="14"/>
              </w:rPr>
              <w:t>b)</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74BE43C9" w14:textId="77777777" w:rsidR="00EC01F3" w:rsidRDefault="00EC01F3" w:rsidP="00E11FEC">
            <w:pPr>
              <w:jc w:val="right"/>
              <w:rPr>
                <w:rFonts w:cs="Open Sans Light"/>
                <w:color w:val="000000"/>
                <w:sz w:val="16"/>
                <w:szCs w:val="16"/>
              </w:rPr>
            </w:pPr>
            <w:r>
              <w:rPr>
                <w:rFonts w:cs="Open Sans Light"/>
                <w:color w:val="000000"/>
                <w:sz w:val="16"/>
                <w:szCs w:val="16"/>
              </w:rPr>
              <w:t>0</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423B5B19" w14:textId="77777777" w:rsidR="00EC01F3" w:rsidRDefault="00EC01F3" w:rsidP="00E11FEC">
            <w:pPr>
              <w:jc w:val="right"/>
              <w:rPr>
                <w:rFonts w:cs="Open Sans Light"/>
                <w:color w:val="000000"/>
                <w:sz w:val="16"/>
                <w:szCs w:val="16"/>
              </w:rPr>
            </w:pPr>
            <w:r>
              <w:rPr>
                <w:rFonts w:cs="Open Sans Light"/>
                <w:color w:val="000000"/>
                <w:sz w:val="16"/>
                <w:szCs w:val="16"/>
              </w:rPr>
              <w:t>-1</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7A22A944" w14:textId="77777777" w:rsidR="00EC01F3" w:rsidRDefault="00EC01F3" w:rsidP="00E11FEC">
            <w:pPr>
              <w:jc w:val="right"/>
              <w:rPr>
                <w:rFonts w:cs="Open Sans Light"/>
                <w:color w:val="000000"/>
                <w:sz w:val="16"/>
                <w:szCs w:val="16"/>
              </w:rPr>
            </w:pPr>
            <w:r>
              <w:rPr>
                <w:rFonts w:cs="Open Sans Light"/>
                <w:color w:val="000000"/>
                <w:sz w:val="16"/>
                <w:szCs w:val="16"/>
              </w:rPr>
              <w:t>0</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1EC49815" w14:textId="77777777" w:rsidR="00EC01F3" w:rsidRDefault="00EC01F3" w:rsidP="00E11FEC">
            <w:pPr>
              <w:jc w:val="right"/>
              <w:rPr>
                <w:rFonts w:cs="Open Sans Light"/>
                <w:color w:val="000000"/>
                <w:sz w:val="16"/>
                <w:szCs w:val="16"/>
              </w:rPr>
            </w:pPr>
            <w:r>
              <w:rPr>
                <w:rFonts w:cs="Open Sans Light"/>
                <w:color w:val="000000"/>
                <w:sz w:val="16"/>
                <w:szCs w:val="16"/>
              </w:rPr>
              <w:t>2</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770B1333" w14:textId="77777777" w:rsidR="00EC01F3" w:rsidRDefault="00EC01F3" w:rsidP="00E11FEC">
            <w:pPr>
              <w:jc w:val="right"/>
              <w:rPr>
                <w:rFonts w:cs="Open Sans Light"/>
                <w:color w:val="000000"/>
                <w:sz w:val="16"/>
                <w:szCs w:val="16"/>
              </w:rPr>
            </w:pPr>
            <w:r>
              <w:rPr>
                <w:rFonts w:cs="Open Sans Light"/>
                <w:color w:val="000000"/>
                <w:sz w:val="16"/>
                <w:szCs w:val="16"/>
              </w:rPr>
              <w:t>-1</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7EEC86DB" w14:textId="77777777" w:rsidR="00EC01F3" w:rsidRDefault="00EC01F3" w:rsidP="00E11FEC">
            <w:pPr>
              <w:jc w:val="right"/>
              <w:rPr>
                <w:rFonts w:cs="Open Sans Light"/>
                <w:color w:val="000000"/>
                <w:sz w:val="16"/>
                <w:szCs w:val="16"/>
              </w:rPr>
            </w:pPr>
            <w:r>
              <w:rPr>
                <w:rFonts w:cs="Open Sans Light"/>
                <w:color w:val="000000"/>
                <w:sz w:val="16"/>
                <w:szCs w:val="16"/>
              </w:rPr>
              <w:t>0</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52FE7F29" w14:textId="77777777" w:rsidR="00EC01F3" w:rsidRDefault="00EC01F3" w:rsidP="00E11FEC">
            <w:pPr>
              <w:jc w:val="right"/>
              <w:rPr>
                <w:rFonts w:cs="Open Sans Light"/>
                <w:color w:val="000000"/>
                <w:sz w:val="16"/>
                <w:szCs w:val="16"/>
              </w:rPr>
            </w:pPr>
            <w:r>
              <w:rPr>
                <w:rFonts w:cs="Open Sans Light"/>
                <w:color w:val="000000"/>
                <w:sz w:val="16"/>
                <w:szCs w:val="16"/>
              </w:rPr>
              <w:t>0</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08612EA0" w14:textId="77777777" w:rsidR="00EC01F3" w:rsidRDefault="00EC01F3" w:rsidP="00E11FEC">
            <w:pPr>
              <w:jc w:val="right"/>
              <w:rPr>
                <w:rFonts w:cs="Open Sans Light"/>
                <w:color w:val="000000"/>
                <w:sz w:val="16"/>
                <w:szCs w:val="16"/>
              </w:rPr>
            </w:pPr>
            <w:r>
              <w:rPr>
                <w:rFonts w:cs="Open Sans Light"/>
                <w:color w:val="000000"/>
                <w:sz w:val="16"/>
                <w:szCs w:val="16"/>
              </w:rPr>
              <w:t>13</w:t>
            </w:r>
          </w:p>
        </w:tc>
        <w:tc>
          <w:tcPr>
            <w:tcW w:w="600" w:type="dxa"/>
            <w:tcBorders>
              <w:top w:val="single" w:sz="4" w:space="0" w:color="ADD6EA"/>
              <w:left w:val="nil"/>
              <w:bottom w:val="nil"/>
              <w:right w:val="nil"/>
            </w:tcBorders>
            <w:shd w:val="clear" w:color="000000" w:fill="FFFFFF"/>
            <w:tcMar>
              <w:top w:w="15" w:type="dxa"/>
              <w:left w:w="15" w:type="dxa"/>
              <w:bottom w:w="0" w:type="dxa"/>
              <w:right w:w="15" w:type="dxa"/>
            </w:tcMar>
            <w:vAlign w:val="center"/>
            <w:hideMark/>
          </w:tcPr>
          <w:p w14:paraId="134664BA" w14:textId="77777777" w:rsidR="00EC01F3" w:rsidRDefault="00EC01F3" w:rsidP="00E11FEC">
            <w:pPr>
              <w:jc w:val="right"/>
              <w:rPr>
                <w:rFonts w:cs="Open Sans Light"/>
                <w:color w:val="000000"/>
                <w:sz w:val="16"/>
                <w:szCs w:val="16"/>
              </w:rPr>
            </w:pPr>
            <w:r>
              <w:rPr>
                <w:rFonts w:cs="Open Sans Light"/>
                <w:color w:val="000000"/>
                <w:sz w:val="16"/>
                <w:szCs w:val="16"/>
              </w:rPr>
              <w:t>0</w:t>
            </w:r>
          </w:p>
        </w:tc>
      </w:tr>
      <w:tr w:rsidR="00EC01F3" w14:paraId="5326EC94" w14:textId="77777777" w:rsidTr="00E11FEC">
        <w:trPr>
          <w:trHeight w:val="300"/>
        </w:trPr>
        <w:tc>
          <w:tcPr>
            <w:tcW w:w="3520" w:type="dxa"/>
            <w:tcBorders>
              <w:top w:val="single" w:sz="4" w:space="0" w:color="ADD6EA"/>
              <w:left w:val="nil"/>
              <w:bottom w:val="single" w:sz="4" w:space="0" w:color="ADD6EA"/>
              <w:right w:val="nil"/>
            </w:tcBorders>
            <w:shd w:val="clear" w:color="000000" w:fill="D6E7F0"/>
            <w:tcMar>
              <w:top w:w="15" w:type="dxa"/>
              <w:left w:w="15" w:type="dxa"/>
              <w:bottom w:w="0" w:type="dxa"/>
              <w:right w:w="15" w:type="dxa"/>
            </w:tcMar>
            <w:vAlign w:val="center"/>
            <w:hideMark/>
          </w:tcPr>
          <w:p w14:paraId="37A7A726" w14:textId="77777777" w:rsidR="00EC01F3" w:rsidRDefault="00EC01F3" w:rsidP="00E11FEC">
            <w:pPr>
              <w:rPr>
                <w:rFonts w:ascii="Open Sans Semibold" w:hAnsi="Open Sans Semibold" w:cs="Open Sans Semibold"/>
                <w:color w:val="000000"/>
                <w:sz w:val="16"/>
                <w:szCs w:val="16"/>
              </w:rPr>
            </w:pPr>
            <w:r>
              <w:rPr>
                <w:rFonts w:ascii="Open Sans Semibold" w:hAnsi="Open Sans Semibold" w:cs="Open Sans Semibold"/>
                <w:color w:val="000000"/>
                <w:sz w:val="16"/>
                <w:szCs w:val="16"/>
              </w:rPr>
              <w:t>Total</w:t>
            </w:r>
          </w:p>
        </w:tc>
        <w:tc>
          <w:tcPr>
            <w:tcW w:w="600" w:type="dxa"/>
            <w:tcBorders>
              <w:top w:val="single" w:sz="4" w:space="0" w:color="ADD6EA"/>
              <w:left w:val="nil"/>
              <w:bottom w:val="single" w:sz="4" w:space="0" w:color="ADD6EA"/>
              <w:right w:val="nil"/>
            </w:tcBorders>
            <w:shd w:val="clear" w:color="000000" w:fill="D6E7F0"/>
            <w:tcMar>
              <w:top w:w="15" w:type="dxa"/>
              <w:left w:w="15" w:type="dxa"/>
              <w:bottom w:w="0" w:type="dxa"/>
              <w:right w:w="15" w:type="dxa"/>
            </w:tcMar>
            <w:vAlign w:val="center"/>
            <w:hideMark/>
          </w:tcPr>
          <w:p w14:paraId="35C430A7"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0</w:t>
            </w:r>
          </w:p>
        </w:tc>
        <w:tc>
          <w:tcPr>
            <w:tcW w:w="600" w:type="dxa"/>
            <w:tcBorders>
              <w:top w:val="single" w:sz="4" w:space="0" w:color="ADD6EA"/>
              <w:left w:val="nil"/>
              <w:bottom w:val="single" w:sz="4" w:space="0" w:color="ADD6EA"/>
              <w:right w:val="nil"/>
            </w:tcBorders>
            <w:shd w:val="clear" w:color="000000" w:fill="D6E7F0"/>
            <w:tcMar>
              <w:top w:w="15" w:type="dxa"/>
              <w:left w:w="15" w:type="dxa"/>
              <w:bottom w:w="0" w:type="dxa"/>
              <w:right w:w="15" w:type="dxa"/>
            </w:tcMar>
            <w:vAlign w:val="center"/>
            <w:hideMark/>
          </w:tcPr>
          <w:p w14:paraId="428B33F6"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-10</w:t>
            </w:r>
          </w:p>
        </w:tc>
        <w:tc>
          <w:tcPr>
            <w:tcW w:w="600" w:type="dxa"/>
            <w:tcBorders>
              <w:top w:val="single" w:sz="4" w:space="0" w:color="ADD6EA"/>
              <w:left w:val="nil"/>
              <w:bottom w:val="single" w:sz="4" w:space="0" w:color="ADD6EA"/>
              <w:right w:val="nil"/>
            </w:tcBorders>
            <w:shd w:val="clear" w:color="000000" w:fill="D6E7F0"/>
            <w:tcMar>
              <w:top w:w="15" w:type="dxa"/>
              <w:left w:w="15" w:type="dxa"/>
              <w:bottom w:w="0" w:type="dxa"/>
              <w:right w:w="15" w:type="dxa"/>
            </w:tcMar>
            <w:vAlign w:val="center"/>
            <w:hideMark/>
          </w:tcPr>
          <w:p w14:paraId="71552E2B"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9</w:t>
            </w:r>
          </w:p>
        </w:tc>
        <w:tc>
          <w:tcPr>
            <w:tcW w:w="600" w:type="dxa"/>
            <w:tcBorders>
              <w:top w:val="single" w:sz="4" w:space="0" w:color="ADD6EA"/>
              <w:left w:val="nil"/>
              <w:bottom w:val="single" w:sz="4" w:space="0" w:color="ADD6EA"/>
              <w:right w:val="nil"/>
            </w:tcBorders>
            <w:shd w:val="clear" w:color="000000" w:fill="D6E7F0"/>
            <w:tcMar>
              <w:top w:w="15" w:type="dxa"/>
              <w:left w:w="15" w:type="dxa"/>
              <w:bottom w:w="0" w:type="dxa"/>
              <w:right w:w="15" w:type="dxa"/>
            </w:tcMar>
            <w:vAlign w:val="center"/>
            <w:hideMark/>
          </w:tcPr>
          <w:p w14:paraId="6BD92499"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1</w:t>
            </w:r>
          </w:p>
        </w:tc>
        <w:tc>
          <w:tcPr>
            <w:tcW w:w="600" w:type="dxa"/>
            <w:tcBorders>
              <w:top w:val="single" w:sz="4" w:space="0" w:color="ADD6EA"/>
              <w:left w:val="nil"/>
              <w:bottom w:val="single" w:sz="4" w:space="0" w:color="ADD6EA"/>
              <w:right w:val="nil"/>
            </w:tcBorders>
            <w:shd w:val="clear" w:color="000000" w:fill="D6E7F0"/>
            <w:tcMar>
              <w:top w:w="15" w:type="dxa"/>
              <w:left w:w="15" w:type="dxa"/>
              <w:bottom w:w="0" w:type="dxa"/>
              <w:right w:w="15" w:type="dxa"/>
            </w:tcMar>
            <w:vAlign w:val="center"/>
            <w:hideMark/>
          </w:tcPr>
          <w:p w14:paraId="045E00E4"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-6</w:t>
            </w:r>
          </w:p>
        </w:tc>
        <w:tc>
          <w:tcPr>
            <w:tcW w:w="600" w:type="dxa"/>
            <w:tcBorders>
              <w:top w:val="single" w:sz="4" w:space="0" w:color="ADD6EA"/>
              <w:left w:val="nil"/>
              <w:bottom w:val="single" w:sz="4" w:space="0" w:color="ADD6EA"/>
              <w:right w:val="nil"/>
            </w:tcBorders>
            <w:shd w:val="clear" w:color="000000" w:fill="D6E7F0"/>
            <w:tcMar>
              <w:top w:w="15" w:type="dxa"/>
              <w:left w:w="15" w:type="dxa"/>
              <w:bottom w:w="0" w:type="dxa"/>
              <w:right w:w="15" w:type="dxa"/>
            </w:tcMar>
            <w:vAlign w:val="center"/>
            <w:hideMark/>
          </w:tcPr>
          <w:p w14:paraId="2554CF52"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9</w:t>
            </w:r>
          </w:p>
        </w:tc>
        <w:tc>
          <w:tcPr>
            <w:tcW w:w="600" w:type="dxa"/>
            <w:tcBorders>
              <w:top w:val="single" w:sz="4" w:space="0" w:color="ADD6EA"/>
              <w:left w:val="nil"/>
              <w:bottom w:val="single" w:sz="4" w:space="0" w:color="ADD6EA"/>
              <w:right w:val="nil"/>
            </w:tcBorders>
            <w:shd w:val="clear" w:color="000000" w:fill="D6E7F0"/>
            <w:tcMar>
              <w:top w:w="15" w:type="dxa"/>
              <w:left w:w="15" w:type="dxa"/>
              <w:bottom w:w="0" w:type="dxa"/>
              <w:right w:w="15" w:type="dxa"/>
            </w:tcMar>
            <w:vAlign w:val="center"/>
            <w:hideMark/>
          </w:tcPr>
          <w:p w14:paraId="41A241E0"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-18</w:t>
            </w:r>
          </w:p>
        </w:tc>
        <w:tc>
          <w:tcPr>
            <w:tcW w:w="600" w:type="dxa"/>
            <w:tcBorders>
              <w:top w:val="single" w:sz="4" w:space="0" w:color="ADD6EA"/>
              <w:left w:val="nil"/>
              <w:bottom w:val="single" w:sz="4" w:space="0" w:color="ADD6EA"/>
              <w:right w:val="nil"/>
            </w:tcBorders>
            <w:shd w:val="clear" w:color="000000" w:fill="D6E7F0"/>
            <w:tcMar>
              <w:top w:w="15" w:type="dxa"/>
              <w:left w:w="15" w:type="dxa"/>
              <w:bottom w:w="0" w:type="dxa"/>
              <w:right w:w="15" w:type="dxa"/>
            </w:tcMar>
            <w:vAlign w:val="center"/>
            <w:hideMark/>
          </w:tcPr>
          <w:p w14:paraId="08C5F3FD"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119</w:t>
            </w:r>
          </w:p>
        </w:tc>
        <w:tc>
          <w:tcPr>
            <w:tcW w:w="600" w:type="dxa"/>
            <w:tcBorders>
              <w:top w:val="single" w:sz="4" w:space="0" w:color="ADD6EA"/>
              <w:left w:val="nil"/>
              <w:bottom w:val="single" w:sz="4" w:space="0" w:color="ADD6EA"/>
              <w:right w:val="nil"/>
            </w:tcBorders>
            <w:shd w:val="clear" w:color="000000" w:fill="D6E7F0"/>
            <w:tcMar>
              <w:top w:w="15" w:type="dxa"/>
              <w:left w:w="15" w:type="dxa"/>
              <w:bottom w:w="0" w:type="dxa"/>
              <w:right w:w="15" w:type="dxa"/>
            </w:tcMar>
            <w:vAlign w:val="center"/>
            <w:hideMark/>
          </w:tcPr>
          <w:p w14:paraId="2D2DDA92" w14:textId="77777777" w:rsidR="00EC01F3" w:rsidRDefault="00EC01F3" w:rsidP="00E11FEC">
            <w:pPr>
              <w:jc w:val="right"/>
              <w:rPr>
                <w:rFonts w:ascii="Open Sans Semibold" w:hAnsi="Open Sans Semibold" w:cs="Open Sans Semibold"/>
                <w:color w:val="000000"/>
                <w:sz w:val="16"/>
                <w:szCs w:val="16"/>
              </w:rPr>
            </w:pPr>
            <w:r>
              <w:rPr>
                <w:rFonts w:ascii="Open Sans Semibold" w:hAnsi="Open Sans Semibold" w:cs="Open Sans Semibold"/>
                <w:color w:val="000000"/>
                <w:sz w:val="16"/>
                <w:szCs w:val="16"/>
              </w:rPr>
              <w:t>3</w:t>
            </w:r>
          </w:p>
        </w:tc>
      </w:tr>
    </w:tbl>
    <w:p w14:paraId="69722EFF" w14:textId="3267DECB" w:rsidR="00733FB4" w:rsidRPr="00567B9B" w:rsidRDefault="00141A83" w:rsidP="00623FD4">
      <w:pPr>
        <w:pStyle w:val="CGC2025TableNote"/>
      </w:pPr>
      <w:r>
        <w:t>(</w:t>
      </w:r>
      <w:r w:rsidR="00623FD4" w:rsidRPr="00ED7CE8">
        <w:t>a</w:t>
      </w:r>
      <w:r>
        <w:t>)</w:t>
      </w:r>
      <w:r w:rsidR="00623FD4" w:rsidRPr="00567B9B">
        <w:t xml:space="preserve"> </w:t>
      </w:r>
      <w:r w:rsidR="004B3155" w:rsidRPr="00567B9B">
        <w:t xml:space="preserve">The impact of the new homelessness services assessment includes </w:t>
      </w:r>
      <w:r w:rsidR="0086439A" w:rsidRPr="00567B9B">
        <w:t xml:space="preserve">the budget </w:t>
      </w:r>
      <w:r w:rsidR="007E23F1" w:rsidRPr="00567B9B">
        <w:t>effect</w:t>
      </w:r>
      <w:r w:rsidR="0086439A" w:rsidRPr="00567B9B">
        <w:t xml:space="preserve"> of moving homelessness services spending from housing to welfare, based on data reported by 6 states. For remaining states</w:t>
      </w:r>
      <w:r w:rsidR="001E632B">
        <w:t>,</w:t>
      </w:r>
      <w:r w:rsidR="0086439A" w:rsidRPr="00567B9B">
        <w:t xml:space="preserve"> data is sourced from the Report on Government Services, </w:t>
      </w:r>
      <w:r w:rsidR="00552ECE" w:rsidRPr="00567B9B">
        <w:t xml:space="preserve">with 50% of the spending assumed to be reported in the housing category. </w:t>
      </w:r>
    </w:p>
    <w:p w14:paraId="6B6FF338" w14:textId="111018FD" w:rsidR="00623FD4" w:rsidRPr="00567B9B" w:rsidRDefault="00A51DED" w:rsidP="00623FD4">
      <w:pPr>
        <w:pStyle w:val="CGC2025TableNote"/>
      </w:pPr>
      <w:r>
        <w:t>(</w:t>
      </w:r>
      <w:r w:rsidR="004B3155" w:rsidRPr="00ED7CE8">
        <w:t>b</w:t>
      </w:r>
      <w:r>
        <w:t>)</w:t>
      </w:r>
      <w:r w:rsidR="004B3155" w:rsidRPr="00567B9B">
        <w:t xml:space="preserve"> </w:t>
      </w:r>
      <w:r w:rsidR="00623FD4" w:rsidRPr="00567B9B">
        <w:t xml:space="preserve">Other changes to the assessment method </w:t>
      </w:r>
      <w:proofErr w:type="gramStart"/>
      <w:r w:rsidR="00623FD4" w:rsidRPr="00567B9B">
        <w:t>include</w:t>
      </w:r>
      <w:r w:rsidR="001E632B">
        <w:t>:</w:t>
      </w:r>
      <w:proofErr w:type="gramEnd"/>
      <w:r w:rsidR="00623FD4" w:rsidRPr="00567B9B">
        <w:t xml:space="preserve"> amalgamating other welfare and the non-NDIS disability, aged care and national redress scheme assessments</w:t>
      </w:r>
      <w:r w:rsidR="005F2821" w:rsidRPr="00567B9B">
        <w:t xml:space="preserve"> and</w:t>
      </w:r>
      <w:r w:rsidR="00623FD4" w:rsidRPr="00567B9B">
        <w:t xml:space="preserve"> changing the data source for </w:t>
      </w:r>
      <w:r w:rsidR="001E632B">
        <w:t>s</w:t>
      </w:r>
      <w:r w:rsidR="00623FD4" w:rsidRPr="00567B9B">
        <w:t>tate contributions to the NDIS to the annually published Department of Social Services Portfolio Budget Statement.</w:t>
      </w:r>
    </w:p>
    <w:p w14:paraId="2A27EA3E" w14:textId="0C430188" w:rsidR="006F6E4C" w:rsidRPr="00567B9B" w:rsidRDefault="006F6E4C" w:rsidP="00415FDD">
      <w:pPr>
        <w:pStyle w:val="CGC2025TableNote"/>
        <w:keepLines/>
        <w:tabs>
          <w:tab w:val="clear" w:pos="567"/>
          <w:tab w:val="clear" w:pos="680"/>
          <w:tab w:val="left" w:pos="709"/>
          <w:tab w:val="left" w:pos="1276"/>
        </w:tabs>
        <w:ind w:left="709" w:hanging="596"/>
      </w:pPr>
      <w:r w:rsidRPr="00567B9B">
        <w:t xml:space="preserve">Note: </w:t>
      </w:r>
      <w:r w:rsidR="00415FDD">
        <w:tab/>
      </w:r>
      <w:r w:rsidRPr="00567B9B">
        <w:t>Based on no change to either the wage costs assessment or the measure of socio-economic status. The effect of these changes is shown in the wage costs and socio-economic status chapters.</w:t>
      </w:r>
    </w:p>
    <w:p w14:paraId="34D1C366" w14:textId="77777777" w:rsidR="001E632B" w:rsidRPr="00DC11A5" w:rsidRDefault="001E632B" w:rsidP="00415FDD">
      <w:pPr>
        <w:pStyle w:val="CGC2025TableNote"/>
        <w:keepLines/>
        <w:tabs>
          <w:tab w:val="clear" w:pos="567"/>
          <w:tab w:val="clear" w:pos="680"/>
          <w:tab w:val="left" w:pos="851"/>
          <w:tab w:val="left" w:pos="993"/>
        </w:tabs>
        <w:ind w:left="709" w:hanging="596"/>
      </w:pPr>
      <w:r>
        <w:tab/>
      </w:r>
      <w:r w:rsidRPr="00DC11A5">
        <w:t>The GST pool and population estimates are equivalent to those used in the 2024 Update.</w:t>
      </w:r>
    </w:p>
    <w:p w14:paraId="6E41E237" w14:textId="77777777" w:rsidR="001E632B" w:rsidRDefault="001E632B" w:rsidP="00415FDD">
      <w:pPr>
        <w:pStyle w:val="CGC2025TableNote"/>
        <w:keepLines/>
        <w:tabs>
          <w:tab w:val="clear" w:pos="567"/>
          <w:tab w:val="left" w:pos="1134"/>
        </w:tabs>
        <w:ind w:left="709" w:firstLine="14"/>
      </w:pPr>
      <w:r w:rsidRPr="00567B9B">
        <w:t>The data included in the table have not been subject to full quality assurance processes and as such, should be treated as indicative only.</w:t>
      </w:r>
    </w:p>
    <w:p w14:paraId="709040BA" w14:textId="77777777" w:rsidR="001E632B" w:rsidRPr="00567B9B" w:rsidRDefault="001E632B" w:rsidP="00415FDD">
      <w:pPr>
        <w:pStyle w:val="CGC2025TableNote"/>
        <w:keepLines/>
        <w:tabs>
          <w:tab w:val="clear" w:pos="567"/>
          <w:tab w:val="left" w:pos="851"/>
        </w:tabs>
        <w:ind w:left="709" w:firstLine="14"/>
      </w:pPr>
      <w:r w:rsidRPr="00DC11A5">
        <w:t xml:space="preserve">Indicative GST impacts are provided for illustrative purposes only and should not be used to predict impacts on </w:t>
      </w:r>
      <w:r>
        <w:t xml:space="preserve">the </w:t>
      </w:r>
      <w:r w:rsidRPr="00DC11A5">
        <w:t>GST distribution for 2025</w:t>
      </w:r>
      <w:r>
        <w:t>–</w:t>
      </w:r>
      <w:r w:rsidRPr="00DC11A5">
        <w:t>26.</w:t>
      </w:r>
    </w:p>
    <w:p w14:paraId="40D29C69" w14:textId="559A94DF" w:rsidR="00623FD4" w:rsidRPr="00567B9B" w:rsidRDefault="00623FD4" w:rsidP="00623FD4">
      <w:pPr>
        <w:pStyle w:val="CGC2025TableNote"/>
      </w:pPr>
    </w:p>
    <w:p w14:paraId="277F89E7" w14:textId="42913DD0" w:rsidR="00A05C74" w:rsidRPr="00567B9B" w:rsidRDefault="00B76BEC">
      <w:pPr>
        <w:pStyle w:val="CGC2025ParaNumbers"/>
      </w:pPr>
      <w:r w:rsidRPr="00567B9B">
        <w:t>The proposed revisions to the regional and service delivery scale general cost gradient</w:t>
      </w:r>
      <w:r w:rsidR="007E1850" w:rsidRPr="00567B9B">
        <w:t xml:space="preserve"> would</w:t>
      </w:r>
      <w:r w:rsidRPr="00567B9B">
        <w:t xml:space="preserve"> lead to a fall in </w:t>
      </w:r>
      <w:r w:rsidR="00C7049D">
        <w:t xml:space="preserve">GST distributed to </w:t>
      </w:r>
      <w:r w:rsidRPr="00567B9B">
        <w:t xml:space="preserve">the Northern Territory from the </w:t>
      </w:r>
      <w:r w:rsidR="00C20B59" w:rsidRPr="00567B9B">
        <w:t>c</w:t>
      </w:r>
      <w:r w:rsidRPr="00567B9B">
        <w:t>hild protection and family services assessment. All other states are</w:t>
      </w:r>
      <w:r w:rsidR="00F2729E" w:rsidRPr="00567B9B">
        <w:t xml:space="preserve"> largely</w:t>
      </w:r>
      <w:r w:rsidRPr="00567B9B">
        <w:t xml:space="preserve"> unaffected by revisions to the general gradient.</w:t>
      </w:r>
      <w:r w:rsidR="00C250FE" w:rsidRPr="00567B9B">
        <w:t xml:space="preserve"> </w:t>
      </w:r>
      <w:r w:rsidR="00873BF0" w:rsidRPr="00567B9B">
        <w:t>The r</w:t>
      </w:r>
      <w:r w:rsidR="0012578D" w:rsidRPr="00567B9B">
        <w:t xml:space="preserve">evisions </w:t>
      </w:r>
      <w:r w:rsidR="00C250FE" w:rsidRPr="00567B9B">
        <w:t xml:space="preserve">to the </w:t>
      </w:r>
      <w:r w:rsidR="00873BF0" w:rsidRPr="00567B9B">
        <w:t>r</w:t>
      </w:r>
      <w:r w:rsidR="00C250FE" w:rsidRPr="00567B9B">
        <w:t>egional cost and services delivery scale gradient</w:t>
      </w:r>
      <w:r w:rsidR="00873BF0" w:rsidRPr="00567B9B">
        <w:t>s</w:t>
      </w:r>
      <w:r w:rsidR="00C250FE" w:rsidRPr="00567B9B">
        <w:t xml:space="preserve"> are discussed in the </w:t>
      </w:r>
      <w:proofErr w:type="gramStart"/>
      <w:r w:rsidR="00C250FE" w:rsidRPr="00567B9B">
        <w:t>Geography</w:t>
      </w:r>
      <w:proofErr w:type="gramEnd"/>
      <w:r w:rsidR="00C250FE" w:rsidRPr="00567B9B">
        <w:t xml:space="preserve"> chapter.</w:t>
      </w:r>
    </w:p>
    <w:p w14:paraId="6CFDA7D7" w14:textId="38AECE4E" w:rsidR="00B02D5C" w:rsidRDefault="005E09D9" w:rsidP="00B02D5C">
      <w:pPr>
        <w:pStyle w:val="CGC2025ParaNumbers"/>
      </w:pPr>
      <w:r w:rsidRPr="00567B9B">
        <w:t xml:space="preserve">Other changes to the assessment method, including the amalgamation of the </w:t>
      </w:r>
      <w:r w:rsidR="00CF38E5" w:rsidRPr="00567B9B">
        <w:t>other expenses and non-NDIS disability services, aged care and national redress scheme</w:t>
      </w:r>
      <w:r w:rsidR="00E42055" w:rsidRPr="00567B9B">
        <w:t xml:space="preserve"> and t</w:t>
      </w:r>
      <w:r w:rsidR="005A7790" w:rsidRPr="00567B9B">
        <w:t xml:space="preserve">he data source change for the NDIS assessment </w:t>
      </w:r>
      <w:r w:rsidR="00CF31B6" w:rsidRPr="00567B9B">
        <w:t xml:space="preserve">would have </w:t>
      </w:r>
      <w:r w:rsidR="005A7790" w:rsidRPr="00567B9B">
        <w:t xml:space="preserve">a </w:t>
      </w:r>
      <w:r w:rsidR="00F2729E" w:rsidRPr="00567B9B">
        <w:t>negligible</w:t>
      </w:r>
      <w:r w:rsidR="005A7790" w:rsidRPr="00567B9B">
        <w:t xml:space="preserve"> </w:t>
      </w:r>
      <w:r w:rsidR="001965D1" w:rsidRPr="00567B9B">
        <w:t xml:space="preserve">impact </w:t>
      </w:r>
      <w:r w:rsidR="005A7790" w:rsidRPr="00567B9B">
        <w:t>on the GST distribution.</w:t>
      </w:r>
    </w:p>
    <w:p w14:paraId="6F6E8B52" w14:textId="77777777" w:rsidR="008965EB" w:rsidRDefault="008965EB">
      <w:pPr>
        <w:tabs>
          <w:tab w:val="clear" w:pos="567"/>
        </w:tabs>
        <w:spacing w:before="0" w:after="200" w:line="276" w:lineRule="auto"/>
        <w:rPr>
          <w:rFonts w:ascii="Work Sans" w:eastAsia="Times New Roman" w:hAnsi="Work Sans" w:cs="Open Sans"/>
          <w:b/>
          <w:bCs/>
          <w:color w:val="006991"/>
          <w:sz w:val="36"/>
          <w:szCs w:val="36"/>
        </w:rPr>
      </w:pPr>
      <w:r>
        <w:br w:type="page"/>
      </w:r>
    </w:p>
    <w:p w14:paraId="4E8B50C5" w14:textId="42A5D87A" w:rsidR="00765EA3" w:rsidRPr="00923599" w:rsidRDefault="00780535" w:rsidP="00923599">
      <w:pPr>
        <w:pStyle w:val="Heading2"/>
      </w:pPr>
      <w:r w:rsidRPr="00923599">
        <w:lastRenderedPageBreak/>
        <w:t>Attachment A</w:t>
      </w:r>
      <w:r w:rsidR="00A67D14" w:rsidRPr="00923599">
        <w:t xml:space="preserve">: </w:t>
      </w:r>
      <w:r w:rsidRPr="008965EB">
        <w:rPr>
          <w:b w:val="0"/>
        </w:rPr>
        <w:t xml:space="preserve">Supplementary </w:t>
      </w:r>
      <w:r w:rsidR="00952344" w:rsidRPr="008965EB">
        <w:rPr>
          <w:b w:val="0"/>
        </w:rPr>
        <w:t xml:space="preserve">information on </w:t>
      </w:r>
      <w:r w:rsidR="00F95C28" w:rsidRPr="008965EB">
        <w:rPr>
          <w:b w:val="0"/>
        </w:rPr>
        <w:t xml:space="preserve">data sources for </w:t>
      </w:r>
      <w:r w:rsidR="00952344" w:rsidRPr="008965EB">
        <w:rPr>
          <w:b w:val="0"/>
        </w:rPr>
        <w:t xml:space="preserve">drivers of homelessness services </w:t>
      </w:r>
      <w:r w:rsidR="00F95C28" w:rsidRPr="008965EB">
        <w:rPr>
          <w:b w:val="0"/>
        </w:rPr>
        <w:t>spending</w:t>
      </w:r>
    </w:p>
    <w:p w14:paraId="26760FE0" w14:textId="065FDF58" w:rsidR="003761BE" w:rsidRDefault="008B39D7" w:rsidP="00994DDA">
      <w:pPr>
        <w:pStyle w:val="CGC2025ParaNumbers"/>
      </w:pPr>
      <w:r>
        <w:t>Tale A-1</w:t>
      </w:r>
      <w:r w:rsidR="008D6294">
        <w:t xml:space="preserve"> </w:t>
      </w:r>
      <w:r w:rsidR="003761BE" w:rsidRPr="00E807F9">
        <w:t xml:space="preserve">in the </w:t>
      </w:r>
      <w:r>
        <w:t>w</w:t>
      </w:r>
      <w:r w:rsidR="003761BE" w:rsidRPr="00E807F9">
        <w:t xml:space="preserve">elfare </w:t>
      </w:r>
      <w:r w:rsidR="00360E56">
        <w:t xml:space="preserve">chapter </w:t>
      </w:r>
      <w:r w:rsidR="003761BE">
        <w:t>summarise</w:t>
      </w:r>
      <w:r w:rsidR="00B7248F">
        <w:t>s</w:t>
      </w:r>
      <w:r w:rsidR="003761BE">
        <w:t xml:space="preserve"> the attributes of available data sets for proposed drivers</w:t>
      </w:r>
      <w:r w:rsidR="00B7248F">
        <w:t xml:space="preserve"> of homelessness services</w:t>
      </w:r>
      <w:r w:rsidR="003761BE">
        <w:t xml:space="preserve">, and </w:t>
      </w:r>
      <w:r w:rsidR="00B22434">
        <w:t xml:space="preserve">whether they </w:t>
      </w:r>
      <w:r w:rsidR="003761BE">
        <w:t>lend themselves to use</w:t>
      </w:r>
      <w:r w:rsidR="0020691F">
        <w:t xml:space="preserve"> in an </w:t>
      </w:r>
      <w:r w:rsidR="00DC69F9">
        <w:t>assessment of homelessness services</w:t>
      </w:r>
      <w:r w:rsidR="003761BE">
        <w:t>.</w:t>
      </w:r>
    </w:p>
    <w:p w14:paraId="1A4BCF02" w14:textId="59E69A68" w:rsidR="003761BE" w:rsidRDefault="003761BE" w:rsidP="003761BE">
      <w:pPr>
        <w:pStyle w:val="CGC2025ParaNumbers"/>
      </w:pPr>
      <w:r>
        <w:t xml:space="preserve">This </w:t>
      </w:r>
      <w:r w:rsidR="000415E4">
        <w:t xml:space="preserve">attachment </w:t>
      </w:r>
      <w:r>
        <w:t xml:space="preserve">provides further detail on the data sources </w:t>
      </w:r>
      <w:r w:rsidR="0024198A">
        <w:t xml:space="preserve">that are not considered </w:t>
      </w:r>
      <w:r w:rsidR="00397B9D">
        <w:t xml:space="preserve">suitable for the </w:t>
      </w:r>
      <w:r>
        <w:t>proposed assess</w:t>
      </w:r>
      <w:r w:rsidR="00397B9D">
        <w:t>ment</w:t>
      </w:r>
      <w:r>
        <w:t xml:space="preserve"> method</w:t>
      </w:r>
      <w:r w:rsidR="00397B9D">
        <w:t>.</w:t>
      </w:r>
    </w:p>
    <w:p w14:paraId="69512FE7" w14:textId="2E1F7ACE" w:rsidR="003761BE" w:rsidRDefault="003761BE" w:rsidP="00A67D14">
      <w:pPr>
        <w:pStyle w:val="CGC2025Caption"/>
        <w:tabs>
          <w:tab w:val="left" w:pos="1134"/>
        </w:tabs>
      </w:pPr>
      <w:bookmarkStart w:id="29" w:name="_Ref166056017"/>
      <w:r>
        <w:t xml:space="preserve">Table </w:t>
      </w:r>
      <w:r w:rsidR="003F408D">
        <w:t>A-</w:t>
      </w:r>
      <w:bookmarkEnd w:id="29"/>
      <w:r w:rsidR="003F408D">
        <w:t>1</w:t>
      </w:r>
      <w:r>
        <w:tab/>
        <w:t xml:space="preserve">Feasibility of assessing proposed drivers using different data </w:t>
      </w:r>
      <w:proofErr w:type="gramStart"/>
      <w:r>
        <w:t>sources</w:t>
      </w:r>
      <w:proofErr w:type="gramEnd"/>
    </w:p>
    <w:tbl>
      <w:tblPr>
        <w:tblStyle w:val="GridTable2"/>
        <w:tblW w:w="0" w:type="auto"/>
        <w:tblLook w:val="04A0" w:firstRow="1" w:lastRow="0" w:firstColumn="1" w:lastColumn="0" w:noHBand="0" w:noVBand="1"/>
      </w:tblPr>
      <w:tblGrid>
        <w:gridCol w:w="1678"/>
        <w:gridCol w:w="1095"/>
        <w:gridCol w:w="1812"/>
        <w:gridCol w:w="1467"/>
        <w:gridCol w:w="1485"/>
        <w:gridCol w:w="1489"/>
      </w:tblGrid>
      <w:tr w:rsidR="003761BE" w14:paraId="13B4B40F" w14:textId="77777777" w:rsidTr="004536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8" w:type="dxa"/>
            <w:tcBorders>
              <w:top w:val="single" w:sz="4" w:space="0" w:color="auto"/>
              <w:left w:val="nil"/>
              <w:bottom w:val="single" w:sz="4" w:space="0" w:color="auto"/>
              <w:right w:val="single" w:sz="4" w:space="0" w:color="auto"/>
            </w:tcBorders>
          </w:tcPr>
          <w:p w14:paraId="6AA7A940" w14:textId="77777777" w:rsidR="003761BE" w:rsidRPr="003F008F" w:rsidRDefault="003761BE" w:rsidP="00994DDA">
            <w:pPr>
              <w:rPr>
                <w:rFonts w:ascii="Open Sans Semibold" w:hAnsi="Open Sans Semibold" w:cs="Open Sans Semibold"/>
                <w:b w:val="0"/>
                <w:sz w:val="16"/>
                <w:szCs w:val="16"/>
              </w:rPr>
            </w:pPr>
            <w:r w:rsidRPr="003F008F">
              <w:rPr>
                <w:rFonts w:ascii="Open Sans Semibold" w:hAnsi="Open Sans Semibold" w:cs="Open Sans Semibold"/>
                <w:b w:val="0"/>
                <w:sz w:val="16"/>
                <w:szCs w:val="16"/>
              </w:rPr>
              <w:t>Proposed driver</w:t>
            </w:r>
          </w:p>
        </w:tc>
        <w:tc>
          <w:tcPr>
            <w:tcW w:w="1095" w:type="dxa"/>
            <w:tcBorders>
              <w:top w:val="single" w:sz="4" w:space="0" w:color="auto"/>
              <w:left w:val="single" w:sz="4" w:space="0" w:color="auto"/>
              <w:bottom w:val="single" w:sz="4" w:space="0" w:color="auto"/>
              <w:right w:val="single" w:sz="4" w:space="0" w:color="auto"/>
            </w:tcBorders>
          </w:tcPr>
          <w:p w14:paraId="3D14F183" w14:textId="77777777" w:rsidR="003761BE" w:rsidRPr="003F008F" w:rsidRDefault="003761BE" w:rsidP="00994DDA">
            <w:pPr>
              <w:cnfStyle w:val="100000000000" w:firstRow="1" w:lastRow="0" w:firstColumn="0" w:lastColumn="0" w:oddVBand="0" w:evenVBand="0" w:oddHBand="0" w:evenHBand="0" w:firstRowFirstColumn="0" w:firstRowLastColumn="0" w:lastRowFirstColumn="0" w:lastRowLastColumn="0"/>
              <w:rPr>
                <w:rFonts w:ascii="Open Sans Semibold" w:hAnsi="Open Sans Semibold" w:cs="Open Sans Semibold"/>
                <w:b w:val="0"/>
                <w:sz w:val="16"/>
                <w:szCs w:val="16"/>
              </w:rPr>
            </w:pPr>
            <w:r w:rsidRPr="003F008F">
              <w:rPr>
                <w:rFonts w:ascii="Open Sans Semibold" w:hAnsi="Open Sans Semibold" w:cs="Open Sans Semibold"/>
                <w:b w:val="0"/>
                <w:bCs w:val="0"/>
                <w:sz w:val="16"/>
                <w:szCs w:val="16"/>
              </w:rPr>
              <w:t>Available in AIHW data</w:t>
            </w:r>
          </w:p>
        </w:tc>
        <w:tc>
          <w:tcPr>
            <w:tcW w:w="1812" w:type="dxa"/>
            <w:tcBorders>
              <w:top w:val="single" w:sz="4" w:space="0" w:color="auto"/>
              <w:left w:val="single" w:sz="4" w:space="0" w:color="auto"/>
              <w:bottom w:val="single" w:sz="4" w:space="0" w:color="auto"/>
              <w:right w:val="single" w:sz="4" w:space="0" w:color="auto"/>
            </w:tcBorders>
          </w:tcPr>
          <w:p w14:paraId="678212B1" w14:textId="77777777" w:rsidR="003761BE" w:rsidRPr="003F008F" w:rsidRDefault="003761BE" w:rsidP="00994DDA">
            <w:pPr>
              <w:cnfStyle w:val="100000000000" w:firstRow="1" w:lastRow="0" w:firstColumn="0" w:lastColumn="0" w:oddVBand="0" w:evenVBand="0" w:oddHBand="0" w:evenHBand="0" w:firstRowFirstColumn="0" w:firstRowLastColumn="0" w:lastRowFirstColumn="0" w:lastRowLastColumn="0"/>
              <w:rPr>
                <w:rFonts w:ascii="Open Sans Semibold" w:hAnsi="Open Sans Semibold" w:cs="Open Sans Semibold"/>
                <w:b w:val="0"/>
                <w:sz w:val="16"/>
                <w:szCs w:val="16"/>
              </w:rPr>
            </w:pPr>
            <w:r w:rsidRPr="003F008F">
              <w:rPr>
                <w:rFonts w:ascii="Open Sans Semibold" w:hAnsi="Open Sans Semibold" w:cs="Open Sans Semibold"/>
                <w:b w:val="0"/>
                <w:sz w:val="16"/>
                <w:szCs w:val="16"/>
              </w:rPr>
              <w:t>National data source</w:t>
            </w:r>
          </w:p>
        </w:tc>
        <w:tc>
          <w:tcPr>
            <w:tcW w:w="1467" w:type="dxa"/>
            <w:tcBorders>
              <w:top w:val="single" w:sz="4" w:space="0" w:color="auto"/>
              <w:left w:val="single" w:sz="4" w:space="0" w:color="auto"/>
              <w:bottom w:val="single" w:sz="4" w:space="0" w:color="auto"/>
              <w:right w:val="single" w:sz="4" w:space="0" w:color="auto"/>
            </w:tcBorders>
          </w:tcPr>
          <w:p w14:paraId="041403EB" w14:textId="77777777" w:rsidR="003761BE" w:rsidRPr="003F008F" w:rsidRDefault="003761BE" w:rsidP="00994DDA">
            <w:pPr>
              <w:cnfStyle w:val="100000000000" w:firstRow="1" w:lastRow="0" w:firstColumn="0" w:lastColumn="0" w:oddVBand="0" w:evenVBand="0" w:oddHBand="0" w:evenHBand="0" w:firstRowFirstColumn="0" w:firstRowLastColumn="0" w:lastRowFirstColumn="0" w:lastRowLastColumn="0"/>
              <w:rPr>
                <w:rFonts w:ascii="Open Sans Semibold" w:hAnsi="Open Sans Semibold" w:cs="Open Sans Semibold"/>
                <w:b w:val="0"/>
                <w:sz w:val="16"/>
                <w:szCs w:val="16"/>
              </w:rPr>
            </w:pPr>
            <w:r w:rsidRPr="003F008F">
              <w:rPr>
                <w:rFonts w:ascii="Open Sans Semibold" w:hAnsi="Open Sans Semibold" w:cs="Open Sans Semibold"/>
                <w:b w:val="0"/>
                <w:bCs w:val="0"/>
                <w:sz w:val="16"/>
                <w:szCs w:val="16"/>
              </w:rPr>
              <w:t>Cross-classifiable national data</w:t>
            </w:r>
          </w:p>
        </w:tc>
        <w:tc>
          <w:tcPr>
            <w:tcW w:w="1485" w:type="dxa"/>
            <w:tcBorders>
              <w:top w:val="single" w:sz="4" w:space="0" w:color="auto"/>
              <w:left w:val="single" w:sz="4" w:space="0" w:color="auto"/>
              <w:bottom w:val="single" w:sz="4" w:space="0" w:color="auto"/>
              <w:right w:val="single" w:sz="4" w:space="0" w:color="auto"/>
            </w:tcBorders>
          </w:tcPr>
          <w:p w14:paraId="0EE70C44" w14:textId="77777777" w:rsidR="003761BE" w:rsidRPr="003F008F" w:rsidRDefault="003761BE" w:rsidP="00994DDA">
            <w:pPr>
              <w:cnfStyle w:val="100000000000" w:firstRow="1" w:lastRow="0" w:firstColumn="0" w:lastColumn="0" w:oddVBand="0" w:evenVBand="0" w:oddHBand="0" w:evenHBand="0" w:firstRowFirstColumn="0" w:firstRowLastColumn="0" w:lastRowFirstColumn="0" w:lastRowLastColumn="0"/>
              <w:rPr>
                <w:rFonts w:ascii="Open Sans Semibold" w:hAnsi="Open Sans Semibold" w:cs="Open Sans Semibold"/>
                <w:b w:val="0"/>
                <w:sz w:val="16"/>
                <w:szCs w:val="16"/>
              </w:rPr>
            </w:pPr>
            <w:r w:rsidRPr="003F008F">
              <w:rPr>
                <w:rFonts w:ascii="Open Sans Semibold" w:hAnsi="Open Sans Semibold" w:cs="Open Sans Semibold"/>
                <w:b w:val="0"/>
                <w:sz w:val="16"/>
                <w:szCs w:val="16"/>
              </w:rPr>
              <w:t>Sufficient sample size and data quality</w:t>
            </w:r>
          </w:p>
        </w:tc>
        <w:tc>
          <w:tcPr>
            <w:tcW w:w="1489" w:type="dxa"/>
            <w:tcBorders>
              <w:top w:val="single" w:sz="4" w:space="0" w:color="auto"/>
              <w:left w:val="single" w:sz="4" w:space="0" w:color="auto"/>
              <w:bottom w:val="single" w:sz="4" w:space="0" w:color="auto"/>
              <w:right w:val="nil"/>
            </w:tcBorders>
          </w:tcPr>
          <w:p w14:paraId="50CE4187" w14:textId="77777777" w:rsidR="003761BE" w:rsidRPr="003F008F" w:rsidRDefault="003761BE" w:rsidP="00994DDA">
            <w:pPr>
              <w:cnfStyle w:val="100000000000" w:firstRow="1" w:lastRow="0" w:firstColumn="0" w:lastColumn="0" w:oddVBand="0" w:evenVBand="0" w:oddHBand="0" w:evenHBand="0" w:firstRowFirstColumn="0" w:firstRowLastColumn="0" w:lastRowFirstColumn="0" w:lastRowLastColumn="0"/>
              <w:rPr>
                <w:rFonts w:ascii="Open Sans Semibold" w:hAnsi="Open Sans Semibold" w:cs="Open Sans Semibold"/>
                <w:b w:val="0"/>
                <w:sz w:val="16"/>
                <w:szCs w:val="16"/>
              </w:rPr>
            </w:pPr>
            <w:r w:rsidRPr="003F008F">
              <w:rPr>
                <w:rFonts w:ascii="Open Sans Semibold" w:hAnsi="Open Sans Semibold" w:cs="Open Sans Semibold"/>
                <w:b w:val="0"/>
                <w:bCs w:val="0"/>
                <w:sz w:val="16"/>
                <w:szCs w:val="16"/>
              </w:rPr>
              <w:t>Definition consistent with AIHW definition</w:t>
            </w:r>
          </w:p>
        </w:tc>
      </w:tr>
      <w:tr w:rsidR="003761BE" w14:paraId="5E6E19B7" w14:textId="77777777" w:rsidTr="00453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Borders>
              <w:top w:val="single" w:sz="4" w:space="0" w:color="auto"/>
            </w:tcBorders>
          </w:tcPr>
          <w:p w14:paraId="166C5907" w14:textId="77777777" w:rsidR="003761BE" w:rsidRPr="00575AFC" w:rsidRDefault="003761BE" w:rsidP="00994DDA">
            <w:pPr>
              <w:rPr>
                <w:b w:val="0"/>
                <w:bCs w:val="0"/>
                <w:sz w:val="16"/>
                <w:szCs w:val="16"/>
              </w:rPr>
            </w:pPr>
            <w:r w:rsidRPr="00575AFC">
              <w:rPr>
                <w:b w:val="0"/>
                <w:bCs w:val="0"/>
                <w:sz w:val="16"/>
                <w:szCs w:val="16"/>
              </w:rPr>
              <w:t>Indigenous status</w:t>
            </w:r>
          </w:p>
        </w:tc>
        <w:tc>
          <w:tcPr>
            <w:tcW w:w="1095" w:type="dxa"/>
            <w:tcBorders>
              <w:top w:val="single" w:sz="4" w:space="0" w:color="auto"/>
            </w:tcBorders>
          </w:tcPr>
          <w:p w14:paraId="55A01026" w14:textId="77777777" w:rsidR="003761BE" w:rsidRPr="00A10FB3" w:rsidRDefault="003761BE" w:rsidP="00994DDA">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75" behindDoc="0" locked="0" layoutInCell="1" allowOverlap="1" wp14:anchorId="79899CF8" wp14:editId="2F57C1D8">
                  <wp:simplePos x="1936376" y="3777129"/>
                  <wp:positionH relativeFrom="margin">
                    <wp:align>center</wp:align>
                  </wp:positionH>
                  <wp:positionV relativeFrom="margin">
                    <wp:align>center</wp:align>
                  </wp:positionV>
                  <wp:extent cx="173318" cy="173318"/>
                  <wp:effectExtent l="0" t="0" r="0" b="0"/>
                  <wp:wrapSquare wrapText="bothSides"/>
                  <wp:docPr id="259774834" name="Graphic 25977483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812" w:type="dxa"/>
            <w:tcBorders>
              <w:top w:val="single" w:sz="4" w:space="0" w:color="auto"/>
            </w:tcBorders>
          </w:tcPr>
          <w:p w14:paraId="78985AE4" w14:textId="77777777" w:rsidR="003761BE" w:rsidRPr="00A10FB3" w:rsidRDefault="003761BE" w:rsidP="00994DDA">
            <w:pPr>
              <w:cnfStyle w:val="000000100000" w:firstRow="0" w:lastRow="0" w:firstColumn="0" w:lastColumn="0" w:oddVBand="0" w:evenVBand="0" w:oddHBand="1" w:evenHBand="0" w:firstRowFirstColumn="0" w:firstRowLastColumn="0" w:lastRowFirstColumn="0" w:lastRowLastColumn="0"/>
              <w:rPr>
                <w:sz w:val="16"/>
                <w:szCs w:val="16"/>
              </w:rPr>
            </w:pPr>
            <w:r w:rsidRPr="00A10FB3">
              <w:rPr>
                <w:sz w:val="16"/>
                <w:szCs w:val="16"/>
              </w:rPr>
              <w:t>ABS Estimated resident population</w:t>
            </w:r>
          </w:p>
        </w:tc>
        <w:tc>
          <w:tcPr>
            <w:tcW w:w="1467" w:type="dxa"/>
            <w:tcBorders>
              <w:top w:val="single" w:sz="4" w:space="0" w:color="auto"/>
            </w:tcBorders>
          </w:tcPr>
          <w:p w14:paraId="07E3DBE9" w14:textId="77777777" w:rsidR="003761BE" w:rsidRPr="00A10FB3" w:rsidRDefault="003761BE" w:rsidP="00994DDA">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76" behindDoc="0" locked="0" layoutInCell="1" allowOverlap="1" wp14:anchorId="54B436BC" wp14:editId="20A4BE23">
                  <wp:simplePos x="0" y="0"/>
                  <wp:positionH relativeFrom="margin">
                    <wp:align>center</wp:align>
                  </wp:positionH>
                  <wp:positionV relativeFrom="margin">
                    <wp:align>center</wp:align>
                  </wp:positionV>
                  <wp:extent cx="173318" cy="173318"/>
                  <wp:effectExtent l="0" t="0" r="0" b="0"/>
                  <wp:wrapSquare wrapText="bothSides"/>
                  <wp:docPr id="1013883723" name="Graphic 101388372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485" w:type="dxa"/>
            <w:tcBorders>
              <w:top w:val="single" w:sz="4" w:space="0" w:color="auto"/>
            </w:tcBorders>
          </w:tcPr>
          <w:p w14:paraId="4B782F85" w14:textId="77777777" w:rsidR="003761BE" w:rsidRPr="00A10FB3" w:rsidRDefault="003761BE" w:rsidP="00994DDA">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77" behindDoc="0" locked="0" layoutInCell="1" allowOverlap="1" wp14:anchorId="6B1F1782" wp14:editId="22D5CB6B">
                  <wp:simplePos x="0" y="0"/>
                  <wp:positionH relativeFrom="margin">
                    <wp:align>center</wp:align>
                  </wp:positionH>
                  <wp:positionV relativeFrom="margin">
                    <wp:align>center</wp:align>
                  </wp:positionV>
                  <wp:extent cx="173318" cy="173318"/>
                  <wp:effectExtent l="0" t="0" r="0" b="0"/>
                  <wp:wrapSquare wrapText="bothSides"/>
                  <wp:docPr id="149833900" name="Graphic 14983390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489" w:type="dxa"/>
            <w:tcBorders>
              <w:top w:val="single" w:sz="4" w:space="0" w:color="auto"/>
            </w:tcBorders>
          </w:tcPr>
          <w:p w14:paraId="5CC3CBCB" w14:textId="77777777" w:rsidR="003761BE" w:rsidRPr="00A10FB3" w:rsidRDefault="003761BE" w:rsidP="00994DDA">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78" behindDoc="0" locked="0" layoutInCell="1" allowOverlap="1" wp14:anchorId="7EE97EA4" wp14:editId="5EAC5150">
                  <wp:simplePos x="0" y="0"/>
                  <wp:positionH relativeFrom="margin">
                    <wp:align>center</wp:align>
                  </wp:positionH>
                  <wp:positionV relativeFrom="margin">
                    <wp:align>center</wp:align>
                  </wp:positionV>
                  <wp:extent cx="173318" cy="173318"/>
                  <wp:effectExtent l="0" t="0" r="0" b="0"/>
                  <wp:wrapSquare wrapText="bothSides"/>
                  <wp:docPr id="1647709379" name="Graphic 164770937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r>
      <w:tr w:rsidR="003761BE" w14:paraId="0CA55407" w14:textId="77777777" w:rsidTr="00453621">
        <w:tc>
          <w:tcPr>
            <w:cnfStyle w:val="001000000000" w:firstRow="0" w:lastRow="0" w:firstColumn="1" w:lastColumn="0" w:oddVBand="0" w:evenVBand="0" w:oddHBand="0" w:evenHBand="0" w:firstRowFirstColumn="0" w:firstRowLastColumn="0" w:lastRowFirstColumn="0" w:lastRowLastColumn="0"/>
            <w:tcW w:w="1678" w:type="dxa"/>
          </w:tcPr>
          <w:p w14:paraId="40DD5BB2" w14:textId="77777777" w:rsidR="003761BE" w:rsidRPr="00575AFC" w:rsidRDefault="003761BE" w:rsidP="00994DDA">
            <w:pPr>
              <w:rPr>
                <w:b w:val="0"/>
                <w:bCs w:val="0"/>
                <w:sz w:val="16"/>
                <w:szCs w:val="16"/>
              </w:rPr>
            </w:pPr>
            <w:r w:rsidRPr="00575AFC">
              <w:rPr>
                <w:b w:val="0"/>
                <w:bCs w:val="0"/>
                <w:sz w:val="16"/>
                <w:szCs w:val="16"/>
              </w:rPr>
              <w:t>Age</w:t>
            </w:r>
          </w:p>
        </w:tc>
        <w:tc>
          <w:tcPr>
            <w:tcW w:w="1095" w:type="dxa"/>
          </w:tcPr>
          <w:p w14:paraId="071389D1" w14:textId="77777777" w:rsidR="003761BE" w:rsidRPr="00A10FB3" w:rsidRDefault="003761BE" w:rsidP="00994DDA">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79" behindDoc="0" locked="0" layoutInCell="1" allowOverlap="1" wp14:anchorId="13B84E18" wp14:editId="2098B501">
                  <wp:simplePos x="0" y="0"/>
                  <wp:positionH relativeFrom="margin">
                    <wp:align>center</wp:align>
                  </wp:positionH>
                  <wp:positionV relativeFrom="margin">
                    <wp:align>top</wp:align>
                  </wp:positionV>
                  <wp:extent cx="173318" cy="173318"/>
                  <wp:effectExtent l="0" t="0" r="0" b="0"/>
                  <wp:wrapSquare wrapText="bothSides"/>
                  <wp:docPr id="825304491" name="Graphic 82530449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812" w:type="dxa"/>
          </w:tcPr>
          <w:p w14:paraId="139ADBB7" w14:textId="77777777" w:rsidR="003761BE" w:rsidRPr="00A10FB3" w:rsidRDefault="003761BE" w:rsidP="00994DDA">
            <w:pPr>
              <w:cnfStyle w:val="000000000000" w:firstRow="0" w:lastRow="0" w:firstColumn="0" w:lastColumn="0" w:oddVBand="0" w:evenVBand="0" w:oddHBand="0" w:evenHBand="0" w:firstRowFirstColumn="0" w:firstRowLastColumn="0" w:lastRowFirstColumn="0" w:lastRowLastColumn="0"/>
              <w:rPr>
                <w:sz w:val="16"/>
                <w:szCs w:val="16"/>
              </w:rPr>
            </w:pPr>
            <w:r w:rsidRPr="00A10FB3">
              <w:rPr>
                <w:sz w:val="16"/>
                <w:szCs w:val="16"/>
              </w:rPr>
              <w:t>ABS Estimated resident population</w:t>
            </w:r>
          </w:p>
        </w:tc>
        <w:tc>
          <w:tcPr>
            <w:tcW w:w="1467" w:type="dxa"/>
          </w:tcPr>
          <w:p w14:paraId="36EBA537" w14:textId="77777777" w:rsidR="003761BE" w:rsidRPr="00A10FB3" w:rsidRDefault="003761BE" w:rsidP="00994DDA">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80" behindDoc="0" locked="0" layoutInCell="1" allowOverlap="1" wp14:anchorId="1D64A961" wp14:editId="39C2A2B0">
                  <wp:simplePos x="0" y="0"/>
                  <wp:positionH relativeFrom="margin">
                    <wp:align>center</wp:align>
                  </wp:positionH>
                  <wp:positionV relativeFrom="margin">
                    <wp:align>top</wp:align>
                  </wp:positionV>
                  <wp:extent cx="173318" cy="173318"/>
                  <wp:effectExtent l="0" t="0" r="0" b="0"/>
                  <wp:wrapSquare wrapText="bothSides"/>
                  <wp:docPr id="379227864" name="Graphic 37922786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485" w:type="dxa"/>
          </w:tcPr>
          <w:p w14:paraId="092E0F7E" w14:textId="77777777" w:rsidR="003761BE" w:rsidRPr="00A10FB3" w:rsidRDefault="003761BE" w:rsidP="00994DDA">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81" behindDoc="0" locked="0" layoutInCell="1" allowOverlap="1" wp14:anchorId="7AE81978" wp14:editId="35260123">
                  <wp:simplePos x="0" y="0"/>
                  <wp:positionH relativeFrom="margin">
                    <wp:align>center</wp:align>
                  </wp:positionH>
                  <wp:positionV relativeFrom="margin">
                    <wp:align>top</wp:align>
                  </wp:positionV>
                  <wp:extent cx="173318" cy="173318"/>
                  <wp:effectExtent l="0" t="0" r="0" b="0"/>
                  <wp:wrapSquare wrapText="bothSides"/>
                  <wp:docPr id="2060066930" name="Graphic 206006693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489" w:type="dxa"/>
          </w:tcPr>
          <w:p w14:paraId="47150673" w14:textId="77777777" w:rsidR="003761BE" w:rsidRPr="00A10FB3" w:rsidRDefault="003761BE" w:rsidP="00994DDA">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82" behindDoc="0" locked="0" layoutInCell="1" allowOverlap="1" wp14:anchorId="0E066EF7" wp14:editId="27DBA5A4">
                  <wp:simplePos x="0" y="0"/>
                  <wp:positionH relativeFrom="margin">
                    <wp:align>center</wp:align>
                  </wp:positionH>
                  <wp:positionV relativeFrom="margin">
                    <wp:align>top</wp:align>
                  </wp:positionV>
                  <wp:extent cx="173318" cy="173318"/>
                  <wp:effectExtent l="0" t="0" r="0" b="0"/>
                  <wp:wrapSquare wrapText="bothSides"/>
                  <wp:docPr id="2032205949" name="Graphic 203220594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r>
      <w:tr w:rsidR="003761BE" w14:paraId="36C56987" w14:textId="77777777" w:rsidTr="00453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3D9559C0" w14:textId="77777777" w:rsidR="003761BE" w:rsidRPr="00575AFC" w:rsidRDefault="003761BE" w:rsidP="00994DDA">
            <w:pPr>
              <w:rPr>
                <w:b w:val="0"/>
                <w:bCs w:val="0"/>
                <w:sz w:val="16"/>
                <w:szCs w:val="16"/>
              </w:rPr>
            </w:pPr>
            <w:r w:rsidRPr="00575AFC">
              <w:rPr>
                <w:b w:val="0"/>
                <w:bCs w:val="0"/>
                <w:sz w:val="16"/>
                <w:szCs w:val="16"/>
              </w:rPr>
              <w:t>Socio-economic status</w:t>
            </w:r>
          </w:p>
        </w:tc>
        <w:tc>
          <w:tcPr>
            <w:tcW w:w="1095" w:type="dxa"/>
          </w:tcPr>
          <w:p w14:paraId="25A0DFFC" w14:textId="77777777" w:rsidR="003761BE" w:rsidRPr="00A10FB3" w:rsidRDefault="003761BE" w:rsidP="00994DDA">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83" behindDoc="0" locked="0" layoutInCell="1" allowOverlap="1" wp14:anchorId="306E48FD" wp14:editId="11F2E589">
                  <wp:simplePos x="0" y="0"/>
                  <wp:positionH relativeFrom="margin">
                    <wp:align>center</wp:align>
                  </wp:positionH>
                  <wp:positionV relativeFrom="margin">
                    <wp:align>center</wp:align>
                  </wp:positionV>
                  <wp:extent cx="173318" cy="173318"/>
                  <wp:effectExtent l="0" t="0" r="0" b="0"/>
                  <wp:wrapSquare wrapText="bothSides"/>
                  <wp:docPr id="678771214" name="Graphic 67877121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812" w:type="dxa"/>
          </w:tcPr>
          <w:p w14:paraId="27BD9A18" w14:textId="77777777" w:rsidR="003761BE" w:rsidRPr="00A10FB3" w:rsidRDefault="003761BE" w:rsidP="00994DDA">
            <w:pPr>
              <w:cnfStyle w:val="000000100000" w:firstRow="0" w:lastRow="0" w:firstColumn="0" w:lastColumn="0" w:oddVBand="0" w:evenVBand="0" w:oddHBand="1" w:evenHBand="0" w:firstRowFirstColumn="0" w:firstRowLastColumn="0" w:lastRowFirstColumn="0" w:lastRowLastColumn="0"/>
              <w:rPr>
                <w:sz w:val="16"/>
                <w:szCs w:val="16"/>
              </w:rPr>
            </w:pPr>
            <w:r w:rsidRPr="00A10FB3">
              <w:rPr>
                <w:sz w:val="16"/>
                <w:szCs w:val="16"/>
              </w:rPr>
              <w:t>ABS Estimated resident population</w:t>
            </w:r>
          </w:p>
        </w:tc>
        <w:tc>
          <w:tcPr>
            <w:tcW w:w="1467" w:type="dxa"/>
          </w:tcPr>
          <w:p w14:paraId="2FCD5280" w14:textId="77777777" w:rsidR="003761BE" w:rsidRPr="00A10FB3" w:rsidRDefault="003761BE" w:rsidP="00994DDA">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84" behindDoc="0" locked="0" layoutInCell="1" allowOverlap="1" wp14:anchorId="2E5C6128" wp14:editId="290811B3">
                  <wp:simplePos x="0" y="0"/>
                  <wp:positionH relativeFrom="margin">
                    <wp:align>center</wp:align>
                  </wp:positionH>
                  <wp:positionV relativeFrom="margin">
                    <wp:align>center</wp:align>
                  </wp:positionV>
                  <wp:extent cx="173318" cy="173318"/>
                  <wp:effectExtent l="0" t="0" r="0" b="0"/>
                  <wp:wrapSquare wrapText="bothSides"/>
                  <wp:docPr id="987177091" name="Graphic 98717709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485" w:type="dxa"/>
          </w:tcPr>
          <w:p w14:paraId="72E2D2C9" w14:textId="77777777" w:rsidR="003761BE" w:rsidRPr="00A10FB3" w:rsidRDefault="003761BE" w:rsidP="00994DDA">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85" behindDoc="0" locked="0" layoutInCell="1" allowOverlap="1" wp14:anchorId="359BD586" wp14:editId="365B32D2">
                  <wp:simplePos x="0" y="0"/>
                  <wp:positionH relativeFrom="margin">
                    <wp:align>center</wp:align>
                  </wp:positionH>
                  <wp:positionV relativeFrom="margin">
                    <wp:align>center</wp:align>
                  </wp:positionV>
                  <wp:extent cx="173318" cy="173318"/>
                  <wp:effectExtent l="0" t="0" r="0" b="0"/>
                  <wp:wrapSquare wrapText="bothSides"/>
                  <wp:docPr id="186279501" name="Graphic 18627950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489" w:type="dxa"/>
          </w:tcPr>
          <w:p w14:paraId="02BD6481" w14:textId="77777777" w:rsidR="003761BE" w:rsidRPr="00A10FB3" w:rsidRDefault="003761BE" w:rsidP="00994DDA">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86" behindDoc="0" locked="0" layoutInCell="1" allowOverlap="1" wp14:anchorId="63B98485" wp14:editId="5F1DC12D">
                  <wp:simplePos x="0" y="0"/>
                  <wp:positionH relativeFrom="margin">
                    <wp:align>center</wp:align>
                  </wp:positionH>
                  <wp:positionV relativeFrom="margin">
                    <wp:align>center</wp:align>
                  </wp:positionV>
                  <wp:extent cx="173318" cy="173318"/>
                  <wp:effectExtent l="0" t="0" r="0" b="0"/>
                  <wp:wrapSquare wrapText="bothSides"/>
                  <wp:docPr id="267656274" name="Graphic 26765627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r>
      <w:tr w:rsidR="003761BE" w14:paraId="4ADAC83B" w14:textId="77777777" w:rsidTr="00453621">
        <w:tc>
          <w:tcPr>
            <w:cnfStyle w:val="001000000000" w:firstRow="0" w:lastRow="0" w:firstColumn="1" w:lastColumn="0" w:oddVBand="0" w:evenVBand="0" w:oddHBand="0" w:evenHBand="0" w:firstRowFirstColumn="0" w:firstRowLastColumn="0" w:lastRowFirstColumn="0" w:lastRowLastColumn="0"/>
            <w:tcW w:w="1678" w:type="dxa"/>
          </w:tcPr>
          <w:p w14:paraId="4E6E3085" w14:textId="77777777" w:rsidR="003761BE" w:rsidRPr="00575AFC" w:rsidRDefault="003761BE" w:rsidP="00994DDA">
            <w:pPr>
              <w:rPr>
                <w:b w:val="0"/>
                <w:bCs w:val="0"/>
                <w:sz w:val="16"/>
                <w:szCs w:val="16"/>
              </w:rPr>
            </w:pPr>
            <w:r w:rsidRPr="00575AFC">
              <w:rPr>
                <w:b w:val="0"/>
                <w:bCs w:val="0"/>
                <w:sz w:val="16"/>
                <w:szCs w:val="16"/>
              </w:rPr>
              <w:t>Remoteness</w:t>
            </w:r>
          </w:p>
        </w:tc>
        <w:tc>
          <w:tcPr>
            <w:tcW w:w="1095" w:type="dxa"/>
          </w:tcPr>
          <w:p w14:paraId="74482BF0" w14:textId="77777777" w:rsidR="003761BE" w:rsidRPr="00A10FB3" w:rsidRDefault="003761BE" w:rsidP="00994DDA">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87" behindDoc="0" locked="0" layoutInCell="1" allowOverlap="1" wp14:anchorId="1388B38B" wp14:editId="7E5C86F3">
                  <wp:simplePos x="0" y="0"/>
                  <wp:positionH relativeFrom="margin">
                    <wp:align>center</wp:align>
                  </wp:positionH>
                  <wp:positionV relativeFrom="margin">
                    <wp:align>top</wp:align>
                  </wp:positionV>
                  <wp:extent cx="173318" cy="173318"/>
                  <wp:effectExtent l="0" t="0" r="0" b="0"/>
                  <wp:wrapSquare wrapText="bothSides"/>
                  <wp:docPr id="1867284215" name="Graphic 186728421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812" w:type="dxa"/>
          </w:tcPr>
          <w:p w14:paraId="0FCA9D49" w14:textId="77777777" w:rsidR="003761BE" w:rsidRPr="00A10FB3" w:rsidRDefault="003761BE" w:rsidP="00994DDA">
            <w:pPr>
              <w:cnfStyle w:val="000000000000" w:firstRow="0" w:lastRow="0" w:firstColumn="0" w:lastColumn="0" w:oddVBand="0" w:evenVBand="0" w:oddHBand="0" w:evenHBand="0" w:firstRowFirstColumn="0" w:firstRowLastColumn="0" w:lastRowFirstColumn="0" w:lastRowLastColumn="0"/>
              <w:rPr>
                <w:sz w:val="16"/>
                <w:szCs w:val="16"/>
              </w:rPr>
            </w:pPr>
            <w:r w:rsidRPr="00A10FB3">
              <w:rPr>
                <w:sz w:val="16"/>
                <w:szCs w:val="16"/>
              </w:rPr>
              <w:t>ABS Estimated resident population</w:t>
            </w:r>
          </w:p>
        </w:tc>
        <w:tc>
          <w:tcPr>
            <w:tcW w:w="1467" w:type="dxa"/>
          </w:tcPr>
          <w:p w14:paraId="6B00C02D" w14:textId="77777777" w:rsidR="003761BE" w:rsidRPr="00A10FB3" w:rsidRDefault="003761BE" w:rsidP="00994DDA">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88" behindDoc="0" locked="0" layoutInCell="1" allowOverlap="1" wp14:anchorId="3EB225F8" wp14:editId="53676127">
                  <wp:simplePos x="0" y="0"/>
                  <wp:positionH relativeFrom="margin">
                    <wp:align>center</wp:align>
                  </wp:positionH>
                  <wp:positionV relativeFrom="margin">
                    <wp:align>top</wp:align>
                  </wp:positionV>
                  <wp:extent cx="173318" cy="173318"/>
                  <wp:effectExtent l="0" t="0" r="0" b="0"/>
                  <wp:wrapSquare wrapText="bothSides"/>
                  <wp:docPr id="1226810581" name="Graphic 122681058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485" w:type="dxa"/>
          </w:tcPr>
          <w:p w14:paraId="16D96334" w14:textId="77777777" w:rsidR="003761BE" w:rsidRPr="00A10FB3" w:rsidRDefault="003761BE" w:rsidP="00994DDA">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89" behindDoc="0" locked="0" layoutInCell="1" allowOverlap="1" wp14:anchorId="4006E8A3" wp14:editId="64179C64">
                  <wp:simplePos x="0" y="0"/>
                  <wp:positionH relativeFrom="margin">
                    <wp:align>center</wp:align>
                  </wp:positionH>
                  <wp:positionV relativeFrom="margin">
                    <wp:align>top</wp:align>
                  </wp:positionV>
                  <wp:extent cx="173318" cy="173318"/>
                  <wp:effectExtent l="0" t="0" r="0" b="0"/>
                  <wp:wrapSquare wrapText="bothSides"/>
                  <wp:docPr id="1945258453" name="Graphic 194525845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489" w:type="dxa"/>
          </w:tcPr>
          <w:p w14:paraId="2CBF8840" w14:textId="77777777" w:rsidR="003761BE" w:rsidRPr="00A10FB3" w:rsidRDefault="003761BE" w:rsidP="00994DDA">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90" behindDoc="0" locked="0" layoutInCell="1" allowOverlap="1" wp14:anchorId="78D786BC" wp14:editId="7F58D567">
                  <wp:simplePos x="0" y="0"/>
                  <wp:positionH relativeFrom="margin">
                    <wp:align>center</wp:align>
                  </wp:positionH>
                  <wp:positionV relativeFrom="margin">
                    <wp:align>top</wp:align>
                  </wp:positionV>
                  <wp:extent cx="173318" cy="173318"/>
                  <wp:effectExtent l="0" t="0" r="0" b="0"/>
                  <wp:wrapSquare wrapText="bothSides"/>
                  <wp:docPr id="1413251383" name="Graphic 141325138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r>
      <w:tr w:rsidR="003761BE" w14:paraId="489B1998" w14:textId="77777777" w:rsidTr="00453621">
        <w:trPr>
          <w:cnfStyle w:val="000000100000" w:firstRow="0" w:lastRow="0" w:firstColumn="0" w:lastColumn="0" w:oddVBand="0" w:evenVBand="0" w:oddHBand="1" w:evenHBand="0" w:firstRowFirstColumn="0" w:firstRowLastColumn="0" w:lastRowFirstColumn="0" w:lastRowLastColumn="0"/>
          <w:trHeight w:val="1176"/>
        </w:trPr>
        <w:tc>
          <w:tcPr>
            <w:cnfStyle w:val="001000000000" w:firstRow="0" w:lastRow="0" w:firstColumn="1" w:lastColumn="0" w:oddVBand="0" w:evenVBand="0" w:oddHBand="0" w:evenHBand="0" w:firstRowFirstColumn="0" w:firstRowLastColumn="0" w:lastRowFirstColumn="0" w:lastRowLastColumn="0"/>
            <w:tcW w:w="1678" w:type="dxa"/>
          </w:tcPr>
          <w:p w14:paraId="46405620" w14:textId="77777777" w:rsidR="003761BE" w:rsidRPr="00575AFC" w:rsidRDefault="003761BE" w:rsidP="00994DDA">
            <w:pPr>
              <w:rPr>
                <w:b w:val="0"/>
                <w:bCs w:val="0"/>
                <w:sz w:val="16"/>
                <w:szCs w:val="16"/>
              </w:rPr>
            </w:pPr>
            <w:r w:rsidRPr="00575AFC">
              <w:rPr>
                <w:b w:val="0"/>
                <w:bCs w:val="0"/>
                <w:sz w:val="16"/>
                <w:szCs w:val="16"/>
              </w:rPr>
              <w:t>Overcrowding</w:t>
            </w:r>
          </w:p>
        </w:tc>
        <w:tc>
          <w:tcPr>
            <w:tcW w:w="1095" w:type="dxa"/>
          </w:tcPr>
          <w:p w14:paraId="2D34E989" w14:textId="77777777" w:rsidR="003761BE" w:rsidRPr="00A10FB3" w:rsidRDefault="003761BE" w:rsidP="00994DDA">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70" behindDoc="0" locked="0" layoutInCell="1" allowOverlap="1" wp14:anchorId="0DFFBB0B" wp14:editId="26B75AC2">
                  <wp:simplePos x="1936376" y="5516282"/>
                  <wp:positionH relativeFrom="margin">
                    <wp:align>center</wp:align>
                  </wp:positionH>
                  <wp:positionV relativeFrom="margin">
                    <wp:align>top</wp:align>
                  </wp:positionV>
                  <wp:extent cx="197224" cy="197224"/>
                  <wp:effectExtent l="0" t="0" r="0" b="0"/>
                  <wp:wrapSquare wrapText="bothSides"/>
                  <wp:docPr id="194712196" name="Graphic 194712196"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97224" cy="197224"/>
                          </a:xfrm>
                          <a:prstGeom prst="rect">
                            <a:avLst/>
                          </a:prstGeom>
                        </pic:spPr>
                      </pic:pic>
                    </a:graphicData>
                  </a:graphic>
                </wp:anchor>
              </w:drawing>
            </w:r>
          </w:p>
        </w:tc>
        <w:tc>
          <w:tcPr>
            <w:tcW w:w="1812" w:type="dxa"/>
          </w:tcPr>
          <w:p w14:paraId="61EFF36D" w14:textId="77777777" w:rsidR="003761BE" w:rsidRPr="00A10FB3" w:rsidRDefault="003761BE" w:rsidP="00994DDA">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Homelessness operational groups (OPGP) — </w:t>
            </w:r>
            <w:r w:rsidRPr="00307203">
              <w:rPr>
                <w:sz w:val="16"/>
                <w:szCs w:val="16"/>
              </w:rPr>
              <w:t>Census of Population and Housing: Estimating Homelessness</w:t>
            </w:r>
          </w:p>
        </w:tc>
        <w:tc>
          <w:tcPr>
            <w:tcW w:w="1467" w:type="dxa"/>
          </w:tcPr>
          <w:p w14:paraId="4D5A8173" w14:textId="22A16978" w:rsidR="003761BE" w:rsidRPr="00A10FB3" w:rsidRDefault="007F1CA3" w:rsidP="00994DDA">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308" behindDoc="0" locked="0" layoutInCell="1" allowOverlap="1" wp14:anchorId="2557F8A3" wp14:editId="1AF7A170">
                  <wp:simplePos x="0" y="0"/>
                  <wp:positionH relativeFrom="margin">
                    <wp:posOffset>314242</wp:posOffset>
                  </wp:positionH>
                  <wp:positionV relativeFrom="margin">
                    <wp:posOffset>19630</wp:posOffset>
                  </wp:positionV>
                  <wp:extent cx="173318" cy="173318"/>
                  <wp:effectExtent l="0" t="0" r="0" b="0"/>
                  <wp:wrapSquare wrapText="bothSides"/>
                  <wp:docPr id="2123639906" name="Graphic 212363990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485" w:type="dxa"/>
          </w:tcPr>
          <w:p w14:paraId="2425055A" w14:textId="77777777" w:rsidR="003761BE" w:rsidRPr="00A10FB3" w:rsidRDefault="003761BE" w:rsidP="00994DDA">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94" behindDoc="0" locked="0" layoutInCell="1" allowOverlap="1" wp14:anchorId="54D79F70" wp14:editId="6F0C6E84">
                  <wp:simplePos x="0" y="0"/>
                  <wp:positionH relativeFrom="margin">
                    <wp:align>center</wp:align>
                  </wp:positionH>
                  <wp:positionV relativeFrom="margin">
                    <wp:align>top</wp:align>
                  </wp:positionV>
                  <wp:extent cx="173318" cy="173318"/>
                  <wp:effectExtent l="0" t="0" r="0" b="0"/>
                  <wp:wrapSquare wrapText="bothSides"/>
                  <wp:docPr id="45169431" name="Graphic 4516943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489" w:type="dxa"/>
          </w:tcPr>
          <w:p w14:paraId="3B4B08BD" w14:textId="4AEDD0DF" w:rsidR="003761BE" w:rsidRPr="00A10FB3" w:rsidRDefault="00DE17EB" w:rsidP="00DE17EB">
            <w:pPr>
              <w:jc w:val="center"/>
              <w:cnfStyle w:val="000000100000" w:firstRow="0" w:lastRow="0" w:firstColumn="0" w:lastColumn="0" w:oddVBand="0" w:evenVBand="0" w:oddHBand="1" w:evenHBand="0" w:firstRowFirstColumn="0" w:firstRowLastColumn="0" w:lastRowFirstColumn="0" w:lastRowLastColumn="0"/>
              <w:rPr>
                <w:sz w:val="16"/>
                <w:szCs w:val="16"/>
              </w:rPr>
            </w:pPr>
            <w:r>
              <w:rPr>
                <w:noProof/>
                <w:sz w:val="16"/>
                <w:szCs w:val="16"/>
              </w:rPr>
              <w:t>N/A</w:t>
            </w:r>
          </w:p>
        </w:tc>
      </w:tr>
      <w:tr w:rsidR="003761BE" w14:paraId="560E89E7" w14:textId="77777777" w:rsidTr="00453621">
        <w:tc>
          <w:tcPr>
            <w:cnfStyle w:val="001000000000" w:firstRow="0" w:lastRow="0" w:firstColumn="1" w:lastColumn="0" w:oddVBand="0" w:evenVBand="0" w:oddHBand="0" w:evenHBand="0" w:firstRowFirstColumn="0" w:firstRowLastColumn="0" w:lastRowFirstColumn="0" w:lastRowLastColumn="0"/>
            <w:tcW w:w="1678" w:type="dxa"/>
          </w:tcPr>
          <w:p w14:paraId="0131BB62" w14:textId="77777777" w:rsidR="003761BE" w:rsidRPr="00575AFC" w:rsidRDefault="003761BE" w:rsidP="00994DDA">
            <w:pPr>
              <w:rPr>
                <w:b w:val="0"/>
                <w:bCs w:val="0"/>
                <w:sz w:val="16"/>
                <w:szCs w:val="16"/>
              </w:rPr>
            </w:pPr>
            <w:r w:rsidRPr="00575AFC">
              <w:rPr>
                <w:b w:val="0"/>
                <w:bCs w:val="0"/>
                <w:sz w:val="16"/>
                <w:szCs w:val="16"/>
              </w:rPr>
              <w:t xml:space="preserve">Housing affordability </w:t>
            </w:r>
          </w:p>
        </w:tc>
        <w:tc>
          <w:tcPr>
            <w:tcW w:w="1095" w:type="dxa"/>
          </w:tcPr>
          <w:p w14:paraId="6BEE45F0" w14:textId="77777777" w:rsidR="003761BE" w:rsidRPr="00A10FB3" w:rsidRDefault="003761BE" w:rsidP="00994DDA">
            <w:pPr>
              <w:cnfStyle w:val="000000000000" w:firstRow="0" w:lastRow="0" w:firstColumn="0" w:lastColumn="0" w:oddVBand="0" w:evenVBand="0" w:oddHBand="0" w:evenHBand="0" w:firstRowFirstColumn="0" w:firstRowLastColumn="0" w:lastRowFirstColumn="0" w:lastRowLastColumn="0"/>
              <w:rPr>
                <w:noProof/>
                <w:sz w:val="16"/>
                <w:szCs w:val="16"/>
              </w:rPr>
            </w:pPr>
            <w:r w:rsidRPr="00A10FB3">
              <w:rPr>
                <w:noProof/>
                <w:sz w:val="16"/>
                <w:szCs w:val="16"/>
              </w:rPr>
              <w:drawing>
                <wp:anchor distT="0" distB="0" distL="114300" distR="114300" simplePos="0" relativeHeight="251658291" behindDoc="0" locked="0" layoutInCell="1" allowOverlap="1" wp14:anchorId="3ECD0750" wp14:editId="5A9E4AF9">
                  <wp:simplePos x="0" y="0"/>
                  <wp:positionH relativeFrom="margin">
                    <wp:align>center</wp:align>
                  </wp:positionH>
                  <wp:positionV relativeFrom="margin">
                    <wp:align>top</wp:align>
                  </wp:positionV>
                  <wp:extent cx="173318" cy="173318"/>
                  <wp:effectExtent l="0" t="0" r="0" b="0"/>
                  <wp:wrapSquare wrapText="bothSides"/>
                  <wp:docPr id="620435728" name="Graphic 62043572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812" w:type="dxa"/>
          </w:tcPr>
          <w:p w14:paraId="2EFDEFE4" w14:textId="77777777" w:rsidR="003761BE" w:rsidRPr="00A10FB3" w:rsidRDefault="003761BE" w:rsidP="00994DDA">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Rent affordability indicator (RAID) — </w:t>
            </w:r>
            <w:r w:rsidRPr="00307203">
              <w:rPr>
                <w:sz w:val="16"/>
                <w:szCs w:val="16"/>
              </w:rPr>
              <w:t>Census of Population and Housing</w:t>
            </w:r>
          </w:p>
        </w:tc>
        <w:tc>
          <w:tcPr>
            <w:tcW w:w="1467" w:type="dxa"/>
          </w:tcPr>
          <w:p w14:paraId="5EE8CBD4" w14:textId="77777777" w:rsidR="003761BE" w:rsidRPr="00A10FB3" w:rsidRDefault="003761BE" w:rsidP="00994DDA">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72" behindDoc="0" locked="0" layoutInCell="1" allowOverlap="1" wp14:anchorId="05AF142B" wp14:editId="28A563B4">
                  <wp:simplePos x="0" y="0"/>
                  <wp:positionH relativeFrom="margin">
                    <wp:align>center</wp:align>
                  </wp:positionH>
                  <wp:positionV relativeFrom="margin">
                    <wp:align>top</wp:align>
                  </wp:positionV>
                  <wp:extent cx="197224" cy="197224"/>
                  <wp:effectExtent l="0" t="0" r="0" b="0"/>
                  <wp:wrapSquare wrapText="bothSides"/>
                  <wp:docPr id="381485678" name="Graphic 381485678"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97224" cy="197224"/>
                          </a:xfrm>
                          <a:prstGeom prst="rect">
                            <a:avLst/>
                          </a:prstGeom>
                        </pic:spPr>
                      </pic:pic>
                    </a:graphicData>
                  </a:graphic>
                </wp:anchor>
              </w:drawing>
            </w:r>
          </w:p>
        </w:tc>
        <w:tc>
          <w:tcPr>
            <w:tcW w:w="1485" w:type="dxa"/>
          </w:tcPr>
          <w:p w14:paraId="23E0613A" w14:textId="77777777" w:rsidR="003761BE" w:rsidRPr="00A10FB3" w:rsidRDefault="003761BE" w:rsidP="00994DDA">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301" behindDoc="0" locked="0" layoutInCell="1" allowOverlap="1" wp14:anchorId="6BEEBF10" wp14:editId="4124BE60">
                  <wp:simplePos x="0" y="0"/>
                  <wp:positionH relativeFrom="margin">
                    <wp:align>center</wp:align>
                  </wp:positionH>
                  <wp:positionV relativeFrom="margin">
                    <wp:align>top</wp:align>
                  </wp:positionV>
                  <wp:extent cx="173318" cy="173318"/>
                  <wp:effectExtent l="0" t="0" r="0" b="0"/>
                  <wp:wrapSquare wrapText="bothSides"/>
                  <wp:docPr id="1134187239" name="Graphic 113418723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489" w:type="dxa"/>
          </w:tcPr>
          <w:p w14:paraId="71FEC668" w14:textId="77777777" w:rsidR="003761BE" w:rsidRPr="00A10FB3" w:rsidRDefault="003761BE" w:rsidP="00994DDA">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71" behindDoc="0" locked="0" layoutInCell="1" allowOverlap="1" wp14:anchorId="39A84291" wp14:editId="070E786A">
                  <wp:simplePos x="0" y="0"/>
                  <wp:positionH relativeFrom="margin">
                    <wp:align>center</wp:align>
                  </wp:positionH>
                  <wp:positionV relativeFrom="margin">
                    <wp:align>top</wp:align>
                  </wp:positionV>
                  <wp:extent cx="197224" cy="197224"/>
                  <wp:effectExtent l="0" t="0" r="0" b="0"/>
                  <wp:wrapSquare wrapText="bothSides"/>
                  <wp:docPr id="1692964248" name="Graphic 1692964248"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97224" cy="197224"/>
                          </a:xfrm>
                          <a:prstGeom prst="rect">
                            <a:avLst/>
                          </a:prstGeom>
                        </pic:spPr>
                      </pic:pic>
                    </a:graphicData>
                  </a:graphic>
                </wp:anchor>
              </w:drawing>
            </w:r>
          </w:p>
        </w:tc>
      </w:tr>
      <w:tr w:rsidR="003761BE" w14:paraId="5DDBA24F" w14:textId="77777777" w:rsidTr="00453621">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678" w:type="dxa"/>
          </w:tcPr>
          <w:p w14:paraId="06CD4228" w14:textId="77777777" w:rsidR="003761BE" w:rsidRPr="00575AFC" w:rsidRDefault="003761BE" w:rsidP="00994DDA">
            <w:pPr>
              <w:rPr>
                <w:b w:val="0"/>
                <w:bCs w:val="0"/>
                <w:sz w:val="16"/>
                <w:szCs w:val="16"/>
              </w:rPr>
            </w:pPr>
            <w:r w:rsidRPr="00575AFC">
              <w:rPr>
                <w:b w:val="0"/>
                <w:bCs w:val="0"/>
                <w:sz w:val="16"/>
                <w:szCs w:val="16"/>
              </w:rPr>
              <w:t>Family &amp; Domestic Violence</w:t>
            </w:r>
          </w:p>
        </w:tc>
        <w:tc>
          <w:tcPr>
            <w:tcW w:w="1095" w:type="dxa"/>
          </w:tcPr>
          <w:p w14:paraId="0B6FA6D7" w14:textId="77777777" w:rsidR="003761BE" w:rsidRPr="00A10FB3" w:rsidRDefault="003761BE" w:rsidP="00994DDA">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92" behindDoc="0" locked="0" layoutInCell="1" allowOverlap="1" wp14:anchorId="512E35C6" wp14:editId="74D1E0C4">
                  <wp:simplePos x="0" y="0"/>
                  <wp:positionH relativeFrom="margin">
                    <wp:align>center</wp:align>
                  </wp:positionH>
                  <wp:positionV relativeFrom="margin">
                    <wp:align>top</wp:align>
                  </wp:positionV>
                  <wp:extent cx="173318" cy="173318"/>
                  <wp:effectExtent l="0" t="0" r="0" b="0"/>
                  <wp:wrapSquare wrapText="bothSides"/>
                  <wp:docPr id="776914688" name="Graphic 77691468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812" w:type="dxa"/>
          </w:tcPr>
          <w:p w14:paraId="55604352" w14:textId="720017D0" w:rsidR="003761BE" w:rsidRPr="00BE47C5" w:rsidRDefault="003761BE" w:rsidP="00994DDA">
            <w:pPr>
              <w:cnfStyle w:val="000000100000" w:firstRow="0" w:lastRow="0" w:firstColumn="0" w:lastColumn="0" w:oddVBand="0" w:evenVBand="0" w:oddHBand="1" w:evenHBand="0" w:firstRowFirstColumn="0" w:firstRowLastColumn="0" w:lastRowFirstColumn="0" w:lastRowLastColumn="0"/>
              <w:rPr>
                <w:sz w:val="16"/>
                <w:szCs w:val="16"/>
              </w:rPr>
            </w:pPr>
            <w:r w:rsidRPr="00BE47C5">
              <w:rPr>
                <w:sz w:val="16"/>
                <w:szCs w:val="16"/>
              </w:rPr>
              <w:t>20</w:t>
            </w:r>
            <w:r w:rsidR="00F4675D">
              <w:rPr>
                <w:sz w:val="16"/>
                <w:szCs w:val="16"/>
              </w:rPr>
              <w:t>21–22</w:t>
            </w:r>
            <w:r w:rsidRPr="00BE47C5">
              <w:rPr>
                <w:sz w:val="16"/>
                <w:szCs w:val="16"/>
              </w:rPr>
              <w:t xml:space="preserve"> </w:t>
            </w:r>
            <w:r>
              <w:rPr>
                <w:sz w:val="16"/>
                <w:szCs w:val="16"/>
              </w:rPr>
              <w:t>ABS</w:t>
            </w:r>
            <w:r w:rsidRPr="00BE47C5">
              <w:rPr>
                <w:sz w:val="16"/>
                <w:szCs w:val="16"/>
              </w:rPr>
              <w:t xml:space="preserve"> Personal Safety Survey </w:t>
            </w:r>
          </w:p>
        </w:tc>
        <w:tc>
          <w:tcPr>
            <w:tcW w:w="1467" w:type="dxa"/>
          </w:tcPr>
          <w:p w14:paraId="690389FC" w14:textId="77777777" w:rsidR="003761BE" w:rsidRPr="00A10FB3" w:rsidRDefault="003761BE" w:rsidP="00994DDA">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73" behindDoc="0" locked="0" layoutInCell="1" allowOverlap="1" wp14:anchorId="32A8B85D" wp14:editId="0DB596B0">
                  <wp:simplePos x="0" y="0"/>
                  <wp:positionH relativeFrom="margin">
                    <wp:align>center</wp:align>
                  </wp:positionH>
                  <wp:positionV relativeFrom="margin">
                    <wp:align>top</wp:align>
                  </wp:positionV>
                  <wp:extent cx="197224" cy="197224"/>
                  <wp:effectExtent l="0" t="0" r="0" b="0"/>
                  <wp:wrapSquare wrapText="bothSides"/>
                  <wp:docPr id="966605517" name="Graphic 966605517"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97224" cy="197224"/>
                          </a:xfrm>
                          <a:prstGeom prst="rect">
                            <a:avLst/>
                          </a:prstGeom>
                        </pic:spPr>
                      </pic:pic>
                    </a:graphicData>
                  </a:graphic>
                </wp:anchor>
              </w:drawing>
            </w:r>
          </w:p>
        </w:tc>
        <w:tc>
          <w:tcPr>
            <w:tcW w:w="1485" w:type="dxa"/>
          </w:tcPr>
          <w:p w14:paraId="47D189A6" w14:textId="77777777" w:rsidR="003761BE" w:rsidRPr="00A10FB3" w:rsidRDefault="003761BE" w:rsidP="00994DDA">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74" behindDoc="0" locked="0" layoutInCell="1" allowOverlap="1" wp14:anchorId="0A629BAF" wp14:editId="03FB2F77">
                  <wp:simplePos x="0" y="0"/>
                  <wp:positionH relativeFrom="margin">
                    <wp:align>center</wp:align>
                  </wp:positionH>
                  <wp:positionV relativeFrom="margin">
                    <wp:align>top</wp:align>
                  </wp:positionV>
                  <wp:extent cx="197224" cy="197224"/>
                  <wp:effectExtent l="0" t="0" r="0" b="0"/>
                  <wp:wrapSquare wrapText="bothSides"/>
                  <wp:docPr id="2464988" name="Graphic 2464988"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97224" cy="197224"/>
                          </a:xfrm>
                          <a:prstGeom prst="rect">
                            <a:avLst/>
                          </a:prstGeom>
                        </pic:spPr>
                      </pic:pic>
                    </a:graphicData>
                  </a:graphic>
                </wp:anchor>
              </w:drawing>
            </w:r>
          </w:p>
        </w:tc>
        <w:tc>
          <w:tcPr>
            <w:tcW w:w="1489" w:type="dxa"/>
          </w:tcPr>
          <w:p w14:paraId="4C9A7DDF" w14:textId="77777777" w:rsidR="003761BE" w:rsidRPr="00A10FB3" w:rsidRDefault="003761BE" w:rsidP="00994DDA">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303" behindDoc="0" locked="0" layoutInCell="1" allowOverlap="1" wp14:anchorId="5658A61F" wp14:editId="21E9CE74">
                  <wp:simplePos x="0" y="0"/>
                  <wp:positionH relativeFrom="margin">
                    <wp:align>center</wp:align>
                  </wp:positionH>
                  <wp:positionV relativeFrom="margin">
                    <wp:align>top</wp:align>
                  </wp:positionV>
                  <wp:extent cx="173318" cy="173318"/>
                  <wp:effectExtent l="0" t="0" r="0" b="0"/>
                  <wp:wrapSquare wrapText="bothSides"/>
                  <wp:docPr id="1236547953" name="Graphic 123654795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r>
      <w:tr w:rsidR="003761BE" w14:paraId="072DB022" w14:textId="77777777" w:rsidTr="00453621">
        <w:tc>
          <w:tcPr>
            <w:cnfStyle w:val="001000000000" w:firstRow="0" w:lastRow="0" w:firstColumn="1" w:lastColumn="0" w:oddVBand="0" w:evenVBand="0" w:oddHBand="0" w:evenHBand="0" w:firstRowFirstColumn="0" w:firstRowLastColumn="0" w:lastRowFirstColumn="0" w:lastRowLastColumn="0"/>
            <w:tcW w:w="1678" w:type="dxa"/>
          </w:tcPr>
          <w:p w14:paraId="4DEEA9C8" w14:textId="77777777" w:rsidR="003761BE" w:rsidRPr="00575AFC" w:rsidRDefault="003761BE" w:rsidP="00994DDA">
            <w:pPr>
              <w:rPr>
                <w:b w:val="0"/>
                <w:bCs w:val="0"/>
                <w:sz w:val="16"/>
                <w:szCs w:val="16"/>
              </w:rPr>
            </w:pPr>
            <w:r w:rsidRPr="00575AFC">
              <w:rPr>
                <w:b w:val="0"/>
                <w:bCs w:val="0"/>
                <w:sz w:val="16"/>
                <w:szCs w:val="16"/>
              </w:rPr>
              <w:t>Drug and Alcohol use</w:t>
            </w:r>
          </w:p>
        </w:tc>
        <w:tc>
          <w:tcPr>
            <w:tcW w:w="1095" w:type="dxa"/>
          </w:tcPr>
          <w:p w14:paraId="57F44BE0" w14:textId="77777777" w:rsidR="003761BE" w:rsidRPr="00A10FB3" w:rsidRDefault="003761BE" w:rsidP="00994DDA">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93" behindDoc="0" locked="0" layoutInCell="1" allowOverlap="1" wp14:anchorId="21A1EDCB" wp14:editId="5C2C3A52">
                  <wp:simplePos x="0" y="0"/>
                  <wp:positionH relativeFrom="margin">
                    <wp:align>center</wp:align>
                  </wp:positionH>
                  <wp:positionV relativeFrom="margin">
                    <wp:align>top</wp:align>
                  </wp:positionV>
                  <wp:extent cx="173318" cy="173318"/>
                  <wp:effectExtent l="0" t="0" r="0" b="0"/>
                  <wp:wrapSquare wrapText="bothSides"/>
                  <wp:docPr id="726159514" name="Graphic 72615951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812" w:type="dxa"/>
          </w:tcPr>
          <w:p w14:paraId="520FB1A2" w14:textId="17682D75" w:rsidR="003761BE" w:rsidRPr="00A10FB3" w:rsidRDefault="003761BE" w:rsidP="00994DDA">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ABS National Health Survey 2020</w:t>
            </w:r>
            <w:r w:rsidR="00F4675D">
              <w:rPr>
                <w:sz w:val="16"/>
                <w:szCs w:val="16"/>
              </w:rPr>
              <w:t>–</w:t>
            </w:r>
            <w:r>
              <w:rPr>
                <w:sz w:val="16"/>
                <w:szCs w:val="16"/>
              </w:rPr>
              <w:t>21</w:t>
            </w:r>
          </w:p>
        </w:tc>
        <w:tc>
          <w:tcPr>
            <w:tcW w:w="1467" w:type="dxa"/>
          </w:tcPr>
          <w:p w14:paraId="3F1E64D9" w14:textId="77777777" w:rsidR="003761BE" w:rsidRPr="00A10FB3" w:rsidRDefault="003761BE" w:rsidP="00994DDA">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96" behindDoc="0" locked="0" layoutInCell="1" allowOverlap="1" wp14:anchorId="27C630C2" wp14:editId="79495B90">
                  <wp:simplePos x="0" y="0"/>
                  <wp:positionH relativeFrom="margin">
                    <wp:align>center</wp:align>
                  </wp:positionH>
                  <wp:positionV relativeFrom="margin">
                    <wp:align>top</wp:align>
                  </wp:positionV>
                  <wp:extent cx="173318" cy="173318"/>
                  <wp:effectExtent l="0" t="0" r="0" b="0"/>
                  <wp:wrapSquare wrapText="bothSides"/>
                  <wp:docPr id="799693443" name="Graphic 79969344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485" w:type="dxa"/>
          </w:tcPr>
          <w:p w14:paraId="0C0FC03D" w14:textId="77777777" w:rsidR="003761BE" w:rsidRPr="00A10FB3" w:rsidRDefault="003761BE" w:rsidP="00994DDA">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95" behindDoc="0" locked="0" layoutInCell="1" allowOverlap="1" wp14:anchorId="0E4AA265" wp14:editId="6044B290">
                  <wp:simplePos x="0" y="0"/>
                  <wp:positionH relativeFrom="margin">
                    <wp:align>center</wp:align>
                  </wp:positionH>
                  <wp:positionV relativeFrom="margin">
                    <wp:align>top</wp:align>
                  </wp:positionV>
                  <wp:extent cx="197224" cy="197224"/>
                  <wp:effectExtent l="0" t="0" r="0" b="0"/>
                  <wp:wrapSquare wrapText="bothSides"/>
                  <wp:docPr id="1995097633" name="Graphic 199509763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97224" cy="197224"/>
                          </a:xfrm>
                          <a:prstGeom prst="rect">
                            <a:avLst/>
                          </a:prstGeom>
                        </pic:spPr>
                      </pic:pic>
                    </a:graphicData>
                  </a:graphic>
                </wp:anchor>
              </w:drawing>
            </w:r>
          </w:p>
        </w:tc>
        <w:tc>
          <w:tcPr>
            <w:tcW w:w="1489" w:type="dxa"/>
          </w:tcPr>
          <w:p w14:paraId="534E8ABF" w14:textId="77777777" w:rsidR="003761BE" w:rsidRPr="00A10FB3" w:rsidRDefault="003761BE" w:rsidP="00994DDA">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97" behindDoc="0" locked="0" layoutInCell="1" allowOverlap="1" wp14:anchorId="46832F28" wp14:editId="31B4DA23">
                  <wp:simplePos x="0" y="0"/>
                  <wp:positionH relativeFrom="margin">
                    <wp:align>center</wp:align>
                  </wp:positionH>
                  <wp:positionV relativeFrom="margin">
                    <wp:align>top</wp:align>
                  </wp:positionV>
                  <wp:extent cx="197224" cy="197224"/>
                  <wp:effectExtent l="0" t="0" r="0" b="0"/>
                  <wp:wrapSquare wrapText="bothSides"/>
                  <wp:docPr id="1315136843" name="Graphic 131513684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97224" cy="197224"/>
                          </a:xfrm>
                          <a:prstGeom prst="rect">
                            <a:avLst/>
                          </a:prstGeom>
                        </pic:spPr>
                      </pic:pic>
                    </a:graphicData>
                  </a:graphic>
                </wp:anchor>
              </w:drawing>
            </w:r>
          </w:p>
        </w:tc>
      </w:tr>
      <w:tr w:rsidR="003761BE" w14:paraId="31A35C41" w14:textId="77777777" w:rsidTr="00453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771AC591" w14:textId="77777777" w:rsidR="003761BE" w:rsidRPr="00575AFC" w:rsidRDefault="003761BE" w:rsidP="00994DDA">
            <w:pPr>
              <w:rPr>
                <w:b w:val="0"/>
                <w:bCs w:val="0"/>
                <w:sz w:val="16"/>
                <w:szCs w:val="16"/>
              </w:rPr>
            </w:pPr>
            <w:r w:rsidRPr="00575AFC">
              <w:rPr>
                <w:b w:val="0"/>
                <w:bCs w:val="0"/>
                <w:sz w:val="16"/>
                <w:szCs w:val="16"/>
              </w:rPr>
              <w:t>Disability</w:t>
            </w:r>
          </w:p>
        </w:tc>
        <w:tc>
          <w:tcPr>
            <w:tcW w:w="1095" w:type="dxa"/>
          </w:tcPr>
          <w:p w14:paraId="591A4881" w14:textId="77777777" w:rsidR="003761BE" w:rsidRPr="00A10FB3" w:rsidRDefault="003761BE" w:rsidP="00994DDA">
            <w:pPr>
              <w:cnfStyle w:val="000000100000" w:firstRow="0" w:lastRow="0" w:firstColumn="0" w:lastColumn="0" w:oddVBand="0" w:evenVBand="0" w:oddHBand="1" w:evenHBand="0" w:firstRowFirstColumn="0" w:firstRowLastColumn="0" w:lastRowFirstColumn="0" w:lastRowLastColumn="0"/>
              <w:rPr>
                <w:noProof/>
                <w:sz w:val="16"/>
                <w:szCs w:val="16"/>
              </w:rPr>
            </w:pPr>
            <w:r w:rsidRPr="00A10FB3">
              <w:rPr>
                <w:noProof/>
                <w:sz w:val="16"/>
                <w:szCs w:val="16"/>
              </w:rPr>
              <w:drawing>
                <wp:anchor distT="0" distB="0" distL="114300" distR="114300" simplePos="0" relativeHeight="251658304" behindDoc="0" locked="0" layoutInCell="1" allowOverlap="1" wp14:anchorId="45B330FF" wp14:editId="066B79D0">
                  <wp:simplePos x="0" y="0"/>
                  <wp:positionH relativeFrom="margin">
                    <wp:align>center</wp:align>
                  </wp:positionH>
                  <wp:positionV relativeFrom="margin">
                    <wp:align>top</wp:align>
                  </wp:positionV>
                  <wp:extent cx="173318" cy="173318"/>
                  <wp:effectExtent l="0" t="0" r="0" b="0"/>
                  <wp:wrapSquare wrapText="bothSides"/>
                  <wp:docPr id="1849263548" name="Graphic 184926354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812" w:type="dxa"/>
          </w:tcPr>
          <w:p w14:paraId="605C6E61" w14:textId="4A90085D" w:rsidR="003761BE" w:rsidRDefault="00DF0881" w:rsidP="00994DDA">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ABS</w:t>
            </w:r>
            <w:r w:rsidR="003761BE">
              <w:rPr>
                <w:sz w:val="16"/>
                <w:szCs w:val="16"/>
              </w:rPr>
              <w:t xml:space="preserve"> Survey of </w:t>
            </w:r>
            <w:r w:rsidR="00FD0FAC">
              <w:rPr>
                <w:sz w:val="16"/>
                <w:szCs w:val="16"/>
              </w:rPr>
              <w:t>D</w:t>
            </w:r>
            <w:r w:rsidR="003761BE">
              <w:rPr>
                <w:sz w:val="16"/>
                <w:szCs w:val="16"/>
              </w:rPr>
              <w:t xml:space="preserve">isability, </w:t>
            </w:r>
            <w:r w:rsidR="00FD0FAC">
              <w:rPr>
                <w:sz w:val="16"/>
                <w:szCs w:val="16"/>
              </w:rPr>
              <w:t>A</w:t>
            </w:r>
            <w:r w:rsidR="003761BE">
              <w:rPr>
                <w:sz w:val="16"/>
                <w:szCs w:val="16"/>
              </w:rPr>
              <w:t xml:space="preserve">geing and </w:t>
            </w:r>
            <w:r w:rsidR="00FD0FAC">
              <w:rPr>
                <w:sz w:val="16"/>
                <w:szCs w:val="16"/>
              </w:rPr>
              <w:t>C</w:t>
            </w:r>
            <w:r w:rsidR="003761BE">
              <w:rPr>
                <w:sz w:val="16"/>
                <w:szCs w:val="16"/>
              </w:rPr>
              <w:t>arers</w:t>
            </w:r>
          </w:p>
        </w:tc>
        <w:tc>
          <w:tcPr>
            <w:tcW w:w="1467" w:type="dxa"/>
          </w:tcPr>
          <w:p w14:paraId="55036032" w14:textId="77777777" w:rsidR="003761BE" w:rsidRPr="00A10FB3" w:rsidRDefault="003761BE" w:rsidP="00994DDA">
            <w:pPr>
              <w:cnfStyle w:val="000000100000" w:firstRow="0" w:lastRow="0" w:firstColumn="0" w:lastColumn="0" w:oddVBand="0" w:evenVBand="0" w:oddHBand="1" w:evenHBand="0" w:firstRowFirstColumn="0" w:firstRowLastColumn="0" w:lastRowFirstColumn="0" w:lastRowLastColumn="0"/>
              <w:rPr>
                <w:noProof/>
                <w:sz w:val="16"/>
                <w:szCs w:val="16"/>
              </w:rPr>
            </w:pPr>
            <w:r w:rsidRPr="00A10FB3">
              <w:rPr>
                <w:noProof/>
                <w:sz w:val="16"/>
                <w:szCs w:val="16"/>
              </w:rPr>
              <w:drawing>
                <wp:anchor distT="0" distB="0" distL="114300" distR="114300" simplePos="0" relativeHeight="251658306" behindDoc="0" locked="0" layoutInCell="1" allowOverlap="1" wp14:anchorId="642CC580" wp14:editId="24A1AE65">
                  <wp:simplePos x="0" y="0"/>
                  <wp:positionH relativeFrom="margin">
                    <wp:align>center</wp:align>
                  </wp:positionH>
                  <wp:positionV relativeFrom="margin">
                    <wp:align>top</wp:align>
                  </wp:positionV>
                  <wp:extent cx="173318" cy="173318"/>
                  <wp:effectExtent l="0" t="0" r="0" b="0"/>
                  <wp:wrapSquare wrapText="bothSides"/>
                  <wp:docPr id="1908332575" name="Graphic 190833257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485" w:type="dxa"/>
          </w:tcPr>
          <w:p w14:paraId="7D8E39A6" w14:textId="77777777" w:rsidR="003761BE" w:rsidRPr="00A10FB3" w:rsidRDefault="003761BE" w:rsidP="00994DDA">
            <w:pPr>
              <w:cnfStyle w:val="000000100000" w:firstRow="0" w:lastRow="0" w:firstColumn="0" w:lastColumn="0" w:oddVBand="0" w:evenVBand="0" w:oddHBand="1" w:evenHBand="0" w:firstRowFirstColumn="0" w:firstRowLastColumn="0" w:lastRowFirstColumn="0" w:lastRowLastColumn="0"/>
              <w:rPr>
                <w:noProof/>
                <w:sz w:val="16"/>
                <w:szCs w:val="16"/>
              </w:rPr>
            </w:pPr>
            <w:r w:rsidRPr="00A10FB3">
              <w:rPr>
                <w:noProof/>
                <w:sz w:val="16"/>
                <w:szCs w:val="16"/>
              </w:rPr>
              <w:drawing>
                <wp:anchor distT="0" distB="0" distL="114300" distR="114300" simplePos="0" relativeHeight="251658305" behindDoc="0" locked="0" layoutInCell="1" allowOverlap="1" wp14:anchorId="69AC2BEF" wp14:editId="0D1E6876">
                  <wp:simplePos x="0" y="0"/>
                  <wp:positionH relativeFrom="margin">
                    <wp:align>center</wp:align>
                  </wp:positionH>
                  <wp:positionV relativeFrom="margin">
                    <wp:align>top</wp:align>
                  </wp:positionV>
                  <wp:extent cx="197224" cy="197224"/>
                  <wp:effectExtent l="0" t="0" r="0" b="0"/>
                  <wp:wrapSquare wrapText="bothSides"/>
                  <wp:docPr id="1623196479" name="Graphic 1623196479"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97224" cy="197224"/>
                          </a:xfrm>
                          <a:prstGeom prst="rect">
                            <a:avLst/>
                          </a:prstGeom>
                        </pic:spPr>
                      </pic:pic>
                    </a:graphicData>
                  </a:graphic>
                </wp:anchor>
              </w:drawing>
            </w:r>
          </w:p>
        </w:tc>
        <w:tc>
          <w:tcPr>
            <w:tcW w:w="1489" w:type="dxa"/>
          </w:tcPr>
          <w:p w14:paraId="54468D30" w14:textId="77777777" w:rsidR="003761BE" w:rsidRPr="00A10FB3" w:rsidRDefault="003761BE" w:rsidP="00994DDA">
            <w:pPr>
              <w:cnfStyle w:val="000000100000" w:firstRow="0" w:lastRow="0" w:firstColumn="0" w:lastColumn="0" w:oddVBand="0" w:evenVBand="0" w:oddHBand="1" w:evenHBand="0" w:firstRowFirstColumn="0" w:firstRowLastColumn="0" w:lastRowFirstColumn="0" w:lastRowLastColumn="0"/>
              <w:rPr>
                <w:noProof/>
                <w:sz w:val="16"/>
                <w:szCs w:val="16"/>
              </w:rPr>
            </w:pPr>
            <w:r w:rsidRPr="00A10FB3">
              <w:rPr>
                <w:noProof/>
                <w:sz w:val="16"/>
                <w:szCs w:val="16"/>
              </w:rPr>
              <w:drawing>
                <wp:anchor distT="0" distB="0" distL="114300" distR="114300" simplePos="0" relativeHeight="251658307" behindDoc="0" locked="0" layoutInCell="1" allowOverlap="1" wp14:anchorId="629A3B46" wp14:editId="51E0E66A">
                  <wp:simplePos x="0" y="0"/>
                  <wp:positionH relativeFrom="margin">
                    <wp:align>center</wp:align>
                  </wp:positionH>
                  <wp:positionV relativeFrom="margin">
                    <wp:align>top</wp:align>
                  </wp:positionV>
                  <wp:extent cx="173318" cy="173318"/>
                  <wp:effectExtent l="0" t="0" r="0" b="0"/>
                  <wp:wrapSquare wrapText="bothSides"/>
                  <wp:docPr id="865666551" name="Graphic 86566655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r>
      <w:tr w:rsidR="003761BE" w14:paraId="2484975E" w14:textId="77777777" w:rsidTr="00453621">
        <w:tc>
          <w:tcPr>
            <w:cnfStyle w:val="001000000000" w:firstRow="0" w:lastRow="0" w:firstColumn="1" w:lastColumn="0" w:oddVBand="0" w:evenVBand="0" w:oddHBand="0" w:evenHBand="0" w:firstRowFirstColumn="0" w:firstRowLastColumn="0" w:lastRowFirstColumn="0" w:lastRowLastColumn="0"/>
            <w:tcW w:w="1678" w:type="dxa"/>
          </w:tcPr>
          <w:p w14:paraId="63170014" w14:textId="77777777" w:rsidR="003761BE" w:rsidRPr="00575AFC" w:rsidRDefault="003761BE" w:rsidP="00994DDA">
            <w:pPr>
              <w:rPr>
                <w:b w:val="0"/>
                <w:bCs w:val="0"/>
                <w:sz w:val="16"/>
                <w:szCs w:val="16"/>
              </w:rPr>
            </w:pPr>
            <w:r w:rsidRPr="00575AFC">
              <w:rPr>
                <w:b w:val="0"/>
                <w:bCs w:val="0"/>
                <w:sz w:val="16"/>
                <w:szCs w:val="16"/>
              </w:rPr>
              <w:t>Disability</w:t>
            </w:r>
          </w:p>
        </w:tc>
        <w:tc>
          <w:tcPr>
            <w:tcW w:w="1095" w:type="dxa"/>
          </w:tcPr>
          <w:p w14:paraId="046AF0A3" w14:textId="77777777" w:rsidR="003761BE" w:rsidRPr="00A10FB3" w:rsidRDefault="003761BE" w:rsidP="00994DDA">
            <w:pPr>
              <w:cnfStyle w:val="000000000000" w:firstRow="0" w:lastRow="0" w:firstColumn="0" w:lastColumn="0" w:oddVBand="0" w:evenVBand="0" w:oddHBand="0" w:evenHBand="0" w:firstRowFirstColumn="0" w:firstRowLastColumn="0" w:lastRowFirstColumn="0" w:lastRowLastColumn="0"/>
              <w:rPr>
                <w:noProof/>
                <w:sz w:val="16"/>
                <w:szCs w:val="16"/>
              </w:rPr>
            </w:pPr>
            <w:r w:rsidRPr="00A10FB3">
              <w:rPr>
                <w:noProof/>
                <w:sz w:val="16"/>
                <w:szCs w:val="16"/>
              </w:rPr>
              <w:drawing>
                <wp:anchor distT="0" distB="0" distL="114300" distR="114300" simplePos="0" relativeHeight="251658298" behindDoc="0" locked="0" layoutInCell="1" allowOverlap="1" wp14:anchorId="3BF43F42" wp14:editId="242B9D25">
                  <wp:simplePos x="0" y="0"/>
                  <wp:positionH relativeFrom="margin">
                    <wp:align>center</wp:align>
                  </wp:positionH>
                  <wp:positionV relativeFrom="margin">
                    <wp:align>top</wp:align>
                  </wp:positionV>
                  <wp:extent cx="173318" cy="173318"/>
                  <wp:effectExtent l="0" t="0" r="0" b="0"/>
                  <wp:wrapSquare wrapText="bothSides"/>
                  <wp:docPr id="1314899921" name="Graphic 131489992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812" w:type="dxa"/>
          </w:tcPr>
          <w:p w14:paraId="159E49E0" w14:textId="77777777" w:rsidR="003761BE" w:rsidRPr="00A10FB3" w:rsidRDefault="003761BE" w:rsidP="00994DDA">
            <w:pPr>
              <w:cnfStyle w:val="000000000000" w:firstRow="0" w:lastRow="0" w:firstColumn="0" w:lastColumn="0" w:oddVBand="0" w:evenVBand="0" w:oddHBand="0" w:evenHBand="0" w:firstRowFirstColumn="0" w:firstRowLastColumn="0" w:lastRowFirstColumn="0" w:lastRowLastColumn="0"/>
              <w:rPr>
                <w:sz w:val="16"/>
                <w:szCs w:val="16"/>
              </w:rPr>
            </w:pPr>
            <w:r w:rsidRPr="00726061">
              <w:rPr>
                <w:sz w:val="16"/>
                <w:szCs w:val="16"/>
              </w:rPr>
              <w:t xml:space="preserve">Core activity need for assistance </w:t>
            </w:r>
            <w:r>
              <w:rPr>
                <w:sz w:val="16"/>
                <w:szCs w:val="16"/>
              </w:rPr>
              <w:t xml:space="preserve">(ASSNP)—ABS Census of Population and Housing </w:t>
            </w:r>
          </w:p>
        </w:tc>
        <w:tc>
          <w:tcPr>
            <w:tcW w:w="1467" w:type="dxa"/>
          </w:tcPr>
          <w:p w14:paraId="7484D3BD" w14:textId="77777777" w:rsidR="003761BE" w:rsidRPr="00A10FB3" w:rsidRDefault="003761BE" w:rsidP="00994DDA">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299" behindDoc="0" locked="0" layoutInCell="1" allowOverlap="1" wp14:anchorId="383869EF" wp14:editId="6744D954">
                  <wp:simplePos x="0" y="0"/>
                  <wp:positionH relativeFrom="margin">
                    <wp:align>center</wp:align>
                  </wp:positionH>
                  <wp:positionV relativeFrom="margin">
                    <wp:align>top</wp:align>
                  </wp:positionV>
                  <wp:extent cx="173318" cy="173318"/>
                  <wp:effectExtent l="0" t="0" r="0" b="0"/>
                  <wp:wrapSquare wrapText="bothSides"/>
                  <wp:docPr id="1058080141" name="Graphic 105808014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485" w:type="dxa"/>
          </w:tcPr>
          <w:p w14:paraId="26BBF0CC" w14:textId="77777777" w:rsidR="003761BE" w:rsidRPr="00A10FB3" w:rsidRDefault="003761BE" w:rsidP="00994DDA">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300" behindDoc="0" locked="0" layoutInCell="1" allowOverlap="1" wp14:anchorId="57524DBF" wp14:editId="0B7D7740">
                  <wp:simplePos x="0" y="0"/>
                  <wp:positionH relativeFrom="margin">
                    <wp:align>center</wp:align>
                  </wp:positionH>
                  <wp:positionV relativeFrom="margin">
                    <wp:align>top</wp:align>
                  </wp:positionV>
                  <wp:extent cx="197224" cy="197224"/>
                  <wp:effectExtent l="0" t="0" r="0" b="0"/>
                  <wp:wrapSquare wrapText="bothSides"/>
                  <wp:docPr id="11985668" name="Graphic 11985668"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97224" cy="197224"/>
                          </a:xfrm>
                          <a:prstGeom prst="rect">
                            <a:avLst/>
                          </a:prstGeom>
                        </pic:spPr>
                      </pic:pic>
                    </a:graphicData>
                  </a:graphic>
                </wp:anchor>
              </w:drawing>
            </w:r>
          </w:p>
        </w:tc>
        <w:tc>
          <w:tcPr>
            <w:tcW w:w="1489" w:type="dxa"/>
          </w:tcPr>
          <w:p w14:paraId="131194C2" w14:textId="77777777" w:rsidR="003761BE" w:rsidRPr="00A10FB3" w:rsidRDefault="003761BE" w:rsidP="00994DDA">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302" behindDoc="0" locked="0" layoutInCell="1" allowOverlap="1" wp14:anchorId="67548413" wp14:editId="305BC517">
                  <wp:simplePos x="0" y="0"/>
                  <wp:positionH relativeFrom="margin">
                    <wp:align>center</wp:align>
                  </wp:positionH>
                  <wp:positionV relativeFrom="margin">
                    <wp:align>top</wp:align>
                  </wp:positionV>
                  <wp:extent cx="197224" cy="197224"/>
                  <wp:effectExtent l="0" t="0" r="0" b="0"/>
                  <wp:wrapSquare wrapText="bothSides"/>
                  <wp:docPr id="699541713" name="Graphic 69954171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97224" cy="197224"/>
                          </a:xfrm>
                          <a:prstGeom prst="rect">
                            <a:avLst/>
                          </a:prstGeom>
                        </pic:spPr>
                      </pic:pic>
                    </a:graphicData>
                  </a:graphic>
                </wp:anchor>
              </w:drawing>
            </w:r>
          </w:p>
        </w:tc>
      </w:tr>
      <w:tr w:rsidR="00453621" w14:paraId="495A9387" w14:textId="77777777" w:rsidTr="00453621">
        <w:trPr>
          <w:cnfStyle w:val="000000100000" w:firstRow="0" w:lastRow="0" w:firstColumn="0" w:lastColumn="0" w:oddVBand="0" w:evenVBand="0" w:oddHBand="1"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1678" w:type="dxa"/>
          </w:tcPr>
          <w:p w14:paraId="0DAFB02B" w14:textId="13A7AEF0" w:rsidR="00453621" w:rsidRPr="00575AFC" w:rsidRDefault="00453621" w:rsidP="00453621">
            <w:pPr>
              <w:rPr>
                <w:b w:val="0"/>
                <w:bCs w:val="0"/>
                <w:sz w:val="16"/>
                <w:szCs w:val="16"/>
              </w:rPr>
            </w:pPr>
            <w:r w:rsidRPr="00575AFC">
              <w:rPr>
                <w:b w:val="0"/>
                <w:bCs w:val="0"/>
                <w:sz w:val="16"/>
                <w:szCs w:val="16"/>
              </w:rPr>
              <w:lastRenderedPageBreak/>
              <w:t>Disability</w:t>
            </w:r>
          </w:p>
        </w:tc>
        <w:tc>
          <w:tcPr>
            <w:tcW w:w="1095" w:type="dxa"/>
          </w:tcPr>
          <w:p w14:paraId="28060BE2" w14:textId="426F9CF2" w:rsidR="00453621" w:rsidRPr="00A10FB3" w:rsidRDefault="00453621" w:rsidP="00453621">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318" behindDoc="0" locked="0" layoutInCell="1" allowOverlap="1" wp14:anchorId="4EE4C81B" wp14:editId="39DD85A2">
                  <wp:simplePos x="0" y="0"/>
                  <wp:positionH relativeFrom="margin">
                    <wp:align>center</wp:align>
                  </wp:positionH>
                  <wp:positionV relativeFrom="margin">
                    <wp:align>top</wp:align>
                  </wp:positionV>
                  <wp:extent cx="173318" cy="173318"/>
                  <wp:effectExtent l="0" t="0" r="0" b="0"/>
                  <wp:wrapSquare wrapText="bothSides"/>
                  <wp:docPr id="920130184" name="Graphic 92013018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812" w:type="dxa"/>
          </w:tcPr>
          <w:p w14:paraId="0B02A1AA" w14:textId="2BC80FE9" w:rsidR="00453621" w:rsidRPr="00A10FB3" w:rsidRDefault="00453621" w:rsidP="00453621">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ABS National Health Survey 2020–21</w:t>
            </w:r>
          </w:p>
        </w:tc>
        <w:tc>
          <w:tcPr>
            <w:tcW w:w="1467" w:type="dxa"/>
          </w:tcPr>
          <w:p w14:paraId="7F00B1F3" w14:textId="54B8CFBE" w:rsidR="00453621" w:rsidRPr="00A10FB3" w:rsidRDefault="00453621" w:rsidP="00453621">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319" behindDoc="0" locked="0" layoutInCell="1" allowOverlap="1" wp14:anchorId="510680FE" wp14:editId="018F695E">
                  <wp:simplePos x="0" y="0"/>
                  <wp:positionH relativeFrom="margin">
                    <wp:align>center</wp:align>
                  </wp:positionH>
                  <wp:positionV relativeFrom="margin">
                    <wp:align>top</wp:align>
                  </wp:positionV>
                  <wp:extent cx="173318" cy="173318"/>
                  <wp:effectExtent l="0" t="0" r="0" b="0"/>
                  <wp:wrapSquare wrapText="bothSides"/>
                  <wp:docPr id="2010805809" name="Graphic 201080580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485" w:type="dxa"/>
          </w:tcPr>
          <w:p w14:paraId="58B7A426" w14:textId="5EA923BD" w:rsidR="00453621" w:rsidRPr="00A10FB3" w:rsidRDefault="00453621" w:rsidP="00453621">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320" behindDoc="0" locked="0" layoutInCell="1" allowOverlap="1" wp14:anchorId="19CCDFC1" wp14:editId="63B0BDA3">
                  <wp:simplePos x="0" y="0"/>
                  <wp:positionH relativeFrom="margin">
                    <wp:align>center</wp:align>
                  </wp:positionH>
                  <wp:positionV relativeFrom="margin">
                    <wp:align>top</wp:align>
                  </wp:positionV>
                  <wp:extent cx="197224" cy="197224"/>
                  <wp:effectExtent l="0" t="0" r="0" b="0"/>
                  <wp:wrapSquare wrapText="bothSides"/>
                  <wp:docPr id="100694971" name="Graphic 100694971"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97224" cy="197224"/>
                          </a:xfrm>
                          <a:prstGeom prst="rect">
                            <a:avLst/>
                          </a:prstGeom>
                        </pic:spPr>
                      </pic:pic>
                    </a:graphicData>
                  </a:graphic>
                </wp:anchor>
              </w:drawing>
            </w:r>
          </w:p>
        </w:tc>
        <w:tc>
          <w:tcPr>
            <w:tcW w:w="1489" w:type="dxa"/>
          </w:tcPr>
          <w:p w14:paraId="18211CCD" w14:textId="468202F6" w:rsidR="00453621" w:rsidRPr="00A10FB3" w:rsidRDefault="00453621" w:rsidP="00453621">
            <w:pPr>
              <w:cnfStyle w:val="000000100000" w:firstRow="0" w:lastRow="0" w:firstColumn="0" w:lastColumn="0" w:oddVBand="0" w:evenVBand="0" w:oddHBand="1"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321" behindDoc="0" locked="0" layoutInCell="1" allowOverlap="1" wp14:anchorId="04B879C1" wp14:editId="3423812F">
                  <wp:simplePos x="0" y="0"/>
                  <wp:positionH relativeFrom="margin">
                    <wp:align>center</wp:align>
                  </wp:positionH>
                  <wp:positionV relativeFrom="margin">
                    <wp:align>top</wp:align>
                  </wp:positionV>
                  <wp:extent cx="197224" cy="197224"/>
                  <wp:effectExtent l="0" t="0" r="0" b="0"/>
                  <wp:wrapSquare wrapText="bothSides"/>
                  <wp:docPr id="1174357492" name="Graphic 117435749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97224" cy="197224"/>
                          </a:xfrm>
                          <a:prstGeom prst="rect">
                            <a:avLst/>
                          </a:prstGeom>
                        </pic:spPr>
                      </pic:pic>
                    </a:graphicData>
                  </a:graphic>
                </wp:anchor>
              </w:drawing>
            </w:r>
          </w:p>
        </w:tc>
      </w:tr>
      <w:tr w:rsidR="00453621" w14:paraId="2996C350" w14:textId="77777777" w:rsidTr="00453621">
        <w:tc>
          <w:tcPr>
            <w:cnfStyle w:val="001000000000" w:firstRow="0" w:lastRow="0" w:firstColumn="1" w:lastColumn="0" w:oddVBand="0" w:evenVBand="0" w:oddHBand="0" w:evenHBand="0" w:firstRowFirstColumn="0" w:firstRowLastColumn="0" w:lastRowFirstColumn="0" w:lastRowLastColumn="0"/>
            <w:tcW w:w="1678" w:type="dxa"/>
          </w:tcPr>
          <w:p w14:paraId="32DA7E95" w14:textId="77777777" w:rsidR="00453621" w:rsidRPr="00575AFC" w:rsidRDefault="00453621" w:rsidP="00453621">
            <w:pPr>
              <w:rPr>
                <w:b w:val="0"/>
                <w:bCs w:val="0"/>
                <w:sz w:val="16"/>
                <w:szCs w:val="16"/>
              </w:rPr>
            </w:pPr>
            <w:r w:rsidRPr="00575AFC">
              <w:rPr>
                <w:b w:val="0"/>
                <w:bCs w:val="0"/>
                <w:sz w:val="16"/>
                <w:szCs w:val="16"/>
              </w:rPr>
              <w:t>Mental Health</w:t>
            </w:r>
          </w:p>
        </w:tc>
        <w:tc>
          <w:tcPr>
            <w:tcW w:w="1095" w:type="dxa"/>
          </w:tcPr>
          <w:p w14:paraId="0336DA1F" w14:textId="77777777" w:rsidR="00453621" w:rsidRPr="00A10FB3" w:rsidRDefault="00453621" w:rsidP="00453621">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315" behindDoc="0" locked="0" layoutInCell="1" allowOverlap="1" wp14:anchorId="7A905C31" wp14:editId="0F2DAFA0">
                  <wp:simplePos x="0" y="0"/>
                  <wp:positionH relativeFrom="margin">
                    <wp:align>center</wp:align>
                  </wp:positionH>
                  <wp:positionV relativeFrom="margin">
                    <wp:align>center</wp:align>
                  </wp:positionV>
                  <wp:extent cx="173318" cy="173318"/>
                  <wp:effectExtent l="0" t="0" r="0" b="0"/>
                  <wp:wrapSquare wrapText="bothSides"/>
                  <wp:docPr id="662882052" name="Graphic 66288205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812" w:type="dxa"/>
          </w:tcPr>
          <w:p w14:paraId="6A5A8F61" w14:textId="58F6CBCF" w:rsidR="00453621" w:rsidRPr="00A10FB3" w:rsidRDefault="00453621" w:rsidP="00453621">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ABS </w:t>
            </w:r>
            <w:r w:rsidRPr="00A10FB3">
              <w:rPr>
                <w:sz w:val="16"/>
                <w:szCs w:val="16"/>
              </w:rPr>
              <w:t>National Study of Mental Health and Wellbeing 2020</w:t>
            </w:r>
            <w:r>
              <w:rPr>
                <w:sz w:val="16"/>
                <w:szCs w:val="16"/>
              </w:rPr>
              <w:t>–</w:t>
            </w:r>
            <w:r w:rsidRPr="00A10FB3">
              <w:rPr>
                <w:sz w:val="16"/>
                <w:szCs w:val="16"/>
              </w:rPr>
              <w:t>22</w:t>
            </w:r>
          </w:p>
        </w:tc>
        <w:tc>
          <w:tcPr>
            <w:tcW w:w="1467" w:type="dxa"/>
          </w:tcPr>
          <w:p w14:paraId="2F3B7E51" w14:textId="77777777" w:rsidR="00453621" w:rsidRPr="00A10FB3" w:rsidRDefault="00453621" w:rsidP="00453621">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311" behindDoc="0" locked="0" layoutInCell="1" allowOverlap="1" wp14:anchorId="66B74F49" wp14:editId="21698C45">
                  <wp:simplePos x="0" y="0"/>
                  <wp:positionH relativeFrom="margin">
                    <wp:align>center</wp:align>
                  </wp:positionH>
                  <wp:positionV relativeFrom="margin">
                    <wp:align>top</wp:align>
                  </wp:positionV>
                  <wp:extent cx="197224" cy="197224"/>
                  <wp:effectExtent l="0" t="0" r="0" b="0"/>
                  <wp:wrapSquare wrapText="bothSides"/>
                  <wp:docPr id="392467556" name="Graphic 392467556"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97224" cy="197224"/>
                          </a:xfrm>
                          <a:prstGeom prst="rect">
                            <a:avLst/>
                          </a:prstGeom>
                        </pic:spPr>
                      </pic:pic>
                    </a:graphicData>
                  </a:graphic>
                </wp:anchor>
              </w:drawing>
            </w:r>
          </w:p>
        </w:tc>
        <w:tc>
          <w:tcPr>
            <w:tcW w:w="1485" w:type="dxa"/>
          </w:tcPr>
          <w:p w14:paraId="1869C07F" w14:textId="77777777" w:rsidR="00453621" w:rsidRPr="00A10FB3" w:rsidRDefault="00453621" w:rsidP="00453621">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317" behindDoc="0" locked="0" layoutInCell="1" allowOverlap="1" wp14:anchorId="69370A5B" wp14:editId="7F953659">
                  <wp:simplePos x="0" y="0"/>
                  <wp:positionH relativeFrom="margin">
                    <wp:posOffset>297959</wp:posOffset>
                  </wp:positionH>
                  <wp:positionV relativeFrom="margin">
                    <wp:posOffset>30480</wp:posOffset>
                  </wp:positionV>
                  <wp:extent cx="197224" cy="197224"/>
                  <wp:effectExtent l="0" t="0" r="0" b="0"/>
                  <wp:wrapSquare wrapText="bothSides"/>
                  <wp:docPr id="193317326" name="Graphic 193317326"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97224" cy="197224"/>
                          </a:xfrm>
                          <a:prstGeom prst="rect">
                            <a:avLst/>
                          </a:prstGeom>
                        </pic:spPr>
                      </pic:pic>
                    </a:graphicData>
                  </a:graphic>
                </wp:anchor>
              </w:drawing>
            </w:r>
          </w:p>
        </w:tc>
        <w:tc>
          <w:tcPr>
            <w:tcW w:w="1489" w:type="dxa"/>
          </w:tcPr>
          <w:p w14:paraId="2C0A7E29" w14:textId="77777777" w:rsidR="00453621" w:rsidRPr="00A10FB3" w:rsidRDefault="00453621" w:rsidP="00453621">
            <w:pPr>
              <w:cnfStyle w:val="000000000000" w:firstRow="0" w:lastRow="0" w:firstColumn="0" w:lastColumn="0" w:oddVBand="0" w:evenVBand="0" w:oddHBand="0" w:evenHBand="0" w:firstRowFirstColumn="0" w:firstRowLastColumn="0" w:lastRowFirstColumn="0" w:lastRowLastColumn="0"/>
              <w:rPr>
                <w:sz w:val="16"/>
                <w:szCs w:val="16"/>
              </w:rPr>
            </w:pPr>
            <w:r w:rsidRPr="00A10FB3">
              <w:rPr>
                <w:noProof/>
                <w:sz w:val="16"/>
                <w:szCs w:val="16"/>
              </w:rPr>
              <w:drawing>
                <wp:anchor distT="0" distB="0" distL="114300" distR="114300" simplePos="0" relativeHeight="251658316" behindDoc="0" locked="0" layoutInCell="1" allowOverlap="1" wp14:anchorId="1A52E6C0" wp14:editId="796B154F">
                  <wp:simplePos x="0" y="0"/>
                  <wp:positionH relativeFrom="margin">
                    <wp:align>center</wp:align>
                  </wp:positionH>
                  <wp:positionV relativeFrom="margin">
                    <wp:align>top</wp:align>
                  </wp:positionV>
                  <wp:extent cx="173318" cy="173318"/>
                  <wp:effectExtent l="0" t="0" r="0" b="0"/>
                  <wp:wrapSquare wrapText="bothSides"/>
                  <wp:docPr id="1560185318" name="Graphic 156018531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r>
      <w:tr w:rsidR="000721C4" w14:paraId="147E248D" w14:textId="77777777" w:rsidTr="004536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147BE4CA" w14:textId="6A46F933" w:rsidR="000721C4" w:rsidRPr="00575AFC" w:rsidRDefault="000721C4" w:rsidP="000721C4">
            <w:pPr>
              <w:rPr>
                <w:b w:val="0"/>
                <w:bCs w:val="0"/>
                <w:sz w:val="16"/>
                <w:szCs w:val="16"/>
              </w:rPr>
            </w:pPr>
            <w:r w:rsidRPr="00575AFC">
              <w:rPr>
                <w:b w:val="0"/>
                <w:bCs w:val="0"/>
                <w:sz w:val="16"/>
                <w:szCs w:val="16"/>
              </w:rPr>
              <w:t>Mental Health</w:t>
            </w:r>
          </w:p>
        </w:tc>
        <w:tc>
          <w:tcPr>
            <w:tcW w:w="1095" w:type="dxa"/>
          </w:tcPr>
          <w:p w14:paraId="7004E642" w14:textId="3FD316F5" w:rsidR="000721C4" w:rsidRPr="00A10FB3" w:rsidRDefault="000721C4" w:rsidP="000721C4">
            <w:pPr>
              <w:cnfStyle w:val="000000100000" w:firstRow="0" w:lastRow="0" w:firstColumn="0" w:lastColumn="0" w:oddVBand="0" w:evenVBand="0" w:oddHBand="1" w:evenHBand="0" w:firstRowFirstColumn="0" w:firstRowLastColumn="0" w:lastRowFirstColumn="0" w:lastRowLastColumn="0"/>
              <w:rPr>
                <w:noProof/>
                <w:sz w:val="16"/>
                <w:szCs w:val="16"/>
              </w:rPr>
            </w:pPr>
            <w:r w:rsidRPr="00A10FB3">
              <w:rPr>
                <w:noProof/>
                <w:sz w:val="16"/>
                <w:szCs w:val="16"/>
              </w:rPr>
              <w:drawing>
                <wp:anchor distT="0" distB="0" distL="114300" distR="114300" simplePos="0" relativeHeight="251658322" behindDoc="0" locked="0" layoutInCell="1" allowOverlap="1" wp14:anchorId="20249165" wp14:editId="35EA81BF">
                  <wp:simplePos x="0" y="0"/>
                  <wp:positionH relativeFrom="margin">
                    <wp:align>center</wp:align>
                  </wp:positionH>
                  <wp:positionV relativeFrom="margin">
                    <wp:align>center</wp:align>
                  </wp:positionV>
                  <wp:extent cx="173318" cy="173318"/>
                  <wp:effectExtent l="0" t="0" r="0" b="0"/>
                  <wp:wrapSquare wrapText="bothSides"/>
                  <wp:docPr id="443991657" name="Graphic 44399165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812" w:type="dxa"/>
          </w:tcPr>
          <w:p w14:paraId="070259C2" w14:textId="00803CC1" w:rsidR="000721C4" w:rsidRDefault="000721C4" w:rsidP="000721C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H</w:t>
            </w:r>
            <w:r w:rsidRPr="00EE19E7">
              <w:rPr>
                <w:sz w:val="16"/>
                <w:szCs w:val="16"/>
              </w:rPr>
              <w:t>as mental health condition</w:t>
            </w:r>
            <w:r>
              <w:rPr>
                <w:sz w:val="16"/>
                <w:szCs w:val="16"/>
              </w:rPr>
              <w:t xml:space="preserve"> — ABS Census of Population and Housing </w:t>
            </w:r>
          </w:p>
        </w:tc>
        <w:tc>
          <w:tcPr>
            <w:tcW w:w="1467" w:type="dxa"/>
          </w:tcPr>
          <w:p w14:paraId="003A0A9F" w14:textId="52A76CB6" w:rsidR="000721C4" w:rsidRPr="00A10FB3" w:rsidRDefault="000721C4" w:rsidP="000721C4">
            <w:pPr>
              <w:cnfStyle w:val="000000100000" w:firstRow="0" w:lastRow="0" w:firstColumn="0" w:lastColumn="0" w:oddVBand="0" w:evenVBand="0" w:oddHBand="1" w:evenHBand="0" w:firstRowFirstColumn="0" w:firstRowLastColumn="0" w:lastRowFirstColumn="0" w:lastRowLastColumn="0"/>
              <w:rPr>
                <w:noProof/>
                <w:sz w:val="16"/>
                <w:szCs w:val="16"/>
              </w:rPr>
            </w:pPr>
            <w:r w:rsidRPr="00A10FB3">
              <w:rPr>
                <w:noProof/>
                <w:sz w:val="16"/>
                <w:szCs w:val="16"/>
              </w:rPr>
              <w:drawing>
                <wp:anchor distT="0" distB="0" distL="114300" distR="114300" simplePos="0" relativeHeight="251658323" behindDoc="0" locked="0" layoutInCell="1" allowOverlap="1" wp14:anchorId="7C026F96" wp14:editId="047FC143">
                  <wp:simplePos x="0" y="0"/>
                  <wp:positionH relativeFrom="margin">
                    <wp:align>center</wp:align>
                  </wp:positionH>
                  <wp:positionV relativeFrom="margin">
                    <wp:align>top</wp:align>
                  </wp:positionV>
                  <wp:extent cx="173318" cy="173318"/>
                  <wp:effectExtent l="0" t="0" r="0" b="0"/>
                  <wp:wrapSquare wrapText="bothSides"/>
                  <wp:docPr id="2057548582" name="Graphic 205754858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485" w:type="dxa"/>
          </w:tcPr>
          <w:p w14:paraId="4DB63081" w14:textId="3425CCE1" w:rsidR="000721C4" w:rsidRPr="00A10FB3" w:rsidRDefault="000721C4" w:rsidP="000721C4">
            <w:pPr>
              <w:cnfStyle w:val="000000100000" w:firstRow="0" w:lastRow="0" w:firstColumn="0" w:lastColumn="0" w:oddVBand="0" w:evenVBand="0" w:oddHBand="1" w:evenHBand="0" w:firstRowFirstColumn="0" w:firstRowLastColumn="0" w:lastRowFirstColumn="0" w:lastRowLastColumn="0"/>
              <w:rPr>
                <w:noProof/>
                <w:sz w:val="16"/>
                <w:szCs w:val="16"/>
              </w:rPr>
            </w:pPr>
            <w:r w:rsidRPr="00A10FB3">
              <w:rPr>
                <w:noProof/>
                <w:sz w:val="16"/>
                <w:szCs w:val="16"/>
              </w:rPr>
              <w:drawing>
                <wp:anchor distT="0" distB="0" distL="114300" distR="114300" simplePos="0" relativeHeight="251658324" behindDoc="0" locked="0" layoutInCell="1" allowOverlap="1" wp14:anchorId="2931ADA7" wp14:editId="71DFB84E">
                  <wp:simplePos x="0" y="0"/>
                  <wp:positionH relativeFrom="margin">
                    <wp:align>center</wp:align>
                  </wp:positionH>
                  <wp:positionV relativeFrom="margin">
                    <wp:align>top</wp:align>
                  </wp:positionV>
                  <wp:extent cx="197224" cy="197224"/>
                  <wp:effectExtent l="0" t="0" r="0" b="0"/>
                  <wp:wrapSquare wrapText="bothSides"/>
                  <wp:docPr id="253638581" name="Graphic 253638581"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97224" cy="197224"/>
                          </a:xfrm>
                          <a:prstGeom prst="rect">
                            <a:avLst/>
                          </a:prstGeom>
                        </pic:spPr>
                      </pic:pic>
                    </a:graphicData>
                  </a:graphic>
                </wp:anchor>
              </w:drawing>
            </w:r>
          </w:p>
        </w:tc>
        <w:tc>
          <w:tcPr>
            <w:tcW w:w="1489" w:type="dxa"/>
          </w:tcPr>
          <w:p w14:paraId="616FAE4A" w14:textId="2EAE83F8" w:rsidR="000721C4" w:rsidRPr="00A10FB3" w:rsidRDefault="000721C4" w:rsidP="000721C4">
            <w:pPr>
              <w:cnfStyle w:val="000000100000" w:firstRow="0" w:lastRow="0" w:firstColumn="0" w:lastColumn="0" w:oddVBand="0" w:evenVBand="0" w:oddHBand="1" w:evenHBand="0" w:firstRowFirstColumn="0" w:firstRowLastColumn="0" w:lastRowFirstColumn="0" w:lastRowLastColumn="0"/>
              <w:rPr>
                <w:noProof/>
                <w:sz w:val="16"/>
                <w:szCs w:val="16"/>
              </w:rPr>
            </w:pPr>
            <w:r w:rsidRPr="00A10FB3">
              <w:rPr>
                <w:noProof/>
                <w:sz w:val="16"/>
                <w:szCs w:val="16"/>
              </w:rPr>
              <w:drawing>
                <wp:anchor distT="0" distB="0" distL="114300" distR="114300" simplePos="0" relativeHeight="251658325" behindDoc="0" locked="0" layoutInCell="1" allowOverlap="1" wp14:anchorId="78098FD7" wp14:editId="21E027A3">
                  <wp:simplePos x="0" y="0"/>
                  <wp:positionH relativeFrom="margin">
                    <wp:align>center</wp:align>
                  </wp:positionH>
                  <wp:positionV relativeFrom="margin">
                    <wp:align>top</wp:align>
                  </wp:positionV>
                  <wp:extent cx="173318" cy="173318"/>
                  <wp:effectExtent l="0" t="0" r="0" b="0"/>
                  <wp:wrapSquare wrapText="bothSides"/>
                  <wp:docPr id="176689106" name="Graphic 17668910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r>
      <w:tr w:rsidR="00453621" w14:paraId="31DA7F4A" w14:textId="77777777" w:rsidTr="00453621">
        <w:tc>
          <w:tcPr>
            <w:cnfStyle w:val="001000000000" w:firstRow="0" w:lastRow="0" w:firstColumn="1" w:lastColumn="0" w:oddVBand="0" w:evenVBand="0" w:oddHBand="0" w:evenHBand="0" w:firstRowFirstColumn="0" w:firstRowLastColumn="0" w:lastRowFirstColumn="0" w:lastRowLastColumn="0"/>
            <w:tcW w:w="1678" w:type="dxa"/>
          </w:tcPr>
          <w:p w14:paraId="17CF946E" w14:textId="77777777" w:rsidR="00453621" w:rsidRPr="00575AFC" w:rsidRDefault="00453621" w:rsidP="00453621">
            <w:pPr>
              <w:rPr>
                <w:b w:val="0"/>
                <w:bCs w:val="0"/>
                <w:sz w:val="16"/>
                <w:szCs w:val="18"/>
              </w:rPr>
            </w:pPr>
            <w:r w:rsidRPr="00575AFC">
              <w:rPr>
                <w:b w:val="0"/>
                <w:bCs w:val="0"/>
                <w:sz w:val="16"/>
                <w:szCs w:val="18"/>
              </w:rPr>
              <w:t>Mental Health</w:t>
            </w:r>
          </w:p>
        </w:tc>
        <w:tc>
          <w:tcPr>
            <w:tcW w:w="1095" w:type="dxa"/>
          </w:tcPr>
          <w:p w14:paraId="117DF490" w14:textId="77777777" w:rsidR="00453621" w:rsidRPr="00A10FB3" w:rsidRDefault="00453621" w:rsidP="00453621">
            <w:pPr>
              <w:cnfStyle w:val="000000000000" w:firstRow="0" w:lastRow="0" w:firstColumn="0" w:lastColumn="0" w:oddVBand="0" w:evenVBand="0" w:oddHBand="0" w:evenHBand="0" w:firstRowFirstColumn="0" w:firstRowLastColumn="0" w:lastRowFirstColumn="0" w:lastRowLastColumn="0"/>
              <w:rPr>
                <w:sz w:val="16"/>
                <w:szCs w:val="18"/>
              </w:rPr>
            </w:pPr>
            <w:r w:rsidRPr="00A10FB3">
              <w:rPr>
                <w:noProof/>
                <w:sz w:val="16"/>
                <w:szCs w:val="18"/>
              </w:rPr>
              <w:drawing>
                <wp:anchor distT="0" distB="0" distL="114300" distR="114300" simplePos="0" relativeHeight="251658310" behindDoc="0" locked="0" layoutInCell="1" allowOverlap="1" wp14:anchorId="1C1D756E" wp14:editId="312ECF02">
                  <wp:simplePos x="0" y="0"/>
                  <wp:positionH relativeFrom="margin">
                    <wp:align>center</wp:align>
                  </wp:positionH>
                  <wp:positionV relativeFrom="margin">
                    <wp:align>center</wp:align>
                  </wp:positionV>
                  <wp:extent cx="173318" cy="173318"/>
                  <wp:effectExtent l="0" t="0" r="0" b="0"/>
                  <wp:wrapSquare wrapText="bothSides"/>
                  <wp:docPr id="1409211363" name="Graphic 140921136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812" w:type="dxa"/>
          </w:tcPr>
          <w:p w14:paraId="281BFF6C" w14:textId="68DC3C93" w:rsidR="00453621" w:rsidRPr="00A10FB3" w:rsidRDefault="00453621" w:rsidP="00453621">
            <w:pPr>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t xml:space="preserve">ABS </w:t>
            </w:r>
            <w:r w:rsidRPr="00A10FB3">
              <w:rPr>
                <w:sz w:val="16"/>
                <w:szCs w:val="18"/>
              </w:rPr>
              <w:t>National Health Survey 20</w:t>
            </w:r>
            <w:r>
              <w:rPr>
                <w:sz w:val="16"/>
                <w:szCs w:val="18"/>
              </w:rPr>
              <w:t>20–21</w:t>
            </w:r>
          </w:p>
        </w:tc>
        <w:tc>
          <w:tcPr>
            <w:tcW w:w="1467" w:type="dxa"/>
          </w:tcPr>
          <w:p w14:paraId="5522942C" w14:textId="77777777" w:rsidR="00453621" w:rsidRPr="00A10FB3" w:rsidRDefault="00453621" w:rsidP="00453621">
            <w:pPr>
              <w:cnfStyle w:val="000000000000" w:firstRow="0" w:lastRow="0" w:firstColumn="0" w:lastColumn="0" w:oddVBand="0" w:evenVBand="0" w:oddHBand="0" w:evenHBand="0" w:firstRowFirstColumn="0" w:firstRowLastColumn="0" w:lastRowFirstColumn="0" w:lastRowLastColumn="0"/>
              <w:rPr>
                <w:sz w:val="16"/>
                <w:szCs w:val="18"/>
              </w:rPr>
            </w:pPr>
            <w:r w:rsidRPr="00A10FB3">
              <w:rPr>
                <w:noProof/>
                <w:sz w:val="16"/>
                <w:szCs w:val="18"/>
              </w:rPr>
              <w:drawing>
                <wp:anchor distT="0" distB="0" distL="114300" distR="114300" simplePos="0" relativeHeight="251658313" behindDoc="0" locked="0" layoutInCell="1" allowOverlap="1" wp14:anchorId="6BC85598" wp14:editId="7F888833">
                  <wp:simplePos x="0" y="0"/>
                  <wp:positionH relativeFrom="margin">
                    <wp:align>center</wp:align>
                  </wp:positionH>
                  <wp:positionV relativeFrom="margin">
                    <wp:align>top</wp:align>
                  </wp:positionV>
                  <wp:extent cx="173318" cy="173318"/>
                  <wp:effectExtent l="0" t="0" r="0" b="0"/>
                  <wp:wrapSquare wrapText="bothSides"/>
                  <wp:docPr id="1466481895" name="Graphic 146648189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c>
          <w:tcPr>
            <w:tcW w:w="1485" w:type="dxa"/>
          </w:tcPr>
          <w:p w14:paraId="2A9B2FD5" w14:textId="77777777" w:rsidR="00453621" w:rsidRPr="00A10FB3" w:rsidRDefault="00453621" w:rsidP="00453621">
            <w:pPr>
              <w:cnfStyle w:val="000000000000" w:firstRow="0" w:lastRow="0" w:firstColumn="0" w:lastColumn="0" w:oddVBand="0" w:evenVBand="0" w:oddHBand="0" w:evenHBand="0" w:firstRowFirstColumn="0" w:firstRowLastColumn="0" w:lastRowFirstColumn="0" w:lastRowLastColumn="0"/>
              <w:rPr>
                <w:sz w:val="16"/>
                <w:szCs w:val="18"/>
              </w:rPr>
            </w:pPr>
            <w:r w:rsidRPr="00A10FB3">
              <w:rPr>
                <w:noProof/>
                <w:sz w:val="16"/>
                <w:szCs w:val="18"/>
              </w:rPr>
              <w:drawing>
                <wp:anchor distT="0" distB="0" distL="114300" distR="114300" simplePos="0" relativeHeight="251658312" behindDoc="0" locked="0" layoutInCell="1" allowOverlap="1" wp14:anchorId="33DE0098" wp14:editId="66C988A1">
                  <wp:simplePos x="0" y="0"/>
                  <wp:positionH relativeFrom="margin">
                    <wp:align>center</wp:align>
                  </wp:positionH>
                  <wp:positionV relativeFrom="margin">
                    <wp:align>top</wp:align>
                  </wp:positionV>
                  <wp:extent cx="197224" cy="197224"/>
                  <wp:effectExtent l="0" t="0" r="0" b="0"/>
                  <wp:wrapSquare wrapText="bothSides"/>
                  <wp:docPr id="575155633" name="Graphic 57515563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7442" name="Graphic 688917442" descr="Close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97224" cy="197224"/>
                          </a:xfrm>
                          <a:prstGeom prst="rect">
                            <a:avLst/>
                          </a:prstGeom>
                        </pic:spPr>
                      </pic:pic>
                    </a:graphicData>
                  </a:graphic>
                </wp:anchor>
              </w:drawing>
            </w:r>
          </w:p>
        </w:tc>
        <w:tc>
          <w:tcPr>
            <w:tcW w:w="1489" w:type="dxa"/>
          </w:tcPr>
          <w:p w14:paraId="1E86BBAC" w14:textId="77777777" w:rsidR="00453621" w:rsidRPr="00A10FB3" w:rsidRDefault="00453621" w:rsidP="00453621">
            <w:pPr>
              <w:cnfStyle w:val="000000000000" w:firstRow="0" w:lastRow="0" w:firstColumn="0" w:lastColumn="0" w:oddVBand="0" w:evenVBand="0" w:oddHBand="0" w:evenHBand="0" w:firstRowFirstColumn="0" w:firstRowLastColumn="0" w:lastRowFirstColumn="0" w:lastRowLastColumn="0"/>
              <w:rPr>
                <w:sz w:val="16"/>
                <w:szCs w:val="18"/>
              </w:rPr>
            </w:pPr>
            <w:r w:rsidRPr="00A10FB3">
              <w:rPr>
                <w:noProof/>
                <w:sz w:val="16"/>
                <w:szCs w:val="18"/>
              </w:rPr>
              <w:drawing>
                <wp:anchor distT="0" distB="0" distL="114300" distR="114300" simplePos="0" relativeHeight="251658314" behindDoc="0" locked="0" layoutInCell="1" allowOverlap="1" wp14:anchorId="5C8B7848" wp14:editId="6D923C4B">
                  <wp:simplePos x="0" y="0"/>
                  <wp:positionH relativeFrom="margin">
                    <wp:align>center</wp:align>
                  </wp:positionH>
                  <wp:positionV relativeFrom="margin">
                    <wp:align>top</wp:align>
                  </wp:positionV>
                  <wp:extent cx="173318" cy="173318"/>
                  <wp:effectExtent l="0" t="0" r="0" b="0"/>
                  <wp:wrapSquare wrapText="bothSides"/>
                  <wp:docPr id="451090295" name="Graphic 45109029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125191" name="Graphic 1155125191" descr="Checkmark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73318" cy="173318"/>
                          </a:xfrm>
                          <a:prstGeom prst="rect">
                            <a:avLst/>
                          </a:prstGeom>
                        </pic:spPr>
                      </pic:pic>
                    </a:graphicData>
                  </a:graphic>
                </wp:anchor>
              </w:drawing>
            </w:r>
          </w:p>
        </w:tc>
      </w:tr>
    </w:tbl>
    <w:p w14:paraId="354FD771" w14:textId="77777777" w:rsidR="003761BE" w:rsidRPr="00E807F9" w:rsidRDefault="003761BE" w:rsidP="00A85A32">
      <w:pPr>
        <w:pStyle w:val="Heading3"/>
      </w:pPr>
      <w:r>
        <w:t>Overcrowding</w:t>
      </w:r>
    </w:p>
    <w:p w14:paraId="284A2740" w14:textId="35646E2E" w:rsidR="00045068" w:rsidRDefault="00045068" w:rsidP="00045068">
      <w:pPr>
        <w:pStyle w:val="CGC2025ParaNumbers"/>
      </w:pPr>
      <w:r>
        <w:t xml:space="preserve">The </w:t>
      </w:r>
      <w:r w:rsidR="00A35162">
        <w:t>Australian Institute of Health Welfare</w:t>
      </w:r>
      <w:r>
        <w:t xml:space="preserve">’s Specialist Homelessness Services </w:t>
      </w:r>
      <w:r w:rsidR="00CE6FDD">
        <w:t>Collection (SHSC)</w:t>
      </w:r>
      <w:r>
        <w:t xml:space="preserve"> does not differentiate between those considered homeless and those living in overcrowded dwellings.</w:t>
      </w:r>
      <w:r>
        <w:rPr>
          <w:rStyle w:val="FootnoteReference"/>
        </w:rPr>
        <w:footnoteReference w:id="13"/>
      </w:r>
      <w:r>
        <w:t xml:space="preserve"> This reflects the focus </w:t>
      </w:r>
      <w:r w:rsidR="007226EE">
        <w:t xml:space="preserve">in the collection </w:t>
      </w:r>
      <w:r>
        <w:t>on users of homelessness services. The survey assesses individuals as homeless or at risk of homelessness based on the following criteria:</w:t>
      </w:r>
    </w:p>
    <w:p w14:paraId="3FD078E0" w14:textId="77777777" w:rsidR="00045068" w:rsidRPr="00475279" w:rsidRDefault="00045068" w:rsidP="00045068">
      <w:pPr>
        <w:pStyle w:val="Quote"/>
        <w:jc w:val="left"/>
        <w:rPr>
          <w:rFonts w:ascii="Work Sans" w:hAnsi="Work Sans"/>
          <w:color w:val="auto"/>
          <w:sz w:val="20"/>
          <w:szCs w:val="20"/>
        </w:rPr>
      </w:pPr>
      <w:r w:rsidRPr="00475279">
        <w:rPr>
          <w:rFonts w:ascii="Work Sans" w:hAnsi="Work Sans"/>
          <w:color w:val="auto"/>
          <w:sz w:val="20"/>
          <w:szCs w:val="20"/>
        </w:rPr>
        <w:t>The SHSC considers people to be experiencing homelessness if they:</w:t>
      </w:r>
    </w:p>
    <w:p w14:paraId="3BB9ECD0" w14:textId="77777777" w:rsidR="00045068" w:rsidRPr="00475279" w:rsidRDefault="00045068" w:rsidP="00045068">
      <w:pPr>
        <w:pStyle w:val="Quote"/>
        <w:numPr>
          <w:ilvl w:val="0"/>
          <w:numId w:val="35"/>
        </w:numPr>
        <w:tabs>
          <w:tab w:val="left" w:pos="567"/>
        </w:tabs>
        <w:spacing w:line="254" w:lineRule="auto"/>
        <w:jc w:val="left"/>
        <w:rPr>
          <w:rFonts w:ascii="Work Sans" w:hAnsi="Work Sans"/>
          <w:color w:val="auto"/>
          <w:sz w:val="20"/>
          <w:szCs w:val="20"/>
        </w:rPr>
      </w:pPr>
      <w:r w:rsidRPr="00475279">
        <w:rPr>
          <w:rFonts w:ascii="Work Sans" w:hAnsi="Work Sans"/>
          <w:color w:val="auto"/>
          <w:sz w:val="20"/>
          <w:szCs w:val="20"/>
        </w:rPr>
        <w:t xml:space="preserve">have no shelter or are living in an improvised/inadequate </w:t>
      </w:r>
      <w:proofErr w:type="gramStart"/>
      <w:r w:rsidRPr="00475279">
        <w:rPr>
          <w:rFonts w:ascii="Work Sans" w:hAnsi="Work Sans"/>
          <w:color w:val="auto"/>
          <w:sz w:val="20"/>
          <w:szCs w:val="20"/>
        </w:rPr>
        <w:t>dwelling</w:t>
      </w:r>
      <w:proofErr w:type="gramEnd"/>
    </w:p>
    <w:p w14:paraId="66BEAD52" w14:textId="77777777" w:rsidR="00045068" w:rsidRPr="00475279" w:rsidRDefault="00045068" w:rsidP="00045068">
      <w:pPr>
        <w:pStyle w:val="Quote"/>
        <w:numPr>
          <w:ilvl w:val="0"/>
          <w:numId w:val="35"/>
        </w:numPr>
        <w:tabs>
          <w:tab w:val="left" w:pos="567"/>
        </w:tabs>
        <w:spacing w:line="254" w:lineRule="auto"/>
        <w:jc w:val="left"/>
        <w:rPr>
          <w:rFonts w:ascii="Work Sans" w:hAnsi="Work Sans"/>
          <w:color w:val="auto"/>
          <w:sz w:val="20"/>
          <w:szCs w:val="20"/>
        </w:rPr>
      </w:pPr>
      <w:r w:rsidRPr="00475279">
        <w:rPr>
          <w:rFonts w:ascii="Work Sans" w:hAnsi="Work Sans"/>
          <w:color w:val="auto"/>
          <w:sz w:val="20"/>
          <w:szCs w:val="20"/>
        </w:rPr>
        <w:t>are living in short-term temporary accommodation, or</w:t>
      </w:r>
    </w:p>
    <w:p w14:paraId="3C0C00C0" w14:textId="77777777" w:rsidR="00045068" w:rsidRPr="00475279" w:rsidRDefault="00045068" w:rsidP="00045068">
      <w:pPr>
        <w:pStyle w:val="Quote"/>
        <w:numPr>
          <w:ilvl w:val="0"/>
          <w:numId w:val="35"/>
        </w:numPr>
        <w:tabs>
          <w:tab w:val="left" w:pos="567"/>
        </w:tabs>
        <w:spacing w:line="254" w:lineRule="auto"/>
        <w:jc w:val="left"/>
        <w:rPr>
          <w:rFonts w:ascii="Work Sans" w:hAnsi="Work Sans"/>
          <w:color w:val="auto"/>
          <w:sz w:val="20"/>
          <w:szCs w:val="20"/>
        </w:rPr>
      </w:pPr>
      <w:r w:rsidRPr="00475279">
        <w:rPr>
          <w:rFonts w:ascii="Work Sans" w:hAnsi="Work Sans"/>
          <w:color w:val="auto"/>
          <w:sz w:val="20"/>
          <w:szCs w:val="20"/>
        </w:rPr>
        <w:t>are couch surfing or living with no tenure in a house, townhouse or flat.</w:t>
      </w:r>
    </w:p>
    <w:p w14:paraId="3385970C" w14:textId="77777777" w:rsidR="00045068" w:rsidRPr="00475279" w:rsidRDefault="00045068" w:rsidP="000778FC">
      <w:pPr>
        <w:pStyle w:val="Quote"/>
        <w:tabs>
          <w:tab w:val="left" w:pos="567"/>
        </w:tabs>
        <w:spacing w:line="254" w:lineRule="auto"/>
        <w:jc w:val="left"/>
        <w:rPr>
          <w:rFonts w:ascii="Work Sans" w:hAnsi="Work Sans"/>
          <w:color w:val="auto"/>
          <w:sz w:val="20"/>
          <w:szCs w:val="20"/>
        </w:rPr>
      </w:pPr>
      <w:r w:rsidRPr="00475279">
        <w:rPr>
          <w:rFonts w:ascii="Work Sans" w:hAnsi="Work Sans"/>
          <w:color w:val="auto"/>
          <w:sz w:val="20"/>
          <w:szCs w:val="20"/>
        </w:rPr>
        <w:t>People are considered at risk of homelessness if they are at risk of losing their accommodation and are living in:</w:t>
      </w:r>
    </w:p>
    <w:p w14:paraId="27008446" w14:textId="77777777" w:rsidR="00045068" w:rsidRPr="00475279" w:rsidRDefault="00045068" w:rsidP="00045068">
      <w:pPr>
        <w:pStyle w:val="Quote"/>
        <w:numPr>
          <w:ilvl w:val="0"/>
          <w:numId w:val="35"/>
        </w:numPr>
        <w:tabs>
          <w:tab w:val="left" w:pos="567"/>
        </w:tabs>
        <w:spacing w:line="254" w:lineRule="auto"/>
        <w:jc w:val="left"/>
        <w:rPr>
          <w:rFonts w:ascii="Work Sans" w:hAnsi="Work Sans"/>
          <w:color w:val="auto"/>
          <w:sz w:val="20"/>
          <w:szCs w:val="20"/>
        </w:rPr>
      </w:pPr>
      <w:r w:rsidRPr="00475279">
        <w:rPr>
          <w:rFonts w:ascii="Work Sans" w:hAnsi="Work Sans"/>
          <w:color w:val="auto"/>
          <w:sz w:val="20"/>
          <w:szCs w:val="20"/>
        </w:rPr>
        <w:t xml:space="preserve">public or community housing, either as a renter or rent </w:t>
      </w:r>
      <w:proofErr w:type="gramStart"/>
      <w:r w:rsidRPr="00475279">
        <w:rPr>
          <w:rFonts w:ascii="Work Sans" w:hAnsi="Work Sans"/>
          <w:color w:val="auto"/>
          <w:sz w:val="20"/>
          <w:szCs w:val="20"/>
        </w:rPr>
        <w:t>free</w:t>
      </w:r>
      <w:proofErr w:type="gramEnd"/>
    </w:p>
    <w:p w14:paraId="59DF2DE5" w14:textId="77777777" w:rsidR="00045068" w:rsidRPr="00475279" w:rsidRDefault="00045068" w:rsidP="00045068">
      <w:pPr>
        <w:pStyle w:val="Quote"/>
        <w:numPr>
          <w:ilvl w:val="0"/>
          <w:numId w:val="35"/>
        </w:numPr>
        <w:tabs>
          <w:tab w:val="left" w:pos="567"/>
        </w:tabs>
        <w:spacing w:line="254" w:lineRule="auto"/>
        <w:jc w:val="left"/>
        <w:rPr>
          <w:rFonts w:ascii="Work Sans" w:hAnsi="Work Sans"/>
          <w:color w:val="auto"/>
          <w:sz w:val="20"/>
          <w:szCs w:val="20"/>
        </w:rPr>
      </w:pPr>
      <w:r w:rsidRPr="00475279">
        <w:rPr>
          <w:rFonts w:ascii="Work Sans" w:hAnsi="Work Sans"/>
          <w:color w:val="auto"/>
          <w:sz w:val="20"/>
          <w:szCs w:val="20"/>
        </w:rPr>
        <w:t>private or other housing, as a renter, rent free or owner, or</w:t>
      </w:r>
    </w:p>
    <w:p w14:paraId="61F09A6F" w14:textId="77777777" w:rsidR="00045068" w:rsidRPr="00475279" w:rsidRDefault="00045068" w:rsidP="00045068">
      <w:pPr>
        <w:pStyle w:val="Quote"/>
        <w:numPr>
          <w:ilvl w:val="0"/>
          <w:numId w:val="35"/>
        </w:numPr>
        <w:tabs>
          <w:tab w:val="left" w:pos="567"/>
        </w:tabs>
        <w:spacing w:line="254" w:lineRule="auto"/>
        <w:jc w:val="left"/>
        <w:rPr>
          <w:rFonts w:ascii="Work Sans" w:hAnsi="Work Sans"/>
          <w:color w:val="auto"/>
          <w:sz w:val="20"/>
          <w:szCs w:val="20"/>
        </w:rPr>
      </w:pPr>
      <w:r w:rsidRPr="00475279">
        <w:rPr>
          <w:rFonts w:ascii="Work Sans" w:hAnsi="Work Sans"/>
          <w:color w:val="auto"/>
          <w:sz w:val="20"/>
          <w:szCs w:val="20"/>
        </w:rPr>
        <w:t>institutional settings.</w:t>
      </w:r>
      <w:r w:rsidRPr="00475279">
        <w:rPr>
          <w:rStyle w:val="FootnoteReference"/>
          <w:color w:val="auto"/>
        </w:rPr>
        <w:footnoteReference w:id="14"/>
      </w:r>
    </w:p>
    <w:p w14:paraId="630FB663" w14:textId="3860CC0E" w:rsidR="00DE17EB" w:rsidRDefault="00045068" w:rsidP="00F06A60">
      <w:pPr>
        <w:pStyle w:val="CGC2025ParaNumbers"/>
      </w:pPr>
      <w:r>
        <w:t xml:space="preserve">The </w:t>
      </w:r>
      <w:r w:rsidR="00F06A60" w:rsidRPr="00F06A60">
        <w:t>Specialist Homelessness Services Collection</w:t>
      </w:r>
      <w:r w:rsidR="00F06A60" w:rsidRPr="00F06A60" w:rsidDel="00F06A60">
        <w:t xml:space="preserve"> </w:t>
      </w:r>
      <w:r>
        <w:t xml:space="preserve">does not collect information on overcrowding. As a result, the use of specialist homelessness services by </w:t>
      </w:r>
      <w:r w:rsidR="0088738D">
        <w:t>people living in overcrowded situations is not known</w:t>
      </w:r>
      <w:r>
        <w:t xml:space="preserve">. </w:t>
      </w:r>
    </w:p>
    <w:p w14:paraId="6B675AFF" w14:textId="08437360" w:rsidR="00B13762" w:rsidRDefault="00B13762" w:rsidP="00045068">
      <w:pPr>
        <w:pStyle w:val="CGC2025ParaNumbers"/>
      </w:pPr>
      <w:r>
        <w:lastRenderedPageBreak/>
        <w:t xml:space="preserve">The Commission </w:t>
      </w:r>
      <w:r w:rsidR="00D32E3A">
        <w:t xml:space="preserve">considers </w:t>
      </w:r>
      <w:r>
        <w:t>that</w:t>
      </w:r>
      <w:r w:rsidR="007474A4">
        <w:t xml:space="preserve"> while </w:t>
      </w:r>
      <w:r w:rsidR="00F771B0">
        <w:t xml:space="preserve">there is a conceptual case to consider </w:t>
      </w:r>
      <w:r>
        <w:t xml:space="preserve">overcrowding is </w:t>
      </w:r>
      <w:r w:rsidR="00EC6743">
        <w:t xml:space="preserve">a driver of </w:t>
      </w:r>
      <w:r w:rsidR="00257BD0">
        <w:t xml:space="preserve">the </w:t>
      </w:r>
      <w:r w:rsidR="00EC6743">
        <w:t>use of</w:t>
      </w:r>
      <w:r>
        <w:t xml:space="preserve"> homelessness services, </w:t>
      </w:r>
      <w:r w:rsidR="00EC6743">
        <w:t>it is not feasible to assess this driver in the 2025 Review.</w:t>
      </w:r>
    </w:p>
    <w:p w14:paraId="2087601E" w14:textId="77777777" w:rsidR="003761BE" w:rsidRDefault="003761BE" w:rsidP="00A85A32">
      <w:pPr>
        <w:pStyle w:val="Heading3"/>
      </w:pPr>
      <w:r>
        <w:t>Housing affordability</w:t>
      </w:r>
    </w:p>
    <w:p w14:paraId="047F252F" w14:textId="687DA315" w:rsidR="003761BE" w:rsidRDefault="003761BE" w:rsidP="003761BE">
      <w:pPr>
        <w:pStyle w:val="CGC2025ParaNumbers"/>
      </w:pPr>
      <w:r>
        <w:t>The R</w:t>
      </w:r>
      <w:r w:rsidR="00DE17EB">
        <w:t xml:space="preserve">ent </w:t>
      </w:r>
      <w:r>
        <w:t>A</w:t>
      </w:r>
      <w:r w:rsidR="00DE17EB">
        <w:t xml:space="preserve">ffordability </w:t>
      </w:r>
      <w:r w:rsidR="000618C8">
        <w:t>Indicator</w:t>
      </w:r>
      <w:r>
        <w:t xml:space="preserve"> variable is collected as part of the Census of Population and Housing at the household level. This considers whether a household is collectively spending over 30% of their income on rent</w:t>
      </w:r>
      <w:r w:rsidR="009278DA">
        <w:t>.</w:t>
      </w:r>
      <w:r>
        <w:rPr>
          <w:rStyle w:val="FootnoteReference"/>
        </w:rPr>
        <w:footnoteReference w:id="15"/>
      </w:r>
    </w:p>
    <w:p w14:paraId="1CC23E17" w14:textId="688E3814" w:rsidR="003761BE" w:rsidRDefault="000618C8" w:rsidP="003761BE">
      <w:pPr>
        <w:pStyle w:val="CGC2025ParaNumbers"/>
      </w:pPr>
      <w:r>
        <w:t xml:space="preserve">The </w:t>
      </w:r>
      <w:r w:rsidR="001E6FFF">
        <w:t xml:space="preserve">household </w:t>
      </w:r>
      <w:r w:rsidR="00ED2D54">
        <w:t xml:space="preserve">Rent Affordability Indicator is not compatible with person level data from the Australian </w:t>
      </w:r>
      <w:r w:rsidR="00CA24CC">
        <w:t>I</w:t>
      </w:r>
      <w:r w:rsidR="00ED2D54">
        <w:t xml:space="preserve">nstitute of </w:t>
      </w:r>
      <w:r w:rsidR="00CA24CC">
        <w:t>H</w:t>
      </w:r>
      <w:r w:rsidR="00ED2D54">
        <w:t xml:space="preserve">ealth and </w:t>
      </w:r>
      <w:r w:rsidR="00CA24CC">
        <w:t>We</w:t>
      </w:r>
      <w:r w:rsidR="00ED2D54">
        <w:t>lfare collection</w:t>
      </w:r>
      <w:r w:rsidR="001E6FFF">
        <w:t>.</w:t>
      </w:r>
      <w:r w:rsidR="00ED2D54">
        <w:t xml:space="preserve"> </w:t>
      </w:r>
      <w:r w:rsidR="003761BE">
        <w:t xml:space="preserve">The data being collected at the household level </w:t>
      </w:r>
      <w:r w:rsidR="0020363F">
        <w:t xml:space="preserve">also </w:t>
      </w:r>
      <w:r w:rsidR="005426A6">
        <w:t xml:space="preserve">prevents the </w:t>
      </w:r>
      <w:r w:rsidR="003761BE">
        <w:t>cross</w:t>
      </w:r>
      <w:r w:rsidR="005426A6">
        <w:t>-</w:t>
      </w:r>
      <w:r w:rsidR="003761BE">
        <w:t>classifi</w:t>
      </w:r>
      <w:r w:rsidR="005426A6">
        <w:t xml:space="preserve">cation of data </w:t>
      </w:r>
      <w:r w:rsidR="003761BE">
        <w:t xml:space="preserve">by </w:t>
      </w:r>
      <w:r w:rsidR="0020363F">
        <w:t>person-level</w:t>
      </w:r>
      <w:r w:rsidR="003761BE">
        <w:t xml:space="preserve"> </w:t>
      </w:r>
      <w:r w:rsidR="005426A6">
        <w:t xml:space="preserve">attributes </w:t>
      </w:r>
      <w:r w:rsidR="003761BE">
        <w:t xml:space="preserve">including </w:t>
      </w:r>
      <w:r w:rsidR="0020363F">
        <w:t>I</w:t>
      </w:r>
      <w:r w:rsidR="003761BE">
        <w:t>ndigenous status and age.</w:t>
      </w:r>
    </w:p>
    <w:p w14:paraId="62D4ACCE" w14:textId="24682435" w:rsidR="003761BE" w:rsidRDefault="002B1918" w:rsidP="003761BE">
      <w:pPr>
        <w:pStyle w:val="CGC2025ParaNumbers"/>
      </w:pPr>
      <w:r>
        <w:t xml:space="preserve">There are also inconsistent definitions between the </w:t>
      </w:r>
      <w:r w:rsidR="000219CC">
        <w:t>Census Rent affordability indicator and attribution of service use to housing affordability, in the Australian Institute of Health and Welfare collection</w:t>
      </w:r>
      <w:r w:rsidR="003761BE">
        <w:t xml:space="preserve">. The survey asks whether housing affordability stress </w:t>
      </w:r>
      <w:r w:rsidR="00A807BA">
        <w:t xml:space="preserve">or the housing crisis </w:t>
      </w:r>
      <w:r w:rsidR="003761BE">
        <w:t xml:space="preserve">was the main reason for seeking out homelessness services. </w:t>
      </w:r>
      <w:r w:rsidR="00096EF4">
        <w:t>In contrast</w:t>
      </w:r>
      <w:r w:rsidR="00A807BA">
        <w:t>, t</w:t>
      </w:r>
      <w:r w:rsidR="003761BE">
        <w:t xml:space="preserve">he </w:t>
      </w:r>
      <w:r w:rsidR="00A807BA">
        <w:t>Census</w:t>
      </w:r>
      <w:r w:rsidR="003761BE">
        <w:t xml:space="preserve"> </w:t>
      </w:r>
      <w:r w:rsidR="008E6B7D">
        <w:t>Rent Affordability Indicator</w:t>
      </w:r>
      <w:r w:rsidR="003761BE">
        <w:t xml:space="preserve"> variable specifies a 30% of income threshold. This difference in specificity may elicit different reporting behaviour.</w:t>
      </w:r>
    </w:p>
    <w:p w14:paraId="0788D55C" w14:textId="4A41BB5A" w:rsidR="00EC6743" w:rsidRDefault="00EC6743" w:rsidP="00EC6743">
      <w:pPr>
        <w:pStyle w:val="CGC2025ParaNumbers"/>
      </w:pPr>
      <w:r>
        <w:t>The Commission proposes that although rental affordability is a driver of use of homelessness services, it is not feasible to assess this driver in the 2025 Review.</w:t>
      </w:r>
    </w:p>
    <w:p w14:paraId="13F63A5F" w14:textId="77777777" w:rsidR="003761BE" w:rsidRDefault="003761BE" w:rsidP="00A85A32">
      <w:pPr>
        <w:pStyle w:val="Heading3"/>
      </w:pPr>
      <w:r>
        <w:t>Family and Domestic Violence</w:t>
      </w:r>
    </w:p>
    <w:p w14:paraId="4734318B" w14:textId="65FDECEB" w:rsidR="008F587C" w:rsidRDefault="008F587C" w:rsidP="003761BE">
      <w:pPr>
        <w:pStyle w:val="CGC2025ParaNumbers"/>
      </w:pPr>
      <w:r>
        <w:t>The 20</w:t>
      </w:r>
      <w:r w:rsidR="005D0A7A">
        <w:t>21–22</w:t>
      </w:r>
      <w:r>
        <w:t xml:space="preserve"> Personal Safety Survey includes data </w:t>
      </w:r>
      <w:r w:rsidR="006E1EF0">
        <w:t>on</w:t>
      </w:r>
      <w:r>
        <w:t xml:space="preserve"> instances of violence and the characteristics </w:t>
      </w:r>
      <w:r w:rsidR="006E1EF0">
        <w:t xml:space="preserve">of </w:t>
      </w:r>
      <w:r>
        <w:t>these instances.</w:t>
      </w:r>
      <w:r w:rsidR="001C64C7">
        <w:rPr>
          <w:rStyle w:val="FootnoteReference"/>
        </w:rPr>
        <w:footnoteReference w:id="16"/>
      </w:r>
      <w:r>
        <w:t xml:space="preserve"> While the </w:t>
      </w:r>
      <w:r w:rsidR="006E1EF0">
        <w:t xml:space="preserve">Personal Safety Survey </w:t>
      </w:r>
      <w:r>
        <w:t xml:space="preserve">specifies violence, physical violence and sexual violence, domestic and family violence does not exist as a variable. Microdata </w:t>
      </w:r>
      <w:proofErr w:type="gramStart"/>
      <w:r w:rsidR="00D1314A">
        <w:t>are</w:t>
      </w:r>
      <w:proofErr w:type="gramEnd"/>
      <w:r>
        <w:t xml:space="preserve"> </w:t>
      </w:r>
      <w:r w:rsidR="00FE7890">
        <w:t xml:space="preserve">not currently </w:t>
      </w:r>
      <w:r>
        <w:t xml:space="preserve">available. However, </w:t>
      </w:r>
      <w:r w:rsidR="00FE7890">
        <w:t>even if</w:t>
      </w:r>
      <w:r>
        <w:t xml:space="preserve"> the </w:t>
      </w:r>
      <w:r w:rsidR="00E4461E">
        <w:t xml:space="preserve">microdata </w:t>
      </w:r>
      <w:r w:rsidR="00FE7890">
        <w:t>w</w:t>
      </w:r>
      <w:r w:rsidR="00D1314A">
        <w:t>ere</w:t>
      </w:r>
      <w:r w:rsidR="00FE7890">
        <w:t xml:space="preserve"> available</w:t>
      </w:r>
      <w:r w:rsidR="00E4461E">
        <w:t xml:space="preserve"> the </w:t>
      </w:r>
      <w:r w:rsidR="00EA7351">
        <w:t xml:space="preserve">survey sample </w:t>
      </w:r>
      <w:r w:rsidR="00335490">
        <w:t xml:space="preserve">of </w:t>
      </w:r>
      <w:r w:rsidR="00D1314A">
        <w:t xml:space="preserve">around </w:t>
      </w:r>
      <w:r w:rsidR="00EA7351">
        <w:t xml:space="preserve">12,000 individuals will result in data confidentiality concerns when </w:t>
      </w:r>
      <w:r w:rsidR="006D00A4">
        <w:t xml:space="preserve">data </w:t>
      </w:r>
      <w:r w:rsidR="003120E1">
        <w:t xml:space="preserve">are </w:t>
      </w:r>
      <w:proofErr w:type="gramStart"/>
      <w:r w:rsidR="00A35162">
        <w:t>cross</w:t>
      </w:r>
      <w:r w:rsidR="002E665A">
        <w:t>-</w:t>
      </w:r>
      <w:r w:rsidR="00A35162">
        <w:t>classified</w:t>
      </w:r>
      <w:proofErr w:type="gramEnd"/>
      <w:r w:rsidR="00EA7351">
        <w:t xml:space="preserve"> by other variables of interest.</w:t>
      </w:r>
    </w:p>
    <w:p w14:paraId="333AA1CD" w14:textId="780C281D" w:rsidR="009A006F" w:rsidRDefault="009A006F" w:rsidP="009A006F">
      <w:pPr>
        <w:pStyle w:val="CGC2025ParaNumbers"/>
      </w:pPr>
      <w:r>
        <w:t xml:space="preserve">Further, the Personal Safety Survey is targeted at those above 18 years of age and therefore is unable to be </w:t>
      </w:r>
      <w:proofErr w:type="gramStart"/>
      <w:r w:rsidR="00A35162">
        <w:t>cross</w:t>
      </w:r>
      <w:r w:rsidR="002E665A">
        <w:t>-</w:t>
      </w:r>
      <w:r w:rsidR="00A35162">
        <w:t>classified</w:t>
      </w:r>
      <w:proofErr w:type="gramEnd"/>
      <w:r>
        <w:t xml:space="preserve"> by the </w:t>
      </w:r>
      <w:r w:rsidR="009D08D9">
        <w:t>lower age</w:t>
      </w:r>
      <w:r>
        <w:t xml:space="preserve"> brackets included in the proposed assessment method.</w:t>
      </w:r>
    </w:p>
    <w:p w14:paraId="70FA2266" w14:textId="2EDFC2B1" w:rsidR="00915C6E" w:rsidRDefault="00915C6E" w:rsidP="00915C6E">
      <w:pPr>
        <w:pStyle w:val="CGC2025ParaNumbers"/>
      </w:pPr>
      <w:r>
        <w:t xml:space="preserve">The Commission </w:t>
      </w:r>
      <w:r w:rsidR="006779BE">
        <w:t xml:space="preserve">considers there is a conceptual case </w:t>
      </w:r>
      <w:r w:rsidR="00364D8C">
        <w:t xml:space="preserve">for </w:t>
      </w:r>
      <w:r w:rsidR="00825001">
        <w:t>con</w:t>
      </w:r>
      <w:r w:rsidR="00680596">
        <w:t>s</w:t>
      </w:r>
      <w:r w:rsidR="00E15081">
        <w:t xml:space="preserve">idering </w:t>
      </w:r>
      <w:r>
        <w:t xml:space="preserve">family and domestic violence </w:t>
      </w:r>
      <w:r w:rsidR="00364D8C">
        <w:t>as</w:t>
      </w:r>
      <w:r>
        <w:t xml:space="preserve"> a driver of use of homelessness services, </w:t>
      </w:r>
      <w:r w:rsidR="00A4665E">
        <w:t xml:space="preserve">although </w:t>
      </w:r>
      <w:r>
        <w:t>it is not feasible to assess this driver in the 2025 Review.</w:t>
      </w:r>
    </w:p>
    <w:p w14:paraId="6DB4C8E0" w14:textId="77777777" w:rsidR="003761BE" w:rsidRDefault="003761BE" w:rsidP="00A85A32">
      <w:pPr>
        <w:pStyle w:val="Heading3"/>
      </w:pPr>
      <w:r>
        <w:lastRenderedPageBreak/>
        <w:t>Drug and Alcohol Use</w:t>
      </w:r>
    </w:p>
    <w:p w14:paraId="4B8B38C1" w14:textId="048C93F0" w:rsidR="003761BE" w:rsidRDefault="003761BE" w:rsidP="003761BE">
      <w:pPr>
        <w:pStyle w:val="CGC2025ParaNumbers"/>
      </w:pPr>
      <w:r>
        <w:t xml:space="preserve">The </w:t>
      </w:r>
      <w:r w:rsidR="001C4DA7">
        <w:t>Australian Institute of Health and Welfare</w:t>
      </w:r>
      <w:r>
        <w:t xml:space="preserve"> categorise</w:t>
      </w:r>
      <w:r w:rsidR="00C80570">
        <w:t>s</w:t>
      </w:r>
      <w:r>
        <w:t xml:space="preserve"> and provide</w:t>
      </w:r>
      <w:r w:rsidR="00C80570">
        <w:t>s</w:t>
      </w:r>
      <w:r>
        <w:t xml:space="preserve"> data on service users with a </w:t>
      </w:r>
      <w:r w:rsidR="00B90C2E">
        <w:t>‘</w:t>
      </w:r>
      <w:r>
        <w:t>history of drug or alcohol misuse</w:t>
      </w:r>
      <w:r w:rsidR="00B8054E">
        <w:t>.</w:t>
      </w:r>
      <w:r w:rsidR="00B90C2E">
        <w:t>’</w:t>
      </w:r>
      <w:r>
        <w:rPr>
          <w:rStyle w:val="FootnoteReference"/>
        </w:rPr>
        <w:footnoteReference w:id="17"/>
      </w:r>
      <w:r>
        <w:t xml:space="preserve"> </w:t>
      </w:r>
      <w:r w:rsidR="00A35162">
        <w:t>T</w:t>
      </w:r>
      <w:r>
        <w:t xml:space="preserve">he </w:t>
      </w:r>
      <w:r w:rsidR="00A35162">
        <w:t xml:space="preserve">Australian Institute of Health </w:t>
      </w:r>
      <w:r w:rsidR="00320FB7">
        <w:t>and</w:t>
      </w:r>
      <w:r w:rsidR="00A35162">
        <w:t xml:space="preserve"> Welfare </w:t>
      </w:r>
      <w:r>
        <w:t>also report</w:t>
      </w:r>
      <w:r w:rsidR="00320FB7">
        <w:t>s</w:t>
      </w:r>
      <w:r>
        <w:t xml:space="preserve"> on specific drugs of concern, including alcohol</w:t>
      </w:r>
      <w:r w:rsidR="00755513">
        <w:t>.</w:t>
      </w:r>
      <w:r>
        <w:rPr>
          <w:rStyle w:val="FootnoteReference"/>
        </w:rPr>
        <w:footnoteReference w:id="18"/>
      </w:r>
    </w:p>
    <w:p w14:paraId="178B4467" w14:textId="1AA173C2" w:rsidR="00DC19FC" w:rsidRDefault="003761BE" w:rsidP="00DC19FC">
      <w:pPr>
        <w:pStyle w:val="CGC2025ParaNumbers"/>
      </w:pPr>
      <w:r>
        <w:t xml:space="preserve">The National Health Survey is a </w:t>
      </w:r>
      <w:r w:rsidR="0092798D">
        <w:t xml:space="preserve">large </w:t>
      </w:r>
      <w:r>
        <w:t xml:space="preserve">sample survey designed to give prevalence estimates for a range of health conditions. Previous iterations of the </w:t>
      </w:r>
      <w:r w:rsidR="00566FB3">
        <w:t xml:space="preserve">National Health Survey </w:t>
      </w:r>
      <w:r>
        <w:t xml:space="preserve">have collected data on selected stressors and whether they have been experienced in the last 12 months. One listed stressor was experience of </w:t>
      </w:r>
      <w:r w:rsidR="005F0718">
        <w:t>‘</w:t>
      </w:r>
      <w:r>
        <w:t>alcohol or drug related problems.</w:t>
      </w:r>
      <w:r w:rsidR="005F0718">
        <w:t>’</w:t>
      </w:r>
      <w:r>
        <w:t xml:space="preserve"> However, as of the 2022 National Health Survey, </w:t>
      </w:r>
      <w:r w:rsidR="003B32E1">
        <w:t xml:space="preserve">these </w:t>
      </w:r>
      <w:r>
        <w:t xml:space="preserve">data </w:t>
      </w:r>
      <w:r w:rsidR="003B32E1">
        <w:t xml:space="preserve">are </w:t>
      </w:r>
      <w:r>
        <w:t>no longer being collected</w:t>
      </w:r>
      <w:r w:rsidR="00755513">
        <w:t>.</w:t>
      </w:r>
      <w:r>
        <w:rPr>
          <w:rStyle w:val="FootnoteReference"/>
        </w:rPr>
        <w:footnoteReference w:id="19"/>
      </w:r>
    </w:p>
    <w:p w14:paraId="2A831BDA" w14:textId="12A95F80" w:rsidR="00DC19FC" w:rsidRDefault="000D0408" w:rsidP="00DC19FC">
      <w:pPr>
        <w:pStyle w:val="CGC2025ParaNumbers"/>
      </w:pPr>
      <w:r>
        <w:t>T</w:t>
      </w:r>
      <w:r w:rsidR="00DC19FC">
        <w:t>he ABS says the National Health Survey is the preferred data source for health conditions and the survey features numerous sociodemographic details allowing cross</w:t>
      </w:r>
      <w:r w:rsidR="002E665A">
        <w:t>-</w:t>
      </w:r>
      <w:r w:rsidR="00DC19FC">
        <w:t>classification</w:t>
      </w:r>
      <w:r>
        <w:t>.</w:t>
      </w:r>
      <w:r w:rsidR="00DC19FC">
        <w:t xml:space="preserve"> </w:t>
      </w:r>
      <w:r>
        <w:t>However,</w:t>
      </w:r>
      <w:r w:rsidR="00BC7A5A">
        <w:t xml:space="preserve"> the ABS</w:t>
      </w:r>
      <w:r w:rsidR="00DC19FC">
        <w:t xml:space="preserve"> highlights that </w:t>
      </w:r>
      <w:r>
        <w:t>the survey</w:t>
      </w:r>
      <w:r w:rsidR="00DC19FC">
        <w:t xml:space="preserve"> </w:t>
      </w:r>
      <w:r w:rsidR="008F337E">
        <w:t>‘</w:t>
      </w:r>
      <w:r w:rsidR="00DC19FC" w:rsidRPr="007E7B24">
        <w:t>do not generally support reliable output at lower geographical levels or for specific sub-populations of interest</w:t>
      </w:r>
      <w:r w:rsidR="00B8054E">
        <w:t>.</w:t>
      </w:r>
      <w:r w:rsidR="008F337E">
        <w:t>’</w:t>
      </w:r>
      <w:r w:rsidR="00DC19FC">
        <w:t xml:space="preserve"> This is problematic for the Commission’s proposed approach considering prevalence of the factors influencing use of homelessness services for small areas across different remoteness levels.</w:t>
      </w:r>
    </w:p>
    <w:p w14:paraId="20A3F2B0" w14:textId="5AC664CD" w:rsidR="00097590" w:rsidRDefault="00097590" w:rsidP="00DC19FC">
      <w:pPr>
        <w:pStyle w:val="CGC2025ParaNumbers"/>
      </w:pPr>
      <w:r>
        <w:t>In addition</w:t>
      </w:r>
      <w:r w:rsidR="00FF0C98">
        <w:t>,</w:t>
      </w:r>
      <w:r>
        <w:t xml:space="preserve"> the National </w:t>
      </w:r>
      <w:r w:rsidR="00343505">
        <w:t>H</w:t>
      </w:r>
      <w:r>
        <w:t xml:space="preserve">ealth </w:t>
      </w:r>
      <w:r w:rsidR="00343505">
        <w:t>S</w:t>
      </w:r>
      <w:r>
        <w:t xml:space="preserve">urvey </w:t>
      </w:r>
      <w:r w:rsidR="00A4601F">
        <w:t>is also subject to data confidentiality when cross-classifying microdata.</w:t>
      </w:r>
      <w:r w:rsidR="00F64971">
        <w:t xml:space="preserve"> </w:t>
      </w:r>
      <w:r w:rsidR="00917C90">
        <w:t xml:space="preserve">The </w:t>
      </w:r>
      <w:r w:rsidR="00FF0C98">
        <w:t xml:space="preserve">2021–22 </w:t>
      </w:r>
      <w:r w:rsidR="00917C90">
        <w:t xml:space="preserve">National Health Survey </w:t>
      </w:r>
      <w:r w:rsidR="00FF0C98">
        <w:t xml:space="preserve">had </w:t>
      </w:r>
      <w:r w:rsidR="00715C95">
        <w:t xml:space="preserve">around </w:t>
      </w:r>
      <w:r w:rsidR="00FF0C98">
        <w:t>13</w:t>
      </w:r>
      <w:r w:rsidR="00715C95">
        <w:t>,</w:t>
      </w:r>
      <w:r w:rsidR="00FF0C98">
        <w:t>000</w:t>
      </w:r>
      <w:r w:rsidR="0017475D">
        <w:t> </w:t>
      </w:r>
      <w:r w:rsidR="00FF0C98">
        <w:t>household responses. Cross</w:t>
      </w:r>
      <w:r w:rsidR="002E665A">
        <w:t>-</w:t>
      </w:r>
      <w:r w:rsidR="00FF0C98">
        <w:t>classifying th</w:t>
      </w:r>
      <w:r w:rsidR="00715C95">
        <w:t>e</w:t>
      </w:r>
      <w:r w:rsidR="00FF0C98">
        <w:t xml:space="preserve"> microdata by service uses and other drivers of interest will expose sensitive unit record data.</w:t>
      </w:r>
    </w:p>
    <w:p w14:paraId="4E4DBD77" w14:textId="152E3916" w:rsidR="00915C6E" w:rsidRDefault="00915C6E" w:rsidP="00915C6E">
      <w:pPr>
        <w:pStyle w:val="CGC2025ParaNumbers"/>
      </w:pPr>
      <w:r>
        <w:t xml:space="preserve">The Commission proposes that although </w:t>
      </w:r>
      <w:r w:rsidR="000A3024">
        <w:t>d</w:t>
      </w:r>
      <w:r>
        <w:t>rug and alcohol use is a driver of use of homelessness services, it is not feasible to assess this driver in the 2025 Review.</w:t>
      </w:r>
    </w:p>
    <w:p w14:paraId="25BC130D" w14:textId="77777777" w:rsidR="003761BE" w:rsidRDefault="003761BE" w:rsidP="009A7BD9">
      <w:pPr>
        <w:pStyle w:val="Heading3"/>
        <w:keepNext/>
        <w:keepLines/>
      </w:pPr>
      <w:r>
        <w:t>Disability</w:t>
      </w:r>
    </w:p>
    <w:p w14:paraId="3B33A600" w14:textId="228DF300" w:rsidR="003761BE" w:rsidRDefault="003761BE" w:rsidP="003761BE">
      <w:pPr>
        <w:pStyle w:val="CGC2025ParaNumbers"/>
      </w:pPr>
      <w:r>
        <w:t xml:space="preserve">The </w:t>
      </w:r>
      <w:r w:rsidR="006E1EF0">
        <w:t>Australian Institute of Health and Welfare</w:t>
      </w:r>
      <w:r>
        <w:t xml:space="preserve">’s questions regarding disability are based on identifying </w:t>
      </w:r>
      <w:r w:rsidR="008F337E">
        <w:t>‘</w:t>
      </w:r>
      <w:r>
        <w:t>whether the client has any difficulty and/or need for assistance with 3 core activities (</w:t>
      </w:r>
      <w:r w:rsidR="005670F5">
        <w:t>self-care</w:t>
      </w:r>
      <w:r>
        <w:t>, mobility and communication)</w:t>
      </w:r>
      <w:r w:rsidR="000A3024">
        <w:t>.</w:t>
      </w:r>
      <w:r w:rsidR="008F337E">
        <w:t>’</w:t>
      </w:r>
      <w:r>
        <w:rPr>
          <w:rStyle w:val="FootnoteReference"/>
        </w:rPr>
        <w:footnoteReference w:id="20"/>
      </w:r>
    </w:p>
    <w:p w14:paraId="47742464" w14:textId="55914606" w:rsidR="003761BE" w:rsidRDefault="003761BE" w:rsidP="003761BE">
      <w:pPr>
        <w:pStyle w:val="CGC2025ParaNumbers"/>
      </w:pPr>
      <w:r>
        <w:t xml:space="preserve">The </w:t>
      </w:r>
      <w:r w:rsidR="006E1EF0">
        <w:t xml:space="preserve">Australian Institute of Health and Welfare </w:t>
      </w:r>
      <w:r>
        <w:t>cautions against comparing disability responses between age groups given the differing interpretations on what requiring assistance means, particularly for young children.</w:t>
      </w:r>
      <w:r w:rsidR="00E132A2">
        <w:rPr>
          <w:rStyle w:val="FootnoteReference"/>
        </w:rPr>
        <w:footnoteReference w:id="21"/>
      </w:r>
      <w:r>
        <w:t xml:space="preserve"> This is a concern given the proposed cross-classification based on age.</w:t>
      </w:r>
    </w:p>
    <w:p w14:paraId="5EAE8417" w14:textId="6CCC1B33" w:rsidR="006A5C7B" w:rsidRDefault="00DA4B02" w:rsidP="003761BE">
      <w:pPr>
        <w:pStyle w:val="CGC2025ParaNumbers"/>
      </w:pPr>
      <w:r>
        <w:lastRenderedPageBreak/>
        <w:t>T</w:t>
      </w:r>
      <w:r w:rsidR="006A5C7B">
        <w:t xml:space="preserve">here are </w:t>
      </w:r>
      <w:r w:rsidR="002B5404">
        <w:t>3</w:t>
      </w:r>
      <w:r w:rsidR="006A5C7B">
        <w:t xml:space="preserve"> potential data sources for assessing the prevalence of </w:t>
      </w:r>
      <w:r w:rsidR="002B5404">
        <w:t>disabilities in the national population. They are</w:t>
      </w:r>
      <w:r w:rsidR="00475279">
        <w:t xml:space="preserve"> the</w:t>
      </w:r>
      <w:r w:rsidR="002B5404">
        <w:t>:</w:t>
      </w:r>
    </w:p>
    <w:p w14:paraId="16558314" w14:textId="7524DF14" w:rsidR="002B5404" w:rsidRDefault="002B5404" w:rsidP="002B5404">
      <w:pPr>
        <w:pStyle w:val="CGC2025Bullet1"/>
      </w:pPr>
      <w:r>
        <w:t>Survey of Disability, Aging and Carers</w:t>
      </w:r>
    </w:p>
    <w:p w14:paraId="1B2D4761" w14:textId="228F04DE" w:rsidR="002B5404" w:rsidRDefault="00475279" w:rsidP="002B5404">
      <w:pPr>
        <w:pStyle w:val="CGC2025Bullet1"/>
      </w:pPr>
      <w:r>
        <w:t xml:space="preserve">2021 ABS </w:t>
      </w:r>
      <w:r w:rsidR="00E132A2">
        <w:t>c</w:t>
      </w:r>
      <w:r w:rsidR="002B5404">
        <w:t>ensus</w:t>
      </w:r>
    </w:p>
    <w:p w14:paraId="0760520B" w14:textId="3D9E7853" w:rsidR="002B5404" w:rsidRDefault="002B5404" w:rsidP="00994DDA">
      <w:pPr>
        <w:pStyle w:val="CGC2025Bullet1"/>
      </w:pPr>
      <w:r>
        <w:t xml:space="preserve">National </w:t>
      </w:r>
      <w:r w:rsidR="00E132A2">
        <w:t>H</w:t>
      </w:r>
      <w:r>
        <w:t>ealth Survey.</w:t>
      </w:r>
    </w:p>
    <w:p w14:paraId="3D673BF7" w14:textId="77777777" w:rsidR="00453621" w:rsidRDefault="00453621" w:rsidP="00453621">
      <w:pPr>
        <w:pStyle w:val="Heading4"/>
      </w:pPr>
      <w:r>
        <w:t>The Survey of Disability, Ageing and Carers 2018-19</w:t>
      </w:r>
    </w:p>
    <w:p w14:paraId="3C743E7C" w14:textId="6C651518" w:rsidR="00453621" w:rsidRDefault="00453621" w:rsidP="00453621">
      <w:pPr>
        <w:pStyle w:val="CGC2025ParaNumbers"/>
      </w:pPr>
      <w:r>
        <w:t xml:space="preserve">The </w:t>
      </w:r>
      <w:r w:rsidR="00D651DA">
        <w:t>ABS says that the</w:t>
      </w:r>
      <w:r>
        <w:t xml:space="preserve"> Survey of Disability, Ageing and Carers provid</w:t>
      </w:r>
      <w:r w:rsidR="00763A92">
        <w:t>es</w:t>
      </w:r>
      <w:r>
        <w:t xml:space="preserve"> </w:t>
      </w:r>
      <w:r w:rsidR="00B90C2E">
        <w:t>‘</w:t>
      </w:r>
      <w:r w:rsidRPr="0011094A">
        <w:t>a demographic and socio-economic profile of people with disabilities, older people, and carers compared with the general population</w:t>
      </w:r>
      <w:r w:rsidR="00B8054E">
        <w:t>.</w:t>
      </w:r>
      <w:r w:rsidR="00B90C2E">
        <w:t>’</w:t>
      </w:r>
      <w:r>
        <w:rPr>
          <w:rStyle w:val="FootnoteReference"/>
        </w:rPr>
        <w:footnoteReference w:id="22"/>
      </w:r>
    </w:p>
    <w:p w14:paraId="528DE706" w14:textId="4589DE9B" w:rsidR="00453621" w:rsidRPr="0011094A" w:rsidRDefault="00453621" w:rsidP="00453621">
      <w:pPr>
        <w:pStyle w:val="CGC2025ParaNumbers"/>
      </w:pPr>
      <w:r>
        <w:t xml:space="preserve">The survey excludes those in very remote areas, making it unable to be classified by the proposed drivers. The </w:t>
      </w:r>
      <w:r w:rsidR="006E3688">
        <w:t>s</w:t>
      </w:r>
      <w:r>
        <w:t xml:space="preserve">urvey also does not sample those living in discrete </w:t>
      </w:r>
      <w:r w:rsidR="006E3688">
        <w:t xml:space="preserve">First Nations </w:t>
      </w:r>
      <w:r>
        <w:t xml:space="preserve">communities, potentially underestimating </w:t>
      </w:r>
      <w:r w:rsidR="006E3688">
        <w:t xml:space="preserve">the </w:t>
      </w:r>
      <w:r>
        <w:t xml:space="preserve">prevalence of disabilities in </w:t>
      </w:r>
      <w:r w:rsidR="006E3688">
        <w:t xml:space="preserve">those </w:t>
      </w:r>
      <w:r>
        <w:t>communit</w:t>
      </w:r>
      <w:r w:rsidR="006E3688">
        <w:t>ies</w:t>
      </w:r>
      <w:r>
        <w:t>.</w:t>
      </w:r>
    </w:p>
    <w:p w14:paraId="69526ADF" w14:textId="07F2E6B3" w:rsidR="009E1D81" w:rsidRDefault="00453621" w:rsidP="00453621">
      <w:pPr>
        <w:pStyle w:val="CGC2025ParaNumbers"/>
      </w:pPr>
      <w:r>
        <w:t xml:space="preserve">The Survey of Disability, Ageing and Carers </w:t>
      </w:r>
      <w:r w:rsidR="009E1D81">
        <w:t xml:space="preserve">also </w:t>
      </w:r>
      <w:r>
        <w:t>does not allow for the cross</w:t>
      </w:r>
      <w:r w:rsidR="006E3688">
        <w:noBreakHyphen/>
      </w:r>
      <w:r>
        <w:t>classification of the Indigenous and non-</w:t>
      </w:r>
      <w:r w:rsidR="00303BD2">
        <w:t>I</w:t>
      </w:r>
      <w:r>
        <w:t>ndigenous population.</w:t>
      </w:r>
    </w:p>
    <w:p w14:paraId="28E4B210" w14:textId="349F3687" w:rsidR="00453621" w:rsidRDefault="00453621" w:rsidP="00453621">
      <w:pPr>
        <w:pStyle w:val="CGC2025ParaNumbers"/>
        <w:rPr>
          <w:rStyle w:val="ui-provider"/>
        </w:rPr>
      </w:pPr>
      <w:r>
        <w:t>The Commission</w:t>
      </w:r>
      <w:r w:rsidR="009E1D81">
        <w:t>’s</w:t>
      </w:r>
      <w:r>
        <w:t xml:space="preserve"> </w:t>
      </w:r>
      <w:r w:rsidR="009E1D81">
        <w:t xml:space="preserve">view is </w:t>
      </w:r>
      <w:r>
        <w:t xml:space="preserve">that </w:t>
      </w:r>
      <w:r w:rsidR="005C2D4E">
        <w:t xml:space="preserve">the survey of disability, aging and carers is not suitable for use </w:t>
      </w:r>
      <w:r>
        <w:t>in the proposed homelessness assessment</w:t>
      </w:r>
      <w:r w:rsidR="00A82496">
        <w:t xml:space="preserve"> because Indigenous status is a known driver of the nee</w:t>
      </w:r>
      <w:r w:rsidR="009A74C7">
        <w:t>d for homelessness services and other government services</w:t>
      </w:r>
      <w:r>
        <w:t>.</w:t>
      </w:r>
    </w:p>
    <w:p w14:paraId="6F821522" w14:textId="77777777" w:rsidR="003761BE" w:rsidRPr="002E38B4" w:rsidRDefault="003761BE" w:rsidP="00A85A32">
      <w:pPr>
        <w:pStyle w:val="Heading4"/>
      </w:pPr>
      <w:r>
        <w:t xml:space="preserve">Core activity need for assistance (ASSNP) – ABS Census of Population and Housing </w:t>
      </w:r>
    </w:p>
    <w:p w14:paraId="6C71B8A7" w14:textId="3E8CB8F0" w:rsidR="003761BE" w:rsidRDefault="003761BE" w:rsidP="003761BE">
      <w:pPr>
        <w:pStyle w:val="CGC2025ParaNumbers"/>
      </w:pPr>
      <w:r>
        <w:t>This question</w:t>
      </w:r>
      <w:r w:rsidR="009B4035">
        <w:t>, asked</w:t>
      </w:r>
      <w:r>
        <w:t xml:space="preserve"> as part of the Census of Population and Housing aligns closely with that asked by the </w:t>
      </w:r>
      <w:r w:rsidR="00753031">
        <w:t>Australian Institute of Health and Welfare</w:t>
      </w:r>
      <w:r>
        <w:t>, covering the same 3 core activity areas. The ABS</w:t>
      </w:r>
      <w:r w:rsidR="009B4035">
        <w:t>,</w:t>
      </w:r>
      <w:r>
        <w:t xml:space="preserve"> however</w:t>
      </w:r>
      <w:r w:rsidR="009B4035">
        <w:t>,</w:t>
      </w:r>
      <w:r>
        <w:t xml:space="preserve"> notes the cause for this need for assistance is broader than disability alone, including old age and</w:t>
      </w:r>
      <w:r w:rsidR="00753031">
        <w:t xml:space="preserve"> other</w:t>
      </w:r>
      <w:r>
        <w:t xml:space="preserve"> long</w:t>
      </w:r>
      <w:r w:rsidR="00753031">
        <w:t>-</w:t>
      </w:r>
      <w:r>
        <w:t xml:space="preserve">term health conditions. The ABS </w:t>
      </w:r>
      <w:proofErr w:type="gramStart"/>
      <w:r>
        <w:t>does</w:t>
      </w:r>
      <w:proofErr w:type="gramEnd"/>
      <w:r>
        <w:t xml:space="preserve"> not differentiate between these causes. This means responses to this question may capture a broader population group than intended for this assessment.</w:t>
      </w:r>
    </w:p>
    <w:p w14:paraId="61C5CFE2" w14:textId="28A31124" w:rsidR="003761BE" w:rsidRDefault="003761BE" w:rsidP="003761BE">
      <w:pPr>
        <w:pStyle w:val="CGC2025ParaNumbers"/>
      </w:pPr>
      <w:r>
        <w:t xml:space="preserve">Further within data use considerations, the ABS notes </w:t>
      </w:r>
      <w:r w:rsidR="00B90C2E">
        <w:t>‘</w:t>
      </w:r>
      <w:r>
        <w:t>only the Survey of Disability, Ageing and Carers is considered to comprehensively measure disability populations, and to provide rates of prevalence at the national and state levels</w:t>
      </w:r>
      <w:r w:rsidR="00B8054E">
        <w:t>.</w:t>
      </w:r>
      <w:r w:rsidR="00B90C2E">
        <w:t>’</w:t>
      </w:r>
      <w:r>
        <w:rPr>
          <w:rStyle w:val="FootnoteReference"/>
        </w:rPr>
        <w:footnoteReference w:id="23"/>
      </w:r>
    </w:p>
    <w:p w14:paraId="1F0DA4A4" w14:textId="034ED17D" w:rsidR="005C2D4E" w:rsidRPr="002E38B4" w:rsidRDefault="005C2D4E" w:rsidP="00004D5A">
      <w:pPr>
        <w:pStyle w:val="CGC2025ParaNumbers"/>
      </w:pPr>
      <w:r>
        <w:t xml:space="preserve">The Commission’s view is that the </w:t>
      </w:r>
      <w:r w:rsidR="00F264AD">
        <w:t>c</w:t>
      </w:r>
      <w:r w:rsidR="002C4314">
        <w:t>ore activity need for assistance</w:t>
      </w:r>
      <w:r w:rsidR="00004D5A">
        <w:t xml:space="preserve"> from the 2021</w:t>
      </w:r>
      <w:r w:rsidR="008A4333">
        <w:t> </w:t>
      </w:r>
      <w:r w:rsidR="00004D5A">
        <w:t>Census</w:t>
      </w:r>
      <w:r w:rsidR="002C4314">
        <w:t xml:space="preserve"> </w:t>
      </w:r>
      <w:r>
        <w:t>is not suitable for use in the proposed homelessness assessment because</w:t>
      </w:r>
      <w:r w:rsidR="002C4314">
        <w:t xml:space="preserve"> </w:t>
      </w:r>
      <w:r w:rsidR="00004D5A">
        <w:t>it does not comprehensively measure the presence of disabilities</w:t>
      </w:r>
      <w:r>
        <w:t>.</w:t>
      </w:r>
    </w:p>
    <w:p w14:paraId="06A50AF2" w14:textId="43E32D50" w:rsidR="00453621" w:rsidRDefault="00453621" w:rsidP="00453621">
      <w:pPr>
        <w:pStyle w:val="Heading4"/>
      </w:pPr>
      <w:r>
        <w:lastRenderedPageBreak/>
        <w:t>ABS National Health Survey 2020</w:t>
      </w:r>
      <w:r w:rsidR="00213B8B">
        <w:t>–</w:t>
      </w:r>
      <w:r>
        <w:t>21</w:t>
      </w:r>
      <w:r w:rsidR="00213B8B">
        <w:t xml:space="preserve"> and National Aboriginal and Torres Strait Islander Health Survey</w:t>
      </w:r>
    </w:p>
    <w:p w14:paraId="04A1999E" w14:textId="63EBCBCF" w:rsidR="00453621" w:rsidRPr="00836F76" w:rsidRDefault="00453621" w:rsidP="00836F76">
      <w:pPr>
        <w:pStyle w:val="CGC2025ParaNumbers"/>
      </w:pPr>
      <w:r w:rsidRPr="00836F76">
        <w:t>Disability is included among long</w:t>
      </w:r>
      <w:r w:rsidR="008A4333" w:rsidRPr="00836F76">
        <w:t>-</w:t>
      </w:r>
      <w:r w:rsidRPr="00836F76">
        <w:t>term health conditions in the National Health Survey, in line with the 10th revision of the International Classification of Diseases</w:t>
      </w:r>
      <w:r w:rsidR="009712E3">
        <w:t>.</w:t>
      </w:r>
      <w:r w:rsidRPr="005873F3">
        <w:rPr>
          <w:vertAlign w:val="superscript"/>
        </w:rPr>
        <w:footnoteReference w:id="24"/>
      </w:r>
      <w:r w:rsidRPr="00836F76">
        <w:t xml:space="preserve"> Information is collected regarding the type, severity and impact of the disability on education and employment.</w:t>
      </w:r>
    </w:p>
    <w:p w14:paraId="468F029D" w14:textId="3D17CA14" w:rsidR="00453621" w:rsidRDefault="00E20DC7" w:rsidP="00453621">
      <w:pPr>
        <w:pStyle w:val="CGC2025ParaNumbers"/>
      </w:pPr>
      <w:r>
        <w:t xml:space="preserve">The </w:t>
      </w:r>
      <w:proofErr w:type="gramStart"/>
      <w:r>
        <w:t>a</w:t>
      </w:r>
      <w:r w:rsidR="00453621">
        <w:t xml:space="preserve">forementioned </w:t>
      </w:r>
      <w:r w:rsidR="007423A8">
        <w:t>limitations</w:t>
      </w:r>
      <w:proofErr w:type="gramEnd"/>
      <w:r w:rsidR="007423A8">
        <w:t xml:space="preserve"> of</w:t>
      </w:r>
      <w:r>
        <w:t xml:space="preserve"> us</w:t>
      </w:r>
      <w:r w:rsidR="007423A8">
        <w:t>ing</w:t>
      </w:r>
      <w:r>
        <w:t xml:space="preserve"> the</w:t>
      </w:r>
      <w:r w:rsidR="00453621">
        <w:t xml:space="preserve"> National Health Survey to estimate prevalence </w:t>
      </w:r>
      <w:r w:rsidR="007423A8">
        <w:t xml:space="preserve">of mental health conditions </w:t>
      </w:r>
      <w:r w:rsidR="00453621">
        <w:t>by remoteness classifications also appl</w:t>
      </w:r>
      <w:r w:rsidR="00FB3D24">
        <w:t>y</w:t>
      </w:r>
      <w:r w:rsidR="00453621">
        <w:t xml:space="preserve"> here. Similarly, as noted previously</w:t>
      </w:r>
      <w:r w:rsidR="00FB3D24">
        <w:t>,</w:t>
      </w:r>
      <w:r w:rsidR="00453621">
        <w:t xml:space="preserve"> data confidentiality will also prevent the cross</w:t>
      </w:r>
      <w:r w:rsidR="005909F2">
        <w:noBreakHyphen/>
      </w:r>
      <w:r w:rsidR="00453621">
        <w:t>classification of the presence of disability by other drivers of interest.</w:t>
      </w:r>
    </w:p>
    <w:p w14:paraId="77640E0F" w14:textId="12A41A8A" w:rsidR="00453621" w:rsidRDefault="00453621" w:rsidP="00453621">
      <w:pPr>
        <w:pStyle w:val="CGC2025ParaNumbers"/>
      </w:pPr>
      <w:r>
        <w:t>Further, the specificity of the ABS definition for disability under the International Classification of Diseases contrasts with the more general need for assistance in</w:t>
      </w:r>
      <w:r w:rsidR="00663403">
        <w:t xml:space="preserve"> </w:t>
      </w:r>
      <w:r>
        <w:t>core activities asked about by the Australian Institute of Health and Welfare.</w:t>
      </w:r>
    </w:p>
    <w:p w14:paraId="5B7D4C7A" w14:textId="745EBEB9" w:rsidR="00004D5A" w:rsidRPr="005D6166" w:rsidRDefault="00004D5A" w:rsidP="00004D5A">
      <w:pPr>
        <w:pStyle w:val="CGC2025ParaNumbers"/>
      </w:pPr>
      <w:r>
        <w:t>The Commission</w:t>
      </w:r>
      <w:r w:rsidR="008609D7">
        <w:t xml:space="preserve"> considers</w:t>
      </w:r>
      <w:r>
        <w:t xml:space="preserve"> the National Health Survey 2020–21 is not suitable for use in the proposed homelessness assessment because </w:t>
      </w:r>
      <w:r w:rsidR="00162A3A">
        <w:t>of data confidentiality</w:t>
      </w:r>
      <w:r w:rsidR="00BD1FB6">
        <w:t>,</w:t>
      </w:r>
      <w:r w:rsidR="00162A3A">
        <w:t xml:space="preserve"> the exclusion of areas of interest (remote </w:t>
      </w:r>
      <w:r w:rsidR="00C23F88">
        <w:t>and very remote areas)</w:t>
      </w:r>
      <w:r w:rsidR="00BD1FB6">
        <w:t xml:space="preserve"> and inconsistent definitions of disability</w:t>
      </w:r>
      <w:r w:rsidR="00C23F88">
        <w:t>.</w:t>
      </w:r>
    </w:p>
    <w:p w14:paraId="3E9E4595" w14:textId="77777777" w:rsidR="00453621" w:rsidRDefault="00453621">
      <w:pPr>
        <w:tabs>
          <w:tab w:val="clear" w:pos="567"/>
        </w:tabs>
        <w:spacing w:before="0" w:after="200" w:line="276" w:lineRule="auto"/>
        <w:rPr>
          <w:rFonts w:asciiTheme="minorHAnsi" w:hAnsiTheme="minorHAnsi"/>
          <w:sz w:val="22"/>
        </w:rPr>
      </w:pPr>
    </w:p>
    <w:sectPr w:rsidR="00453621" w:rsidSect="003A14C7">
      <w:footerReference w:type="default" r:id="rId30"/>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1A688" w14:textId="77777777" w:rsidR="00D001D0" w:rsidRDefault="00D001D0">
      <w:r>
        <w:separator/>
      </w:r>
    </w:p>
    <w:p w14:paraId="3E5E7038" w14:textId="77777777" w:rsidR="00D001D0" w:rsidRDefault="00D001D0"/>
  </w:endnote>
  <w:endnote w:type="continuationSeparator" w:id="0">
    <w:p w14:paraId="5A84AADB" w14:textId="77777777" w:rsidR="00D001D0" w:rsidRDefault="00D001D0">
      <w:r>
        <w:continuationSeparator/>
      </w:r>
    </w:p>
    <w:p w14:paraId="2E9B7E1C" w14:textId="77777777" w:rsidR="00D001D0" w:rsidRDefault="00D001D0"/>
  </w:endnote>
  <w:endnote w:type="continuationNotice" w:id="1">
    <w:p w14:paraId="5A11FD94" w14:textId="77777777" w:rsidR="00D001D0" w:rsidRDefault="00D001D0">
      <w:pPr>
        <w:spacing w:before="0" w:line="240" w:lineRule="auto"/>
      </w:pPr>
    </w:p>
    <w:p w14:paraId="7F39EBCE" w14:textId="77777777" w:rsidR="00D001D0" w:rsidRDefault="00D00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Work Sans">
    <w:altName w:val="Calibri"/>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84187"/>
      <w:docPartObj>
        <w:docPartGallery w:val="Page Numbers (Bottom of Page)"/>
        <w:docPartUnique/>
      </w:docPartObj>
    </w:sdtPr>
    <w:sdtEndPr>
      <w:rPr>
        <w:rFonts w:ascii="Open Sans" w:hAnsi="Open Sans" w:cs="Open Sans"/>
        <w:b w:val="0"/>
        <w:noProof/>
        <w:color w:val="auto"/>
        <w:sz w:val="14"/>
        <w:szCs w:val="14"/>
      </w:rPr>
    </w:sdtEndPr>
    <w:sdtContent>
      <w:p w14:paraId="30722D57" w14:textId="14761108" w:rsidR="005B6B61" w:rsidRPr="006F677F" w:rsidRDefault="006F677F" w:rsidP="006F677F">
        <w:pPr>
          <w:pStyle w:val="Footer"/>
          <w:jc w:val="left"/>
          <w:rPr>
            <w:rFonts w:ascii="Open Sans" w:hAnsi="Open Sans" w:cs="Open Sans"/>
            <w:b w:val="0"/>
            <w:bCs/>
            <w:color w:val="auto"/>
            <w:sz w:val="14"/>
            <w:szCs w:val="14"/>
          </w:rPr>
        </w:pPr>
        <w:r w:rsidRPr="006F677F">
          <w:rPr>
            <w:rFonts w:ascii="Open Sans Semibold" w:hAnsi="Open Sans Semibold" w:cs="Open Sans Semibold"/>
            <w:b w:val="0"/>
            <w:bCs/>
            <w:color w:val="006991"/>
            <w:sz w:val="14"/>
            <w:szCs w:val="14"/>
          </w:rPr>
          <w:t>Commonwealth Grants Commission</w:t>
        </w:r>
        <w:r w:rsidRPr="006F677F">
          <w:rPr>
            <w:rFonts w:ascii="Work Sans" w:hAnsi="Work Sans"/>
            <w:b w:val="0"/>
            <w:bCs/>
            <w:color w:val="006991"/>
            <w:sz w:val="14"/>
            <w:szCs w:val="14"/>
          </w:rPr>
          <w:t xml:space="preserve"> </w:t>
        </w:r>
        <w:r w:rsidRPr="006F677F">
          <w:rPr>
            <w:rFonts w:ascii="Open Sans" w:hAnsi="Open Sans" w:cs="Open Sans"/>
            <w:b w:val="0"/>
            <w:bCs/>
            <w:color w:val="auto"/>
            <w:sz w:val="14"/>
            <w:szCs w:val="14"/>
          </w:rPr>
          <w:t xml:space="preserve">2025 Methodology Review - Draft Report </w:t>
        </w:r>
        <w:r>
          <w:rPr>
            <w:rFonts w:ascii="Open Sans" w:hAnsi="Open Sans" w:cs="Open Sans"/>
            <w:b w:val="0"/>
            <w:bCs/>
            <w:color w:val="auto"/>
            <w:sz w:val="14"/>
            <w:szCs w:val="14"/>
          </w:rPr>
          <w:tab/>
        </w:r>
        <w:r w:rsidR="005B6B61" w:rsidRPr="006F677F">
          <w:rPr>
            <w:rFonts w:ascii="Open Sans" w:hAnsi="Open Sans" w:cs="Open Sans"/>
            <w:b w:val="0"/>
            <w:bCs/>
            <w:color w:val="auto"/>
            <w:sz w:val="14"/>
            <w:szCs w:val="14"/>
          </w:rPr>
          <w:fldChar w:fldCharType="begin"/>
        </w:r>
        <w:r w:rsidR="005B6B61" w:rsidRPr="006F677F">
          <w:rPr>
            <w:rFonts w:ascii="Open Sans" w:hAnsi="Open Sans" w:cs="Open Sans"/>
            <w:b w:val="0"/>
            <w:bCs/>
            <w:color w:val="auto"/>
            <w:sz w:val="14"/>
            <w:szCs w:val="14"/>
          </w:rPr>
          <w:instrText xml:space="preserve"> PAGE   \* MERGEFORMAT </w:instrText>
        </w:r>
        <w:r w:rsidR="005B6B61" w:rsidRPr="006F677F">
          <w:rPr>
            <w:rFonts w:ascii="Open Sans" w:hAnsi="Open Sans" w:cs="Open Sans"/>
            <w:b w:val="0"/>
            <w:bCs/>
            <w:color w:val="auto"/>
            <w:sz w:val="14"/>
            <w:szCs w:val="14"/>
          </w:rPr>
          <w:fldChar w:fldCharType="separate"/>
        </w:r>
        <w:r w:rsidR="005B6B61" w:rsidRPr="006F677F">
          <w:rPr>
            <w:rFonts w:ascii="Open Sans" w:hAnsi="Open Sans" w:cs="Open Sans"/>
            <w:b w:val="0"/>
            <w:bCs/>
            <w:noProof/>
            <w:color w:val="auto"/>
            <w:sz w:val="14"/>
            <w:szCs w:val="14"/>
          </w:rPr>
          <w:t>2</w:t>
        </w:r>
        <w:r w:rsidR="005B6B61" w:rsidRPr="006F677F">
          <w:rPr>
            <w:rFonts w:ascii="Open Sans" w:hAnsi="Open Sans" w:cs="Open Sans"/>
            <w:b w:val="0"/>
            <w:bCs/>
            <w:noProof/>
            <w:color w:val="auto"/>
            <w:sz w:val="14"/>
            <w:szCs w:val="14"/>
          </w:rPr>
          <w:fldChar w:fldCharType="end"/>
        </w:r>
      </w:p>
    </w:sdtContent>
  </w:sdt>
  <w:p w14:paraId="2742424A"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271B0" w14:textId="77777777" w:rsidR="00D001D0" w:rsidRPr="001C1AC5" w:rsidRDefault="00D001D0">
      <w:pPr>
        <w:rPr>
          <w:color w:val="ADD6EA"/>
        </w:rPr>
      </w:pPr>
      <w:r w:rsidRPr="001C1AC5">
        <w:rPr>
          <w:color w:val="ADD6EA"/>
        </w:rPr>
        <w:separator/>
      </w:r>
    </w:p>
    <w:p w14:paraId="7C604EF9" w14:textId="77777777" w:rsidR="00D001D0" w:rsidRDefault="00D001D0"/>
  </w:footnote>
  <w:footnote w:type="continuationSeparator" w:id="0">
    <w:p w14:paraId="63EE5C44" w14:textId="77777777" w:rsidR="00D001D0" w:rsidRDefault="00D001D0">
      <w:r>
        <w:continuationSeparator/>
      </w:r>
    </w:p>
    <w:p w14:paraId="4A568334" w14:textId="77777777" w:rsidR="00D001D0" w:rsidRDefault="00D001D0"/>
  </w:footnote>
  <w:footnote w:type="continuationNotice" w:id="1">
    <w:p w14:paraId="7E6D2687" w14:textId="77777777" w:rsidR="00D001D0" w:rsidRDefault="00D001D0">
      <w:pPr>
        <w:spacing w:before="0" w:line="240" w:lineRule="auto"/>
      </w:pPr>
    </w:p>
    <w:p w14:paraId="3C6C16BC" w14:textId="77777777" w:rsidR="00D001D0" w:rsidRDefault="00D001D0"/>
  </w:footnote>
  <w:footnote w:id="2">
    <w:p w14:paraId="5D5A071B" w14:textId="12B51B5B" w:rsidR="004D76B4" w:rsidRDefault="004D76B4" w:rsidP="00BF4EC2">
      <w:pPr>
        <w:pStyle w:val="FootnoteText"/>
      </w:pPr>
      <w:r>
        <w:rPr>
          <w:rStyle w:val="FootnoteReference"/>
        </w:rPr>
        <w:footnoteRef/>
      </w:r>
      <w:r>
        <w:t xml:space="preserve"> </w:t>
      </w:r>
      <w:r w:rsidR="00592F3D" w:rsidRPr="00EE553F">
        <w:rPr>
          <w:shd w:val="clear" w:color="auto" w:fill="FFFFFF"/>
        </w:rPr>
        <w:t>A Albanese</w:t>
      </w:r>
      <w:r w:rsidR="00132FC3" w:rsidRPr="00EE553F">
        <w:rPr>
          <w:shd w:val="clear" w:color="auto" w:fill="FFFFFF"/>
        </w:rPr>
        <w:t>, </w:t>
      </w:r>
      <w:hyperlink r:id="rId1" w:history="1">
        <w:r w:rsidR="00DE3740" w:rsidRPr="00E669BE">
          <w:rPr>
            <w:rStyle w:val="Hyperlink"/>
            <w:rFonts w:cs="Segoe UI"/>
            <w:i/>
            <w:iCs/>
            <w:shd w:val="clear" w:color="auto" w:fill="FFFFFF"/>
          </w:rPr>
          <w:t>Meeting of National Cabinet – the Federation working for Australia</w:t>
        </w:r>
      </w:hyperlink>
      <w:r w:rsidR="00DE3740" w:rsidRPr="00EE553F">
        <w:rPr>
          <w:shd w:val="clear" w:color="auto" w:fill="FFFFFF"/>
        </w:rPr>
        <w:t xml:space="preserve"> </w:t>
      </w:r>
      <w:r w:rsidR="00132FC3" w:rsidRPr="00EE553F">
        <w:rPr>
          <w:shd w:val="clear" w:color="auto" w:fill="FFFFFF"/>
        </w:rPr>
        <w:t xml:space="preserve">[media release], </w:t>
      </w:r>
      <w:r w:rsidR="00DE3740" w:rsidRPr="00EE553F">
        <w:rPr>
          <w:shd w:val="clear" w:color="auto" w:fill="FFFFFF"/>
        </w:rPr>
        <w:t>Austr</w:t>
      </w:r>
      <w:r w:rsidR="00EE553F">
        <w:rPr>
          <w:shd w:val="clear" w:color="auto" w:fill="FFFFFF"/>
        </w:rPr>
        <w:t>a</w:t>
      </w:r>
      <w:r w:rsidR="00DE3740" w:rsidRPr="00EE553F">
        <w:rPr>
          <w:shd w:val="clear" w:color="auto" w:fill="FFFFFF"/>
        </w:rPr>
        <w:t>lian</w:t>
      </w:r>
      <w:r w:rsidR="00132FC3" w:rsidRPr="00EE553F">
        <w:rPr>
          <w:shd w:val="clear" w:color="auto" w:fill="FFFFFF"/>
        </w:rPr>
        <w:t xml:space="preserve"> Government, </w:t>
      </w:r>
      <w:r w:rsidR="00DE3740" w:rsidRPr="00EE553F">
        <w:rPr>
          <w:shd w:val="clear" w:color="auto" w:fill="FFFFFF"/>
        </w:rPr>
        <w:t>6</w:t>
      </w:r>
      <w:r w:rsidR="00EE553F">
        <w:rPr>
          <w:shd w:val="clear" w:color="auto" w:fill="FFFFFF"/>
        </w:rPr>
        <w:t> </w:t>
      </w:r>
      <w:r w:rsidR="00DE3740" w:rsidRPr="00EE553F">
        <w:rPr>
          <w:shd w:val="clear" w:color="auto" w:fill="FFFFFF"/>
        </w:rPr>
        <w:t xml:space="preserve">December </w:t>
      </w:r>
      <w:r w:rsidR="00132FC3" w:rsidRPr="00EE553F">
        <w:rPr>
          <w:shd w:val="clear" w:color="auto" w:fill="FFFFFF"/>
        </w:rPr>
        <w:t>202</w:t>
      </w:r>
      <w:r w:rsidR="00DE3740" w:rsidRPr="00EE553F">
        <w:rPr>
          <w:shd w:val="clear" w:color="auto" w:fill="FFFFFF"/>
        </w:rPr>
        <w:t>3</w:t>
      </w:r>
      <w:r w:rsidR="00132FC3" w:rsidRPr="00EE553F">
        <w:rPr>
          <w:shd w:val="clear" w:color="auto" w:fill="FFFFFF"/>
        </w:rPr>
        <w:t xml:space="preserve">, accessed </w:t>
      </w:r>
      <w:r w:rsidR="00DE3740" w:rsidRPr="00EE553F">
        <w:rPr>
          <w:shd w:val="clear" w:color="auto" w:fill="FFFFFF"/>
        </w:rPr>
        <w:t>1</w:t>
      </w:r>
      <w:r w:rsidR="00132FC3" w:rsidRPr="00EE553F">
        <w:rPr>
          <w:shd w:val="clear" w:color="auto" w:fill="FFFFFF"/>
        </w:rPr>
        <w:t xml:space="preserve"> </w:t>
      </w:r>
      <w:r w:rsidR="00DE3740" w:rsidRPr="00EE553F">
        <w:rPr>
          <w:shd w:val="clear" w:color="auto" w:fill="FFFFFF"/>
        </w:rPr>
        <w:t xml:space="preserve">April </w:t>
      </w:r>
      <w:r w:rsidR="00132FC3" w:rsidRPr="00EE553F">
        <w:rPr>
          <w:shd w:val="clear" w:color="auto" w:fill="FFFFFF"/>
        </w:rPr>
        <w:t>202</w:t>
      </w:r>
      <w:r w:rsidR="00DE3740" w:rsidRPr="00EE553F">
        <w:rPr>
          <w:shd w:val="clear" w:color="auto" w:fill="FFFFFF"/>
        </w:rPr>
        <w:t>4</w:t>
      </w:r>
      <w:r w:rsidR="00132FC3" w:rsidRPr="00EE553F">
        <w:rPr>
          <w:shd w:val="clear" w:color="auto" w:fill="FFFFFF"/>
        </w:rPr>
        <w:t>.</w:t>
      </w:r>
    </w:p>
  </w:footnote>
  <w:footnote w:id="3">
    <w:p w14:paraId="707193E8" w14:textId="1D01395F" w:rsidR="00A00CE4" w:rsidRPr="00B66101" w:rsidRDefault="00A00CE4" w:rsidP="00BF4EC2">
      <w:pPr>
        <w:pStyle w:val="FootnoteText"/>
      </w:pPr>
      <w:r>
        <w:rPr>
          <w:rStyle w:val="FootnoteReference"/>
        </w:rPr>
        <w:footnoteRef/>
      </w:r>
      <w:r w:rsidR="00495EB3">
        <w:t xml:space="preserve"> </w:t>
      </w:r>
      <w:r w:rsidR="00495EB3" w:rsidRPr="00495EB3">
        <w:t>National Disability Insurance Agency (NDIA)</w:t>
      </w:r>
      <w:r w:rsidR="00495EB3">
        <w:t>,</w:t>
      </w:r>
      <w:r w:rsidR="00585A7A">
        <w:t xml:space="preserve"> </w:t>
      </w:r>
      <w:hyperlink r:id="rId2" w:history="1">
        <w:r w:rsidR="00585A7A" w:rsidRPr="00585A7A">
          <w:rPr>
            <w:rStyle w:val="Hyperlink"/>
          </w:rPr>
          <w:t>Intergovernmental agreements</w:t>
        </w:r>
      </w:hyperlink>
      <w:r w:rsidR="00A42DAB">
        <w:rPr>
          <w:rStyle w:val="Hyperlink"/>
        </w:rPr>
        <w:t>,</w:t>
      </w:r>
      <w:r w:rsidR="00A42DAB">
        <w:rPr>
          <w:rStyle w:val="Hyperlink"/>
          <w:color w:val="auto"/>
          <w:u w:val="none"/>
        </w:rPr>
        <w:t xml:space="preserve"> N</w:t>
      </w:r>
      <w:r w:rsidR="00A42DAB" w:rsidRPr="00A42DAB">
        <w:rPr>
          <w:rStyle w:val="Hyperlink"/>
          <w:color w:val="auto"/>
          <w:u w:val="none"/>
        </w:rPr>
        <w:t>DIS</w:t>
      </w:r>
      <w:r w:rsidR="00A42DAB">
        <w:rPr>
          <w:rStyle w:val="Hyperlink"/>
          <w:color w:val="auto"/>
          <w:u w:val="none"/>
        </w:rPr>
        <w:t xml:space="preserve"> website,</w:t>
      </w:r>
      <w:r w:rsidR="00C51279">
        <w:rPr>
          <w:rStyle w:val="Hyperlink"/>
          <w:color w:val="auto"/>
          <w:u w:val="none"/>
        </w:rPr>
        <w:t xml:space="preserve"> 2022</w:t>
      </w:r>
      <w:r w:rsidR="00A42DAB">
        <w:rPr>
          <w:rStyle w:val="Hyperlink"/>
          <w:color w:val="auto"/>
          <w:u w:val="none"/>
        </w:rPr>
        <w:t>, accessed 1 April 2024.</w:t>
      </w:r>
    </w:p>
  </w:footnote>
  <w:footnote w:id="4">
    <w:p w14:paraId="5A47154E" w14:textId="393BCDF0" w:rsidR="00EA41AE" w:rsidRPr="00585A7A" w:rsidRDefault="00EA41AE" w:rsidP="00BF4EC2">
      <w:pPr>
        <w:pStyle w:val="FootnoteText"/>
        <w:rPr>
          <w:lang w:val="en-US"/>
        </w:rPr>
      </w:pPr>
      <w:r>
        <w:rPr>
          <w:rStyle w:val="FootnoteReference"/>
        </w:rPr>
        <w:footnoteRef/>
      </w:r>
      <w:r>
        <w:t xml:space="preserve"> </w:t>
      </w:r>
      <w:r w:rsidR="003F2D2F">
        <w:t xml:space="preserve">Commonwealth Grants Commission (CGC), </w:t>
      </w:r>
      <w:hyperlink r:id="rId3" w:history="1">
        <w:r w:rsidR="003F2D2F" w:rsidRPr="003A279D">
          <w:rPr>
            <w:rStyle w:val="Hyperlink"/>
            <w:i/>
            <w:iCs/>
          </w:rPr>
          <w:t>Report on GST Revenue Sharing Relativities: 2020 Review,</w:t>
        </w:r>
      </w:hyperlink>
      <w:r w:rsidR="003F2D2F" w:rsidRPr="003A279D">
        <w:t xml:space="preserve"> </w:t>
      </w:r>
      <w:r w:rsidR="003F2D2F">
        <w:t>V</w:t>
      </w:r>
      <w:r w:rsidR="003F2D2F" w:rsidRPr="003A279D">
        <w:t>ol</w:t>
      </w:r>
      <w:r w:rsidR="003F2D2F">
        <w:t>ume</w:t>
      </w:r>
      <w:r w:rsidR="003F2D2F" w:rsidRPr="003A279D">
        <w:t xml:space="preserve"> 2, </w:t>
      </w:r>
      <w:r w:rsidR="003F2D2F">
        <w:t>P</w:t>
      </w:r>
      <w:r w:rsidR="003F2D2F" w:rsidRPr="003A279D">
        <w:t xml:space="preserve">art </w:t>
      </w:r>
      <w:r w:rsidR="003F2D2F">
        <w:t>B</w:t>
      </w:r>
      <w:r w:rsidR="003F2D2F" w:rsidRPr="003A279D">
        <w:t>, Ch</w:t>
      </w:r>
      <w:r w:rsidR="004230F5">
        <w:t>5</w:t>
      </w:r>
      <w:r w:rsidR="003F2D2F">
        <w:t>–</w:t>
      </w:r>
      <w:r w:rsidR="004230F5">
        <w:t>18</w:t>
      </w:r>
      <w:r w:rsidR="003F2D2F">
        <w:t>, CGC, 2020</w:t>
      </w:r>
      <w:r w:rsidR="00510612">
        <w:t>, accessed 1 April 2024</w:t>
      </w:r>
      <w:r w:rsidR="003F2D2F">
        <w:t>.</w:t>
      </w:r>
    </w:p>
  </w:footnote>
  <w:footnote w:id="5">
    <w:p w14:paraId="1A51695E" w14:textId="2CE67B92" w:rsidR="004F3E52" w:rsidRPr="006823E8" w:rsidRDefault="004F3E52" w:rsidP="00BF4EC2">
      <w:pPr>
        <w:pStyle w:val="FootnoteText"/>
      </w:pPr>
      <w:r>
        <w:rPr>
          <w:rStyle w:val="FootnoteReference"/>
        </w:rPr>
        <w:footnoteRef/>
      </w:r>
      <w:r>
        <w:t xml:space="preserve"> </w:t>
      </w:r>
      <w:r w:rsidR="00C37D13">
        <w:t>Productivity Commission</w:t>
      </w:r>
      <w:r w:rsidR="007F0CDD">
        <w:t xml:space="preserve"> (PC)</w:t>
      </w:r>
      <w:r w:rsidR="00C93C5B">
        <w:t xml:space="preserve">, </w:t>
      </w:r>
      <w:hyperlink r:id="rId4" w:history="1">
        <w:r w:rsidR="00D43805" w:rsidRPr="00190A1F">
          <w:rPr>
            <w:rStyle w:val="Hyperlink"/>
            <w:i/>
            <w:iCs/>
          </w:rPr>
          <w:t>Report on Government Services 2024</w:t>
        </w:r>
      </w:hyperlink>
      <w:r w:rsidR="006823E8">
        <w:t>,</w:t>
      </w:r>
      <w:r w:rsidR="00D43805">
        <w:t xml:space="preserve"> Section 19: Homelessness services, PC,</w:t>
      </w:r>
      <w:r w:rsidR="006823E8">
        <w:t xml:space="preserve"> </w:t>
      </w:r>
      <w:r w:rsidR="00A32A1A">
        <w:t>2024</w:t>
      </w:r>
      <w:r w:rsidR="00D43805">
        <w:t>, accessed 1 April 202</w:t>
      </w:r>
      <w:r w:rsidR="00510612">
        <w:t>4</w:t>
      </w:r>
      <w:r w:rsidR="00D43805">
        <w:t>.</w:t>
      </w:r>
    </w:p>
  </w:footnote>
  <w:footnote w:id="6">
    <w:p w14:paraId="46A792C5" w14:textId="6C67188A" w:rsidR="00912551" w:rsidRDefault="00912551" w:rsidP="00BF4EC2">
      <w:pPr>
        <w:pStyle w:val="FootnoteText"/>
      </w:pPr>
      <w:r>
        <w:rPr>
          <w:rStyle w:val="FootnoteReference"/>
        </w:rPr>
        <w:footnoteRef/>
      </w:r>
      <w:r>
        <w:t xml:space="preserve"> </w:t>
      </w:r>
      <w:r w:rsidR="00222037">
        <w:t xml:space="preserve">PC, </w:t>
      </w:r>
      <w:hyperlink r:id="rId5" w:history="1">
        <w:r w:rsidR="00DA5E26" w:rsidRPr="00D73A3C">
          <w:rPr>
            <w:rStyle w:val="Hyperlink"/>
            <w:i/>
            <w:iCs/>
          </w:rPr>
          <w:t>Report on Government Services 2024</w:t>
        </w:r>
      </w:hyperlink>
      <w:r w:rsidR="00DA2EFC">
        <w:t>.</w:t>
      </w:r>
    </w:p>
  </w:footnote>
  <w:footnote w:id="7">
    <w:p w14:paraId="0D5BF1A1" w14:textId="5A76A980" w:rsidR="00015757" w:rsidRDefault="00015757" w:rsidP="00BF4EC2">
      <w:pPr>
        <w:pStyle w:val="FootnoteText"/>
      </w:pPr>
      <w:r>
        <w:rPr>
          <w:rStyle w:val="FootnoteReference"/>
        </w:rPr>
        <w:footnoteRef/>
      </w:r>
      <w:r>
        <w:t xml:space="preserve"> </w:t>
      </w:r>
      <w:r w:rsidR="00BE6F90">
        <w:t>Department of Social Services (DSS)</w:t>
      </w:r>
      <w:r w:rsidR="008E0033">
        <w:t xml:space="preserve">, </w:t>
      </w:r>
      <w:r w:rsidRPr="004837EA">
        <w:fldChar w:fldCharType="begin"/>
      </w:r>
      <w:r w:rsidR="000D0E00" w:rsidRPr="000D0E00">
        <w:instrText xml:space="preserve"> </w:instrText>
      </w:r>
      <w:r w:rsidR="000D0E00" w:rsidRPr="00A45EC1">
        <w:instrText>National Housing and Homelessness Agreement</w:instrText>
      </w:r>
      <w:r w:rsidR="000D0E00" w:rsidRPr="00A4409C" w:rsidDel="000D0E00">
        <w:instrText xml:space="preserve"> </w:instrText>
      </w:r>
      <w:r w:rsidRPr="004837EA">
        <w:fldChar w:fldCharType="separate"/>
      </w:r>
      <w:r w:rsidR="008E0033" w:rsidRPr="004837EA">
        <w:rPr>
          <w:rStyle w:val="Hyperlink"/>
          <w:i/>
          <w:iCs/>
        </w:rPr>
        <w:t>National Housing and Homelessness Agreement</w:t>
      </w:r>
      <w:r w:rsidRPr="004837EA">
        <w:rPr>
          <w:rStyle w:val="Hyperlink"/>
          <w:i/>
          <w:iCs/>
        </w:rPr>
        <w:fldChar w:fldCharType="end"/>
      </w:r>
      <w:r w:rsidR="002049B7">
        <w:rPr>
          <w:rStyle w:val="Hyperlink"/>
        </w:rPr>
        <w:t>,</w:t>
      </w:r>
      <w:r w:rsidR="008E0033">
        <w:t xml:space="preserve"> </w:t>
      </w:r>
      <w:r w:rsidR="00B62938">
        <w:t xml:space="preserve">DSS website, </w:t>
      </w:r>
      <w:r w:rsidR="0094688D">
        <w:t>2024</w:t>
      </w:r>
      <w:r w:rsidR="002049B7">
        <w:t>,</w:t>
      </w:r>
      <w:r w:rsidR="0094688D">
        <w:t xml:space="preserve"> </w:t>
      </w:r>
      <w:r w:rsidR="002049B7">
        <w:t>a</w:t>
      </w:r>
      <w:r w:rsidR="0094688D">
        <w:t xml:space="preserve">ccessed </w:t>
      </w:r>
      <w:r w:rsidR="00821342">
        <w:t>5 May 2024.</w:t>
      </w:r>
    </w:p>
  </w:footnote>
  <w:footnote w:id="8">
    <w:p w14:paraId="3AB541B3" w14:textId="6A785ACB" w:rsidR="00B877BF" w:rsidRDefault="00B877BF" w:rsidP="00BF4EC2">
      <w:pPr>
        <w:pStyle w:val="FootnoteText"/>
      </w:pPr>
      <w:r>
        <w:rPr>
          <w:rStyle w:val="FootnoteReference"/>
        </w:rPr>
        <w:footnoteRef/>
      </w:r>
      <w:r w:rsidR="00266D5B">
        <w:t xml:space="preserve"> </w:t>
      </w:r>
      <w:r w:rsidR="00510612">
        <w:t xml:space="preserve">DSS, </w:t>
      </w:r>
      <w:r w:rsidR="004837EA" w:rsidRPr="004837EA">
        <w:fldChar w:fldCharType="begin"/>
      </w:r>
      <w:r w:rsidR="004837EA" w:rsidRPr="000D0E00">
        <w:instrText xml:space="preserve"> </w:instrText>
      </w:r>
      <w:r w:rsidR="004837EA" w:rsidRPr="00A45EC1">
        <w:instrText>National Housing and Homelessness Agreement</w:instrText>
      </w:r>
      <w:r w:rsidR="004837EA" w:rsidRPr="00A4409C" w:rsidDel="000D0E00">
        <w:instrText xml:space="preserve"> </w:instrText>
      </w:r>
      <w:r w:rsidR="004837EA" w:rsidRPr="004837EA">
        <w:fldChar w:fldCharType="separate"/>
      </w:r>
      <w:r w:rsidR="004837EA" w:rsidRPr="004837EA">
        <w:rPr>
          <w:rStyle w:val="Hyperlink"/>
          <w:i/>
          <w:iCs/>
        </w:rPr>
        <w:t>National Housing and Homelessness Agreement</w:t>
      </w:r>
      <w:r w:rsidR="004837EA" w:rsidRPr="004837EA">
        <w:rPr>
          <w:rStyle w:val="Hyperlink"/>
          <w:i/>
          <w:iCs/>
        </w:rPr>
        <w:fldChar w:fldCharType="end"/>
      </w:r>
      <w:r w:rsidR="00510612">
        <w:t>.</w:t>
      </w:r>
    </w:p>
  </w:footnote>
  <w:footnote w:id="9">
    <w:p w14:paraId="1F5E6450" w14:textId="77777777" w:rsidR="00E02E75" w:rsidRDefault="00E02E75" w:rsidP="00BF4EC2">
      <w:pPr>
        <w:pStyle w:val="FootnoteText"/>
      </w:pPr>
      <w:r>
        <w:rPr>
          <w:rStyle w:val="FootnoteReference"/>
        </w:rPr>
        <w:footnoteRef/>
      </w:r>
      <w:r>
        <w:t xml:space="preserve"> Australian Housing Urban Research Institute (AHURI), </w:t>
      </w:r>
      <w:hyperlink r:id="rId6" w:history="1">
        <w:r>
          <w:rPr>
            <w:rStyle w:val="Hyperlink"/>
            <w:i/>
            <w:iCs/>
          </w:rPr>
          <w:t>Estimating the population at-risk of homelessness in small areas</w:t>
        </w:r>
      </w:hyperlink>
      <w:r>
        <w:t>, AHURI website, 2021, accessed 20 April 2024.</w:t>
      </w:r>
    </w:p>
  </w:footnote>
  <w:footnote w:id="10">
    <w:p w14:paraId="353A4E82" w14:textId="3172BE8A" w:rsidR="00782221" w:rsidRDefault="00782221" w:rsidP="00BF4EC2">
      <w:pPr>
        <w:pStyle w:val="FootnoteText"/>
      </w:pPr>
      <w:r>
        <w:rPr>
          <w:rStyle w:val="FootnoteReference"/>
        </w:rPr>
        <w:footnoteRef/>
      </w:r>
      <w:r>
        <w:t xml:space="preserve"> </w:t>
      </w:r>
      <w:r w:rsidR="002367EC">
        <w:t>ABS</w:t>
      </w:r>
      <w:r w:rsidR="00D30D68">
        <w:t xml:space="preserve">, </w:t>
      </w:r>
      <w:hyperlink r:id="rId7" w:history="1">
        <w:r w:rsidRPr="004837EA">
          <w:rPr>
            <w:rStyle w:val="Hyperlink"/>
            <w:i/>
          </w:rPr>
          <w:t>Comparing ABS long-term health conditions data sources</w:t>
        </w:r>
      </w:hyperlink>
      <w:r w:rsidR="004B2F21">
        <w:t>, ABS</w:t>
      </w:r>
      <w:r w:rsidR="00623CB3">
        <w:t xml:space="preserve"> website</w:t>
      </w:r>
      <w:r w:rsidR="000018D1">
        <w:t>,</w:t>
      </w:r>
      <w:r w:rsidR="004B2F21">
        <w:t xml:space="preserve"> 2022</w:t>
      </w:r>
      <w:r w:rsidR="00AF2D71">
        <w:t xml:space="preserve">, </w:t>
      </w:r>
      <w:r w:rsidR="00A4409C">
        <w:t>a</w:t>
      </w:r>
      <w:r w:rsidR="00AF2D71">
        <w:t xml:space="preserve">ccessed </w:t>
      </w:r>
      <w:r w:rsidR="004120BC">
        <w:t>20</w:t>
      </w:r>
      <w:r w:rsidR="000018D1">
        <w:t> </w:t>
      </w:r>
      <w:r w:rsidR="004120BC">
        <w:t>February 2024.</w:t>
      </w:r>
    </w:p>
  </w:footnote>
  <w:footnote w:id="11">
    <w:p w14:paraId="3AB0D868" w14:textId="20EB8D9B" w:rsidR="00782221" w:rsidRDefault="00782221" w:rsidP="00BF4EC2">
      <w:pPr>
        <w:pStyle w:val="FootnoteText"/>
      </w:pPr>
      <w:r>
        <w:rPr>
          <w:rStyle w:val="FootnoteReference"/>
        </w:rPr>
        <w:footnoteRef/>
      </w:r>
      <w:r>
        <w:t xml:space="preserve"> The ABS rule of 10 prevents the release of microdata if the number of unique records is less than 10.</w:t>
      </w:r>
      <w:r w:rsidR="00077519">
        <w:t xml:space="preserve"> </w:t>
      </w:r>
      <w:r w:rsidR="00094650">
        <w:br/>
      </w:r>
      <w:r w:rsidR="00540017">
        <w:t>Australian Bureau of Statistics</w:t>
      </w:r>
      <w:r w:rsidR="002367EC">
        <w:t xml:space="preserve"> (ABS)</w:t>
      </w:r>
      <w:r w:rsidR="00B03D2C">
        <w:t xml:space="preserve">, </w:t>
      </w:r>
      <w:hyperlink r:id="rId8" w:history="1">
        <w:r w:rsidR="00781BBC" w:rsidRPr="0058513A">
          <w:rPr>
            <w:rStyle w:val="Hyperlink"/>
            <w:i/>
          </w:rPr>
          <w:t xml:space="preserve">Input </w:t>
        </w:r>
        <w:r w:rsidR="001B3123" w:rsidRPr="0058513A">
          <w:rPr>
            <w:rStyle w:val="Hyperlink"/>
            <w:i/>
          </w:rPr>
          <w:t xml:space="preserve">and </w:t>
        </w:r>
        <w:r w:rsidR="00781BBC" w:rsidRPr="0058513A">
          <w:rPr>
            <w:rStyle w:val="Hyperlink"/>
            <w:i/>
          </w:rPr>
          <w:t>Output Clearance</w:t>
        </w:r>
      </w:hyperlink>
      <w:r w:rsidR="00CA7E75">
        <w:t xml:space="preserve">, </w:t>
      </w:r>
      <w:r w:rsidR="006E3E01">
        <w:t>ABS website</w:t>
      </w:r>
      <w:r w:rsidR="00276FA0">
        <w:t>,</w:t>
      </w:r>
      <w:r w:rsidR="006E3E01">
        <w:t xml:space="preserve"> 2021</w:t>
      </w:r>
      <w:r w:rsidR="00A4409C">
        <w:t>,</w:t>
      </w:r>
      <w:r w:rsidR="006E3E01">
        <w:t xml:space="preserve"> </w:t>
      </w:r>
      <w:r w:rsidR="00A4409C">
        <w:t>a</w:t>
      </w:r>
      <w:r w:rsidR="006E3E01">
        <w:t xml:space="preserve">ccessed </w:t>
      </w:r>
      <w:r w:rsidR="00254686">
        <w:t>28 March 2024</w:t>
      </w:r>
      <w:r w:rsidR="00276FA0">
        <w:t>.</w:t>
      </w:r>
    </w:p>
  </w:footnote>
  <w:footnote w:id="12">
    <w:p w14:paraId="09993BB9" w14:textId="6777DB74" w:rsidR="00094B6E" w:rsidRDefault="00094B6E" w:rsidP="00BF4EC2">
      <w:pPr>
        <w:pStyle w:val="FootnoteText"/>
      </w:pPr>
      <w:r>
        <w:rPr>
          <w:rStyle w:val="FootnoteReference"/>
        </w:rPr>
        <w:footnoteRef/>
      </w:r>
      <w:r>
        <w:t xml:space="preserve"> </w:t>
      </w:r>
      <w:r w:rsidR="00DA5D02" w:rsidRPr="00EE553F">
        <w:rPr>
          <w:shd w:val="clear" w:color="auto" w:fill="FFFFFF"/>
        </w:rPr>
        <w:t>A Albanese, </w:t>
      </w:r>
      <w:hyperlink r:id="rId9" w:history="1">
        <w:r w:rsidR="00DA5D02" w:rsidRPr="00E669BE">
          <w:rPr>
            <w:rStyle w:val="Hyperlink"/>
            <w:rFonts w:cs="Segoe UI"/>
            <w:i/>
            <w:iCs/>
            <w:shd w:val="clear" w:color="auto" w:fill="FFFFFF"/>
          </w:rPr>
          <w:t>Meeting of National Cabinet – the Federation working for Australia</w:t>
        </w:r>
      </w:hyperlink>
      <w:r w:rsidR="00DA5D02" w:rsidRPr="00EE553F">
        <w:rPr>
          <w:shd w:val="clear" w:color="auto" w:fill="FFFFFF"/>
        </w:rPr>
        <w:t xml:space="preserve"> [media release], Austr</w:t>
      </w:r>
      <w:r w:rsidR="00DA5D02">
        <w:rPr>
          <w:shd w:val="clear" w:color="auto" w:fill="FFFFFF"/>
        </w:rPr>
        <w:t>a</w:t>
      </w:r>
      <w:r w:rsidR="00DA5D02" w:rsidRPr="00EE553F">
        <w:rPr>
          <w:shd w:val="clear" w:color="auto" w:fill="FFFFFF"/>
        </w:rPr>
        <w:t>lian Government, 2023, accessed 1 April 2024</w:t>
      </w:r>
    </w:p>
  </w:footnote>
  <w:footnote w:id="13">
    <w:p w14:paraId="435BCC77" w14:textId="423B01AD" w:rsidR="00045068" w:rsidRDefault="00045068" w:rsidP="00BF4EC2">
      <w:pPr>
        <w:pStyle w:val="FootnoteText"/>
      </w:pPr>
      <w:r>
        <w:rPr>
          <w:rStyle w:val="FootnoteReference"/>
        </w:rPr>
        <w:footnoteRef/>
      </w:r>
      <w:r w:rsidR="00216C39">
        <w:t>Aus</w:t>
      </w:r>
      <w:r w:rsidR="00CA68FB">
        <w:t>tralian Institute of Health and Welfare</w:t>
      </w:r>
      <w:r w:rsidR="008D4956">
        <w:t xml:space="preserve"> (AIHW)</w:t>
      </w:r>
      <w:r w:rsidR="00CA68FB">
        <w:t xml:space="preserve">, </w:t>
      </w:r>
      <w:hyperlink r:id="rId10" w:history="1">
        <w:r w:rsidR="00CA68FB" w:rsidRPr="0058513A">
          <w:rPr>
            <w:rStyle w:val="Hyperlink"/>
            <w:i/>
          </w:rPr>
          <w:t>Australia’s youth: Homelessnes</w:t>
        </w:r>
        <w:r w:rsidR="0007289F" w:rsidRPr="0058513A">
          <w:rPr>
            <w:rStyle w:val="Hyperlink"/>
            <w:i/>
          </w:rPr>
          <w:t>s and overcrowding</w:t>
        </w:r>
      </w:hyperlink>
      <w:r w:rsidR="007678D1">
        <w:t>, AIHW website, 2021, accessed 10 April 2024.</w:t>
      </w:r>
    </w:p>
  </w:footnote>
  <w:footnote w:id="14">
    <w:p w14:paraId="33BFBC62" w14:textId="2BCC4107" w:rsidR="00045068" w:rsidRDefault="00045068" w:rsidP="00BF4EC2">
      <w:pPr>
        <w:pStyle w:val="FootnoteText"/>
      </w:pPr>
      <w:r>
        <w:rPr>
          <w:rStyle w:val="FootnoteReference"/>
        </w:rPr>
        <w:footnoteRef/>
      </w:r>
      <w:r w:rsidR="007678D1">
        <w:t>Australian Institute of Health and Welfare</w:t>
      </w:r>
      <w:r w:rsidR="004E1C1A">
        <w:t xml:space="preserve"> (AIHW)</w:t>
      </w:r>
      <w:r w:rsidR="007678D1">
        <w:t xml:space="preserve">, </w:t>
      </w:r>
      <w:hyperlink r:id="rId11" w:history="1">
        <w:r w:rsidR="007678D1" w:rsidRPr="0058513A">
          <w:rPr>
            <w:rStyle w:val="Hyperlink"/>
            <w:i/>
          </w:rPr>
          <w:t>Specialist homelessness services annual report 2022–23</w:t>
        </w:r>
      </w:hyperlink>
      <w:r w:rsidR="007678D1">
        <w:t xml:space="preserve">, AIHW website, </w:t>
      </w:r>
      <w:r w:rsidR="00AF479F">
        <w:t>2024</w:t>
      </w:r>
      <w:r w:rsidR="007678D1">
        <w:t>, accessed 10 April 2024.</w:t>
      </w:r>
    </w:p>
  </w:footnote>
  <w:footnote w:id="15">
    <w:p w14:paraId="08E9C382" w14:textId="61507CF2" w:rsidR="003761BE" w:rsidRDefault="003761BE" w:rsidP="00BF4EC2">
      <w:pPr>
        <w:pStyle w:val="FootnoteText"/>
      </w:pPr>
      <w:r>
        <w:rPr>
          <w:rStyle w:val="FootnoteReference"/>
        </w:rPr>
        <w:footnoteRef/>
      </w:r>
      <w:r>
        <w:t xml:space="preserve"> </w:t>
      </w:r>
      <w:r w:rsidR="005F39BD">
        <w:t>Australian Bureau of Statistics</w:t>
      </w:r>
      <w:r w:rsidR="00FF2CAC">
        <w:t xml:space="preserve"> </w:t>
      </w:r>
      <w:r w:rsidR="002367EC">
        <w:t>(ABS)</w:t>
      </w:r>
      <w:r w:rsidR="001C64C7">
        <w:t>,</w:t>
      </w:r>
      <w:r w:rsidR="00FF2CAC">
        <w:t xml:space="preserve"> </w:t>
      </w:r>
      <w:hyperlink r:id="rId12" w:history="1">
        <w:r w:rsidR="00FF2CAC" w:rsidRPr="002367EC">
          <w:rPr>
            <w:rStyle w:val="Hyperlink"/>
            <w:i/>
          </w:rPr>
          <w:t>Rent affordability indicator (RAID</w:t>
        </w:r>
        <w:r w:rsidR="00480D86" w:rsidRPr="002367EC">
          <w:rPr>
            <w:rStyle w:val="Hyperlink"/>
            <w:i/>
          </w:rPr>
          <w:t>)</w:t>
        </w:r>
        <w:r w:rsidR="0077048F" w:rsidRPr="002367EC">
          <w:rPr>
            <w:rStyle w:val="Hyperlink"/>
            <w:i/>
          </w:rPr>
          <w:t>,</w:t>
        </w:r>
        <w:r w:rsidR="00480D86" w:rsidRPr="002367EC">
          <w:rPr>
            <w:rStyle w:val="Hyperlink"/>
            <w:i/>
          </w:rPr>
          <w:t xml:space="preserve"> 2021</w:t>
        </w:r>
      </w:hyperlink>
      <w:r w:rsidR="00FF2CAC">
        <w:t>, ABS website</w:t>
      </w:r>
      <w:r w:rsidR="002367EC">
        <w:t>,</w:t>
      </w:r>
      <w:r w:rsidR="00FF2CAC">
        <w:t xml:space="preserve"> 2021</w:t>
      </w:r>
      <w:r w:rsidR="002367EC">
        <w:t>,</w:t>
      </w:r>
      <w:r w:rsidR="00FF2CAC">
        <w:t xml:space="preserve"> </w:t>
      </w:r>
      <w:r w:rsidR="00846822">
        <w:t>a</w:t>
      </w:r>
      <w:r w:rsidR="00FF2CAC">
        <w:t xml:space="preserve">ccessed </w:t>
      </w:r>
      <w:r w:rsidR="00F27118">
        <w:t>10 April 2024.</w:t>
      </w:r>
    </w:p>
  </w:footnote>
  <w:footnote w:id="16">
    <w:p w14:paraId="1EF7FC71" w14:textId="77777777" w:rsidR="001C64C7" w:rsidRDefault="001C64C7" w:rsidP="00BF4EC2">
      <w:pPr>
        <w:pStyle w:val="FootnoteText"/>
      </w:pPr>
      <w:r>
        <w:rPr>
          <w:rStyle w:val="FootnoteReference"/>
        </w:rPr>
        <w:footnoteRef/>
      </w:r>
      <w:r>
        <w:t xml:space="preserve"> Australian Bureau of Statistics (ABS), </w:t>
      </w:r>
      <w:hyperlink r:id="rId13" w:history="1">
        <w:r w:rsidRPr="002367EC">
          <w:rPr>
            <w:rStyle w:val="Hyperlink"/>
            <w:i/>
          </w:rPr>
          <w:t>Personal Safety Australia, 2021–22</w:t>
        </w:r>
      </w:hyperlink>
      <w:r>
        <w:t>, ABS website, 2023, accessed 10 April 2024.</w:t>
      </w:r>
    </w:p>
  </w:footnote>
  <w:footnote w:id="17">
    <w:p w14:paraId="4DE5BF4C" w14:textId="6BCE7CF1" w:rsidR="003761BE" w:rsidRDefault="003761BE" w:rsidP="00BF4EC2">
      <w:pPr>
        <w:pStyle w:val="FootnoteText"/>
      </w:pPr>
      <w:r>
        <w:rPr>
          <w:rStyle w:val="FootnoteReference"/>
        </w:rPr>
        <w:footnoteRef/>
      </w:r>
      <w:r w:rsidR="008F337E">
        <w:t xml:space="preserve"> </w:t>
      </w:r>
      <w:r w:rsidR="008064C9">
        <w:t>Australian Institute of Health and Welfare</w:t>
      </w:r>
      <w:r w:rsidR="002367EC">
        <w:t xml:space="preserve"> (AIHW)</w:t>
      </w:r>
      <w:r w:rsidR="008064C9">
        <w:t xml:space="preserve">, </w:t>
      </w:r>
      <w:hyperlink r:id="rId14" w:history="1">
        <w:r w:rsidR="008064C9" w:rsidRPr="0058513A">
          <w:rPr>
            <w:rStyle w:val="Hyperlink"/>
            <w:i/>
          </w:rPr>
          <w:t>Alcohol, tobacco &amp; other drugs in Australia</w:t>
        </w:r>
      </w:hyperlink>
      <w:r w:rsidR="008064C9">
        <w:t>, AIHW website, 2024, accessed 10</w:t>
      </w:r>
      <w:r w:rsidR="008F337E">
        <w:t> </w:t>
      </w:r>
      <w:r w:rsidR="008064C9">
        <w:t>May 2024.</w:t>
      </w:r>
    </w:p>
  </w:footnote>
  <w:footnote w:id="18">
    <w:p w14:paraId="01E893F1" w14:textId="00FBFDC8" w:rsidR="003761BE" w:rsidRDefault="003761BE" w:rsidP="00BF4EC2">
      <w:pPr>
        <w:pStyle w:val="FootnoteText"/>
      </w:pPr>
      <w:r>
        <w:rPr>
          <w:rStyle w:val="FootnoteReference"/>
        </w:rPr>
        <w:footnoteRef/>
      </w:r>
      <w:r w:rsidR="008064C9">
        <w:t xml:space="preserve"> </w:t>
      </w:r>
      <w:r w:rsidR="002367EC">
        <w:t xml:space="preserve">AIHW, </w:t>
      </w:r>
      <w:hyperlink r:id="rId15" w:history="1">
        <w:r w:rsidR="002367EC" w:rsidRPr="0058513A">
          <w:rPr>
            <w:rStyle w:val="Hyperlink"/>
            <w:i/>
            <w:iCs/>
          </w:rPr>
          <w:t>Alcohol, tobacco &amp; other drugs in Australia</w:t>
        </w:r>
      </w:hyperlink>
      <w:r w:rsidR="008F337E">
        <w:rPr>
          <w:rStyle w:val="Hyperlink"/>
          <w:i/>
          <w:iCs/>
        </w:rPr>
        <w:t>.</w:t>
      </w:r>
    </w:p>
  </w:footnote>
  <w:footnote w:id="19">
    <w:p w14:paraId="5280230C" w14:textId="458BB1D4" w:rsidR="003761BE" w:rsidRDefault="003761BE" w:rsidP="00BF4EC2">
      <w:pPr>
        <w:pStyle w:val="FootnoteText"/>
      </w:pPr>
      <w:r>
        <w:rPr>
          <w:rStyle w:val="FootnoteReference"/>
        </w:rPr>
        <w:footnoteRef/>
      </w:r>
      <w:r>
        <w:t xml:space="preserve"> </w:t>
      </w:r>
      <w:r w:rsidR="00C35584">
        <w:t xml:space="preserve">Australian Bureau of Statistics </w:t>
      </w:r>
      <w:r w:rsidR="002367EC">
        <w:t>(ABS),</w:t>
      </w:r>
      <w:r w:rsidR="00C35584">
        <w:t xml:space="preserve"> </w:t>
      </w:r>
      <w:hyperlink r:id="rId16" w:history="1">
        <w:r w:rsidR="00C35584" w:rsidRPr="0058513A">
          <w:rPr>
            <w:rStyle w:val="Hyperlink"/>
            <w:i/>
          </w:rPr>
          <w:t>National Health Survey methodology,</w:t>
        </w:r>
        <w:r w:rsidR="005F0718">
          <w:rPr>
            <w:rStyle w:val="Hyperlink"/>
            <w:i/>
          </w:rPr>
          <w:t xml:space="preserve"> </w:t>
        </w:r>
        <w:r w:rsidR="00C35584" w:rsidRPr="0058513A">
          <w:rPr>
            <w:rStyle w:val="Hyperlink"/>
            <w:i/>
          </w:rPr>
          <w:t>2022</w:t>
        </w:r>
      </w:hyperlink>
      <w:r w:rsidR="005F0718">
        <w:rPr>
          <w:rStyle w:val="Hyperlink"/>
          <w:i/>
        </w:rPr>
        <w:t>,</w:t>
      </w:r>
      <w:r w:rsidR="00C35584">
        <w:t xml:space="preserve"> ABS website</w:t>
      </w:r>
      <w:r w:rsidR="002367EC">
        <w:t>,</w:t>
      </w:r>
      <w:r w:rsidR="00C35584">
        <w:t xml:space="preserve"> </w:t>
      </w:r>
      <w:r w:rsidR="002367EC">
        <w:t>2023,</w:t>
      </w:r>
      <w:r w:rsidR="00C35584">
        <w:t xml:space="preserve"> accessed 10 April 2024.</w:t>
      </w:r>
    </w:p>
  </w:footnote>
  <w:footnote w:id="20">
    <w:p w14:paraId="18CD5A6E" w14:textId="02A21FDF" w:rsidR="003761BE" w:rsidRDefault="003761BE" w:rsidP="00BF4EC2">
      <w:pPr>
        <w:pStyle w:val="FootnoteText"/>
      </w:pPr>
      <w:r>
        <w:rPr>
          <w:rStyle w:val="FootnoteReference"/>
        </w:rPr>
        <w:footnoteRef/>
      </w:r>
      <w:r w:rsidR="008F337E">
        <w:t xml:space="preserve"> </w:t>
      </w:r>
      <w:r w:rsidR="00AF479F">
        <w:t>Australian Institute of Health and Welfare</w:t>
      </w:r>
      <w:r w:rsidR="002367EC">
        <w:t xml:space="preserve"> (AIHW)</w:t>
      </w:r>
      <w:r w:rsidR="00AF479F">
        <w:t xml:space="preserve">, </w:t>
      </w:r>
      <w:hyperlink r:id="rId17" w:history="1">
        <w:r w:rsidR="00AF479F" w:rsidRPr="0058513A">
          <w:rPr>
            <w:rStyle w:val="Hyperlink"/>
            <w:i/>
          </w:rPr>
          <w:t>Specialist homelessness services annual report 2022–2</w:t>
        </w:r>
        <w:r w:rsidR="009C2564" w:rsidRPr="0058513A">
          <w:rPr>
            <w:rStyle w:val="Hyperlink"/>
            <w:i/>
          </w:rPr>
          <w:t>3</w:t>
        </w:r>
      </w:hyperlink>
      <w:r w:rsidR="008F337E">
        <w:t>:</w:t>
      </w:r>
      <w:r w:rsidR="00F0479C">
        <w:t xml:space="preserve"> c</w:t>
      </w:r>
      <w:r w:rsidR="00F0479C" w:rsidRPr="00F0479C">
        <w:t>lients with disability</w:t>
      </w:r>
      <w:r w:rsidR="00F0479C">
        <w:t>,</w:t>
      </w:r>
      <w:r w:rsidR="00AF479F">
        <w:t xml:space="preserve"> AIHW website, 202</w:t>
      </w:r>
      <w:r w:rsidR="004459A0">
        <w:t>4</w:t>
      </w:r>
      <w:r w:rsidR="00AF479F">
        <w:t>, accessed 10 April 2024.</w:t>
      </w:r>
    </w:p>
  </w:footnote>
  <w:footnote w:id="21">
    <w:p w14:paraId="119B492E" w14:textId="77777777" w:rsidR="00E132A2" w:rsidRDefault="00E132A2" w:rsidP="00BF4EC2">
      <w:pPr>
        <w:pStyle w:val="FootnoteText"/>
      </w:pPr>
      <w:r>
        <w:rPr>
          <w:rStyle w:val="FootnoteReference"/>
        </w:rPr>
        <w:footnoteRef/>
      </w:r>
      <w:r>
        <w:t xml:space="preserve"> AIHW, </w:t>
      </w:r>
      <w:hyperlink r:id="rId18" w:history="1">
        <w:r w:rsidRPr="008F337E">
          <w:rPr>
            <w:rStyle w:val="Hyperlink"/>
            <w:i/>
            <w:iCs/>
          </w:rPr>
          <w:t>Specialist homelessness services annual report 2022–23</w:t>
        </w:r>
      </w:hyperlink>
      <w:r>
        <w:rPr>
          <w:rStyle w:val="Hyperlink"/>
          <w:i/>
          <w:iCs/>
        </w:rPr>
        <w:t>.</w:t>
      </w:r>
    </w:p>
  </w:footnote>
  <w:footnote w:id="22">
    <w:p w14:paraId="4E02059D" w14:textId="021A206C" w:rsidR="00453621" w:rsidRDefault="00453621" w:rsidP="00BF4EC2">
      <w:pPr>
        <w:pStyle w:val="FootnoteText"/>
      </w:pPr>
      <w:r>
        <w:rPr>
          <w:rStyle w:val="FootnoteReference"/>
        </w:rPr>
        <w:footnoteRef/>
      </w:r>
      <w:r>
        <w:t xml:space="preserve"> </w:t>
      </w:r>
      <w:r w:rsidR="00F0768C">
        <w:t xml:space="preserve">Australian Bureau of Statistics </w:t>
      </w:r>
      <w:r w:rsidR="002367EC">
        <w:t>(ABS),</w:t>
      </w:r>
      <w:r w:rsidR="00F0768C">
        <w:t xml:space="preserve"> </w:t>
      </w:r>
      <w:hyperlink r:id="rId19" w:history="1">
        <w:r w:rsidR="00043082" w:rsidRPr="00393466">
          <w:rPr>
            <w:rStyle w:val="Hyperlink"/>
            <w:i/>
          </w:rPr>
          <w:t>Disability, Ageing and Carers, Australia: Summary of Findings methodology</w:t>
        </w:r>
        <w:r w:rsidR="00133811" w:rsidRPr="00393466">
          <w:rPr>
            <w:rStyle w:val="Hyperlink"/>
            <w:i/>
          </w:rPr>
          <w:t>, 2018</w:t>
        </w:r>
      </w:hyperlink>
      <w:r w:rsidR="00AB0F58">
        <w:rPr>
          <w:rStyle w:val="Hyperlink"/>
        </w:rPr>
        <w:t>,</w:t>
      </w:r>
      <w:r w:rsidR="00133811">
        <w:t xml:space="preserve"> </w:t>
      </w:r>
      <w:r w:rsidR="00F0768C">
        <w:t>ABS website</w:t>
      </w:r>
      <w:r w:rsidR="00AB0F58">
        <w:t>,</w:t>
      </w:r>
      <w:r w:rsidR="00F0768C">
        <w:t xml:space="preserve"> </w:t>
      </w:r>
      <w:r w:rsidR="002367EC">
        <w:t>2019,</w:t>
      </w:r>
      <w:r w:rsidR="00F0768C">
        <w:t xml:space="preserve"> accessed 10 April 2024.</w:t>
      </w:r>
    </w:p>
  </w:footnote>
  <w:footnote w:id="23">
    <w:p w14:paraId="3C724A87" w14:textId="13E12AEF" w:rsidR="003761BE" w:rsidRDefault="003761BE" w:rsidP="00BF4EC2">
      <w:pPr>
        <w:pStyle w:val="FootnoteText"/>
      </w:pPr>
      <w:r>
        <w:rPr>
          <w:rStyle w:val="FootnoteReference"/>
        </w:rPr>
        <w:footnoteRef/>
      </w:r>
      <w:r>
        <w:t xml:space="preserve"> </w:t>
      </w:r>
      <w:r w:rsidR="00133811">
        <w:t xml:space="preserve">Australian Bureau of Statistics </w:t>
      </w:r>
      <w:r w:rsidR="002367EC">
        <w:t>(ABS),</w:t>
      </w:r>
      <w:r w:rsidR="00133811">
        <w:t xml:space="preserve"> </w:t>
      </w:r>
      <w:hyperlink r:id="rId20" w:history="1">
        <w:r w:rsidR="00A36F51" w:rsidRPr="002367EC">
          <w:rPr>
            <w:rStyle w:val="Hyperlink"/>
            <w:i/>
          </w:rPr>
          <w:t>Core activity need for assistance (ASSNP)</w:t>
        </w:r>
        <w:r w:rsidR="001354A0" w:rsidRPr="002367EC">
          <w:rPr>
            <w:rStyle w:val="Hyperlink"/>
            <w:i/>
          </w:rPr>
          <w:t xml:space="preserve"> 2021</w:t>
        </w:r>
      </w:hyperlink>
      <w:r w:rsidR="00F264AD">
        <w:rPr>
          <w:rStyle w:val="Hyperlink"/>
          <w:i/>
        </w:rPr>
        <w:t>,</w:t>
      </w:r>
      <w:r w:rsidR="001354A0">
        <w:t xml:space="preserve"> </w:t>
      </w:r>
      <w:r w:rsidR="00133811">
        <w:t>ABS website</w:t>
      </w:r>
      <w:r w:rsidR="00F264AD">
        <w:t>,</w:t>
      </w:r>
      <w:r w:rsidR="00133811">
        <w:t xml:space="preserve"> </w:t>
      </w:r>
      <w:r w:rsidR="002367EC">
        <w:t>2021</w:t>
      </w:r>
      <w:r w:rsidR="00F264AD">
        <w:t>,</w:t>
      </w:r>
      <w:r w:rsidR="00133811">
        <w:t xml:space="preserve"> accessed 10 April 2024.</w:t>
      </w:r>
      <w:hyperlink w:history="1"/>
    </w:p>
  </w:footnote>
  <w:footnote w:id="24">
    <w:p w14:paraId="547C4B29" w14:textId="7B0F4559" w:rsidR="00453621" w:rsidRDefault="00453621" w:rsidP="00BF4EC2">
      <w:pPr>
        <w:pStyle w:val="FootnoteText"/>
      </w:pPr>
      <w:r>
        <w:rPr>
          <w:rStyle w:val="FootnoteReference"/>
        </w:rPr>
        <w:footnoteRef/>
      </w:r>
      <w:r>
        <w:t xml:space="preserve"> </w:t>
      </w:r>
      <w:r w:rsidR="004E1C1A">
        <w:t>ABS</w:t>
      </w:r>
      <w:r w:rsidR="00140546">
        <w:t>,</w:t>
      </w:r>
      <w:r w:rsidR="002D573A">
        <w:t xml:space="preserve"> </w:t>
      </w:r>
      <w:hyperlink r:id="rId21" w:history="1">
        <w:r w:rsidR="00317248" w:rsidRPr="00BE082D">
          <w:rPr>
            <w:rStyle w:val="Hyperlink"/>
            <w:i/>
          </w:rPr>
          <w:t xml:space="preserve">National Health Survey </w:t>
        </w:r>
        <w:r w:rsidR="003C3711" w:rsidRPr="00BE082D">
          <w:rPr>
            <w:rStyle w:val="Hyperlink"/>
            <w:i/>
          </w:rPr>
          <w:t>methodology</w:t>
        </w:r>
        <w:r w:rsidR="00A267FA" w:rsidRPr="00BE082D">
          <w:rPr>
            <w:rStyle w:val="Hyperlink"/>
            <w:i/>
          </w:rPr>
          <w:t>,</w:t>
        </w:r>
        <w:r w:rsidR="004E1C1A" w:rsidRPr="00BE082D">
          <w:rPr>
            <w:rStyle w:val="Hyperlink"/>
            <w:i/>
            <w:iCs/>
          </w:rPr>
          <w:t xml:space="preserve"> </w:t>
        </w:r>
        <w:r w:rsidR="00A267FA" w:rsidRPr="00BE082D">
          <w:rPr>
            <w:rStyle w:val="Hyperlink"/>
            <w:i/>
          </w:rPr>
          <w:t>2022</w:t>
        </w:r>
      </w:hyperlink>
      <w:r w:rsidR="002D573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96ECC"/>
    <w:multiLevelType w:val="hybridMultilevel"/>
    <w:tmpl w:val="D5162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52759"/>
    <w:multiLevelType w:val="hybridMultilevel"/>
    <w:tmpl w:val="6E54FC28"/>
    <w:lvl w:ilvl="0" w:tplc="0C090001">
      <w:start w:val="1"/>
      <w:numFmt w:val="bullet"/>
      <w:lvlText w:val=""/>
      <w:lvlJc w:val="left"/>
      <w:pPr>
        <w:ind w:left="1584" w:hanging="360"/>
      </w:pPr>
      <w:rPr>
        <w:rFonts w:ascii="Symbol" w:hAnsi="Symbol" w:hint="default"/>
      </w:rPr>
    </w:lvl>
    <w:lvl w:ilvl="1" w:tplc="0C090003" w:tentative="1">
      <w:start w:val="1"/>
      <w:numFmt w:val="bullet"/>
      <w:lvlText w:val="o"/>
      <w:lvlJc w:val="left"/>
      <w:pPr>
        <w:ind w:left="2304" w:hanging="360"/>
      </w:pPr>
      <w:rPr>
        <w:rFonts w:ascii="Courier New" w:hAnsi="Courier New" w:cs="Courier New" w:hint="default"/>
      </w:rPr>
    </w:lvl>
    <w:lvl w:ilvl="2" w:tplc="0C090005" w:tentative="1">
      <w:start w:val="1"/>
      <w:numFmt w:val="bullet"/>
      <w:lvlText w:val=""/>
      <w:lvlJc w:val="left"/>
      <w:pPr>
        <w:ind w:left="3024" w:hanging="360"/>
      </w:pPr>
      <w:rPr>
        <w:rFonts w:ascii="Wingdings" w:hAnsi="Wingdings" w:hint="default"/>
      </w:rPr>
    </w:lvl>
    <w:lvl w:ilvl="3" w:tplc="0C090001" w:tentative="1">
      <w:start w:val="1"/>
      <w:numFmt w:val="bullet"/>
      <w:lvlText w:val=""/>
      <w:lvlJc w:val="left"/>
      <w:pPr>
        <w:ind w:left="3744" w:hanging="360"/>
      </w:pPr>
      <w:rPr>
        <w:rFonts w:ascii="Symbol" w:hAnsi="Symbol" w:hint="default"/>
      </w:rPr>
    </w:lvl>
    <w:lvl w:ilvl="4" w:tplc="0C090003" w:tentative="1">
      <w:start w:val="1"/>
      <w:numFmt w:val="bullet"/>
      <w:lvlText w:val="o"/>
      <w:lvlJc w:val="left"/>
      <w:pPr>
        <w:ind w:left="4464" w:hanging="360"/>
      </w:pPr>
      <w:rPr>
        <w:rFonts w:ascii="Courier New" w:hAnsi="Courier New" w:cs="Courier New" w:hint="default"/>
      </w:rPr>
    </w:lvl>
    <w:lvl w:ilvl="5" w:tplc="0C090005" w:tentative="1">
      <w:start w:val="1"/>
      <w:numFmt w:val="bullet"/>
      <w:lvlText w:val=""/>
      <w:lvlJc w:val="left"/>
      <w:pPr>
        <w:ind w:left="5184" w:hanging="360"/>
      </w:pPr>
      <w:rPr>
        <w:rFonts w:ascii="Wingdings" w:hAnsi="Wingdings" w:hint="default"/>
      </w:rPr>
    </w:lvl>
    <w:lvl w:ilvl="6" w:tplc="0C090001" w:tentative="1">
      <w:start w:val="1"/>
      <w:numFmt w:val="bullet"/>
      <w:lvlText w:val=""/>
      <w:lvlJc w:val="left"/>
      <w:pPr>
        <w:ind w:left="5904" w:hanging="360"/>
      </w:pPr>
      <w:rPr>
        <w:rFonts w:ascii="Symbol" w:hAnsi="Symbol" w:hint="default"/>
      </w:rPr>
    </w:lvl>
    <w:lvl w:ilvl="7" w:tplc="0C090003" w:tentative="1">
      <w:start w:val="1"/>
      <w:numFmt w:val="bullet"/>
      <w:lvlText w:val="o"/>
      <w:lvlJc w:val="left"/>
      <w:pPr>
        <w:ind w:left="6624" w:hanging="360"/>
      </w:pPr>
      <w:rPr>
        <w:rFonts w:ascii="Courier New" w:hAnsi="Courier New" w:cs="Courier New" w:hint="default"/>
      </w:rPr>
    </w:lvl>
    <w:lvl w:ilvl="8" w:tplc="0C090005" w:tentative="1">
      <w:start w:val="1"/>
      <w:numFmt w:val="bullet"/>
      <w:lvlText w:val=""/>
      <w:lvlJc w:val="left"/>
      <w:pPr>
        <w:ind w:left="7344" w:hanging="360"/>
      </w:pPr>
      <w:rPr>
        <w:rFonts w:ascii="Wingdings" w:hAnsi="Wingdings" w:hint="default"/>
      </w:rPr>
    </w:lvl>
  </w:abstractNum>
  <w:abstractNum w:abstractNumId="3" w15:restartNumberingAfterBreak="0">
    <w:nsid w:val="153D7BB4"/>
    <w:multiLevelType w:val="hybridMultilevel"/>
    <w:tmpl w:val="80C69FCA"/>
    <w:lvl w:ilvl="0" w:tplc="9B1AD34C">
      <w:numFmt w:val="none"/>
      <w:lvlText w:val=""/>
      <w:lvlJc w:val="left"/>
      <w:pPr>
        <w:tabs>
          <w:tab w:val="num" w:pos="360"/>
        </w:tabs>
      </w:pPr>
    </w:lvl>
    <w:lvl w:ilvl="1" w:tplc="84E85C5A">
      <w:start w:val="1"/>
      <w:numFmt w:val="decimal"/>
      <w:pStyle w:val="CGCNumberedPara"/>
      <w:lvlText w:val="%2"/>
      <w:lvlJc w:val="left"/>
      <w:pPr>
        <w:tabs>
          <w:tab w:val="num" w:pos="567"/>
        </w:tabs>
        <w:ind w:left="567" w:hanging="567"/>
      </w:pPr>
    </w:lvl>
    <w:lvl w:ilvl="2" w:tplc="6F6AB3A8">
      <w:start w:val="1"/>
      <w:numFmt w:val="decimal"/>
      <w:suff w:val="nothing"/>
      <w:lvlText w:val=""/>
      <w:lvlJc w:val="left"/>
      <w:pPr>
        <w:ind w:left="0" w:firstLine="0"/>
      </w:pPr>
    </w:lvl>
    <w:lvl w:ilvl="3" w:tplc="CF80F3F0">
      <w:start w:val="1"/>
      <w:numFmt w:val="decimal"/>
      <w:suff w:val="nothing"/>
      <w:lvlText w:val=""/>
      <w:lvlJc w:val="left"/>
      <w:pPr>
        <w:ind w:left="0" w:firstLine="0"/>
      </w:pPr>
    </w:lvl>
    <w:lvl w:ilvl="4" w:tplc="DD7ED0B0">
      <w:start w:val="1"/>
      <w:numFmt w:val="decimal"/>
      <w:suff w:val="nothing"/>
      <w:lvlText w:val=""/>
      <w:lvlJc w:val="left"/>
      <w:pPr>
        <w:ind w:left="0" w:firstLine="0"/>
      </w:pPr>
    </w:lvl>
    <w:lvl w:ilvl="5" w:tplc="839A0C46">
      <w:start w:val="1"/>
      <w:numFmt w:val="decimal"/>
      <w:suff w:val="nothing"/>
      <w:lvlText w:val=""/>
      <w:lvlJc w:val="left"/>
      <w:pPr>
        <w:ind w:left="0" w:firstLine="0"/>
      </w:pPr>
    </w:lvl>
    <w:lvl w:ilvl="6" w:tplc="18C8EE3E">
      <w:start w:val="1"/>
      <w:numFmt w:val="decimal"/>
      <w:suff w:val="nothing"/>
      <w:lvlText w:val=""/>
      <w:lvlJc w:val="left"/>
      <w:pPr>
        <w:ind w:left="0" w:firstLine="0"/>
      </w:pPr>
    </w:lvl>
    <w:lvl w:ilvl="7" w:tplc="72989CAE">
      <w:start w:val="1"/>
      <w:numFmt w:val="decimal"/>
      <w:suff w:val="nothing"/>
      <w:lvlText w:val=""/>
      <w:lvlJc w:val="left"/>
      <w:pPr>
        <w:ind w:left="0" w:firstLine="0"/>
      </w:pPr>
    </w:lvl>
    <w:lvl w:ilvl="8" w:tplc="3426FDDC">
      <w:start w:val="1"/>
      <w:numFmt w:val="decimal"/>
      <w:suff w:val="nothing"/>
      <w:lvlText w:val=""/>
      <w:lvlJc w:val="left"/>
      <w:pPr>
        <w:ind w:left="0" w:firstLine="0"/>
      </w:pPr>
    </w:lvl>
  </w:abstractNum>
  <w:abstractNum w:abstractNumId="4"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794789"/>
    <w:multiLevelType w:val="hybridMultilevel"/>
    <w:tmpl w:val="27DA2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231F2711"/>
    <w:multiLevelType w:val="hybridMultilevel"/>
    <w:tmpl w:val="AC1AEA5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385A3E"/>
    <w:multiLevelType w:val="hybridMultilevel"/>
    <w:tmpl w:val="A6ACBD1C"/>
    <w:lvl w:ilvl="0" w:tplc="4D6E0C6E">
      <w:start w:val="1"/>
      <w:numFmt w:val="bullet"/>
      <w:lvlText w:val=""/>
      <w:lvlJc w:val="left"/>
      <w:pPr>
        <w:ind w:left="1440" w:hanging="360"/>
      </w:pPr>
      <w:rPr>
        <w:rFonts w:ascii="Symbol" w:hAnsi="Symbol"/>
      </w:rPr>
    </w:lvl>
    <w:lvl w:ilvl="1" w:tplc="48425CDA">
      <w:start w:val="1"/>
      <w:numFmt w:val="bullet"/>
      <w:lvlText w:val=""/>
      <w:lvlJc w:val="left"/>
      <w:pPr>
        <w:ind w:left="1440" w:hanging="360"/>
      </w:pPr>
      <w:rPr>
        <w:rFonts w:ascii="Symbol" w:hAnsi="Symbol"/>
      </w:rPr>
    </w:lvl>
    <w:lvl w:ilvl="2" w:tplc="B2AAB790">
      <w:start w:val="1"/>
      <w:numFmt w:val="bullet"/>
      <w:lvlText w:val=""/>
      <w:lvlJc w:val="left"/>
      <w:pPr>
        <w:ind w:left="1440" w:hanging="360"/>
      </w:pPr>
      <w:rPr>
        <w:rFonts w:ascii="Symbol" w:hAnsi="Symbol"/>
      </w:rPr>
    </w:lvl>
    <w:lvl w:ilvl="3" w:tplc="C906A2E0">
      <w:start w:val="1"/>
      <w:numFmt w:val="bullet"/>
      <w:lvlText w:val=""/>
      <w:lvlJc w:val="left"/>
      <w:pPr>
        <w:ind w:left="1440" w:hanging="360"/>
      </w:pPr>
      <w:rPr>
        <w:rFonts w:ascii="Symbol" w:hAnsi="Symbol"/>
      </w:rPr>
    </w:lvl>
    <w:lvl w:ilvl="4" w:tplc="078AB2DC">
      <w:start w:val="1"/>
      <w:numFmt w:val="bullet"/>
      <w:lvlText w:val=""/>
      <w:lvlJc w:val="left"/>
      <w:pPr>
        <w:ind w:left="1440" w:hanging="360"/>
      </w:pPr>
      <w:rPr>
        <w:rFonts w:ascii="Symbol" w:hAnsi="Symbol"/>
      </w:rPr>
    </w:lvl>
    <w:lvl w:ilvl="5" w:tplc="33384592">
      <w:start w:val="1"/>
      <w:numFmt w:val="bullet"/>
      <w:lvlText w:val=""/>
      <w:lvlJc w:val="left"/>
      <w:pPr>
        <w:ind w:left="1440" w:hanging="360"/>
      </w:pPr>
      <w:rPr>
        <w:rFonts w:ascii="Symbol" w:hAnsi="Symbol"/>
      </w:rPr>
    </w:lvl>
    <w:lvl w:ilvl="6" w:tplc="4F06FE22">
      <w:start w:val="1"/>
      <w:numFmt w:val="bullet"/>
      <w:lvlText w:val=""/>
      <w:lvlJc w:val="left"/>
      <w:pPr>
        <w:ind w:left="1440" w:hanging="360"/>
      </w:pPr>
      <w:rPr>
        <w:rFonts w:ascii="Symbol" w:hAnsi="Symbol"/>
      </w:rPr>
    </w:lvl>
    <w:lvl w:ilvl="7" w:tplc="F6A81FDC">
      <w:start w:val="1"/>
      <w:numFmt w:val="bullet"/>
      <w:lvlText w:val=""/>
      <w:lvlJc w:val="left"/>
      <w:pPr>
        <w:ind w:left="1440" w:hanging="360"/>
      </w:pPr>
      <w:rPr>
        <w:rFonts w:ascii="Symbol" w:hAnsi="Symbol"/>
      </w:rPr>
    </w:lvl>
    <w:lvl w:ilvl="8" w:tplc="9528BDBC">
      <w:start w:val="1"/>
      <w:numFmt w:val="bullet"/>
      <w:lvlText w:val=""/>
      <w:lvlJc w:val="left"/>
      <w:pPr>
        <w:ind w:left="1440" w:hanging="360"/>
      </w:pPr>
      <w:rPr>
        <w:rFonts w:ascii="Symbol" w:hAnsi="Symbol"/>
      </w:rPr>
    </w:lvl>
  </w:abstractNum>
  <w:abstractNum w:abstractNumId="10"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FC01B2"/>
    <w:multiLevelType w:val="multilevel"/>
    <w:tmpl w:val="6330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260632"/>
    <w:multiLevelType w:val="hybridMultilevel"/>
    <w:tmpl w:val="501EF02C"/>
    <w:lvl w:ilvl="0" w:tplc="668C976A">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11B6BC4"/>
    <w:multiLevelType w:val="hybridMultilevel"/>
    <w:tmpl w:val="D2A0C1AE"/>
    <w:lvl w:ilvl="0" w:tplc="C4466164">
      <w:numFmt w:val="bullet"/>
      <w:lvlText w:val="-"/>
      <w:lvlJc w:val="left"/>
      <w:pPr>
        <w:ind w:left="720" w:hanging="360"/>
      </w:pPr>
      <w:rPr>
        <w:rFonts w:ascii="Work Sans" w:eastAsiaTheme="minorHAnsi" w:hAnsi="Work San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25E2F4D"/>
    <w:multiLevelType w:val="hybridMultilevel"/>
    <w:tmpl w:val="A1C8F93A"/>
    <w:lvl w:ilvl="0" w:tplc="A21EE51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8" w15:restartNumberingAfterBreak="0">
    <w:nsid w:val="545A51C9"/>
    <w:multiLevelType w:val="hybridMultilevel"/>
    <w:tmpl w:val="E146E30E"/>
    <w:lvl w:ilvl="0" w:tplc="D870E7FA">
      <w:start w:val="202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1" w15:restartNumberingAfterBreak="0">
    <w:nsid w:val="6743447B"/>
    <w:multiLevelType w:val="hybridMultilevel"/>
    <w:tmpl w:val="1C4284BA"/>
    <w:lvl w:ilvl="0" w:tplc="D630AE60">
      <w:numFmt w:val="bullet"/>
      <w:lvlText w:val="-"/>
      <w:lvlJc w:val="left"/>
      <w:pPr>
        <w:ind w:left="720" w:hanging="360"/>
      </w:pPr>
      <w:rPr>
        <w:rFonts w:ascii="Open Sans Light" w:eastAsiaTheme="minorHAnsi" w:hAnsi="Open Sans Light" w:cs="Open Sans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3" w15:restartNumberingAfterBreak="0">
    <w:nsid w:val="701E7A0E"/>
    <w:multiLevelType w:val="multilevel"/>
    <w:tmpl w:val="B98CE1C2"/>
    <w:name w:val="StandardNumberedList"/>
    <w:lvl w:ilvl="0">
      <w:start w:val="1"/>
      <w:numFmt w:val="decimal"/>
      <w:pStyle w:val="OutlineNumbered1"/>
      <w:lvlText w:val="%1."/>
      <w:lvlJc w:val="left"/>
      <w:pPr>
        <w:tabs>
          <w:tab w:val="num" w:pos="331"/>
        </w:tabs>
        <w:ind w:left="331" w:hanging="331"/>
      </w:pPr>
    </w:lvl>
    <w:lvl w:ilvl="1">
      <w:start w:val="1"/>
      <w:numFmt w:val="decimal"/>
      <w:pStyle w:val="OutlineNumbered2"/>
      <w:lvlText w:val="%1.%2."/>
      <w:lvlJc w:val="left"/>
      <w:pPr>
        <w:tabs>
          <w:tab w:val="num" w:pos="662"/>
        </w:tabs>
        <w:ind w:left="662" w:hanging="331"/>
      </w:pPr>
    </w:lvl>
    <w:lvl w:ilvl="2">
      <w:start w:val="1"/>
      <w:numFmt w:val="decimal"/>
      <w:pStyle w:val="OutlineNumbered3"/>
      <w:lvlText w:val="%1.%2.%3."/>
      <w:lvlJc w:val="left"/>
      <w:pPr>
        <w:tabs>
          <w:tab w:val="num" w:pos="993"/>
        </w:tabs>
        <w:ind w:left="993" w:hanging="331"/>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551F59"/>
    <w:multiLevelType w:val="hybridMultilevel"/>
    <w:tmpl w:val="525E4864"/>
    <w:lvl w:ilvl="0" w:tplc="F80A1C7E">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6" w15:restartNumberingAfterBreak="0">
    <w:nsid w:val="7CB9194D"/>
    <w:multiLevelType w:val="hybridMultilevel"/>
    <w:tmpl w:val="A9BAE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9357354">
    <w:abstractNumId w:val="7"/>
  </w:num>
  <w:num w:numId="2" w16cid:durableId="1003897054">
    <w:abstractNumId w:val="24"/>
  </w:num>
  <w:num w:numId="3" w16cid:durableId="1334529044">
    <w:abstractNumId w:val="5"/>
  </w:num>
  <w:num w:numId="4" w16cid:durableId="1514761234">
    <w:abstractNumId w:val="4"/>
  </w:num>
  <w:num w:numId="5" w16cid:durableId="920797300">
    <w:abstractNumId w:val="0"/>
  </w:num>
  <w:num w:numId="6" w16cid:durableId="1807814447">
    <w:abstractNumId w:val="20"/>
  </w:num>
  <w:num w:numId="7" w16cid:durableId="801770153">
    <w:abstractNumId w:val="11"/>
  </w:num>
  <w:num w:numId="8" w16cid:durableId="1737627722">
    <w:abstractNumId w:val="22"/>
  </w:num>
  <w:num w:numId="9" w16cid:durableId="176697617">
    <w:abstractNumId w:val="3"/>
  </w:num>
  <w:num w:numId="10" w16cid:durableId="1408111535">
    <w:abstractNumId w:val="15"/>
  </w:num>
  <w:num w:numId="11" w16cid:durableId="2080126907">
    <w:abstractNumId w:val="16"/>
  </w:num>
  <w:num w:numId="12" w16cid:durableId="58332428">
    <w:abstractNumId w:val="10"/>
  </w:num>
  <w:num w:numId="13" w16cid:durableId="522092457">
    <w:abstractNumId w:val="19"/>
  </w:num>
  <w:num w:numId="14" w16cid:durableId="1850631671">
    <w:abstractNumId w:val="1"/>
  </w:num>
  <w:num w:numId="15" w16cid:durableId="1731422465">
    <w:abstractNumId w:val="6"/>
  </w:num>
  <w:num w:numId="16" w16cid:durableId="1942685111">
    <w:abstractNumId w:val="26"/>
  </w:num>
  <w:num w:numId="17" w16cid:durableId="927465871">
    <w:abstractNumId w:val="9"/>
  </w:num>
  <w:num w:numId="18" w16cid:durableId="1011756117">
    <w:abstractNumId w:val="21"/>
  </w:num>
  <w:num w:numId="19" w16cid:durableId="1080906232">
    <w:abstractNumId w:val="14"/>
  </w:num>
  <w:num w:numId="20" w16cid:durableId="2081555794">
    <w:abstractNumId w:val="3"/>
  </w:num>
  <w:num w:numId="21" w16cid:durableId="1438019218">
    <w:abstractNumId w:val="3"/>
  </w:num>
  <w:num w:numId="22" w16cid:durableId="1485125315">
    <w:abstractNumId w:val="3"/>
  </w:num>
  <w:num w:numId="23" w16cid:durableId="461653506">
    <w:abstractNumId w:val="3"/>
  </w:num>
  <w:num w:numId="24" w16cid:durableId="135875488">
    <w:abstractNumId w:val="25"/>
  </w:num>
  <w:num w:numId="25" w16cid:durableId="1350136633">
    <w:abstractNumId w:val="13"/>
  </w:num>
  <w:num w:numId="26" w16cid:durableId="1827503548">
    <w:abstractNumId w:val="8"/>
  </w:num>
  <w:num w:numId="27" w16cid:durableId="1879051646">
    <w:abstractNumId w:val="3"/>
  </w:num>
  <w:num w:numId="28" w16cid:durableId="1021930592">
    <w:abstractNumId w:val="3"/>
  </w:num>
  <w:num w:numId="29" w16cid:durableId="1138258537">
    <w:abstractNumId w:val="3"/>
  </w:num>
  <w:num w:numId="30" w16cid:durableId="668560378">
    <w:abstractNumId w:val="3"/>
  </w:num>
  <w:num w:numId="31" w16cid:durableId="1304501680">
    <w:abstractNumId w:val="3"/>
  </w:num>
  <w:num w:numId="32" w16cid:durableId="164826928">
    <w:abstractNumId w:val="17"/>
  </w:num>
  <w:num w:numId="33" w16cid:durableId="1684747897">
    <w:abstractNumId w:val="18"/>
  </w:num>
  <w:num w:numId="34" w16cid:durableId="504828540">
    <w:abstractNumId w:val="12"/>
  </w:num>
  <w:num w:numId="35" w16cid:durableId="1199970789">
    <w:abstractNumId w:val="2"/>
  </w:num>
  <w:num w:numId="36" w16cid:durableId="1352949180">
    <w:abstractNumId w:val="3"/>
  </w:num>
  <w:num w:numId="37" w16cid:durableId="1677421328">
    <w:abstractNumId w:val="3"/>
  </w:num>
  <w:num w:numId="38" w16cid:durableId="1458451074">
    <w:abstractNumId w:val="3"/>
  </w:num>
  <w:num w:numId="39" w16cid:durableId="432290711">
    <w:abstractNumId w:val="3"/>
  </w:num>
  <w:num w:numId="40" w16cid:durableId="1564675285">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2A9"/>
    <w:rsid w:val="000003C5"/>
    <w:rsid w:val="0000052D"/>
    <w:rsid w:val="00000AB2"/>
    <w:rsid w:val="00000C9F"/>
    <w:rsid w:val="00001078"/>
    <w:rsid w:val="000014F2"/>
    <w:rsid w:val="000017A8"/>
    <w:rsid w:val="00001882"/>
    <w:rsid w:val="000018D1"/>
    <w:rsid w:val="000019C0"/>
    <w:rsid w:val="00001A60"/>
    <w:rsid w:val="00001D6F"/>
    <w:rsid w:val="00001DA2"/>
    <w:rsid w:val="00001E8B"/>
    <w:rsid w:val="00002144"/>
    <w:rsid w:val="00002356"/>
    <w:rsid w:val="0000249B"/>
    <w:rsid w:val="000025E6"/>
    <w:rsid w:val="0000271D"/>
    <w:rsid w:val="00002923"/>
    <w:rsid w:val="00002E45"/>
    <w:rsid w:val="00002F86"/>
    <w:rsid w:val="000032B9"/>
    <w:rsid w:val="000036D8"/>
    <w:rsid w:val="0000382E"/>
    <w:rsid w:val="000039EE"/>
    <w:rsid w:val="00003F89"/>
    <w:rsid w:val="00004013"/>
    <w:rsid w:val="0000423F"/>
    <w:rsid w:val="000042F1"/>
    <w:rsid w:val="000043F9"/>
    <w:rsid w:val="00004598"/>
    <w:rsid w:val="000046FB"/>
    <w:rsid w:val="00004719"/>
    <w:rsid w:val="0000485A"/>
    <w:rsid w:val="00004C67"/>
    <w:rsid w:val="00004D5A"/>
    <w:rsid w:val="00004EFD"/>
    <w:rsid w:val="000053F8"/>
    <w:rsid w:val="0000571E"/>
    <w:rsid w:val="00005831"/>
    <w:rsid w:val="00005C21"/>
    <w:rsid w:val="00005EEE"/>
    <w:rsid w:val="0000618C"/>
    <w:rsid w:val="000063A2"/>
    <w:rsid w:val="0000648D"/>
    <w:rsid w:val="000068BF"/>
    <w:rsid w:val="00006A4C"/>
    <w:rsid w:val="00006B82"/>
    <w:rsid w:val="00006BCE"/>
    <w:rsid w:val="00006C31"/>
    <w:rsid w:val="00006C9A"/>
    <w:rsid w:val="00006D34"/>
    <w:rsid w:val="00006E30"/>
    <w:rsid w:val="00006F3D"/>
    <w:rsid w:val="00007077"/>
    <w:rsid w:val="00007899"/>
    <w:rsid w:val="000079B1"/>
    <w:rsid w:val="00007AB8"/>
    <w:rsid w:val="00007FD5"/>
    <w:rsid w:val="000105A1"/>
    <w:rsid w:val="00010711"/>
    <w:rsid w:val="00010794"/>
    <w:rsid w:val="00010871"/>
    <w:rsid w:val="000109FF"/>
    <w:rsid w:val="00010B75"/>
    <w:rsid w:val="00010CEC"/>
    <w:rsid w:val="00010F5B"/>
    <w:rsid w:val="00011062"/>
    <w:rsid w:val="000113DC"/>
    <w:rsid w:val="00011413"/>
    <w:rsid w:val="00011618"/>
    <w:rsid w:val="00011A8D"/>
    <w:rsid w:val="00011BB3"/>
    <w:rsid w:val="00011C73"/>
    <w:rsid w:val="00011D1A"/>
    <w:rsid w:val="00011DA8"/>
    <w:rsid w:val="00011F7D"/>
    <w:rsid w:val="00012025"/>
    <w:rsid w:val="00012089"/>
    <w:rsid w:val="000120A6"/>
    <w:rsid w:val="0001218F"/>
    <w:rsid w:val="00012280"/>
    <w:rsid w:val="00012602"/>
    <w:rsid w:val="0001265C"/>
    <w:rsid w:val="00012AC0"/>
    <w:rsid w:val="00012B0B"/>
    <w:rsid w:val="00012B67"/>
    <w:rsid w:val="00012B74"/>
    <w:rsid w:val="00012C74"/>
    <w:rsid w:val="00012F84"/>
    <w:rsid w:val="00013423"/>
    <w:rsid w:val="0001378D"/>
    <w:rsid w:val="000138C5"/>
    <w:rsid w:val="00013B63"/>
    <w:rsid w:val="00013CE8"/>
    <w:rsid w:val="0001407B"/>
    <w:rsid w:val="000141E3"/>
    <w:rsid w:val="00014473"/>
    <w:rsid w:val="00014864"/>
    <w:rsid w:val="000148C5"/>
    <w:rsid w:val="0001491F"/>
    <w:rsid w:val="00014A8F"/>
    <w:rsid w:val="00014B49"/>
    <w:rsid w:val="00014CB0"/>
    <w:rsid w:val="00014EC5"/>
    <w:rsid w:val="000150BF"/>
    <w:rsid w:val="00015283"/>
    <w:rsid w:val="000152A3"/>
    <w:rsid w:val="00015500"/>
    <w:rsid w:val="00015515"/>
    <w:rsid w:val="000156B2"/>
    <w:rsid w:val="00015757"/>
    <w:rsid w:val="00015818"/>
    <w:rsid w:val="000158D0"/>
    <w:rsid w:val="00015A97"/>
    <w:rsid w:val="00015C57"/>
    <w:rsid w:val="00015D0B"/>
    <w:rsid w:val="00016211"/>
    <w:rsid w:val="000162E7"/>
    <w:rsid w:val="000166DF"/>
    <w:rsid w:val="000168ED"/>
    <w:rsid w:val="0001698B"/>
    <w:rsid w:val="00016ABB"/>
    <w:rsid w:val="00016C62"/>
    <w:rsid w:val="00016FE0"/>
    <w:rsid w:val="00016FE9"/>
    <w:rsid w:val="000172F9"/>
    <w:rsid w:val="00017640"/>
    <w:rsid w:val="000176D7"/>
    <w:rsid w:val="0001770B"/>
    <w:rsid w:val="00017744"/>
    <w:rsid w:val="000178EF"/>
    <w:rsid w:val="00017A73"/>
    <w:rsid w:val="00017AFD"/>
    <w:rsid w:val="00017E5B"/>
    <w:rsid w:val="00017EB6"/>
    <w:rsid w:val="00020336"/>
    <w:rsid w:val="0002041C"/>
    <w:rsid w:val="000204C9"/>
    <w:rsid w:val="00020799"/>
    <w:rsid w:val="00020D21"/>
    <w:rsid w:val="00020EA3"/>
    <w:rsid w:val="00020EA6"/>
    <w:rsid w:val="00020EC5"/>
    <w:rsid w:val="0002102E"/>
    <w:rsid w:val="00021727"/>
    <w:rsid w:val="00021827"/>
    <w:rsid w:val="000219CC"/>
    <w:rsid w:val="000219FA"/>
    <w:rsid w:val="00021AEC"/>
    <w:rsid w:val="00021C09"/>
    <w:rsid w:val="00021C7A"/>
    <w:rsid w:val="00021E05"/>
    <w:rsid w:val="00021E88"/>
    <w:rsid w:val="000228D3"/>
    <w:rsid w:val="000229B2"/>
    <w:rsid w:val="00022B9C"/>
    <w:rsid w:val="00022C1B"/>
    <w:rsid w:val="00022CE0"/>
    <w:rsid w:val="00022EA9"/>
    <w:rsid w:val="00023068"/>
    <w:rsid w:val="00023137"/>
    <w:rsid w:val="000238C3"/>
    <w:rsid w:val="00023B03"/>
    <w:rsid w:val="00023BDB"/>
    <w:rsid w:val="00023CA3"/>
    <w:rsid w:val="00024043"/>
    <w:rsid w:val="00024069"/>
    <w:rsid w:val="00024379"/>
    <w:rsid w:val="000246BA"/>
    <w:rsid w:val="000246EB"/>
    <w:rsid w:val="00024745"/>
    <w:rsid w:val="00024A4B"/>
    <w:rsid w:val="00024CD0"/>
    <w:rsid w:val="00024D5F"/>
    <w:rsid w:val="0002514B"/>
    <w:rsid w:val="000251CC"/>
    <w:rsid w:val="00025242"/>
    <w:rsid w:val="00025B1F"/>
    <w:rsid w:val="00025CB3"/>
    <w:rsid w:val="00025E94"/>
    <w:rsid w:val="0002623E"/>
    <w:rsid w:val="000265A4"/>
    <w:rsid w:val="00026644"/>
    <w:rsid w:val="00026896"/>
    <w:rsid w:val="000268E0"/>
    <w:rsid w:val="000269F0"/>
    <w:rsid w:val="00026A1A"/>
    <w:rsid w:val="00026AD6"/>
    <w:rsid w:val="00026BAF"/>
    <w:rsid w:val="00026D33"/>
    <w:rsid w:val="00026E43"/>
    <w:rsid w:val="00026E62"/>
    <w:rsid w:val="00026E7B"/>
    <w:rsid w:val="00026ED4"/>
    <w:rsid w:val="000273C6"/>
    <w:rsid w:val="000274F7"/>
    <w:rsid w:val="00027557"/>
    <w:rsid w:val="00027799"/>
    <w:rsid w:val="000279D7"/>
    <w:rsid w:val="00027ABE"/>
    <w:rsid w:val="00027D07"/>
    <w:rsid w:val="00027D6A"/>
    <w:rsid w:val="00027DC8"/>
    <w:rsid w:val="00030084"/>
    <w:rsid w:val="00030097"/>
    <w:rsid w:val="000301A6"/>
    <w:rsid w:val="00030205"/>
    <w:rsid w:val="00030516"/>
    <w:rsid w:val="00030595"/>
    <w:rsid w:val="00030629"/>
    <w:rsid w:val="0003097C"/>
    <w:rsid w:val="00030B1D"/>
    <w:rsid w:val="00030E66"/>
    <w:rsid w:val="00031648"/>
    <w:rsid w:val="00031AFE"/>
    <w:rsid w:val="00031B76"/>
    <w:rsid w:val="00031BE3"/>
    <w:rsid w:val="00031CF4"/>
    <w:rsid w:val="0003213C"/>
    <w:rsid w:val="000321FE"/>
    <w:rsid w:val="00032318"/>
    <w:rsid w:val="00032544"/>
    <w:rsid w:val="000326F5"/>
    <w:rsid w:val="000327F7"/>
    <w:rsid w:val="00032856"/>
    <w:rsid w:val="000328A8"/>
    <w:rsid w:val="00032F41"/>
    <w:rsid w:val="00033105"/>
    <w:rsid w:val="00033347"/>
    <w:rsid w:val="000335BE"/>
    <w:rsid w:val="000338C9"/>
    <w:rsid w:val="00033A71"/>
    <w:rsid w:val="00033BB6"/>
    <w:rsid w:val="00033C0D"/>
    <w:rsid w:val="0003409C"/>
    <w:rsid w:val="00034380"/>
    <w:rsid w:val="00034622"/>
    <w:rsid w:val="00034916"/>
    <w:rsid w:val="000349C8"/>
    <w:rsid w:val="00034C4F"/>
    <w:rsid w:val="00034DBB"/>
    <w:rsid w:val="00034F08"/>
    <w:rsid w:val="00035450"/>
    <w:rsid w:val="000355D9"/>
    <w:rsid w:val="000356B1"/>
    <w:rsid w:val="000357B5"/>
    <w:rsid w:val="000357E9"/>
    <w:rsid w:val="000357FA"/>
    <w:rsid w:val="000363C5"/>
    <w:rsid w:val="000364E9"/>
    <w:rsid w:val="000365A2"/>
    <w:rsid w:val="00036792"/>
    <w:rsid w:val="000369B3"/>
    <w:rsid w:val="00036C51"/>
    <w:rsid w:val="00036F1C"/>
    <w:rsid w:val="000370C8"/>
    <w:rsid w:val="000372BA"/>
    <w:rsid w:val="000372E7"/>
    <w:rsid w:val="000375E1"/>
    <w:rsid w:val="00037859"/>
    <w:rsid w:val="000378CC"/>
    <w:rsid w:val="00037F48"/>
    <w:rsid w:val="00040135"/>
    <w:rsid w:val="00040227"/>
    <w:rsid w:val="00040571"/>
    <w:rsid w:val="00040601"/>
    <w:rsid w:val="0004064E"/>
    <w:rsid w:val="00040AE4"/>
    <w:rsid w:val="00040C2A"/>
    <w:rsid w:val="00040CCA"/>
    <w:rsid w:val="00040D48"/>
    <w:rsid w:val="00040F4F"/>
    <w:rsid w:val="00041058"/>
    <w:rsid w:val="000410C8"/>
    <w:rsid w:val="0004123E"/>
    <w:rsid w:val="00041299"/>
    <w:rsid w:val="000415E4"/>
    <w:rsid w:val="000416E6"/>
    <w:rsid w:val="00041748"/>
    <w:rsid w:val="00041E1B"/>
    <w:rsid w:val="00041E84"/>
    <w:rsid w:val="0004241F"/>
    <w:rsid w:val="000424EA"/>
    <w:rsid w:val="0004258C"/>
    <w:rsid w:val="00042633"/>
    <w:rsid w:val="00042D15"/>
    <w:rsid w:val="00043082"/>
    <w:rsid w:val="000432A7"/>
    <w:rsid w:val="0004365B"/>
    <w:rsid w:val="0004374C"/>
    <w:rsid w:val="00043B5D"/>
    <w:rsid w:val="00043CE6"/>
    <w:rsid w:val="00043CFE"/>
    <w:rsid w:val="00043F00"/>
    <w:rsid w:val="00044216"/>
    <w:rsid w:val="000442AA"/>
    <w:rsid w:val="00044479"/>
    <w:rsid w:val="0004456B"/>
    <w:rsid w:val="00044D91"/>
    <w:rsid w:val="00045068"/>
    <w:rsid w:val="000451DA"/>
    <w:rsid w:val="00045511"/>
    <w:rsid w:val="0004569D"/>
    <w:rsid w:val="00045C11"/>
    <w:rsid w:val="00045D70"/>
    <w:rsid w:val="00045F82"/>
    <w:rsid w:val="00046397"/>
    <w:rsid w:val="000463ED"/>
    <w:rsid w:val="000465BD"/>
    <w:rsid w:val="00046683"/>
    <w:rsid w:val="0004678C"/>
    <w:rsid w:val="0004679A"/>
    <w:rsid w:val="00046859"/>
    <w:rsid w:val="0004696A"/>
    <w:rsid w:val="00046B06"/>
    <w:rsid w:val="00046E9A"/>
    <w:rsid w:val="00046FE6"/>
    <w:rsid w:val="000470A2"/>
    <w:rsid w:val="0004762B"/>
    <w:rsid w:val="00047640"/>
    <w:rsid w:val="00047690"/>
    <w:rsid w:val="00047856"/>
    <w:rsid w:val="00047951"/>
    <w:rsid w:val="00047AB0"/>
    <w:rsid w:val="00047B71"/>
    <w:rsid w:val="00047DF1"/>
    <w:rsid w:val="00047E5A"/>
    <w:rsid w:val="0005001A"/>
    <w:rsid w:val="00050055"/>
    <w:rsid w:val="0005017B"/>
    <w:rsid w:val="00050246"/>
    <w:rsid w:val="000504B5"/>
    <w:rsid w:val="000506DC"/>
    <w:rsid w:val="000508D3"/>
    <w:rsid w:val="00051065"/>
    <w:rsid w:val="000510B3"/>
    <w:rsid w:val="00051114"/>
    <w:rsid w:val="0005178B"/>
    <w:rsid w:val="00051B92"/>
    <w:rsid w:val="00051EE6"/>
    <w:rsid w:val="00051F3C"/>
    <w:rsid w:val="0005220C"/>
    <w:rsid w:val="000525DD"/>
    <w:rsid w:val="000525F1"/>
    <w:rsid w:val="000525F5"/>
    <w:rsid w:val="00052DA0"/>
    <w:rsid w:val="00052E7E"/>
    <w:rsid w:val="00053480"/>
    <w:rsid w:val="00053512"/>
    <w:rsid w:val="00053581"/>
    <w:rsid w:val="0005377C"/>
    <w:rsid w:val="0005381C"/>
    <w:rsid w:val="00053B86"/>
    <w:rsid w:val="00053C36"/>
    <w:rsid w:val="00053D39"/>
    <w:rsid w:val="00053F80"/>
    <w:rsid w:val="000540CC"/>
    <w:rsid w:val="0005410D"/>
    <w:rsid w:val="00054309"/>
    <w:rsid w:val="00054311"/>
    <w:rsid w:val="000544B7"/>
    <w:rsid w:val="0005450F"/>
    <w:rsid w:val="0005451C"/>
    <w:rsid w:val="000546A0"/>
    <w:rsid w:val="00054FDB"/>
    <w:rsid w:val="000554BF"/>
    <w:rsid w:val="000555DB"/>
    <w:rsid w:val="00055A2D"/>
    <w:rsid w:val="00056371"/>
    <w:rsid w:val="00056373"/>
    <w:rsid w:val="00056962"/>
    <w:rsid w:val="000569CD"/>
    <w:rsid w:val="00056A54"/>
    <w:rsid w:val="00056B20"/>
    <w:rsid w:val="00056E89"/>
    <w:rsid w:val="00057762"/>
    <w:rsid w:val="0005784D"/>
    <w:rsid w:val="000578E0"/>
    <w:rsid w:val="00057A7A"/>
    <w:rsid w:val="00057A9B"/>
    <w:rsid w:val="00057AED"/>
    <w:rsid w:val="00057D13"/>
    <w:rsid w:val="00057F3A"/>
    <w:rsid w:val="00060067"/>
    <w:rsid w:val="000604C7"/>
    <w:rsid w:val="0006050F"/>
    <w:rsid w:val="000607C2"/>
    <w:rsid w:val="00060A59"/>
    <w:rsid w:val="00060BCF"/>
    <w:rsid w:val="00060CA5"/>
    <w:rsid w:val="0006101C"/>
    <w:rsid w:val="0006104A"/>
    <w:rsid w:val="00061111"/>
    <w:rsid w:val="00061157"/>
    <w:rsid w:val="00061233"/>
    <w:rsid w:val="00061535"/>
    <w:rsid w:val="0006177C"/>
    <w:rsid w:val="000617AF"/>
    <w:rsid w:val="000618C8"/>
    <w:rsid w:val="000618F1"/>
    <w:rsid w:val="00061915"/>
    <w:rsid w:val="00061933"/>
    <w:rsid w:val="00061993"/>
    <w:rsid w:val="00061B8C"/>
    <w:rsid w:val="00062330"/>
    <w:rsid w:val="000624BB"/>
    <w:rsid w:val="00062C57"/>
    <w:rsid w:val="00062D47"/>
    <w:rsid w:val="00062DB9"/>
    <w:rsid w:val="00062EE9"/>
    <w:rsid w:val="000630E8"/>
    <w:rsid w:val="00063299"/>
    <w:rsid w:val="000633E8"/>
    <w:rsid w:val="00063437"/>
    <w:rsid w:val="000634C4"/>
    <w:rsid w:val="0006366E"/>
    <w:rsid w:val="0006367F"/>
    <w:rsid w:val="000636D7"/>
    <w:rsid w:val="00063BE6"/>
    <w:rsid w:val="00063E0E"/>
    <w:rsid w:val="000641EB"/>
    <w:rsid w:val="00064557"/>
    <w:rsid w:val="00064793"/>
    <w:rsid w:val="000647AC"/>
    <w:rsid w:val="000648E8"/>
    <w:rsid w:val="00064CE5"/>
    <w:rsid w:val="00064EAE"/>
    <w:rsid w:val="0006519E"/>
    <w:rsid w:val="000651D2"/>
    <w:rsid w:val="000652CC"/>
    <w:rsid w:val="000653F5"/>
    <w:rsid w:val="000656EC"/>
    <w:rsid w:val="000656F6"/>
    <w:rsid w:val="000657A7"/>
    <w:rsid w:val="000658BC"/>
    <w:rsid w:val="00065BD7"/>
    <w:rsid w:val="00065BF3"/>
    <w:rsid w:val="00065DD1"/>
    <w:rsid w:val="000665AB"/>
    <w:rsid w:val="000665B0"/>
    <w:rsid w:val="00066602"/>
    <w:rsid w:val="00066C63"/>
    <w:rsid w:val="00066D82"/>
    <w:rsid w:val="00066E63"/>
    <w:rsid w:val="00066F8C"/>
    <w:rsid w:val="00066FC9"/>
    <w:rsid w:val="0006723A"/>
    <w:rsid w:val="00067321"/>
    <w:rsid w:val="0006758B"/>
    <w:rsid w:val="000679BC"/>
    <w:rsid w:val="00067B97"/>
    <w:rsid w:val="00067CA8"/>
    <w:rsid w:val="00067E2D"/>
    <w:rsid w:val="00067EEB"/>
    <w:rsid w:val="000702C3"/>
    <w:rsid w:val="00070B45"/>
    <w:rsid w:val="00070EA5"/>
    <w:rsid w:val="0007102B"/>
    <w:rsid w:val="0007125C"/>
    <w:rsid w:val="0007176E"/>
    <w:rsid w:val="0007185D"/>
    <w:rsid w:val="00071BBD"/>
    <w:rsid w:val="00071EF7"/>
    <w:rsid w:val="00071F1E"/>
    <w:rsid w:val="00071FC4"/>
    <w:rsid w:val="00071FFE"/>
    <w:rsid w:val="000721C4"/>
    <w:rsid w:val="0007234E"/>
    <w:rsid w:val="00072373"/>
    <w:rsid w:val="0007289F"/>
    <w:rsid w:val="00072CBE"/>
    <w:rsid w:val="0007310A"/>
    <w:rsid w:val="000731C5"/>
    <w:rsid w:val="0007335C"/>
    <w:rsid w:val="0007337E"/>
    <w:rsid w:val="000733D6"/>
    <w:rsid w:val="000733F4"/>
    <w:rsid w:val="0007360C"/>
    <w:rsid w:val="00073865"/>
    <w:rsid w:val="000738EB"/>
    <w:rsid w:val="00073944"/>
    <w:rsid w:val="00073A58"/>
    <w:rsid w:val="00073BF5"/>
    <w:rsid w:val="00073D9D"/>
    <w:rsid w:val="00073E21"/>
    <w:rsid w:val="00073E85"/>
    <w:rsid w:val="00073E92"/>
    <w:rsid w:val="00074EC4"/>
    <w:rsid w:val="0007503F"/>
    <w:rsid w:val="00075051"/>
    <w:rsid w:val="000753E9"/>
    <w:rsid w:val="00075526"/>
    <w:rsid w:val="00075593"/>
    <w:rsid w:val="000755BC"/>
    <w:rsid w:val="0007582F"/>
    <w:rsid w:val="00075A45"/>
    <w:rsid w:val="00075A55"/>
    <w:rsid w:val="00075CE7"/>
    <w:rsid w:val="000763F0"/>
    <w:rsid w:val="00076434"/>
    <w:rsid w:val="00076AF1"/>
    <w:rsid w:val="00076C72"/>
    <w:rsid w:val="00076DA5"/>
    <w:rsid w:val="0007707B"/>
    <w:rsid w:val="000772B1"/>
    <w:rsid w:val="000773FA"/>
    <w:rsid w:val="00077519"/>
    <w:rsid w:val="000778FC"/>
    <w:rsid w:val="000779DC"/>
    <w:rsid w:val="00077AAF"/>
    <w:rsid w:val="00077ABC"/>
    <w:rsid w:val="00077ADE"/>
    <w:rsid w:val="00080157"/>
    <w:rsid w:val="00080186"/>
    <w:rsid w:val="00080304"/>
    <w:rsid w:val="00080324"/>
    <w:rsid w:val="000803CC"/>
    <w:rsid w:val="00080439"/>
    <w:rsid w:val="000804E2"/>
    <w:rsid w:val="00080895"/>
    <w:rsid w:val="00080D62"/>
    <w:rsid w:val="00080E92"/>
    <w:rsid w:val="00080EBC"/>
    <w:rsid w:val="00081113"/>
    <w:rsid w:val="000812ED"/>
    <w:rsid w:val="00081636"/>
    <w:rsid w:val="00081696"/>
    <w:rsid w:val="000816E0"/>
    <w:rsid w:val="0008189E"/>
    <w:rsid w:val="00081905"/>
    <w:rsid w:val="000819A8"/>
    <w:rsid w:val="00081A51"/>
    <w:rsid w:val="00081E35"/>
    <w:rsid w:val="00081E45"/>
    <w:rsid w:val="00081F57"/>
    <w:rsid w:val="00081FAD"/>
    <w:rsid w:val="0008208B"/>
    <w:rsid w:val="00082090"/>
    <w:rsid w:val="00082930"/>
    <w:rsid w:val="00082971"/>
    <w:rsid w:val="00082B1A"/>
    <w:rsid w:val="00082D2B"/>
    <w:rsid w:val="00082DEF"/>
    <w:rsid w:val="00082F7B"/>
    <w:rsid w:val="00083022"/>
    <w:rsid w:val="000835BD"/>
    <w:rsid w:val="00083837"/>
    <w:rsid w:val="00083842"/>
    <w:rsid w:val="00083858"/>
    <w:rsid w:val="00083B06"/>
    <w:rsid w:val="00083B0A"/>
    <w:rsid w:val="000840C3"/>
    <w:rsid w:val="00084469"/>
    <w:rsid w:val="00084494"/>
    <w:rsid w:val="0008456B"/>
    <w:rsid w:val="00084683"/>
    <w:rsid w:val="00084734"/>
    <w:rsid w:val="000847BF"/>
    <w:rsid w:val="00084B0D"/>
    <w:rsid w:val="00084D80"/>
    <w:rsid w:val="00084D82"/>
    <w:rsid w:val="00084DD2"/>
    <w:rsid w:val="00084E18"/>
    <w:rsid w:val="00084EE0"/>
    <w:rsid w:val="00084FFE"/>
    <w:rsid w:val="0008507A"/>
    <w:rsid w:val="000853B4"/>
    <w:rsid w:val="000855F4"/>
    <w:rsid w:val="00085729"/>
    <w:rsid w:val="00085BD3"/>
    <w:rsid w:val="00085CA2"/>
    <w:rsid w:val="00085D0E"/>
    <w:rsid w:val="00085EA1"/>
    <w:rsid w:val="00086045"/>
    <w:rsid w:val="000861D9"/>
    <w:rsid w:val="00086727"/>
    <w:rsid w:val="0008677E"/>
    <w:rsid w:val="000867DC"/>
    <w:rsid w:val="000868F4"/>
    <w:rsid w:val="000869E1"/>
    <w:rsid w:val="000869F6"/>
    <w:rsid w:val="00086A5C"/>
    <w:rsid w:val="00086B04"/>
    <w:rsid w:val="00086C42"/>
    <w:rsid w:val="00086C8B"/>
    <w:rsid w:val="00086E69"/>
    <w:rsid w:val="00086EBC"/>
    <w:rsid w:val="00086F44"/>
    <w:rsid w:val="00087109"/>
    <w:rsid w:val="0008715F"/>
    <w:rsid w:val="0008720C"/>
    <w:rsid w:val="000874AE"/>
    <w:rsid w:val="000874EF"/>
    <w:rsid w:val="00087648"/>
    <w:rsid w:val="000876A9"/>
    <w:rsid w:val="0008779D"/>
    <w:rsid w:val="00087967"/>
    <w:rsid w:val="00087EEB"/>
    <w:rsid w:val="00087F7D"/>
    <w:rsid w:val="00087FC4"/>
    <w:rsid w:val="00090362"/>
    <w:rsid w:val="00090852"/>
    <w:rsid w:val="00090990"/>
    <w:rsid w:val="00090DBA"/>
    <w:rsid w:val="00090F98"/>
    <w:rsid w:val="000910DA"/>
    <w:rsid w:val="000918C4"/>
    <w:rsid w:val="00091AD2"/>
    <w:rsid w:val="00091C4F"/>
    <w:rsid w:val="00091D6E"/>
    <w:rsid w:val="0009214E"/>
    <w:rsid w:val="000921C7"/>
    <w:rsid w:val="000928AF"/>
    <w:rsid w:val="00092E88"/>
    <w:rsid w:val="00092FE4"/>
    <w:rsid w:val="000930CE"/>
    <w:rsid w:val="00093188"/>
    <w:rsid w:val="00093603"/>
    <w:rsid w:val="0009377F"/>
    <w:rsid w:val="00093796"/>
    <w:rsid w:val="00093910"/>
    <w:rsid w:val="000939CA"/>
    <w:rsid w:val="00093EF6"/>
    <w:rsid w:val="00094010"/>
    <w:rsid w:val="00094396"/>
    <w:rsid w:val="000943A8"/>
    <w:rsid w:val="00094531"/>
    <w:rsid w:val="00094650"/>
    <w:rsid w:val="00094676"/>
    <w:rsid w:val="00094698"/>
    <w:rsid w:val="00094B6E"/>
    <w:rsid w:val="000950A8"/>
    <w:rsid w:val="000954D1"/>
    <w:rsid w:val="0009567D"/>
    <w:rsid w:val="0009569E"/>
    <w:rsid w:val="0009594B"/>
    <w:rsid w:val="00095AA2"/>
    <w:rsid w:val="00096208"/>
    <w:rsid w:val="0009650F"/>
    <w:rsid w:val="00096616"/>
    <w:rsid w:val="00096817"/>
    <w:rsid w:val="00096896"/>
    <w:rsid w:val="00096A17"/>
    <w:rsid w:val="00096B92"/>
    <w:rsid w:val="00096C06"/>
    <w:rsid w:val="00096C31"/>
    <w:rsid w:val="00096C84"/>
    <w:rsid w:val="00096C96"/>
    <w:rsid w:val="00096D12"/>
    <w:rsid w:val="00096E12"/>
    <w:rsid w:val="00096E4E"/>
    <w:rsid w:val="00096EF4"/>
    <w:rsid w:val="000970BA"/>
    <w:rsid w:val="00097192"/>
    <w:rsid w:val="0009736D"/>
    <w:rsid w:val="00097590"/>
    <w:rsid w:val="00097626"/>
    <w:rsid w:val="0009768B"/>
    <w:rsid w:val="00097790"/>
    <w:rsid w:val="000977CA"/>
    <w:rsid w:val="00097871"/>
    <w:rsid w:val="00097A2E"/>
    <w:rsid w:val="00097A42"/>
    <w:rsid w:val="00097CD6"/>
    <w:rsid w:val="00097CF0"/>
    <w:rsid w:val="00097D0D"/>
    <w:rsid w:val="00097D78"/>
    <w:rsid w:val="00097F09"/>
    <w:rsid w:val="000A011D"/>
    <w:rsid w:val="000A0205"/>
    <w:rsid w:val="000A04F4"/>
    <w:rsid w:val="000A054D"/>
    <w:rsid w:val="000A07C9"/>
    <w:rsid w:val="000A09ED"/>
    <w:rsid w:val="000A0C33"/>
    <w:rsid w:val="000A0D9F"/>
    <w:rsid w:val="000A134C"/>
    <w:rsid w:val="000A17C5"/>
    <w:rsid w:val="000A17F1"/>
    <w:rsid w:val="000A1B09"/>
    <w:rsid w:val="000A1DED"/>
    <w:rsid w:val="000A2214"/>
    <w:rsid w:val="000A2395"/>
    <w:rsid w:val="000A24D1"/>
    <w:rsid w:val="000A2996"/>
    <w:rsid w:val="000A2E24"/>
    <w:rsid w:val="000A2ED4"/>
    <w:rsid w:val="000A3024"/>
    <w:rsid w:val="000A3130"/>
    <w:rsid w:val="000A336C"/>
    <w:rsid w:val="000A346F"/>
    <w:rsid w:val="000A3898"/>
    <w:rsid w:val="000A3BB3"/>
    <w:rsid w:val="000A3C25"/>
    <w:rsid w:val="000A3C2F"/>
    <w:rsid w:val="000A487A"/>
    <w:rsid w:val="000A4DB4"/>
    <w:rsid w:val="000A52A1"/>
    <w:rsid w:val="000A5692"/>
    <w:rsid w:val="000A5824"/>
    <w:rsid w:val="000A5B91"/>
    <w:rsid w:val="000A5DB9"/>
    <w:rsid w:val="000A5DC5"/>
    <w:rsid w:val="000A6135"/>
    <w:rsid w:val="000A633D"/>
    <w:rsid w:val="000A6389"/>
    <w:rsid w:val="000A6392"/>
    <w:rsid w:val="000A646A"/>
    <w:rsid w:val="000A6922"/>
    <w:rsid w:val="000A6A43"/>
    <w:rsid w:val="000A6F23"/>
    <w:rsid w:val="000A74C3"/>
    <w:rsid w:val="000A756F"/>
    <w:rsid w:val="000A77D0"/>
    <w:rsid w:val="000A7AA9"/>
    <w:rsid w:val="000A7C5E"/>
    <w:rsid w:val="000A7CAC"/>
    <w:rsid w:val="000A7E55"/>
    <w:rsid w:val="000A7E96"/>
    <w:rsid w:val="000B0145"/>
    <w:rsid w:val="000B0454"/>
    <w:rsid w:val="000B08F0"/>
    <w:rsid w:val="000B0A33"/>
    <w:rsid w:val="000B0A46"/>
    <w:rsid w:val="000B0B61"/>
    <w:rsid w:val="000B0D24"/>
    <w:rsid w:val="000B0DE2"/>
    <w:rsid w:val="000B1031"/>
    <w:rsid w:val="000B1440"/>
    <w:rsid w:val="000B16CB"/>
    <w:rsid w:val="000B1905"/>
    <w:rsid w:val="000B1C6F"/>
    <w:rsid w:val="000B1FE1"/>
    <w:rsid w:val="000B2042"/>
    <w:rsid w:val="000B2490"/>
    <w:rsid w:val="000B286B"/>
    <w:rsid w:val="000B2942"/>
    <w:rsid w:val="000B2944"/>
    <w:rsid w:val="000B2AF2"/>
    <w:rsid w:val="000B2CFB"/>
    <w:rsid w:val="000B2D4E"/>
    <w:rsid w:val="000B2DCD"/>
    <w:rsid w:val="000B2E2A"/>
    <w:rsid w:val="000B2F0F"/>
    <w:rsid w:val="000B308E"/>
    <w:rsid w:val="000B3097"/>
    <w:rsid w:val="000B3140"/>
    <w:rsid w:val="000B33AB"/>
    <w:rsid w:val="000B3557"/>
    <w:rsid w:val="000B3623"/>
    <w:rsid w:val="000B396A"/>
    <w:rsid w:val="000B39CE"/>
    <w:rsid w:val="000B3A31"/>
    <w:rsid w:val="000B3BB2"/>
    <w:rsid w:val="000B3CDA"/>
    <w:rsid w:val="000B3DC4"/>
    <w:rsid w:val="000B3F0A"/>
    <w:rsid w:val="000B3F3E"/>
    <w:rsid w:val="000B3FC6"/>
    <w:rsid w:val="000B4107"/>
    <w:rsid w:val="000B4179"/>
    <w:rsid w:val="000B442C"/>
    <w:rsid w:val="000B45B1"/>
    <w:rsid w:val="000B4935"/>
    <w:rsid w:val="000B4F36"/>
    <w:rsid w:val="000B4FDE"/>
    <w:rsid w:val="000B5042"/>
    <w:rsid w:val="000B5148"/>
    <w:rsid w:val="000B5227"/>
    <w:rsid w:val="000B53C0"/>
    <w:rsid w:val="000B53EE"/>
    <w:rsid w:val="000B53FD"/>
    <w:rsid w:val="000B56FE"/>
    <w:rsid w:val="000B5744"/>
    <w:rsid w:val="000B5B36"/>
    <w:rsid w:val="000B5B98"/>
    <w:rsid w:val="000B5C2F"/>
    <w:rsid w:val="000B6043"/>
    <w:rsid w:val="000B60A7"/>
    <w:rsid w:val="000B61DE"/>
    <w:rsid w:val="000B64E3"/>
    <w:rsid w:val="000B6843"/>
    <w:rsid w:val="000B689B"/>
    <w:rsid w:val="000B6BFF"/>
    <w:rsid w:val="000B6E59"/>
    <w:rsid w:val="000B709A"/>
    <w:rsid w:val="000B73C6"/>
    <w:rsid w:val="000B7433"/>
    <w:rsid w:val="000B753B"/>
    <w:rsid w:val="000B756E"/>
    <w:rsid w:val="000B7685"/>
    <w:rsid w:val="000B77B2"/>
    <w:rsid w:val="000B79CA"/>
    <w:rsid w:val="000B7CB8"/>
    <w:rsid w:val="000B7DC3"/>
    <w:rsid w:val="000B7E4B"/>
    <w:rsid w:val="000B7F93"/>
    <w:rsid w:val="000C06A4"/>
    <w:rsid w:val="000C0BBD"/>
    <w:rsid w:val="000C0D31"/>
    <w:rsid w:val="000C0F3A"/>
    <w:rsid w:val="000C0FAC"/>
    <w:rsid w:val="000C1231"/>
    <w:rsid w:val="000C1575"/>
    <w:rsid w:val="000C185A"/>
    <w:rsid w:val="000C1B95"/>
    <w:rsid w:val="000C1F18"/>
    <w:rsid w:val="000C2031"/>
    <w:rsid w:val="000C22E7"/>
    <w:rsid w:val="000C2987"/>
    <w:rsid w:val="000C2EA9"/>
    <w:rsid w:val="000C306A"/>
    <w:rsid w:val="000C31F2"/>
    <w:rsid w:val="000C32BB"/>
    <w:rsid w:val="000C34FA"/>
    <w:rsid w:val="000C354C"/>
    <w:rsid w:val="000C373A"/>
    <w:rsid w:val="000C3927"/>
    <w:rsid w:val="000C3B22"/>
    <w:rsid w:val="000C3B66"/>
    <w:rsid w:val="000C3BB3"/>
    <w:rsid w:val="000C3C90"/>
    <w:rsid w:val="000C3D29"/>
    <w:rsid w:val="000C3E2D"/>
    <w:rsid w:val="000C4063"/>
    <w:rsid w:val="000C45A5"/>
    <w:rsid w:val="000C4BB7"/>
    <w:rsid w:val="000C4DFC"/>
    <w:rsid w:val="000C4F41"/>
    <w:rsid w:val="000C50B3"/>
    <w:rsid w:val="000C5392"/>
    <w:rsid w:val="000C53E9"/>
    <w:rsid w:val="000C5486"/>
    <w:rsid w:val="000C56B6"/>
    <w:rsid w:val="000C5705"/>
    <w:rsid w:val="000C59E4"/>
    <w:rsid w:val="000C604F"/>
    <w:rsid w:val="000C60BF"/>
    <w:rsid w:val="000C61E8"/>
    <w:rsid w:val="000C65AA"/>
    <w:rsid w:val="000C6936"/>
    <w:rsid w:val="000C6BC8"/>
    <w:rsid w:val="000C6E9F"/>
    <w:rsid w:val="000C6FA6"/>
    <w:rsid w:val="000C72F2"/>
    <w:rsid w:val="000C76F8"/>
    <w:rsid w:val="000C776D"/>
    <w:rsid w:val="000C782D"/>
    <w:rsid w:val="000C7AE7"/>
    <w:rsid w:val="000C7E2F"/>
    <w:rsid w:val="000C7F62"/>
    <w:rsid w:val="000D01AA"/>
    <w:rsid w:val="000D03E4"/>
    <w:rsid w:val="000D0408"/>
    <w:rsid w:val="000D0A89"/>
    <w:rsid w:val="000D0ACF"/>
    <w:rsid w:val="000D0B77"/>
    <w:rsid w:val="000D0BB6"/>
    <w:rsid w:val="000D0C8D"/>
    <w:rsid w:val="000D0E00"/>
    <w:rsid w:val="000D102A"/>
    <w:rsid w:val="000D119D"/>
    <w:rsid w:val="000D1354"/>
    <w:rsid w:val="000D149C"/>
    <w:rsid w:val="000D15A0"/>
    <w:rsid w:val="000D1CE2"/>
    <w:rsid w:val="000D1DDA"/>
    <w:rsid w:val="000D1DEA"/>
    <w:rsid w:val="000D1EA8"/>
    <w:rsid w:val="000D1ED3"/>
    <w:rsid w:val="000D2088"/>
    <w:rsid w:val="000D224A"/>
    <w:rsid w:val="000D2311"/>
    <w:rsid w:val="000D24C0"/>
    <w:rsid w:val="000D27F5"/>
    <w:rsid w:val="000D2879"/>
    <w:rsid w:val="000D2971"/>
    <w:rsid w:val="000D2A5E"/>
    <w:rsid w:val="000D2A75"/>
    <w:rsid w:val="000D2D5C"/>
    <w:rsid w:val="000D2E28"/>
    <w:rsid w:val="000D3378"/>
    <w:rsid w:val="000D3531"/>
    <w:rsid w:val="000D355C"/>
    <w:rsid w:val="000D3574"/>
    <w:rsid w:val="000D366D"/>
    <w:rsid w:val="000D375A"/>
    <w:rsid w:val="000D37C2"/>
    <w:rsid w:val="000D3AA1"/>
    <w:rsid w:val="000D3BC1"/>
    <w:rsid w:val="000D3CC1"/>
    <w:rsid w:val="000D3EB4"/>
    <w:rsid w:val="000D3ECB"/>
    <w:rsid w:val="000D4063"/>
    <w:rsid w:val="000D406A"/>
    <w:rsid w:val="000D4101"/>
    <w:rsid w:val="000D41CA"/>
    <w:rsid w:val="000D42BA"/>
    <w:rsid w:val="000D4342"/>
    <w:rsid w:val="000D43B8"/>
    <w:rsid w:val="000D4457"/>
    <w:rsid w:val="000D4708"/>
    <w:rsid w:val="000D48FF"/>
    <w:rsid w:val="000D4C02"/>
    <w:rsid w:val="000D4E17"/>
    <w:rsid w:val="000D4E2C"/>
    <w:rsid w:val="000D533D"/>
    <w:rsid w:val="000D535B"/>
    <w:rsid w:val="000D5559"/>
    <w:rsid w:val="000D5667"/>
    <w:rsid w:val="000D571F"/>
    <w:rsid w:val="000D57A8"/>
    <w:rsid w:val="000D5AEF"/>
    <w:rsid w:val="000D5C58"/>
    <w:rsid w:val="000D5C69"/>
    <w:rsid w:val="000D65F5"/>
    <w:rsid w:val="000D67EC"/>
    <w:rsid w:val="000D6817"/>
    <w:rsid w:val="000D688D"/>
    <w:rsid w:val="000D6C93"/>
    <w:rsid w:val="000D70AE"/>
    <w:rsid w:val="000D70D7"/>
    <w:rsid w:val="000D763B"/>
    <w:rsid w:val="000D772C"/>
    <w:rsid w:val="000D784B"/>
    <w:rsid w:val="000D7C54"/>
    <w:rsid w:val="000D7E36"/>
    <w:rsid w:val="000D7E88"/>
    <w:rsid w:val="000E0210"/>
    <w:rsid w:val="000E0BA5"/>
    <w:rsid w:val="000E1007"/>
    <w:rsid w:val="000E12C2"/>
    <w:rsid w:val="000E14D3"/>
    <w:rsid w:val="000E1757"/>
    <w:rsid w:val="000E1763"/>
    <w:rsid w:val="000E1767"/>
    <w:rsid w:val="000E17A7"/>
    <w:rsid w:val="000E1853"/>
    <w:rsid w:val="000E1927"/>
    <w:rsid w:val="000E1940"/>
    <w:rsid w:val="000E1979"/>
    <w:rsid w:val="000E1A53"/>
    <w:rsid w:val="000E1B40"/>
    <w:rsid w:val="000E1B78"/>
    <w:rsid w:val="000E1D57"/>
    <w:rsid w:val="000E20EE"/>
    <w:rsid w:val="000E21DC"/>
    <w:rsid w:val="000E22AD"/>
    <w:rsid w:val="000E254F"/>
    <w:rsid w:val="000E26C1"/>
    <w:rsid w:val="000E2CF8"/>
    <w:rsid w:val="000E3109"/>
    <w:rsid w:val="000E311B"/>
    <w:rsid w:val="000E32F8"/>
    <w:rsid w:val="000E3592"/>
    <w:rsid w:val="000E35A0"/>
    <w:rsid w:val="000E3868"/>
    <w:rsid w:val="000E38BA"/>
    <w:rsid w:val="000E393C"/>
    <w:rsid w:val="000E3BE1"/>
    <w:rsid w:val="000E3D68"/>
    <w:rsid w:val="000E3E15"/>
    <w:rsid w:val="000E3FBB"/>
    <w:rsid w:val="000E41D5"/>
    <w:rsid w:val="000E423E"/>
    <w:rsid w:val="000E451D"/>
    <w:rsid w:val="000E47B0"/>
    <w:rsid w:val="000E4C8D"/>
    <w:rsid w:val="000E4EBC"/>
    <w:rsid w:val="000E4EED"/>
    <w:rsid w:val="000E4FF4"/>
    <w:rsid w:val="000E5031"/>
    <w:rsid w:val="000E5404"/>
    <w:rsid w:val="000E541D"/>
    <w:rsid w:val="000E55F2"/>
    <w:rsid w:val="000E57A9"/>
    <w:rsid w:val="000E5822"/>
    <w:rsid w:val="000E5972"/>
    <w:rsid w:val="000E5C21"/>
    <w:rsid w:val="000E5DDE"/>
    <w:rsid w:val="000E5F1B"/>
    <w:rsid w:val="000E5FB0"/>
    <w:rsid w:val="000E6391"/>
    <w:rsid w:val="000E63B0"/>
    <w:rsid w:val="000E655A"/>
    <w:rsid w:val="000E6774"/>
    <w:rsid w:val="000E69E1"/>
    <w:rsid w:val="000E6A00"/>
    <w:rsid w:val="000E6AA5"/>
    <w:rsid w:val="000E7041"/>
    <w:rsid w:val="000E730A"/>
    <w:rsid w:val="000E766C"/>
    <w:rsid w:val="000E798E"/>
    <w:rsid w:val="000E7BAB"/>
    <w:rsid w:val="000E7F12"/>
    <w:rsid w:val="000E7F56"/>
    <w:rsid w:val="000F0293"/>
    <w:rsid w:val="000F0325"/>
    <w:rsid w:val="000F03B8"/>
    <w:rsid w:val="000F03DA"/>
    <w:rsid w:val="000F042E"/>
    <w:rsid w:val="000F0674"/>
    <w:rsid w:val="000F0879"/>
    <w:rsid w:val="000F097D"/>
    <w:rsid w:val="000F0A74"/>
    <w:rsid w:val="000F0AC1"/>
    <w:rsid w:val="000F0B55"/>
    <w:rsid w:val="000F0CFD"/>
    <w:rsid w:val="000F193C"/>
    <w:rsid w:val="000F1981"/>
    <w:rsid w:val="000F19C5"/>
    <w:rsid w:val="000F1CDA"/>
    <w:rsid w:val="000F1EE5"/>
    <w:rsid w:val="000F232B"/>
    <w:rsid w:val="000F28B5"/>
    <w:rsid w:val="000F29FF"/>
    <w:rsid w:val="000F2F0E"/>
    <w:rsid w:val="000F2F8D"/>
    <w:rsid w:val="000F31A9"/>
    <w:rsid w:val="000F32E2"/>
    <w:rsid w:val="000F3304"/>
    <w:rsid w:val="000F3314"/>
    <w:rsid w:val="000F3632"/>
    <w:rsid w:val="000F38A4"/>
    <w:rsid w:val="000F3B8F"/>
    <w:rsid w:val="000F3CBF"/>
    <w:rsid w:val="000F3E79"/>
    <w:rsid w:val="000F3F14"/>
    <w:rsid w:val="000F3F4A"/>
    <w:rsid w:val="000F414B"/>
    <w:rsid w:val="000F44AD"/>
    <w:rsid w:val="000F44E9"/>
    <w:rsid w:val="000F4B10"/>
    <w:rsid w:val="000F4B28"/>
    <w:rsid w:val="000F4F75"/>
    <w:rsid w:val="000F5352"/>
    <w:rsid w:val="000F58BC"/>
    <w:rsid w:val="000F594C"/>
    <w:rsid w:val="000F596F"/>
    <w:rsid w:val="000F5E36"/>
    <w:rsid w:val="000F5F7F"/>
    <w:rsid w:val="000F6398"/>
    <w:rsid w:val="000F649F"/>
    <w:rsid w:val="000F6700"/>
    <w:rsid w:val="000F6F00"/>
    <w:rsid w:val="000F71A8"/>
    <w:rsid w:val="000F73FF"/>
    <w:rsid w:val="000F7631"/>
    <w:rsid w:val="000F7694"/>
    <w:rsid w:val="000F7787"/>
    <w:rsid w:val="000F7B22"/>
    <w:rsid w:val="000F7B30"/>
    <w:rsid w:val="000F7F5B"/>
    <w:rsid w:val="0010001F"/>
    <w:rsid w:val="00100290"/>
    <w:rsid w:val="001002D2"/>
    <w:rsid w:val="00100409"/>
    <w:rsid w:val="00100583"/>
    <w:rsid w:val="001005D9"/>
    <w:rsid w:val="0010076D"/>
    <w:rsid w:val="00100B20"/>
    <w:rsid w:val="00100BF2"/>
    <w:rsid w:val="00100E6F"/>
    <w:rsid w:val="001013EE"/>
    <w:rsid w:val="001016AC"/>
    <w:rsid w:val="0010173F"/>
    <w:rsid w:val="001017E3"/>
    <w:rsid w:val="00101C90"/>
    <w:rsid w:val="00101F22"/>
    <w:rsid w:val="00101F87"/>
    <w:rsid w:val="0010201F"/>
    <w:rsid w:val="00102135"/>
    <w:rsid w:val="001021C4"/>
    <w:rsid w:val="001021D7"/>
    <w:rsid w:val="0010226C"/>
    <w:rsid w:val="00102779"/>
    <w:rsid w:val="001027E6"/>
    <w:rsid w:val="0010292A"/>
    <w:rsid w:val="00102AFD"/>
    <w:rsid w:val="00102B29"/>
    <w:rsid w:val="00102BE0"/>
    <w:rsid w:val="00102F76"/>
    <w:rsid w:val="00102FEB"/>
    <w:rsid w:val="0010327E"/>
    <w:rsid w:val="00103339"/>
    <w:rsid w:val="001033A9"/>
    <w:rsid w:val="001034E3"/>
    <w:rsid w:val="0010375D"/>
    <w:rsid w:val="001038A1"/>
    <w:rsid w:val="001039C2"/>
    <w:rsid w:val="00103A7B"/>
    <w:rsid w:val="00103B00"/>
    <w:rsid w:val="00103C7F"/>
    <w:rsid w:val="00103CBC"/>
    <w:rsid w:val="00103DFF"/>
    <w:rsid w:val="00103F1C"/>
    <w:rsid w:val="001040AD"/>
    <w:rsid w:val="00104229"/>
    <w:rsid w:val="0010422B"/>
    <w:rsid w:val="00104339"/>
    <w:rsid w:val="00104960"/>
    <w:rsid w:val="00104BAA"/>
    <w:rsid w:val="00104BF1"/>
    <w:rsid w:val="00104D55"/>
    <w:rsid w:val="00104EDD"/>
    <w:rsid w:val="001053D9"/>
    <w:rsid w:val="0010567A"/>
    <w:rsid w:val="00105A17"/>
    <w:rsid w:val="00105C56"/>
    <w:rsid w:val="00105E49"/>
    <w:rsid w:val="001060B0"/>
    <w:rsid w:val="001064A4"/>
    <w:rsid w:val="00106778"/>
    <w:rsid w:val="00106826"/>
    <w:rsid w:val="00106CB2"/>
    <w:rsid w:val="00106CEE"/>
    <w:rsid w:val="0010739F"/>
    <w:rsid w:val="00107455"/>
    <w:rsid w:val="001075E3"/>
    <w:rsid w:val="00107B24"/>
    <w:rsid w:val="00107B43"/>
    <w:rsid w:val="00107E52"/>
    <w:rsid w:val="0011025F"/>
    <w:rsid w:val="001103B6"/>
    <w:rsid w:val="001103D6"/>
    <w:rsid w:val="00110417"/>
    <w:rsid w:val="001107F1"/>
    <w:rsid w:val="00110996"/>
    <w:rsid w:val="00110AE7"/>
    <w:rsid w:val="00110C5E"/>
    <w:rsid w:val="00110DC5"/>
    <w:rsid w:val="0011178C"/>
    <w:rsid w:val="00111977"/>
    <w:rsid w:val="00111ABA"/>
    <w:rsid w:val="00111AE7"/>
    <w:rsid w:val="00111B35"/>
    <w:rsid w:val="00111EC2"/>
    <w:rsid w:val="00111F2A"/>
    <w:rsid w:val="00112072"/>
    <w:rsid w:val="001120B0"/>
    <w:rsid w:val="001121D0"/>
    <w:rsid w:val="0011243C"/>
    <w:rsid w:val="001124B0"/>
    <w:rsid w:val="001125AB"/>
    <w:rsid w:val="001125E7"/>
    <w:rsid w:val="00112966"/>
    <w:rsid w:val="00112988"/>
    <w:rsid w:val="00112A57"/>
    <w:rsid w:val="00112CD6"/>
    <w:rsid w:val="00112CF0"/>
    <w:rsid w:val="00112DB5"/>
    <w:rsid w:val="00112E1E"/>
    <w:rsid w:val="00112F52"/>
    <w:rsid w:val="00113339"/>
    <w:rsid w:val="001136C6"/>
    <w:rsid w:val="0011387B"/>
    <w:rsid w:val="001138C6"/>
    <w:rsid w:val="00113909"/>
    <w:rsid w:val="00113C67"/>
    <w:rsid w:val="00113EE3"/>
    <w:rsid w:val="0011408D"/>
    <w:rsid w:val="0011428D"/>
    <w:rsid w:val="0011443E"/>
    <w:rsid w:val="001144CD"/>
    <w:rsid w:val="001146E5"/>
    <w:rsid w:val="001149DF"/>
    <w:rsid w:val="00114D9B"/>
    <w:rsid w:val="00114DA1"/>
    <w:rsid w:val="00114EA0"/>
    <w:rsid w:val="00114F65"/>
    <w:rsid w:val="00115180"/>
    <w:rsid w:val="0011519F"/>
    <w:rsid w:val="00115672"/>
    <w:rsid w:val="001157AB"/>
    <w:rsid w:val="0011585E"/>
    <w:rsid w:val="00115A96"/>
    <w:rsid w:val="00115ADE"/>
    <w:rsid w:val="00115C9E"/>
    <w:rsid w:val="00116062"/>
    <w:rsid w:val="00116702"/>
    <w:rsid w:val="0011699D"/>
    <w:rsid w:val="00116B83"/>
    <w:rsid w:val="00116C00"/>
    <w:rsid w:val="00116D3E"/>
    <w:rsid w:val="00116EE4"/>
    <w:rsid w:val="0011713A"/>
    <w:rsid w:val="0011729C"/>
    <w:rsid w:val="0011729F"/>
    <w:rsid w:val="001172BD"/>
    <w:rsid w:val="001178E4"/>
    <w:rsid w:val="0011795A"/>
    <w:rsid w:val="001179C7"/>
    <w:rsid w:val="00117AA2"/>
    <w:rsid w:val="00117BD4"/>
    <w:rsid w:val="00117CFD"/>
    <w:rsid w:val="00120071"/>
    <w:rsid w:val="0012020C"/>
    <w:rsid w:val="00120781"/>
    <w:rsid w:val="001207C0"/>
    <w:rsid w:val="001207C2"/>
    <w:rsid w:val="0012092D"/>
    <w:rsid w:val="00120B1E"/>
    <w:rsid w:val="00120FD8"/>
    <w:rsid w:val="001211AB"/>
    <w:rsid w:val="001214BE"/>
    <w:rsid w:val="001215BD"/>
    <w:rsid w:val="0012178C"/>
    <w:rsid w:val="0012188E"/>
    <w:rsid w:val="001218B8"/>
    <w:rsid w:val="001218FF"/>
    <w:rsid w:val="00121A72"/>
    <w:rsid w:val="00121B79"/>
    <w:rsid w:val="00121D9B"/>
    <w:rsid w:val="00121E0F"/>
    <w:rsid w:val="00121F79"/>
    <w:rsid w:val="001220B7"/>
    <w:rsid w:val="00122457"/>
    <w:rsid w:val="00122774"/>
    <w:rsid w:val="00122DCB"/>
    <w:rsid w:val="00122E8B"/>
    <w:rsid w:val="0012308B"/>
    <w:rsid w:val="00123325"/>
    <w:rsid w:val="00123BC6"/>
    <w:rsid w:val="00123CF7"/>
    <w:rsid w:val="00123DA3"/>
    <w:rsid w:val="001243E6"/>
    <w:rsid w:val="00124439"/>
    <w:rsid w:val="00124730"/>
    <w:rsid w:val="00124826"/>
    <w:rsid w:val="001249A5"/>
    <w:rsid w:val="00124ACA"/>
    <w:rsid w:val="00124B73"/>
    <w:rsid w:val="00124ED1"/>
    <w:rsid w:val="00124F44"/>
    <w:rsid w:val="00124F55"/>
    <w:rsid w:val="0012542D"/>
    <w:rsid w:val="00125430"/>
    <w:rsid w:val="00125503"/>
    <w:rsid w:val="0012561A"/>
    <w:rsid w:val="0012578D"/>
    <w:rsid w:val="00125797"/>
    <w:rsid w:val="00125806"/>
    <w:rsid w:val="001258EF"/>
    <w:rsid w:val="0012594D"/>
    <w:rsid w:val="00125AB5"/>
    <w:rsid w:val="00125B33"/>
    <w:rsid w:val="001260B6"/>
    <w:rsid w:val="001260E3"/>
    <w:rsid w:val="00126201"/>
    <w:rsid w:val="00126239"/>
    <w:rsid w:val="0012630A"/>
    <w:rsid w:val="00126350"/>
    <w:rsid w:val="001266EE"/>
    <w:rsid w:val="001268AA"/>
    <w:rsid w:val="00126AD1"/>
    <w:rsid w:val="00126B11"/>
    <w:rsid w:val="00126F24"/>
    <w:rsid w:val="00126FB4"/>
    <w:rsid w:val="001272E6"/>
    <w:rsid w:val="001273E8"/>
    <w:rsid w:val="001274B0"/>
    <w:rsid w:val="00127687"/>
    <w:rsid w:val="00127780"/>
    <w:rsid w:val="001277C7"/>
    <w:rsid w:val="001279F7"/>
    <w:rsid w:val="00127C8B"/>
    <w:rsid w:val="00127E95"/>
    <w:rsid w:val="001300F4"/>
    <w:rsid w:val="00130303"/>
    <w:rsid w:val="00130366"/>
    <w:rsid w:val="001307A8"/>
    <w:rsid w:val="00130C9E"/>
    <w:rsid w:val="00130DCA"/>
    <w:rsid w:val="00130FB7"/>
    <w:rsid w:val="001312AF"/>
    <w:rsid w:val="001312CB"/>
    <w:rsid w:val="00131351"/>
    <w:rsid w:val="001314A8"/>
    <w:rsid w:val="00131947"/>
    <w:rsid w:val="00131A29"/>
    <w:rsid w:val="00131AD8"/>
    <w:rsid w:val="00131BAD"/>
    <w:rsid w:val="00131D5F"/>
    <w:rsid w:val="00131FD1"/>
    <w:rsid w:val="001321FF"/>
    <w:rsid w:val="001322D2"/>
    <w:rsid w:val="00132503"/>
    <w:rsid w:val="00132E0B"/>
    <w:rsid w:val="00132FB8"/>
    <w:rsid w:val="00132FC3"/>
    <w:rsid w:val="00132FD9"/>
    <w:rsid w:val="0013318F"/>
    <w:rsid w:val="001333CA"/>
    <w:rsid w:val="001333F9"/>
    <w:rsid w:val="00133400"/>
    <w:rsid w:val="0013355A"/>
    <w:rsid w:val="00133811"/>
    <w:rsid w:val="00133988"/>
    <w:rsid w:val="001339A6"/>
    <w:rsid w:val="00133C48"/>
    <w:rsid w:val="00133C81"/>
    <w:rsid w:val="00133F08"/>
    <w:rsid w:val="00134146"/>
    <w:rsid w:val="00134222"/>
    <w:rsid w:val="001346A2"/>
    <w:rsid w:val="0013474C"/>
    <w:rsid w:val="001347D3"/>
    <w:rsid w:val="00134847"/>
    <w:rsid w:val="0013497E"/>
    <w:rsid w:val="00134FA3"/>
    <w:rsid w:val="00134FCC"/>
    <w:rsid w:val="00135080"/>
    <w:rsid w:val="0013515E"/>
    <w:rsid w:val="001351C6"/>
    <w:rsid w:val="001354A0"/>
    <w:rsid w:val="001356C7"/>
    <w:rsid w:val="00135C45"/>
    <w:rsid w:val="00135CAB"/>
    <w:rsid w:val="0013601E"/>
    <w:rsid w:val="0013623B"/>
    <w:rsid w:val="001363A1"/>
    <w:rsid w:val="001363B9"/>
    <w:rsid w:val="00136497"/>
    <w:rsid w:val="001369BF"/>
    <w:rsid w:val="00136BFC"/>
    <w:rsid w:val="00136F29"/>
    <w:rsid w:val="00136F6F"/>
    <w:rsid w:val="00137008"/>
    <w:rsid w:val="001371FF"/>
    <w:rsid w:val="0013753D"/>
    <w:rsid w:val="0013796F"/>
    <w:rsid w:val="00137D90"/>
    <w:rsid w:val="0014036D"/>
    <w:rsid w:val="0014041C"/>
    <w:rsid w:val="00140509"/>
    <w:rsid w:val="00140546"/>
    <w:rsid w:val="00140900"/>
    <w:rsid w:val="00140CDC"/>
    <w:rsid w:val="00140D09"/>
    <w:rsid w:val="001414E0"/>
    <w:rsid w:val="00141696"/>
    <w:rsid w:val="00141A83"/>
    <w:rsid w:val="00141BD1"/>
    <w:rsid w:val="00141F2F"/>
    <w:rsid w:val="001423B0"/>
    <w:rsid w:val="00142932"/>
    <w:rsid w:val="00142B21"/>
    <w:rsid w:val="00142B86"/>
    <w:rsid w:val="00142C4D"/>
    <w:rsid w:val="00142C63"/>
    <w:rsid w:val="00143228"/>
    <w:rsid w:val="001434F3"/>
    <w:rsid w:val="001438E0"/>
    <w:rsid w:val="00143B25"/>
    <w:rsid w:val="00143D52"/>
    <w:rsid w:val="00143F85"/>
    <w:rsid w:val="001441DA"/>
    <w:rsid w:val="00144229"/>
    <w:rsid w:val="0014437D"/>
    <w:rsid w:val="001446C5"/>
    <w:rsid w:val="001448EE"/>
    <w:rsid w:val="001449CB"/>
    <w:rsid w:val="00144A22"/>
    <w:rsid w:val="00144A92"/>
    <w:rsid w:val="00144C8A"/>
    <w:rsid w:val="00144DD4"/>
    <w:rsid w:val="00144F95"/>
    <w:rsid w:val="001451ED"/>
    <w:rsid w:val="001453BB"/>
    <w:rsid w:val="00145515"/>
    <w:rsid w:val="001455CC"/>
    <w:rsid w:val="00145604"/>
    <w:rsid w:val="0014579D"/>
    <w:rsid w:val="0014616B"/>
    <w:rsid w:val="001461FC"/>
    <w:rsid w:val="00146F05"/>
    <w:rsid w:val="00146FC3"/>
    <w:rsid w:val="00147115"/>
    <w:rsid w:val="001471DD"/>
    <w:rsid w:val="0014740D"/>
    <w:rsid w:val="00147461"/>
    <w:rsid w:val="001474AC"/>
    <w:rsid w:val="0014764F"/>
    <w:rsid w:val="001477CE"/>
    <w:rsid w:val="0014784F"/>
    <w:rsid w:val="001478AD"/>
    <w:rsid w:val="0014792A"/>
    <w:rsid w:val="00147BCC"/>
    <w:rsid w:val="00147F4D"/>
    <w:rsid w:val="0015015C"/>
    <w:rsid w:val="00150327"/>
    <w:rsid w:val="0015040C"/>
    <w:rsid w:val="001508AE"/>
    <w:rsid w:val="00150B89"/>
    <w:rsid w:val="00150B9C"/>
    <w:rsid w:val="00150C35"/>
    <w:rsid w:val="00150D74"/>
    <w:rsid w:val="00150E42"/>
    <w:rsid w:val="00150ECB"/>
    <w:rsid w:val="00151316"/>
    <w:rsid w:val="00151460"/>
    <w:rsid w:val="00151474"/>
    <w:rsid w:val="0015167D"/>
    <w:rsid w:val="0015177C"/>
    <w:rsid w:val="001517E0"/>
    <w:rsid w:val="0015183F"/>
    <w:rsid w:val="00151982"/>
    <w:rsid w:val="001519C7"/>
    <w:rsid w:val="00151DFB"/>
    <w:rsid w:val="00152123"/>
    <w:rsid w:val="0015233A"/>
    <w:rsid w:val="001525CF"/>
    <w:rsid w:val="00152611"/>
    <w:rsid w:val="00152807"/>
    <w:rsid w:val="00152BE0"/>
    <w:rsid w:val="00152C3D"/>
    <w:rsid w:val="00152DCF"/>
    <w:rsid w:val="00152ED6"/>
    <w:rsid w:val="00152FED"/>
    <w:rsid w:val="00153AA7"/>
    <w:rsid w:val="00153CA7"/>
    <w:rsid w:val="00153D0B"/>
    <w:rsid w:val="00153D48"/>
    <w:rsid w:val="00153E9E"/>
    <w:rsid w:val="001540F6"/>
    <w:rsid w:val="001542B8"/>
    <w:rsid w:val="00154425"/>
    <w:rsid w:val="00154A35"/>
    <w:rsid w:val="00154A9A"/>
    <w:rsid w:val="00154CFC"/>
    <w:rsid w:val="00154F30"/>
    <w:rsid w:val="00155064"/>
    <w:rsid w:val="001550A3"/>
    <w:rsid w:val="0015510B"/>
    <w:rsid w:val="00155469"/>
    <w:rsid w:val="00155746"/>
    <w:rsid w:val="00155E47"/>
    <w:rsid w:val="00155EAF"/>
    <w:rsid w:val="00155FC0"/>
    <w:rsid w:val="00156334"/>
    <w:rsid w:val="00156419"/>
    <w:rsid w:val="0015686A"/>
    <w:rsid w:val="00156C80"/>
    <w:rsid w:val="00156CD2"/>
    <w:rsid w:val="00156E14"/>
    <w:rsid w:val="0015742B"/>
    <w:rsid w:val="001574A7"/>
    <w:rsid w:val="00157671"/>
    <w:rsid w:val="0015776C"/>
    <w:rsid w:val="001579DC"/>
    <w:rsid w:val="00157AD5"/>
    <w:rsid w:val="00157BA5"/>
    <w:rsid w:val="00157BE8"/>
    <w:rsid w:val="00157CEB"/>
    <w:rsid w:val="00157E1E"/>
    <w:rsid w:val="00157F02"/>
    <w:rsid w:val="00160015"/>
    <w:rsid w:val="00160229"/>
    <w:rsid w:val="00160346"/>
    <w:rsid w:val="001603B2"/>
    <w:rsid w:val="001604D5"/>
    <w:rsid w:val="00160592"/>
    <w:rsid w:val="001605EB"/>
    <w:rsid w:val="00160877"/>
    <w:rsid w:val="001609BA"/>
    <w:rsid w:val="00160EA4"/>
    <w:rsid w:val="00160EBD"/>
    <w:rsid w:val="00160F39"/>
    <w:rsid w:val="0016108C"/>
    <w:rsid w:val="001610AC"/>
    <w:rsid w:val="001611EA"/>
    <w:rsid w:val="00161391"/>
    <w:rsid w:val="00161616"/>
    <w:rsid w:val="001618F2"/>
    <w:rsid w:val="00161DCE"/>
    <w:rsid w:val="00162000"/>
    <w:rsid w:val="001620CB"/>
    <w:rsid w:val="001624F1"/>
    <w:rsid w:val="001625EC"/>
    <w:rsid w:val="001626A9"/>
    <w:rsid w:val="00162780"/>
    <w:rsid w:val="00162999"/>
    <w:rsid w:val="00162A3A"/>
    <w:rsid w:val="00163254"/>
    <w:rsid w:val="00163983"/>
    <w:rsid w:val="00163C70"/>
    <w:rsid w:val="00163CED"/>
    <w:rsid w:val="00163E15"/>
    <w:rsid w:val="00163E35"/>
    <w:rsid w:val="00164202"/>
    <w:rsid w:val="00164659"/>
    <w:rsid w:val="0016477E"/>
    <w:rsid w:val="001647AF"/>
    <w:rsid w:val="00164AFF"/>
    <w:rsid w:val="00164B49"/>
    <w:rsid w:val="00164B4B"/>
    <w:rsid w:val="00164ECE"/>
    <w:rsid w:val="00164F2C"/>
    <w:rsid w:val="00164F81"/>
    <w:rsid w:val="00165173"/>
    <w:rsid w:val="001652C2"/>
    <w:rsid w:val="001652D1"/>
    <w:rsid w:val="0016534B"/>
    <w:rsid w:val="001654B0"/>
    <w:rsid w:val="0016551D"/>
    <w:rsid w:val="001655AF"/>
    <w:rsid w:val="00165753"/>
    <w:rsid w:val="001657CF"/>
    <w:rsid w:val="00165907"/>
    <w:rsid w:val="00165909"/>
    <w:rsid w:val="00165A44"/>
    <w:rsid w:val="00165DC0"/>
    <w:rsid w:val="00165F8F"/>
    <w:rsid w:val="00165FC0"/>
    <w:rsid w:val="00165FF0"/>
    <w:rsid w:val="00166098"/>
    <w:rsid w:val="001660AA"/>
    <w:rsid w:val="001661CC"/>
    <w:rsid w:val="00166838"/>
    <w:rsid w:val="0016688E"/>
    <w:rsid w:val="0016689D"/>
    <w:rsid w:val="00166B23"/>
    <w:rsid w:val="00166BE5"/>
    <w:rsid w:val="00166E24"/>
    <w:rsid w:val="00166F83"/>
    <w:rsid w:val="00166F8B"/>
    <w:rsid w:val="0016703F"/>
    <w:rsid w:val="00167104"/>
    <w:rsid w:val="00167169"/>
    <w:rsid w:val="0016723A"/>
    <w:rsid w:val="001672D1"/>
    <w:rsid w:val="00167335"/>
    <w:rsid w:val="001674FA"/>
    <w:rsid w:val="00167AA3"/>
    <w:rsid w:val="00170100"/>
    <w:rsid w:val="0017034B"/>
    <w:rsid w:val="001704CF"/>
    <w:rsid w:val="001705AE"/>
    <w:rsid w:val="00170DC9"/>
    <w:rsid w:val="00171335"/>
    <w:rsid w:val="001715AC"/>
    <w:rsid w:val="0017181D"/>
    <w:rsid w:val="00171A05"/>
    <w:rsid w:val="00171D48"/>
    <w:rsid w:val="00171E30"/>
    <w:rsid w:val="001725BB"/>
    <w:rsid w:val="001726B0"/>
    <w:rsid w:val="001728DA"/>
    <w:rsid w:val="00172BF0"/>
    <w:rsid w:val="00172C20"/>
    <w:rsid w:val="00172E17"/>
    <w:rsid w:val="00172E28"/>
    <w:rsid w:val="00172EC4"/>
    <w:rsid w:val="00172F3A"/>
    <w:rsid w:val="001730A3"/>
    <w:rsid w:val="001730FD"/>
    <w:rsid w:val="0017311D"/>
    <w:rsid w:val="00173179"/>
    <w:rsid w:val="001733C2"/>
    <w:rsid w:val="00173453"/>
    <w:rsid w:val="001735B1"/>
    <w:rsid w:val="00173791"/>
    <w:rsid w:val="00173798"/>
    <w:rsid w:val="00173BE6"/>
    <w:rsid w:val="00173D29"/>
    <w:rsid w:val="00173DA5"/>
    <w:rsid w:val="00173E72"/>
    <w:rsid w:val="00173E9E"/>
    <w:rsid w:val="00173F06"/>
    <w:rsid w:val="00174379"/>
    <w:rsid w:val="0017453A"/>
    <w:rsid w:val="0017475D"/>
    <w:rsid w:val="00174762"/>
    <w:rsid w:val="00175209"/>
    <w:rsid w:val="0017572D"/>
    <w:rsid w:val="00175771"/>
    <w:rsid w:val="00175774"/>
    <w:rsid w:val="00175AA2"/>
    <w:rsid w:val="00175ACB"/>
    <w:rsid w:val="00175C98"/>
    <w:rsid w:val="00175F4D"/>
    <w:rsid w:val="00175F9B"/>
    <w:rsid w:val="001760FF"/>
    <w:rsid w:val="00176178"/>
    <w:rsid w:val="0017628F"/>
    <w:rsid w:val="0017645D"/>
    <w:rsid w:val="00176660"/>
    <w:rsid w:val="001766D7"/>
    <w:rsid w:val="00176738"/>
    <w:rsid w:val="00176B88"/>
    <w:rsid w:val="00176E42"/>
    <w:rsid w:val="00176E9A"/>
    <w:rsid w:val="00176F37"/>
    <w:rsid w:val="00176FE5"/>
    <w:rsid w:val="001775AD"/>
    <w:rsid w:val="001776D1"/>
    <w:rsid w:val="0017771D"/>
    <w:rsid w:val="0017771E"/>
    <w:rsid w:val="001777CF"/>
    <w:rsid w:val="001777D5"/>
    <w:rsid w:val="001777E9"/>
    <w:rsid w:val="001778D0"/>
    <w:rsid w:val="00177B6B"/>
    <w:rsid w:val="00177C4D"/>
    <w:rsid w:val="00177D12"/>
    <w:rsid w:val="00177EA1"/>
    <w:rsid w:val="00180001"/>
    <w:rsid w:val="001803B8"/>
    <w:rsid w:val="001804D6"/>
    <w:rsid w:val="001805FB"/>
    <w:rsid w:val="001807C0"/>
    <w:rsid w:val="00180935"/>
    <w:rsid w:val="00180A23"/>
    <w:rsid w:val="00180A2D"/>
    <w:rsid w:val="00180B76"/>
    <w:rsid w:val="00180BE8"/>
    <w:rsid w:val="00180F8B"/>
    <w:rsid w:val="0018100C"/>
    <w:rsid w:val="001811DE"/>
    <w:rsid w:val="00181293"/>
    <w:rsid w:val="001818CC"/>
    <w:rsid w:val="00181AA0"/>
    <w:rsid w:val="00181B43"/>
    <w:rsid w:val="00182487"/>
    <w:rsid w:val="001826CB"/>
    <w:rsid w:val="00182716"/>
    <w:rsid w:val="001827AC"/>
    <w:rsid w:val="00182899"/>
    <w:rsid w:val="00182B81"/>
    <w:rsid w:val="001831E8"/>
    <w:rsid w:val="001832B0"/>
    <w:rsid w:val="001833DA"/>
    <w:rsid w:val="0018349C"/>
    <w:rsid w:val="00183562"/>
    <w:rsid w:val="00183649"/>
    <w:rsid w:val="00183970"/>
    <w:rsid w:val="00183C19"/>
    <w:rsid w:val="0018439A"/>
    <w:rsid w:val="001843C4"/>
    <w:rsid w:val="00184519"/>
    <w:rsid w:val="001845F7"/>
    <w:rsid w:val="00184A83"/>
    <w:rsid w:val="00185037"/>
    <w:rsid w:val="0018537D"/>
    <w:rsid w:val="001853A5"/>
    <w:rsid w:val="001856B7"/>
    <w:rsid w:val="00185A37"/>
    <w:rsid w:val="00185A8A"/>
    <w:rsid w:val="00185F2E"/>
    <w:rsid w:val="00186090"/>
    <w:rsid w:val="0018625B"/>
    <w:rsid w:val="001862DA"/>
    <w:rsid w:val="001866D1"/>
    <w:rsid w:val="0018671D"/>
    <w:rsid w:val="001868A3"/>
    <w:rsid w:val="00186A42"/>
    <w:rsid w:val="00186A8A"/>
    <w:rsid w:val="00186BF5"/>
    <w:rsid w:val="00186C93"/>
    <w:rsid w:val="00186CB3"/>
    <w:rsid w:val="00186DFB"/>
    <w:rsid w:val="00186EB8"/>
    <w:rsid w:val="00187145"/>
    <w:rsid w:val="001871D3"/>
    <w:rsid w:val="001874F4"/>
    <w:rsid w:val="00187613"/>
    <w:rsid w:val="001878F4"/>
    <w:rsid w:val="00187AF0"/>
    <w:rsid w:val="00187C67"/>
    <w:rsid w:val="00187DA4"/>
    <w:rsid w:val="001904D5"/>
    <w:rsid w:val="00190671"/>
    <w:rsid w:val="00190A1F"/>
    <w:rsid w:val="00190B7E"/>
    <w:rsid w:val="0019104D"/>
    <w:rsid w:val="001912C9"/>
    <w:rsid w:val="001914B4"/>
    <w:rsid w:val="00191778"/>
    <w:rsid w:val="00191A77"/>
    <w:rsid w:val="00191C91"/>
    <w:rsid w:val="00191DB3"/>
    <w:rsid w:val="00191F3A"/>
    <w:rsid w:val="00191FD5"/>
    <w:rsid w:val="00192214"/>
    <w:rsid w:val="001923ED"/>
    <w:rsid w:val="001927C1"/>
    <w:rsid w:val="0019296D"/>
    <w:rsid w:val="00192A0A"/>
    <w:rsid w:val="00192B90"/>
    <w:rsid w:val="00192BFE"/>
    <w:rsid w:val="00192D0D"/>
    <w:rsid w:val="00193047"/>
    <w:rsid w:val="00193260"/>
    <w:rsid w:val="00193423"/>
    <w:rsid w:val="0019374B"/>
    <w:rsid w:val="00193946"/>
    <w:rsid w:val="00193955"/>
    <w:rsid w:val="00193A90"/>
    <w:rsid w:val="00193B10"/>
    <w:rsid w:val="00193D2C"/>
    <w:rsid w:val="00193EE3"/>
    <w:rsid w:val="00194098"/>
    <w:rsid w:val="001942C6"/>
    <w:rsid w:val="00194357"/>
    <w:rsid w:val="00194552"/>
    <w:rsid w:val="001947B5"/>
    <w:rsid w:val="00194868"/>
    <w:rsid w:val="00194995"/>
    <w:rsid w:val="00194EA5"/>
    <w:rsid w:val="00194FCC"/>
    <w:rsid w:val="00195476"/>
    <w:rsid w:val="0019559C"/>
    <w:rsid w:val="00195ADD"/>
    <w:rsid w:val="00195CD2"/>
    <w:rsid w:val="00196167"/>
    <w:rsid w:val="0019620C"/>
    <w:rsid w:val="0019625A"/>
    <w:rsid w:val="00196526"/>
    <w:rsid w:val="00196594"/>
    <w:rsid w:val="001965D1"/>
    <w:rsid w:val="00196963"/>
    <w:rsid w:val="00196B1C"/>
    <w:rsid w:val="00196B93"/>
    <w:rsid w:val="00196BA3"/>
    <w:rsid w:val="00196C15"/>
    <w:rsid w:val="001970F9"/>
    <w:rsid w:val="00197350"/>
    <w:rsid w:val="00197504"/>
    <w:rsid w:val="001979BB"/>
    <w:rsid w:val="00197BC3"/>
    <w:rsid w:val="00197DCD"/>
    <w:rsid w:val="001A0207"/>
    <w:rsid w:val="001A042B"/>
    <w:rsid w:val="001A06A6"/>
    <w:rsid w:val="001A0968"/>
    <w:rsid w:val="001A0B9D"/>
    <w:rsid w:val="001A0D7B"/>
    <w:rsid w:val="001A0F0C"/>
    <w:rsid w:val="001A1720"/>
    <w:rsid w:val="001A192B"/>
    <w:rsid w:val="001A1CEF"/>
    <w:rsid w:val="001A1F94"/>
    <w:rsid w:val="001A209E"/>
    <w:rsid w:val="001A20EC"/>
    <w:rsid w:val="001A2109"/>
    <w:rsid w:val="001A21BA"/>
    <w:rsid w:val="001A2466"/>
    <w:rsid w:val="001A26F5"/>
    <w:rsid w:val="001A27E6"/>
    <w:rsid w:val="001A28AC"/>
    <w:rsid w:val="001A2DDC"/>
    <w:rsid w:val="001A2F36"/>
    <w:rsid w:val="001A2FA2"/>
    <w:rsid w:val="001A30E8"/>
    <w:rsid w:val="001A3229"/>
    <w:rsid w:val="001A3502"/>
    <w:rsid w:val="001A3601"/>
    <w:rsid w:val="001A36D9"/>
    <w:rsid w:val="001A372B"/>
    <w:rsid w:val="001A3771"/>
    <w:rsid w:val="001A3991"/>
    <w:rsid w:val="001A3B82"/>
    <w:rsid w:val="001A4336"/>
    <w:rsid w:val="001A4780"/>
    <w:rsid w:val="001A4946"/>
    <w:rsid w:val="001A4CCB"/>
    <w:rsid w:val="001A4D4B"/>
    <w:rsid w:val="001A4EB6"/>
    <w:rsid w:val="001A4F8C"/>
    <w:rsid w:val="001A512C"/>
    <w:rsid w:val="001A5167"/>
    <w:rsid w:val="001A5419"/>
    <w:rsid w:val="001A544A"/>
    <w:rsid w:val="001A5705"/>
    <w:rsid w:val="001A585E"/>
    <w:rsid w:val="001A592C"/>
    <w:rsid w:val="001A5D64"/>
    <w:rsid w:val="001A620B"/>
    <w:rsid w:val="001A63F2"/>
    <w:rsid w:val="001A6496"/>
    <w:rsid w:val="001A6575"/>
    <w:rsid w:val="001A6D43"/>
    <w:rsid w:val="001A6E6B"/>
    <w:rsid w:val="001A6F1C"/>
    <w:rsid w:val="001A7346"/>
    <w:rsid w:val="001A7386"/>
    <w:rsid w:val="001A751B"/>
    <w:rsid w:val="001A7741"/>
    <w:rsid w:val="001A7971"/>
    <w:rsid w:val="001A7B28"/>
    <w:rsid w:val="001A7BFE"/>
    <w:rsid w:val="001A7E01"/>
    <w:rsid w:val="001A7E31"/>
    <w:rsid w:val="001A7FFD"/>
    <w:rsid w:val="001B0110"/>
    <w:rsid w:val="001B04F9"/>
    <w:rsid w:val="001B0511"/>
    <w:rsid w:val="001B0822"/>
    <w:rsid w:val="001B090D"/>
    <w:rsid w:val="001B09E3"/>
    <w:rsid w:val="001B0AC4"/>
    <w:rsid w:val="001B0B97"/>
    <w:rsid w:val="001B0C0A"/>
    <w:rsid w:val="001B0F33"/>
    <w:rsid w:val="001B105E"/>
    <w:rsid w:val="001B10FE"/>
    <w:rsid w:val="001B1305"/>
    <w:rsid w:val="001B1324"/>
    <w:rsid w:val="001B1427"/>
    <w:rsid w:val="001B1631"/>
    <w:rsid w:val="001B1729"/>
    <w:rsid w:val="001B1A6E"/>
    <w:rsid w:val="001B1E30"/>
    <w:rsid w:val="001B1FAD"/>
    <w:rsid w:val="001B2019"/>
    <w:rsid w:val="001B216B"/>
    <w:rsid w:val="001B228A"/>
    <w:rsid w:val="001B269F"/>
    <w:rsid w:val="001B3048"/>
    <w:rsid w:val="001B3123"/>
    <w:rsid w:val="001B3961"/>
    <w:rsid w:val="001B3DBE"/>
    <w:rsid w:val="001B40CB"/>
    <w:rsid w:val="001B40E7"/>
    <w:rsid w:val="001B42E4"/>
    <w:rsid w:val="001B436F"/>
    <w:rsid w:val="001B47EC"/>
    <w:rsid w:val="001B4B3B"/>
    <w:rsid w:val="001B4BCE"/>
    <w:rsid w:val="001B4E33"/>
    <w:rsid w:val="001B4E90"/>
    <w:rsid w:val="001B5291"/>
    <w:rsid w:val="001B563F"/>
    <w:rsid w:val="001B571B"/>
    <w:rsid w:val="001B57F8"/>
    <w:rsid w:val="001B582D"/>
    <w:rsid w:val="001B5890"/>
    <w:rsid w:val="001B59A9"/>
    <w:rsid w:val="001B5C8D"/>
    <w:rsid w:val="001B5D3A"/>
    <w:rsid w:val="001B5D41"/>
    <w:rsid w:val="001B5EB0"/>
    <w:rsid w:val="001B6067"/>
    <w:rsid w:val="001B636E"/>
    <w:rsid w:val="001B6421"/>
    <w:rsid w:val="001B647E"/>
    <w:rsid w:val="001B691A"/>
    <w:rsid w:val="001B696E"/>
    <w:rsid w:val="001B6A56"/>
    <w:rsid w:val="001B6C9B"/>
    <w:rsid w:val="001B6F0A"/>
    <w:rsid w:val="001B7191"/>
    <w:rsid w:val="001B71B9"/>
    <w:rsid w:val="001B7243"/>
    <w:rsid w:val="001B735B"/>
    <w:rsid w:val="001B76A8"/>
    <w:rsid w:val="001B782D"/>
    <w:rsid w:val="001B784F"/>
    <w:rsid w:val="001B7A89"/>
    <w:rsid w:val="001B7DC0"/>
    <w:rsid w:val="001C00F2"/>
    <w:rsid w:val="001C0545"/>
    <w:rsid w:val="001C05BE"/>
    <w:rsid w:val="001C0856"/>
    <w:rsid w:val="001C0963"/>
    <w:rsid w:val="001C09D9"/>
    <w:rsid w:val="001C1121"/>
    <w:rsid w:val="001C1132"/>
    <w:rsid w:val="001C1264"/>
    <w:rsid w:val="001C14EA"/>
    <w:rsid w:val="001C1559"/>
    <w:rsid w:val="001C1583"/>
    <w:rsid w:val="001C15C5"/>
    <w:rsid w:val="001C1692"/>
    <w:rsid w:val="001C16BF"/>
    <w:rsid w:val="001C18C0"/>
    <w:rsid w:val="001C1A14"/>
    <w:rsid w:val="001C1AC5"/>
    <w:rsid w:val="001C1D1B"/>
    <w:rsid w:val="001C1DE7"/>
    <w:rsid w:val="001C200E"/>
    <w:rsid w:val="001C202D"/>
    <w:rsid w:val="001C21A2"/>
    <w:rsid w:val="001C22BD"/>
    <w:rsid w:val="001C22F8"/>
    <w:rsid w:val="001C23C3"/>
    <w:rsid w:val="001C24B2"/>
    <w:rsid w:val="001C24F4"/>
    <w:rsid w:val="001C2A03"/>
    <w:rsid w:val="001C2BF7"/>
    <w:rsid w:val="001C2CE6"/>
    <w:rsid w:val="001C30D2"/>
    <w:rsid w:val="001C392C"/>
    <w:rsid w:val="001C39E8"/>
    <w:rsid w:val="001C3A22"/>
    <w:rsid w:val="001C3BC6"/>
    <w:rsid w:val="001C3C62"/>
    <w:rsid w:val="001C3CB6"/>
    <w:rsid w:val="001C3CD8"/>
    <w:rsid w:val="001C3D31"/>
    <w:rsid w:val="001C3F63"/>
    <w:rsid w:val="001C4261"/>
    <w:rsid w:val="001C44E0"/>
    <w:rsid w:val="001C4553"/>
    <w:rsid w:val="001C4619"/>
    <w:rsid w:val="001C4623"/>
    <w:rsid w:val="001C4632"/>
    <w:rsid w:val="001C469B"/>
    <w:rsid w:val="001C4A0B"/>
    <w:rsid w:val="001C4B75"/>
    <w:rsid w:val="001C4C0A"/>
    <w:rsid w:val="001C4C45"/>
    <w:rsid w:val="001C4C7B"/>
    <w:rsid w:val="001C4C8C"/>
    <w:rsid w:val="001C4D0A"/>
    <w:rsid w:val="001C4DA4"/>
    <w:rsid w:val="001C4DA7"/>
    <w:rsid w:val="001C504B"/>
    <w:rsid w:val="001C50A9"/>
    <w:rsid w:val="001C532B"/>
    <w:rsid w:val="001C54F5"/>
    <w:rsid w:val="001C559E"/>
    <w:rsid w:val="001C55F6"/>
    <w:rsid w:val="001C55FC"/>
    <w:rsid w:val="001C5D2D"/>
    <w:rsid w:val="001C5D8B"/>
    <w:rsid w:val="001C5FDA"/>
    <w:rsid w:val="001C6086"/>
    <w:rsid w:val="001C6252"/>
    <w:rsid w:val="001C62B4"/>
    <w:rsid w:val="001C62E6"/>
    <w:rsid w:val="001C6311"/>
    <w:rsid w:val="001C64C7"/>
    <w:rsid w:val="001C6504"/>
    <w:rsid w:val="001C6726"/>
    <w:rsid w:val="001C6758"/>
    <w:rsid w:val="001C681D"/>
    <w:rsid w:val="001C69B9"/>
    <w:rsid w:val="001C6A26"/>
    <w:rsid w:val="001C6A71"/>
    <w:rsid w:val="001C6BFC"/>
    <w:rsid w:val="001C6D25"/>
    <w:rsid w:val="001C71AA"/>
    <w:rsid w:val="001C73F8"/>
    <w:rsid w:val="001C75AA"/>
    <w:rsid w:val="001C75AB"/>
    <w:rsid w:val="001C75B2"/>
    <w:rsid w:val="001C76B9"/>
    <w:rsid w:val="001C776C"/>
    <w:rsid w:val="001C77E1"/>
    <w:rsid w:val="001C7844"/>
    <w:rsid w:val="001C79DA"/>
    <w:rsid w:val="001C7ABB"/>
    <w:rsid w:val="001C7C52"/>
    <w:rsid w:val="001C7C88"/>
    <w:rsid w:val="001C7E44"/>
    <w:rsid w:val="001C7F9B"/>
    <w:rsid w:val="001C7FDF"/>
    <w:rsid w:val="001D0798"/>
    <w:rsid w:val="001D112B"/>
    <w:rsid w:val="001D11B3"/>
    <w:rsid w:val="001D166D"/>
    <w:rsid w:val="001D19A8"/>
    <w:rsid w:val="001D1C22"/>
    <w:rsid w:val="001D1C80"/>
    <w:rsid w:val="001D240E"/>
    <w:rsid w:val="001D26ED"/>
    <w:rsid w:val="001D2837"/>
    <w:rsid w:val="001D28B3"/>
    <w:rsid w:val="001D2B7D"/>
    <w:rsid w:val="001D2D33"/>
    <w:rsid w:val="001D2DE3"/>
    <w:rsid w:val="001D329E"/>
    <w:rsid w:val="001D330D"/>
    <w:rsid w:val="001D33AD"/>
    <w:rsid w:val="001D36C9"/>
    <w:rsid w:val="001D3D72"/>
    <w:rsid w:val="001D3D79"/>
    <w:rsid w:val="001D406E"/>
    <w:rsid w:val="001D43AC"/>
    <w:rsid w:val="001D4BB1"/>
    <w:rsid w:val="001D4D60"/>
    <w:rsid w:val="001D5257"/>
    <w:rsid w:val="001D5280"/>
    <w:rsid w:val="001D5963"/>
    <w:rsid w:val="001D5CAD"/>
    <w:rsid w:val="001D5D71"/>
    <w:rsid w:val="001D5EDB"/>
    <w:rsid w:val="001D6181"/>
    <w:rsid w:val="001D61D5"/>
    <w:rsid w:val="001D62F5"/>
    <w:rsid w:val="001D638B"/>
    <w:rsid w:val="001D6488"/>
    <w:rsid w:val="001D649C"/>
    <w:rsid w:val="001D686B"/>
    <w:rsid w:val="001D687A"/>
    <w:rsid w:val="001D6B4E"/>
    <w:rsid w:val="001D6CCE"/>
    <w:rsid w:val="001D6DFA"/>
    <w:rsid w:val="001D7159"/>
    <w:rsid w:val="001D7616"/>
    <w:rsid w:val="001D7743"/>
    <w:rsid w:val="001D7798"/>
    <w:rsid w:val="001D793D"/>
    <w:rsid w:val="001D79EF"/>
    <w:rsid w:val="001D7AF0"/>
    <w:rsid w:val="001D7B44"/>
    <w:rsid w:val="001D7FFE"/>
    <w:rsid w:val="001E004B"/>
    <w:rsid w:val="001E02E1"/>
    <w:rsid w:val="001E044F"/>
    <w:rsid w:val="001E0741"/>
    <w:rsid w:val="001E0916"/>
    <w:rsid w:val="001E09C4"/>
    <w:rsid w:val="001E0DC6"/>
    <w:rsid w:val="001E1901"/>
    <w:rsid w:val="001E19D3"/>
    <w:rsid w:val="001E1A10"/>
    <w:rsid w:val="001E1F97"/>
    <w:rsid w:val="001E21F5"/>
    <w:rsid w:val="001E23D1"/>
    <w:rsid w:val="001E2428"/>
    <w:rsid w:val="001E252F"/>
    <w:rsid w:val="001E26BD"/>
    <w:rsid w:val="001E2908"/>
    <w:rsid w:val="001E2A8E"/>
    <w:rsid w:val="001E2AC2"/>
    <w:rsid w:val="001E2F34"/>
    <w:rsid w:val="001E2F9C"/>
    <w:rsid w:val="001E38A8"/>
    <w:rsid w:val="001E3982"/>
    <w:rsid w:val="001E3EBB"/>
    <w:rsid w:val="001E43E6"/>
    <w:rsid w:val="001E53CD"/>
    <w:rsid w:val="001E54EC"/>
    <w:rsid w:val="001E580B"/>
    <w:rsid w:val="001E5BBB"/>
    <w:rsid w:val="001E5F64"/>
    <w:rsid w:val="001E6180"/>
    <w:rsid w:val="001E632B"/>
    <w:rsid w:val="001E674B"/>
    <w:rsid w:val="001E68FC"/>
    <w:rsid w:val="001E6B90"/>
    <w:rsid w:val="001E6C2D"/>
    <w:rsid w:val="001E6D8E"/>
    <w:rsid w:val="001E6FDA"/>
    <w:rsid w:val="001E6FFF"/>
    <w:rsid w:val="001E714A"/>
    <w:rsid w:val="001E7168"/>
    <w:rsid w:val="001E72B6"/>
    <w:rsid w:val="001E7376"/>
    <w:rsid w:val="001E7396"/>
    <w:rsid w:val="001E7569"/>
    <w:rsid w:val="001E7A23"/>
    <w:rsid w:val="001E7EA5"/>
    <w:rsid w:val="001E7F25"/>
    <w:rsid w:val="001F004C"/>
    <w:rsid w:val="001F0079"/>
    <w:rsid w:val="001F0502"/>
    <w:rsid w:val="001F0766"/>
    <w:rsid w:val="001F0C39"/>
    <w:rsid w:val="001F0EE5"/>
    <w:rsid w:val="001F105C"/>
    <w:rsid w:val="001F1090"/>
    <w:rsid w:val="001F111D"/>
    <w:rsid w:val="001F16FB"/>
    <w:rsid w:val="001F1761"/>
    <w:rsid w:val="001F1844"/>
    <w:rsid w:val="001F1A09"/>
    <w:rsid w:val="001F1A23"/>
    <w:rsid w:val="001F1B40"/>
    <w:rsid w:val="001F1B72"/>
    <w:rsid w:val="001F1BC4"/>
    <w:rsid w:val="001F1C35"/>
    <w:rsid w:val="001F1F1F"/>
    <w:rsid w:val="001F1F6E"/>
    <w:rsid w:val="001F2178"/>
    <w:rsid w:val="001F21C7"/>
    <w:rsid w:val="001F22CC"/>
    <w:rsid w:val="001F25E0"/>
    <w:rsid w:val="001F2655"/>
    <w:rsid w:val="001F2B95"/>
    <w:rsid w:val="001F2BBC"/>
    <w:rsid w:val="001F2DF7"/>
    <w:rsid w:val="001F2F83"/>
    <w:rsid w:val="001F32C8"/>
    <w:rsid w:val="001F3686"/>
    <w:rsid w:val="001F393E"/>
    <w:rsid w:val="001F3B93"/>
    <w:rsid w:val="001F3BE5"/>
    <w:rsid w:val="001F3C5F"/>
    <w:rsid w:val="001F4142"/>
    <w:rsid w:val="001F42D6"/>
    <w:rsid w:val="001F458A"/>
    <w:rsid w:val="001F4B1F"/>
    <w:rsid w:val="001F4F5A"/>
    <w:rsid w:val="001F534B"/>
    <w:rsid w:val="001F55FE"/>
    <w:rsid w:val="001F57A9"/>
    <w:rsid w:val="001F5D8D"/>
    <w:rsid w:val="001F61FE"/>
    <w:rsid w:val="001F646F"/>
    <w:rsid w:val="001F66DE"/>
    <w:rsid w:val="001F68BC"/>
    <w:rsid w:val="001F6C87"/>
    <w:rsid w:val="001F6EC5"/>
    <w:rsid w:val="001F705D"/>
    <w:rsid w:val="001F7246"/>
    <w:rsid w:val="001F7282"/>
    <w:rsid w:val="001F752B"/>
    <w:rsid w:val="001F7971"/>
    <w:rsid w:val="001F7A44"/>
    <w:rsid w:val="001F7ACA"/>
    <w:rsid w:val="001F7D00"/>
    <w:rsid w:val="002001DB"/>
    <w:rsid w:val="00200366"/>
    <w:rsid w:val="0020066A"/>
    <w:rsid w:val="00200807"/>
    <w:rsid w:val="00200A6B"/>
    <w:rsid w:val="00200BDE"/>
    <w:rsid w:val="00200CAC"/>
    <w:rsid w:val="00200D92"/>
    <w:rsid w:val="002014CC"/>
    <w:rsid w:val="002014E7"/>
    <w:rsid w:val="00201B9C"/>
    <w:rsid w:val="00202046"/>
    <w:rsid w:val="002020B5"/>
    <w:rsid w:val="00202576"/>
    <w:rsid w:val="0020258A"/>
    <w:rsid w:val="00202699"/>
    <w:rsid w:val="002026F2"/>
    <w:rsid w:val="00202966"/>
    <w:rsid w:val="00202A9E"/>
    <w:rsid w:val="00202AA8"/>
    <w:rsid w:val="00202D40"/>
    <w:rsid w:val="00202D81"/>
    <w:rsid w:val="00202DC0"/>
    <w:rsid w:val="00202E80"/>
    <w:rsid w:val="00202EB6"/>
    <w:rsid w:val="00202FCA"/>
    <w:rsid w:val="002034E4"/>
    <w:rsid w:val="0020363F"/>
    <w:rsid w:val="00203718"/>
    <w:rsid w:val="00203740"/>
    <w:rsid w:val="00203A6C"/>
    <w:rsid w:val="00203B02"/>
    <w:rsid w:val="00203B39"/>
    <w:rsid w:val="00203BF5"/>
    <w:rsid w:val="00203F82"/>
    <w:rsid w:val="00204026"/>
    <w:rsid w:val="0020403D"/>
    <w:rsid w:val="002047A8"/>
    <w:rsid w:val="002048BC"/>
    <w:rsid w:val="002049B7"/>
    <w:rsid w:val="00204D51"/>
    <w:rsid w:val="00204D94"/>
    <w:rsid w:val="00204E90"/>
    <w:rsid w:val="002051EE"/>
    <w:rsid w:val="0020543D"/>
    <w:rsid w:val="00205483"/>
    <w:rsid w:val="00205507"/>
    <w:rsid w:val="00205642"/>
    <w:rsid w:val="00205644"/>
    <w:rsid w:val="00205A9F"/>
    <w:rsid w:val="00205B0E"/>
    <w:rsid w:val="00205B1F"/>
    <w:rsid w:val="00205FEA"/>
    <w:rsid w:val="002061B1"/>
    <w:rsid w:val="002061CA"/>
    <w:rsid w:val="002062A3"/>
    <w:rsid w:val="00206355"/>
    <w:rsid w:val="002064CE"/>
    <w:rsid w:val="0020689C"/>
    <w:rsid w:val="002068A7"/>
    <w:rsid w:val="0020691F"/>
    <w:rsid w:val="00206929"/>
    <w:rsid w:val="002069BC"/>
    <w:rsid w:val="00206A80"/>
    <w:rsid w:val="00206E13"/>
    <w:rsid w:val="00206F21"/>
    <w:rsid w:val="00206F7F"/>
    <w:rsid w:val="0020718C"/>
    <w:rsid w:val="00207205"/>
    <w:rsid w:val="00207223"/>
    <w:rsid w:val="002073D6"/>
    <w:rsid w:val="00207408"/>
    <w:rsid w:val="00207526"/>
    <w:rsid w:val="0020762E"/>
    <w:rsid w:val="0020765F"/>
    <w:rsid w:val="00207E4E"/>
    <w:rsid w:val="0021000D"/>
    <w:rsid w:val="0021027D"/>
    <w:rsid w:val="0021033E"/>
    <w:rsid w:val="002103E1"/>
    <w:rsid w:val="00210679"/>
    <w:rsid w:val="00210901"/>
    <w:rsid w:val="00210954"/>
    <w:rsid w:val="00210D6E"/>
    <w:rsid w:val="00210D9C"/>
    <w:rsid w:val="00210DCC"/>
    <w:rsid w:val="00210DCD"/>
    <w:rsid w:val="002112E6"/>
    <w:rsid w:val="00211533"/>
    <w:rsid w:val="00211557"/>
    <w:rsid w:val="0021198D"/>
    <w:rsid w:val="002119BF"/>
    <w:rsid w:val="00211C52"/>
    <w:rsid w:val="00211D3D"/>
    <w:rsid w:val="002121CB"/>
    <w:rsid w:val="0021225B"/>
    <w:rsid w:val="002126B2"/>
    <w:rsid w:val="00212948"/>
    <w:rsid w:val="00212BFF"/>
    <w:rsid w:val="002134A1"/>
    <w:rsid w:val="00213733"/>
    <w:rsid w:val="00213A9B"/>
    <w:rsid w:val="00213B8B"/>
    <w:rsid w:val="00213E70"/>
    <w:rsid w:val="00213E74"/>
    <w:rsid w:val="00214036"/>
    <w:rsid w:val="002145B9"/>
    <w:rsid w:val="00214A55"/>
    <w:rsid w:val="00214AFB"/>
    <w:rsid w:val="00214B01"/>
    <w:rsid w:val="00214BD4"/>
    <w:rsid w:val="00214D42"/>
    <w:rsid w:val="00214FFF"/>
    <w:rsid w:val="0021501A"/>
    <w:rsid w:val="00215084"/>
    <w:rsid w:val="00215101"/>
    <w:rsid w:val="002151CB"/>
    <w:rsid w:val="002152B7"/>
    <w:rsid w:val="00215468"/>
    <w:rsid w:val="00215AAF"/>
    <w:rsid w:val="002160BB"/>
    <w:rsid w:val="00216238"/>
    <w:rsid w:val="002163C8"/>
    <w:rsid w:val="002165D3"/>
    <w:rsid w:val="00216771"/>
    <w:rsid w:val="0021687C"/>
    <w:rsid w:val="0021697C"/>
    <w:rsid w:val="00216AAA"/>
    <w:rsid w:val="00216B10"/>
    <w:rsid w:val="00216C39"/>
    <w:rsid w:val="00217298"/>
    <w:rsid w:val="00217423"/>
    <w:rsid w:val="00217839"/>
    <w:rsid w:val="002178E8"/>
    <w:rsid w:val="00217AA9"/>
    <w:rsid w:val="00217BBD"/>
    <w:rsid w:val="00220058"/>
    <w:rsid w:val="0022067E"/>
    <w:rsid w:val="002208DA"/>
    <w:rsid w:val="00220EEF"/>
    <w:rsid w:val="00221077"/>
    <w:rsid w:val="00221197"/>
    <w:rsid w:val="0022125C"/>
    <w:rsid w:val="002218BC"/>
    <w:rsid w:val="0022195B"/>
    <w:rsid w:val="00221AA3"/>
    <w:rsid w:val="00221B1E"/>
    <w:rsid w:val="00221B3B"/>
    <w:rsid w:val="00222037"/>
    <w:rsid w:val="0022216C"/>
    <w:rsid w:val="0022224C"/>
    <w:rsid w:val="002222A7"/>
    <w:rsid w:val="00222392"/>
    <w:rsid w:val="002223C1"/>
    <w:rsid w:val="002224C1"/>
    <w:rsid w:val="0022270A"/>
    <w:rsid w:val="00222AE1"/>
    <w:rsid w:val="00222D4A"/>
    <w:rsid w:val="00222F6D"/>
    <w:rsid w:val="0022389B"/>
    <w:rsid w:val="002238A7"/>
    <w:rsid w:val="00223F94"/>
    <w:rsid w:val="002240C5"/>
    <w:rsid w:val="002241BA"/>
    <w:rsid w:val="002243B4"/>
    <w:rsid w:val="002244A6"/>
    <w:rsid w:val="00224538"/>
    <w:rsid w:val="0022463E"/>
    <w:rsid w:val="00224C7C"/>
    <w:rsid w:val="0022533F"/>
    <w:rsid w:val="002256E4"/>
    <w:rsid w:val="0022583B"/>
    <w:rsid w:val="00225A3B"/>
    <w:rsid w:val="00225A8C"/>
    <w:rsid w:val="00225BD8"/>
    <w:rsid w:val="00225CFE"/>
    <w:rsid w:val="00225D67"/>
    <w:rsid w:val="00225DC8"/>
    <w:rsid w:val="00226081"/>
    <w:rsid w:val="0022623A"/>
    <w:rsid w:val="002263A4"/>
    <w:rsid w:val="002264E2"/>
    <w:rsid w:val="00226AF7"/>
    <w:rsid w:val="00226CF3"/>
    <w:rsid w:val="00226D5C"/>
    <w:rsid w:val="00226E99"/>
    <w:rsid w:val="002276A5"/>
    <w:rsid w:val="002277B0"/>
    <w:rsid w:val="002277CC"/>
    <w:rsid w:val="00227B4A"/>
    <w:rsid w:val="00227CDE"/>
    <w:rsid w:val="00227EAA"/>
    <w:rsid w:val="00227FDC"/>
    <w:rsid w:val="002304E1"/>
    <w:rsid w:val="002305CE"/>
    <w:rsid w:val="002306BC"/>
    <w:rsid w:val="00230817"/>
    <w:rsid w:val="0023081D"/>
    <w:rsid w:val="0023084D"/>
    <w:rsid w:val="00230A9B"/>
    <w:rsid w:val="00230D3E"/>
    <w:rsid w:val="00230DCC"/>
    <w:rsid w:val="00230F31"/>
    <w:rsid w:val="00230FA0"/>
    <w:rsid w:val="00230FE7"/>
    <w:rsid w:val="00231417"/>
    <w:rsid w:val="00231483"/>
    <w:rsid w:val="00231611"/>
    <w:rsid w:val="002317CA"/>
    <w:rsid w:val="00231960"/>
    <w:rsid w:val="00231E84"/>
    <w:rsid w:val="00231F26"/>
    <w:rsid w:val="002324E3"/>
    <w:rsid w:val="002326C4"/>
    <w:rsid w:val="00232917"/>
    <w:rsid w:val="002329E5"/>
    <w:rsid w:val="00232FEC"/>
    <w:rsid w:val="0023329C"/>
    <w:rsid w:val="0023334C"/>
    <w:rsid w:val="00233355"/>
    <w:rsid w:val="00233586"/>
    <w:rsid w:val="00233808"/>
    <w:rsid w:val="00233817"/>
    <w:rsid w:val="00233868"/>
    <w:rsid w:val="00233B9A"/>
    <w:rsid w:val="00233BC0"/>
    <w:rsid w:val="00233D92"/>
    <w:rsid w:val="00233FBB"/>
    <w:rsid w:val="00233FF1"/>
    <w:rsid w:val="002340DD"/>
    <w:rsid w:val="0023414A"/>
    <w:rsid w:val="002342BC"/>
    <w:rsid w:val="00234453"/>
    <w:rsid w:val="0023451A"/>
    <w:rsid w:val="00234558"/>
    <w:rsid w:val="002346D1"/>
    <w:rsid w:val="00234B4F"/>
    <w:rsid w:val="00234D9E"/>
    <w:rsid w:val="0023511A"/>
    <w:rsid w:val="00235332"/>
    <w:rsid w:val="00235380"/>
    <w:rsid w:val="00235388"/>
    <w:rsid w:val="00235412"/>
    <w:rsid w:val="0023585D"/>
    <w:rsid w:val="00235BA3"/>
    <w:rsid w:val="00235D88"/>
    <w:rsid w:val="00235F4B"/>
    <w:rsid w:val="00235F7D"/>
    <w:rsid w:val="00236066"/>
    <w:rsid w:val="002360BE"/>
    <w:rsid w:val="00236198"/>
    <w:rsid w:val="00236244"/>
    <w:rsid w:val="00236508"/>
    <w:rsid w:val="00236656"/>
    <w:rsid w:val="0023669A"/>
    <w:rsid w:val="002367EC"/>
    <w:rsid w:val="00236C6F"/>
    <w:rsid w:val="00236DC0"/>
    <w:rsid w:val="00236F4C"/>
    <w:rsid w:val="00237225"/>
    <w:rsid w:val="002373A2"/>
    <w:rsid w:val="002373DB"/>
    <w:rsid w:val="00237A0A"/>
    <w:rsid w:val="00237EAC"/>
    <w:rsid w:val="00237FB6"/>
    <w:rsid w:val="002402F3"/>
    <w:rsid w:val="00240461"/>
    <w:rsid w:val="002407CC"/>
    <w:rsid w:val="00240864"/>
    <w:rsid w:val="002409E3"/>
    <w:rsid w:val="00240D3E"/>
    <w:rsid w:val="00240DE2"/>
    <w:rsid w:val="00240FA5"/>
    <w:rsid w:val="002410A3"/>
    <w:rsid w:val="002410C2"/>
    <w:rsid w:val="0024113D"/>
    <w:rsid w:val="002411C6"/>
    <w:rsid w:val="00241394"/>
    <w:rsid w:val="00241508"/>
    <w:rsid w:val="0024158C"/>
    <w:rsid w:val="002415CE"/>
    <w:rsid w:val="00241685"/>
    <w:rsid w:val="0024170A"/>
    <w:rsid w:val="00241796"/>
    <w:rsid w:val="002417CB"/>
    <w:rsid w:val="0024198A"/>
    <w:rsid w:val="00241F63"/>
    <w:rsid w:val="00242041"/>
    <w:rsid w:val="0024226B"/>
    <w:rsid w:val="0024232E"/>
    <w:rsid w:val="00242517"/>
    <w:rsid w:val="0024260B"/>
    <w:rsid w:val="002427DD"/>
    <w:rsid w:val="00242BA6"/>
    <w:rsid w:val="00243172"/>
    <w:rsid w:val="00243175"/>
    <w:rsid w:val="00243381"/>
    <w:rsid w:val="00243446"/>
    <w:rsid w:val="00243981"/>
    <w:rsid w:val="002439B0"/>
    <w:rsid w:val="00243BD2"/>
    <w:rsid w:val="00243CE1"/>
    <w:rsid w:val="00243D63"/>
    <w:rsid w:val="0024401F"/>
    <w:rsid w:val="0024462A"/>
    <w:rsid w:val="00244685"/>
    <w:rsid w:val="002447E9"/>
    <w:rsid w:val="002447FC"/>
    <w:rsid w:val="0024493E"/>
    <w:rsid w:val="00244A56"/>
    <w:rsid w:val="00244ABF"/>
    <w:rsid w:val="00244EE7"/>
    <w:rsid w:val="002450AB"/>
    <w:rsid w:val="002450D6"/>
    <w:rsid w:val="002453BE"/>
    <w:rsid w:val="002455C3"/>
    <w:rsid w:val="0024569B"/>
    <w:rsid w:val="00245A3F"/>
    <w:rsid w:val="00245BDC"/>
    <w:rsid w:val="00245C85"/>
    <w:rsid w:val="00245E76"/>
    <w:rsid w:val="00245EDB"/>
    <w:rsid w:val="00245FE1"/>
    <w:rsid w:val="00246231"/>
    <w:rsid w:val="00246442"/>
    <w:rsid w:val="00246686"/>
    <w:rsid w:val="00246967"/>
    <w:rsid w:val="00246A15"/>
    <w:rsid w:val="00246F4C"/>
    <w:rsid w:val="00247177"/>
    <w:rsid w:val="0024736E"/>
    <w:rsid w:val="002475F3"/>
    <w:rsid w:val="00247908"/>
    <w:rsid w:val="0024799C"/>
    <w:rsid w:val="00247B4D"/>
    <w:rsid w:val="00250068"/>
    <w:rsid w:val="00250386"/>
    <w:rsid w:val="0025046B"/>
    <w:rsid w:val="00250A38"/>
    <w:rsid w:val="00250BFD"/>
    <w:rsid w:val="00250C60"/>
    <w:rsid w:val="0025106D"/>
    <w:rsid w:val="002513AE"/>
    <w:rsid w:val="00251AA1"/>
    <w:rsid w:val="00251CAD"/>
    <w:rsid w:val="00251CFF"/>
    <w:rsid w:val="00251DD4"/>
    <w:rsid w:val="00251FB0"/>
    <w:rsid w:val="002521E1"/>
    <w:rsid w:val="00252531"/>
    <w:rsid w:val="002527A2"/>
    <w:rsid w:val="00252B2C"/>
    <w:rsid w:val="00252C27"/>
    <w:rsid w:val="00252DF1"/>
    <w:rsid w:val="00252E63"/>
    <w:rsid w:val="00252EE4"/>
    <w:rsid w:val="0025309F"/>
    <w:rsid w:val="002530F3"/>
    <w:rsid w:val="00253145"/>
    <w:rsid w:val="002535CE"/>
    <w:rsid w:val="00253724"/>
    <w:rsid w:val="0025382E"/>
    <w:rsid w:val="00253A4A"/>
    <w:rsid w:val="00253B25"/>
    <w:rsid w:val="00254114"/>
    <w:rsid w:val="00254247"/>
    <w:rsid w:val="002542B2"/>
    <w:rsid w:val="0025446E"/>
    <w:rsid w:val="0025447C"/>
    <w:rsid w:val="00254632"/>
    <w:rsid w:val="00254681"/>
    <w:rsid w:val="00254686"/>
    <w:rsid w:val="00254B08"/>
    <w:rsid w:val="00254B81"/>
    <w:rsid w:val="00254C96"/>
    <w:rsid w:val="00255399"/>
    <w:rsid w:val="00255643"/>
    <w:rsid w:val="00255873"/>
    <w:rsid w:val="002559B3"/>
    <w:rsid w:val="00255A84"/>
    <w:rsid w:val="00255B5A"/>
    <w:rsid w:val="00255F7F"/>
    <w:rsid w:val="00256777"/>
    <w:rsid w:val="00256795"/>
    <w:rsid w:val="0025684E"/>
    <w:rsid w:val="0025698E"/>
    <w:rsid w:val="00256D98"/>
    <w:rsid w:val="002574AF"/>
    <w:rsid w:val="002575D6"/>
    <w:rsid w:val="00257AAA"/>
    <w:rsid w:val="00257BD0"/>
    <w:rsid w:val="00257C41"/>
    <w:rsid w:val="00260448"/>
    <w:rsid w:val="00260793"/>
    <w:rsid w:val="00260848"/>
    <w:rsid w:val="00260BA6"/>
    <w:rsid w:val="00260C35"/>
    <w:rsid w:val="00260DFF"/>
    <w:rsid w:val="0026114B"/>
    <w:rsid w:val="0026115B"/>
    <w:rsid w:val="0026123A"/>
    <w:rsid w:val="00261391"/>
    <w:rsid w:val="0026169D"/>
    <w:rsid w:val="00261811"/>
    <w:rsid w:val="00261972"/>
    <w:rsid w:val="00261CF1"/>
    <w:rsid w:val="00261DA5"/>
    <w:rsid w:val="0026216E"/>
    <w:rsid w:val="00262800"/>
    <w:rsid w:val="00262869"/>
    <w:rsid w:val="002628F6"/>
    <w:rsid w:val="00262DCF"/>
    <w:rsid w:val="0026306A"/>
    <w:rsid w:val="00263088"/>
    <w:rsid w:val="002632EA"/>
    <w:rsid w:val="002634EA"/>
    <w:rsid w:val="002637BC"/>
    <w:rsid w:val="002637CF"/>
    <w:rsid w:val="00263AF8"/>
    <w:rsid w:val="00263CD1"/>
    <w:rsid w:val="0026439D"/>
    <w:rsid w:val="002645C7"/>
    <w:rsid w:val="002646FE"/>
    <w:rsid w:val="002648EE"/>
    <w:rsid w:val="00264A25"/>
    <w:rsid w:val="00264B3D"/>
    <w:rsid w:val="00264C1F"/>
    <w:rsid w:val="00264FD6"/>
    <w:rsid w:val="00265074"/>
    <w:rsid w:val="002654D3"/>
    <w:rsid w:val="002656C7"/>
    <w:rsid w:val="0026583F"/>
    <w:rsid w:val="00265A30"/>
    <w:rsid w:val="00265AC3"/>
    <w:rsid w:val="00265B89"/>
    <w:rsid w:val="00265BFC"/>
    <w:rsid w:val="00265CF9"/>
    <w:rsid w:val="00265D3C"/>
    <w:rsid w:val="002660B8"/>
    <w:rsid w:val="002661A0"/>
    <w:rsid w:val="0026652C"/>
    <w:rsid w:val="002668A5"/>
    <w:rsid w:val="002669FC"/>
    <w:rsid w:val="00266D29"/>
    <w:rsid w:val="00266D5B"/>
    <w:rsid w:val="00266D5E"/>
    <w:rsid w:val="00266E9A"/>
    <w:rsid w:val="00267000"/>
    <w:rsid w:val="002671A2"/>
    <w:rsid w:val="0026722A"/>
    <w:rsid w:val="00267496"/>
    <w:rsid w:val="00267A28"/>
    <w:rsid w:val="00267A7C"/>
    <w:rsid w:val="00267B57"/>
    <w:rsid w:val="00267C39"/>
    <w:rsid w:val="00267F66"/>
    <w:rsid w:val="0027000A"/>
    <w:rsid w:val="00270169"/>
    <w:rsid w:val="0027018F"/>
    <w:rsid w:val="002702D2"/>
    <w:rsid w:val="00270370"/>
    <w:rsid w:val="0027060D"/>
    <w:rsid w:val="00270809"/>
    <w:rsid w:val="002708A2"/>
    <w:rsid w:val="00270A67"/>
    <w:rsid w:val="00270BD1"/>
    <w:rsid w:val="00270BFD"/>
    <w:rsid w:val="00270CA9"/>
    <w:rsid w:val="00270E19"/>
    <w:rsid w:val="0027122D"/>
    <w:rsid w:val="00271266"/>
    <w:rsid w:val="0027149A"/>
    <w:rsid w:val="002714F8"/>
    <w:rsid w:val="0027170E"/>
    <w:rsid w:val="00271AFF"/>
    <w:rsid w:val="00271B4D"/>
    <w:rsid w:val="002720C0"/>
    <w:rsid w:val="00272164"/>
    <w:rsid w:val="00272499"/>
    <w:rsid w:val="00272623"/>
    <w:rsid w:val="00272960"/>
    <w:rsid w:val="00272A0E"/>
    <w:rsid w:val="00272A65"/>
    <w:rsid w:val="00272DBE"/>
    <w:rsid w:val="0027304A"/>
    <w:rsid w:val="0027304D"/>
    <w:rsid w:val="00273102"/>
    <w:rsid w:val="0027349A"/>
    <w:rsid w:val="00273CB2"/>
    <w:rsid w:val="00273DF7"/>
    <w:rsid w:val="002740E2"/>
    <w:rsid w:val="00274213"/>
    <w:rsid w:val="002742FE"/>
    <w:rsid w:val="00274637"/>
    <w:rsid w:val="00274C4D"/>
    <w:rsid w:val="00274C95"/>
    <w:rsid w:val="00274EFA"/>
    <w:rsid w:val="00275025"/>
    <w:rsid w:val="00275438"/>
    <w:rsid w:val="002757AE"/>
    <w:rsid w:val="0027596A"/>
    <w:rsid w:val="002759C0"/>
    <w:rsid w:val="00275B68"/>
    <w:rsid w:val="00275C43"/>
    <w:rsid w:val="00275D48"/>
    <w:rsid w:val="00275D7A"/>
    <w:rsid w:val="00275F9E"/>
    <w:rsid w:val="0027601A"/>
    <w:rsid w:val="002761BD"/>
    <w:rsid w:val="002762AB"/>
    <w:rsid w:val="00276396"/>
    <w:rsid w:val="0027652E"/>
    <w:rsid w:val="00276826"/>
    <w:rsid w:val="00276884"/>
    <w:rsid w:val="00276EBC"/>
    <w:rsid w:val="00276FA0"/>
    <w:rsid w:val="0027711D"/>
    <w:rsid w:val="002772AF"/>
    <w:rsid w:val="0027780B"/>
    <w:rsid w:val="00277A86"/>
    <w:rsid w:val="00277B54"/>
    <w:rsid w:val="0028035E"/>
    <w:rsid w:val="00280A45"/>
    <w:rsid w:val="00280B67"/>
    <w:rsid w:val="00280B6C"/>
    <w:rsid w:val="00280CBA"/>
    <w:rsid w:val="00280D5B"/>
    <w:rsid w:val="00280EA4"/>
    <w:rsid w:val="00281007"/>
    <w:rsid w:val="002811B7"/>
    <w:rsid w:val="00281364"/>
    <w:rsid w:val="002814DE"/>
    <w:rsid w:val="00281819"/>
    <w:rsid w:val="00281833"/>
    <w:rsid w:val="00281DA0"/>
    <w:rsid w:val="002822C7"/>
    <w:rsid w:val="00282372"/>
    <w:rsid w:val="002824D6"/>
    <w:rsid w:val="00282516"/>
    <w:rsid w:val="002826BC"/>
    <w:rsid w:val="002827F9"/>
    <w:rsid w:val="002829D7"/>
    <w:rsid w:val="00282BAE"/>
    <w:rsid w:val="00282D05"/>
    <w:rsid w:val="00282D14"/>
    <w:rsid w:val="00282DAC"/>
    <w:rsid w:val="00282EBD"/>
    <w:rsid w:val="00282EE5"/>
    <w:rsid w:val="002834C9"/>
    <w:rsid w:val="002835A6"/>
    <w:rsid w:val="002837C2"/>
    <w:rsid w:val="002838D0"/>
    <w:rsid w:val="0028399A"/>
    <w:rsid w:val="002839FB"/>
    <w:rsid w:val="00283AC1"/>
    <w:rsid w:val="00283BB4"/>
    <w:rsid w:val="00283D4E"/>
    <w:rsid w:val="00283E32"/>
    <w:rsid w:val="00283EC1"/>
    <w:rsid w:val="00284036"/>
    <w:rsid w:val="00284162"/>
    <w:rsid w:val="002844AC"/>
    <w:rsid w:val="002845EA"/>
    <w:rsid w:val="002848C8"/>
    <w:rsid w:val="00284B22"/>
    <w:rsid w:val="00284C08"/>
    <w:rsid w:val="00285073"/>
    <w:rsid w:val="00285096"/>
    <w:rsid w:val="002851E5"/>
    <w:rsid w:val="0028523A"/>
    <w:rsid w:val="00285309"/>
    <w:rsid w:val="002853D3"/>
    <w:rsid w:val="002854C3"/>
    <w:rsid w:val="0028551B"/>
    <w:rsid w:val="00285763"/>
    <w:rsid w:val="00285A8C"/>
    <w:rsid w:val="00285DF6"/>
    <w:rsid w:val="00285EDE"/>
    <w:rsid w:val="00285F3D"/>
    <w:rsid w:val="00286154"/>
    <w:rsid w:val="0028670B"/>
    <w:rsid w:val="0028675F"/>
    <w:rsid w:val="00286894"/>
    <w:rsid w:val="00286B1C"/>
    <w:rsid w:val="00286B56"/>
    <w:rsid w:val="00286C77"/>
    <w:rsid w:val="00286D0C"/>
    <w:rsid w:val="00286DCB"/>
    <w:rsid w:val="00286E8D"/>
    <w:rsid w:val="00286EBE"/>
    <w:rsid w:val="00286FB0"/>
    <w:rsid w:val="00287140"/>
    <w:rsid w:val="0028718B"/>
    <w:rsid w:val="002873B0"/>
    <w:rsid w:val="002873E6"/>
    <w:rsid w:val="002874D2"/>
    <w:rsid w:val="00287699"/>
    <w:rsid w:val="0028783E"/>
    <w:rsid w:val="00287B41"/>
    <w:rsid w:val="00287D52"/>
    <w:rsid w:val="00287DB6"/>
    <w:rsid w:val="00287EA7"/>
    <w:rsid w:val="0029008E"/>
    <w:rsid w:val="0029018E"/>
    <w:rsid w:val="002901FB"/>
    <w:rsid w:val="00290279"/>
    <w:rsid w:val="00290588"/>
    <w:rsid w:val="002907BC"/>
    <w:rsid w:val="00290B41"/>
    <w:rsid w:val="00290F5C"/>
    <w:rsid w:val="00290F8B"/>
    <w:rsid w:val="002919DB"/>
    <w:rsid w:val="00291D18"/>
    <w:rsid w:val="00291D99"/>
    <w:rsid w:val="00291E77"/>
    <w:rsid w:val="00291E90"/>
    <w:rsid w:val="00291F39"/>
    <w:rsid w:val="00292025"/>
    <w:rsid w:val="002920C7"/>
    <w:rsid w:val="00292228"/>
    <w:rsid w:val="00292736"/>
    <w:rsid w:val="002929D8"/>
    <w:rsid w:val="00292B9F"/>
    <w:rsid w:val="00292CD2"/>
    <w:rsid w:val="00292DEF"/>
    <w:rsid w:val="00292F04"/>
    <w:rsid w:val="00293109"/>
    <w:rsid w:val="00293456"/>
    <w:rsid w:val="002935C0"/>
    <w:rsid w:val="00293718"/>
    <w:rsid w:val="002937B4"/>
    <w:rsid w:val="00293C63"/>
    <w:rsid w:val="00293F3D"/>
    <w:rsid w:val="00294102"/>
    <w:rsid w:val="002942C8"/>
    <w:rsid w:val="00294303"/>
    <w:rsid w:val="0029444D"/>
    <w:rsid w:val="00294452"/>
    <w:rsid w:val="002945A8"/>
    <w:rsid w:val="00294607"/>
    <w:rsid w:val="00294839"/>
    <w:rsid w:val="002948F5"/>
    <w:rsid w:val="00294A58"/>
    <w:rsid w:val="00294B49"/>
    <w:rsid w:val="00294D02"/>
    <w:rsid w:val="00294D2F"/>
    <w:rsid w:val="00294EE4"/>
    <w:rsid w:val="00294F86"/>
    <w:rsid w:val="002951A5"/>
    <w:rsid w:val="00295274"/>
    <w:rsid w:val="002958DE"/>
    <w:rsid w:val="00295B70"/>
    <w:rsid w:val="00295EEF"/>
    <w:rsid w:val="00296336"/>
    <w:rsid w:val="002963DD"/>
    <w:rsid w:val="0029648D"/>
    <w:rsid w:val="002969CD"/>
    <w:rsid w:val="00296F47"/>
    <w:rsid w:val="00297289"/>
    <w:rsid w:val="0029742D"/>
    <w:rsid w:val="00297514"/>
    <w:rsid w:val="0029792E"/>
    <w:rsid w:val="0029799C"/>
    <w:rsid w:val="00297ECD"/>
    <w:rsid w:val="002A04E2"/>
    <w:rsid w:val="002A06E7"/>
    <w:rsid w:val="002A07BA"/>
    <w:rsid w:val="002A0E02"/>
    <w:rsid w:val="002A0E79"/>
    <w:rsid w:val="002A0E94"/>
    <w:rsid w:val="002A1066"/>
    <w:rsid w:val="002A1263"/>
    <w:rsid w:val="002A1742"/>
    <w:rsid w:val="002A18FE"/>
    <w:rsid w:val="002A19F7"/>
    <w:rsid w:val="002A1DA4"/>
    <w:rsid w:val="002A1FB9"/>
    <w:rsid w:val="002A2364"/>
    <w:rsid w:val="002A283D"/>
    <w:rsid w:val="002A2A08"/>
    <w:rsid w:val="002A2B37"/>
    <w:rsid w:val="002A2BC4"/>
    <w:rsid w:val="002A2D62"/>
    <w:rsid w:val="002A2D93"/>
    <w:rsid w:val="002A31FA"/>
    <w:rsid w:val="002A3217"/>
    <w:rsid w:val="002A32BE"/>
    <w:rsid w:val="002A339E"/>
    <w:rsid w:val="002A33FC"/>
    <w:rsid w:val="002A3418"/>
    <w:rsid w:val="002A343B"/>
    <w:rsid w:val="002A35A5"/>
    <w:rsid w:val="002A366C"/>
    <w:rsid w:val="002A3B42"/>
    <w:rsid w:val="002A3FF6"/>
    <w:rsid w:val="002A4113"/>
    <w:rsid w:val="002A4266"/>
    <w:rsid w:val="002A449A"/>
    <w:rsid w:val="002A44A0"/>
    <w:rsid w:val="002A45B1"/>
    <w:rsid w:val="002A46C8"/>
    <w:rsid w:val="002A46F4"/>
    <w:rsid w:val="002A47DF"/>
    <w:rsid w:val="002A48B0"/>
    <w:rsid w:val="002A496E"/>
    <w:rsid w:val="002A4E42"/>
    <w:rsid w:val="002A4FB9"/>
    <w:rsid w:val="002A5379"/>
    <w:rsid w:val="002A556F"/>
    <w:rsid w:val="002A598E"/>
    <w:rsid w:val="002A59BE"/>
    <w:rsid w:val="002A5C29"/>
    <w:rsid w:val="002A5D61"/>
    <w:rsid w:val="002A5F49"/>
    <w:rsid w:val="002A61A5"/>
    <w:rsid w:val="002A61B1"/>
    <w:rsid w:val="002A648D"/>
    <w:rsid w:val="002A64C9"/>
    <w:rsid w:val="002A6700"/>
    <w:rsid w:val="002A6958"/>
    <w:rsid w:val="002A7199"/>
    <w:rsid w:val="002A773C"/>
    <w:rsid w:val="002A77C3"/>
    <w:rsid w:val="002A78DB"/>
    <w:rsid w:val="002A79D9"/>
    <w:rsid w:val="002A7BAF"/>
    <w:rsid w:val="002A7BBD"/>
    <w:rsid w:val="002A7D28"/>
    <w:rsid w:val="002A7D2F"/>
    <w:rsid w:val="002B0053"/>
    <w:rsid w:val="002B0064"/>
    <w:rsid w:val="002B0125"/>
    <w:rsid w:val="002B0249"/>
    <w:rsid w:val="002B05A8"/>
    <w:rsid w:val="002B0B4C"/>
    <w:rsid w:val="002B0D6E"/>
    <w:rsid w:val="002B0E34"/>
    <w:rsid w:val="002B0E9D"/>
    <w:rsid w:val="002B1024"/>
    <w:rsid w:val="002B10B0"/>
    <w:rsid w:val="002B1225"/>
    <w:rsid w:val="002B1383"/>
    <w:rsid w:val="002B1437"/>
    <w:rsid w:val="002B14DB"/>
    <w:rsid w:val="002B169C"/>
    <w:rsid w:val="002B1810"/>
    <w:rsid w:val="002B1838"/>
    <w:rsid w:val="002B1918"/>
    <w:rsid w:val="002B1F89"/>
    <w:rsid w:val="002B21BB"/>
    <w:rsid w:val="002B22F5"/>
    <w:rsid w:val="002B2567"/>
    <w:rsid w:val="002B274C"/>
    <w:rsid w:val="002B2868"/>
    <w:rsid w:val="002B28B1"/>
    <w:rsid w:val="002B2E9F"/>
    <w:rsid w:val="002B2F77"/>
    <w:rsid w:val="002B311D"/>
    <w:rsid w:val="002B3529"/>
    <w:rsid w:val="002B3596"/>
    <w:rsid w:val="002B36F1"/>
    <w:rsid w:val="002B3769"/>
    <w:rsid w:val="002B37D3"/>
    <w:rsid w:val="002B42E1"/>
    <w:rsid w:val="002B43B3"/>
    <w:rsid w:val="002B471B"/>
    <w:rsid w:val="002B4CB9"/>
    <w:rsid w:val="002B4E2B"/>
    <w:rsid w:val="002B4FAD"/>
    <w:rsid w:val="002B538D"/>
    <w:rsid w:val="002B5404"/>
    <w:rsid w:val="002B5B61"/>
    <w:rsid w:val="002B5CA1"/>
    <w:rsid w:val="002B5D76"/>
    <w:rsid w:val="002B5EEB"/>
    <w:rsid w:val="002B6031"/>
    <w:rsid w:val="002B62A6"/>
    <w:rsid w:val="002B6699"/>
    <w:rsid w:val="002B6716"/>
    <w:rsid w:val="002B68B0"/>
    <w:rsid w:val="002B6D2E"/>
    <w:rsid w:val="002B6DCB"/>
    <w:rsid w:val="002B6EFD"/>
    <w:rsid w:val="002B6F33"/>
    <w:rsid w:val="002B73BE"/>
    <w:rsid w:val="002B79F0"/>
    <w:rsid w:val="002B7B8A"/>
    <w:rsid w:val="002B7C96"/>
    <w:rsid w:val="002B7DDC"/>
    <w:rsid w:val="002B7F3E"/>
    <w:rsid w:val="002C00F5"/>
    <w:rsid w:val="002C0166"/>
    <w:rsid w:val="002C04E9"/>
    <w:rsid w:val="002C0526"/>
    <w:rsid w:val="002C0590"/>
    <w:rsid w:val="002C059A"/>
    <w:rsid w:val="002C05D9"/>
    <w:rsid w:val="002C06B5"/>
    <w:rsid w:val="002C06BE"/>
    <w:rsid w:val="002C0763"/>
    <w:rsid w:val="002C07BD"/>
    <w:rsid w:val="002C0A9F"/>
    <w:rsid w:val="002C0CCC"/>
    <w:rsid w:val="002C0CD7"/>
    <w:rsid w:val="002C0D7B"/>
    <w:rsid w:val="002C0D99"/>
    <w:rsid w:val="002C0EAC"/>
    <w:rsid w:val="002C11BC"/>
    <w:rsid w:val="002C11D6"/>
    <w:rsid w:val="002C143E"/>
    <w:rsid w:val="002C1443"/>
    <w:rsid w:val="002C19E4"/>
    <w:rsid w:val="002C1B29"/>
    <w:rsid w:val="002C1CBF"/>
    <w:rsid w:val="002C1D9C"/>
    <w:rsid w:val="002C1EFA"/>
    <w:rsid w:val="002C22C5"/>
    <w:rsid w:val="002C2806"/>
    <w:rsid w:val="002C284D"/>
    <w:rsid w:val="002C28AD"/>
    <w:rsid w:val="002C2BD3"/>
    <w:rsid w:val="002C2BEB"/>
    <w:rsid w:val="002C2DF8"/>
    <w:rsid w:val="002C2F55"/>
    <w:rsid w:val="002C2F83"/>
    <w:rsid w:val="002C30A4"/>
    <w:rsid w:val="002C3118"/>
    <w:rsid w:val="002C31F3"/>
    <w:rsid w:val="002C34B2"/>
    <w:rsid w:val="002C366F"/>
    <w:rsid w:val="002C377C"/>
    <w:rsid w:val="002C37DE"/>
    <w:rsid w:val="002C3894"/>
    <w:rsid w:val="002C3D9B"/>
    <w:rsid w:val="002C3E6A"/>
    <w:rsid w:val="002C3F9F"/>
    <w:rsid w:val="002C40EF"/>
    <w:rsid w:val="002C41F3"/>
    <w:rsid w:val="002C4314"/>
    <w:rsid w:val="002C4442"/>
    <w:rsid w:val="002C47FA"/>
    <w:rsid w:val="002C488D"/>
    <w:rsid w:val="002C4A7F"/>
    <w:rsid w:val="002C4A81"/>
    <w:rsid w:val="002C4B78"/>
    <w:rsid w:val="002C4B93"/>
    <w:rsid w:val="002C4CA9"/>
    <w:rsid w:val="002C4CB2"/>
    <w:rsid w:val="002C5255"/>
    <w:rsid w:val="002C538B"/>
    <w:rsid w:val="002C5453"/>
    <w:rsid w:val="002C57BD"/>
    <w:rsid w:val="002C5977"/>
    <w:rsid w:val="002C5A5C"/>
    <w:rsid w:val="002C5B05"/>
    <w:rsid w:val="002C5BFE"/>
    <w:rsid w:val="002C5DB0"/>
    <w:rsid w:val="002C64F8"/>
    <w:rsid w:val="002C6686"/>
    <w:rsid w:val="002C66B6"/>
    <w:rsid w:val="002C68E5"/>
    <w:rsid w:val="002C6936"/>
    <w:rsid w:val="002C6DDE"/>
    <w:rsid w:val="002C6FA4"/>
    <w:rsid w:val="002C7016"/>
    <w:rsid w:val="002C70A3"/>
    <w:rsid w:val="002C71D9"/>
    <w:rsid w:val="002C7301"/>
    <w:rsid w:val="002C75E6"/>
    <w:rsid w:val="002C77DA"/>
    <w:rsid w:val="002C7AA1"/>
    <w:rsid w:val="002C7C0A"/>
    <w:rsid w:val="002C7C9C"/>
    <w:rsid w:val="002C7FF4"/>
    <w:rsid w:val="002D006A"/>
    <w:rsid w:val="002D04C5"/>
    <w:rsid w:val="002D059D"/>
    <w:rsid w:val="002D0632"/>
    <w:rsid w:val="002D0727"/>
    <w:rsid w:val="002D0955"/>
    <w:rsid w:val="002D0962"/>
    <w:rsid w:val="002D0EA9"/>
    <w:rsid w:val="002D100C"/>
    <w:rsid w:val="002D13FF"/>
    <w:rsid w:val="002D1606"/>
    <w:rsid w:val="002D1B36"/>
    <w:rsid w:val="002D1B96"/>
    <w:rsid w:val="002D201E"/>
    <w:rsid w:val="002D202A"/>
    <w:rsid w:val="002D2270"/>
    <w:rsid w:val="002D2445"/>
    <w:rsid w:val="002D2C51"/>
    <w:rsid w:val="002D2D16"/>
    <w:rsid w:val="002D2E4C"/>
    <w:rsid w:val="002D2EC4"/>
    <w:rsid w:val="002D30EB"/>
    <w:rsid w:val="002D319A"/>
    <w:rsid w:val="002D32AF"/>
    <w:rsid w:val="002D3306"/>
    <w:rsid w:val="002D3568"/>
    <w:rsid w:val="002D37C1"/>
    <w:rsid w:val="002D3B75"/>
    <w:rsid w:val="002D3E11"/>
    <w:rsid w:val="002D3ED5"/>
    <w:rsid w:val="002D4074"/>
    <w:rsid w:val="002D41E9"/>
    <w:rsid w:val="002D42F1"/>
    <w:rsid w:val="002D4487"/>
    <w:rsid w:val="002D4830"/>
    <w:rsid w:val="002D4960"/>
    <w:rsid w:val="002D4A0A"/>
    <w:rsid w:val="002D4A43"/>
    <w:rsid w:val="002D4A72"/>
    <w:rsid w:val="002D4F54"/>
    <w:rsid w:val="002D5041"/>
    <w:rsid w:val="002D5098"/>
    <w:rsid w:val="002D51DD"/>
    <w:rsid w:val="002D5243"/>
    <w:rsid w:val="002D52BF"/>
    <w:rsid w:val="002D573A"/>
    <w:rsid w:val="002D606A"/>
    <w:rsid w:val="002D607F"/>
    <w:rsid w:val="002D60C9"/>
    <w:rsid w:val="002D63A6"/>
    <w:rsid w:val="002D65B4"/>
    <w:rsid w:val="002D671E"/>
    <w:rsid w:val="002D68CE"/>
    <w:rsid w:val="002D6B00"/>
    <w:rsid w:val="002D6CE6"/>
    <w:rsid w:val="002D6D06"/>
    <w:rsid w:val="002D73EF"/>
    <w:rsid w:val="002D753A"/>
    <w:rsid w:val="002E0315"/>
    <w:rsid w:val="002E0403"/>
    <w:rsid w:val="002E0481"/>
    <w:rsid w:val="002E0903"/>
    <w:rsid w:val="002E0A69"/>
    <w:rsid w:val="002E0B19"/>
    <w:rsid w:val="002E0C71"/>
    <w:rsid w:val="002E0D26"/>
    <w:rsid w:val="002E0D8B"/>
    <w:rsid w:val="002E1086"/>
    <w:rsid w:val="002E10FA"/>
    <w:rsid w:val="002E11DE"/>
    <w:rsid w:val="002E138C"/>
    <w:rsid w:val="002E1535"/>
    <w:rsid w:val="002E1A12"/>
    <w:rsid w:val="002E1F86"/>
    <w:rsid w:val="002E21D1"/>
    <w:rsid w:val="002E229D"/>
    <w:rsid w:val="002E2440"/>
    <w:rsid w:val="002E2500"/>
    <w:rsid w:val="002E2569"/>
    <w:rsid w:val="002E25A8"/>
    <w:rsid w:val="002E2794"/>
    <w:rsid w:val="002E279A"/>
    <w:rsid w:val="002E2BE7"/>
    <w:rsid w:val="002E323E"/>
    <w:rsid w:val="002E34CF"/>
    <w:rsid w:val="002E3832"/>
    <w:rsid w:val="002E399E"/>
    <w:rsid w:val="002E3AB7"/>
    <w:rsid w:val="002E3B08"/>
    <w:rsid w:val="002E3CE5"/>
    <w:rsid w:val="002E3E24"/>
    <w:rsid w:val="002E4118"/>
    <w:rsid w:val="002E41B7"/>
    <w:rsid w:val="002E41E6"/>
    <w:rsid w:val="002E41F3"/>
    <w:rsid w:val="002E43AE"/>
    <w:rsid w:val="002E4505"/>
    <w:rsid w:val="002E4516"/>
    <w:rsid w:val="002E4519"/>
    <w:rsid w:val="002E4995"/>
    <w:rsid w:val="002E4B6A"/>
    <w:rsid w:val="002E4D00"/>
    <w:rsid w:val="002E4E10"/>
    <w:rsid w:val="002E4ED8"/>
    <w:rsid w:val="002E5038"/>
    <w:rsid w:val="002E533C"/>
    <w:rsid w:val="002E5548"/>
    <w:rsid w:val="002E557C"/>
    <w:rsid w:val="002E5758"/>
    <w:rsid w:val="002E5A6A"/>
    <w:rsid w:val="002E5BB9"/>
    <w:rsid w:val="002E5BCC"/>
    <w:rsid w:val="002E5E89"/>
    <w:rsid w:val="002E5EA1"/>
    <w:rsid w:val="002E6086"/>
    <w:rsid w:val="002E6089"/>
    <w:rsid w:val="002E6116"/>
    <w:rsid w:val="002E665A"/>
    <w:rsid w:val="002E67E6"/>
    <w:rsid w:val="002E699F"/>
    <w:rsid w:val="002E69B3"/>
    <w:rsid w:val="002E6AFF"/>
    <w:rsid w:val="002E6DBB"/>
    <w:rsid w:val="002E6E7C"/>
    <w:rsid w:val="002E6F72"/>
    <w:rsid w:val="002E7B0D"/>
    <w:rsid w:val="002F028D"/>
    <w:rsid w:val="002F036E"/>
    <w:rsid w:val="002F0468"/>
    <w:rsid w:val="002F04DE"/>
    <w:rsid w:val="002F0686"/>
    <w:rsid w:val="002F089E"/>
    <w:rsid w:val="002F0A2B"/>
    <w:rsid w:val="002F0B9F"/>
    <w:rsid w:val="002F0D1B"/>
    <w:rsid w:val="002F0DD9"/>
    <w:rsid w:val="002F0F46"/>
    <w:rsid w:val="002F10E4"/>
    <w:rsid w:val="002F121E"/>
    <w:rsid w:val="002F14D0"/>
    <w:rsid w:val="002F1524"/>
    <w:rsid w:val="002F17D5"/>
    <w:rsid w:val="002F190D"/>
    <w:rsid w:val="002F196B"/>
    <w:rsid w:val="002F1A3E"/>
    <w:rsid w:val="002F1CD3"/>
    <w:rsid w:val="002F1CEE"/>
    <w:rsid w:val="002F1D51"/>
    <w:rsid w:val="002F1D68"/>
    <w:rsid w:val="002F1E10"/>
    <w:rsid w:val="002F1E43"/>
    <w:rsid w:val="002F1EA4"/>
    <w:rsid w:val="002F21CF"/>
    <w:rsid w:val="002F24B0"/>
    <w:rsid w:val="002F26E1"/>
    <w:rsid w:val="002F2794"/>
    <w:rsid w:val="002F279C"/>
    <w:rsid w:val="002F283F"/>
    <w:rsid w:val="002F2A34"/>
    <w:rsid w:val="002F2BB2"/>
    <w:rsid w:val="002F364B"/>
    <w:rsid w:val="002F39FB"/>
    <w:rsid w:val="002F3A93"/>
    <w:rsid w:val="002F3AFA"/>
    <w:rsid w:val="002F3D2B"/>
    <w:rsid w:val="002F4355"/>
    <w:rsid w:val="002F43B4"/>
    <w:rsid w:val="002F4444"/>
    <w:rsid w:val="002F4494"/>
    <w:rsid w:val="002F45F4"/>
    <w:rsid w:val="002F4702"/>
    <w:rsid w:val="002F4777"/>
    <w:rsid w:val="002F4A7F"/>
    <w:rsid w:val="002F4B42"/>
    <w:rsid w:val="002F4BEA"/>
    <w:rsid w:val="002F4E29"/>
    <w:rsid w:val="002F54B6"/>
    <w:rsid w:val="002F5629"/>
    <w:rsid w:val="002F5674"/>
    <w:rsid w:val="002F56C2"/>
    <w:rsid w:val="002F5848"/>
    <w:rsid w:val="002F58FE"/>
    <w:rsid w:val="002F59F8"/>
    <w:rsid w:val="002F5D6E"/>
    <w:rsid w:val="002F5EB0"/>
    <w:rsid w:val="002F5ED2"/>
    <w:rsid w:val="002F6253"/>
    <w:rsid w:val="002F6383"/>
    <w:rsid w:val="002F65E5"/>
    <w:rsid w:val="002F6A6F"/>
    <w:rsid w:val="002F6AA1"/>
    <w:rsid w:val="002F6B24"/>
    <w:rsid w:val="002F6E28"/>
    <w:rsid w:val="002F6FEA"/>
    <w:rsid w:val="002F70BA"/>
    <w:rsid w:val="002F7244"/>
    <w:rsid w:val="002F725F"/>
    <w:rsid w:val="002F7602"/>
    <w:rsid w:val="002F7A88"/>
    <w:rsid w:val="002F7A99"/>
    <w:rsid w:val="002F7C08"/>
    <w:rsid w:val="002F7E68"/>
    <w:rsid w:val="002F7E6C"/>
    <w:rsid w:val="002F7F86"/>
    <w:rsid w:val="00300471"/>
    <w:rsid w:val="0030049C"/>
    <w:rsid w:val="00300534"/>
    <w:rsid w:val="00300560"/>
    <w:rsid w:val="003007DE"/>
    <w:rsid w:val="00300A82"/>
    <w:rsid w:val="00300A84"/>
    <w:rsid w:val="00300C9E"/>
    <w:rsid w:val="00300D87"/>
    <w:rsid w:val="00300E39"/>
    <w:rsid w:val="00300F95"/>
    <w:rsid w:val="0030101C"/>
    <w:rsid w:val="0030107F"/>
    <w:rsid w:val="003011A6"/>
    <w:rsid w:val="003013EF"/>
    <w:rsid w:val="00301F88"/>
    <w:rsid w:val="00301FBE"/>
    <w:rsid w:val="00302128"/>
    <w:rsid w:val="00302306"/>
    <w:rsid w:val="0030236A"/>
    <w:rsid w:val="003023C2"/>
    <w:rsid w:val="003024C9"/>
    <w:rsid w:val="003024FE"/>
    <w:rsid w:val="0030294D"/>
    <w:rsid w:val="0030294F"/>
    <w:rsid w:val="00302C34"/>
    <w:rsid w:val="00302E5E"/>
    <w:rsid w:val="00302EA1"/>
    <w:rsid w:val="00303222"/>
    <w:rsid w:val="00303249"/>
    <w:rsid w:val="003032F0"/>
    <w:rsid w:val="0030346F"/>
    <w:rsid w:val="00303545"/>
    <w:rsid w:val="003038DB"/>
    <w:rsid w:val="00303AC7"/>
    <w:rsid w:val="00303BC0"/>
    <w:rsid w:val="00303BC3"/>
    <w:rsid w:val="00303BD2"/>
    <w:rsid w:val="00303D58"/>
    <w:rsid w:val="00303D69"/>
    <w:rsid w:val="00303DBA"/>
    <w:rsid w:val="00303F5D"/>
    <w:rsid w:val="00303FA3"/>
    <w:rsid w:val="0030415A"/>
    <w:rsid w:val="00304433"/>
    <w:rsid w:val="0030458D"/>
    <w:rsid w:val="003048C9"/>
    <w:rsid w:val="00304C8F"/>
    <w:rsid w:val="00304D19"/>
    <w:rsid w:val="00304D4E"/>
    <w:rsid w:val="00304F3C"/>
    <w:rsid w:val="00304FF8"/>
    <w:rsid w:val="00305098"/>
    <w:rsid w:val="0030511E"/>
    <w:rsid w:val="00305255"/>
    <w:rsid w:val="003053C8"/>
    <w:rsid w:val="00305BCF"/>
    <w:rsid w:val="0030615E"/>
    <w:rsid w:val="003066E9"/>
    <w:rsid w:val="00306A31"/>
    <w:rsid w:val="00306A56"/>
    <w:rsid w:val="00306BAB"/>
    <w:rsid w:val="00306D1B"/>
    <w:rsid w:val="00306D6D"/>
    <w:rsid w:val="00307203"/>
    <w:rsid w:val="0030734F"/>
    <w:rsid w:val="00307448"/>
    <w:rsid w:val="00307712"/>
    <w:rsid w:val="003079B4"/>
    <w:rsid w:val="00307C55"/>
    <w:rsid w:val="00307DEF"/>
    <w:rsid w:val="00307DF7"/>
    <w:rsid w:val="00310138"/>
    <w:rsid w:val="0031027B"/>
    <w:rsid w:val="003105A3"/>
    <w:rsid w:val="003107E5"/>
    <w:rsid w:val="00310DE6"/>
    <w:rsid w:val="0031109B"/>
    <w:rsid w:val="0031115B"/>
    <w:rsid w:val="003111A8"/>
    <w:rsid w:val="003112ED"/>
    <w:rsid w:val="00311359"/>
    <w:rsid w:val="003115AC"/>
    <w:rsid w:val="00311960"/>
    <w:rsid w:val="003119A7"/>
    <w:rsid w:val="00311D33"/>
    <w:rsid w:val="00311EE1"/>
    <w:rsid w:val="0031200F"/>
    <w:rsid w:val="0031208A"/>
    <w:rsid w:val="003120E1"/>
    <w:rsid w:val="00312111"/>
    <w:rsid w:val="00312455"/>
    <w:rsid w:val="00312490"/>
    <w:rsid w:val="003124E1"/>
    <w:rsid w:val="003126CA"/>
    <w:rsid w:val="003127C5"/>
    <w:rsid w:val="0031309D"/>
    <w:rsid w:val="003130A6"/>
    <w:rsid w:val="0031322F"/>
    <w:rsid w:val="003132A0"/>
    <w:rsid w:val="00313664"/>
    <w:rsid w:val="00313754"/>
    <w:rsid w:val="00313774"/>
    <w:rsid w:val="0031380E"/>
    <w:rsid w:val="003138A6"/>
    <w:rsid w:val="00313958"/>
    <w:rsid w:val="00313B78"/>
    <w:rsid w:val="00313C9A"/>
    <w:rsid w:val="00313DD4"/>
    <w:rsid w:val="003140E5"/>
    <w:rsid w:val="00314361"/>
    <w:rsid w:val="003143BF"/>
    <w:rsid w:val="00314475"/>
    <w:rsid w:val="0031486F"/>
    <w:rsid w:val="00314A3D"/>
    <w:rsid w:val="00314DA2"/>
    <w:rsid w:val="00314F90"/>
    <w:rsid w:val="00315238"/>
    <w:rsid w:val="00315247"/>
    <w:rsid w:val="003153B1"/>
    <w:rsid w:val="0031556C"/>
    <w:rsid w:val="00315689"/>
    <w:rsid w:val="00315731"/>
    <w:rsid w:val="003159A1"/>
    <w:rsid w:val="003159B9"/>
    <w:rsid w:val="00315AB3"/>
    <w:rsid w:val="00315C6A"/>
    <w:rsid w:val="00315D4B"/>
    <w:rsid w:val="00315F78"/>
    <w:rsid w:val="00315F85"/>
    <w:rsid w:val="0031617F"/>
    <w:rsid w:val="00316769"/>
    <w:rsid w:val="00317101"/>
    <w:rsid w:val="00317248"/>
    <w:rsid w:val="00317329"/>
    <w:rsid w:val="00317388"/>
    <w:rsid w:val="003173D4"/>
    <w:rsid w:val="003175A8"/>
    <w:rsid w:val="00317A2A"/>
    <w:rsid w:val="00317D0F"/>
    <w:rsid w:val="00317D29"/>
    <w:rsid w:val="0032006F"/>
    <w:rsid w:val="003201A1"/>
    <w:rsid w:val="00320298"/>
    <w:rsid w:val="003204EA"/>
    <w:rsid w:val="00320747"/>
    <w:rsid w:val="00320832"/>
    <w:rsid w:val="00320C9E"/>
    <w:rsid w:val="00320FB7"/>
    <w:rsid w:val="00320FD1"/>
    <w:rsid w:val="00321062"/>
    <w:rsid w:val="00321109"/>
    <w:rsid w:val="0032124F"/>
    <w:rsid w:val="00321444"/>
    <w:rsid w:val="00321560"/>
    <w:rsid w:val="00321690"/>
    <w:rsid w:val="00321758"/>
    <w:rsid w:val="00321823"/>
    <w:rsid w:val="00321BDA"/>
    <w:rsid w:val="00321D8D"/>
    <w:rsid w:val="00322455"/>
    <w:rsid w:val="00322554"/>
    <w:rsid w:val="003226B9"/>
    <w:rsid w:val="00322E12"/>
    <w:rsid w:val="003230DB"/>
    <w:rsid w:val="00323348"/>
    <w:rsid w:val="0032358B"/>
    <w:rsid w:val="0032368A"/>
    <w:rsid w:val="003238F4"/>
    <w:rsid w:val="00323B56"/>
    <w:rsid w:val="00323D94"/>
    <w:rsid w:val="00323FC4"/>
    <w:rsid w:val="003243D1"/>
    <w:rsid w:val="0032468C"/>
    <w:rsid w:val="00324D77"/>
    <w:rsid w:val="003250D9"/>
    <w:rsid w:val="00325174"/>
    <w:rsid w:val="0032547A"/>
    <w:rsid w:val="003255E9"/>
    <w:rsid w:val="00325692"/>
    <w:rsid w:val="003257A7"/>
    <w:rsid w:val="00325820"/>
    <w:rsid w:val="00325841"/>
    <w:rsid w:val="003259D7"/>
    <w:rsid w:val="00326451"/>
    <w:rsid w:val="0032665A"/>
    <w:rsid w:val="003268C7"/>
    <w:rsid w:val="00326914"/>
    <w:rsid w:val="00326B3B"/>
    <w:rsid w:val="00326ECA"/>
    <w:rsid w:val="0032704C"/>
    <w:rsid w:val="0032709A"/>
    <w:rsid w:val="00327426"/>
    <w:rsid w:val="003277AE"/>
    <w:rsid w:val="00327BD3"/>
    <w:rsid w:val="00327CAA"/>
    <w:rsid w:val="00327D2E"/>
    <w:rsid w:val="00327D74"/>
    <w:rsid w:val="00327DDF"/>
    <w:rsid w:val="00327DE9"/>
    <w:rsid w:val="00327EB4"/>
    <w:rsid w:val="00327F5E"/>
    <w:rsid w:val="003301B3"/>
    <w:rsid w:val="0033033D"/>
    <w:rsid w:val="00330372"/>
    <w:rsid w:val="00330385"/>
    <w:rsid w:val="003303CC"/>
    <w:rsid w:val="00330854"/>
    <w:rsid w:val="003308D8"/>
    <w:rsid w:val="00330CD7"/>
    <w:rsid w:val="0033102E"/>
    <w:rsid w:val="003310D6"/>
    <w:rsid w:val="0033137B"/>
    <w:rsid w:val="00331401"/>
    <w:rsid w:val="00331777"/>
    <w:rsid w:val="003319EF"/>
    <w:rsid w:val="00331CEE"/>
    <w:rsid w:val="00331DA6"/>
    <w:rsid w:val="00332344"/>
    <w:rsid w:val="0033235C"/>
    <w:rsid w:val="00332372"/>
    <w:rsid w:val="0033289C"/>
    <w:rsid w:val="003328F7"/>
    <w:rsid w:val="0033290E"/>
    <w:rsid w:val="0033299B"/>
    <w:rsid w:val="00332AF6"/>
    <w:rsid w:val="00332CF5"/>
    <w:rsid w:val="00332D41"/>
    <w:rsid w:val="00332DE4"/>
    <w:rsid w:val="00332F67"/>
    <w:rsid w:val="0033312E"/>
    <w:rsid w:val="00333234"/>
    <w:rsid w:val="00333822"/>
    <w:rsid w:val="00333823"/>
    <w:rsid w:val="003339EC"/>
    <w:rsid w:val="00333B1F"/>
    <w:rsid w:val="00333CC8"/>
    <w:rsid w:val="00333DD5"/>
    <w:rsid w:val="003340BC"/>
    <w:rsid w:val="0033414E"/>
    <w:rsid w:val="003343B5"/>
    <w:rsid w:val="003345F8"/>
    <w:rsid w:val="00334A9A"/>
    <w:rsid w:val="00335140"/>
    <w:rsid w:val="003351AE"/>
    <w:rsid w:val="00335370"/>
    <w:rsid w:val="003353FE"/>
    <w:rsid w:val="00335490"/>
    <w:rsid w:val="003356B3"/>
    <w:rsid w:val="0033572C"/>
    <w:rsid w:val="00335737"/>
    <w:rsid w:val="0033577C"/>
    <w:rsid w:val="00335797"/>
    <w:rsid w:val="0033583D"/>
    <w:rsid w:val="00335C6C"/>
    <w:rsid w:val="00335E81"/>
    <w:rsid w:val="00335ED1"/>
    <w:rsid w:val="0033648A"/>
    <w:rsid w:val="00336C06"/>
    <w:rsid w:val="00336FBD"/>
    <w:rsid w:val="00337276"/>
    <w:rsid w:val="003375AF"/>
    <w:rsid w:val="00337694"/>
    <w:rsid w:val="00337808"/>
    <w:rsid w:val="00337905"/>
    <w:rsid w:val="00337C33"/>
    <w:rsid w:val="00337EF8"/>
    <w:rsid w:val="00340003"/>
    <w:rsid w:val="003402AB"/>
    <w:rsid w:val="00340727"/>
    <w:rsid w:val="003407E4"/>
    <w:rsid w:val="0034081B"/>
    <w:rsid w:val="003409C8"/>
    <w:rsid w:val="003409DD"/>
    <w:rsid w:val="00340B17"/>
    <w:rsid w:val="00340C0A"/>
    <w:rsid w:val="00340FC4"/>
    <w:rsid w:val="00341296"/>
    <w:rsid w:val="00341557"/>
    <w:rsid w:val="0034155C"/>
    <w:rsid w:val="003416A0"/>
    <w:rsid w:val="0034172F"/>
    <w:rsid w:val="00341833"/>
    <w:rsid w:val="0034185E"/>
    <w:rsid w:val="00341A29"/>
    <w:rsid w:val="00341BD7"/>
    <w:rsid w:val="003421A4"/>
    <w:rsid w:val="003423C7"/>
    <w:rsid w:val="003424A0"/>
    <w:rsid w:val="003425DF"/>
    <w:rsid w:val="00342803"/>
    <w:rsid w:val="00342841"/>
    <w:rsid w:val="003428BA"/>
    <w:rsid w:val="003429B2"/>
    <w:rsid w:val="00342A2E"/>
    <w:rsid w:val="00342A60"/>
    <w:rsid w:val="00342B07"/>
    <w:rsid w:val="00342CBB"/>
    <w:rsid w:val="00342CE7"/>
    <w:rsid w:val="00342DDC"/>
    <w:rsid w:val="00342FBC"/>
    <w:rsid w:val="00343505"/>
    <w:rsid w:val="0034375A"/>
    <w:rsid w:val="0034379D"/>
    <w:rsid w:val="003439F6"/>
    <w:rsid w:val="00343B0F"/>
    <w:rsid w:val="00343B44"/>
    <w:rsid w:val="00343CB0"/>
    <w:rsid w:val="00343DED"/>
    <w:rsid w:val="00343E5D"/>
    <w:rsid w:val="00343E69"/>
    <w:rsid w:val="0034410F"/>
    <w:rsid w:val="00344182"/>
    <w:rsid w:val="00344359"/>
    <w:rsid w:val="00344417"/>
    <w:rsid w:val="00344566"/>
    <w:rsid w:val="00344774"/>
    <w:rsid w:val="00344808"/>
    <w:rsid w:val="00344983"/>
    <w:rsid w:val="00344A10"/>
    <w:rsid w:val="00344A29"/>
    <w:rsid w:val="00344A59"/>
    <w:rsid w:val="00344F13"/>
    <w:rsid w:val="0034517D"/>
    <w:rsid w:val="00345553"/>
    <w:rsid w:val="00345696"/>
    <w:rsid w:val="00345D6D"/>
    <w:rsid w:val="00345ED9"/>
    <w:rsid w:val="00346192"/>
    <w:rsid w:val="00346298"/>
    <w:rsid w:val="003463D1"/>
    <w:rsid w:val="003463D8"/>
    <w:rsid w:val="0034646D"/>
    <w:rsid w:val="00346699"/>
    <w:rsid w:val="00346952"/>
    <w:rsid w:val="00346C66"/>
    <w:rsid w:val="0034714F"/>
    <w:rsid w:val="00347451"/>
    <w:rsid w:val="003475DD"/>
    <w:rsid w:val="00347713"/>
    <w:rsid w:val="003477AD"/>
    <w:rsid w:val="0034797B"/>
    <w:rsid w:val="00347BE5"/>
    <w:rsid w:val="00347D85"/>
    <w:rsid w:val="003501AE"/>
    <w:rsid w:val="003504F0"/>
    <w:rsid w:val="00350770"/>
    <w:rsid w:val="003507DD"/>
    <w:rsid w:val="00350830"/>
    <w:rsid w:val="00350B03"/>
    <w:rsid w:val="00350B74"/>
    <w:rsid w:val="00350C0E"/>
    <w:rsid w:val="00350C95"/>
    <w:rsid w:val="00350D77"/>
    <w:rsid w:val="00351124"/>
    <w:rsid w:val="00351347"/>
    <w:rsid w:val="003513D3"/>
    <w:rsid w:val="00351632"/>
    <w:rsid w:val="0035167A"/>
    <w:rsid w:val="00351831"/>
    <w:rsid w:val="00351F99"/>
    <w:rsid w:val="00351FAB"/>
    <w:rsid w:val="003522E0"/>
    <w:rsid w:val="0035267F"/>
    <w:rsid w:val="0035284A"/>
    <w:rsid w:val="00352B39"/>
    <w:rsid w:val="00352B55"/>
    <w:rsid w:val="00352E1E"/>
    <w:rsid w:val="00352F8D"/>
    <w:rsid w:val="003530FE"/>
    <w:rsid w:val="003532EE"/>
    <w:rsid w:val="003534FE"/>
    <w:rsid w:val="003537D6"/>
    <w:rsid w:val="00353C74"/>
    <w:rsid w:val="00354015"/>
    <w:rsid w:val="0035401D"/>
    <w:rsid w:val="00354186"/>
    <w:rsid w:val="00354193"/>
    <w:rsid w:val="0035431E"/>
    <w:rsid w:val="003546F0"/>
    <w:rsid w:val="003547F2"/>
    <w:rsid w:val="003547FA"/>
    <w:rsid w:val="0035482D"/>
    <w:rsid w:val="003548FE"/>
    <w:rsid w:val="00354DA9"/>
    <w:rsid w:val="00354F0A"/>
    <w:rsid w:val="003550A4"/>
    <w:rsid w:val="003550BA"/>
    <w:rsid w:val="00355171"/>
    <w:rsid w:val="0035537A"/>
    <w:rsid w:val="003554D2"/>
    <w:rsid w:val="003554DA"/>
    <w:rsid w:val="00355605"/>
    <w:rsid w:val="003556AC"/>
    <w:rsid w:val="003556F5"/>
    <w:rsid w:val="0035580D"/>
    <w:rsid w:val="0035588D"/>
    <w:rsid w:val="00355985"/>
    <w:rsid w:val="00355D0B"/>
    <w:rsid w:val="00356504"/>
    <w:rsid w:val="003565B6"/>
    <w:rsid w:val="003565E0"/>
    <w:rsid w:val="00356887"/>
    <w:rsid w:val="00356915"/>
    <w:rsid w:val="00356E75"/>
    <w:rsid w:val="00356F02"/>
    <w:rsid w:val="00356F28"/>
    <w:rsid w:val="0035708F"/>
    <w:rsid w:val="003572A0"/>
    <w:rsid w:val="003572F9"/>
    <w:rsid w:val="00357440"/>
    <w:rsid w:val="0035766F"/>
    <w:rsid w:val="0035781A"/>
    <w:rsid w:val="0035797B"/>
    <w:rsid w:val="00357B39"/>
    <w:rsid w:val="00357CB5"/>
    <w:rsid w:val="00357E8C"/>
    <w:rsid w:val="003600B2"/>
    <w:rsid w:val="00360202"/>
    <w:rsid w:val="003602DC"/>
    <w:rsid w:val="00360347"/>
    <w:rsid w:val="0036040E"/>
    <w:rsid w:val="0036045A"/>
    <w:rsid w:val="00360517"/>
    <w:rsid w:val="00360532"/>
    <w:rsid w:val="00360664"/>
    <w:rsid w:val="00360B57"/>
    <w:rsid w:val="00360B69"/>
    <w:rsid w:val="00360C4A"/>
    <w:rsid w:val="00360D92"/>
    <w:rsid w:val="00360DD2"/>
    <w:rsid w:val="00360E56"/>
    <w:rsid w:val="00360EB5"/>
    <w:rsid w:val="00360F43"/>
    <w:rsid w:val="00361305"/>
    <w:rsid w:val="00361390"/>
    <w:rsid w:val="003619B8"/>
    <w:rsid w:val="00361A0A"/>
    <w:rsid w:val="00361D06"/>
    <w:rsid w:val="00361D3F"/>
    <w:rsid w:val="00361F15"/>
    <w:rsid w:val="0036214E"/>
    <w:rsid w:val="00362660"/>
    <w:rsid w:val="00362BD5"/>
    <w:rsid w:val="00362F69"/>
    <w:rsid w:val="00362FD3"/>
    <w:rsid w:val="003630D2"/>
    <w:rsid w:val="003638B5"/>
    <w:rsid w:val="003639FB"/>
    <w:rsid w:val="00363A9D"/>
    <w:rsid w:val="00363BF7"/>
    <w:rsid w:val="00363E9D"/>
    <w:rsid w:val="00364264"/>
    <w:rsid w:val="00364350"/>
    <w:rsid w:val="00364D8C"/>
    <w:rsid w:val="00364D9D"/>
    <w:rsid w:val="00364E69"/>
    <w:rsid w:val="003650F3"/>
    <w:rsid w:val="003652B9"/>
    <w:rsid w:val="003653FA"/>
    <w:rsid w:val="00365B4F"/>
    <w:rsid w:val="00365C87"/>
    <w:rsid w:val="00365DF7"/>
    <w:rsid w:val="00365E98"/>
    <w:rsid w:val="00365EC1"/>
    <w:rsid w:val="0036601F"/>
    <w:rsid w:val="0036633A"/>
    <w:rsid w:val="003663BB"/>
    <w:rsid w:val="003664EB"/>
    <w:rsid w:val="003668F5"/>
    <w:rsid w:val="0036695B"/>
    <w:rsid w:val="003671C5"/>
    <w:rsid w:val="0036754E"/>
    <w:rsid w:val="00367890"/>
    <w:rsid w:val="003678EB"/>
    <w:rsid w:val="00367B88"/>
    <w:rsid w:val="00367B8A"/>
    <w:rsid w:val="00367C31"/>
    <w:rsid w:val="00367F66"/>
    <w:rsid w:val="00370241"/>
    <w:rsid w:val="00370263"/>
    <w:rsid w:val="00370307"/>
    <w:rsid w:val="0037035D"/>
    <w:rsid w:val="00370821"/>
    <w:rsid w:val="003709A2"/>
    <w:rsid w:val="00370A18"/>
    <w:rsid w:val="00370AA1"/>
    <w:rsid w:val="00371076"/>
    <w:rsid w:val="003710ED"/>
    <w:rsid w:val="00371141"/>
    <w:rsid w:val="003716B7"/>
    <w:rsid w:val="003717D0"/>
    <w:rsid w:val="00371D3A"/>
    <w:rsid w:val="003720EE"/>
    <w:rsid w:val="00372127"/>
    <w:rsid w:val="00372263"/>
    <w:rsid w:val="003725AA"/>
    <w:rsid w:val="003727B3"/>
    <w:rsid w:val="003728BF"/>
    <w:rsid w:val="00372A5B"/>
    <w:rsid w:val="00372FCC"/>
    <w:rsid w:val="003732D5"/>
    <w:rsid w:val="00373491"/>
    <w:rsid w:val="00373766"/>
    <w:rsid w:val="003739DD"/>
    <w:rsid w:val="00373A9E"/>
    <w:rsid w:val="00373B0F"/>
    <w:rsid w:val="003741A2"/>
    <w:rsid w:val="00374419"/>
    <w:rsid w:val="00374452"/>
    <w:rsid w:val="003745C2"/>
    <w:rsid w:val="003748A0"/>
    <w:rsid w:val="00374AC8"/>
    <w:rsid w:val="00374B31"/>
    <w:rsid w:val="00374BCF"/>
    <w:rsid w:val="00374C44"/>
    <w:rsid w:val="00374D75"/>
    <w:rsid w:val="00374DC6"/>
    <w:rsid w:val="00374E4C"/>
    <w:rsid w:val="0037526B"/>
    <w:rsid w:val="003752CB"/>
    <w:rsid w:val="003753CE"/>
    <w:rsid w:val="00375755"/>
    <w:rsid w:val="0037590C"/>
    <w:rsid w:val="00375A73"/>
    <w:rsid w:val="00375D05"/>
    <w:rsid w:val="00375E08"/>
    <w:rsid w:val="00375EA8"/>
    <w:rsid w:val="00375F47"/>
    <w:rsid w:val="0037610B"/>
    <w:rsid w:val="003761BE"/>
    <w:rsid w:val="00376737"/>
    <w:rsid w:val="003767A2"/>
    <w:rsid w:val="00376E07"/>
    <w:rsid w:val="00376F2E"/>
    <w:rsid w:val="0037738C"/>
    <w:rsid w:val="0037745F"/>
    <w:rsid w:val="00377CAD"/>
    <w:rsid w:val="00377D9A"/>
    <w:rsid w:val="00377DBD"/>
    <w:rsid w:val="00377E4F"/>
    <w:rsid w:val="00377F68"/>
    <w:rsid w:val="0038006E"/>
    <w:rsid w:val="0038016E"/>
    <w:rsid w:val="003801EB"/>
    <w:rsid w:val="00380265"/>
    <w:rsid w:val="00380364"/>
    <w:rsid w:val="0038047C"/>
    <w:rsid w:val="00380746"/>
    <w:rsid w:val="00380B0B"/>
    <w:rsid w:val="00380BB9"/>
    <w:rsid w:val="00380D7D"/>
    <w:rsid w:val="00380DC0"/>
    <w:rsid w:val="00380E74"/>
    <w:rsid w:val="00380E94"/>
    <w:rsid w:val="00381256"/>
    <w:rsid w:val="0038126C"/>
    <w:rsid w:val="003813B0"/>
    <w:rsid w:val="0038147F"/>
    <w:rsid w:val="003814BB"/>
    <w:rsid w:val="00381562"/>
    <w:rsid w:val="00381750"/>
    <w:rsid w:val="00381A3E"/>
    <w:rsid w:val="00381F58"/>
    <w:rsid w:val="00382266"/>
    <w:rsid w:val="0038235E"/>
    <w:rsid w:val="003824ED"/>
    <w:rsid w:val="0038288C"/>
    <w:rsid w:val="00382A53"/>
    <w:rsid w:val="00382AE5"/>
    <w:rsid w:val="00382B0C"/>
    <w:rsid w:val="00382FE3"/>
    <w:rsid w:val="00383170"/>
    <w:rsid w:val="003833B5"/>
    <w:rsid w:val="0038352D"/>
    <w:rsid w:val="003835FF"/>
    <w:rsid w:val="003836CC"/>
    <w:rsid w:val="0038386F"/>
    <w:rsid w:val="003839DE"/>
    <w:rsid w:val="00383B52"/>
    <w:rsid w:val="00383BB1"/>
    <w:rsid w:val="00383BF4"/>
    <w:rsid w:val="00383CCF"/>
    <w:rsid w:val="003844A3"/>
    <w:rsid w:val="00384584"/>
    <w:rsid w:val="0038466D"/>
    <w:rsid w:val="003847ED"/>
    <w:rsid w:val="00384803"/>
    <w:rsid w:val="00384884"/>
    <w:rsid w:val="00384ADE"/>
    <w:rsid w:val="00384DB9"/>
    <w:rsid w:val="00384F1B"/>
    <w:rsid w:val="003856BD"/>
    <w:rsid w:val="00385C9E"/>
    <w:rsid w:val="00385FAC"/>
    <w:rsid w:val="0038623E"/>
    <w:rsid w:val="00386CE7"/>
    <w:rsid w:val="00386D4E"/>
    <w:rsid w:val="00386DDB"/>
    <w:rsid w:val="00386E12"/>
    <w:rsid w:val="00387553"/>
    <w:rsid w:val="003877FF"/>
    <w:rsid w:val="0038792E"/>
    <w:rsid w:val="0038797A"/>
    <w:rsid w:val="00387A4A"/>
    <w:rsid w:val="00387B9A"/>
    <w:rsid w:val="00387DE6"/>
    <w:rsid w:val="00390608"/>
    <w:rsid w:val="003906F1"/>
    <w:rsid w:val="00390893"/>
    <w:rsid w:val="00390D73"/>
    <w:rsid w:val="00390F57"/>
    <w:rsid w:val="00390FB5"/>
    <w:rsid w:val="00391078"/>
    <w:rsid w:val="0039121A"/>
    <w:rsid w:val="00391988"/>
    <w:rsid w:val="003921CD"/>
    <w:rsid w:val="00392268"/>
    <w:rsid w:val="00392270"/>
    <w:rsid w:val="00392784"/>
    <w:rsid w:val="00392973"/>
    <w:rsid w:val="003929D2"/>
    <w:rsid w:val="00392BC2"/>
    <w:rsid w:val="00392CCA"/>
    <w:rsid w:val="00393029"/>
    <w:rsid w:val="00393466"/>
    <w:rsid w:val="00393AD7"/>
    <w:rsid w:val="00393E3E"/>
    <w:rsid w:val="00393F81"/>
    <w:rsid w:val="00393FA5"/>
    <w:rsid w:val="0039406E"/>
    <w:rsid w:val="0039411F"/>
    <w:rsid w:val="0039413F"/>
    <w:rsid w:val="00394157"/>
    <w:rsid w:val="00394183"/>
    <w:rsid w:val="00394661"/>
    <w:rsid w:val="003946B9"/>
    <w:rsid w:val="00394B51"/>
    <w:rsid w:val="00394DBD"/>
    <w:rsid w:val="003953BE"/>
    <w:rsid w:val="003957BB"/>
    <w:rsid w:val="00395C08"/>
    <w:rsid w:val="0039619D"/>
    <w:rsid w:val="00396234"/>
    <w:rsid w:val="0039629F"/>
    <w:rsid w:val="003962CD"/>
    <w:rsid w:val="003963FF"/>
    <w:rsid w:val="00396486"/>
    <w:rsid w:val="003965C0"/>
    <w:rsid w:val="003966CC"/>
    <w:rsid w:val="003967BE"/>
    <w:rsid w:val="003967CC"/>
    <w:rsid w:val="0039683F"/>
    <w:rsid w:val="00396894"/>
    <w:rsid w:val="00396935"/>
    <w:rsid w:val="00396997"/>
    <w:rsid w:val="003969CF"/>
    <w:rsid w:val="00396A4C"/>
    <w:rsid w:val="00396B6F"/>
    <w:rsid w:val="00396F24"/>
    <w:rsid w:val="003972B4"/>
    <w:rsid w:val="0039743E"/>
    <w:rsid w:val="00397A8D"/>
    <w:rsid w:val="00397B9D"/>
    <w:rsid w:val="00397CAC"/>
    <w:rsid w:val="00397D16"/>
    <w:rsid w:val="003A014F"/>
    <w:rsid w:val="003A0403"/>
    <w:rsid w:val="003A083E"/>
    <w:rsid w:val="003A091A"/>
    <w:rsid w:val="003A0A7B"/>
    <w:rsid w:val="003A0D0B"/>
    <w:rsid w:val="003A110E"/>
    <w:rsid w:val="003A1301"/>
    <w:rsid w:val="003A14C7"/>
    <w:rsid w:val="003A1A80"/>
    <w:rsid w:val="003A1DF8"/>
    <w:rsid w:val="003A1EE5"/>
    <w:rsid w:val="003A20C9"/>
    <w:rsid w:val="003A21D2"/>
    <w:rsid w:val="003A23D2"/>
    <w:rsid w:val="003A27BB"/>
    <w:rsid w:val="003A280A"/>
    <w:rsid w:val="003A2919"/>
    <w:rsid w:val="003A297C"/>
    <w:rsid w:val="003A2B9C"/>
    <w:rsid w:val="003A2E04"/>
    <w:rsid w:val="003A2E7B"/>
    <w:rsid w:val="003A2FE5"/>
    <w:rsid w:val="003A30DC"/>
    <w:rsid w:val="003A31F5"/>
    <w:rsid w:val="003A33A5"/>
    <w:rsid w:val="003A35D6"/>
    <w:rsid w:val="003A3FF6"/>
    <w:rsid w:val="003A41B8"/>
    <w:rsid w:val="003A43CA"/>
    <w:rsid w:val="003A4473"/>
    <w:rsid w:val="003A44A1"/>
    <w:rsid w:val="003A44DC"/>
    <w:rsid w:val="003A4780"/>
    <w:rsid w:val="003A47B1"/>
    <w:rsid w:val="003A4C9C"/>
    <w:rsid w:val="003A4E51"/>
    <w:rsid w:val="003A5077"/>
    <w:rsid w:val="003A5614"/>
    <w:rsid w:val="003A56A1"/>
    <w:rsid w:val="003A5BC5"/>
    <w:rsid w:val="003A5C82"/>
    <w:rsid w:val="003A5C95"/>
    <w:rsid w:val="003A5CF2"/>
    <w:rsid w:val="003A5D19"/>
    <w:rsid w:val="003A5D1E"/>
    <w:rsid w:val="003A5E4A"/>
    <w:rsid w:val="003A5F4E"/>
    <w:rsid w:val="003A6023"/>
    <w:rsid w:val="003A6204"/>
    <w:rsid w:val="003A6612"/>
    <w:rsid w:val="003A6854"/>
    <w:rsid w:val="003A68A9"/>
    <w:rsid w:val="003A6A4E"/>
    <w:rsid w:val="003A6AB5"/>
    <w:rsid w:val="003A6CEB"/>
    <w:rsid w:val="003A6DDA"/>
    <w:rsid w:val="003A6E03"/>
    <w:rsid w:val="003A72FF"/>
    <w:rsid w:val="003A7715"/>
    <w:rsid w:val="003A782B"/>
    <w:rsid w:val="003B0041"/>
    <w:rsid w:val="003B010D"/>
    <w:rsid w:val="003B03BF"/>
    <w:rsid w:val="003B095A"/>
    <w:rsid w:val="003B0C04"/>
    <w:rsid w:val="003B0E9B"/>
    <w:rsid w:val="003B1620"/>
    <w:rsid w:val="003B1661"/>
    <w:rsid w:val="003B16C1"/>
    <w:rsid w:val="003B1919"/>
    <w:rsid w:val="003B1FC9"/>
    <w:rsid w:val="003B20CA"/>
    <w:rsid w:val="003B2354"/>
    <w:rsid w:val="003B2989"/>
    <w:rsid w:val="003B2A09"/>
    <w:rsid w:val="003B2E43"/>
    <w:rsid w:val="003B2FCF"/>
    <w:rsid w:val="003B3096"/>
    <w:rsid w:val="003B30B7"/>
    <w:rsid w:val="003B317B"/>
    <w:rsid w:val="003B32E1"/>
    <w:rsid w:val="003B37A2"/>
    <w:rsid w:val="003B3CC5"/>
    <w:rsid w:val="003B3EC4"/>
    <w:rsid w:val="003B3FD2"/>
    <w:rsid w:val="003B4059"/>
    <w:rsid w:val="003B4407"/>
    <w:rsid w:val="003B440E"/>
    <w:rsid w:val="003B453B"/>
    <w:rsid w:val="003B46C7"/>
    <w:rsid w:val="003B4810"/>
    <w:rsid w:val="003B4EF7"/>
    <w:rsid w:val="003B4F59"/>
    <w:rsid w:val="003B500B"/>
    <w:rsid w:val="003B5049"/>
    <w:rsid w:val="003B51D0"/>
    <w:rsid w:val="003B5254"/>
    <w:rsid w:val="003B533E"/>
    <w:rsid w:val="003B5747"/>
    <w:rsid w:val="003B580F"/>
    <w:rsid w:val="003B5CF5"/>
    <w:rsid w:val="003B5D46"/>
    <w:rsid w:val="003B6152"/>
    <w:rsid w:val="003B618E"/>
    <w:rsid w:val="003B6230"/>
    <w:rsid w:val="003B63DD"/>
    <w:rsid w:val="003B642F"/>
    <w:rsid w:val="003B673D"/>
    <w:rsid w:val="003B6A7F"/>
    <w:rsid w:val="003B730A"/>
    <w:rsid w:val="003B739E"/>
    <w:rsid w:val="003B7840"/>
    <w:rsid w:val="003B7AF0"/>
    <w:rsid w:val="003B7BE4"/>
    <w:rsid w:val="003B7CC3"/>
    <w:rsid w:val="003B7EB5"/>
    <w:rsid w:val="003B7F41"/>
    <w:rsid w:val="003C0030"/>
    <w:rsid w:val="003C0183"/>
    <w:rsid w:val="003C0321"/>
    <w:rsid w:val="003C06C3"/>
    <w:rsid w:val="003C0A86"/>
    <w:rsid w:val="003C0B0E"/>
    <w:rsid w:val="003C0B68"/>
    <w:rsid w:val="003C1054"/>
    <w:rsid w:val="003C13B7"/>
    <w:rsid w:val="003C175D"/>
    <w:rsid w:val="003C1AE8"/>
    <w:rsid w:val="003C1C9F"/>
    <w:rsid w:val="003C1CFB"/>
    <w:rsid w:val="003C1FAA"/>
    <w:rsid w:val="003C2050"/>
    <w:rsid w:val="003C2151"/>
    <w:rsid w:val="003C2577"/>
    <w:rsid w:val="003C2706"/>
    <w:rsid w:val="003C2777"/>
    <w:rsid w:val="003C28A2"/>
    <w:rsid w:val="003C2BBD"/>
    <w:rsid w:val="003C2CB6"/>
    <w:rsid w:val="003C2F98"/>
    <w:rsid w:val="003C32A6"/>
    <w:rsid w:val="003C3379"/>
    <w:rsid w:val="003C362D"/>
    <w:rsid w:val="003C3711"/>
    <w:rsid w:val="003C3901"/>
    <w:rsid w:val="003C3AE8"/>
    <w:rsid w:val="003C3BB5"/>
    <w:rsid w:val="003C3CAA"/>
    <w:rsid w:val="003C3E27"/>
    <w:rsid w:val="003C3E77"/>
    <w:rsid w:val="003C3E86"/>
    <w:rsid w:val="003C4066"/>
    <w:rsid w:val="003C4264"/>
    <w:rsid w:val="003C43EC"/>
    <w:rsid w:val="003C4448"/>
    <w:rsid w:val="003C46AD"/>
    <w:rsid w:val="003C47F0"/>
    <w:rsid w:val="003C49F5"/>
    <w:rsid w:val="003C4BB0"/>
    <w:rsid w:val="003C4D1E"/>
    <w:rsid w:val="003C4E99"/>
    <w:rsid w:val="003C529F"/>
    <w:rsid w:val="003C55BE"/>
    <w:rsid w:val="003C5A35"/>
    <w:rsid w:val="003C5D4F"/>
    <w:rsid w:val="003C5D5D"/>
    <w:rsid w:val="003C5ED9"/>
    <w:rsid w:val="003C5FC9"/>
    <w:rsid w:val="003C63D3"/>
    <w:rsid w:val="003C6905"/>
    <w:rsid w:val="003C7377"/>
    <w:rsid w:val="003C7449"/>
    <w:rsid w:val="003C79F3"/>
    <w:rsid w:val="003C7AF1"/>
    <w:rsid w:val="003C7BE5"/>
    <w:rsid w:val="003C7C82"/>
    <w:rsid w:val="003D0022"/>
    <w:rsid w:val="003D004A"/>
    <w:rsid w:val="003D03A3"/>
    <w:rsid w:val="003D0B52"/>
    <w:rsid w:val="003D0C18"/>
    <w:rsid w:val="003D1093"/>
    <w:rsid w:val="003D10B3"/>
    <w:rsid w:val="003D1272"/>
    <w:rsid w:val="003D1281"/>
    <w:rsid w:val="003D1448"/>
    <w:rsid w:val="003D1621"/>
    <w:rsid w:val="003D1762"/>
    <w:rsid w:val="003D1AC3"/>
    <w:rsid w:val="003D1ADC"/>
    <w:rsid w:val="003D1BB5"/>
    <w:rsid w:val="003D1D95"/>
    <w:rsid w:val="003D1EEC"/>
    <w:rsid w:val="003D1EF2"/>
    <w:rsid w:val="003D1F44"/>
    <w:rsid w:val="003D22D2"/>
    <w:rsid w:val="003D2C97"/>
    <w:rsid w:val="003D2CC2"/>
    <w:rsid w:val="003D2D48"/>
    <w:rsid w:val="003D3210"/>
    <w:rsid w:val="003D3358"/>
    <w:rsid w:val="003D33E2"/>
    <w:rsid w:val="003D3537"/>
    <w:rsid w:val="003D35E6"/>
    <w:rsid w:val="003D3931"/>
    <w:rsid w:val="003D39AC"/>
    <w:rsid w:val="003D3A06"/>
    <w:rsid w:val="003D3CB2"/>
    <w:rsid w:val="003D3D91"/>
    <w:rsid w:val="003D3EC2"/>
    <w:rsid w:val="003D45D2"/>
    <w:rsid w:val="003D466D"/>
    <w:rsid w:val="003D4708"/>
    <w:rsid w:val="003D472C"/>
    <w:rsid w:val="003D477A"/>
    <w:rsid w:val="003D4D86"/>
    <w:rsid w:val="003D50FF"/>
    <w:rsid w:val="003D5113"/>
    <w:rsid w:val="003D5469"/>
    <w:rsid w:val="003D55B5"/>
    <w:rsid w:val="003D5847"/>
    <w:rsid w:val="003D58ED"/>
    <w:rsid w:val="003D5B75"/>
    <w:rsid w:val="003D614C"/>
    <w:rsid w:val="003D619A"/>
    <w:rsid w:val="003D6556"/>
    <w:rsid w:val="003D6844"/>
    <w:rsid w:val="003D6DF1"/>
    <w:rsid w:val="003D6F0C"/>
    <w:rsid w:val="003D6FDC"/>
    <w:rsid w:val="003D7078"/>
    <w:rsid w:val="003D712D"/>
    <w:rsid w:val="003D729F"/>
    <w:rsid w:val="003D74CC"/>
    <w:rsid w:val="003D758E"/>
    <w:rsid w:val="003D7971"/>
    <w:rsid w:val="003D7BF4"/>
    <w:rsid w:val="003D7C86"/>
    <w:rsid w:val="003D7CF9"/>
    <w:rsid w:val="003D7CFC"/>
    <w:rsid w:val="003D7D07"/>
    <w:rsid w:val="003D7E83"/>
    <w:rsid w:val="003E01B9"/>
    <w:rsid w:val="003E0352"/>
    <w:rsid w:val="003E049C"/>
    <w:rsid w:val="003E05BD"/>
    <w:rsid w:val="003E0759"/>
    <w:rsid w:val="003E0820"/>
    <w:rsid w:val="003E0976"/>
    <w:rsid w:val="003E0A15"/>
    <w:rsid w:val="003E0C71"/>
    <w:rsid w:val="003E0C99"/>
    <w:rsid w:val="003E0E0E"/>
    <w:rsid w:val="003E14BE"/>
    <w:rsid w:val="003E1698"/>
    <w:rsid w:val="003E182D"/>
    <w:rsid w:val="003E1871"/>
    <w:rsid w:val="003E191E"/>
    <w:rsid w:val="003E1937"/>
    <w:rsid w:val="003E1AFB"/>
    <w:rsid w:val="003E1E1E"/>
    <w:rsid w:val="003E213F"/>
    <w:rsid w:val="003E22A3"/>
    <w:rsid w:val="003E26B2"/>
    <w:rsid w:val="003E2B86"/>
    <w:rsid w:val="003E3046"/>
    <w:rsid w:val="003E3205"/>
    <w:rsid w:val="003E32E1"/>
    <w:rsid w:val="003E32FE"/>
    <w:rsid w:val="003E345C"/>
    <w:rsid w:val="003E3615"/>
    <w:rsid w:val="003E3F41"/>
    <w:rsid w:val="003E40C5"/>
    <w:rsid w:val="003E43C7"/>
    <w:rsid w:val="003E489E"/>
    <w:rsid w:val="003E4FE4"/>
    <w:rsid w:val="003E50A1"/>
    <w:rsid w:val="003E5127"/>
    <w:rsid w:val="003E536E"/>
    <w:rsid w:val="003E542F"/>
    <w:rsid w:val="003E54EA"/>
    <w:rsid w:val="003E55C3"/>
    <w:rsid w:val="003E55E7"/>
    <w:rsid w:val="003E569A"/>
    <w:rsid w:val="003E592F"/>
    <w:rsid w:val="003E5C4C"/>
    <w:rsid w:val="003E5C7B"/>
    <w:rsid w:val="003E5F33"/>
    <w:rsid w:val="003E62EE"/>
    <w:rsid w:val="003E6615"/>
    <w:rsid w:val="003E694D"/>
    <w:rsid w:val="003E6B1E"/>
    <w:rsid w:val="003E6CD0"/>
    <w:rsid w:val="003E70B0"/>
    <w:rsid w:val="003E74C3"/>
    <w:rsid w:val="003E79F9"/>
    <w:rsid w:val="003E7BB6"/>
    <w:rsid w:val="003E7C34"/>
    <w:rsid w:val="003E7CDF"/>
    <w:rsid w:val="003E7D39"/>
    <w:rsid w:val="003E7DCD"/>
    <w:rsid w:val="003E7DCF"/>
    <w:rsid w:val="003E7DFF"/>
    <w:rsid w:val="003F008F"/>
    <w:rsid w:val="003F00E3"/>
    <w:rsid w:val="003F06E0"/>
    <w:rsid w:val="003F0701"/>
    <w:rsid w:val="003F076E"/>
    <w:rsid w:val="003F083C"/>
    <w:rsid w:val="003F08C4"/>
    <w:rsid w:val="003F0949"/>
    <w:rsid w:val="003F0C38"/>
    <w:rsid w:val="003F0C48"/>
    <w:rsid w:val="003F0D7C"/>
    <w:rsid w:val="003F0D8A"/>
    <w:rsid w:val="003F1007"/>
    <w:rsid w:val="003F1168"/>
    <w:rsid w:val="003F1223"/>
    <w:rsid w:val="003F12E9"/>
    <w:rsid w:val="003F1465"/>
    <w:rsid w:val="003F155A"/>
    <w:rsid w:val="003F177A"/>
    <w:rsid w:val="003F1AB9"/>
    <w:rsid w:val="003F1B55"/>
    <w:rsid w:val="003F1BBE"/>
    <w:rsid w:val="003F1C13"/>
    <w:rsid w:val="003F1FD6"/>
    <w:rsid w:val="003F2013"/>
    <w:rsid w:val="003F2416"/>
    <w:rsid w:val="003F26FE"/>
    <w:rsid w:val="003F284C"/>
    <w:rsid w:val="003F2888"/>
    <w:rsid w:val="003F2A44"/>
    <w:rsid w:val="003F2ABB"/>
    <w:rsid w:val="003F2C11"/>
    <w:rsid w:val="003F2C77"/>
    <w:rsid w:val="003F2D2F"/>
    <w:rsid w:val="003F2F2C"/>
    <w:rsid w:val="003F301F"/>
    <w:rsid w:val="003F3248"/>
    <w:rsid w:val="003F3377"/>
    <w:rsid w:val="003F33B7"/>
    <w:rsid w:val="003F35AF"/>
    <w:rsid w:val="003F37FD"/>
    <w:rsid w:val="003F3854"/>
    <w:rsid w:val="003F398B"/>
    <w:rsid w:val="003F39AE"/>
    <w:rsid w:val="003F39BA"/>
    <w:rsid w:val="003F3A52"/>
    <w:rsid w:val="003F3A59"/>
    <w:rsid w:val="003F3EF1"/>
    <w:rsid w:val="003F3FAD"/>
    <w:rsid w:val="003F408D"/>
    <w:rsid w:val="003F423E"/>
    <w:rsid w:val="003F4503"/>
    <w:rsid w:val="003F45B2"/>
    <w:rsid w:val="003F4679"/>
    <w:rsid w:val="003F47F9"/>
    <w:rsid w:val="003F4B62"/>
    <w:rsid w:val="003F4E3D"/>
    <w:rsid w:val="003F4EED"/>
    <w:rsid w:val="003F5657"/>
    <w:rsid w:val="003F585C"/>
    <w:rsid w:val="003F58BB"/>
    <w:rsid w:val="003F59F4"/>
    <w:rsid w:val="003F5B16"/>
    <w:rsid w:val="003F5BF2"/>
    <w:rsid w:val="003F5CD7"/>
    <w:rsid w:val="003F5CD8"/>
    <w:rsid w:val="003F5EA0"/>
    <w:rsid w:val="003F5FDD"/>
    <w:rsid w:val="003F6086"/>
    <w:rsid w:val="003F60E1"/>
    <w:rsid w:val="003F62DD"/>
    <w:rsid w:val="003F634E"/>
    <w:rsid w:val="003F648C"/>
    <w:rsid w:val="003F6633"/>
    <w:rsid w:val="003F66D3"/>
    <w:rsid w:val="003F66FD"/>
    <w:rsid w:val="003F672A"/>
    <w:rsid w:val="003F67C1"/>
    <w:rsid w:val="003F68F5"/>
    <w:rsid w:val="003F7000"/>
    <w:rsid w:val="003F71BE"/>
    <w:rsid w:val="003F757E"/>
    <w:rsid w:val="003F764A"/>
    <w:rsid w:val="003F78B5"/>
    <w:rsid w:val="003F790E"/>
    <w:rsid w:val="003F794F"/>
    <w:rsid w:val="003F7EA4"/>
    <w:rsid w:val="003F7F45"/>
    <w:rsid w:val="003F7F49"/>
    <w:rsid w:val="0040032A"/>
    <w:rsid w:val="0040033C"/>
    <w:rsid w:val="00400494"/>
    <w:rsid w:val="004004F6"/>
    <w:rsid w:val="0040078F"/>
    <w:rsid w:val="00400B50"/>
    <w:rsid w:val="00400CA9"/>
    <w:rsid w:val="00400D80"/>
    <w:rsid w:val="004010AA"/>
    <w:rsid w:val="004012E6"/>
    <w:rsid w:val="004017DF"/>
    <w:rsid w:val="00401A68"/>
    <w:rsid w:val="00401B3C"/>
    <w:rsid w:val="00401B69"/>
    <w:rsid w:val="00401EA8"/>
    <w:rsid w:val="0040214B"/>
    <w:rsid w:val="004021CA"/>
    <w:rsid w:val="00402280"/>
    <w:rsid w:val="00402681"/>
    <w:rsid w:val="00402B37"/>
    <w:rsid w:val="00402BA1"/>
    <w:rsid w:val="00402BA7"/>
    <w:rsid w:val="00402DC6"/>
    <w:rsid w:val="00402EE0"/>
    <w:rsid w:val="0040313C"/>
    <w:rsid w:val="004033F3"/>
    <w:rsid w:val="0040351E"/>
    <w:rsid w:val="004036E4"/>
    <w:rsid w:val="0040370B"/>
    <w:rsid w:val="00403763"/>
    <w:rsid w:val="00403882"/>
    <w:rsid w:val="00403A03"/>
    <w:rsid w:val="00403D4B"/>
    <w:rsid w:val="00404878"/>
    <w:rsid w:val="004049C2"/>
    <w:rsid w:val="00404D94"/>
    <w:rsid w:val="00404DCD"/>
    <w:rsid w:val="004050D0"/>
    <w:rsid w:val="0040548B"/>
    <w:rsid w:val="004054A8"/>
    <w:rsid w:val="004055FB"/>
    <w:rsid w:val="00405615"/>
    <w:rsid w:val="004056F7"/>
    <w:rsid w:val="00405AE6"/>
    <w:rsid w:val="00405EA9"/>
    <w:rsid w:val="00406145"/>
    <w:rsid w:val="0040632C"/>
    <w:rsid w:val="0040646D"/>
    <w:rsid w:val="00406500"/>
    <w:rsid w:val="0040667E"/>
    <w:rsid w:val="00406859"/>
    <w:rsid w:val="00406A86"/>
    <w:rsid w:val="00406AC1"/>
    <w:rsid w:val="00406FFC"/>
    <w:rsid w:val="00407441"/>
    <w:rsid w:val="004077D6"/>
    <w:rsid w:val="0040780E"/>
    <w:rsid w:val="00407867"/>
    <w:rsid w:val="00407C0D"/>
    <w:rsid w:val="00407FA5"/>
    <w:rsid w:val="004104BE"/>
    <w:rsid w:val="004107DB"/>
    <w:rsid w:val="00410883"/>
    <w:rsid w:val="00410A5C"/>
    <w:rsid w:val="00410C0E"/>
    <w:rsid w:val="00410C9B"/>
    <w:rsid w:val="00411033"/>
    <w:rsid w:val="00411317"/>
    <w:rsid w:val="00411487"/>
    <w:rsid w:val="004115E1"/>
    <w:rsid w:val="00411660"/>
    <w:rsid w:val="004116F3"/>
    <w:rsid w:val="004117A8"/>
    <w:rsid w:val="0041187E"/>
    <w:rsid w:val="004119CC"/>
    <w:rsid w:val="00411A53"/>
    <w:rsid w:val="00411BEF"/>
    <w:rsid w:val="00411BF1"/>
    <w:rsid w:val="00411D55"/>
    <w:rsid w:val="00411F5D"/>
    <w:rsid w:val="004120A2"/>
    <w:rsid w:val="004120BC"/>
    <w:rsid w:val="004121E7"/>
    <w:rsid w:val="004125B3"/>
    <w:rsid w:val="0041278B"/>
    <w:rsid w:val="00412A79"/>
    <w:rsid w:val="00412D8B"/>
    <w:rsid w:val="004130FA"/>
    <w:rsid w:val="0041312D"/>
    <w:rsid w:val="004131C1"/>
    <w:rsid w:val="0041333E"/>
    <w:rsid w:val="0041340D"/>
    <w:rsid w:val="00413439"/>
    <w:rsid w:val="00413E2E"/>
    <w:rsid w:val="004140BA"/>
    <w:rsid w:val="0041415A"/>
    <w:rsid w:val="0041425A"/>
    <w:rsid w:val="00414334"/>
    <w:rsid w:val="00414649"/>
    <w:rsid w:val="00414665"/>
    <w:rsid w:val="00414673"/>
    <w:rsid w:val="0041473B"/>
    <w:rsid w:val="00414753"/>
    <w:rsid w:val="0041478B"/>
    <w:rsid w:val="00414B30"/>
    <w:rsid w:val="00414C6B"/>
    <w:rsid w:val="00414E51"/>
    <w:rsid w:val="00414E5C"/>
    <w:rsid w:val="0041517D"/>
    <w:rsid w:val="004151EC"/>
    <w:rsid w:val="0041522B"/>
    <w:rsid w:val="00415343"/>
    <w:rsid w:val="00415692"/>
    <w:rsid w:val="0041584D"/>
    <w:rsid w:val="0041589B"/>
    <w:rsid w:val="004158F4"/>
    <w:rsid w:val="00415D9B"/>
    <w:rsid w:val="00415FDD"/>
    <w:rsid w:val="0041604F"/>
    <w:rsid w:val="00416093"/>
    <w:rsid w:val="004162D3"/>
    <w:rsid w:val="00416512"/>
    <w:rsid w:val="00416789"/>
    <w:rsid w:val="004167C7"/>
    <w:rsid w:val="004167DB"/>
    <w:rsid w:val="00416B7E"/>
    <w:rsid w:val="00416CA7"/>
    <w:rsid w:val="00416CC7"/>
    <w:rsid w:val="00416D3C"/>
    <w:rsid w:val="00416E86"/>
    <w:rsid w:val="00416F4F"/>
    <w:rsid w:val="004172A7"/>
    <w:rsid w:val="00417347"/>
    <w:rsid w:val="004173A0"/>
    <w:rsid w:val="0041747D"/>
    <w:rsid w:val="00417494"/>
    <w:rsid w:val="004175FD"/>
    <w:rsid w:val="0041760B"/>
    <w:rsid w:val="00417775"/>
    <w:rsid w:val="00417982"/>
    <w:rsid w:val="004179E2"/>
    <w:rsid w:val="00417E13"/>
    <w:rsid w:val="00417E60"/>
    <w:rsid w:val="00420123"/>
    <w:rsid w:val="004202E1"/>
    <w:rsid w:val="004203EF"/>
    <w:rsid w:val="00420435"/>
    <w:rsid w:val="00420613"/>
    <w:rsid w:val="00420705"/>
    <w:rsid w:val="0042074A"/>
    <w:rsid w:val="004207C0"/>
    <w:rsid w:val="0042094B"/>
    <w:rsid w:val="00420E70"/>
    <w:rsid w:val="00420F04"/>
    <w:rsid w:val="00421081"/>
    <w:rsid w:val="004210BA"/>
    <w:rsid w:val="004213A2"/>
    <w:rsid w:val="004213A6"/>
    <w:rsid w:val="004214FC"/>
    <w:rsid w:val="00421870"/>
    <w:rsid w:val="0042192D"/>
    <w:rsid w:val="00421BBD"/>
    <w:rsid w:val="00421F55"/>
    <w:rsid w:val="0042236C"/>
    <w:rsid w:val="004225AE"/>
    <w:rsid w:val="004228C6"/>
    <w:rsid w:val="00422CF1"/>
    <w:rsid w:val="00422D03"/>
    <w:rsid w:val="00422EB2"/>
    <w:rsid w:val="00423099"/>
    <w:rsid w:val="004230F5"/>
    <w:rsid w:val="0042347C"/>
    <w:rsid w:val="004235C4"/>
    <w:rsid w:val="004239A5"/>
    <w:rsid w:val="00423BA8"/>
    <w:rsid w:val="00423CBD"/>
    <w:rsid w:val="004240A9"/>
    <w:rsid w:val="004241CE"/>
    <w:rsid w:val="00424200"/>
    <w:rsid w:val="00424564"/>
    <w:rsid w:val="00424573"/>
    <w:rsid w:val="004248D8"/>
    <w:rsid w:val="00424C3F"/>
    <w:rsid w:val="00424D0A"/>
    <w:rsid w:val="00424D77"/>
    <w:rsid w:val="00424DD7"/>
    <w:rsid w:val="00424E79"/>
    <w:rsid w:val="00424FA9"/>
    <w:rsid w:val="004250B9"/>
    <w:rsid w:val="00425317"/>
    <w:rsid w:val="0042558E"/>
    <w:rsid w:val="00425BA1"/>
    <w:rsid w:val="00425D45"/>
    <w:rsid w:val="00425D5C"/>
    <w:rsid w:val="00425F9B"/>
    <w:rsid w:val="00426178"/>
    <w:rsid w:val="0042661C"/>
    <w:rsid w:val="00426897"/>
    <w:rsid w:val="00426BDD"/>
    <w:rsid w:val="00426C38"/>
    <w:rsid w:val="0042718E"/>
    <w:rsid w:val="00427271"/>
    <w:rsid w:val="004274B3"/>
    <w:rsid w:val="00427636"/>
    <w:rsid w:val="0042779A"/>
    <w:rsid w:val="00427808"/>
    <w:rsid w:val="004278A5"/>
    <w:rsid w:val="0042790C"/>
    <w:rsid w:val="00427D30"/>
    <w:rsid w:val="00427F27"/>
    <w:rsid w:val="00427F32"/>
    <w:rsid w:val="0043009C"/>
    <w:rsid w:val="00430294"/>
    <w:rsid w:val="004303AB"/>
    <w:rsid w:val="0043044F"/>
    <w:rsid w:val="00430487"/>
    <w:rsid w:val="0043062E"/>
    <w:rsid w:val="00430734"/>
    <w:rsid w:val="0043076A"/>
    <w:rsid w:val="00430A42"/>
    <w:rsid w:val="00430BDD"/>
    <w:rsid w:val="0043113F"/>
    <w:rsid w:val="00431785"/>
    <w:rsid w:val="00431B17"/>
    <w:rsid w:val="00431C9B"/>
    <w:rsid w:val="00431DC4"/>
    <w:rsid w:val="00431E69"/>
    <w:rsid w:val="00432048"/>
    <w:rsid w:val="004322B7"/>
    <w:rsid w:val="004323EB"/>
    <w:rsid w:val="004324F9"/>
    <w:rsid w:val="00432540"/>
    <w:rsid w:val="00432D78"/>
    <w:rsid w:val="00432E48"/>
    <w:rsid w:val="00432ED2"/>
    <w:rsid w:val="0043316F"/>
    <w:rsid w:val="004332B3"/>
    <w:rsid w:val="0043341D"/>
    <w:rsid w:val="00433469"/>
    <w:rsid w:val="00433529"/>
    <w:rsid w:val="0043362C"/>
    <w:rsid w:val="00433989"/>
    <w:rsid w:val="00433A36"/>
    <w:rsid w:val="00433C2A"/>
    <w:rsid w:val="00433E23"/>
    <w:rsid w:val="00433F36"/>
    <w:rsid w:val="00433FEE"/>
    <w:rsid w:val="004344BF"/>
    <w:rsid w:val="0043452F"/>
    <w:rsid w:val="00434660"/>
    <w:rsid w:val="00434663"/>
    <w:rsid w:val="004347CA"/>
    <w:rsid w:val="00434999"/>
    <w:rsid w:val="00434B15"/>
    <w:rsid w:val="00434B29"/>
    <w:rsid w:val="00434B64"/>
    <w:rsid w:val="00434BFA"/>
    <w:rsid w:val="00435013"/>
    <w:rsid w:val="00435387"/>
    <w:rsid w:val="00435494"/>
    <w:rsid w:val="004355D3"/>
    <w:rsid w:val="004359B5"/>
    <w:rsid w:val="00435A59"/>
    <w:rsid w:val="00435CB8"/>
    <w:rsid w:val="00435E82"/>
    <w:rsid w:val="00435F8C"/>
    <w:rsid w:val="004361E9"/>
    <w:rsid w:val="00436217"/>
    <w:rsid w:val="00436227"/>
    <w:rsid w:val="004362B8"/>
    <w:rsid w:val="0043632B"/>
    <w:rsid w:val="0043635D"/>
    <w:rsid w:val="004363CA"/>
    <w:rsid w:val="00436624"/>
    <w:rsid w:val="004367CE"/>
    <w:rsid w:val="00436AB6"/>
    <w:rsid w:val="00436B6E"/>
    <w:rsid w:val="00436E6C"/>
    <w:rsid w:val="00437057"/>
    <w:rsid w:val="00437135"/>
    <w:rsid w:val="0043715F"/>
    <w:rsid w:val="004375B3"/>
    <w:rsid w:val="00437B99"/>
    <w:rsid w:val="00437C67"/>
    <w:rsid w:val="00437D29"/>
    <w:rsid w:val="00440360"/>
    <w:rsid w:val="004403F7"/>
    <w:rsid w:val="00440406"/>
    <w:rsid w:val="004406E9"/>
    <w:rsid w:val="00440C8C"/>
    <w:rsid w:val="00440FA7"/>
    <w:rsid w:val="004412FA"/>
    <w:rsid w:val="0044167F"/>
    <w:rsid w:val="00441718"/>
    <w:rsid w:val="004418A3"/>
    <w:rsid w:val="004418E1"/>
    <w:rsid w:val="00441C55"/>
    <w:rsid w:val="00441CBC"/>
    <w:rsid w:val="00441E01"/>
    <w:rsid w:val="00441F98"/>
    <w:rsid w:val="0044207C"/>
    <w:rsid w:val="0044264B"/>
    <w:rsid w:val="00442E2B"/>
    <w:rsid w:val="00442E9B"/>
    <w:rsid w:val="00443020"/>
    <w:rsid w:val="00443279"/>
    <w:rsid w:val="0044339B"/>
    <w:rsid w:val="004433F5"/>
    <w:rsid w:val="004436A5"/>
    <w:rsid w:val="004438E4"/>
    <w:rsid w:val="00443B94"/>
    <w:rsid w:val="00443BE9"/>
    <w:rsid w:val="00443E02"/>
    <w:rsid w:val="00443E1F"/>
    <w:rsid w:val="00443EC1"/>
    <w:rsid w:val="00443EC8"/>
    <w:rsid w:val="0044403E"/>
    <w:rsid w:val="004440C2"/>
    <w:rsid w:val="004441D6"/>
    <w:rsid w:val="00444240"/>
    <w:rsid w:val="004443B2"/>
    <w:rsid w:val="004443E1"/>
    <w:rsid w:val="0044475A"/>
    <w:rsid w:val="0044566E"/>
    <w:rsid w:val="004459A0"/>
    <w:rsid w:val="00445B4E"/>
    <w:rsid w:val="00445CE4"/>
    <w:rsid w:val="00446009"/>
    <w:rsid w:val="0044603C"/>
    <w:rsid w:val="004460AA"/>
    <w:rsid w:val="004466AB"/>
    <w:rsid w:val="00446A96"/>
    <w:rsid w:val="00446C68"/>
    <w:rsid w:val="00446D05"/>
    <w:rsid w:val="00446F26"/>
    <w:rsid w:val="004474B6"/>
    <w:rsid w:val="0044756C"/>
    <w:rsid w:val="00447666"/>
    <w:rsid w:val="00447725"/>
    <w:rsid w:val="004477FF"/>
    <w:rsid w:val="00447AC9"/>
    <w:rsid w:val="00447CE7"/>
    <w:rsid w:val="00447D1A"/>
    <w:rsid w:val="00447D60"/>
    <w:rsid w:val="004502B2"/>
    <w:rsid w:val="00450452"/>
    <w:rsid w:val="0045047E"/>
    <w:rsid w:val="004504E9"/>
    <w:rsid w:val="00450797"/>
    <w:rsid w:val="00450957"/>
    <w:rsid w:val="00450CD9"/>
    <w:rsid w:val="00450CFE"/>
    <w:rsid w:val="0045121E"/>
    <w:rsid w:val="00451433"/>
    <w:rsid w:val="00451783"/>
    <w:rsid w:val="0045186F"/>
    <w:rsid w:val="00451970"/>
    <w:rsid w:val="00451C2E"/>
    <w:rsid w:val="00451C47"/>
    <w:rsid w:val="00451E80"/>
    <w:rsid w:val="0045205A"/>
    <w:rsid w:val="00452434"/>
    <w:rsid w:val="00452463"/>
    <w:rsid w:val="00452631"/>
    <w:rsid w:val="004529E6"/>
    <w:rsid w:val="00452EAE"/>
    <w:rsid w:val="00452EC1"/>
    <w:rsid w:val="00452EF2"/>
    <w:rsid w:val="00452FEC"/>
    <w:rsid w:val="00453181"/>
    <w:rsid w:val="00453264"/>
    <w:rsid w:val="0045350E"/>
    <w:rsid w:val="00453621"/>
    <w:rsid w:val="0045402E"/>
    <w:rsid w:val="0045405F"/>
    <w:rsid w:val="00454450"/>
    <w:rsid w:val="00454984"/>
    <w:rsid w:val="00454B8F"/>
    <w:rsid w:val="004551F2"/>
    <w:rsid w:val="0045521A"/>
    <w:rsid w:val="00455224"/>
    <w:rsid w:val="0045526D"/>
    <w:rsid w:val="00455591"/>
    <w:rsid w:val="00455597"/>
    <w:rsid w:val="00455645"/>
    <w:rsid w:val="00455741"/>
    <w:rsid w:val="00455AF5"/>
    <w:rsid w:val="00455B82"/>
    <w:rsid w:val="00455BA3"/>
    <w:rsid w:val="00456226"/>
    <w:rsid w:val="00456247"/>
    <w:rsid w:val="0045628F"/>
    <w:rsid w:val="004562B8"/>
    <w:rsid w:val="0045650E"/>
    <w:rsid w:val="004567C9"/>
    <w:rsid w:val="004568D7"/>
    <w:rsid w:val="00456964"/>
    <w:rsid w:val="00456A3A"/>
    <w:rsid w:val="00456E0B"/>
    <w:rsid w:val="004573AB"/>
    <w:rsid w:val="004574E7"/>
    <w:rsid w:val="004575B3"/>
    <w:rsid w:val="00457981"/>
    <w:rsid w:val="00457990"/>
    <w:rsid w:val="00457C7C"/>
    <w:rsid w:val="00460114"/>
    <w:rsid w:val="00460324"/>
    <w:rsid w:val="004603BD"/>
    <w:rsid w:val="00460919"/>
    <w:rsid w:val="00460A45"/>
    <w:rsid w:val="00460DD8"/>
    <w:rsid w:val="00460F3A"/>
    <w:rsid w:val="0046147A"/>
    <w:rsid w:val="0046163B"/>
    <w:rsid w:val="0046170D"/>
    <w:rsid w:val="0046174C"/>
    <w:rsid w:val="00461CDE"/>
    <w:rsid w:val="00462036"/>
    <w:rsid w:val="0046222A"/>
    <w:rsid w:val="004622FC"/>
    <w:rsid w:val="00462914"/>
    <w:rsid w:val="00462A88"/>
    <w:rsid w:val="00462AAA"/>
    <w:rsid w:val="00462B54"/>
    <w:rsid w:val="00463064"/>
    <w:rsid w:val="0046314A"/>
    <w:rsid w:val="00463154"/>
    <w:rsid w:val="0046334D"/>
    <w:rsid w:val="004633A5"/>
    <w:rsid w:val="004635BF"/>
    <w:rsid w:val="004636C5"/>
    <w:rsid w:val="004637AF"/>
    <w:rsid w:val="00463944"/>
    <w:rsid w:val="00463DB5"/>
    <w:rsid w:val="00463EC9"/>
    <w:rsid w:val="004640FD"/>
    <w:rsid w:val="00464118"/>
    <w:rsid w:val="00464198"/>
    <w:rsid w:val="004649CD"/>
    <w:rsid w:val="00464C37"/>
    <w:rsid w:val="00464CE7"/>
    <w:rsid w:val="00464D0B"/>
    <w:rsid w:val="00465385"/>
    <w:rsid w:val="0046558A"/>
    <w:rsid w:val="004656CF"/>
    <w:rsid w:val="0046597B"/>
    <w:rsid w:val="00465C18"/>
    <w:rsid w:val="00465D65"/>
    <w:rsid w:val="00465E91"/>
    <w:rsid w:val="00465EC7"/>
    <w:rsid w:val="00466391"/>
    <w:rsid w:val="00466750"/>
    <w:rsid w:val="00466805"/>
    <w:rsid w:val="0046685B"/>
    <w:rsid w:val="00466BF1"/>
    <w:rsid w:val="00466FC4"/>
    <w:rsid w:val="0046709E"/>
    <w:rsid w:val="004670A0"/>
    <w:rsid w:val="00467573"/>
    <w:rsid w:val="0046770A"/>
    <w:rsid w:val="00467A5C"/>
    <w:rsid w:val="00467ABD"/>
    <w:rsid w:val="00467C90"/>
    <w:rsid w:val="00467E2B"/>
    <w:rsid w:val="00470348"/>
    <w:rsid w:val="00470BAE"/>
    <w:rsid w:val="00471120"/>
    <w:rsid w:val="00471254"/>
    <w:rsid w:val="0047129E"/>
    <w:rsid w:val="00471411"/>
    <w:rsid w:val="00471956"/>
    <w:rsid w:val="00471D36"/>
    <w:rsid w:val="00471DEC"/>
    <w:rsid w:val="00472156"/>
    <w:rsid w:val="00472461"/>
    <w:rsid w:val="004724BE"/>
    <w:rsid w:val="004727AD"/>
    <w:rsid w:val="004728C9"/>
    <w:rsid w:val="00472B98"/>
    <w:rsid w:val="00472DEE"/>
    <w:rsid w:val="00472F0F"/>
    <w:rsid w:val="00473141"/>
    <w:rsid w:val="004732AF"/>
    <w:rsid w:val="004732CA"/>
    <w:rsid w:val="0047357A"/>
    <w:rsid w:val="00473977"/>
    <w:rsid w:val="00473C3D"/>
    <w:rsid w:val="00473EBA"/>
    <w:rsid w:val="0047402D"/>
    <w:rsid w:val="00474445"/>
    <w:rsid w:val="0047451E"/>
    <w:rsid w:val="00474835"/>
    <w:rsid w:val="004749A5"/>
    <w:rsid w:val="00474DAD"/>
    <w:rsid w:val="00474EA2"/>
    <w:rsid w:val="00475279"/>
    <w:rsid w:val="00475363"/>
    <w:rsid w:val="004754B8"/>
    <w:rsid w:val="004757B7"/>
    <w:rsid w:val="00475B95"/>
    <w:rsid w:val="00475BFE"/>
    <w:rsid w:val="00475C23"/>
    <w:rsid w:val="00475C50"/>
    <w:rsid w:val="004761BB"/>
    <w:rsid w:val="004762F3"/>
    <w:rsid w:val="004762F9"/>
    <w:rsid w:val="0047635C"/>
    <w:rsid w:val="00477042"/>
    <w:rsid w:val="004770EF"/>
    <w:rsid w:val="0047711B"/>
    <w:rsid w:val="004771E7"/>
    <w:rsid w:val="00477404"/>
    <w:rsid w:val="00477612"/>
    <w:rsid w:val="00477B93"/>
    <w:rsid w:val="00477C42"/>
    <w:rsid w:val="00480065"/>
    <w:rsid w:val="0048007A"/>
    <w:rsid w:val="00480145"/>
    <w:rsid w:val="0048027A"/>
    <w:rsid w:val="00480562"/>
    <w:rsid w:val="00480564"/>
    <w:rsid w:val="004805B2"/>
    <w:rsid w:val="004808B8"/>
    <w:rsid w:val="00480927"/>
    <w:rsid w:val="004809B8"/>
    <w:rsid w:val="00480D86"/>
    <w:rsid w:val="00480DD9"/>
    <w:rsid w:val="0048119A"/>
    <w:rsid w:val="00481708"/>
    <w:rsid w:val="004817E9"/>
    <w:rsid w:val="004819F5"/>
    <w:rsid w:val="00481B2E"/>
    <w:rsid w:val="00481CFE"/>
    <w:rsid w:val="00481F10"/>
    <w:rsid w:val="004820FA"/>
    <w:rsid w:val="0048214F"/>
    <w:rsid w:val="004821B9"/>
    <w:rsid w:val="00482403"/>
    <w:rsid w:val="004824F0"/>
    <w:rsid w:val="00482758"/>
    <w:rsid w:val="00482FB3"/>
    <w:rsid w:val="00483020"/>
    <w:rsid w:val="00483211"/>
    <w:rsid w:val="00483217"/>
    <w:rsid w:val="0048347E"/>
    <w:rsid w:val="004837EA"/>
    <w:rsid w:val="004839BF"/>
    <w:rsid w:val="00483A69"/>
    <w:rsid w:val="00483F3C"/>
    <w:rsid w:val="00484413"/>
    <w:rsid w:val="0048467C"/>
    <w:rsid w:val="0048468C"/>
    <w:rsid w:val="00484AA6"/>
    <w:rsid w:val="00484D05"/>
    <w:rsid w:val="00484EB8"/>
    <w:rsid w:val="00485190"/>
    <w:rsid w:val="00485301"/>
    <w:rsid w:val="00485601"/>
    <w:rsid w:val="00485612"/>
    <w:rsid w:val="00485703"/>
    <w:rsid w:val="00485A0F"/>
    <w:rsid w:val="00485DD4"/>
    <w:rsid w:val="00485F13"/>
    <w:rsid w:val="00486093"/>
    <w:rsid w:val="0048632D"/>
    <w:rsid w:val="00486A23"/>
    <w:rsid w:val="00486C35"/>
    <w:rsid w:val="00486D61"/>
    <w:rsid w:val="00486D8A"/>
    <w:rsid w:val="00486E2E"/>
    <w:rsid w:val="0048701F"/>
    <w:rsid w:val="00487498"/>
    <w:rsid w:val="004874E1"/>
    <w:rsid w:val="00487575"/>
    <w:rsid w:val="00487782"/>
    <w:rsid w:val="00487D40"/>
    <w:rsid w:val="00487E0F"/>
    <w:rsid w:val="00490172"/>
    <w:rsid w:val="004902A7"/>
    <w:rsid w:val="00490742"/>
    <w:rsid w:val="004908BF"/>
    <w:rsid w:val="00490A31"/>
    <w:rsid w:val="00490BBA"/>
    <w:rsid w:val="00490BDC"/>
    <w:rsid w:val="00490C2A"/>
    <w:rsid w:val="00490E16"/>
    <w:rsid w:val="004910A6"/>
    <w:rsid w:val="00491575"/>
    <w:rsid w:val="004916CB"/>
    <w:rsid w:val="0049183D"/>
    <w:rsid w:val="00491880"/>
    <w:rsid w:val="00491A21"/>
    <w:rsid w:val="00491D88"/>
    <w:rsid w:val="00491FC4"/>
    <w:rsid w:val="00491FDF"/>
    <w:rsid w:val="004921DB"/>
    <w:rsid w:val="00492271"/>
    <w:rsid w:val="0049247F"/>
    <w:rsid w:val="004925BF"/>
    <w:rsid w:val="004926AE"/>
    <w:rsid w:val="004927D8"/>
    <w:rsid w:val="004928BF"/>
    <w:rsid w:val="00493021"/>
    <w:rsid w:val="00493277"/>
    <w:rsid w:val="004935ED"/>
    <w:rsid w:val="00493631"/>
    <w:rsid w:val="004938B1"/>
    <w:rsid w:val="00493BE7"/>
    <w:rsid w:val="004942B5"/>
    <w:rsid w:val="00494708"/>
    <w:rsid w:val="0049471D"/>
    <w:rsid w:val="00494903"/>
    <w:rsid w:val="00494938"/>
    <w:rsid w:val="00494E80"/>
    <w:rsid w:val="00494F9F"/>
    <w:rsid w:val="0049508D"/>
    <w:rsid w:val="00495098"/>
    <w:rsid w:val="00495663"/>
    <w:rsid w:val="004957AA"/>
    <w:rsid w:val="004957AF"/>
    <w:rsid w:val="004958AC"/>
    <w:rsid w:val="00495AE4"/>
    <w:rsid w:val="00495BA9"/>
    <w:rsid w:val="00495EB3"/>
    <w:rsid w:val="00495FD4"/>
    <w:rsid w:val="0049605C"/>
    <w:rsid w:val="004965C1"/>
    <w:rsid w:val="004965EA"/>
    <w:rsid w:val="004965F7"/>
    <w:rsid w:val="00496605"/>
    <w:rsid w:val="004966F6"/>
    <w:rsid w:val="0049687E"/>
    <w:rsid w:val="004969AF"/>
    <w:rsid w:val="00496DA4"/>
    <w:rsid w:val="004970F8"/>
    <w:rsid w:val="004974F1"/>
    <w:rsid w:val="00497552"/>
    <w:rsid w:val="004975AD"/>
    <w:rsid w:val="00497950"/>
    <w:rsid w:val="00497ABC"/>
    <w:rsid w:val="00497BC9"/>
    <w:rsid w:val="00497BFA"/>
    <w:rsid w:val="00497FBF"/>
    <w:rsid w:val="004A053D"/>
    <w:rsid w:val="004A06F9"/>
    <w:rsid w:val="004A09BE"/>
    <w:rsid w:val="004A1635"/>
    <w:rsid w:val="004A16A3"/>
    <w:rsid w:val="004A1B82"/>
    <w:rsid w:val="004A1CF5"/>
    <w:rsid w:val="004A1D47"/>
    <w:rsid w:val="004A1F4C"/>
    <w:rsid w:val="004A1FCC"/>
    <w:rsid w:val="004A2565"/>
    <w:rsid w:val="004A2616"/>
    <w:rsid w:val="004A267A"/>
    <w:rsid w:val="004A29BD"/>
    <w:rsid w:val="004A2F18"/>
    <w:rsid w:val="004A2FFD"/>
    <w:rsid w:val="004A3183"/>
    <w:rsid w:val="004A325C"/>
    <w:rsid w:val="004A3873"/>
    <w:rsid w:val="004A39C9"/>
    <w:rsid w:val="004A3B78"/>
    <w:rsid w:val="004A3CE4"/>
    <w:rsid w:val="004A4011"/>
    <w:rsid w:val="004A4036"/>
    <w:rsid w:val="004A40B0"/>
    <w:rsid w:val="004A41FB"/>
    <w:rsid w:val="004A42B0"/>
    <w:rsid w:val="004A4309"/>
    <w:rsid w:val="004A46FF"/>
    <w:rsid w:val="004A49FE"/>
    <w:rsid w:val="004A4A56"/>
    <w:rsid w:val="004A4BFA"/>
    <w:rsid w:val="004A4C2D"/>
    <w:rsid w:val="004A4CBD"/>
    <w:rsid w:val="004A4E5C"/>
    <w:rsid w:val="004A4E71"/>
    <w:rsid w:val="004A4E83"/>
    <w:rsid w:val="004A5134"/>
    <w:rsid w:val="004A5662"/>
    <w:rsid w:val="004A56B1"/>
    <w:rsid w:val="004A5A65"/>
    <w:rsid w:val="004A5E8C"/>
    <w:rsid w:val="004A5F9D"/>
    <w:rsid w:val="004A6101"/>
    <w:rsid w:val="004A6166"/>
    <w:rsid w:val="004A62BF"/>
    <w:rsid w:val="004A63E5"/>
    <w:rsid w:val="004A6507"/>
    <w:rsid w:val="004A65EA"/>
    <w:rsid w:val="004A66FC"/>
    <w:rsid w:val="004A674B"/>
    <w:rsid w:val="004A67E9"/>
    <w:rsid w:val="004A687D"/>
    <w:rsid w:val="004A6896"/>
    <w:rsid w:val="004A6B13"/>
    <w:rsid w:val="004A6BA3"/>
    <w:rsid w:val="004A6D73"/>
    <w:rsid w:val="004A6DB6"/>
    <w:rsid w:val="004A7048"/>
    <w:rsid w:val="004A7057"/>
    <w:rsid w:val="004A705B"/>
    <w:rsid w:val="004A70F7"/>
    <w:rsid w:val="004A7200"/>
    <w:rsid w:val="004A73A0"/>
    <w:rsid w:val="004A742E"/>
    <w:rsid w:val="004A74A0"/>
    <w:rsid w:val="004A74FC"/>
    <w:rsid w:val="004A7616"/>
    <w:rsid w:val="004A794A"/>
    <w:rsid w:val="004A7B16"/>
    <w:rsid w:val="004A7B5E"/>
    <w:rsid w:val="004A7DEC"/>
    <w:rsid w:val="004A7EFC"/>
    <w:rsid w:val="004B025F"/>
    <w:rsid w:val="004B03AD"/>
    <w:rsid w:val="004B0498"/>
    <w:rsid w:val="004B0514"/>
    <w:rsid w:val="004B0788"/>
    <w:rsid w:val="004B0A0A"/>
    <w:rsid w:val="004B0B7E"/>
    <w:rsid w:val="004B0D70"/>
    <w:rsid w:val="004B0EC2"/>
    <w:rsid w:val="004B102D"/>
    <w:rsid w:val="004B105C"/>
    <w:rsid w:val="004B1088"/>
    <w:rsid w:val="004B1125"/>
    <w:rsid w:val="004B11BB"/>
    <w:rsid w:val="004B12F1"/>
    <w:rsid w:val="004B14D4"/>
    <w:rsid w:val="004B17B2"/>
    <w:rsid w:val="004B1BF3"/>
    <w:rsid w:val="004B1C4B"/>
    <w:rsid w:val="004B1CDB"/>
    <w:rsid w:val="004B1D3E"/>
    <w:rsid w:val="004B1DA3"/>
    <w:rsid w:val="004B1F04"/>
    <w:rsid w:val="004B2000"/>
    <w:rsid w:val="004B208D"/>
    <w:rsid w:val="004B2301"/>
    <w:rsid w:val="004B2392"/>
    <w:rsid w:val="004B26F5"/>
    <w:rsid w:val="004B2722"/>
    <w:rsid w:val="004B2789"/>
    <w:rsid w:val="004B279D"/>
    <w:rsid w:val="004B2891"/>
    <w:rsid w:val="004B2C16"/>
    <w:rsid w:val="004B2C60"/>
    <w:rsid w:val="004B2D06"/>
    <w:rsid w:val="004B2D30"/>
    <w:rsid w:val="004B2F21"/>
    <w:rsid w:val="004B3155"/>
    <w:rsid w:val="004B31EB"/>
    <w:rsid w:val="004B3300"/>
    <w:rsid w:val="004B3678"/>
    <w:rsid w:val="004B370E"/>
    <w:rsid w:val="004B37A8"/>
    <w:rsid w:val="004B37D3"/>
    <w:rsid w:val="004B3804"/>
    <w:rsid w:val="004B3B67"/>
    <w:rsid w:val="004B3BDF"/>
    <w:rsid w:val="004B3BF2"/>
    <w:rsid w:val="004B3E57"/>
    <w:rsid w:val="004B4507"/>
    <w:rsid w:val="004B457D"/>
    <w:rsid w:val="004B46BB"/>
    <w:rsid w:val="004B4928"/>
    <w:rsid w:val="004B4A31"/>
    <w:rsid w:val="004B4C11"/>
    <w:rsid w:val="004B4CBD"/>
    <w:rsid w:val="004B53BF"/>
    <w:rsid w:val="004B53DA"/>
    <w:rsid w:val="004B5433"/>
    <w:rsid w:val="004B545E"/>
    <w:rsid w:val="004B5916"/>
    <w:rsid w:val="004B5C07"/>
    <w:rsid w:val="004B60CB"/>
    <w:rsid w:val="004B634F"/>
    <w:rsid w:val="004B635E"/>
    <w:rsid w:val="004B6673"/>
    <w:rsid w:val="004B6784"/>
    <w:rsid w:val="004B6AAD"/>
    <w:rsid w:val="004B6BAA"/>
    <w:rsid w:val="004B6E81"/>
    <w:rsid w:val="004B6E89"/>
    <w:rsid w:val="004B7591"/>
    <w:rsid w:val="004B7652"/>
    <w:rsid w:val="004B766B"/>
    <w:rsid w:val="004B7908"/>
    <w:rsid w:val="004B7B31"/>
    <w:rsid w:val="004B7B34"/>
    <w:rsid w:val="004B7B95"/>
    <w:rsid w:val="004C01D9"/>
    <w:rsid w:val="004C03C6"/>
    <w:rsid w:val="004C04A5"/>
    <w:rsid w:val="004C0650"/>
    <w:rsid w:val="004C07D9"/>
    <w:rsid w:val="004C0A75"/>
    <w:rsid w:val="004C0C2F"/>
    <w:rsid w:val="004C0F26"/>
    <w:rsid w:val="004C0FAC"/>
    <w:rsid w:val="004C10FE"/>
    <w:rsid w:val="004C12D1"/>
    <w:rsid w:val="004C14AA"/>
    <w:rsid w:val="004C1663"/>
    <w:rsid w:val="004C1A1E"/>
    <w:rsid w:val="004C1CB5"/>
    <w:rsid w:val="004C1DB8"/>
    <w:rsid w:val="004C1FD4"/>
    <w:rsid w:val="004C2340"/>
    <w:rsid w:val="004C2764"/>
    <w:rsid w:val="004C27CC"/>
    <w:rsid w:val="004C29CF"/>
    <w:rsid w:val="004C2AE7"/>
    <w:rsid w:val="004C2C94"/>
    <w:rsid w:val="004C2DEE"/>
    <w:rsid w:val="004C2EFC"/>
    <w:rsid w:val="004C2FAC"/>
    <w:rsid w:val="004C30EF"/>
    <w:rsid w:val="004C3408"/>
    <w:rsid w:val="004C3557"/>
    <w:rsid w:val="004C37DA"/>
    <w:rsid w:val="004C3B79"/>
    <w:rsid w:val="004C4077"/>
    <w:rsid w:val="004C4088"/>
    <w:rsid w:val="004C41FB"/>
    <w:rsid w:val="004C484D"/>
    <w:rsid w:val="004C4C21"/>
    <w:rsid w:val="004C502E"/>
    <w:rsid w:val="004C507A"/>
    <w:rsid w:val="004C50F1"/>
    <w:rsid w:val="004C5141"/>
    <w:rsid w:val="004C5197"/>
    <w:rsid w:val="004C52F2"/>
    <w:rsid w:val="004C53FF"/>
    <w:rsid w:val="004C540F"/>
    <w:rsid w:val="004C5665"/>
    <w:rsid w:val="004C5676"/>
    <w:rsid w:val="004C57D2"/>
    <w:rsid w:val="004C5C5F"/>
    <w:rsid w:val="004C5F4F"/>
    <w:rsid w:val="004C625F"/>
    <w:rsid w:val="004C638D"/>
    <w:rsid w:val="004C63BB"/>
    <w:rsid w:val="004C641F"/>
    <w:rsid w:val="004C65EB"/>
    <w:rsid w:val="004C6639"/>
    <w:rsid w:val="004C6876"/>
    <w:rsid w:val="004C6A42"/>
    <w:rsid w:val="004C6F55"/>
    <w:rsid w:val="004C7882"/>
    <w:rsid w:val="004C7986"/>
    <w:rsid w:val="004C7A4B"/>
    <w:rsid w:val="004C7AE3"/>
    <w:rsid w:val="004C7C4D"/>
    <w:rsid w:val="004C7D58"/>
    <w:rsid w:val="004C7E9B"/>
    <w:rsid w:val="004D0326"/>
    <w:rsid w:val="004D049E"/>
    <w:rsid w:val="004D075D"/>
    <w:rsid w:val="004D07EB"/>
    <w:rsid w:val="004D0A49"/>
    <w:rsid w:val="004D0ACB"/>
    <w:rsid w:val="004D0B88"/>
    <w:rsid w:val="004D0C27"/>
    <w:rsid w:val="004D0D2B"/>
    <w:rsid w:val="004D0DFB"/>
    <w:rsid w:val="004D0F50"/>
    <w:rsid w:val="004D110F"/>
    <w:rsid w:val="004D1AB3"/>
    <w:rsid w:val="004D1C82"/>
    <w:rsid w:val="004D1ECA"/>
    <w:rsid w:val="004D210D"/>
    <w:rsid w:val="004D228F"/>
    <w:rsid w:val="004D254B"/>
    <w:rsid w:val="004D265E"/>
    <w:rsid w:val="004D2819"/>
    <w:rsid w:val="004D281A"/>
    <w:rsid w:val="004D29FC"/>
    <w:rsid w:val="004D2B7A"/>
    <w:rsid w:val="004D2C13"/>
    <w:rsid w:val="004D2E82"/>
    <w:rsid w:val="004D2F55"/>
    <w:rsid w:val="004D3041"/>
    <w:rsid w:val="004D30CD"/>
    <w:rsid w:val="004D3145"/>
    <w:rsid w:val="004D31E0"/>
    <w:rsid w:val="004D3287"/>
    <w:rsid w:val="004D33F7"/>
    <w:rsid w:val="004D34A9"/>
    <w:rsid w:val="004D3571"/>
    <w:rsid w:val="004D37E0"/>
    <w:rsid w:val="004D3DF9"/>
    <w:rsid w:val="004D3F61"/>
    <w:rsid w:val="004D4242"/>
    <w:rsid w:val="004D458C"/>
    <w:rsid w:val="004D479B"/>
    <w:rsid w:val="004D48C1"/>
    <w:rsid w:val="004D48FD"/>
    <w:rsid w:val="004D4B15"/>
    <w:rsid w:val="004D4B56"/>
    <w:rsid w:val="004D4C67"/>
    <w:rsid w:val="004D4CF4"/>
    <w:rsid w:val="004D4E8E"/>
    <w:rsid w:val="004D51BE"/>
    <w:rsid w:val="004D544F"/>
    <w:rsid w:val="004D55D1"/>
    <w:rsid w:val="004D56AB"/>
    <w:rsid w:val="004D5FAB"/>
    <w:rsid w:val="004D6797"/>
    <w:rsid w:val="004D693C"/>
    <w:rsid w:val="004D6EF5"/>
    <w:rsid w:val="004D6FF1"/>
    <w:rsid w:val="004D7100"/>
    <w:rsid w:val="004D7660"/>
    <w:rsid w:val="004D76B4"/>
    <w:rsid w:val="004D76E1"/>
    <w:rsid w:val="004D78EC"/>
    <w:rsid w:val="004D7B71"/>
    <w:rsid w:val="004D7D93"/>
    <w:rsid w:val="004D7E55"/>
    <w:rsid w:val="004E0624"/>
    <w:rsid w:val="004E094F"/>
    <w:rsid w:val="004E0950"/>
    <w:rsid w:val="004E0B48"/>
    <w:rsid w:val="004E0D5C"/>
    <w:rsid w:val="004E10E4"/>
    <w:rsid w:val="004E1357"/>
    <w:rsid w:val="004E1863"/>
    <w:rsid w:val="004E186D"/>
    <w:rsid w:val="004E18CC"/>
    <w:rsid w:val="004E1A4B"/>
    <w:rsid w:val="004E1C1A"/>
    <w:rsid w:val="004E218D"/>
    <w:rsid w:val="004E2555"/>
    <w:rsid w:val="004E2593"/>
    <w:rsid w:val="004E259C"/>
    <w:rsid w:val="004E2673"/>
    <w:rsid w:val="004E269F"/>
    <w:rsid w:val="004E2879"/>
    <w:rsid w:val="004E297F"/>
    <w:rsid w:val="004E2F7D"/>
    <w:rsid w:val="004E2FCF"/>
    <w:rsid w:val="004E3501"/>
    <w:rsid w:val="004E3A95"/>
    <w:rsid w:val="004E3B79"/>
    <w:rsid w:val="004E3B8F"/>
    <w:rsid w:val="004E3F78"/>
    <w:rsid w:val="004E3FCB"/>
    <w:rsid w:val="004E406C"/>
    <w:rsid w:val="004E4123"/>
    <w:rsid w:val="004E420A"/>
    <w:rsid w:val="004E4825"/>
    <w:rsid w:val="004E4899"/>
    <w:rsid w:val="004E4AAD"/>
    <w:rsid w:val="004E513E"/>
    <w:rsid w:val="004E51E6"/>
    <w:rsid w:val="004E55D2"/>
    <w:rsid w:val="004E576E"/>
    <w:rsid w:val="004E5932"/>
    <w:rsid w:val="004E59E1"/>
    <w:rsid w:val="004E5AAD"/>
    <w:rsid w:val="004E5E0C"/>
    <w:rsid w:val="004E6073"/>
    <w:rsid w:val="004E6318"/>
    <w:rsid w:val="004E6499"/>
    <w:rsid w:val="004E6597"/>
    <w:rsid w:val="004E65B8"/>
    <w:rsid w:val="004E6719"/>
    <w:rsid w:val="004E6A86"/>
    <w:rsid w:val="004E6B7D"/>
    <w:rsid w:val="004E6DD8"/>
    <w:rsid w:val="004E704B"/>
    <w:rsid w:val="004E7076"/>
    <w:rsid w:val="004E7104"/>
    <w:rsid w:val="004E7517"/>
    <w:rsid w:val="004E7519"/>
    <w:rsid w:val="004E769A"/>
    <w:rsid w:val="004E795E"/>
    <w:rsid w:val="004E7AEB"/>
    <w:rsid w:val="004E7C01"/>
    <w:rsid w:val="004F03D5"/>
    <w:rsid w:val="004F04BF"/>
    <w:rsid w:val="004F052A"/>
    <w:rsid w:val="004F057B"/>
    <w:rsid w:val="004F0684"/>
    <w:rsid w:val="004F06A5"/>
    <w:rsid w:val="004F07A1"/>
    <w:rsid w:val="004F0ED6"/>
    <w:rsid w:val="004F107D"/>
    <w:rsid w:val="004F1173"/>
    <w:rsid w:val="004F138C"/>
    <w:rsid w:val="004F148C"/>
    <w:rsid w:val="004F1663"/>
    <w:rsid w:val="004F1740"/>
    <w:rsid w:val="004F19E9"/>
    <w:rsid w:val="004F1A3A"/>
    <w:rsid w:val="004F1ACF"/>
    <w:rsid w:val="004F1BA7"/>
    <w:rsid w:val="004F22AD"/>
    <w:rsid w:val="004F24E9"/>
    <w:rsid w:val="004F2790"/>
    <w:rsid w:val="004F27DF"/>
    <w:rsid w:val="004F296A"/>
    <w:rsid w:val="004F2A15"/>
    <w:rsid w:val="004F2C66"/>
    <w:rsid w:val="004F2CB7"/>
    <w:rsid w:val="004F2F39"/>
    <w:rsid w:val="004F2F52"/>
    <w:rsid w:val="004F2FD4"/>
    <w:rsid w:val="004F3156"/>
    <w:rsid w:val="004F31AE"/>
    <w:rsid w:val="004F32DC"/>
    <w:rsid w:val="004F341F"/>
    <w:rsid w:val="004F34AF"/>
    <w:rsid w:val="004F383C"/>
    <w:rsid w:val="004F3A8E"/>
    <w:rsid w:val="004F3B60"/>
    <w:rsid w:val="004F3CB6"/>
    <w:rsid w:val="004F3CC5"/>
    <w:rsid w:val="004F3DEE"/>
    <w:rsid w:val="004F3E52"/>
    <w:rsid w:val="004F3F7A"/>
    <w:rsid w:val="004F40BB"/>
    <w:rsid w:val="004F4470"/>
    <w:rsid w:val="004F491F"/>
    <w:rsid w:val="004F4A13"/>
    <w:rsid w:val="004F4A8C"/>
    <w:rsid w:val="004F4C43"/>
    <w:rsid w:val="004F4F37"/>
    <w:rsid w:val="004F502A"/>
    <w:rsid w:val="004F53E2"/>
    <w:rsid w:val="004F585C"/>
    <w:rsid w:val="004F58D3"/>
    <w:rsid w:val="004F5AD1"/>
    <w:rsid w:val="004F5AE2"/>
    <w:rsid w:val="004F5CEF"/>
    <w:rsid w:val="004F5D2B"/>
    <w:rsid w:val="004F5F48"/>
    <w:rsid w:val="004F6230"/>
    <w:rsid w:val="004F628E"/>
    <w:rsid w:val="004F6439"/>
    <w:rsid w:val="004F6446"/>
    <w:rsid w:val="004F65C1"/>
    <w:rsid w:val="004F6726"/>
    <w:rsid w:val="004F6775"/>
    <w:rsid w:val="004F6794"/>
    <w:rsid w:val="004F6AA8"/>
    <w:rsid w:val="004F6F07"/>
    <w:rsid w:val="004F750C"/>
    <w:rsid w:val="004F7531"/>
    <w:rsid w:val="004F78F6"/>
    <w:rsid w:val="004F7B28"/>
    <w:rsid w:val="004F7F2F"/>
    <w:rsid w:val="004F7F99"/>
    <w:rsid w:val="0050005E"/>
    <w:rsid w:val="00500160"/>
    <w:rsid w:val="00500263"/>
    <w:rsid w:val="005003BB"/>
    <w:rsid w:val="00500586"/>
    <w:rsid w:val="005007BA"/>
    <w:rsid w:val="00500A3C"/>
    <w:rsid w:val="00500ACD"/>
    <w:rsid w:val="00500BEC"/>
    <w:rsid w:val="00500D49"/>
    <w:rsid w:val="00500FC1"/>
    <w:rsid w:val="00500FCE"/>
    <w:rsid w:val="00501138"/>
    <w:rsid w:val="00501150"/>
    <w:rsid w:val="00501181"/>
    <w:rsid w:val="00501297"/>
    <w:rsid w:val="005012C0"/>
    <w:rsid w:val="005015C6"/>
    <w:rsid w:val="005017F8"/>
    <w:rsid w:val="00501A28"/>
    <w:rsid w:val="00501A5D"/>
    <w:rsid w:val="00501C81"/>
    <w:rsid w:val="00501CF6"/>
    <w:rsid w:val="00501F21"/>
    <w:rsid w:val="00501F68"/>
    <w:rsid w:val="00501F6F"/>
    <w:rsid w:val="00501FFE"/>
    <w:rsid w:val="00502C17"/>
    <w:rsid w:val="00502C52"/>
    <w:rsid w:val="0050326A"/>
    <w:rsid w:val="00503344"/>
    <w:rsid w:val="00503797"/>
    <w:rsid w:val="005037D8"/>
    <w:rsid w:val="0050390F"/>
    <w:rsid w:val="00503994"/>
    <w:rsid w:val="00503A01"/>
    <w:rsid w:val="00503A82"/>
    <w:rsid w:val="00503AB4"/>
    <w:rsid w:val="00503C46"/>
    <w:rsid w:val="00503D0E"/>
    <w:rsid w:val="00504061"/>
    <w:rsid w:val="0050462E"/>
    <w:rsid w:val="0050467A"/>
    <w:rsid w:val="00504A0B"/>
    <w:rsid w:val="00504B27"/>
    <w:rsid w:val="00504CB2"/>
    <w:rsid w:val="00504D45"/>
    <w:rsid w:val="00504DE0"/>
    <w:rsid w:val="00504E91"/>
    <w:rsid w:val="00504F2E"/>
    <w:rsid w:val="00505176"/>
    <w:rsid w:val="00505210"/>
    <w:rsid w:val="00505962"/>
    <w:rsid w:val="00505BAE"/>
    <w:rsid w:val="00505E22"/>
    <w:rsid w:val="005060F6"/>
    <w:rsid w:val="005062FE"/>
    <w:rsid w:val="0050672C"/>
    <w:rsid w:val="00506956"/>
    <w:rsid w:val="00506973"/>
    <w:rsid w:val="005069BD"/>
    <w:rsid w:val="00506E05"/>
    <w:rsid w:val="00506F90"/>
    <w:rsid w:val="00507041"/>
    <w:rsid w:val="0050707B"/>
    <w:rsid w:val="00507243"/>
    <w:rsid w:val="005074E8"/>
    <w:rsid w:val="005074FF"/>
    <w:rsid w:val="0050753C"/>
    <w:rsid w:val="0050774A"/>
    <w:rsid w:val="00507B89"/>
    <w:rsid w:val="00507BE5"/>
    <w:rsid w:val="00507CE6"/>
    <w:rsid w:val="00510370"/>
    <w:rsid w:val="00510517"/>
    <w:rsid w:val="005105DA"/>
    <w:rsid w:val="00510612"/>
    <w:rsid w:val="00510D7A"/>
    <w:rsid w:val="00510FDF"/>
    <w:rsid w:val="005110CE"/>
    <w:rsid w:val="00511267"/>
    <w:rsid w:val="0051146B"/>
    <w:rsid w:val="00511662"/>
    <w:rsid w:val="00511761"/>
    <w:rsid w:val="005117F7"/>
    <w:rsid w:val="00511886"/>
    <w:rsid w:val="005118AA"/>
    <w:rsid w:val="00511C48"/>
    <w:rsid w:val="00511C65"/>
    <w:rsid w:val="00511CE8"/>
    <w:rsid w:val="00511D3F"/>
    <w:rsid w:val="00511D63"/>
    <w:rsid w:val="00512025"/>
    <w:rsid w:val="00512681"/>
    <w:rsid w:val="005127C1"/>
    <w:rsid w:val="0051299B"/>
    <w:rsid w:val="005129B1"/>
    <w:rsid w:val="00512A80"/>
    <w:rsid w:val="00512A9E"/>
    <w:rsid w:val="00512B41"/>
    <w:rsid w:val="00512BD8"/>
    <w:rsid w:val="00512CC3"/>
    <w:rsid w:val="00512FA9"/>
    <w:rsid w:val="0051336F"/>
    <w:rsid w:val="0051339F"/>
    <w:rsid w:val="00513553"/>
    <w:rsid w:val="005138B1"/>
    <w:rsid w:val="00513DC7"/>
    <w:rsid w:val="00513E6D"/>
    <w:rsid w:val="00513F21"/>
    <w:rsid w:val="005140E7"/>
    <w:rsid w:val="00514161"/>
    <w:rsid w:val="00514559"/>
    <w:rsid w:val="005145C1"/>
    <w:rsid w:val="00514685"/>
    <w:rsid w:val="00514A33"/>
    <w:rsid w:val="00514B9E"/>
    <w:rsid w:val="005150E3"/>
    <w:rsid w:val="00515228"/>
    <w:rsid w:val="00515380"/>
    <w:rsid w:val="00515399"/>
    <w:rsid w:val="005153AA"/>
    <w:rsid w:val="005153F3"/>
    <w:rsid w:val="0051549E"/>
    <w:rsid w:val="005155DD"/>
    <w:rsid w:val="005155F1"/>
    <w:rsid w:val="00515827"/>
    <w:rsid w:val="005158A8"/>
    <w:rsid w:val="00515985"/>
    <w:rsid w:val="00515B4F"/>
    <w:rsid w:val="00515B60"/>
    <w:rsid w:val="00515C61"/>
    <w:rsid w:val="00515D67"/>
    <w:rsid w:val="00515DC1"/>
    <w:rsid w:val="00515F75"/>
    <w:rsid w:val="00516118"/>
    <w:rsid w:val="0051639F"/>
    <w:rsid w:val="00516B36"/>
    <w:rsid w:val="00516C18"/>
    <w:rsid w:val="005171F2"/>
    <w:rsid w:val="00517395"/>
    <w:rsid w:val="005176CA"/>
    <w:rsid w:val="005177D1"/>
    <w:rsid w:val="0051783F"/>
    <w:rsid w:val="00517A74"/>
    <w:rsid w:val="00517B22"/>
    <w:rsid w:val="00517ED3"/>
    <w:rsid w:val="00520091"/>
    <w:rsid w:val="005202B5"/>
    <w:rsid w:val="00520495"/>
    <w:rsid w:val="00520530"/>
    <w:rsid w:val="005206F3"/>
    <w:rsid w:val="005209B2"/>
    <w:rsid w:val="00520BE6"/>
    <w:rsid w:val="00520D09"/>
    <w:rsid w:val="00520FFC"/>
    <w:rsid w:val="0052116B"/>
    <w:rsid w:val="0052122C"/>
    <w:rsid w:val="00521244"/>
    <w:rsid w:val="005213EB"/>
    <w:rsid w:val="00521758"/>
    <w:rsid w:val="00521847"/>
    <w:rsid w:val="005218E5"/>
    <w:rsid w:val="00521E2A"/>
    <w:rsid w:val="00521F7D"/>
    <w:rsid w:val="00522142"/>
    <w:rsid w:val="005221C3"/>
    <w:rsid w:val="00522660"/>
    <w:rsid w:val="005227A8"/>
    <w:rsid w:val="00522967"/>
    <w:rsid w:val="00522C81"/>
    <w:rsid w:val="00522CC2"/>
    <w:rsid w:val="00523422"/>
    <w:rsid w:val="005235D1"/>
    <w:rsid w:val="005236C0"/>
    <w:rsid w:val="00523BD8"/>
    <w:rsid w:val="00523C7A"/>
    <w:rsid w:val="00523DCF"/>
    <w:rsid w:val="00524102"/>
    <w:rsid w:val="00524106"/>
    <w:rsid w:val="00524457"/>
    <w:rsid w:val="0052445F"/>
    <w:rsid w:val="005244E9"/>
    <w:rsid w:val="00524A7D"/>
    <w:rsid w:val="00524D81"/>
    <w:rsid w:val="00524E4E"/>
    <w:rsid w:val="00524FBE"/>
    <w:rsid w:val="00525268"/>
    <w:rsid w:val="00525367"/>
    <w:rsid w:val="005253CA"/>
    <w:rsid w:val="005253FC"/>
    <w:rsid w:val="00525460"/>
    <w:rsid w:val="005256A7"/>
    <w:rsid w:val="00525736"/>
    <w:rsid w:val="005259C4"/>
    <w:rsid w:val="00525ACA"/>
    <w:rsid w:val="00525B2F"/>
    <w:rsid w:val="00525C56"/>
    <w:rsid w:val="0052604A"/>
    <w:rsid w:val="005260B6"/>
    <w:rsid w:val="005260FD"/>
    <w:rsid w:val="005261CC"/>
    <w:rsid w:val="00526288"/>
    <w:rsid w:val="0052638F"/>
    <w:rsid w:val="00526495"/>
    <w:rsid w:val="005269C5"/>
    <w:rsid w:val="00526CD0"/>
    <w:rsid w:val="00526DF6"/>
    <w:rsid w:val="00527084"/>
    <w:rsid w:val="005270FC"/>
    <w:rsid w:val="005272BA"/>
    <w:rsid w:val="005273A7"/>
    <w:rsid w:val="00527486"/>
    <w:rsid w:val="0052773D"/>
    <w:rsid w:val="00527841"/>
    <w:rsid w:val="00527905"/>
    <w:rsid w:val="005279AE"/>
    <w:rsid w:val="00527BA3"/>
    <w:rsid w:val="00527D16"/>
    <w:rsid w:val="00527F6D"/>
    <w:rsid w:val="0053047D"/>
    <w:rsid w:val="005304D9"/>
    <w:rsid w:val="00530736"/>
    <w:rsid w:val="00530C32"/>
    <w:rsid w:val="00530DB1"/>
    <w:rsid w:val="005312A7"/>
    <w:rsid w:val="005319D5"/>
    <w:rsid w:val="00531ABF"/>
    <w:rsid w:val="00531B3F"/>
    <w:rsid w:val="00531F68"/>
    <w:rsid w:val="00531FA2"/>
    <w:rsid w:val="0053206F"/>
    <w:rsid w:val="005320CB"/>
    <w:rsid w:val="00532424"/>
    <w:rsid w:val="00532494"/>
    <w:rsid w:val="005324F5"/>
    <w:rsid w:val="005326F7"/>
    <w:rsid w:val="00532B13"/>
    <w:rsid w:val="00532CB2"/>
    <w:rsid w:val="00532D10"/>
    <w:rsid w:val="00533149"/>
    <w:rsid w:val="0053371D"/>
    <w:rsid w:val="005337BB"/>
    <w:rsid w:val="00533996"/>
    <w:rsid w:val="00533A19"/>
    <w:rsid w:val="00533B84"/>
    <w:rsid w:val="0053454C"/>
    <w:rsid w:val="00534593"/>
    <w:rsid w:val="0053489B"/>
    <w:rsid w:val="0053498F"/>
    <w:rsid w:val="00534A1C"/>
    <w:rsid w:val="00534D7D"/>
    <w:rsid w:val="00534EFD"/>
    <w:rsid w:val="005350DC"/>
    <w:rsid w:val="00535252"/>
    <w:rsid w:val="0053539E"/>
    <w:rsid w:val="005354AC"/>
    <w:rsid w:val="0053567D"/>
    <w:rsid w:val="00535AAD"/>
    <w:rsid w:val="00535C83"/>
    <w:rsid w:val="00535CB4"/>
    <w:rsid w:val="00535DFF"/>
    <w:rsid w:val="00536010"/>
    <w:rsid w:val="0053606A"/>
    <w:rsid w:val="00536237"/>
    <w:rsid w:val="00536595"/>
    <w:rsid w:val="00536896"/>
    <w:rsid w:val="00536AC1"/>
    <w:rsid w:val="00536AD5"/>
    <w:rsid w:val="00537146"/>
    <w:rsid w:val="0053737B"/>
    <w:rsid w:val="00537616"/>
    <w:rsid w:val="00537904"/>
    <w:rsid w:val="00537A77"/>
    <w:rsid w:val="00537A7E"/>
    <w:rsid w:val="00537C63"/>
    <w:rsid w:val="00537C8C"/>
    <w:rsid w:val="00540017"/>
    <w:rsid w:val="0054024D"/>
    <w:rsid w:val="00540310"/>
    <w:rsid w:val="005408E1"/>
    <w:rsid w:val="00540BDE"/>
    <w:rsid w:val="00540C1E"/>
    <w:rsid w:val="00540EB6"/>
    <w:rsid w:val="00540F9D"/>
    <w:rsid w:val="005410CE"/>
    <w:rsid w:val="0054154D"/>
    <w:rsid w:val="00541832"/>
    <w:rsid w:val="00541A14"/>
    <w:rsid w:val="00541B77"/>
    <w:rsid w:val="005420F8"/>
    <w:rsid w:val="0054211F"/>
    <w:rsid w:val="005422D6"/>
    <w:rsid w:val="005422EE"/>
    <w:rsid w:val="00542516"/>
    <w:rsid w:val="005426A6"/>
    <w:rsid w:val="005429DC"/>
    <w:rsid w:val="00542B72"/>
    <w:rsid w:val="00542B74"/>
    <w:rsid w:val="00542C3A"/>
    <w:rsid w:val="00542D62"/>
    <w:rsid w:val="00542E34"/>
    <w:rsid w:val="005430E7"/>
    <w:rsid w:val="00543425"/>
    <w:rsid w:val="00543462"/>
    <w:rsid w:val="00543797"/>
    <w:rsid w:val="00543834"/>
    <w:rsid w:val="005438BB"/>
    <w:rsid w:val="0054390B"/>
    <w:rsid w:val="00543A5B"/>
    <w:rsid w:val="00543BCA"/>
    <w:rsid w:val="00543F08"/>
    <w:rsid w:val="00543F9C"/>
    <w:rsid w:val="00544062"/>
    <w:rsid w:val="005440EE"/>
    <w:rsid w:val="00544300"/>
    <w:rsid w:val="00544774"/>
    <w:rsid w:val="005448C5"/>
    <w:rsid w:val="00544BF1"/>
    <w:rsid w:val="00545290"/>
    <w:rsid w:val="00545C42"/>
    <w:rsid w:val="00545D06"/>
    <w:rsid w:val="00545DB7"/>
    <w:rsid w:val="00545DDB"/>
    <w:rsid w:val="00545E7E"/>
    <w:rsid w:val="00545F2D"/>
    <w:rsid w:val="005461AA"/>
    <w:rsid w:val="005462D0"/>
    <w:rsid w:val="005463C8"/>
    <w:rsid w:val="005464CD"/>
    <w:rsid w:val="005465FA"/>
    <w:rsid w:val="0054687E"/>
    <w:rsid w:val="00546AD0"/>
    <w:rsid w:val="00546C79"/>
    <w:rsid w:val="00546D39"/>
    <w:rsid w:val="00546F85"/>
    <w:rsid w:val="005472F3"/>
    <w:rsid w:val="00547884"/>
    <w:rsid w:val="00547916"/>
    <w:rsid w:val="00547A88"/>
    <w:rsid w:val="00547A9E"/>
    <w:rsid w:val="00547AED"/>
    <w:rsid w:val="00547CB2"/>
    <w:rsid w:val="0055000A"/>
    <w:rsid w:val="00550094"/>
    <w:rsid w:val="0055036C"/>
    <w:rsid w:val="0055047F"/>
    <w:rsid w:val="0055087D"/>
    <w:rsid w:val="00550AB0"/>
    <w:rsid w:val="00550CBF"/>
    <w:rsid w:val="00550E84"/>
    <w:rsid w:val="00550F8F"/>
    <w:rsid w:val="00550FD8"/>
    <w:rsid w:val="005511F1"/>
    <w:rsid w:val="00551368"/>
    <w:rsid w:val="005513AC"/>
    <w:rsid w:val="0055141A"/>
    <w:rsid w:val="00551759"/>
    <w:rsid w:val="0055206D"/>
    <w:rsid w:val="005521D0"/>
    <w:rsid w:val="0055241A"/>
    <w:rsid w:val="005524B0"/>
    <w:rsid w:val="00552B0F"/>
    <w:rsid w:val="00552C3B"/>
    <w:rsid w:val="00552CD2"/>
    <w:rsid w:val="00552ECE"/>
    <w:rsid w:val="00552F7C"/>
    <w:rsid w:val="00552FCC"/>
    <w:rsid w:val="00553235"/>
    <w:rsid w:val="0055344F"/>
    <w:rsid w:val="005536E8"/>
    <w:rsid w:val="00553893"/>
    <w:rsid w:val="00553C6A"/>
    <w:rsid w:val="00553D16"/>
    <w:rsid w:val="00553DFB"/>
    <w:rsid w:val="00554139"/>
    <w:rsid w:val="0055418A"/>
    <w:rsid w:val="00554316"/>
    <w:rsid w:val="00554894"/>
    <w:rsid w:val="00554A84"/>
    <w:rsid w:val="00554F08"/>
    <w:rsid w:val="00554FFD"/>
    <w:rsid w:val="00555309"/>
    <w:rsid w:val="0055552B"/>
    <w:rsid w:val="005555DB"/>
    <w:rsid w:val="0055584F"/>
    <w:rsid w:val="0055587F"/>
    <w:rsid w:val="00555960"/>
    <w:rsid w:val="00555AE0"/>
    <w:rsid w:val="00555AEC"/>
    <w:rsid w:val="00555B16"/>
    <w:rsid w:val="00555F09"/>
    <w:rsid w:val="00556028"/>
    <w:rsid w:val="005562E5"/>
    <w:rsid w:val="00556EFB"/>
    <w:rsid w:val="00557296"/>
    <w:rsid w:val="00557633"/>
    <w:rsid w:val="005577B0"/>
    <w:rsid w:val="00557B39"/>
    <w:rsid w:val="0056001D"/>
    <w:rsid w:val="0056010D"/>
    <w:rsid w:val="0056013B"/>
    <w:rsid w:val="0056014B"/>
    <w:rsid w:val="00560192"/>
    <w:rsid w:val="005603DA"/>
    <w:rsid w:val="00560B8B"/>
    <w:rsid w:val="0056121F"/>
    <w:rsid w:val="00561241"/>
    <w:rsid w:val="005613C5"/>
    <w:rsid w:val="00561AB3"/>
    <w:rsid w:val="00561BD3"/>
    <w:rsid w:val="00562084"/>
    <w:rsid w:val="005623EA"/>
    <w:rsid w:val="005625F0"/>
    <w:rsid w:val="005626AD"/>
    <w:rsid w:val="00562EA1"/>
    <w:rsid w:val="005630B7"/>
    <w:rsid w:val="005632E4"/>
    <w:rsid w:val="0056375B"/>
    <w:rsid w:val="005638DA"/>
    <w:rsid w:val="0056397E"/>
    <w:rsid w:val="00563A50"/>
    <w:rsid w:val="00563DF2"/>
    <w:rsid w:val="00564369"/>
    <w:rsid w:val="005643F3"/>
    <w:rsid w:val="005644FA"/>
    <w:rsid w:val="00564679"/>
    <w:rsid w:val="0056488B"/>
    <w:rsid w:val="00564939"/>
    <w:rsid w:val="00564B82"/>
    <w:rsid w:val="00564C58"/>
    <w:rsid w:val="00565095"/>
    <w:rsid w:val="00565333"/>
    <w:rsid w:val="0056574F"/>
    <w:rsid w:val="005658BD"/>
    <w:rsid w:val="005659B6"/>
    <w:rsid w:val="00565A16"/>
    <w:rsid w:val="00565AA0"/>
    <w:rsid w:val="00565BB7"/>
    <w:rsid w:val="00565D4E"/>
    <w:rsid w:val="00565DB9"/>
    <w:rsid w:val="00565ECA"/>
    <w:rsid w:val="00565FD6"/>
    <w:rsid w:val="005661B8"/>
    <w:rsid w:val="005661C7"/>
    <w:rsid w:val="0056644C"/>
    <w:rsid w:val="005667BA"/>
    <w:rsid w:val="005669BC"/>
    <w:rsid w:val="00566AC6"/>
    <w:rsid w:val="00566AD4"/>
    <w:rsid w:val="00566D15"/>
    <w:rsid w:val="00566F76"/>
    <w:rsid w:val="00566FB3"/>
    <w:rsid w:val="005670F5"/>
    <w:rsid w:val="00567154"/>
    <w:rsid w:val="00567562"/>
    <w:rsid w:val="005675DF"/>
    <w:rsid w:val="0056767E"/>
    <w:rsid w:val="005679ED"/>
    <w:rsid w:val="00567B35"/>
    <w:rsid w:val="00567B9B"/>
    <w:rsid w:val="00567BDA"/>
    <w:rsid w:val="00567BE3"/>
    <w:rsid w:val="00567DDD"/>
    <w:rsid w:val="00567DE1"/>
    <w:rsid w:val="0057040F"/>
    <w:rsid w:val="00570700"/>
    <w:rsid w:val="00570838"/>
    <w:rsid w:val="00570CFD"/>
    <w:rsid w:val="00570D87"/>
    <w:rsid w:val="00570E71"/>
    <w:rsid w:val="00570EB0"/>
    <w:rsid w:val="00570EED"/>
    <w:rsid w:val="00570F18"/>
    <w:rsid w:val="0057107A"/>
    <w:rsid w:val="0057135B"/>
    <w:rsid w:val="0057141A"/>
    <w:rsid w:val="005716FC"/>
    <w:rsid w:val="005717F7"/>
    <w:rsid w:val="0057198F"/>
    <w:rsid w:val="00571ABA"/>
    <w:rsid w:val="00571D2A"/>
    <w:rsid w:val="00571F9E"/>
    <w:rsid w:val="00571FE8"/>
    <w:rsid w:val="005723C9"/>
    <w:rsid w:val="005724A0"/>
    <w:rsid w:val="00572546"/>
    <w:rsid w:val="005725E3"/>
    <w:rsid w:val="005727BD"/>
    <w:rsid w:val="00572C2A"/>
    <w:rsid w:val="00572EF2"/>
    <w:rsid w:val="0057317B"/>
    <w:rsid w:val="00573587"/>
    <w:rsid w:val="00573B04"/>
    <w:rsid w:val="00573B54"/>
    <w:rsid w:val="00573D4F"/>
    <w:rsid w:val="00573E80"/>
    <w:rsid w:val="00573F56"/>
    <w:rsid w:val="005743C1"/>
    <w:rsid w:val="00574441"/>
    <w:rsid w:val="005744F6"/>
    <w:rsid w:val="005745F4"/>
    <w:rsid w:val="005746D3"/>
    <w:rsid w:val="00574A53"/>
    <w:rsid w:val="00574B37"/>
    <w:rsid w:val="00574D5B"/>
    <w:rsid w:val="00574F16"/>
    <w:rsid w:val="00575218"/>
    <w:rsid w:val="005754ED"/>
    <w:rsid w:val="005757F3"/>
    <w:rsid w:val="00575968"/>
    <w:rsid w:val="00575AE0"/>
    <w:rsid w:val="00575AFC"/>
    <w:rsid w:val="00575B15"/>
    <w:rsid w:val="00575B53"/>
    <w:rsid w:val="00575CAC"/>
    <w:rsid w:val="00575DDB"/>
    <w:rsid w:val="00575DEF"/>
    <w:rsid w:val="00575F16"/>
    <w:rsid w:val="005763DB"/>
    <w:rsid w:val="00576C5F"/>
    <w:rsid w:val="00577004"/>
    <w:rsid w:val="005771F0"/>
    <w:rsid w:val="00577217"/>
    <w:rsid w:val="0057740D"/>
    <w:rsid w:val="005774BA"/>
    <w:rsid w:val="005778C8"/>
    <w:rsid w:val="005778EF"/>
    <w:rsid w:val="00577A25"/>
    <w:rsid w:val="00577A43"/>
    <w:rsid w:val="00577A7F"/>
    <w:rsid w:val="0058013F"/>
    <w:rsid w:val="005801A4"/>
    <w:rsid w:val="005803EC"/>
    <w:rsid w:val="00580A06"/>
    <w:rsid w:val="00580B84"/>
    <w:rsid w:val="00580C1F"/>
    <w:rsid w:val="00580E44"/>
    <w:rsid w:val="0058131B"/>
    <w:rsid w:val="005816FA"/>
    <w:rsid w:val="005818C7"/>
    <w:rsid w:val="00581B31"/>
    <w:rsid w:val="0058211D"/>
    <w:rsid w:val="00582319"/>
    <w:rsid w:val="0058248A"/>
    <w:rsid w:val="0058253C"/>
    <w:rsid w:val="00582650"/>
    <w:rsid w:val="005826EA"/>
    <w:rsid w:val="00582AB7"/>
    <w:rsid w:val="0058308E"/>
    <w:rsid w:val="00583485"/>
    <w:rsid w:val="0058358D"/>
    <w:rsid w:val="0058375B"/>
    <w:rsid w:val="0058385F"/>
    <w:rsid w:val="00583A33"/>
    <w:rsid w:val="00583DAA"/>
    <w:rsid w:val="00583E24"/>
    <w:rsid w:val="00583F94"/>
    <w:rsid w:val="0058418E"/>
    <w:rsid w:val="005841E4"/>
    <w:rsid w:val="00584435"/>
    <w:rsid w:val="0058453E"/>
    <w:rsid w:val="00584619"/>
    <w:rsid w:val="00584907"/>
    <w:rsid w:val="00584BE4"/>
    <w:rsid w:val="00584BFC"/>
    <w:rsid w:val="0058513A"/>
    <w:rsid w:val="005852F7"/>
    <w:rsid w:val="0058546C"/>
    <w:rsid w:val="005854C4"/>
    <w:rsid w:val="0058595E"/>
    <w:rsid w:val="00585A79"/>
    <w:rsid w:val="00585A7A"/>
    <w:rsid w:val="00585D6F"/>
    <w:rsid w:val="00585D81"/>
    <w:rsid w:val="005860AF"/>
    <w:rsid w:val="00586204"/>
    <w:rsid w:val="00586300"/>
    <w:rsid w:val="00586557"/>
    <w:rsid w:val="0058678B"/>
    <w:rsid w:val="005867D2"/>
    <w:rsid w:val="0058687D"/>
    <w:rsid w:val="005869CB"/>
    <w:rsid w:val="00586A1A"/>
    <w:rsid w:val="00586F4B"/>
    <w:rsid w:val="005870E2"/>
    <w:rsid w:val="0058724E"/>
    <w:rsid w:val="0058733B"/>
    <w:rsid w:val="005873F3"/>
    <w:rsid w:val="005875A5"/>
    <w:rsid w:val="00587876"/>
    <w:rsid w:val="0058798E"/>
    <w:rsid w:val="00587EAB"/>
    <w:rsid w:val="00590090"/>
    <w:rsid w:val="0059013D"/>
    <w:rsid w:val="005902E2"/>
    <w:rsid w:val="0059040B"/>
    <w:rsid w:val="00590433"/>
    <w:rsid w:val="00590781"/>
    <w:rsid w:val="00590862"/>
    <w:rsid w:val="00590952"/>
    <w:rsid w:val="005909A8"/>
    <w:rsid w:val="005909F2"/>
    <w:rsid w:val="00590D4E"/>
    <w:rsid w:val="00590E3D"/>
    <w:rsid w:val="005910E0"/>
    <w:rsid w:val="00591109"/>
    <w:rsid w:val="0059193F"/>
    <w:rsid w:val="00591BB1"/>
    <w:rsid w:val="00591C16"/>
    <w:rsid w:val="0059252A"/>
    <w:rsid w:val="00592808"/>
    <w:rsid w:val="00592A0D"/>
    <w:rsid w:val="00592A8E"/>
    <w:rsid w:val="00592B13"/>
    <w:rsid w:val="00592B45"/>
    <w:rsid w:val="00592D94"/>
    <w:rsid w:val="00592F3D"/>
    <w:rsid w:val="00593247"/>
    <w:rsid w:val="00593FA4"/>
    <w:rsid w:val="00594044"/>
    <w:rsid w:val="0059422D"/>
    <w:rsid w:val="00594376"/>
    <w:rsid w:val="005944B6"/>
    <w:rsid w:val="00594518"/>
    <w:rsid w:val="00594619"/>
    <w:rsid w:val="00594A61"/>
    <w:rsid w:val="00594F1D"/>
    <w:rsid w:val="00594F6F"/>
    <w:rsid w:val="005950FC"/>
    <w:rsid w:val="005953AD"/>
    <w:rsid w:val="005956B6"/>
    <w:rsid w:val="005956E3"/>
    <w:rsid w:val="00595796"/>
    <w:rsid w:val="00595894"/>
    <w:rsid w:val="00595996"/>
    <w:rsid w:val="00595AB2"/>
    <w:rsid w:val="00595D5C"/>
    <w:rsid w:val="00596154"/>
    <w:rsid w:val="005963CC"/>
    <w:rsid w:val="0059668E"/>
    <w:rsid w:val="00596841"/>
    <w:rsid w:val="00596861"/>
    <w:rsid w:val="00596C9B"/>
    <w:rsid w:val="00596CF9"/>
    <w:rsid w:val="00596D4C"/>
    <w:rsid w:val="00596E19"/>
    <w:rsid w:val="00596E80"/>
    <w:rsid w:val="0059753F"/>
    <w:rsid w:val="0059786A"/>
    <w:rsid w:val="005978AA"/>
    <w:rsid w:val="0059794D"/>
    <w:rsid w:val="00597AA8"/>
    <w:rsid w:val="00597C73"/>
    <w:rsid w:val="00597D88"/>
    <w:rsid w:val="005A00BF"/>
    <w:rsid w:val="005A02D7"/>
    <w:rsid w:val="005A0722"/>
    <w:rsid w:val="005A07F1"/>
    <w:rsid w:val="005A0E45"/>
    <w:rsid w:val="005A10F3"/>
    <w:rsid w:val="005A1113"/>
    <w:rsid w:val="005A1369"/>
    <w:rsid w:val="005A1507"/>
    <w:rsid w:val="005A15C2"/>
    <w:rsid w:val="005A16FB"/>
    <w:rsid w:val="005A193C"/>
    <w:rsid w:val="005A1986"/>
    <w:rsid w:val="005A1C71"/>
    <w:rsid w:val="005A1C9E"/>
    <w:rsid w:val="005A2049"/>
    <w:rsid w:val="005A208D"/>
    <w:rsid w:val="005A241E"/>
    <w:rsid w:val="005A2781"/>
    <w:rsid w:val="005A27FB"/>
    <w:rsid w:val="005A28B4"/>
    <w:rsid w:val="005A2DC2"/>
    <w:rsid w:val="005A2FEF"/>
    <w:rsid w:val="005A347C"/>
    <w:rsid w:val="005A38AA"/>
    <w:rsid w:val="005A3B7F"/>
    <w:rsid w:val="005A3C3C"/>
    <w:rsid w:val="005A3C9B"/>
    <w:rsid w:val="005A418F"/>
    <w:rsid w:val="005A422F"/>
    <w:rsid w:val="005A46A3"/>
    <w:rsid w:val="005A46F6"/>
    <w:rsid w:val="005A4718"/>
    <w:rsid w:val="005A472C"/>
    <w:rsid w:val="005A4869"/>
    <w:rsid w:val="005A4897"/>
    <w:rsid w:val="005A4984"/>
    <w:rsid w:val="005A4A43"/>
    <w:rsid w:val="005A4B7E"/>
    <w:rsid w:val="005A4C3D"/>
    <w:rsid w:val="005A4C76"/>
    <w:rsid w:val="005A51A0"/>
    <w:rsid w:val="005A52A2"/>
    <w:rsid w:val="005A5325"/>
    <w:rsid w:val="005A5557"/>
    <w:rsid w:val="005A573A"/>
    <w:rsid w:val="005A59D6"/>
    <w:rsid w:val="005A5BF1"/>
    <w:rsid w:val="005A615D"/>
    <w:rsid w:val="005A61A7"/>
    <w:rsid w:val="005A61F3"/>
    <w:rsid w:val="005A6259"/>
    <w:rsid w:val="005A627D"/>
    <w:rsid w:val="005A63E5"/>
    <w:rsid w:val="005A6439"/>
    <w:rsid w:val="005A672D"/>
    <w:rsid w:val="005A6987"/>
    <w:rsid w:val="005A6DF1"/>
    <w:rsid w:val="005A6F61"/>
    <w:rsid w:val="005A6F92"/>
    <w:rsid w:val="005A6FED"/>
    <w:rsid w:val="005A70E5"/>
    <w:rsid w:val="005A7323"/>
    <w:rsid w:val="005A7628"/>
    <w:rsid w:val="005A777A"/>
    <w:rsid w:val="005A7790"/>
    <w:rsid w:val="005A78B2"/>
    <w:rsid w:val="005A79A4"/>
    <w:rsid w:val="005A7A57"/>
    <w:rsid w:val="005A7AA4"/>
    <w:rsid w:val="005B05E7"/>
    <w:rsid w:val="005B0AC8"/>
    <w:rsid w:val="005B0AE8"/>
    <w:rsid w:val="005B0B39"/>
    <w:rsid w:val="005B0D4D"/>
    <w:rsid w:val="005B0FF4"/>
    <w:rsid w:val="005B1000"/>
    <w:rsid w:val="005B10EF"/>
    <w:rsid w:val="005B12BA"/>
    <w:rsid w:val="005B13CE"/>
    <w:rsid w:val="005B166A"/>
    <w:rsid w:val="005B1A25"/>
    <w:rsid w:val="005B1B3E"/>
    <w:rsid w:val="005B1B7C"/>
    <w:rsid w:val="005B1BC4"/>
    <w:rsid w:val="005B1D50"/>
    <w:rsid w:val="005B1F3A"/>
    <w:rsid w:val="005B214A"/>
    <w:rsid w:val="005B2572"/>
    <w:rsid w:val="005B25EC"/>
    <w:rsid w:val="005B2836"/>
    <w:rsid w:val="005B2A72"/>
    <w:rsid w:val="005B2C40"/>
    <w:rsid w:val="005B2D3D"/>
    <w:rsid w:val="005B331C"/>
    <w:rsid w:val="005B3458"/>
    <w:rsid w:val="005B35F7"/>
    <w:rsid w:val="005B3B14"/>
    <w:rsid w:val="005B3C66"/>
    <w:rsid w:val="005B3D11"/>
    <w:rsid w:val="005B3DAE"/>
    <w:rsid w:val="005B411C"/>
    <w:rsid w:val="005B4849"/>
    <w:rsid w:val="005B497A"/>
    <w:rsid w:val="005B4BA3"/>
    <w:rsid w:val="005B4E4D"/>
    <w:rsid w:val="005B4EE9"/>
    <w:rsid w:val="005B513D"/>
    <w:rsid w:val="005B5538"/>
    <w:rsid w:val="005B5D5F"/>
    <w:rsid w:val="005B63CD"/>
    <w:rsid w:val="005B6661"/>
    <w:rsid w:val="005B668D"/>
    <w:rsid w:val="005B6894"/>
    <w:rsid w:val="005B6B61"/>
    <w:rsid w:val="005B6C18"/>
    <w:rsid w:val="005B6E5D"/>
    <w:rsid w:val="005B6ED8"/>
    <w:rsid w:val="005B6F74"/>
    <w:rsid w:val="005B6FEC"/>
    <w:rsid w:val="005B6FF5"/>
    <w:rsid w:val="005B7121"/>
    <w:rsid w:val="005B7243"/>
    <w:rsid w:val="005B779C"/>
    <w:rsid w:val="005B791F"/>
    <w:rsid w:val="005B7B2E"/>
    <w:rsid w:val="005B7B47"/>
    <w:rsid w:val="005B7C9F"/>
    <w:rsid w:val="005C0160"/>
    <w:rsid w:val="005C01A8"/>
    <w:rsid w:val="005C06F8"/>
    <w:rsid w:val="005C072C"/>
    <w:rsid w:val="005C0B56"/>
    <w:rsid w:val="005C0C4E"/>
    <w:rsid w:val="005C0E15"/>
    <w:rsid w:val="005C0F9A"/>
    <w:rsid w:val="005C1023"/>
    <w:rsid w:val="005C11F2"/>
    <w:rsid w:val="005C1384"/>
    <w:rsid w:val="005C13B2"/>
    <w:rsid w:val="005C17A1"/>
    <w:rsid w:val="005C1815"/>
    <w:rsid w:val="005C1AEC"/>
    <w:rsid w:val="005C1F37"/>
    <w:rsid w:val="005C1FC1"/>
    <w:rsid w:val="005C2400"/>
    <w:rsid w:val="005C27E3"/>
    <w:rsid w:val="005C2B4E"/>
    <w:rsid w:val="005C2D4E"/>
    <w:rsid w:val="005C2E0A"/>
    <w:rsid w:val="005C33AA"/>
    <w:rsid w:val="005C37B0"/>
    <w:rsid w:val="005C37CB"/>
    <w:rsid w:val="005C3AAA"/>
    <w:rsid w:val="005C3BE8"/>
    <w:rsid w:val="005C3D6F"/>
    <w:rsid w:val="005C3EF8"/>
    <w:rsid w:val="005C3FE3"/>
    <w:rsid w:val="005C409C"/>
    <w:rsid w:val="005C415E"/>
    <w:rsid w:val="005C43CC"/>
    <w:rsid w:val="005C459C"/>
    <w:rsid w:val="005C470D"/>
    <w:rsid w:val="005C475A"/>
    <w:rsid w:val="005C5A97"/>
    <w:rsid w:val="005C5AB2"/>
    <w:rsid w:val="005C5B16"/>
    <w:rsid w:val="005C5C95"/>
    <w:rsid w:val="005C614F"/>
    <w:rsid w:val="005C6374"/>
    <w:rsid w:val="005C6928"/>
    <w:rsid w:val="005C6EF3"/>
    <w:rsid w:val="005C71FB"/>
    <w:rsid w:val="005C74C5"/>
    <w:rsid w:val="005C7665"/>
    <w:rsid w:val="005C76CC"/>
    <w:rsid w:val="005C7775"/>
    <w:rsid w:val="005C7834"/>
    <w:rsid w:val="005C7DF7"/>
    <w:rsid w:val="005C7E80"/>
    <w:rsid w:val="005C7FCF"/>
    <w:rsid w:val="005D023F"/>
    <w:rsid w:val="005D025D"/>
    <w:rsid w:val="005D02FB"/>
    <w:rsid w:val="005D0511"/>
    <w:rsid w:val="005D0A7A"/>
    <w:rsid w:val="005D0AAE"/>
    <w:rsid w:val="005D0ED8"/>
    <w:rsid w:val="005D0EFF"/>
    <w:rsid w:val="005D1434"/>
    <w:rsid w:val="005D1457"/>
    <w:rsid w:val="005D14B9"/>
    <w:rsid w:val="005D16E5"/>
    <w:rsid w:val="005D17C9"/>
    <w:rsid w:val="005D1A83"/>
    <w:rsid w:val="005D1A9F"/>
    <w:rsid w:val="005D1C71"/>
    <w:rsid w:val="005D1D91"/>
    <w:rsid w:val="005D2814"/>
    <w:rsid w:val="005D28CC"/>
    <w:rsid w:val="005D292F"/>
    <w:rsid w:val="005D2986"/>
    <w:rsid w:val="005D2A87"/>
    <w:rsid w:val="005D2C3A"/>
    <w:rsid w:val="005D2F25"/>
    <w:rsid w:val="005D3264"/>
    <w:rsid w:val="005D34EA"/>
    <w:rsid w:val="005D368B"/>
    <w:rsid w:val="005D38E5"/>
    <w:rsid w:val="005D3B94"/>
    <w:rsid w:val="005D3E8E"/>
    <w:rsid w:val="005D40A9"/>
    <w:rsid w:val="005D42BD"/>
    <w:rsid w:val="005D45B5"/>
    <w:rsid w:val="005D4661"/>
    <w:rsid w:val="005D48DD"/>
    <w:rsid w:val="005D4C57"/>
    <w:rsid w:val="005D4DA0"/>
    <w:rsid w:val="005D4E33"/>
    <w:rsid w:val="005D4FE1"/>
    <w:rsid w:val="005D5075"/>
    <w:rsid w:val="005D50AF"/>
    <w:rsid w:val="005D50C0"/>
    <w:rsid w:val="005D52FA"/>
    <w:rsid w:val="005D5398"/>
    <w:rsid w:val="005D5403"/>
    <w:rsid w:val="005D5423"/>
    <w:rsid w:val="005D5980"/>
    <w:rsid w:val="005D600F"/>
    <w:rsid w:val="005D6013"/>
    <w:rsid w:val="005D6364"/>
    <w:rsid w:val="005D6612"/>
    <w:rsid w:val="005D66F5"/>
    <w:rsid w:val="005D697E"/>
    <w:rsid w:val="005D6D99"/>
    <w:rsid w:val="005D7088"/>
    <w:rsid w:val="005D742A"/>
    <w:rsid w:val="005D76A6"/>
    <w:rsid w:val="005D76AE"/>
    <w:rsid w:val="005D76DE"/>
    <w:rsid w:val="005D7713"/>
    <w:rsid w:val="005D777B"/>
    <w:rsid w:val="005D77DE"/>
    <w:rsid w:val="005D7902"/>
    <w:rsid w:val="005D797E"/>
    <w:rsid w:val="005D7D29"/>
    <w:rsid w:val="005D7EBF"/>
    <w:rsid w:val="005E05A1"/>
    <w:rsid w:val="005E09D9"/>
    <w:rsid w:val="005E09E4"/>
    <w:rsid w:val="005E0D78"/>
    <w:rsid w:val="005E1726"/>
    <w:rsid w:val="005E235A"/>
    <w:rsid w:val="005E2384"/>
    <w:rsid w:val="005E2513"/>
    <w:rsid w:val="005E25C0"/>
    <w:rsid w:val="005E266F"/>
    <w:rsid w:val="005E283C"/>
    <w:rsid w:val="005E2BCF"/>
    <w:rsid w:val="005E2C64"/>
    <w:rsid w:val="005E2F07"/>
    <w:rsid w:val="005E2F09"/>
    <w:rsid w:val="005E2FA1"/>
    <w:rsid w:val="005E2FF3"/>
    <w:rsid w:val="005E356D"/>
    <w:rsid w:val="005E38DE"/>
    <w:rsid w:val="005E3A46"/>
    <w:rsid w:val="005E3AA5"/>
    <w:rsid w:val="005E3B35"/>
    <w:rsid w:val="005E3B4C"/>
    <w:rsid w:val="005E3D50"/>
    <w:rsid w:val="005E3F34"/>
    <w:rsid w:val="005E4067"/>
    <w:rsid w:val="005E421C"/>
    <w:rsid w:val="005E4241"/>
    <w:rsid w:val="005E47AC"/>
    <w:rsid w:val="005E4B14"/>
    <w:rsid w:val="005E4BF0"/>
    <w:rsid w:val="005E4EF0"/>
    <w:rsid w:val="005E50E8"/>
    <w:rsid w:val="005E5734"/>
    <w:rsid w:val="005E5741"/>
    <w:rsid w:val="005E5E72"/>
    <w:rsid w:val="005E5EC3"/>
    <w:rsid w:val="005E602B"/>
    <w:rsid w:val="005E6140"/>
    <w:rsid w:val="005E6150"/>
    <w:rsid w:val="005E61B6"/>
    <w:rsid w:val="005E6459"/>
    <w:rsid w:val="005E6487"/>
    <w:rsid w:val="005E651F"/>
    <w:rsid w:val="005E664C"/>
    <w:rsid w:val="005E6971"/>
    <w:rsid w:val="005E6B63"/>
    <w:rsid w:val="005E6D4E"/>
    <w:rsid w:val="005E73CE"/>
    <w:rsid w:val="005E773A"/>
    <w:rsid w:val="005E77E3"/>
    <w:rsid w:val="005E7A03"/>
    <w:rsid w:val="005E7B11"/>
    <w:rsid w:val="005E7B67"/>
    <w:rsid w:val="005F032D"/>
    <w:rsid w:val="005F04DA"/>
    <w:rsid w:val="005F0541"/>
    <w:rsid w:val="005F0616"/>
    <w:rsid w:val="005F0718"/>
    <w:rsid w:val="005F0727"/>
    <w:rsid w:val="005F07DC"/>
    <w:rsid w:val="005F0899"/>
    <w:rsid w:val="005F0C34"/>
    <w:rsid w:val="005F0EAB"/>
    <w:rsid w:val="005F0F00"/>
    <w:rsid w:val="005F0F8A"/>
    <w:rsid w:val="005F0FB4"/>
    <w:rsid w:val="005F13BD"/>
    <w:rsid w:val="005F16D0"/>
    <w:rsid w:val="005F1836"/>
    <w:rsid w:val="005F1859"/>
    <w:rsid w:val="005F192C"/>
    <w:rsid w:val="005F1A8D"/>
    <w:rsid w:val="005F1AC8"/>
    <w:rsid w:val="005F1B25"/>
    <w:rsid w:val="005F1D9F"/>
    <w:rsid w:val="005F2032"/>
    <w:rsid w:val="005F21AF"/>
    <w:rsid w:val="005F21FB"/>
    <w:rsid w:val="005F2387"/>
    <w:rsid w:val="005F257C"/>
    <w:rsid w:val="005F25E2"/>
    <w:rsid w:val="005F26F1"/>
    <w:rsid w:val="005F27E3"/>
    <w:rsid w:val="005F2821"/>
    <w:rsid w:val="005F2970"/>
    <w:rsid w:val="005F2B4F"/>
    <w:rsid w:val="005F2BEF"/>
    <w:rsid w:val="005F3333"/>
    <w:rsid w:val="005F3440"/>
    <w:rsid w:val="005F347F"/>
    <w:rsid w:val="005F35AA"/>
    <w:rsid w:val="005F38CE"/>
    <w:rsid w:val="005F39BD"/>
    <w:rsid w:val="005F40DE"/>
    <w:rsid w:val="005F42BE"/>
    <w:rsid w:val="005F4421"/>
    <w:rsid w:val="005F44D9"/>
    <w:rsid w:val="005F4547"/>
    <w:rsid w:val="005F454C"/>
    <w:rsid w:val="005F4927"/>
    <w:rsid w:val="005F49F4"/>
    <w:rsid w:val="005F4A37"/>
    <w:rsid w:val="005F4ABD"/>
    <w:rsid w:val="005F4B7D"/>
    <w:rsid w:val="005F4B7F"/>
    <w:rsid w:val="005F4D34"/>
    <w:rsid w:val="005F4DB6"/>
    <w:rsid w:val="005F4E65"/>
    <w:rsid w:val="005F4F77"/>
    <w:rsid w:val="005F4FDB"/>
    <w:rsid w:val="005F5004"/>
    <w:rsid w:val="005F5218"/>
    <w:rsid w:val="005F537B"/>
    <w:rsid w:val="005F557D"/>
    <w:rsid w:val="005F56F3"/>
    <w:rsid w:val="005F59E5"/>
    <w:rsid w:val="005F5A0F"/>
    <w:rsid w:val="005F5DAA"/>
    <w:rsid w:val="005F5EDF"/>
    <w:rsid w:val="005F5F45"/>
    <w:rsid w:val="005F6035"/>
    <w:rsid w:val="005F6109"/>
    <w:rsid w:val="005F61C5"/>
    <w:rsid w:val="005F63D8"/>
    <w:rsid w:val="005F64FB"/>
    <w:rsid w:val="005F67EC"/>
    <w:rsid w:val="005F6A3F"/>
    <w:rsid w:val="005F6AC6"/>
    <w:rsid w:val="005F6BBB"/>
    <w:rsid w:val="005F6C45"/>
    <w:rsid w:val="005F6DE4"/>
    <w:rsid w:val="005F6E0C"/>
    <w:rsid w:val="005F6E2F"/>
    <w:rsid w:val="005F71EC"/>
    <w:rsid w:val="005F77DC"/>
    <w:rsid w:val="005F789F"/>
    <w:rsid w:val="005F7EE6"/>
    <w:rsid w:val="006000CD"/>
    <w:rsid w:val="006000FB"/>
    <w:rsid w:val="00600265"/>
    <w:rsid w:val="006006E4"/>
    <w:rsid w:val="0060071C"/>
    <w:rsid w:val="00600754"/>
    <w:rsid w:val="00600A5D"/>
    <w:rsid w:val="00600D88"/>
    <w:rsid w:val="00600DFC"/>
    <w:rsid w:val="00601135"/>
    <w:rsid w:val="0060119A"/>
    <w:rsid w:val="00601265"/>
    <w:rsid w:val="00601401"/>
    <w:rsid w:val="006016B8"/>
    <w:rsid w:val="00601ACA"/>
    <w:rsid w:val="00602260"/>
    <w:rsid w:val="006022C1"/>
    <w:rsid w:val="006022D0"/>
    <w:rsid w:val="006023AF"/>
    <w:rsid w:val="00602408"/>
    <w:rsid w:val="006024F8"/>
    <w:rsid w:val="0060251E"/>
    <w:rsid w:val="00602905"/>
    <w:rsid w:val="00602A68"/>
    <w:rsid w:val="00602C95"/>
    <w:rsid w:val="00602DDE"/>
    <w:rsid w:val="00602E0C"/>
    <w:rsid w:val="00602E81"/>
    <w:rsid w:val="0060339B"/>
    <w:rsid w:val="00603552"/>
    <w:rsid w:val="006037E7"/>
    <w:rsid w:val="00603979"/>
    <w:rsid w:val="00603B22"/>
    <w:rsid w:val="00603DBF"/>
    <w:rsid w:val="00603EF4"/>
    <w:rsid w:val="00604076"/>
    <w:rsid w:val="00604335"/>
    <w:rsid w:val="00604615"/>
    <w:rsid w:val="006046E4"/>
    <w:rsid w:val="00604AA7"/>
    <w:rsid w:val="00604BC5"/>
    <w:rsid w:val="00604BD7"/>
    <w:rsid w:val="00604D85"/>
    <w:rsid w:val="00604EEF"/>
    <w:rsid w:val="00605037"/>
    <w:rsid w:val="0060577C"/>
    <w:rsid w:val="0060585D"/>
    <w:rsid w:val="006058B4"/>
    <w:rsid w:val="006059B6"/>
    <w:rsid w:val="00605A49"/>
    <w:rsid w:val="00605E04"/>
    <w:rsid w:val="00605E0D"/>
    <w:rsid w:val="00605F88"/>
    <w:rsid w:val="00605FFE"/>
    <w:rsid w:val="00606193"/>
    <w:rsid w:val="006063F2"/>
    <w:rsid w:val="0060650C"/>
    <w:rsid w:val="006065F2"/>
    <w:rsid w:val="00606884"/>
    <w:rsid w:val="00606B37"/>
    <w:rsid w:val="00606E0D"/>
    <w:rsid w:val="00606F8F"/>
    <w:rsid w:val="00606FF6"/>
    <w:rsid w:val="006071D8"/>
    <w:rsid w:val="00607252"/>
    <w:rsid w:val="00607624"/>
    <w:rsid w:val="006077FE"/>
    <w:rsid w:val="00607A35"/>
    <w:rsid w:val="00607C2E"/>
    <w:rsid w:val="00607C54"/>
    <w:rsid w:val="00607CE8"/>
    <w:rsid w:val="00610137"/>
    <w:rsid w:val="00610294"/>
    <w:rsid w:val="0061038C"/>
    <w:rsid w:val="006104F5"/>
    <w:rsid w:val="00610595"/>
    <w:rsid w:val="006105E3"/>
    <w:rsid w:val="006106C1"/>
    <w:rsid w:val="006106F4"/>
    <w:rsid w:val="00610B28"/>
    <w:rsid w:val="00610F52"/>
    <w:rsid w:val="006111E4"/>
    <w:rsid w:val="0061124A"/>
    <w:rsid w:val="006112D0"/>
    <w:rsid w:val="0061141B"/>
    <w:rsid w:val="00611597"/>
    <w:rsid w:val="0061167D"/>
    <w:rsid w:val="0061169D"/>
    <w:rsid w:val="00611737"/>
    <w:rsid w:val="00611752"/>
    <w:rsid w:val="00611B07"/>
    <w:rsid w:val="00611C1D"/>
    <w:rsid w:val="00611C60"/>
    <w:rsid w:val="00611EE3"/>
    <w:rsid w:val="00611F0D"/>
    <w:rsid w:val="00612019"/>
    <w:rsid w:val="0061201D"/>
    <w:rsid w:val="006120FB"/>
    <w:rsid w:val="00612388"/>
    <w:rsid w:val="00612904"/>
    <w:rsid w:val="00612934"/>
    <w:rsid w:val="00612CB3"/>
    <w:rsid w:val="00612E32"/>
    <w:rsid w:val="00612FDD"/>
    <w:rsid w:val="00613149"/>
    <w:rsid w:val="006132FD"/>
    <w:rsid w:val="006133A6"/>
    <w:rsid w:val="006134CA"/>
    <w:rsid w:val="006136C3"/>
    <w:rsid w:val="006136FB"/>
    <w:rsid w:val="00613846"/>
    <w:rsid w:val="006139CA"/>
    <w:rsid w:val="00613ECE"/>
    <w:rsid w:val="00614229"/>
    <w:rsid w:val="00614288"/>
    <w:rsid w:val="00614423"/>
    <w:rsid w:val="0061461E"/>
    <w:rsid w:val="00614646"/>
    <w:rsid w:val="006147C6"/>
    <w:rsid w:val="006148C3"/>
    <w:rsid w:val="0061494C"/>
    <w:rsid w:val="00614B35"/>
    <w:rsid w:val="00614BD0"/>
    <w:rsid w:val="00614DE8"/>
    <w:rsid w:val="006150CE"/>
    <w:rsid w:val="006152B8"/>
    <w:rsid w:val="006152D6"/>
    <w:rsid w:val="006154EE"/>
    <w:rsid w:val="00615686"/>
    <w:rsid w:val="006159DB"/>
    <w:rsid w:val="00615A35"/>
    <w:rsid w:val="006161CC"/>
    <w:rsid w:val="006164D1"/>
    <w:rsid w:val="006165A9"/>
    <w:rsid w:val="00616755"/>
    <w:rsid w:val="00616B8C"/>
    <w:rsid w:val="00616BC0"/>
    <w:rsid w:val="00616D65"/>
    <w:rsid w:val="00616EE1"/>
    <w:rsid w:val="00617108"/>
    <w:rsid w:val="00617211"/>
    <w:rsid w:val="00617264"/>
    <w:rsid w:val="006174E2"/>
    <w:rsid w:val="0061750E"/>
    <w:rsid w:val="006175A7"/>
    <w:rsid w:val="00617652"/>
    <w:rsid w:val="0061784D"/>
    <w:rsid w:val="00617908"/>
    <w:rsid w:val="00617B8B"/>
    <w:rsid w:val="00617C18"/>
    <w:rsid w:val="00617C50"/>
    <w:rsid w:val="00617F79"/>
    <w:rsid w:val="0062014C"/>
    <w:rsid w:val="00620231"/>
    <w:rsid w:val="006207B2"/>
    <w:rsid w:val="006207ED"/>
    <w:rsid w:val="00620AFF"/>
    <w:rsid w:val="00620B98"/>
    <w:rsid w:val="00620CFC"/>
    <w:rsid w:val="0062140E"/>
    <w:rsid w:val="00621A1C"/>
    <w:rsid w:val="00621BB5"/>
    <w:rsid w:val="00621E73"/>
    <w:rsid w:val="00622143"/>
    <w:rsid w:val="00622388"/>
    <w:rsid w:val="00622669"/>
    <w:rsid w:val="0062286A"/>
    <w:rsid w:val="00622B04"/>
    <w:rsid w:val="00622B1A"/>
    <w:rsid w:val="00622D51"/>
    <w:rsid w:val="00622E0B"/>
    <w:rsid w:val="00622E24"/>
    <w:rsid w:val="00622E95"/>
    <w:rsid w:val="00622EFD"/>
    <w:rsid w:val="00622FE1"/>
    <w:rsid w:val="006230E8"/>
    <w:rsid w:val="00623117"/>
    <w:rsid w:val="0062325B"/>
    <w:rsid w:val="00623438"/>
    <w:rsid w:val="006237DE"/>
    <w:rsid w:val="00623960"/>
    <w:rsid w:val="006239FD"/>
    <w:rsid w:val="00623CB3"/>
    <w:rsid w:val="00623FD4"/>
    <w:rsid w:val="00624034"/>
    <w:rsid w:val="006240FF"/>
    <w:rsid w:val="0062416C"/>
    <w:rsid w:val="006241BC"/>
    <w:rsid w:val="00624470"/>
    <w:rsid w:val="00624510"/>
    <w:rsid w:val="0062452D"/>
    <w:rsid w:val="006245D5"/>
    <w:rsid w:val="006246F3"/>
    <w:rsid w:val="0062474C"/>
    <w:rsid w:val="00624775"/>
    <w:rsid w:val="006247E2"/>
    <w:rsid w:val="0062488E"/>
    <w:rsid w:val="006249B1"/>
    <w:rsid w:val="00624CAC"/>
    <w:rsid w:val="00624F4E"/>
    <w:rsid w:val="00624F7C"/>
    <w:rsid w:val="006252E8"/>
    <w:rsid w:val="006253B7"/>
    <w:rsid w:val="006257E4"/>
    <w:rsid w:val="00625BF7"/>
    <w:rsid w:val="00625C05"/>
    <w:rsid w:val="00625C1A"/>
    <w:rsid w:val="00625C77"/>
    <w:rsid w:val="00625CE5"/>
    <w:rsid w:val="00625EE9"/>
    <w:rsid w:val="00626071"/>
    <w:rsid w:val="00626155"/>
    <w:rsid w:val="00626216"/>
    <w:rsid w:val="00626652"/>
    <w:rsid w:val="0062672E"/>
    <w:rsid w:val="00626792"/>
    <w:rsid w:val="006267E9"/>
    <w:rsid w:val="00626851"/>
    <w:rsid w:val="0062685B"/>
    <w:rsid w:val="00626905"/>
    <w:rsid w:val="00626B03"/>
    <w:rsid w:val="00626C37"/>
    <w:rsid w:val="00626C39"/>
    <w:rsid w:val="00626DC4"/>
    <w:rsid w:val="00626EAC"/>
    <w:rsid w:val="00626F07"/>
    <w:rsid w:val="00626FCF"/>
    <w:rsid w:val="0062707D"/>
    <w:rsid w:val="006274F5"/>
    <w:rsid w:val="00627581"/>
    <w:rsid w:val="00627895"/>
    <w:rsid w:val="00630256"/>
    <w:rsid w:val="0063071F"/>
    <w:rsid w:val="0063075D"/>
    <w:rsid w:val="006309D8"/>
    <w:rsid w:val="00630C5E"/>
    <w:rsid w:val="00630CD7"/>
    <w:rsid w:val="00630CFB"/>
    <w:rsid w:val="00631655"/>
    <w:rsid w:val="00631669"/>
    <w:rsid w:val="00631873"/>
    <w:rsid w:val="00631891"/>
    <w:rsid w:val="006318C0"/>
    <w:rsid w:val="00631BCE"/>
    <w:rsid w:val="00631E00"/>
    <w:rsid w:val="00631E43"/>
    <w:rsid w:val="00631EE0"/>
    <w:rsid w:val="00632111"/>
    <w:rsid w:val="006323AA"/>
    <w:rsid w:val="00632459"/>
    <w:rsid w:val="0063251C"/>
    <w:rsid w:val="006326DF"/>
    <w:rsid w:val="00632784"/>
    <w:rsid w:val="006327CF"/>
    <w:rsid w:val="00632B0E"/>
    <w:rsid w:val="00632E50"/>
    <w:rsid w:val="00632FD8"/>
    <w:rsid w:val="00633B6C"/>
    <w:rsid w:val="00633C36"/>
    <w:rsid w:val="00633C83"/>
    <w:rsid w:val="0063426D"/>
    <w:rsid w:val="0063440B"/>
    <w:rsid w:val="0063461D"/>
    <w:rsid w:val="006347E7"/>
    <w:rsid w:val="006347F4"/>
    <w:rsid w:val="00634826"/>
    <w:rsid w:val="00634AA9"/>
    <w:rsid w:val="00634B42"/>
    <w:rsid w:val="00634B74"/>
    <w:rsid w:val="00634D4F"/>
    <w:rsid w:val="00634D53"/>
    <w:rsid w:val="00634F4B"/>
    <w:rsid w:val="00635027"/>
    <w:rsid w:val="00635057"/>
    <w:rsid w:val="0063520B"/>
    <w:rsid w:val="00635560"/>
    <w:rsid w:val="006355C4"/>
    <w:rsid w:val="00635A77"/>
    <w:rsid w:val="00635CB0"/>
    <w:rsid w:val="00635EA7"/>
    <w:rsid w:val="006363AB"/>
    <w:rsid w:val="00636486"/>
    <w:rsid w:val="0063660C"/>
    <w:rsid w:val="00636664"/>
    <w:rsid w:val="00636673"/>
    <w:rsid w:val="00636694"/>
    <w:rsid w:val="0063690D"/>
    <w:rsid w:val="00636EBB"/>
    <w:rsid w:val="00637170"/>
    <w:rsid w:val="006371B9"/>
    <w:rsid w:val="00637208"/>
    <w:rsid w:val="006374E0"/>
    <w:rsid w:val="00637764"/>
    <w:rsid w:val="0063790F"/>
    <w:rsid w:val="00637B0A"/>
    <w:rsid w:val="00637C38"/>
    <w:rsid w:val="00637CBA"/>
    <w:rsid w:val="00637DA6"/>
    <w:rsid w:val="00637F2D"/>
    <w:rsid w:val="00637F64"/>
    <w:rsid w:val="006400FE"/>
    <w:rsid w:val="00640218"/>
    <w:rsid w:val="00640412"/>
    <w:rsid w:val="00640576"/>
    <w:rsid w:val="0064059A"/>
    <w:rsid w:val="00640938"/>
    <w:rsid w:val="00640962"/>
    <w:rsid w:val="00640AC5"/>
    <w:rsid w:val="00640ADE"/>
    <w:rsid w:val="00640AF6"/>
    <w:rsid w:val="00640CC1"/>
    <w:rsid w:val="0064103A"/>
    <w:rsid w:val="0064126C"/>
    <w:rsid w:val="006413AA"/>
    <w:rsid w:val="006414F9"/>
    <w:rsid w:val="006415F8"/>
    <w:rsid w:val="006416D2"/>
    <w:rsid w:val="006417EF"/>
    <w:rsid w:val="00641A83"/>
    <w:rsid w:val="00641CD6"/>
    <w:rsid w:val="00641D62"/>
    <w:rsid w:val="00641D96"/>
    <w:rsid w:val="006423AA"/>
    <w:rsid w:val="0064261B"/>
    <w:rsid w:val="00642B48"/>
    <w:rsid w:val="00642E37"/>
    <w:rsid w:val="00642F08"/>
    <w:rsid w:val="0064319B"/>
    <w:rsid w:val="00643374"/>
    <w:rsid w:val="0064395B"/>
    <w:rsid w:val="00643AF4"/>
    <w:rsid w:val="00643C81"/>
    <w:rsid w:val="00643D7C"/>
    <w:rsid w:val="00643E35"/>
    <w:rsid w:val="00644178"/>
    <w:rsid w:val="006441F6"/>
    <w:rsid w:val="0064422A"/>
    <w:rsid w:val="00644403"/>
    <w:rsid w:val="00644911"/>
    <w:rsid w:val="00644A7B"/>
    <w:rsid w:val="00644B8F"/>
    <w:rsid w:val="00644CF7"/>
    <w:rsid w:val="00644D3A"/>
    <w:rsid w:val="00644D3D"/>
    <w:rsid w:val="00644DE9"/>
    <w:rsid w:val="00644FC4"/>
    <w:rsid w:val="0064516B"/>
    <w:rsid w:val="00645328"/>
    <w:rsid w:val="006455AF"/>
    <w:rsid w:val="0064569F"/>
    <w:rsid w:val="00645B4C"/>
    <w:rsid w:val="00645BDE"/>
    <w:rsid w:val="00645E59"/>
    <w:rsid w:val="00645EF0"/>
    <w:rsid w:val="00645F5B"/>
    <w:rsid w:val="006465C3"/>
    <w:rsid w:val="0064669D"/>
    <w:rsid w:val="006468F2"/>
    <w:rsid w:val="00646C6F"/>
    <w:rsid w:val="006470C4"/>
    <w:rsid w:val="00647163"/>
    <w:rsid w:val="006471CD"/>
    <w:rsid w:val="0064720C"/>
    <w:rsid w:val="0064722E"/>
    <w:rsid w:val="00647288"/>
    <w:rsid w:val="00647781"/>
    <w:rsid w:val="006478DF"/>
    <w:rsid w:val="00647980"/>
    <w:rsid w:val="00647A7F"/>
    <w:rsid w:val="00647E22"/>
    <w:rsid w:val="0065005D"/>
    <w:rsid w:val="00650515"/>
    <w:rsid w:val="00650941"/>
    <w:rsid w:val="00650C28"/>
    <w:rsid w:val="00650E6D"/>
    <w:rsid w:val="00650E8A"/>
    <w:rsid w:val="00650EDB"/>
    <w:rsid w:val="00650FBD"/>
    <w:rsid w:val="006510C1"/>
    <w:rsid w:val="006510CE"/>
    <w:rsid w:val="006510EE"/>
    <w:rsid w:val="006512D6"/>
    <w:rsid w:val="006514C4"/>
    <w:rsid w:val="00651715"/>
    <w:rsid w:val="00651812"/>
    <w:rsid w:val="0065196B"/>
    <w:rsid w:val="00651A77"/>
    <w:rsid w:val="00651BBB"/>
    <w:rsid w:val="00651C59"/>
    <w:rsid w:val="00651D74"/>
    <w:rsid w:val="0065283F"/>
    <w:rsid w:val="00652880"/>
    <w:rsid w:val="006528BC"/>
    <w:rsid w:val="00652994"/>
    <w:rsid w:val="0065299D"/>
    <w:rsid w:val="00652C3A"/>
    <w:rsid w:val="00652DB7"/>
    <w:rsid w:val="00652FCE"/>
    <w:rsid w:val="00653003"/>
    <w:rsid w:val="006532EF"/>
    <w:rsid w:val="006535B2"/>
    <w:rsid w:val="0065394F"/>
    <w:rsid w:val="00653B1B"/>
    <w:rsid w:val="00653E23"/>
    <w:rsid w:val="00654052"/>
    <w:rsid w:val="006541F5"/>
    <w:rsid w:val="006543BA"/>
    <w:rsid w:val="0065450F"/>
    <w:rsid w:val="00654875"/>
    <w:rsid w:val="00654926"/>
    <w:rsid w:val="00654D72"/>
    <w:rsid w:val="006553F3"/>
    <w:rsid w:val="006556D1"/>
    <w:rsid w:val="006556D9"/>
    <w:rsid w:val="00655AEE"/>
    <w:rsid w:val="00655BB2"/>
    <w:rsid w:val="00655ECA"/>
    <w:rsid w:val="0065607A"/>
    <w:rsid w:val="006564CB"/>
    <w:rsid w:val="006565F7"/>
    <w:rsid w:val="006566BF"/>
    <w:rsid w:val="006569F0"/>
    <w:rsid w:val="00656CDB"/>
    <w:rsid w:val="00656DA0"/>
    <w:rsid w:val="00657123"/>
    <w:rsid w:val="00657189"/>
    <w:rsid w:val="00657219"/>
    <w:rsid w:val="0065724E"/>
    <w:rsid w:val="00657576"/>
    <w:rsid w:val="00657612"/>
    <w:rsid w:val="006576EC"/>
    <w:rsid w:val="00657BFB"/>
    <w:rsid w:val="00657C83"/>
    <w:rsid w:val="00657CD0"/>
    <w:rsid w:val="00657F90"/>
    <w:rsid w:val="0066002D"/>
    <w:rsid w:val="006600DB"/>
    <w:rsid w:val="0066020C"/>
    <w:rsid w:val="00660596"/>
    <w:rsid w:val="00661080"/>
    <w:rsid w:val="006613C0"/>
    <w:rsid w:val="00661623"/>
    <w:rsid w:val="0066194E"/>
    <w:rsid w:val="00661C46"/>
    <w:rsid w:val="00661C60"/>
    <w:rsid w:val="0066202F"/>
    <w:rsid w:val="006622A8"/>
    <w:rsid w:val="006625E7"/>
    <w:rsid w:val="006626BE"/>
    <w:rsid w:val="00662A18"/>
    <w:rsid w:val="00662C2C"/>
    <w:rsid w:val="006630FC"/>
    <w:rsid w:val="00663147"/>
    <w:rsid w:val="00663344"/>
    <w:rsid w:val="00663389"/>
    <w:rsid w:val="006633C8"/>
    <w:rsid w:val="00663403"/>
    <w:rsid w:val="00663437"/>
    <w:rsid w:val="0066360F"/>
    <w:rsid w:val="00663B4A"/>
    <w:rsid w:val="00663C7C"/>
    <w:rsid w:val="00663C93"/>
    <w:rsid w:val="00663DFB"/>
    <w:rsid w:val="00664416"/>
    <w:rsid w:val="006644E1"/>
    <w:rsid w:val="006645EC"/>
    <w:rsid w:val="00664642"/>
    <w:rsid w:val="00664674"/>
    <w:rsid w:val="006646BA"/>
    <w:rsid w:val="00664C0C"/>
    <w:rsid w:val="00664D7E"/>
    <w:rsid w:val="0066506E"/>
    <w:rsid w:val="00665135"/>
    <w:rsid w:val="006651E3"/>
    <w:rsid w:val="006652D3"/>
    <w:rsid w:val="0066540D"/>
    <w:rsid w:val="0066582A"/>
    <w:rsid w:val="00665888"/>
    <w:rsid w:val="00665D3C"/>
    <w:rsid w:val="00666425"/>
    <w:rsid w:val="00666CBE"/>
    <w:rsid w:val="00666D9B"/>
    <w:rsid w:val="0066733D"/>
    <w:rsid w:val="00667409"/>
    <w:rsid w:val="00667B59"/>
    <w:rsid w:val="00667BC6"/>
    <w:rsid w:val="00667C3E"/>
    <w:rsid w:val="00667CF3"/>
    <w:rsid w:val="00667F2D"/>
    <w:rsid w:val="00667F94"/>
    <w:rsid w:val="00670212"/>
    <w:rsid w:val="00670380"/>
    <w:rsid w:val="0067050A"/>
    <w:rsid w:val="006705D5"/>
    <w:rsid w:val="006706B5"/>
    <w:rsid w:val="00670722"/>
    <w:rsid w:val="00670C07"/>
    <w:rsid w:val="00670F72"/>
    <w:rsid w:val="00670F81"/>
    <w:rsid w:val="00671047"/>
    <w:rsid w:val="0067158A"/>
    <w:rsid w:val="00671738"/>
    <w:rsid w:val="00671984"/>
    <w:rsid w:val="006719B2"/>
    <w:rsid w:val="00671B83"/>
    <w:rsid w:val="00671FF4"/>
    <w:rsid w:val="00672080"/>
    <w:rsid w:val="00672C45"/>
    <w:rsid w:val="00672C66"/>
    <w:rsid w:val="00672E82"/>
    <w:rsid w:val="00672F79"/>
    <w:rsid w:val="0067319C"/>
    <w:rsid w:val="00673508"/>
    <w:rsid w:val="00673DC1"/>
    <w:rsid w:val="00673F42"/>
    <w:rsid w:val="00673F88"/>
    <w:rsid w:val="00674042"/>
    <w:rsid w:val="006744B2"/>
    <w:rsid w:val="00674BB4"/>
    <w:rsid w:val="00674D58"/>
    <w:rsid w:val="0067504E"/>
    <w:rsid w:val="00675517"/>
    <w:rsid w:val="00675563"/>
    <w:rsid w:val="006758C9"/>
    <w:rsid w:val="00675921"/>
    <w:rsid w:val="00675A5F"/>
    <w:rsid w:val="006764BC"/>
    <w:rsid w:val="006769C4"/>
    <w:rsid w:val="00676C6F"/>
    <w:rsid w:val="00677259"/>
    <w:rsid w:val="00677456"/>
    <w:rsid w:val="006774B0"/>
    <w:rsid w:val="00677627"/>
    <w:rsid w:val="0067765B"/>
    <w:rsid w:val="006776C7"/>
    <w:rsid w:val="00677743"/>
    <w:rsid w:val="006777C7"/>
    <w:rsid w:val="006779BE"/>
    <w:rsid w:val="00677A67"/>
    <w:rsid w:val="00677A87"/>
    <w:rsid w:val="00677BD5"/>
    <w:rsid w:val="00677CD8"/>
    <w:rsid w:val="00677E3C"/>
    <w:rsid w:val="00677EA8"/>
    <w:rsid w:val="0068025E"/>
    <w:rsid w:val="0068051B"/>
    <w:rsid w:val="00680596"/>
    <w:rsid w:val="006805D9"/>
    <w:rsid w:val="006806AE"/>
    <w:rsid w:val="00680732"/>
    <w:rsid w:val="00680912"/>
    <w:rsid w:val="00680D43"/>
    <w:rsid w:val="00680E8B"/>
    <w:rsid w:val="00680F2D"/>
    <w:rsid w:val="00681408"/>
    <w:rsid w:val="0068150F"/>
    <w:rsid w:val="006818D0"/>
    <w:rsid w:val="006819A3"/>
    <w:rsid w:val="00681D51"/>
    <w:rsid w:val="00681D6E"/>
    <w:rsid w:val="00681E2F"/>
    <w:rsid w:val="00681E94"/>
    <w:rsid w:val="00682129"/>
    <w:rsid w:val="006823E8"/>
    <w:rsid w:val="006825ED"/>
    <w:rsid w:val="0068266C"/>
    <w:rsid w:val="00682E55"/>
    <w:rsid w:val="006830DE"/>
    <w:rsid w:val="006831AF"/>
    <w:rsid w:val="0068340E"/>
    <w:rsid w:val="00683435"/>
    <w:rsid w:val="006834E8"/>
    <w:rsid w:val="00683528"/>
    <w:rsid w:val="00683722"/>
    <w:rsid w:val="00683948"/>
    <w:rsid w:val="00683D2F"/>
    <w:rsid w:val="00684044"/>
    <w:rsid w:val="006840B2"/>
    <w:rsid w:val="006842C2"/>
    <w:rsid w:val="006843F6"/>
    <w:rsid w:val="006845FD"/>
    <w:rsid w:val="0068491F"/>
    <w:rsid w:val="00684AB8"/>
    <w:rsid w:val="00684F4C"/>
    <w:rsid w:val="00684FD1"/>
    <w:rsid w:val="00685140"/>
    <w:rsid w:val="006851A2"/>
    <w:rsid w:val="006851BA"/>
    <w:rsid w:val="0068563E"/>
    <w:rsid w:val="006856B5"/>
    <w:rsid w:val="00685DE4"/>
    <w:rsid w:val="00686118"/>
    <w:rsid w:val="0068616B"/>
    <w:rsid w:val="006861C0"/>
    <w:rsid w:val="006864C9"/>
    <w:rsid w:val="00686596"/>
    <w:rsid w:val="00686CC2"/>
    <w:rsid w:val="00686F00"/>
    <w:rsid w:val="00687518"/>
    <w:rsid w:val="0068787F"/>
    <w:rsid w:val="00687AE7"/>
    <w:rsid w:val="00687C97"/>
    <w:rsid w:val="00687D5A"/>
    <w:rsid w:val="006900E1"/>
    <w:rsid w:val="00690324"/>
    <w:rsid w:val="006904C2"/>
    <w:rsid w:val="006904DD"/>
    <w:rsid w:val="00690524"/>
    <w:rsid w:val="00690E71"/>
    <w:rsid w:val="006911C8"/>
    <w:rsid w:val="00691459"/>
    <w:rsid w:val="00691605"/>
    <w:rsid w:val="006916D3"/>
    <w:rsid w:val="006927D5"/>
    <w:rsid w:val="00692D12"/>
    <w:rsid w:val="00693137"/>
    <w:rsid w:val="00693531"/>
    <w:rsid w:val="006935D6"/>
    <w:rsid w:val="006935F4"/>
    <w:rsid w:val="00693842"/>
    <w:rsid w:val="00693888"/>
    <w:rsid w:val="00693C0A"/>
    <w:rsid w:val="00693C5C"/>
    <w:rsid w:val="00693C87"/>
    <w:rsid w:val="00693D3E"/>
    <w:rsid w:val="00693DCF"/>
    <w:rsid w:val="006941E4"/>
    <w:rsid w:val="0069457A"/>
    <w:rsid w:val="006949A7"/>
    <w:rsid w:val="00694B53"/>
    <w:rsid w:val="00694B65"/>
    <w:rsid w:val="00694C69"/>
    <w:rsid w:val="00694C7B"/>
    <w:rsid w:val="00694D53"/>
    <w:rsid w:val="00694E58"/>
    <w:rsid w:val="00694FD4"/>
    <w:rsid w:val="006951CE"/>
    <w:rsid w:val="006951E5"/>
    <w:rsid w:val="006951FF"/>
    <w:rsid w:val="00695B5A"/>
    <w:rsid w:val="00695D1E"/>
    <w:rsid w:val="00695DBB"/>
    <w:rsid w:val="00695FCA"/>
    <w:rsid w:val="00696335"/>
    <w:rsid w:val="006967EE"/>
    <w:rsid w:val="00696A4D"/>
    <w:rsid w:val="00696B8D"/>
    <w:rsid w:val="00696C70"/>
    <w:rsid w:val="00696DC8"/>
    <w:rsid w:val="00696E68"/>
    <w:rsid w:val="0069729F"/>
    <w:rsid w:val="00697608"/>
    <w:rsid w:val="00697926"/>
    <w:rsid w:val="00697AC9"/>
    <w:rsid w:val="00697BA4"/>
    <w:rsid w:val="00697BC9"/>
    <w:rsid w:val="00697CCC"/>
    <w:rsid w:val="00697D19"/>
    <w:rsid w:val="006A0052"/>
    <w:rsid w:val="006A04F4"/>
    <w:rsid w:val="006A05C7"/>
    <w:rsid w:val="006A08CA"/>
    <w:rsid w:val="006A0C08"/>
    <w:rsid w:val="006A0CA3"/>
    <w:rsid w:val="006A0E43"/>
    <w:rsid w:val="006A0EE6"/>
    <w:rsid w:val="006A102D"/>
    <w:rsid w:val="006A11A4"/>
    <w:rsid w:val="006A11E4"/>
    <w:rsid w:val="006A15CF"/>
    <w:rsid w:val="006A16F0"/>
    <w:rsid w:val="006A171C"/>
    <w:rsid w:val="006A1DC2"/>
    <w:rsid w:val="006A1E3F"/>
    <w:rsid w:val="006A20A4"/>
    <w:rsid w:val="006A2329"/>
    <w:rsid w:val="006A29FF"/>
    <w:rsid w:val="006A2AB9"/>
    <w:rsid w:val="006A2CF1"/>
    <w:rsid w:val="006A2DB4"/>
    <w:rsid w:val="006A329E"/>
    <w:rsid w:val="006A350E"/>
    <w:rsid w:val="006A414D"/>
    <w:rsid w:val="006A41F8"/>
    <w:rsid w:val="006A42A5"/>
    <w:rsid w:val="006A44D7"/>
    <w:rsid w:val="006A451E"/>
    <w:rsid w:val="006A45BB"/>
    <w:rsid w:val="006A4E52"/>
    <w:rsid w:val="006A4FC8"/>
    <w:rsid w:val="006A509F"/>
    <w:rsid w:val="006A50F1"/>
    <w:rsid w:val="006A517B"/>
    <w:rsid w:val="006A55E1"/>
    <w:rsid w:val="006A5C7B"/>
    <w:rsid w:val="006A603D"/>
    <w:rsid w:val="006A607B"/>
    <w:rsid w:val="006A61EC"/>
    <w:rsid w:val="006A6296"/>
    <w:rsid w:val="006A6337"/>
    <w:rsid w:val="006A6AF2"/>
    <w:rsid w:val="006A6CE2"/>
    <w:rsid w:val="006A6E27"/>
    <w:rsid w:val="006A6EAC"/>
    <w:rsid w:val="006A6FB8"/>
    <w:rsid w:val="006A72B0"/>
    <w:rsid w:val="006A74E5"/>
    <w:rsid w:val="006A75B2"/>
    <w:rsid w:val="006A7AB4"/>
    <w:rsid w:val="006A7C7E"/>
    <w:rsid w:val="006A7CE5"/>
    <w:rsid w:val="006A7EAC"/>
    <w:rsid w:val="006B02C4"/>
    <w:rsid w:val="006B04FE"/>
    <w:rsid w:val="006B05D4"/>
    <w:rsid w:val="006B0752"/>
    <w:rsid w:val="006B075C"/>
    <w:rsid w:val="006B07E9"/>
    <w:rsid w:val="006B0856"/>
    <w:rsid w:val="006B0894"/>
    <w:rsid w:val="006B0932"/>
    <w:rsid w:val="006B0B38"/>
    <w:rsid w:val="006B0C55"/>
    <w:rsid w:val="006B0FAF"/>
    <w:rsid w:val="006B1151"/>
    <w:rsid w:val="006B11E5"/>
    <w:rsid w:val="006B14B5"/>
    <w:rsid w:val="006B18C5"/>
    <w:rsid w:val="006B1932"/>
    <w:rsid w:val="006B19AE"/>
    <w:rsid w:val="006B1B85"/>
    <w:rsid w:val="006B1F47"/>
    <w:rsid w:val="006B1FDA"/>
    <w:rsid w:val="006B25B4"/>
    <w:rsid w:val="006B2674"/>
    <w:rsid w:val="006B3169"/>
    <w:rsid w:val="006B31CD"/>
    <w:rsid w:val="006B3416"/>
    <w:rsid w:val="006B36AE"/>
    <w:rsid w:val="006B3980"/>
    <w:rsid w:val="006B3B77"/>
    <w:rsid w:val="006B3C2C"/>
    <w:rsid w:val="006B3CAD"/>
    <w:rsid w:val="006B3E4D"/>
    <w:rsid w:val="006B4006"/>
    <w:rsid w:val="006B417B"/>
    <w:rsid w:val="006B4449"/>
    <w:rsid w:val="006B46E7"/>
    <w:rsid w:val="006B474F"/>
    <w:rsid w:val="006B4C0C"/>
    <w:rsid w:val="006B4D61"/>
    <w:rsid w:val="006B4EAB"/>
    <w:rsid w:val="006B5091"/>
    <w:rsid w:val="006B50B8"/>
    <w:rsid w:val="006B50F9"/>
    <w:rsid w:val="006B5549"/>
    <w:rsid w:val="006B5756"/>
    <w:rsid w:val="006B5850"/>
    <w:rsid w:val="006B5A61"/>
    <w:rsid w:val="006B5C4C"/>
    <w:rsid w:val="006B5D09"/>
    <w:rsid w:val="006B5D79"/>
    <w:rsid w:val="006B5FBC"/>
    <w:rsid w:val="006B6095"/>
    <w:rsid w:val="006B64E8"/>
    <w:rsid w:val="006B654C"/>
    <w:rsid w:val="006B69E3"/>
    <w:rsid w:val="006B6A92"/>
    <w:rsid w:val="006B6AEF"/>
    <w:rsid w:val="006B6CC5"/>
    <w:rsid w:val="006B6DA1"/>
    <w:rsid w:val="006B722B"/>
    <w:rsid w:val="006B7468"/>
    <w:rsid w:val="006B763F"/>
    <w:rsid w:val="006B76C2"/>
    <w:rsid w:val="006B7758"/>
    <w:rsid w:val="006B7877"/>
    <w:rsid w:val="006B794F"/>
    <w:rsid w:val="006B7971"/>
    <w:rsid w:val="006B7CBC"/>
    <w:rsid w:val="006C02CD"/>
    <w:rsid w:val="006C06A9"/>
    <w:rsid w:val="006C0DFA"/>
    <w:rsid w:val="006C1054"/>
    <w:rsid w:val="006C132B"/>
    <w:rsid w:val="006C132E"/>
    <w:rsid w:val="006C13A3"/>
    <w:rsid w:val="006C157B"/>
    <w:rsid w:val="006C1822"/>
    <w:rsid w:val="006C1E7E"/>
    <w:rsid w:val="006C20BD"/>
    <w:rsid w:val="006C21F1"/>
    <w:rsid w:val="006C2594"/>
    <w:rsid w:val="006C26A0"/>
    <w:rsid w:val="006C2A0B"/>
    <w:rsid w:val="006C2ABA"/>
    <w:rsid w:val="006C2B59"/>
    <w:rsid w:val="006C2C86"/>
    <w:rsid w:val="006C2C8B"/>
    <w:rsid w:val="006C2CBE"/>
    <w:rsid w:val="006C2D1A"/>
    <w:rsid w:val="006C2D72"/>
    <w:rsid w:val="006C2EBE"/>
    <w:rsid w:val="006C2F5E"/>
    <w:rsid w:val="006C2F82"/>
    <w:rsid w:val="006C30D2"/>
    <w:rsid w:val="006C3315"/>
    <w:rsid w:val="006C34A1"/>
    <w:rsid w:val="006C3686"/>
    <w:rsid w:val="006C38EF"/>
    <w:rsid w:val="006C3BCF"/>
    <w:rsid w:val="006C3BEF"/>
    <w:rsid w:val="006C3D14"/>
    <w:rsid w:val="006C3EBC"/>
    <w:rsid w:val="006C3FDA"/>
    <w:rsid w:val="006C4043"/>
    <w:rsid w:val="006C41C1"/>
    <w:rsid w:val="006C41ED"/>
    <w:rsid w:val="006C43FB"/>
    <w:rsid w:val="006C48A3"/>
    <w:rsid w:val="006C4950"/>
    <w:rsid w:val="006C49AF"/>
    <w:rsid w:val="006C4F0A"/>
    <w:rsid w:val="006C52B9"/>
    <w:rsid w:val="006C559A"/>
    <w:rsid w:val="006C55A1"/>
    <w:rsid w:val="006C58E3"/>
    <w:rsid w:val="006C5A8D"/>
    <w:rsid w:val="006C5CDD"/>
    <w:rsid w:val="006C5D0C"/>
    <w:rsid w:val="006C5EF9"/>
    <w:rsid w:val="006C6346"/>
    <w:rsid w:val="006C66DC"/>
    <w:rsid w:val="006C6B24"/>
    <w:rsid w:val="006C6BEB"/>
    <w:rsid w:val="006C6E74"/>
    <w:rsid w:val="006C6E76"/>
    <w:rsid w:val="006C6ED1"/>
    <w:rsid w:val="006C6F68"/>
    <w:rsid w:val="006C70E4"/>
    <w:rsid w:val="006C7246"/>
    <w:rsid w:val="006C7695"/>
    <w:rsid w:val="006C7760"/>
    <w:rsid w:val="006C77FD"/>
    <w:rsid w:val="006C7DFA"/>
    <w:rsid w:val="006C7FB8"/>
    <w:rsid w:val="006C7FF1"/>
    <w:rsid w:val="006D00A4"/>
    <w:rsid w:val="006D01D6"/>
    <w:rsid w:val="006D02AA"/>
    <w:rsid w:val="006D056C"/>
    <w:rsid w:val="006D0650"/>
    <w:rsid w:val="006D07D9"/>
    <w:rsid w:val="006D0826"/>
    <w:rsid w:val="006D0F89"/>
    <w:rsid w:val="006D1208"/>
    <w:rsid w:val="006D157C"/>
    <w:rsid w:val="006D1918"/>
    <w:rsid w:val="006D1A50"/>
    <w:rsid w:val="006D1DFE"/>
    <w:rsid w:val="006D20A4"/>
    <w:rsid w:val="006D2560"/>
    <w:rsid w:val="006D2DEE"/>
    <w:rsid w:val="006D2FF9"/>
    <w:rsid w:val="006D328B"/>
    <w:rsid w:val="006D3620"/>
    <w:rsid w:val="006D3642"/>
    <w:rsid w:val="006D3935"/>
    <w:rsid w:val="006D41CE"/>
    <w:rsid w:val="006D4413"/>
    <w:rsid w:val="006D44DC"/>
    <w:rsid w:val="006D460E"/>
    <w:rsid w:val="006D472A"/>
    <w:rsid w:val="006D4934"/>
    <w:rsid w:val="006D4A7F"/>
    <w:rsid w:val="006D4B42"/>
    <w:rsid w:val="006D4CA2"/>
    <w:rsid w:val="006D4CF7"/>
    <w:rsid w:val="006D4E38"/>
    <w:rsid w:val="006D4FA6"/>
    <w:rsid w:val="006D50F6"/>
    <w:rsid w:val="006D5176"/>
    <w:rsid w:val="006D5201"/>
    <w:rsid w:val="006D5238"/>
    <w:rsid w:val="006D5313"/>
    <w:rsid w:val="006D535C"/>
    <w:rsid w:val="006D53C0"/>
    <w:rsid w:val="006D5409"/>
    <w:rsid w:val="006D5510"/>
    <w:rsid w:val="006D55C0"/>
    <w:rsid w:val="006D5666"/>
    <w:rsid w:val="006D5712"/>
    <w:rsid w:val="006D5753"/>
    <w:rsid w:val="006D5820"/>
    <w:rsid w:val="006D5886"/>
    <w:rsid w:val="006D5F9A"/>
    <w:rsid w:val="006D661F"/>
    <w:rsid w:val="006D6703"/>
    <w:rsid w:val="006D6944"/>
    <w:rsid w:val="006D6989"/>
    <w:rsid w:val="006D69E6"/>
    <w:rsid w:val="006D6F24"/>
    <w:rsid w:val="006D70D4"/>
    <w:rsid w:val="006D74ED"/>
    <w:rsid w:val="006D78EB"/>
    <w:rsid w:val="006D7A94"/>
    <w:rsid w:val="006D7C6D"/>
    <w:rsid w:val="006E0469"/>
    <w:rsid w:val="006E0527"/>
    <w:rsid w:val="006E058C"/>
    <w:rsid w:val="006E0922"/>
    <w:rsid w:val="006E0B0D"/>
    <w:rsid w:val="006E0BCE"/>
    <w:rsid w:val="006E0C5D"/>
    <w:rsid w:val="006E0ED9"/>
    <w:rsid w:val="006E0EF4"/>
    <w:rsid w:val="006E0F5D"/>
    <w:rsid w:val="006E0FA4"/>
    <w:rsid w:val="006E13A6"/>
    <w:rsid w:val="006E13C3"/>
    <w:rsid w:val="006E15CD"/>
    <w:rsid w:val="006E1629"/>
    <w:rsid w:val="006E16D5"/>
    <w:rsid w:val="006E16F2"/>
    <w:rsid w:val="006E1A3E"/>
    <w:rsid w:val="006E1EF0"/>
    <w:rsid w:val="006E2008"/>
    <w:rsid w:val="006E2427"/>
    <w:rsid w:val="006E2429"/>
    <w:rsid w:val="006E244B"/>
    <w:rsid w:val="006E2656"/>
    <w:rsid w:val="006E26DD"/>
    <w:rsid w:val="006E27B5"/>
    <w:rsid w:val="006E28FF"/>
    <w:rsid w:val="006E2ACA"/>
    <w:rsid w:val="006E2B44"/>
    <w:rsid w:val="006E2BB3"/>
    <w:rsid w:val="006E2E4E"/>
    <w:rsid w:val="006E326C"/>
    <w:rsid w:val="006E33D7"/>
    <w:rsid w:val="006E3688"/>
    <w:rsid w:val="006E3759"/>
    <w:rsid w:val="006E3848"/>
    <w:rsid w:val="006E38A2"/>
    <w:rsid w:val="006E3B7B"/>
    <w:rsid w:val="006E3D01"/>
    <w:rsid w:val="006E3DA4"/>
    <w:rsid w:val="006E3E01"/>
    <w:rsid w:val="006E4021"/>
    <w:rsid w:val="006E4028"/>
    <w:rsid w:val="006E402D"/>
    <w:rsid w:val="006E407F"/>
    <w:rsid w:val="006E40BB"/>
    <w:rsid w:val="006E42CD"/>
    <w:rsid w:val="006E4654"/>
    <w:rsid w:val="006E4690"/>
    <w:rsid w:val="006E46B3"/>
    <w:rsid w:val="006E48EE"/>
    <w:rsid w:val="006E494E"/>
    <w:rsid w:val="006E4A43"/>
    <w:rsid w:val="006E4A46"/>
    <w:rsid w:val="006E4B4C"/>
    <w:rsid w:val="006E50E1"/>
    <w:rsid w:val="006E50FC"/>
    <w:rsid w:val="006E5147"/>
    <w:rsid w:val="006E5269"/>
    <w:rsid w:val="006E5934"/>
    <w:rsid w:val="006E5BC2"/>
    <w:rsid w:val="006E5D74"/>
    <w:rsid w:val="006E5DDC"/>
    <w:rsid w:val="006E5F40"/>
    <w:rsid w:val="006E5F44"/>
    <w:rsid w:val="006E66DB"/>
    <w:rsid w:val="006E6779"/>
    <w:rsid w:val="006E6BC2"/>
    <w:rsid w:val="006E6C03"/>
    <w:rsid w:val="006E6CE7"/>
    <w:rsid w:val="006E7348"/>
    <w:rsid w:val="006E744A"/>
    <w:rsid w:val="006E74FE"/>
    <w:rsid w:val="006E751D"/>
    <w:rsid w:val="006E76DE"/>
    <w:rsid w:val="006E77A5"/>
    <w:rsid w:val="006E77BB"/>
    <w:rsid w:val="006E780C"/>
    <w:rsid w:val="006E79AF"/>
    <w:rsid w:val="006E7BD2"/>
    <w:rsid w:val="006E7E78"/>
    <w:rsid w:val="006E7EF3"/>
    <w:rsid w:val="006E7FB6"/>
    <w:rsid w:val="006F020F"/>
    <w:rsid w:val="006F061C"/>
    <w:rsid w:val="006F0800"/>
    <w:rsid w:val="006F08FA"/>
    <w:rsid w:val="006F0A30"/>
    <w:rsid w:val="006F1024"/>
    <w:rsid w:val="006F129F"/>
    <w:rsid w:val="006F1372"/>
    <w:rsid w:val="006F13E0"/>
    <w:rsid w:val="006F1488"/>
    <w:rsid w:val="006F155A"/>
    <w:rsid w:val="006F174E"/>
    <w:rsid w:val="006F1A79"/>
    <w:rsid w:val="006F1BD7"/>
    <w:rsid w:val="006F1C2B"/>
    <w:rsid w:val="006F1CE8"/>
    <w:rsid w:val="006F1F36"/>
    <w:rsid w:val="006F1F42"/>
    <w:rsid w:val="006F2169"/>
    <w:rsid w:val="006F23E2"/>
    <w:rsid w:val="006F2637"/>
    <w:rsid w:val="006F26B4"/>
    <w:rsid w:val="006F2810"/>
    <w:rsid w:val="006F2A0D"/>
    <w:rsid w:val="006F2A73"/>
    <w:rsid w:val="006F2D0A"/>
    <w:rsid w:val="006F2D32"/>
    <w:rsid w:val="006F2D7F"/>
    <w:rsid w:val="006F30F8"/>
    <w:rsid w:val="006F319D"/>
    <w:rsid w:val="006F324D"/>
    <w:rsid w:val="006F3549"/>
    <w:rsid w:val="006F3695"/>
    <w:rsid w:val="006F3A7C"/>
    <w:rsid w:val="006F3ABE"/>
    <w:rsid w:val="006F3BD1"/>
    <w:rsid w:val="006F3C1F"/>
    <w:rsid w:val="006F3D47"/>
    <w:rsid w:val="006F41F0"/>
    <w:rsid w:val="006F45A4"/>
    <w:rsid w:val="006F474D"/>
    <w:rsid w:val="006F4B7C"/>
    <w:rsid w:val="006F4C65"/>
    <w:rsid w:val="006F4CC9"/>
    <w:rsid w:val="006F4D7C"/>
    <w:rsid w:val="006F4FB4"/>
    <w:rsid w:val="006F504E"/>
    <w:rsid w:val="006F5156"/>
    <w:rsid w:val="006F5634"/>
    <w:rsid w:val="006F5A7C"/>
    <w:rsid w:val="006F5CC2"/>
    <w:rsid w:val="006F5CE7"/>
    <w:rsid w:val="006F5E0D"/>
    <w:rsid w:val="006F6209"/>
    <w:rsid w:val="006F6303"/>
    <w:rsid w:val="006F6316"/>
    <w:rsid w:val="006F6318"/>
    <w:rsid w:val="006F65A2"/>
    <w:rsid w:val="006F677F"/>
    <w:rsid w:val="006F6885"/>
    <w:rsid w:val="006F6C31"/>
    <w:rsid w:val="006F6E4C"/>
    <w:rsid w:val="006F6FFA"/>
    <w:rsid w:val="006F7121"/>
    <w:rsid w:val="006F72AC"/>
    <w:rsid w:val="006F74B5"/>
    <w:rsid w:val="006F789B"/>
    <w:rsid w:val="006F7973"/>
    <w:rsid w:val="006F79CE"/>
    <w:rsid w:val="006F7A56"/>
    <w:rsid w:val="006F7A75"/>
    <w:rsid w:val="006F7DEF"/>
    <w:rsid w:val="006F7E09"/>
    <w:rsid w:val="00700127"/>
    <w:rsid w:val="007005B0"/>
    <w:rsid w:val="00700695"/>
    <w:rsid w:val="00700CF2"/>
    <w:rsid w:val="00700D93"/>
    <w:rsid w:val="00700DAD"/>
    <w:rsid w:val="00700DBA"/>
    <w:rsid w:val="00700F6D"/>
    <w:rsid w:val="00700F78"/>
    <w:rsid w:val="007011CC"/>
    <w:rsid w:val="007012D2"/>
    <w:rsid w:val="0070150E"/>
    <w:rsid w:val="00701571"/>
    <w:rsid w:val="007016DD"/>
    <w:rsid w:val="00701735"/>
    <w:rsid w:val="007018CA"/>
    <w:rsid w:val="00701CC3"/>
    <w:rsid w:val="00701DFF"/>
    <w:rsid w:val="00702328"/>
    <w:rsid w:val="00702381"/>
    <w:rsid w:val="007024FB"/>
    <w:rsid w:val="00702577"/>
    <w:rsid w:val="00702600"/>
    <w:rsid w:val="00702888"/>
    <w:rsid w:val="00702B76"/>
    <w:rsid w:val="00702F8D"/>
    <w:rsid w:val="00703056"/>
    <w:rsid w:val="00703238"/>
    <w:rsid w:val="00703253"/>
    <w:rsid w:val="007032EF"/>
    <w:rsid w:val="00703F05"/>
    <w:rsid w:val="0070406F"/>
    <w:rsid w:val="007043D6"/>
    <w:rsid w:val="00704788"/>
    <w:rsid w:val="00704C5B"/>
    <w:rsid w:val="00705212"/>
    <w:rsid w:val="007055E4"/>
    <w:rsid w:val="0070560F"/>
    <w:rsid w:val="0070573F"/>
    <w:rsid w:val="00705C3B"/>
    <w:rsid w:val="00705CC8"/>
    <w:rsid w:val="00705CD6"/>
    <w:rsid w:val="00705DB8"/>
    <w:rsid w:val="00705F50"/>
    <w:rsid w:val="007060A4"/>
    <w:rsid w:val="0070625C"/>
    <w:rsid w:val="007064CF"/>
    <w:rsid w:val="007066F3"/>
    <w:rsid w:val="00706706"/>
    <w:rsid w:val="00706929"/>
    <w:rsid w:val="00706C7D"/>
    <w:rsid w:val="00706C8C"/>
    <w:rsid w:val="00707169"/>
    <w:rsid w:val="007071DC"/>
    <w:rsid w:val="007072E3"/>
    <w:rsid w:val="0070746A"/>
    <w:rsid w:val="0070748A"/>
    <w:rsid w:val="00707640"/>
    <w:rsid w:val="007076A2"/>
    <w:rsid w:val="0070784E"/>
    <w:rsid w:val="007078A7"/>
    <w:rsid w:val="007079C8"/>
    <w:rsid w:val="00707A4C"/>
    <w:rsid w:val="00707A98"/>
    <w:rsid w:val="00707B15"/>
    <w:rsid w:val="00707E5B"/>
    <w:rsid w:val="00707FE1"/>
    <w:rsid w:val="00710278"/>
    <w:rsid w:val="00710349"/>
    <w:rsid w:val="0071035A"/>
    <w:rsid w:val="0071049B"/>
    <w:rsid w:val="00710E62"/>
    <w:rsid w:val="007111E5"/>
    <w:rsid w:val="0071125D"/>
    <w:rsid w:val="00711289"/>
    <w:rsid w:val="00711412"/>
    <w:rsid w:val="007116C5"/>
    <w:rsid w:val="00711738"/>
    <w:rsid w:val="0071179B"/>
    <w:rsid w:val="007117CD"/>
    <w:rsid w:val="00711C2B"/>
    <w:rsid w:val="00711C71"/>
    <w:rsid w:val="00711D57"/>
    <w:rsid w:val="00711EF5"/>
    <w:rsid w:val="00712337"/>
    <w:rsid w:val="00712839"/>
    <w:rsid w:val="007129F6"/>
    <w:rsid w:val="00712A8A"/>
    <w:rsid w:val="00712ACA"/>
    <w:rsid w:val="00712F8A"/>
    <w:rsid w:val="00713076"/>
    <w:rsid w:val="00713225"/>
    <w:rsid w:val="007132B9"/>
    <w:rsid w:val="007137ED"/>
    <w:rsid w:val="00713AD3"/>
    <w:rsid w:val="00713B79"/>
    <w:rsid w:val="00713BB3"/>
    <w:rsid w:val="00713E5F"/>
    <w:rsid w:val="007140E8"/>
    <w:rsid w:val="007141F4"/>
    <w:rsid w:val="007147D7"/>
    <w:rsid w:val="00714946"/>
    <w:rsid w:val="00714972"/>
    <w:rsid w:val="00714A83"/>
    <w:rsid w:val="00714B50"/>
    <w:rsid w:val="00714F97"/>
    <w:rsid w:val="00715131"/>
    <w:rsid w:val="0071529D"/>
    <w:rsid w:val="007152E5"/>
    <w:rsid w:val="0071548F"/>
    <w:rsid w:val="00715716"/>
    <w:rsid w:val="00715751"/>
    <w:rsid w:val="0071578F"/>
    <w:rsid w:val="007157A5"/>
    <w:rsid w:val="00715C95"/>
    <w:rsid w:val="00715E03"/>
    <w:rsid w:val="00715F5B"/>
    <w:rsid w:val="0071682C"/>
    <w:rsid w:val="00716D0E"/>
    <w:rsid w:val="00716FE6"/>
    <w:rsid w:val="0071717E"/>
    <w:rsid w:val="007171E9"/>
    <w:rsid w:val="00717216"/>
    <w:rsid w:val="007175A7"/>
    <w:rsid w:val="00717687"/>
    <w:rsid w:val="007178FF"/>
    <w:rsid w:val="00717B3E"/>
    <w:rsid w:val="00717BA0"/>
    <w:rsid w:val="007200DD"/>
    <w:rsid w:val="00720232"/>
    <w:rsid w:val="00720279"/>
    <w:rsid w:val="007205E1"/>
    <w:rsid w:val="0072095F"/>
    <w:rsid w:val="00720BD6"/>
    <w:rsid w:val="0072108E"/>
    <w:rsid w:val="007215E5"/>
    <w:rsid w:val="007216B7"/>
    <w:rsid w:val="00721767"/>
    <w:rsid w:val="00721826"/>
    <w:rsid w:val="007218F1"/>
    <w:rsid w:val="00721A20"/>
    <w:rsid w:val="00721C77"/>
    <w:rsid w:val="007223D1"/>
    <w:rsid w:val="007226EE"/>
    <w:rsid w:val="0072299A"/>
    <w:rsid w:val="00722B70"/>
    <w:rsid w:val="00722D6F"/>
    <w:rsid w:val="00722DF6"/>
    <w:rsid w:val="00722DFD"/>
    <w:rsid w:val="00723062"/>
    <w:rsid w:val="007231DD"/>
    <w:rsid w:val="00723770"/>
    <w:rsid w:val="00723786"/>
    <w:rsid w:val="00723958"/>
    <w:rsid w:val="00723E07"/>
    <w:rsid w:val="007241BE"/>
    <w:rsid w:val="00724786"/>
    <w:rsid w:val="0072509D"/>
    <w:rsid w:val="0072512A"/>
    <w:rsid w:val="00725356"/>
    <w:rsid w:val="0072549A"/>
    <w:rsid w:val="00725966"/>
    <w:rsid w:val="00725AEC"/>
    <w:rsid w:val="00725D25"/>
    <w:rsid w:val="00726061"/>
    <w:rsid w:val="00726173"/>
    <w:rsid w:val="007261CF"/>
    <w:rsid w:val="00726384"/>
    <w:rsid w:val="007264B1"/>
    <w:rsid w:val="00726C80"/>
    <w:rsid w:val="00726F11"/>
    <w:rsid w:val="00726F3A"/>
    <w:rsid w:val="00726FDC"/>
    <w:rsid w:val="00727228"/>
    <w:rsid w:val="00727529"/>
    <w:rsid w:val="00727930"/>
    <w:rsid w:val="00727AAD"/>
    <w:rsid w:val="00730505"/>
    <w:rsid w:val="007306CD"/>
    <w:rsid w:val="0073072C"/>
    <w:rsid w:val="00730A30"/>
    <w:rsid w:val="00730DC4"/>
    <w:rsid w:val="0073130B"/>
    <w:rsid w:val="00731769"/>
    <w:rsid w:val="007319F8"/>
    <w:rsid w:val="00731B60"/>
    <w:rsid w:val="00731EE6"/>
    <w:rsid w:val="00732033"/>
    <w:rsid w:val="0073209B"/>
    <w:rsid w:val="0073211A"/>
    <w:rsid w:val="00732690"/>
    <w:rsid w:val="0073271E"/>
    <w:rsid w:val="00732C26"/>
    <w:rsid w:val="00732C2F"/>
    <w:rsid w:val="00732D7D"/>
    <w:rsid w:val="00733081"/>
    <w:rsid w:val="0073347A"/>
    <w:rsid w:val="0073356D"/>
    <w:rsid w:val="0073359C"/>
    <w:rsid w:val="0073363D"/>
    <w:rsid w:val="00733BDA"/>
    <w:rsid w:val="00733FB4"/>
    <w:rsid w:val="0073403F"/>
    <w:rsid w:val="007341C8"/>
    <w:rsid w:val="00734249"/>
    <w:rsid w:val="007343D5"/>
    <w:rsid w:val="00734420"/>
    <w:rsid w:val="00734508"/>
    <w:rsid w:val="00734640"/>
    <w:rsid w:val="00734AAE"/>
    <w:rsid w:val="00734BDF"/>
    <w:rsid w:val="00734D16"/>
    <w:rsid w:val="00734F40"/>
    <w:rsid w:val="00734FA3"/>
    <w:rsid w:val="00735025"/>
    <w:rsid w:val="007355A6"/>
    <w:rsid w:val="00735650"/>
    <w:rsid w:val="0073569B"/>
    <w:rsid w:val="00735BD9"/>
    <w:rsid w:val="00735BF1"/>
    <w:rsid w:val="00735C36"/>
    <w:rsid w:val="00735E67"/>
    <w:rsid w:val="00735F43"/>
    <w:rsid w:val="007360EF"/>
    <w:rsid w:val="00736343"/>
    <w:rsid w:val="007363D8"/>
    <w:rsid w:val="00736675"/>
    <w:rsid w:val="007368D0"/>
    <w:rsid w:val="00736915"/>
    <w:rsid w:val="00736C6F"/>
    <w:rsid w:val="00736CA5"/>
    <w:rsid w:val="00736E5C"/>
    <w:rsid w:val="00736F34"/>
    <w:rsid w:val="00736F6E"/>
    <w:rsid w:val="007371C6"/>
    <w:rsid w:val="007371D7"/>
    <w:rsid w:val="00737503"/>
    <w:rsid w:val="007375C3"/>
    <w:rsid w:val="00737924"/>
    <w:rsid w:val="00737BFB"/>
    <w:rsid w:val="00737E19"/>
    <w:rsid w:val="00737F87"/>
    <w:rsid w:val="00740368"/>
    <w:rsid w:val="00740410"/>
    <w:rsid w:val="00740575"/>
    <w:rsid w:val="007407AD"/>
    <w:rsid w:val="00740974"/>
    <w:rsid w:val="00740A28"/>
    <w:rsid w:val="00740A71"/>
    <w:rsid w:val="00740CF0"/>
    <w:rsid w:val="00740E94"/>
    <w:rsid w:val="00740FA6"/>
    <w:rsid w:val="00741167"/>
    <w:rsid w:val="0074133E"/>
    <w:rsid w:val="007413AE"/>
    <w:rsid w:val="0074146C"/>
    <w:rsid w:val="007415B1"/>
    <w:rsid w:val="00741A31"/>
    <w:rsid w:val="00741A7E"/>
    <w:rsid w:val="00741F79"/>
    <w:rsid w:val="007420C7"/>
    <w:rsid w:val="0074223A"/>
    <w:rsid w:val="007423A8"/>
    <w:rsid w:val="00742532"/>
    <w:rsid w:val="00742648"/>
    <w:rsid w:val="007426D5"/>
    <w:rsid w:val="00742AC9"/>
    <w:rsid w:val="00742CA0"/>
    <w:rsid w:val="00742EAB"/>
    <w:rsid w:val="00743047"/>
    <w:rsid w:val="007439CC"/>
    <w:rsid w:val="00743B35"/>
    <w:rsid w:val="00743CAC"/>
    <w:rsid w:val="00743CC3"/>
    <w:rsid w:val="00743E02"/>
    <w:rsid w:val="00743E88"/>
    <w:rsid w:val="00743F25"/>
    <w:rsid w:val="00743F4F"/>
    <w:rsid w:val="00744015"/>
    <w:rsid w:val="00744041"/>
    <w:rsid w:val="00744062"/>
    <w:rsid w:val="00744103"/>
    <w:rsid w:val="0074436B"/>
    <w:rsid w:val="00744603"/>
    <w:rsid w:val="007446B9"/>
    <w:rsid w:val="007447CE"/>
    <w:rsid w:val="00744A52"/>
    <w:rsid w:val="00744AD6"/>
    <w:rsid w:val="00744C6C"/>
    <w:rsid w:val="00744E10"/>
    <w:rsid w:val="007450A5"/>
    <w:rsid w:val="007453BE"/>
    <w:rsid w:val="007453E9"/>
    <w:rsid w:val="0074577E"/>
    <w:rsid w:val="00745840"/>
    <w:rsid w:val="007458D5"/>
    <w:rsid w:val="00745BF8"/>
    <w:rsid w:val="00745C92"/>
    <w:rsid w:val="00745FC4"/>
    <w:rsid w:val="007460DA"/>
    <w:rsid w:val="007464B7"/>
    <w:rsid w:val="00746726"/>
    <w:rsid w:val="007468D0"/>
    <w:rsid w:val="00746909"/>
    <w:rsid w:val="00746977"/>
    <w:rsid w:val="00746D7E"/>
    <w:rsid w:val="00747126"/>
    <w:rsid w:val="007474A4"/>
    <w:rsid w:val="00747607"/>
    <w:rsid w:val="007476A0"/>
    <w:rsid w:val="007477C5"/>
    <w:rsid w:val="0074792C"/>
    <w:rsid w:val="00747938"/>
    <w:rsid w:val="00747A49"/>
    <w:rsid w:val="00747FBD"/>
    <w:rsid w:val="00750246"/>
    <w:rsid w:val="007502C8"/>
    <w:rsid w:val="00750EC3"/>
    <w:rsid w:val="00750FCF"/>
    <w:rsid w:val="0075123F"/>
    <w:rsid w:val="007512B3"/>
    <w:rsid w:val="00751551"/>
    <w:rsid w:val="007515D1"/>
    <w:rsid w:val="007517DA"/>
    <w:rsid w:val="00751B2D"/>
    <w:rsid w:val="00751B2E"/>
    <w:rsid w:val="00751B95"/>
    <w:rsid w:val="0075204A"/>
    <w:rsid w:val="007521C4"/>
    <w:rsid w:val="0075249A"/>
    <w:rsid w:val="00752A2B"/>
    <w:rsid w:val="00752BEB"/>
    <w:rsid w:val="00752C0F"/>
    <w:rsid w:val="00752C8C"/>
    <w:rsid w:val="00752D13"/>
    <w:rsid w:val="00752DD8"/>
    <w:rsid w:val="00753031"/>
    <w:rsid w:val="0075312C"/>
    <w:rsid w:val="007532E7"/>
    <w:rsid w:val="007532FA"/>
    <w:rsid w:val="00753671"/>
    <w:rsid w:val="00753757"/>
    <w:rsid w:val="0075377A"/>
    <w:rsid w:val="00753914"/>
    <w:rsid w:val="00753A38"/>
    <w:rsid w:val="00753D0A"/>
    <w:rsid w:val="007541DD"/>
    <w:rsid w:val="007541E4"/>
    <w:rsid w:val="0075469A"/>
    <w:rsid w:val="00754B5C"/>
    <w:rsid w:val="00754FDF"/>
    <w:rsid w:val="00755467"/>
    <w:rsid w:val="00755513"/>
    <w:rsid w:val="00755817"/>
    <w:rsid w:val="00755AAA"/>
    <w:rsid w:val="00755B12"/>
    <w:rsid w:val="00755D93"/>
    <w:rsid w:val="00755DCB"/>
    <w:rsid w:val="00755DEC"/>
    <w:rsid w:val="00755E5C"/>
    <w:rsid w:val="0075610A"/>
    <w:rsid w:val="0075679F"/>
    <w:rsid w:val="00756864"/>
    <w:rsid w:val="00756A7B"/>
    <w:rsid w:val="00756B27"/>
    <w:rsid w:val="00756BB1"/>
    <w:rsid w:val="00756CCC"/>
    <w:rsid w:val="00757035"/>
    <w:rsid w:val="0075713B"/>
    <w:rsid w:val="00757186"/>
    <w:rsid w:val="007578E1"/>
    <w:rsid w:val="00757A6A"/>
    <w:rsid w:val="00757CF3"/>
    <w:rsid w:val="00757DF9"/>
    <w:rsid w:val="00757F14"/>
    <w:rsid w:val="0076006D"/>
    <w:rsid w:val="00760477"/>
    <w:rsid w:val="00760600"/>
    <w:rsid w:val="00760692"/>
    <w:rsid w:val="00760768"/>
    <w:rsid w:val="00760BCC"/>
    <w:rsid w:val="00760F65"/>
    <w:rsid w:val="0076106B"/>
    <w:rsid w:val="0076142B"/>
    <w:rsid w:val="00761590"/>
    <w:rsid w:val="00761830"/>
    <w:rsid w:val="00761868"/>
    <w:rsid w:val="007619B1"/>
    <w:rsid w:val="00761A4D"/>
    <w:rsid w:val="00761A7B"/>
    <w:rsid w:val="00761B62"/>
    <w:rsid w:val="007621FF"/>
    <w:rsid w:val="0076271C"/>
    <w:rsid w:val="00762AFB"/>
    <w:rsid w:val="007630F5"/>
    <w:rsid w:val="00763275"/>
    <w:rsid w:val="00763388"/>
    <w:rsid w:val="007637BC"/>
    <w:rsid w:val="007639D9"/>
    <w:rsid w:val="00763A92"/>
    <w:rsid w:val="00763BE6"/>
    <w:rsid w:val="007640AF"/>
    <w:rsid w:val="007642D2"/>
    <w:rsid w:val="0076440A"/>
    <w:rsid w:val="0076447B"/>
    <w:rsid w:val="0076448A"/>
    <w:rsid w:val="0076448B"/>
    <w:rsid w:val="0076457A"/>
    <w:rsid w:val="007645DD"/>
    <w:rsid w:val="0076475B"/>
    <w:rsid w:val="00764AF3"/>
    <w:rsid w:val="00764B31"/>
    <w:rsid w:val="00764B5D"/>
    <w:rsid w:val="00764D00"/>
    <w:rsid w:val="00764FD5"/>
    <w:rsid w:val="007651E0"/>
    <w:rsid w:val="00765210"/>
    <w:rsid w:val="007652F7"/>
    <w:rsid w:val="007653FE"/>
    <w:rsid w:val="007655A9"/>
    <w:rsid w:val="007656A1"/>
    <w:rsid w:val="007656CA"/>
    <w:rsid w:val="007656EB"/>
    <w:rsid w:val="00765956"/>
    <w:rsid w:val="00765A07"/>
    <w:rsid w:val="00765BA8"/>
    <w:rsid w:val="00765DCE"/>
    <w:rsid w:val="00765EA3"/>
    <w:rsid w:val="00766007"/>
    <w:rsid w:val="007664F7"/>
    <w:rsid w:val="00766537"/>
    <w:rsid w:val="00767193"/>
    <w:rsid w:val="007673C8"/>
    <w:rsid w:val="007674A1"/>
    <w:rsid w:val="007676C7"/>
    <w:rsid w:val="00767768"/>
    <w:rsid w:val="0076784F"/>
    <w:rsid w:val="007678D1"/>
    <w:rsid w:val="00767AFB"/>
    <w:rsid w:val="00767BF3"/>
    <w:rsid w:val="00767D9C"/>
    <w:rsid w:val="00767FE7"/>
    <w:rsid w:val="00767FFC"/>
    <w:rsid w:val="00770033"/>
    <w:rsid w:val="0077018F"/>
    <w:rsid w:val="0077048F"/>
    <w:rsid w:val="00770684"/>
    <w:rsid w:val="00770868"/>
    <w:rsid w:val="00770A26"/>
    <w:rsid w:val="00770BE4"/>
    <w:rsid w:val="00770FA5"/>
    <w:rsid w:val="00771247"/>
    <w:rsid w:val="007714F0"/>
    <w:rsid w:val="00771608"/>
    <w:rsid w:val="0077163A"/>
    <w:rsid w:val="007716BC"/>
    <w:rsid w:val="007716FA"/>
    <w:rsid w:val="007717E4"/>
    <w:rsid w:val="007717F1"/>
    <w:rsid w:val="00771FB5"/>
    <w:rsid w:val="007720CF"/>
    <w:rsid w:val="007724A7"/>
    <w:rsid w:val="00772698"/>
    <w:rsid w:val="007726FA"/>
    <w:rsid w:val="00772945"/>
    <w:rsid w:val="00772C70"/>
    <w:rsid w:val="00772E3C"/>
    <w:rsid w:val="0077303B"/>
    <w:rsid w:val="007730BE"/>
    <w:rsid w:val="007731BC"/>
    <w:rsid w:val="0077330B"/>
    <w:rsid w:val="00773328"/>
    <w:rsid w:val="00773481"/>
    <w:rsid w:val="00773614"/>
    <w:rsid w:val="00773913"/>
    <w:rsid w:val="00773C3D"/>
    <w:rsid w:val="00773FCE"/>
    <w:rsid w:val="007741E7"/>
    <w:rsid w:val="00774210"/>
    <w:rsid w:val="00774305"/>
    <w:rsid w:val="0077460C"/>
    <w:rsid w:val="007746D9"/>
    <w:rsid w:val="007746ED"/>
    <w:rsid w:val="00774814"/>
    <w:rsid w:val="00774969"/>
    <w:rsid w:val="00774B93"/>
    <w:rsid w:val="00774EAF"/>
    <w:rsid w:val="00774FC7"/>
    <w:rsid w:val="00775231"/>
    <w:rsid w:val="007754C3"/>
    <w:rsid w:val="0077554D"/>
    <w:rsid w:val="00775567"/>
    <w:rsid w:val="007757C6"/>
    <w:rsid w:val="00775A8A"/>
    <w:rsid w:val="00775C40"/>
    <w:rsid w:val="00775C59"/>
    <w:rsid w:val="00775E26"/>
    <w:rsid w:val="0077629F"/>
    <w:rsid w:val="0077645D"/>
    <w:rsid w:val="007764D5"/>
    <w:rsid w:val="00776542"/>
    <w:rsid w:val="00776749"/>
    <w:rsid w:val="00776E2E"/>
    <w:rsid w:val="00776F6F"/>
    <w:rsid w:val="0077706A"/>
    <w:rsid w:val="007773A8"/>
    <w:rsid w:val="00777442"/>
    <w:rsid w:val="00777451"/>
    <w:rsid w:val="00777583"/>
    <w:rsid w:val="007777D2"/>
    <w:rsid w:val="007778B8"/>
    <w:rsid w:val="0077791A"/>
    <w:rsid w:val="007779A3"/>
    <w:rsid w:val="00777ADC"/>
    <w:rsid w:val="00777B9E"/>
    <w:rsid w:val="00777FAB"/>
    <w:rsid w:val="007802E7"/>
    <w:rsid w:val="007804DC"/>
    <w:rsid w:val="00780535"/>
    <w:rsid w:val="007809FB"/>
    <w:rsid w:val="00780B1A"/>
    <w:rsid w:val="00780B35"/>
    <w:rsid w:val="00780D45"/>
    <w:rsid w:val="00780F3F"/>
    <w:rsid w:val="007812E7"/>
    <w:rsid w:val="00781315"/>
    <w:rsid w:val="0078135D"/>
    <w:rsid w:val="007814D5"/>
    <w:rsid w:val="00781508"/>
    <w:rsid w:val="0078159F"/>
    <w:rsid w:val="007819ED"/>
    <w:rsid w:val="00781A97"/>
    <w:rsid w:val="00781B42"/>
    <w:rsid w:val="00781BBC"/>
    <w:rsid w:val="00781C30"/>
    <w:rsid w:val="00781E7D"/>
    <w:rsid w:val="00782065"/>
    <w:rsid w:val="00782130"/>
    <w:rsid w:val="00782221"/>
    <w:rsid w:val="00782411"/>
    <w:rsid w:val="00782419"/>
    <w:rsid w:val="007824BC"/>
    <w:rsid w:val="007828B9"/>
    <w:rsid w:val="007829AD"/>
    <w:rsid w:val="007829DA"/>
    <w:rsid w:val="00782D2D"/>
    <w:rsid w:val="00782DFC"/>
    <w:rsid w:val="00782EC4"/>
    <w:rsid w:val="00782EEE"/>
    <w:rsid w:val="00783153"/>
    <w:rsid w:val="0078326A"/>
    <w:rsid w:val="007832FD"/>
    <w:rsid w:val="007833B9"/>
    <w:rsid w:val="00783A74"/>
    <w:rsid w:val="00783AE5"/>
    <w:rsid w:val="00783EF0"/>
    <w:rsid w:val="0078421B"/>
    <w:rsid w:val="00784785"/>
    <w:rsid w:val="0078480A"/>
    <w:rsid w:val="00784A7B"/>
    <w:rsid w:val="00784AE7"/>
    <w:rsid w:val="00784B98"/>
    <w:rsid w:val="0078517D"/>
    <w:rsid w:val="007852A3"/>
    <w:rsid w:val="0078539C"/>
    <w:rsid w:val="00785777"/>
    <w:rsid w:val="00785AEF"/>
    <w:rsid w:val="00785B8B"/>
    <w:rsid w:val="00785C83"/>
    <w:rsid w:val="00785E40"/>
    <w:rsid w:val="00785EE2"/>
    <w:rsid w:val="00785F60"/>
    <w:rsid w:val="00786248"/>
    <w:rsid w:val="007864DA"/>
    <w:rsid w:val="00786729"/>
    <w:rsid w:val="00786ED8"/>
    <w:rsid w:val="00787152"/>
    <w:rsid w:val="00787475"/>
    <w:rsid w:val="00787491"/>
    <w:rsid w:val="0078759B"/>
    <w:rsid w:val="007875D7"/>
    <w:rsid w:val="00787807"/>
    <w:rsid w:val="0078780B"/>
    <w:rsid w:val="00787884"/>
    <w:rsid w:val="00787A15"/>
    <w:rsid w:val="00787AC0"/>
    <w:rsid w:val="00787CF3"/>
    <w:rsid w:val="00787D20"/>
    <w:rsid w:val="00787FD1"/>
    <w:rsid w:val="0079001F"/>
    <w:rsid w:val="007900ED"/>
    <w:rsid w:val="0079012F"/>
    <w:rsid w:val="00790362"/>
    <w:rsid w:val="007904EA"/>
    <w:rsid w:val="0079065C"/>
    <w:rsid w:val="007906A9"/>
    <w:rsid w:val="0079073C"/>
    <w:rsid w:val="00790767"/>
    <w:rsid w:val="007907CF"/>
    <w:rsid w:val="00790908"/>
    <w:rsid w:val="00790A3B"/>
    <w:rsid w:val="00790B5F"/>
    <w:rsid w:val="00790FE3"/>
    <w:rsid w:val="0079108A"/>
    <w:rsid w:val="007911B6"/>
    <w:rsid w:val="00791433"/>
    <w:rsid w:val="00791903"/>
    <w:rsid w:val="00791AAF"/>
    <w:rsid w:val="00791AE8"/>
    <w:rsid w:val="00791BF5"/>
    <w:rsid w:val="00791DE7"/>
    <w:rsid w:val="00792000"/>
    <w:rsid w:val="0079203A"/>
    <w:rsid w:val="00792061"/>
    <w:rsid w:val="00792080"/>
    <w:rsid w:val="007920FE"/>
    <w:rsid w:val="00792431"/>
    <w:rsid w:val="0079289D"/>
    <w:rsid w:val="0079295F"/>
    <w:rsid w:val="007930B7"/>
    <w:rsid w:val="00793237"/>
    <w:rsid w:val="00793541"/>
    <w:rsid w:val="00793A30"/>
    <w:rsid w:val="00793C1A"/>
    <w:rsid w:val="00793E9D"/>
    <w:rsid w:val="00793ED8"/>
    <w:rsid w:val="007946AA"/>
    <w:rsid w:val="007948DE"/>
    <w:rsid w:val="00794C65"/>
    <w:rsid w:val="00794D41"/>
    <w:rsid w:val="00794E6A"/>
    <w:rsid w:val="00794EA9"/>
    <w:rsid w:val="00794F5F"/>
    <w:rsid w:val="007953AE"/>
    <w:rsid w:val="00795461"/>
    <w:rsid w:val="007954CF"/>
    <w:rsid w:val="00795640"/>
    <w:rsid w:val="00795730"/>
    <w:rsid w:val="007958E5"/>
    <w:rsid w:val="00795C3D"/>
    <w:rsid w:val="00795DF5"/>
    <w:rsid w:val="00795E2E"/>
    <w:rsid w:val="00796105"/>
    <w:rsid w:val="007963DB"/>
    <w:rsid w:val="0079691E"/>
    <w:rsid w:val="007969E4"/>
    <w:rsid w:val="00796CD0"/>
    <w:rsid w:val="00796E5B"/>
    <w:rsid w:val="00796E96"/>
    <w:rsid w:val="00797093"/>
    <w:rsid w:val="007970C0"/>
    <w:rsid w:val="007972A1"/>
    <w:rsid w:val="007973AE"/>
    <w:rsid w:val="0079776F"/>
    <w:rsid w:val="00797CD7"/>
    <w:rsid w:val="007A0003"/>
    <w:rsid w:val="007A0131"/>
    <w:rsid w:val="007A0395"/>
    <w:rsid w:val="007A04E1"/>
    <w:rsid w:val="007A05EC"/>
    <w:rsid w:val="007A06CB"/>
    <w:rsid w:val="007A08CD"/>
    <w:rsid w:val="007A08CE"/>
    <w:rsid w:val="007A092C"/>
    <w:rsid w:val="007A0BC8"/>
    <w:rsid w:val="007A0D5E"/>
    <w:rsid w:val="007A0F3F"/>
    <w:rsid w:val="007A1364"/>
    <w:rsid w:val="007A1442"/>
    <w:rsid w:val="007A1785"/>
    <w:rsid w:val="007A1889"/>
    <w:rsid w:val="007A1939"/>
    <w:rsid w:val="007A1B70"/>
    <w:rsid w:val="007A1E7F"/>
    <w:rsid w:val="007A1F2D"/>
    <w:rsid w:val="007A21AA"/>
    <w:rsid w:val="007A2286"/>
    <w:rsid w:val="007A2485"/>
    <w:rsid w:val="007A24A0"/>
    <w:rsid w:val="007A2720"/>
    <w:rsid w:val="007A2769"/>
    <w:rsid w:val="007A2824"/>
    <w:rsid w:val="007A28C5"/>
    <w:rsid w:val="007A28EC"/>
    <w:rsid w:val="007A2938"/>
    <w:rsid w:val="007A2CCB"/>
    <w:rsid w:val="007A2DB0"/>
    <w:rsid w:val="007A2E83"/>
    <w:rsid w:val="007A31BB"/>
    <w:rsid w:val="007A31E6"/>
    <w:rsid w:val="007A332C"/>
    <w:rsid w:val="007A35AC"/>
    <w:rsid w:val="007A363E"/>
    <w:rsid w:val="007A3951"/>
    <w:rsid w:val="007A3B9A"/>
    <w:rsid w:val="007A3FC1"/>
    <w:rsid w:val="007A4171"/>
    <w:rsid w:val="007A41A1"/>
    <w:rsid w:val="007A41B9"/>
    <w:rsid w:val="007A4377"/>
    <w:rsid w:val="007A4637"/>
    <w:rsid w:val="007A476B"/>
    <w:rsid w:val="007A48CA"/>
    <w:rsid w:val="007A490D"/>
    <w:rsid w:val="007A4AB2"/>
    <w:rsid w:val="007A4D95"/>
    <w:rsid w:val="007A4E13"/>
    <w:rsid w:val="007A500C"/>
    <w:rsid w:val="007A53C4"/>
    <w:rsid w:val="007A5527"/>
    <w:rsid w:val="007A58DD"/>
    <w:rsid w:val="007A5C19"/>
    <w:rsid w:val="007A5E68"/>
    <w:rsid w:val="007A602B"/>
    <w:rsid w:val="007A6212"/>
    <w:rsid w:val="007A63C9"/>
    <w:rsid w:val="007A64DE"/>
    <w:rsid w:val="007A6CFC"/>
    <w:rsid w:val="007A6F42"/>
    <w:rsid w:val="007A7158"/>
    <w:rsid w:val="007A71CE"/>
    <w:rsid w:val="007A7234"/>
    <w:rsid w:val="007A7297"/>
    <w:rsid w:val="007A7442"/>
    <w:rsid w:val="007A76B0"/>
    <w:rsid w:val="007A7825"/>
    <w:rsid w:val="007A7925"/>
    <w:rsid w:val="007A7B01"/>
    <w:rsid w:val="007A7E8C"/>
    <w:rsid w:val="007B057E"/>
    <w:rsid w:val="007B08C9"/>
    <w:rsid w:val="007B092A"/>
    <w:rsid w:val="007B0A22"/>
    <w:rsid w:val="007B0CAC"/>
    <w:rsid w:val="007B0E20"/>
    <w:rsid w:val="007B14FC"/>
    <w:rsid w:val="007B14FD"/>
    <w:rsid w:val="007B1539"/>
    <w:rsid w:val="007B15A6"/>
    <w:rsid w:val="007B18D5"/>
    <w:rsid w:val="007B1B6D"/>
    <w:rsid w:val="007B1BBA"/>
    <w:rsid w:val="007B1BF7"/>
    <w:rsid w:val="007B1C91"/>
    <w:rsid w:val="007B1C92"/>
    <w:rsid w:val="007B1DA8"/>
    <w:rsid w:val="007B265A"/>
    <w:rsid w:val="007B27BE"/>
    <w:rsid w:val="007B2892"/>
    <w:rsid w:val="007B289F"/>
    <w:rsid w:val="007B2FD6"/>
    <w:rsid w:val="007B321C"/>
    <w:rsid w:val="007B3262"/>
    <w:rsid w:val="007B33E5"/>
    <w:rsid w:val="007B36AE"/>
    <w:rsid w:val="007B36BF"/>
    <w:rsid w:val="007B3C14"/>
    <w:rsid w:val="007B3D0B"/>
    <w:rsid w:val="007B3F82"/>
    <w:rsid w:val="007B44D7"/>
    <w:rsid w:val="007B454A"/>
    <w:rsid w:val="007B46A6"/>
    <w:rsid w:val="007B4A59"/>
    <w:rsid w:val="007B4D42"/>
    <w:rsid w:val="007B50EE"/>
    <w:rsid w:val="007B5102"/>
    <w:rsid w:val="007B51AA"/>
    <w:rsid w:val="007B5252"/>
    <w:rsid w:val="007B535B"/>
    <w:rsid w:val="007B53CE"/>
    <w:rsid w:val="007B54DB"/>
    <w:rsid w:val="007B5502"/>
    <w:rsid w:val="007B577C"/>
    <w:rsid w:val="007B598C"/>
    <w:rsid w:val="007B5A2F"/>
    <w:rsid w:val="007B5B27"/>
    <w:rsid w:val="007B5B32"/>
    <w:rsid w:val="007B5C75"/>
    <w:rsid w:val="007B6030"/>
    <w:rsid w:val="007B610F"/>
    <w:rsid w:val="007B629E"/>
    <w:rsid w:val="007B63CF"/>
    <w:rsid w:val="007B69D8"/>
    <w:rsid w:val="007B6AEE"/>
    <w:rsid w:val="007B6AF5"/>
    <w:rsid w:val="007B6C38"/>
    <w:rsid w:val="007B6D60"/>
    <w:rsid w:val="007B6F53"/>
    <w:rsid w:val="007B713D"/>
    <w:rsid w:val="007B742C"/>
    <w:rsid w:val="007B745C"/>
    <w:rsid w:val="007B7472"/>
    <w:rsid w:val="007B74ED"/>
    <w:rsid w:val="007B750A"/>
    <w:rsid w:val="007B7573"/>
    <w:rsid w:val="007B76FF"/>
    <w:rsid w:val="007B7A13"/>
    <w:rsid w:val="007B7AAB"/>
    <w:rsid w:val="007B7E2D"/>
    <w:rsid w:val="007C03BB"/>
    <w:rsid w:val="007C0571"/>
    <w:rsid w:val="007C06B2"/>
    <w:rsid w:val="007C06D3"/>
    <w:rsid w:val="007C0A27"/>
    <w:rsid w:val="007C124F"/>
    <w:rsid w:val="007C1549"/>
    <w:rsid w:val="007C1955"/>
    <w:rsid w:val="007C1D9D"/>
    <w:rsid w:val="007C223B"/>
    <w:rsid w:val="007C229C"/>
    <w:rsid w:val="007C2721"/>
    <w:rsid w:val="007C28CF"/>
    <w:rsid w:val="007C2941"/>
    <w:rsid w:val="007C29AF"/>
    <w:rsid w:val="007C29D7"/>
    <w:rsid w:val="007C2A58"/>
    <w:rsid w:val="007C2A9E"/>
    <w:rsid w:val="007C2FC6"/>
    <w:rsid w:val="007C3215"/>
    <w:rsid w:val="007C34DE"/>
    <w:rsid w:val="007C380B"/>
    <w:rsid w:val="007C384B"/>
    <w:rsid w:val="007C38B5"/>
    <w:rsid w:val="007C3B6A"/>
    <w:rsid w:val="007C404B"/>
    <w:rsid w:val="007C4187"/>
    <w:rsid w:val="007C41A0"/>
    <w:rsid w:val="007C478B"/>
    <w:rsid w:val="007C49EC"/>
    <w:rsid w:val="007C4A68"/>
    <w:rsid w:val="007C4BAE"/>
    <w:rsid w:val="007C4BEE"/>
    <w:rsid w:val="007C4D64"/>
    <w:rsid w:val="007C4EF0"/>
    <w:rsid w:val="007C4FAE"/>
    <w:rsid w:val="007C5781"/>
    <w:rsid w:val="007C5BA9"/>
    <w:rsid w:val="007C5C2B"/>
    <w:rsid w:val="007C6161"/>
    <w:rsid w:val="007C62AC"/>
    <w:rsid w:val="007C667A"/>
    <w:rsid w:val="007C6A89"/>
    <w:rsid w:val="007C6D50"/>
    <w:rsid w:val="007C6F2E"/>
    <w:rsid w:val="007C70F6"/>
    <w:rsid w:val="007C73CF"/>
    <w:rsid w:val="007C764E"/>
    <w:rsid w:val="007C77C5"/>
    <w:rsid w:val="007C77EE"/>
    <w:rsid w:val="007C7E37"/>
    <w:rsid w:val="007C7FE0"/>
    <w:rsid w:val="007D0096"/>
    <w:rsid w:val="007D01AF"/>
    <w:rsid w:val="007D044C"/>
    <w:rsid w:val="007D050F"/>
    <w:rsid w:val="007D09D6"/>
    <w:rsid w:val="007D10C8"/>
    <w:rsid w:val="007D1269"/>
    <w:rsid w:val="007D1406"/>
    <w:rsid w:val="007D1D3B"/>
    <w:rsid w:val="007D1DF0"/>
    <w:rsid w:val="007D20B0"/>
    <w:rsid w:val="007D20EE"/>
    <w:rsid w:val="007D21ED"/>
    <w:rsid w:val="007D24CF"/>
    <w:rsid w:val="007D25DA"/>
    <w:rsid w:val="007D2A15"/>
    <w:rsid w:val="007D2BD6"/>
    <w:rsid w:val="007D3165"/>
    <w:rsid w:val="007D31C1"/>
    <w:rsid w:val="007D32B3"/>
    <w:rsid w:val="007D34C8"/>
    <w:rsid w:val="007D3560"/>
    <w:rsid w:val="007D3DF2"/>
    <w:rsid w:val="007D3E37"/>
    <w:rsid w:val="007D4068"/>
    <w:rsid w:val="007D41C3"/>
    <w:rsid w:val="007D4284"/>
    <w:rsid w:val="007D4621"/>
    <w:rsid w:val="007D4630"/>
    <w:rsid w:val="007D47A8"/>
    <w:rsid w:val="007D492A"/>
    <w:rsid w:val="007D4982"/>
    <w:rsid w:val="007D4D87"/>
    <w:rsid w:val="007D4E55"/>
    <w:rsid w:val="007D51C0"/>
    <w:rsid w:val="007D54A2"/>
    <w:rsid w:val="007D5696"/>
    <w:rsid w:val="007D5787"/>
    <w:rsid w:val="007D5960"/>
    <w:rsid w:val="007D5A97"/>
    <w:rsid w:val="007D6002"/>
    <w:rsid w:val="007D606A"/>
    <w:rsid w:val="007D6326"/>
    <w:rsid w:val="007D65F2"/>
    <w:rsid w:val="007D65F6"/>
    <w:rsid w:val="007D688F"/>
    <w:rsid w:val="007D6C0C"/>
    <w:rsid w:val="007D6EFC"/>
    <w:rsid w:val="007D7107"/>
    <w:rsid w:val="007D7388"/>
    <w:rsid w:val="007D75DE"/>
    <w:rsid w:val="007D769F"/>
    <w:rsid w:val="007D7882"/>
    <w:rsid w:val="007D7C3C"/>
    <w:rsid w:val="007D7D31"/>
    <w:rsid w:val="007D7DE1"/>
    <w:rsid w:val="007E023F"/>
    <w:rsid w:val="007E025A"/>
    <w:rsid w:val="007E02E6"/>
    <w:rsid w:val="007E0521"/>
    <w:rsid w:val="007E0653"/>
    <w:rsid w:val="007E0D25"/>
    <w:rsid w:val="007E0D94"/>
    <w:rsid w:val="007E114E"/>
    <w:rsid w:val="007E134E"/>
    <w:rsid w:val="007E15F0"/>
    <w:rsid w:val="007E15F7"/>
    <w:rsid w:val="007E1648"/>
    <w:rsid w:val="007E17FA"/>
    <w:rsid w:val="007E1850"/>
    <w:rsid w:val="007E1880"/>
    <w:rsid w:val="007E1883"/>
    <w:rsid w:val="007E19EF"/>
    <w:rsid w:val="007E1BF7"/>
    <w:rsid w:val="007E22ED"/>
    <w:rsid w:val="007E23F1"/>
    <w:rsid w:val="007E266B"/>
    <w:rsid w:val="007E26D0"/>
    <w:rsid w:val="007E28D8"/>
    <w:rsid w:val="007E2B82"/>
    <w:rsid w:val="007E2CFD"/>
    <w:rsid w:val="007E2DD3"/>
    <w:rsid w:val="007E33B9"/>
    <w:rsid w:val="007E33CC"/>
    <w:rsid w:val="007E3460"/>
    <w:rsid w:val="007E3588"/>
    <w:rsid w:val="007E36ED"/>
    <w:rsid w:val="007E378E"/>
    <w:rsid w:val="007E3ACC"/>
    <w:rsid w:val="007E3C6D"/>
    <w:rsid w:val="007E3D3C"/>
    <w:rsid w:val="007E4024"/>
    <w:rsid w:val="007E42E6"/>
    <w:rsid w:val="007E4341"/>
    <w:rsid w:val="007E43E8"/>
    <w:rsid w:val="007E46BF"/>
    <w:rsid w:val="007E487F"/>
    <w:rsid w:val="007E4A0D"/>
    <w:rsid w:val="007E4B2D"/>
    <w:rsid w:val="007E4C3F"/>
    <w:rsid w:val="007E52A2"/>
    <w:rsid w:val="007E5388"/>
    <w:rsid w:val="007E54E0"/>
    <w:rsid w:val="007E55F3"/>
    <w:rsid w:val="007E56E2"/>
    <w:rsid w:val="007E587D"/>
    <w:rsid w:val="007E58C0"/>
    <w:rsid w:val="007E59EC"/>
    <w:rsid w:val="007E5BE5"/>
    <w:rsid w:val="007E5CE8"/>
    <w:rsid w:val="007E605F"/>
    <w:rsid w:val="007E6447"/>
    <w:rsid w:val="007E6757"/>
    <w:rsid w:val="007E6846"/>
    <w:rsid w:val="007E68C0"/>
    <w:rsid w:val="007E69B8"/>
    <w:rsid w:val="007E6D68"/>
    <w:rsid w:val="007E6D75"/>
    <w:rsid w:val="007E6D9B"/>
    <w:rsid w:val="007E6DE7"/>
    <w:rsid w:val="007E710A"/>
    <w:rsid w:val="007E7124"/>
    <w:rsid w:val="007E71E9"/>
    <w:rsid w:val="007E72F8"/>
    <w:rsid w:val="007E74E3"/>
    <w:rsid w:val="007E756C"/>
    <w:rsid w:val="007E75FC"/>
    <w:rsid w:val="007E760A"/>
    <w:rsid w:val="007E768F"/>
    <w:rsid w:val="007E76CB"/>
    <w:rsid w:val="007E7721"/>
    <w:rsid w:val="007E7B1C"/>
    <w:rsid w:val="007E7C5C"/>
    <w:rsid w:val="007E7CB2"/>
    <w:rsid w:val="007E7CF2"/>
    <w:rsid w:val="007F02B2"/>
    <w:rsid w:val="007F02C7"/>
    <w:rsid w:val="007F032B"/>
    <w:rsid w:val="007F03FA"/>
    <w:rsid w:val="007F0CBE"/>
    <w:rsid w:val="007F0CDD"/>
    <w:rsid w:val="007F0E47"/>
    <w:rsid w:val="007F10CC"/>
    <w:rsid w:val="007F1260"/>
    <w:rsid w:val="007F12E0"/>
    <w:rsid w:val="007F139E"/>
    <w:rsid w:val="007F15B6"/>
    <w:rsid w:val="007F160D"/>
    <w:rsid w:val="007F1873"/>
    <w:rsid w:val="007F1BFB"/>
    <w:rsid w:val="007F1CA3"/>
    <w:rsid w:val="007F1D06"/>
    <w:rsid w:val="007F1ECD"/>
    <w:rsid w:val="007F1F51"/>
    <w:rsid w:val="007F244E"/>
    <w:rsid w:val="007F2457"/>
    <w:rsid w:val="007F2C72"/>
    <w:rsid w:val="007F2DBF"/>
    <w:rsid w:val="007F2EB2"/>
    <w:rsid w:val="007F2F7E"/>
    <w:rsid w:val="007F2FD4"/>
    <w:rsid w:val="007F3034"/>
    <w:rsid w:val="007F344C"/>
    <w:rsid w:val="007F35AD"/>
    <w:rsid w:val="007F3745"/>
    <w:rsid w:val="007F374A"/>
    <w:rsid w:val="007F3D93"/>
    <w:rsid w:val="007F44CA"/>
    <w:rsid w:val="007F4893"/>
    <w:rsid w:val="007F4A05"/>
    <w:rsid w:val="007F4B01"/>
    <w:rsid w:val="007F4BC7"/>
    <w:rsid w:val="007F4E0B"/>
    <w:rsid w:val="007F4FF6"/>
    <w:rsid w:val="007F515E"/>
    <w:rsid w:val="007F5287"/>
    <w:rsid w:val="007F52A0"/>
    <w:rsid w:val="007F52EC"/>
    <w:rsid w:val="007F53ED"/>
    <w:rsid w:val="007F5799"/>
    <w:rsid w:val="007F58D6"/>
    <w:rsid w:val="007F5A11"/>
    <w:rsid w:val="007F5BF1"/>
    <w:rsid w:val="007F62F3"/>
    <w:rsid w:val="007F647E"/>
    <w:rsid w:val="007F651C"/>
    <w:rsid w:val="007F66F4"/>
    <w:rsid w:val="007F68DC"/>
    <w:rsid w:val="007F68DF"/>
    <w:rsid w:val="007F6B28"/>
    <w:rsid w:val="007F6D3A"/>
    <w:rsid w:val="007F6D58"/>
    <w:rsid w:val="007F6D6C"/>
    <w:rsid w:val="007F6DDE"/>
    <w:rsid w:val="007F70B9"/>
    <w:rsid w:val="007F7137"/>
    <w:rsid w:val="007F73DA"/>
    <w:rsid w:val="007F78F2"/>
    <w:rsid w:val="007F790E"/>
    <w:rsid w:val="007F7A44"/>
    <w:rsid w:val="007F7A75"/>
    <w:rsid w:val="007F7A94"/>
    <w:rsid w:val="007F7C48"/>
    <w:rsid w:val="007F7ECC"/>
    <w:rsid w:val="0080006E"/>
    <w:rsid w:val="00800152"/>
    <w:rsid w:val="00800462"/>
    <w:rsid w:val="0080048C"/>
    <w:rsid w:val="008006CB"/>
    <w:rsid w:val="00800D49"/>
    <w:rsid w:val="00800D53"/>
    <w:rsid w:val="00800E62"/>
    <w:rsid w:val="00800F35"/>
    <w:rsid w:val="008010D7"/>
    <w:rsid w:val="0080128D"/>
    <w:rsid w:val="008013A0"/>
    <w:rsid w:val="0080147D"/>
    <w:rsid w:val="008016CA"/>
    <w:rsid w:val="0080177C"/>
    <w:rsid w:val="008017B6"/>
    <w:rsid w:val="00801D33"/>
    <w:rsid w:val="00801DB0"/>
    <w:rsid w:val="00801FBD"/>
    <w:rsid w:val="00802249"/>
    <w:rsid w:val="00802450"/>
    <w:rsid w:val="00802980"/>
    <w:rsid w:val="00802A65"/>
    <w:rsid w:val="00802DF1"/>
    <w:rsid w:val="00802DF9"/>
    <w:rsid w:val="00802EB8"/>
    <w:rsid w:val="00802EE5"/>
    <w:rsid w:val="00803143"/>
    <w:rsid w:val="00803432"/>
    <w:rsid w:val="00803443"/>
    <w:rsid w:val="008036C0"/>
    <w:rsid w:val="0080395C"/>
    <w:rsid w:val="00803CC6"/>
    <w:rsid w:val="00803F2E"/>
    <w:rsid w:val="00804131"/>
    <w:rsid w:val="00804144"/>
    <w:rsid w:val="008041DE"/>
    <w:rsid w:val="00804221"/>
    <w:rsid w:val="00804296"/>
    <w:rsid w:val="0080450E"/>
    <w:rsid w:val="00804530"/>
    <w:rsid w:val="008045F1"/>
    <w:rsid w:val="008048AF"/>
    <w:rsid w:val="008048E0"/>
    <w:rsid w:val="008048F5"/>
    <w:rsid w:val="008049F7"/>
    <w:rsid w:val="00804A6F"/>
    <w:rsid w:val="00804B1E"/>
    <w:rsid w:val="00804D52"/>
    <w:rsid w:val="00805159"/>
    <w:rsid w:val="0080516A"/>
    <w:rsid w:val="008054B2"/>
    <w:rsid w:val="00805930"/>
    <w:rsid w:val="00805D9C"/>
    <w:rsid w:val="00805DDB"/>
    <w:rsid w:val="008061D6"/>
    <w:rsid w:val="008061FB"/>
    <w:rsid w:val="0080646D"/>
    <w:rsid w:val="008064C9"/>
    <w:rsid w:val="0080680D"/>
    <w:rsid w:val="00806C97"/>
    <w:rsid w:val="00807138"/>
    <w:rsid w:val="0080786A"/>
    <w:rsid w:val="0080793D"/>
    <w:rsid w:val="00807AA3"/>
    <w:rsid w:val="00807D7A"/>
    <w:rsid w:val="00807F10"/>
    <w:rsid w:val="0081008E"/>
    <w:rsid w:val="00810139"/>
    <w:rsid w:val="00810362"/>
    <w:rsid w:val="00810428"/>
    <w:rsid w:val="00810552"/>
    <w:rsid w:val="008105B3"/>
    <w:rsid w:val="0081088F"/>
    <w:rsid w:val="008111CF"/>
    <w:rsid w:val="008116CA"/>
    <w:rsid w:val="00811A5A"/>
    <w:rsid w:val="00811B8A"/>
    <w:rsid w:val="00811CEA"/>
    <w:rsid w:val="00811D79"/>
    <w:rsid w:val="008127F9"/>
    <w:rsid w:val="00812A2E"/>
    <w:rsid w:val="00812A4B"/>
    <w:rsid w:val="00812C05"/>
    <w:rsid w:val="00812C9D"/>
    <w:rsid w:val="00812CCD"/>
    <w:rsid w:val="00812DF0"/>
    <w:rsid w:val="00812FA4"/>
    <w:rsid w:val="008130B3"/>
    <w:rsid w:val="008130C4"/>
    <w:rsid w:val="0081322A"/>
    <w:rsid w:val="00813678"/>
    <w:rsid w:val="0081367C"/>
    <w:rsid w:val="008137B6"/>
    <w:rsid w:val="00813A02"/>
    <w:rsid w:val="00813ADE"/>
    <w:rsid w:val="00813B8D"/>
    <w:rsid w:val="00813C26"/>
    <w:rsid w:val="00813DC9"/>
    <w:rsid w:val="00813E32"/>
    <w:rsid w:val="00813F34"/>
    <w:rsid w:val="00813F55"/>
    <w:rsid w:val="0081423C"/>
    <w:rsid w:val="008145BA"/>
    <w:rsid w:val="00814624"/>
    <w:rsid w:val="00814693"/>
    <w:rsid w:val="00814746"/>
    <w:rsid w:val="008148C2"/>
    <w:rsid w:val="00814B7A"/>
    <w:rsid w:val="00814D2B"/>
    <w:rsid w:val="00814FFC"/>
    <w:rsid w:val="00815055"/>
    <w:rsid w:val="008151CC"/>
    <w:rsid w:val="0081521F"/>
    <w:rsid w:val="008153C9"/>
    <w:rsid w:val="0081546E"/>
    <w:rsid w:val="00815617"/>
    <w:rsid w:val="00815E12"/>
    <w:rsid w:val="00815E7A"/>
    <w:rsid w:val="008162AB"/>
    <w:rsid w:val="008164EB"/>
    <w:rsid w:val="008169C0"/>
    <w:rsid w:val="008169E7"/>
    <w:rsid w:val="00816BE5"/>
    <w:rsid w:val="00816E7C"/>
    <w:rsid w:val="00816F93"/>
    <w:rsid w:val="008170D9"/>
    <w:rsid w:val="008173E9"/>
    <w:rsid w:val="0081766B"/>
    <w:rsid w:val="008176FA"/>
    <w:rsid w:val="00817A08"/>
    <w:rsid w:val="00817A68"/>
    <w:rsid w:val="00817B40"/>
    <w:rsid w:val="00820037"/>
    <w:rsid w:val="00820071"/>
    <w:rsid w:val="008201A4"/>
    <w:rsid w:val="00820281"/>
    <w:rsid w:val="008203C0"/>
    <w:rsid w:val="00820834"/>
    <w:rsid w:val="00820BC4"/>
    <w:rsid w:val="00821055"/>
    <w:rsid w:val="008211EE"/>
    <w:rsid w:val="0082130E"/>
    <w:rsid w:val="00821342"/>
    <w:rsid w:val="00821747"/>
    <w:rsid w:val="00821C6A"/>
    <w:rsid w:val="00821DAF"/>
    <w:rsid w:val="00821EE3"/>
    <w:rsid w:val="00822048"/>
    <w:rsid w:val="008220D9"/>
    <w:rsid w:val="00822157"/>
    <w:rsid w:val="0082253F"/>
    <w:rsid w:val="00822C58"/>
    <w:rsid w:val="00822D28"/>
    <w:rsid w:val="00822D96"/>
    <w:rsid w:val="008233E7"/>
    <w:rsid w:val="0082353F"/>
    <w:rsid w:val="0082355E"/>
    <w:rsid w:val="00823611"/>
    <w:rsid w:val="00823AEB"/>
    <w:rsid w:val="00823B79"/>
    <w:rsid w:val="00823C4B"/>
    <w:rsid w:val="00823E21"/>
    <w:rsid w:val="00823E43"/>
    <w:rsid w:val="00823F22"/>
    <w:rsid w:val="00824150"/>
    <w:rsid w:val="008249A1"/>
    <w:rsid w:val="00824A9F"/>
    <w:rsid w:val="00824E21"/>
    <w:rsid w:val="00825001"/>
    <w:rsid w:val="008250CC"/>
    <w:rsid w:val="00825251"/>
    <w:rsid w:val="008252C7"/>
    <w:rsid w:val="008253BF"/>
    <w:rsid w:val="008256B0"/>
    <w:rsid w:val="00825933"/>
    <w:rsid w:val="00825993"/>
    <w:rsid w:val="00825CA9"/>
    <w:rsid w:val="00825D62"/>
    <w:rsid w:val="00825E5C"/>
    <w:rsid w:val="00825FFF"/>
    <w:rsid w:val="0082604B"/>
    <w:rsid w:val="00826220"/>
    <w:rsid w:val="008263E9"/>
    <w:rsid w:val="00826444"/>
    <w:rsid w:val="008264F4"/>
    <w:rsid w:val="00826747"/>
    <w:rsid w:val="008267DA"/>
    <w:rsid w:val="00826C83"/>
    <w:rsid w:val="00826D47"/>
    <w:rsid w:val="0082724B"/>
    <w:rsid w:val="00827368"/>
    <w:rsid w:val="0082738B"/>
    <w:rsid w:val="00827AAC"/>
    <w:rsid w:val="00827AFF"/>
    <w:rsid w:val="00827C83"/>
    <w:rsid w:val="00827D59"/>
    <w:rsid w:val="00827D6E"/>
    <w:rsid w:val="00827DC0"/>
    <w:rsid w:val="00827DEF"/>
    <w:rsid w:val="00827F0B"/>
    <w:rsid w:val="00827F65"/>
    <w:rsid w:val="00830040"/>
    <w:rsid w:val="0083010F"/>
    <w:rsid w:val="008302B7"/>
    <w:rsid w:val="00830340"/>
    <w:rsid w:val="008303A5"/>
    <w:rsid w:val="008309BB"/>
    <w:rsid w:val="00830A36"/>
    <w:rsid w:val="00830C8D"/>
    <w:rsid w:val="00830F45"/>
    <w:rsid w:val="0083115E"/>
    <w:rsid w:val="00831279"/>
    <w:rsid w:val="00831864"/>
    <w:rsid w:val="00831BF3"/>
    <w:rsid w:val="00831F0B"/>
    <w:rsid w:val="00831FC2"/>
    <w:rsid w:val="008320B5"/>
    <w:rsid w:val="0083256E"/>
    <w:rsid w:val="0083269B"/>
    <w:rsid w:val="00832B42"/>
    <w:rsid w:val="00832BB0"/>
    <w:rsid w:val="00832D79"/>
    <w:rsid w:val="00832D8A"/>
    <w:rsid w:val="00832F98"/>
    <w:rsid w:val="008330FE"/>
    <w:rsid w:val="008333AF"/>
    <w:rsid w:val="008334E6"/>
    <w:rsid w:val="008337D2"/>
    <w:rsid w:val="00833B23"/>
    <w:rsid w:val="00833BA2"/>
    <w:rsid w:val="00833DDB"/>
    <w:rsid w:val="00833E6F"/>
    <w:rsid w:val="00833F3F"/>
    <w:rsid w:val="0083438F"/>
    <w:rsid w:val="00834608"/>
    <w:rsid w:val="008346F0"/>
    <w:rsid w:val="008349B6"/>
    <w:rsid w:val="00834AED"/>
    <w:rsid w:val="00834C54"/>
    <w:rsid w:val="00834CDC"/>
    <w:rsid w:val="00834EA7"/>
    <w:rsid w:val="0083508E"/>
    <w:rsid w:val="00835632"/>
    <w:rsid w:val="0083582D"/>
    <w:rsid w:val="00835B07"/>
    <w:rsid w:val="00835F6A"/>
    <w:rsid w:val="00835FFE"/>
    <w:rsid w:val="0083608A"/>
    <w:rsid w:val="008360DA"/>
    <w:rsid w:val="0083639B"/>
    <w:rsid w:val="0083689B"/>
    <w:rsid w:val="008369FC"/>
    <w:rsid w:val="00836A64"/>
    <w:rsid w:val="00836D98"/>
    <w:rsid w:val="00836F76"/>
    <w:rsid w:val="0083793B"/>
    <w:rsid w:val="00837AA4"/>
    <w:rsid w:val="00837E4A"/>
    <w:rsid w:val="00837FBB"/>
    <w:rsid w:val="00840553"/>
    <w:rsid w:val="00840A83"/>
    <w:rsid w:val="00840AD6"/>
    <w:rsid w:val="00840B8D"/>
    <w:rsid w:val="00840CA5"/>
    <w:rsid w:val="00840E28"/>
    <w:rsid w:val="00841137"/>
    <w:rsid w:val="00841264"/>
    <w:rsid w:val="00841323"/>
    <w:rsid w:val="00841533"/>
    <w:rsid w:val="00841AA9"/>
    <w:rsid w:val="00841B13"/>
    <w:rsid w:val="00841C93"/>
    <w:rsid w:val="00841D95"/>
    <w:rsid w:val="00841E92"/>
    <w:rsid w:val="00842AB6"/>
    <w:rsid w:val="00842E09"/>
    <w:rsid w:val="00843016"/>
    <w:rsid w:val="00843577"/>
    <w:rsid w:val="00843C43"/>
    <w:rsid w:val="00843E6F"/>
    <w:rsid w:val="008440C3"/>
    <w:rsid w:val="008441CE"/>
    <w:rsid w:val="008443E7"/>
    <w:rsid w:val="00844562"/>
    <w:rsid w:val="0084463E"/>
    <w:rsid w:val="00844890"/>
    <w:rsid w:val="00844A90"/>
    <w:rsid w:val="00844CB1"/>
    <w:rsid w:val="00844E7A"/>
    <w:rsid w:val="00844F83"/>
    <w:rsid w:val="008450F4"/>
    <w:rsid w:val="0084524A"/>
    <w:rsid w:val="00845487"/>
    <w:rsid w:val="00845499"/>
    <w:rsid w:val="008456CE"/>
    <w:rsid w:val="0084571E"/>
    <w:rsid w:val="00845881"/>
    <w:rsid w:val="008460D6"/>
    <w:rsid w:val="00846799"/>
    <w:rsid w:val="00846822"/>
    <w:rsid w:val="00846AFB"/>
    <w:rsid w:val="00846C00"/>
    <w:rsid w:val="00846E05"/>
    <w:rsid w:val="00846E4A"/>
    <w:rsid w:val="008470B6"/>
    <w:rsid w:val="008472D8"/>
    <w:rsid w:val="00847957"/>
    <w:rsid w:val="00847B25"/>
    <w:rsid w:val="00847C23"/>
    <w:rsid w:val="00847C2B"/>
    <w:rsid w:val="00847E18"/>
    <w:rsid w:val="00847FFB"/>
    <w:rsid w:val="008500A0"/>
    <w:rsid w:val="00850128"/>
    <w:rsid w:val="00850371"/>
    <w:rsid w:val="008503D0"/>
    <w:rsid w:val="00850581"/>
    <w:rsid w:val="00850832"/>
    <w:rsid w:val="00850A64"/>
    <w:rsid w:val="00850A66"/>
    <w:rsid w:val="00850F83"/>
    <w:rsid w:val="00851046"/>
    <w:rsid w:val="00851100"/>
    <w:rsid w:val="00851111"/>
    <w:rsid w:val="0085127C"/>
    <w:rsid w:val="00851401"/>
    <w:rsid w:val="00851654"/>
    <w:rsid w:val="008518E9"/>
    <w:rsid w:val="00851AF5"/>
    <w:rsid w:val="00851DAA"/>
    <w:rsid w:val="00851E3A"/>
    <w:rsid w:val="00851EA9"/>
    <w:rsid w:val="00851FB5"/>
    <w:rsid w:val="00852105"/>
    <w:rsid w:val="008521DB"/>
    <w:rsid w:val="008522D5"/>
    <w:rsid w:val="008523B5"/>
    <w:rsid w:val="00852677"/>
    <w:rsid w:val="00852766"/>
    <w:rsid w:val="008527D1"/>
    <w:rsid w:val="008527D8"/>
    <w:rsid w:val="008528BB"/>
    <w:rsid w:val="00852984"/>
    <w:rsid w:val="00852A40"/>
    <w:rsid w:val="00852B97"/>
    <w:rsid w:val="00852DB9"/>
    <w:rsid w:val="00852EC6"/>
    <w:rsid w:val="0085315B"/>
    <w:rsid w:val="008533EE"/>
    <w:rsid w:val="008536B8"/>
    <w:rsid w:val="00853A81"/>
    <w:rsid w:val="00853B9F"/>
    <w:rsid w:val="0085403F"/>
    <w:rsid w:val="0085404C"/>
    <w:rsid w:val="00854332"/>
    <w:rsid w:val="008543AB"/>
    <w:rsid w:val="00854670"/>
    <w:rsid w:val="00854695"/>
    <w:rsid w:val="008546CD"/>
    <w:rsid w:val="00854724"/>
    <w:rsid w:val="00854760"/>
    <w:rsid w:val="00854BC7"/>
    <w:rsid w:val="00854CBF"/>
    <w:rsid w:val="00854DAA"/>
    <w:rsid w:val="00854EC3"/>
    <w:rsid w:val="008550CB"/>
    <w:rsid w:val="00855513"/>
    <w:rsid w:val="00855761"/>
    <w:rsid w:val="00855B60"/>
    <w:rsid w:val="00855B72"/>
    <w:rsid w:val="00855DF4"/>
    <w:rsid w:val="00855E0B"/>
    <w:rsid w:val="00855E9D"/>
    <w:rsid w:val="008560B9"/>
    <w:rsid w:val="0085618E"/>
    <w:rsid w:val="008561E8"/>
    <w:rsid w:val="00856852"/>
    <w:rsid w:val="00856A20"/>
    <w:rsid w:val="00856B06"/>
    <w:rsid w:val="00856D14"/>
    <w:rsid w:val="00856D81"/>
    <w:rsid w:val="008570DB"/>
    <w:rsid w:val="0085710F"/>
    <w:rsid w:val="0085711C"/>
    <w:rsid w:val="0085718B"/>
    <w:rsid w:val="0085764E"/>
    <w:rsid w:val="00857884"/>
    <w:rsid w:val="00857897"/>
    <w:rsid w:val="00857A69"/>
    <w:rsid w:val="008601AF"/>
    <w:rsid w:val="008602AB"/>
    <w:rsid w:val="008603CB"/>
    <w:rsid w:val="0086066C"/>
    <w:rsid w:val="00860793"/>
    <w:rsid w:val="008608A3"/>
    <w:rsid w:val="0086092E"/>
    <w:rsid w:val="008609D7"/>
    <w:rsid w:val="00860A8F"/>
    <w:rsid w:val="00860B4C"/>
    <w:rsid w:val="00860D6C"/>
    <w:rsid w:val="00861054"/>
    <w:rsid w:val="008612B7"/>
    <w:rsid w:val="008615F2"/>
    <w:rsid w:val="0086169D"/>
    <w:rsid w:val="00861B3D"/>
    <w:rsid w:val="00861B8D"/>
    <w:rsid w:val="00861CB8"/>
    <w:rsid w:val="00862196"/>
    <w:rsid w:val="008622FB"/>
    <w:rsid w:val="0086242C"/>
    <w:rsid w:val="008626B9"/>
    <w:rsid w:val="00862721"/>
    <w:rsid w:val="00862B3E"/>
    <w:rsid w:val="00862BB2"/>
    <w:rsid w:val="0086362C"/>
    <w:rsid w:val="0086396F"/>
    <w:rsid w:val="00863A17"/>
    <w:rsid w:val="00863F3D"/>
    <w:rsid w:val="0086439A"/>
    <w:rsid w:val="0086447F"/>
    <w:rsid w:val="008647DE"/>
    <w:rsid w:val="0086485E"/>
    <w:rsid w:val="00864A8A"/>
    <w:rsid w:val="00864B95"/>
    <w:rsid w:val="00864CD8"/>
    <w:rsid w:val="00864DEB"/>
    <w:rsid w:val="00864E48"/>
    <w:rsid w:val="00864F34"/>
    <w:rsid w:val="008652F7"/>
    <w:rsid w:val="0086539E"/>
    <w:rsid w:val="0086549E"/>
    <w:rsid w:val="008656A2"/>
    <w:rsid w:val="00865737"/>
    <w:rsid w:val="00865931"/>
    <w:rsid w:val="00865A69"/>
    <w:rsid w:val="00865C9D"/>
    <w:rsid w:val="00865E72"/>
    <w:rsid w:val="00865F33"/>
    <w:rsid w:val="0086607F"/>
    <w:rsid w:val="00866142"/>
    <w:rsid w:val="00866277"/>
    <w:rsid w:val="0086631B"/>
    <w:rsid w:val="0086663F"/>
    <w:rsid w:val="00866736"/>
    <w:rsid w:val="00866788"/>
    <w:rsid w:val="008667B8"/>
    <w:rsid w:val="00866809"/>
    <w:rsid w:val="00866864"/>
    <w:rsid w:val="008668F6"/>
    <w:rsid w:val="00866A4D"/>
    <w:rsid w:val="00866A85"/>
    <w:rsid w:val="00866EFA"/>
    <w:rsid w:val="00867003"/>
    <w:rsid w:val="00867077"/>
    <w:rsid w:val="008670B1"/>
    <w:rsid w:val="008670BE"/>
    <w:rsid w:val="0086721A"/>
    <w:rsid w:val="00867488"/>
    <w:rsid w:val="00867DA2"/>
    <w:rsid w:val="00870122"/>
    <w:rsid w:val="00870216"/>
    <w:rsid w:val="00870538"/>
    <w:rsid w:val="008705D6"/>
    <w:rsid w:val="00870738"/>
    <w:rsid w:val="00870B63"/>
    <w:rsid w:val="00870BFB"/>
    <w:rsid w:val="00870C2B"/>
    <w:rsid w:val="008712E0"/>
    <w:rsid w:val="008713BA"/>
    <w:rsid w:val="00871566"/>
    <w:rsid w:val="00871965"/>
    <w:rsid w:val="00871C23"/>
    <w:rsid w:val="00871C8A"/>
    <w:rsid w:val="00871C95"/>
    <w:rsid w:val="00871DDA"/>
    <w:rsid w:val="00872175"/>
    <w:rsid w:val="00872295"/>
    <w:rsid w:val="008723B7"/>
    <w:rsid w:val="008724D1"/>
    <w:rsid w:val="00872735"/>
    <w:rsid w:val="008727C0"/>
    <w:rsid w:val="008727F1"/>
    <w:rsid w:val="00872978"/>
    <w:rsid w:val="00872D65"/>
    <w:rsid w:val="008731B8"/>
    <w:rsid w:val="008732BB"/>
    <w:rsid w:val="00873620"/>
    <w:rsid w:val="00873BDE"/>
    <w:rsid w:val="00873BF0"/>
    <w:rsid w:val="00873C67"/>
    <w:rsid w:val="00873C7B"/>
    <w:rsid w:val="00873D81"/>
    <w:rsid w:val="00873EFF"/>
    <w:rsid w:val="00873FBC"/>
    <w:rsid w:val="00874159"/>
    <w:rsid w:val="008747A6"/>
    <w:rsid w:val="0087497F"/>
    <w:rsid w:val="00874A66"/>
    <w:rsid w:val="00874ABD"/>
    <w:rsid w:val="00874DB0"/>
    <w:rsid w:val="00874E64"/>
    <w:rsid w:val="00875631"/>
    <w:rsid w:val="00875A5A"/>
    <w:rsid w:val="00875A72"/>
    <w:rsid w:val="00875EBC"/>
    <w:rsid w:val="008760EF"/>
    <w:rsid w:val="0087651A"/>
    <w:rsid w:val="00876567"/>
    <w:rsid w:val="0087693A"/>
    <w:rsid w:val="00876A6A"/>
    <w:rsid w:val="00876B8D"/>
    <w:rsid w:val="00876F19"/>
    <w:rsid w:val="00877051"/>
    <w:rsid w:val="008771EA"/>
    <w:rsid w:val="00877277"/>
    <w:rsid w:val="00877306"/>
    <w:rsid w:val="008773A1"/>
    <w:rsid w:val="008776D9"/>
    <w:rsid w:val="00877727"/>
    <w:rsid w:val="00877B1A"/>
    <w:rsid w:val="00877E7E"/>
    <w:rsid w:val="00877E91"/>
    <w:rsid w:val="00877E9C"/>
    <w:rsid w:val="00880040"/>
    <w:rsid w:val="008800D3"/>
    <w:rsid w:val="00880159"/>
    <w:rsid w:val="008804C4"/>
    <w:rsid w:val="00880C56"/>
    <w:rsid w:val="00880D8E"/>
    <w:rsid w:val="00880E55"/>
    <w:rsid w:val="00880F1A"/>
    <w:rsid w:val="00881230"/>
    <w:rsid w:val="008812AB"/>
    <w:rsid w:val="0088141F"/>
    <w:rsid w:val="008816A8"/>
    <w:rsid w:val="008817FC"/>
    <w:rsid w:val="008819EB"/>
    <w:rsid w:val="00881ADB"/>
    <w:rsid w:val="00881B11"/>
    <w:rsid w:val="00881B16"/>
    <w:rsid w:val="00881C85"/>
    <w:rsid w:val="00881EBA"/>
    <w:rsid w:val="00881F28"/>
    <w:rsid w:val="00882181"/>
    <w:rsid w:val="0088236F"/>
    <w:rsid w:val="00882748"/>
    <w:rsid w:val="008828C4"/>
    <w:rsid w:val="00882982"/>
    <w:rsid w:val="00882AF8"/>
    <w:rsid w:val="00882D12"/>
    <w:rsid w:val="008830E1"/>
    <w:rsid w:val="008831D1"/>
    <w:rsid w:val="00883406"/>
    <w:rsid w:val="008836E3"/>
    <w:rsid w:val="00883B56"/>
    <w:rsid w:val="00883CA4"/>
    <w:rsid w:val="00883E2B"/>
    <w:rsid w:val="00883EC1"/>
    <w:rsid w:val="0088413A"/>
    <w:rsid w:val="008841C5"/>
    <w:rsid w:val="00884304"/>
    <w:rsid w:val="008846F0"/>
    <w:rsid w:val="00884AF5"/>
    <w:rsid w:val="00884EA2"/>
    <w:rsid w:val="00884F98"/>
    <w:rsid w:val="008853B4"/>
    <w:rsid w:val="008853C7"/>
    <w:rsid w:val="00885458"/>
    <w:rsid w:val="008856CE"/>
    <w:rsid w:val="00885825"/>
    <w:rsid w:val="00885B92"/>
    <w:rsid w:val="00885B9B"/>
    <w:rsid w:val="00886030"/>
    <w:rsid w:val="00886164"/>
    <w:rsid w:val="008861DB"/>
    <w:rsid w:val="00886267"/>
    <w:rsid w:val="00886501"/>
    <w:rsid w:val="00886531"/>
    <w:rsid w:val="00886AE6"/>
    <w:rsid w:val="00886CDD"/>
    <w:rsid w:val="00886DAD"/>
    <w:rsid w:val="00886F06"/>
    <w:rsid w:val="00886F36"/>
    <w:rsid w:val="00886F38"/>
    <w:rsid w:val="00886FF6"/>
    <w:rsid w:val="008870A3"/>
    <w:rsid w:val="008871FC"/>
    <w:rsid w:val="0088738D"/>
    <w:rsid w:val="00887462"/>
    <w:rsid w:val="0088789F"/>
    <w:rsid w:val="00887948"/>
    <w:rsid w:val="008879A9"/>
    <w:rsid w:val="00887A37"/>
    <w:rsid w:val="00887B9F"/>
    <w:rsid w:val="00887D43"/>
    <w:rsid w:val="00887E1E"/>
    <w:rsid w:val="0089003D"/>
    <w:rsid w:val="00890209"/>
    <w:rsid w:val="00890B7F"/>
    <w:rsid w:val="008914FB"/>
    <w:rsid w:val="008915B6"/>
    <w:rsid w:val="008919F7"/>
    <w:rsid w:val="00891D47"/>
    <w:rsid w:val="00891DD9"/>
    <w:rsid w:val="0089214D"/>
    <w:rsid w:val="008922AD"/>
    <w:rsid w:val="008923D2"/>
    <w:rsid w:val="008924DB"/>
    <w:rsid w:val="00892671"/>
    <w:rsid w:val="00892886"/>
    <w:rsid w:val="00892891"/>
    <w:rsid w:val="00892B2D"/>
    <w:rsid w:val="00893356"/>
    <w:rsid w:val="008933A9"/>
    <w:rsid w:val="0089354F"/>
    <w:rsid w:val="00893652"/>
    <w:rsid w:val="00893C0D"/>
    <w:rsid w:val="00893C27"/>
    <w:rsid w:val="00893C2F"/>
    <w:rsid w:val="00893D72"/>
    <w:rsid w:val="00893EAB"/>
    <w:rsid w:val="00894081"/>
    <w:rsid w:val="00894125"/>
    <w:rsid w:val="00894143"/>
    <w:rsid w:val="0089435A"/>
    <w:rsid w:val="00894781"/>
    <w:rsid w:val="00894786"/>
    <w:rsid w:val="0089485F"/>
    <w:rsid w:val="0089495F"/>
    <w:rsid w:val="00894A42"/>
    <w:rsid w:val="00894A50"/>
    <w:rsid w:val="00894A5C"/>
    <w:rsid w:val="00894E3A"/>
    <w:rsid w:val="008950EF"/>
    <w:rsid w:val="00895466"/>
    <w:rsid w:val="008954F9"/>
    <w:rsid w:val="00895653"/>
    <w:rsid w:val="00895748"/>
    <w:rsid w:val="008957DD"/>
    <w:rsid w:val="00895D52"/>
    <w:rsid w:val="00895E30"/>
    <w:rsid w:val="00896168"/>
    <w:rsid w:val="00896449"/>
    <w:rsid w:val="008965EB"/>
    <w:rsid w:val="00896E75"/>
    <w:rsid w:val="00896F3E"/>
    <w:rsid w:val="00897194"/>
    <w:rsid w:val="0089724F"/>
    <w:rsid w:val="008972C7"/>
    <w:rsid w:val="0089754C"/>
    <w:rsid w:val="008975A8"/>
    <w:rsid w:val="00897607"/>
    <w:rsid w:val="0089776F"/>
    <w:rsid w:val="00897B5E"/>
    <w:rsid w:val="00897BC6"/>
    <w:rsid w:val="00897D8B"/>
    <w:rsid w:val="00897DC3"/>
    <w:rsid w:val="008A002A"/>
    <w:rsid w:val="008A014D"/>
    <w:rsid w:val="008A02EC"/>
    <w:rsid w:val="008A04DF"/>
    <w:rsid w:val="008A058F"/>
    <w:rsid w:val="008A0611"/>
    <w:rsid w:val="008A0A75"/>
    <w:rsid w:val="008A0C40"/>
    <w:rsid w:val="008A0E11"/>
    <w:rsid w:val="008A10E5"/>
    <w:rsid w:val="008A1190"/>
    <w:rsid w:val="008A12ED"/>
    <w:rsid w:val="008A1413"/>
    <w:rsid w:val="008A14DF"/>
    <w:rsid w:val="008A1950"/>
    <w:rsid w:val="008A1B0F"/>
    <w:rsid w:val="008A1EA1"/>
    <w:rsid w:val="008A20DA"/>
    <w:rsid w:val="008A2147"/>
    <w:rsid w:val="008A21C0"/>
    <w:rsid w:val="008A2392"/>
    <w:rsid w:val="008A28B1"/>
    <w:rsid w:val="008A2949"/>
    <w:rsid w:val="008A298B"/>
    <w:rsid w:val="008A2D0B"/>
    <w:rsid w:val="008A2D18"/>
    <w:rsid w:val="008A3163"/>
    <w:rsid w:val="008A36C1"/>
    <w:rsid w:val="008A3CC4"/>
    <w:rsid w:val="008A4019"/>
    <w:rsid w:val="008A4333"/>
    <w:rsid w:val="008A436D"/>
    <w:rsid w:val="008A4382"/>
    <w:rsid w:val="008A4424"/>
    <w:rsid w:val="008A492E"/>
    <w:rsid w:val="008A4D27"/>
    <w:rsid w:val="008A5212"/>
    <w:rsid w:val="008A534C"/>
    <w:rsid w:val="008A53CC"/>
    <w:rsid w:val="008A5616"/>
    <w:rsid w:val="008A581A"/>
    <w:rsid w:val="008A5A95"/>
    <w:rsid w:val="008A5B17"/>
    <w:rsid w:val="008A5FB5"/>
    <w:rsid w:val="008A60B0"/>
    <w:rsid w:val="008A612D"/>
    <w:rsid w:val="008A6395"/>
    <w:rsid w:val="008A6626"/>
    <w:rsid w:val="008A6B2C"/>
    <w:rsid w:val="008A6B43"/>
    <w:rsid w:val="008A6D58"/>
    <w:rsid w:val="008A71FC"/>
    <w:rsid w:val="008A763F"/>
    <w:rsid w:val="008A7724"/>
    <w:rsid w:val="008A7878"/>
    <w:rsid w:val="008A7C16"/>
    <w:rsid w:val="008A7CA8"/>
    <w:rsid w:val="008A7FE2"/>
    <w:rsid w:val="008B0164"/>
    <w:rsid w:val="008B0254"/>
    <w:rsid w:val="008B044E"/>
    <w:rsid w:val="008B04DF"/>
    <w:rsid w:val="008B0526"/>
    <w:rsid w:val="008B0676"/>
    <w:rsid w:val="008B0D26"/>
    <w:rsid w:val="008B0F41"/>
    <w:rsid w:val="008B1014"/>
    <w:rsid w:val="008B19DA"/>
    <w:rsid w:val="008B1A7C"/>
    <w:rsid w:val="008B1ABF"/>
    <w:rsid w:val="008B1F63"/>
    <w:rsid w:val="008B201D"/>
    <w:rsid w:val="008B20E3"/>
    <w:rsid w:val="008B22E8"/>
    <w:rsid w:val="008B259C"/>
    <w:rsid w:val="008B261F"/>
    <w:rsid w:val="008B2636"/>
    <w:rsid w:val="008B274B"/>
    <w:rsid w:val="008B2B14"/>
    <w:rsid w:val="008B2BEE"/>
    <w:rsid w:val="008B2EA5"/>
    <w:rsid w:val="008B32EF"/>
    <w:rsid w:val="008B3525"/>
    <w:rsid w:val="008B3612"/>
    <w:rsid w:val="008B3745"/>
    <w:rsid w:val="008B3750"/>
    <w:rsid w:val="008B39D7"/>
    <w:rsid w:val="008B3AAF"/>
    <w:rsid w:val="008B3BFF"/>
    <w:rsid w:val="008B3C5E"/>
    <w:rsid w:val="008B3CC8"/>
    <w:rsid w:val="008B4026"/>
    <w:rsid w:val="008B406E"/>
    <w:rsid w:val="008B4093"/>
    <w:rsid w:val="008B40F2"/>
    <w:rsid w:val="008B4A89"/>
    <w:rsid w:val="008B4C2C"/>
    <w:rsid w:val="008B5690"/>
    <w:rsid w:val="008B56A3"/>
    <w:rsid w:val="008B5C72"/>
    <w:rsid w:val="008B5C8F"/>
    <w:rsid w:val="008B5CD9"/>
    <w:rsid w:val="008B5DD6"/>
    <w:rsid w:val="008B5E4F"/>
    <w:rsid w:val="008B5F16"/>
    <w:rsid w:val="008B63A4"/>
    <w:rsid w:val="008B651D"/>
    <w:rsid w:val="008B6AF5"/>
    <w:rsid w:val="008B6B1E"/>
    <w:rsid w:val="008B6D0A"/>
    <w:rsid w:val="008B6F7C"/>
    <w:rsid w:val="008B7176"/>
    <w:rsid w:val="008B7183"/>
    <w:rsid w:val="008B722F"/>
    <w:rsid w:val="008B7451"/>
    <w:rsid w:val="008B7458"/>
    <w:rsid w:val="008B75C2"/>
    <w:rsid w:val="008B7722"/>
    <w:rsid w:val="008B77CE"/>
    <w:rsid w:val="008B7868"/>
    <w:rsid w:val="008B786F"/>
    <w:rsid w:val="008B792C"/>
    <w:rsid w:val="008B7EAB"/>
    <w:rsid w:val="008B7F9A"/>
    <w:rsid w:val="008C02BE"/>
    <w:rsid w:val="008C02E7"/>
    <w:rsid w:val="008C0475"/>
    <w:rsid w:val="008C07DA"/>
    <w:rsid w:val="008C0824"/>
    <w:rsid w:val="008C09E5"/>
    <w:rsid w:val="008C0AFA"/>
    <w:rsid w:val="008C0DAB"/>
    <w:rsid w:val="008C0E5C"/>
    <w:rsid w:val="008C0EDD"/>
    <w:rsid w:val="008C1223"/>
    <w:rsid w:val="008C12CF"/>
    <w:rsid w:val="008C17F9"/>
    <w:rsid w:val="008C184B"/>
    <w:rsid w:val="008C18BC"/>
    <w:rsid w:val="008C19C2"/>
    <w:rsid w:val="008C1ADE"/>
    <w:rsid w:val="008C1B45"/>
    <w:rsid w:val="008C1E2C"/>
    <w:rsid w:val="008C1F70"/>
    <w:rsid w:val="008C24B3"/>
    <w:rsid w:val="008C26ED"/>
    <w:rsid w:val="008C28D0"/>
    <w:rsid w:val="008C2981"/>
    <w:rsid w:val="008C2A13"/>
    <w:rsid w:val="008C2BB5"/>
    <w:rsid w:val="008C2D6A"/>
    <w:rsid w:val="008C30AF"/>
    <w:rsid w:val="008C343F"/>
    <w:rsid w:val="008C36BD"/>
    <w:rsid w:val="008C371C"/>
    <w:rsid w:val="008C39E1"/>
    <w:rsid w:val="008C3B3A"/>
    <w:rsid w:val="008C3C63"/>
    <w:rsid w:val="008C4206"/>
    <w:rsid w:val="008C43E2"/>
    <w:rsid w:val="008C4581"/>
    <w:rsid w:val="008C485F"/>
    <w:rsid w:val="008C489E"/>
    <w:rsid w:val="008C4A62"/>
    <w:rsid w:val="008C4ECE"/>
    <w:rsid w:val="008C4F7D"/>
    <w:rsid w:val="008C4FA9"/>
    <w:rsid w:val="008C504D"/>
    <w:rsid w:val="008C526E"/>
    <w:rsid w:val="008C5352"/>
    <w:rsid w:val="008C553F"/>
    <w:rsid w:val="008C56E7"/>
    <w:rsid w:val="008C59DF"/>
    <w:rsid w:val="008C5B4C"/>
    <w:rsid w:val="008C5BD2"/>
    <w:rsid w:val="008C5D76"/>
    <w:rsid w:val="008C5EE3"/>
    <w:rsid w:val="008C6649"/>
    <w:rsid w:val="008C6829"/>
    <w:rsid w:val="008C6B32"/>
    <w:rsid w:val="008C6D4E"/>
    <w:rsid w:val="008C6E40"/>
    <w:rsid w:val="008C6F0D"/>
    <w:rsid w:val="008C6F52"/>
    <w:rsid w:val="008C7138"/>
    <w:rsid w:val="008C73B9"/>
    <w:rsid w:val="008C7584"/>
    <w:rsid w:val="008C774F"/>
    <w:rsid w:val="008C79A1"/>
    <w:rsid w:val="008C7C57"/>
    <w:rsid w:val="008D0298"/>
    <w:rsid w:val="008D0369"/>
    <w:rsid w:val="008D0411"/>
    <w:rsid w:val="008D0478"/>
    <w:rsid w:val="008D0519"/>
    <w:rsid w:val="008D0902"/>
    <w:rsid w:val="008D0A3E"/>
    <w:rsid w:val="008D0B43"/>
    <w:rsid w:val="008D0ED4"/>
    <w:rsid w:val="008D100D"/>
    <w:rsid w:val="008D1497"/>
    <w:rsid w:val="008D1C1A"/>
    <w:rsid w:val="008D1FB9"/>
    <w:rsid w:val="008D2099"/>
    <w:rsid w:val="008D235F"/>
    <w:rsid w:val="008D248E"/>
    <w:rsid w:val="008D24BE"/>
    <w:rsid w:val="008D264B"/>
    <w:rsid w:val="008D283F"/>
    <w:rsid w:val="008D288C"/>
    <w:rsid w:val="008D2E6D"/>
    <w:rsid w:val="008D32FC"/>
    <w:rsid w:val="008D335A"/>
    <w:rsid w:val="008D348B"/>
    <w:rsid w:val="008D3C94"/>
    <w:rsid w:val="008D3E3B"/>
    <w:rsid w:val="008D4269"/>
    <w:rsid w:val="008D4398"/>
    <w:rsid w:val="008D453D"/>
    <w:rsid w:val="008D4629"/>
    <w:rsid w:val="008D4658"/>
    <w:rsid w:val="008D46EE"/>
    <w:rsid w:val="008D48F6"/>
    <w:rsid w:val="008D4956"/>
    <w:rsid w:val="008D4A17"/>
    <w:rsid w:val="008D4E5B"/>
    <w:rsid w:val="008D5121"/>
    <w:rsid w:val="008D5199"/>
    <w:rsid w:val="008D55D1"/>
    <w:rsid w:val="008D5705"/>
    <w:rsid w:val="008D5925"/>
    <w:rsid w:val="008D5986"/>
    <w:rsid w:val="008D5EF8"/>
    <w:rsid w:val="008D6294"/>
    <w:rsid w:val="008D635F"/>
    <w:rsid w:val="008D6600"/>
    <w:rsid w:val="008D6782"/>
    <w:rsid w:val="008D6960"/>
    <w:rsid w:val="008D69B3"/>
    <w:rsid w:val="008D6C04"/>
    <w:rsid w:val="008D6D34"/>
    <w:rsid w:val="008D6EFC"/>
    <w:rsid w:val="008D79F6"/>
    <w:rsid w:val="008D7AA6"/>
    <w:rsid w:val="008D7CD8"/>
    <w:rsid w:val="008D7EE9"/>
    <w:rsid w:val="008E0033"/>
    <w:rsid w:val="008E006C"/>
    <w:rsid w:val="008E027A"/>
    <w:rsid w:val="008E0629"/>
    <w:rsid w:val="008E07EB"/>
    <w:rsid w:val="008E097D"/>
    <w:rsid w:val="008E0C1F"/>
    <w:rsid w:val="008E0C68"/>
    <w:rsid w:val="008E0F69"/>
    <w:rsid w:val="008E0FA7"/>
    <w:rsid w:val="008E10BF"/>
    <w:rsid w:val="008E139D"/>
    <w:rsid w:val="008E13C9"/>
    <w:rsid w:val="008E1460"/>
    <w:rsid w:val="008E14F9"/>
    <w:rsid w:val="008E1619"/>
    <w:rsid w:val="008E1910"/>
    <w:rsid w:val="008E1B8E"/>
    <w:rsid w:val="008E1BF5"/>
    <w:rsid w:val="008E1CD8"/>
    <w:rsid w:val="008E1E34"/>
    <w:rsid w:val="008E1FC2"/>
    <w:rsid w:val="008E2136"/>
    <w:rsid w:val="008E21C3"/>
    <w:rsid w:val="008E230B"/>
    <w:rsid w:val="008E23B7"/>
    <w:rsid w:val="008E2538"/>
    <w:rsid w:val="008E25F1"/>
    <w:rsid w:val="008E27A2"/>
    <w:rsid w:val="008E2BE4"/>
    <w:rsid w:val="008E2CBC"/>
    <w:rsid w:val="008E2D39"/>
    <w:rsid w:val="008E2D87"/>
    <w:rsid w:val="008E30E1"/>
    <w:rsid w:val="008E3191"/>
    <w:rsid w:val="008E3357"/>
    <w:rsid w:val="008E345C"/>
    <w:rsid w:val="008E358E"/>
    <w:rsid w:val="008E3A3F"/>
    <w:rsid w:val="008E3B97"/>
    <w:rsid w:val="008E3ED5"/>
    <w:rsid w:val="008E4122"/>
    <w:rsid w:val="008E41BE"/>
    <w:rsid w:val="008E4254"/>
    <w:rsid w:val="008E456A"/>
    <w:rsid w:val="008E49F3"/>
    <w:rsid w:val="008E4A5B"/>
    <w:rsid w:val="008E4FAE"/>
    <w:rsid w:val="008E5047"/>
    <w:rsid w:val="008E50B1"/>
    <w:rsid w:val="008E5175"/>
    <w:rsid w:val="008E52BB"/>
    <w:rsid w:val="008E538E"/>
    <w:rsid w:val="008E53A2"/>
    <w:rsid w:val="008E564D"/>
    <w:rsid w:val="008E5786"/>
    <w:rsid w:val="008E58F0"/>
    <w:rsid w:val="008E5B20"/>
    <w:rsid w:val="008E62D2"/>
    <w:rsid w:val="008E66B3"/>
    <w:rsid w:val="008E68E5"/>
    <w:rsid w:val="008E6B4E"/>
    <w:rsid w:val="008E6B79"/>
    <w:rsid w:val="008E6B7D"/>
    <w:rsid w:val="008E6CE6"/>
    <w:rsid w:val="008E6DC0"/>
    <w:rsid w:val="008E6E46"/>
    <w:rsid w:val="008E72EE"/>
    <w:rsid w:val="008E72F1"/>
    <w:rsid w:val="008E731B"/>
    <w:rsid w:val="008E7455"/>
    <w:rsid w:val="008E74C3"/>
    <w:rsid w:val="008E7970"/>
    <w:rsid w:val="008E7B40"/>
    <w:rsid w:val="008E7C34"/>
    <w:rsid w:val="008E7F4A"/>
    <w:rsid w:val="008F0155"/>
    <w:rsid w:val="008F0173"/>
    <w:rsid w:val="008F01B3"/>
    <w:rsid w:val="008F0262"/>
    <w:rsid w:val="008F0292"/>
    <w:rsid w:val="008F03A7"/>
    <w:rsid w:val="008F03D5"/>
    <w:rsid w:val="008F0647"/>
    <w:rsid w:val="008F088D"/>
    <w:rsid w:val="008F0B57"/>
    <w:rsid w:val="008F0C36"/>
    <w:rsid w:val="008F0E28"/>
    <w:rsid w:val="008F0EB2"/>
    <w:rsid w:val="008F1016"/>
    <w:rsid w:val="008F107F"/>
    <w:rsid w:val="008F10B3"/>
    <w:rsid w:val="008F10D9"/>
    <w:rsid w:val="008F10DD"/>
    <w:rsid w:val="008F1337"/>
    <w:rsid w:val="008F1959"/>
    <w:rsid w:val="008F1BDA"/>
    <w:rsid w:val="008F1C38"/>
    <w:rsid w:val="008F20A3"/>
    <w:rsid w:val="008F20F7"/>
    <w:rsid w:val="008F21B8"/>
    <w:rsid w:val="008F258F"/>
    <w:rsid w:val="008F2847"/>
    <w:rsid w:val="008F2ABA"/>
    <w:rsid w:val="008F2C57"/>
    <w:rsid w:val="008F2F2D"/>
    <w:rsid w:val="008F2F7D"/>
    <w:rsid w:val="008F30DD"/>
    <w:rsid w:val="008F328D"/>
    <w:rsid w:val="008F337E"/>
    <w:rsid w:val="008F344B"/>
    <w:rsid w:val="008F344E"/>
    <w:rsid w:val="008F36E2"/>
    <w:rsid w:val="008F377B"/>
    <w:rsid w:val="008F3C4B"/>
    <w:rsid w:val="008F3CE6"/>
    <w:rsid w:val="008F3D27"/>
    <w:rsid w:val="008F3D94"/>
    <w:rsid w:val="008F41D7"/>
    <w:rsid w:val="008F4293"/>
    <w:rsid w:val="008F43F3"/>
    <w:rsid w:val="008F43F5"/>
    <w:rsid w:val="008F4453"/>
    <w:rsid w:val="008F45FE"/>
    <w:rsid w:val="008F4823"/>
    <w:rsid w:val="008F4835"/>
    <w:rsid w:val="008F48C0"/>
    <w:rsid w:val="008F48D8"/>
    <w:rsid w:val="008F48F6"/>
    <w:rsid w:val="008F4E23"/>
    <w:rsid w:val="008F4FC9"/>
    <w:rsid w:val="008F502D"/>
    <w:rsid w:val="008F50A6"/>
    <w:rsid w:val="008F51DA"/>
    <w:rsid w:val="008F5370"/>
    <w:rsid w:val="008F54BA"/>
    <w:rsid w:val="008F56DE"/>
    <w:rsid w:val="008F587C"/>
    <w:rsid w:val="008F5913"/>
    <w:rsid w:val="008F59CA"/>
    <w:rsid w:val="008F5D89"/>
    <w:rsid w:val="008F5E4C"/>
    <w:rsid w:val="008F61A0"/>
    <w:rsid w:val="008F621C"/>
    <w:rsid w:val="008F627C"/>
    <w:rsid w:val="008F65CC"/>
    <w:rsid w:val="008F66C3"/>
    <w:rsid w:val="008F67CC"/>
    <w:rsid w:val="008F6868"/>
    <w:rsid w:val="008F6967"/>
    <w:rsid w:val="008F6AD6"/>
    <w:rsid w:val="008F6E43"/>
    <w:rsid w:val="008F6F92"/>
    <w:rsid w:val="008F7221"/>
    <w:rsid w:val="008F78CA"/>
    <w:rsid w:val="008F7CF0"/>
    <w:rsid w:val="00900259"/>
    <w:rsid w:val="00900377"/>
    <w:rsid w:val="009004A1"/>
    <w:rsid w:val="009007FC"/>
    <w:rsid w:val="00900B47"/>
    <w:rsid w:val="00900C35"/>
    <w:rsid w:val="00900D77"/>
    <w:rsid w:val="00901012"/>
    <w:rsid w:val="00901056"/>
    <w:rsid w:val="009011CE"/>
    <w:rsid w:val="00901358"/>
    <w:rsid w:val="009017A1"/>
    <w:rsid w:val="00901D15"/>
    <w:rsid w:val="00901D41"/>
    <w:rsid w:val="00901FF7"/>
    <w:rsid w:val="00902050"/>
    <w:rsid w:val="0090252A"/>
    <w:rsid w:val="0090258C"/>
    <w:rsid w:val="009025AB"/>
    <w:rsid w:val="009027F4"/>
    <w:rsid w:val="00902AFB"/>
    <w:rsid w:val="00902BB5"/>
    <w:rsid w:val="00902C00"/>
    <w:rsid w:val="00902CA5"/>
    <w:rsid w:val="00902D4F"/>
    <w:rsid w:val="009030E3"/>
    <w:rsid w:val="009034B9"/>
    <w:rsid w:val="00903A4B"/>
    <w:rsid w:val="00903FB3"/>
    <w:rsid w:val="0090460A"/>
    <w:rsid w:val="00904690"/>
    <w:rsid w:val="00904E56"/>
    <w:rsid w:val="0090515D"/>
    <w:rsid w:val="00905336"/>
    <w:rsid w:val="009053B8"/>
    <w:rsid w:val="00905ACB"/>
    <w:rsid w:val="009060FF"/>
    <w:rsid w:val="009066DC"/>
    <w:rsid w:val="00906773"/>
    <w:rsid w:val="00906891"/>
    <w:rsid w:val="009068C5"/>
    <w:rsid w:val="00906992"/>
    <w:rsid w:val="00906DFC"/>
    <w:rsid w:val="00906E22"/>
    <w:rsid w:val="00906E85"/>
    <w:rsid w:val="0090720A"/>
    <w:rsid w:val="0090728D"/>
    <w:rsid w:val="00907441"/>
    <w:rsid w:val="00907503"/>
    <w:rsid w:val="00907583"/>
    <w:rsid w:val="0090758F"/>
    <w:rsid w:val="0090766F"/>
    <w:rsid w:val="0090779A"/>
    <w:rsid w:val="0090780A"/>
    <w:rsid w:val="00907C74"/>
    <w:rsid w:val="0091018B"/>
    <w:rsid w:val="009102B4"/>
    <w:rsid w:val="0091052B"/>
    <w:rsid w:val="00910715"/>
    <w:rsid w:val="009107FF"/>
    <w:rsid w:val="00910873"/>
    <w:rsid w:val="0091091D"/>
    <w:rsid w:val="00910A9D"/>
    <w:rsid w:val="00910AE3"/>
    <w:rsid w:val="00910BA5"/>
    <w:rsid w:val="00910EBF"/>
    <w:rsid w:val="00911327"/>
    <w:rsid w:val="009115BC"/>
    <w:rsid w:val="00911C34"/>
    <w:rsid w:val="00911CDE"/>
    <w:rsid w:val="00911F2A"/>
    <w:rsid w:val="00911F7E"/>
    <w:rsid w:val="00912100"/>
    <w:rsid w:val="009122CA"/>
    <w:rsid w:val="009122DB"/>
    <w:rsid w:val="00912551"/>
    <w:rsid w:val="00912848"/>
    <w:rsid w:val="009128F8"/>
    <w:rsid w:val="00912B56"/>
    <w:rsid w:val="00912C6F"/>
    <w:rsid w:val="00912E50"/>
    <w:rsid w:val="00912E6B"/>
    <w:rsid w:val="00912FBA"/>
    <w:rsid w:val="009133D4"/>
    <w:rsid w:val="009133EA"/>
    <w:rsid w:val="009136D9"/>
    <w:rsid w:val="00913F98"/>
    <w:rsid w:val="00914441"/>
    <w:rsid w:val="00914D25"/>
    <w:rsid w:val="00914D48"/>
    <w:rsid w:val="00915512"/>
    <w:rsid w:val="009159BB"/>
    <w:rsid w:val="00915C6E"/>
    <w:rsid w:val="00916223"/>
    <w:rsid w:val="00916269"/>
    <w:rsid w:val="009163A0"/>
    <w:rsid w:val="009164D4"/>
    <w:rsid w:val="009165A9"/>
    <w:rsid w:val="0091686B"/>
    <w:rsid w:val="0091696F"/>
    <w:rsid w:val="00916AAB"/>
    <w:rsid w:val="00916C99"/>
    <w:rsid w:val="00916EE9"/>
    <w:rsid w:val="0091710C"/>
    <w:rsid w:val="00917159"/>
    <w:rsid w:val="00917210"/>
    <w:rsid w:val="0091790C"/>
    <w:rsid w:val="00917A31"/>
    <w:rsid w:val="00917C3D"/>
    <w:rsid w:val="00917C84"/>
    <w:rsid w:val="00917C90"/>
    <w:rsid w:val="00917D6B"/>
    <w:rsid w:val="00917DC6"/>
    <w:rsid w:val="009204B4"/>
    <w:rsid w:val="00920D51"/>
    <w:rsid w:val="00920FCF"/>
    <w:rsid w:val="00921104"/>
    <w:rsid w:val="0092111D"/>
    <w:rsid w:val="0092119F"/>
    <w:rsid w:val="009213A6"/>
    <w:rsid w:val="0092152D"/>
    <w:rsid w:val="00921782"/>
    <w:rsid w:val="0092189D"/>
    <w:rsid w:val="009218A2"/>
    <w:rsid w:val="00921916"/>
    <w:rsid w:val="0092191B"/>
    <w:rsid w:val="00921C93"/>
    <w:rsid w:val="00921D86"/>
    <w:rsid w:val="00921F1C"/>
    <w:rsid w:val="00921FE8"/>
    <w:rsid w:val="009223B0"/>
    <w:rsid w:val="0092241F"/>
    <w:rsid w:val="009224A3"/>
    <w:rsid w:val="009224B7"/>
    <w:rsid w:val="0092261B"/>
    <w:rsid w:val="0092289D"/>
    <w:rsid w:val="00922A44"/>
    <w:rsid w:val="00922E3B"/>
    <w:rsid w:val="00922FD8"/>
    <w:rsid w:val="009230B4"/>
    <w:rsid w:val="00923261"/>
    <w:rsid w:val="009233CC"/>
    <w:rsid w:val="00923509"/>
    <w:rsid w:val="00923551"/>
    <w:rsid w:val="00923599"/>
    <w:rsid w:val="00923633"/>
    <w:rsid w:val="00923651"/>
    <w:rsid w:val="009236F7"/>
    <w:rsid w:val="0092381C"/>
    <w:rsid w:val="00923C11"/>
    <w:rsid w:val="009240D8"/>
    <w:rsid w:val="009240FF"/>
    <w:rsid w:val="009242EA"/>
    <w:rsid w:val="0092449E"/>
    <w:rsid w:val="00924502"/>
    <w:rsid w:val="0092491F"/>
    <w:rsid w:val="00924AA7"/>
    <w:rsid w:val="00924DC8"/>
    <w:rsid w:val="00924EC9"/>
    <w:rsid w:val="0092518C"/>
    <w:rsid w:val="0092523D"/>
    <w:rsid w:val="00925343"/>
    <w:rsid w:val="0092571D"/>
    <w:rsid w:val="0092586A"/>
    <w:rsid w:val="00925896"/>
    <w:rsid w:val="009259AF"/>
    <w:rsid w:val="009259B7"/>
    <w:rsid w:val="00925EF6"/>
    <w:rsid w:val="00925F7F"/>
    <w:rsid w:val="009260FB"/>
    <w:rsid w:val="00926354"/>
    <w:rsid w:val="009264CA"/>
    <w:rsid w:val="00926558"/>
    <w:rsid w:val="00926570"/>
    <w:rsid w:val="00926A9D"/>
    <w:rsid w:val="00926F34"/>
    <w:rsid w:val="00927038"/>
    <w:rsid w:val="00927056"/>
    <w:rsid w:val="0092785A"/>
    <w:rsid w:val="0092789F"/>
    <w:rsid w:val="009278DA"/>
    <w:rsid w:val="0092792E"/>
    <w:rsid w:val="0092798D"/>
    <w:rsid w:val="00927A08"/>
    <w:rsid w:val="00927F26"/>
    <w:rsid w:val="00927FCB"/>
    <w:rsid w:val="009303C3"/>
    <w:rsid w:val="0093066B"/>
    <w:rsid w:val="0093069F"/>
    <w:rsid w:val="00930745"/>
    <w:rsid w:val="00930812"/>
    <w:rsid w:val="00930948"/>
    <w:rsid w:val="00930A39"/>
    <w:rsid w:val="00930A74"/>
    <w:rsid w:val="00930A8B"/>
    <w:rsid w:val="00930C09"/>
    <w:rsid w:val="00930E1C"/>
    <w:rsid w:val="00930EA1"/>
    <w:rsid w:val="009310EB"/>
    <w:rsid w:val="00931112"/>
    <w:rsid w:val="00931338"/>
    <w:rsid w:val="00931578"/>
    <w:rsid w:val="009315CE"/>
    <w:rsid w:val="009316A4"/>
    <w:rsid w:val="0093176E"/>
    <w:rsid w:val="00931852"/>
    <w:rsid w:val="009318D1"/>
    <w:rsid w:val="00931914"/>
    <w:rsid w:val="00931B49"/>
    <w:rsid w:val="00931B5E"/>
    <w:rsid w:val="00932100"/>
    <w:rsid w:val="00932324"/>
    <w:rsid w:val="00932509"/>
    <w:rsid w:val="00932929"/>
    <w:rsid w:val="00932983"/>
    <w:rsid w:val="009329B0"/>
    <w:rsid w:val="009329B2"/>
    <w:rsid w:val="009329F1"/>
    <w:rsid w:val="00932D44"/>
    <w:rsid w:val="00932E1D"/>
    <w:rsid w:val="009332E2"/>
    <w:rsid w:val="00933491"/>
    <w:rsid w:val="00933817"/>
    <w:rsid w:val="00933A35"/>
    <w:rsid w:val="00933AB8"/>
    <w:rsid w:val="00933B44"/>
    <w:rsid w:val="00933CCD"/>
    <w:rsid w:val="00933D8F"/>
    <w:rsid w:val="00933EC4"/>
    <w:rsid w:val="00933FE3"/>
    <w:rsid w:val="0093409D"/>
    <w:rsid w:val="00934947"/>
    <w:rsid w:val="00934A1C"/>
    <w:rsid w:val="00934B9E"/>
    <w:rsid w:val="00934EAC"/>
    <w:rsid w:val="009350E4"/>
    <w:rsid w:val="0093536D"/>
    <w:rsid w:val="0093543A"/>
    <w:rsid w:val="009354E5"/>
    <w:rsid w:val="00935753"/>
    <w:rsid w:val="009359DF"/>
    <w:rsid w:val="00935A5A"/>
    <w:rsid w:val="00935BBB"/>
    <w:rsid w:val="00935DAE"/>
    <w:rsid w:val="0093603E"/>
    <w:rsid w:val="009360D7"/>
    <w:rsid w:val="009362C9"/>
    <w:rsid w:val="00936A5F"/>
    <w:rsid w:val="00936D28"/>
    <w:rsid w:val="00936DE4"/>
    <w:rsid w:val="00936FC3"/>
    <w:rsid w:val="00937028"/>
    <w:rsid w:val="00937431"/>
    <w:rsid w:val="0093743C"/>
    <w:rsid w:val="00937498"/>
    <w:rsid w:val="00937509"/>
    <w:rsid w:val="0093753F"/>
    <w:rsid w:val="009375E4"/>
    <w:rsid w:val="00937673"/>
    <w:rsid w:val="00937935"/>
    <w:rsid w:val="00937E54"/>
    <w:rsid w:val="009400B2"/>
    <w:rsid w:val="009404D7"/>
    <w:rsid w:val="009405A4"/>
    <w:rsid w:val="009407AA"/>
    <w:rsid w:val="00940872"/>
    <w:rsid w:val="00940AD1"/>
    <w:rsid w:val="00940E50"/>
    <w:rsid w:val="00941026"/>
    <w:rsid w:val="00941536"/>
    <w:rsid w:val="009416F2"/>
    <w:rsid w:val="00941754"/>
    <w:rsid w:val="00941769"/>
    <w:rsid w:val="00941794"/>
    <w:rsid w:val="009417BA"/>
    <w:rsid w:val="00941D13"/>
    <w:rsid w:val="00942058"/>
    <w:rsid w:val="0094218A"/>
    <w:rsid w:val="00942226"/>
    <w:rsid w:val="009422E3"/>
    <w:rsid w:val="009422E7"/>
    <w:rsid w:val="00942387"/>
    <w:rsid w:val="009423DA"/>
    <w:rsid w:val="009426DF"/>
    <w:rsid w:val="009428BA"/>
    <w:rsid w:val="00942A1E"/>
    <w:rsid w:val="00942B5D"/>
    <w:rsid w:val="009434D2"/>
    <w:rsid w:val="0094380C"/>
    <w:rsid w:val="0094385A"/>
    <w:rsid w:val="009438FE"/>
    <w:rsid w:val="00943AD9"/>
    <w:rsid w:val="00943AE3"/>
    <w:rsid w:val="00943B67"/>
    <w:rsid w:val="00943EE0"/>
    <w:rsid w:val="00944236"/>
    <w:rsid w:val="00944520"/>
    <w:rsid w:val="00944614"/>
    <w:rsid w:val="009447B3"/>
    <w:rsid w:val="00944908"/>
    <w:rsid w:val="00944959"/>
    <w:rsid w:val="00944BFA"/>
    <w:rsid w:val="00944CFE"/>
    <w:rsid w:val="00944E18"/>
    <w:rsid w:val="00944E3D"/>
    <w:rsid w:val="00944EAE"/>
    <w:rsid w:val="0094517F"/>
    <w:rsid w:val="009451A4"/>
    <w:rsid w:val="0094553C"/>
    <w:rsid w:val="00945613"/>
    <w:rsid w:val="00945688"/>
    <w:rsid w:val="009457B0"/>
    <w:rsid w:val="00945A75"/>
    <w:rsid w:val="00945CFD"/>
    <w:rsid w:val="00945D86"/>
    <w:rsid w:val="00945EF3"/>
    <w:rsid w:val="00946019"/>
    <w:rsid w:val="0094626F"/>
    <w:rsid w:val="00946274"/>
    <w:rsid w:val="009462D2"/>
    <w:rsid w:val="0094688D"/>
    <w:rsid w:val="0094692B"/>
    <w:rsid w:val="009469E7"/>
    <w:rsid w:val="00946A1D"/>
    <w:rsid w:val="00946A5E"/>
    <w:rsid w:val="00946E9E"/>
    <w:rsid w:val="00946ED6"/>
    <w:rsid w:val="00947195"/>
    <w:rsid w:val="009476AB"/>
    <w:rsid w:val="009479A6"/>
    <w:rsid w:val="00947C0D"/>
    <w:rsid w:val="00947E45"/>
    <w:rsid w:val="00947E56"/>
    <w:rsid w:val="00950A20"/>
    <w:rsid w:val="00950C45"/>
    <w:rsid w:val="00950CD5"/>
    <w:rsid w:val="00950D16"/>
    <w:rsid w:val="00950EEE"/>
    <w:rsid w:val="0095118D"/>
    <w:rsid w:val="0095144C"/>
    <w:rsid w:val="009515F4"/>
    <w:rsid w:val="0095165B"/>
    <w:rsid w:val="00951689"/>
    <w:rsid w:val="00951935"/>
    <w:rsid w:val="00951BD0"/>
    <w:rsid w:val="00951E2E"/>
    <w:rsid w:val="00951F40"/>
    <w:rsid w:val="009520F1"/>
    <w:rsid w:val="00952344"/>
    <w:rsid w:val="00952548"/>
    <w:rsid w:val="009525D7"/>
    <w:rsid w:val="0095265D"/>
    <w:rsid w:val="00952844"/>
    <w:rsid w:val="00952A4B"/>
    <w:rsid w:val="00952B66"/>
    <w:rsid w:val="00953059"/>
    <w:rsid w:val="009531B5"/>
    <w:rsid w:val="00953509"/>
    <w:rsid w:val="00953825"/>
    <w:rsid w:val="009538C2"/>
    <w:rsid w:val="00953D79"/>
    <w:rsid w:val="00953D91"/>
    <w:rsid w:val="00953E55"/>
    <w:rsid w:val="00954003"/>
    <w:rsid w:val="00954148"/>
    <w:rsid w:val="009542ED"/>
    <w:rsid w:val="0095434A"/>
    <w:rsid w:val="009545B3"/>
    <w:rsid w:val="00954609"/>
    <w:rsid w:val="009546A9"/>
    <w:rsid w:val="00954939"/>
    <w:rsid w:val="00954E18"/>
    <w:rsid w:val="00955334"/>
    <w:rsid w:val="009553DD"/>
    <w:rsid w:val="0095554D"/>
    <w:rsid w:val="00955943"/>
    <w:rsid w:val="009559B8"/>
    <w:rsid w:val="00955AA1"/>
    <w:rsid w:val="00955AC4"/>
    <w:rsid w:val="00955DF3"/>
    <w:rsid w:val="00956167"/>
    <w:rsid w:val="0095654C"/>
    <w:rsid w:val="0095686C"/>
    <w:rsid w:val="00956952"/>
    <w:rsid w:val="00956C4E"/>
    <w:rsid w:val="00956E9C"/>
    <w:rsid w:val="00956FA7"/>
    <w:rsid w:val="0095751D"/>
    <w:rsid w:val="00957569"/>
    <w:rsid w:val="00957A77"/>
    <w:rsid w:val="00957CC7"/>
    <w:rsid w:val="00957D5D"/>
    <w:rsid w:val="00957D9E"/>
    <w:rsid w:val="00957FEC"/>
    <w:rsid w:val="0096002A"/>
    <w:rsid w:val="009602F9"/>
    <w:rsid w:val="0096050C"/>
    <w:rsid w:val="009607DA"/>
    <w:rsid w:val="00960875"/>
    <w:rsid w:val="009608B3"/>
    <w:rsid w:val="00960AF9"/>
    <w:rsid w:val="00960E96"/>
    <w:rsid w:val="009610A7"/>
    <w:rsid w:val="00961377"/>
    <w:rsid w:val="009613A3"/>
    <w:rsid w:val="00961623"/>
    <w:rsid w:val="009618BC"/>
    <w:rsid w:val="009619B3"/>
    <w:rsid w:val="00961E75"/>
    <w:rsid w:val="00961F98"/>
    <w:rsid w:val="00961F9F"/>
    <w:rsid w:val="00961FF0"/>
    <w:rsid w:val="00962158"/>
    <w:rsid w:val="00962323"/>
    <w:rsid w:val="009626AC"/>
    <w:rsid w:val="0096297B"/>
    <w:rsid w:val="0096299D"/>
    <w:rsid w:val="00962A69"/>
    <w:rsid w:val="00962FE1"/>
    <w:rsid w:val="009630F8"/>
    <w:rsid w:val="009633D7"/>
    <w:rsid w:val="009637F5"/>
    <w:rsid w:val="0096389A"/>
    <w:rsid w:val="00963959"/>
    <w:rsid w:val="00963A1A"/>
    <w:rsid w:val="00963ACD"/>
    <w:rsid w:val="00963AF1"/>
    <w:rsid w:val="00963B85"/>
    <w:rsid w:val="009640BE"/>
    <w:rsid w:val="00964232"/>
    <w:rsid w:val="009644AA"/>
    <w:rsid w:val="00964723"/>
    <w:rsid w:val="00964A04"/>
    <w:rsid w:val="00964A1C"/>
    <w:rsid w:val="00964A79"/>
    <w:rsid w:val="00964ABB"/>
    <w:rsid w:val="00964C14"/>
    <w:rsid w:val="00964C2F"/>
    <w:rsid w:val="00964CF1"/>
    <w:rsid w:val="00964FB0"/>
    <w:rsid w:val="009652D5"/>
    <w:rsid w:val="00965439"/>
    <w:rsid w:val="00965445"/>
    <w:rsid w:val="00965511"/>
    <w:rsid w:val="009657B7"/>
    <w:rsid w:val="00965D15"/>
    <w:rsid w:val="00965EA8"/>
    <w:rsid w:val="00966288"/>
    <w:rsid w:val="009664FD"/>
    <w:rsid w:val="00966C16"/>
    <w:rsid w:val="00966C4C"/>
    <w:rsid w:val="00966C9A"/>
    <w:rsid w:val="00966CA9"/>
    <w:rsid w:val="00966D01"/>
    <w:rsid w:val="00967040"/>
    <w:rsid w:val="009673BF"/>
    <w:rsid w:val="0096761A"/>
    <w:rsid w:val="009677F8"/>
    <w:rsid w:val="00967A9C"/>
    <w:rsid w:val="00967B75"/>
    <w:rsid w:val="00967CF8"/>
    <w:rsid w:val="00970195"/>
    <w:rsid w:val="0097036B"/>
    <w:rsid w:val="0097054C"/>
    <w:rsid w:val="009705FE"/>
    <w:rsid w:val="00970910"/>
    <w:rsid w:val="00970C46"/>
    <w:rsid w:val="00970D1A"/>
    <w:rsid w:val="00970E0E"/>
    <w:rsid w:val="00970E34"/>
    <w:rsid w:val="00970E55"/>
    <w:rsid w:val="00970EF1"/>
    <w:rsid w:val="00970F09"/>
    <w:rsid w:val="00970F7A"/>
    <w:rsid w:val="00971146"/>
    <w:rsid w:val="009712E3"/>
    <w:rsid w:val="00971347"/>
    <w:rsid w:val="009713E2"/>
    <w:rsid w:val="009713EB"/>
    <w:rsid w:val="00971463"/>
    <w:rsid w:val="009717F0"/>
    <w:rsid w:val="009718C4"/>
    <w:rsid w:val="0097198B"/>
    <w:rsid w:val="00971AA1"/>
    <w:rsid w:val="00971C26"/>
    <w:rsid w:val="00971C3A"/>
    <w:rsid w:val="00971C5C"/>
    <w:rsid w:val="00971D4A"/>
    <w:rsid w:val="00971DC0"/>
    <w:rsid w:val="00972278"/>
    <w:rsid w:val="0097229F"/>
    <w:rsid w:val="00972308"/>
    <w:rsid w:val="009723EC"/>
    <w:rsid w:val="009725F2"/>
    <w:rsid w:val="00972636"/>
    <w:rsid w:val="00972847"/>
    <w:rsid w:val="00972916"/>
    <w:rsid w:val="00972A9A"/>
    <w:rsid w:val="00972AFF"/>
    <w:rsid w:val="00972B99"/>
    <w:rsid w:val="00972BF0"/>
    <w:rsid w:val="00972E0C"/>
    <w:rsid w:val="009731F4"/>
    <w:rsid w:val="009735FB"/>
    <w:rsid w:val="00973738"/>
    <w:rsid w:val="0097374B"/>
    <w:rsid w:val="00973C85"/>
    <w:rsid w:val="0097429B"/>
    <w:rsid w:val="009746C6"/>
    <w:rsid w:val="0097498C"/>
    <w:rsid w:val="009749F7"/>
    <w:rsid w:val="009753FA"/>
    <w:rsid w:val="00975437"/>
    <w:rsid w:val="00975592"/>
    <w:rsid w:val="0097562C"/>
    <w:rsid w:val="009757B3"/>
    <w:rsid w:val="009758D2"/>
    <w:rsid w:val="00975B8C"/>
    <w:rsid w:val="0097600B"/>
    <w:rsid w:val="009762AD"/>
    <w:rsid w:val="0097691F"/>
    <w:rsid w:val="009769C3"/>
    <w:rsid w:val="00976A11"/>
    <w:rsid w:val="00976E6D"/>
    <w:rsid w:val="00976FE0"/>
    <w:rsid w:val="00977007"/>
    <w:rsid w:val="00977263"/>
    <w:rsid w:val="009774A2"/>
    <w:rsid w:val="00977A34"/>
    <w:rsid w:val="00977D75"/>
    <w:rsid w:val="00977EE4"/>
    <w:rsid w:val="0098027E"/>
    <w:rsid w:val="0098038E"/>
    <w:rsid w:val="00980533"/>
    <w:rsid w:val="009805DD"/>
    <w:rsid w:val="0098061A"/>
    <w:rsid w:val="009808D9"/>
    <w:rsid w:val="009809DC"/>
    <w:rsid w:val="00981126"/>
    <w:rsid w:val="009812E3"/>
    <w:rsid w:val="009813DC"/>
    <w:rsid w:val="0098145E"/>
    <w:rsid w:val="009817C7"/>
    <w:rsid w:val="0098193C"/>
    <w:rsid w:val="009819D5"/>
    <w:rsid w:val="009819FF"/>
    <w:rsid w:val="00981C05"/>
    <w:rsid w:val="00981C30"/>
    <w:rsid w:val="00981C85"/>
    <w:rsid w:val="00981E75"/>
    <w:rsid w:val="009821F9"/>
    <w:rsid w:val="00982435"/>
    <w:rsid w:val="0098246D"/>
    <w:rsid w:val="00982559"/>
    <w:rsid w:val="00982627"/>
    <w:rsid w:val="00982719"/>
    <w:rsid w:val="00982745"/>
    <w:rsid w:val="0098280F"/>
    <w:rsid w:val="0098299A"/>
    <w:rsid w:val="00982AFA"/>
    <w:rsid w:val="0098307E"/>
    <w:rsid w:val="00983096"/>
    <w:rsid w:val="0098338D"/>
    <w:rsid w:val="009837CE"/>
    <w:rsid w:val="00983A0F"/>
    <w:rsid w:val="00983C31"/>
    <w:rsid w:val="00983DFB"/>
    <w:rsid w:val="00983E7E"/>
    <w:rsid w:val="00983EF1"/>
    <w:rsid w:val="0098401C"/>
    <w:rsid w:val="009841C1"/>
    <w:rsid w:val="0098461A"/>
    <w:rsid w:val="00984872"/>
    <w:rsid w:val="00984A1E"/>
    <w:rsid w:val="00984BAF"/>
    <w:rsid w:val="00984D7E"/>
    <w:rsid w:val="00984E7E"/>
    <w:rsid w:val="00984E8C"/>
    <w:rsid w:val="00985121"/>
    <w:rsid w:val="0098513A"/>
    <w:rsid w:val="00985AFD"/>
    <w:rsid w:val="00985CF9"/>
    <w:rsid w:val="00985E04"/>
    <w:rsid w:val="009865DA"/>
    <w:rsid w:val="009866A4"/>
    <w:rsid w:val="00986761"/>
    <w:rsid w:val="00986921"/>
    <w:rsid w:val="00986989"/>
    <w:rsid w:val="00987008"/>
    <w:rsid w:val="009871F1"/>
    <w:rsid w:val="00987347"/>
    <w:rsid w:val="00987391"/>
    <w:rsid w:val="009874D7"/>
    <w:rsid w:val="00987643"/>
    <w:rsid w:val="0098765E"/>
    <w:rsid w:val="00987780"/>
    <w:rsid w:val="00987A6D"/>
    <w:rsid w:val="00987BAC"/>
    <w:rsid w:val="00987BB1"/>
    <w:rsid w:val="00987C50"/>
    <w:rsid w:val="00987C7E"/>
    <w:rsid w:val="00990169"/>
    <w:rsid w:val="009901B0"/>
    <w:rsid w:val="009902F9"/>
    <w:rsid w:val="009905FF"/>
    <w:rsid w:val="00990672"/>
    <w:rsid w:val="009906F2"/>
    <w:rsid w:val="00990831"/>
    <w:rsid w:val="0099086E"/>
    <w:rsid w:val="00990CF1"/>
    <w:rsid w:val="00990D40"/>
    <w:rsid w:val="00990F19"/>
    <w:rsid w:val="00990F98"/>
    <w:rsid w:val="00991286"/>
    <w:rsid w:val="0099148A"/>
    <w:rsid w:val="009915BB"/>
    <w:rsid w:val="00991675"/>
    <w:rsid w:val="00991C23"/>
    <w:rsid w:val="00991FDB"/>
    <w:rsid w:val="00992008"/>
    <w:rsid w:val="00992042"/>
    <w:rsid w:val="00992125"/>
    <w:rsid w:val="009927F9"/>
    <w:rsid w:val="009928DD"/>
    <w:rsid w:val="009928FE"/>
    <w:rsid w:val="00992A0D"/>
    <w:rsid w:val="00992B05"/>
    <w:rsid w:val="00992B13"/>
    <w:rsid w:val="00992BBD"/>
    <w:rsid w:val="00992BC7"/>
    <w:rsid w:val="00992F7D"/>
    <w:rsid w:val="009931E6"/>
    <w:rsid w:val="00993387"/>
    <w:rsid w:val="00993431"/>
    <w:rsid w:val="00993A3B"/>
    <w:rsid w:val="00993AFF"/>
    <w:rsid w:val="00993EC9"/>
    <w:rsid w:val="00993F9C"/>
    <w:rsid w:val="009943B0"/>
    <w:rsid w:val="00994540"/>
    <w:rsid w:val="0099478E"/>
    <w:rsid w:val="0099498C"/>
    <w:rsid w:val="0099499F"/>
    <w:rsid w:val="00994B8D"/>
    <w:rsid w:val="00994C28"/>
    <w:rsid w:val="00994DDA"/>
    <w:rsid w:val="00994F0A"/>
    <w:rsid w:val="0099513F"/>
    <w:rsid w:val="00995397"/>
    <w:rsid w:val="009953E2"/>
    <w:rsid w:val="00995563"/>
    <w:rsid w:val="00995598"/>
    <w:rsid w:val="0099566F"/>
    <w:rsid w:val="00995B27"/>
    <w:rsid w:val="00995B35"/>
    <w:rsid w:val="00995BEB"/>
    <w:rsid w:val="00995D8B"/>
    <w:rsid w:val="00995EC9"/>
    <w:rsid w:val="00995F67"/>
    <w:rsid w:val="00995F88"/>
    <w:rsid w:val="0099606C"/>
    <w:rsid w:val="00996101"/>
    <w:rsid w:val="00996409"/>
    <w:rsid w:val="00996499"/>
    <w:rsid w:val="00996545"/>
    <w:rsid w:val="0099656E"/>
    <w:rsid w:val="009965BC"/>
    <w:rsid w:val="009966E0"/>
    <w:rsid w:val="00996750"/>
    <w:rsid w:val="0099699D"/>
    <w:rsid w:val="009969A0"/>
    <w:rsid w:val="009969D4"/>
    <w:rsid w:val="00996ACD"/>
    <w:rsid w:val="00996BB0"/>
    <w:rsid w:val="00996D00"/>
    <w:rsid w:val="00996D57"/>
    <w:rsid w:val="00996D72"/>
    <w:rsid w:val="00996DA5"/>
    <w:rsid w:val="00996F82"/>
    <w:rsid w:val="00997077"/>
    <w:rsid w:val="0099752F"/>
    <w:rsid w:val="00997B48"/>
    <w:rsid w:val="00997DED"/>
    <w:rsid w:val="009A006F"/>
    <w:rsid w:val="009A0382"/>
    <w:rsid w:val="009A038E"/>
    <w:rsid w:val="009A03DC"/>
    <w:rsid w:val="009A0481"/>
    <w:rsid w:val="009A058D"/>
    <w:rsid w:val="009A0FD4"/>
    <w:rsid w:val="009A0FFB"/>
    <w:rsid w:val="009A116B"/>
    <w:rsid w:val="009A117D"/>
    <w:rsid w:val="009A13D1"/>
    <w:rsid w:val="009A1683"/>
    <w:rsid w:val="009A16C3"/>
    <w:rsid w:val="009A20BA"/>
    <w:rsid w:val="009A213A"/>
    <w:rsid w:val="009A2217"/>
    <w:rsid w:val="009A228E"/>
    <w:rsid w:val="009A25CD"/>
    <w:rsid w:val="009A26FD"/>
    <w:rsid w:val="009A2700"/>
    <w:rsid w:val="009A2992"/>
    <w:rsid w:val="009A2C92"/>
    <w:rsid w:val="009A2ED2"/>
    <w:rsid w:val="009A3215"/>
    <w:rsid w:val="009A3382"/>
    <w:rsid w:val="009A34D9"/>
    <w:rsid w:val="009A35F7"/>
    <w:rsid w:val="009A3899"/>
    <w:rsid w:val="009A3929"/>
    <w:rsid w:val="009A3964"/>
    <w:rsid w:val="009A3A7B"/>
    <w:rsid w:val="009A3B8A"/>
    <w:rsid w:val="009A3D6B"/>
    <w:rsid w:val="009A406E"/>
    <w:rsid w:val="009A41A1"/>
    <w:rsid w:val="009A44DE"/>
    <w:rsid w:val="009A48BF"/>
    <w:rsid w:val="009A567A"/>
    <w:rsid w:val="009A57D2"/>
    <w:rsid w:val="009A58A2"/>
    <w:rsid w:val="009A5F2F"/>
    <w:rsid w:val="009A643D"/>
    <w:rsid w:val="009A673C"/>
    <w:rsid w:val="009A6A11"/>
    <w:rsid w:val="009A6CF3"/>
    <w:rsid w:val="009A6FB8"/>
    <w:rsid w:val="009A7199"/>
    <w:rsid w:val="009A7397"/>
    <w:rsid w:val="009A74C7"/>
    <w:rsid w:val="009A74E4"/>
    <w:rsid w:val="009A7621"/>
    <w:rsid w:val="009A76B9"/>
    <w:rsid w:val="009A76F7"/>
    <w:rsid w:val="009A7999"/>
    <w:rsid w:val="009A7BD9"/>
    <w:rsid w:val="009A7D61"/>
    <w:rsid w:val="009A7E74"/>
    <w:rsid w:val="009B0134"/>
    <w:rsid w:val="009B0138"/>
    <w:rsid w:val="009B0331"/>
    <w:rsid w:val="009B0655"/>
    <w:rsid w:val="009B08A0"/>
    <w:rsid w:val="009B0E88"/>
    <w:rsid w:val="009B138B"/>
    <w:rsid w:val="009B1879"/>
    <w:rsid w:val="009B1A42"/>
    <w:rsid w:val="009B1A57"/>
    <w:rsid w:val="009B1A9E"/>
    <w:rsid w:val="009B2020"/>
    <w:rsid w:val="009B2082"/>
    <w:rsid w:val="009B20FE"/>
    <w:rsid w:val="009B24F2"/>
    <w:rsid w:val="009B252F"/>
    <w:rsid w:val="009B2785"/>
    <w:rsid w:val="009B29DA"/>
    <w:rsid w:val="009B2DBA"/>
    <w:rsid w:val="009B2F55"/>
    <w:rsid w:val="009B3133"/>
    <w:rsid w:val="009B318E"/>
    <w:rsid w:val="009B3203"/>
    <w:rsid w:val="009B34A8"/>
    <w:rsid w:val="009B3504"/>
    <w:rsid w:val="009B354C"/>
    <w:rsid w:val="009B35B1"/>
    <w:rsid w:val="009B366F"/>
    <w:rsid w:val="009B38BC"/>
    <w:rsid w:val="009B392C"/>
    <w:rsid w:val="009B3A24"/>
    <w:rsid w:val="009B4035"/>
    <w:rsid w:val="009B4092"/>
    <w:rsid w:val="009B42DD"/>
    <w:rsid w:val="009B43BF"/>
    <w:rsid w:val="009B449D"/>
    <w:rsid w:val="009B4693"/>
    <w:rsid w:val="009B4A2D"/>
    <w:rsid w:val="009B4A90"/>
    <w:rsid w:val="009B528C"/>
    <w:rsid w:val="009B540B"/>
    <w:rsid w:val="009B54E0"/>
    <w:rsid w:val="009B5654"/>
    <w:rsid w:val="009B56F9"/>
    <w:rsid w:val="009B5876"/>
    <w:rsid w:val="009B591D"/>
    <w:rsid w:val="009B5A07"/>
    <w:rsid w:val="009B5CD6"/>
    <w:rsid w:val="009B5E00"/>
    <w:rsid w:val="009B5F91"/>
    <w:rsid w:val="009B64D1"/>
    <w:rsid w:val="009B655D"/>
    <w:rsid w:val="009B660B"/>
    <w:rsid w:val="009B6884"/>
    <w:rsid w:val="009B6BC6"/>
    <w:rsid w:val="009B6EAB"/>
    <w:rsid w:val="009B6EBD"/>
    <w:rsid w:val="009B715B"/>
    <w:rsid w:val="009B74D3"/>
    <w:rsid w:val="009B751C"/>
    <w:rsid w:val="009B757A"/>
    <w:rsid w:val="009B7C36"/>
    <w:rsid w:val="009C065D"/>
    <w:rsid w:val="009C09C4"/>
    <w:rsid w:val="009C0D78"/>
    <w:rsid w:val="009C1222"/>
    <w:rsid w:val="009C1363"/>
    <w:rsid w:val="009C14A4"/>
    <w:rsid w:val="009C166F"/>
    <w:rsid w:val="009C16B9"/>
    <w:rsid w:val="009C18B8"/>
    <w:rsid w:val="009C18BD"/>
    <w:rsid w:val="009C1B3C"/>
    <w:rsid w:val="009C1B99"/>
    <w:rsid w:val="009C1E01"/>
    <w:rsid w:val="009C1E0B"/>
    <w:rsid w:val="009C2259"/>
    <w:rsid w:val="009C22EF"/>
    <w:rsid w:val="009C2564"/>
    <w:rsid w:val="009C265B"/>
    <w:rsid w:val="009C26C9"/>
    <w:rsid w:val="009C2871"/>
    <w:rsid w:val="009C2A7C"/>
    <w:rsid w:val="009C2D20"/>
    <w:rsid w:val="009C2DCE"/>
    <w:rsid w:val="009C2EC7"/>
    <w:rsid w:val="009C2F02"/>
    <w:rsid w:val="009C30DC"/>
    <w:rsid w:val="009C3318"/>
    <w:rsid w:val="009C3754"/>
    <w:rsid w:val="009C3FAB"/>
    <w:rsid w:val="009C4244"/>
    <w:rsid w:val="009C442C"/>
    <w:rsid w:val="009C4851"/>
    <w:rsid w:val="009C4884"/>
    <w:rsid w:val="009C4991"/>
    <w:rsid w:val="009C4A9D"/>
    <w:rsid w:val="009C4AD3"/>
    <w:rsid w:val="009C4C5E"/>
    <w:rsid w:val="009C52A7"/>
    <w:rsid w:val="009C5421"/>
    <w:rsid w:val="009C56C2"/>
    <w:rsid w:val="009C56D9"/>
    <w:rsid w:val="009C57A4"/>
    <w:rsid w:val="009C581C"/>
    <w:rsid w:val="009C5AFF"/>
    <w:rsid w:val="009C5D99"/>
    <w:rsid w:val="009C5E1C"/>
    <w:rsid w:val="009C5E9D"/>
    <w:rsid w:val="009C601F"/>
    <w:rsid w:val="009C62E5"/>
    <w:rsid w:val="009C62F8"/>
    <w:rsid w:val="009C6470"/>
    <w:rsid w:val="009C73CB"/>
    <w:rsid w:val="009C7517"/>
    <w:rsid w:val="009C7951"/>
    <w:rsid w:val="009C7B25"/>
    <w:rsid w:val="009C7B7D"/>
    <w:rsid w:val="009C7C90"/>
    <w:rsid w:val="009C7F25"/>
    <w:rsid w:val="009D03E1"/>
    <w:rsid w:val="009D057F"/>
    <w:rsid w:val="009D0581"/>
    <w:rsid w:val="009D07C3"/>
    <w:rsid w:val="009D08D9"/>
    <w:rsid w:val="009D0946"/>
    <w:rsid w:val="009D097D"/>
    <w:rsid w:val="009D09A1"/>
    <w:rsid w:val="009D09FF"/>
    <w:rsid w:val="009D0D3A"/>
    <w:rsid w:val="009D0E61"/>
    <w:rsid w:val="009D0F03"/>
    <w:rsid w:val="009D15C6"/>
    <w:rsid w:val="009D163E"/>
    <w:rsid w:val="009D1692"/>
    <w:rsid w:val="009D16E6"/>
    <w:rsid w:val="009D171E"/>
    <w:rsid w:val="009D17B9"/>
    <w:rsid w:val="009D17CF"/>
    <w:rsid w:val="009D1928"/>
    <w:rsid w:val="009D1A31"/>
    <w:rsid w:val="009D1A67"/>
    <w:rsid w:val="009D1ED1"/>
    <w:rsid w:val="009D1F69"/>
    <w:rsid w:val="009D21DD"/>
    <w:rsid w:val="009D2362"/>
    <w:rsid w:val="009D23F9"/>
    <w:rsid w:val="009D25DF"/>
    <w:rsid w:val="009D2788"/>
    <w:rsid w:val="009D38DE"/>
    <w:rsid w:val="009D38F7"/>
    <w:rsid w:val="009D3DD0"/>
    <w:rsid w:val="009D406F"/>
    <w:rsid w:val="009D4507"/>
    <w:rsid w:val="009D4932"/>
    <w:rsid w:val="009D4AB3"/>
    <w:rsid w:val="009D4DBC"/>
    <w:rsid w:val="009D5196"/>
    <w:rsid w:val="009D545A"/>
    <w:rsid w:val="009D558A"/>
    <w:rsid w:val="009D5BCD"/>
    <w:rsid w:val="009D5BF0"/>
    <w:rsid w:val="009D5E81"/>
    <w:rsid w:val="009D5FBB"/>
    <w:rsid w:val="009D6321"/>
    <w:rsid w:val="009D6606"/>
    <w:rsid w:val="009D669A"/>
    <w:rsid w:val="009D678E"/>
    <w:rsid w:val="009D691E"/>
    <w:rsid w:val="009D6A22"/>
    <w:rsid w:val="009D6B83"/>
    <w:rsid w:val="009D6B9B"/>
    <w:rsid w:val="009D6CDA"/>
    <w:rsid w:val="009D6D44"/>
    <w:rsid w:val="009D6FF7"/>
    <w:rsid w:val="009D7225"/>
    <w:rsid w:val="009D7701"/>
    <w:rsid w:val="009D7D8B"/>
    <w:rsid w:val="009E00EA"/>
    <w:rsid w:val="009E01D7"/>
    <w:rsid w:val="009E02E3"/>
    <w:rsid w:val="009E0368"/>
    <w:rsid w:val="009E037D"/>
    <w:rsid w:val="009E0593"/>
    <w:rsid w:val="009E062E"/>
    <w:rsid w:val="009E06A3"/>
    <w:rsid w:val="009E07EC"/>
    <w:rsid w:val="009E0CC9"/>
    <w:rsid w:val="009E0F4D"/>
    <w:rsid w:val="009E10D6"/>
    <w:rsid w:val="009E11F6"/>
    <w:rsid w:val="009E11FD"/>
    <w:rsid w:val="009E165F"/>
    <w:rsid w:val="009E18D8"/>
    <w:rsid w:val="009E1CCF"/>
    <w:rsid w:val="009E1D81"/>
    <w:rsid w:val="009E1EB1"/>
    <w:rsid w:val="009E1F4C"/>
    <w:rsid w:val="009E1F85"/>
    <w:rsid w:val="009E1FED"/>
    <w:rsid w:val="009E2086"/>
    <w:rsid w:val="009E22FA"/>
    <w:rsid w:val="009E26CE"/>
    <w:rsid w:val="009E2934"/>
    <w:rsid w:val="009E2D9C"/>
    <w:rsid w:val="009E2E6B"/>
    <w:rsid w:val="009E3209"/>
    <w:rsid w:val="009E323E"/>
    <w:rsid w:val="009E3253"/>
    <w:rsid w:val="009E337F"/>
    <w:rsid w:val="009E35C4"/>
    <w:rsid w:val="009E37FE"/>
    <w:rsid w:val="009E3AB6"/>
    <w:rsid w:val="009E3F46"/>
    <w:rsid w:val="009E3FA9"/>
    <w:rsid w:val="009E3FD2"/>
    <w:rsid w:val="009E401E"/>
    <w:rsid w:val="009E40B5"/>
    <w:rsid w:val="009E41C3"/>
    <w:rsid w:val="009E44DA"/>
    <w:rsid w:val="009E4744"/>
    <w:rsid w:val="009E47E0"/>
    <w:rsid w:val="009E4829"/>
    <w:rsid w:val="009E4878"/>
    <w:rsid w:val="009E4947"/>
    <w:rsid w:val="009E4CB5"/>
    <w:rsid w:val="009E4CBA"/>
    <w:rsid w:val="009E4E9F"/>
    <w:rsid w:val="009E4EC9"/>
    <w:rsid w:val="009E4FA3"/>
    <w:rsid w:val="009E51BD"/>
    <w:rsid w:val="009E5542"/>
    <w:rsid w:val="009E57D5"/>
    <w:rsid w:val="009E58B0"/>
    <w:rsid w:val="009E5C44"/>
    <w:rsid w:val="009E5D00"/>
    <w:rsid w:val="009E5D5A"/>
    <w:rsid w:val="009E5DF0"/>
    <w:rsid w:val="009E5EF7"/>
    <w:rsid w:val="009E6083"/>
    <w:rsid w:val="009E60CA"/>
    <w:rsid w:val="009E614C"/>
    <w:rsid w:val="009E65E3"/>
    <w:rsid w:val="009E67F6"/>
    <w:rsid w:val="009E6876"/>
    <w:rsid w:val="009E6A28"/>
    <w:rsid w:val="009E6D26"/>
    <w:rsid w:val="009E6D30"/>
    <w:rsid w:val="009E6DB6"/>
    <w:rsid w:val="009E71BC"/>
    <w:rsid w:val="009E743B"/>
    <w:rsid w:val="009E7675"/>
    <w:rsid w:val="009E784E"/>
    <w:rsid w:val="009E7CDD"/>
    <w:rsid w:val="009E7F41"/>
    <w:rsid w:val="009E7F68"/>
    <w:rsid w:val="009F03BD"/>
    <w:rsid w:val="009F0630"/>
    <w:rsid w:val="009F090B"/>
    <w:rsid w:val="009F0984"/>
    <w:rsid w:val="009F0B36"/>
    <w:rsid w:val="009F0C77"/>
    <w:rsid w:val="009F0DF0"/>
    <w:rsid w:val="009F1180"/>
    <w:rsid w:val="009F1307"/>
    <w:rsid w:val="009F14E8"/>
    <w:rsid w:val="009F1665"/>
    <w:rsid w:val="009F1758"/>
    <w:rsid w:val="009F1C4B"/>
    <w:rsid w:val="009F1C84"/>
    <w:rsid w:val="009F1D68"/>
    <w:rsid w:val="009F1D99"/>
    <w:rsid w:val="009F20B6"/>
    <w:rsid w:val="009F2114"/>
    <w:rsid w:val="009F2262"/>
    <w:rsid w:val="009F28E2"/>
    <w:rsid w:val="009F299F"/>
    <w:rsid w:val="009F2C2D"/>
    <w:rsid w:val="009F2C67"/>
    <w:rsid w:val="009F2C6B"/>
    <w:rsid w:val="009F2D9D"/>
    <w:rsid w:val="009F2F34"/>
    <w:rsid w:val="009F31B0"/>
    <w:rsid w:val="009F3315"/>
    <w:rsid w:val="009F3377"/>
    <w:rsid w:val="009F33A0"/>
    <w:rsid w:val="009F3531"/>
    <w:rsid w:val="009F354E"/>
    <w:rsid w:val="009F3749"/>
    <w:rsid w:val="009F38A3"/>
    <w:rsid w:val="009F3A4B"/>
    <w:rsid w:val="009F3BCC"/>
    <w:rsid w:val="009F4171"/>
    <w:rsid w:val="009F42E8"/>
    <w:rsid w:val="009F4408"/>
    <w:rsid w:val="009F441E"/>
    <w:rsid w:val="009F4583"/>
    <w:rsid w:val="009F4787"/>
    <w:rsid w:val="009F47CE"/>
    <w:rsid w:val="009F49F4"/>
    <w:rsid w:val="009F4A66"/>
    <w:rsid w:val="009F4ADA"/>
    <w:rsid w:val="009F4B77"/>
    <w:rsid w:val="009F4BA8"/>
    <w:rsid w:val="009F4BFE"/>
    <w:rsid w:val="009F5034"/>
    <w:rsid w:val="009F515C"/>
    <w:rsid w:val="009F51B3"/>
    <w:rsid w:val="009F52EB"/>
    <w:rsid w:val="009F543E"/>
    <w:rsid w:val="009F5450"/>
    <w:rsid w:val="009F56A2"/>
    <w:rsid w:val="009F56E5"/>
    <w:rsid w:val="009F5858"/>
    <w:rsid w:val="009F5DAF"/>
    <w:rsid w:val="009F6239"/>
    <w:rsid w:val="009F62E8"/>
    <w:rsid w:val="009F62EB"/>
    <w:rsid w:val="009F6658"/>
    <w:rsid w:val="009F6A0D"/>
    <w:rsid w:val="009F6BF2"/>
    <w:rsid w:val="009F6C05"/>
    <w:rsid w:val="009F6D68"/>
    <w:rsid w:val="009F6DD5"/>
    <w:rsid w:val="009F6E8C"/>
    <w:rsid w:val="009F7088"/>
    <w:rsid w:val="009F7100"/>
    <w:rsid w:val="009F7193"/>
    <w:rsid w:val="009F7294"/>
    <w:rsid w:val="009F734C"/>
    <w:rsid w:val="009F746A"/>
    <w:rsid w:val="009F7788"/>
    <w:rsid w:val="009F77CD"/>
    <w:rsid w:val="009F782E"/>
    <w:rsid w:val="009F7A2C"/>
    <w:rsid w:val="009F7B4F"/>
    <w:rsid w:val="009F7C9B"/>
    <w:rsid w:val="009F7CA5"/>
    <w:rsid w:val="009F7E8C"/>
    <w:rsid w:val="009F7FB3"/>
    <w:rsid w:val="009F7FF7"/>
    <w:rsid w:val="00A0021E"/>
    <w:rsid w:val="00A0029B"/>
    <w:rsid w:val="00A00A17"/>
    <w:rsid w:val="00A00BA5"/>
    <w:rsid w:val="00A00CE4"/>
    <w:rsid w:val="00A00EAA"/>
    <w:rsid w:val="00A015F2"/>
    <w:rsid w:val="00A017A8"/>
    <w:rsid w:val="00A018FE"/>
    <w:rsid w:val="00A01AAD"/>
    <w:rsid w:val="00A01B15"/>
    <w:rsid w:val="00A01BA3"/>
    <w:rsid w:val="00A01EAA"/>
    <w:rsid w:val="00A028E5"/>
    <w:rsid w:val="00A02A2D"/>
    <w:rsid w:val="00A02F04"/>
    <w:rsid w:val="00A02FD1"/>
    <w:rsid w:val="00A0313B"/>
    <w:rsid w:val="00A03244"/>
    <w:rsid w:val="00A034FB"/>
    <w:rsid w:val="00A03595"/>
    <w:rsid w:val="00A037A7"/>
    <w:rsid w:val="00A038A8"/>
    <w:rsid w:val="00A03D76"/>
    <w:rsid w:val="00A03F67"/>
    <w:rsid w:val="00A03FBC"/>
    <w:rsid w:val="00A03FC5"/>
    <w:rsid w:val="00A041EA"/>
    <w:rsid w:val="00A043E6"/>
    <w:rsid w:val="00A044F0"/>
    <w:rsid w:val="00A04712"/>
    <w:rsid w:val="00A048C2"/>
    <w:rsid w:val="00A048E0"/>
    <w:rsid w:val="00A04ABF"/>
    <w:rsid w:val="00A04CFA"/>
    <w:rsid w:val="00A04D9F"/>
    <w:rsid w:val="00A05069"/>
    <w:rsid w:val="00A050D7"/>
    <w:rsid w:val="00A05107"/>
    <w:rsid w:val="00A0534B"/>
    <w:rsid w:val="00A054C2"/>
    <w:rsid w:val="00A05560"/>
    <w:rsid w:val="00A05C74"/>
    <w:rsid w:val="00A05D36"/>
    <w:rsid w:val="00A06182"/>
    <w:rsid w:val="00A0638A"/>
    <w:rsid w:val="00A06755"/>
    <w:rsid w:val="00A069D1"/>
    <w:rsid w:val="00A06E2E"/>
    <w:rsid w:val="00A070B7"/>
    <w:rsid w:val="00A071BA"/>
    <w:rsid w:val="00A07206"/>
    <w:rsid w:val="00A073C5"/>
    <w:rsid w:val="00A074B7"/>
    <w:rsid w:val="00A0756A"/>
    <w:rsid w:val="00A07991"/>
    <w:rsid w:val="00A079A5"/>
    <w:rsid w:val="00A07A23"/>
    <w:rsid w:val="00A07ACD"/>
    <w:rsid w:val="00A07B27"/>
    <w:rsid w:val="00A07E32"/>
    <w:rsid w:val="00A07F1F"/>
    <w:rsid w:val="00A1008B"/>
    <w:rsid w:val="00A103A2"/>
    <w:rsid w:val="00A1045E"/>
    <w:rsid w:val="00A104CE"/>
    <w:rsid w:val="00A106AC"/>
    <w:rsid w:val="00A1092B"/>
    <w:rsid w:val="00A10B7F"/>
    <w:rsid w:val="00A10CDE"/>
    <w:rsid w:val="00A10FB3"/>
    <w:rsid w:val="00A1135A"/>
    <w:rsid w:val="00A1146A"/>
    <w:rsid w:val="00A11471"/>
    <w:rsid w:val="00A11545"/>
    <w:rsid w:val="00A11B2C"/>
    <w:rsid w:val="00A11EAA"/>
    <w:rsid w:val="00A1267C"/>
    <w:rsid w:val="00A126E3"/>
    <w:rsid w:val="00A1272D"/>
    <w:rsid w:val="00A129EA"/>
    <w:rsid w:val="00A12AF2"/>
    <w:rsid w:val="00A12BB5"/>
    <w:rsid w:val="00A12DE8"/>
    <w:rsid w:val="00A12E48"/>
    <w:rsid w:val="00A12F1D"/>
    <w:rsid w:val="00A12FE0"/>
    <w:rsid w:val="00A13319"/>
    <w:rsid w:val="00A1342E"/>
    <w:rsid w:val="00A1360B"/>
    <w:rsid w:val="00A137F3"/>
    <w:rsid w:val="00A13958"/>
    <w:rsid w:val="00A139EB"/>
    <w:rsid w:val="00A139FC"/>
    <w:rsid w:val="00A13A44"/>
    <w:rsid w:val="00A13A89"/>
    <w:rsid w:val="00A13BD6"/>
    <w:rsid w:val="00A13E76"/>
    <w:rsid w:val="00A14043"/>
    <w:rsid w:val="00A143E1"/>
    <w:rsid w:val="00A143F0"/>
    <w:rsid w:val="00A14598"/>
    <w:rsid w:val="00A14748"/>
    <w:rsid w:val="00A14828"/>
    <w:rsid w:val="00A14887"/>
    <w:rsid w:val="00A148D4"/>
    <w:rsid w:val="00A14DE8"/>
    <w:rsid w:val="00A14E5F"/>
    <w:rsid w:val="00A14FFD"/>
    <w:rsid w:val="00A150BE"/>
    <w:rsid w:val="00A152E5"/>
    <w:rsid w:val="00A15308"/>
    <w:rsid w:val="00A15627"/>
    <w:rsid w:val="00A15B9E"/>
    <w:rsid w:val="00A15BD1"/>
    <w:rsid w:val="00A15C36"/>
    <w:rsid w:val="00A15F04"/>
    <w:rsid w:val="00A15F6E"/>
    <w:rsid w:val="00A160A9"/>
    <w:rsid w:val="00A1680D"/>
    <w:rsid w:val="00A168D9"/>
    <w:rsid w:val="00A16A94"/>
    <w:rsid w:val="00A16CA1"/>
    <w:rsid w:val="00A16EA7"/>
    <w:rsid w:val="00A16EF9"/>
    <w:rsid w:val="00A1716C"/>
    <w:rsid w:val="00A172EF"/>
    <w:rsid w:val="00A1731E"/>
    <w:rsid w:val="00A1749D"/>
    <w:rsid w:val="00A176FF"/>
    <w:rsid w:val="00A1792A"/>
    <w:rsid w:val="00A17CC1"/>
    <w:rsid w:val="00A2063F"/>
    <w:rsid w:val="00A21028"/>
    <w:rsid w:val="00A21211"/>
    <w:rsid w:val="00A212CF"/>
    <w:rsid w:val="00A21376"/>
    <w:rsid w:val="00A2190F"/>
    <w:rsid w:val="00A21962"/>
    <w:rsid w:val="00A219EF"/>
    <w:rsid w:val="00A21B20"/>
    <w:rsid w:val="00A21BDA"/>
    <w:rsid w:val="00A21D6F"/>
    <w:rsid w:val="00A21DA9"/>
    <w:rsid w:val="00A21DB8"/>
    <w:rsid w:val="00A21DDD"/>
    <w:rsid w:val="00A21EDD"/>
    <w:rsid w:val="00A22037"/>
    <w:rsid w:val="00A220AC"/>
    <w:rsid w:val="00A222CC"/>
    <w:rsid w:val="00A223A3"/>
    <w:rsid w:val="00A22535"/>
    <w:rsid w:val="00A225BD"/>
    <w:rsid w:val="00A225FE"/>
    <w:rsid w:val="00A2264A"/>
    <w:rsid w:val="00A22BA1"/>
    <w:rsid w:val="00A234B8"/>
    <w:rsid w:val="00A23546"/>
    <w:rsid w:val="00A23718"/>
    <w:rsid w:val="00A23764"/>
    <w:rsid w:val="00A238F3"/>
    <w:rsid w:val="00A23A15"/>
    <w:rsid w:val="00A23AB0"/>
    <w:rsid w:val="00A23D44"/>
    <w:rsid w:val="00A23E45"/>
    <w:rsid w:val="00A23FBC"/>
    <w:rsid w:val="00A24114"/>
    <w:rsid w:val="00A241A2"/>
    <w:rsid w:val="00A243A1"/>
    <w:rsid w:val="00A245A5"/>
    <w:rsid w:val="00A24949"/>
    <w:rsid w:val="00A24B98"/>
    <w:rsid w:val="00A24D66"/>
    <w:rsid w:val="00A2507A"/>
    <w:rsid w:val="00A25ACB"/>
    <w:rsid w:val="00A25D3B"/>
    <w:rsid w:val="00A26038"/>
    <w:rsid w:val="00A2638B"/>
    <w:rsid w:val="00A266C5"/>
    <w:rsid w:val="00A26704"/>
    <w:rsid w:val="00A267FA"/>
    <w:rsid w:val="00A268F4"/>
    <w:rsid w:val="00A26B02"/>
    <w:rsid w:val="00A26B03"/>
    <w:rsid w:val="00A26C43"/>
    <w:rsid w:val="00A26D60"/>
    <w:rsid w:val="00A26E70"/>
    <w:rsid w:val="00A26F10"/>
    <w:rsid w:val="00A27101"/>
    <w:rsid w:val="00A2712F"/>
    <w:rsid w:val="00A27303"/>
    <w:rsid w:val="00A27448"/>
    <w:rsid w:val="00A27837"/>
    <w:rsid w:val="00A278DB"/>
    <w:rsid w:val="00A3004B"/>
    <w:rsid w:val="00A3020D"/>
    <w:rsid w:val="00A3021F"/>
    <w:rsid w:val="00A303A3"/>
    <w:rsid w:val="00A3052D"/>
    <w:rsid w:val="00A308B2"/>
    <w:rsid w:val="00A309BC"/>
    <w:rsid w:val="00A309C6"/>
    <w:rsid w:val="00A30BC0"/>
    <w:rsid w:val="00A30BEE"/>
    <w:rsid w:val="00A30C55"/>
    <w:rsid w:val="00A30E91"/>
    <w:rsid w:val="00A30F98"/>
    <w:rsid w:val="00A3115A"/>
    <w:rsid w:val="00A312AD"/>
    <w:rsid w:val="00A313F8"/>
    <w:rsid w:val="00A31525"/>
    <w:rsid w:val="00A31657"/>
    <w:rsid w:val="00A31734"/>
    <w:rsid w:val="00A31778"/>
    <w:rsid w:val="00A317A3"/>
    <w:rsid w:val="00A3187D"/>
    <w:rsid w:val="00A3188D"/>
    <w:rsid w:val="00A318E4"/>
    <w:rsid w:val="00A31C8F"/>
    <w:rsid w:val="00A3227D"/>
    <w:rsid w:val="00A32525"/>
    <w:rsid w:val="00A325BA"/>
    <w:rsid w:val="00A326F2"/>
    <w:rsid w:val="00A3277F"/>
    <w:rsid w:val="00A32A1A"/>
    <w:rsid w:val="00A32AFC"/>
    <w:rsid w:val="00A32E4E"/>
    <w:rsid w:val="00A33019"/>
    <w:rsid w:val="00A3301F"/>
    <w:rsid w:val="00A330DC"/>
    <w:rsid w:val="00A3312F"/>
    <w:rsid w:val="00A333F6"/>
    <w:rsid w:val="00A33498"/>
    <w:rsid w:val="00A336E7"/>
    <w:rsid w:val="00A338FF"/>
    <w:rsid w:val="00A33BAE"/>
    <w:rsid w:val="00A33D3C"/>
    <w:rsid w:val="00A33E28"/>
    <w:rsid w:val="00A3407F"/>
    <w:rsid w:val="00A3430F"/>
    <w:rsid w:val="00A3443F"/>
    <w:rsid w:val="00A34538"/>
    <w:rsid w:val="00A347CC"/>
    <w:rsid w:val="00A34882"/>
    <w:rsid w:val="00A348AD"/>
    <w:rsid w:val="00A349DD"/>
    <w:rsid w:val="00A34D12"/>
    <w:rsid w:val="00A34EEA"/>
    <w:rsid w:val="00A34F9A"/>
    <w:rsid w:val="00A35162"/>
    <w:rsid w:val="00A35163"/>
    <w:rsid w:val="00A354E8"/>
    <w:rsid w:val="00A3553E"/>
    <w:rsid w:val="00A357C1"/>
    <w:rsid w:val="00A358C4"/>
    <w:rsid w:val="00A35ACA"/>
    <w:rsid w:val="00A35B65"/>
    <w:rsid w:val="00A35F88"/>
    <w:rsid w:val="00A36400"/>
    <w:rsid w:val="00A3647F"/>
    <w:rsid w:val="00A36493"/>
    <w:rsid w:val="00A3657E"/>
    <w:rsid w:val="00A36842"/>
    <w:rsid w:val="00A36B76"/>
    <w:rsid w:val="00A36C43"/>
    <w:rsid w:val="00A36C9C"/>
    <w:rsid w:val="00A36F51"/>
    <w:rsid w:val="00A3713B"/>
    <w:rsid w:val="00A372A5"/>
    <w:rsid w:val="00A373E4"/>
    <w:rsid w:val="00A3748A"/>
    <w:rsid w:val="00A37574"/>
    <w:rsid w:val="00A376EF"/>
    <w:rsid w:val="00A37A74"/>
    <w:rsid w:val="00A37F90"/>
    <w:rsid w:val="00A4016E"/>
    <w:rsid w:val="00A40325"/>
    <w:rsid w:val="00A4089E"/>
    <w:rsid w:val="00A409A4"/>
    <w:rsid w:val="00A40EA0"/>
    <w:rsid w:val="00A40FE5"/>
    <w:rsid w:val="00A4103C"/>
    <w:rsid w:val="00A4109C"/>
    <w:rsid w:val="00A412C9"/>
    <w:rsid w:val="00A41545"/>
    <w:rsid w:val="00A415E6"/>
    <w:rsid w:val="00A41726"/>
    <w:rsid w:val="00A41B00"/>
    <w:rsid w:val="00A41C66"/>
    <w:rsid w:val="00A41D03"/>
    <w:rsid w:val="00A41D93"/>
    <w:rsid w:val="00A41E8F"/>
    <w:rsid w:val="00A42026"/>
    <w:rsid w:val="00A424A7"/>
    <w:rsid w:val="00A42794"/>
    <w:rsid w:val="00A427D6"/>
    <w:rsid w:val="00A42950"/>
    <w:rsid w:val="00A42AF7"/>
    <w:rsid w:val="00A42B41"/>
    <w:rsid w:val="00A42BED"/>
    <w:rsid w:val="00A42C16"/>
    <w:rsid w:val="00A42D88"/>
    <w:rsid w:val="00A42DAB"/>
    <w:rsid w:val="00A42EFE"/>
    <w:rsid w:val="00A4327B"/>
    <w:rsid w:val="00A43E70"/>
    <w:rsid w:val="00A43E8C"/>
    <w:rsid w:val="00A43EF4"/>
    <w:rsid w:val="00A4403E"/>
    <w:rsid w:val="00A44055"/>
    <w:rsid w:val="00A44066"/>
    <w:rsid w:val="00A4409C"/>
    <w:rsid w:val="00A440E8"/>
    <w:rsid w:val="00A445E5"/>
    <w:rsid w:val="00A44625"/>
    <w:rsid w:val="00A447B6"/>
    <w:rsid w:val="00A44826"/>
    <w:rsid w:val="00A44859"/>
    <w:rsid w:val="00A44C91"/>
    <w:rsid w:val="00A44EA7"/>
    <w:rsid w:val="00A44F6E"/>
    <w:rsid w:val="00A4502F"/>
    <w:rsid w:val="00A451A0"/>
    <w:rsid w:val="00A4542B"/>
    <w:rsid w:val="00A45444"/>
    <w:rsid w:val="00A456D6"/>
    <w:rsid w:val="00A457EA"/>
    <w:rsid w:val="00A45885"/>
    <w:rsid w:val="00A45D10"/>
    <w:rsid w:val="00A45FF3"/>
    <w:rsid w:val="00A4601F"/>
    <w:rsid w:val="00A464C8"/>
    <w:rsid w:val="00A4665E"/>
    <w:rsid w:val="00A46812"/>
    <w:rsid w:val="00A469A6"/>
    <w:rsid w:val="00A47122"/>
    <w:rsid w:val="00A47281"/>
    <w:rsid w:val="00A47333"/>
    <w:rsid w:val="00A4765F"/>
    <w:rsid w:val="00A4785D"/>
    <w:rsid w:val="00A47868"/>
    <w:rsid w:val="00A47A4C"/>
    <w:rsid w:val="00A47B26"/>
    <w:rsid w:val="00A47D63"/>
    <w:rsid w:val="00A47ECE"/>
    <w:rsid w:val="00A5024F"/>
    <w:rsid w:val="00A50328"/>
    <w:rsid w:val="00A5042D"/>
    <w:rsid w:val="00A504C0"/>
    <w:rsid w:val="00A505DE"/>
    <w:rsid w:val="00A505FD"/>
    <w:rsid w:val="00A507DF"/>
    <w:rsid w:val="00A508BA"/>
    <w:rsid w:val="00A50BCC"/>
    <w:rsid w:val="00A50CDF"/>
    <w:rsid w:val="00A50D3F"/>
    <w:rsid w:val="00A50D81"/>
    <w:rsid w:val="00A50D97"/>
    <w:rsid w:val="00A50DBB"/>
    <w:rsid w:val="00A50F92"/>
    <w:rsid w:val="00A5102B"/>
    <w:rsid w:val="00A51164"/>
    <w:rsid w:val="00A51818"/>
    <w:rsid w:val="00A51A3F"/>
    <w:rsid w:val="00A51DED"/>
    <w:rsid w:val="00A525F4"/>
    <w:rsid w:val="00A52857"/>
    <w:rsid w:val="00A529E8"/>
    <w:rsid w:val="00A52D93"/>
    <w:rsid w:val="00A52E00"/>
    <w:rsid w:val="00A52E44"/>
    <w:rsid w:val="00A52E9D"/>
    <w:rsid w:val="00A5314F"/>
    <w:rsid w:val="00A531BB"/>
    <w:rsid w:val="00A5327C"/>
    <w:rsid w:val="00A5347A"/>
    <w:rsid w:val="00A5354D"/>
    <w:rsid w:val="00A535B7"/>
    <w:rsid w:val="00A535EB"/>
    <w:rsid w:val="00A53825"/>
    <w:rsid w:val="00A53927"/>
    <w:rsid w:val="00A53971"/>
    <w:rsid w:val="00A53A06"/>
    <w:rsid w:val="00A53A19"/>
    <w:rsid w:val="00A53A7F"/>
    <w:rsid w:val="00A53AE7"/>
    <w:rsid w:val="00A53E98"/>
    <w:rsid w:val="00A53F6A"/>
    <w:rsid w:val="00A54056"/>
    <w:rsid w:val="00A5410D"/>
    <w:rsid w:val="00A54439"/>
    <w:rsid w:val="00A544F2"/>
    <w:rsid w:val="00A544FD"/>
    <w:rsid w:val="00A547C7"/>
    <w:rsid w:val="00A549DA"/>
    <w:rsid w:val="00A55109"/>
    <w:rsid w:val="00A558F9"/>
    <w:rsid w:val="00A5593A"/>
    <w:rsid w:val="00A55B2C"/>
    <w:rsid w:val="00A55D23"/>
    <w:rsid w:val="00A56574"/>
    <w:rsid w:val="00A56614"/>
    <w:rsid w:val="00A56AC3"/>
    <w:rsid w:val="00A56AC9"/>
    <w:rsid w:val="00A56C71"/>
    <w:rsid w:val="00A56DF0"/>
    <w:rsid w:val="00A5721C"/>
    <w:rsid w:val="00A57434"/>
    <w:rsid w:val="00A574FA"/>
    <w:rsid w:val="00A57592"/>
    <w:rsid w:val="00A575BA"/>
    <w:rsid w:val="00A5789E"/>
    <w:rsid w:val="00A57B4F"/>
    <w:rsid w:val="00A57DA1"/>
    <w:rsid w:val="00A57DCD"/>
    <w:rsid w:val="00A57E93"/>
    <w:rsid w:val="00A57EB4"/>
    <w:rsid w:val="00A600C2"/>
    <w:rsid w:val="00A6023A"/>
    <w:rsid w:val="00A60563"/>
    <w:rsid w:val="00A60916"/>
    <w:rsid w:val="00A60A26"/>
    <w:rsid w:val="00A60BB9"/>
    <w:rsid w:val="00A60CF4"/>
    <w:rsid w:val="00A611D9"/>
    <w:rsid w:val="00A61239"/>
    <w:rsid w:val="00A61446"/>
    <w:rsid w:val="00A6146C"/>
    <w:rsid w:val="00A614EB"/>
    <w:rsid w:val="00A614EC"/>
    <w:rsid w:val="00A6165A"/>
    <w:rsid w:val="00A61705"/>
    <w:rsid w:val="00A6190B"/>
    <w:rsid w:val="00A61DF2"/>
    <w:rsid w:val="00A61E6C"/>
    <w:rsid w:val="00A61F47"/>
    <w:rsid w:val="00A6204E"/>
    <w:rsid w:val="00A621C3"/>
    <w:rsid w:val="00A62293"/>
    <w:rsid w:val="00A62303"/>
    <w:rsid w:val="00A62515"/>
    <w:rsid w:val="00A6274D"/>
    <w:rsid w:val="00A62781"/>
    <w:rsid w:val="00A62C45"/>
    <w:rsid w:val="00A62D5D"/>
    <w:rsid w:val="00A62D82"/>
    <w:rsid w:val="00A62FBA"/>
    <w:rsid w:val="00A62FC9"/>
    <w:rsid w:val="00A6304E"/>
    <w:rsid w:val="00A63112"/>
    <w:rsid w:val="00A63242"/>
    <w:rsid w:val="00A63280"/>
    <w:rsid w:val="00A632BF"/>
    <w:rsid w:val="00A63410"/>
    <w:rsid w:val="00A63592"/>
    <w:rsid w:val="00A6382A"/>
    <w:rsid w:val="00A63976"/>
    <w:rsid w:val="00A63984"/>
    <w:rsid w:val="00A63D22"/>
    <w:rsid w:val="00A63EAC"/>
    <w:rsid w:val="00A63F85"/>
    <w:rsid w:val="00A63FE9"/>
    <w:rsid w:val="00A64231"/>
    <w:rsid w:val="00A64769"/>
    <w:rsid w:val="00A64B32"/>
    <w:rsid w:val="00A65005"/>
    <w:rsid w:val="00A65106"/>
    <w:rsid w:val="00A65109"/>
    <w:rsid w:val="00A654B2"/>
    <w:rsid w:val="00A654E7"/>
    <w:rsid w:val="00A6591E"/>
    <w:rsid w:val="00A65A0A"/>
    <w:rsid w:val="00A65C19"/>
    <w:rsid w:val="00A65C97"/>
    <w:rsid w:val="00A65DAD"/>
    <w:rsid w:val="00A65E23"/>
    <w:rsid w:val="00A6608F"/>
    <w:rsid w:val="00A66150"/>
    <w:rsid w:val="00A661CC"/>
    <w:rsid w:val="00A66234"/>
    <w:rsid w:val="00A6633A"/>
    <w:rsid w:val="00A665F6"/>
    <w:rsid w:val="00A66C65"/>
    <w:rsid w:val="00A66D34"/>
    <w:rsid w:val="00A66D48"/>
    <w:rsid w:val="00A66DE4"/>
    <w:rsid w:val="00A67215"/>
    <w:rsid w:val="00A67345"/>
    <w:rsid w:val="00A674C7"/>
    <w:rsid w:val="00A6757D"/>
    <w:rsid w:val="00A67913"/>
    <w:rsid w:val="00A67969"/>
    <w:rsid w:val="00A67A73"/>
    <w:rsid w:val="00A67B22"/>
    <w:rsid w:val="00A67C26"/>
    <w:rsid w:val="00A67C83"/>
    <w:rsid w:val="00A67D14"/>
    <w:rsid w:val="00A67DAB"/>
    <w:rsid w:val="00A70273"/>
    <w:rsid w:val="00A703B3"/>
    <w:rsid w:val="00A7074A"/>
    <w:rsid w:val="00A70ABC"/>
    <w:rsid w:val="00A70D18"/>
    <w:rsid w:val="00A70F6A"/>
    <w:rsid w:val="00A7113E"/>
    <w:rsid w:val="00A714FB"/>
    <w:rsid w:val="00A716BA"/>
    <w:rsid w:val="00A71A6C"/>
    <w:rsid w:val="00A71D19"/>
    <w:rsid w:val="00A722A2"/>
    <w:rsid w:val="00A72432"/>
    <w:rsid w:val="00A724AD"/>
    <w:rsid w:val="00A72593"/>
    <w:rsid w:val="00A728DF"/>
    <w:rsid w:val="00A7314C"/>
    <w:rsid w:val="00A731CD"/>
    <w:rsid w:val="00A73313"/>
    <w:rsid w:val="00A736F4"/>
    <w:rsid w:val="00A73704"/>
    <w:rsid w:val="00A737DD"/>
    <w:rsid w:val="00A7391E"/>
    <w:rsid w:val="00A73C2C"/>
    <w:rsid w:val="00A73D8F"/>
    <w:rsid w:val="00A73E0F"/>
    <w:rsid w:val="00A73E86"/>
    <w:rsid w:val="00A73FA1"/>
    <w:rsid w:val="00A74064"/>
    <w:rsid w:val="00A74260"/>
    <w:rsid w:val="00A743F8"/>
    <w:rsid w:val="00A7458A"/>
    <w:rsid w:val="00A74599"/>
    <w:rsid w:val="00A7483E"/>
    <w:rsid w:val="00A748F0"/>
    <w:rsid w:val="00A74934"/>
    <w:rsid w:val="00A74B9B"/>
    <w:rsid w:val="00A74F50"/>
    <w:rsid w:val="00A74F66"/>
    <w:rsid w:val="00A750EE"/>
    <w:rsid w:val="00A751A8"/>
    <w:rsid w:val="00A7587F"/>
    <w:rsid w:val="00A75892"/>
    <w:rsid w:val="00A759D5"/>
    <w:rsid w:val="00A75A1F"/>
    <w:rsid w:val="00A75CD9"/>
    <w:rsid w:val="00A75F4A"/>
    <w:rsid w:val="00A766E4"/>
    <w:rsid w:val="00A766FF"/>
    <w:rsid w:val="00A767E7"/>
    <w:rsid w:val="00A76BFF"/>
    <w:rsid w:val="00A76CC0"/>
    <w:rsid w:val="00A76D11"/>
    <w:rsid w:val="00A773FE"/>
    <w:rsid w:val="00A77C02"/>
    <w:rsid w:val="00A77C21"/>
    <w:rsid w:val="00A77D6D"/>
    <w:rsid w:val="00A8014C"/>
    <w:rsid w:val="00A80235"/>
    <w:rsid w:val="00A807BA"/>
    <w:rsid w:val="00A808DB"/>
    <w:rsid w:val="00A80B2C"/>
    <w:rsid w:val="00A80B3C"/>
    <w:rsid w:val="00A80E71"/>
    <w:rsid w:val="00A80FF2"/>
    <w:rsid w:val="00A81186"/>
    <w:rsid w:val="00A81252"/>
    <w:rsid w:val="00A81A94"/>
    <w:rsid w:val="00A81D28"/>
    <w:rsid w:val="00A81D45"/>
    <w:rsid w:val="00A8223B"/>
    <w:rsid w:val="00A82365"/>
    <w:rsid w:val="00A82496"/>
    <w:rsid w:val="00A82534"/>
    <w:rsid w:val="00A82567"/>
    <w:rsid w:val="00A82948"/>
    <w:rsid w:val="00A82BA1"/>
    <w:rsid w:val="00A82C5B"/>
    <w:rsid w:val="00A82F1E"/>
    <w:rsid w:val="00A8312C"/>
    <w:rsid w:val="00A8329D"/>
    <w:rsid w:val="00A8364E"/>
    <w:rsid w:val="00A83A9A"/>
    <w:rsid w:val="00A83ACF"/>
    <w:rsid w:val="00A84000"/>
    <w:rsid w:val="00A84140"/>
    <w:rsid w:val="00A843C4"/>
    <w:rsid w:val="00A844A6"/>
    <w:rsid w:val="00A845F6"/>
    <w:rsid w:val="00A84D50"/>
    <w:rsid w:val="00A84E12"/>
    <w:rsid w:val="00A84F63"/>
    <w:rsid w:val="00A85032"/>
    <w:rsid w:val="00A8520D"/>
    <w:rsid w:val="00A852F4"/>
    <w:rsid w:val="00A85346"/>
    <w:rsid w:val="00A853EC"/>
    <w:rsid w:val="00A857BF"/>
    <w:rsid w:val="00A85810"/>
    <w:rsid w:val="00A85A32"/>
    <w:rsid w:val="00A85D0F"/>
    <w:rsid w:val="00A85EDA"/>
    <w:rsid w:val="00A86039"/>
    <w:rsid w:val="00A860BF"/>
    <w:rsid w:val="00A860F3"/>
    <w:rsid w:val="00A86280"/>
    <w:rsid w:val="00A86C7B"/>
    <w:rsid w:val="00A86E2E"/>
    <w:rsid w:val="00A86E4D"/>
    <w:rsid w:val="00A87087"/>
    <w:rsid w:val="00A87332"/>
    <w:rsid w:val="00A87777"/>
    <w:rsid w:val="00A878B9"/>
    <w:rsid w:val="00A879C9"/>
    <w:rsid w:val="00A87BC1"/>
    <w:rsid w:val="00A87DD8"/>
    <w:rsid w:val="00A87FF6"/>
    <w:rsid w:val="00A90442"/>
    <w:rsid w:val="00A90503"/>
    <w:rsid w:val="00A90B83"/>
    <w:rsid w:val="00A90C7C"/>
    <w:rsid w:val="00A90D09"/>
    <w:rsid w:val="00A90DB9"/>
    <w:rsid w:val="00A9108B"/>
    <w:rsid w:val="00A9119A"/>
    <w:rsid w:val="00A911F3"/>
    <w:rsid w:val="00A917F7"/>
    <w:rsid w:val="00A91C00"/>
    <w:rsid w:val="00A91FB8"/>
    <w:rsid w:val="00A92037"/>
    <w:rsid w:val="00A92244"/>
    <w:rsid w:val="00A927C2"/>
    <w:rsid w:val="00A9289F"/>
    <w:rsid w:val="00A92A30"/>
    <w:rsid w:val="00A93036"/>
    <w:rsid w:val="00A930D5"/>
    <w:rsid w:val="00A93636"/>
    <w:rsid w:val="00A93749"/>
    <w:rsid w:val="00A9396C"/>
    <w:rsid w:val="00A93C12"/>
    <w:rsid w:val="00A93DAA"/>
    <w:rsid w:val="00A9453E"/>
    <w:rsid w:val="00A9462D"/>
    <w:rsid w:val="00A94886"/>
    <w:rsid w:val="00A94908"/>
    <w:rsid w:val="00A949AE"/>
    <w:rsid w:val="00A94B07"/>
    <w:rsid w:val="00A94C15"/>
    <w:rsid w:val="00A94E6A"/>
    <w:rsid w:val="00A94F3E"/>
    <w:rsid w:val="00A9501B"/>
    <w:rsid w:val="00A9515C"/>
    <w:rsid w:val="00A951CD"/>
    <w:rsid w:val="00A9522D"/>
    <w:rsid w:val="00A952ED"/>
    <w:rsid w:val="00A95300"/>
    <w:rsid w:val="00A953C7"/>
    <w:rsid w:val="00A95482"/>
    <w:rsid w:val="00A956B1"/>
    <w:rsid w:val="00A9589C"/>
    <w:rsid w:val="00A95932"/>
    <w:rsid w:val="00A9595D"/>
    <w:rsid w:val="00A95A19"/>
    <w:rsid w:val="00A95D13"/>
    <w:rsid w:val="00A95D1A"/>
    <w:rsid w:val="00A95DED"/>
    <w:rsid w:val="00A95F7A"/>
    <w:rsid w:val="00A9618D"/>
    <w:rsid w:val="00A961DE"/>
    <w:rsid w:val="00A962F1"/>
    <w:rsid w:val="00A96359"/>
    <w:rsid w:val="00A963DD"/>
    <w:rsid w:val="00A96540"/>
    <w:rsid w:val="00A96602"/>
    <w:rsid w:val="00A9663C"/>
    <w:rsid w:val="00A9681E"/>
    <w:rsid w:val="00A9683F"/>
    <w:rsid w:val="00A96A38"/>
    <w:rsid w:val="00A96B08"/>
    <w:rsid w:val="00A96CDB"/>
    <w:rsid w:val="00A96E4B"/>
    <w:rsid w:val="00A96FBD"/>
    <w:rsid w:val="00A97469"/>
    <w:rsid w:val="00A97670"/>
    <w:rsid w:val="00A978D2"/>
    <w:rsid w:val="00A97948"/>
    <w:rsid w:val="00A97961"/>
    <w:rsid w:val="00A97B74"/>
    <w:rsid w:val="00A97B82"/>
    <w:rsid w:val="00A97E96"/>
    <w:rsid w:val="00AA007A"/>
    <w:rsid w:val="00AA0159"/>
    <w:rsid w:val="00AA0235"/>
    <w:rsid w:val="00AA02FE"/>
    <w:rsid w:val="00AA0333"/>
    <w:rsid w:val="00AA0A69"/>
    <w:rsid w:val="00AA0C58"/>
    <w:rsid w:val="00AA0D6A"/>
    <w:rsid w:val="00AA0E8A"/>
    <w:rsid w:val="00AA12B3"/>
    <w:rsid w:val="00AA12C5"/>
    <w:rsid w:val="00AA1351"/>
    <w:rsid w:val="00AA1576"/>
    <w:rsid w:val="00AA16B2"/>
    <w:rsid w:val="00AA17F7"/>
    <w:rsid w:val="00AA1B98"/>
    <w:rsid w:val="00AA1BBF"/>
    <w:rsid w:val="00AA1C0A"/>
    <w:rsid w:val="00AA1C89"/>
    <w:rsid w:val="00AA1D38"/>
    <w:rsid w:val="00AA1E89"/>
    <w:rsid w:val="00AA1E9E"/>
    <w:rsid w:val="00AA1EE1"/>
    <w:rsid w:val="00AA20D4"/>
    <w:rsid w:val="00AA2437"/>
    <w:rsid w:val="00AA255D"/>
    <w:rsid w:val="00AA274B"/>
    <w:rsid w:val="00AA28B9"/>
    <w:rsid w:val="00AA2C05"/>
    <w:rsid w:val="00AA2C14"/>
    <w:rsid w:val="00AA3520"/>
    <w:rsid w:val="00AA353F"/>
    <w:rsid w:val="00AA35B4"/>
    <w:rsid w:val="00AA3603"/>
    <w:rsid w:val="00AA3860"/>
    <w:rsid w:val="00AA3B49"/>
    <w:rsid w:val="00AA3B57"/>
    <w:rsid w:val="00AA431B"/>
    <w:rsid w:val="00AA4582"/>
    <w:rsid w:val="00AA46F0"/>
    <w:rsid w:val="00AA4737"/>
    <w:rsid w:val="00AA4D83"/>
    <w:rsid w:val="00AA4D8B"/>
    <w:rsid w:val="00AA4DB7"/>
    <w:rsid w:val="00AA4DD2"/>
    <w:rsid w:val="00AA4E64"/>
    <w:rsid w:val="00AA5069"/>
    <w:rsid w:val="00AA5443"/>
    <w:rsid w:val="00AA561E"/>
    <w:rsid w:val="00AA57FF"/>
    <w:rsid w:val="00AA5CF6"/>
    <w:rsid w:val="00AA5F1A"/>
    <w:rsid w:val="00AA603A"/>
    <w:rsid w:val="00AA607B"/>
    <w:rsid w:val="00AA6190"/>
    <w:rsid w:val="00AA6586"/>
    <w:rsid w:val="00AA66BC"/>
    <w:rsid w:val="00AA66C0"/>
    <w:rsid w:val="00AA685A"/>
    <w:rsid w:val="00AA6B69"/>
    <w:rsid w:val="00AA6C3C"/>
    <w:rsid w:val="00AA6D90"/>
    <w:rsid w:val="00AA7225"/>
    <w:rsid w:val="00AA73C3"/>
    <w:rsid w:val="00AA7426"/>
    <w:rsid w:val="00AA756E"/>
    <w:rsid w:val="00AA75F7"/>
    <w:rsid w:val="00AA76AB"/>
    <w:rsid w:val="00AA76D1"/>
    <w:rsid w:val="00AA7713"/>
    <w:rsid w:val="00AA7DB5"/>
    <w:rsid w:val="00AA7DD8"/>
    <w:rsid w:val="00AA7DEE"/>
    <w:rsid w:val="00AA7E3A"/>
    <w:rsid w:val="00AA7FC1"/>
    <w:rsid w:val="00AB067C"/>
    <w:rsid w:val="00AB073E"/>
    <w:rsid w:val="00AB0950"/>
    <w:rsid w:val="00AB0989"/>
    <w:rsid w:val="00AB0AAB"/>
    <w:rsid w:val="00AB0BEC"/>
    <w:rsid w:val="00AB0F58"/>
    <w:rsid w:val="00AB10E1"/>
    <w:rsid w:val="00AB13AF"/>
    <w:rsid w:val="00AB14AE"/>
    <w:rsid w:val="00AB14D7"/>
    <w:rsid w:val="00AB164D"/>
    <w:rsid w:val="00AB16B0"/>
    <w:rsid w:val="00AB1A13"/>
    <w:rsid w:val="00AB1CDB"/>
    <w:rsid w:val="00AB1D66"/>
    <w:rsid w:val="00AB21B5"/>
    <w:rsid w:val="00AB2268"/>
    <w:rsid w:val="00AB240C"/>
    <w:rsid w:val="00AB2436"/>
    <w:rsid w:val="00AB24C5"/>
    <w:rsid w:val="00AB25BF"/>
    <w:rsid w:val="00AB28AD"/>
    <w:rsid w:val="00AB29E8"/>
    <w:rsid w:val="00AB2DAC"/>
    <w:rsid w:val="00AB2DD1"/>
    <w:rsid w:val="00AB2DDE"/>
    <w:rsid w:val="00AB2E87"/>
    <w:rsid w:val="00AB3173"/>
    <w:rsid w:val="00AB31BC"/>
    <w:rsid w:val="00AB31D7"/>
    <w:rsid w:val="00AB331E"/>
    <w:rsid w:val="00AB3B64"/>
    <w:rsid w:val="00AB3D7C"/>
    <w:rsid w:val="00AB3E40"/>
    <w:rsid w:val="00AB3F9C"/>
    <w:rsid w:val="00AB3FBA"/>
    <w:rsid w:val="00AB424B"/>
    <w:rsid w:val="00AB437E"/>
    <w:rsid w:val="00AB460F"/>
    <w:rsid w:val="00AB47DC"/>
    <w:rsid w:val="00AB4C7E"/>
    <w:rsid w:val="00AB4E1E"/>
    <w:rsid w:val="00AB4E79"/>
    <w:rsid w:val="00AB4E9F"/>
    <w:rsid w:val="00AB506E"/>
    <w:rsid w:val="00AB545F"/>
    <w:rsid w:val="00AB5493"/>
    <w:rsid w:val="00AB54D6"/>
    <w:rsid w:val="00AB551E"/>
    <w:rsid w:val="00AB5666"/>
    <w:rsid w:val="00AB5791"/>
    <w:rsid w:val="00AB58D6"/>
    <w:rsid w:val="00AB59BE"/>
    <w:rsid w:val="00AB5B34"/>
    <w:rsid w:val="00AB5CDF"/>
    <w:rsid w:val="00AB60E2"/>
    <w:rsid w:val="00AB627C"/>
    <w:rsid w:val="00AB6392"/>
    <w:rsid w:val="00AB63B3"/>
    <w:rsid w:val="00AB63CC"/>
    <w:rsid w:val="00AB6599"/>
    <w:rsid w:val="00AB6B3F"/>
    <w:rsid w:val="00AB6BAF"/>
    <w:rsid w:val="00AB6D65"/>
    <w:rsid w:val="00AB6E87"/>
    <w:rsid w:val="00AB6FFE"/>
    <w:rsid w:val="00AB7330"/>
    <w:rsid w:val="00AB7A2F"/>
    <w:rsid w:val="00AC00C4"/>
    <w:rsid w:val="00AC00CC"/>
    <w:rsid w:val="00AC0529"/>
    <w:rsid w:val="00AC07DD"/>
    <w:rsid w:val="00AC0818"/>
    <w:rsid w:val="00AC0901"/>
    <w:rsid w:val="00AC0A1D"/>
    <w:rsid w:val="00AC0B0B"/>
    <w:rsid w:val="00AC0CE1"/>
    <w:rsid w:val="00AC0CE2"/>
    <w:rsid w:val="00AC0FED"/>
    <w:rsid w:val="00AC126F"/>
    <w:rsid w:val="00AC159F"/>
    <w:rsid w:val="00AC1736"/>
    <w:rsid w:val="00AC1806"/>
    <w:rsid w:val="00AC190C"/>
    <w:rsid w:val="00AC1B8A"/>
    <w:rsid w:val="00AC1C55"/>
    <w:rsid w:val="00AC1D1F"/>
    <w:rsid w:val="00AC1D2B"/>
    <w:rsid w:val="00AC1E7D"/>
    <w:rsid w:val="00AC1E98"/>
    <w:rsid w:val="00AC210F"/>
    <w:rsid w:val="00AC2659"/>
    <w:rsid w:val="00AC27FF"/>
    <w:rsid w:val="00AC2A31"/>
    <w:rsid w:val="00AC2AD1"/>
    <w:rsid w:val="00AC2B6D"/>
    <w:rsid w:val="00AC2F92"/>
    <w:rsid w:val="00AC3010"/>
    <w:rsid w:val="00AC315E"/>
    <w:rsid w:val="00AC319E"/>
    <w:rsid w:val="00AC328F"/>
    <w:rsid w:val="00AC35FD"/>
    <w:rsid w:val="00AC3685"/>
    <w:rsid w:val="00AC3BF6"/>
    <w:rsid w:val="00AC3D80"/>
    <w:rsid w:val="00AC3F70"/>
    <w:rsid w:val="00AC40F0"/>
    <w:rsid w:val="00AC41A0"/>
    <w:rsid w:val="00AC42ED"/>
    <w:rsid w:val="00AC446F"/>
    <w:rsid w:val="00AC452E"/>
    <w:rsid w:val="00AC4659"/>
    <w:rsid w:val="00AC48B8"/>
    <w:rsid w:val="00AC4BB9"/>
    <w:rsid w:val="00AC4CC2"/>
    <w:rsid w:val="00AC4DE5"/>
    <w:rsid w:val="00AC4EE1"/>
    <w:rsid w:val="00AC50F5"/>
    <w:rsid w:val="00AC5B1B"/>
    <w:rsid w:val="00AC5D5A"/>
    <w:rsid w:val="00AC5D6E"/>
    <w:rsid w:val="00AC5E74"/>
    <w:rsid w:val="00AC601C"/>
    <w:rsid w:val="00AC624F"/>
    <w:rsid w:val="00AC6364"/>
    <w:rsid w:val="00AC68A2"/>
    <w:rsid w:val="00AC6BCD"/>
    <w:rsid w:val="00AC6C7E"/>
    <w:rsid w:val="00AC6D04"/>
    <w:rsid w:val="00AC6F02"/>
    <w:rsid w:val="00AC6F7A"/>
    <w:rsid w:val="00AC7168"/>
    <w:rsid w:val="00AC71D8"/>
    <w:rsid w:val="00AC7390"/>
    <w:rsid w:val="00AC7665"/>
    <w:rsid w:val="00AC7812"/>
    <w:rsid w:val="00AC79CC"/>
    <w:rsid w:val="00AC7D5E"/>
    <w:rsid w:val="00AC7D89"/>
    <w:rsid w:val="00AD0326"/>
    <w:rsid w:val="00AD0409"/>
    <w:rsid w:val="00AD06BC"/>
    <w:rsid w:val="00AD073C"/>
    <w:rsid w:val="00AD09B3"/>
    <w:rsid w:val="00AD0A05"/>
    <w:rsid w:val="00AD0A31"/>
    <w:rsid w:val="00AD0CF7"/>
    <w:rsid w:val="00AD102C"/>
    <w:rsid w:val="00AD129A"/>
    <w:rsid w:val="00AD17B0"/>
    <w:rsid w:val="00AD1929"/>
    <w:rsid w:val="00AD1BFD"/>
    <w:rsid w:val="00AD1C47"/>
    <w:rsid w:val="00AD1D10"/>
    <w:rsid w:val="00AD1D16"/>
    <w:rsid w:val="00AD1ECB"/>
    <w:rsid w:val="00AD1FD7"/>
    <w:rsid w:val="00AD21A1"/>
    <w:rsid w:val="00AD222C"/>
    <w:rsid w:val="00AD2294"/>
    <w:rsid w:val="00AD2AC9"/>
    <w:rsid w:val="00AD2FD6"/>
    <w:rsid w:val="00AD30A0"/>
    <w:rsid w:val="00AD3499"/>
    <w:rsid w:val="00AD34F4"/>
    <w:rsid w:val="00AD353F"/>
    <w:rsid w:val="00AD37D4"/>
    <w:rsid w:val="00AD386C"/>
    <w:rsid w:val="00AD3E09"/>
    <w:rsid w:val="00AD3F5E"/>
    <w:rsid w:val="00AD3FC6"/>
    <w:rsid w:val="00AD44E8"/>
    <w:rsid w:val="00AD45AB"/>
    <w:rsid w:val="00AD47E6"/>
    <w:rsid w:val="00AD494E"/>
    <w:rsid w:val="00AD4BD7"/>
    <w:rsid w:val="00AD4BE5"/>
    <w:rsid w:val="00AD4ED4"/>
    <w:rsid w:val="00AD50AD"/>
    <w:rsid w:val="00AD56F3"/>
    <w:rsid w:val="00AD596B"/>
    <w:rsid w:val="00AD5A30"/>
    <w:rsid w:val="00AD5A87"/>
    <w:rsid w:val="00AD5EEC"/>
    <w:rsid w:val="00AD5F24"/>
    <w:rsid w:val="00AD5FE2"/>
    <w:rsid w:val="00AD6131"/>
    <w:rsid w:val="00AD6420"/>
    <w:rsid w:val="00AD66BE"/>
    <w:rsid w:val="00AD675E"/>
    <w:rsid w:val="00AD6783"/>
    <w:rsid w:val="00AD6838"/>
    <w:rsid w:val="00AD6A20"/>
    <w:rsid w:val="00AD6AD3"/>
    <w:rsid w:val="00AD6D52"/>
    <w:rsid w:val="00AD6E42"/>
    <w:rsid w:val="00AD70F7"/>
    <w:rsid w:val="00AD722A"/>
    <w:rsid w:val="00AD7286"/>
    <w:rsid w:val="00AD72DA"/>
    <w:rsid w:val="00AD756C"/>
    <w:rsid w:val="00AD7975"/>
    <w:rsid w:val="00AD7A0B"/>
    <w:rsid w:val="00AD7CCF"/>
    <w:rsid w:val="00AD7F4A"/>
    <w:rsid w:val="00AD7FE9"/>
    <w:rsid w:val="00AE0356"/>
    <w:rsid w:val="00AE04BC"/>
    <w:rsid w:val="00AE08D6"/>
    <w:rsid w:val="00AE0961"/>
    <w:rsid w:val="00AE09FB"/>
    <w:rsid w:val="00AE0A2D"/>
    <w:rsid w:val="00AE0B90"/>
    <w:rsid w:val="00AE0E3B"/>
    <w:rsid w:val="00AE0F3A"/>
    <w:rsid w:val="00AE11CD"/>
    <w:rsid w:val="00AE1529"/>
    <w:rsid w:val="00AE1B01"/>
    <w:rsid w:val="00AE2104"/>
    <w:rsid w:val="00AE23A4"/>
    <w:rsid w:val="00AE23B9"/>
    <w:rsid w:val="00AE28E4"/>
    <w:rsid w:val="00AE2A88"/>
    <w:rsid w:val="00AE2AF7"/>
    <w:rsid w:val="00AE2B2F"/>
    <w:rsid w:val="00AE2B5B"/>
    <w:rsid w:val="00AE2F9E"/>
    <w:rsid w:val="00AE3094"/>
    <w:rsid w:val="00AE309D"/>
    <w:rsid w:val="00AE30F7"/>
    <w:rsid w:val="00AE313D"/>
    <w:rsid w:val="00AE3175"/>
    <w:rsid w:val="00AE3455"/>
    <w:rsid w:val="00AE3739"/>
    <w:rsid w:val="00AE3A1E"/>
    <w:rsid w:val="00AE3AA3"/>
    <w:rsid w:val="00AE3D37"/>
    <w:rsid w:val="00AE4395"/>
    <w:rsid w:val="00AE4673"/>
    <w:rsid w:val="00AE4AC3"/>
    <w:rsid w:val="00AE4C2B"/>
    <w:rsid w:val="00AE53C3"/>
    <w:rsid w:val="00AE5715"/>
    <w:rsid w:val="00AE578C"/>
    <w:rsid w:val="00AE5E04"/>
    <w:rsid w:val="00AE5F32"/>
    <w:rsid w:val="00AE5F4E"/>
    <w:rsid w:val="00AE608C"/>
    <w:rsid w:val="00AE61D3"/>
    <w:rsid w:val="00AE6898"/>
    <w:rsid w:val="00AE68F7"/>
    <w:rsid w:val="00AE69A7"/>
    <w:rsid w:val="00AE69E3"/>
    <w:rsid w:val="00AE6BEB"/>
    <w:rsid w:val="00AE6CD0"/>
    <w:rsid w:val="00AE704F"/>
    <w:rsid w:val="00AE734F"/>
    <w:rsid w:val="00AE7661"/>
    <w:rsid w:val="00AE79EA"/>
    <w:rsid w:val="00AE7D3D"/>
    <w:rsid w:val="00AE7F77"/>
    <w:rsid w:val="00AF0308"/>
    <w:rsid w:val="00AF0341"/>
    <w:rsid w:val="00AF061A"/>
    <w:rsid w:val="00AF067A"/>
    <w:rsid w:val="00AF0696"/>
    <w:rsid w:val="00AF07B2"/>
    <w:rsid w:val="00AF0993"/>
    <w:rsid w:val="00AF0E28"/>
    <w:rsid w:val="00AF106B"/>
    <w:rsid w:val="00AF109E"/>
    <w:rsid w:val="00AF12C6"/>
    <w:rsid w:val="00AF18AB"/>
    <w:rsid w:val="00AF1A2D"/>
    <w:rsid w:val="00AF1DB0"/>
    <w:rsid w:val="00AF1F15"/>
    <w:rsid w:val="00AF24C9"/>
    <w:rsid w:val="00AF2656"/>
    <w:rsid w:val="00AF2909"/>
    <w:rsid w:val="00AF294A"/>
    <w:rsid w:val="00AF2A75"/>
    <w:rsid w:val="00AF2B21"/>
    <w:rsid w:val="00AF2B3B"/>
    <w:rsid w:val="00AF2C0B"/>
    <w:rsid w:val="00AF2D71"/>
    <w:rsid w:val="00AF2DA7"/>
    <w:rsid w:val="00AF2DBC"/>
    <w:rsid w:val="00AF2ECA"/>
    <w:rsid w:val="00AF2FCC"/>
    <w:rsid w:val="00AF300E"/>
    <w:rsid w:val="00AF3824"/>
    <w:rsid w:val="00AF3C15"/>
    <w:rsid w:val="00AF3D60"/>
    <w:rsid w:val="00AF3DFE"/>
    <w:rsid w:val="00AF3E8F"/>
    <w:rsid w:val="00AF3FEB"/>
    <w:rsid w:val="00AF4016"/>
    <w:rsid w:val="00AF4019"/>
    <w:rsid w:val="00AF4170"/>
    <w:rsid w:val="00AF41C7"/>
    <w:rsid w:val="00AF431C"/>
    <w:rsid w:val="00AF479F"/>
    <w:rsid w:val="00AF48C2"/>
    <w:rsid w:val="00AF4DBF"/>
    <w:rsid w:val="00AF4FD5"/>
    <w:rsid w:val="00AF5485"/>
    <w:rsid w:val="00AF571B"/>
    <w:rsid w:val="00AF57E0"/>
    <w:rsid w:val="00AF5A7E"/>
    <w:rsid w:val="00AF5ACD"/>
    <w:rsid w:val="00AF5CC2"/>
    <w:rsid w:val="00AF6110"/>
    <w:rsid w:val="00AF6185"/>
    <w:rsid w:val="00AF6226"/>
    <w:rsid w:val="00AF63E9"/>
    <w:rsid w:val="00AF6425"/>
    <w:rsid w:val="00AF646E"/>
    <w:rsid w:val="00AF6740"/>
    <w:rsid w:val="00AF685D"/>
    <w:rsid w:val="00AF6AC6"/>
    <w:rsid w:val="00AF6BA1"/>
    <w:rsid w:val="00AF6C54"/>
    <w:rsid w:val="00AF7095"/>
    <w:rsid w:val="00AF70D8"/>
    <w:rsid w:val="00AF719C"/>
    <w:rsid w:val="00AF71C9"/>
    <w:rsid w:val="00AF72E9"/>
    <w:rsid w:val="00AF7BEE"/>
    <w:rsid w:val="00AF7D99"/>
    <w:rsid w:val="00AF7E76"/>
    <w:rsid w:val="00AF7E82"/>
    <w:rsid w:val="00B00014"/>
    <w:rsid w:val="00B001EF"/>
    <w:rsid w:val="00B0058F"/>
    <w:rsid w:val="00B00611"/>
    <w:rsid w:val="00B008B2"/>
    <w:rsid w:val="00B00FA7"/>
    <w:rsid w:val="00B010E5"/>
    <w:rsid w:val="00B013E3"/>
    <w:rsid w:val="00B01DAA"/>
    <w:rsid w:val="00B01F1F"/>
    <w:rsid w:val="00B02141"/>
    <w:rsid w:val="00B0276B"/>
    <w:rsid w:val="00B029C8"/>
    <w:rsid w:val="00B02B88"/>
    <w:rsid w:val="00B02D5C"/>
    <w:rsid w:val="00B02DD8"/>
    <w:rsid w:val="00B02F89"/>
    <w:rsid w:val="00B03037"/>
    <w:rsid w:val="00B03089"/>
    <w:rsid w:val="00B0334E"/>
    <w:rsid w:val="00B03484"/>
    <w:rsid w:val="00B03719"/>
    <w:rsid w:val="00B03A5A"/>
    <w:rsid w:val="00B03A7F"/>
    <w:rsid w:val="00B03A82"/>
    <w:rsid w:val="00B03A8C"/>
    <w:rsid w:val="00B03CED"/>
    <w:rsid w:val="00B03D2C"/>
    <w:rsid w:val="00B03F19"/>
    <w:rsid w:val="00B04354"/>
    <w:rsid w:val="00B0461C"/>
    <w:rsid w:val="00B04663"/>
    <w:rsid w:val="00B048DB"/>
    <w:rsid w:val="00B049C5"/>
    <w:rsid w:val="00B04A46"/>
    <w:rsid w:val="00B04B52"/>
    <w:rsid w:val="00B04FD7"/>
    <w:rsid w:val="00B05316"/>
    <w:rsid w:val="00B05686"/>
    <w:rsid w:val="00B06224"/>
    <w:rsid w:val="00B06472"/>
    <w:rsid w:val="00B065B9"/>
    <w:rsid w:val="00B067BF"/>
    <w:rsid w:val="00B0684A"/>
    <w:rsid w:val="00B06872"/>
    <w:rsid w:val="00B06A92"/>
    <w:rsid w:val="00B06A98"/>
    <w:rsid w:val="00B06BA4"/>
    <w:rsid w:val="00B06BDC"/>
    <w:rsid w:val="00B06C9E"/>
    <w:rsid w:val="00B07176"/>
    <w:rsid w:val="00B0735F"/>
    <w:rsid w:val="00B0770C"/>
    <w:rsid w:val="00B07A91"/>
    <w:rsid w:val="00B07B5B"/>
    <w:rsid w:val="00B07B79"/>
    <w:rsid w:val="00B07D14"/>
    <w:rsid w:val="00B07DB8"/>
    <w:rsid w:val="00B10082"/>
    <w:rsid w:val="00B10118"/>
    <w:rsid w:val="00B101C7"/>
    <w:rsid w:val="00B101E6"/>
    <w:rsid w:val="00B10367"/>
    <w:rsid w:val="00B1053D"/>
    <w:rsid w:val="00B106D4"/>
    <w:rsid w:val="00B10737"/>
    <w:rsid w:val="00B10C12"/>
    <w:rsid w:val="00B10D0C"/>
    <w:rsid w:val="00B10D51"/>
    <w:rsid w:val="00B10D6B"/>
    <w:rsid w:val="00B1105B"/>
    <w:rsid w:val="00B116E5"/>
    <w:rsid w:val="00B11706"/>
    <w:rsid w:val="00B11B7E"/>
    <w:rsid w:val="00B11BAA"/>
    <w:rsid w:val="00B11BCB"/>
    <w:rsid w:val="00B11D09"/>
    <w:rsid w:val="00B11E11"/>
    <w:rsid w:val="00B11E5A"/>
    <w:rsid w:val="00B1215C"/>
    <w:rsid w:val="00B1232A"/>
    <w:rsid w:val="00B12CF2"/>
    <w:rsid w:val="00B12DE0"/>
    <w:rsid w:val="00B13013"/>
    <w:rsid w:val="00B130FC"/>
    <w:rsid w:val="00B1325A"/>
    <w:rsid w:val="00B133EA"/>
    <w:rsid w:val="00B1361C"/>
    <w:rsid w:val="00B1372B"/>
    <w:rsid w:val="00B1372D"/>
    <w:rsid w:val="00B13762"/>
    <w:rsid w:val="00B13B29"/>
    <w:rsid w:val="00B13C94"/>
    <w:rsid w:val="00B13DCB"/>
    <w:rsid w:val="00B144F6"/>
    <w:rsid w:val="00B14BB1"/>
    <w:rsid w:val="00B14BE4"/>
    <w:rsid w:val="00B154F0"/>
    <w:rsid w:val="00B157A5"/>
    <w:rsid w:val="00B157B6"/>
    <w:rsid w:val="00B15829"/>
    <w:rsid w:val="00B15A20"/>
    <w:rsid w:val="00B15B1B"/>
    <w:rsid w:val="00B15BA3"/>
    <w:rsid w:val="00B15BAF"/>
    <w:rsid w:val="00B15D17"/>
    <w:rsid w:val="00B15D94"/>
    <w:rsid w:val="00B15DFC"/>
    <w:rsid w:val="00B15E6D"/>
    <w:rsid w:val="00B15EC5"/>
    <w:rsid w:val="00B15ED0"/>
    <w:rsid w:val="00B15ED6"/>
    <w:rsid w:val="00B160CA"/>
    <w:rsid w:val="00B16126"/>
    <w:rsid w:val="00B16420"/>
    <w:rsid w:val="00B164E0"/>
    <w:rsid w:val="00B168CE"/>
    <w:rsid w:val="00B16A80"/>
    <w:rsid w:val="00B16AF1"/>
    <w:rsid w:val="00B16BCB"/>
    <w:rsid w:val="00B16D7F"/>
    <w:rsid w:val="00B16F6B"/>
    <w:rsid w:val="00B17D28"/>
    <w:rsid w:val="00B17EC5"/>
    <w:rsid w:val="00B17FB1"/>
    <w:rsid w:val="00B17FBC"/>
    <w:rsid w:val="00B20864"/>
    <w:rsid w:val="00B20C13"/>
    <w:rsid w:val="00B20CCB"/>
    <w:rsid w:val="00B210F5"/>
    <w:rsid w:val="00B21540"/>
    <w:rsid w:val="00B21AF2"/>
    <w:rsid w:val="00B21F5C"/>
    <w:rsid w:val="00B22173"/>
    <w:rsid w:val="00B221B5"/>
    <w:rsid w:val="00B2234B"/>
    <w:rsid w:val="00B223EF"/>
    <w:rsid w:val="00B22434"/>
    <w:rsid w:val="00B224D8"/>
    <w:rsid w:val="00B2250A"/>
    <w:rsid w:val="00B2263C"/>
    <w:rsid w:val="00B2283A"/>
    <w:rsid w:val="00B22BA6"/>
    <w:rsid w:val="00B23241"/>
    <w:rsid w:val="00B2324E"/>
    <w:rsid w:val="00B232ED"/>
    <w:rsid w:val="00B2336D"/>
    <w:rsid w:val="00B236EC"/>
    <w:rsid w:val="00B238A9"/>
    <w:rsid w:val="00B238E4"/>
    <w:rsid w:val="00B23A6B"/>
    <w:rsid w:val="00B23BFB"/>
    <w:rsid w:val="00B23C92"/>
    <w:rsid w:val="00B23E66"/>
    <w:rsid w:val="00B2411F"/>
    <w:rsid w:val="00B24147"/>
    <w:rsid w:val="00B243B0"/>
    <w:rsid w:val="00B243F0"/>
    <w:rsid w:val="00B2462E"/>
    <w:rsid w:val="00B2484E"/>
    <w:rsid w:val="00B249E4"/>
    <w:rsid w:val="00B249FC"/>
    <w:rsid w:val="00B24CE9"/>
    <w:rsid w:val="00B250BF"/>
    <w:rsid w:val="00B25147"/>
    <w:rsid w:val="00B2546F"/>
    <w:rsid w:val="00B254B8"/>
    <w:rsid w:val="00B2564E"/>
    <w:rsid w:val="00B2566D"/>
    <w:rsid w:val="00B2582B"/>
    <w:rsid w:val="00B259DE"/>
    <w:rsid w:val="00B25AEC"/>
    <w:rsid w:val="00B25C8C"/>
    <w:rsid w:val="00B25CD4"/>
    <w:rsid w:val="00B2621A"/>
    <w:rsid w:val="00B2630E"/>
    <w:rsid w:val="00B2675B"/>
    <w:rsid w:val="00B268A9"/>
    <w:rsid w:val="00B26956"/>
    <w:rsid w:val="00B26A4D"/>
    <w:rsid w:val="00B26A91"/>
    <w:rsid w:val="00B2703B"/>
    <w:rsid w:val="00B27212"/>
    <w:rsid w:val="00B27261"/>
    <w:rsid w:val="00B27740"/>
    <w:rsid w:val="00B27975"/>
    <w:rsid w:val="00B279BB"/>
    <w:rsid w:val="00B27A6E"/>
    <w:rsid w:val="00B27C89"/>
    <w:rsid w:val="00B27EE0"/>
    <w:rsid w:val="00B27FC2"/>
    <w:rsid w:val="00B302C9"/>
    <w:rsid w:val="00B3066C"/>
    <w:rsid w:val="00B307BC"/>
    <w:rsid w:val="00B30D78"/>
    <w:rsid w:val="00B31035"/>
    <w:rsid w:val="00B31344"/>
    <w:rsid w:val="00B31552"/>
    <w:rsid w:val="00B317E7"/>
    <w:rsid w:val="00B31A96"/>
    <w:rsid w:val="00B31C0F"/>
    <w:rsid w:val="00B31CC9"/>
    <w:rsid w:val="00B32560"/>
    <w:rsid w:val="00B328AA"/>
    <w:rsid w:val="00B32B64"/>
    <w:rsid w:val="00B32CC3"/>
    <w:rsid w:val="00B32FB1"/>
    <w:rsid w:val="00B338FB"/>
    <w:rsid w:val="00B33A0F"/>
    <w:rsid w:val="00B33A57"/>
    <w:rsid w:val="00B33FAE"/>
    <w:rsid w:val="00B34083"/>
    <w:rsid w:val="00B34226"/>
    <w:rsid w:val="00B34744"/>
    <w:rsid w:val="00B34BD6"/>
    <w:rsid w:val="00B34C57"/>
    <w:rsid w:val="00B34C7A"/>
    <w:rsid w:val="00B34F90"/>
    <w:rsid w:val="00B34F92"/>
    <w:rsid w:val="00B34FFF"/>
    <w:rsid w:val="00B35056"/>
    <w:rsid w:val="00B3514C"/>
    <w:rsid w:val="00B35206"/>
    <w:rsid w:val="00B35392"/>
    <w:rsid w:val="00B35BC4"/>
    <w:rsid w:val="00B35DA9"/>
    <w:rsid w:val="00B35DFE"/>
    <w:rsid w:val="00B361C4"/>
    <w:rsid w:val="00B36704"/>
    <w:rsid w:val="00B3678D"/>
    <w:rsid w:val="00B36795"/>
    <w:rsid w:val="00B3693B"/>
    <w:rsid w:val="00B36B59"/>
    <w:rsid w:val="00B36C36"/>
    <w:rsid w:val="00B36E37"/>
    <w:rsid w:val="00B37514"/>
    <w:rsid w:val="00B37634"/>
    <w:rsid w:val="00B37728"/>
    <w:rsid w:val="00B3785D"/>
    <w:rsid w:val="00B37935"/>
    <w:rsid w:val="00B37E37"/>
    <w:rsid w:val="00B37E88"/>
    <w:rsid w:val="00B40172"/>
    <w:rsid w:val="00B4020A"/>
    <w:rsid w:val="00B404C4"/>
    <w:rsid w:val="00B40853"/>
    <w:rsid w:val="00B40949"/>
    <w:rsid w:val="00B40BEA"/>
    <w:rsid w:val="00B40D87"/>
    <w:rsid w:val="00B4100E"/>
    <w:rsid w:val="00B41288"/>
    <w:rsid w:val="00B416DD"/>
    <w:rsid w:val="00B41B52"/>
    <w:rsid w:val="00B41C6B"/>
    <w:rsid w:val="00B41CCB"/>
    <w:rsid w:val="00B42005"/>
    <w:rsid w:val="00B4291E"/>
    <w:rsid w:val="00B42ADE"/>
    <w:rsid w:val="00B42DC0"/>
    <w:rsid w:val="00B42EA7"/>
    <w:rsid w:val="00B42F07"/>
    <w:rsid w:val="00B432C6"/>
    <w:rsid w:val="00B4338B"/>
    <w:rsid w:val="00B435E3"/>
    <w:rsid w:val="00B43827"/>
    <w:rsid w:val="00B43C7F"/>
    <w:rsid w:val="00B43E60"/>
    <w:rsid w:val="00B43EEA"/>
    <w:rsid w:val="00B44205"/>
    <w:rsid w:val="00B444AF"/>
    <w:rsid w:val="00B449E9"/>
    <w:rsid w:val="00B44C94"/>
    <w:rsid w:val="00B44CE4"/>
    <w:rsid w:val="00B44F50"/>
    <w:rsid w:val="00B44F9C"/>
    <w:rsid w:val="00B450AB"/>
    <w:rsid w:val="00B45373"/>
    <w:rsid w:val="00B45374"/>
    <w:rsid w:val="00B4541C"/>
    <w:rsid w:val="00B45702"/>
    <w:rsid w:val="00B4586C"/>
    <w:rsid w:val="00B458E7"/>
    <w:rsid w:val="00B4590C"/>
    <w:rsid w:val="00B45960"/>
    <w:rsid w:val="00B45A30"/>
    <w:rsid w:val="00B45C64"/>
    <w:rsid w:val="00B45DB8"/>
    <w:rsid w:val="00B46207"/>
    <w:rsid w:val="00B46585"/>
    <w:rsid w:val="00B466F6"/>
    <w:rsid w:val="00B4678F"/>
    <w:rsid w:val="00B46A32"/>
    <w:rsid w:val="00B46B29"/>
    <w:rsid w:val="00B46EF4"/>
    <w:rsid w:val="00B46FE3"/>
    <w:rsid w:val="00B4706C"/>
    <w:rsid w:val="00B47298"/>
    <w:rsid w:val="00B476B0"/>
    <w:rsid w:val="00B476E0"/>
    <w:rsid w:val="00B47896"/>
    <w:rsid w:val="00B47954"/>
    <w:rsid w:val="00B47A1D"/>
    <w:rsid w:val="00B47B62"/>
    <w:rsid w:val="00B47BF7"/>
    <w:rsid w:val="00B47C01"/>
    <w:rsid w:val="00B5027C"/>
    <w:rsid w:val="00B5050D"/>
    <w:rsid w:val="00B5070E"/>
    <w:rsid w:val="00B50765"/>
    <w:rsid w:val="00B50858"/>
    <w:rsid w:val="00B50908"/>
    <w:rsid w:val="00B50A40"/>
    <w:rsid w:val="00B50BE3"/>
    <w:rsid w:val="00B50D61"/>
    <w:rsid w:val="00B50E9E"/>
    <w:rsid w:val="00B50FE4"/>
    <w:rsid w:val="00B51177"/>
    <w:rsid w:val="00B51B18"/>
    <w:rsid w:val="00B51BA1"/>
    <w:rsid w:val="00B51D59"/>
    <w:rsid w:val="00B51E14"/>
    <w:rsid w:val="00B51E1A"/>
    <w:rsid w:val="00B5203A"/>
    <w:rsid w:val="00B5227F"/>
    <w:rsid w:val="00B5230B"/>
    <w:rsid w:val="00B528A9"/>
    <w:rsid w:val="00B528DF"/>
    <w:rsid w:val="00B5299A"/>
    <w:rsid w:val="00B529FF"/>
    <w:rsid w:val="00B52A71"/>
    <w:rsid w:val="00B52ABC"/>
    <w:rsid w:val="00B52BE4"/>
    <w:rsid w:val="00B52E18"/>
    <w:rsid w:val="00B53547"/>
    <w:rsid w:val="00B53597"/>
    <w:rsid w:val="00B53784"/>
    <w:rsid w:val="00B537EF"/>
    <w:rsid w:val="00B53810"/>
    <w:rsid w:val="00B53D78"/>
    <w:rsid w:val="00B54690"/>
    <w:rsid w:val="00B5483C"/>
    <w:rsid w:val="00B5494B"/>
    <w:rsid w:val="00B54A2D"/>
    <w:rsid w:val="00B54B8E"/>
    <w:rsid w:val="00B54C75"/>
    <w:rsid w:val="00B550D8"/>
    <w:rsid w:val="00B55114"/>
    <w:rsid w:val="00B5524F"/>
    <w:rsid w:val="00B55322"/>
    <w:rsid w:val="00B5534C"/>
    <w:rsid w:val="00B55511"/>
    <w:rsid w:val="00B55A8B"/>
    <w:rsid w:val="00B55BA9"/>
    <w:rsid w:val="00B55D3E"/>
    <w:rsid w:val="00B568F5"/>
    <w:rsid w:val="00B56F38"/>
    <w:rsid w:val="00B5711C"/>
    <w:rsid w:val="00B574AE"/>
    <w:rsid w:val="00B57642"/>
    <w:rsid w:val="00B577C7"/>
    <w:rsid w:val="00B5791A"/>
    <w:rsid w:val="00B57921"/>
    <w:rsid w:val="00B57938"/>
    <w:rsid w:val="00B579FE"/>
    <w:rsid w:val="00B57B8D"/>
    <w:rsid w:val="00B57DE7"/>
    <w:rsid w:val="00B57F33"/>
    <w:rsid w:val="00B60122"/>
    <w:rsid w:val="00B60184"/>
    <w:rsid w:val="00B604E0"/>
    <w:rsid w:val="00B60BF9"/>
    <w:rsid w:val="00B60D1B"/>
    <w:rsid w:val="00B610F4"/>
    <w:rsid w:val="00B6141E"/>
    <w:rsid w:val="00B614A4"/>
    <w:rsid w:val="00B61613"/>
    <w:rsid w:val="00B61619"/>
    <w:rsid w:val="00B6195F"/>
    <w:rsid w:val="00B619F4"/>
    <w:rsid w:val="00B61A01"/>
    <w:rsid w:val="00B61A7F"/>
    <w:rsid w:val="00B61F4E"/>
    <w:rsid w:val="00B621E7"/>
    <w:rsid w:val="00B62590"/>
    <w:rsid w:val="00B626C0"/>
    <w:rsid w:val="00B62700"/>
    <w:rsid w:val="00B62938"/>
    <w:rsid w:val="00B62A61"/>
    <w:rsid w:val="00B62F09"/>
    <w:rsid w:val="00B62F20"/>
    <w:rsid w:val="00B6327D"/>
    <w:rsid w:val="00B632FF"/>
    <w:rsid w:val="00B63799"/>
    <w:rsid w:val="00B63832"/>
    <w:rsid w:val="00B6393A"/>
    <w:rsid w:val="00B63970"/>
    <w:rsid w:val="00B63B5B"/>
    <w:rsid w:val="00B63ED2"/>
    <w:rsid w:val="00B63F6D"/>
    <w:rsid w:val="00B645C6"/>
    <w:rsid w:val="00B646A9"/>
    <w:rsid w:val="00B64AA0"/>
    <w:rsid w:val="00B64C7F"/>
    <w:rsid w:val="00B64CD1"/>
    <w:rsid w:val="00B64E74"/>
    <w:rsid w:val="00B64E8F"/>
    <w:rsid w:val="00B651B5"/>
    <w:rsid w:val="00B6526A"/>
    <w:rsid w:val="00B65527"/>
    <w:rsid w:val="00B65593"/>
    <w:rsid w:val="00B65AF3"/>
    <w:rsid w:val="00B66101"/>
    <w:rsid w:val="00B66167"/>
    <w:rsid w:val="00B6634B"/>
    <w:rsid w:val="00B66381"/>
    <w:rsid w:val="00B663F1"/>
    <w:rsid w:val="00B6684C"/>
    <w:rsid w:val="00B66856"/>
    <w:rsid w:val="00B66CCC"/>
    <w:rsid w:val="00B66E6C"/>
    <w:rsid w:val="00B66FAF"/>
    <w:rsid w:val="00B670BA"/>
    <w:rsid w:val="00B67271"/>
    <w:rsid w:val="00B6729F"/>
    <w:rsid w:val="00B676E1"/>
    <w:rsid w:val="00B67BAD"/>
    <w:rsid w:val="00B67F03"/>
    <w:rsid w:val="00B67F81"/>
    <w:rsid w:val="00B7006C"/>
    <w:rsid w:val="00B701B1"/>
    <w:rsid w:val="00B7036D"/>
    <w:rsid w:val="00B704C6"/>
    <w:rsid w:val="00B706E2"/>
    <w:rsid w:val="00B70778"/>
    <w:rsid w:val="00B70A8C"/>
    <w:rsid w:val="00B70B19"/>
    <w:rsid w:val="00B70B3D"/>
    <w:rsid w:val="00B70E9B"/>
    <w:rsid w:val="00B711DC"/>
    <w:rsid w:val="00B7134B"/>
    <w:rsid w:val="00B71464"/>
    <w:rsid w:val="00B719B3"/>
    <w:rsid w:val="00B71B36"/>
    <w:rsid w:val="00B71FA8"/>
    <w:rsid w:val="00B720D4"/>
    <w:rsid w:val="00B720DF"/>
    <w:rsid w:val="00B721B4"/>
    <w:rsid w:val="00B721D8"/>
    <w:rsid w:val="00B7222D"/>
    <w:rsid w:val="00B7233E"/>
    <w:rsid w:val="00B723F9"/>
    <w:rsid w:val="00B7248F"/>
    <w:rsid w:val="00B7267A"/>
    <w:rsid w:val="00B72988"/>
    <w:rsid w:val="00B730C2"/>
    <w:rsid w:val="00B7361F"/>
    <w:rsid w:val="00B73788"/>
    <w:rsid w:val="00B73DB3"/>
    <w:rsid w:val="00B73EE1"/>
    <w:rsid w:val="00B74153"/>
    <w:rsid w:val="00B742DF"/>
    <w:rsid w:val="00B747F1"/>
    <w:rsid w:val="00B748B2"/>
    <w:rsid w:val="00B74948"/>
    <w:rsid w:val="00B74BA0"/>
    <w:rsid w:val="00B74C2C"/>
    <w:rsid w:val="00B74CDF"/>
    <w:rsid w:val="00B74D42"/>
    <w:rsid w:val="00B74E9A"/>
    <w:rsid w:val="00B754A4"/>
    <w:rsid w:val="00B755ED"/>
    <w:rsid w:val="00B75608"/>
    <w:rsid w:val="00B75682"/>
    <w:rsid w:val="00B75789"/>
    <w:rsid w:val="00B757F1"/>
    <w:rsid w:val="00B759AA"/>
    <w:rsid w:val="00B75B4F"/>
    <w:rsid w:val="00B75D68"/>
    <w:rsid w:val="00B75DB8"/>
    <w:rsid w:val="00B7604F"/>
    <w:rsid w:val="00B760B4"/>
    <w:rsid w:val="00B76292"/>
    <w:rsid w:val="00B767D9"/>
    <w:rsid w:val="00B768C2"/>
    <w:rsid w:val="00B7698A"/>
    <w:rsid w:val="00B76BDD"/>
    <w:rsid w:val="00B76BEC"/>
    <w:rsid w:val="00B76C5F"/>
    <w:rsid w:val="00B76C7B"/>
    <w:rsid w:val="00B76D3B"/>
    <w:rsid w:val="00B76D83"/>
    <w:rsid w:val="00B76DBB"/>
    <w:rsid w:val="00B76E4B"/>
    <w:rsid w:val="00B7703C"/>
    <w:rsid w:val="00B771DB"/>
    <w:rsid w:val="00B77201"/>
    <w:rsid w:val="00B77498"/>
    <w:rsid w:val="00B77567"/>
    <w:rsid w:val="00B775FE"/>
    <w:rsid w:val="00B77A40"/>
    <w:rsid w:val="00B77B49"/>
    <w:rsid w:val="00B77BBF"/>
    <w:rsid w:val="00B77D2C"/>
    <w:rsid w:val="00B77F1D"/>
    <w:rsid w:val="00B77F57"/>
    <w:rsid w:val="00B800E5"/>
    <w:rsid w:val="00B8054E"/>
    <w:rsid w:val="00B80609"/>
    <w:rsid w:val="00B80772"/>
    <w:rsid w:val="00B80909"/>
    <w:rsid w:val="00B8097F"/>
    <w:rsid w:val="00B8099D"/>
    <w:rsid w:val="00B80B50"/>
    <w:rsid w:val="00B812BB"/>
    <w:rsid w:val="00B81389"/>
    <w:rsid w:val="00B81612"/>
    <w:rsid w:val="00B81768"/>
    <w:rsid w:val="00B81942"/>
    <w:rsid w:val="00B81996"/>
    <w:rsid w:val="00B81AA6"/>
    <w:rsid w:val="00B81C48"/>
    <w:rsid w:val="00B81DDE"/>
    <w:rsid w:val="00B81F24"/>
    <w:rsid w:val="00B823A2"/>
    <w:rsid w:val="00B823A7"/>
    <w:rsid w:val="00B824E2"/>
    <w:rsid w:val="00B82567"/>
    <w:rsid w:val="00B82627"/>
    <w:rsid w:val="00B82BD3"/>
    <w:rsid w:val="00B82C57"/>
    <w:rsid w:val="00B82D02"/>
    <w:rsid w:val="00B83298"/>
    <w:rsid w:val="00B833C7"/>
    <w:rsid w:val="00B83403"/>
    <w:rsid w:val="00B8358F"/>
    <w:rsid w:val="00B83624"/>
    <w:rsid w:val="00B8365A"/>
    <w:rsid w:val="00B83A4B"/>
    <w:rsid w:val="00B84092"/>
    <w:rsid w:val="00B84331"/>
    <w:rsid w:val="00B84537"/>
    <w:rsid w:val="00B84913"/>
    <w:rsid w:val="00B84A26"/>
    <w:rsid w:val="00B84A8E"/>
    <w:rsid w:val="00B84B30"/>
    <w:rsid w:val="00B84B6C"/>
    <w:rsid w:val="00B84DB6"/>
    <w:rsid w:val="00B84EED"/>
    <w:rsid w:val="00B84F29"/>
    <w:rsid w:val="00B84F8A"/>
    <w:rsid w:val="00B85271"/>
    <w:rsid w:val="00B8528E"/>
    <w:rsid w:val="00B85339"/>
    <w:rsid w:val="00B85D33"/>
    <w:rsid w:val="00B8624B"/>
    <w:rsid w:val="00B86635"/>
    <w:rsid w:val="00B86804"/>
    <w:rsid w:val="00B8693B"/>
    <w:rsid w:val="00B86978"/>
    <w:rsid w:val="00B86AF9"/>
    <w:rsid w:val="00B86B57"/>
    <w:rsid w:val="00B86C0B"/>
    <w:rsid w:val="00B871F0"/>
    <w:rsid w:val="00B87403"/>
    <w:rsid w:val="00B8751C"/>
    <w:rsid w:val="00B877BF"/>
    <w:rsid w:val="00B877E9"/>
    <w:rsid w:val="00B87802"/>
    <w:rsid w:val="00B878BC"/>
    <w:rsid w:val="00B87951"/>
    <w:rsid w:val="00B879CE"/>
    <w:rsid w:val="00B87ADD"/>
    <w:rsid w:val="00B87B61"/>
    <w:rsid w:val="00B87BCE"/>
    <w:rsid w:val="00B87C0D"/>
    <w:rsid w:val="00B905B6"/>
    <w:rsid w:val="00B909F5"/>
    <w:rsid w:val="00B90A0B"/>
    <w:rsid w:val="00B90AA7"/>
    <w:rsid w:val="00B90AD2"/>
    <w:rsid w:val="00B90C2E"/>
    <w:rsid w:val="00B90D03"/>
    <w:rsid w:val="00B90E81"/>
    <w:rsid w:val="00B90EF6"/>
    <w:rsid w:val="00B90F3F"/>
    <w:rsid w:val="00B90F6D"/>
    <w:rsid w:val="00B91145"/>
    <w:rsid w:val="00B9137B"/>
    <w:rsid w:val="00B91453"/>
    <w:rsid w:val="00B91937"/>
    <w:rsid w:val="00B91A26"/>
    <w:rsid w:val="00B91C83"/>
    <w:rsid w:val="00B921F6"/>
    <w:rsid w:val="00B9230F"/>
    <w:rsid w:val="00B92368"/>
    <w:rsid w:val="00B923CA"/>
    <w:rsid w:val="00B925CD"/>
    <w:rsid w:val="00B92825"/>
    <w:rsid w:val="00B929AF"/>
    <w:rsid w:val="00B92B39"/>
    <w:rsid w:val="00B92B42"/>
    <w:rsid w:val="00B92C1D"/>
    <w:rsid w:val="00B92E6E"/>
    <w:rsid w:val="00B93311"/>
    <w:rsid w:val="00B934DA"/>
    <w:rsid w:val="00B93530"/>
    <w:rsid w:val="00B9360C"/>
    <w:rsid w:val="00B93798"/>
    <w:rsid w:val="00B937BA"/>
    <w:rsid w:val="00B93809"/>
    <w:rsid w:val="00B93862"/>
    <w:rsid w:val="00B9386E"/>
    <w:rsid w:val="00B938DC"/>
    <w:rsid w:val="00B93AE9"/>
    <w:rsid w:val="00B93C0F"/>
    <w:rsid w:val="00B94079"/>
    <w:rsid w:val="00B940D0"/>
    <w:rsid w:val="00B941ED"/>
    <w:rsid w:val="00B94335"/>
    <w:rsid w:val="00B944A0"/>
    <w:rsid w:val="00B94569"/>
    <w:rsid w:val="00B94828"/>
    <w:rsid w:val="00B94879"/>
    <w:rsid w:val="00B94887"/>
    <w:rsid w:val="00B94D92"/>
    <w:rsid w:val="00B94EFE"/>
    <w:rsid w:val="00B95273"/>
    <w:rsid w:val="00B953EB"/>
    <w:rsid w:val="00B957B9"/>
    <w:rsid w:val="00B95AD0"/>
    <w:rsid w:val="00B95FBC"/>
    <w:rsid w:val="00B961B3"/>
    <w:rsid w:val="00B96529"/>
    <w:rsid w:val="00B9655A"/>
    <w:rsid w:val="00B96777"/>
    <w:rsid w:val="00B96A15"/>
    <w:rsid w:val="00B96CDE"/>
    <w:rsid w:val="00B96E12"/>
    <w:rsid w:val="00B96E8F"/>
    <w:rsid w:val="00B97339"/>
    <w:rsid w:val="00B976A3"/>
    <w:rsid w:val="00B97943"/>
    <w:rsid w:val="00B979EE"/>
    <w:rsid w:val="00B97A4E"/>
    <w:rsid w:val="00B97A8A"/>
    <w:rsid w:val="00B97ACA"/>
    <w:rsid w:val="00B97AD7"/>
    <w:rsid w:val="00BA0002"/>
    <w:rsid w:val="00BA0033"/>
    <w:rsid w:val="00BA012A"/>
    <w:rsid w:val="00BA0152"/>
    <w:rsid w:val="00BA0485"/>
    <w:rsid w:val="00BA08E9"/>
    <w:rsid w:val="00BA0A72"/>
    <w:rsid w:val="00BA0B59"/>
    <w:rsid w:val="00BA0D13"/>
    <w:rsid w:val="00BA0E44"/>
    <w:rsid w:val="00BA0F0E"/>
    <w:rsid w:val="00BA0FC7"/>
    <w:rsid w:val="00BA12A2"/>
    <w:rsid w:val="00BA168B"/>
    <w:rsid w:val="00BA17DE"/>
    <w:rsid w:val="00BA1810"/>
    <w:rsid w:val="00BA18C8"/>
    <w:rsid w:val="00BA1D86"/>
    <w:rsid w:val="00BA206E"/>
    <w:rsid w:val="00BA230D"/>
    <w:rsid w:val="00BA23CC"/>
    <w:rsid w:val="00BA23CD"/>
    <w:rsid w:val="00BA24E0"/>
    <w:rsid w:val="00BA24EC"/>
    <w:rsid w:val="00BA2837"/>
    <w:rsid w:val="00BA2952"/>
    <w:rsid w:val="00BA29CB"/>
    <w:rsid w:val="00BA2C95"/>
    <w:rsid w:val="00BA2D10"/>
    <w:rsid w:val="00BA2D54"/>
    <w:rsid w:val="00BA2F9B"/>
    <w:rsid w:val="00BA303A"/>
    <w:rsid w:val="00BA32B2"/>
    <w:rsid w:val="00BA3359"/>
    <w:rsid w:val="00BA33ED"/>
    <w:rsid w:val="00BA35C7"/>
    <w:rsid w:val="00BA3717"/>
    <w:rsid w:val="00BA386D"/>
    <w:rsid w:val="00BA38F6"/>
    <w:rsid w:val="00BA3DA3"/>
    <w:rsid w:val="00BA40EA"/>
    <w:rsid w:val="00BA4283"/>
    <w:rsid w:val="00BA49BB"/>
    <w:rsid w:val="00BA4C59"/>
    <w:rsid w:val="00BA4C9E"/>
    <w:rsid w:val="00BA4EC4"/>
    <w:rsid w:val="00BA500C"/>
    <w:rsid w:val="00BA5257"/>
    <w:rsid w:val="00BA52D0"/>
    <w:rsid w:val="00BA55A6"/>
    <w:rsid w:val="00BA5619"/>
    <w:rsid w:val="00BA56C3"/>
    <w:rsid w:val="00BA5C4C"/>
    <w:rsid w:val="00BA5CA9"/>
    <w:rsid w:val="00BA5F7C"/>
    <w:rsid w:val="00BA60C8"/>
    <w:rsid w:val="00BA6342"/>
    <w:rsid w:val="00BA659D"/>
    <w:rsid w:val="00BA65E5"/>
    <w:rsid w:val="00BA6647"/>
    <w:rsid w:val="00BA68D1"/>
    <w:rsid w:val="00BA6CEE"/>
    <w:rsid w:val="00BA70B4"/>
    <w:rsid w:val="00BA719C"/>
    <w:rsid w:val="00BA75E4"/>
    <w:rsid w:val="00BA75ED"/>
    <w:rsid w:val="00BA76F1"/>
    <w:rsid w:val="00BA7903"/>
    <w:rsid w:val="00BA7A62"/>
    <w:rsid w:val="00BA7D37"/>
    <w:rsid w:val="00BA7DB3"/>
    <w:rsid w:val="00BA7DC7"/>
    <w:rsid w:val="00BB0339"/>
    <w:rsid w:val="00BB0386"/>
    <w:rsid w:val="00BB0611"/>
    <w:rsid w:val="00BB09DF"/>
    <w:rsid w:val="00BB0A62"/>
    <w:rsid w:val="00BB0B59"/>
    <w:rsid w:val="00BB0B74"/>
    <w:rsid w:val="00BB0D58"/>
    <w:rsid w:val="00BB0EAA"/>
    <w:rsid w:val="00BB0F75"/>
    <w:rsid w:val="00BB0F97"/>
    <w:rsid w:val="00BB128A"/>
    <w:rsid w:val="00BB13D3"/>
    <w:rsid w:val="00BB1684"/>
    <w:rsid w:val="00BB19BC"/>
    <w:rsid w:val="00BB1AFC"/>
    <w:rsid w:val="00BB1B43"/>
    <w:rsid w:val="00BB1B4C"/>
    <w:rsid w:val="00BB1E12"/>
    <w:rsid w:val="00BB2028"/>
    <w:rsid w:val="00BB210A"/>
    <w:rsid w:val="00BB2ACB"/>
    <w:rsid w:val="00BB2B29"/>
    <w:rsid w:val="00BB2BBC"/>
    <w:rsid w:val="00BB2C5A"/>
    <w:rsid w:val="00BB2C5E"/>
    <w:rsid w:val="00BB2C6E"/>
    <w:rsid w:val="00BB31F8"/>
    <w:rsid w:val="00BB36E3"/>
    <w:rsid w:val="00BB39AC"/>
    <w:rsid w:val="00BB3FC5"/>
    <w:rsid w:val="00BB4226"/>
    <w:rsid w:val="00BB4250"/>
    <w:rsid w:val="00BB4456"/>
    <w:rsid w:val="00BB4627"/>
    <w:rsid w:val="00BB48D2"/>
    <w:rsid w:val="00BB4A61"/>
    <w:rsid w:val="00BB4BCA"/>
    <w:rsid w:val="00BB4C11"/>
    <w:rsid w:val="00BB551D"/>
    <w:rsid w:val="00BB5D8E"/>
    <w:rsid w:val="00BB60A2"/>
    <w:rsid w:val="00BB6281"/>
    <w:rsid w:val="00BB629E"/>
    <w:rsid w:val="00BB63A3"/>
    <w:rsid w:val="00BB64D6"/>
    <w:rsid w:val="00BB6A4E"/>
    <w:rsid w:val="00BB6A98"/>
    <w:rsid w:val="00BB6B54"/>
    <w:rsid w:val="00BB702E"/>
    <w:rsid w:val="00BB7352"/>
    <w:rsid w:val="00BB7751"/>
    <w:rsid w:val="00BB7ACC"/>
    <w:rsid w:val="00BB7B9C"/>
    <w:rsid w:val="00BB7BC5"/>
    <w:rsid w:val="00BB7F4E"/>
    <w:rsid w:val="00BC0914"/>
    <w:rsid w:val="00BC09ED"/>
    <w:rsid w:val="00BC09FB"/>
    <w:rsid w:val="00BC0A2C"/>
    <w:rsid w:val="00BC0A61"/>
    <w:rsid w:val="00BC0D0D"/>
    <w:rsid w:val="00BC0EC0"/>
    <w:rsid w:val="00BC0F2D"/>
    <w:rsid w:val="00BC13C4"/>
    <w:rsid w:val="00BC1BCD"/>
    <w:rsid w:val="00BC1E27"/>
    <w:rsid w:val="00BC2087"/>
    <w:rsid w:val="00BC2098"/>
    <w:rsid w:val="00BC20C8"/>
    <w:rsid w:val="00BC24D8"/>
    <w:rsid w:val="00BC2605"/>
    <w:rsid w:val="00BC2790"/>
    <w:rsid w:val="00BC28D1"/>
    <w:rsid w:val="00BC2A44"/>
    <w:rsid w:val="00BC2B3B"/>
    <w:rsid w:val="00BC2B7D"/>
    <w:rsid w:val="00BC2EFC"/>
    <w:rsid w:val="00BC2FB6"/>
    <w:rsid w:val="00BC31AA"/>
    <w:rsid w:val="00BC3232"/>
    <w:rsid w:val="00BC36A7"/>
    <w:rsid w:val="00BC39FC"/>
    <w:rsid w:val="00BC3A6A"/>
    <w:rsid w:val="00BC3BBF"/>
    <w:rsid w:val="00BC3F74"/>
    <w:rsid w:val="00BC4008"/>
    <w:rsid w:val="00BC4198"/>
    <w:rsid w:val="00BC4579"/>
    <w:rsid w:val="00BC463D"/>
    <w:rsid w:val="00BC4661"/>
    <w:rsid w:val="00BC47AE"/>
    <w:rsid w:val="00BC49B1"/>
    <w:rsid w:val="00BC4ACA"/>
    <w:rsid w:val="00BC4B33"/>
    <w:rsid w:val="00BC4F8B"/>
    <w:rsid w:val="00BC4FF7"/>
    <w:rsid w:val="00BC51A4"/>
    <w:rsid w:val="00BC53B2"/>
    <w:rsid w:val="00BC53B5"/>
    <w:rsid w:val="00BC5799"/>
    <w:rsid w:val="00BC5ACC"/>
    <w:rsid w:val="00BC5F37"/>
    <w:rsid w:val="00BC5F9A"/>
    <w:rsid w:val="00BC621C"/>
    <w:rsid w:val="00BC6254"/>
    <w:rsid w:val="00BC65C6"/>
    <w:rsid w:val="00BC65D0"/>
    <w:rsid w:val="00BC65DC"/>
    <w:rsid w:val="00BC6762"/>
    <w:rsid w:val="00BC695E"/>
    <w:rsid w:val="00BC6E8B"/>
    <w:rsid w:val="00BC6EBC"/>
    <w:rsid w:val="00BC712E"/>
    <w:rsid w:val="00BC72DD"/>
    <w:rsid w:val="00BC7606"/>
    <w:rsid w:val="00BC79D1"/>
    <w:rsid w:val="00BC7A5A"/>
    <w:rsid w:val="00BC7C05"/>
    <w:rsid w:val="00BC7CAF"/>
    <w:rsid w:val="00BC7D96"/>
    <w:rsid w:val="00BC7F9F"/>
    <w:rsid w:val="00BD0180"/>
    <w:rsid w:val="00BD01BF"/>
    <w:rsid w:val="00BD0456"/>
    <w:rsid w:val="00BD076C"/>
    <w:rsid w:val="00BD07BB"/>
    <w:rsid w:val="00BD0973"/>
    <w:rsid w:val="00BD09A2"/>
    <w:rsid w:val="00BD0B1B"/>
    <w:rsid w:val="00BD0BB6"/>
    <w:rsid w:val="00BD11D4"/>
    <w:rsid w:val="00BD12C4"/>
    <w:rsid w:val="00BD13E7"/>
    <w:rsid w:val="00BD1464"/>
    <w:rsid w:val="00BD165F"/>
    <w:rsid w:val="00BD1940"/>
    <w:rsid w:val="00BD1AB7"/>
    <w:rsid w:val="00BD1BDE"/>
    <w:rsid w:val="00BD1BF9"/>
    <w:rsid w:val="00BD1CF2"/>
    <w:rsid w:val="00BD1F46"/>
    <w:rsid w:val="00BD1FB6"/>
    <w:rsid w:val="00BD204A"/>
    <w:rsid w:val="00BD21B0"/>
    <w:rsid w:val="00BD2662"/>
    <w:rsid w:val="00BD2853"/>
    <w:rsid w:val="00BD2963"/>
    <w:rsid w:val="00BD2BBF"/>
    <w:rsid w:val="00BD2F79"/>
    <w:rsid w:val="00BD30F1"/>
    <w:rsid w:val="00BD3299"/>
    <w:rsid w:val="00BD3669"/>
    <w:rsid w:val="00BD3737"/>
    <w:rsid w:val="00BD3AA2"/>
    <w:rsid w:val="00BD3BA2"/>
    <w:rsid w:val="00BD3BEF"/>
    <w:rsid w:val="00BD3D24"/>
    <w:rsid w:val="00BD444B"/>
    <w:rsid w:val="00BD4613"/>
    <w:rsid w:val="00BD4647"/>
    <w:rsid w:val="00BD469D"/>
    <w:rsid w:val="00BD4881"/>
    <w:rsid w:val="00BD493D"/>
    <w:rsid w:val="00BD49FD"/>
    <w:rsid w:val="00BD4A85"/>
    <w:rsid w:val="00BD4B1A"/>
    <w:rsid w:val="00BD4C66"/>
    <w:rsid w:val="00BD4D41"/>
    <w:rsid w:val="00BD5607"/>
    <w:rsid w:val="00BD5A5F"/>
    <w:rsid w:val="00BD5C5C"/>
    <w:rsid w:val="00BD62E0"/>
    <w:rsid w:val="00BD640F"/>
    <w:rsid w:val="00BD6551"/>
    <w:rsid w:val="00BD6774"/>
    <w:rsid w:val="00BD67FF"/>
    <w:rsid w:val="00BD6A77"/>
    <w:rsid w:val="00BD6B41"/>
    <w:rsid w:val="00BD6C77"/>
    <w:rsid w:val="00BD6C86"/>
    <w:rsid w:val="00BD6DA8"/>
    <w:rsid w:val="00BD6EEE"/>
    <w:rsid w:val="00BD727E"/>
    <w:rsid w:val="00BD7367"/>
    <w:rsid w:val="00BD7550"/>
    <w:rsid w:val="00BD7B2F"/>
    <w:rsid w:val="00BD7B3E"/>
    <w:rsid w:val="00BD7C26"/>
    <w:rsid w:val="00BD7DD8"/>
    <w:rsid w:val="00BD7E66"/>
    <w:rsid w:val="00BE021C"/>
    <w:rsid w:val="00BE0746"/>
    <w:rsid w:val="00BE082D"/>
    <w:rsid w:val="00BE0854"/>
    <w:rsid w:val="00BE0C26"/>
    <w:rsid w:val="00BE0C60"/>
    <w:rsid w:val="00BE0CA9"/>
    <w:rsid w:val="00BE0DAC"/>
    <w:rsid w:val="00BE0F85"/>
    <w:rsid w:val="00BE14EB"/>
    <w:rsid w:val="00BE1650"/>
    <w:rsid w:val="00BE1EEB"/>
    <w:rsid w:val="00BE1FDD"/>
    <w:rsid w:val="00BE206D"/>
    <w:rsid w:val="00BE225B"/>
    <w:rsid w:val="00BE23A1"/>
    <w:rsid w:val="00BE24E5"/>
    <w:rsid w:val="00BE27F2"/>
    <w:rsid w:val="00BE2855"/>
    <w:rsid w:val="00BE2ACF"/>
    <w:rsid w:val="00BE2FE9"/>
    <w:rsid w:val="00BE36E0"/>
    <w:rsid w:val="00BE36EE"/>
    <w:rsid w:val="00BE3839"/>
    <w:rsid w:val="00BE386D"/>
    <w:rsid w:val="00BE3C5A"/>
    <w:rsid w:val="00BE3CCE"/>
    <w:rsid w:val="00BE3E6B"/>
    <w:rsid w:val="00BE3FDF"/>
    <w:rsid w:val="00BE409A"/>
    <w:rsid w:val="00BE45A3"/>
    <w:rsid w:val="00BE4768"/>
    <w:rsid w:val="00BE47C5"/>
    <w:rsid w:val="00BE486E"/>
    <w:rsid w:val="00BE48AD"/>
    <w:rsid w:val="00BE491C"/>
    <w:rsid w:val="00BE4B0D"/>
    <w:rsid w:val="00BE4C53"/>
    <w:rsid w:val="00BE4D48"/>
    <w:rsid w:val="00BE5436"/>
    <w:rsid w:val="00BE5447"/>
    <w:rsid w:val="00BE55AE"/>
    <w:rsid w:val="00BE57A4"/>
    <w:rsid w:val="00BE59A1"/>
    <w:rsid w:val="00BE5A5F"/>
    <w:rsid w:val="00BE5CCC"/>
    <w:rsid w:val="00BE6000"/>
    <w:rsid w:val="00BE63AF"/>
    <w:rsid w:val="00BE6608"/>
    <w:rsid w:val="00BE6668"/>
    <w:rsid w:val="00BE6912"/>
    <w:rsid w:val="00BE69CB"/>
    <w:rsid w:val="00BE6C02"/>
    <w:rsid w:val="00BE6EC8"/>
    <w:rsid w:val="00BE6F90"/>
    <w:rsid w:val="00BE6FA7"/>
    <w:rsid w:val="00BE6FB4"/>
    <w:rsid w:val="00BE71AE"/>
    <w:rsid w:val="00BE7238"/>
    <w:rsid w:val="00BE725C"/>
    <w:rsid w:val="00BE72D5"/>
    <w:rsid w:val="00BE7398"/>
    <w:rsid w:val="00BE7465"/>
    <w:rsid w:val="00BE769B"/>
    <w:rsid w:val="00BE7A55"/>
    <w:rsid w:val="00BE7AA8"/>
    <w:rsid w:val="00BE7B1A"/>
    <w:rsid w:val="00BE7C40"/>
    <w:rsid w:val="00BE7D80"/>
    <w:rsid w:val="00BF01CB"/>
    <w:rsid w:val="00BF02A3"/>
    <w:rsid w:val="00BF0BA7"/>
    <w:rsid w:val="00BF0BD7"/>
    <w:rsid w:val="00BF0C46"/>
    <w:rsid w:val="00BF0CD1"/>
    <w:rsid w:val="00BF0D9D"/>
    <w:rsid w:val="00BF104D"/>
    <w:rsid w:val="00BF10FE"/>
    <w:rsid w:val="00BF13F6"/>
    <w:rsid w:val="00BF1902"/>
    <w:rsid w:val="00BF1AF1"/>
    <w:rsid w:val="00BF1CBD"/>
    <w:rsid w:val="00BF1FD8"/>
    <w:rsid w:val="00BF20E8"/>
    <w:rsid w:val="00BF2200"/>
    <w:rsid w:val="00BF22D9"/>
    <w:rsid w:val="00BF23AF"/>
    <w:rsid w:val="00BF2468"/>
    <w:rsid w:val="00BF2AF8"/>
    <w:rsid w:val="00BF2C44"/>
    <w:rsid w:val="00BF2D81"/>
    <w:rsid w:val="00BF30EC"/>
    <w:rsid w:val="00BF360F"/>
    <w:rsid w:val="00BF3647"/>
    <w:rsid w:val="00BF3720"/>
    <w:rsid w:val="00BF374C"/>
    <w:rsid w:val="00BF3782"/>
    <w:rsid w:val="00BF38CD"/>
    <w:rsid w:val="00BF38DC"/>
    <w:rsid w:val="00BF3AF3"/>
    <w:rsid w:val="00BF3BCA"/>
    <w:rsid w:val="00BF3CF6"/>
    <w:rsid w:val="00BF42E1"/>
    <w:rsid w:val="00BF4816"/>
    <w:rsid w:val="00BF4B89"/>
    <w:rsid w:val="00BF4E1D"/>
    <w:rsid w:val="00BF4EC2"/>
    <w:rsid w:val="00BF5319"/>
    <w:rsid w:val="00BF53A7"/>
    <w:rsid w:val="00BF5765"/>
    <w:rsid w:val="00BF5997"/>
    <w:rsid w:val="00BF59CA"/>
    <w:rsid w:val="00BF5A8B"/>
    <w:rsid w:val="00BF5ADE"/>
    <w:rsid w:val="00BF5BDD"/>
    <w:rsid w:val="00BF5C35"/>
    <w:rsid w:val="00BF5C7E"/>
    <w:rsid w:val="00BF5F32"/>
    <w:rsid w:val="00BF6050"/>
    <w:rsid w:val="00BF635B"/>
    <w:rsid w:val="00BF63B6"/>
    <w:rsid w:val="00BF6646"/>
    <w:rsid w:val="00BF66EE"/>
    <w:rsid w:val="00BF6B64"/>
    <w:rsid w:val="00BF6B93"/>
    <w:rsid w:val="00BF6FD0"/>
    <w:rsid w:val="00BF71A3"/>
    <w:rsid w:val="00BF747F"/>
    <w:rsid w:val="00BF75A1"/>
    <w:rsid w:val="00BF7680"/>
    <w:rsid w:val="00BF787E"/>
    <w:rsid w:val="00BF796C"/>
    <w:rsid w:val="00BF7A2C"/>
    <w:rsid w:val="00BF7A2E"/>
    <w:rsid w:val="00BF7A78"/>
    <w:rsid w:val="00BF7E8C"/>
    <w:rsid w:val="00C0018A"/>
    <w:rsid w:val="00C0037D"/>
    <w:rsid w:val="00C003B9"/>
    <w:rsid w:val="00C003D5"/>
    <w:rsid w:val="00C00905"/>
    <w:rsid w:val="00C00A7C"/>
    <w:rsid w:val="00C00B97"/>
    <w:rsid w:val="00C00D45"/>
    <w:rsid w:val="00C0104C"/>
    <w:rsid w:val="00C01170"/>
    <w:rsid w:val="00C013AB"/>
    <w:rsid w:val="00C0156D"/>
    <w:rsid w:val="00C0174B"/>
    <w:rsid w:val="00C01892"/>
    <w:rsid w:val="00C01A94"/>
    <w:rsid w:val="00C01BBB"/>
    <w:rsid w:val="00C01FD1"/>
    <w:rsid w:val="00C0216F"/>
    <w:rsid w:val="00C024A5"/>
    <w:rsid w:val="00C0262A"/>
    <w:rsid w:val="00C02785"/>
    <w:rsid w:val="00C02CE1"/>
    <w:rsid w:val="00C02D1E"/>
    <w:rsid w:val="00C02D3A"/>
    <w:rsid w:val="00C0314D"/>
    <w:rsid w:val="00C0331F"/>
    <w:rsid w:val="00C03351"/>
    <w:rsid w:val="00C034F8"/>
    <w:rsid w:val="00C035B5"/>
    <w:rsid w:val="00C036AC"/>
    <w:rsid w:val="00C037AF"/>
    <w:rsid w:val="00C03805"/>
    <w:rsid w:val="00C03865"/>
    <w:rsid w:val="00C03B70"/>
    <w:rsid w:val="00C03BAE"/>
    <w:rsid w:val="00C03D5A"/>
    <w:rsid w:val="00C03FAF"/>
    <w:rsid w:val="00C04145"/>
    <w:rsid w:val="00C04A19"/>
    <w:rsid w:val="00C05276"/>
    <w:rsid w:val="00C053BB"/>
    <w:rsid w:val="00C054A3"/>
    <w:rsid w:val="00C055BD"/>
    <w:rsid w:val="00C05622"/>
    <w:rsid w:val="00C0582D"/>
    <w:rsid w:val="00C05851"/>
    <w:rsid w:val="00C05935"/>
    <w:rsid w:val="00C05C4D"/>
    <w:rsid w:val="00C05ECD"/>
    <w:rsid w:val="00C0671D"/>
    <w:rsid w:val="00C06BEC"/>
    <w:rsid w:val="00C0713D"/>
    <w:rsid w:val="00C07620"/>
    <w:rsid w:val="00C07703"/>
    <w:rsid w:val="00C077A9"/>
    <w:rsid w:val="00C07AB6"/>
    <w:rsid w:val="00C07ACB"/>
    <w:rsid w:val="00C07FB4"/>
    <w:rsid w:val="00C102F3"/>
    <w:rsid w:val="00C10350"/>
    <w:rsid w:val="00C106B8"/>
    <w:rsid w:val="00C10AFD"/>
    <w:rsid w:val="00C10B22"/>
    <w:rsid w:val="00C10C3F"/>
    <w:rsid w:val="00C10C52"/>
    <w:rsid w:val="00C10D84"/>
    <w:rsid w:val="00C1129F"/>
    <w:rsid w:val="00C113AD"/>
    <w:rsid w:val="00C11623"/>
    <w:rsid w:val="00C1172F"/>
    <w:rsid w:val="00C119A0"/>
    <w:rsid w:val="00C11A6B"/>
    <w:rsid w:val="00C11A92"/>
    <w:rsid w:val="00C11ABD"/>
    <w:rsid w:val="00C12247"/>
    <w:rsid w:val="00C129CA"/>
    <w:rsid w:val="00C129D9"/>
    <w:rsid w:val="00C12F92"/>
    <w:rsid w:val="00C13089"/>
    <w:rsid w:val="00C1333A"/>
    <w:rsid w:val="00C13368"/>
    <w:rsid w:val="00C13483"/>
    <w:rsid w:val="00C134DA"/>
    <w:rsid w:val="00C13547"/>
    <w:rsid w:val="00C1360C"/>
    <w:rsid w:val="00C13B1D"/>
    <w:rsid w:val="00C13B36"/>
    <w:rsid w:val="00C13B6C"/>
    <w:rsid w:val="00C13C06"/>
    <w:rsid w:val="00C13C90"/>
    <w:rsid w:val="00C13CF2"/>
    <w:rsid w:val="00C14524"/>
    <w:rsid w:val="00C14F19"/>
    <w:rsid w:val="00C14FB2"/>
    <w:rsid w:val="00C15205"/>
    <w:rsid w:val="00C1575F"/>
    <w:rsid w:val="00C15B0C"/>
    <w:rsid w:val="00C15DD4"/>
    <w:rsid w:val="00C15DE5"/>
    <w:rsid w:val="00C16591"/>
    <w:rsid w:val="00C16621"/>
    <w:rsid w:val="00C16762"/>
    <w:rsid w:val="00C168CF"/>
    <w:rsid w:val="00C16912"/>
    <w:rsid w:val="00C16DA2"/>
    <w:rsid w:val="00C17007"/>
    <w:rsid w:val="00C17204"/>
    <w:rsid w:val="00C1723B"/>
    <w:rsid w:val="00C17304"/>
    <w:rsid w:val="00C1748F"/>
    <w:rsid w:val="00C176AC"/>
    <w:rsid w:val="00C17A63"/>
    <w:rsid w:val="00C17C3A"/>
    <w:rsid w:val="00C17CE1"/>
    <w:rsid w:val="00C17E02"/>
    <w:rsid w:val="00C20229"/>
    <w:rsid w:val="00C2058B"/>
    <w:rsid w:val="00C20668"/>
    <w:rsid w:val="00C207AB"/>
    <w:rsid w:val="00C208B8"/>
    <w:rsid w:val="00C209AD"/>
    <w:rsid w:val="00C20A13"/>
    <w:rsid w:val="00C20B13"/>
    <w:rsid w:val="00C20B59"/>
    <w:rsid w:val="00C20DBB"/>
    <w:rsid w:val="00C20EB3"/>
    <w:rsid w:val="00C2103A"/>
    <w:rsid w:val="00C215D9"/>
    <w:rsid w:val="00C2164B"/>
    <w:rsid w:val="00C21DA3"/>
    <w:rsid w:val="00C21EF9"/>
    <w:rsid w:val="00C21FE6"/>
    <w:rsid w:val="00C221AD"/>
    <w:rsid w:val="00C221C0"/>
    <w:rsid w:val="00C2221F"/>
    <w:rsid w:val="00C222A1"/>
    <w:rsid w:val="00C222F7"/>
    <w:rsid w:val="00C22397"/>
    <w:rsid w:val="00C224E3"/>
    <w:rsid w:val="00C22690"/>
    <w:rsid w:val="00C2283C"/>
    <w:rsid w:val="00C22993"/>
    <w:rsid w:val="00C22AAB"/>
    <w:rsid w:val="00C22ECB"/>
    <w:rsid w:val="00C23109"/>
    <w:rsid w:val="00C23485"/>
    <w:rsid w:val="00C23803"/>
    <w:rsid w:val="00C239B1"/>
    <w:rsid w:val="00C23BB4"/>
    <w:rsid w:val="00C23F47"/>
    <w:rsid w:val="00C23F88"/>
    <w:rsid w:val="00C23FC4"/>
    <w:rsid w:val="00C242C1"/>
    <w:rsid w:val="00C24589"/>
    <w:rsid w:val="00C24707"/>
    <w:rsid w:val="00C24792"/>
    <w:rsid w:val="00C24839"/>
    <w:rsid w:val="00C2497A"/>
    <w:rsid w:val="00C24D35"/>
    <w:rsid w:val="00C250FE"/>
    <w:rsid w:val="00C2525E"/>
    <w:rsid w:val="00C2584D"/>
    <w:rsid w:val="00C25BB8"/>
    <w:rsid w:val="00C25EF2"/>
    <w:rsid w:val="00C25F77"/>
    <w:rsid w:val="00C2606A"/>
    <w:rsid w:val="00C26159"/>
    <w:rsid w:val="00C2629C"/>
    <w:rsid w:val="00C262ED"/>
    <w:rsid w:val="00C265C9"/>
    <w:rsid w:val="00C26968"/>
    <w:rsid w:val="00C26A69"/>
    <w:rsid w:val="00C26EB9"/>
    <w:rsid w:val="00C27037"/>
    <w:rsid w:val="00C276AC"/>
    <w:rsid w:val="00C276E8"/>
    <w:rsid w:val="00C277DA"/>
    <w:rsid w:val="00C2791E"/>
    <w:rsid w:val="00C27999"/>
    <w:rsid w:val="00C27B52"/>
    <w:rsid w:val="00C27C23"/>
    <w:rsid w:val="00C27D59"/>
    <w:rsid w:val="00C27EC5"/>
    <w:rsid w:val="00C30019"/>
    <w:rsid w:val="00C301CF"/>
    <w:rsid w:val="00C30525"/>
    <w:rsid w:val="00C309E6"/>
    <w:rsid w:val="00C30B6D"/>
    <w:rsid w:val="00C30C46"/>
    <w:rsid w:val="00C30E55"/>
    <w:rsid w:val="00C311E2"/>
    <w:rsid w:val="00C31258"/>
    <w:rsid w:val="00C31439"/>
    <w:rsid w:val="00C31460"/>
    <w:rsid w:val="00C31797"/>
    <w:rsid w:val="00C31808"/>
    <w:rsid w:val="00C31ACA"/>
    <w:rsid w:val="00C31D03"/>
    <w:rsid w:val="00C31D17"/>
    <w:rsid w:val="00C31D26"/>
    <w:rsid w:val="00C31E1D"/>
    <w:rsid w:val="00C32064"/>
    <w:rsid w:val="00C320FA"/>
    <w:rsid w:val="00C321E8"/>
    <w:rsid w:val="00C3223A"/>
    <w:rsid w:val="00C32CA7"/>
    <w:rsid w:val="00C32E58"/>
    <w:rsid w:val="00C330B7"/>
    <w:rsid w:val="00C33183"/>
    <w:rsid w:val="00C335CC"/>
    <w:rsid w:val="00C33617"/>
    <w:rsid w:val="00C33706"/>
    <w:rsid w:val="00C33820"/>
    <w:rsid w:val="00C33936"/>
    <w:rsid w:val="00C33A05"/>
    <w:rsid w:val="00C33B39"/>
    <w:rsid w:val="00C33C32"/>
    <w:rsid w:val="00C33F14"/>
    <w:rsid w:val="00C34139"/>
    <w:rsid w:val="00C34760"/>
    <w:rsid w:val="00C3490F"/>
    <w:rsid w:val="00C34A5F"/>
    <w:rsid w:val="00C34D0A"/>
    <w:rsid w:val="00C34EF0"/>
    <w:rsid w:val="00C35028"/>
    <w:rsid w:val="00C35042"/>
    <w:rsid w:val="00C35584"/>
    <w:rsid w:val="00C357EA"/>
    <w:rsid w:val="00C35941"/>
    <w:rsid w:val="00C35A3D"/>
    <w:rsid w:val="00C35BCA"/>
    <w:rsid w:val="00C3608D"/>
    <w:rsid w:val="00C3616F"/>
    <w:rsid w:val="00C361C6"/>
    <w:rsid w:val="00C3629F"/>
    <w:rsid w:val="00C362A7"/>
    <w:rsid w:val="00C3661C"/>
    <w:rsid w:val="00C36691"/>
    <w:rsid w:val="00C366C6"/>
    <w:rsid w:val="00C36A9F"/>
    <w:rsid w:val="00C36BD4"/>
    <w:rsid w:val="00C36E49"/>
    <w:rsid w:val="00C373A7"/>
    <w:rsid w:val="00C3746B"/>
    <w:rsid w:val="00C374C1"/>
    <w:rsid w:val="00C37611"/>
    <w:rsid w:val="00C37666"/>
    <w:rsid w:val="00C37B9E"/>
    <w:rsid w:val="00C37CF3"/>
    <w:rsid w:val="00C37D13"/>
    <w:rsid w:val="00C37DDE"/>
    <w:rsid w:val="00C37F85"/>
    <w:rsid w:val="00C40013"/>
    <w:rsid w:val="00C401AA"/>
    <w:rsid w:val="00C4072B"/>
    <w:rsid w:val="00C40A50"/>
    <w:rsid w:val="00C40EC4"/>
    <w:rsid w:val="00C40EF7"/>
    <w:rsid w:val="00C41005"/>
    <w:rsid w:val="00C411E9"/>
    <w:rsid w:val="00C41416"/>
    <w:rsid w:val="00C41570"/>
    <w:rsid w:val="00C41658"/>
    <w:rsid w:val="00C416FD"/>
    <w:rsid w:val="00C417CC"/>
    <w:rsid w:val="00C417F5"/>
    <w:rsid w:val="00C41A67"/>
    <w:rsid w:val="00C41AFB"/>
    <w:rsid w:val="00C41C84"/>
    <w:rsid w:val="00C41DF7"/>
    <w:rsid w:val="00C41E33"/>
    <w:rsid w:val="00C41F79"/>
    <w:rsid w:val="00C42136"/>
    <w:rsid w:val="00C42325"/>
    <w:rsid w:val="00C424DF"/>
    <w:rsid w:val="00C426CE"/>
    <w:rsid w:val="00C427A9"/>
    <w:rsid w:val="00C428B8"/>
    <w:rsid w:val="00C428FF"/>
    <w:rsid w:val="00C42A48"/>
    <w:rsid w:val="00C42C84"/>
    <w:rsid w:val="00C42FAA"/>
    <w:rsid w:val="00C43051"/>
    <w:rsid w:val="00C43228"/>
    <w:rsid w:val="00C43314"/>
    <w:rsid w:val="00C435D8"/>
    <w:rsid w:val="00C43EA9"/>
    <w:rsid w:val="00C43FD5"/>
    <w:rsid w:val="00C44213"/>
    <w:rsid w:val="00C443A6"/>
    <w:rsid w:val="00C443C2"/>
    <w:rsid w:val="00C4452C"/>
    <w:rsid w:val="00C4473A"/>
    <w:rsid w:val="00C44D46"/>
    <w:rsid w:val="00C44DED"/>
    <w:rsid w:val="00C44EF3"/>
    <w:rsid w:val="00C45289"/>
    <w:rsid w:val="00C45494"/>
    <w:rsid w:val="00C454D9"/>
    <w:rsid w:val="00C45525"/>
    <w:rsid w:val="00C45537"/>
    <w:rsid w:val="00C45724"/>
    <w:rsid w:val="00C45779"/>
    <w:rsid w:val="00C45A2C"/>
    <w:rsid w:val="00C45BAD"/>
    <w:rsid w:val="00C45C60"/>
    <w:rsid w:val="00C45C62"/>
    <w:rsid w:val="00C45FE8"/>
    <w:rsid w:val="00C4606F"/>
    <w:rsid w:val="00C46119"/>
    <w:rsid w:val="00C465FC"/>
    <w:rsid w:val="00C4684C"/>
    <w:rsid w:val="00C469F2"/>
    <w:rsid w:val="00C46D29"/>
    <w:rsid w:val="00C46E01"/>
    <w:rsid w:val="00C46E19"/>
    <w:rsid w:val="00C471C7"/>
    <w:rsid w:val="00C47541"/>
    <w:rsid w:val="00C475C7"/>
    <w:rsid w:val="00C47601"/>
    <w:rsid w:val="00C4769A"/>
    <w:rsid w:val="00C479CC"/>
    <w:rsid w:val="00C47A18"/>
    <w:rsid w:val="00C47DF2"/>
    <w:rsid w:val="00C50139"/>
    <w:rsid w:val="00C5017E"/>
    <w:rsid w:val="00C50268"/>
    <w:rsid w:val="00C50451"/>
    <w:rsid w:val="00C505A7"/>
    <w:rsid w:val="00C508B7"/>
    <w:rsid w:val="00C50AAE"/>
    <w:rsid w:val="00C5119C"/>
    <w:rsid w:val="00C51279"/>
    <w:rsid w:val="00C513EA"/>
    <w:rsid w:val="00C5156A"/>
    <w:rsid w:val="00C51591"/>
    <w:rsid w:val="00C515B0"/>
    <w:rsid w:val="00C51702"/>
    <w:rsid w:val="00C5171D"/>
    <w:rsid w:val="00C517ED"/>
    <w:rsid w:val="00C519CD"/>
    <w:rsid w:val="00C51B08"/>
    <w:rsid w:val="00C51BA8"/>
    <w:rsid w:val="00C51C23"/>
    <w:rsid w:val="00C51C57"/>
    <w:rsid w:val="00C51DB8"/>
    <w:rsid w:val="00C51FF9"/>
    <w:rsid w:val="00C524B6"/>
    <w:rsid w:val="00C5298A"/>
    <w:rsid w:val="00C529CB"/>
    <w:rsid w:val="00C5304F"/>
    <w:rsid w:val="00C53513"/>
    <w:rsid w:val="00C53730"/>
    <w:rsid w:val="00C53B1F"/>
    <w:rsid w:val="00C53B2B"/>
    <w:rsid w:val="00C53E49"/>
    <w:rsid w:val="00C53FF9"/>
    <w:rsid w:val="00C540B9"/>
    <w:rsid w:val="00C54398"/>
    <w:rsid w:val="00C54411"/>
    <w:rsid w:val="00C54429"/>
    <w:rsid w:val="00C54701"/>
    <w:rsid w:val="00C5492A"/>
    <w:rsid w:val="00C54CC3"/>
    <w:rsid w:val="00C54D6E"/>
    <w:rsid w:val="00C54EE3"/>
    <w:rsid w:val="00C552F9"/>
    <w:rsid w:val="00C554D4"/>
    <w:rsid w:val="00C554D9"/>
    <w:rsid w:val="00C55D11"/>
    <w:rsid w:val="00C55EA0"/>
    <w:rsid w:val="00C560DB"/>
    <w:rsid w:val="00C5627B"/>
    <w:rsid w:val="00C563E8"/>
    <w:rsid w:val="00C56532"/>
    <w:rsid w:val="00C567B5"/>
    <w:rsid w:val="00C5688E"/>
    <w:rsid w:val="00C569ED"/>
    <w:rsid w:val="00C56C9F"/>
    <w:rsid w:val="00C56D39"/>
    <w:rsid w:val="00C56D94"/>
    <w:rsid w:val="00C57155"/>
    <w:rsid w:val="00C5715C"/>
    <w:rsid w:val="00C57545"/>
    <w:rsid w:val="00C57582"/>
    <w:rsid w:val="00C57838"/>
    <w:rsid w:val="00C57A92"/>
    <w:rsid w:val="00C57C0D"/>
    <w:rsid w:val="00C57CCE"/>
    <w:rsid w:val="00C57DFF"/>
    <w:rsid w:val="00C57E63"/>
    <w:rsid w:val="00C60060"/>
    <w:rsid w:val="00C6031F"/>
    <w:rsid w:val="00C6069B"/>
    <w:rsid w:val="00C607D1"/>
    <w:rsid w:val="00C60A86"/>
    <w:rsid w:val="00C60CB5"/>
    <w:rsid w:val="00C60D11"/>
    <w:rsid w:val="00C60FBF"/>
    <w:rsid w:val="00C61109"/>
    <w:rsid w:val="00C61324"/>
    <w:rsid w:val="00C6183D"/>
    <w:rsid w:val="00C61AB2"/>
    <w:rsid w:val="00C61B02"/>
    <w:rsid w:val="00C61E90"/>
    <w:rsid w:val="00C61ED0"/>
    <w:rsid w:val="00C61F1C"/>
    <w:rsid w:val="00C61FD2"/>
    <w:rsid w:val="00C6204D"/>
    <w:rsid w:val="00C620B7"/>
    <w:rsid w:val="00C620D4"/>
    <w:rsid w:val="00C62153"/>
    <w:rsid w:val="00C6222B"/>
    <w:rsid w:val="00C62461"/>
    <w:rsid w:val="00C626B9"/>
    <w:rsid w:val="00C6276A"/>
    <w:rsid w:val="00C62798"/>
    <w:rsid w:val="00C6297B"/>
    <w:rsid w:val="00C62AB4"/>
    <w:rsid w:val="00C6348D"/>
    <w:rsid w:val="00C634DB"/>
    <w:rsid w:val="00C638B7"/>
    <w:rsid w:val="00C63BFA"/>
    <w:rsid w:val="00C64208"/>
    <w:rsid w:val="00C643EB"/>
    <w:rsid w:val="00C6445E"/>
    <w:rsid w:val="00C644C4"/>
    <w:rsid w:val="00C644F2"/>
    <w:rsid w:val="00C64544"/>
    <w:rsid w:val="00C645FD"/>
    <w:rsid w:val="00C64868"/>
    <w:rsid w:val="00C64876"/>
    <w:rsid w:val="00C64B22"/>
    <w:rsid w:val="00C64DA3"/>
    <w:rsid w:val="00C64E8C"/>
    <w:rsid w:val="00C65013"/>
    <w:rsid w:val="00C6539B"/>
    <w:rsid w:val="00C653F1"/>
    <w:rsid w:val="00C6540F"/>
    <w:rsid w:val="00C65840"/>
    <w:rsid w:val="00C65CED"/>
    <w:rsid w:val="00C65D6D"/>
    <w:rsid w:val="00C65FF3"/>
    <w:rsid w:val="00C66307"/>
    <w:rsid w:val="00C6642E"/>
    <w:rsid w:val="00C66484"/>
    <w:rsid w:val="00C66494"/>
    <w:rsid w:val="00C66620"/>
    <w:rsid w:val="00C66651"/>
    <w:rsid w:val="00C66676"/>
    <w:rsid w:val="00C666B9"/>
    <w:rsid w:val="00C66BB7"/>
    <w:rsid w:val="00C66E98"/>
    <w:rsid w:val="00C67092"/>
    <w:rsid w:val="00C670FC"/>
    <w:rsid w:val="00C671F0"/>
    <w:rsid w:val="00C67599"/>
    <w:rsid w:val="00C67950"/>
    <w:rsid w:val="00C70072"/>
    <w:rsid w:val="00C700FF"/>
    <w:rsid w:val="00C702A2"/>
    <w:rsid w:val="00C702AA"/>
    <w:rsid w:val="00C70370"/>
    <w:rsid w:val="00C7049D"/>
    <w:rsid w:val="00C70585"/>
    <w:rsid w:val="00C707D9"/>
    <w:rsid w:val="00C70975"/>
    <w:rsid w:val="00C709F0"/>
    <w:rsid w:val="00C71490"/>
    <w:rsid w:val="00C71783"/>
    <w:rsid w:val="00C719A2"/>
    <w:rsid w:val="00C71C3A"/>
    <w:rsid w:val="00C71DC7"/>
    <w:rsid w:val="00C71F6D"/>
    <w:rsid w:val="00C71FC4"/>
    <w:rsid w:val="00C72165"/>
    <w:rsid w:val="00C72184"/>
    <w:rsid w:val="00C72568"/>
    <w:rsid w:val="00C725E8"/>
    <w:rsid w:val="00C72773"/>
    <w:rsid w:val="00C72783"/>
    <w:rsid w:val="00C727A7"/>
    <w:rsid w:val="00C72932"/>
    <w:rsid w:val="00C72A19"/>
    <w:rsid w:val="00C72B8E"/>
    <w:rsid w:val="00C72D7B"/>
    <w:rsid w:val="00C72F5E"/>
    <w:rsid w:val="00C73121"/>
    <w:rsid w:val="00C73189"/>
    <w:rsid w:val="00C7321D"/>
    <w:rsid w:val="00C73285"/>
    <w:rsid w:val="00C73620"/>
    <w:rsid w:val="00C73779"/>
    <w:rsid w:val="00C73AB0"/>
    <w:rsid w:val="00C73D66"/>
    <w:rsid w:val="00C73FAB"/>
    <w:rsid w:val="00C74041"/>
    <w:rsid w:val="00C74167"/>
    <w:rsid w:val="00C741D2"/>
    <w:rsid w:val="00C7486E"/>
    <w:rsid w:val="00C74929"/>
    <w:rsid w:val="00C74D98"/>
    <w:rsid w:val="00C750AE"/>
    <w:rsid w:val="00C75357"/>
    <w:rsid w:val="00C754E3"/>
    <w:rsid w:val="00C7574B"/>
    <w:rsid w:val="00C757AE"/>
    <w:rsid w:val="00C758BD"/>
    <w:rsid w:val="00C75A6D"/>
    <w:rsid w:val="00C75CEB"/>
    <w:rsid w:val="00C75D16"/>
    <w:rsid w:val="00C76268"/>
    <w:rsid w:val="00C764EA"/>
    <w:rsid w:val="00C76624"/>
    <w:rsid w:val="00C76661"/>
    <w:rsid w:val="00C7692D"/>
    <w:rsid w:val="00C76AAF"/>
    <w:rsid w:val="00C76B2C"/>
    <w:rsid w:val="00C76C46"/>
    <w:rsid w:val="00C76CDE"/>
    <w:rsid w:val="00C76E35"/>
    <w:rsid w:val="00C77478"/>
    <w:rsid w:val="00C774A1"/>
    <w:rsid w:val="00C775A0"/>
    <w:rsid w:val="00C777AE"/>
    <w:rsid w:val="00C777E6"/>
    <w:rsid w:val="00C77B47"/>
    <w:rsid w:val="00C77EF0"/>
    <w:rsid w:val="00C802FB"/>
    <w:rsid w:val="00C80570"/>
    <w:rsid w:val="00C80AA5"/>
    <w:rsid w:val="00C80C41"/>
    <w:rsid w:val="00C80CEF"/>
    <w:rsid w:val="00C80E40"/>
    <w:rsid w:val="00C81120"/>
    <w:rsid w:val="00C81432"/>
    <w:rsid w:val="00C8183B"/>
    <w:rsid w:val="00C81916"/>
    <w:rsid w:val="00C81CA7"/>
    <w:rsid w:val="00C8219E"/>
    <w:rsid w:val="00C82455"/>
    <w:rsid w:val="00C82489"/>
    <w:rsid w:val="00C828B8"/>
    <w:rsid w:val="00C82994"/>
    <w:rsid w:val="00C82E07"/>
    <w:rsid w:val="00C82EC5"/>
    <w:rsid w:val="00C82FD7"/>
    <w:rsid w:val="00C83041"/>
    <w:rsid w:val="00C832BE"/>
    <w:rsid w:val="00C834DD"/>
    <w:rsid w:val="00C8352A"/>
    <w:rsid w:val="00C838C3"/>
    <w:rsid w:val="00C84256"/>
    <w:rsid w:val="00C84264"/>
    <w:rsid w:val="00C8433B"/>
    <w:rsid w:val="00C8452A"/>
    <w:rsid w:val="00C84539"/>
    <w:rsid w:val="00C848A7"/>
    <w:rsid w:val="00C849C0"/>
    <w:rsid w:val="00C84F2E"/>
    <w:rsid w:val="00C85035"/>
    <w:rsid w:val="00C851CF"/>
    <w:rsid w:val="00C851F6"/>
    <w:rsid w:val="00C858FF"/>
    <w:rsid w:val="00C859DC"/>
    <w:rsid w:val="00C85AE0"/>
    <w:rsid w:val="00C85C44"/>
    <w:rsid w:val="00C85C65"/>
    <w:rsid w:val="00C85E05"/>
    <w:rsid w:val="00C85E30"/>
    <w:rsid w:val="00C8618B"/>
    <w:rsid w:val="00C86BFA"/>
    <w:rsid w:val="00C86E8E"/>
    <w:rsid w:val="00C86F30"/>
    <w:rsid w:val="00C87057"/>
    <w:rsid w:val="00C8712F"/>
    <w:rsid w:val="00C876A0"/>
    <w:rsid w:val="00C878CA"/>
    <w:rsid w:val="00C87AF2"/>
    <w:rsid w:val="00C87B57"/>
    <w:rsid w:val="00C87BB0"/>
    <w:rsid w:val="00C87FC6"/>
    <w:rsid w:val="00C904A1"/>
    <w:rsid w:val="00C908C6"/>
    <w:rsid w:val="00C9094C"/>
    <w:rsid w:val="00C90A2C"/>
    <w:rsid w:val="00C90B42"/>
    <w:rsid w:val="00C91074"/>
    <w:rsid w:val="00C914F9"/>
    <w:rsid w:val="00C9182B"/>
    <w:rsid w:val="00C91A45"/>
    <w:rsid w:val="00C91A6C"/>
    <w:rsid w:val="00C91C5F"/>
    <w:rsid w:val="00C9213E"/>
    <w:rsid w:val="00C9220F"/>
    <w:rsid w:val="00C92405"/>
    <w:rsid w:val="00C9255D"/>
    <w:rsid w:val="00C9265B"/>
    <w:rsid w:val="00C927C8"/>
    <w:rsid w:val="00C92962"/>
    <w:rsid w:val="00C9296C"/>
    <w:rsid w:val="00C92DFF"/>
    <w:rsid w:val="00C93010"/>
    <w:rsid w:val="00C93384"/>
    <w:rsid w:val="00C93529"/>
    <w:rsid w:val="00C938DC"/>
    <w:rsid w:val="00C9393A"/>
    <w:rsid w:val="00C93C5B"/>
    <w:rsid w:val="00C93FD8"/>
    <w:rsid w:val="00C94058"/>
    <w:rsid w:val="00C94170"/>
    <w:rsid w:val="00C943B5"/>
    <w:rsid w:val="00C945C2"/>
    <w:rsid w:val="00C946B2"/>
    <w:rsid w:val="00C946F6"/>
    <w:rsid w:val="00C9475D"/>
    <w:rsid w:val="00C949F5"/>
    <w:rsid w:val="00C94B15"/>
    <w:rsid w:val="00C94B1E"/>
    <w:rsid w:val="00C94EE5"/>
    <w:rsid w:val="00C95056"/>
    <w:rsid w:val="00C95115"/>
    <w:rsid w:val="00C951FD"/>
    <w:rsid w:val="00C952C3"/>
    <w:rsid w:val="00C9536E"/>
    <w:rsid w:val="00C9542D"/>
    <w:rsid w:val="00C957B0"/>
    <w:rsid w:val="00C95A15"/>
    <w:rsid w:val="00C95A37"/>
    <w:rsid w:val="00C95D21"/>
    <w:rsid w:val="00C961DD"/>
    <w:rsid w:val="00C962EF"/>
    <w:rsid w:val="00C962F3"/>
    <w:rsid w:val="00C963BF"/>
    <w:rsid w:val="00C96516"/>
    <w:rsid w:val="00C96568"/>
    <w:rsid w:val="00C96689"/>
    <w:rsid w:val="00C96865"/>
    <w:rsid w:val="00C96B8E"/>
    <w:rsid w:val="00C97097"/>
    <w:rsid w:val="00C970A1"/>
    <w:rsid w:val="00C97397"/>
    <w:rsid w:val="00C975E6"/>
    <w:rsid w:val="00C978FE"/>
    <w:rsid w:val="00C9799A"/>
    <w:rsid w:val="00C97A67"/>
    <w:rsid w:val="00C97B0A"/>
    <w:rsid w:val="00C97B39"/>
    <w:rsid w:val="00C97B4F"/>
    <w:rsid w:val="00C97D48"/>
    <w:rsid w:val="00C97EAC"/>
    <w:rsid w:val="00CA0C2D"/>
    <w:rsid w:val="00CA0E9B"/>
    <w:rsid w:val="00CA10D0"/>
    <w:rsid w:val="00CA1333"/>
    <w:rsid w:val="00CA13DE"/>
    <w:rsid w:val="00CA1458"/>
    <w:rsid w:val="00CA14F6"/>
    <w:rsid w:val="00CA15E6"/>
    <w:rsid w:val="00CA175E"/>
    <w:rsid w:val="00CA17BE"/>
    <w:rsid w:val="00CA19A9"/>
    <w:rsid w:val="00CA19DF"/>
    <w:rsid w:val="00CA1B16"/>
    <w:rsid w:val="00CA1E51"/>
    <w:rsid w:val="00CA2044"/>
    <w:rsid w:val="00CA21A9"/>
    <w:rsid w:val="00CA21BC"/>
    <w:rsid w:val="00CA24CC"/>
    <w:rsid w:val="00CA2AC3"/>
    <w:rsid w:val="00CA2F56"/>
    <w:rsid w:val="00CA2F89"/>
    <w:rsid w:val="00CA354F"/>
    <w:rsid w:val="00CA36A3"/>
    <w:rsid w:val="00CA38E9"/>
    <w:rsid w:val="00CA3EBB"/>
    <w:rsid w:val="00CA3FD3"/>
    <w:rsid w:val="00CA43F9"/>
    <w:rsid w:val="00CA4458"/>
    <w:rsid w:val="00CA45FC"/>
    <w:rsid w:val="00CA46E0"/>
    <w:rsid w:val="00CA481F"/>
    <w:rsid w:val="00CA482A"/>
    <w:rsid w:val="00CA487E"/>
    <w:rsid w:val="00CA508B"/>
    <w:rsid w:val="00CA50E1"/>
    <w:rsid w:val="00CA516C"/>
    <w:rsid w:val="00CA52B2"/>
    <w:rsid w:val="00CA549B"/>
    <w:rsid w:val="00CA56C5"/>
    <w:rsid w:val="00CA56E7"/>
    <w:rsid w:val="00CA595E"/>
    <w:rsid w:val="00CA59C2"/>
    <w:rsid w:val="00CA5A95"/>
    <w:rsid w:val="00CA5C04"/>
    <w:rsid w:val="00CA5C47"/>
    <w:rsid w:val="00CA5C4C"/>
    <w:rsid w:val="00CA5C82"/>
    <w:rsid w:val="00CA5D5D"/>
    <w:rsid w:val="00CA62D7"/>
    <w:rsid w:val="00CA62EE"/>
    <w:rsid w:val="00CA65EF"/>
    <w:rsid w:val="00CA6647"/>
    <w:rsid w:val="00CA679A"/>
    <w:rsid w:val="00CA68FB"/>
    <w:rsid w:val="00CA6E31"/>
    <w:rsid w:val="00CA729C"/>
    <w:rsid w:val="00CA7414"/>
    <w:rsid w:val="00CA7632"/>
    <w:rsid w:val="00CA7682"/>
    <w:rsid w:val="00CA77AE"/>
    <w:rsid w:val="00CA7854"/>
    <w:rsid w:val="00CA7A75"/>
    <w:rsid w:val="00CA7D07"/>
    <w:rsid w:val="00CA7D2F"/>
    <w:rsid w:val="00CA7D5D"/>
    <w:rsid w:val="00CA7E03"/>
    <w:rsid w:val="00CA7E75"/>
    <w:rsid w:val="00CA7F28"/>
    <w:rsid w:val="00CA7F30"/>
    <w:rsid w:val="00CA7F39"/>
    <w:rsid w:val="00CB00EA"/>
    <w:rsid w:val="00CB0125"/>
    <w:rsid w:val="00CB01EF"/>
    <w:rsid w:val="00CB01F6"/>
    <w:rsid w:val="00CB029E"/>
    <w:rsid w:val="00CB0367"/>
    <w:rsid w:val="00CB05A3"/>
    <w:rsid w:val="00CB0611"/>
    <w:rsid w:val="00CB0768"/>
    <w:rsid w:val="00CB0A1F"/>
    <w:rsid w:val="00CB0CE9"/>
    <w:rsid w:val="00CB0D49"/>
    <w:rsid w:val="00CB131F"/>
    <w:rsid w:val="00CB1320"/>
    <w:rsid w:val="00CB16C4"/>
    <w:rsid w:val="00CB1A00"/>
    <w:rsid w:val="00CB2121"/>
    <w:rsid w:val="00CB21AF"/>
    <w:rsid w:val="00CB221C"/>
    <w:rsid w:val="00CB2476"/>
    <w:rsid w:val="00CB2B76"/>
    <w:rsid w:val="00CB2D78"/>
    <w:rsid w:val="00CB2E15"/>
    <w:rsid w:val="00CB3049"/>
    <w:rsid w:val="00CB322B"/>
    <w:rsid w:val="00CB323B"/>
    <w:rsid w:val="00CB3340"/>
    <w:rsid w:val="00CB33D0"/>
    <w:rsid w:val="00CB340F"/>
    <w:rsid w:val="00CB3555"/>
    <w:rsid w:val="00CB3693"/>
    <w:rsid w:val="00CB372C"/>
    <w:rsid w:val="00CB391D"/>
    <w:rsid w:val="00CB3E69"/>
    <w:rsid w:val="00CB42CA"/>
    <w:rsid w:val="00CB434C"/>
    <w:rsid w:val="00CB439C"/>
    <w:rsid w:val="00CB452B"/>
    <w:rsid w:val="00CB4900"/>
    <w:rsid w:val="00CB4974"/>
    <w:rsid w:val="00CB4D1C"/>
    <w:rsid w:val="00CB4DC2"/>
    <w:rsid w:val="00CB4DCD"/>
    <w:rsid w:val="00CB4E4B"/>
    <w:rsid w:val="00CB4E4C"/>
    <w:rsid w:val="00CB4F2D"/>
    <w:rsid w:val="00CB50E5"/>
    <w:rsid w:val="00CB534F"/>
    <w:rsid w:val="00CB535F"/>
    <w:rsid w:val="00CB5387"/>
    <w:rsid w:val="00CB53F8"/>
    <w:rsid w:val="00CB544A"/>
    <w:rsid w:val="00CB5B5B"/>
    <w:rsid w:val="00CB5E59"/>
    <w:rsid w:val="00CB5FF4"/>
    <w:rsid w:val="00CB603C"/>
    <w:rsid w:val="00CB6272"/>
    <w:rsid w:val="00CB64FA"/>
    <w:rsid w:val="00CB653E"/>
    <w:rsid w:val="00CB6B3F"/>
    <w:rsid w:val="00CB6C9D"/>
    <w:rsid w:val="00CB6DA6"/>
    <w:rsid w:val="00CB7418"/>
    <w:rsid w:val="00CB751D"/>
    <w:rsid w:val="00CB7771"/>
    <w:rsid w:val="00CB7A7D"/>
    <w:rsid w:val="00CB7C49"/>
    <w:rsid w:val="00CB7EC4"/>
    <w:rsid w:val="00CB7F1B"/>
    <w:rsid w:val="00CC00D4"/>
    <w:rsid w:val="00CC01EB"/>
    <w:rsid w:val="00CC039F"/>
    <w:rsid w:val="00CC03FB"/>
    <w:rsid w:val="00CC0513"/>
    <w:rsid w:val="00CC0670"/>
    <w:rsid w:val="00CC0743"/>
    <w:rsid w:val="00CC0A8A"/>
    <w:rsid w:val="00CC0ADE"/>
    <w:rsid w:val="00CC0B25"/>
    <w:rsid w:val="00CC0BBE"/>
    <w:rsid w:val="00CC0F08"/>
    <w:rsid w:val="00CC100B"/>
    <w:rsid w:val="00CC106A"/>
    <w:rsid w:val="00CC106C"/>
    <w:rsid w:val="00CC1311"/>
    <w:rsid w:val="00CC1690"/>
    <w:rsid w:val="00CC1754"/>
    <w:rsid w:val="00CC1969"/>
    <w:rsid w:val="00CC19C9"/>
    <w:rsid w:val="00CC19DE"/>
    <w:rsid w:val="00CC215C"/>
    <w:rsid w:val="00CC2213"/>
    <w:rsid w:val="00CC2221"/>
    <w:rsid w:val="00CC23B3"/>
    <w:rsid w:val="00CC271C"/>
    <w:rsid w:val="00CC27FE"/>
    <w:rsid w:val="00CC2927"/>
    <w:rsid w:val="00CC2A78"/>
    <w:rsid w:val="00CC2B61"/>
    <w:rsid w:val="00CC2D98"/>
    <w:rsid w:val="00CC2E06"/>
    <w:rsid w:val="00CC2EEB"/>
    <w:rsid w:val="00CC2F62"/>
    <w:rsid w:val="00CC3066"/>
    <w:rsid w:val="00CC336B"/>
    <w:rsid w:val="00CC34F8"/>
    <w:rsid w:val="00CC3569"/>
    <w:rsid w:val="00CC367D"/>
    <w:rsid w:val="00CC3805"/>
    <w:rsid w:val="00CC38F7"/>
    <w:rsid w:val="00CC3A33"/>
    <w:rsid w:val="00CC3AB3"/>
    <w:rsid w:val="00CC3D23"/>
    <w:rsid w:val="00CC3D91"/>
    <w:rsid w:val="00CC3F3E"/>
    <w:rsid w:val="00CC4210"/>
    <w:rsid w:val="00CC4238"/>
    <w:rsid w:val="00CC44F1"/>
    <w:rsid w:val="00CC44FE"/>
    <w:rsid w:val="00CC4827"/>
    <w:rsid w:val="00CC4857"/>
    <w:rsid w:val="00CC4921"/>
    <w:rsid w:val="00CC4A41"/>
    <w:rsid w:val="00CC4FCE"/>
    <w:rsid w:val="00CC5371"/>
    <w:rsid w:val="00CC5388"/>
    <w:rsid w:val="00CC5431"/>
    <w:rsid w:val="00CC5476"/>
    <w:rsid w:val="00CC61E2"/>
    <w:rsid w:val="00CC6248"/>
    <w:rsid w:val="00CC644C"/>
    <w:rsid w:val="00CC644D"/>
    <w:rsid w:val="00CC658D"/>
    <w:rsid w:val="00CC665A"/>
    <w:rsid w:val="00CC67EC"/>
    <w:rsid w:val="00CC6ABA"/>
    <w:rsid w:val="00CC6D14"/>
    <w:rsid w:val="00CC6D92"/>
    <w:rsid w:val="00CC6FB8"/>
    <w:rsid w:val="00CC718D"/>
    <w:rsid w:val="00CC71E6"/>
    <w:rsid w:val="00CC7210"/>
    <w:rsid w:val="00CC74A2"/>
    <w:rsid w:val="00CC779C"/>
    <w:rsid w:val="00CC7AF7"/>
    <w:rsid w:val="00CC7C4B"/>
    <w:rsid w:val="00CC7F36"/>
    <w:rsid w:val="00CD03DE"/>
    <w:rsid w:val="00CD0492"/>
    <w:rsid w:val="00CD0518"/>
    <w:rsid w:val="00CD0593"/>
    <w:rsid w:val="00CD0676"/>
    <w:rsid w:val="00CD07CA"/>
    <w:rsid w:val="00CD07DE"/>
    <w:rsid w:val="00CD107A"/>
    <w:rsid w:val="00CD1184"/>
    <w:rsid w:val="00CD1311"/>
    <w:rsid w:val="00CD13B3"/>
    <w:rsid w:val="00CD146B"/>
    <w:rsid w:val="00CD155B"/>
    <w:rsid w:val="00CD15D4"/>
    <w:rsid w:val="00CD1A3E"/>
    <w:rsid w:val="00CD1A88"/>
    <w:rsid w:val="00CD1D86"/>
    <w:rsid w:val="00CD1E42"/>
    <w:rsid w:val="00CD1FD1"/>
    <w:rsid w:val="00CD20D4"/>
    <w:rsid w:val="00CD2187"/>
    <w:rsid w:val="00CD21DE"/>
    <w:rsid w:val="00CD246B"/>
    <w:rsid w:val="00CD2519"/>
    <w:rsid w:val="00CD251C"/>
    <w:rsid w:val="00CD251F"/>
    <w:rsid w:val="00CD2C94"/>
    <w:rsid w:val="00CD2CDC"/>
    <w:rsid w:val="00CD2CFA"/>
    <w:rsid w:val="00CD2E04"/>
    <w:rsid w:val="00CD2F34"/>
    <w:rsid w:val="00CD3481"/>
    <w:rsid w:val="00CD3B66"/>
    <w:rsid w:val="00CD3D48"/>
    <w:rsid w:val="00CD3EBC"/>
    <w:rsid w:val="00CD3F16"/>
    <w:rsid w:val="00CD4020"/>
    <w:rsid w:val="00CD42F8"/>
    <w:rsid w:val="00CD4817"/>
    <w:rsid w:val="00CD4CB3"/>
    <w:rsid w:val="00CD4F23"/>
    <w:rsid w:val="00CD4FC6"/>
    <w:rsid w:val="00CD520E"/>
    <w:rsid w:val="00CD5217"/>
    <w:rsid w:val="00CD531D"/>
    <w:rsid w:val="00CD5562"/>
    <w:rsid w:val="00CD558B"/>
    <w:rsid w:val="00CD55B3"/>
    <w:rsid w:val="00CD5723"/>
    <w:rsid w:val="00CD5911"/>
    <w:rsid w:val="00CD59D9"/>
    <w:rsid w:val="00CD5A05"/>
    <w:rsid w:val="00CD5B7D"/>
    <w:rsid w:val="00CD5CA7"/>
    <w:rsid w:val="00CD5D9A"/>
    <w:rsid w:val="00CD5F3B"/>
    <w:rsid w:val="00CD63C2"/>
    <w:rsid w:val="00CD66FD"/>
    <w:rsid w:val="00CD68A9"/>
    <w:rsid w:val="00CD6ABC"/>
    <w:rsid w:val="00CD7356"/>
    <w:rsid w:val="00CD750A"/>
    <w:rsid w:val="00CD7934"/>
    <w:rsid w:val="00CD7CD0"/>
    <w:rsid w:val="00CD7E16"/>
    <w:rsid w:val="00CD7EE5"/>
    <w:rsid w:val="00CD7FD7"/>
    <w:rsid w:val="00CE0097"/>
    <w:rsid w:val="00CE0306"/>
    <w:rsid w:val="00CE04A0"/>
    <w:rsid w:val="00CE04BA"/>
    <w:rsid w:val="00CE069C"/>
    <w:rsid w:val="00CE06BD"/>
    <w:rsid w:val="00CE07A2"/>
    <w:rsid w:val="00CE0855"/>
    <w:rsid w:val="00CE0BD4"/>
    <w:rsid w:val="00CE0C17"/>
    <w:rsid w:val="00CE0E14"/>
    <w:rsid w:val="00CE137A"/>
    <w:rsid w:val="00CE1471"/>
    <w:rsid w:val="00CE14D7"/>
    <w:rsid w:val="00CE16E0"/>
    <w:rsid w:val="00CE184E"/>
    <w:rsid w:val="00CE1AAD"/>
    <w:rsid w:val="00CE23B9"/>
    <w:rsid w:val="00CE265B"/>
    <w:rsid w:val="00CE2B6B"/>
    <w:rsid w:val="00CE2CD8"/>
    <w:rsid w:val="00CE2DF8"/>
    <w:rsid w:val="00CE2E99"/>
    <w:rsid w:val="00CE3042"/>
    <w:rsid w:val="00CE30A7"/>
    <w:rsid w:val="00CE30B0"/>
    <w:rsid w:val="00CE30E6"/>
    <w:rsid w:val="00CE333D"/>
    <w:rsid w:val="00CE3348"/>
    <w:rsid w:val="00CE341F"/>
    <w:rsid w:val="00CE344C"/>
    <w:rsid w:val="00CE345F"/>
    <w:rsid w:val="00CE34DC"/>
    <w:rsid w:val="00CE368B"/>
    <w:rsid w:val="00CE36DD"/>
    <w:rsid w:val="00CE3775"/>
    <w:rsid w:val="00CE37BA"/>
    <w:rsid w:val="00CE3BF2"/>
    <w:rsid w:val="00CE3F11"/>
    <w:rsid w:val="00CE476B"/>
    <w:rsid w:val="00CE4BBB"/>
    <w:rsid w:val="00CE4D3C"/>
    <w:rsid w:val="00CE4D54"/>
    <w:rsid w:val="00CE5359"/>
    <w:rsid w:val="00CE5372"/>
    <w:rsid w:val="00CE5525"/>
    <w:rsid w:val="00CE5673"/>
    <w:rsid w:val="00CE56F8"/>
    <w:rsid w:val="00CE5899"/>
    <w:rsid w:val="00CE593A"/>
    <w:rsid w:val="00CE593C"/>
    <w:rsid w:val="00CE5E98"/>
    <w:rsid w:val="00CE5F30"/>
    <w:rsid w:val="00CE5F83"/>
    <w:rsid w:val="00CE60CD"/>
    <w:rsid w:val="00CE62E1"/>
    <w:rsid w:val="00CE69FC"/>
    <w:rsid w:val="00CE6CC6"/>
    <w:rsid w:val="00CE6E7E"/>
    <w:rsid w:val="00CE6E81"/>
    <w:rsid w:val="00CE6FDD"/>
    <w:rsid w:val="00CE7073"/>
    <w:rsid w:val="00CE7B7F"/>
    <w:rsid w:val="00CE7E59"/>
    <w:rsid w:val="00CE7FAE"/>
    <w:rsid w:val="00CF0219"/>
    <w:rsid w:val="00CF04B4"/>
    <w:rsid w:val="00CF05DB"/>
    <w:rsid w:val="00CF07B4"/>
    <w:rsid w:val="00CF0AAA"/>
    <w:rsid w:val="00CF0B33"/>
    <w:rsid w:val="00CF0B8C"/>
    <w:rsid w:val="00CF0E5C"/>
    <w:rsid w:val="00CF0FC4"/>
    <w:rsid w:val="00CF1089"/>
    <w:rsid w:val="00CF127B"/>
    <w:rsid w:val="00CF1424"/>
    <w:rsid w:val="00CF188C"/>
    <w:rsid w:val="00CF1BF9"/>
    <w:rsid w:val="00CF1C3E"/>
    <w:rsid w:val="00CF1C79"/>
    <w:rsid w:val="00CF1D89"/>
    <w:rsid w:val="00CF209C"/>
    <w:rsid w:val="00CF2121"/>
    <w:rsid w:val="00CF2157"/>
    <w:rsid w:val="00CF223A"/>
    <w:rsid w:val="00CF22A1"/>
    <w:rsid w:val="00CF26C2"/>
    <w:rsid w:val="00CF26CB"/>
    <w:rsid w:val="00CF2708"/>
    <w:rsid w:val="00CF2C08"/>
    <w:rsid w:val="00CF2C97"/>
    <w:rsid w:val="00CF2DEB"/>
    <w:rsid w:val="00CF2F64"/>
    <w:rsid w:val="00CF311A"/>
    <w:rsid w:val="00CF31B6"/>
    <w:rsid w:val="00CF3359"/>
    <w:rsid w:val="00CF3400"/>
    <w:rsid w:val="00CF3545"/>
    <w:rsid w:val="00CF379F"/>
    <w:rsid w:val="00CF38E5"/>
    <w:rsid w:val="00CF3AD9"/>
    <w:rsid w:val="00CF42DF"/>
    <w:rsid w:val="00CF4307"/>
    <w:rsid w:val="00CF45DE"/>
    <w:rsid w:val="00CF4E36"/>
    <w:rsid w:val="00CF5368"/>
    <w:rsid w:val="00CF53F4"/>
    <w:rsid w:val="00CF55C3"/>
    <w:rsid w:val="00CF570D"/>
    <w:rsid w:val="00CF5A9E"/>
    <w:rsid w:val="00CF5ABA"/>
    <w:rsid w:val="00CF5B55"/>
    <w:rsid w:val="00CF5F3C"/>
    <w:rsid w:val="00CF6350"/>
    <w:rsid w:val="00CF6851"/>
    <w:rsid w:val="00CF687A"/>
    <w:rsid w:val="00CF73FC"/>
    <w:rsid w:val="00CF77CF"/>
    <w:rsid w:val="00CF7B6D"/>
    <w:rsid w:val="00CF7DDF"/>
    <w:rsid w:val="00CF7E6B"/>
    <w:rsid w:val="00CF7FAF"/>
    <w:rsid w:val="00D0008E"/>
    <w:rsid w:val="00D001D0"/>
    <w:rsid w:val="00D007CD"/>
    <w:rsid w:val="00D009E6"/>
    <w:rsid w:val="00D00D66"/>
    <w:rsid w:val="00D00EEC"/>
    <w:rsid w:val="00D01453"/>
    <w:rsid w:val="00D016EB"/>
    <w:rsid w:val="00D01713"/>
    <w:rsid w:val="00D0189B"/>
    <w:rsid w:val="00D018FE"/>
    <w:rsid w:val="00D01954"/>
    <w:rsid w:val="00D019DB"/>
    <w:rsid w:val="00D01B61"/>
    <w:rsid w:val="00D01BDE"/>
    <w:rsid w:val="00D01ED5"/>
    <w:rsid w:val="00D021D4"/>
    <w:rsid w:val="00D021F0"/>
    <w:rsid w:val="00D02271"/>
    <w:rsid w:val="00D02456"/>
    <w:rsid w:val="00D026BC"/>
    <w:rsid w:val="00D0270B"/>
    <w:rsid w:val="00D027F0"/>
    <w:rsid w:val="00D02AD7"/>
    <w:rsid w:val="00D02C47"/>
    <w:rsid w:val="00D02C53"/>
    <w:rsid w:val="00D03390"/>
    <w:rsid w:val="00D03458"/>
    <w:rsid w:val="00D035CD"/>
    <w:rsid w:val="00D0399B"/>
    <w:rsid w:val="00D03AAE"/>
    <w:rsid w:val="00D03E7A"/>
    <w:rsid w:val="00D04827"/>
    <w:rsid w:val="00D04CB1"/>
    <w:rsid w:val="00D04D5D"/>
    <w:rsid w:val="00D04EFF"/>
    <w:rsid w:val="00D051A6"/>
    <w:rsid w:val="00D051E5"/>
    <w:rsid w:val="00D05245"/>
    <w:rsid w:val="00D05307"/>
    <w:rsid w:val="00D0557D"/>
    <w:rsid w:val="00D05669"/>
    <w:rsid w:val="00D05801"/>
    <w:rsid w:val="00D059A4"/>
    <w:rsid w:val="00D05AD9"/>
    <w:rsid w:val="00D05BE6"/>
    <w:rsid w:val="00D05F24"/>
    <w:rsid w:val="00D0630F"/>
    <w:rsid w:val="00D06494"/>
    <w:rsid w:val="00D0673D"/>
    <w:rsid w:val="00D0682B"/>
    <w:rsid w:val="00D06878"/>
    <w:rsid w:val="00D06A55"/>
    <w:rsid w:val="00D06A74"/>
    <w:rsid w:val="00D06CBF"/>
    <w:rsid w:val="00D07089"/>
    <w:rsid w:val="00D0713C"/>
    <w:rsid w:val="00D071C1"/>
    <w:rsid w:val="00D071D2"/>
    <w:rsid w:val="00D074E1"/>
    <w:rsid w:val="00D078C6"/>
    <w:rsid w:val="00D07BAB"/>
    <w:rsid w:val="00D07C3D"/>
    <w:rsid w:val="00D07FB4"/>
    <w:rsid w:val="00D1036E"/>
    <w:rsid w:val="00D104E4"/>
    <w:rsid w:val="00D1052A"/>
    <w:rsid w:val="00D1060A"/>
    <w:rsid w:val="00D107E7"/>
    <w:rsid w:val="00D10D0E"/>
    <w:rsid w:val="00D10E1F"/>
    <w:rsid w:val="00D10E7B"/>
    <w:rsid w:val="00D10E91"/>
    <w:rsid w:val="00D1105A"/>
    <w:rsid w:val="00D1137B"/>
    <w:rsid w:val="00D1156E"/>
    <w:rsid w:val="00D11DB6"/>
    <w:rsid w:val="00D11E83"/>
    <w:rsid w:val="00D12042"/>
    <w:rsid w:val="00D12482"/>
    <w:rsid w:val="00D125BD"/>
    <w:rsid w:val="00D12700"/>
    <w:rsid w:val="00D1298F"/>
    <w:rsid w:val="00D12BB7"/>
    <w:rsid w:val="00D12DE3"/>
    <w:rsid w:val="00D12E30"/>
    <w:rsid w:val="00D13140"/>
    <w:rsid w:val="00D1314A"/>
    <w:rsid w:val="00D1321D"/>
    <w:rsid w:val="00D132D5"/>
    <w:rsid w:val="00D1346B"/>
    <w:rsid w:val="00D13621"/>
    <w:rsid w:val="00D13D29"/>
    <w:rsid w:val="00D13E53"/>
    <w:rsid w:val="00D14492"/>
    <w:rsid w:val="00D1463C"/>
    <w:rsid w:val="00D14707"/>
    <w:rsid w:val="00D14F14"/>
    <w:rsid w:val="00D1515C"/>
    <w:rsid w:val="00D151EA"/>
    <w:rsid w:val="00D152D3"/>
    <w:rsid w:val="00D15303"/>
    <w:rsid w:val="00D158FB"/>
    <w:rsid w:val="00D159A1"/>
    <w:rsid w:val="00D15A56"/>
    <w:rsid w:val="00D15C75"/>
    <w:rsid w:val="00D16051"/>
    <w:rsid w:val="00D160F7"/>
    <w:rsid w:val="00D16297"/>
    <w:rsid w:val="00D168AF"/>
    <w:rsid w:val="00D168DB"/>
    <w:rsid w:val="00D16A6C"/>
    <w:rsid w:val="00D16C83"/>
    <w:rsid w:val="00D16EF2"/>
    <w:rsid w:val="00D1755A"/>
    <w:rsid w:val="00D17788"/>
    <w:rsid w:val="00D17B22"/>
    <w:rsid w:val="00D20039"/>
    <w:rsid w:val="00D20461"/>
    <w:rsid w:val="00D20494"/>
    <w:rsid w:val="00D20869"/>
    <w:rsid w:val="00D209D7"/>
    <w:rsid w:val="00D20B75"/>
    <w:rsid w:val="00D20EB0"/>
    <w:rsid w:val="00D20FD0"/>
    <w:rsid w:val="00D21163"/>
    <w:rsid w:val="00D21346"/>
    <w:rsid w:val="00D2148E"/>
    <w:rsid w:val="00D21795"/>
    <w:rsid w:val="00D218BB"/>
    <w:rsid w:val="00D21A6E"/>
    <w:rsid w:val="00D21FA8"/>
    <w:rsid w:val="00D220EF"/>
    <w:rsid w:val="00D22166"/>
    <w:rsid w:val="00D222F5"/>
    <w:rsid w:val="00D223F3"/>
    <w:rsid w:val="00D22675"/>
    <w:rsid w:val="00D22B80"/>
    <w:rsid w:val="00D22B8A"/>
    <w:rsid w:val="00D2314B"/>
    <w:rsid w:val="00D235AC"/>
    <w:rsid w:val="00D236B7"/>
    <w:rsid w:val="00D23BE3"/>
    <w:rsid w:val="00D23E48"/>
    <w:rsid w:val="00D23E5F"/>
    <w:rsid w:val="00D23ED9"/>
    <w:rsid w:val="00D242E2"/>
    <w:rsid w:val="00D244BE"/>
    <w:rsid w:val="00D244CE"/>
    <w:rsid w:val="00D24537"/>
    <w:rsid w:val="00D24640"/>
    <w:rsid w:val="00D2482F"/>
    <w:rsid w:val="00D24B50"/>
    <w:rsid w:val="00D24B54"/>
    <w:rsid w:val="00D24FC4"/>
    <w:rsid w:val="00D2529B"/>
    <w:rsid w:val="00D252EA"/>
    <w:rsid w:val="00D2534F"/>
    <w:rsid w:val="00D25352"/>
    <w:rsid w:val="00D25410"/>
    <w:rsid w:val="00D25964"/>
    <w:rsid w:val="00D25E0A"/>
    <w:rsid w:val="00D25EC9"/>
    <w:rsid w:val="00D25FED"/>
    <w:rsid w:val="00D26167"/>
    <w:rsid w:val="00D263FE"/>
    <w:rsid w:val="00D26474"/>
    <w:rsid w:val="00D26488"/>
    <w:rsid w:val="00D268D9"/>
    <w:rsid w:val="00D2692A"/>
    <w:rsid w:val="00D26A83"/>
    <w:rsid w:val="00D26B93"/>
    <w:rsid w:val="00D26D2F"/>
    <w:rsid w:val="00D26EF9"/>
    <w:rsid w:val="00D26F36"/>
    <w:rsid w:val="00D27022"/>
    <w:rsid w:val="00D27232"/>
    <w:rsid w:val="00D273B1"/>
    <w:rsid w:val="00D2758B"/>
    <w:rsid w:val="00D275BB"/>
    <w:rsid w:val="00D278E5"/>
    <w:rsid w:val="00D278F4"/>
    <w:rsid w:val="00D2798D"/>
    <w:rsid w:val="00D27B83"/>
    <w:rsid w:val="00D27D8A"/>
    <w:rsid w:val="00D27F2D"/>
    <w:rsid w:val="00D300E9"/>
    <w:rsid w:val="00D30118"/>
    <w:rsid w:val="00D30262"/>
    <w:rsid w:val="00D30334"/>
    <w:rsid w:val="00D30340"/>
    <w:rsid w:val="00D3036A"/>
    <w:rsid w:val="00D304CF"/>
    <w:rsid w:val="00D30814"/>
    <w:rsid w:val="00D3090A"/>
    <w:rsid w:val="00D30D40"/>
    <w:rsid w:val="00D30D68"/>
    <w:rsid w:val="00D30E12"/>
    <w:rsid w:val="00D30E7D"/>
    <w:rsid w:val="00D310F3"/>
    <w:rsid w:val="00D3111E"/>
    <w:rsid w:val="00D31221"/>
    <w:rsid w:val="00D31286"/>
    <w:rsid w:val="00D31318"/>
    <w:rsid w:val="00D316DF"/>
    <w:rsid w:val="00D31700"/>
    <w:rsid w:val="00D31851"/>
    <w:rsid w:val="00D31BD9"/>
    <w:rsid w:val="00D31F8D"/>
    <w:rsid w:val="00D32066"/>
    <w:rsid w:val="00D320F7"/>
    <w:rsid w:val="00D323F9"/>
    <w:rsid w:val="00D32449"/>
    <w:rsid w:val="00D32664"/>
    <w:rsid w:val="00D326D0"/>
    <w:rsid w:val="00D32734"/>
    <w:rsid w:val="00D328B5"/>
    <w:rsid w:val="00D32D36"/>
    <w:rsid w:val="00D32D40"/>
    <w:rsid w:val="00D32E3A"/>
    <w:rsid w:val="00D32FA5"/>
    <w:rsid w:val="00D3300B"/>
    <w:rsid w:val="00D336AD"/>
    <w:rsid w:val="00D33BDE"/>
    <w:rsid w:val="00D33C32"/>
    <w:rsid w:val="00D33D52"/>
    <w:rsid w:val="00D33EBE"/>
    <w:rsid w:val="00D34058"/>
    <w:rsid w:val="00D3410D"/>
    <w:rsid w:val="00D34376"/>
    <w:rsid w:val="00D343BD"/>
    <w:rsid w:val="00D34615"/>
    <w:rsid w:val="00D34B1B"/>
    <w:rsid w:val="00D34C29"/>
    <w:rsid w:val="00D34CAA"/>
    <w:rsid w:val="00D34F58"/>
    <w:rsid w:val="00D35357"/>
    <w:rsid w:val="00D353B4"/>
    <w:rsid w:val="00D35755"/>
    <w:rsid w:val="00D35C97"/>
    <w:rsid w:val="00D35D9E"/>
    <w:rsid w:val="00D35E91"/>
    <w:rsid w:val="00D35FE9"/>
    <w:rsid w:val="00D361D9"/>
    <w:rsid w:val="00D36CB6"/>
    <w:rsid w:val="00D36CCC"/>
    <w:rsid w:val="00D36CF4"/>
    <w:rsid w:val="00D36CFB"/>
    <w:rsid w:val="00D373FF"/>
    <w:rsid w:val="00D375EF"/>
    <w:rsid w:val="00D376FD"/>
    <w:rsid w:val="00D37872"/>
    <w:rsid w:val="00D37E21"/>
    <w:rsid w:val="00D37ECC"/>
    <w:rsid w:val="00D4010D"/>
    <w:rsid w:val="00D40112"/>
    <w:rsid w:val="00D401AB"/>
    <w:rsid w:val="00D401C6"/>
    <w:rsid w:val="00D4049E"/>
    <w:rsid w:val="00D40508"/>
    <w:rsid w:val="00D40570"/>
    <w:rsid w:val="00D406B2"/>
    <w:rsid w:val="00D4071A"/>
    <w:rsid w:val="00D4095B"/>
    <w:rsid w:val="00D409DB"/>
    <w:rsid w:val="00D40B95"/>
    <w:rsid w:val="00D40EAE"/>
    <w:rsid w:val="00D40EE2"/>
    <w:rsid w:val="00D4111E"/>
    <w:rsid w:val="00D414C7"/>
    <w:rsid w:val="00D41929"/>
    <w:rsid w:val="00D41A59"/>
    <w:rsid w:val="00D41B5E"/>
    <w:rsid w:val="00D41CBA"/>
    <w:rsid w:val="00D41CF9"/>
    <w:rsid w:val="00D41E77"/>
    <w:rsid w:val="00D42107"/>
    <w:rsid w:val="00D424F7"/>
    <w:rsid w:val="00D42630"/>
    <w:rsid w:val="00D427C9"/>
    <w:rsid w:val="00D4281E"/>
    <w:rsid w:val="00D42B97"/>
    <w:rsid w:val="00D42D04"/>
    <w:rsid w:val="00D43096"/>
    <w:rsid w:val="00D43638"/>
    <w:rsid w:val="00D43805"/>
    <w:rsid w:val="00D43B5E"/>
    <w:rsid w:val="00D43BC4"/>
    <w:rsid w:val="00D43D89"/>
    <w:rsid w:val="00D43DE4"/>
    <w:rsid w:val="00D43F83"/>
    <w:rsid w:val="00D445E0"/>
    <w:rsid w:val="00D44715"/>
    <w:rsid w:val="00D448AA"/>
    <w:rsid w:val="00D44DA5"/>
    <w:rsid w:val="00D44DEF"/>
    <w:rsid w:val="00D44E8E"/>
    <w:rsid w:val="00D44EBC"/>
    <w:rsid w:val="00D44FC7"/>
    <w:rsid w:val="00D45001"/>
    <w:rsid w:val="00D45025"/>
    <w:rsid w:val="00D45071"/>
    <w:rsid w:val="00D45159"/>
    <w:rsid w:val="00D452D4"/>
    <w:rsid w:val="00D4546A"/>
    <w:rsid w:val="00D454B3"/>
    <w:rsid w:val="00D4586E"/>
    <w:rsid w:val="00D458E5"/>
    <w:rsid w:val="00D45A0E"/>
    <w:rsid w:val="00D45A7A"/>
    <w:rsid w:val="00D45C58"/>
    <w:rsid w:val="00D45D35"/>
    <w:rsid w:val="00D45DA9"/>
    <w:rsid w:val="00D45DEB"/>
    <w:rsid w:val="00D4610D"/>
    <w:rsid w:val="00D463A2"/>
    <w:rsid w:val="00D46593"/>
    <w:rsid w:val="00D46852"/>
    <w:rsid w:val="00D4693B"/>
    <w:rsid w:val="00D469D9"/>
    <w:rsid w:val="00D46AB2"/>
    <w:rsid w:val="00D46C90"/>
    <w:rsid w:val="00D46D50"/>
    <w:rsid w:val="00D46F27"/>
    <w:rsid w:val="00D471ED"/>
    <w:rsid w:val="00D472D9"/>
    <w:rsid w:val="00D47331"/>
    <w:rsid w:val="00D47411"/>
    <w:rsid w:val="00D47647"/>
    <w:rsid w:val="00D47815"/>
    <w:rsid w:val="00D47A4F"/>
    <w:rsid w:val="00D47C52"/>
    <w:rsid w:val="00D47CF2"/>
    <w:rsid w:val="00D47D2C"/>
    <w:rsid w:val="00D47FDB"/>
    <w:rsid w:val="00D500D3"/>
    <w:rsid w:val="00D501AA"/>
    <w:rsid w:val="00D501FA"/>
    <w:rsid w:val="00D50344"/>
    <w:rsid w:val="00D503A5"/>
    <w:rsid w:val="00D5050B"/>
    <w:rsid w:val="00D5069A"/>
    <w:rsid w:val="00D506EF"/>
    <w:rsid w:val="00D509B1"/>
    <w:rsid w:val="00D50F84"/>
    <w:rsid w:val="00D5127A"/>
    <w:rsid w:val="00D51477"/>
    <w:rsid w:val="00D51647"/>
    <w:rsid w:val="00D516BD"/>
    <w:rsid w:val="00D516EB"/>
    <w:rsid w:val="00D518A7"/>
    <w:rsid w:val="00D51F0F"/>
    <w:rsid w:val="00D52038"/>
    <w:rsid w:val="00D5221D"/>
    <w:rsid w:val="00D52283"/>
    <w:rsid w:val="00D526F8"/>
    <w:rsid w:val="00D5276E"/>
    <w:rsid w:val="00D527C8"/>
    <w:rsid w:val="00D5287C"/>
    <w:rsid w:val="00D52B7E"/>
    <w:rsid w:val="00D52BBB"/>
    <w:rsid w:val="00D52BD8"/>
    <w:rsid w:val="00D52E6A"/>
    <w:rsid w:val="00D52F46"/>
    <w:rsid w:val="00D53509"/>
    <w:rsid w:val="00D53637"/>
    <w:rsid w:val="00D5376F"/>
    <w:rsid w:val="00D53882"/>
    <w:rsid w:val="00D5392D"/>
    <w:rsid w:val="00D53953"/>
    <w:rsid w:val="00D5396D"/>
    <w:rsid w:val="00D53BC0"/>
    <w:rsid w:val="00D53CE6"/>
    <w:rsid w:val="00D53FCB"/>
    <w:rsid w:val="00D54239"/>
    <w:rsid w:val="00D546AE"/>
    <w:rsid w:val="00D54840"/>
    <w:rsid w:val="00D5499C"/>
    <w:rsid w:val="00D54B50"/>
    <w:rsid w:val="00D54E69"/>
    <w:rsid w:val="00D552EE"/>
    <w:rsid w:val="00D55656"/>
    <w:rsid w:val="00D5567E"/>
    <w:rsid w:val="00D557F0"/>
    <w:rsid w:val="00D55928"/>
    <w:rsid w:val="00D55AF0"/>
    <w:rsid w:val="00D55F0F"/>
    <w:rsid w:val="00D5648E"/>
    <w:rsid w:val="00D565D4"/>
    <w:rsid w:val="00D567A6"/>
    <w:rsid w:val="00D56B70"/>
    <w:rsid w:val="00D56C38"/>
    <w:rsid w:val="00D56F15"/>
    <w:rsid w:val="00D5713D"/>
    <w:rsid w:val="00D57180"/>
    <w:rsid w:val="00D573EC"/>
    <w:rsid w:val="00D57504"/>
    <w:rsid w:val="00D575E8"/>
    <w:rsid w:val="00D577B7"/>
    <w:rsid w:val="00D578F0"/>
    <w:rsid w:val="00D57AB1"/>
    <w:rsid w:val="00D57B11"/>
    <w:rsid w:val="00D600F4"/>
    <w:rsid w:val="00D60157"/>
    <w:rsid w:val="00D60251"/>
    <w:rsid w:val="00D6057C"/>
    <w:rsid w:val="00D607E0"/>
    <w:rsid w:val="00D60805"/>
    <w:rsid w:val="00D60A87"/>
    <w:rsid w:val="00D60CFD"/>
    <w:rsid w:val="00D60DD1"/>
    <w:rsid w:val="00D61046"/>
    <w:rsid w:val="00D61217"/>
    <w:rsid w:val="00D614B0"/>
    <w:rsid w:val="00D614B7"/>
    <w:rsid w:val="00D615C7"/>
    <w:rsid w:val="00D616C5"/>
    <w:rsid w:val="00D6173B"/>
    <w:rsid w:val="00D61898"/>
    <w:rsid w:val="00D61981"/>
    <w:rsid w:val="00D619FD"/>
    <w:rsid w:val="00D6246D"/>
    <w:rsid w:val="00D6269F"/>
    <w:rsid w:val="00D62DB6"/>
    <w:rsid w:val="00D62F7C"/>
    <w:rsid w:val="00D63447"/>
    <w:rsid w:val="00D6347A"/>
    <w:rsid w:val="00D6356D"/>
    <w:rsid w:val="00D635CE"/>
    <w:rsid w:val="00D636D3"/>
    <w:rsid w:val="00D6391B"/>
    <w:rsid w:val="00D63934"/>
    <w:rsid w:val="00D63B98"/>
    <w:rsid w:val="00D63CD1"/>
    <w:rsid w:val="00D63E85"/>
    <w:rsid w:val="00D64059"/>
    <w:rsid w:val="00D6428D"/>
    <w:rsid w:val="00D6437F"/>
    <w:rsid w:val="00D644C2"/>
    <w:rsid w:val="00D64667"/>
    <w:rsid w:val="00D647DB"/>
    <w:rsid w:val="00D64833"/>
    <w:rsid w:val="00D64E78"/>
    <w:rsid w:val="00D650C5"/>
    <w:rsid w:val="00D651DA"/>
    <w:rsid w:val="00D65425"/>
    <w:rsid w:val="00D65536"/>
    <w:rsid w:val="00D6553D"/>
    <w:rsid w:val="00D655E5"/>
    <w:rsid w:val="00D656EB"/>
    <w:rsid w:val="00D656EE"/>
    <w:rsid w:val="00D65C69"/>
    <w:rsid w:val="00D65D96"/>
    <w:rsid w:val="00D65F20"/>
    <w:rsid w:val="00D66003"/>
    <w:rsid w:val="00D66181"/>
    <w:rsid w:val="00D66232"/>
    <w:rsid w:val="00D66401"/>
    <w:rsid w:val="00D6671D"/>
    <w:rsid w:val="00D66858"/>
    <w:rsid w:val="00D6686E"/>
    <w:rsid w:val="00D66BA4"/>
    <w:rsid w:val="00D66CFF"/>
    <w:rsid w:val="00D66D66"/>
    <w:rsid w:val="00D66F94"/>
    <w:rsid w:val="00D670AE"/>
    <w:rsid w:val="00D67281"/>
    <w:rsid w:val="00D672C3"/>
    <w:rsid w:val="00D678AE"/>
    <w:rsid w:val="00D679FD"/>
    <w:rsid w:val="00D67C9E"/>
    <w:rsid w:val="00D67E65"/>
    <w:rsid w:val="00D70076"/>
    <w:rsid w:val="00D70088"/>
    <w:rsid w:val="00D701C8"/>
    <w:rsid w:val="00D701E8"/>
    <w:rsid w:val="00D70222"/>
    <w:rsid w:val="00D703B9"/>
    <w:rsid w:val="00D707A9"/>
    <w:rsid w:val="00D708C7"/>
    <w:rsid w:val="00D708E9"/>
    <w:rsid w:val="00D70AFD"/>
    <w:rsid w:val="00D70D5E"/>
    <w:rsid w:val="00D71026"/>
    <w:rsid w:val="00D71106"/>
    <w:rsid w:val="00D7149A"/>
    <w:rsid w:val="00D71528"/>
    <w:rsid w:val="00D715B2"/>
    <w:rsid w:val="00D71674"/>
    <w:rsid w:val="00D71920"/>
    <w:rsid w:val="00D72097"/>
    <w:rsid w:val="00D720DF"/>
    <w:rsid w:val="00D721E0"/>
    <w:rsid w:val="00D7244E"/>
    <w:rsid w:val="00D7250F"/>
    <w:rsid w:val="00D72512"/>
    <w:rsid w:val="00D72544"/>
    <w:rsid w:val="00D72A83"/>
    <w:rsid w:val="00D72BF1"/>
    <w:rsid w:val="00D72CBF"/>
    <w:rsid w:val="00D72FDC"/>
    <w:rsid w:val="00D730B0"/>
    <w:rsid w:val="00D73385"/>
    <w:rsid w:val="00D73744"/>
    <w:rsid w:val="00D73954"/>
    <w:rsid w:val="00D739FC"/>
    <w:rsid w:val="00D73DB4"/>
    <w:rsid w:val="00D73E92"/>
    <w:rsid w:val="00D73FCD"/>
    <w:rsid w:val="00D74078"/>
    <w:rsid w:val="00D74093"/>
    <w:rsid w:val="00D749C1"/>
    <w:rsid w:val="00D74D67"/>
    <w:rsid w:val="00D74E88"/>
    <w:rsid w:val="00D7506D"/>
    <w:rsid w:val="00D755F3"/>
    <w:rsid w:val="00D7563F"/>
    <w:rsid w:val="00D756DA"/>
    <w:rsid w:val="00D757AE"/>
    <w:rsid w:val="00D75B70"/>
    <w:rsid w:val="00D75CCE"/>
    <w:rsid w:val="00D76269"/>
    <w:rsid w:val="00D765A0"/>
    <w:rsid w:val="00D76684"/>
    <w:rsid w:val="00D766AA"/>
    <w:rsid w:val="00D76998"/>
    <w:rsid w:val="00D7699A"/>
    <w:rsid w:val="00D769A2"/>
    <w:rsid w:val="00D76AB5"/>
    <w:rsid w:val="00D77114"/>
    <w:rsid w:val="00D771FD"/>
    <w:rsid w:val="00D77543"/>
    <w:rsid w:val="00D7796D"/>
    <w:rsid w:val="00D779C2"/>
    <w:rsid w:val="00D77BF3"/>
    <w:rsid w:val="00D77EF6"/>
    <w:rsid w:val="00D77FDB"/>
    <w:rsid w:val="00D800F7"/>
    <w:rsid w:val="00D8011D"/>
    <w:rsid w:val="00D80137"/>
    <w:rsid w:val="00D80443"/>
    <w:rsid w:val="00D80855"/>
    <w:rsid w:val="00D80B1A"/>
    <w:rsid w:val="00D80C06"/>
    <w:rsid w:val="00D81019"/>
    <w:rsid w:val="00D8111F"/>
    <w:rsid w:val="00D812C7"/>
    <w:rsid w:val="00D8140D"/>
    <w:rsid w:val="00D816C2"/>
    <w:rsid w:val="00D81B18"/>
    <w:rsid w:val="00D81EFD"/>
    <w:rsid w:val="00D82253"/>
    <w:rsid w:val="00D822AE"/>
    <w:rsid w:val="00D824F7"/>
    <w:rsid w:val="00D82666"/>
    <w:rsid w:val="00D82E4E"/>
    <w:rsid w:val="00D831DB"/>
    <w:rsid w:val="00D8327F"/>
    <w:rsid w:val="00D83541"/>
    <w:rsid w:val="00D83695"/>
    <w:rsid w:val="00D836EA"/>
    <w:rsid w:val="00D836F8"/>
    <w:rsid w:val="00D83768"/>
    <w:rsid w:val="00D8435E"/>
    <w:rsid w:val="00D844D4"/>
    <w:rsid w:val="00D8450F"/>
    <w:rsid w:val="00D8466B"/>
    <w:rsid w:val="00D8476B"/>
    <w:rsid w:val="00D8487E"/>
    <w:rsid w:val="00D84B4D"/>
    <w:rsid w:val="00D84D05"/>
    <w:rsid w:val="00D84FCE"/>
    <w:rsid w:val="00D8501A"/>
    <w:rsid w:val="00D856AF"/>
    <w:rsid w:val="00D85BA0"/>
    <w:rsid w:val="00D85F1D"/>
    <w:rsid w:val="00D86281"/>
    <w:rsid w:val="00D86421"/>
    <w:rsid w:val="00D865F5"/>
    <w:rsid w:val="00D866A4"/>
    <w:rsid w:val="00D86757"/>
    <w:rsid w:val="00D869FB"/>
    <w:rsid w:val="00D86BED"/>
    <w:rsid w:val="00D86F9B"/>
    <w:rsid w:val="00D87103"/>
    <w:rsid w:val="00D873DC"/>
    <w:rsid w:val="00D87453"/>
    <w:rsid w:val="00D8794E"/>
    <w:rsid w:val="00D87997"/>
    <w:rsid w:val="00D879F0"/>
    <w:rsid w:val="00D87C14"/>
    <w:rsid w:val="00D87D8A"/>
    <w:rsid w:val="00D87F7F"/>
    <w:rsid w:val="00D9012E"/>
    <w:rsid w:val="00D901AD"/>
    <w:rsid w:val="00D901CA"/>
    <w:rsid w:val="00D9028D"/>
    <w:rsid w:val="00D903DE"/>
    <w:rsid w:val="00D906D9"/>
    <w:rsid w:val="00D90786"/>
    <w:rsid w:val="00D909BA"/>
    <w:rsid w:val="00D90B13"/>
    <w:rsid w:val="00D90EEA"/>
    <w:rsid w:val="00D9100A"/>
    <w:rsid w:val="00D91390"/>
    <w:rsid w:val="00D91540"/>
    <w:rsid w:val="00D91B3E"/>
    <w:rsid w:val="00D91F6E"/>
    <w:rsid w:val="00D91FCA"/>
    <w:rsid w:val="00D92148"/>
    <w:rsid w:val="00D9223B"/>
    <w:rsid w:val="00D92262"/>
    <w:rsid w:val="00D922E4"/>
    <w:rsid w:val="00D926DA"/>
    <w:rsid w:val="00D927AC"/>
    <w:rsid w:val="00D927DE"/>
    <w:rsid w:val="00D92832"/>
    <w:rsid w:val="00D92A3A"/>
    <w:rsid w:val="00D92FE9"/>
    <w:rsid w:val="00D9333F"/>
    <w:rsid w:val="00D9340D"/>
    <w:rsid w:val="00D9355C"/>
    <w:rsid w:val="00D936A3"/>
    <w:rsid w:val="00D936FD"/>
    <w:rsid w:val="00D939A2"/>
    <w:rsid w:val="00D93A16"/>
    <w:rsid w:val="00D93A50"/>
    <w:rsid w:val="00D93B28"/>
    <w:rsid w:val="00D93B89"/>
    <w:rsid w:val="00D93C1B"/>
    <w:rsid w:val="00D93CD5"/>
    <w:rsid w:val="00D93D55"/>
    <w:rsid w:val="00D93E19"/>
    <w:rsid w:val="00D94187"/>
    <w:rsid w:val="00D94249"/>
    <w:rsid w:val="00D9436D"/>
    <w:rsid w:val="00D94554"/>
    <w:rsid w:val="00D945AB"/>
    <w:rsid w:val="00D9496D"/>
    <w:rsid w:val="00D94B5A"/>
    <w:rsid w:val="00D94DE8"/>
    <w:rsid w:val="00D94E49"/>
    <w:rsid w:val="00D9500A"/>
    <w:rsid w:val="00D95751"/>
    <w:rsid w:val="00D95954"/>
    <w:rsid w:val="00D96133"/>
    <w:rsid w:val="00D96288"/>
    <w:rsid w:val="00D96337"/>
    <w:rsid w:val="00D96356"/>
    <w:rsid w:val="00D9648E"/>
    <w:rsid w:val="00D96699"/>
    <w:rsid w:val="00D96DBC"/>
    <w:rsid w:val="00D96DCC"/>
    <w:rsid w:val="00D96E08"/>
    <w:rsid w:val="00D96E42"/>
    <w:rsid w:val="00D96E5F"/>
    <w:rsid w:val="00D96ED8"/>
    <w:rsid w:val="00D97252"/>
    <w:rsid w:val="00D974BF"/>
    <w:rsid w:val="00D975AB"/>
    <w:rsid w:val="00D97788"/>
    <w:rsid w:val="00D97BCF"/>
    <w:rsid w:val="00D97BEF"/>
    <w:rsid w:val="00D97CAF"/>
    <w:rsid w:val="00D97F9A"/>
    <w:rsid w:val="00DA004C"/>
    <w:rsid w:val="00DA0155"/>
    <w:rsid w:val="00DA05D8"/>
    <w:rsid w:val="00DA064F"/>
    <w:rsid w:val="00DA0768"/>
    <w:rsid w:val="00DA076C"/>
    <w:rsid w:val="00DA07D7"/>
    <w:rsid w:val="00DA0E91"/>
    <w:rsid w:val="00DA0F8E"/>
    <w:rsid w:val="00DA15C8"/>
    <w:rsid w:val="00DA161A"/>
    <w:rsid w:val="00DA1C42"/>
    <w:rsid w:val="00DA1CD0"/>
    <w:rsid w:val="00DA1FE9"/>
    <w:rsid w:val="00DA20A3"/>
    <w:rsid w:val="00DA20DA"/>
    <w:rsid w:val="00DA2220"/>
    <w:rsid w:val="00DA2358"/>
    <w:rsid w:val="00DA2886"/>
    <w:rsid w:val="00DA2C18"/>
    <w:rsid w:val="00DA2EFC"/>
    <w:rsid w:val="00DA32A5"/>
    <w:rsid w:val="00DA3486"/>
    <w:rsid w:val="00DA3494"/>
    <w:rsid w:val="00DA352C"/>
    <w:rsid w:val="00DA3633"/>
    <w:rsid w:val="00DA3666"/>
    <w:rsid w:val="00DA385B"/>
    <w:rsid w:val="00DA3A39"/>
    <w:rsid w:val="00DA3A92"/>
    <w:rsid w:val="00DA3C9A"/>
    <w:rsid w:val="00DA3E2F"/>
    <w:rsid w:val="00DA3EEE"/>
    <w:rsid w:val="00DA4039"/>
    <w:rsid w:val="00DA4258"/>
    <w:rsid w:val="00DA43A0"/>
    <w:rsid w:val="00DA44AE"/>
    <w:rsid w:val="00DA46CD"/>
    <w:rsid w:val="00DA475F"/>
    <w:rsid w:val="00DA4850"/>
    <w:rsid w:val="00DA4968"/>
    <w:rsid w:val="00DA4B02"/>
    <w:rsid w:val="00DA4F7F"/>
    <w:rsid w:val="00DA507C"/>
    <w:rsid w:val="00DA5129"/>
    <w:rsid w:val="00DA5487"/>
    <w:rsid w:val="00DA573A"/>
    <w:rsid w:val="00DA59A0"/>
    <w:rsid w:val="00DA59A5"/>
    <w:rsid w:val="00DA5A94"/>
    <w:rsid w:val="00DA5C3F"/>
    <w:rsid w:val="00DA5C4F"/>
    <w:rsid w:val="00DA5C91"/>
    <w:rsid w:val="00DA5D02"/>
    <w:rsid w:val="00DA5E26"/>
    <w:rsid w:val="00DA5FAC"/>
    <w:rsid w:val="00DA6377"/>
    <w:rsid w:val="00DA6514"/>
    <w:rsid w:val="00DA6824"/>
    <w:rsid w:val="00DA6931"/>
    <w:rsid w:val="00DA6A04"/>
    <w:rsid w:val="00DA6C16"/>
    <w:rsid w:val="00DA7155"/>
    <w:rsid w:val="00DA7191"/>
    <w:rsid w:val="00DA752A"/>
    <w:rsid w:val="00DA7597"/>
    <w:rsid w:val="00DA7634"/>
    <w:rsid w:val="00DA7727"/>
    <w:rsid w:val="00DA7863"/>
    <w:rsid w:val="00DA7953"/>
    <w:rsid w:val="00DA7A46"/>
    <w:rsid w:val="00DA7A60"/>
    <w:rsid w:val="00DA7C81"/>
    <w:rsid w:val="00DA7EFD"/>
    <w:rsid w:val="00DA7F1B"/>
    <w:rsid w:val="00DB006E"/>
    <w:rsid w:val="00DB012F"/>
    <w:rsid w:val="00DB0286"/>
    <w:rsid w:val="00DB031B"/>
    <w:rsid w:val="00DB0324"/>
    <w:rsid w:val="00DB05AE"/>
    <w:rsid w:val="00DB05B7"/>
    <w:rsid w:val="00DB05BD"/>
    <w:rsid w:val="00DB061A"/>
    <w:rsid w:val="00DB0867"/>
    <w:rsid w:val="00DB0CA8"/>
    <w:rsid w:val="00DB0FF5"/>
    <w:rsid w:val="00DB1044"/>
    <w:rsid w:val="00DB1144"/>
    <w:rsid w:val="00DB1316"/>
    <w:rsid w:val="00DB14EB"/>
    <w:rsid w:val="00DB17F7"/>
    <w:rsid w:val="00DB1B4A"/>
    <w:rsid w:val="00DB1C73"/>
    <w:rsid w:val="00DB1E77"/>
    <w:rsid w:val="00DB1FC2"/>
    <w:rsid w:val="00DB1FCF"/>
    <w:rsid w:val="00DB2355"/>
    <w:rsid w:val="00DB2914"/>
    <w:rsid w:val="00DB2CF9"/>
    <w:rsid w:val="00DB2E08"/>
    <w:rsid w:val="00DB2E43"/>
    <w:rsid w:val="00DB2E7C"/>
    <w:rsid w:val="00DB2ECF"/>
    <w:rsid w:val="00DB316D"/>
    <w:rsid w:val="00DB337F"/>
    <w:rsid w:val="00DB35FF"/>
    <w:rsid w:val="00DB38DC"/>
    <w:rsid w:val="00DB3BB4"/>
    <w:rsid w:val="00DB3EA6"/>
    <w:rsid w:val="00DB3FAC"/>
    <w:rsid w:val="00DB3FCE"/>
    <w:rsid w:val="00DB40E4"/>
    <w:rsid w:val="00DB4143"/>
    <w:rsid w:val="00DB41B1"/>
    <w:rsid w:val="00DB41BF"/>
    <w:rsid w:val="00DB43B7"/>
    <w:rsid w:val="00DB4403"/>
    <w:rsid w:val="00DB451F"/>
    <w:rsid w:val="00DB45AB"/>
    <w:rsid w:val="00DB463C"/>
    <w:rsid w:val="00DB4717"/>
    <w:rsid w:val="00DB4809"/>
    <w:rsid w:val="00DB48C7"/>
    <w:rsid w:val="00DB4C76"/>
    <w:rsid w:val="00DB4CF9"/>
    <w:rsid w:val="00DB4EBF"/>
    <w:rsid w:val="00DB50B3"/>
    <w:rsid w:val="00DB525E"/>
    <w:rsid w:val="00DB52DE"/>
    <w:rsid w:val="00DB5415"/>
    <w:rsid w:val="00DB541B"/>
    <w:rsid w:val="00DB5620"/>
    <w:rsid w:val="00DB5777"/>
    <w:rsid w:val="00DB5889"/>
    <w:rsid w:val="00DB588A"/>
    <w:rsid w:val="00DB58B4"/>
    <w:rsid w:val="00DB5B8E"/>
    <w:rsid w:val="00DB5B90"/>
    <w:rsid w:val="00DB5F6C"/>
    <w:rsid w:val="00DB65C4"/>
    <w:rsid w:val="00DB6699"/>
    <w:rsid w:val="00DB6A0F"/>
    <w:rsid w:val="00DB6B73"/>
    <w:rsid w:val="00DB6F15"/>
    <w:rsid w:val="00DB71A5"/>
    <w:rsid w:val="00DB7305"/>
    <w:rsid w:val="00DB73F3"/>
    <w:rsid w:val="00DB74B3"/>
    <w:rsid w:val="00DB762B"/>
    <w:rsid w:val="00DB7A2E"/>
    <w:rsid w:val="00DB7CF1"/>
    <w:rsid w:val="00DB7FDD"/>
    <w:rsid w:val="00DC0015"/>
    <w:rsid w:val="00DC023A"/>
    <w:rsid w:val="00DC033F"/>
    <w:rsid w:val="00DC07A1"/>
    <w:rsid w:val="00DC0BFE"/>
    <w:rsid w:val="00DC0DB1"/>
    <w:rsid w:val="00DC0F02"/>
    <w:rsid w:val="00DC0F8D"/>
    <w:rsid w:val="00DC10CF"/>
    <w:rsid w:val="00DC112C"/>
    <w:rsid w:val="00DC119D"/>
    <w:rsid w:val="00DC121A"/>
    <w:rsid w:val="00DC1325"/>
    <w:rsid w:val="00DC1535"/>
    <w:rsid w:val="00DC1742"/>
    <w:rsid w:val="00DC1816"/>
    <w:rsid w:val="00DC18C9"/>
    <w:rsid w:val="00DC194A"/>
    <w:rsid w:val="00DC19FC"/>
    <w:rsid w:val="00DC1EAA"/>
    <w:rsid w:val="00DC1FBF"/>
    <w:rsid w:val="00DC207A"/>
    <w:rsid w:val="00DC20A6"/>
    <w:rsid w:val="00DC2132"/>
    <w:rsid w:val="00DC2284"/>
    <w:rsid w:val="00DC22E9"/>
    <w:rsid w:val="00DC2483"/>
    <w:rsid w:val="00DC24F1"/>
    <w:rsid w:val="00DC2568"/>
    <w:rsid w:val="00DC26C6"/>
    <w:rsid w:val="00DC2956"/>
    <w:rsid w:val="00DC2D04"/>
    <w:rsid w:val="00DC2D52"/>
    <w:rsid w:val="00DC2DED"/>
    <w:rsid w:val="00DC2E98"/>
    <w:rsid w:val="00DC2EB4"/>
    <w:rsid w:val="00DC3191"/>
    <w:rsid w:val="00DC34F2"/>
    <w:rsid w:val="00DC3718"/>
    <w:rsid w:val="00DC38AC"/>
    <w:rsid w:val="00DC38DA"/>
    <w:rsid w:val="00DC3AAB"/>
    <w:rsid w:val="00DC3BD5"/>
    <w:rsid w:val="00DC3CA4"/>
    <w:rsid w:val="00DC3D1B"/>
    <w:rsid w:val="00DC3DCE"/>
    <w:rsid w:val="00DC3E76"/>
    <w:rsid w:val="00DC40D2"/>
    <w:rsid w:val="00DC410B"/>
    <w:rsid w:val="00DC420E"/>
    <w:rsid w:val="00DC4304"/>
    <w:rsid w:val="00DC4576"/>
    <w:rsid w:val="00DC4693"/>
    <w:rsid w:val="00DC494A"/>
    <w:rsid w:val="00DC49F5"/>
    <w:rsid w:val="00DC4C45"/>
    <w:rsid w:val="00DC4FAF"/>
    <w:rsid w:val="00DC5201"/>
    <w:rsid w:val="00DC53B0"/>
    <w:rsid w:val="00DC53B8"/>
    <w:rsid w:val="00DC556C"/>
    <w:rsid w:val="00DC58C3"/>
    <w:rsid w:val="00DC5AD1"/>
    <w:rsid w:val="00DC5B0D"/>
    <w:rsid w:val="00DC5B96"/>
    <w:rsid w:val="00DC5C0D"/>
    <w:rsid w:val="00DC6158"/>
    <w:rsid w:val="00DC6215"/>
    <w:rsid w:val="00DC6244"/>
    <w:rsid w:val="00DC62BD"/>
    <w:rsid w:val="00DC6339"/>
    <w:rsid w:val="00DC65DC"/>
    <w:rsid w:val="00DC66DD"/>
    <w:rsid w:val="00DC69F9"/>
    <w:rsid w:val="00DC6AE3"/>
    <w:rsid w:val="00DC6E13"/>
    <w:rsid w:val="00DC6FCA"/>
    <w:rsid w:val="00DC7032"/>
    <w:rsid w:val="00DC72A4"/>
    <w:rsid w:val="00DC72D1"/>
    <w:rsid w:val="00DC7435"/>
    <w:rsid w:val="00DC746E"/>
    <w:rsid w:val="00DC76EE"/>
    <w:rsid w:val="00DC7D95"/>
    <w:rsid w:val="00DD01CA"/>
    <w:rsid w:val="00DD02F4"/>
    <w:rsid w:val="00DD043A"/>
    <w:rsid w:val="00DD047E"/>
    <w:rsid w:val="00DD051B"/>
    <w:rsid w:val="00DD069E"/>
    <w:rsid w:val="00DD078F"/>
    <w:rsid w:val="00DD0B85"/>
    <w:rsid w:val="00DD0CC6"/>
    <w:rsid w:val="00DD0F4F"/>
    <w:rsid w:val="00DD10B1"/>
    <w:rsid w:val="00DD1176"/>
    <w:rsid w:val="00DD122B"/>
    <w:rsid w:val="00DD12DD"/>
    <w:rsid w:val="00DD1632"/>
    <w:rsid w:val="00DD19E4"/>
    <w:rsid w:val="00DD1A7E"/>
    <w:rsid w:val="00DD1B4E"/>
    <w:rsid w:val="00DD1BA8"/>
    <w:rsid w:val="00DD214E"/>
    <w:rsid w:val="00DD21AB"/>
    <w:rsid w:val="00DD245C"/>
    <w:rsid w:val="00DD2484"/>
    <w:rsid w:val="00DD25EB"/>
    <w:rsid w:val="00DD28BB"/>
    <w:rsid w:val="00DD295D"/>
    <w:rsid w:val="00DD2B3A"/>
    <w:rsid w:val="00DD2D16"/>
    <w:rsid w:val="00DD2E0D"/>
    <w:rsid w:val="00DD2E24"/>
    <w:rsid w:val="00DD304A"/>
    <w:rsid w:val="00DD30D8"/>
    <w:rsid w:val="00DD34A0"/>
    <w:rsid w:val="00DD3581"/>
    <w:rsid w:val="00DD364C"/>
    <w:rsid w:val="00DD399A"/>
    <w:rsid w:val="00DD39D9"/>
    <w:rsid w:val="00DD3A13"/>
    <w:rsid w:val="00DD3BDC"/>
    <w:rsid w:val="00DD3C8C"/>
    <w:rsid w:val="00DD3CA5"/>
    <w:rsid w:val="00DD3EFA"/>
    <w:rsid w:val="00DD4686"/>
    <w:rsid w:val="00DD4D92"/>
    <w:rsid w:val="00DD50FF"/>
    <w:rsid w:val="00DD54C9"/>
    <w:rsid w:val="00DD552F"/>
    <w:rsid w:val="00DD5600"/>
    <w:rsid w:val="00DD5A48"/>
    <w:rsid w:val="00DD5A72"/>
    <w:rsid w:val="00DD5BF3"/>
    <w:rsid w:val="00DD5CB3"/>
    <w:rsid w:val="00DD6330"/>
    <w:rsid w:val="00DD6413"/>
    <w:rsid w:val="00DD648A"/>
    <w:rsid w:val="00DD6621"/>
    <w:rsid w:val="00DD6705"/>
    <w:rsid w:val="00DD6B1E"/>
    <w:rsid w:val="00DD6D1F"/>
    <w:rsid w:val="00DD6E9C"/>
    <w:rsid w:val="00DD7019"/>
    <w:rsid w:val="00DD715A"/>
    <w:rsid w:val="00DD742C"/>
    <w:rsid w:val="00DD751F"/>
    <w:rsid w:val="00DD75C0"/>
    <w:rsid w:val="00DD75EF"/>
    <w:rsid w:val="00DD77B1"/>
    <w:rsid w:val="00DD7A24"/>
    <w:rsid w:val="00DD7AD5"/>
    <w:rsid w:val="00DD7C7C"/>
    <w:rsid w:val="00DD7CB3"/>
    <w:rsid w:val="00DD7CBC"/>
    <w:rsid w:val="00DE0296"/>
    <w:rsid w:val="00DE03A0"/>
    <w:rsid w:val="00DE077F"/>
    <w:rsid w:val="00DE0B17"/>
    <w:rsid w:val="00DE0C92"/>
    <w:rsid w:val="00DE0F35"/>
    <w:rsid w:val="00DE0F84"/>
    <w:rsid w:val="00DE114C"/>
    <w:rsid w:val="00DE1255"/>
    <w:rsid w:val="00DE1376"/>
    <w:rsid w:val="00DE1571"/>
    <w:rsid w:val="00DE17EB"/>
    <w:rsid w:val="00DE1BB7"/>
    <w:rsid w:val="00DE1C0E"/>
    <w:rsid w:val="00DE1CF4"/>
    <w:rsid w:val="00DE1FA7"/>
    <w:rsid w:val="00DE2193"/>
    <w:rsid w:val="00DE228D"/>
    <w:rsid w:val="00DE2293"/>
    <w:rsid w:val="00DE236F"/>
    <w:rsid w:val="00DE2417"/>
    <w:rsid w:val="00DE246B"/>
    <w:rsid w:val="00DE2579"/>
    <w:rsid w:val="00DE2953"/>
    <w:rsid w:val="00DE29DF"/>
    <w:rsid w:val="00DE2AA5"/>
    <w:rsid w:val="00DE2D56"/>
    <w:rsid w:val="00DE2DB1"/>
    <w:rsid w:val="00DE2E9D"/>
    <w:rsid w:val="00DE3440"/>
    <w:rsid w:val="00DE36A9"/>
    <w:rsid w:val="00DE3740"/>
    <w:rsid w:val="00DE374E"/>
    <w:rsid w:val="00DE37BE"/>
    <w:rsid w:val="00DE3A07"/>
    <w:rsid w:val="00DE4103"/>
    <w:rsid w:val="00DE4210"/>
    <w:rsid w:val="00DE42F6"/>
    <w:rsid w:val="00DE4578"/>
    <w:rsid w:val="00DE473D"/>
    <w:rsid w:val="00DE4744"/>
    <w:rsid w:val="00DE4812"/>
    <w:rsid w:val="00DE4A3B"/>
    <w:rsid w:val="00DE4B6B"/>
    <w:rsid w:val="00DE4C1E"/>
    <w:rsid w:val="00DE4C5E"/>
    <w:rsid w:val="00DE4CD1"/>
    <w:rsid w:val="00DE4D81"/>
    <w:rsid w:val="00DE4DA8"/>
    <w:rsid w:val="00DE51B4"/>
    <w:rsid w:val="00DE53E9"/>
    <w:rsid w:val="00DE5403"/>
    <w:rsid w:val="00DE55CB"/>
    <w:rsid w:val="00DE57C5"/>
    <w:rsid w:val="00DE58E6"/>
    <w:rsid w:val="00DE591A"/>
    <w:rsid w:val="00DE5A30"/>
    <w:rsid w:val="00DE5A38"/>
    <w:rsid w:val="00DE5E6A"/>
    <w:rsid w:val="00DE5F50"/>
    <w:rsid w:val="00DE65DF"/>
    <w:rsid w:val="00DE6AC9"/>
    <w:rsid w:val="00DE6DBE"/>
    <w:rsid w:val="00DE6ECA"/>
    <w:rsid w:val="00DE70A0"/>
    <w:rsid w:val="00DE70FC"/>
    <w:rsid w:val="00DE75A8"/>
    <w:rsid w:val="00DE7B41"/>
    <w:rsid w:val="00DE7CC2"/>
    <w:rsid w:val="00DE7E25"/>
    <w:rsid w:val="00DE7FA8"/>
    <w:rsid w:val="00DF005A"/>
    <w:rsid w:val="00DF0082"/>
    <w:rsid w:val="00DF00C4"/>
    <w:rsid w:val="00DF010F"/>
    <w:rsid w:val="00DF0155"/>
    <w:rsid w:val="00DF01B0"/>
    <w:rsid w:val="00DF04BF"/>
    <w:rsid w:val="00DF04EE"/>
    <w:rsid w:val="00DF0881"/>
    <w:rsid w:val="00DF08AE"/>
    <w:rsid w:val="00DF0D8B"/>
    <w:rsid w:val="00DF1879"/>
    <w:rsid w:val="00DF198F"/>
    <w:rsid w:val="00DF1A3E"/>
    <w:rsid w:val="00DF1CFF"/>
    <w:rsid w:val="00DF1E48"/>
    <w:rsid w:val="00DF1E58"/>
    <w:rsid w:val="00DF1E89"/>
    <w:rsid w:val="00DF1F1E"/>
    <w:rsid w:val="00DF2549"/>
    <w:rsid w:val="00DF26FF"/>
    <w:rsid w:val="00DF2741"/>
    <w:rsid w:val="00DF2BD1"/>
    <w:rsid w:val="00DF2E0C"/>
    <w:rsid w:val="00DF3038"/>
    <w:rsid w:val="00DF312F"/>
    <w:rsid w:val="00DF32E7"/>
    <w:rsid w:val="00DF33DD"/>
    <w:rsid w:val="00DF3467"/>
    <w:rsid w:val="00DF34EF"/>
    <w:rsid w:val="00DF3743"/>
    <w:rsid w:val="00DF3757"/>
    <w:rsid w:val="00DF3E35"/>
    <w:rsid w:val="00DF40FE"/>
    <w:rsid w:val="00DF42E0"/>
    <w:rsid w:val="00DF441A"/>
    <w:rsid w:val="00DF46F9"/>
    <w:rsid w:val="00DF4742"/>
    <w:rsid w:val="00DF4792"/>
    <w:rsid w:val="00DF4AE5"/>
    <w:rsid w:val="00DF4C98"/>
    <w:rsid w:val="00DF5129"/>
    <w:rsid w:val="00DF5225"/>
    <w:rsid w:val="00DF53A0"/>
    <w:rsid w:val="00DF5B56"/>
    <w:rsid w:val="00DF5EA5"/>
    <w:rsid w:val="00DF6076"/>
    <w:rsid w:val="00DF620E"/>
    <w:rsid w:val="00DF62E0"/>
    <w:rsid w:val="00DF6326"/>
    <w:rsid w:val="00DF6435"/>
    <w:rsid w:val="00DF65B2"/>
    <w:rsid w:val="00DF66E4"/>
    <w:rsid w:val="00DF6C21"/>
    <w:rsid w:val="00DF6EC6"/>
    <w:rsid w:val="00DF6F65"/>
    <w:rsid w:val="00DF718E"/>
    <w:rsid w:val="00DF71C1"/>
    <w:rsid w:val="00DF7249"/>
    <w:rsid w:val="00DF7956"/>
    <w:rsid w:val="00DF7C57"/>
    <w:rsid w:val="00DF7D84"/>
    <w:rsid w:val="00DF7FC3"/>
    <w:rsid w:val="00E000A7"/>
    <w:rsid w:val="00E00460"/>
    <w:rsid w:val="00E004BA"/>
    <w:rsid w:val="00E006E9"/>
    <w:rsid w:val="00E00844"/>
    <w:rsid w:val="00E00C71"/>
    <w:rsid w:val="00E00C9D"/>
    <w:rsid w:val="00E00D1A"/>
    <w:rsid w:val="00E00EAA"/>
    <w:rsid w:val="00E00F12"/>
    <w:rsid w:val="00E01034"/>
    <w:rsid w:val="00E0103C"/>
    <w:rsid w:val="00E017C6"/>
    <w:rsid w:val="00E017CA"/>
    <w:rsid w:val="00E01934"/>
    <w:rsid w:val="00E01B52"/>
    <w:rsid w:val="00E01ECD"/>
    <w:rsid w:val="00E02048"/>
    <w:rsid w:val="00E0220F"/>
    <w:rsid w:val="00E02399"/>
    <w:rsid w:val="00E0240A"/>
    <w:rsid w:val="00E0252E"/>
    <w:rsid w:val="00E0274F"/>
    <w:rsid w:val="00E02814"/>
    <w:rsid w:val="00E0281D"/>
    <w:rsid w:val="00E028F9"/>
    <w:rsid w:val="00E02904"/>
    <w:rsid w:val="00E02995"/>
    <w:rsid w:val="00E02AB3"/>
    <w:rsid w:val="00E02D97"/>
    <w:rsid w:val="00E02DA7"/>
    <w:rsid w:val="00E02E5A"/>
    <w:rsid w:val="00E02E75"/>
    <w:rsid w:val="00E02FD4"/>
    <w:rsid w:val="00E031AE"/>
    <w:rsid w:val="00E03202"/>
    <w:rsid w:val="00E032E4"/>
    <w:rsid w:val="00E0338D"/>
    <w:rsid w:val="00E0339C"/>
    <w:rsid w:val="00E0358B"/>
    <w:rsid w:val="00E037FC"/>
    <w:rsid w:val="00E038DC"/>
    <w:rsid w:val="00E03ED5"/>
    <w:rsid w:val="00E03F68"/>
    <w:rsid w:val="00E04119"/>
    <w:rsid w:val="00E0416C"/>
    <w:rsid w:val="00E0443B"/>
    <w:rsid w:val="00E04491"/>
    <w:rsid w:val="00E044AB"/>
    <w:rsid w:val="00E047E5"/>
    <w:rsid w:val="00E04A35"/>
    <w:rsid w:val="00E04AE7"/>
    <w:rsid w:val="00E04C97"/>
    <w:rsid w:val="00E04D46"/>
    <w:rsid w:val="00E04F8D"/>
    <w:rsid w:val="00E05160"/>
    <w:rsid w:val="00E05508"/>
    <w:rsid w:val="00E05647"/>
    <w:rsid w:val="00E05A10"/>
    <w:rsid w:val="00E05B7E"/>
    <w:rsid w:val="00E05C5D"/>
    <w:rsid w:val="00E05C60"/>
    <w:rsid w:val="00E05FF6"/>
    <w:rsid w:val="00E0623D"/>
    <w:rsid w:val="00E06243"/>
    <w:rsid w:val="00E062B6"/>
    <w:rsid w:val="00E0632A"/>
    <w:rsid w:val="00E064E3"/>
    <w:rsid w:val="00E065DF"/>
    <w:rsid w:val="00E06853"/>
    <w:rsid w:val="00E068D6"/>
    <w:rsid w:val="00E068ED"/>
    <w:rsid w:val="00E06E3E"/>
    <w:rsid w:val="00E07169"/>
    <w:rsid w:val="00E071D5"/>
    <w:rsid w:val="00E0722D"/>
    <w:rsid w:val="00E07358"/>
    <w:rsid w:val="00E07710"/>
    <w:rsid w:val="00E07828"/>
    <w:rsid w:val="00E0783F"/>
    <w:rsid w:val="00E07ABA"/>
    <w:rsid w:val="00E07F25"/>
    <w:rsid w:val="00E109BC"/>
    <w:rsid w:val="00E109C1"/>
    <w:rsid w:val="00E10F9C"/>
    <w:rsid w:val="00E110F1"/>
    <w:rsid w:val="00E1114D"/>
    <w:rsid w:val="00E11277"/>
    <w:rsid w:val="00E11282"/>
    <w:rsid w:val="00E112B4"/>
    <w:rsid w:val="00E1144B"/>
    <w:rsid w:val="00E11683"/>
    <w:rsid w:val="00E11807"/>
    <w:rsid w:val="00E11863"/>
    <w:rsid w:val="00E11BA4"/>
    <w:rsid w:val="00E11D0F"/>
    <w:rsid w:val="00E11D72"/>
    <w:rsid w:val="00E11DF4"/>
    <w:rsid w:val="00E11FEC"/>
    <w:rsid w:val="00E12168"/>
    <w:rsid w:val="00E12185"/>
    <w:rsid w:val="00E12286"/>
    <w:rsid w:val="00E1235A"/>
    <w:rsid w:val="00E12378"/>
    <w:rsid w:val="00E124AF"/>
    <w:rsid w:val="00E127D1"/>
    <w:rsid w:val="00E128FF"/>
    <w:rsid w:val="00E12F0C"/>
    <w:rsid w:val="00E130AD"/>
    <w:rsid w:val="00E132A2"/>
    <w:rsid w:val="00E13601"/>
    <w:rsid w:val="00E136BF"/>
    <w:rsid w:val="00E137FA"/>
    <w:rsid w:val="00E138C3"/>
    <w:rsid w:val="00E13C52"/>
    <w:rsid w:val="00E13FCA"/>
    <w:rsid w:val="00E143D8"/>
    <w:rsid w:val="00E14C75"/>
    <w:rsid w:val="00E14E5A"/>
    <w:rsid w:val="00E14E5F"/>
    <w:rsid w:val="00E14F41"/>
    <w:rsid w:val="00E15026"/>
    <w:rsid w:val="00E15081"/>
    <w:rsid w:val="00E157D3"/>
    <w:rsid w:val="00E15A4F"/>
    <w:rsid w:val="00E15CC2"/>
    <w:rsid w:val="00E15D54"/>
    <w:rsid w:val="00E15E7A"/>
    <w:rsid w:val="00E15FCB"/>
    <w:rsid w:val="00E15FF8"/>
    <w:rsid w:val="00E162A4"/>
    <w:rsid w:val="00E162D7"/>
    <w:rsid w:val="00E16528"/>
    <w:rsid w:val="00E16569"/>
    <w:rsid w:val="00E16716"/>
    <w:rsid w:val="00E16717"/>
    <w:rsid w:val="00E16746"/>
    <w:rsid w:val="00E16869"/>
    <w:rsid w:val="00E16888"/>
    <w:rsid w:val="00E1688C"/>
    <w:rsid w:val="00E17057"/>
    <w:rsid w:val="00E171A0"/>
    <w:rsid w:val="00E1725C"/>
    <w:rsid w:val="00E172C5"/>
    <w:rsid w:val="00E17351"/>
    <w:rsid w:val="00E17C58"/>
    <w:rsid w:val="00E17CFF"/>
    <w:rsid w:val="00E17E8E"/>
    <w:rsid w:val="00E2006F"/>
    <w:rsid w:val="00E201FB"/>
    <w:rsid w:val="00E20288"/>
    <w:rsid w:val="00E2082B"/>
    <w:rsid w:val="00E2083E"/>
    <w:rsid w:val="00E20955"/>
    <w:rsid w:val="00E20995"/>
    <w:rsid w:val="00E209CD"/>
    <w:rsid w:val="00E20CAF"/>
    <w:rsid w:val="00E20DC7"/>
    <w:rsid w:val="00E20DCA"/>
    <w:rsid w:val="00E20E33"/>
    <w:rsid w:val="00E21231"/>
    <w:rsid w:val="00E21377"/>
    <w:rsid w:val="00E21877"/>
    <w:rsid w:val="00E219B4"/>
    <w:rsid w:val="00E219E2"/>
    <w:rsid w:val="00E21AD0"/>
    <w:rsid w:val="00E21B7D"/>
    <w:rsid w:val="00E21E4C"/>
    <w:rsid w:val="00E220C6"/>
    <w:rsid w:val="00E22665"/>
    <w:rsid w:val="00E227AE"/>
    <w:rsid w:val="00E22A31"/>
    <w:rsid w:val="00E2303D"/>
    <w:rsid w:val="00E23185"/>
    <w:rsid w:val="00E2323B"/>
    <w:rsid w:val="00E233E7"/>
    <w:rsid w:val="00E23526"/>
    <w:rsid w:val="00E23A82"/>
    <w:rsid w:val="00E23D56"/>
    <w:rsid w:val="00E23E66"/>
    <w:rsid w:val="00E23F4E"/>
    <w:rsid w:val="00E24469"/>
    <w:rsid w:val="00E24561"/>
    <w:rsid w:val="00E24758"/>
    <w:rsid w:val="00E24799"/>
    <w:rsid w:val="00E2482D"/>
    <w:rsid w:val="00E2486C"/>
    <w:rsid w:val="00E24873"/>
    <w:rsid w:val="00E24906"/>
    <w:rsid w:val="00E24949"/>
    <w:rsid w:val="00E24AF1"/>
    <w:rsid w:val="00E24B28"/>
    <w:rsid w:val="00E24C10"/>
    <w:rsid w:val="00E24C6A"/>
    <w:rsid w:val="00E24FB5"/>
    <w:rsid w:val="00E25365"/>
    <w:rsid w:val="00E2539E"/>
    <w:rsid w:val="00E25E05"/>
    <w:rsid w:val="00E26259"/>
    <w:rsid w:val="00E263D8"/>
    <w:rsid w:val="00E26810"/>
    <w:rsid w:val="00E2682C"/>
    <w:rsid w:val="00E269D9"/>
    <w:rsid w:val="00E27030"/>
    <w:rsid w:val="00E270B7"/>
    <w:rsid w:val="00E275A6"/>
    <w:rsid w:val="00E276A9"/>
    <w:rsid w:val="00E276EF"/>
    <w:rsid w:val="00E27B03"/>
    <w:rsid w:val="00E27DEB"/>
    <w:rsid w:val="00E27E35"/>
    <w:rsid w:val="00E30029"/>
    <w:rsid w:val="00E30037"/>
    <w:rsid w:val="00E301CF"/>
    <w:rsid w:val="00E30201"/>
    <w:rsid w:val="00E30499"/>
    <w:rsid w:val="00E3074B"/>
    <w:rsid w:val="00E3089C"/>
    <w:rsid w:val="00E30A04"/>
    <w:rsid w:val="00E30A53"/>
    <w:rsid w:val="00E30B51"/>
    <w:rsid w:val="00E30B8E"/>
    <w:rsid w:val="00E30D55"/>
    <w:rsid w:val="00E3102A"/>
    <w:rsid w:val="00E31116"/>
    <w:rsid w:val="00E31290"/>
    <w:rsid w:val="00E313D3"/>
    <w:rsid w:val="00E315ED"/>
    <w:rsid w:val="00E31758"/>
    <w:rsid w:val="00E31767"/>
    <w:rsid w:val="00E319B3"/>
    <w:rsid w:val="00E31D4D"/>
    <w:rsid w:val="00E32128"/>
    <w:rsid w:val="00E324BB"/>
    <w:rsid w:val="00E3285A"/>
    <w:rsid w:val="00E32A7A"/>
    <w:rsid w:val="00E32B0A"/>
    <w:rsid w:val="00E32ECD"/>
    <w:rsid w:val="00E3362E"/>
    <w:rsid w:val="00E33679"/>
    <w:rsid w:val="00E3371A"/>
    <w:rsid w:val="00E338C4"/>
    <w:rsid w:val="00E339F0"/>
    <w:rsid w:val="00E341F5"/>
    <w:rsid w:val="00E34287"/>
    <w:rsid w:val="00E34324"/>
    <w:rsid w:val="00E344CB"/>
    <w:rsid w:val="00E345EC"/>
    <w:rsid w:val="00E34616"/>
    <w:rsid w:val="00E346ED"/>
    <w:rsid w:val="00E34796"/>
    <w:rsid w:val="00E347A0"/>
    <w:rsid w:val="00E34869"/>
    <w:rsid w:val="00E34884"/>
    <w:rsid w:val="00E34B1D"/>
    <w:rsid w:val="00E34C8B"/>
    <w:rsid w:val="00E34D39"/>
    <w:rsid w:val="00E34D8C"/>
    <w:rsid w:val="00E34DBF"/>
    <w:rsid w:val="00E35427"/>
    <w:rsid w:val="00E35675"/>
    <w:rsid w:val="00E35718"/>
    <w:rsid w:val="00E35E32"/>
    <w:rsid w:val="00E35E8B"/>
    <w:rsid w:val="00E35FFF"/>
    <w:rsid w:val="00E366E0"/>
    <w:rsid w:val="00E36CE6"/>
    <w:rsid w:val="00E37017"/>
    <w:rsid w:val="00E3715B"/>
    <w:rsid w:val="00E37254"/>
    <w:rsid w:val="00E37373"/>
    <w:rsid w:val="00E373AC"/>
    <w:rsid w:val="00E37424"/>
    <w:rsid w:val="00E375C1"/>
    <w:rsid w:val="00E376E3"/>
    <w:rsid w:val="00E377E8"/>
    <w:rsid w:val="00E37821"/>
    <w:rsid w:val="00E37841"/>
    <w:rsid w:val="00E37A07"/>
    <w:rsid w:val="00E37B7F"/>
    <w:rsid w:val="00E37C98"/>
    <w:rsid w:val="00E37E42"/>
    <w:rsid w:val="00E37E88"/>
    <w:rsid w:val="00E40283"/>
    <w:rsid w:val="00E403FB"/>
    <w:rsid w:val="00E40444"/>
    <w:rsid w:val="00E40986"/>
    <w:rsid w:val="00E40F22"/>
    <w:rsid w:val="00E40F5E"/>
    <w:rsid w:val="00E40F97"/>
    <w:rsid w:val="00E411C2"/>
    <w:rsid w:val="00E41257"/>
    <w:rsid w:val="00E415B1"/>
    <w:rsid w:val="00E416FC"/>
    <w:rsid w:val="00E41711"/>
    <w:rsid w:val="00E419C8"/>
    <w:rsid w:val="00E41AE1"/>
    <w:rsid w:val="00E41C77"/>
    <w:rsid w:val="00E41CA3"/>
    <w:rsid w:val="00E41E0A"/>
    <w:rsid w:val="00E41E2E"/>
    <w:rsid w:val="00E41FB9"/>
    <w:rsid w:val="00E42055"/>
    <w:rsid w:val="00E420CE"/>
    <w:rsid w:val="00E4214B"/>
    <w:rsid w:val="00E421E4"/>
    <w:rsid w:val="00E427F0"/>
    <w:rsid w:val="00E42864"/>
    <w:rsid w:val="00E42AAB"/>
    <w:rsid w:val="00E42BE9"/>
    <w:rsid w:val="00E42C72"/>
    <w:rsid w:val="00E42CF5"/>
    <w:rsid w:val="00E42EB4"/>
    <w:rsid w:val="00E42EDF"/>
    <w:rsid w:val="00E43055"/>
    <w:rsid w:val="00E43464"/>
    <w:rsid w:val="00E43542"/>
    <w:rsid w:val="00E43765"/>
    <w:rsid w:val="00E4394A"/>
    <w:rsid w:val="00E43A9B"/>
    <w:rsid w:val="00E43AED"/>
    <w:rsid w:val="00E43BFC"/>
    <w:rsid w:val="00E43C11"/>
    <w:rsid w:val="00E43D44"/>
    <w:rsid w:val="00E43D6D"/>
    <w:rsid w:val="00E43DBD"/>
    <w:rsid w:val="00E43FAB"/>
    <w:rsid w:val="00E441EF"/>
    <w:rsid w:val="00E44270"/>
    <w:rsid w:val="00E44306"/>
    <w:rsid w:val="00E44414"/>
    <w:rsid w:val="00E44472"/>
    <w:rsid w:val="00E44511"/>
    <w:rsid w:val="00E4461E"/>
    <w:rsid w:val="00E449B4"/>
    <w:rsid w:val="00E44AD2"/>
    <w:rsid w:val="00E44DCB"/>
    <w:rsid w:val="00E44F0B"/>
    <w:rsid w:val="00E451BE"/>
    <w:rsid w:val="00E4563E"/>
    <w:rsid w:val="00E4564D"/>
    <w:rsid w:val="00E456B4"/>
    <w:rsid w:val="00E45874"/>
    <w:rsid w:val="00E45D60"/>
    <w:rsid w:val="00E45D80"/>
    <w:rsid w:val="00E45DD7"/>
    <w:rsid w:val="00E45EC5"/>
    <w:rsid w:val="00E45EF9"/>
    <w:rsid w:val="00E46181"/>
    <w:rsid w:val="00E46301"/>
    <w:rsid w:val="00E46403"/>
    <w:rsid w:val="00E46927"/>
    <w:rsid w:val="00E46D3E"/>
    <w:rsid w:val="00E471D4"/>
    <w:rsid w:val="00E473B2"/>
    <w:rsid w:val="00E4767B"/>
    <w:rsid w:val="00E477EE"/>
    <w:rsid w:val="00E47A69"/>
    <w:rsid w:val="00E47BD3"/>
    <w:rsid w:val="00E47C85"/>
    <w:rsid w:val="00E47D3A"/>
    <w:rsid w:val="00E47E23"/>
    <w:rsid w:val="00E500DF"/>
    <w:rsid w:val="00E501F9"/>
    <w:rsid w:val="00E50A52"/>
    <w:rsid w:val="00E50B87"/>
    <w:rsid w:val="00E50B97"/>
    <w:rsid w:val="00E50C35"/>
    <w:rsid w:val="00E50CC1"/>
    <w:rsid w:val="00E51472"/>
    <w:rsid w:val="00E5178C"/>
    <w:rsid w:val="00E518D2"/>
    <w:rsid w:val="00E51919"/>
    <w:rsid w:val="00E51AB6"/>
    <w:rsid w:val="00E51BEC"/>
    <w:rsid w:val="00E51D33"/>
    <w:rsid w:val="00E51E3A"/>
    <w:rsid w:val="00E51EAD"/>
    <w:rsid w:val="00E51F1F"/>
    <w:rsid w:val="00E51F49"/>
    <w:rsid w:val="00E521A6"/>
    <w:rsid w:val="00E523E2"/>
    <w:rsid w:val="00E52CF0"/>
    <w:rsid w:val="00E52EB9"/>
    <w:rsid w:val="00E532C7"/>
    <w:rsid w:val="00E5330C"/>
    <w:rsid w:val="00E534C6"/>
    <w:rsid w:val="00E53967"/>
    <w:rsid w:val="00E53F73"/>
    <w:rsid w:val="00E54168"/>
    <w:rsid w:val="00E5452E"/>
    <w:rsid w:val="00E545F2"/>
    <w:rsid w:val="00E546DA"/>
    <w:rsid w:val="00E54AEC"/>
    <w:rsid w:val="00E54F04"/>
    <w:rsid w:val="00E5545A"/>
    <w:rsid w:val="00E55696"/>
    <w:rsid w:val="00E556F7"/>
    <w:rsid w:val="00E5578F"/>
    <w:rsid w:val="00E55C7B"/>
    <w:rsid w:val="00E55D5A"/>
    <w:rsid w:val="00E55E2C"/>
    <w:rsid w:val="00E56055"/>
    <w:rsid w:val="00E561DE"/>
    <w:rsid w:val="00E56347"/>
    <w:rsid w:val="00E56410"/>
    <w:rsid w:val="00E564D3"/>
    <w:rsid w:val="00E564DD"/>
    <w:rsid w:val="00E5650C"/>
    <w:rsid w:val="00E56510"/>
    <w:rsid w:val="00E569B0"/>
    <w:rsid w:val="00E56B1A"/>
    <w:rsid w:val="00E56D56"/>
    <w:rsid w:val="00E56DAC"/>
    <w:rsid w:val="00E571BB"/>
    <w:rsid w:val="00E57462"/>
    <w:rsid w:val="00E577C9"/>
    <w:rsid w:val="00E57C5B"/>
    <w:rsid w:val="00E57C5F"/>
    <w:rsid w:val="00E600E9"/>
    <w:rsid w:val="00E60147"/>
    <w:rsid w:val="00E60181"/>
    <w:rsid w:val="00E603B9"/>
    <w:rsid w:val="00E60430"/>
    <w:rsid w:val="00E60744"/>
    <w:rsid w:val="00E60774"/>
    <w:rsid w:val="00E6086D"/>
    <w:rsid w:val="00E6092E"/>
    <w:rsid w:val="00E60957"/>
    <w:rsid w:val="00E60A84"/>
    <w:rsid w:val="00E60B3F"/>
    <w:rsid w:val="00E60B92"/>
    <w:rsid w:val="00E60C79"/>
    <w:rsid w:val="00E60E50"/>
    <w:rsid w:val="00E61302"/>
    <w:rsid w:val="00E613CD"/>
    <w:rsid w:val="00E61404"/>
    <w:rsid w:val="00E615CB"/>
    <w:rsid w:val="00E61923"/>
    <w:rsid w:val="00E61990"/>
    <w:rsid w:val="00E61CEB"/>
    <w:rsid w:val="00E61F08"/>
    <w:rsid w:val="00E620F9"/>
    <w:rsid w:val="00E621C2"/>
    <w:rsid w:val="00E6242B"/>
    <w:rsid w:val="00E6260F"/>
    <w:rsid w:val="00E62699"/>
    <w:rsid w:val="00E62740"/>
    <w:rsid w:val="00E62C15"/>
    <w:rsid w:val="00E62DFB"/>
    <w:rsid w:val="00E63118"/>
    <w:rsid w:val="00E631AB"/>
    <w:rsid w:val="00E63361"/>
    <w:rsid w:val="00E634A0"/>
    <w:rsid w:val="00E634D2"/>
    <w:rsid w:val="00E63760"/>
    <w:rsid w:val="00E637D7"/>
    <w:rsid w:val="00E6383D"/>
    <w:rsid w:val="00E63847"/>
    <w:rsid w:val="00E638A3"/>
    <w:rsid w:val="00E63E86"/>
    <w:rsid w:val="00E63F38"/>
    <w:rsid w:val="00E642FF"/>
    <w:rsid w:val="00E6435E"/>
    <w:rsid w:val="00E643C6"/>
    <w:rsid w:val="00E644ED"/>
    <w:rsid w:val="00E645A4"/>
    <w:rsid w:val="00E6472E"/>
    <w:rsid w:val="00E6499B"/>
    <w:rsid w:val="00E64B24"/>
    <w:rsid w:val="00E64D19"/>
    <w:rsid w:val="00E64DF4"/>
    <w:rsid w:val="00E65145"/>
    <w:rsid w:val="00E652D3"/>
    <w:rsid w:val="00E65370"/>
    <w:rsid w:val="00E655E8"/>
    <w:rsid w:val="00E65C42"/>
    <w:rsid w:val="00E6657E"/>
    <w:rsid w:val="00E665F9"/>
    <w:rsid w:val="00E666B9"/>
    <w:rsid w:val="00E6697E"/>
    <w:rsid w:val="00E669BE"/>
    <w:rsid w:val="00E66ACD"/>
    <w:rsid w:val="00E66C45"/>
    <w:rsid w:val="00E66F79"/>
    <w:rsid w:val="00E67031"/>
    <w:rsid w:val="00E670C0"/>
    <w:rsid w:val="00E67128"/>
    <w:rsid w:val="00E67255"/>
    <w:rsid w:val="00E6725F"/>
    <w:rsid w:val="00E6741C"/>
    <w:rsid w:val="00E67461"/>
    <w:rsid w:val="00E675E0"/>
    <w:rsid w:val="00E67795"/>
    <w:rsid w:val="00E67A21"/>
    <w:rsid w:val="00E67AAC"/>
    <w:rsid w:val="00E67B99"/>
    <w:rsid w:val="00E67F7A"/>
    <w:rsid w:val="00E701B3"/>
    <w:rsid w:val="00E706CF"/>
    <w:rsid w:val="00E70957"/>
    <w:rsid w:val="00E70BC4"/>
    <w:rsid w:val="00E70BF2"/>
    <w:rsid w:val="00E70E27"/>
    <w:rsid w:val="00E71A01"/>
    <w:rsid w:val="00E71AB3"/>
    <w:rsid w:val="00E71C50"/>
    <w:rsid w:val="00E71C9A"/>
    <w:rsid w:val="00E71D34"/>
    <w:rsid w:val="00E71DDF"/>
    <w:rsid w:val="00E71DEA"/>
    <w:rsid w:val="00E72278"/>
    <w:rsid w:val="00E7229E"/>
    <w:rsid w:val="00E72A82"/>
    <w:rsid w:val="00E72B67"/>
    <w:rsid w:val="00E72BB0"/>
    <w:rsid w:val="00E72CE0"/>
    <w:rsid w:val="00E732FE"/>
    <w:rsid w:val="00E73434"/>
    <w:rsid w:val="00E73823"/>
    <w:rsid w:val="00E73834"/>
    <w:rsid w:val="00E73B44"/>
    <w:rsid w:val="00E73BE1"/>
    <w:rsid w:val="00E73C9D"/>
    <w:rsid w:val="00E73FC7"/>
    <w:rsid w:val="00E740CC"/>
    <w:rsid w:val="00E742D4"/>
    <w:rsid w:val="00E742F5"/>
    <w:rsid w:val="00E7439D"/>
    <w:rsid w:val="00E743C3"/>
    <w:rsid w:val="00E74435"/>
    <w:rsid w:val="00E7444B"/>
    <w:rsid w:val="00E74860"/>
    <w:rsid w:val="00E74A0E"/>
    <w:rsid w:val="00E74B5D"/>
    <w:rsid w:val="00E74BFE"/>
    <w:rsid w:val="00E74DEE"/>
    <w:rsid w:val="00E74E72"/>
    <w:rsid w:val="00E74F46"/>
    <w:rsid w:val="00E74F92"/>
    <w:rsid w:val="00E750D5"/>
    <w:rsid w:val="00E75236"/>
    <w:rsid w:val="00E75565"/>
    <w:rsid w:val="00E755D2"/>
    <w:rsid w:val="00E7566E"/>
    <w:rsid w:val="00E75866"/>
    <w:rsid w:val="00E758AD"/>
    <w:rsid w:val="00E75B65"/>
    <w:rsid w:val="00E75F53"/>
    <w:rsid w:val="00E7624F"/>
    <w:rsid w:val="00E762D2"/>
    <w:rsid w:val="00E76430"/>
    <w:rsid w:val="00E7666C"/>
    <w:rsid w:val="00E7691E"/>
    <w:rsid w:val="00E76A86"/>
    <w:rsid w:val="00E76C4F"/>
    <w:rsid w:val="00E76C82"/>
    <w:rsid w:val="00E76DAC"/>
    <w:rsid w:val="00E76E17"/>
    <w:rsid w:val="00E773D9"/>
    <w:rsid w:val="00E774A2"/>
    <w:rsid w:val="00E77786"/>
    <w:rsid w:val="00E77A79"/>
    <w:rsid w:val="00E77B7B"/>
    <w:rsid w:val="00E77D4E"/>
    <w:rsid w:val="00E80024"/>
    <w:rsid w:val="00E8010C"/>
    <w:rsid w:val="00E80138"/>
    <w:rsid w:val="00E801BC"/>
    <w:rsid w:val="00E8028C"/>
    <w:rsid w:val="00E805E1"/>
    <w:rsid w:val="00E807DA"/>
    <w:rsid w:val="00E80898"/>
    <w:rsid w:val="00E80AF8"/>
    <w:rsid w:val="00E81119"/>
    <w:rsid w:val="00E81536"/>
    <w:rsid w:val="00E816B3"/>
    <w:rsid w:val="00E816B6"/>
    <w:rsid w:val="00E817E4"/>
    <w:rsid w:val="00E81B1A"/>
    <w:rsid w:val="00E821EB"/>
    <w:rsid w:val="00E82272"/>
    <w:rsid w:val="00E824E4"/>
    <w:rsid w:val="00E826A0"/>
    <w:rsid w:val="00E82880"/>
    <w:rsid w:val="00E82958"/>
    <w:rsid w:val="00E829CA"/>
    <w:rsid w:val="00E82B73"/>
    <w:rsid w:val="00E82B76"/>
    <w:rsid w:val="00E82E19"/>
    <w:rsid w:val="00E831D6"/>
    <w:rsid w:val="00E831E5"/>
    <w:rsid w:val="00E83240"/>
    <w:rsid w:val="00E83650"/>
    <w:rsid w:val="00E837C2"/>
    <w:rsid w:val="00E83B48"/>
    <w:rsid w:val="00E83BA4"/>
    <w:rsid w:val="00E83E35"/>
    <w:rsid w:val="00E83EB7"/>
    <w:rsid w:val="00E840E8"/>
    <w:rsid w:val="00E84689"/>
    <w:rsid w:val="00E848C5"/>
    <w:rsid w:val="00E849FD"/>
    <w:rsid w:val="00E84B9A"/>
    <w:rsid w:val="00E84CAE"/>
    <w:rsid w:val="00E84E40"/>
    <w:rsid w:val="00E8509A"/>
    <w:rsid w:val="00E8529E"/>
    <w:rsid w:val="00E8543C"/>
    <w:rsid w:val="00E8588C"/>
    <w:rsid w:val="00E85A5D"/>
    <w:rsid w:val="00E85EF5"/>
    <w:rsid w:val="00E85F7C"/>
    <w:rsid w:val="00E8607B"/>
    <w:rsid w:val="00E860BF"/>
    <w:rsid w:val="00E864A7"/>
    <w:rsid w:val="00E86669"/>
    <w:rsid w:val="00E866E6"/>
    <w:rsid w:val="00E8680F"/>
    <w:rsid w:val="00E86B7B"/>
    <w:rsid w:val="00E86F9F"/>
    <w:rsid w:val="00E870DE"/>
    <w:rsid w:val="00E874B0"/>
    <w:rsid w:val="00E874FA"/>
    <w:rsid w:val="00E87908"/>
    <w:rsid w:val="00E87939"/>
    <w:rsid w:val="00E87985"/>
    <w:rsid w:val="00E87BB9"/>
    <w:rsid w:val="00E900F1"/>
    <w:rsid w:val="00E90179"/>
    <w:rsid w:val="00E90457"/>
    <w:rsid w:val="00E90533"/>
    <w:rsid w:val="00E90685"/>
    <w:rsid w:val="00E909F0"/>
    <w:rsid w:val="00E90B49"/>
    <w:rsid w:val="00E90B9C"/>
    <w:rsid w:val="00E90D4C"/>
    <w:rsid w:val="00E916A5"/>
    <w:rsid w:val="00E91860"/>
    <w:rsid w:val="00E91935"/>
    <w:rsid w:val="00E91C12"/>
    <w:rsid w:val="00E91E5B"/>
    <w:rsid w:val="00E920C5"/>
    <w:rsid w:val="00E9226D"/>
    <w:rsid w:val="00E92395"/>
    <w:rsid w:val="00E9256D"/>
    <w:rsid w:val="00E92613"/>
    <w:rsid w:val="00E9283C"/>
    <w:rsid w:val="00E92AC9"/>
    <w:rsid w:val="00E92B67"/>
    <w:rsid w:val="00E92C15"/>
    <w:rsid w:val="00E932AE"/>
    <w:rsid w:val="00E936F6"/>
    <w:rsid w:val="00E937DD"/>
    <w:rsid w:val="00E93AFC"/>
    <w:rsid w:val="00E93D55"/>
    <w:rsid w:val="00E9402F"/>
    <w:rsid w:val="00E9431A"/>
    <w:rsid w:val="00E9460B"/>
    <w:rsid w:val="00E9498C"/>
    <w:rsid w:val="00E95059"/>
    <w:rsid w:val="00E9505D"/>
    <w:rsid w:val="00E954B7"/>
    <w:rsid w:val="00E955FC"/>
    <w:rsid w:val="00E95666"/>
    <w:rsid w:val="00E95713"/>
    <w:rsid w:val="00E95CEB"/>
    <w:rsid w:val="00E95EF2"/>
    <w:rsid w:val="00E9627C"/>
    <w:rsid w:val="00E96768"/>
    <w:rsid w:val="00E967E0"/>
    <w:rsid w:val="00E96CCA"/>
    <w:rsid w:val="00E96E35"/>
    <w:rsid w:val="00E96E58"/>
    <w:rsid w:val="00E96FDB"/>
    <w:rsid w:val="00E9735F"/>
    <w:rsid w:val="00E974C5"/>
    <w:rsid w:val="00E9758B"/>
    <w:rsid w:val="00E976AC"/>
    <w:rsid w:val="00E9794E"/>
    <w:rsid w:val="00E97A0B"/>
    <w:rsid w:val="00E97C3D"/>
    <w:rsid w:val="00E97CF8"/>
    <w:rsid w:val="00E97E43"/>
    <w:rsid w:val="00E97EE8"/>
    <w:rsid w:val="00EA0075"/>
    <w:rsid w:val="00EA00F9"/>
    <w:rsid w:val="00EA0251"/>
    <w:rsid w:val="00EA02A2"/>
    <w:rsid w:val="00EA031F"/>
    <w:rsid w:val="00EA032A"/>
    <w:rsid w:val="00EA0491"/>
    <w:rsid w:val="00EA059C"/>
    <w:rsid w:val="00EA074A"/>
    <w:rsid w:val="00EA0861"/>
    <w:rsid w:val="00EA098D"/>
    <w:rsid w:val="00EA0D29"/>
    <w:rsid w:val="00EA107B"/>
    <w:rsid w:val="00EA1186"/>
    <w:rsid w:val="00EA155A"/>
    <w:rsid w:val="00EA1651"/>
    <w:rsid w:val="00EA1960"/>
    <w:rsid w:val="00EA1EEA"/>
    <w:rsid w:val="00EA2328"/>
    <w:rsid w:val="00EA23F6"/>
    <w:rsid w:val="00EA2A96"/>
    <w:rsid w:val="00EA2ABB"/>
    <w:rsid w:val="00EA2E80"/>
    <w:rsid w:val="00EA34D0"/>
    <w:rsid w:val="00EA3575"/>
    <w:rsid w:val="00EA37FE"/>
    <w:rsid w:val="00EA3854"/>
    <w:rsid w:val="00EA3CD6"/>
    <w:rsid w:val="00EA3CF7"/>
    <w:rsid w:val="00EA3ED8"/>
    <w:rsid w:val="00EA3F49"/>
    <w:rsid w:val="00EA40A6"/>
    <w:rsid w:val="00EA4180"/>
    <w:rsid w:val="00EA41AE"/>
    <w:rsid w:val="00EA4232"/>
    <w:rsid w:val="00EA43AA"/>
    <w:rsid w:val="00EA43EE"/>
    <w:rsid w:val="00EA44D4"/>
    <w:rsid w:val="00EA4645"/>
    <w:rsid w:val="00EA476C"/>
    <w:rsid w:val="00EA478E"/>
    <w:rsid w:val="00EA4A71"/>
    <w:rsid w:val="00EA4B8F"/>
    <w:rsid w:val="00EA4D40"/>
    <w:rsid w:val="00EA4EEF"/>
    <w:rsid w:val="00EA538F"/>
    <w:rsid w:val="00EA59C6"/>
    <w:rsid w:val="00EA5F89"/>
    <w:rsid w:val="00EA6127"/>
    <w:rsid w:val="00EA6235"/>
    <w:rsid w:val="00EA63C3"/>
    <w:rsid w:val="00EA64A8"/>
    <w:rsid w:val="00EA6688"/>
    <w:rsid w:val="00EA684E"/>
    <w:rsid w:val="00EA6B2C"/>
    <w:rsid w:val="00EA6BA8"/>
    <w:rsid w:val="00EA6D62"/>
    <w:rsid w:val="00EA7351"/>
    <w:rsid w:val="00EA75E0"/>
    <w:rsid w:val="00EA76EE"/>
    <w:rsid w:val="00EA79F7"/>
    <w:rsid w:val="00EA7AEE"/>
    <w:rsid w:val="00EA7E06"/>
    <w:rsid w:val="00EA7F09"/>
    <w:rsid w:val="00EB0205"/>
    <w:rsid w:val="00EB0332"/>
    <w:rsid w:val="00EB09EC"/>
    <w:rsid w:val="00EB0AF1"/>
    <w:rsid w:val="00EB0BE2"/>
    <w:rsid w:val="00EB0C7F"/>
    <w:rsid w:val="00EB0E30"/>
    <w:rsid w:val="00EB0E5A"/>
    <w:rsid w:val="00EB0F62"/>
    <w:rsid w:val="00EB1029"/>
    <w:rsid w:val="00EB1098"/>
    <w:rsid w:val="00EB10AC"/>
    <w:rsid w:val="00EB11B3"/>
    <w:rsid w:val="00EB11C1"/>
    <w:rsid w:val="00EB13D5"/>
    <w:rsid w:val="00EB196D"/>
    <w:rsid w:val="00EB196F"/>
    <w:rsid w:val="00EB1A83"/>
    <w:rsid w:val="00EB2100"/>
    <w:rsid w:val="00EB21DE"/>
    <w:rsid w:val="00EB22A8"/>
    <w:rsid w:val="00EB277F"/>
    <w:rsid w:val="00EB3295"/>
    <w:rsid w:val="00EB341E"/>
    <w:rsid w:val="00EB356D"/>
    <w:rsid w:val="00EB35BD"/>
    <w:rsid w:val="00EB3CE5"/>
    <w:rsid w:val="00EB3D5C"/>
    <w:rsid w:val="00EB3F40"/>
    <w:rsid w:val="00EB40A7"/>
    <w:rsid w:val="00EB43E0"/>
    <w:rsid w:val="00EB47C0"/>
    <w:rsid w:val="00EB4965"/>
    <w:rsid w:val="00EB4A21"/>
    <w:rsid w:val="00EB4A24"/>
    <w:rsid w:val="00EB4A93"/>
    <w:rsid w:val="00EB4C29"/>
    <w:rsid w:val="00EB4CF9"/>
    <w:rsid w:val="00EB4F4C"/>
    <w:rsid w:val="00EB4FA8"/>
    <w:rsid w:val="00EB506B"/>
    <w:rsid w:val="00EB50A1"/>
    <w:rsid w:val="00EB54FF"/>
    <w:rsid w:val="00EB5A97"/>
    <w:rsid w:val="00EB5C50"/>
    <w:rsid w:val="00EB5C8A"/>
    <w:rsid w:val="00EB5F9E"/>
    <w:rsid w:val="00EB641F"/>
    <w:rsid w:val="00EB6554"/>
    <w:rsid w:val="00EB6750"/>
    <w:rsid w:val="00EB67A9"/>
    <w:rsid w:val="00EB6889"/>
    <w:rsid w:val="00EB69A1"/>
    <w:rsid w:val="00EB69E8"/>
    <w:rsid w:val="00EB6AB9"/>
    <w:rsid w:val="00EB6D31"/>
    <w:rsid w:val="00EB7398"/>
    <w:rsid w:val="00EB745E"/>
    <w:rsid w:val="00EB784E"/>
    <w:rsid w:val="00EB7A93"/>
    <w:rsid w:val="00EB7D5C"/>
    <w:rsid w:val="00EB7EFA"/>
    <w:rsid w:val="00EC01F3"/>
    <w:rsid w:val="00EC059A"/>
    <w:rsid w:val="00EC06CC"/>
    <w:rsid w:val="00EC0DFD"/>
    <w:rsid w:val="00EC0EE6"/>
    <w:rsid w:val="00EC0FC8"/>
    <w:rsid w:val="00EC0FCF"/>
    <w:rsid w:val="00EC109E"/>
    <w:rsid w:val="00EC10A0"/>
    <w:rsid w:val="00EC115A"/>
    <w:rsid w:val="00EC1195"/>
    <w:rsid w:val="00EC1383"/>
    <w:rsid w:val="00EC13D0"/>
    <w:rsid w:val="00EC1591"/>
    <w:rsid w:val="00EC16C6"/>
    <w:rsid w:val="00EC16F1"/>
    <w:rsid w:val="00EC1967"/>
    <w:rsid w:val="00EC1C26"/>
    <w:rsid w:val="00EC1C8A"/>
    <w:rsid w:val="00EC1DFD"/>
    <w:rsid w:val="00EC20D8"/>
    <w:rsid w:val="00EC2828"/>
    <w:rsid w:val="00EC282D"/>
    <w:rsid w:val="00EC2840"/>
    <w:rsid w:val="00EC2879"/>
    <w:rsid w:val="00EC2A50"/>
    <w:rsid w:val="00EC2B0D"/>
    <w:rsid w:val="00EC2B77"/>
    <w:rsid w:val="00EC2BD6"/>
    <w:rsid w:val="00EC2CF1"/>
    <w:rsid w:val="00EC2D68"/>
    <w:rsid w:val="00EC3573"/>
    <w:rsid w:val="00EC3D83"/>
    <w:rsid w:val="00EC3E7A"/>
    <w:rsid w:val="00EC410A"/>
    <w:rsid w:val="00EC419F"/>
    <w:rsid w:val="00EC4239"/>
    <w:rsid w:val="00EC4348"/>
    <w:rsid w:val="00EC4379"/>
    <w:rsid w:val="00EC4472"/>
    <w:rsid w:val="00EC50A2"/>
    <w:rsid w:val="00EC518D"/>
    <w:rsid w:val="00EC52B8"/>
    <w:rsid w:val="00EC545A"/>
    <w:rsid w:val="00EC5492"/>
    <w:rsid w:val="00EC54F8"/>
    <w:rsid w:val="00EC568F"/>
    <w:rsid w:val="00EC5791"/>
    <w:rsid w:val="00EC57C6"/>
    <w:rsid w:val="00EC5FB8"/>
    <w:rsid w:val="00EC628D"/>
    <w:rsid w:val="00EC6481"/>
    <w:rsid w:val="00EC6737"/>
    <w:rsid w:val="00EC6743"/>
    <w:rsid w:val="00EC6763"/>
    <w:rsid w:val="00EC69D8"/>
    <w:rsid w:val="00EC6A74"/>
    <w:rsid w:val="00EC6B5A"/>
    <w:rsid w:val="00EC6C28"/>
    <w:rsid w:val="00EC6D0E"/>
    <w:rsid w:val="00EC6D15"/>
    <w:rsid w:val="00EC6D1F"/>
    <w:rsid w:val="00EC6DFD"/>
    <w:rsid w:val="00EC6EF3"/>
    <w:rsid w:val="00EC7048"/>
    <w:rsid w:val="00EC71CB"/>
    <w:rsid w:val="00EC71D1"/>
    <w:rsid w:val="00EC75EB"/>
    <w:rsid w:val="00EC769C"/>
    <w:rsid w:val="00EC76F3"/>
    <w:rsid w:val="00EC7797"/>
    <w:rsid w:val="00EC78BC"/>
    <w:rsid w:val="00EC7938"/>
    <w:rsid w:val="00EC7D87"/>
    <w:rsid w:val="00EC7E17"/>
    <w:rsid w:val="00ED05D6"/>
    <w:rsid w:val="00ED060E"/>
    <w:rsid w:val="00ED06A1"/>
    <w:rsid w:val="00ED0BE3"/>
    <w:rsid w:val="00ED0C6F"/>
    <w:rsid w:val="00ED0D88"/>
    <w:rsid w:val="00ED13D1"/>
    <w:rsid w:val="00ED1936"/>
    <w:rsid w:val="00ED1AA8"/>
    <w:rsid w:val="00ED1C07"/>
    <w:rsid w:val="00ED1C44"/>
    <w:rsid w:val="00ED233E"/>
    <w:rsid w:val="00ED237D"/>
    <w:rsid w:val="00ED23B9"/>
    <w:rsid w:val="00ED25AF"/>
    <w:rsid w:val="00ED25C8"/>
    <w:rsid w:val="00ED26C5"/>
    <w:rsid w:val="00ED2783"/>
    <w:rsid w:val="00ED29F2"/>
    <w:rsid w:val="00ED2AC5"/>
    <w:rsid w:val="00ED2D3B"/>
    <w:rsid w:val="00ED2D54"/>
    <w:rsid w:val="00ED2FCC"/>
    <w:rsid w:val="00ED3028"/>
    <w:rsid w:val="00ED3A81"/>
    <w:rsid w:val="00ED3F32"/>
    <w:rsid w:val="00ED4570"/>
    <w:rsid w:val="00ED4967"/>
    <w:rsid w:val="00ED497F"/>
    <w:rsid w:val="00ED4C12"/>
    <w:rsid w:val="00ED4C5D"/>
    <w:rsid w:val="00ED4E12"/>
    <w:rsid w:val="00ED50D8"/>
    <w:rsid w:val="00ED5258"/>
    <w:rsid w:val="00ED53B0"/>
    <w:rsid w:val="00ED5646"/>
    <w:rsid w:val="00ED57BB"/>
    <w:rsid w:val="00ED59E7"/>
    <w:rsid w:val="00ED5C47"/>
    <w:rsid w:val="00ED6743"/>
    <w:rsid w:val="00ED67CE"/>
    <w:rsid w:val="00ED6EDA"/>
    <w:rsid w:val="00ED6EDD"/>
    <w:rsid w:val="00ED7559"/>
    <w:rsid w:val="00ED7637"/>
    <w:rsid w:val="00ED7A28"/>
    <w:rsid w:val="00ED7A84"/>
    <w:rsid w:val="00ED7CE8"/>
    <w:rsid w:val="00EE0133"/>
    <w:rsid w:val="00EE0279"/>
    <w:rsid w:val="00EE0538"/>
    <w:rsid w:val="00EE05EC"/>
    <w:rsid w:val="00EE0625"/>
    <w:rsid w:val="00EE0A27"/>
    <w:rsid w:val="00EE0A4C"/>
    <w:rsid w:val="00EE0B6E"/>
    <w:rsid w:val="00EE0F57"/>
    <w:rsid w:val="00EE0F97"/>
    <w:rsid w:val="00EE1046"/>
    <w:rsid w:val="00EE168C"/>
    <w:rsid w:val="00EE17CA"/>
    <w:rsid w:val="00EE1923"/>
    <w:rsid w:val="00EE193C"/>
    <w:rsid w:val="00EE19E7"/>
    <w:rsid w:val="00EE1B10"/>
    <w:rsid w:val="00EE1E47"/>
    <w:rsid w:val="00EE1F65"/>
    <w:rsid w:val="00EE216B"/>
    <w:rsid w:val="00EE2371"/>
    <w:rsid w:val="00EE27BC"/>
    <w:rsid w:val="00EE28A4"/>
    <w:rsid w:val="00EE28CE"/>
    <w:rsid w:val="00EE28F4"/>
    <w:rsid w:val="00EE29F9"/>
    <w:rsid w:val="00EE2A47"/>
    <w:rsid w:val="00EE2D19"/>
    <w:rsid w:val="00EE2EFE"/>
    <w:rsid w:val="00EE307D"/>
    <w:rsid w:val="00EE3155"/>
    <w:rsid w:val="00EE34A1"/>
    <w:rsid w:val="00EE3728"/>
    <w:rsid w:val="00EE386F"/>
    <w:rsid w:val="00EE38B6"/>
    <w:rsid w:val="00EE3E67"/>
    <w:rsid w:val="00EE3E7B"/>
    <w:rsid w:val="00EE3E83"/>
    <w:rsid w:val="00EE4261"/>
    <w:rsid w:val="00EE4493"/>
    <w:rsid w:val="00EE45C5"/>
    <w:rsid w:val="00EE48A0"/>
    <w:rsid w:val="00EE48A3"/>
    <w:rsid w:val="00EE4ADF"/>
    <w:rsid w:val="00EE4B3E"/>
    <w:rsid w:val="00EE4EE3"/>
    <w:rsid w:val="00EE553F"/>
    <w:rsid w:val="00EE5A6B"/>
    <w:rsid w:val="00EE5B3C"/>
    <w:rsid w:val="00EE5B54"/>
    <w:rsid w:val="00EE5E55"/>
    <w:rsid w:val="00EE5F75"/>
    <w:rsid w:val="00EE630D"/>
    <w:rsid w:val="00EE63BE"/>
    <w:rsid w:val="00EE6972"/>
    <w:rsid w:val="00EE6A2B"/>
    <w:rsid w:val="00EE6A34"/>
    <w:rsid w:val="00EE6B04"/>
    <w:rsid w:val="00EE6B69"/>
    <w:rsid w:val="00EE6B89"/>
    <w:rsid w:val="00EE712F"/>
    <w:rsid w:val="00EE713F"/>
    <w:rsid w:val="00EE73B5"/>
    <w:rsid w:val="00EE7915"/>
    <w:rsid w:val="00EE796C"/>
    <w:rsid w:val="00EE79AF"/>
    <w:rsid w:val="00EE7CFD"/>
    <w:rsid w:val="00EE7E53"/>
    <w:rsid w:val="00EF0024"/>
    <w:rsid w:val="00EF0799"/>
    <w:rsid w:val="00EF07BD"/>
    <w:rsid w:val="00EF09CD"/>
    <w:rsid w:val="00EF10CC"/>
    <w:rsid w:val="00EF12C5"/>
    <w:rsid w:val="00EF1514"/>
    <w:rsid w:val="00EF15F5"/>
    <w:rsid w:val="00EF1807"/>
    <w:rsid w:val="00EF1903"/>
    <w:rsid w:val="00EF1933"/>
    <w:rsid w:val="00EF1C75"/>
    <w:rsid w:val="00EF1CF5"/>
    <w:rsid w:val="00EF1EB2"/>
    <w:rsid w:val="00EF2006"/>
    <w:rsid w:val="00EF20FF"/>
    <w:rsid w:val="00EF21AF"/>
    <w:rsid w:val="00EF24F7"/>
    <w:rsid w:val="00EF2594"/>
    <w:rsid w:val="00EF2662"/>
    <w:rsid w:val="00EF2722"/>
    <w:rsid w:val="00EF2A35"/>
    <w:rsid w:val="00EF2AF3"/>
    <w:rsid w:val="00EF2B93"/>
    <w:rsid w:val="00EF2DB3"/>
    <w:rsid w:val="00EF30A8"/>
    <w:rsid w:val="00EF3428"/>
    <w:rsid w:val="00EF363D"/>
    <w:rsid w:val="00EF3850"/>
    <w:rsid w:val="00EF3E73"/>
    <w:rsid w:val="00EF40A5"/>
    <w:rsid w:val="00EF40BE"/>
    <w:rsid w:val="00EF416B"/>
    <w:rsid w:val="00EF41D3"/>
    <w:rsid w:val="00EF4469"/>
    <w:rsid w:val="00EF4496"/>
    <w:rsid w:val="00EF4773"/>
    <w:rsid w:val="00EF4AE4"/>
    <w:rsid w:val="00EF5107"/>
    <w:rsid w:val="00EF56C0"/>
    <w:rsid w:val="00EF5796"/>
    <w:rsid w:val="00EF5AD0"/>
    <w:rsid w:val="00EF5B55"/>
    <w:rsid w:val="00EF5CE4"/>
    <w:rsid w:val="00EF5D9E"/>
    <w:rsid w:val="00EF5E9A"/>
    <w:rsid w:val="00EF5EEA"/>
    <w:rsid w:val="00EF60A2"/>
    <w:rsid w:val="00EF6182"/>
    <w:rsid w:val="00EF623C"/>
    <w:rsid w:val="00EF6294"/>
    <w:rsid w:val="00EF6539"/>
    <w:rsid w:val="00EF6601"/>
    <w:rsid w:val="00EF6805"/>
    <w:rsid w:val="00EF696D"/>
    <w:rsid w:val="00EF6BD8"/>
    <w:rsid w:val="00EF6CF9"/>
    <w:rsid w:val="00EF6D9B"/>
    <w:rsid w:val="00EF6E3A"/>
    <w:rsid w:val="00EF6EAE"/>
    <w:rsid w:val="00EF6ED5"/>
    <w:rsid w:val="00EF70F3"/>
    <w:rsid w:val="00EF711F"/>
    <w:rsid w:val="00EF730B"/>
    <w:rsid w:val="00EF732D"/>
    <w:rsid w:val="00EF747F"/>
    <w:rsid w:val="00EF768F"/>
    <w:rsid w:val="00EF78A0"/>
    <w:rsid w:val="00EF7930"/>
    <w:rsid w:val="00EF7CF2"/>
    <w:rsid w:val="00EF7D85"/>
    <w:rsid w:val="00EF7F31"/>
    <w:rsid w:val="00F00380"/>
    <w:rsid w:val="00F00508"/>
    <w:rsid w:val="00F0053B"/>
    <w:rsid w:val="00F0060F"/>
    <w:rsid w:val="00F00819"/>
    <w:rsid w:val="00F008AE"/>
    <w:rsid w:val="00F00AD4"/>
    <w:rsid w:val="00F00B2E"/>
    <w:rsid w:val="00F00E37"/>
    <w:rsid w:val="00F00F76"/>
    <w:rsid w:val="00F01068"/>
    <w:rsid w:val="00F01490"/>
    <w:rsid w:val="00F01820"/>
    <w:rsid w:val="00F0193F"/>
    <w:rsid w:val="00F01C5B"/>
    <w:rsid w:val="00F01E52"/>
    <w:rsid w:val="00F01FA5"/>
    <w:rsid w:val="00F022A8"/>
    <w:rsid w:val="00F02473"/>
    <w:rsid w:val="00F0256E"/>
    <w:rsid w:val="00F029F0"/>
    <w:rsid w:val="00F02ABE"/>
    <w:rsid w:val="00F02C55"/>
    <w:rsid w:val="00F02C90"/>
    <w:rsid w:val="00F02DCB"/>
    <w:rsid w:val="00F0319D"/>
    <w:rsid w:val="00F03375"/>
    <w:rsid w:val="00F0389E"/>
    <w:rsid w:val="00F04286"/>
    <w:rsid w:val="00F042DC"/>
    <w:rsid w:val="00F04309"/>
    <w:rsid w:val="00F043D0"/>
    <w:rsid w:val="00F0448B"/>
    <w:rsid w:val="00F044ED"/>
    <w:rsid w:val="00F0463B"/>
    <w:rsid w:val="00F046BD"/>
    <w:rsid w:val="00F0479C"/>
    <w:rsid w:val="00F0491F"/>
    <w:rsid w:val="00F049E1"/>
    <w:rsid w:val="00F04A1A"/>
    <w:rsid w:val="00F04D63"/>
    <w:rsid w:val="00F04E40"/>
    <w:rsid w:val="00F04E72"/>
    <w:rsid w:val="00F0508B"/>
    <w:rsid w:val="00F0526B"/>
    <w:rsid w:val="00F0576E"/>
    <w:rsid w:val="00F057C2"/>
    <w:rsid w:val="00F057E7"/>
    <w:rsid w:val="00F0584D"/>
    <w:rsid w:val="00F05999"/>
    <w:rsid w:val="00F059AB"/>
    <w:rsid w:val="00F05B05"/>
    <w:rsid w:val="00F05D4B"/>
    <w:rsid w:val="00F05F0C"/>
    <w:rsid w:val="00F062D7"/>
    <w:rsid w:val="00F06322"/>
    <w:rsid w:val="00F06894"/>
    <w:rsid w:val="00F068AC"/>
    <w:rsid w:val="00F068AF"/>
    <w:rsid w:val="00F06906"/>
    <w:rsid w:val="00F06A60"/>
    <w:rsid w:val="00F06B25"/>
    <w:rsid w:val="00F06BA9"/>
    <w:rsid w:val="00F06C35"/>
    <w:rsid w:val="00F06DDD"/>
    <w:rsid w:val="00F07099"/>
    <w:rsid w:val="00F070CB"/>
    <w:rsid w:val="00F073E7"/>
    <w:rsid w:val="00F074A8"/>
    <w:rsid w:val="00F074FA"/>
    <w:rsid w:val="00F075A5"/>
    <w:rsid w:val="00F0768C"/>
    <w:rsid w:val="00F07A68"/>
    <w:rsid w:val="00F07A90"/>
    <w:rsid w:val="00F07B33"/>
    <w:rsid w:val="00F07B75"/>
    <w:rsid w:val="00F102A7"/>
    <w:rsid w:val="00F105EA"/>
    <w:rsid w:val="00F107E1"/>
    <w:rsid w:val="00F10B8A"/>
    <w:rsid w:val="00F10EE2"/>
    <w:rsid w:val="00F10F10"/>
    <w:rsid w:val="00F1106A"/>
    <w:rsid w:val="00F1109A"/>
    <w:rsid w:val="00F11117"/>
    <w:rsid w:val="00F111B8"/>
    <w:rsid w:val="00F112B0"/>
    <w:rsid w:val="00F11304"/>
    <w:rsid w:val="00F114A1"/>
    <w:rsid w:val="00F11768"/>
    <w:rsid w:val="00F119E7"/>
    <w:rsid w:val="00F11D19"/>
    <w:rsid w:val="00F11D55"/>
    <w:rsid w:val="00F11DC7"/>
    <w:rsid w:val="00F11FA7"/>
    <w:rsid w:val="00F12512"/>
    <w:rsid w:val="00F12541"/>
    <w:rsid w:val="00F126D6"/>
    <w:rsid w:val="00F12A08"/>
    <w:rsid w:val="00F12AC4"/>
    <w:rsid w:val="00F12E11"/>
    <w:rsid w:val="00F1318A"/>
    <w:rsid w:val="00F131E2"/>
    <w:rsid w:val="00F13564"/>
    <w:rsid w:val="00F13580"/>
    <w:rsid w:val="00F13586"/>
    <w:rsid w:val="00F13639"/>
    <w:rsid w:val="00F1386C"/>
    <w:rsid w:val="00F13B28"/>
    <w:rsid w:val="00F143EE"/>
    <w:rsid w:val="00F14435"/>
    <w:rsid w:val="00F145F8"/>
    <w:rsid w:val="00F14660"/>
    <w:rsid w:val="00F1477E"/>
    <w:rsid w:val="00F14C45"/>
    <w:rsid w:val="00F1506C"/>
    <w:rsid w:val="00F1510D"/>
    <w:rsid w:val="00F15233"/>
    <w:rsid w:val="00F15608"/>
    <w:rsid w:val="00F15618"/>
    <w:rsid w:val="00F1595A"/>
    <w:rsid w:val="00F15C73"/>
    <w:rsid w:val="00F15D5C"/>
    <w:rsid w:val="00F15E03"/>
    <w:rsid w:val="00F15E91"/>
    <w:rsid w:val="00F15ED4"/>
    <w:rsid w:val="00F164D2"/>
    <w:rsid w:val="00F1668F"/>
    <w:rsid w:val="00F168DF"/>
    <w:rsid w:val="00F16A66"/>
    <w:rsid w:val="00F16B49"/>
    <w:rsid w:val="00F16E72"/>
    <w:rsid w:val="00F16F98"/>
    <w:rsid w:val="00F17102"/>
    <w:rsid w:val="00F1735C"/>
    <w:rsid w:val="00F17473"/>
    <w:rsid w:val="00F178FF"/>
    <w:rsid w:val="00F1792A"/>
    <w:rsid w:val="00F17C97"/>
    <w:rsid w:val="00F17F93"/>
    <w:rsid w:val="00F20578"/>
    <w:rsid w:val="00F2064C"/>
    <w:rsid w:val="00F209FE"/>
    <w:rsid w:val="00F20A46"/>
    <w:rsid w:val="00F20B53"/>
    <w:rsid w:val="00F20B5E"/>
    <w:rsid w:val="00F20B5F"/>
    <w:rsid w:val="00F20FC1"/>
    <w:rsid w:val="00F21036"/>
    <w:rsid w:val="00F21056"/>
    <w:rsid w:val="00F21666"/>
    <w:rsid w:val="00F21683"/>
    <w:rsid w:val="00F21961"/>
    <w:rsid w:val="00F21A42"/>
    <w:rsid w:val="00F21A81"/>
    <w:rsid w:val="00F21BA6"/>
    <w:rsid w:val="00F21C71"/>
    <w:rsid w:val="00F21C92"/>
    <w:rsid w:val="00F21D12"/>
    <w:rsid w:val="00F21FB3"/>
    <w:rsid w:val="00F21FBD"/>
    <w:rsid w:val="00F22035"/>
    <w:rsid w:val="00F222E5"/>
    <w:rsid w:val="00F223E1"/>
    <w:rsid w:val="00F22484"/>
    <w:rsid w:val="00F2291C"/>
    <w:rsid w:val="00F22A18"/>
    <w:rsid w:val="00F22C19"/>
    <w:rsid w:val="00F22D18"/>
    <w:rsid w:val="00F22FD6"/>
    <w:rsid w:val="00F2300F"/>
    <w:rsid w:val="00F23350"/>
    <w:rsid w:val="00F23434"/>
    <w:rsid w:val="00F235FB"/>
    <w:rsid w:val="00F23664"/>
    <w:rsid w:val="00F2367A"/>
    <w:rsid w:val="00F23880"/>
    <w:rsid w:val="00F23E4E"/>
    <w:rsid w:val="00F23EFE"/>
    <w:rsid w:val="00F23F3C"/>
    <w:rsid w:val="00F24450"/>
    <w:rsid w:val="00F245A2"/>
    <w:rsid w:val="00F24B44"/>
    <w:rsid w:val="00F24CFC"/>
    <w:rsid w:val="00F2521E"/>
    <w:rsid w:val="00F252AF"/>
    <w:rsid w:val="00F252E8"/>
    <w:rsid w:val="00F25366"/>
    <w:rsid w:val="00F253B6"/>
    <w:rsid w:val="00F25416"/>
    <w:rsid w:val="00F254F0"/>
    <w:rsid w:val="00F25B50"/>
    <w:rsid w:val="00F25D28"/>
    <w:rsid w:val="00F26073"/>
    <w:rsid w:val="00F26137"/>
    <w:rsid w:val="00F261E9"/>
    <w:rsid w:val="00F26270"/>
    <w:rsid w:val="00F26385"/>
    <w:rsid w:val="00F264A1"/>
    <w:rsid w:val="00F264AD"/>
    <w:rsid w:val="00F2674A"/>
    <w:rsid w:val="00F2678A"/>
    <w:rsid w:val="00F26798"/>
    <w:rsid w:val="00F267AE"/>
    <w:rsid w:val="00F2681C"/>
    <w:rsid w:val="00F26833"/>
    <w:rsid w:val="00F26AA8"/>
    <w:rsid w:val="00F26AF2"/>
    <w:rsid w:val="00F26B6B"/>
    <w:rsid w:val="00F27099"/>
    <w:rsid w:val="00F27118"/>
    <w:rsid w:val="00F27182"/>
    <w:rsid w:val="00F2729E"/>
    <w:rsid w:val="00F2769C"/>
    <w:rsid w:val="00F27769"/>
    <w:rsid w:val="00F27CF0"/>
    <w:rsid w:val="00F27D48"/>
    <w:rsid w:val="00F301EB"/>
    <w:rsid w:val="00F3026A"/>
    <w:rsid w:val="00F3039A"/>
    <w:rsid w:val="00F307B3"/>
    <w:rsid w:val="00F307DA"/>
    <w:rsid w:val="00F308C7"/>
    <w:rsid w:val="00F30A58"/>
    <w:rsid w:val="00F30A91"/>
    <w:rsid w:val="00F30BB4"/>
    <w:rsid w:val="00F30CCE"/>
    <w:rsid w:val="00F30F8A"/>
    <w:rsid w:val="00F31049"/>
    <w:rsid w:val="00F311FF"/>
    <w:rsid w:val="00F312B5"/>
    <w:rsid w:val="00F313C9"/>
    <w:rsid w:val="00F3174C"/>
    <w:rsid w:val="00F31837"/>
    <w:rsid w:val="00F31895"/>
    <w:rsid w:val="00F31DD9"/>
    <w:rsid w:val="00F31E7F"/>
    <w:rsid w:val="00F31EA5"/>
    <w:rsid w:val="00F31EC4"/>
    <w:rsid w:val="00F31FD6"/>
    <w:rsid w:val="00F324B5"/>
    <w:rsid w:val="00F327CC"/>
    <w:rsid w:val="00F328F7"/>
    <w:rsid w:val="00F32A89"/>
    <w:rsid w:val="00F32CA6"/>
    <w:rsid w:val="00F32F13"/>
    <w:rsid w:val="00F33552"/>
    <w:rsid w:val="00F33789"/>
    <w:rsid w:val="00F33F9F"/>
    <w:rsid w:val="00F34042"/>
    <w:rsid w:val="00F34C2A"/>
    <w:rsid w:val="00F34FC3"/>
    <w:rsid w:val="00F35071"/>
    <w:rsid w:val="00F35613"/>
    <w:rsid w:val="00F3564C"/>
    <w:rsid w:val="00F357BC"/>
    <w:rsid w:val="00F35A81"/>
    <w:rsid w:val="00F35DB5"/>
    <w:rsid w:val="00F35DED"/>
    <w:rsid w:val="00F35E0B"/>
    <w:rsid w:val="00F361D0"/>
    <w:rsid w:val="00F36469"/>
    <w:rsid w:val="00F368E6"/>
    <w:rsid w:val="00F369C2"/>
    <w:rsid w:val="00F36C87"/>
    <w:rsid w:val="00F36D6C"/>
    <w:rsid w:val="00F36E5C"/>
    <w:rsid w:val="00F37472"/>
    <w:rsid w:val="00F376F4"/>
    <w:rsid w:val="00F3774D"/>
    <w:rsid w:val="00F37AAC"/>
    <w:rsid w:val="00F37C04"/>
    <w:rsid w:val="00F37D6F"/>
    <w:rsid w:val="00F40200"/>
    <w:rsid w:val="00F40460"/>
    <w:rsid w:val="00F40485"/>
    <w:rsid w:val="00F40781"/>
    <w:rsid w:val="00F412B0"/>
    <w:rsid w:val="00F4156B"/>
    <w:rsid w:val="00F41598"/>
    <w:rsid w:val="00F4165C"/>
    <w:rsid w:val="00F41869"/>
    <w:rsid w:val="00F41950"/>
    <w:rsid w:val="00F41A52"/>
    <w:rsid w:val="00F41E2A"/>
    <w:rsid w:val="00F420C8"/>
    <w:rsid w:val="00F4256F"/>
    <w:rsid w:val="00F427F0"/>
    <w:rsid w:val="00F4282C"/>
    <w:rsid w:val="00F42C4B"/>
    <w:rsid w:val="00F431D3"/>
    <w:rsid w:val="00F4325B"/>
    <w:rsid w:val="00F4348E"/>
    <w:rsid w:val="00F4367D"/>
    <w:rsid w:val="00F43810"/>
    <w:rsid w:val="00F438AC"/>
    <w:rsid w:val="00F439C9"/>
    <w:rsid w:val="00F43AC4"/>
    <w:rsid w:val="00F43AC9"/>
    <w:rsid w:val="00F43B78"/>
    <w:rsid w:val="00F43DE0"/>
    <w:rsid w:val="00F44094"/>
    <w:rsid w:val="00F44339"/>
    <w:rsid w:val="00F4433B"/>
    <w:rsid w:val="00F44679"/>
    <w:rsid w:val="00F44A07"/>
    <w:rsid w:val="00F44BBB"/>
    <w:rsid w:val="00F44EC9"/>
    <w:rsid w:val="00F45218"/>
    <w:rsid w:val="00F45BDF"/>
    <w:rsid w:val="00F45C35"/>
    <w:rsid w:val="00F45CCD"/>
    <w:rsid w:val="00F45DC2"/>
    <w:rsid w:val="00F4675D"/>
    <w:rsid w:val="00F4682F"/>
    <w:rsid w:val="00F468D3"/>
    <w:rsid w:val="00F46927"/>
    <w:rsid w:val="00F47062"/>
    <w:rsid w:val="00F4720C"/>
    <w:rsid w:val="00F4771A"/>
    <w:rsid w:val="00F47820"/>
    <w:rsid w:val="00F5019F"/>
    <w:rsid w:val="00F502F3"/>
    <w:rsid w:val="00F504F3"/>
    <w:rsid w:val="00F50612"/>
    <w:rsid w:val="00F50996"/>
    <w:rsid w:val="00F50999"/>
    <w:rsid w:val="00F509B2"/>
    <w:rsid w:val="00F50B0A"/>
    <w:rsid w:val="00F51129"/>
    <w:rsid w:val="00F51228"/>
    <w:rsid w:val="00F51302"/>
    <w:rsid w:val="00F51396"/>
    <w:rsid w:val="00F5148D"/>
    <w:rsid w:val="00F516DA"/>
    <w:rsid w:val="00F51835"/>
    <w:rsid w:val="00F51AA5"/>
    <w:rsid w:val="00F51C6A"/>
    <w:rsid w:val="00F51C8A"/>
    <w:rsid w:val="00F51C95"/>
    <w:rsid w:val="00F51D13"/>
    <w:rsid w:val="00F520DB"/>
    <w:rsid w:val="00F52406"/>
    <w:rsid w:val="00F5285C"/>
    <w:rsid w:val="00F531F1"/>
    <w:rsid w:val="00F53237"/>
    <w:rsid w:val="00F5362F"/>
    <w:rsid w:val="00F5385F"/>
    <w:rsid w:val="00F538BE"/>
    <w:rsid w:val="00F53C47"/>
    <w:rsid w:val="00F53CC4"/>
    <w:rsid w:val="00F54226"/>
    <w:rsid w:val="00F543CC"/>
    <w:rsid w:val="00F54498"/>
    <w:rsid w:val="00F5493B"/>
    <w:rsid w:val="00F55087"/>
    <w:rsid w:val="00F55097"/>
    <w:rsid w:val="00F55287"/>
    <w:rsid w:val="00F55380"/>
    <w:rsid w:val="00F55854"/>
    <w:rsid w:val="00F55A50"/>
    <w:rsid w:val="00F55A97"/>
    <w:rsid w:val="00F55CB5"/>
    <w:rsid w:val="00F55CEC"/>
    <w:rsid w:val="00F5609A"/>
    <w:rsid w:val="00F56181"/>
    <w:rsid w:val="00F56302"/>
    <w:rsid w:val="00F5634E"/>
    <w:rsid w:val="00F56813"/>
    <w:rsid w:val="00F5686F"/>
    <w:rsid w:val="00F56A2B"/>
    <w:rsid w:val="00F56FAE"/>
    <w:rsid w:val="00F57119"/>
    <w:rsid w:val="00F57189"/>
    <w:rsid w:val="00F574AB"/>
    <w:rsid w:val="00F57539"/>
    <w:rsid w:val="00F57924"/>
    <w:rsid w:val="00F57BEC"/>
    <w:rsid w:val="00F57F4B"/>
    <w:rsid w:val="00F57FE8"/>
    <w:rsid w:val="00F600BC"/>
    <w:rsid w:val="00F600C1"/>
    <w:rsid w:val="00F60257"/>
    <w:rsid w:val="00F60479"/>
    <w:rsid w:val="00F60668"/>
    <w:rsid w:val="00F60934"/>
    <w:rsid w:val="00F60B8D"/>
    <w:rsid w:val="00F60CA1"/>
    <w:rsid w:val="00F60CAD"/>
    <w:rsid w:val="00F60D3E"/>
    <w:rsid w:val="00F60F15"/>
    <w:rsid w:val="00F611E4"/>
    <w:rsid w:val="00F61228"/>
    <w:rsid w:val="00F6139F"/>
    <w:rsid w:val="00F61416"/>
    <w:rsid w:val="00F6180A"/>
    <w:rsid w:val="00F61859"/>
    <w:rsid w:val="00F61D7A"/>
    <w:rsid w:val="00F61F4A"/>
    <w:rsid w:val="00F62475"/>
    <w:rsid w:val="00F627EF"/>
    <w:rsid w:val="00F62BBE"/>
    <w:rsid w:val="00F62CB8"/>
    <w:rsid w:val="00F62D42"/>
    <w:rsid w:val="00F62DDB"/>
    <w:rsid w:val="00F62EDF"/>
    <w:rsid w:val="00F63430"/>
    <w:rsid w:val="00F63480"/>
    <w:rsid w:val="00F63515"/>
    <w:rsid w:val="00F63565"/>
    <w:rsid w:val="00F636AC"/>
    <w:rsid w:val="00F63AB1"/>
    <w:rsid w:val="00F63B8F"/>
    <w:rsid w:val="00F63BBD"/>
    <w:rsid w:val="00F63DC4"/>
    <w:rsid w:val="00F63F59"/>
    <w:rsid w:val="00F640A3"/>
    <w:rsid w:val="00F6422C"/>
    <w:rsid w:val="00F64584"/>
    <w:rsid w:val="00F64709"/>
    <w:rsid w:val="00F647DE"/>
    <w:rsid w:val="00F64971"/>
    <w:rsid w:val="00F649B4"/>
    <w:rsid w:val="00F649FD"/>
    <w:rsid w:val="00F64A74"/>
    <w:rsid w:val="00F64A79"/>
    <w:rsid w:val="00F64B3B"/>
    <w:rsid w:val="00F64B9F"/>
    <w:rsid w:val="00F64FA9"/>
    <w:rsid w:val="00F64FE6"/>
    <w:rsid w:val="00F65002"/>
    <w:rsid w:val="00F65074"/>
    <w:rsid w:val="00F6534F"/>
    <w:rsid w:val="00F65413"/>
    <w:rsid w:val="00F65419"/>
    <w:rsid w:val="00F656A6"/>
    <w:rsid w:val="00F656E3"/>
    <w:rsid w:val="00F6578A"/>
    <w:rsid w:val="00F65802"/>
    <w:rsid w:val="00F65A32"/>
    <w:rsid w:val="00F65CFF"/>
    <w:rsid w:val="00F65F0B"/>
    <w:rsid w:val="00F66298"/>
    <w:rsid w:val="00F663EB"/>
    <w:rsid w:val="00F663EE"/>
    <w:rsid w:val="00F66617"/>
    <w:rsid w:val="00F66B04"/>
    <w:rsid w:val="00F66C0A"/>
    <w:rsid w:val="00F67053"/>
    <w:rsid w:val="00F670D3"/>
    <w:rsid w:val="00F67BF1"/>
    <w:rsid w:val="00F67C7D"/>
    <w:rsid w:val="00F70110"/>
    <w:rsid w:val="00F7011F"/>
    <w:rsid w:val="00F705A3"/>
    <w:rsid w:val="00F707C2"/>
    <w:rsid w:val="00F70830"/>
    <w:rsid w:val="00F70837"/>
    <w:rsid w:val="00F70F15"/>
    <w:rsid w:val="00F7101F"/>
    <w:rsid w:val="00F711DA"/>
    <w:rsid w:val="00F7153A"/>
    <w:rsid w:val="00F71625"/>
    <w:rsid w:val="00F71794"/>
    <w:rsid w:val="00F718A1"/>
    <w:rsid w:val="00F71A2D"/>
    <w:rsid w:val="00F71B9E"/>
    <w:rsid w:val="00F71C5A"/>
    <w:rsid w:val="00F71E9A"/>
    <w:rsid w:val="00F71F0F"/>
    <w:rsid w:val="00F72118"/>
    <w:rsid w:val="00F721A0"/>
    <w:rsid w:val="00F72290"/>
    <w:rsid w:val="00F7251B"/>
    <w:rsid w:val="00F72587"/>
    <w:rsid w:val="00F72A80"/>
    <w:rsid w:val="00F72C93"/>
    <w:rsid w:val="00F72E54"/>
    <w:rsid w:val="00F731F4"/>
    <w:rsid w:val="00F732F8"/>
    <w:rsid w:val="00F733EB"/>
    <w:rsid w:val="00F734BF"/>
    <w:rsid w:val="00F735BA"/>
    <w:rsid w:val="00F73671"/>
    <w:rsid w:val="00F736F7"/>
    <w:rsid w:val="00F73A19"/>
    <w:rsid w:val="00F73AAB"/>
    <w:rsid w:val="00F73E5A"/>
    <w:rsid w:val="00F7424C"/>
    <w:rsid w:val="00F74288"/>
    <w:rsid w:val="00F742D9"/>
    <w:rsid w:val="00F74341"/>
    <w:rsid w:val="00F746B3"/>
    <w:rsid w:val="00F74A58"/>
    <w:rsid w:val="00F74B4B"/>
    <w:rsid w:val="00F74CB4"/>
    <w:rsid w:val="00F74E98"/>
    <w:rsid w:val="00F74EB3"/>
    <w:rsid w:val="00F754C2"/>
    <w:rsid w:val="00F756A1"/>
    <w:rsid w:val="00F75843"/>
    <w:rsid w:val="00F75A5A"/>
    <w:rsid w:val="00F75AAB"/>
    <w:rsid w:val="00F75E28"/>
    <w:rsid w:val="00F76611"/>
    <w:rsid w:val="00F76705"/>
    <w:rsid w:val="00F7673C"/>
    <w:rsid w:val="00F7684F"/>
    <w:rsid w:val="00F768CD"/>
    <w:rsid w:val="00F769C3"/>
    <w:rsid w:val="00F76C8B"/>
    <w:rsid w:val="00F771B0"/>
    <w:rsid w:val="00F77498"/>
    <w:rsid w:val="00F77618"/>
    <w:rsid w:val="00F776E5"/>
    <w:rsid w:val="00F77AB9"/>
    <w:rsid w:val="00F800B8"/>
    <w:rsid w:val="00F80131"/>
    <w:rsid w:val="00F8031E"/>
    <w:rsid w:val="00F80496"/>
    <w:rsid w:val="00F80662"/>
    <w:rsid w:val="00F80704"/>
    <w:rsid w:val="00F80866"/>
    <w:rsid w:val="00F809F7"/>
    <w:rsid w:val="00F80A88"/>
    <w:rsid w:val="00F80B4E"/>
    <w:rsid w:val="00F80F5A"/>
    <w:rsid w:val="00F80F6B"/>
    <w:rsid w:val="00F8125F"/>
    <w:rsid w:val="00F81498"/>
    <w:rsid w:val="00F817A7"/>
    <w:rsid w:val="00F8180E"/>
    <w:rsid w:val="00F81858"/>
    <w:rsid w:val="00F81DCC"/>
    <w:rsid w:val="00F81E6D"/>
    <w:rsid w:val="00F81F72"/>
    <w:rsid w:val="00F81F7C"/>
    <w:rsid w:val="00F823F5"/>
    <w:rsid w:val="00F824BE"/>
    <w:rsid w:val="00F826A2"/>
    <w:rsid w:val="00F82941"/>
    <w:rsid w:val="00F82D98"/>
    <w:rsid w:val="00F82EE9"/>
    <w:rsid w:val="00F83477"/>
    <w:rsid w:val="00F837A3"/>
    <w:rsid w:val="00F8384F"/>
    <w:rsid w:val="00F8386F"/>
    <w:rsid w:val="00F8399B"/>
    <w:rsid w:val="00F83B2A"/>
    <w:rsid w:val="00F83C6B"/>
    <w:rsid w:val="00F83D29"/>
    <w:rsid w:val="00F83D92"/>
    <w:rsid w:val="00F83E6B"/>
    <w:rsid w:val="00F83EB1"/>
    <w:rsid w:val="00F840E9"/>
    <w:rsid w:val="00F8419D"/>
    <w:rsid w:val="00F84207"/>
    <w:rsid w:val="00F84334"/>
    <w:rsid w:val="00F846AD"/>
    <w:rsid w:val="00F848F9"/>
    <w:rsid w:val="00F84CA3"/>
    <w:rsid w:val="00F84E1A"/>
    <w:rsid w:val="00F8542A"/>
    <w:rsid w:val="00F85721"/>
    <w:rsid w:val="00F85A9D"/>
    <w:rsid w:val="00F85B1B"/>
    <w:rsid w:val="00F85BB5"/>
    <w:rsid w:val="00F85D23"/>
    <w:rsid w:val="00F85D94"/>
    <w:rsid w:val="00F85EB7"/>
    <w:rsid w:val="00F85F5C"/>
    <w:rsid w:val="00F85F71"/>
    <w:rsid w:val="00F86028"/>
    <w:rsid w:val="00F860DC"/>
    <w:rsid w:val="00F8626D"/>
    <w:rsid w:val="00F862AF"/>
    <w:rsid w:val="00F863A8"/>
    <w:rsid w:val="00F86519"/>
    <w:rsid w:val="00F86799"/>
    <w:rsid w:val="00F86903"/>
    <w:rsid w:val="00F86990"/>
    <w:rsid w:val="00F86B66"/>
    <w:rsid w:val="00F86D32"/>
    <w:rsid w:val="00F86F78"/>
    <w:rsid w:val="00F86FC2"/>
    <w:rsid w:val="00F872AF"/>
    <w:rsid w:val="00F87309"/>
    <w:rsid w:val="00F87531"/>
    <w:rsid w:val="00F877FF"/>
    <w:rsid w:val="00F878E1"/>
    <w:rsid w:val="00F879DA"/>
    <w:rsid w:val="00F87CCC"/>
    <w:rsid w:val="00F902DB"/>
    <w:rsid w:val="00F90311"/>
    <w:rsid w:val="00F908BC"/>
    <w:rsid w:val="00F90E54"/>
    <w:rsid w:val="00F90F5D"/>
    <w:rsid w:val="00F91011"/>
    <w:rsid w:val="00F9116A"/>
    <w:rsid w:val="00F911C5"/>
    <w:rsid w:val="00F915FE"/>
    <w:rsid w:val="00F9170D"/>
    <w:rsid w:val="00F91901"/>
    <w:rsid w:val="00F91AD1"/>
    <w:rsid w:val="00F920C9"/>
    <w:rsid w:val="00F9212D"/>
    <w:rsid w:val="00F92140"/>
    <w:rsid w:val="00F923BD"/>
    <w:rsid w:val="00F9255F"/>
    <w:rsid w:val="00F926E2"/>
    <w:rsid w:val="00F92734"/>
    <w:rsid w:val="00F92B04"/>
    <w:rsid w:val="00F92B0A"/>
    <w:rsid w:val="00F92D35"/>
    <w:rsid w:val="00F93187"/>
    <w:rsid w:val="00F932D3"/>
    <w:rsid w:val="00F935A7"/>
    <w:rsid w:val="00F936A6"/>
    <w:rsid w:val="00F937F3"/>
    <w:rsid w:val="00F93824"/>
    <w:rsid w:val="00F93B52"/>
    <w:rsid w:val="00F93D18"/>
    <w:rsid w:val="00F93D8D"/>
    <w:rsid w:val="00F93F47"/>
    <w:rsid w:val="00F942ED"/>
    <w:rsid w:val="00F942F4"/>
    <w:rsid w:val="00F94368"/>
    <w:rsid w:val="00F94423"/>
    <w:rsid w:val="00F945EB"/>
    <w:rsid w:val="00F9472E"/>
    <w:rsid w:val="00F947C2"/>
    <w:rsid w:val="00F9494C"/>
    <w:rsid w:val="00F94A0E"/>
    <w:rsid w:val="00F94C8B"/>
    <w:rsid w:val="00F94EC4"/>
    <w:rsid w:val="00F94F34"/>
    <w:rsid w:val="00F951A0"/>
    <w:rsid w:val="00F9551B"/>
    <w:rsid w:val="00F956CA"/>
    <w:rsid w:val="00F958D7"/>
    <w:rsid w:val="00F9596B"/>
    <w:rsid w:val="00F95A03"/>
    <w:rsid w:val="00F95C28"/>
    <w:rsid w:val="00F95FF0"/>
    <w:rsid w:val="00F960E0"/>
    <w:rsid w:val="00F962C0"/>
    <w:rsid w:val="00F965D3"/>
    <w:rsid w:val="00F9691F"/>
    <w:rsid w:val="00F96E89"/>
    <w:rsid w:val="00F971B0"/>
    <w:rsid w:val="00F9733D"/>
    <w:rsid w:val="00F97691"/>
    <w:rsid w:val="00F97A46"/>
    <w:rsid w:val="00F97A61"/>
    <w:rsid w:val="00F97CB8"/>
    <w:rsid w:val="00F97F32"/>
    <w:rsid w:val="00F97F40"/>
    <w:rsid w:val="00FA0597"/>
    <w:rsid w:val="00FA0840"/>
    <w:rsid w:val="00FA0933"/>
    <w:rsid w:val="00FA0C00"/>
    <w:rsid w:val="00FA0CF3"/>
    <w:rsid w:val="00FA0E9E"/>
    <w:rsid w:val="00FA1093"/>
    <w:rsid w:val="00FA12AD"/>
    <w:rsid w:val="00FA15C8"/>
    <w:rsid w:val="00FA160F"/>
    <w:rsid w:val="00FA1640"/>
    <w:rsid w:val="00FA1832"/>
    <w:rsid w:val="00FA1FC3"/>
    <w:rsid w:val="00FA21D5"/>
    <w:rsid w:val="00FA25AF"/>
    <w:rsid w:val="00FA2896"/>
    <w:rsid w:val="00FA29C6"/>
    <w:rsid w:val="00FA2C5D"/>
    <w:rsid w:val="00FA2D86"/>
    <w:rsid w:val="00FA348C"/>
    <w:rsid w:val="00FA39D5"/>
    <w:rsid w:val="00FA3D87"/>
    <w:rsid w:val="00FA3EBD"/>
    <w:rsid w:val="00FA4023"/>
    <w:rsid w:val="00FA4202"/>
    <w:rsid w:val="00FA4284"/>
    <w:rsid w:val="00FA463F"/>
    <w:rsid w:val="00FA4791"/>
    <w:rsid w:val="00FA4817"/>
    <w:rsid w:val="00FA4AED"/>
    <w:rsid w:val="00FA4C57"/>
    <w:rsid w:val="00FA4F25"/>
    <w:rsid w:val="00FA515B"/>
    <w:rsid w:val="00FA518B"/>
    <w:rsid w:val="00FA528B"/>
    <w:rsid w:val="00FA53D8"/>
    <w:rsid w:val="00FA5553"/>
    <w:rsid w:val="00FA5721"/>
    <w:rsid w:val="00FA5F71"/>
    <w:rsid w:val="00FA5F7E"/>
    <w:rsid w:val="00FA6201"/>
    <w:rsid w:val="00FA645E"/>
    <w:rsid w:val="00FA6674"/>
    <w:rsid w:val="00FA674A"/>
    <w:rsid w:val="00FA6792"/>
    <w:rsid w:val="00FA679E"/>
    <w:rsid w:val="00FA6929"/>
    <w:rsid w:val="00FA6961"/>
    <w:rsid w:val="00FA6A31"/>
    <w:rsid w:val="00FA6A7C"/>
    <w:rsid w:val="00FA6B98"/>
    <w:rsid w:val="00FA6E6D"/>
    <w:rsid w:val="00FA70E1"/>
    <w:rsid w:val="00FA7498"/>
    <w:rsid w:val="00FA7581"/>
    <w:rsid w:val="00FA75CC"/>
    <w:rsid w:val="00FA765B"/>
    <w:rsid w:val="00FA76DF"/>
    <w:rsid w:val="00FA7EB1"/>
    <w:rsid w:val="00FB0185"/>
    <w:rsid w:val="00FB027A"/>
    <w:rsid w:val="00FB029B"/>
    <w:rsid w:val="00FB0368"/>
    <w:rsid w:val="00FB039A"/>
    <w:rsid w:val="00FB045F"/>
    <w:rsid w:val="00FB06C4"/>
    <w:rsid w:val="00FB082B"/>
    <w:rsid w:val="00FB0A85"/>
    <w:rsid w:val="00FB0AB0"/>
    <w:rsid w:val="00FB0AC1"/>
    <w:rsid w:val="00FB0AD8"/>
    <w:rsid w:val="00FB0C38"/>
    <w:rsid w:val="00FB0E05"/>
    <w:rsid w:val="00FB0E81"/>
    <w:rsid w:val="00FB12DE"/>
    <w:rsid w:val="00FB1340"/>
    <w:rsid w:val="00FB1380"/>
    <w:rsid w:val="00FB13B8"/>
    <w:rsid w:val="00FB162E"/>
    <w:rsid w:val="00FB16A9"/>
    <w:rsid w:val="00FB1A3B"/>
    <w:rsid w:val="00FB2017"/>
    <w:rsid w:val="00FB20E7"/>
    <w:rsid w:val="00FB23FF"/>
    <w:rsid w:val="00FB25D8"/>
    <w:rsid w:val="00FB2AC3"/>
    <w:rsid w:val="00FB2E17"/>
    <w:rsid w:val="00FB2E47"/>
    <w:rsid w:val="00FB2FA5"/>
    <w:rsid w:val="00FB355E"/>
    <w:rsid w:val="00FB363C"/>
    <w:rsid w:val="00FB3802"/>
    <w:rsid w:val="00FB39F1"/>
    <w:rsid w:val="00FB3BFD"/>
    <w:rsid w:val="00FB3C1D"/>
    <w:rsid w:val="00FB3D24"/>
    <w:rsid w:val="00FB3D71"/>
    <w:rsid w:val="00FB3E34"/>
    <w:rsid w:val="00FB404B"/>
    <w:rsid w:val="00FB40BD"/>
    <w:rsid w:val="00FB4251"/>
    <w:rsid w:val="00FB45E7"/>
    <w:rsid w:val="00FB46C9"/>
    <w:rsid w:val="00FB49B2"/>
    <w:rsid w:val="00FB4A29"/>
    <w:rsid w:val="00FB4A79"/>
    <w:rsid w:val="00FB4A7D"/>
    <w:rsid w:val="00FB4C1F"/>
    <w:rsid w:val="00FB4C99"/>
    <w:rsid w:val="00FB4D6C"/>
    <w:rsid w:val="00FB4DBB"/>
    <w:rsid w:val="00FB4ED0"/>
    <w:rsid w:val="00FB509A"/>
    <w:rsid w:val="00FB52E1"/>
    <w:rsid w:val="00FB5410"/>
    <w:rsid w:val="00FB5526"/>
    <w:rsid w:val="00FB552F"/>
    <w:rsid w:val="00FB5659"/>
    <w:rsid w:val="00FB573F"/>
    <w:rsid w:val="00FB5753"/>
    <w:rsid w:val="00FB58C0"/>
    <w:rsid w:val="00FB59C2"/>
    <w:rsid w:val="00FB5DA6"/>
    <w:rsid w:val="00FB5E1E"/>
    <w:rsid w:val="00FB5ED5"/>
    <w:rsid w:val="00FB5F97"/>
    <w:rsid w:val="00FB603A"/>
    <w:rsid w:val="00FB64FC"/>
    <w:rsid w:val="00FB6595"/>
    <w:rsid w:val="00FB66E4"/>
    <w:rsid w:val="00FB66F1"/>
    <w:rsid w:val="00FB6A0C"/>
    <w:rsid w:val="00FB6B3A"/>
    <w:rsid w:val="00FB6C5B"/>
    <w:rsid w:val="00FB6E68"/>
    <w:rsid w:val="00FB7083"/>
    <w:rsid w:val="00FB730A"/>
    <w:rsid w:val="00FB7337"/>
    <w:rsid w:val="00FB735A"/>
    <w:rsid w:val="00FB7363"/>
    <w:rsid w:val="00FB748F"/>
    <w:rsid w:val="00FB7622"/>
    <w:rsid w:val="00FB7816"/>
    <w:rsid w:val="00FB792A"/>
    <w:rsid w:val="00FB7A57"/>
    <w:rsid w:val="00FB7B0F"/>
    <w:rsid w:val="00FB7D3F"/>
    <w:rsid w:val="00FC023D"/>
    <w:rsid w:val="00FC0456"/>
    <w:rsid w:val="00FC04B6"/>
    <w:rsid w:val="00FC081B"/>
    <w:rsid w:val="00FC094F"/>
    <w:rsid w:val="00FC0BFA"/>
    <w:rsid w:val="00FC0EFD"/>
    <w:rsid w:val="00FC105C"/>
    <w:rsid w:val="00FC13AD"/>
    <w:rsid w:val="00FC13E5"/>
    <w:rsid w:val="00FC1510"/>
    <w:rsid w:val="00FC1529"/>
    <w:rsid w:val="00FC1596"/>
    <w:rsid w:val="00FC1717"/>
    <w:rsid w:val="00FC182E"/>
    <w:rsid w:val="00FC195C"/>
    <w:rsid w:val="00FC1A06"/>
    <w:rsid w:val="00FC1B86"/>
    <w:rsid w:val="00FC1BA3"/>
    <w:rsid w:val="00FC1D33"/>
    <w:rsid w:val="00FC1FFE"/>
    <w:rsid w:val="00FC2007"/>
    <w:rsid w:val="00FC2189"/>
    <w:rsid w:val="00FC21E3"/>
    <w:rsid w:val="00FC244B"/>
    <w:rsid w:val="00FC2568"/>
    <w:rsid w:val="00FC28B1"/>
    <w:rsid w:val="00FC2974"/>
    <w:rsid w:val="00FC2B44"/>
    <w:rsid w:val="00FC2D44"/>
    <w:rsid w:val="00FC3520"/>
    <w:rsid w:val="00FC3557"/>
    <w:rsid w:val="00FC3564"/>
    <w:rsid w:val="00FC36EE"/>
    <w:rsid w:val="00FC3A39"/>
    <w:rsid w:val="00FC3B05"/>
    <w:rsid w:val="00FC3BED"/>
    <w:rsid w:val="00FC43D1"/>
    <w:rsid w:val="00FC4446"/>
    <w:rsid w:val="00FC4593"/>
    <w:rsid w:val="00FC45A5"/>
    <w:rsid w:val="00FC46CA"/>
    <w:rsid w:val="00FC4842"/>
    <w:rsid w:val="00FC4B6D"/>
    <w:rsid w:val="00FC4CF8"/>
    <w:rsid w:val="00FC4EDA"/>
    <w:rsid w:val="00FC52BD"/>
    <w:rsid w:val="00FC531B"/>
    <w:rsid w:val="00FC5427"/>
    <w:rsid w:val="00FC5701"/>
    <w:rsid w:val="00FC5757"/>
    <w:rsid w:val="00FC59AD"/>
    <w:rsid w:val="00FC59CD"/>
    <w:rsid w:val="00FC661E"/>
    <w:rsid w:val="00FC6BE5"/>
    <w:rsid w:val="00FC6D0D"/>
    <w:rsid w:val="00FC7206"/>
    <w:rsid w:val="00FC7740"/>
    <w:rsid w:val="00FC7ADF"/>
    <w:rsid w:val="00FC7BDB"/>
    <w:rsid w:val="00FC7BF4"/>
    <w:rsid w:val="00FC7C84"/>
    <w:rsid w:val="00FC7D7A"/>
    <w:rsid w:val="00FD00AA"/>
    <w:rsid w:val="00FD0147"/>
    <w:rsid w:val="00FD019D"/>
    <w:rsid w:val="00FD0423"/>
    <w:rsid w:val="00FD05BA"/>
    <w:rsid w:val="00FD063C"/>
    <w:rsid w:val="00FD0864"/>
    <w:rsid w:val="00FD08D4"/>
    <w:rsid w:val="00FD0A9D"/>
    <w:rsid w:val="00FD0B57"/>
    <w:rsid w:val="00FD0C68"/>
    <w:rsid w:val="00FD0FAC"/>
    <w:rsid w:val="00FD1065"/>
    <w:rsid w:val="00FD10FE"/>
    <w:rsid w:val="00FD13E3"/>
    <w:rsid w:val="00FD1749"/>
    <w:rsid w:val="00FD1954"/>
    <w:rsid w:val="00FD1C2B"/>
    <w:rsid w:val="00FD1EFD"/>
    <w:rsid w:val="00FD2050"/>
    <w:rsid w:val="00FD2393"/>
    <w:rsid w:val="00FD24DE"/>
    <w:rsid w:val="00FD260F"/>
    <w:rsid w:val="00FD2A5A"/>
    <w:rsid w:val="00FD2AFC"/>
    <w:rsid w:val="00FD2DE2"/>
    <w:rsid w:val="00FD38BE"/>
    <w:rsid w:val="00FD3ABC"/>
    <w:rsid w:val="00FD437B"/>
    <w:rsid w:val="00FD45BD"/>
    <w:rsid w:val="00FD4631"/>
    <w:rsid w:val="00FD4B9F"/>
    <w:rsid w:val="00FD4E57"/>
    <w:rsid w:val="00FD51F3"/>
    <w:rsid w:val="00FD58B1"/>
    <w:rsid w:val="00FD5907"/>
    <w:rsid w:val="00FD592E"/>
    <w:rsid w:val="00FD6930"/>
    <w:rsid w:val="00FD6AEB"/>
    <w:rsid w:val="00FD6B8A"/>
    <w:rsid w:val="00FD6C12"/>
    <w:rsid w:val="00FD6D5F"/>
    <w:rsid w:val="00FD6E7D"/>
    <w:rsid w:val="00FD717A"/>
    <w:rsid w:val="00FD7374"/>
    <w:rsid w:val="00FD74B9"/>
    <w:rsid w:val="00FD7546"/>
    <w:rsid w:val="00FD7778"/>
    <w:rsid w:val="00FD795A"/>
    <w:rsid w:val="00FD79E4"/>
    <w:rsid w:val="00FD7AC8"/>
    <w:rsid w:val="00FD7BA2"/>
    <w:rsid w:val="00FD7DAB"/>
    <w:rsid w:val="00FE014C"/>
    <w:rsid w:val="00FE0249"/>
    <w:rsid w:val="00FE030E"/>
    <w:rsid w:val="00FE032C"/>
    <w:rsid w:val="00FE040A"/>
    <w:rsid w:val="00FE0471"/>
    <w:rsid w:val="00FE0664"/>
    <w:rsid w:val="00FE0B98"/>
    <w:rsid w:val="00FE0C45"/>
    <w:rsid w:val="00FE0C87"/>
    <w:rsid w:val="00FE0D40"/>
    <w:rsid w:val="00FE0DAB"/>
    <w:rsid w:val="00FE0F8B"/>
    <w:rsid w:val="00FE1369"/>
    <w:rsid w:val="00FE136C"/>
    <w:rsid w:val="00FE1406"/>
    <w:rsid w:val="00FE165D"/>
    <w:rsid w:val="00FE183A"/>
    <w:rsid w:val="00FE1AC3"/>
    <w:rsid w:val="00FE1DCE"/>
    <w:rsid w:val="00FE1EC3"/>
    <w:rsid w:val="00FE21B4"/>
    <w:rsid w:val="00FE234E"/>
    <w:rsid w:val="00FE23E4"/>
    <w:rsid w:val="00FE2459"/>
    <w:rsid w:val="00FE24FF"/>
    <w:rsid w:val="00FE253B"/>
    <w:rsid w:val="00FE255B"/>
    <w:rsid w:val="00FE28BB"/>
    <w:rsid w:val="00FE2C17"/>
    <w:rsid w:val="00FE3496"/>
    <w:rsid w:val="00FE35E4"/>
    <w:rsid w:val="00FE367E"/>
    <w:rsid w:val="00FE3918"/>
    <w:rsid w:val="00FE39C8"/>
    <w:rsid w:val="00FE3E6C"/>
    <w:rsid w:val="00FE4082"/>
    <w:rsid w:val="00FE434D"/>
    <w:rsid w:val="00FE47AE"/>
    <w:rsid w:val="00FE48E8"/>
    <w:rsid w:val="00FE4914"/>
    <w:rsid w:val="00FE4B98"/>
    <w:rsid w:val="00FE4D0B"/>
    <w:rsid w:val="00FE5131"/>
    <w:rsid w:val="00FE514F"/>
    <w:rsid w:val="00FE518B"/>
    <w:rsid w:val="00FE56DE"/>
    <w:rsid w:val="00FE5804"/>
    <w:rsid w:val="00FE5B37"/>
    <w:rsid w:val="00FE5C5A"/>
    <w:rsid w:val="00FE5C60"/>
    <w:rsid w:val="00FE6068"/>
    <w:rsid w:val="00FE67EE"/>
    <w:rsid w:val="00FE699F"/>
    <w:rsid w:val="00FE69B9"/>
    <w:rsid w:val="00FE6DFE"/>
    <w:rsid w:val="00FE6EEF"/>
    <w:rsid w:val="00FE71D5"/>
    <w:rsid w:val="00FE7286"/>
    <w:rsid w:val="00FE736A"/>
    <w:rsid w:val="00FE7446"/>
    <w:rsid w:val="00FE749E"/>
    <w:rsid w:val="00FE7547"/>
    <w:rsid w:val="00FE75A4"/>
    <w:rsid w:val="00FE7890"/>
    <w:rsid w:val="00FE7A5B"/>
    <w:rsid w:val="00FE7A86"/>
    <w:rsid w:val="00FE7BA5"/>
    <w:rsid w:val="00FE7E05"/>
    <w:rsid w:val="00FE7E4E"/>
    <w:rsid w:val="00FE7FAF"/>
    <w:rsid w:val="00FF01D7"/>
    <w:rsid w:val="00FF02CF"/>
    <w:rsid w:val="00FF0402"/>
    <w:rsid w:val="00FF0406"/>
    <w:rsid w:val="00FF050E"/>
    <w:rsid w:val="00FF072F"/>
    <w:rsid w:val="00FF0841"/>
    <w:rsid w:val="00FF09C7"/>
    <w:rsid w:val="00FF0A81"/>
    <w:rsid w:val="00FF0BDF"/>
    <w:rsid w:val="00FF0C98"/>
    <w:rsid w:val="00FF0DA3"/>
    <w:rsid w:val="00FF0DF0"/>
    <w:rsid w:val="00FF1027"/>
    <w:rsid w:val="00FF1216"/>
    <w:rsid w:val="00FF1389"/>
    <w:rsid w:val="00FF1589"/>
    <w:rsid w:val="00FF15AE"/>
    <w:rsid w:val="00FF15B5"/>
    <w:rsid w:val="00FF1A4E"/>
    <w:rsid w:val="00FF1A87"/>
    <w:rsid w:val="00FF1CBE"/>
    <w:rsid w:val="00FF1D48"/>
    <w:rsid w:val="00FF1ED1"/>
    <w:rsid w:val="00FF1F04"/>
    <w:rsid w:val="00FF1F1F"/>
    <w:rsid w:val="00FF20D7"/>
    <w:rsid w:val="00FF2114"/>
    <w:rsid w:val="00FF21E8"/>
    <w:rsid w:val="00FF23E6"/>
    <w:rsid w:val="00FF246E"/>
    <w:rsid w:val="00FF2988"/>
    <w:rsid w:val="00FF2B14"/>
    <w:rsid w:val="00FF2CAC"/>
    <w:rsid w:val="00FF2CDE"/>
    <w:rsid w:val="00FF2D85"/>
    <w:rsid w:val="00FF3000"/>
    <w:rsid w:val="00FF35B8"/>
    <w:rsid w:val="00FF3733"/>
    <w:rsid w:val="00FF375A"/>
    <w:rsid w:val="00FF3ED1"/>
    <w:rsid w:val="00FF3FF2"/>
    <w:rsid w:val="00FF4613"/>
    <w:rsid w:val="00FF477B"/>
    <w:rsid w:val="00FF489E"/>
    <w:rsid w:val="00FF48F1"/>
    <w:rsid w:val="00FF4D79"/>
    <w:rsid w:val="00FF5221"/>
    <w:rsid w:val="00FF534A"/>
    <w:rsid w:val="00FF5373"/>
    <w:rsid w:val="00FF55B1"/>
    <w:rsid w:val="00FF5937"/>
    <w:rsid w:val="00FF5A37"/>
    <w:rsid w:val="00FF5F60"/>
    <w:rsid w:val="00FF6408"/>
    <w:rsid w:val="00FF64BB"/>
    <w:rsid w:val="00FF6546"/>
    <w:rsid w:val="00FF6658"/>
    <w:rsid w:val="00FF6E86"/>
    <w:rsid w:val="00FF7466"/>
    <w:rsid w:val="00FF7707"/>
    <w:rsid w:val="00FF7B22"/>
    <w:rsid w:val="00FF7B82"/>
    <w:rsid w:val="00FF7F33"/>
    <w:rsid w:val="00FF7F6A"/>
    <w:rsid w:val="01562443"/>
    <w:rsid w:val="01B7561E"/>
    <w:rsid w:val="01DEE331"/>
    <w:rsid w:val="04915E6F"/>
    <w:rsid w:val="067FEF2B"/>
    <w:rsid w:val="07E3B163"/>
    <w:rsid w:val="08EE3B99"/>
    <w:rsid w:val="0992A995"/>
    <w:rsid w:val="09B8C5CE"/>
    <w:rsid w:val="0A8B4DC2"/>
    <w:rsid w:val="0A98C11A"/>
    <w:rsid w:val="0ABB79E3"/>
    <w:rsid w:val="0CA3AE72"/>
    <w:rsid w:val="0E03EDAE"/>
    <w:rsid w:val="0EC5B866"/>
    <w:rsid w:val="0ED4C82E"/>
    <w:rsid w:val="0F9FBE0F"/>
    <w:rsid w:val="106DC57E"/>
    <w:rsid w:val="10E0324A"/>
    <w:rsid w:val="114C00FC"/>
    <w:rsid w:val="1265D4CD"/>
    <w:rsid w:val="138759C5"/>
    <w:rsid w:val="14D61679"/>
    <w:rsid w:val="158DC5FE"/>
    <w:rsid w:val="197004DF"/>
    <w:rsid w:val="19E59813"/>
    <w:rsid w:val="1A10DA79"/>
    <w:rsid w:val="1A38DAE6"/>
    <w:rsid w:val="1B65C165"/>
    <w:rsid w:val="1C596066"/>
    <w:rsid w:val="1D95749E"/>
    <w:rsid w:val="1D9F752E"/>
    <w:rsid w:val="20107455"/>
    <w:rsid w:val="21F2FF82"/>
    <w:rsid w:val="2309BE59"/>
    <w:rsid w:val="23B22024"/>
    <w:rsid w:val="242E267D"/>
    <w:rsid w:val="24E3E578"/>
    <w:rsid w:val="24F50054"/>
    <w:rsid w:val="25A89E9B"/>
    <w:rsid w:val="26AE7A62"/>
    <w:rsid w:val="28C4F2DE"/>
    <w:rsid w:val="298E40D5"/>
    <w:rsid w:val="29FCC9DF"/>
    <w:rsid w:val="2A6DE07B"/>
    <w:rsid w:val="2A716EB6"/>
    <w:rsid w:val="2B328015"/>
    <w:rsid w:val="2B779C11"/>
    <w:rsid w:val="2CFC9453"/>
    <w:rsid w:val="2DC37941"/>
    <w:rsid w:val="2E61D668"/>
    <w:rsid w:val="2E850CBD"/>
    <w:rsid w:val="2F7E8AB1"/>
    <w:rsid w:val="31BA9522"/>
    <w:rsid w:val="31D5CD2D"/>
    <w:rsid w:val="32082CDF"/>
    <w:rsid w:val="332E7EF7"/>
    <w:rsid w:val="339F0BFA"/>
    <w:rsid w:val="346847AD"/>
    <w:rsid w:val="3495AE98"/>
    <w:rsid w:val="37834117"/>
    <w:rsid w:val="3786A7B0"/>
    <w:rsid w:val="3A035F01"/>
    <w:rsid w:val="3A629A40"/>
    <w:rsid w:val="3BD57992"/>
    <w:rsid w:val="3C984075"/>
    <w:rsid w:val="3EEEC718"/>
    <w:rsid w:val="3F63D3EE"/>
    <w:rsid w:val="3FE751B4"/>
    <w:rsid w:val="40A79C23"/>
    <w:rsid w:val="40CD9837"/>
    <w:rsid w:val="40ECB452"/>
    <w:rsid w:val="416CBC6C"/>
    <w:rsid w:val="41876A54"/>
    <w:rsid w:val="42793891"/>
    <w:rsid w:val="456E2746"/>
    <w:rsid w:val="460D8C84"/>
    <w:rsid w:val="461CAD32"/>
    <w:rsid w:val="46F25864"/>
    <w:rsid w:val="477855AB"/>
    <w:rsid w:val="4917E216"/>
    <w:rsid w:val="49BC46E6"/>
    <w:rsid w:val="4A48E502"/>
    <w:rsid w:val="4E940D90"/>
    <w:rsid w:val="4FA0265A"/>
    <w:rsid w:val="4FCFE0B1"/>
    <w:rsid w:val="4FF9B8EC"/>
    <w:rsid w:val="50274945"/>
    <w:rsid w:val="51060C6D"/>
    <w:rsid w:val="512A003F"/>
    <w:rsid w:val="513567CF"/>
    <w:rsid w:val="5280316E"/>
    <w:rsid w:val="535674B8"/>
    <w:rsid w:val="53A7A6C3"/>
    <w:rsid w:val="547EDB5F"/>
    <w:rsid w:val="5602E21A"/>
    <w:rsid w:val="590B4D12"/>
    <w:rsid w:val="59F70394"/>
    <w:rsid w:val="5B5760B0"/>
    <w:rsid w:val="5B788B4C"/>
    <w:rsid w:val="5CA3A712"/>
    <w:rsid w:val="5D2E51E4"/>
    <w:rsid w:val="5D3C852E"/>
    <w:rsid w:val="5DAD6E98"/>
    <w:rsid w:val="5DCD298D"/>
    <w:rsid w:val="5DFBEEDF"/>
    <w:rsid w:val="610A3DC1"/>
    <w:rsid w:val="63365415"/>
    <w:rsid w:val="63F84288"/>
    <w:rsid w:val="66011891"/>
    <w:rsid w:val="66AFCFA2"/>
    <w:rsid w:val="6789AA63"/>
    <w:rsid w:val="69EDD204"/>
    <w:rsid w:val="6B73A25E"/>
    <w:rsid w:val="6D757224"/>
    <w:rsid w:val="70200A4C"/>
    <w:rsid w:val="708E6BF8"/>
    <w:rsid w:val="73B22ADA"/>
    <w:rsid w:val="741C7746"/>
    <w:rsid w:val="75D948AC"/>
    <w:rsid w:val="763CF782"/>
    <w:rsid w:val="78394C23"/>
    <w:rsid w:val="7CBF2F3B"/>
    <w:rsid w:val="7E3B4547"/>
    <w:rsid w:val="7E809DE0"/>
    <w:rsid w:val="7EBC63E8"/>
    <w:rsid w:val="7ECBD471"/>
    <w:rsid w:val="7EF3624C"/>
    <w:rsid w:val="7FFD84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15:docId w15:val="{E4984F28-EB23-4905-9D45-383360CD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95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uiPriority w:val="99"/>
    <w:qFormat/>
    <w:rsid w:val="0026115B"/>
    <w:rPr>
      <w:rFonts w:ascii="Work Sans" w:hAnsi="Work Sans"/>
      <w:sz w:val="20"/>
      <w:szCs w:val="20"/>
      <w:vertAlign w:val="superscript"/>
    </w:rPr>
  </w:style>
  <w:style w:type="paragraph" w:styleId="FootnoteText">
    <w:name w:val="footnote text"/>
    <w:basedOn w:val="Normal"/>
    <w:link w:val="FootnoteTextChar"/>
    <w:autoRedefine/>
    <w:uiPriority w:val="99"/>
    <w:qFormat/>
    <w:rsid w:val="00BF4EC2"/>
    <w:pPr>
      <w:spacing w:before="40" w:line="240" w:lineRule="auto"/>
      <w:ind w:left="168" w:hanging="168"/>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uiPriority w:val="99"/>
    <w:rsid w:val="00BF4EC2"/>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rsid w:val="004477FF"/>
    <w:pPr>
      <w:tabs>
        <w:tab w:val="num" w:pos="567"/>
      </w:tabs>
    </w:pPr>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ind w:left="927" w:hanging="360"/>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table" w:styleId="GridTable2">
    <w:name w:val="Grid Table 2"/>
    <w:basedOn w:val="TableNormal"/>
    <w:uiPriority w:val="47"/>
    <w:rsid w:val="000D6817"/>
    <w:pPr>
      <w:spacing w:after="0" w:line="240" w:lineRule="auto"/>
    </w:pPr>
    <w:rPr>
      <w:kern w:val="2"/>
      <w14:ligatures w14:val="standardContextu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Quote">
    <w:name w:val="Quote"/>
    <w:basedOn w:val="Normal"/>
    <w:next w:val="Normal"/>
    <w:link w:val="QuoteChar"/>
    <w:uiPriority w:val="29"/>
    <w:qFormat/>
    <w:rsid w:val="002824D6"/>
    <w:pPr>
      <w:tabs>
        <w:tab w:val="clear" w:pos="567"/>
      </w:tabs>
      <w:spacing w:before="200" w:after="160" w:line="259" w:lineRule="auto"/>
      <w:ind w:left="864" w:right="864"/>
      <w:jc w:val="center"/>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2824D6"/>
    <w:rPr>
      <w:i/>
      <w:iCs/>
      <w:color w:val="404040" w:themeColor="text1" w:themeTint="BF"/>
    </w:rPr>
  </w:style>
  <w:style w:type="paragraph" w:customStyle="1" w:styleId="BoxText">
    <w:name w:val="Box Text"/>
    <w:basedOn w:val="Normal"/>
    <w:link w:val="BoxTextChar"/>
    <w:qFormat/>
    <w:rsid w:val="002417CB"/>
    <w:pPr>
      <w:keepLines/>
      <w:pBdr>
        <w:top w:val="single" w:sz="4" w:space="4" w:color="DDDDDD"/>
        <w:left w:val="single" w:sz="4" w:space="4" w:color="DDDDDD"/>
        <w:bottom w:val="single" w:sz="4" w:space="4" w:color="DDDDDD"/>
        <w:right w:val="single" w:sz="4" w:space="4" w:color="DDDDDD"/>
      </w:pBdr>
      <w:shd w:val="clear" w:color="auto" w:fill="BFBFBF" w:themeFill="text1" w:themeFillTint="40"/>
      <w:tabs>
        <w:tab w:val="clear" w:pos="567"/>
      </w:tabs>
      <w:spacing w:before="0" w:after="120" w:line="280" w:lineRule="exact"/>
      <w:ind w:left="113" w:right="113"/>
      <w:jc w:val="both"/>
    </w:pPr>
    <w:rPr>
      <w:rFonts w:ascii="Arial" w:eastAsia="Times New Roman" w:hAnsi="Arial" w:cs="Times New Roman"/>
      <w:sz w:val="22"/>
      <w:szCs w:val="20"/>
    </w:rPr>
  </w:style>
  <w:style w:type="character" w:customStyle="1" w:styleId="ui-provider">
    <w:name w:val="ui-provider"/>
    <w:basedOn w:val="DefaultParagraphFont"/>
    <w:rsid w:val="00AA4582"/>
  </w:style>
  <w:style w:type="character" w:styleId="Emphasis">
    <w:name w:val="Emphasis"/>
    <w:basedOn w:val="DefaultParagraphFont"/>
    <w:uiPriority w:val="20"/>
    <w:qFormat/>
    <w:rsid w:val="00132FC3"/>
    <w:rPr>
      <w:i/>
      <w:iCs/>
    </w:rPr>
  </w:style>
  <w:style w:type="paragraph" w:customStyle="1" w:styleId="OutlineNumbered1">
    <w:name w:val="Outline Numbered 1"/>
    <w:basedOn w:val="Normal"/>
    <w:link w:val="OutlineNumbered1Char"/>
    <w:rsid w:val="009B4092"/>
    <w:pPr>
      <w:numPr>
        <w:numId w:val="40"/>
      </w:numPr>
      <w:pBdr>
        <w:bottom w:val="single" w:sz="4" w:space="19" w:color="DDDDDD"/>
      </w:pBdr>
      <w:shd w:val="clear" w:color="auto" w:fill="EBF3F5"/>
      <w:spacing w:line="240" w:lineRule="auto"/>
    </w:pPr>
    <w:rPr>
      <w:rFonts w:ascii="Work Sans" w:eastAsia="Times New Roman" w:hAnsi="Work Sans" w:cs="Times New Roman"/>
      <w:sz w:val="14"/>
      <w:szCs w:val="14"/>
    </w:rPr>
  </w:style>
  <w:style w:type="character" w:customStyle="1" w:styleId="BoxTextChar">
    <w:name w:val="Box Text Char"/>
    <w:basedOn w:val="DefaultParagraphFont"/>
    <w:link w:val="BoxText"/>
    <w:rsid w:val="009B4092"/>
    <w:rPr>
      <w:rFonts w:ascii="Arial" w:eastAsia="Times New Roman" w:hAnsi="Arial" w:cs="Times New Roman"/>
      <w:szCs w:val="20"/>
      <w:shd w:val="clear" w:color="auto" w:fill="BFBFBF" w:themeFill="text1" w:themeFillTint="40"/>
    </w:rPr>
  </w:style>
  <w:style w:type="character" w:customStyle="1" w:styleId="OutlineNumbered1Char">
    <w:name w:val="Outline Numbered 1 Char"/>
    <w:basedOn w:val="BoxTextChar"/>
    <w:link w:val="OutlineNumbered1"/>
    <w:rsid w:val="009B4092"/>
    <w:rPr>
      <w:rFonts w:ascii="Work Sans" w:eastAsia="Times New Roman" w:hAnsi="Work Sans" w:cs="Times New Roman"/>
      <w:sz w:val="14"/>
      <w:szCs w:val="14"/>
      <w:shd w:val="clear" w:color="auto" w:fill="EBF3F5"/>
    </w:rPr>
  </w:style>
  <w:style w:type="paragraph" w:customStyle="1" w:styleId="OutlineNumbered2">
    <w:name w:val="Outline Numbered 2"/>
    <w:basedOn w:val="Normal"/>
    <w:link w:val="OutlineNumbered2Char"/>
    <w:rsid w:val="009B4092"/>
    <w:pPr>
      <w:numPr>
        <w:ilvl w:val="1"/>
        <w:numId w:val="40"/>
      </w:numPr>
      <w:pBdr>
        <w:bottom w:val="single" w:sz="4" w:space="19" w:color="DDDDDD"/>
      </w:pBdr>
      <w:shd w:val="clear" w:color="auto" w:fill="EBF3F5"/>
      <w:spacing w:line="240" w:lineRule="auto"/>
    </w:pPr>
    <w:rPr>
      <w:rFonts w:ascii="Work Sans" w:eastAsia="Times New Roman" w:hAnsi="Work Sans" w:cs="Times New Roman"/>
      <w:sz w:val="14"/>
      <w:szCs w:val="14"/>
    </w:rPr>
  </w:style>
  <w:style w:type="character" w:customStyle="1" w:styleId="OutlineNumbered2Char">
    <w:name w:val="Outline Numbered 2 Char"/>
    <w:basedOn w:val="BoxTextChar"/>
    <w:link w:val="OutlineNumbered2"/>
    <w:rsid w:val="009B4092"/>
    <w:rPr>
      <w:rFonts w:ascii="Work Sans" w:eastAsia="Times New Roman" w:hAnsi="Work Sans" w:cs="Times New Roman"/>
      <w:sz w:val="14"/>
      <w:szCs w:val="14"/>
      <w:shd w:val="clear" w:color="auto" w:fill="EBF3F5"/>
    </w:rPr>
  </w:style>
  <w:style w:type="paragraph" w:customStyle="1" w:styleId="OutlineNumbered3">
    <w:name w:val="Outline Numbered 3"/>
    <w:basedOn w:val="Normal"/>
    <w:link w:val="OutlineNumbered3Char"/>
    <w:rsid w:val="009B4092"/>
    <w:pPr>
      <w:numPr>
        <w:ilvl w:val="2"/>
        <w:numId w:val="40"/>
      </w:numPr>
      <w:pBdr>
        <w:bottom w:val="single" w:sz="4" w:space="19" w:color="DDDDDD"/>
      </w:pBdr>
      <w:shd w:val="clear" w:color="auto" w:fill="EBF3F5"/>
      <w:spacing w:line="240" w:lineRule="auto"/>
    </w:pPr>
    <w:rPr>
      <w:rFonts w:ascii="Work Sans" w:eastAsia="Times New Roman" w:hAnsi="Work Sans" w:cs="Times New Roman"/>
      <w:sz w:val="14"/>
      <w:szCs w:val="14"/>
    </w:rPr>
  </w:style>
  <w:style w:type="character" w:customStyle="1" w:styleId="OutlineNumbered3Char">
    <w:name w:val="Outline Numbered 3 Char"/>
    <w:basedOn w:val="BoxTextChar"/>
    <w:link w:val="OutlineNumbered3"/>
    <w:rsid w:val="009B4092"/>
    <w:rPr>
      <w:rFonts w:ascii="Work Sans" w:eastAsia="Times New Roman" w:hAnsi="Work Sans" w:cs="Times New Roman"/>
      <w:sz w:val="14"/>
      <w:szCs w:val="14"/>
      <w:shd w:val="clear" w:color="auto" w:fill="EB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422993262">
      <w:bodyDiv w:val="1"/>
      <w:marLeft w:val="0"/>
      <w:marRight w:val="0"/>
      <w:marTop w:val="0"/>
      <w:marBottom w:val="0"/>
      <w:divBdr>
        <w:top w:val="none" w:sz="0" w:space="0" w:color="auto"/>
        <w:left w:val="none" w:sz="0" w:space="0" w:color="auto"/>
        <w:bottom w:val="none" w:sz="0" w:space="0" w:color="auto"/>
        <w:right w:val="none" w:sz="0" w:space="0" w:color="auto"/>
      </w:divBdr>
    </w:div>
    <w:div w:id="453791397">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7847396">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765811444">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16205043">
      <w:bodyDiv w:val="1"/>
      <w:marLeft w:val="0"/>
      <w:marRight w:val="0"/>
      <w:marTop w:val="0"/>
      <w:marBottom w:val="0"/>
      <w:divBdr>
        <w:top w:val="none" w:sz="0" w:space="0" w:color="auto"/>
        <w:left w:val="none" w:sz="0" w:space="0" w:color="auto"/>
        <w:bottom w:val="none" w:sz="0" w:space="0" w:color="auto"/>
        <w:right w:val="none" w:sz="0" w:space="0" w:color="auto"/>
      </w:divBdr>
    </w:div>
    <w:div w:id="921721538">
      <w:bodyDiv w:val="1"/>
      <w:marLeft w:val="0"/>
      <w:marRight w:val="0"/>
      <w:marTop w:val="0"/>
      <w:marBottom w:val="0"/>
      <w:divBdr>
        <w:top w:val="none" w:sz="0" w:space="0" w:color="auto"/>
        <w:left w:val="none" w:sz="0" w:space="0" w:color="auto"/>
        <w:bottom w:val="none" w:sz="0" w:space="0" w:color="auto"/>
        <w:right w:val="none" w:sz="0" w:space="0" w:color="auto"/>
      </w:divBdr>
      <w:divsChild>
        <w:div w:id="264458173">
          <w:marLeft w:val="0"/>
          <w:marRight w:val="0"/>
          <w:marTop w:val="0"/>
          <w:marBottom w:val="0"/>
          <w:divBdr>
            <w:top w:val="none" w:sz="0" w:space="0" w:color="auto"/>
            <w:left w:val="none" w:sz="0" w:space="0" w:color="auto"/>
            <w:bottom w:val="none" w:sz="0" w:space="0" w:color="auto"/>
            <w:right w:val="none" w:sz="0" w:space="0" w:color="auto"/>
          </w:divBdr>
        </w:div>
      </w:divsChild>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5449800">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031153929">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677612548">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77796980">
      <w:bodyDiv w:val="1"/>
      <w:marLeft w:val="0"/>
      <w:marRight w:val="0"/>
      <w:marTop w:val="0"/>
      <w:marBottom w:val="0"/>
      <w:divBdr>
        <w:top w:val="none" w:sz="0" w:space="0" w:color="auto"/>
        <w:left w:val="none" w:sz="0" w:space="0" w:color="auto"/>
        <w:bottom w:val="none" w:sz="0" w:space="0" w:color="auto"/>
        <w:right w:val="none" w:sz="0" w:space="0" w:color="auto"/>
      </w:divBdr>
    </w:div>
    <w:div w:id="1777940574">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13948941">
      <w:bodyDiv w:val="1"/>
      <w:marLeft w:val="0"/>
      <w:marRight w:val="0"/>
      <w:marTop w:val="0"/>
      <w:marBottom w:val="0"/>
      <w:divBdr>
        <w:top w:val="none" w:sz="0" w:space="0" w:color="auto"/>
        <w:left w:val="none" w:sz="0" w:space="0" w:color="auto"/>
        <w:bottom w:val="none" w:sz="0" w:space="0" w:color="auto"/>
        <w:right w:val="none" w:sz="0" w:space="0" w:color="auto"/>
      </w:divBdr>
    </w:div>
    <w:div w:id="2031880691">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13374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https://www.aihw.gov.au/reports/homelessness-services/shsc-data-cubes/contents/data-cubes" TargetMode="External"/><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hyperlink" Target="https://www.aihw.gov.au/reports/homelessness-services/shsc-data-cubes/contents/data-cubes" TargetMode="External"/><Relationship Id="rId7" Type="http://schemas.openxmlformats.org/officeDocument/2006/relationships/settings" Target="settings.xml"/><Relationship Id="rId12" Type="http://schemas.openxmlformats.org/officeDocument/2006/relationships/hyperlink" Target="https://www.cgc.gov.au/reports-for-government/2025-methodology-review/consultation/tranche-2-consultation-papers" TargetMode="External"/><Relationship Id="rId17" Type="http://schemas.openxmlformats.org/officeDocument/2006/relationships/image" Target="media/image3.emf"/><Relationship Id="rId25" Type="http://schemas.openxmlformats.org/officeDocument/2006/relationships/image" Target="media/image8.svg"/><Relationship Id="rId2" Type="http://schemas.openxmlformats.org/officeDocument/2006/relationships/customXml" Target="../customXml/item2.xml"/><Relationship Id="rId16" Type="http://schemas.openxmlformats.org/officeDocument/2006/relationships/hyperlink" Target="https://www.aihw.gov.au/reports/homelessness-services/shsc-data-cubes/contents/data-cubes" TargetMode="External"/><Relationship Id="rId20" Type="http://schemas.openxmlformats.org/officeDocument/2006/relationships/image" Target="media/image4.png"/><Relationship Id="rId29" Type="http://schemas.openxmlformats.org/officeDocument/2006/relationships/hyperlink" Target="https://www.abs.gov.au/statistics/health/health-conditions-and-risks/national-health-survey/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c.gov.au/sites/default/files/2023-10/2025%20Methodology%20Review%20-%20Consultation%20Paper%20-%20Welfare_Final.pdf" TargetMode="Externa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bs.gov.au/statistics/microdata-tablebuilder/tablebuilder" TargetMode="External"/><Relationship Id="rId23" Type="http://schemas.openxmlformats.org/officeDocument/2006/relationships/image" Target="media/image6.svg"/><Relationship Id="rId28" Type="http://schemas.openxmlformats.org/officeDocument/2006/relationships/hyperlink" Target="https://www.abs.gov.au/statistics/health/mental-health/national-study-mental-health-and-wellbeing/latest-release" TargetMode="External"/><Relationship Id="rId10" Type="http://schemas.openxmlformats.org/officeDocument/2006/relationships/endnotes" Target="endnotes.xml"/><Relationship Id="rId19" Type="http://schemas.openxmlformats.org/officeDocument/2006/relationships/hyperlink" Target="https://www.cgc.gov.au/sites/default/files/2023-10/2025%20Methodology%20Review%20-%20Consultation%20Paper%20-%20Welfare_Final.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5.png"/><Relationship Id="rId27" Type="http://schemas.openxmlformats.org/officeDocument/2006/relationships/hyperlink" Target="https://www.abs.gov.au/statistics/microdata-tablebuilder/tablebuilder"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abs.gov.au/statistics/microdata-tablebuilder/datalab/input-and-output-clearance" TargetMode="External"/><Relationship Id="rId13" Type="http://schemas.openxmlformats.org/officeDocument/2006/relationships/hyperlink" Target="https://www.abs.gov.au/statistics/people/crime-and-justice/personal-safety-australia/2021-22" TargetMode="External"/><Relationship Id="rId18" Type="http://schemas.openxmlformats.org/officeDocument/2006/relationships/hyperlink" Target="https://www.aihw.gov.au/reports/homelessness-services/specialist-homelessness-services-annual-report/contents/clients-with-disability" TargetMode="External"/><Relationship Id="rId3" Type="http://schemas.openxmlformats.org/officeDocument/2006/relationships/hyperlink" Target="https://www.cgc.gov.au/reports-for-government/2020-review" TargetMode="External"/><Relationship Id="rId21" Type="http://schemas.openxmlformats.org/officeDocument/2006/relationships/hyperlink" Target="https://www.abs.gov.au/methodologies/national-health-survey-methodology/2022" TargetMode="External"/><Relationship Id="rId7" Type="http://schemas.openxmlformats.org/officeDocument/2006/relationships/hyperlink" Target="https://www.abs.gov.au/statistics/detailed-methodology-information/information-papers/comparing-abs-long-term-health-conditions-data-sources" TargetMode="External"/><Relationship Id="rId12" Type="http://schemas.openxmlformats.org/officeDocument/2006/relationships/hyperlink" Target="https://www.abs.gov.au/census/guide-census-data/census-dictionary/2021/variables-topic/housing/rent-affordability-indicator-raid" TargetMode="External"/><Relationship Id="rId17" Type="http://schemas.openxmlformats.org/officeDocument/2006/relationships/hyperlink" Target="https://www.aihw.gov.au/reports/homelessness-services/specialist-homelessness-services-annual-report/contents/clients-with-disability" TargetMode="External"/><Relationship Id="rId2" Type="http://schemas.openxmlformats.org/officeDocument/2006/relationships/hyperlink" Target="https://www.ndis.gov.au/about-us/governance/intergovernmental-agreements" TargetMode="External"/><Relationship Id="rId16" Type="http://schemas.openxmlformats.org/officeDocument/2006/relationships/hyperlink" Target="https://www.abs.gov.au/methodologies/national-health-survey-methodology/2022" TargetMode="External"/><Relationship Id="rId20" Type="http://schemas.openxmlformats.org/officeDocument/2006/relationships/hyperlink" Target="https://www.abs.gov.au/census/guide-census-data/census-dictionary/2021/variables-topic/disability-and-carers/core-activity-need-assistance-assnp" TargetMode="External"/><Relationship Id="rId1" Type="http://schemas.openxmlformats.org/officeDocument/2006/relationships/hyperlink" Target="https://www.pm.gov.au/media/meeting-national-cabinet-federation-working-australia" TargetMode="External"/><Relationship Id="rId6" Type="http://schemas.openxmlformats.org/officeDocument/2006/relationships/hyperlink" Target="https://apo.org.au/node/315285" TargetMode="External"/><Relationship Id="rId11" Type="http://schemas.openxmlformats.org/officeDocument/2006/relationships/hyperlink" Target="https://www.aihw.gov.au/reports/homelessness-services/specialist-homelessness-services-annual-report/contents/about" TargetMode="External"/><Relationship Id="rId5" Type="http://schemas.openxmlformats.org/officeDocument/2006/relationships/hyperlink" Target="https://www.pc.gov.au/ongoing/report-on-government-services/2024/housing-and-homelessness/homelessness-services" TargetMode="External"/><Relationship Id="rId15" Type="http://schemas.openxmlformats.org/officeDocument/2006/relationships/hyperlink" Target="https://www.aihw.gov.au/reports/alcohol/alcohol-tobacco-other-drugs-australia/contents/priority-populations/people-experiencing-homelessness" TargetMode="External"/><Relationship Id="rId10" Type="http://schemas.openxmlformats.org/officeDocument/2006/relationships/hyperlink" Target="https://www.aihw.gov.au/reports/children-youth/homelessness-and-overcrowding" TargetMode="External"/><Relationship Id="rId19" Type="http://schemas.openxmlformats.org/officeDocument/2006/relationships/hyperlink" Target="https://www.abs.gov.au/methodologies/disability-ageing-and-carers-australia-summary-findings/2018" TargetMode="External"/><Relationship Id="rId4" Type="http://schemas.openxmlformats.org/officeDocument/2006/relationships/hyperlink" Target="https://www.pc.gov.au/ongoing/report-on-government-services/2024/housing-and-homelessness/homelessness-services" TargetMode="External"/><Relationship Id="rId9" Type="http://schemas.openxmlformats.org/officeDocument/2006/relationships/hyperlink" Target="https://www.pm.gov.au/media/meeting-national-cabinet-federation-working-australia" TargetMode="External"/><Relationship Id="rId14" Type="http://schemas.openxmlformats.org/officeDocument/2006/relationships/hyperlink" Target="https://www.aihw.gov.au/reports/alcohol/alcohol-tobacco-other-drugs-australia/contents/priority-populations/people-experiencing-homelessn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Madden\Downloads\Draft%20report%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
        <AccountId xsi:nil="true"/>
        <AccountType/>
      </UserInfo>
    </SharedWithUsers>
    <TaxCatchAll xmlns="fd0ec3be-4569-4cba-9f1a-cbd548d830fc" xsi:nil="true"/>
    <lcf76f155ced4ddcb4097134ff3c332f xmlns="90fa3e25-a176-4d82-ad40-74afe5ce813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2.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customXml/itemProps3.xml><?xml version="1.0" encoding="utf-8"?>
<ds:datastoreItem xmlns:ds="http://schemas.openxmlformats.org/officeDocument/2006/customXml" ds:itemID="{8AB06908-BBAE-4E38-B542-55EB14F1E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report template (1).dotx</Template>
  <TotalTime>8334</TotalTime>
  <Pages>29</Pages>
  <Words>8861</Words>
  <Characters>50512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59255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Shannon Madden</dc:creator>
  <cp:keywords/>
  <cp:lastModifiedBy>Baldock, Katrina</cp:lastModifiedBy>
  <cp:revision>741</cp:revision>
  <cp:lastPrinted>2024-06-01T01:01:00Z</cp:lastPrinted>
  <dcterms:created xsi:type="dcterms:W3CDTF">2024-05-22T05:53:00Z</dcterms:created>
  <dcterms:modified xsi:type="dcterms:W3CDTF">2024-06-21T04:24:00Z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86000600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_ColorTag">
    <vt:lpwstr/>
  </property>
  <property fmtid="{D5CDD505-2E9C-101B-9397-08002B2CF9AE}" pid="11" name="_ColorHex">
    <vt:lpwstr/>
  </property>
  <property fmtid="{D5CDD505-2E9C-101B-9397-08002B2CF9AE}" pid="12" name="_Emoji">
    <vt:lpwstr/>
  </property>
  <property fmtid="{D5CDD505-2E9C-101B-9397-08002B2CF9AE}" pid="13" name="ContentTypeId">
    <vt:lpwstr>0x010100B91115572CD2074A8DF493F1808623F4</vt:lpwstr>
  </property>
  <property fmtid="{D5CDD505-2E9C-101B-9397-08002B2CF9AE}" pid="14" name="GUID">
    <vt:lpwstr>23cb9bdb-85f6-44fc-a78c-498f7be1a800</vt:lpwstr>
  </property>
</Properties>
</file>