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0B7E" w14:textId="44AC6FDE" w:rsidR="004A4BF0" w:rsidRPr="004F124F" w:rsidRDefault="004A4BF0" w:rsidP="004A4BF0">
      <w:pPr>
        <w:pStyle w:val="Heading1"/>
      </w:pPr>
      <w:bookmarkStart w:id="0" w:name="_Toc143772067"/>
      <w:bookmarkStart w:id="1" w:name="_Toc133236145"/>
      <w:bookmarkStart w:id="2" w:name="_Toc133236171"/>
      <w:bookmarkStart w:id="3" w:name="_Toc143786729"/>
      <w:r w:rsidRPr="004F124F">
        <w:t>Geography</w:t>
      </w:r>
    </w:p>
    <w:p w14:paraId="51B1D92F" w14:textId="77777777" w:rsidR="004A4BF0" w:rsidRPr="004F124F" w:rsidRDefault="004A4BF0" w:rsidP="00045547">
      <w:pPr>
        <w:pStyle w:val="Heading2"/>
      </w:pPr>
      <w:r w:rsidRPr="004F124F">
        <w:t>Overview</w:t>
      </w:r>
      <w:bookmarkStart w:id="4" w:name="_Toc143772068"/>
      <w:bookmarkEnd w:id="0"/>
    </w:p>
    <w:p w14:paraId="2EE5B5F2" w14:textId="7BA84590" w:rsidR="004A4BF0" w:rsidRPr="004F124F" w:rsidRDefault="004A4BF0" w:rsidP="00AC2D21">
      <w:pPr>
        <w:pStyle w:val="CGC2025ParaNumbers"/>
      </w:pPr>
      <w:r w:rsidRPr="004F124F">
        <w:t xml:space="preserve">On 13 June 2023, the Commission issued </w:t>
      </w:r>
      <w:r w:rsidRPr="00545184">
        <w:t xml:space="preserve">a </w:t>
      </w:r>
      <w:hyperlink r:id="rId11" w:history="1">
        <w:r w:rsidR="00253C87" w:rsidRPr="00545184">
          <w:rPr>
            <w:rStyle w:val="Hyperlink"/>
          </w:rPr>
          <w:t>consultation paper</w:t>
        </w:r>
      </w:hyperlink>
      <w:r w:rsidR="00253C87">
        <w:t xml:space="preserve"> on</w:t>
      </w:r>
      <w:r w:rsidRPr="004F124F">
        <w:t xml:space="preserve"> the use of geography in the Commission’s various assessments. The Commission considered</w:t>
      </w:r>
      <w:r w:rsidRPr="004F124F" w:rsidDel="00BC13C4">
        <w:t xml:space="preserve"> changes since the 2020</w:t>
      </w:r>
      <w:r w:rsidRPr="004F124F">
        <w:t> </w:t>
      </w:r>
      <w:r w:rsidRPr="004F124F" w:rsidDel="00BC13C4">
        <w:t>Review</w:t>
      </w:r>
      <w:r w:rsidRPr="004F124F" w:rsidDel="000D1DDA">
        <w:t xml:space="preserve"> and </w:t>
      </w:r>
      <w:r w:rsidRPr="004F124F">
        <w:t>their implications</w:t>
      </w:r>
      <w:r w:rsidRPr="004F124F" w:rsidDel="00BC13C4">
        <w:t xml:space="preserve"> for </w:t>
      </w:r>
      <w:r w:rsidR="00210EDF">
        <w:t xml:space="preserve">the </w:t>
      </w:r>
      <w:r w:rsidRPr="004F124F">
        <w:t xml:space="preserve">assessment method. The main issues are the calculation of regional cost and service delivery scale assessments using the Australian Bureau of Statistics (ABS) remoteness areas classifications. </w:t>
      </w:r>
    </w:p>
    <w:p w14:paraId="3D81BE89" w14:textId="77777777" w:rsidR="004A4BF0" w:rsidRPr="004F124F" w:rsidRDefault="004A4BF0" w:rsidP="00AC2D21">
      <w:pPr>
        <w:pStyle w:val="CGC2025ParaNumbers"/>
      </w:pPr>
      <w:r w:rsidRPr="004F124F">
        <w:t xml:space="preserve">The Commission proposed to retain the 2020 Review assessment approach. </w:t>
      </w:r>
    </w:p>
    <w:p w14:paraId="35775B65" w14:textId="77777777" w:rsidR="004A4BF0" w:rsidRPr="004F124F" w:rsidRDefault="004A4BF0" w:rsidP="00AC2D21">
      <w:pPr>
        <w:pStyle w:val="CGC2025ParaNumbers"/>
      </w:pPr>
      <w:r w:rsidRPr="004F124F">
        <w:t xml:space="preserve">A summary of state responses to each consultation question is included below, as well as the Commission’s draft position and the draft 2025 Review assessment method. </w:t>
      </w:r>
    </w:p>
    <w:p w14:paraId="3EFA126D" w14:textId="19C7AAD5" w:rsidR="004A4BF0" w:rsidRPr="004F124F" w:rsidRDefault="004A4BF0" w:rsidP="00AC2D21">
      <w:pPr>
        <w:pStyle w:val="CGC2025ParaNumbers"/>
      </w:pPr>
      <w:r w:rsidRPr="004F124F">
        <w:t>State submissions can be viewed</w:t>
      </w:r>
      <w:r w:rsidR="00D51F90">
        <w:t xml:space="preserve"> </w:t>
      </w:r>
      <w:hyperlink r:id="rId12" w:history="1">
        <w:r w:rsidR="00D51F90" w:rsidRPr="00D51F90">
          <w:rPr>
            <w:rStyle w:val="Hyperlink"/>
          </w:rPr>
          <w:t>here</w:t>
        </w:r>
      </w:hyperlink>
      <w:r w:rsidR="00D51F90">
        <w:t>.</w:t>
      </w:r>
    </w:p>
    <w:bookmarkEnd w:id="4"/>
    <w:p w14:paraId="1AA1A62F" w14:textId="77777777" w:rsidR="004A4BF0" w:rsidRPr="004F124F" w:rsidRDefault="004A4BF0" w:rsidP="00121EB9">
      <w:pPr>
        <w:pStyle w:val="Heading2"/>
      </w:pPr>
      <w:r w:rsidRPr="004F124F">
        <w:t>Consultation questions</w:t>
      </w:r>
    </w:p>
    <w:p w14:paraId="46711099" w14:textId="77777777" w:rsidR="004A4BF0" w:rsidRPr="004F124F" w:rsidRDefault="004A4BF0" w:rsidP="00121EB9">
      <w:pPr>
        <w:pStyle w:val="Heading3"/>
      </w:pPr>
      <w:r w:rsidRPr="004F124F">
        <w:t>Q1. Do states support continuing the current methodology for estimating regional costs and service delivery scale effects?</w:t>
      </w:r>
    </w:p>
    <w:p w14:paraId="7A9687E8" w14:textId="77777777" w:rsidR="004A4BF0" w:rsidRPr="004F124F" w:rsidRDefault="004A4BF0" w:rsidP="00C242B0">
      <w:pPr>
        <w:pStyle w:val="Heading4"/>
      </w:pPr>
      <w:r w:rsidRPr="004F124F">
        <w:t xml:space="preserve">State views: general gradient </w:t>
      </w:r>
    </w:p>
    <w:p w14:paraId="7BE8D6AC" w14:textId="77777777" w:rsidR="004A4BF0" w:rsidRPr="004F124F" w:rsidRDefault="004A4BF0" w:rsidP="00A128E1">
      <w:pPr>
        <w:pStyle w:val="Heading5"/>
      </w:pPr>
      <w:r w:rsidRPr="004F124F">
        <w:t>Where the general gradient is applied</w:t>
      </w:r>
    </w:p>
    <w:p w14:paraId="2E808D61" w14:textId="77777777" w:rsidR="004A4BF0" w:rsidRPr="004F124F" w:rsidRDefault="004A4BF0" w:rsidP="00A128E1">
      <w:pPr>
        <w:pStyle w:val="CGC2025ParaNumbers"/>
      </w:pPr>
      <w:r w:rsidRPr="004F124F">
        <w:t>New South Wales said that the nature of service delivery varies across sectors. It had concerns with extrapolating regional costs from one assessment to another. It accepted applying a general gradient when a specific measure could not be obtained.</w:t>
      </w:r>
    </w:p>
    <w:p w14:paraId="14BC96AF" w14:textId="77777777" w:rsidR="004A4BF0" w:rsidRPr="004F124F" w:rsidRDefault="004A4BF0" w:rsidP="00A128E1">
      <w:pPr>
        <w:pStyle w:val="CGC2025ParaNumbers"/>
      </w:pPr>
      <w:r w:rsidRPr="004F124F">
        <w:t xml:space="preserve">New South Wales said service delivery scale costs do not apply to child welfare because services are typically delivered from centralised hubs rather than small outposts. </w:t>
      </w:r>
    </w:p>
    <w:p w14:paraId="21ED8640" w14:textId="77777777" w:rsidR="004A4BF0" w:rsidRPr="004F124F" w:rsidRDefault="004A4BF0" w:rsidP="00A128E1">
      <w:pPr>
        <w:pStyle w:val="CGC2025ParaNumbers"/>
      </w:pPr>
      <w:r w:rsidRPr="004F124F">
        <w:t xml:space="preserve">Victoria said the general cost gradient is no longer appropriate in its current form. It said that costs in regional areas may be higher on average, but that the impact will not be the same across all services. </w:t>
      </w:r>
    </w:p>
    <w:p w14:paraId="30441473" w14:textId="77777777" w:rsidR="004A4BF0" w:rsidRPr="004F124F" w:rsidRDefault="004A4BF0" w:rsidP="00A128E1">
      <w:pPr>
        <w:pStyle w:val="CGC2025ParaNumbers"/>
      </w:pPr>
      <w:r w:rsidRPr="004F124F">
        <w:t xml:space="preserve">Victoria said the general cost gradient should not be applied in areas where there is a lack of information, data or strongly established conceptual case for regional costs or service delivery scale. It said that supporting evidence is needed to justify applying the gradient. </w:t>
      </w:r>
    </w:p>
    <w:p w14:paraId="3ED15964" w14:textId="77777777" w:rsidR="004A4BF0" w:rsidRPr="004F124F" w:rsidRDefault="004A4BF0" w:rsidP="00A128E1">
      <w:pPr>
        <w:pStyle w:val="CGC2025ParaNumbers"/>
      </w:pPr>
      <w:r w:rsidRPr="004F124F">
        <w:lastRenderedPageBreak/>
        <w:t xml:space="preserve">Queensland said there is a conceptual case for regional costs in the urban transport assessment, using the general gradient. </w:t>
      </w:r>
    </w:p>
    <w:p w14:paraId="005F3476" w14:textId="77777777" w:rsidR="004A4BF0" w:rsidRPr="004F124F" w:rsidRDefault="004A4BF0" w:rsidP="00A128E1">
      <w:pPr>
        <w:pStyle w:val="CGC2025ParaNumbers"/>
      </w:pPr>
      <w:r w:rsidRPr="004F124F">
        <w:t xml:space="preserve">Western Australia raised concerns that the general cost gradient currently underestimates the additional costs of delivering services in regional areas. It said that land area of national parks and reserves should be considered as the basis for applying regional costs in environmental protection.  </w:t>
      </w:r>
    </w:p>
    <w:p w14:paraId="5F6C5241" w14:textId="77777777" w:rsidR="004A4BF0" w:rsidRPr="004F124F" w:rsidRDefault="004A4BF0" w:rsidP="00A128E1">
      <w:pPr>
        <w:pStyle w:val="Heading5"/>
      </w:pPr>
      <w:r w:rsidRPr="004F124F">
        <w:t xml:space="preserve">Data used in the calculation of the general </w:t>
      </w:r>
      <w:proofErr w:type="gramStart"/>
      <w:r w:rsidRPr="004F124F">
        <w:t>gradient</w:t>
      </w:r>
      <w:proofErr w:type="gramEnd"/>
      <w:r w:rsidRPr="004F124F">
        <w:t xml:space="preserve"> </w:t>
      </w:r>
    </w:p>
    <w:p w14:paraId="24B5B000" w14:textId="77777777" w:rsidR="00F55B5E" w:rsidRDefault="004A4BF0" w:rsidP="00A128E1">
      <w:pPr>
        <w:pStyle w:val="CGC2025ParaNumbers"/>
      </w:pPr>
      <w:r w:rsidRPr="004F124F">
        <w:t>New South Wales said providing schooling in regional areas differs greatly in nature from providing other regional services. It said the provision of schools is much more decentralised than other services. For example, a very small community may have its own school but not have other state services delivered locally. New South Wales, therefore, argued that schools should be removed from the calculation of the general gradient as these data were overstating the actual average gradient for state services.</w:t>
      </w:r>
    </w:p>
    <w:p w14:paraId="599C7B14" w14:textId="68627880" w:rsidR="004A4BF0" w:rsidRPr="004F124F" w:rsidRDefault="004A4BF0" w:rsidP="00A128E1">
      <w:pPr>
        <w:pStyle w:val="CGC2025ParaNumbers"/>
      </w:pPr>
      <w:r w:rsidRPr="004F124F">
        <w:t xml:space="preserve"> Queensland said many services are provided in a one</w:t>
      </w:r>
      <w:r w:rsidRPr="004F124F">
        <w:softHyphen/>
      </w:r>
      <w:r w:rsidRPr="004F124F">
        <w:softHyphen/>
      </w:r>
      <w:r w:rsidRPr="004F124F">
        <w:noBreakHyphen/>
        <w:t>on</w:t>
      </w:r>
      <w:r w:rsidRPr="004F124F">
        <w:noBreakHyphen/>
        <w:t xml:space="preserve">one framework, such as child protection. It said that these services would incur higher regional and service delivery scale costs than services that are provided more centrally such as hospitals. Queensland argued that the general gradient was therefore understating the actual average gradient for state services. </w:t>
      </w:r>
    </w:p>
    <w:p w14:paraId="632A92F8" w14:textId="77777777" w:rsidR="004A4BF0" w:rsidRPr="004F124F" w:rsidRDefault="004A4BF0" w:rsidP="00A128E1">
      <w:pPr>
        <w:pStyle w:val="CGC2025ParaNumbers"/>
      </w:pPr>
      <w:r w:rsidRPr="004F124F">
        <w:t xml:space="preserve">New South Wales and Western Australia criticised the general gradient for relying on only 2 assessments. They suggested including more regional cost gradients from other assessments to make the general gradient more robust. </w:t>
      </w:r>
    </w:p>
    <w:p w14:paraId="735512BA" w14:textId="77777777" w:rsidR="004A4BF0" w:rsidRPr="004F124F" w:rsidRDefault="004A4BF0" w:rsidP="00A128E1">
      <w:pPr>
        <w:pStyle w:val="CGC2025ParaNumbers"/>
      </w:pPr>
      <w:r w:rsidRPr="004F124F">
        <w:t xml:space="preserve">Victoria pointed to digital service delivery options and asked the Commission to monitor developments in this area that could impact regional service delivery costs. </w:t>
      </w:r>
    </w:p>
    <w:p w14:paraId="21BC5339" w14:textId="77777777" w:rsidR="004A4BF0" w:rsidRPr="004F124F" w:rsidRDefault="004A4BF0" w:rsidP="00A128E1">
      <w:pPr>
        <w:pStyle w:val="CGC2025ParaNumbers"/>
      </w:pPr>
      <w:r w:rsidRPr="004F124F">
        <w:t xml:space="preserve">Western Australia suggested that </w:t>
      </w:r>
      <w:proofErr w:type="spellStart"/>
      <w:r w:rsidRPr="004F124F">
        <w:t>Rawlinsons</w:t>
      </w:r>
      <w:proofErr w:type="spellEnd"/>
      <w:r w:rsidRPr="004F124F">
        <w:t xml:space="preserve"> indices could be used to measure regional costs in some assessments. It highlighted that there are already nationally consistent data and said that using </w:t>
      </w:r>
      <w:proofErr w:type="spellStart"/>
      <w:r w:rsidRPr="004F124F">
        <w:t>Rawlinsons</w:t>
      </w:r>
      <w:proofErr w:type="spellEnd"/>
      <w:r w:rsidRPr="004F124F">
        <w:t xml:space="preserve"> indices would result in a more accurate cost gradient for the Commission’s purposes. Western Australia asked the Commission if it had considered the application of </w:t>
      </w:r>
      <w:proofErr w:type="spellStart"/>
      <w:r w:rsidRPr="004F124F">
        <w:t>Rawlinsons</w:t>
      </w:r>
      <w:proofErr w:type="spellEnd"/>
      <w:r w:rsidRPr="004F124F">
        <w:t xml:space="preserve"> capital cost gradient in assessments that include construction or maintenance costs or in place of the general gradient.</w:t>
      </w:r>
    </w:p>
    <w:p w14:paraId="50D169AE" w14:textId="77777777" w:rsidR="004A4BF0" w:rsidRPr="004F124F" w:rsidRDefault="004A4BF0" w:rsidP="00A128E1">
      <w:pPr>
        <w:pStyle w:val="Heading5"/>
      </w:pPr>
      <w:r w:rsidRPr="004F124F">
        <w:t xml:space="preserve">Discounting the general gradient </w:t>
      </w:r>
    </w:p>
    <w:p w14:paraId="0CD005FD" w14:textId="77777777" w:rsidR="004A4BF0" w:rsidRPr="004F124F" w:rsidRDefault="004A4BF0" w:rsidP="008C7690">
      <w:pPr>
        <w:pStyle w:val="CGC2025ParaNumbers"/>
      </w:pPr>
      <w:r w:rsidRPr="004F124F">
        <w:t>New South Wales and Victoria advocated for further discounting of the general gradient if assessment</w:t>
      </w:r>
      <w:r w:rsidRPr="004F124F">
        <w:noBreakHyphen/>
        <w:t xml:space="preserve">specific gradients are not implemented. New South Wales suggested further discounting of the general gradient could be applied broadly or to specific components. </w:t>
      </w:r>
    </w:p>
    <w:p w14:paraId="23828338" w14:textId="77777777" w:rsidR="004A4BF0" w:rsidRPr="004F124F" w:rsidRDefault="004A4BF0" w:rsidP="008C7690">
      <w:pPr>
        <w:pStyle w:val="CGC2025ParaNumbers"/>
      </w:pPr>
      <w:r w:rsidRPr="004F124F">
        <w:t>Queensland and Western Australia advocated for less (or no) discounting of the gradient. Queensland said that if the discount is not removed for all components, it should be removed from the following components in particular:</w:t>
      </w:r>
    </w:p>
    <w:p w14:paraId="60F0B9AF" w14:textId="77777777" w:rsidR="004A4BF0" w:rsidRPr="004F124F" w:rsidRDefault="004A4BF0" w:rsidP="00471A83">
      <w:pPr>
        <w:pStyle w:val="CGC2025Bullet1"/>
      </w:pPr>
      <w:r w:rsidRPr="004F124F">
        <w:t>Indigenous community development</w:t>
      </w:r>
    </w:p>
    <w:p w14:paraId="0E104D36" w14:textId="77777777" w:rsidR="004A4BF0" w:rsidRPr="004F124F" w:rsidRDefault="004A4BF0" w:rsidP="00471A83">
      <w:pPr>
        <w:pStyle w:val="CGC2025Bullet1"/>
      </w:pPr>
      <w:r w:rsidRPr="004F124F">
        <w:lastRenderedPageBreak/>
        <w:t>other community development and amenities</w:t>
      </w:r>
    </w:p>
    <w:p w14:paraId="226ED3E8" w14:textId="77777777" w:rsidR="004A4BF0" w:rsidRPr="004F124F" w:rsidRDefault="004A4BF0" w:rsidP="00471A83">
      <w:pPr>
        <w:pStyle w:val="CGC2025Bullet1"/>
      </w:pPr>
      <w:r w:rsidRPr="004F124F">
        <w:t>social housing.</w:t>
      </w:r>
    </w:p>
    <w:p w14:paraId="19475986" w14:textId="53A4CD1E" w:rsidR="002F2D8F" w:rsidRPr="004F124F" w:rsidRDefault="004A4BF0" w:rsidP="001A02C2">
      <w:pPr>
        <w:pStyle w:val="CGC2025ParaNumbers"/>
      </w:pPr>
      <w:r w:rsidRPr="004F124F">
        <w:t>The Northern Territory said cost gradients should only be discounted if there is evidence to support doing so.</w:t>
      </w:r>
    </w:p>
    <w:p w14:paraId="4F8382A6" w14:textId="0505B9B9" w:rsidR="004A4BF0" w:rsidRPr="004F124F" w:rsidRDefault="004A4BF0" w:rsidP="00C80FC0">
      <w:pPr>
        <w:pStyle w:val="Heading4"/>
      </w:pPr>
      <w:r w:rsidRPr="004F124F">
        <w:t>State views: Category</w:t>
      </w:r>
      <w:r w:rsidRPr="004F124F">
        <w:noBreakHyphen/>
        <w:t>specific measure</w:t>
      </w:r>
      <w:r w:rsidR="00C102AF">
        <w:t>s</w:t>
      </w:r>
      <w:r w:rsidRPr="004F124F">
        <w:t xml:space="preserve"> of regional costs and service delivery costs </w:t>
      </w:r>
    </w:p>
    <w:p w14:paraId="0337EADB" w14:textId="77777777" w:rsidR="004A4BF0" w:rsidRPr="00C80FC0" w:rsidRDefault="004A4BF0" w:rsidP="00C80FC0">
      <w:pPr>
        <w:pStyle w:val="CGC2025ParaNumbers"/>
      </w:pPr>
      <w:r w:rsidRPr="00C80FC0">
        <w:t xml:space="preserve">New South Wales and Western Australia said the Commission should investigate developing more assessment-specific gradients. New South Wales said some assessments that currently rely on the general gradient, such as housing and welfare, could instead use a specific gradient. </w:t>
      </w:r>
    </w:p>
    <w:p w14:paraId="13399127" w14:textId="77777777" w:rsidR="004A4BF0" w:rsidRPr="00C80FC0" w:rsidRDefault="004A4BF0" w:rsidP="00C80FC0">
      <w:pPr>
        <w:pStyle w:val="CGC2025ParaNumbers"/>
      </w:pPr>
      <w:r w:rsidRPr="00C80FC0">
        <w:t xml:space="preserve">Queensland said that service delivery scale costs should apply more broadly. It argued that, where a conceptual case for regional costs exists, the case also exists for service delivery scale. </w:t>
      </w:r>
    </w:p>
    <w:p w14:paraId="2282447D" w14:textId="77777777" w:rsidR="004A4BF0" w:rsidRPr="004F124F" w:rsidRDefault="004A4BF0" w:rsidP="00C80FC0">
      <w:pPr>
        <w:pStyle w:val="CGC2025ParaNumbers"/>
      </w:pPr>
      <w:r w:rsidRPr="00C80FC0">
        <w:t>South Australia noted that developing an alternative measurement of regional costs and service delivery scale would require time for the data to be collected and tested. Both Queensland and South Australia suggested that the Commission retain the 2020 Review approach and investigate more robust methods following the 2025 Review.</w:t>
      </w:r>
      <w:r w:rsidRPr="004F124F">
        <w:t xml:space="preserve"> </w:t>
      </w:r>
    </w:p>
    <w:p w14:paraId="7A8A262E" w14:textId="77777777" w:rsidR="004A4BF0" w:rsidRPr="004F124F" w:rsidRDefault="004A4BF0" w:rsidP="00643312">
      <w:pPr>
        <w:pStyle w:val="Heading4"/>
      </w:pPr>
      <w:r w:rsidRPr="004F124F">
        <w:t>Commission response: general gradient</w:t>
      </w:r>
    </w:p>
    <w:p w14:paraId="20E7AA73" w14:textId="77777777" w:rsidR="004A4BF0" w:rsidRPr="004F124F" w:rsidRDefault="004A4BF0" w:rsidP="00643312">
      <w:pPr>
        <w:pStyle w:val="Heading5"/>
      </w:pPr>
      <w:r w:rsidRPr="004F124F">
        <w:t>Where the general gradient is applied</w:t>
      </w:r>
    </w:p>
    <w:p w14:paraId="7282BB71" w14:textId="64D04C30" w:rsidR="004A4BF0" w:rsidRPr="004F124F" w:rsidRDefault="004A4BF0" w:rsidP="00643312">
      <w:pPr>
        <w:pStyle w:val="CGC2025ParaNumbers"/>
      </w:pPr>
      <w:r w:rsidRPr="004F124F">
        <w:t>The Commission agrees that if a reliable, component-specific measure of regional costs and service delivery scale can be calculated, it would provide the best estimate of remoteness cost impacts. Therefore, it is the Commission’s preference to use component-specific measures of regional and service delivery scale costs where data allow. If a component-specific measure cannot be estimated, a category</w:t>
      </w:r>
      <w:r w:rsidR="00625EF5">
        <w:noBreakHyphen/>
      </w:r>
      <w:r w:rsidRPr="004F124F">
        <w:t>specific measure using data from within the relevant category would be preferred to a general gradient.</w:t>
      </w:r>
    </w:p>
    <w:p w14:paraId="1C5DCAB3" w14:textId="77777777" w:rsidR="004A4BF0" w:rsidRPr="00471A83" w:rsidRDefault="004A4BF0" w:rsidP="00643312">
      <w:pPr>
        <w:pStyle w:val="CGC2025ParaNumbers"/>
      </w:pPr>
      <w:r w:rsidRPr="004F124F">
        <w:t xml:space="preserve">In cases where a category-specific cost gradient cannot be estimated and there is a strong conceptual case that regional or service delivery scale costs are present, the </w:t>
      </w:r>
      <w:r w:rsidRPr="00471A83">
        <w:t>general gradient should be applied.</w:t>
      </w:r>
    </w:p>
    <w:p w14:paraId="5535F730" w14:textId="77777777" w:rsidR="004A4BF0" w:rsidRPr="00471A83" w:rsidRDefault="004A4BF0" w:rsidP="00643312">
      <w:pPr>
        <w:pStyle w:val="CGC2025ParaNumbers"/>
      </w:pPr>
      <w:r w:rsidRPr="00471A83">
        <w:t xml:space="preserve">The Commission proposes to continue applying service delivery scale to the child protection and family services component of welfare for the 2025 Review. This issue is discussed in more detail in the welfare chapter. </w:t>
      </w:r>
    </w:p>
    <w:p w14:paraId="1258D531" w14:textId="77777777" w:rsidR="004A4BF0" w:rsidRPr="004F124F" w:rsidRDefault="004A4BF0" w:rsidP="00643312">
      <w:pPr>
        <w:pStyle w:val="CGC2025ParaNumbers"/>
      </w:pPr>
      <w:r w:rsidRPr="004F124F">
        <w:t xml:space="preserve">Queensland suggested regional costs should be considered in the urban transport assessment. The Commission considers that while there is a conceptual case that maintenance costs are higher for regional areas, there is also a conceptual case that higher congestion levels and the need for night maintenance in less remote areas leads to a higher cost of servicing. In addition, urban transport is only provided in </w:t>
      </w:r>
      <w:r w:rsidRPr="004F124F">
        <w:lastRenderedPageBreak/>
        <w:t xml:space="preserve">significant urban areas. It would be inaccurate to apply a cost gradient developed for all areas in a region just to the large towns in that region. </w:t>
      </w:r>
    </w:p>
    <w:p w14:paraId="74F769BA" w14:textId="77777777" w:rsidR="004A4BF0" w:rsidRPr="004F124F" w:rsidRDefault="004A4BF0" w:rsidP="00643312">
      <w:pPr>
        <w:pStyle w:val="CGC2025ParaNumbers"/>
      </w:pPr>
      <w:r w:rsidRPr="004F124F">
        <w:t xml:space="preserve">Western Australia’s suggestions on environmental protection are addressed in the services to community chapter. </w:t>
      </w:r>
    </w:p>
    <w:p w14:paraId="529FF5DC" w14:textId="77777777" w:rsidR="004A4BF0" w:rsidRPr="004F124F" w:rsidRDefault="004A4BF0" w:rsidP="00643312">
      <w:pPr>
        <w:pStyle w:val="Heading5"/>
      </w:pPr>
      <w:r w:rsidRPr="004F124F">
        <w:t xml:space="preserve">Data used in the calculation of the general </w:t>
      </w:r>
      <w:proofErr w:type="gramStart"/>
      <w:r w:rsidRPr="004F124F">
        <w:t>gradient</w:t>
      </w:r>
      <w:proofErr w:type="gramEnd"/>
      <w:r w:rsidRPr="004F124F">
        <w:t xml:space="preserve"> </w:t>
      </w:r>
    </w:p>
    <w:p w14:paraId="5DA7EB56" w14:textId="0D220CED" w:rsidR="004A4BF0" w:rsidRPr="004F124F" w:rsidRDefault="004A4BF0" w:rsidP="00643312">
      <w:pPr>
        <w:pStyle w:val="CGC2025ParaNumbers"/>
      </w:pPr>
      <w:r w:rsidRPr="004F124F">
        <w:t xml:space="preserve">The effect that remoteness has on the </w:t>
      </w:r>
      <w:proofErr w:type="gramStart"/>
      <w:r w:rsidRPr="004F124F">
        <w:t>cost of service</w:t>
      </w:r>
      <w:proofErr w:type="gramEnd"/>
      <w:r w:rsidRPr="004F124F">
        <w:t xml:space="preserve"> delivery varies considerably between services (</w:t>
      </w:r>
      <w:r w:rsidR="00F90A44">
        <w:t>Figur</w:t>
      </w:r>
      <w:r w:rsidR="007C6828">
        <w:t>e 1</w:t>
      </w:r>
      <w:r w:rsidR="00486336">
        <w:t xml:space="preserve">). </w:t>
      </w:r>
      <w:r w:rsidRPr="004F124F">
        <w:t xml:space="preserve">Part of this variation reflects the extent to which the approach to service delivery is centralised or decentralised. Many health services are delivered in a relatively centralised way. For example, patients sometimes travel significant distances to a hospital. Schools are delivered in a much more decentralised manner, with very small communities often having their own primary school. Some other services, including welfare and industry regulation, can be delivered at a client’s home or business. Given that some services to which the general gradient is applied are more decentralised than schools, the Commission considers it appropriate to continue to include the </w:t>
      </w:r>
      <w:proofErr w:type="gramStart"/>
      <w:r w:rsidRPr="004F124F">
        <w:t>schools</w:t>
      </w:r>
      <w:proofErr w:type="gramEnd"/>
      <w:r w:rsidRPr="004F124F">
        <w:t xml:space="preserve"> data in the calculation of the general gradient. </w:t>
      </w:r>
    </w:p>
    <w:p w14:paraId="0DFC2A19" w14:textId="77777777" w:rsidR="004A4BF0" w:rsidRPr="004F124F" w:rsidRDefault="004A4BF0" w:rsidP="00643312">
      <w:pPr>
        <w:pStyle w:val="CGC2025ParaNumbers"/>
      </w:pPr>
      <w:r w:rsidRPr="004F124F">
        <w:t xml:space="preserve">In response to comments by New South Wales and Western Australia, the Commission has considered what data should be included into the calculation of the general gradient. Currently, the general gradient uses government schools and admitted </w:t>
      </w:r>
      <w:proofErr w:type="gramStart"/>
      <w:r w:rsidRPr="004F124F">
        <w:t>patients</w:t>
      </w:r>
      <w:proofErr w:type="gramEnd"/>
      <w:r w:rsidRPr="004F124F">
        <w:t xml:space="preserve"> data but is applied to a wide range of services. The Commission recognises a gradient that incorporates a more diverse range of state services would be more representative of the state services where the general gradient is applied. </w:t>
      </w:r>
    </w:p>
    <w:p w14:paraId="1DE7AB1F" w14:textId="66126FDC" w:rsidR="004A4BF0" w:rsidRPr="004F124F" w:rsidRDefault="004A4BF0" w:rsidP="00643312">
      <w:pPr>
        <w:pStyle w:val="CGC2025ParaNumbers"/>
      </w:pPr>
      <w:r w:rsidRPr="004F124F">
        <w:t xml:space="preserve">The Commission has identified additional data from the following </w:t>
      </w:r>
      <w:r w:rsidR="004601E2">
        <w:t xml:space="preserve">assessment </w:t>
      </w:r>
      <w:r w:rsidRPr="004F124F">
        <w:t>components that could be incorporated into the calculation of the general gradient:</w:t>
      </w:r>
    </w:p>
    <w:p w14:paraId="5B9C73EA" w14:textId="3476C65B" w:rsidR="004A4BF0" w:rsidRPr="004F124F" w:rsidRDefault="00B04D41" w:rsidP="00471A83">
      <w:pPr>
        <w:pStyle w:val="CGC2025Bullet1"/>
      </w:pPr>
      <w:r>
        <w:t>h</w:t>
      </w:r>
      <w:r w:rsidR="00B9593A">
        <w:t xml:space="preserve">ealth - </w:t>
      </w:r>
      <w:r w:rsidR="004A4BF0" w:rsidRPr="004F124F">
        <w:t xml:space="preserve">emergency departments </w:t>
      </w:r>
    </w:p>
    <w:p w14:paraId="1C17C5EE" w14:textId="62D183B6" w:rsidR="004A4BF0" w:rsidRPr="004F124F" w:rsidRDefault="00B04D41" w:rsidP="00471A83">
      <w:pPr>
        <w:pStyle w:val="CGC2025Bullet1"/>
      </w:pPr>
      <w:r>
        <w:t>h</w:t>
      </w:r>
      <w:r w:rsidR="00B9593A">
        <w:t xml:space="preserve">ealth - </w:t>
      </w:r>
      <w:r w:rsidR="004A4BF0" w:rsidRPr="004F124F">
        <w:t xml:space="preserve">non-admitted patients </w:t>
      </w:r>
    </w:p>
    <w:p w14:paraId="571100D8" w14:textId="412AD282" w:rsidR="004A4BF0" w:rsidRPr="004F124F" w:rsidRDefault="00B04D41" w:rsidP="00471A83">
      <w:pPr>
        <w:pStyle w:val="CGC2025Bullet1"/>
      </w:pPr>
      <w:r>
        <w:t>s</w:t>
      </w:r>
      <w:r w:rsidR="00B9593A">
        <w:t xml:space="preserve">ervices to communities - </w:t>
      </w:r>
      <w:r w:rsidR="004A4BF0" w:rsidRPr="004F124F">
        <w:t>water subsidies</w:t>
      </w:r>
    </w:p>
    <w:p w14:paraId="425A3FF3" w14:textId="48C2B067" w:rsidR="004A4BF0" w:rsidRPr="004F124F" w:rsidRDefault="00B04D41" w:rsidP="00471A83">
      <w:pPr>
        <w:pStyle w:val="CGC2025Bullet1"/>
      </w:pPr>
      <w:r>
        <w:t xml:space="preserve">services to communities - </w:t>
      </w:r>
      <w:r w:rsidR="004A4BF0" w:rsidRPr="004F124F">
        <w:t xml:space="preserve">electricity subsidies </w:t>
      </w:r>
    </w:p>
    <w:p w14:paraId="1B54332F" w14:textId="4A2B678B" w:rsidR="004A4BF0" w:rsidRPr="004F124F" w:rsidRDefault="00B04D41" w:rsidP="00471A83">
      <w:pPr>
        <w:pStyle w:val="CGC2025Bullet1"/>
      </w:pPr>
      <w:r>
        <w:t xml:space="preserve">justice - </w:t>
      </w:r>
      <w:r w:rsidR="004A4BF0" w:rsidRPr="004F124F">
        <w:t xml:space="preserve">prisons </w:t>
      </w:r>
    </w:p>
    <w:p w14:paraId="083C46C1" w14:textId="0AAC4A35" w:rsidR="004A4BF0" w:rsidRPr="004F124F" w:rsidRDefault="00B04D41" w:rsidP="00471A83">
      <w:pPr>
        <w:pStyle w:val="CGC2025Bullet1"/>
      </w:pPr>
      <w:r>
        <w:t xml:space="preserve">justice - </w:t>
      </w:r>
      <w:r w:rsidR="004A4BF0" w:rsidRPr="004F124F">
        <w:t xml:space="preserve">criminal courts </w:t>
      </w:r>
    </w:p>
    <w:p w14:paraId="0B7301D4" w14:textId="5F826F21" w:rsidR="004A4BF0" w:rsidRPr="004F124F" w:rsidRDefault="004A4BF0" w:rsidP="00471A83">
      <w:pPr>
        <w:pStyle w:val="CGC2025Bullet1"/>
      </w:pPr>
      <w:r w:rsidRPr="004F124F">
        <w:t xml:space="preserve">post-secondary </w:t>
      </w:r>
      <w:r w:rsidR="00FE059B">
        <w:t>education</w:t>
      </w:r>
      <w:r w:rsidRPr="004F124F">
        <w:t xml:space="preserve"> </w:t>
      </w:r>
    </w:p>
    <w:p w14:paraId="5619DFD5" w14:textId="77777777" w:rsidR="004A4BF0" w:rsidRPr="004F124F" w:rsidRDefault="004A4BF0" w:rsidP="00471A83">
      <w:pPr>
        <w:pStyle w:val="CGC2025Bullet1"/>
      </w:pPr>
      <w:r w:rsidRPr="004F124F">
        <w:t>investment (</w:t>
      </w:r>
      <w:proofErr w:type="spellStart"/>
      <w:r w:rsidRPr="004F124F">
        <w:t>Rawlinsons</w:t>
      </w:r>
      <w:proofErr w:type="spellEnd"/>
      <w:r w:rsidRPr="004F124F">
        <w:t xml:space="preserve"> regional cost gradient).</w:t>
      </w:r>
    </w:p>
    <w:p w14:paraId="39ACC299" w14:textId="60A6989A" w:rsidR="004A4BF0" w:rsidRPr="004F124F" w:rsidRDefault="004A4BF0" w:rsidP="00CB1E5E">
      <w:pPr>
        <w:pStyle w:val="CGC2025ParaNumbers"/>
      </w:pPr>
      <w:r w:rsidRPr="004F124F">
        <w:t xml:space="preserve">The Commission considers there is a strong conceptual case for regional costs in a range of services. However, the conceptual case for service delivery scale is only strong for a subset of these services (see </w:t>
      </w:r>
      <w:r w:rsidR="00F90A44">
        <w:t>Table</w:t>
      </w:r>
      <w:r w:rsidR="007C6828">
        <w:t xml:space="preserve"> 2</w:t>
      </w:r>
      <w:r w:rsidRPr="004F124F">
        <w:t xml:space="preserve"> at the end of the chapter). The Commission therefore requires a general gradient for regional costs, as well as a general gradient for combined regional and service delivery scale costs. The Commission proposes to include data in the respective gradients as outlined in </w:t>
      </w:r>
      <w:r w:rsidR="002D1A63">
        <w:t>Table</w:t>
      </w:r>
      <w:r w:rsidR="00E26A42">
        <w:t> </w:t>
      </w:r>
      <w:r w:rsidR="002D1A63">
        <w:t xml:space="preserve">1 </w:t>
      </w:r>
      <w:r w:rsidRPr="004F124F">
        <w:t>based on the data available in each component.</w:t>
      </w:r>
    </w:p>
    <w:p w14:paraId="33B247B7" w14:textId="09562D50" w:rsidR="004A4BF0" w:rsidRDefault="004A4BF0" w:rsidP="00CB1E5E">
      <w:pPr>
        <w:pStyle w:val="CGC2025ParaNumbers"/>
      </w:pPr>
      <w:r w:rsidRPr="004F124F">
        <w:lastRenderedPageBreak/>
        <w:t xml:space="preserve">The Commission proposes these components be weighted in proportion to their share of total national spending of all relevant services. This would mean that the components </w:t>
      </w:r>
      <w:r w:rsidRPr="00471A83">
        <w:t xml:space="preserve">used in the 2020 Review general gradient (the admitted patients and </w:t>
      </w:r>
      <w:proofErr w:type="gramStart"/>
      <w:r w:rsidRPr="00471A83">
        <w:t>schools</w:t>
      </w:r>
      <w:proofErr w:type="gramEnd"/>
      <w:r w:rsidRPr="00471A83">
        <w:t xml:space="preserve"> components), which attract greater total state spending, would</w:t>
      </w:r>
      <w:r w:rsidRPr="004F124F">
        <w:t xml:space="preserve"> still have the largest influence on the general gradient slope.</w:t>
      </w:r>
    </w:p>
    <w:p w14:paraId="54CB3589" w14:textId="0A01895B" w:rsidR="00CB1E5E" w:rsidRDefault="00061009" w:rsidP="007920BB">
      <w:pPr>
        <w:pStyle w:val="CGC2025Caption"/>
        <w:ind w:left="1134" w:hanging="1134"/>
      </w:pPr>
      <w:bookmarkStart w:id="5" w:name="_Ref167434451"/>
      <w:r w:rsidRPr="006A50D4">
        <w:t xml:space="preserve">Table </w:t>
      </w:r>
      <w:fldSimple w:instr=" SEQ Table \* ARABIC ">
        <w:r w:rsidR="00DA0946">
          <w:rPr>
            <w:noProof/>
          </w:rPr>
          <w:t>1</w:t>
        </w:r>
      </w:fldSimple>
      <w:bookmarkEnd w:id="5"/>
      <w:r w:rsidR="00853AB3">
        <w:tab/>
      </w:r>
      <w:r w:rsidRPr="006A50D4">
        <w:t xml:space="preserve">Components contributing to regional costs and service delivery scale </w:t>
      </w:r>
      <w:r w:rsidR="000F113A">
        <w:t xml:space="preserve">       </w:t>
      </w:r>
      <w:r w:rsidRPr="006A50D4">
        <w:t xml:space="preserve">general </w:t>
      </w:r>
      <w:proofErr w:type="gramStart"/>
      <w:r w:rsidRPr="006A50D4">
        <w:t>gradients</w:t>
      </w:r>
      <w:proofErr w:type="gramEnd"/>
    </w:p>
    <w:tbl>
      <w:tblPr>
        <w:tblW w:w="8844" w:type="dxa"/>
        <w:tblLook w:val="04A0" w:firstRow="1" w:lastRow="0" w:firstColumn="1" w:lastColumn="0" w:noHBand="0" w:noVBand="1"/>
      </w:tblPr>
      <w:tblGrid>
        <w:gridCol w:w="3686"/>
        <w:gridCol w:w="2038"/>
        <w:gridCol w:w="3120"/>
      </w:tblGrid>
      <w:tr w:rsidR="002646CB" w:rsidRPr="002646CB" w14:paraId="0E037C40" w14:textId="77777777" w:rsidTr="00297DF5">
        <w:trPr>
          <w:trHeight w:val="710"/>
        </w:trPr>
        <w:tc>
          <w:tcPr>
            <w:tcW w:w="3686" w:type="dxa"/>
            <w:tcBorders>
              <w:top w:val="single" w:sz="4" w:space="0" w:color="ADD6EA"/>
              <w:left w:val="nil"/>
              <w:bottom w:val="single" w:sz="4" w:space="0" w:color="ADD6EA"/>
              <w:right w:val="nil"/>
            </w:tcBorders>
            <w:shd w:val="clear" w:color="000000" w:fill="006991"/>
            <w:vAlign w:val="center"/>
            <w:hideMark/>
          </w:tcPr>
          <w:p w14:paraId="10355A4C" w14:textId="77777777" w:rsidR="002646CB" w:rsidRPr="002646CB" w:rsidRDefault="002646CB" w:rsidP="00297DF5">
            <w:pPr>
              <w:tabs>
                <w:tab w:val="clear" w:pos="567"/>
              </w:tabs>
              <w:spacing w:before="0" w:line="240" w:lineRule="auto"/>
              <w:rPr>
                <w:rFonts w:ascii="Open Sans Semibold" w:eastAsia="Times New Roman" w:hAnsi="Open Sans Semibold" w:cs="Open Sans Semibold"/>
                <w:color w:val="FFFFFF"/>
                <w:sz w:val="16"/>
                <w:szCs w:val="16"/>
                <w:lang w:eastAsia="en-AU"/>
              </w:rPr>
            </w:pPr>
            <w:r w:rsidRPr="002646CB">
              <w:rPr>
                <w:rFonts w:ascii="Open Sans Semibold" w:eastAsia="Times New Roman" w:hAnsi="Open Sans Semibold" w:cs="Open Sans Semibold"/>
                <w:color w:val="FFFFFF"/>
                <w:sz w:val="16"/>
                <w:szCs w:val="16"/>
                <w:lang w:eastAsia="en-AU"/>
              </w:rPr>
              <w:t>Component</w:t>
            </w:r>
          </w:p>
        </w:tc>
        <w:tc>
          <w:tcPr>
            <w:tcW w:w="2038" w:type="dxa"/>
            <w:tcBorders>
              <w:top w:val="single" w:sz="4" w:space="0" w:color="ADD6EA"/>
              <w:left w:val="nil"/>
              <w:bottom w:val="nil"/>
              <w:right w:val="nil"/>
            </w:tcBorders>
            <w:shd w:val="clear" w:color="000000" w:fill="006991"/>
            <w:vAlign w:val="center"/>
            <w:hideMark/>
          </w:tcPr>
          <w:p w14:paraId="69D5D1ED" w14:textId="77777777" w:rsidR="002646CB" w:rsidRPr="002646CB" w:rsidRDefault="002646CB" w:rsidP="00297DF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46CB">
              <w:rPr>
                <w:rFonts w:ascii="Open Sans Semibold" w:eastAsia="Times New Roman" w:hAnsi="Open Sans Semibold" w:cs="Open Sans Semibold"/>
                <w:color w:val="FFFFFF"/>
                <w:sz w:val="16"/>
                <w:szCs w:val="16"/>
                <w:lang w:eastAsia="en-AU"/>
              </w:rPr>
              <w:t>Contribution to regional costs gradient</w:t>
            </w:r>
          </w:p>
        </w:tc>
        <w:tc>
          <w:tcPr>
            <w:tcW w:w="3120" w:type="dxa"/>
            <w:tcBorders>
              <w:top w:val="single" w:sz="4" w:space="0" w:color="ADD6EA"/>
              <w:left w:val="nil"/>
              <w:bottom w:val="nil"/>
              <w:right w:val="nil"/>
            </w:tcBorders>
            <w:shd w:val="clear" w:color="000000" w:fill="006991"/>
            <w:vAlign w:val="center"/>
            <w:hideMark/>
          </w:tcPr>
          <w:p w14:paraId="4AE35367" w14:textId="77777777" w:rsidR="002646CB" w:rsidRPr="002646CB" w:rsidRDefault="002646CB" w:rsidP="00297DF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46CB">
              <w:rPr>
                <w:rFonts w:ascii="Open Sans Semibold" w:eastAsia="Times New Roman" w:hAnsi="Open Sans Semibold" w:cs="Open Sans Semibold"/>
                <w:color w:val="FFFFFF"/>
                <w:sz w:val="16"/>
                <w:szCs w:val="16"/>
                <w:lang w:eastAsia="en-AU"/>
              </w:rPr>
              <w:t>Contribution to regional and service delivery scale costs gradient</w:t>
            </w:r>
          </w:p>
        </w:tc>
      </w:tr>
      <w:tr w:rsidR="002646CB" w:rsidRPr="002646CB" w14:paraId="71141D9E" w14:textId="77777777" w:rsidTr="00297DF5">
        <w:trPr>
          <w:trHeight w:val="290"/>
        </w:trPr>
        <w:tc>
          <w:tcPr>
            <w:tcW w:w="3686" w:type="dxa"/>
            <w:tcBorders>
              <w:top w:val="nil"/>
              <w:left w:val="nil"/>
              <w:bottom w:val="single" w:sz="4" w:space="0" w:color="ADD6EA"/>
              <w:right w:val="nil"/>
            </w:tcBorders>
            <w:shd w:val="clear" w:color="auto" w:fill="auto"/>
            <w:vAlign w:val="center"/>
            <w:hideMark/>
          </w:tcPr>
          <w:p w14:paraId="36C250F5" w14:textId="3EE8A453" w:rsidR="002646CB" w:rsidRPr="002646CB" w:rsidRDefault="00A52662" w:rsidP="00297DF5">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Health - </w:t>
            </w:r>
            <w:r w:rsidR="006C5259">
              <w:rPr>
                <w:rFonts w:eastAsia="Times New Roman" w:cs="Open Sans Light"/>
                <w:color w:val="000000"/>
                <w:sz w:val="16"/>
                <w:szCs w:val="16"/>
                <w:lang w:eastAsia="en-AU"/>
              </w:rPr>
              <w:t>a</w:t>
            </w:r>
            <w:r w:rsidR="002646CB" w:rsidRPr="002646CB">
              <w:rPr>
                <w:rFonts w:eastAsia="Times New Roman" w:cs="Open Sans Light"/>
                <w:color w:val="000000"/>
                <w:sz w:val="16"/>
                <w:szCs w:val="16"/>
                <w:lang w:eastAsia="en-AU"/>
              </w:rPr>
              <w:t>dmitted patients</w:t>
            </w:r>
          </w:p>
        </w:tc>
        <w:tc>
          <w:tcPr>
            <w:tcW w:w="2038" w:type="dxa"/>
            <w:tcBorders>
              <w:top w:val="single" w:sz="4" w:space="0" w:color="ADD6EA"/>
              <w:left w:val="nil"/>
              <w:bottom w:val="single" w:sz="4" w:space="0" w:color="ADD6EA"/>
              <w:right w:val="nil"/>
            </w:tcBorders>
            <w:shd w:val="clear" w:color="auto" w:fill="auto"/>
            <w:vAlign w:val="center"/>
            <w:hideMark/>
          </w:tcPr>
          <w:p w14:paraId="57A89933" w14:textId="6FA2E864"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36.2%</w:t>
            </w:r>
          </w:p>
        </w:tc>
        <w:tc>
          <w:tcPr>
            <w:tcW w:w="3120" w:type="dxa"/>
            <w:tcBorders>
              <w:top w:val="single" w:sz="4" w:space="0" w:color="ADD6EA"/>
              <w:left w:val="nil"/>
              <w:bottom w:val="single" w:sz="4" w:space="0" w:color="ADD6EA"/>
              <w:right w:val="nil"/>
            </w:tcBorders>
            <w:shd w:val="clear" w:color="auto" w:fill="auto"/>
            <w:vAlign w:val="center"/>
            <w:hideMark/>
          </w:tcPr>
          <w:p w14:paraId="7A0A1D54" w14:textId="77B56A19"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49.</w:t>
            </w:r>
            <w:r w:rsidR="00DB0ADB">
              <w:rPr>
                <w:rFonts w:eastAsia="Times New Roman" w:cs="Open Sans Light"/>
                <w:color w:val="000000"/>
                <w:sz w:val="16"/>
                <w:szCs w:val="16"/>
                <w:lang w:eastAsia="en-AU"/>
              </w:rPr>
              <w:t>0</w:t>
            </w:r>
            <w:r w:rsidRPr="002646CB">
              <w:rPr>
                <w:rFonts w:eastAsia="Times New Roman" w:cs="Open Sans Light"/>
                <w:color w:val="000000"/>
                <w:sz w:val="16"/>
                <w:szCs w:val="16"/>
                <w:lang w:eastAsia="en-AU"/>
              </w:rPr>
              <w:t>%</w:t>
            </w:r>
          </w:p>
        </w:tc>
      </w:tr>
      <w:tr w:rsidR="002646CB" w:rsidRPr="002646CB" w14:paraId="558067AD" w14:textId="77777777" w:rsidTr="00297DF5">
        <w:trPr>
          <w:trHeight w:val="290"/>
        </w:trPr>
        <w:tc>
          <w:tcPr>
            <w:tcW w:w="3686" w:type="dxa"/>
            <w:tcBorders>
              <w:top w:val="nil"/>
              <w:left w:val="nil"/>
              <w:bottom w:val="single" w:sz="4" w:space="0" w:color="ADD6EA"/>
              <w:right w:val="nil"/>
            </w:tcBorders>
            <w:shd w:val="clear" w:color="auto" w:fill="auto"/>
            <w:vAlign w:val="center"/>
            <w:hideMark/>
          </w:tcPr>
          <w:p w14:paraId="2BC12B37" w14:textId="4D564825" w:rsidR="002646CB" w:rsidRPr="002646CB" w:rsidRDefault="0008310E" w:rsidP="00297DF5">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Health - </w:t>
            </w:r>
            <w:r w:rsidR="006C5259">
              <w:rPr>
                <w:rFonts w:eastAsia="Times New Roman" w:cs="Open Sans Light"/>
                <w:color w:val="000000"/>
                <w:sz w:val="16"/>
                <w:szCs w:val="16"/>
                <w:lang w:eastAsia="en-AU"/>
              </w:rPr>
              <w:t>e</w:t>
            </w:r>
            <w:r w:rsidR="002646CB" w:rsidRPr="002646CB">
              <w:rPr>
                <w:rFonts w:eastAsia="Times New Roman" w:cs="Open Sans Light"/>
                <w:color w:val="000000"/>
                <w:sz w:val="16"/>
                <w:szCs w:val="16"/>
                <w:lang w:eastAsia="en-AU"/>
              </w:rPr>
              <w:t xml:space="preserve">mergency departments </w:t>
            </w:r>
          </w:p>
        </w:tc>
        <w:tc>
          <w:tcPr>
            <w:tcW w:w="2038" w:type="dxa"/>
            <w:tcBorders>
              <w:top w:val="nil"/>
              <w:left w:val="nil"/>
              <w:bottom w:val="single" w:sz="4" w:space="0" w:color="ADD6EA"/>
              <w:right w:val="nil"/>
            </w:tcBorders>
            <w:shd w:val="clear" w:color="auto" w:fill="auto"/>
            <w:vAlign w:val="center"/>
            <w:hideMark/>
          </w:tcPr>
          <w:p w14:paraId="2CA3975A" w14:textId="1C331B16"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3.8%</w:t>
            </w:r>
          </w:p>
        </w:tc>
        <w:tc>
          <w:tcPr>
            <w:tcW w:w="3120" w:type="dxa"/>
            <w:tcBorders>
              <w:top w:val="nil"/>
              <w:left w:val="nil"/>
              <w:bottom w:val="single" w:sz="4" w:space="0" w:color="ADD6EA"/>
              <w:right w:val="nil"/>
            </w:tcBorders>
            <w:shd w:val="clear" w:color="auto" w:fill="auto"/>
            <w:vAlign w:val="center"/>
            <w:hideMark/>
          </w:tcPr>
          <w:p w14:paraId="1AF21E48" w14:textId="05B43C58"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5.2%</w:t>
            </w:r>
          </w:p>
        </w:tc>
      </w:tr>
      <w:tr w:rsidR="002646CB" w:rsidRPr="002646CB" w14:paraId="716941E1" w14:textId="77777777" w:rsidTr="00297DF5">
        <w:trPr>
          <w:trHeight w:val="290"/>
        </w:trPr>
        <w:tc>
          <w:tcPr>
            <w:tcW w:w="3686" w:type="dxa"/>
            <w:tcBorders>
              <w:top w:val="nil"/>
              <w:left w:val="nil"/>
              <w:bottom w:val="nil"/>
              <w:right w:val="nil"/>
            </w:tcBorders>
            <w:shd w:val="clear" w:color="auto" w:fill="auto"/>
            <w:vAlign w:val="center"/>
            <w:hideMark/>
          </w:tcPr>
          <w:p w14:paraId="3A16488A" w14:textId="74732F62" w:rsidR="002646CB" w:rsidRPr="002646CB" w:rsidRDefault="0008310E" w:rsidP="00297DF5">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Health - </w:t>
            </w:r>
            <w:r w:rsidR="006C5259">
              <w:rPr>
                <w:rFonts w:eastAsia="Times New Roman" w:cs="Open Sans Light"/>
                <w:color w:val="000000"/>
                <w:sz w:val="16"/>
                <w:szCs w:val="16"/>
                <w:lang w:eastAsia="en-AU"/>
              </w:rPr>
              <w:t>n</w:t>
            </w:r>
            <w:r w:rsidR="002646CB" w:rsidRPr="002646CB">
              <w:rPr>
                <w:rFonts w:eastAsia="Times New Roman" w:cs="Open Sans Light"/>
                <w:color w:val="000000"/>
                <w:sz w:val="16"/>
                <w:szCs w:val="16"/>
                <w:lang w:eastAsia="en-AU"/>
              </w:rPr>
              <w:t>on-admitted patients</w:t>
            </w:r>
          </w:p>
        </w:tc>
        <w:tc>
          <w:tcPr>
            <w:tcW w:w="2038" w:type="dxa"/>
            <w:tcBorders>
              <w:top w:val="nil"/>
              <w:left w:val="nil"/>
              <w:bottom w:val="single" w:sz="4" w:space="0" w:color="ADD6EA"/>
              <w:right w:val="nil"/>
            </w:tcBorders>
            <w:shd w:val="clear" w:color="auto" w:fill="auto"/>
            <w:vAlign w:val="center"/>
            <w:hideMark/>
          </w:tcPr>
          <w:p w14:paraId="03E9B72B" w14:textId="10F82F16"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5.7%</w:t>
            </w:r>
          </w:p>
        </w:tc>
        <w:tc>
          <w:tcPr>
            <w:tcW w:w="3120" w:type="dxa"/>
            <w:tcBorders>
              <w:top w:val="nil"/>
              <w:left w:val="nil"/>
              <w:bottom w:val="single" w:sz="4" w:space="0" w:color="ADD6EA"/>
              <w:right w:val="nil"/>
            </w:tcBorders>
            <w:shd w:val="clear" w:color="auto" w:fill="auto"/>
            <w:vAlign w:val="center"/>
            <w:hideMark/>
          </w:tcPr>
          <w:p w14:paraId="3824A8B7" w14:textId="6E7BA7CD"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7.7%</w:t>
            </w:r>
          </w:p>
        </w:tc>
      </w:tr>
      <w:tr w:rsidR="002646CB" w:rsidRPr="002646CB" w14:paraId="6CC77642" w14:textId="77777777" w:rsidTr="00297DF5">
        <w:trPr>
          <w:trHeight w:val="290"/>
        </w:trPr>
        <w:tc>
          <w:tcPr>
            <w:tcW w:w="3686" w:type="dxa"/>
            <w:tcBorders>
              <w:top w:val="single" w:sz="4" w:space="0" w:color="ADD6EA"/>
              <w:left w:val="nil"/>
              <w:bottom w:val="nil"/>
              <w:right w:val="nil"/>
            </w:tcBorders>
            <w:shd w:val="clear" w:color="auto" w:fill="auto"/>
            <w:vAlign w:val="center"/>
            <w:hideMark/>
          </w:tcPr>
          <w:p w14:paraId="6E1146ED" w14:textId="363EEFFE" w:rsidR="002646CB" w:rsidRPr="002646CB" w:rsidRDefault="0008310E" w:rsidP="00297DF5">
            <w:pPr>
              <w:tabs>
                <w:tab w:val="clear" w:pos="567"/>
              </w:tabs>
              <w:spacing w:before="0" w:line="240" w:lineRule="auto"/>
              <w:ind w:right="-109"/>
              <w:rPr>
                <w:rFonts w:eastAsia="Times New Roman" w:cs="Open Sans Light"/>
                <w:color w:val="000000"/>
                <w:sz w:val="16"/>
                <w:szCs w:val="16"/>
                <w:lang w:eastAsia="en-AU"/>
              </w:rPr>
            </w:pPr>
            <w:r>
              <w:rPr>
                <w:rFonts w:eastAsia="Times New Roman" w:cs="Open Sans Light"/>
                <w:color w:val="000000"/>
                <w:sz w:val="16"/>
                <w:szCs w:val="16"/>
                <w:lang w:eastAsia="en-AU"/>
              </w:rPr>
              <w:t xml:space="preserve">Services to communities - </w:t>
            </w:r>
            <w:r w:rsidR="006C5259">
              <w:rPr>
                <w:rFonts w:eastAsia="Times New Roman" w:cs="Open Sans Light"/>
                <w:color w:val="000000"/>
                <w:sz w:val="16"/>
                <w:szCs w:val="16"/>
                <w:lang w:eastAsia="en-AU"/>
              </w:rPr>
              <w:t>w</w:t>
            </w:r>
            <w:r w:rsidR="002646CB" w:rsidRPr="002646CB">
              <w:rPr>
                <w:rFonts w:eastAsia="Times New Roman" w:cs="Open Sans Light"/>
                <w:color w:val="000000"/>
                <w:sz w:val="16"/>
                <w:szCs w:val="16"/>
                <w:lang w:eastAsia="en-AU"/>
              </w:rPr>
              <w:t>ater subsidies (a)</w:t>
            </w:r>
          </w:p>
        </w:tc>
        <w:tc>
          <w:tcPr>
            <w:tcW w:w="2038" w:type="dxa"/>
            <w:tcBorders>
              <w:top w:val="nil"/>
              <w:left w:val="nil"/>
              <w:bottom w:val="single" w:sz="4" w:space="0" w:color="ADD6EA"/>
              <w:right w:val="nil"/>
            </w:tcBorders>
            <w:shd w:val="clear" w:color="auto" w:fill="auto"/>
            <w:vAlign w:val="center"/>
            <w:hideMark/>
          </w:tcPr>
          <w:p w14:paraId="27DAEB69" w14:textId="4CFFEB71"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0.5%</w:t>
            </w:r>
          </w:p>
        </w:tc>
        <w:tc>
          <w:tcPr>
            <w:tcW w:w="3120" w:type="dxa"/>
            <w:tcBorders>
              <w:top w:val="nil"/>
              <w:left w:val="nil"/>
              <w:bottom w:val="single" w:sz="4" w:space="0" w:color="ADD6EA"/>
              <w:right w:val="nil"/>
            </w:tcBorders>
            <w:shd w:val="clear" w:color="auto" w:fill="auto"/>
            <w:vAlign w:val="center"/>
            <w:hideMark/>
          </w:tcPr>
          <w:p w14:paraId="1485D19F" w14:textId="77777777"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w:t>
            </w:r>
          </w:p>
        </w:tc>
      </w:tr>
      <w:tr w:rsidR="002646CB" w:rsidRPr="002646CB" w14:paraId="2E4BE05B" w14:textId="77777777" w:rsidTr="00297DF5">
        <w:trPr>
          <w:trHeight w:val="290"/>
        </w:trPr>
        <w:tc>
          <w:tcPr>
            <w:tcW w:w="3686" w:type="dxa"/>
            <w:tcBorders>
              <w:top w:val="single" w:sz="4" w:space="0" w:color="ADD6EA"/>
              <w:left w:val="nil"/>
              <w:bottom w:val="nil"/>
              <w:right w:val="nil"/>
            </w:tcBorders>
            <w:shd w:val="clear" w:color="auto" w:fill="auto"/>
            <w:vAlign w:val="center"/>
            <w:hideMark/>
          </w:tcPr>
          <w:p w14:paraId="3B10B657" w14:textId="6C5E5DF4" w:rsidR="002646CB" w:rsidRPr="002646CB" w:rsidRDefault="006C5259" w:rsidP="00297DF5">
            <w:pPr>
              <w:tabs>
                <w:tab w:val="clear" w:pos="567"/>
              </w:tabs>
              <w:spacing w:before="0" w:line="240" w:lineRule="auto"/>
              <w:ind w:right="-1102"/>
              <w:rPr>
                <w:rFonts w:eastAsia="Times New Roman" w:cs="Open Sans Light"/>
                <w:color w:val="000000"/>
                <w:sz w:val="16"/>
                <w:szCs w:val="16"/>
                <w:lang w:eastAsia="en-AU"/>
              </w:rPr>
            </w:pPr>
            <w:r>
              <w:rPr>
                <w:rFonts w:eastAsia="Times New Roman" w:cs="Open Sans Light"/>
                <w:color w:val="000000"/>
                <w:sz w:val="16"/>
                <w:szCs w:val="16"/>
                <w:lang w:eastAsia="en-AU"/>
              </w:rPr>
              <w:t>Services to communities - e</w:t>
            </w:r>
            <w:r w:rsidR="002646CB" w:rsidRPr="002646CB">
              <w:rPr>
                <w:rFonts w:eastAsia="Times New Roman" w:cs="Open Sans Light"/>
                <w:color w:val="000000"/>
                <w:sz w:val="16"/>
                <w:szCs w:val="16"/>
                <w:lang w:eastAsia="en-AU"/>
              </w:rPr>
              <w:t>lectricity subsidies</w:t>
            </w:r>
            <w:r w:rsidR="00502B9B">
              <w:rPr>
                <w:rFonts w:eastAsia="Times New Roman" w:cs="Open Sans Light"/>
                <w:color w:val="000000"/>
                <w:sz w:val="16"/>
                <w:szCs w:val="16"/>
                <w:lang w:eastAsia="en-AU"/>
              </w:rPr>
              <w:t xml:space="preserve"> </w:t>
            </w:r>
            <w:r w:rsidR="002646CB" w:rsidRPr="002646CB">
              <w:rPr>
                <w:rFonts w:eastAsia="Times New Roman" w:cs="Open Sans Light"/>
                <w:color w:val="000000"/>
                <w:sz w:val="16"/>
                <w:szCs w:val="16"/>
                <w:lang w:eastAsia="en-AU"/>
              </w:rPr>
              <w:t xml:space="preserve">(b) </w:t>
            </w:r>
          </w:p>
        </w:tc>
        <w:tc>
          <w:tcPr>
            <w:tcW w:w="2038" w:type="dxa"/>
            <w:tcBorders>
              <w:top w:val="nil"/>
              <w:left w:val="nil"/>
              <w:bottom w:val="single" w:sz="4" w:space="0" w:color="ADD6EA"/>
              <w:right w:val="nil"/>
            </w:tcBorders>
            <w:shd w:val="clear" w:color="auto" w:fill="auto"/>
            <w:vAlign w:val="center"/>
            <w:hideMark/>
          </w:tcPr>
          <w:p w14:paraId="0B3004E5" w14:textId="32C1B9C1"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1.4%</w:t>
            </w:r>
          </w:p>
        </w:tc>
        <w:tc>
          <w:tcPr>
            <w:tcW w:w="3120" w:type="dxa"/>
            <w:tcBorders>
              <w:top w:val="nil"/>
              <w:left w:val="nil"/>
              <w:bottom w:val="single" w:sz="4" w:space="0" w:color="ADD6EA"/>
              <w:right w:val="nil"/>
            </w:tcBorders>
            <w:shd w:val="clear" w:color="auto" w:fill="auto"/>
            <w:vAlign w:val="center"/>
            <w:hideMark/>
          </w:tcPr>
          <w:p w14:paraId="4C387E23" w14:textId="77777777"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w:t>
            </w:r>
          </w:p>
        </w:tc>
      </w:tr>
      <w:tr w:rsidR="002646CB" w:rsidRPr="002646CB" w14:paraId="7AA4537B" w14:textId="77777777" w:rsidTr="00297DF5">
        <w:trPr>
          <w:trHeight w:val="290"/>
        </w:trPr>
        <w:tc>
          <w:tcPr>
            <w:tcW w:w="3686" w:type="dxa"/>
            <w:tcBorders>
              <w:top w:val="single" w:sz="4" w:space="0" w:color="ADD6EA"/>
              <w:left w:val="nil"/>
              <w:bottom w:val="nil"/>
              <w:right w:val="nil"/>
            </w:tcBorders>
            <w:shd w:val="clear" w:color="auto" w:fill="auto"/>
            <w:vAlign w:val="center"/>
            <w:hideMark/>
          </w:tcPr>
          <w:p w14:paraId="2FEABC28" w14:textId="26C1803C" w:rsidR="002646CB" w:rsidRPr="002646CB" w:rsidRDefault="006C5259" w:rsidP="00297DF5">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Justice - p</w:t>
            </w:r>
            <w:r w:rsidR="002646CB" w:rsidRPr="002646CB">
              <w:rPr>
                <w:rFonts w:eastAsia="Times New Roman" w:cs="Open Sans Light"/>
                <w:color w:val="000000"/>
                <w:sz w:val="16"/>
                <w:szCs w:val="16"/>
                <w:lang w:eastAsia="en-AU"/>
              </w:rPr>
              <w:t>risons</w:t>
            </w:r>
          </w:p>
        </w:tc>
        <w:tc>
          <w:tcPr>
            <w:tcW w:w="2038" w:type="dxa"/>
            <w:tcBorders>
              <w:top w:val="nil"/>
              <w:left w:val="nil"/>
              <w:bottom w:val="single" w:sz="4" w:space="0" w:color="ADD6EA"/>
              <w:right w:val="nil"/>
            </w:tcBorders>
            <w:shd w:val="clear" w:color="auto" w:fill="auto"/>
            <w:vAlign w:val="center"/>
            <w:hideMark/>
          </w:tcPr>
          <w:p w14:paraId="5B410DBE" w14:textId="0A031177"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4.6%</w:t>
            </w:r>
          </w:p>
        </w:tc>
        <w:tc>
          <w:tcPr>
            <w:tcW w:w="3120" w:type="dxa"/>
            <w:tcBorders>
              <w:top w:val="nil"/>
              <w:left w:val="nil"/>
              <w:bottom w:val="single" w:sz="4" w:space="0" w:color="ADD6EA"/>
              <w:right w:val="nil"/>
            </w:tcBorders>
            <w:shd w:val="clear" w:color="auto" w:fill="auto"/>
            <w:vAlign w:val="center"/>
            <w:hideMark/>
          </w:tcPr>
          <w:p w14:paraId="69B9093D" w14:textId="1E31D401"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6.</w:t>
            </w:r>
            <w:r w:rsidR="00BA7075">
              <w:rPr>
                <w:rFonts w:eastAsia="Times New Roman" w:cs="Open Sans Light"/>
                <w:color w:val="000000"/>
                <w:sz w:val="16"/>
                <w:szCs w:val="16"/>
                <w:lang w:eastAsia="en-AU"/>
              </w:rPr>
              <w:t>2</w:t>
            </w:r>
            <w:r w:rsidRPr="002646CB">
              <w:rPr>
                <w:rFonts w:eastAsia="Times New Roman" w:cs="Open Sans Light"/>
                <w:color w:val="000000"/>
                <w:sz w:val="16"/>
                <w:szCs w:val="16"/>
                <w:lang w:eastAsia="en-AU"/>
              </w:rPr>
              <w:t>%</w:t>
            </w:r>
          </w:p>
        </w:tc>
      </w:tr>
      <w:tr w:rsidR="002646CB" w:rsidRPr="002646CB" w14:paraId="4629EAA8" w14:textId="77777777" w:rsidTr="00297DF5">
        <w:trPr>
          <w:trHeight w:val="290"/>
        </w:trPr>
        <w:tc>
          <w:tcPr>
            <w:tcW w:w="3686" w:type="dxa"/>
            <w:tcBorders>
              <w:top w:val="single" w:sz="4" w:space="0" w:color="ADD6EA"/>
              <w:left w:val="nil"/>
              <w:bottom w:val="nil"/>
              <w:right w:val="nil"/>
            </w:tcBorders>
            <w:shd w:val="clear" w:color="auto" w:fill="auto"/>
            <w:vAlign w:val="center"/>
            <w:hideMark/>
          </w:tcPr>
          <w:p w14:paraId="0D238C39" w14:textId="7CFBC663" w:rsidR="002646CB" w:rsidRPr="002646CB" w:rsidRDefault="006C5259" w:rsidP="00297DF5">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Justice - c</w:t>
            </w:r>
            <w:r w:rsidR="002646CB" w:rsidRPr="002646CB">
              <w:rPr>
                <w:rFonts w:eastAsia="Times New Roman" w:cs="Open Sans Light"/>
                <w:color w:val="000000"/>
                <w:sz w:val="16"/>
                <w:szCs w:val="16"/>
                <w:lang w:eastAsia="en-AU"/>
              </w:rPr>
              <w:t>riminal courts</w:t>
            </w:r>
          </w:p>
        </w:tc>
        <w:tc>
          <w:tcPr>
            <w:tcW w:w="2038" w:type="dxa"/>
            <w:tcBorders>
              <w:top w:val="nil"/>
              <w:left w:val="nil"/>
              <w:bottom w:val="single" w:sz="4" w:space="0" w:color="ADD6EA"/>
              <w:right w:val="nil"/>
            </w:tcBorders>
            <w:shd w:val="clear" w:color="auto" w:fill="auto"/>
            <w:vAlign w:val="center"/>
            <w:hideMark/>
          </w:tcPr>
          <w:p w14:paraId="27C727F9" w14:textId="77777777"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 xml:space="preserve">- </w:t>
            </w:r>
          </w:p>
        </w:tc>
        <w:tc>
          <w:tcPr>
            <w:tcW w:w="3120" w:type="dxa"/>
            <w:tcBorders>
              <w:top w:val="nil"/>
              <w:left w:val="nil"/>
              <w:bottom w:val="single" w:sz="4" w:space="0" w:color="ADD6EA"/>
              <w:right w:val="nil"/>
            </w:tcBorders>
            <w:shd w:val="clear" w:color="auto" w:fill="auto"/>
            <w:vAlign w:val="center"/>
            <w:hideMark/>
          </w:tcPr>
          <w:p w14:paraId="1E5536F4" w14:textId="0338A12E"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2.</w:t>
            </w:r>
            <w:r w:rsidR="00964D2A">
              <w:rPr>
                <w:rFonts w:eastAsia="Times New Roman" w:cs="Open Sans Light"/>
                <w:color w:val="000000"/>
                <w:sz w:val="16"/>
                <w:szCs w:val="16"/>
                <w:lang w:eastAsia="en-AU"/>
              </w:rPr>
              <w:t>6</w:t>
            </w:r>
            <w:r w:rsidRPr="002646CB">
              <w:rPr>
                <w:rFonts w:eastAsia="Times New Roman" w:cs="Open Sans Light"/>
                <w:color w:val="000000"/>
                <w:sz w:val="16"/>
                <w:szCs w:val="16"/>
                <w:lang w:eastAsia="en-AU"/>
              </w:rPr>
              <w:t>%</w:t>
            </w:r>
          </w:p>
        </w:tc>
      </w:tr>
      <w:tr w:rsidR="002646CB" w:rsidRPr="002646CB" w14:paraId="58DFE341" w14:textId="77777777" w:rsidTr="00297DF5">
        <w:trPr>
          <w:trHeight w:val="290"/>
        </w:trPr>
        <w:tc>
          <w:tcPr>
            <w:tcW w:w="3686" w:type="dxa"/>
            <w:tcBorders>
              <w:top w:val="single" w:sz="4" w:space="0" w:color="ADD6EA"/>
              <w:left w:val="nil"/>
              <w:bottom w:val="nil"/>
              <w:right w:val="nil"/>
            </w:tcBorders>
            <w:shd w:val="clear" w:color="auto" w:fill="auto"/>
            <w:vAlign w:val="center"/>
            <w:hideMark/>
          </w:tcPr>
          <w:p w14:paraId="511C1BD4" w14:textId="6414915C" w:rsidR="002646CB" w:rsidRPr="002646CB" w:rsidRDefault="002646CB" w:rsidP="00297DF5">
            <w:pPr>
              <w:tabs>
                <w:tab w:val="clear" w:pos="567"/>
              </w:tabs>
              <w:spacing w:before="0" w:line="240" w:lineRule="auto"/>
              <w:rPr>
                <w:rFonts w:eastAsia="Times New Roman" w:cs="Open Sans Light"/>
                <w:color w:val="000000"/>
                <w:sz w:val="16"/>
                <w:szCs w:val="16"/>
                <w:lang w:eastAsia="en-AU"/>
              </w:rPr>
            </w:pPr>
            <w:r w:rsidRPr="002646CB">
              <w:rPr>
                <w:rFonts w:eastAsia="Times New Roman" w:cs="Open Sans Light"/>
                <w:color w:val="000000"/>
                <w:sz w:val="16"/>
                <w:szCs w:val="16"/>
                <w:lang w:eastAsia="en-AU"/>
              </w:rPr>
              <w:t>Post-secondary</w:t>
            </w:r>
            <w:r w:rsidR="002D1D33">
              <w:rPr>
                <w:rFonts w:eastAsia="Times New Roman" w:cs="Open Sans Light"/>
                <w:color w:val="000000"/>
                <w:sz w:val="16"/>
                <w:szCs w:val="16"/>
                <w:lang w:eastAsia="en-AU"/>
              </w:rPr>
              <w:t xml:space="preserve"> education</w:t>
            </w:r>
          </w:p>
        </w:tc>
        <w:tc>
          <w:tcPr>
            <w:tcW w:w="2038" w:type="dxa"/>
            <w:tcBorders>
              <w:top w:val="nil"/>
              <w:left w:val="nil"/>
              <w:bottom w:val="single" w:sz="4" w:space="0" w:color="ADD6EA"/>
              <w:right w:val="nil"/>
            </w:tcBorders>
            <w:shd w:val="clear" w:color="auto" w:fill="auto"/>
            <w:vAlign w:val="center"/>
            <w:hideMark/>
          </w:tcPr>
          <w:p w14:paraId="3E6463F7" w14:textId="131AE655"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4.4%</w:t>
            </w:r>
          </w:p>
        </w:tc>
        <w:tc>
          <w:tcPr>
            <w:tcW w:w="3120" w:type="dxa"/>
            <w:tcBorders>
              <w:top w:val="nil"/>
              <w:left w:val="nil"/>
              <w:bottom w:val="single" w:sz="4" w:space="0" w:color="ADD6EA"/>
              <w:right w:val="nil"/>
            </w:tcBorders>
            <w:shd w:val="clear" w:color="auto" w:fill="auto"/>
            <w:vAlign w:val="center"/>
            <w:hideMark/>
          </w:tcPr>
          <w:p w14:paraId="2C5BCD4E" w14:textId="77777777"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w:t>
            </w:r>
          </w:p>
        </w:tc>
      </w:tr>
      <w:tr w:rsidR="002646CB" w:rsidRPr="002646CB" w14:paraId="7CF79E3E" w14:textId="77777777" w:rsidTr="00297DF5">
        <w:trPr>
          <w:trHeight w:val="290"/>
        </w:trPr>
        <w:tc>
          <w:tcPr>
            <w:tcW w:w="3686" w:type="dxa"/>
            <w:tcBorders>
              <w:top w:val="single" w:sz="4" w:space="0" w:color="ADD6EA"/>
              <w:left w:val="nil"/>
              <w:bottom w:val="single" w:sz="4" w:space="0" w:color="ADD6EA"/>
              <w:right w:val="nil"/>
            </w:tcBorders>
            <w:shd w:val="clear" w:color="auto" w:fill="auto"/>
            <w:vAlign w:val="center"/>
            <w:hideMark/>
          </w:tcPr>
          <w:p w14:paraId="201E1E1D" w14:textId="6EC27C19" w:rsidR="002646CB" w:rsidRPr="002646CB" w:rsidRDefault="002646CB" w:rsidP="00297DF5">
            <w:pPr>
              <w:tabs>
                <w:tab w:val="clear" w:pos="567"/>
              </w:tabs>
              <w:spacing w:before="0" w:line="240" w:lineRule="auto"/>
              <w:rPr>
                <w:rFonts w:eastAsia="Times New Roman" w:cs="Open Sans Light"/>
                <w:color w:val="000000"/>
                <w:sz w:val="16"/>
                <w:szCs w:val="16"/>
                <w:lang w:eastAsia="en-AU"/>
              </w:rPr>
            </w:pPr>
            <w:r w:rsidRPr="002646CB">
              <w:rPr>
                <w:rFonts w:eastAsia="Times New Roman" w:cs="Open Sans Light"/>
                <w:color w:val="000000"/>
                <w:sz w:val="16"/>
                <w:szCs w:val="16"/>
                <w:lang w:eastAsia="en-AU"/>
              </w:rPr>
              <w:t>Schools</w:t>
            </w:r>
            <w:r w:rsidR="009465AE">
              <w:rPr>
                <w:rFonts w:eastAsia="Times New Roman" w:cs="Open Sans Light"/>
                <w:color w:val="000000"/>
                <w:sz w:val="16"/>
                <w:szCs w:val="16"/>
                <w:lang w:eastAsia="en-AU"/>
              </w:rPr>
              <w:t xml:space="preserve"> – state funding of government schools</w:t>
            </w:r>
          </w:p>
        </w:tc>
        <w:tc>
          <w:tcPr>
            <w:tcW w:w="2038" w:type="dxa"/>
            <w:tcBorders>
              <w:top w:val="nil"/>
              <w:left w:val="nil"/>
              <w:bottom w:val="single" w:sz="4" w:space="0" w:color="ADD6EA"/>
              <w:right w:val="nil"/>
            </w:tcBorders>
            <w:shd w:val="clear" w:color="auto" w:fill="auto"/>
            <w:vAlign w:val="center"/>
            <w:hideMark/>
          </w:tcPr>
          <w:p w14:paraId="3E760EC9" w14:textId="06B9706E"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21.8%</w:t>
            </w:r>
          </w:p>
        </w:tc>
        <w:tc>
          <w:tcPr>
            <w:tcW w:w="3120" w:type="dxa"/>
            <w:tcBorders>
              <w:top w:val="nil"/>
              <w:left w:val="nil"/>
              <w:bottom w:val="single" w:sz="4" w:space="0" w:color="ADD6EA"/>
              <w:right w:val="nil"/>
            </w:tcBorders>
            <w:shd w:val="clear" w:color="auto" w:fill="auto"/>
            <w:vAlign w:val="center"/>
            <w:hideMark/>
          </w:tcPr>
          <w:p w14:paraId="5221FD1A" w14:textId="4236C425"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29.5%</w:t>
            </w:r>
          </w:p>
        </w:tc>
      </w:tr>
      <w:tr w:rsidR="002646CB" w:rsidRPr="002646CB" w14:paraId="58A955D9" w14:textId="77777777" w:rsidTr="00297DF5">
        <w:trPr>
          <w:trHeight w:val="290"/>
        </w:trPr>
        <w:tc>
          <w:tcPr>
            <w:tcW w:w="3686" w:type="dxa"/>
            <w:tcBorders>
              <w:top w:val="nil"/>
              <w:left w:val="nil"/>
              <w:bottom w:val="single" w:sz="4" w:space="0" w:color="ADD6EA"/>
              <w:right w:val="nil"/>
            </w:tcBorders>
            <w:shd w:val="clear" w:color="auto" w:fill="auto"/>
            <w:vAlign w:val="center"/>
            <w:hideMark/>
          </w:tcPr>
          <w:p w14:paraId="427E9B85" w14:textId="77777777" w:rsidR="002646CB" w:rsidRPr="002646CB" w:rsidRDefault="002646CB" w:rsidP="00297DF5">
            <w:pPr>
              <w:tabs>
                <w:tab w:val="clear" w:pos="567"/>
              </w:tabs>
              <w:spacing w:before="0" w:line="240" w:lineRule="auto"/>
              <w:rPr>
                <w:rFonts w:eastAsia="Times New Roman" w:cs="Open Sans Light"/>
                <w:color w:val="000000"/>
                <w:sz w:val="16"/>
                <w:szCs w:val="16"/>
                <w:lang w:eastAsia="en-AU"/>
              </w:rPr>
            </w:pPr>
            <w:r w:rsidRPr="002646CB">
              <w:rPr>
                <w:rFonts w:eastAsia="Times New Roman" w:cs="Open Sans Light"/>
                <w:color w:val="000000"/>
                <w:sz w:val="16"/>
                <w:szCs w:val="16"/>
                <w:lang w:eastAsia="en-AU"/>
              </w:rPr>
              <w:t>Investment (</w:t>
            </w:r>
            <w:proofErr w:type="spellStart"/>
            <w:r w:rsidRPr="002646CB">
              <w:rPr>
                <w:rFonts w:eastAsia="Times New Roman" w:cs="Open Sans Light"/>
                <w:color w:val="000000"/>
                <w:sz w:val="16"/>
                <w:szCs w:val="16"/>
                <w:lang w:eastAsia="en-AU"/>
              </w:rPr>
              <w:t>Rawlinsons</w:t>
            </w:r>
            <w:proofErr w:type="spellEnd"/>
            <w:r w:rsidRPr="002646CB">
              <w:rPr>
                <w:rFonts w:eastAsia="Times New Roman" w:cs="Open Sans Light"/>
                <w:color w:val="000000"/>
                <w:sz w:val="16"/>
                <w:szCs w:val="16"/>
                <w:lang w:eastAsia="en-AU"/>
              </w:rPr>
              <w:t>) (c)</w:t>
            </w:r>
          </w:p>
        </w:tc>
        <w:tc>
          <w:tcPr>
            <w:tcW w:w="2038" w:type="dxa"/>
            <w:tcBorders>
              <w:top w:val="nil"/>
              <w:left w:val="nil"/>
              <w:bottom w:val="single" w:sz="4" w:space="0" w:color="ADD6EA"/>
              <w:right w:val="nil"/>
            </w:tcBorders>
            <w:shd w:val="clear" w:color="auto" w:fill="auto"/>
            <w:vAlign w:val="center"/>
            <w:hideMark/>
          </w:tcPr>
          <w:p w14:paraId="0E2125D8" w14:textId="21EFC731"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21</w:t>
            </w:r>
            <w:r w:rsidR="00DB0ADB">
              <w:rPr>
                <w:rFonts w:eastAsia="Times New Roman" w:cs="Open Sans Light"/>
                <w:color w:val="000000"/>
                <w:sz w:val="16"/>
                <w:szCs w:val="16"/>
                <w:lang w:eastAsia="en-AU"/>
              </w:rPr>
              <w:t>.</w:t>
            </w:r>
            <w:r w:rsidRPr="002646CB">
              <w:rPr>
                <w:rFonts w:eastAsia="Times New Roman" w:cs="Open Sans Light"/>
                <w:color w:val="000000"/>
                <w:sz w:val="16"/>
                <w:szCs w:val="16"/>
                <w:lang w:eastAsia="en-AU"/>
              </w:rPr>
              <w:t>6</w:t>
            </w:r>
            <w:r w:rsidR="00DB0ADB">
              <w:rPr>
                <w:rFonts w:eastAsia="Times New Roman" w:cs="Open Sans Light"/>
                <w:color w:val="000000"/>
                <w:sz w:val="16"/>
                <w:szCs w:val="16"/>
                <w:lang w:eastAsia="en-AU"/>
              </w:rPr>
              <w:t>%</w:t>
            </w:r>
          </w:p>
        </w:tc>
        <w:tc>
          <w:tcPr>
            <w:tcW w:w="3120" w:type="dxa"/>
            <w:tcBorders>
              <w:top w:val="nil"/>
              <w:left w:val="nil"/>
              <w:bottom w:val="single" w:sz="4" w:space="0" w:color="ADD6EA"/>
              <w:right w:val="nil"/>
            </w:tcBorders>
            <w:shd w:val="clear" w:color="auto" w:fill="auto"/>
            <w:vAlign w:val="center"/>
            <w:hideMark/>
          </w:tcPr>
          <w:p w14:paraId="28B591DB" w14:textId="77777777" w:rsidR="002646CB" w:rsidRPr="002646CB" w:rsidRDefault="002646CB" w:rsidP="00297DF5">
            <w:pPr>
              <w:tabs>
                <w:tab w:val="clear" w:pos="567"/>
              </w:tabs>
              <w:spacing w:before="0" w:line="240" w:lineRule="auto"/>
              <w:jc w:val="right"/>
              <w:rPr>
                <w:rFonts w:eastAsia="Times New Roman" w:cs="Open Sans Light"/>
                <w:color w:val="000000"/>
                <w:sz w:val="16"/>
                <w:szCs w:val="16"/>
                <w:lang w:eastAsia="en-AU"/>
              </w:rPr>
            </w:pPr>
            <w:r w:rsidRPr="002646CB">
              <w:rPr>
                <w:rFonts w:eastAsia="Times New Roman" w:cs="Open Sans Light"/>
                <w:color w:val="000000"/>
                <w:sz w:val="16"/>
                <w:szCs w:val="16"/>
                <w:lang w:eastAsia="en-AU"/>
              </w:rPr>
              <w:t>-</w:t>
            </w:r>
          </w:p>
        </w:tc>
      </w:tr>
    </w:tbl>
    <w:p w14:paraId="24AB4B76" w14:textId="5B3D73FF" w:rsidR="001C47F2" w:rsidRPr="004E0ABE" w:rsidRDefault="001C47F2" w:rsidP="00961FC9">
      <w:pPr>
        <w:pStyle w:val="CGC2025TableNote"/>
        <w:tabs>
          <w:tab w:val="clear" w:pos="567"/>
          <w:tab w:val="left" w:pos="709"/>
        </w:tabs>
        <w:ind w:left="709" w:hanging="596"/>
      </w:pPr>
      <w:r w:rsidRPr="004E0ABE">
        <w:t xml:space="preserve">Note: </w:t>
      </w:r>
      <w:r w:rsidR="00961FC9">
        <w:tab/>
      </w:r>
      <w:r w:rsidRPr="004E0ABE">
        <w:t xml:space="preserve">(a) Water subsidies </w:t>
      </w:r>
      <w:proofErr w:type="gramStart"/>
      <w:r w:rsidRPr="004E0ABE">
        <w:t>does</w:t>
      </w:r>
      <w:proofErr w:type="gramEnd"/>
      <w:r w:rsidRPr="004E0ABE">
        <w:t xml:space="preserve"> not have a relative cost that includes major cities. Therefore, it is only used to distinguish costs between inner regional, outer regional, </w:t>
      </w:r>
      <w:proofErr w:type="gramStart"/>
      <w:r w:rsidRPr="004E0ABE">
        <w:t>remote</w:t>
      </w:r>
      <w:proofErr w:type="gramEnd"/>
      <w:r w:rsidRPr="004E0ABE">
        <w:t xml:space="preserve"> and very remote locations. </w:t>
      </w:r>
    </w:p>
    <w:p w14:paraId="5A7AA3AA" w14:textId="334F70A4" w:rsidR="001C47F2" w:rsidRPr="004E0ABE" w:rsidRDefault="001C47F2" w:rsidP="00961FC9">
      <w:pPr>
        <w:pStyle w:val="CGC2025TableNote"/>
        <w:tabs>
          <w:tab w:val="clear" w:pos="567"/>
          <w:tab w:val="clear" w:pos="680"/>
          <w:tab w:val="left" w:pos="709"/>
          <w:tab w:val="left" w:pos="993"/>
        </w:tabs>
        <w:ind w:left="709" w:firstLine="0"/>
      </w:pPr>
      <w:r w:rsidRPr="004E0ABE">
        <w:t xml:space="preserve">(b) Electricity subsidies does not have a relative cost outside of remote and very remote areas. Therefore, it is only used to distinguish between remote and very remote locations. </w:t>
      </w:r>
    </w:p>
    <w:p w14:paraId="2DE59AA2" w14:textId="09A11E2C" w:rsidR="001C47F2" w:rsidRPr="004E0ABE" w:rsidRDefault="001C47F2" w:rsidP="00961FC9">
      <w:pPr>
        <w:pStyle w:val="CGC2025TableNote"/>
        <w:tabs>
          <w:tab w:val="clear" w:pos="567"/>
          <w:tab w:val="clear" w:pos="680"/>
          <w:tab w:val="left" w:pos="709"/>
          <w:tab w:val="left" w:pos="993"/>
        </w:tabs>
        <w:ind w:left="709" w:firstLine="0"/>
      </w:pPr>
      <w:r w:rsidRPr="004E0ABE">
        <w:t xml:space="preserve">(c) </w:t>
      </w:r>
      <w:proofErr w:type="spellStart"/>
      <w:r w:rsidRPr="004E0ABE">
        <w:t>Rawlinsons</w:t>
      </w:r>
      <w:proofErr w:type="spellEnd"/>
      <w:r w:rsidRPr="004E0ABE">
        <w:t xml:space="preserve"> gradient contains state-specific gradients. The regional costs assessment uses a national average difference in costs in comparable regions. Therefore, it is proposed to use the average gradient across all states. </w:t>
      </w:r>
    </w:p>
    <w:p w14:paraId="5C6A0594" w14:textId="77777777" w:rsidR="001C47F2" w:rsidRPr="004E0ABE" w:rsidRDefault="001C47F2" w:rsidP="00E87FBD">
      <w:pPr>
        <w:pStyle w:val="CGC2025TableNote"/>
      </w:pPr>
      <w:r w:rsidRPr="004E0ABE">
        <w:t>Source: Commission calculations.</w:t>
      </w:r>
    </w:p>
    <w:p w14:paraId="6F5ECD9B" w14:textId="3918A67C" w:rsidR="00BE0A04" w:rsidRPr="003F62E5" w:rsidRDefault="003F62E5">
      <w:pPr>
        <w:pStyle w:val="CGC2025ParaNumbers"/>
      </w:pPr>
      <w:r w:rsidRPr="003F62E5">
        <w:t>The slope of the regional cost gradients of the services proposed for the general gradient calculations differ considerably (</w:t>
      </w:r>
      <w:r w:rsidR="00ED78A6">
        <w:t>Figur</w:t>
      </w:r>
      <w:r w:rsidR="007C6828">
        <w:t>e</w:t>
      </w:r>
      <w:r w:rsidR="00ED78A6">
        <w:t xml:space="preserve"> </w:t>
      </w:r>
      <w:r w:rsidR="007C6828">
        <w:t>1</w:t>
      </w:r>
      <w:r w:rsidR="00ED78A6">
        <w:t xml:space="preserve"> and Figur</w:t>
      </w:r>
      <w:r w:rsidR="007C6828">
        <w:t>e 2</w:t>
      </w:r>
      <w:r w:rsidRPr="003F62E5">
        <w:t>). The Commission proposes the general gradients be calculated as the weighted average of these gradients, with a 25% discount. This average is used to approximate the relative cost of service provision where no other data exist.</w:t>
      </w:r>
    </w:p>
    <w:p w14:paraId="2A7BF1B0" w14:textId="77777777" w:rsidR="00B753C2" w:rsidRDefault="00B753C2">
      <w:pPr>
        <w:tabs>
          <w:tab w:val="clear" w:pos="567"/>
        </w:tabs>
        <w:spacing w:before="0" w:after="200" w:line="276" w:lineRule="auto"/>
        <w:rPr>
          <w:rFonts w:ascii="Work Sans" w:hAnsi="Work Sans"/>
          <w:b/>
        </w:rPr>
      </w:pPr>
      <w:bookmarkStart w:id="6" w:name="_Ref167434622"/>
      <w:r>
        <w:br w:type="page"/>
      </w:r>
    </w:p>
    <w:p w14:paraId="3110DD48" w14:textId="55EFEE42" w:rsidR="00405244" w:rsidRDefault="00405244" w:rsidP="00ED34F5">
      <w:pPr>
        <w:pStyle w:val="CGC2025Caption"/>
        <w:ind w:left="1134" w:hanging="1134"/>
      </w:pPr>
      <w:bookmarkStart w:id="7" w:name="_Ref167800326"/>
      <w:r w:rsidRPr="00E36E92">
        <w:lastRenderedPageBreak/>
        <w:t xml:space="preserve">Figure </w:t>
      </w:r>
      <w:fldSimple w:instr=" SEQ Figure \* ARABIC ">
        <w:r w:rsidR="00DA0946">
          <w:rPr>
            <w:noProof/>
          </w:rPr>
          <w:t>1</w:t>
        </w:r>
      </w:fldSimple>
      <w:bookmarkEnd w:id="6"/>
      <w:bookmarkEnd w:id="7"/>
      <w:r w:rsidRPr="00E36E92">
        <w:tab/>
        <w:t xml:space="preserve">Regional costs gradients of service components used in the regional </w:t>
      </w:r>
      <w:proofErr w:type="gramStart"/>
      <w:r w:rsidRPr="00E36E92">
        <w:t>costs</w:t>
      </w:r>
      <w:proofErr w:type="gramEnd"/>
      <w:r w:rsidRPr="00E36E92">
        <w:t xml:space="preserve"> general gradient, 2022</w:t>
      </w:r>
      <w:r w:rsidR="00DC5650">
        <w:t>–</w:t>
      </w:r>
      <w:r w:rsidRPr="00E36E92">
        <w:t>23</w:t>
      </w:r>
    </w:p>
    <w:p w14:paraId="0706058D" w14:textId="6951051C" w:rsidR="00D4319E" w:rsidRPr="00E36E92" w:rsidRDefault="008E1863" w:rsidP="00847D82">
      <w:pPr>
        <w:pStyle w:val="CGC2025Caption"/>
        <w:ind w:left="1440" w:hanging="1440"/>
      </w:pPr>
      <w:r>
        <w:rPr>
          <w:noProof/>
        </w:rPr>
        <w:drawing>
          <wp:inline distT="0" distB="0" distL="0" distR="0" wp14:anchorId="643DE0FB" wp14:editId="71F4C09E">
            <wp:extent cx="5652000" cy="3534064"/>
            <wp:effectExtent l="0" t="0" r="6350" b="9525"/>
            <wp:docPr id="3" name="Chart 3">
              <a:extLst xmlns:a="http://schemas.openxmlformats.org/drawingml/2006/main">
                <a:ext uri="{FF2B5EF4-FFF2-40B4-BE49-F238E27FC236}">
                  <a16:creationId xmlns:a16="http://schemas.microsoft.com/office/drawing/2014/main" id="{9FC264C2-BB09-658A-5C7B-9F574E8D33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D8CF84" w14:textId="4C556B10" w:rsidR="00E520BD" w:rsidRPr="00252715" w:rsidRDefault="00E520BD" w:rsidP="001F3DDF">
      <w:pPr>
        <w:pStyle w:val="CGC2025TableNote"/>
        <w:tabs>
          <w:tab w:val="clear" w:pos="567"/>
          <w:tab w:val="left" w:pos="709"/>
        </w:tabs>
        <w:ind w:left="680" w:hanging="567"/>
      </w:pPr>
      <w:r w:rsidRPr="00252715">
        <w:t xml:space="preserve">Note: </w:t>
      </w:r>
      <w:r w:rsidR="00853AB3">
        <w:t xml:space="preserve"> </w:t>
      </w:r>
      <w:r w:rsidR="001F3DDF">
        <w:tab/>
      </w:r>
      <w:r w:rsidRPr="00252715">
        <w:t xml:space="preserve">Water subsidies does not have a relative cost that includes major cities and therefore cannot be shown in this figure. </w:t>
      </w:r>
      <w:r w:rsidR="005459FB">
        <w:t xml:space="preserve">   </w:t>
      </w:r>
      <w:r w:rsidR="00C35F0A">
        <w:t xml:space="preserve">                                                                                    </w:t>
      </w:r>
      <w:r w:rsidR="005459FB">
        <w:t xml:space="preserve">         </w:t>
      </w:r>
      <w:r w:rsidR="00746039">
        <w:t xml:space="preserve">  </w:t>
      </w:r>
      <w:r w:rsidRPr="00252715">
        <w:t>These data show outer regional areas to be 1</w:t>
      </w:r>
      <w:r w:rsidR="00BA7075">
        <w:t>17</w:t>
      </w:r>
      <w:r w:rsidRPr="00252715">
        <w:t>% more expensive than inner regional areas. These data also show remote and very remote areas to be 3</w:t>
      </w:r>
      <w:r w:rsidR="005C276C">
        <w:t>45</w:t>
      </w:r>
      <w:r w:rsidRPr="00252715">
        <w:t>% more expensive than inner regional areas.</w:t>
      </w:r>
    </w:p>
    <w:p w14:paraId="429DC369" w14:textId="6546E599" w:rsidR="00E520BD" w:rsidRPr="00252715" w:rsidRDefault="00E520BD" w:rsidP="001F3DDF">
      <w:pPr>
        <w:pStyle w:val="CGC2025TableNote"/>
        <w:ind w:left="680" w:hanging="454"/>
      </w:pPr>
      <w:r w:rsidRPr="00252715">
        <w:tab/>
      </w:r>
      <w:r w:rsidR="001F3DDF">
        <w:tab/>
      </w:r>
      <w:r w:rsidRPr="00252715">
        <w:t xml:space="preserve">Electricity subsidies does not have a relative cost outside of remote and very remote areas and therefore cannot be shown in this figure. These data show very remote areas to be </w:t>
      </w:r>
      <w:r w:rsidR="005C276C">
        <w:t>20</w:t>
      </w:r>
      <w:r w:rsidR="00C75D23">
        <w:t>3</w:t>
      </w:r>
      <w:r w:rsidRPr="00252715">
        <w:t>% more expensive than remote areas.</w:t>
      </w:r>
    </w:p>
    <w:p w14:paraId="395E5F6C" w14:textId="77777777" w:rsidR="00E520BD" w:rsidRPr="00252715" w:rsidRDefault="00E520BD" w:rsidP="00E87FBD">
      <w:pPr>
        <w:pStyle w:val="CGC2025TableNote"/>
      </w:pPr>
      <w:r w:rsidRPr="00252715">
        <w:t>Source: Commission calculations.</w:t>
      </w:r>
    </w:p>
    <w:p w14:paraId="755D507F" w14:textId="77777777" w:rsidR="00583FC9" w:rsidRDefault="00583FC9">
      <w:pPr>
        <w:tabs>
          <w:tab w:val="clear" w:pos="567"/>
        </w:tabs>
        <w:spacing w:before="0" w:after="200" w:line="276" w:lineRule="auto"/>
        <w:rPr>
          <w:rFonts w:ascii="Work Sans" w:hAnsi="Work Sans"/>
          <w:b/>
        </w:rPr>
      </w:pPr>
      <w:bookmarkStart w:id="8" w:name="_Ref167434616"/>
      <w:r>
        <w:br w:type="page"/>
      </w:r>
    </w:p>
    <w:p w14:paraId="0C34BB7D" w14:textId="524D2A51" w:rsidR="00261D6A" w:rsidRDefault="00261D6A" w:rsidP="00EE0717">
      <w:pPr>
        <w:pStyle w:val="CGC2025Caption"/>
        <w:keepNext/>
        <w:spacing w:before="120" w:after="60"/>
        <w:ind w:left="1134" w:hanging="1134"/>
      </w:pPr>
      <w:r w:rsidRPr="00012805">
        <w:lastRenderedPageBreak/>
        <w:t xml:space="preserve">Figure </w:t>
      </w:r>
      <w:fldSimple w:instr=" SEQ Figure \* ARABIC ">
        <w:r w:rsidR="00DA0946">
          <w:rPr>
            <w:noProof/>
          </w:rPr>
          <w:t>2</w:t>
        </w:r>
      </w:fldSimple>
      <w:bookmarkEnd w:id="8"/>
      <w:r w:rsidRPr="00012805">
        <w:tab/>
        <w:t>Regional and service delivery scale costs gradients of service components used in the regional and service delivery scale costs general gradient, 2022</w:t>
      </w:r>
      <w:r w:rsidR="00233918">
        <w:t>–</w:t>
      </w:r>
      <w:proofErr w:type="gramStart"/>
      <w:r w:rsidRPr="00012805">
        <w:t>23</w:t>
      </w:r>
      <w:proofErr w:type="gramEnd"/>
    </w:p>
    <w:p w14:paraId="2700F30D" w14:textId="01E80FAB" w:rsidR="00A06AB0" w:rsidRPr="00012805" w:rsidRDefault="004D7F18" w:rsidP="00847D82">
      <w:pPr>
        <w:pStyle w:val="CGC2025Caption"/>
        <w:ind w:left="1440" w:hanging="1440"/>
      </w:pPr>
      <w:r>
        <w:rPr>
          <w:noProof/>
        </w:rPr>
        <w:drawing>
          <wp:inline distT="0" distB="0" distL="0" distR="0" wp14:anchorId="3EADD762" wp14:editId="2E2C904A">
            <wp:extent cx="5615260" cy="3534064"/>
            <wp:effectExtent l="0" t="0" r="5080" b="9525"/>
            <wp:docPr id="4" name="Chart 4">
              <a:extLst xmlns:a="http://schemas.openxmlformats.org/drawingml/2006/main">
                <a:ext uri="{FF2B5EF4-FFF2-40B4-BE49-F238E27FC236}">
                  <a16:creationId xmlns:a16="http://schemas.microsoft.com/office/drawing/2014/main" id="{9C93983F-498E-1419-1B22-1512CBEA7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3FD634" w14:textId="77777777" w:rsidR="00032E31" w:rsidRPr="00804148" w:rsidRDefault="00032E31" w:rsidP="00E87FBD">
      <w:pPr>
        <w:pStyle w:val="CGC2025TableNote"/>
      </w:pPr>
      <w:r w:rsidRPr="00804148">
        <w:t>Source: Commission calculations.</w:t>
      </w:r>
    </w:p>
    <w:p w14:paraId="600956F7" w14:textId="4DDAC254" w:rsidR="00032E31" w:rsidRPr="00804148" w:rsidRDefault="00ED78A6" w:rsidP="00583FC9">
      <w:pPr>
        <w:pStyle w:val="CGC2025ParaNumbers"/>
        <w:spacing w:before="40"/>
      </w:pPr>
      <w:r>
        <w:t>Figur</w:t>
      </w:r>
      <w:r w:rsidR="007C6828">
        <w:t>e 3</w:t>
      </w:r>
      <w:r w:rsidR="00032E31" w:rsidRPr="00804148">
        <w:t xml:space="preserve"> outlines the difference between the proposed regional costs gradient and the current gradient. </w:t>
      </w:r>
      <w:r w:rsidR="005C778A">
        <w:t xml:space="preserve">Figure 4 </w:t>
      </w:r>
      <w:r w:rsidR="00032E31" w:rsidRPr="00804148">
        <w:t>outlines the difference between the proposed regional and service delivery scale costs combined gradient and the current gradient.</w:t>
      </w:r>
    </w:p>
    <w:p w14:paraId="615A25E8" w14:textId="5A686394" w:rsidR="00032E31" w:rsidRPr="00804148" w:rsidRDefault="00032E31" w:rsidP="00EE0717">
      <w:pPr>
        <w:pStyle w:val="CGC2025Caption"/>
        <w:keepNext/>
        <w:tabs>
          <w:tab w:val="left" w:pos="1134"/>
        </w:tabs>
        <w:spacing w:before="120"/>
      </w:pPr>
      <w:bookmarkStart w:id="9" w:name="_Ref167434636"/>
      <w:r w:rsidRPr="00804148">
        <w:t xml:space="preserve">Figure </w:t>
      </w:r>
      <w:fldSimple w:instr=" SEQ Figure \* ARABIC ">
        <w:r w:rsidR="00DA0946">
          <w:rPr>
            <w:noProof/>
          </w:rPr>
          <w:t>3</w:t>
        </w:r>
      </w:fldSimple>
      <w:bookmarkEnd w:id="9"/>
      <w:r w:rsidRPr="00804148">
        <w:tab/>
        <w:t>Regional costs general gradients, 2022</w:t>
      </w:r>
      <w:r w:rsidR="00233918">
        <w:t>–</w:t>
      </w:r>
      <w:r w:rsidRPr="00804148">
        <w:t>23</w:t>
      </w:r>
    </w:p>
    <w:p w14:paraId="3C33B0BC" w14:textId="78141870" w:rsidR="00032E31" w:rsidRDefault="00084EAD" w:rsidP="00BE0A04">
      <w:pPr>
        <w:pStyle w:val="CGC2025ParaNumbers"/>
        <w:numPr>
          <w:ilvl w:val="0"/>
          <w:numId w:val="0"/>
        </w:numPr>
      </w:pPr>
      <w:r>
        <w:rPr>
          <w:noProof/>
        </w:rPr>
        <w:drawing>
          <wp:inline distT="0" distB="0" distL="0" distR="0" wp14:anchorId="35FA73DA" wp14:editId="336ADCC5">
            <wp:extent cx="5652000" cy="3564000"/>
            <wp:effectExtent l="0" t="0" r="6350" b="17780"/>
            <wp:docPr id="1" name="Chart 1">
              <a:extLst xmlns:a="http://schemas.openxmlformats.org/drawingml/2006/main">
                <a:ext uri="{FF2B5EF4-FFF2-40B4-BE49-F238E27FC236}">
                  <a16:creationId xmlns:a16="http://schemas.microsoft.com/office/drawing/2014/main" id="{572227EE-A509-841D-4C64-F6177F3D6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F0B592" w14:textId="0E44299E" w:rsidR="003D4B8F" w:rsidRPr="003D4B8F" w:rsidRDefault="003567F0" w:rsidP="00E87FBD">
      <w:pPr>
        <w:pStyle w:val="CGC2025TableNote"/>
      </w:pPr>
      <w:r w:rsidRPr="0079259B">
        <w:t>Source: Commission calculations.</w:t>
      </w:r>
    </w:p>
    <w:p w14:paraId="4E87A132" w14:textId="4D1D85A2" w:rsidR="00032E31" w:rsidRDefault="003D4B8F" w:rsidP="00731E52">
      <w:pPr>
        <w:pStyle w:val="CGC2025Caption"/>
        <w:keepNext/>
        <w:ind w:left="1134" w:hanging="1134"/>
      </w:pPr>
      <w:bookmarkStart w:id="10" w:name="_Ref167434648"/>
      <w:bookmarkStart w:id="11" w:name="_Ref167436141"/>
      <w:r w:rsidRPr="00C82D7E">
        <w:lastRenderedPageBreak/>
        <w:t xml:space="preserve">Figure </w:t>
      </w:r>
      <w:fldSimple w:instr=" SEQ Figure \* ARABIC ">
        <w:r w:rsidR="00DA0946">
          <w:rPr>
            <w:noProof/>
          </w:rPr>
          <w:t>4</w:t>
        </w:r>
      </w:fldSimple>
      <w:bookmarkEnd w:id="10"/>
      <w:r w:rsidRPr="00C82D7E">
        <w:tab/>
        <w:t>Regional and service delivery scale costs combined general gradients, 2022</w:t>
      </w:r>
      <w:r w:rsidR="00233918">
        <w:t>–</w:t>
      </w:r>
      <w:proofErr w:type="gramStart"/>
      <w:r w:rsidRPr="00C82D7E">
        <w:t>23</w:t>
      </w:r>
      <w:bookmarkEnd w:id="11"/>
      <w:proofErr w:type="gramEnd"/>
    </w:p>
    <w:p w14:paraId="7D87D059" w14:textId="7F3C6A7D" w:rsidR="003D4B8F" w:rsidRDefault="00F901C9" w:rsidP="00BE0A04">
      <w:pPr>
        <w:pStyle w:val="CGC2025ParaNumbers"/>
        <w:numPr>
          <w:ilvl w:val="0"/>
          <w:numId w:val="0"/>
        </w:numPr>
      </w:pPr>
      <w:r>
        <w:rPr>
          <w:noProof/>
        </w:rPr>
        <w:drawing>
          <wp:inline distT="0" distB="0" distL="0" distR="0" wp14:anchorId="4BCE3F09" wp14:editId="19232B27">
            <wp:extent cx="5652000" cy="3564000"/>
            <wp:effectExtent l="0" t="0" r="6350" b="17780"/>
            <wp:docPr id="2" name="Chart 2">
              <a:extLst xmlns:a="http://schemas.openxmlformats.org/drawingml/2006/main">
                <a:ext uri="{FF2B5EF4-FFF2-40B4-BE49-F238E27FC236}">
                  <a16:creationId xmlns:a16="http://schemas.microsoft.com/office/drawing/2014/main" id="{C373C02A-8EF9-1F2E-F655-1E2C7A4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BDEB5C" w14:textId="77777777" w:rsidR="00CB0C99" w:rsidRPr="00E5054C" w:rsidRDefault="00CB0C99" w:rsidP="00E87FBD">
      <w:pPr>
        <w:pStyle w:val="CGC2025TableNote"/>
      </w:pPr>
      <w:r w:rsidRPr="00E5054C">
        <w:t>Source: Commission calculations.</w:t>
      </w:r>
    </w:p>
    <w:p w14:paraId="3BFAF7C6" w14:textId="77777777" w:rsidR="00CB0C99" w:rsidRPr="00EC1909" w:rsidDel="00EF4721" w:rsidRDefault="00CB0C99" w:rsidP="00CB0C99">
      <w:pPr>
        <w:pStyle w:val="CGC2025ParaNumbers"/>
      </w:pPr>
      <w:r w:rsidRPr="00EC1909" w:rsidDel="00EF4721">
        <w:t xml:space="preserve">New South Wales provided evidence that the regional cost gradient for child protection in New South Wales is considerably lower than the national general gradient. It stated that the combined general gradient may be overstating costs in the child protection assessment. However, without comparable data for other states, the Commission cannot determine whether the general gradient misrepresents the remoteness costs faced by all states on average. </w:t>
      </w:r>
    </w:p>
    <w:p w14:paraId="2600281F" w14:textId="6508CEE2" w:rsidR="00CB0C99" w:rsidRPr="00E5054C" w:rsidRDefault="00CB0C99" w:rsidP="00CB0C99">
      <w:pPr>
        <w:pStyle w:val="CGC2025ParaNumbers"/>
      </w:pPr>
      <w:r w:rsidRPr="00EC1909">
        <w:t>The Commission</w:t>
      </w:r>
      <w:r w:rsidRPr="00EC1909" w:rsidDel="004E786A">
        <w:t xml:space="preserve"> </w:t>
      </w:r>
      <w:r w:rsidRPr="00EC1909">
        <w:t>agrees with Victoria that service delivery</w:t>
      </w:r>
      <w:r w:rsidRPr="00E5054C">
        <w:t xml:space="preserve"> options and models change over time in response to new technology and changes in service standards. This means that the gradient for regional costs and service delivery scale can change over time and should be regularly recalculated. The health and </w:t>
      </w:r>
      <w:proofErr w:type="gramStart"/>
      <w:r w:rsidRPr="00E5054C">
        <w:t>schools</w:t>
      </w:r>
      <w:proofErr w:type="gramEnd"/>
      <w:r w:rsidRPr="00E5054C">
        <w:t xml:space="preserve"> data that are used in the general gradient are updated annually. The other data proposed to be incorporated into the general gradient such as post-secondary</w:t>
      </w:r>
      <w:r w:rsidR="002D1D33">
        <w:t xml:space="preserve"> education</w:t>
      </w:r>
      <w:r w:rsidRPr="00E5054C">
        <w:t>, courts and prisons data are updated 5-yearly</w:t>
      </w:r>
      <w:r w:rsidR="00BE3C8B">
        <w:t xml:space="preserve"> or </w:t>
      </w:r>
      <w:r w:rsidR="00981B1A">
        <w:t>as part of each review</w:t>
      </w:r>
      <w:r w:rsidRPr="00E5054C">
        <w:t>. Where annual data are available, the Commission proposes to continue updating the general gradient annually.</w:t>
      </w:r>
    </w:p>
    <w:p w14:paraId="6F0FE1C9" w14:textId="3A6B3ABA" w:rsidR="00CB0C99" w:rsidRPr="00E5054C" w:rsidRDefault="00CB0C99" w:rsidP="00E87FBD">
      <w:pPr>
        <w:pStyle w:val="Heading5"/>
      </w:pPr>
      <w:r w:rsidRPr="00E5054C">
        <w:t xml:space="preserve">Discounting </w:t>
      </w:r>
      <w:r w:rsidR="00365E92">
        <w:t>the general gradient</w:t>
      </w:r>
    </w:p>
    <w:p w14:paraId="4F55C285" w14:textId="77777777" w:rsidR="00CB0C99" w:rsidRPr="00E5054C" w:rsidRDefault="00CB0C99" w:rsidP="00E87FBD">
      <w:pPr>
        <w:pStyle w:val="CGC2025ParaNumbers"/>
      </w:pPr>
      <w:r w:rsidRPr="00E5054C">
        <w:t xml:space="preserve">Currently, the Commission applies a 25% discount to the general gradient and does not discount the more reliable gradients that are component or </w:t>
      </w:r>
      <w:proofErr w:type="gramStart"/>
      <w:r w:rsidRPr="00E5054C">
        <w:t>category-specific</w:t>
      </w:r>
      <w:proofErr w:type="gramEnd"/>
      <w:r w:rsidRPr="00E5054C">
        <w:t xml:space="preserve">. The purpose of the discount to the general gradient is to reflect the uncertainty around the strength of the gradient when it is applied to areas where a gradient cannot be directly measured. </w:t>
      </w:r>
    </w:p>
    <w:p w14:paraId="281454BD" w14:textId="6A7510DF" w:rsidR="00CB0C99" w:rsidRPr="00E5054C" w:rsidRDefault="00CB0C99" w:rsidP="00E87FBD">
      <w:pPr>
        <w:pStyle w:val="CGC2025ParaNumbers"/>
      </w:pPr>
      <w:r w:rsidRPr="00E5054C">
        <w:lastRenderedPageBreak/>
        <w:t xml:space="preserve">The Commission applies the general gradient to services where there is a strong conceptual case to do so. It recognises these services are delivered in unique ways and face their own specific regional </w:t>
      </w:r>
      <w:proofErr w:type="gramStart"/>
      <w:r w:rsidRPr="00E5054C">
        <w:t>costs,</w:t>
      </w:r>
      <w:proofErr w:type="gramEnd"/>
      <w:r w:rsidRPr="00E5054C">
        <w:t xml:space="preserve"> </w:t>
      </w:r>
      <w:r w:rsidR="00073C0B">
        <w:t>however</w:t>
      </w:r>
      <w:r w:rsidR="00CE0B9C">
        <w:t>,</w:t>
      </w:r>
      <w:r w:rsidR="00073C0B">
        <w:t xml:space="preserve"> it</w:t>
      </w:r>
      <w:r w:rsidR="00073C0B" w:rsidRPr="00E5054C">
        <w:t xml:space="preserve"> </w:t>
      </w:r>
      <w:r w:rsidRPr="00E5054C">
        <w:t xml:space="preserve">is unable to determine a reliable basis for different levels of discount for different services.  </w:t>
      </w:r>
    </w:p>
    <w:p w14:paraId="2F03AA22" w14:textId="3FC56FF0" w:rsidR="00CB0C99" w:rsidRPr="00E5054C" w:rsidRDefault="00CB0C99" w:rsidP="00E87FBD">
      <w:pPr>
        <w:pStyle w:val="CGC2025ParaNumbers"/>
      </w:pPr>
      <w:r w:rsidRPr="00E5054C">
        <w:t xml:space="preserve">The addition of emergency departments, non-admitted patients, water subsidies, electricity subsidies, prisons, criminal courts, post-secondary </w:t>
      </w:r>
      <w:r w:rsidR="002D1D33">
        <w:t xml:space="preserve">education </w:t>
      </w:r>
      <w:r w:rsidRPr="00E5054C">
        <w:t xml:space="preserve">and </w:t>
      </w:r>
      <w:proofErr w:type="spellStart"/>
      <w:r w:rsidRPr="00E5054C">
        <w:t>Rawlinsons</w:t>
      </w:r>
      <w:proofErr w:type="spellEnd"/>
      <w:r w:rsidRPr="00E5054C">
        <w:t xml:space="preserve"> data to the general gradient makes the gradient more representative of the range of state services. However, the Commission does not consider that the level of uncertainty associated with the application of the general gradient to components where data do not exist has changed.</w:t>
      </w:r>
      <w:r w:rsidR="006D476D" w:rsidRPr="00E5054C">
        <w:t xml:space="preserve"> </w:t>
      </w:r>
      <w:r w:rsidRPr="00E5054C">
        <w:t xml:space="preserve">Therefore, the Commission proposes retaining the current </w:t>
      </w:r>
      <w:r w:rsidR="00073C0B">
        <w:t xml:space="preserve">25% </w:t>
      </w:r>
      <w:r w:rsidRPr="00E5054C">
        <w:t xml:space="preserve">discount. </w:t>
      </w:r>
    </w:p>
    <w:p w14:paraId="3AA29B2A" w14:textId="77777777" w:rsidR="00CB0C99" w:rsidRPr="00E5054C" w:rsidRDefault="00CB0C99" w:rsidP="00D10D3B">
      <w:pPr>
        <w:pStyle w:val="Heading4"/>
      </w:pPr>
      <w:r w:rsidRPr="00E5054C">
        <w:t>Commission response: Category-specific measure of regional costs and service delivery costs</w:t>
      </w:r>
    </w:p>
    <w:p w14:paraId="0B2778AC" w14:textId="77777777" w:rsidR="00CB0C99" w:rsidRPr="00E5054C" w:rsidRDefault="00CB0C99" w:rsidP="00D10D3B">
      <w:pPr>
        <w:pStyle w:val="CGC2025ParaNumbers"/>
      </w:pPr>
      <w:r w:rsidRPr="00E5054C">
        <w:t>There is a conceptual case for a regional costs adjustment where there is a higher cost in maintaining or supplying a service in more remote areas. There is a conceptual case for a service delivery scale costs adjustment if fewer people will be serviced per staff member in smaller centres. This can occur because:</w:t>
      </w:r>
    </w:p>
    <w:p w14:paraId="044D0CDE" w14:textId="6C22C5F6" w:rsidR="00CB0C99" w:rsidRPr="00E5054C" w:rsidRDefault="00CB0C99" w:rsidP="00020E78">
      <w:pPr>
        <w:pStyle w:val="CGC2025Bullet1"/>
      </w:pPr>
      <w:r w:rsidRPr="00E5054C">
        <w:t xml:space="preserve">the indivisibility of labour means a small user-population requires a high staff to client ratio, for example with schools and health </w:t>
      </w:r>
      <w:proofErr w:type="gramStart"/>
      <w:r w:rsidR="00B34E42">
        <w:t>services</w:t>
      </w:r>
      <w:proofErr w:type="gramEnd"/>
      <w:r w:rsidRPr="00E5054C">
        <w:t xml:space="preserve"> </w:t>
      </w:r>
    </w:p>
    <w:p w14:paraId="1AF364D6" w14:textId="77777777" w:rsidR="00CB0C99" w:rsidRPr="00E5054C" w:rsidRDefault="00CB0C99" w:rsidP="00020E78">
      <w:pPr>
        <w:pStyle w:val="CGC2025Bullet1"/>
      </w:pPr>
      <w:r w:rsidRPr="00E5054C">
        <w:t>there can be high travel times between visiting clients in sparsely populated areas, for example in child welfare.</w:t>
      </w:r>
    </w:p>
    <w:p w14:paraId="06702476" w14:textId="3730B744" w:rsidR="00CB0C99" w:rsidRPr="00E5054C" w:rsidRDefault="00ED78A6" w:rsidP="00D10D3B">
      <w:pPr>
        <w:pStyle w:val="CGC2025ParaNumbers"/>
      </w:pPr>
      <w:r>
        <w:t>Table 2</w:t>
      </w:r>
      <w:r w:rsidR="00CB0C99" w:rsidRPr="00E5054C">
        <w:t xml:space="preserve"> contains a summary of the assessments of regional costs and service delivery scale across all expense components. </w:t>
      </w:r>
    </w:p>
    <w:p w14:paraId="1733779F" w14:textId="77777777" w:rsidR="00CB0C99" w:rsidRPr="00EC1909" w:rsidRDefault="00CB0C99" w:rsidP="00D10D3B">
      <w:pPr>
        <w:pStyle w:val="CGC2025ParaNumbers"/>
      </w:pPr>
      <w:r w:rsidRPr="00EC1909">
        <w:t xml:space="preserve">The Commission investigated whether more service-specific measures of remoteness impacts can be obtained for each component for the 2025 Review. The Commission requested state data to underpin a component-specific regional costs gradient in social housing, but only 2 states were able to provide data on social housing costs by region. Using these data would not allow for a robust assessment of regional cost impacts across all states. Therefore, the Commission proposes to retain the general gradient in the housing assessment. </w:t>
      </w:r>
    </w:p>
    <w:p w14:paraId="2C80BD72" w14:textId="4F5F9371" w:rsidR="00CB0C99" w:rsidRPr="00E5054C" w:rsidRDefault="00CB0C99" w:rsidP="00D10D3B">
      <w:pPr>
        <w:pStyle w:val="CGC2025ParaNumbers"/>
      </w:pPr>
      <w:r w:rsidRPr="00E5054C">
        <w:t>In the health assessment, data from the Independent Hospital and Aged Care Pricing Authority have matured</w:t>
      </w:r>
      <w:r w:rsidR="00912DB0">
        <w:t>.</w:t>
      </w:r>
      <w:r w:rsidR="00D106E6">
        <w:rPr>
          <w:rStyle w:val="FootnoteReference"/>
        </w:rPr>
        <w:footnoteReference w:id="2"/>
      </w:r>
      <w:r w:rsidRPr="00E5054C">
        <w:t xml:space="preserve"> As a result, since the 2020 Review a component-specific gradient has become possible for non-admitted patients. This component-specific measure became available through data developments applied in the 2022 Update. The capacity to calculate component-specific gradients for admitted patients, emergency departments and non-admitted patients has increased the robustness of the measures of remoteness costs within the health assessment. </w:t>
      </w:r>
    </w:p>
    <w:p w14:paraId="61F0781B" w14:textId="77777777" w:rsidR="00CB0C99" w:rsidRPr="00E5054C" w:rsidRDefault="00CB0C99" w:rsidP="00AA360F">
      <w:pPr>
        <w:pStyle w:val="Heading4"/>
      </w:pPr>
      <w:r w:rsidRPr="00E5054C">
        <w:lastRenderedPageBreak/>
        <w:t>Commission draft position</w:t>
      </w:r>
    </w:p>
    <w:p w14:paraId="613C9EC4" w14:textId="77777777" w:rsidR="00CB0C99" w:rsidRPr="00E5054C" w:rsidRDefault="00CB0C99" w:rsidP="00AA360F">
      <w:pPr>
        <w:pStyle w:val="CGC2025ParaNumbers"/>
      </w:pPr>
      <w:bookmarkStart w:id="12" w:name="_Hlk143180807"/>
      <w:bookmarkStart w:id="13" w:name="_Hlk134711004"/>
      <w:bookmarkStart w:id="14" w:name="_Hlk134711005"/>
      <w:bookmarkStart w:id="15" w:name="_Hlk135050051"/>
      <w:bookmarkStart w:id="16" w:name="_Hlk135050052"/>
      <w:r w:rsidRPr="00E5054C">
        <w:t>The Commission proposes to continue its current approach to estimating regional costs and delivery scale effects. This includes:</w:t>
      </w:r>
    </w:p>
    <w:p w14:paraId="6DA3A1D0" w14:textId="77777777" w:rsidR="00CB0C99" w:rsidRPr="00E5054C" w:rsidRDefault="00CB0C99" w:rsidP="00EC1909">
      <w:pPr>
        <w:pStyle w:val="CGC2025Bullet1"/>
      </w:pPr>
      <w:r w:rsidRPr="00E5054C">
        <w:t>using component-specific measures of remoteness costs and/or service delivery scale where the availability of reliable data makes that possible</w:t>
      </w:r>
    </w:p>
    <w:p w14:paraId="398395E2" w14:textId="77777777" w:rsidR="00CB0C99" w:rsidRPr="00E5054C" w:rsidRDefault="00CB0C99" w:rsidP="00EC1909">
      <w:pPr>
        <w:pStyle w:val="CGC2025Bullet1"/>
      </w:pPr>
      <w:r w:rsidRPr="00E5054C">
        <w:t xml:space="preserve">using category-specific measures of remoteness and/or service delivery scale costs where component-specific measures are not </w:t>
      </w:r>
      <w:proofErr w:type="gramStart"/>
      <w:r w:rsidRPr="00E5054C">
        <w:t>possible</w:t>
      </w:r>
      <w:proofErr w:type="gramEnd"/>
    </w:p>
    <w:p w14:paraId="0819D98B" w14:textId="77777777" w:rsidR="00CB0C99" w:rsidRPr="00E5054C" w:rsidRDefault="00CB0C99" w:rsidP="00EC1909">
      <w:pPr>
        <w:pStyle w:val="CGC2025Bullet1"/>
      </w:pPr>
      <w:r w:rsidRPr="00E5054C">
        <w:t>using a general gradient where a service-specific gradient would not be appropriate or cannot be measured, but there is a strong conceptual case for remoteness costs and/or service delivery scale.</w:t>
      </w:r>
    </w:p>
    <w:p w14:paraId="62BB6630" w14:textId="06F50620" w:rsidR="00CB0C99" w:rsidRPr="00E5054C" w:rsidRDefault="00CB0C99" w:rsidP="00AA360F">
      <w:pPr>
        <w:pStyle w:val="CGC2025ParaNumbers"/>
      </w:pPr>
      <w:r w:rsidRPr="00E5054C">
        <w:t xml:space="preserve">The Commission proposes improving the representation of services included in the general gradient calculation (currently composed of schools and admitted </w:t>
      </w:r>
      <w:proofErr w:type="gramStart"/>
      <w:r w:rsidRPr="00E5054C">
        <w:t>patients</w:t>
      </w:r>
      <w:proofErr w:type="gramEnd"/>
      <w:r w:rsidRPr="00E5054C">
        <w:t xml:space="preserve"> data). The Commission proposes using a weighted average of schools, admitted patients, emergency departments, non-admitted patients, water subsidies, electricity subsidies, prisons, criminal courts, post-secondary</w:t>
      </w:r>
      <w:r w:rsidR="002D1D33">
        <w:t xml:space="preserve"> education</w:t>
      </w:r>
      <w:r w:rsidRPr="00E5054C">
        <w:t xml:space="preserve"> and </w:t>
      </w:r>
      <w:proofErr w:type="spellStart"/>
      <w:r w:rsidRPr="00E5054C">
        <w:t>Rawlinsons</w:t>
      </w:r>
      <w:proofErr w:type="spellEnd"/>
      <w:r w:rsidRPr="00E5054C">
        <w:t xml:space="preserve"> construction cost data to calculate the gradient. </w:t>
      </w:r>
    </w:p>
    <w:p w14:paraId="4A4C1E39" w14:textId="77777777" w:rsidR="00CB0C99" w:rsidRPr="00E5054C" w:rsidRDefault="00CB0C99" w:rsidP="00AA360F">
      <w:pPr>
        <w:pStyle w:val="CGC2025ParaNumbers"/>
      </w:pPr>
      <w:r w:rsidRPr="00E5054C">
        <w:t>The Commission proposes to continue implementing the 25% discount to the general gradient.</w:t>
      </w:r>
    </w:p>
    <w:p w14:paraId="56CC7A5D" w14:textId="6528C5A0" w:rsidR="00D03E1D" w:rsidRPr="00E5054C" w:rsidRDefault="00CB0C99" w:rsidP="000143AA">
      <w:pPr>
        <w:pStyle w:val="CGC2025ParaNumbers"/>
      </w:pPr>
      <w:r w:rsidRPr="00E5054C">
        <w:t>The Commission proposes to apply regional costs and service delivery scale to the same assessments as in the 2020 Review</w:t>
      </w:r>
      <w:bookmarkEnd w:id="12"/>
      <w:r w:rsidRPr="00E5054C">
        <w:t>.</w:t>
      </w:r>
    </w:p>
    <w:p w14:paraId="075E1D68" w14:textId="5BB302A4" w:rsidR="00CB0C99" w:rsidRPr="00E5054C" w:rsidRDefault="00CB0C99" w:rsidP="00AA360F">
      <w:pPr>
        <w:pStyle w:val="Heading3"/>
      </w:pPr>
      <w:r w:rsidRPr="00E5054C">
        <w:t>Q2</w:t>
      </w:r>
      <w:bookmarkEnd w:id="13"/>
      <w:bookmarkEnd w:id="14"/>
      <w:bookmarkEnd w:id="15"/>
      <w:bookmarkEnd w:id="16"/>
      <w:r w:rsidRPr="00E5054C">
        <w:t>. Can states identify any data to measure differences in non</w:t>
      </w:r>
      <w:r w:rsidR="005664AE">
        <w:noBreakHyphen/>
      </w:r>
      <w:r w:rsidRPr="00E5054C">
        <w:t>wage costs between major cities?</w:t>
      </w:r>
    </w:p>
    <w:p w14:paraId="409ADF5F" w14:textId="77777777" w:rsidR="00CB0C99" w:rsidRPr="00E5054C" w:rsidRDefault="00CB0C99" w:rsidP="00B1479E">
      <w:pPr>
        <w:pStyle w:val="Heading4"/>
      </w:pPr>
      <w:r w:rsidRPr="00E5054C">
        <w:t xml:space="preserve">State views </w:t>
      </w:r>
    </w:p>
    <w:p w14:paraId="10780905" w14:textId="77777777" w:rsidR="00CB0C99" w:rsidRPr="00E5054C" w:rsidRDefault="00CB0C99" w:rsidP="00B1479E">
      <w:pPr>
        <w:pStyle w:val="CGC2025ParaNumbers"/>
      </w:pPr>
      <w:r w:rsidRPr="00E5054C">
        <w:t xml:space="preserve">Victoria, Queensland, South Australia, Tasmania, the </w:t>
      </w:r>
      <w:proofErr w:type="gramStart"/>
      <w:r w:rsidRPr="00E5054C">
        <w:t>ACT</w:t>
      </w:r>
      <w:proofErr w:type="gramEnd"/>
      <w:r w:rsidRPr="00E5054C">
        <w:t xml:space="preserve"> and the Northern Territory said they were unaware of changes in the conceptual case or new data sources that would warrant or enable measurement of differences in non-wage costs between major cities. New South Wales and Victoria raised concerns with a judgement-based approach to this assessment. </w:t>
      </w:r>
    </w:p>
    <w:p w14:paraId="67FEBF8F" w14:textId="77777777" w:rsidR="00CB0C99" w:rsidRPr="00E5054C" w:rsidRDefault="00CB0C99" w:rsidP="00B1479E">
      <w:pPr>
        <w:pStyle w:val="CGC2025ParaNumbers"/>
      </w:pPr>
      <w:r w:rsidRPr="00E5054C">
        <w:t xml:space="preserve">Western Australia and the ACT said there was merit in including an isolation factor for major cities. They suggested, given the timeframe, the adjustment applied in the 2015 Review should be reintroduced. </w:t>
      </w:r>
    </w:p>
    <w:p w14:paraId="3307BA60" w14:textId="77777777" w:rsidR="00CB0C99" w:rsidRPr="00E5054C" w:rsidRDefault="00CB0C99" w:rsidP="00B1479E">
      <w:pPr>
        <w:pStyle w:val="Heading4"/>
      </w:pPr>
      <w:r w:rsidRPr="00E5054C">
        <w:t>Commission response</w:t>
      </w:r>
    </w:p>
    <w:p w14:paraId="4A85BE28" w14:textId="77777777" w:rsidR="00CB0C99" w:rsidRPr="00E5054C" w:rsidRDefault="00CB0C99" w:rsidP="00B1479E">
      <w:pPr>
        <w:pStyle w:val="CGC2025ParaNumbers"/>
      </w:pPr>
      <w:r w:rsidRPr="00E5054C">
        <w:t xml:space="preserve">Many of the inputs used by states are available in major cities from national supply chains with nationally consistent pricing policies. </w:t>
      </w:r>
    </w:p>
    <w:p w14:paraId="07DCD0BD" w14:textId="77777777" w:rsidR="00CB0C99" w:rsidRPr="00E5054C" w:rsidRDefault="00CB0C99" w:rsidP="00B1479E">
      <w:pPr>
        <w:pStyle w:val="CGC2025ParaNumbers"/>
      </w:pPr>
      <w:r w:rsidRPr="00E5054C">
        <w:t xml:space="preserve">In the 2020 Review, the Commission found little evidence for a material difference in non-wage costs. Travel and accommodation for interstate meetings was the largest single driver of such potential costs. As technology continues to develop, and </w:t>
      </w:r>
      <w:r w:rsidRPr="00E5054C">
        <w:lastRenderedPageBreak/>
        <w:t xml:space="preserve">business practices have evolved, in-person meetings have become less common, reducing the potential materiality of non-wage cost differences. </w:t>
      </w:r>
    </w:p>
    <w:p w14:paraId="3D408BB9" w14:textId="57DAB6F8" w:rsidR="00CB0C99" w:rsidRPr="00E5054C" w:rsidRDefault="00CB0C99" w:rsidP="00B1479E">
      <w:pPr>
        <w:pStyle w:val="CGC2025ParaNumbers"/>
      </w:pPr>
      <w:r w:rsidRPr="00EC1909">
        <w:t xml:space="preserve">While the Commission </w:t>
      </w:r>
      <w:r w:rsidR="00512135">
        <w:t>acknowledges</w:t>
      </w:r>
      <w:r w:rsidR="00512135" w:rsidRPr="00EC1909">
        <w:t xml:space="preserve"> </w:t>
      </w:r>
      <w:r w:rsidRPr="00EC1909">
        <w:t>that Perth is more geographically isolated</w:t>
      </w:r>
      <w:r w:rsidRPr="00EC1909" w:rsidDel="00A250BF">
        <w:t xml:space="preserve"> </w:t>
      </w:r>
      <w:r w:rsidRPr="00EC1909">
        <w:t>than other major cities</w:t>
      </w:r>
      <w:r w:rsidR="00D6090B">
        <w:t>,</w:t>
      </w:r>
      <w:r w:rsidRPr="00EC1909">
        <w:t xml:space="preserve"> there is not consistent evidence that this materially increases its overall costs. For example, crowd-sourced data on fuel costs suggest that fuel costs in Perth are typically lower</w:t>
      </w:r>
      <w:r w:rsidRPr="00E5054C">
        <w:t xml:space="preserve"> than in other capital cities.</w:t>
      </w:r>
    </w:p>
    <w:p w14:paraId="703D005C" w14:textId="77777777" w:rsidR="00CB0C99" w:rsidRPr="00E5054C" w:rsidRDefault="00CB0C99" w:rsidP="00B1479E">
      <w:pPr>
        <w:pStyle w:val="CGC2025ParaNumbers"/>
      </w:pPr>
      <w:r w:rsidRPr="00E5054C">
        <w:t>Some costs in Canberra, particularly fuel, are higher than in other states. However, interstate meetings are likely to remain disproportionately hosted in Canberra, or in cities easily accessible from Canberra. Therefore, there is no consistent evidence that the ACT has higher costs than other major cities.</w:t>
      </w:r>
    </w:p>
    <w:p w14:paraId="6F43C68D" w14:textId="08BCC772" w:rsidR="00CB0C99" w:rsidRPr="00E5054C" w:rsidRDefault="00CB0C99" w:rsidP="00B1479E">
      <w:pPr>
        <w:pStyle w:val="CGC2025ParaNumbers"/>
      </w:pPr>
      <w:r w:rsidRPr="00E5054C">
        <w:t>The Commission considers Hobart and Darwin to have higher costs than most other capital cities, but this is captured by them being treated as inner and outer regional cities</w:t>
      </w:r>
      <w:r w:rsidR="00A412AB">
        <w:t>, respectively</w:t>
      </w:r>
      <w:r w:rsidRPr="00E5054C">
        <w:t xml:space="preserve">. </w:t>
      </w:r>
    </w:p>
    <w:p w14:paraId="1624F640" w14:textId="77777777" w:rsidR="00CB0C99" w:rsidRPr="00E5054C" w:rsidRDefault="00CB0C99" w:rsidP="00B1479E">
      <w:pPr>
        <w:pStyle w:val="CGC2025ParaNumbers"/>
      </w:pPr>
      <w:r w:rsidRPr="00E5054C">
        <w:t>The Commission has not identified evidence that non-wage costs differ between capital cities, other than because some capital cities are inner regional (Hobart) or outer regional (Darwin).</w:t>
      </w:r>
    </w:p>
    <w:p w14:paraId="2307C5CD" w14:textId="77777777" w:rsidR="00CB0C99" w:rsidRPr="00E5054C" w:rsidRDefault="00CB0C99" w:rsidP="00B1479E">
      <w:pPr>
        <w:pStyle w:val="Heading4"/>
      </w:pPr>
      <w:r w:rsidRPr="00E5054C">
        <w:t>Commission draft position</w:t>
      </w:r>
    </w:p>
    <w:p w14:paraId="4AE0397E" w14:textId="53F7482E" w:rsidR="00D6090B" w:rsidRPr="00233918" w:rsidRDefault="00CB0C99" w:rsidP="00DA0DC9">
      <w:pPr>
        <w:pStyle w:val="CGC2025ParaNumbers"/>
      </w:pPr>
      <w:r w:rsidRPr="00E5054C">
        <w:t>The Commission proposes not to introduce an interstate non-wage cost assessment.</w:t>
      </w:r>
    </w:p>
    <w:p w14:paraId="25E7D67E" w14:textId="77777777" w:rsidR="00CB0C99" w:rsidRPr="00E5054C" w:rsidRDefault="00CB0C99" w:rsidP="00FE65E0">
      <w:pPr>
        <w:pStyle w:val="Heading2"/>
      </w:pPr>
      <w:r w:rsidRPr="00E5054C">
        <w:t xml:space="preserve">Other issues raised by </w:t>
      </w:r>
      <w:proofErr w:type="gramStart"/>
      <w:r w:rsidRPr="00E5054C">
        <w:t>states</w:t>
      </w:r>
      <w:proofErr w:type="gramEnd"/>
    </w:p>
    <w:p w14:paraId="4A1C65FB" w14:textId="77777777" w:rsidR="00CB0C99" w:rsidRPr="00E5054C" w:rsidRDefault="00CB0C99" w:rsidP="0027275F">
      <w:pPr>
        <w:pStyle w:val="Heading3"/>
      </w:pPr>
      <w:r w:rsidRPr="00E5054C">
        <w:t xml:space="preserve">Remoteness classification </w:t>
      </w:r>
    </w:p>
    <w:p w14:paraId="3E812F97" w14:textId="77777777" w:rsidR="00CB0C99" w:rsidRPr="00E5054C" w:rsidRDefault="00CB0C99" w:rsidP="0027275F">
      <w:pPr>
        <w:pStyle w:val="Heading5"/>
      </w:pPr>
      <w:r w:rsidRPr="00E5054C">
        <w:t>Definitions of remoteness</w:t>
      </w:r>
    </w:p>
    <w:p w14:paraId="7D0B92C9" w14:textId="77777777" w:rsidR="00CB0C99" w:rsidRPr="00E5054C" w:rsidRDefault="00CB0C99" w:rsidP="0027275F">
      <w:pPr>
        <w:pStyle w:val="CGC2025ParaNumbers"/>
      </w:pPr>
      <w:r w:rsidRPr="00E5054C">
        <w:t xml:space="preserve">Western Australia, Tasmania and the Northern Territory said the remoteness definitions as defined by the ABS do not accurately measure differences in service delivery costs. </w:t>
      </w:r>
    </w:p>
    <w:p w14:paraId="400B2E8B" w14:textId="77777777" w:rsidR="00CB0C99" w:rsidRPr="00E5054C" w:rsidRDefault="00CB0C99" w:rsidP="0027275F">
      <w:pPr>
        <w:pStyle w:val="CGC2025ParaNumbers"/>
      </w:pPr>
      <w:r w:rsidRPr="00E5054C">
        <w:t xml:space="preserve">Western Australia said that service costs will be higher in locations that are further away from a major city. It said it was inappropriate to average expenses across states by remoteness area unless the remoteness areas can be made more comparable. Western Australia said that the remoteness areas currently used cannot capture the extent of the cost differences. </w:t>
      </w:r>
    </w:p>
    <w:p w14:paraId="0805585A" w14:textId="77777777" w:rsidR="00CB0C99" w:rsidRPr="00E5054C" w:rsidRDefault="00CB0C99" w:rsidP="0027275F">
      <w:pPr>
        <w:pStyle w:val="CGC2025ParaNumbers"/>
      </w:pPr>
      <w:r w:rsidRPr="00E5054C">
        <w:t xml:space="preserve">Western Australia said the calculations underpinning the ABS’ remoteness classifications were designed to strip out extreme cases of isolation through capping relative distances to service centres at 3 times the national average. Western Australia said that this limited the capacity to capture additional costs incurred in locations that are significantly isolated. It also said the Commission’s needs are not met by the ABS’ practice of measuring distance to the nearest service centre town of a given size, even if that service centre is in another state. </w:t>
      </w:r>
    </w:p>
    <w:p w14:paraId="501B1D9B" w14:textId="77777777" w:rsidR="00CB0C99" w:rsidRPr="00E5054C" w:rsidRDefault="00CB0C99" w:rsidP="0027275F">
      <w:pPr>
        <w:pStyle w:val="CGC2025ParaNumbers"/>
      </w:pPr>
      <w:r w:rsidRPr="00E5054C">
        <w:lastRenderedPageBreak/>
        <w:t xml:space="preserve">Western Australia raised concerns that under the current approach, towns with very different accessibility profiles can fall under the same remoteness classification. </w:t>
      </w:r>
    </w:p>
    <w:p w14:paraId="3B4BA3E4" w14:textId="77777777" w:rsidR="00CB0C99" w:rsidRPr="00E5054C" w:rsidRDefault="00CB0C99" w:rsidP="0027275F">
      <w:pPr>
        <w:pStyle w:val="CGC2025ParaNumbers"/>
      </w:pPr>
      <w:r w:rsidRPr="00E5054C">
        <w:t>Western Australia brought forward alternative approaches to using ABS remoteness areas to better capture the regional costs faced by states:</w:t>
      </w:r>
    </w:p>
    <w:p w14:paraId="5FDB40D6" w14:textId="73DE4251" w:rsidR="00CB0C99" w:rsidRPr="00E5054C" w:rsidRDefault="00CB0C99" w:rsidP="0027275F">
      <w:pPr>
        <w:pStyle w:val="CGC2025Bullet1"/>
      </w:pPr>
      <w:r w:rsidRPr="00E5054C">
        <w:t>use continuous ARIA+</w:t>
      </w:r>
      <w:r w:rsidRPr="00AD1898">
        <w:rPr>
          <w:rStyle w:val="FootnoteReference"/>
        </w:rPr>
        <w:footnoteReference w:id="3"/>
      </w:r>
      <w:r w:rsidR="0099400D">
        <w:t xml:space="preserve"> </w:t>
      </w:r>
      <w:proofErr w:type="gramStart"/>
      <w:r w:rsidRPr="00E5054C">
        <w:t>score</w:t>
      </w:r>
      <w:proofErr w:type="gramEnd"/>
      <w:r w:rsidRPr="00E5054C">
        <w:t xml:space="preserve"> </w:t>
      </w:r>
    </w:p>
    <w:p w14:paraId="795337DE" w14:textId="77777777" w:rsidR="00CB0C99" w:rsidRPr="00E5054C" w:rsidRDefault="00CB0C99" w:rsidP="0027275F">
      <w:pPr>
        <w:pStyle w:val="CGC2025Bullet1"/>
      </w:pPr>
      <w:r w:rsidRPr="00E5054C">
        <w:t xml:space="preserve">remove the truncated ARIA+ </w:t>
      </w:r>
      <w:proofErr w:type="gramStart"/>
      <w:r w:rsidRPr="00E5054C">
        <w:t>score</w:t>
      </w:r>
      <w:proofErr w:type="gramEnd"/>
    </w:p>
    <w:p w14:paraId="08932F98" w14:textId="77777777" w:rsidR="00CB0C99" w:rsidRPr="00E5054C" w:rsidRDefault="00CB0C99" w:rsidP="0027275F">
      <w:pPr>
        <w:pStyle w:val="CGC2025Bullet1"/>
      </w:pPr>
      <w:r w:rsidRPr="00E5054C">
        <w:t>use measure of amenity (distance from a major road)</w:t>
      </w:r>
    </w:p>
    <w:p w14:paraId="11959C15" w14:textId="1D9DAD74" w:rsidR="00CB0C99" w:rsidRPr="00E5054C" w:rsidRDefault="00CB0C99" w:rsidP="0027275F">
      <w:pPr>
        <w:pStyle w:val="CGC2025Bullet1"/>
      </w:pPr>
      <w:r w:rsidRPr="00E5054C">
        <w:t xml:space="preserve">blend ARIA+ and </w:t>
      </w:r>
      <w:r w:rsidR="008469BE">
        <w:t>d</w:t>
      </w:r>
      <w:r w:rsidRPr="00E5054C">
        <w:t>istance from capital city.</w:t>
      </w:r>
    </w:p>
    <w:p w14:paraId="33919E82" w14:textId="77777777" w:rsidR="00CB0C99" w:rsidRPr="00E5054C" w:rsidRDefault="00CB0C99" w:rsidP="00EC1909">
      <w:pPr>
        <w:pStyle w:val="CGC2025ParaNumbers"/>
      </w:pPr>
      <w:r w:rsidRPr="00E5054C">
        <w:t xml:space="preserve">Western Australia said if the suggestions it has put forward are not achievable, more options need to be explored so that remoteness costs can be accurately calculated. </w:t>
      </w:r>
    </w:p>
    <w:p w14:paraId="747AA2A3" w14:textId="77777777" w:rsidR="00CB0C99" w:rsidRPr="00E5054C" w:rsidRDefault="00CB0C99" w:rsidP="00EC1909">
      <w:pPr>
        <w:pStyle w:val="Heading5"/>
      </w:pPr>
      <w:r w:rsidRPr="00E5054C">
        <w:t>Classification of Hobart</w:t>
      </w:r>
    </w:p>
    <w:p w14:paraId="1FBE3703" w14:textId="3AB54D3C" w:rsidR="00CB0C99" w:rsidRPr="00E5054C" w:rsidRDefault="00CB0C99" w:rsidP="00EC1909">
      <w:pPr>
        <w:pStyle w:val="CGC2025ParaNumbers"/>
      </w:pPr>
      <w:r w:rsidRPr="00E5054C">
        <w:t>Tasmania raised concerns that Hobart’s population may eventually cross a threshold of 250,000. While this would not significantly change the actual cost profile of services in Tasmania, it would significantly change the assessed cost profile. Western</w:t>
      </w:r>
      <w:r w:rsidR="006A70ED">
        <w:t> </w:t>
      </w:r>
      <w:r w:rsidRPr="00E5054C">
        <w:t>Australia said that, while the urban centre of Hobart (which is the geographical concept measured by the ABS) has a population of less than 200,000,</w:t>
      </w:r>
      <w:r w:rsidR="000118A0">
        <w:t> </w:t>
      </w:r>
      <w:r w:rsidRPr="00E5054C">
        <w:t xml:space="preserve">the significant urban area has a population approaching 250,000, and so the cost profile is approaching that of a major city. </w:t>
      </w:r>
    </w:p>
    <w:p w14:paraId="5F5121DD" w14:textId="77777777" w:rsidR="00CB0C99" w:rsidRPr="00E5054C" w:rsidRDefault="00CB0C99" w:rsidP="00EC1909">
      <w:pPr>
        <w:pStyle w:val="Heading5"/>
      </w:pPr>
      <w:r w:rsidRPr="00E5054C">
        <w:t>Road quality and seasonal challenges</w:t>
      </w:r>
    </w:p>
    <w:p w14:paraId="468D08D5" w14:textId="14F191BC" w:rsidR="00CB0C99" w:rsidRPr="00E5054C" w:rsidRDefault="00CB0C99" w:rsidP="00EC1909">
      <w:pPr>
        <w:pStyle w:val="CGC2025ParaNumbers"/>
      </w:pPr>
      <w:r w:rsidRPr="00E5054C">
        <w:t>While the distance of any point from the various population centres is measured as road distance, the Northern Territory was concerned that road quality and seasonal impassability meant not all road distances were equal. It said that poor quality roads and seasonal road closures mean the measured remoteness of many Northern</w:t>
      </w:r>
      <w:r w:rsidR="000118A0">
        <w:t> </w:t>
      </w:r>
      <w:r w:rsidRPr="00E5054C">
        <w:t xml:space="preserve">Territory locations is dramatically underestimated. It suggested that accessibility and the condition of roads be considered when classifying remoteness areas. </w:t>
      </w:r>
    </w:p>
    <w:p w14:paraId="2B989C49" w14:textId="77777777" w:rsidR="00CB0C99" w:rsidRPr="00E5054C" w:rsidRDefault="00CB0C99" w:rsidP="00EC1909">
      <w:pPr>
        <w:pStyle w:val="Heading4"/>
      </w:pPr>
      <w:r w:rsidRPr="00E5054C">
        <w:t>Commission response</w:t>
      </w:r>
    </w:p>
    <w:p w14:paraId="18B06C3F" w14:textId="77777777" w:rsidR="00CB0C99" w:rsidRPr="00E5054C" w:rsidRDefault="00CB0C99" w:rsidP="00EC1909">
      <w:pPr>
        <w:pStyle w:val="CGC2025ParaNumbers"/>
      </w:pPr>
      <w:r w:rsidRPr="00E5054C">
        <w:t xml:space="preserve">The Commission’s preference is to use national standard approaches to data issues. For the Commission to generate its own version of remoteness rather than using the ABS’ approach would require a very strong case that the Commission’s needs differ from those of other statistical agencies.  The Commission does not have any evidence for </w:t>
      </w:r>
      <w:proofErr w:type="gramStart"/>
      <w:r w:rsidRPr="00E5054C">
        <w:t>any particular, significant</w:t>
      </w:r>
      <w:proofErr w:type="gramEnd"/>
      <w:r w:rsidRPr="00E5054C">
        <w:t xml:space="preserve"> bias in the current approach that should be overcome. </w:t>
      </w:r>
    </w:p>
    <w:p w14:paraId="43356A8E" w14:textId="77777777" w:rsidR="00CB0C99" w:rsidRPr="00E5054C" w:rsidRDefault="00CB0C99" w:rsidP="00EC1909">
      <w:pPr>
        <w:pStyle w:val="Heading5"/>
      </w:pPr>
      <w:r w:rsidRPr="00E5054C">
        <w:lastRenderedPageBreak/>
        <w:t>Definitions of remoteness</w:t>
      </w:r>
    </w:p>
    <w:p w14:paraId="73458FDE" w14:textId="77777777" w:rsidR="00CB0C99" w:rsidRPr="00E5054C" w:rsidRDefault="00CB0C99" w:rsidP="00EC1909">
      <w:pPr>
        <w:pStyle w:val="CGC2025ParaNumbers"/>
      </w:pPr>
      <w:r w:rsidRPr="00E5054C">
        <w:t xml:space="preserve">Remoteness categories aim to group areas with broadly comparable circumstances. The Commission recognises that not all towns within a remoteness category have identical characteristics. However, there are difficulties in defining which combinations of characteristics within a remoteness category make a town more expensive to service than another. </w:t>
      </w:r>
    </w:p>
    <w:p w14:paraId="4EAD2006" w14:textId="3F6D57CB" w:rsidR="00CB0C99" w:rsidRPr="00E5054C" w:rsidRDefault="00CB0C99" w:rsidP="00EC1909">
      <w:pPr>
        <w:pStyle w:val="CGC2025ParaNumbers"/>
      </w:pPr>
      <w:r w:rsidRPr="00E5054C">
        <w:t xml:space="preserve">Western Australia raised concerns around the remoteness classifications of Karratha compared with Clermont in Queensland. Western Australia said Clermont, being only 300km from a centre of 120,000 people should be classified as less remote than </w:t>
      </w:r>
      <w:proofErr w:type="gramStart"/>
      <w:r w:rsidRPr="00E5054C">
        <w:t>Karratha</w:t>
      </w:r>
      <w:proofErr w:type="gramEnd"/>
      <w:r w:rsidRPr="00E5054C">
        <w:t xml:space="preserve"> which is 1,5</w:t>
      </w:r>
      <w:r w:rsidR="006F763E">
        <w:t>2</w:t>
      </w:r>
      <w:r w:rsidRPr="00E5054C">
        <w:t xml:space="preserve">0km from such a centre. The Commission agrees that services that are only provided in larger town centres would be more easily accessible in Clermont than in Karratha. However, services that are available in smaller centres are more accessible in Karratha (population </w:t>
      </w:r>
      <w:r w:rsidR="00163DDE">
        <w:t>22</w:t>
      </w:r>
      <w:r w:rsidRPr="00E5054C">
        <w:t xml:space="preserve">,000) than in Clermont, (population </w:t>
      </w:r>
      <w:r w:rsidR="00BA029E">
        <w:t>3</w:t>
      </w:r>
      <w:r w:rsidRPr="00E5054C">
        <w:t xml:space="preserve">,000). Remoteness classifications need to reflect accessibility to both smaller and larger centres. There is a lack of evidence to say whether distance from a larger centre is significantly more important than distance to smaller centres when measuring regional costs. </w:t>
      </w:r>
    </w:p>
    <w:p w14:paraId="62B26111" w14:textId="77777777" w:rsidR="00CB0C99" w:rsidRPr="00E5054C" w:rsidRDefault="00CB0C99" w:rsidP="00EC1909">
      <w:pPr>
        <w:pStyle w:val="CGC2025ParaNumbers"/>
      </w:pPr>
      <w:r w:rsidRPr="00E5054C">
        <w:t xml:space="preserve">Western Australia suggested removing the truncation of ARIA+ scores or using a continuous ARIA+ score to measure remoteness costs. The Commission, like the ABS, continues to consider that the current ARIA+ score reflects the effects of remoteness better than if distance limits were removed. </w:t>
      </w:r>
    </w:p>
    <w:p w14:paraId="7042AFAD" w14:textId="687C2A8E" w:rsidR="00CB0C99" w:rsidRPr="00E5054C" w:rsidRDefault="00CB0C99" w:rsidP="00EC1909">
      <w:pPr>
        <w:pStyle w:val="CGC2025ParaNumbers"/>
      </w:pPr>
      <w:r w:rsidRPr="00E5054C">
        <w:t xml:space="preserve">The Commission only has data on cost per user across each location of Australia for a small number of services, such as schools. The relationship between a continuous ARIA+ score and costs </w:t>
      </w:r>
      <w:proofErr w:type="gramStart"/>
      <w:r w:rsidR="00066185">
        <w:t>is</w:t>
      </w:r>
      <w:proofErr w:type="gramEnd"/>
      <w:r w:rsidR="00066185" w:rsidRPr="00E5054C">
        <w:t xml:space="preserve"> </w:t>
      </w:r>
      <w:r w:rsidRPr="00E5054C">
        <w:t xml:space="preserve">unlikely to be linear. Developing a model such as the </w:t>
      </w:r>
      <w:proofErr w:type="gramStart"/>
      <w:r w:rsidRPr="00E5054C">
        <w:t>schools</w:t>
      </w:r>
      <w:proofErr w:type="gramEnd"/>
      <w:r w:rsidRPr="00E5054C">
        <w:t xml:space="preserve"> regression, which takes into account multiple drivers (including First Nations students, socio-educational disadvantage</w:t>
      </w:r>
      <w:r w:rsidR="00CC7763">
        <w:t xml:space="preserve"> and</w:t>
      </w:r>
      <w:r w:rsidRPr="00E5054C">
        <w:t xml:space="preserve"> school size) and adding a non-linear relationship with ARIA+ score, is unlikely to be reliable. Building similar models for other services with more limited data on service delivery by location costs would bring even more challenges.</w:t>
      </w:r>
    </w:p>
    <w:p w14:paraId="495A6C45" w14:textId="77777777" w:rsidR="00CB0C99" w:rsidRPr="00E5054C" w:rsidRDefault="00CB0C99" w:rsidP="00EC1909">
      <w:pPr>
        <w:pStyle w:val="CGC2025ParaNumbers"/>
      </w:pPr>
      <w:r w:rsidRPr="00E5054C">
        <w:t xml:space="preserve">Western Australia suggested blending the distance from a capital city with ARIA+ scores or accounting for the distance from a major road. Currently, the distance to a capital city contributes 20% to a remoteness classification. There is a lack of evidence to support the proposition that the distance from a capital city should contribute more to the geographical classification than it already does. </w:t>
      </w:r>
    </w:p>
    <w:p w14:paraId="2CF8669D" w14:textId="50526ED5" w:rsidR="00CB0C99" w:rsidRPr="00E5054C" w:rsidRDefault="00CB0C99" w:rsidP="00EC1909">
      <w:pPr>
        <w:pStyle w:val="CGC2025ParaNumbers"/>
      </w:pPr>
      <w:r w:rsidRPr="00E5054C">
        <w:t xml:space="preserve">The proportion of people who do not live near a major road is small. Therefore, the Commission does not consider this disaggregation </w:t>
      </w:r>
      <w:r w:rsidR="00D30A00">
        <w:t xml:space="preserve">is </w:t>
      </w:r>
      <w:r w:rsidRPr="00E5054C">
        <w:t xml:space="preserve">helpful in distinguishing populations. It would also be difficult to identify the relevant populations. Much of the Commission’s data are gathered at too high a level to allow for this disaggregation.  </w:t>
      </w:r>
    </w:p>
    <w:p w14:paraId="50855CD1" w14:textId="77777777" w:rsidR="00CB0C99" w:rsidRPr="00E5054C" w:rsidRDefault="00CB0C99" w:rsidP="00EC1909">
      <w:pPr>
        <w:pStyle w:val="Heading5"/>
      </w:pPr>
      <w:r w:rsidRPr="00E5054C">
        <w:lastRenderedPageBreak/>
        <w:t>Classification of Hobart</w:t>
      </w:r>
    </w:p>
    <w:p w14:paraId="27469837" w14:textId="77777777" w:rsidR="00CB0C99" w:rsidRPr="00E5054C" w:rsidRDefault="00CB0C99" w:rsidP="00EC1909">
      <w:pPr>
        <w:pStyle w:val="CGC2025ParaNumbers"/>
      </w:pPr>
      <w:r w:rsidRPr="00E5054C">
        <w:t xml:space="preserve">Hobart, with a population of fewer than 200,000 people is unlikely to be reclassified as a major city in the 2026 Census of ABS geography classifications. While the region surrounding Hobart does currently contain a population approaching 250,000 people, Hobart does remain quantitatively different from major cities around Australia. It appears more appropriate to group Hobart with other cities of about its size, than to group it with cities much larger than it. The Commission, therefore, proposes to retain the standard ABS classification of remoteness. </w:t>
      </w:r>
    </w:p>
    <w:p w14:paraId="5A4A4B19" w14:textId="77777777" w:rsidR="00CB0C99" w:rsidRPr="00E5054C" w:rsidRDefault="00CB0C99" w:rsidP="00EC1909">
      <w:pPr>
        <w:pStyle w:val="Heading5"/>
      </w:pPr>
      <w:r w:rsidRPr="00E5054C">
        <w:t>Road quality and seasonal challenges</w:t>
      </w:r>
    </w:p>
    <w:p w14:paraId="6F2FE51B" w14:textId="432421BE" w:rsidR="00CB0C99" w:rsidRPr="00E5054C" w:rsidRDefault="00CB0C99" w:rsidP="00EC1909">
      <w:pPr>
        <w:pStyle w:val="CGC2025ParaNumbers"/>
      </w:pPr>
      <w:r w:rsidRPr="00E5054C">
        <w:t xml:space="preserve">Much of monsoonal Northern Territory faces seasonally impassable roads. This is also a challenge faced in northern Western Australia and Queensland. Most of the areas that face this problem fall into the very remote geographical classification. Therefore, adjusting for seasonal impassability would not impact their classification (they would remain very remote). On this basis and noting the Commission’s preference to use nationally consistent data classifications where it can, the Commission </w:t>
      </w:r>
      <w:r w:rsidR="00802A52">
        <w:t>proposes</w:t>
      </w:r>
      <w:r w:rsidR="00802A52" w:rsidRPr="00E5054C">
        <w:t xml:space="preserve"> </w:t>
      </w:r>
      <w:r w:rsidRPr="00E5054C">
        <w:t>to retain the current remoteness classifications.</w:t>
      </w:r>
    </w:p>
    <w:p w14:paraId="1B7533A6" w14:textId="77777777" w:rsidR="00CB0C99" w:rsidRPr="00E5054C" w:rsidRDefault="00CB0C99" w:rsidP="00EC1909">
      <w:pPr>
        <w:pStyle w:val="Heading4"/>
      </w:pPr>
      <w:r w:rsidRPr="00E5054C">
        <w:t xml:space="preserve">Commission draft position </w:t>
      </w:r>
    </w:p>
    <w:p w14:paraId="5157066F" w14:textId="696530E9" w:rsidR="00CB0C99" w:rsidRPr="00233918" w:rsidRDefault="00CB0C99" w:rsidP="00194E62">
      <w:pPr>
        <w:pStyle w:val="CGC2025ParaNumbers"/>
      </w:pPr>
      <w:r w:rsidRPr="00E5054C">
        <w:t xml:space="preserve">The Commission proposes to retain the ABS standard classification of remoteness. </w:t>
      </w:r>
    </w:p>
    <w:p w14:paraId="2ECDB6A4" w14:textId="77777777" w:rsidR="00CB0C99" w:rsidRPr="00E5054C" w:rsidRDefault="00CB0C99" w:rsidP="00CB0F2D">
      <w:pPr>
        <w:pStyle w:val="Heading3"/>
      </w:pPr>
      <w:r w:rsidRPr="00E5054C">
        <w:t>Where people receive services</w:t>
      </w:r>
    </w:p>
    <w:p w14:paraId="24E46F3F" w14:textId="77777777" w:rsidR="00CB0C99" w:rsidRPr="00E5054C" w:rsidRDefault="00CB0C99" w:rsidP="00CB0F2D">
      <w:pPr>
        <w:pStyle w:val="CGC2025ParaNumbers"/>
      </w:pPr>
      <w:r w:rsidRPr="00E5054C">
        <w:t xml:space="preserve">Victoria raised concerns that remoteness loadings are based on the remoteness of where people live rather than where services are delivered. </w:t>
      </w:r>
    </w:p>
    <w:p w14:paraId="6A8C8A2B" w14:textId="77777777" w:rsidR="00CB0C99" w:rsidRPr="00E5054C" w:rsidRDefault="00CB0C99" w:rsidP="00CB0F2D">
      <w:pPr>
        <w:pStyle w:val="Heading4"/>
      </w:pPr>
      <w:bookmarkStart w:id="17" w:name="_Toc143772072"/>
      <w:r w:rsidRPr="00E5054C">
        <w:t>Commission response</w:t>
      </w:r>
    </w:p>
    <w:p w14:paraId="2C9D7BFF" w14:textId="77777777" w:rsidR="00CB0C99" w:rsidRPr="00E5054C" w:rsidRDefault="00CB0C99" w:rsidP="00CB0F2D">
      <w:pPr>
        <w:pStyle w:val="CGC2025ParaNumbers"/>
      </w:pPr>
      <w:r w:rsidRPr="00E5054C">
        <w:t xml:space="preserve">Where people live is the measurable demographic attribute that differs between states. Where services are delivered is the attribute that drives the cost of delivering services. Therefore, remoteness gradients are calculated based on where a service is delivered and applied based on where people live. </w:t>
      </w:r>
    </w:p>
    <w:p w14:paraId="30AAC073" w14:textId="0C8AEB15" w:rsidR="00CB0C99" w:rsidRPr="00E5054C" w:rsidRDefault="00CB0C99" w:rsidP="00CB0F2D">
      <w:pPr>
        <w:pStyle w:val="CGC2025ParaNumbers"/>
      </w:pPr>
      <w:r w:rsidRPr="00E5054C">
        <w:t xml:space="preserve">For example, in the admitted </w:t>
      </w:r>
      <w:proofErr w:type="gramStart"/>
      <w:r w:rsidRPr="00E5054C">
        <w:t>patients</w:t>
      </w:r>
      <w:proofErr w:type="gramEnd"/>
      <w:r w:rsidRPr="00E5054C">
        <w:t xml:space="preserve"> </w:t>
      </w:r>
      <w:r w:rsidR="007E2F9E">
        <w:t xml:space="preserve">component of the health </w:t>
      </w:r>
      <w:r w:rsidRPr="00E5054C">
        <w:t xml:space="preserve">assessment, the Commission uses data which calculate the additional costs of remote hospitals. It then applies this additional cost to the extent to which residents of remote areas use remote hospitals. Similarly, </w:t>
      </w:r>
      <w:r w:rsidR="00350366">
        <w:t xml:space="preserve">in the justice assessment, </w:t>
      </w:r>
      <w:r w:rsidRPr="00E5054C">
        <w:t>prisoners held in remote prisons are around 45% more expensive to house than prisoners in non</w:t>
      </w:r>
      <w:r w:rsidRPr="00E5054C">
        <w:noBreakHyphen/>
        <w:t>remote prisons. However, only around 40% of prisoners who lived in remote areas prior to sentencing are sent to remote prisons. To account for both these factors, the Commission calculates that the average remote prisoner incurs an effective additional cost of 18% (0.45% x 0.40%). This approach means that even when data are collected according to place of service delivery, they are applied on place of residence.</w:t>
      </w:r>
    </w:p>
    <w:p w14:paraId="21A5DB50" w14:textId="77777777" w:rsidR="00CB0C99" w:rsidRPr="00E5054C" w:rsidRDefault="00CB0C99" w:rsidP="00CB0F2D">
      <w:pPr>
        <w:pStyle w:val="Heading4"/>
      </w:pPr>
      <w:r w:rsidRPr="00E5054C">
        <w:lastRenderedPageBreak/>
        <w:t>Commission draft position</w:t>
      </w:r>
    </w:p>
    <w:p w14:paraId="72DB563D" w14:textId="77777777" w:rsidR="00CB0C99" w:rsidRPr="00E5054C" w:rsidRDefault="00CB0C99" w:rsidP="00CB0F2D">
      <w:pPr>
        <w:pStyle w:val="CGC2025ParaNumbers"/>
      </w:pPr>
      <w:r w:rsidRPr="00E5054C">
        <w:t xml:space="preserve">The Commission proposes to retain its current approach and measure the extent to which costs increase for people who live in different regions. </w:t>
      </w:r>
    </w:p>
    <w:p w14:paraId="63885B9E" w14:textId="77777777" w:rsidR="00CB0C99" w:rsidRPr="00E5054C" w:rsidRDefault="00CB0C99" w:rsidP="00CB0F2D">
      <w:pPr>
        <w:pStyle w:val="Heading3"/>
      </w:pPr>
      <w:r w:rsidRPr="00E5054C">
        <w:t>Potential misallocation of regional cost effects</w:t>
      </w:r>
    </w:p>
    <w:p w14:paraId="012FA72D" w14:textId="77777777" w:rsidR="00CB0C99" w:rsidRPr="00E5054C" w:rsidRDefault="00CB0C99" w:rsidP="00CB0F2D">
      <w:pPr>
        <w:pStyle w:val="CGC2025ParaNumbers"/>
      </w:pPr>
      <w:r w:rsidRPr="00E5054C">
        <w:t xml:space="preserve">Victoria raised concerns about double counting. It said there are many drivers including Indigenous status, remoteness and socio-economic status that are heavily influenced by geography. Victoria said compounding effects could occur if these drivers measure the same underlying cost or demand driver. </w:t>
      </w:r>
    </w:p>
    <w:p w14:paraId="1C2D169B" w14:textId="77777777" w:rsidR="00CB0C99" w:rsidRPr="00E5054C" w:rsidRDefault="00CB0C99" w:rsidP="00CB0F2D">
      <w:pPr>
        <w:pStyle w:val="CGC2025ParaNumbers"/>
      </w:pPr>
      <w:r w:rsidRPr="00E5054C">
        <w:t xml:space="preserve">Victoria said it is important to identify the unique effect of each driver in isolation. While these issues are addressed appropriately in the health assessment, in areas with less comprehensive data, the Commission’s estimation of different cost gradients from different sources can potentially lead to double counting. It raised specific concerns with housing and welfare. </w:t>
      </w:r>
    </w:p>
    <w:p w14:paraId="08C90710" w14:textId="77777777" w:rsidR="00CB0C99" w:rsidRPr="00E5054C" w:rsidRDefault="00CB0C99" w:rsidP="00CB0F2D">
      <w:pPr>
        <w:pStyle w:val="Heading4"/>
      </w:pPr>
      <w:r w:rsidRPr="00E5054C">
        <w:t>Commission response</w:t>
      </w:r>
    </w:p>
    <w:p w14:paraId="2320AC1F" w14:textId="77777777" w:rsidR="00CB0C99" w:rsidRPr="00E5054C" w:rsidRDefault="00CB0C99" w:rsidP="00CB0F2D">
      <w:pPr>
        <w:pStyle w:val="CGC2025ParaNumbers"/>
      </w:pPr>
      <w:r w:rsidRPr="00E5054C">
        <w:t xml:space="preserve">The Commission aims to measure the impact of each driver individually for each category. The Commission designs assessments in ways that take account of any potential double counting. </w:t>
      </w:r>
    </w:p>
    <w:p w14:paraId="3777DF0A" w14:textId="77777777" w:rsidR="00CB0C99" w:rsidRPr="00E5054C" w:rsidRDefault="00CB0C99" w:rsidP="00CB0F2D">
      <w:pPr>
        <w:pStyle w:val="CGC2025ParaNumbers"/>
      </w:pPr>
      <w:r w:rsidRPr="00E5054C">
        <w:t xml:space="preserve">For example, the Commission includes the general regional cost and service delivery scale gradient in welfare. It adjusts the assessed number of clients in each remoteness region to avoid double counting other influences that are correlated with remoteness such as Indigenous status and socio-economic status. </w:t>
      </w:r>
    </w:p>
    <w:p w14:paraId="0CB4668E" w14:textId="77777777" w:rsidR="00CB0C99" w:rsidRPr="00E5054C" w:rsidRDefault="00CB0C99" w:rsidP="00CB0F2D">
      <w:pPr>
        <w:pStyle w:val="Heading4"/>
      </w:pPr>
      <w:r w:rsidRPr="00E5054C">
        <w:t>Commission draft position</w:t>
      </w:r>
    </w:p>
    <w:p w14:paraId="7FCEFE32" w14:textId="77777777" w:rsidR="00CB0C99" w:rsidRPr="00E5054C" w:rsidRDefault="00CB0C99" w:rsidP="00CB0F2D">
      <w:pPr>
        <w:pStyle w:val="CGC2025ParaNumbers"/>
      </w:pPr>
      <w:r w:rsidRPr="00E5054C">
        <w:t xml:space="preserve">The Commission proposes to continue to take measures to avoid any double counting within assessments. </w:t>
      </w:r>
    </w:p>
    <w:p w14:paraId="42FAAF3D" w14:textId="77777777" w:rsidR="00CB0C99" w:rsidRPr="00E5054C" w:rsidRDefault="00CB0C99" w:rsidP="00087484">
      <w:pPr>
        <w:pStyle w:val="Heading2"/>
      </w:pPr>
      <w:r w:rsidRPr="00E5054C">
        <w:t xml:space="preserve">Draft 2025 Review </w:t>
      </w:r>
      <w:bookmarkEnd w:id="17"/>
      <w:r w:rsidRPr="00E5054C">
        <w:t>assessment method</w:t>
      </w:r>
    </w:p>
    <w:p w14:paraId="451B3088" w14:textId="4DA2903C" w:rsidR="00C84400" w:rsidRPr="00E5054C" w:rsidRDefault="00ED78A6" w:rsidP="00C84400">
      <w:pPr>
        <w:pStyle w:val="CGC2025ParaNumbers"/>
      </w:pPr>
      <w:r>
        <w:t>Table 2</w:t>
      </w:r>
      <w:r w:rsidR="00CB0C99" w:rsidRPr="00E5054C">
        <w:t xml:space="preserve"> shows the structure of the proposed use of geography in 2025 Review assessments. </w:t>
      </w:r>
      <w:bookmarkStart w:id="18" w:name="_Ref164151987"/>
      <w:bookmarkStart w:id="19" w:name="_Ref164151921"/>
    </w:p>
    <w:p w14:paraId="6E465B61" w14:textId="5527B5B0" w:rsidR="00CB0C99" w:rsidRPr="00E5054C" w:rsidRDefault="00CB0C99" w:rsidP="004322F3">
      <w:pPr>
        <w:pStyle w:val="CGC2025Caption"/>
        <w:tabs>
          <w:tab w:val="left" w:pos="1134"/>
        </w:tabs>
      </w:pPr>
      <w:bookmarkStart w:id="20" w:name="_Ref167434422"/>
      <w:bookmarkEnd w:id="18"/>
      <w:r w:rsidRPr="00E5054C">
        <w:t xml:space="preserve">Table </w:t>
      </w:r>
      <w:fldSimple w:instr=" SEQ Table \* ARABIC ">
        <w:r w:rsidR="00DA0946">
          <w:rPr>
            <w:noProof/>
          </w:rPr>
          <w:t>2</w:t>
        </w:r>
      </w:fldSimple>
      <w:bookmarkEnd w:id="20"/>
      <w:r w:rsidRPr="00E5054C">
        <w:tab/>
        <w:t xml:space="preserve">Proposed </w:t>
      </w:r>
      <w:r w:rsidR="00710CE4">
        <w:t>structure</w:t>
      </w:r>
      <w:r w:rsidR="00710CE4" w:rsidRPr="00E5054C">
        <w:t xml:space="preserve"> </w:t>
      </w:r>
      <w:r w:rsidR="00FA55F0">
        <w:t>of</w:t>
      </w:r>
      <w:r w:rsidR="00FA55F0" w:rsidRPr="00E5054C">
        <w:t xml:space="preserve"> </w:t>
      </w:r>
      <w:r w:rsidR="00710CE4">
        <w:t xml:space="preserve">the </w:t>
      </w:r>
      <w:r w:rsidRPr="00E5054C">
        <w:t>geography</w:t>
      </w:r>
      <w:bookmarkEnd w:id="19"/>
      <w:r w:rsidRPr="00E5054C">
        <w:t xml:space="preserve"> </w:t>
      </w:r>
      <w:proofErr w:type="gramStart"/>
      <w:r w:rsidR="00710CE4">
        <w:t>assessment</w:t>
      </w:r>
      <w:proofErr w:type="gramEnd"/>
    </w:p>
    <w:tbl>
      <w:tblPr>
        <w:tblW w:w="8942" w:type="dxa"/>
        <w:jc w:val="center"/>
        <w:tblLook w:val="04A0" w:firstRow="1" w:lastRow="0" w:firstColumn="1" w:lastColumn="0" w:noHBand="0" w:noVBand="1"/>
      </w:tblPr>
      <w:tblGrid>
        <w:gridCol w:w="1570"/>
        <w:gridCol w:w="1990"/>
        <w:gridCol w:w="960"/>
        <w:gridCol w:w="1773"/>
        <w:gridCol w:w="2649"/>
      </w:tblGrid>
      <w:tr w:rsidR="004A2A40" w:rsidRPr="004A2A40" w14:paraId="548C34EF" w14:textId="77777777" w:rsidTr="00BD1C60">
        <w:trPr>
          <w:trHeight w:val="556"/>
          <w:jc w:val="center"/>
        </w:trPr>
        <w:tc>
          <w:tcPr>
            <w:tcW w:w="1620" w:type="dxa"/>
            <w:tcBorders>
              <w:top w:val="nil"/>
              <w:left w:val="nil"/>
              <w:bottom w:val="nil"/>
              <w:right w:val="nil"/>
            </w:tcBorders>
            <w:shd w:val="clear" w:color="000000" w:fill="006991"/>
            <w:vAlign w:val="center"/>
            <w:hideMark/>
          </w:tcPr>
          <w:p w14:paraId="176D1A22"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FFFFFF"/>
                <w:sz w:val="16"/>
                <w:szCs w:val="16"/>
                <w:lang w:eastAsia="en-AU"/>
              </w:rPr>
            </w:pPr>
            <w:r w:rsidRPr="004A2A40">
              <w:rPr>
                <w:rFonts w:ascii="Open Sans Semibold" w:eastAsia="Times New Roman" w:hAnsi="Open Sans Semibold" w:cs="Open Sans Semibold"/>
                <w:color w:val="FFFFFF"/>
                <w:sz w:val="16"/>
                <w:szCs w:val="16"/>
                <w:lang w:eastAsia="en-AU"/>
              </w:rPr>
              <w:t>Category</w:t>
            </w:r>
          </w:p>
        </w:tc>
        <w:tc>
          <w:tcPr>
            <w:tcW w:w="2066" w:type="dxa"/>
            <w:tcBorders>
              <w:top w:val="nil"/>
              <w:left w:val="nil"/>
              <w:bottom w:val="nil"/>
              <w:right w:val="nil"/>
            </w:tcBorders>
            <w:shd w:val="clear" w:color="000000" w:fill="006991"/>
            <w:vAlign w:val="center"/>
            <w:hideMark/>
          </w:tcPr>
          <w:p w14:paraId="4F903728"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FFFFFF"/>
                <w:sz w:val="16"/>
                <w:szCs w:val="16"/>
                <w:lang w:eastAsia="en-AU"/>
              </w:rPr>
            </w:pPr>
            <w:r w:rsidRPr="004A2A40">
              <w:rPr>
                <w:rFonts w:ascii="Open Sans Semibold" w:eastAsia="Times New Roman" w:hAnsi="Open Sans Semibold" w:cs="Open Sans Semibold"/>
                <w:color w:val="FFFFFF"/>
                <w:sz w:val="16"/>
                <w:szCs w:val="16"/>
                <w:lang w:eastAsia="en-AU"/>
              </w:rPr>
              <w:t>Component</w:t>
            </w:r>
          </w:p>
        </w:tc>
        <w:tc>
          <w:tcPr>
            <w:tcW w:w="992" w:type="dxa"/>
            <w:tcBorders>
              <w:top w:val="nil"/>
              <w:left w:val="nil"/>
              <w:bottom w:val="nil"/>
              <w:right w:val="nil"/>
            </w:tcBorders>
            <w:shd w:val="clear" w:color="000000" w:fill="006991"/>
            <w:vAlign w:val="center"/>
            <w:hideMark/>
          </w:tcPr>
          <w:p w14:paraId="6AA0EB32"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FFFFFF"/>
                <w:sz w:val="16"/>
                <w:szCs w:val="16"/>
                <w:lang w:eastAsia="en-AU"/>
              </w:rPr>
            </w:pPr>
            <w:r w:rsidRPr="004A2A40">
              <w:rPr>
                <w:rFonts w:ascii="Open Sans Semibold" w:eastAsia="Times New Roman" w:hAnsi="Open Sans Semibold" w:cs="Open Sans Semibold"/>
                <w:color w:val="FFFFFF"/>
                <w:sz w:val="16"/>
                <w:szCs w:val="16"/>
                <w:lang w:eastAsia="en-AU"/>
              </w:rPr>
              <w:t>Driver</w:t>
            </w:r>
          </w:p>
        </w:tc>
        <w:tc>
          <w:tcPr>
            <w:tcW w:w="1843" w:type="dxa"/>
            <w:tcBorders>
              <w:top w:val="nil"/>
              <w:left w:val="nil"/>
              <w:bottom w:val="nil"/>
              <w:right w:val="nil"/>
            </w:tcBorders>
            <w:shd w:val="clear" w:color="000000" w:fill="006991"/>
            <w:vAlign w:val="center"/>
            <w:hideMark/>
          </w:tcPr>
          <w:p w14:paraId="3A6BCC0F"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FFFFFF"/>
                <w:sz w:val="16"/>
                <w:szCs w:val="16"/>
                <w:lang w:eastAsia="en-AU"/>
              </w:rPr>
            </w:pPr>
            <w:r w:rsidRPr="004A2A40">
              <w:rPr>
                <w:rFonts w:ascii="Open Sans Semibold" w:eastAsia="Times New Roman" w:hAnsi="Open Sans Semibold" w:cs="Open Sans Semibold"/>
                <w:color w:val="FFFFFF"/>
                <w:sz w:val="16"/>
                <w:szCs w:val="16"/>
                <w:lang w:eastAsia="en-AU"/>
              </w:rPr>
              <w:t>Type of assessment</w:t>
            </w:r>
          </w:p>
        </w:tc>
        <w:tc>
          <w:tcPr>
            <w:tcW w:w="2835" w:type="dxa"/>
            <w:tcBorders>
              <w:top w:val="nil"/>
              <w:left w:val="nil"/>
              <w:bottom w:val="nil"/>
              <w:right w:val="nil"/>
            </w:tcBorders>
            <w:shd w:val="clear" w:color="000000" w:fill="006991"/>
            <w:vAlign w:val="center"/>
            <w:hideMark/>
          </w:tcPr>
          <w:p w14:paraId="54802EB2"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FFFFFF"/>
                <w:sz w:val="16"/>
                <w:szCs w:val="16"/>
                <w:lang w:eastAsia="en-AU"/>
              </w:rPr>
            </w:pPr>
            <w:r w:rsidRPr="004A2A40">
              <w:rPr>
                <w:rFonts w:ascii="Open Sans Semibold" w:eastAsia="Times New Roman" w:hAnsi="Open Sans Semibold" w:cs="Open Sans Semibold"/>
                <w:color w:val="FFFFFF"/>
                <w:sz w:val="16"/>
                <w:szCs w:val="16"/>
                <w:lang w:eastAsia="en-AU"/>
              </w:rPr>
              <w:t>Change since 2020 Review?</w:t>
            </w:r>
          </w:p>
        </w:tc>
      </w:tr>
      <w:tr w:rsidR="00D66854" w:rsidRPr="004A2A40" w14:paraId="0A82F13F" w14:textId="77777777" w:rsidTr="00BD1C60">
        <w:trPr>
          <w:trHeight w:val="318"/>
          <w:jc w:val="center"/>
        </w:trPr>
        <w:tc>
          <w:tcPr>
            <w:tcW w:w="1620" w:type="dxa"/>
            <w:vMerge w:val="restart"/>
            <w:tcBorders>
              <w:top w:val="single" w:sz="8" w:space="0" w:color="ADD6EA"/>
              <w:left w:val="nil"/>
              <w:right w:val="nil"/>
            </w:tcBorders>
            <w:shd w:val="clear" w:color="auto" w:fill="auto"/>
            <w:hideMark/>
          </w:tcPr>
          <w:p w14:paraId="21D79F99" w14:textId="77777777" w:rsidR="00D66854" w:rsidRPr="00127B76" w:rsidRDefault="00D66854" w:rsidP="00BD1C60">
            <w:pPr>
              <w:tabs>
                <w:tab w:val="clear" w:pos="567"/>
              </w:tabs>
              <w:spacing w:before="0" w:line="240" w:lineRule="auto"/>
              <w:rPr>
                <w:rFonts w:eastAsia="Times New Roman" w:cs="Open Sans Light"/>
                <w:color w:val="000000"/>
                <w:sz w:val="16"/>
                <w:szCs w:val="16"/>
                <w:lang w:eastAsia="en-AU"/>
              </w:rPr>
            </w:pPr>
            <w:r w:rsidRPr="00127B76">
              <w:rPr>
                <w:rFonts w:eastAsia="Times New Roman" w:cs="Open Sans Light"/>
                <w:color w:val="000000"/>
                <w:sz w:val="16"/>
                <w:szCs w:val="16"/>
                <w:lang w:eastAsia="en-AU"/>
              </w:rPr>
              <w:t>Schools</w:t>
            </w:r>
          </w:p>
        </w:tc>
        <w:tc>
          <w:tcPr>
            <w:tcW w:w="2066" w:type="dxa"/>
            <w:tcBorders>
              <w:top w:val="single" w:sz="8" w:space="0" w:color="ADD6EA"/>
              <w:left w:val="nil"/>
              <w:bottom w:val="nil"/>
              <w:right w:val="nil"/>
            </w:tcBorders>
            <w:shd w:val="clear" w:color="auto" w:fill="auto"/>
            <w:hideMark/>
          </w:tcPr>
          <w:p w14:paraId="68128433" w14:textId="73C67443"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State</w:t>
            </w:r>
            <w:r>
              <w:rPr>
                <w:rFonts w:eastAsia="Times New Roman" w:cs="Open Sans Light"/>
                <w:color w:val="000000"/>
                <w:sz w:val="16"/>
                <w:szCs w:val="16"/>
                <w:lang w:eastAsia="en-AU"/>
              </w:rPr>
              <w:t xml:space="preserve"> spending on</w:t>
            </w:r>
            <w:r w:rsidRPr="004A2A40">
              <w:rPr>
                <w:rFonts w:eastAsia="Times New Roman" w:cs="Open Sans Light"/>
                <w:color w:val="000000"/>
                <w:sz w:val="16"/>
                <w:szCs w:val="16"/>
                <w:lang w:eastAsia="en-AU"/>
              </w:rPr>
              <w:t xml:space="preserve"> government school</w:t>
            </w:r>
          </w:p>
        </w:tc>
        <w:tc>
          <w:tcPr>
            <w:tcW w:w="992" w:type="dxa"/>
            <w:tcBorders>
              <w:top w:val="single" w:sz="8" w:space="0" w:color="ADD6EA"/>
              <w:left w:val="nil"/>
              <w:bottom w:val="nil"/>
              <w:right w:val="nil"/>
            </w:tcBorders>
            <w:shd w:val="clear" w:color="auto" w:fill="auto"/>
            <w:hideMark/>
          </w:tcPr>
          <w:p w14:paraId="29668DA4" w14:textId="77777777"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5E54A2BE" w14:textId="77777777"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nil"/>
              <w:left w:val="nil"/>
              <w:bottom w:val="nil"/>
              <w:right w:val="nil"/>
            </w:tcBorders>
            <w:shd w:val="clear" w:color="auto" w:fill="auto"/>
            <w:hideMark/>
          </w:tcPr>
          <w:p w14:paraId="6FF44EE1" w14:textId="77777777"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D66854" w:rsidRPr="004A2A40" w14:paraId="42632384" w14:textId="77777777" w:rsidTr="00BD1C60">
        <w:trPr>
          <w:trHeight w:val="318"/>
          <w:jc w:val="center"/>
        </w:trPr>
        <w:tc>
          <w:tcPr>
            <w:tcW w:w="1620" w:type="dxa"/>
            <w:vMerge/>
            <w:tcBorders>
              <w:left w:val="nil"/>
              <w:right w:val="nil"/>
            </w:tcBorders>
            <w:hideMark/>
          </w:tcPr>
          <w:p w14:paraId="5C6DB9C1" w14:textId="77777777" w:rsidR="00D66854" w:rsidRPr="00127B76" w:rsidRDefault="00D66854"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787BFFF8" w14:textId="49D10F73"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State </w:t>
            </w:r>
            <w:r>
              <w:rPr>
                <w:rFonts w:eastAsia="Times New Roman" w:cs="Open Sans Light"/>
                <w:color w:val="000000"/>
                <w:sz w:val="16"/>
                <w:szCs w:val="16"/>
                <w:lang w:eastAsia="en-AU"/>
              </w:rPr>
              <w:t>spending on</w:t>
            </w:r>
            <w:r w:rsidRPr="004A2A40">
              <w:rPr>
                <w:rFonts w:eastAsia="Times New Roman" w:cs="Open Sans Light"/>
                <w:color w:val="000000"/>
                <w:sz w:val="16"/>
                <w:szCs w:val="16"/>
                <w:lang w:eastAsia="en-AU"/>
              </w:rPr>
              <w:t xml:space="preserve"> non-government schools</w:t>
            </w:r>
          </w:p>
        </w:tc>
        <w:tc>
          <w:tcPr>
            <w:tcW w:w="992" w:type="dxa"/>
            <w:tcBorders>
              <w:top w:val="single" w:sz="8" w:space="0" w:color="ADD6EA"/>
              <w:left w:val="nil"/>
              <w:bottom w:val="nil"/>
              <w:right w:val="nil"/>
            </w:tcBorders>
            <w:shd w:val="clear" w:color="auto" w:fill="auto"/>
            <w:hideMark/>
          </w:tcPr>
          <w:p w14:paraId="4817CBA6" w14:textId="77777777"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53EC7133" w14:textId="77777777"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Component</w:t>
            </w:r>
          </w:p>
        </w:tc>
        <w:tc>
          <w:tcPr>
            <w:tcW w:w="2835" w:type="dxa"/>
            <w:tcBorders>
              <w:top w:val="single" w:sz="8" w:space="0" w:color="ADD6EA"/>
              <w:left w:val="nil"/>
              <w:bottom w:val="nil"/>
              <w:right w:val="nil"/>
            </w:tcBorders>
            <w:shd w:val="clear" w:color="auto" w:fill="auto"/>
            <w:hideMark/>
          </w:tcPr>
          <w:p w14:paraId="30BF9FD3" w14:textId="77777777"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D66854" w:rsidRPr="004A2A40" w14:paraId="111BB3D6" w14:textId="77777777" w:rsidTr="00BD1C60">
        <w:trPr>
          <w:trHeight w:val="318"/>
          <w:jc w:val="center"/>
        </w:trPr>
        <w:tc>
          <w:tcPr>
            <w:tcW w:w="1620" w:type="dxa"/>
            <w:vMerge/>
            <w:tcBorders>
              <w:left w:val="nil"/>
              <w:bottom w:val="single" w:sz="8" w:space="0" w:color="B8CCE4"/>
              <w:right w:val="nil"/>
            </w:tcBorders>
          </w:tcPr>
          <w:p w14:paraId="2382A9CB" w14:textId="77777777" w:rsidR="00D66854" w:rsidRPr="00127B76" w:rsidRDefault="00D66854"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tcPr>
          <w:p w14:paraId="66B8A231" w14:textId="4B9D14EB" w:rsidR="00D66854" w:rsidRPr="004A2A40" w:rsidRDefault="00D66854"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Commonwealth </w:t>
            </w:r>
            <w:r w:rsidR="0034392E">
              <w:rPr>
                <w:rFonts w:eastAsia="Times New Roman" w:cs="Open Sans Light"/>
                <w:color w:val="000000"/>
                <w:sz w:val="16"/>
                <w:szCs w:val="16"/>
                <w:lang w:eastAsia="en-AU"/>
              </w:rPr>
              <w:t>funding of government schools</w:t>
            </w:r>
          </w:p>
        </w:tc>
        <w:tc>
          <w:tcPr>
            <w:tcW w:w="992" w:type="dxa"/>
            <w:tcBorders>
              <w:top w:val="single" w:sz="8" w:space="0" w:color="ADD6EA"/>
              <w:left w:val="nil"/>
              <w:bottom w:val="nil"/>
              <w:right w:val="nil"/>
            </w:tcBorders>
            <w:shd w:val="clear" w:color="auto" w:fill="auto"/>
          </w:tcPr>
          <w:p w14:paraId="54331CA6" w14:textId="7DCA08AD" w:rsidR="00D66854" w:rsidRPr="004A2A40" w:rsidRDefault="0034392E"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tcPr>
          <w:p w14:paraId="47DEE6E5" w14:textId="130BD973" w:rsidR="00D66854" w:rsidRPr="004A2A40" w:rsidRDefault="0034392E"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Embedded in the Schooling Resources Standard</w:t>
            </w:r>
          </w:p>
        </w:tc>
        <w:tc>
          <w:tcPr>
            <w:tcW w:w="2835" w:type="dxa"/>
            <w:tcBorders>
              <w:top w:val="single" w:sz="8" w:space="0" w:color="ADD6EA"/>
              <w:left w:val="nil"/>
              <w:bottom w:val="nil"/>
              <w:right w:val="nil"/>
            </w:tcBorders>
            <w:shd w:val="clear" w:color="auto" w:fill="auto"/>
          </w:tcPr>
          <w:p w14:paraId="4D4CA9D2" w14:textId="79EEE36A" w:rsidR="00D66854" w:rsidRPr="004A2A40" w:rsidRDefault="0034392E"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C84400" w:rsidRPr="004A2A40" w14:paraId="41AC5667" w14:textId="77777777" w:rsidTr="00BD1C60">
        <w:trPr>
          <w:trHeight w:val="318"/>
          <w:jc w:val="center"/>
        </w:trPr>
        <w:tc>
          <w:tcPr>
            <w:tcW w:w="1620" w:type="dxa"/>
            <w:tcBorders>
              <w:top w:val="nil"/>
              <w:left w:val="nil"/>
              <w:bottom w:val="nil"/>
              <w:right w:val="nil"/>
            </w:tcBorders>
            <w:shd w:val="clear" w:color="000000" w:fill="FFFFFF"/>
            <w:hideMark/>
          </w:tcPr>
          <w:p w14:paraId="70564BD4"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r w:rsidRPr="00127B76">
              <w:rPr>
                <w:rFonts w:eastAsia="Times New Roman" w:cs="Open Sans Light"/>
                <w:color w:val="000000"/>
                <w:sz w:val="16"/>
                <w:szCs w:val="16"/>
                <w:lang w:eastAsia="en-AU"/>
              </w:rPr>
              <w:lastRenderedPageBreak/>
              <w:t>Post-secondary education</w:t>
            </w:r>
          </w:p>
        </w:tc>
        <w:tc>
          <w:tcPr>
            <w:tcW w:w="2066" w:type="dxa"/>
            <w:tcBorders>
              <w:top w:val="single" w:sz="8" w:space="0" w:color="ADD6EA"/>
              <w:left w:val="nil"/>
              <w:bottom w:val="nil"/>
              <w:right w:val="nil"/>
            </w:tcBorders>
            <w:shd w:val="clear" w:color="auto" w:fill="auto"/>
            <w:hideMark/>
          </w:tcPr>
          <w:p w14:paraId="39A7EBC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Post-secondary education</w:t>
            </w:r>
          </w:p>
        </w:tc>
        <w:tc>
          <w:tcPr>
            <w:tcW w:w="992" w:type="dxa"/>
            <w:tcBorders>
              <w:top w:val="single" w:sz="8" w:space="0" w:color="ADD6EA"/>
              <w:left w:val="nil"/>
              <w:bottom w:val="nil"/>
              <w:right w:val="nil"/>
            </w:tcBorders>
            <w:shd w:val="clear" w:color="auto" w:fill="auto"/>
            <w:hideMark/>
          </w:tcPr>
          <w:p w14:paraId="7A0D943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75FD3C5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0F01587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Included in general gradient</w:t>
            </w:r>
          </w:p>
        </w:tc>
      </w:tr>
      <w:tr w:rsidR="00C84400" w:rsidRPr="004A2A40" w14:paraId="3B5B6295" w14:textId="77777777" w:rsidTr="00BD1C60">
        <w:trPr>
          <w:trHeight w:val="319"/>
          <w:jc w:val="center"/>
        </w:trPr>
        <w:tc>
          <w:tcPr>
            <w:tcW w:w="1620" w:type="dxa"/>
            <w:vMerge w:val="restart"/>
            <w:tcBorders>
              <w:top w:val="single" w:sz="8" w:space="0" w:color="B8CCE4"/>
              <w:left w:val="nil"/>
              <w:bottom w:val="single" w:sz="8" w:space="0" w:color="B8CCE4"/>
              <w:right w:val="nil"/>
            </w:tcBorders>
            <w:shd w:val="clear" w:color="000000" w:fill="FFFFFF"/>
            <w:hideMark/>
          </w:tcPr>
          <w:p w14:paraId="0B7B8098"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r w:rsidRPr="00127B76">
              <w:rPr>
                <w:rFonts w:eastAsia="Times New Roman" w:cs="Open Sans Light"/>
                <w:color w:val="000000"/>
                <w:sz w:val="16"/>
                <w:szCs w:val="16"/>
                <w:lang w:eastAsia="en-AU"/>
              </w:rPr>
              <w:t>Health</w:t>
            </w:r>
          </w:p>
        </w:tc>
        <w:tc>
          <w:tcPr>
            <w:tcW w:w="2066" w:type="dxa"/>
            <w:tcBorders>
              <w:top w:val="single" w:sz="8" w:space="0" w:color="ADD6EA"/>
              <w:left w:val="nil"/>
              <w:bottom w:val="nil"/>
              <w:right w:val="nil"/>
            </w:tcBorders>
            <w:shd w:val="clear" w:color="auto" w:fill="auto"/>
            <w:hideMark/>
          </w:tcPr>
          <w:p w14:paraId="1C00EC2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Admitted patients</w:t>
            </w:r>
          </w:p>
        </w:tc>
        <w:tc>
          <w:tcPr>
            <w:tcW w:w="992" w:type="dxa"/>
            <w:tcBorders>
              <w:top w:val="single" w:sz="8" w:space="0" w:color="ADD6EA"/>
              <w:left w:val="nil"/>
              <w:bottom w:val="nil"/>
              <w:right w:val="nil"/>
            </w:tcBorders>
            <w:shd w:val="clear" w:color="auto" w:fill="auto"/>
            <w:hideMark/>
          </w:tcPr>
          <w:p w14:paraId="6A70A96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7F208DD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1EEE69B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1FF400D6" w14:textId="77777777" w:rsidTr="00BD1C60">
        <w:trPr>
          <w:trHeight w:val="318"/>
          <w:jc w:val="center"/>
        </w:trPr>
        <w:tc>
          <w:tcPr>
            <w:tcW w:w="1620" w:type="dxa"/>
            <w:vMerge/>
            <w:tcBorders>
              <w:top w:val="single" w:sz="8" w:space="0" w:color="B8CCE4"/>
              <w:left w:val="nil"/>
              <w:bottom w:val="single" w:sz="8" w:space="0" w:color="B8CCE4"/>
              <w:right w:val="nil"/>
            </w:tcBorders>
            <w:hideMark/>
          </w:tcPr>
          <w:p w14:paraId="3BE1CFB0"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60E9597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Emergency departments</w:t>
            </w:r>
          </w:p>
        </w:tc>
        <w:tc>
          <w:tcPr>
            <w:tcW w:w="992" w:type="dxa"/>
            <w:tcBorders>
              <w:top w:val="single" w:sz="8" w:space="0" w:color="ADD6EA"/>
              <w:left w:val="nil"/>
              <w:bottom w:val="nil"/>
              <w:right w:val="nil"/>
            </w:tcBorders>
            <w:shd w:val="clear" w:color="auto" w:fill="auto"/>
            <w:hideMark/>
          </w:tcPr>
          <w:p w14:paraId="7319415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2AEC2855"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40D3FF40"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Included in general gradient</w:t>
            </w:r>
          </w:p>
        </w:tc>
      </w:tr>
      <w:tr w:rsidR="00C84400" w:rsidRPr="004A2A40" w14:paraId="4F1F869D" w14:textId="77777777" w:rsidTr="00BD1C60">
        <w:trPr>
          <w:trHeight w:val="318"/>
          <w:jc w:val="center"/>
        </w:trPr>
        <w:tc>
          <w:tcPr>
            <w:tcW w:w="1620" w:type="dxa"/>
            <w:vMerge/>
            <w:tcBorders>
              <w:top w:val="single" w:sz="8" w:space="0" w:color="B8CCE4"/>
              <w:left w:val="nil"/>
              <w:bottom w:val="single" w:sz="8" w:space="0" w:color="B8CCE4"/>
              <w:right w:val="nil"/>
            </w:tcBorders>
            <w:hideMark/>
          </w:tcPr>
          <w:p w14:paraId="6ED0C943"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5AC60008"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Non-admitted patients</w:t>
            </w:r>
          </w:p>
        </w:tc>
        <w:tc>
          <w:tcPr>
            <w:tcW w:w="992" w:type="dxa"/>
            <w:tcBorders>
              <w:top w:val="single" w:sz="8" w:space="0" w:color="ADD6EA"/>
              <w:left w:val="nil"/>
              <w:bottom w:val="nil"/>
              <w:right w:val="nil"/>
            </w:tcBorders>
            <w:shd w:val="clear" w:color="auto" w:fill="auto"/>
            <w:hideMark/>
          </w:tcPr>
          <w:p w14:paraId="78FC13E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7995C0A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010C477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New measure introduced in U2022. Included in general gradient</w:t>
            </w:r>
          </w:p>
        </w:tc>
      </w:tr>
      <w:tr w:rsidR="00C84400" w:rsidRPr="004A2A40" w14:paraId="03AEEC29" w14:textId="77777777" w:rsidTr="00BD1C60">
        <w:trPr>
          <w:trHeight w:val="318"/>
          <w:jc w:val="center"/>
        </w:trPr>
        <w:tc>
          <w:tcPr>
            <w:tcW w:w="1620" w:type="dxa"/>
            <w:vMerge/>
            <w:tcBorders>
              <w:top w:val="single" w:sz="8" w:space="0" w:color="B8CCE4"/>
              <w:left w:val="nil"/>
              <w:bottom w:val="single" w:sz="8" w:space="0" w:color="B8CCE4"/>
              <w:right w:val="nil"/>
            </w:tcBorders>
            <w:hideMark/>
          </w:tcPr>
          <w:p w14:paraId="4AAEA7F8"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296EBCCC" w14:textId="75B307A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Community </w:t>
            </w:r>
            <w:r w:rsidR="00893BB6">
              <w:rPr>
                <w:rFonts w:eastAsia="Times New Roman" w:cs="Open Sans Light"/>
                <w:color w:val="000000"/>
                <w:sz w:val="16"/>
                <w:szCs w:val="16"/>
                <w:lang w:eastAsia="en-AU"/>
              </w:rPr>
              <w:t xml:space="preserve">and public </w:t>
            </w:r>
            <w:r w:rsidRPr="004A2A40">
              <w:rPr>
                <w:rFonts w:eastAsia="Times New Roman" w:cs="Open Sans Light"/>
                <w:color w:val="000000"/>
                <w:sz w:val="16"/>
                <w:szCs w:val="16"/>
                <w:lang w:eastAsia="en-AU"/>
              </w:rPr>
              <w:t>health</w:t>
            </w:r>
          </w:p>
        </w:tc>
        <w:tc>
          <w:tcPr>
            <w:tcW w:w="992" w:type="dxa"/>
            <w:tcBorders>
              <w:top w:val="single" w:sz="8" w:space="0" w:color="ADD6EA"/>
              <w:left w:val="nil"/>
              <w:bottom w:val="nil"/>
              <w:right w:val="nil"/>
            </w:tcBorders>
            <w:shd w:val="clear" w:color="auto" w:fill="auto"/>
            <w:hideMark/>
          </w:tcPr>
          <w:p w14:paraId="184DA09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7515DF4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Category</w:t>
            </w:r>
            <w:r w:rsidRPr="004A2A40">
              <w:rPr>
                <w:rFonts w:eastAsia="Times New Roman" w:cs="Open Sans Light"/>
                <w:color w:val="000000"/>
                <w:sz w:val="16"/>
                <w:szCs w:val="16"/>
                <w:vertAlign w:val="superscript"/>
                <w:lang w:eastAsia="en-AU"/>
              </w:rPr>
              <w:t>(a)</w:t>
            </w:r>
          </w:p>
        </w:tc>
        <w:tc>
          <w:tcPr>
            <w:tcW w:w="2835" w:type="dxa"/>
            <w:tcBorders>
              <w:top w:val="single" w:sz="8" w:space="0" w:color="ADD6EA"/>
              <w:left w:val="nil"/>
              <w:bottom w:val="nil"/>
              <w:right w:val="nil"/>
            </w:tcBorders>
            <w:shd w:val="clear" w:color="auto" w:fill="auto"/>
            <w:hideMark/>
          </w:tcPr>
          <w:p w14:paraId="632453C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712DFA27" w14:textId="77777777" w:rsidTr="00BD1C60">
        <w:trPr>
          <w:trHeight w:val="318"/>
          <w:jc w:val="center"/>
        </w:trPr>
        <w:tc>
          <w:tcPr>
            <w:tcW w:w="1620" w:type="dxa"/>
            <w:vMerge/>
            <w:tcBorders>
              <w:top w:val="single" w:sz="8" w:space="0" w:color="B8CCE4"/>
              <w:left w:val="nil"/>
              <w:bottom w:val="single" w:sz="8" w:space="0" w:color="B8CCE4"/>
              <w:right w:val="nil"/>
            </w:tcBorders>
            <w:hideMark/>
          </w:tcPr>
          <w:p w14:paraId="68A6A5D4"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5C34940D"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Non-hospital patient transport</w:t>
            </w:r>
          </w:p>
        </w:tc>
        <w:tc>
          <w:tcPr>
            <w:tcW w:w="992" w:type="dxa"/>
            <w:tcBorders>
              <w:top w:val="single" w:sz="8" w:space="0" w:color="ADD6EA"/>
              <w:left w:val="nil"/>
              <w:bottom w:val="nil"/>
              <w:right w:val="nil"/>
            </w:tcBorders>
            <w:shd w:val="clear" w:color="auto" w:fill="auto"/>
            <w:hideMark/>
          </w:tcPr>
          <w:p w14:paraId="68208EF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441A58B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41C9AE3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2A4453BF" w14:textId="77777777" w:rsidTr="00BD1C60">
        <w:trPr>
          <w:trHeight w:val="318"/>
          <w:jc w:val="center"/>
        </w:trPr>
        <w:tc>
          <w:tcPr>
            <w:tcW w:w="1620" w:type="dxa"/>
            <w:vMerge/>
            <w:tcBorders>
              <w:top w:val="single" w:sz="8" w:space="0" w:color="B8CCE4"/>
              <w:left w:val="nil"/>
              <w:bottom w:val="single" w:sz="8" w:space="0" w:color="B8CCE4"/>
              <w:right w:val="nil"/>
            </w:tcBorders>
            <w:hideMark/>
          </w:tcPr>
          <w:p w14:paraId="0BE29984"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0F280D6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COVID spending</w:t>
            </w:r>
          </w:p>
        </w:tc>
        <w:tc>
          <w:tcPr>
            <w:tcW w:w="992" w:type="dxa"/>
            <w:tcBorders>
              <w:top w:val="single" w:sz="8" w:space="0" w:color="ADD6EA"/>
              <w:left w:val="nil"/>
              <w:bottom w:val="nil"/>
              <w:right w:val="nil"/>
            </w:tcBorders>
            <w:shd w:val="clear" w:color="auto" w:fill="auto"/>
            <w:hideMark/>
          </w:tcPr>
          <w:p w14:paraId="0E9822C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7D7C1D9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1D88F5A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New component </w:t>
            </w:r>
          </w:p>
        </w:tc>
      </w:tr>
      <w:tr w:rsidR="00C84400" w:rsidRPr="004A2A40" w14:paraId="5EF489DB"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1A4D7E96"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r w:rsidRPr="00127B76">
              <w:rPr>
                <w:rFonts w:eastAsia="Times New Roman" w:cs="Open Sans Light"/>
                <w:color w:val="000000"/>
                <w:sz w:val="16"/>
                <w:szCs w:val="16"/>
                <w:lang w:eastAsia="en-AU"/>
              </w:rPr>
              <w:t>Housing</w:t>
            </w:r>
          </w:p>
        </w:tc>
        <w:tc>
          <w:tcPr>
            <w:tcW w:w="2066" w:type="dxa"/>
            <w:tcBorders>
              <w:top w:val="single" w:sz="8" w:space="0" w:color="ADD6EA"/>
              <w:left w:val="nil"/>
              <w:bottom w:val="single" w:sz="8" w:space="0" w:color="ADD6EA"/>
              <w:right w:val="nil"/>
            </w:tcBorders>
            <w:shd w:val="clear" w:color="auto" w:fill="auto"/>
            <w:hideMark/>
          </w:tcPr>
          <w:p w14:paraId="29FDFCD0" w14:textId="7E404C93"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Social housing</w:t>
            </w:r>
            <w:r w:rsidR="006C3218">
              <w:rPr>
                <w:rFonts w:eastAsia="Times New Roman" w:cs="Open Sans Light"/>
                <w:color w:val="000000"/>
                <w:sz w:val="16"/>
                <w:szCs w:val="16"/>
                <w:lang w:eastAsia="en-AU"/>
              </w:rPr>
              <w:t xml:space="preserve"> expenses</w:t>
            </w:r>
          </w:p>
        </w:tc>
        <w:tc>
          <w:tcPr>
            <w:tcW w:w="992" w:type="dxa"/>
            <w:tcBorders>
              <w:top w:val="single" w:sz="8" w:space="0" w:color="ADD6EA"/>
              <w:left w:val="nil"/>
              <w:bottom w:val="single" w:sz="8" w:space="0" w:color="ADD6EA"/>
              <w:right w:val="nil"/>
            </w:tcBorders>
            <w:shd w:val="clear" w:color="auto" w:fill="auto"/>
            <w:hideMark/>
          </w:tcPr>
          <w:p w14:paraId="0FD8738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single" w:sz="8" w:space="0" w:color="ADD6EA"/>
              <w:right w:val="nil"/>
            </w:tcBorders>
            <w:shd w:val="clear" w:color="auto" w:fill="auto"/>
            <w:hideMark/>
          </w:tcPr>
          <w:p w14:paraId="7DD401B0"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single" w:sz="8" w:space="0" w:color="ADD6EA"/>
              <w:right w:val="nil"/>
            </w:tcBorders>
            <w:shd w:val="clear" w:color="auto" w:fill="auto"/>
            <w:hideMark/>
          </w:tcPr>
          <w:p w14:paraId="4951B75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4F782A75" w14:textId="77777777" w:rsidTr="00BD1C60">
        <w:trPr>
          <w:trHeight w:val="318"/>
          <w:jc w:val="center"/>
        </w:trPr>
        <w:tc>
          <w:tcPr>
            <w:tcW w:w="1620" w:type="dxa"/>
            <w:vMerge/>
            <w:tcBorders>
              <w:top w:val="nil"/>
              <w:left w:val="nil"/>
              <w:bottom w:val="single" w:sz="8" w:space="0" w:color="B8CCE4"/>
              <w:right w:val="nil"/>
            </w:tcBorders>
            <w:hideMark/>
          </w:tcPr>
          <w:p w14:paraId="6659884C"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single" w:sz="4" w:space="0" w:color="ADD6EA"/>
              <w:right w:val="nil"/>
            </w:tcBorders>
            <w:shd w:val="clear" w:color="auto" w:fill="auto"/>
            <w:hideMark/>
          </w:tcPr>
          <w:p w14:paraId="13CEC17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Revenue</w:t>
            </w:r>
          </w:p>
        </w:tc>
        <w:tc>
          <w:tcPr>
            <w:tcW w:w="992" w:type="dxa"/>
            <w:tcBorders>
              <w:top w:val="single" w:sz="8" w:space="0" w:color="ADD6EA"/>
              <w:left w:val="nil"/>
              <w:bottom w:val="single" w:sz="4" w:space="0" w:color="ADD6EA"/>
              <w:right w:val="nil"/>
            </w:tcBorders>
            <w:shd w:val="clear" w:color="auto" w:fill="auto"/>
            <w:hideMark/>
          </w:tcPr>
          <w:p w14:paraId="7DE10E1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single" w:sz="4" w:space="0" w:color="ADD6EA"/>
              <w:right w:val="nil"/>
            </w:tcBorders>
            <w:shd w:val="clear" w:color="auto" w:fill="auto"/>
            <w:hideMark/>
          </w:tcPr>
          <w:p w14:paraId="3DE60E4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single" w:sz="4" w:space="0" w:color="ADD6EA"/>
              <w:right w:val="nil"/>
            </w:tcBorders>
            <w:shd w:val="clear" w:color="auto" w:fill="auto"/>
            <w:hideMark/>
          </w:tcPr>
          <w:p w14:paraId="3DBE7AC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13136F1E" w14:textId="77777777" w:rsidTr="00BD1C60">
        <w:trPr>
          <w:trHeight w:val="318"/>
          <w:jc w:val="center"/>
        </w:trPr>
        <w:tc>
          <w:tcPr>
            <w:tcW w:w="1620" w:type="dxa"/>
            <w:vMerge/>
            <w:tcBorders>
              <w:top w:val="nil"/>
              <w:left w:val="nil"/>
              <w:bottom w:val="single" w:sz="8" w:space="0" w:color="B8CCE4"/>
              <w:right w:val="nil"/>
            </w:tcBorders>
            <w:hideMark/>
          </w:tcPr>
          <w:p w14:paraId="5001BD5E"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4" w:space="0" w:color="ADD6EA"/>
              <w:left w:val="nil"/>
              <w:bottom w:val="nil"/>
              <w:right w:val="nil"/>
            </w:tcBorders>
            <w:shd w:val="clear" w:color="auto" w:fill="auto"/>
            <w:hideMark/>
          </w:tcPr>
          <w:p w14:paraId="6DCAAA71" w14:textId="6E50DD92"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First </w:t>
            </w:r>
            <w:proofErr w:type="gramStart"/>
            <w:r w:rsidRPr="004A2A40">
              <w:rPr>
                <w:rFonts w:eastAsia="Times New Roman" w:cs="Open Sans Light"/>
                <w:color w:val="000000"/>
                <w:sz w:val="16"/>
                <w:szCs w:val="16"/>
                <w:lang w:eastAsia="en-AU"/>
              </w:rPr>
              <w:t>home</w:t>
            </w:r>
            <w:r w:rsidR="006C3218">
              <w:rPr>
                <w:rFonts w:eastAsia="Times New Roman" w:cs="Open Sans Light"/>
                <w:color w:val="000000"/>
                <w:sz w:val="16"/>
                <w:szCs w:val="16"/>
                <w:lang w:eastAsia="en-AU"/>
              </w:rPr>
              <w:t xml:space="preserve"> </w:t>
            </w:r>
            <w:r w:rsidRPr="004A2A40">
              <w:rPr>
                <w:rFonts w:eastAsia="Times New Roman" w:cs="Open Sans Light"/>
                <w:color w:val="000000"/>
                <w:sz w:val="16"/>
                <w:szCs w:val="16"/>
                <w:lang w:eastAsia="en-AU"/>
              </w:rPr>
              <w:t>owner</w:t>
            </w:r>
            <w:proofErr w:type="gramEnd"/>
            <w:r w:rsidRPr="004A2A40">
              <w:rPr>
                <w:rFonts w:eastAsia="Times New Roman" w:cs="Open Sans Light"/>
                <w:color w:val="000000"/>
                <w:sz w:val="16"/>
                <w:szCs w:val="16"/>
                <w:lang w:eastAsia="en-AU"/>
              </w:rPr>
              <w:t xml:space="preserve"> expenses</w:t>
            </w:r>
          </w:p>
        </w:tc>
        <w:tc>
          <w:tcPr>
            <w:tcW w:w="992" w:type="dxa"/>
            <w:tcBorders>
              <w:top w:val="single" w:sz="4" w:space="0" w:color="ADD6EA"/>
              <w:left w:val="nil"/>
              <w:bottom w:val="nil"/>
              <w:right w:val="nil"/>
            </w:tcBorders>
            <w:shd w:val="clear" w:color="auto" w:fill="auto"/>
            <w:hideMark/>
          </w:tcPr>
          <w:p w14:paraId="12F9B57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4" w:space="0" w:color="ADD6EA"/>
              <w:left w:val="nil"/>
              <w:bottom w:val="nil"/>
              <w:right w:val="nil"/>
            </w:tcBorders>
            <w:shd w:val="clear" w:color="auto" w:fill="auto"/>
            <w:hideMark/>
          </w:tcPr>
          <w:p w14:paraId="10B2D51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4" w:space="0" w:color="ADD6EA"/>
              <w:left w:val="nil"/>
              <w:bottom w:val="nil"/>
              <w:right w:val="nil"/>
            </w:tcBorders>
            <w:shd w:val="clear" w:color="auto" w:fill="auto"/>
            <w:hideMark/>
          </w:tcPr>
          <w:p w14:paraId="37A6BFA8"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2E9729C8"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6B9A98A1"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r w:rsidRPr="00127B76">
              <w:rPr>
                <w:rFonts w:eastAsia="Times New Roman" w:cs="Open Sans Light"/>
                <w:color w:val="000000"/>
                <w:sz w:val="16"/>
                <w:szCs w:val="16"/>
                <w:lang w:eastAsia="en-AU"/>
              </w:rPr>
              <w:t>Welfare</w:t>
            </w:r>
          </w:p>
        </w:tc>
        <w:tc>
          <w:tcPr>
            <w:tcW w:w="2066" w:type="dxa"/>
            <w:tcBorders>
              <w:top w:val="single" w:sz="8" w:space="0" w:color="ADD6EA"/>
              <w:left w:val="nil"/>
              <w:bottom w:val="nil"/>
              <w:right w:val="nil"/>
            </w:tcBorders>
            <w:shd w:val="clear" w:color="auto" w:fill="auto"/>
            <w:hideMark/>
          </w:tcPr>
          <w:p w14:paraId="24DE4450"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Child protection and family services</w:t>
            </w:r>
          </w:p>
        </w:tc>
        <w:tc>
          <w:tcPr>
            <w:tcW w:w="992" w:type="dxa"/>
            <w:tcBorders>
              <w:top w:val="single" w:sz="8" w:space="0" w:color="ADD6EA"/>
              <w:left w:val="nil"/>
              <w:bottom w:val="nil"/>
              <w:right w:val="nil"/>
            </w:tcBorders>
            <w:shd w:val="clear" w:color="auto" w:fill="auto"/>
            <w:hideMark/>
          </w:tcPr>
          <w:p w14:paraId="7DEF733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66243A7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16E371F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4D9002E7" w14:textId="77777777" w:rsidTr="00BD1C60">
        <w:trPr>
          <w:trHeight w:val="318"/>
          <w:jc w:val="center"/>
        </w:trPr>
        <w:tc>
          <w:tcPr>
            <w:tcW w:w="1620" w:type="dxa"/>
            <w:vMerge/>
            <w:tcBorders>
              <w:top w:val="nil"/>
              <w:left w:val="nil"/>
              <w:bottom w:val="single" w:sz="8" w:space="0" w:color="B8CCE4"/>
              <w:right w:val="nil"/>
            </w:tcBorders>
            <w:hideMark/>
          </w:tcPr>
          <w:p w14:paraId="782AA177" w14:textId="77777777" w:rsidR="004A2A40" w:rsidRPr="00127B76"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16813AD5" w14:textId="4ADD1EFC"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w:t>
            </w:r>
            <w:r w:rsidR="007964E5">
              <w:rPr>
                <w:rFonts w:eastAsia="Times New Roman" w:cs="Open Sans Light"/>
                <w:color w:val="000000"/>
                <w:sz w:val="16"/>
                <w:szCs w:val="16"/>
                <w:lang w:eastAsia="en-AU"/>
              </w:rPr>
              <w:t xml:space="preserve">ational </w:t>
            </w:r>
            <w:r w:rsidRPr="004A2A40">
              <w:rPr>
                <w:rFonts w:eastAsia="Times New Roman" w:cs="Open Sans Light"/>
                <w:color w:val="000000"/>
                <w:sz w:val="16"/>
                <w:szCs w:val="16"/>
                <w:lang w:eastAsia="en-AU"/>
              </w:rPr>
              <w:t>D</w:t>
            </w:r>
            <w:r w:rsidR="007964E5">
              <w:rPr>
                <w:rFonts w:eastAsia="Times New Roman" w:cs="Open Sans Light"/>
                <w:color w:val="000000"/>
                <w:sz w:val="16"/>
                <w:szCs w:val="16"/>
                <w:lang w:eastAsia="en-AU"/>
              </w:rPr>
              <w:t xml:space="preserve">isability </w:t>
            </w:r>
            <w:r w:rsidRPr="004A2A40">
              <w:rPr>
                <w:rFonts w:eastAsia="Times New Roman" w:cs="Open Sans Light"/>
                <w:color w:val="000000"/>
                <w:sz w:val="16"/>
                <w:szCs w:val="16"/>
                <w:lang w:eastAsia="en-AU"/>
              </w:rPr>
              <w:t>I</w:t>
            </w:r>
            <w:r w:rsidR="007964E5">
              <w:rPr>
                <w:rFonts w:eastAsia="Times New Roman" w:cs="Open Sans Light"/>
                <w:color w:val="000000"/>
                <w:sz w:val="16"/>
                <w:szCs w:val="16"/>
                <w:lang w:eastAsia="en-AU"/>
              </w:rPr>
              <w:t xml:space="preserve">nsurance </w:t>
            </w:r>
            <w:r w:rsidRPr="004A2A40">
              <w:rPr>
                <w:rFonts w:eastAsia="Times New Roman" w:cs="Open Sans Light"/>
                <w:color w:val="000000"/>
                <w:sz w:val="16"/>
                <w:szCs w:val="16"/>
                <w:lang w:eastAsia="en-AU"/>
              </w:rPr>
              <w:t>S</w:t>
            </w:r>
            <w:r w:rsidR="007964E5">
              <w:rPr>
                <w:rFonts w:eastAsia="Times New Roman" w:cs="Open Sans Light"/>
                <w:color w:val="000000"/>
                <w:sz w:val="16"/>
                <w:szCs w:val="16"/>
                <w:lang w:eastAsia="en-AU"/>
              </w:rPr>
              <w:t>cheme</w:t>
            </w:r>
          </w:p>
        </w:tc>
        <w:tc>
          <w:tcPr>
            <w:tcW w:w="992" w:type="dxa"/>
            <w:tcBorders>
              <w:top w:val="single" w:sz="8" w:space="0" w:color="ADD6EA"/>
              <w:left w:val="nil"/>
              <w:bottom w:val="nil"/>
              <w:right w:val="nil"/>
            </w:tcBorders>
            <w:shd w:val="clear" w:color="auto" w:fill="auto"/>
            <w:hideMark/>
          </w:tcPr>
          <w:p w14:paraId="76BAC6B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7666ED7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65B0E00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78DB0C6D" w14:textId="77777777" w:rsidTr="00BD1C60">
        <w:trPr>
          <w:trHeight w:val="318"/>
          <w:jc w:val="center"/>
        </w:trPr>
        <w:tc>
          <w:tcPr>
            <w:tcW w:w="1620" w:type="dxa"/>
            <w:vMerge/>
            <w:tcBorders>
              <w:top w:val="nil"/>
              <w:left w:val="nil"/>
              <w:bottom w:val="single" w:sz="8" w:space="0" w:color="B8CCE4"/>
              <w:right w:val="nil"/>
            </w:tcBorders>
            <w:hideMark/>
          </w:tcPr>
          <w:p w14:paraId="28CC29E4"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3B6FDEBA"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Concessions</w:t>
            </w:r>
          </w:p>
        </w:tc>
        <w:tc>
          <w:tcPr>
            <w:tcW w:w="992" w:type="dxa"/>
            <w:tcBorders>
              <w:top w:val="single" w:sz="8" w:space="0" w:color="ADD6EA"/>
              <w:left w:val="nil"/>
              <w:bottom w:val="nil"/>
              <w:right w:val="nil"/>
            </w:tcBorders>
            <w:shd w:val="clear" w:color="auto" w:fill="auto"/>
            <w:hideMark/>
          </w:tcPr>
          <w:p w14:paraId="4DC069AD"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69A2DF1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2855A65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1796B014" w14:textId="77777777" w:rsidTr="00BD1C60">
        <w:trPr>
          <w:trHeight w:val="315"/>
          <w:jc w:val="center"/>
        </w:trPr>
        <w:tc>
          <w:tcPr>
            <w:tcW w:w="1620" w:type="dxa"/>
            <w:vMerge/>
            <w:tcBorders>
              <w:top w:val="nil"/>
              <w:left w:val="nil"/>
              <w:bottom w:val="single" w:sz="8" w:space="0" w:color="B8CCE4"/>
              <w:right w:val="nil"/>
            </w:tcBorders>
            <w:hideMark/>
          </w:tcPr>
          <w:p w14:paraId="0678B3FA"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5F9D336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Homelessness services</w:t>
            </w:r>
          </w:p>
        </w:tc>
        <w:tc>
          <w:tcPr>
            <w:tcW w:w="992" w:type="dxa"/>
            <w:tcBorders>
              <w:top w:val="single" w:sz="8" w:space="0" w:color="ADD6EA"/>
              <w:left w:val="nil"/>
              <w:bottom w:val="nil"/>
              <w:right w:val="nil"/>
            </w:tcBorders>
            <w:shd w:val="clear" w:color="auto" w:fill="auto"/>
            <w:hideMark/>
          </w:tcPr>
          <w:p w14:paraId="2CC97EA9" w14:textId="6144D630"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490CF27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10BF57C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New component</w:t>
            </w:r>
          </w:p>
        </w:tc>
      </w:tr>
      <w:tr w:rsidR="00C84400" w:rsidRPr="004A2A40" w14:paraId="2CA5632F" w14:textId="77777777" w:rsidTr="00BD1C60">
        <w:trPr>
          <w:trHeight w:val="300"/>
          <w:jc w:val="center"/>
        </w:trPr>
        <w:tc>
          <w:tcPr>
            <w:tcW w:w="1620" w:type="dxa"/>
            <w:vMerge/>
            <w:tcBorders>
              <w:top w:val="nil"/>
              <w:left w:val="nil"/>
              <w:bottom w:val="single" w:sz="8" w:space="0" w:color="B8CCE4"/>
              <w:right w:val="nil"/>
            </w:tcBorders>
            <w:hideMark/>
          </w:tcPr>
          <w:p w14:paraId="0AEDB9BF"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5CFB9CFE" w14:textId="62B0EA3D"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Other welfare</w:t>
            </w:r>
            <w:r w:rsidR="00BB35C5">
              <w:rPr>
                <w:rFonts w:eastAsia="Times New Roman" w:cs="Open Sans Light"/>
                <w:color w:val="000000"/>
                <w:sz w:val="16"/>
                <w:szCs w:val="16"/>
                <w:lang w:eastAsia="en-AU"/>
              </w:rPr>
              <w:t xml:space="preserve"> including non-N</w:t>
            </w:r>
            <w:r w:rsidR="00D9477D">
              <w:rPr>
                <w:rFonts w:eastAsia="Times New Roman" w:cs="Open Sans Light"/>
                <w:color w:val="000000"/>
                <w:sz w:val="16"/>
                <w:szCs w:val="16"/>
                <w:lang w:eastAsia="en-AU"/>
              </w:rPr>
              <w:t xml:space="preserve">ational </w:t>
            </w:r>
            <w:r w:rsidR="00BB35C5">
              <w:rPr>
                <w:rFonts w:eastAsia="Times New Roman" w:cs="Open Sans Light"/>
                <w:color w:val="000000"/>
                <w:sz w:val="16"/>
                <w:szCs w:val="16"/>
                <w:lang w:eastAsia="en-AU"/>
              </w:rPr>
              <w:t>D</w:t>
            </w:r>
            <w:r w:rsidR="00D9477D">
              <w:rPr>
                <w:rFonts w:eastAsia="Times New Roman" w:cs="Open Sans Light"/>
                <w:color w:val="000000"/>
                <w:sz w:val="16"/>
                <w:szCs w:val="16"/>
                <w:lang w:eastAsia="en-AU"/>
              </w:rPr>
              <w:t xml:space="preserve">isability </w:t>
            </w:r>
            <w:r w:rsidR="00BB35C5">
              <w:rPr>
                <w:rFonts w:eastAsia="Times New Roman" w:cs="Open Sans Light"/>
                <w:color w:val="000000"/>
                <w:sz w:val="16"/>
                <w:szCs w:val="16"/>
                <w:lang w:eastAsia="en-AU"/>
              </w:rPr>
              <w:t>I</w:t>
            </w:r>
            <w:r w:rsidR="00D9477D">
              <w:rPr>
                <w:rFonts w:eastAsia="Times New Roman" w:cs="Open Sans Light"/>
                <w:color w:val="000000"/>
                <w:sz w:val="16"/>
                <w:szCs w:val="16"/>
                <w:lang w:eastAsia="en-AU"/>
              </w:rPr>
              <w:t xml:space="preserve">nsurance </w:t>
            </w:r>
            <w:r w:rsidR="00BB35C5">
              <w:rPr>
                <w:rFonts w:eastAsia="Times New Roman" w:cs="Open Sans Light"/>
                <w:color w:val="000000"/>
                <w:sz w:val="16"/>
                <w:szCs w:val="16"/>
                <w:lang w:eastAsia="en-AU"/>
              </w:rPr>
              <w:t>S</w:t>
            </w:r>
            <w:r w:rsidR="00D9477D">
              <w:rPr>
                <w:rFonts w:eastAsia="Times New Roman" w:cs="Open Sans Light"/>
                <w:color w:val="000000"/>
                <w:sz w:val="16"/>
                <w:szCs w:val="16"/>
                <w:lang w:eastAsia="en-AU"/>
              </w:rPr>
              <w:t>cheme</w:t>
            </w:r>
            <w:r w:rsidR="00BB35C5">
              <w:rPr>
                <w:rFonts w:eastAsia="Times New Roman" w:cs="Open Sans Light"/>
                <w:color w:val="000000"/>
                <w:sz w:val="16"/>
                <w:szCs w:val="16"/>
                <w:lang w:eastAsia="en-AU"/>
              </w:rPr>
              <w:t>, aged care, and National Redress Scheme</w:t>
            </w:r>
          </w:p>
        </w:tc>
        <w:tc>
          <w:tcPr>
            <w:tcW w:w="992" w:type="dxa"/>
            <w:tcBorders>
              <w:top w:val="single" w:sz="8" w:space="0" w:color="ADD6EA"/>
              <w:left w:val="nil"/>
              <w:bottom w:val="nil"/>
              <w:right w:val="nil"/>
            </w:tcBorders>
            <w:shd w:val="clear" w:color="auto" w:fill="auto"/>
            <w:hideMark/>
          </w:tcPr>
          <w:p w14:paraId="3BC2967D" w14:textId="47DA3DCD" w:rsidR="004A2A40" w:rsidRPr="004A2A40" w:rsidRDefault="009708AD"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33140790" w14:textId="3B419F8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r w:rsidR="00B82ADF">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2272E41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168CD737"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5FDABC38"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r w:rsidRPr="00F044BA">
              <w:rPr>
                <w:rFonts w:eastAsia="Times New Roman" w:cs="Open Sans Light"/>
                <w:color w:val="000000"/>
                <w:sz w:val="16"/>
                <w:szCs w:val="16"/>
                <w:lang w:eastAsia="en-AU"/>
              </w:rPr>
              <w:t>Services to communities</w:t>
            </w:r>
          </w:p>
        </w:tc>
        <w:tc>
          <w:tcPr>
            <w:tcW w:w="2066" w:type="dxa"/>
            <w:tcBorders>
              <w:top w:val="single" w:sz="8" w:space="0" w:color="ADD6EA"/>
              <w:left w:val="nil"/>
              <w:bottom w:val="nil"/>
              <w:right w:val="nil"/>
            </w:tcBorders>
            <w:shd w:val="clear" w:color="auto" w:fill="auto"/>
            <w:hideMark/>
          </w:tcPr>
          <w:p w14:paraId="6573886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Water subsidies</w:t>
            </w:r>
          </w:p>
        </w:tc>
        <w:tc>
          <w:tcPr>
            <w:tcW w:w="992" w:type="dxa"/>
            <w:tcBorders>
              <w:top w:val="single" w:sz="8" w:space="0" w:color="ADD6EA"/>
              <w:left w:val="nil"/>
              <w:bottom w:val="nil"/>
              <w:right w:val="nil"/>
            </w:tcBorders>
            <w:shd w:val="clear" w:color="auto" w:fill="auto"/>
            <w:hideMark/>
          </w:tcPr>
          <w:p w14:paraId="1C4401DA"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7807D16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5EF921A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Included in general gradient</w:t>
            </w:r>
          </w:p>
        </w:tc>
      </w:tr>
      <w:tr w:rsidR="00C84400" w:rsidRPr="004A2A40" w14:paraId="1D493CF8" w14:textId="77777777" w:rsidTr="00BD1C60">
        <w:trPr>
          <w:trHeight w:val="318"/>
          <w:jc w:val="center"/>
        </w:trPr>
        <w:tc>
          <w:tcPr>
            <w:tcW w:w="1620" w:type="dxa"/>
            <w:vMerge/>
            <w:tcBorders>
              <w:top w:val="nil"/>
              <w:left w:val="nil"/>
              <w:bottom w:val="single" w:sz="8" w:space="0" w:color="B8CCE4"/>
              <w:right w:val="nil"/>
            </w:tcBorders>
            <w:hideMark/>
          </w:tcPr>
          <w:p w14:paraId="342920C3"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28DAB32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Electricity subsidies</w:t>
            </w:r>
          </w:p>
        </w:tc>
        <w:tc>
          <w:tcPr>
            <w:tcW w:w="992" w:type="dxa"/>
            <w:tcBorders>
              <w:top w:val="single" w:sz="8" w:space="0" w:color="ADD6EA"/>
              <w:left w:val="nil"/>
              <w:bottom w:val="nil"/>
              <w:right w:val="nil"/>
            </w:tcBorders>
            <w:shd w:val="clear" w:color="auto" w:fill="auto"/>
            <w:hideMark/>
          </w:tcPr>
          <w:p w14:paraId="6916CE1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2AEDC8D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7F3E8A3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Included in general gradient</w:t>
            </w:r>
          </w:p>
        </w:tc>
      </w:tr>
      <w:tr w:rsidR="00C84400" w:rsidRPr="004A2A40" w14:paraId="62DC1738" w14:textId="77777777" w:rsidTr="00BD1C60">
        <w:trPr>
          <w:trHeight w:val="318"/>
          <w:jc w:val="center"/>
        </w:trPr>
        <w:tc>
          <w:tcPr>
            <w:tcW w:w="1620" w:type="dxa"/>
            <w:vMerge/>
            <w:tcBorders>
              <w:top w:val="nil"/>
              <w:left w:val="nil"/>
              <w:bottom w:val="single" w:sz="8" w:space="0" w:color="B8CCE4"/>
              <w:right w:val="nil"/>
            </w:tcBorders>
            <w:hideMark/>
          </w:tcPr>
          <w:p w14:paraId="1DB4B99B"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39413C09" w14:textId="3F1A4910" w:rsidR="004A2A40" w:rsidRPr="004A2A40" w:rsidRDefault="0089365E"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First Nations</w:t>
            </w:r>
            <w:r w:rsidR="004A2A40" w:rsidRPr="004A2A40">
              <w:rPr>
                <w:rFonts w:eastAsia="Times New Roman" w:cs="Open Sans Light"/>
                <w:color w:val="000000"/>
                <w:sz w:val="16"/>
                <w:szCs w:val="16"/>
                <w:lang w:eastAsia="en-AU"/>
              </w:rPr>
              <w:t xml:space="preserve"> community development</w:t>
            </w:r>
          </w:p>
        </w:tc>
        <w:tc>
          <w:tcPr>
            <w:tcW w:w="992" w:type="dxa"/>
            <w:tcBorders>
              <w:top w:val="single" w:sz="8" w:space="0" w:color="ADD6EA"/>
              <w:left w:val="nil"/>
              <w:bottom w:val="nil"/>
              <w:right w:val="nil"/>
            </w:tcBorders>
            <w:shd w:val="clear" w:color="auto" w:fill="auto"/>
            <w:hideMark/>
          </w:tcPr>
          <w:p w14:paraId="16A8FF1D"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6C4FA6D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46C085D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18644581" w14:textId="77777777" w:rsidTr="00BD1C60">
        <w:trPr>
          <w:trHeight w:val="318"/>
          <w:jc w:val="center"/>
        </w:trPr>
        <w:tc>
          <w:tcPr>
            <w:tcW w:w="1620" w:type="dxa"/>
            <w:vMerge/>
            <w:tcBorders>
              <w:top w:val="nil"/>
              <w:left w:val="nil"/>
              <w:bottom w:val="single" w:sz="8" w:space="0" w:color="B8CCE4"/>
              <w:right w:val="nil"/>
            </w:tcBorders>
            <w:hideMark/>
          </w:tcPr>
          <w:p w14:paraId="3073B86E"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62771BD1" w14:textId="5A57BC94"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Other community development</w:t>
            </w:r>
            <w:r w:rsidR="0089365E">
              <w:rPr>
                <w:rFonts w:eastAsia="Times New Roman" w:cs="Open Sans Light"/>
                <w:color w:val="000000"/>
                <w:sz w:val="16"/>
                <w:szCs w:val="16"/>
                <w:lang w:eastAsia="en-AU"/>
              </w:rPr>
              <w:t xml:space="preserve"> and amenities</w:t>
            </w:r>
          </w:p>
        </w:tc>
        <w:tc>
          <w:tcPr>
            <w:tcW w:w="992" w:type="dxa"/>
            <w:tcBorders>
              <w:top w:val="single" w:sz="8" w:space="0" w:color="ADD6EA"/>
              <w:left w:val="nil"/>
              <w:bottom w:val="nil"/>
              <w:right w:val="nil"/>
            </w:tcBorders>
            <w:shd w:val="clear" w:color="auto" w:fill="auto"/>
            <w:hideMark/>
          </w:tcPr>
          <w:p w14:paraId="0E730230"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6D27961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22B517F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5C933971" w14:textId="77777777" w:rsidTr="00BD1C60">
        <w:trPr>
          <w:trHeight w:val="318"/>
          <w:jc w:val="center"/>
        </w:trPr>
        <w:tc>
          <w:tcPr>
            <w:tcW w:w="1620" w:type="dxa"/>
            <w:vMerge/>
            <w:tcBorders>
              <w:top w:val="nil"/>
              <w:left w:val="nil"/>
              <w:bottom w:val="single" w:sz="8" w:space="0" w:color="B8CCE4"/>
              <w:right w:val="nil"/>
            </w:tcBorders>
            <w:hideMark/>
          </w:tcPr>
          <w:p w14:paraId="59CB2E3E"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62B9EC3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Environmental protection</w:t>
            </w:r>
          </w:p>
        </w:tc>
        <w:tc>
          <w:tcPr>
            <w:tcW w:w="992" w:type="dxa"/>
            <w:tcBorders>
              <w:top w:val="single" w:sz="8" w:space="0" w:color="ADD6EA"/>
              <w:left w:val="nil"/>
              <w:bottom w:val="nil"/>
              <w:right w:val="nil"/>
            </w:tcBorders>
            <w:shd w:val="clear" w:color="auto" w:fill="auto"/>
            <w:hideMark/>
          </w:tcPr>
          <w:p w14:paraId="11A714A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51D11AD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5E00B7A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5918E171"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170F9CD7"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r w:rsidRPr="00F044BA">
              <w:rPr>
                <w:rFonts w:eastAsia="Times New Roman" w:cs="Open Sans Light"/>
                <w:color w:val="000000"/>
                <w:sz w:val="16"/>
                <w:szCs w:val="16"/>
                <w:lang w:eastAsia="en-AU"/>
              </w:rPr>
              <w:t>Justice</w:t>
            </w:r>
          </w:p>
        </w:tc>
        <w:tc>
          <w:tcPr>
            <w:tcW w:w="2066" w:type="dxa"/>
            <w:tcBorders>
              <w:top w:val="single" w:sz="8" w:space="0" w:color="ADD6EA"/>
              <w:left w:val="nil"/>
              <w:bottom w:val="nil"/>
              <w:right w:val="nil"/>
            </w:tcBorders>
            <w:shd w:val="clear" w:color="auto" w:fill="auto"/>
            <w:hideMark/>
          </w:tcPr>
          <w:p w14:paraId="4D00901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Police</w:t>
            </w:r>
          </w:p>
        </w:tc>
        <w:tc>
          <w:tcPr>
            <w:tcW w:w="992" w:type="dxa"/>
            <w:tcBorders>
              <w:top w:val="single" w:sz="8" w:space="0" w:color="ADD6EA"/>
              <w:left w:val="nil"/>
              <w:bottom w:val="nil"/>
              <w:right w:val="nil"/>
            </w:tcBorders>
            <w:shd w:val="clear" w:color="auto" w:fill="auto"/>
            <w:hideMark/>
          </w:tcPr>
          <w:p w14:paraId="29A48DB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28DE34C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Component</w:t>
            </w:r>
            <w:r w:rsidRPr="004A2A40">
              <w:rPr>
                <w:rFonts w:eastAsia="Times New Roman" w:cs="Open Sans Light"/>
                <w:color w:val="000000"/>
                <w:sz w:val="16"/>
                <w:szCs w:val="16"/>
                <w:vertAlign w:val="superscript"/>
                <w:lang w:eastAsia="en-AU"/>
              </w:rPr>
              <w:t>(b)</w:t>
            </w:r>
          </w:p>
        </w:tc>
        <w:tc>
          <w:tcPr>
            <w:tcW w:w="2835" w:type="dxa"/>
            <w:tcBorders>
              <w:top w:val="single" w:sz="8" w:space="0" w:color="ADD6EA"/>
              <w:left w:val="nil"/>
              <w:bottom w:val="nil"/>
              <w:right w:val="nil"/>
            </w:tcBorders>
            <w:shd w:val="clear" w:color="auto" w:fill="auto"/>
            <w:hideMark/>
          </w:tcPr>
          <w:p w14:paraId="6F9C453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7D93643D" w14:textId="77777777" w:rsidTr="00BD1C60">
        <w:trPr>
          <w:trHeight w:val="318"/>
          <w:jc w:val="center"/>
        </w:trPr>
        <w:tc>
          <w:tcPr>
            <w:tcW w:w="1620" w:type="dxa"/>
            <w:vMerge/>
            <w:tcBorders>
              <w:top w:val="nil"/>
              <w:left w:val="nil"/>
              <w:bottom w:val="single" w:sz="8" w:space="0" w:color="B8CCE4"/>
              <w:right w:val="nil"/>
            </w:tcBorders>
            <w:hideMark/>
          </w:tcPr>
          <w:p w14:paraId="2A8D9361"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145BB63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Criminal courts</w:t>
            </w:r>
          </w:p>
        </w:tc>
        <w:tc>
          <w:tcPr>
            <w:tcW w:w="992" w:type="dxa"/>
            <w:tcBorders>
              <w:top w:val="single" w:sz="8" w:space="0" w:color="ADD6EA"/>
              <w:left w:val="nil"/>
              <w:bottom w:val="nil"/>
              <w:right w:val="nil"/>
            </w:tcBorders>
            <w:shd w:val="clear" w:color="auto" w:fill="auto"/>
            <w:hideMark/>
          </w:tcPr>
          <w:p w14:paraId="1D6A753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181F5D8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0654C84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Included in general gradient</w:t>
            </w:r>
          </w:p>
        </w:tc>
      </w:tr>
      <w:tr w:rsidR="00C84400" w:rsidRPr="004A2A40" w14:paraId="1173DDC9" w14:textId="77777777" w:rsidTr="00BD1C60">
        <w:trPr>
          <w:trHeight w:val="318"/>
          <w:jc w:val="center"/>
        </w:trPr>
        <w:tc>
          <w:tcPr>
            <w:tcW w:w="1620" w:type="dxa"/>
            <w:vMerge/>
            <w:tcBorders>
              <w:top w:val="nil"/>
              <w:left w:val="nil"/>
              <w:bottom w:val="single" w:sz="8" w:space="0" w:color="B8CCE4"/>
              <w:right w:val="nil"/>
            </w:tcBorders>
            <w:hideMark/>
          </w:tcPr>
          <w:p w14:paraId="1A797751"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40E31B58"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Other legal services</w:t>
            </w:r>
          </w:p>
        </w:tc>
        <w:tc>
          <w:tcPr>
            <w:tcW w:w="992" w:type="dxa"/>
            <w:tcBorders>
              <w:top w:val="single" w:sz="8" w:space="0" w:color="ADD6EA"/>
              <w:left w:val="nil"/>
              <w:bottom w:val="nil"/>
              <w:right w:val="nil"/>
            </w:tcBorders>
            <w:shd w:val="clear" w:color="auto" w:fill="auto"/>
            <w:hideMark/>
          </w:tcPr>
          <w:p w14:paraId="639CCC4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1156447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Category</w:t>
            </w:r>
            <w:r w:rsidRPr="004A2A40">
              <w:rPr>
                <w:rFonts w:eastAsia="Times New Roman" w:cs="Open Sans Light"/>
                <w:color w:val="000000"/>
                <w:sz w:val="16"/>
                <w:szCs w:val="16"/>
                <w:vertAlign w:val="superscript"/>
                <w:lang w:eastAsia="en-AU"/>
              </w:rPr>
              <w:t>(a)</w:t>
            </w:r>
          </w:p>
        </w:tc>
        <w:tc>
          <w:tcPr>
            <w:tcW w:w="2835" w:type="dxa"/>
            <w:tcBorders>
              <w:top w:val="single" w:sz="8" w:space="0" w:color="ADD6EA"/>
              <w:left w:val="nil"/>
              <w:bottom w:val="nil"/>
              <w:right w:val="nil"/>
            </w:tcBorders>
            <w:shd w:val="clear" w:color="auto" w:fill="auto"/>
            <w:hideMark/>
          </w:tcPr>
          <w:p w14:paraId="358D86A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6DBE8A23" w14:textId="77777777" w:rsidTr="00BD1C60">
        <w:trPr>
          <w:trHeight w:val="318"/>
          <w:jc w:val="center"/>
        </w:trPr>
        <w:tc>
          <w:tcPr>
            <w:tcW w:w="1620" w:type="dxa"/>
            <w:vMerge/>
            <w:tcBorders>
              <w:top w:val="nil"/>
              <w:left w:val="nil"/>
              <w:bottom w:val="single" w:sz="8" w:space="0" w:color="B8CCE4"/>
              <w:right w:val="nil"/>
            </w:tcBorders>
            <w:hideMark/>
          </w:tcPr>
          <w:p w14:paraId="25101A13"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75C50B4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Prisons</w:t>
            </w:r>
          </w:p>
        </w:tc>
        <w:tc>
          <w:tcPr>
            <w:tcW w:w="992" w:type="dxa"/>
            <w:tcBorders>
              <w:top w:val="single" w:sz="8" w:space="0" w:color="ADD6EA"/>
              <w:left w:val="nil"/>
              <w:bottom w:val="nil"/>
              <w:right w:val="nil"/>
            </w:tcBorders>
            <w:shd w:val="clear" w:color="auto" w:fill="auto"/>
            <w:hideMark/>
          </w:tcPr>
          <w:p w14:paraId="234E0AA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 &amp; SDS</w:t>
            </w:r>
          </w:p>
        </w:tc>
        <w:tc>
          <w:tcPr>
            <w:tcW w:w="1843" w:type="dxa"/>
            <w:tcBorders>
              <w:top w:val="single" w:sz="8" w:space="0" w:color="ADD6EA"/>
              <w:left w:val="nil"/>
              <w:bottom w:val="nil"/>
              <w:right w:val="nil"/>
            </w:tcBorders>
            <w:shd w:val="clear" w:color="auto" w:fill="auto"/>
            <w:hideMark/>
          </w:tcPr>
          <w:p w14:paraId="03FC096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Component</w:t>
            </w:r>
          </w:p>
        </w:tc>
        <w:tc>
          <w:tcPr>
            <w:tcW w:w="2835" w:type="dxa"/>
            <w:tcBorders>
              <w:top w:val="single" w:sz="8" w:space="0" w:color="ADD6EA"/>
              <w:left w:val="nil"/>
              <w:bottom w:val="nil"/>
              <w:right w:val="nil"/>
            </w:tcBorders>
            <w:shd w:val="clear" w:color="auto" w:fill="auto"/>
            <w:hideMark/>
          </w:tcPr>
          <w:p w14:paraId="77009E1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Included in general gradient</w:t>
            </w:r>
          </w:p>
        </w:tc>
      </w:tr>
      <w:tr w:rsidR="00C84400" w:rsidRPr="004A2A40" w14:paraId="5EC1466B"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41C64532"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r w:rsidRPr="00F044BA">
              <w:rPr>
                <w:rFonts w:eastAsia="Times New Roman" w:cs="Open Sans Light"/>
                <w:color w:val="000000"/>
                <w:sz w:val="16"/>
                <w:szCs w:val="16"/>
                <w:lang w:eastAsia="en-AU"/>
              </w:rPr>
              <w:t>Roads</w:t>
            </w:r>
          </w:p>
        </w:tc>
        <w:tc>
          <w:tcPr>
            <w:tcW w:w="2066" w:type="dxa"/>
            <w:tcBorders>
              <w:top w:val="single" w:sz="8" w:space="0" w:color="ADD6EA"/>
              <w:left w:val="nil"/>
              <w:bottom w:val="nil"/>
              <w:right w:val="nil"/>
            </w:tcBorders>
            <w:shd w:val="clear" w:color="auto" w:fill="auto"/>
            <w:hideMark/>
          </w:tcPr>
          <w:p w14:paraId="6E5958F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Rural roads</w:t>
            </w:r>
          </w:p>
        </w:tc>
        <w:tc>
          <w:tcPr>
            <w:tcW w:w="992" w:type="dxa"/>
            <w:tcBorders>
              <w:top w:val="single" w:sz="8" w:space="0" w:color="ADD6EA"/>
              <w:left w:val="nil"/>
              <w:bottom w:val="nil"/>
              <w:right w:val="nil"/>
            </w:tcBorders>
            <w:shd w:val="clear" w:color="auto" w:fill="auto"/>
            <w:hideMark/>
          </w:tcPr>
          <w:p w14:paraId="74B6F8B5"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2A70370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proofErr w:type="spellStart"/>
            <w:r w:rsidRPr="004A2A40">
              <w:rPr>
                <w:rFonts w:eastAsia="Times New Roman" w:cs="Open Sans Light"/>
                <w:color w:val="000000"/>
                <w:sz w:val="16"/>
                <w:szCs w:val="16"/>
                <w:lang w:eastAsia="en-AU"/>
              </w:rPr>
              <w:t>Rawlinsons</w:t>
            </w:r>
            <w:proofErr w:type="spellEnd"/>
            <w:r w:rsidRPr="004A2A40">
              <w:rPr>
                <w:rFonts w:eastAsia="Times New Roman" w:cs="Open Sans Light"/>
                <w:color w:val="000000"/>
                <w:sz w:val="16"/>
                <w:szCs w:val="16"/>
                <w:vertAlign w:val="superscript"/>
                <w:lang w:eastAsia="en-AU"/>
              </w:rPr>
              <w:t>(c)</w:t>
            </w:r>
          </w:p>
        </w:tc>
        <w:tc>
          <w:tcPr>
            <w:tcW w:w="2835" w:type="dxa"/>
            <w:tcBorders>
              <w:top w:val="single" w:sz="8" w:space="0" w:color="ADD6EA"/>
              <w:left w:val="nil"/>
              <w:bottom w:val="nil"/>
              <w:right w:val="nil"/>
            </w:tcBorders>
            <w:shd w:val="clear" w:color="auto" w:fill="auto"/>
            <w:hideMark/>
          </w:tcPr>
          <w:p w14:paraId="2DFD054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proofErr w:type="spellStart"/>
            <w:r w:rsidRPr="004A2A40">
              <w:rPr>
                <w:rFonts w:eastAsia="Times New Roman" w:cs="Open Sans Light"/>
                <w:color w:val="000000"/>
                <w:sz w:val="16"/>
                <w:szCs w:val="16"/>
                <w:lang w:eastAsia="en-AU"/>
              </w:rPr>
              <w:t>Rawlinsons</w:t>
            </w:r>
            <w:proofErr w:type="spellEnd"/>
            <w:r w:rsidRPr="004A2A40">
              <w:rPr>
                <w:rFonts w:eastAsia="Times New Roman" w:cs="Open Sans Light"/>
                <w:color w:val="000000"/>
                <w:sz w:val="16"/>
                <w:szCs w:val="16"/>
                <w:lang w:eastAsia="en-AU"/>
              </w:rPr>
              <w:t xml:space="preserve"> applied instead of general gradient</w:t>
            </w:r>
          </w:p>
        </w:tc>
      </w:tr>
      <w:tr w:rsidR="00C84400" w:rsidRPr="004A2A40" w14:paraId="13BC549A" w14:textId="77777777" w:rsidTr="00BD1C60">
        <w:trPr>
          <w:trHeight w:val="300"/>
          <w:jc w:val="center"/>
        </w:trPr>
        <w:tc>
          <w:tcPr>
            <w:tcW w:w="1620" w:type="dxa"/>
            <w:vMerge/>
            <w:tcBorders>
              <w:top w:val="nil"/>
              <w:left w:val="nil"/>
              <w:bottom w:val="single" w:sz="8" w:space="0" w:color="B8CCE4"/>
              <w:right w:val="nil"/>
            </w:tcBorders>
            <w:hideMark/>
          </w:tcPr>
          <w:p w14:paraId="37B762D8"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1157C87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Urban roads</w:t>
            </w:r>
          </w:p>
        </w:tc>
        <w:tc>
          <w:tcPr>
            <w:tcW w:w="992" w:type="dxa"/>
            <w:tcBorders>
              <w:top w:val="single" w:sz="8" w:space="0" w:color="ADD6EA"/>
              <w:left w:val="nil"/>
              <w:bottom w:val="nil"/>
              <w:right w:val="nil"/>
            </w:tcBorders>
            <w:shd w:val="clear" w:color="auto" w:fill="auto"/>
            <w:hideMark/>
          </w:tcPr>
          <w:p w14:paraId="6FB3634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4FF5D03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244204B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2350C22C" w14:textId="77777777" w:rsidTr="00BD1C60">
        <w:trPr>
          <w:trHeight w:val="318"/>
          <w:jc w:val="center"/>
        </w:trPr>
        <w:tc>
          <w:tcPr>
            <w:tcW w:w="1620" w:type="dxa"/>
            <w:vMerge/>
            <w:tcBorders>
              <w:top w:val="nil"/>
              <w:left w:val="nil"/>
              <w:bottom w:val="single" w:sz="8" w:space="0" w:color="B8CCE4"/>
              <w:right w:val="nil"/>
            </w:tcBorders>
            <w:hideMark/>
          </w:tcPr>
          <w:p w14:paraId="3B06432E" w14:textId="77777777" w:rsidR="004A2A40" w:rsidRPr="004A2A40" w:rsidRDefault="004A2A40" w:rsidP="00BD1C6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7A4C0E2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Bridges and tunnels</w:t>
            </w:r>
          </w:p>
        </w:tc>
        <w:tc>
          <w:tcPr>
            <w:tcW w:w="992" w:type="dxa"/>
            <w:tcBorders>
              <w:top w:val="single" w:sz="8" w:space="0" w:color="ADD6EA"/>
              <w:left w:val="nil"/>
              <w:bottom w:val="nil"/>
              <w:right w:val="nil"/>
            </w:tcBorders>
            <w:shd w:val="clear" w:color="auto" w:fill="auto"/>
            <w:hideMark/>
          </w:tcPr>
          <w:p w14:paraId="52C700B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37729E7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proofErr w:type="spellStart"/>
            <w:r w:rsidRPr="004A2A40">
              <w:rPr>
                <w:rFonts w:eastAsia="Times New Roman" w:cs="Open Sans Light"/>
                <w:color w:val="000000"/>
                <w:sz w:val="16"/>
                <w:szCs w:val="16"/>
                <w:lang w:eastAsia="en-AU"/>
              </w:rPr>
              <w:t>Rawlinsons</w:t>
            </w:r>
            <w:proofErr w:type="spellEnd"/>
            <w:r w:rsidRPr="004A2A40">
              <w:rPr>
                <w:rFonts w:eastAsia="Times New Roman" w:cs="Open Sans Light"/>
                <w:color w:val="000000"/>
                <w:sz w:val="16"/>
                <w:szCs w:val="16"/>
                <w:vertAlign w:val="superscript"/>
                <w:lang w:eastAsia="en-AU"/>
              </w:rPr>
              <w:t>(c)</w:t>
            </w:r>
          </w:p>
        </w:tc>
        <w:tc>
          <w:tcPr>
            <w:tcW w:w="2835" w:type="dxa"/>
            <w:tcBorders>
              <w:top w:val="single" w:sz="8" w:space="0" w:color="ADD6EA"/>
              <w:left w:val="nil"/>
              <w:bottom w:val="nil"/>
              <w:right w:val="nil"/>
            </w:tcBorders>
            <w:shd w:val="clear" w:color="auto" w:fill="auto"/>
            <w:hideMark/>
          </w:tcPr>
          <w:p w14:paraId="4336AB2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proofErr w:type="spellStart"/>
            <w:r w:rsidRPr="004A2A40">
              <w:rPr>
                <w:rFonts w:eastAsia="Times New Roman" w:cs="Open Sans Light"/>
                <w:color w:val="000000"/>
                <w:sz w:val="16"/>
                <w:szCs w:val="16"/>
                <w:lang w:eastAsia="en-AU"/>
              </w:rPr>
              <w:t>Rawlinsons</w:t>
            </w:r>
            <w:proofErr w:type="spellEnd"/>
            <w:r w:rsidRPr="004A2A40">
              <w:rPr>
                <w:rFonts w:eastAsia="Times New Roman" w:cs="Open Sans Light"/>
                <w:color w:val="000000"/>
                <w:sz w:val="16"/>
                <w:szCs w:val="16"/>
                <w:lang w:eastAsia="en-AU"/>
              </w:rPr>
              <w:t xml:space="preserve"> applied instead of general gradient</w:t>
            </w:r>
          </w:p>
        </w:tc>
      </w:tr>
      <w:tr w:rsidR="00C84400" w:rsidRPr="004A2A40" w14:paraId="47D882CD"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6C35E501"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r w:rsidRPr="00F044BA">
              <w:rPr>
                <w:rFonts w:eastAsia="Times New Roman" w:cs="Open Sans Light"/>
                <w:color w:val="000000"/>
                <w:sz w:val="16"/>
                <w:szCs w:val="16"/>
                <w:lang w:eastAsia="en-AU"/>
              </w:rPr>
              <w:t>Transport</w:t>
            </w:r>
          </w:p>
        </w:tc>
        <w:tc>
          <w:tcPr>
            <w:tcW w:w="2066" w:type="dxa"/>
            <w:tcBorders>
              <w:top w:val="single" w:sz="8" w:space="0" w:color="ADD6EA"/>
              <w:left w:val="nil"/>
              <w:bottom w:val="nil"/>
              <w:right w:val="nil"/>
            </w:tcBorders>
            <w:shd w:val="clear" w:color="auto" w:fill="auto"/>
            <w:hideMark/>
          </w:tcPr>
          <w:p w14:paraId="6A9F3B1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Non-urban transport</w:t>
            </w:r>
          </w:p>
        </w:tc>
        <w:tc>
          <w:tcPr>
            <w:tcW w:w="992" w:type="dxa"/>
            <w:tcBorders>
              <w:top w:val="single" w:sz="8" w:space="0" w:color="ADD6EA"/>
              <w:left w:val="nil"/>
              <w:bottom w:val="nil"/>
              <w:right w:val="nil"/>
            </w:tcBorders>
            <w:shd w:val="clear" w:color="auto" w:fill="auto"/>
            <w:hideMark/>
          </w:tcPr>
          <w:p w14:paraId="79AAD890"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2A430C2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6935966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06F7E04D" w14:textId="77777777" w:rsidTr="00BD1C60">
        <w:trPr>
          <w:trHeight w:val="318"/>
          <w:jc w:val="center"/>
        </w:trPr>
        <w:tc>
          <w:tcPr>
            <w:tcW w:w="1620" w:type="dxa"/>
            <w:vMerge/>
            <w:tcBorders>
              <w:top w:val="nil"/>
              <w:left w:val="nil"/>
              <w:bottom w:val="single" w:sz="8" w:space="0" w:color="B8CCE4"/>
              <w:right w:val="nil"/>
            </w:tcBorders>
            <w:hideMark/>
          </w:tcPr>
          <w:p w14:paraId="581EDCF2"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330F0E0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Urban transport </w:t>
            </w:r>
          </w:p>
        </w:tc>
        <w:tc>
          <w:tcPr>
            <w:tcW w:w="992" w:type="dxa"/>
            <w:tcBorders>
              <w:top w:val="single" w:sz="8" w:space="0" w:color="ADD6EA"/>
              <w:left w:val="nil"/>
              <w:bottom w:val="nil"/>
              <w:right w:val="nil"/>
            </w:tcBorders>
            <w:shd w:val="clear" w:color="auto" w:fill="auto"/>
            <w:hideMark/>
          </w:tcPr>
          <w:p w14:paraId="6399DB6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2083462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67280FED"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16AFEFC1" w14:textId="77777777" w:rsidTr="00BD1C60">
        <w:trPr>
          <w:trHeight w:val="318"/>
          <w:jc w:val="center"/>
        </w:trPr>
        <w:tc>
          <w:tcPr>
            <w:tcW w:w="1620" w:type="dxa"/>
            <w:vMerge w:val="restart"/>
            <w:tcBorders>
              <w:top w:val="nil"/>
              <w:left w:val="nil"/>
              <w:bottom w:val="single" w:sz="8" w:space="0" w:color="B8CCE4"/>
              <w:right w:val="nil"/>
            </w:tcBorders>
            <w:shd w:val="clear" w:color="000000" w:fill="FFFFFF"/>
            <w:hideMark/>
          </w:tcPr>
          <w:p w14:paraId="6E649E58"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r w:rsidRPr="00F044BA">
              <w:rPr>
                <w:rFonts w:eastAsia="Times New Roman" w:cs="Open Sans Light"/>
                <w:color w:val="000000"/>
                <w:sz w:val="16"/>
                <w:szCs w:val="16"/>
                <w:lang w:eastAsia="en-AU"/>
              </w:rPr>
              <w:t>Services to industry</w:t>
            </w:r>
          </w:p>
        </w:tc>
        <w:tc>
          <w:tcPr>
            <w:tcW w:w="2066" w:type="dxa"/>
            <w:tcBorders>
              <w:top w:val="single" w:sz="8" w:space="0" w:color="ADD6EA"/>
              <w:left w:val="nil"/>
              <w:bottom w:val="nil"/>
              <w:right w:val="nil"/>
            </w:tcBorders>
            <w:shd w:val="clear" w:color="auto" w:fill="auto"/>
            <w:hideMark/>
          </w:tcPr>
          <w:p w14:paraId="251B94E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Agriculture regulation</w:t>
            </w:r>
          </w:p>
        </w:tc>
        <w:tc>
          <w:tcPr>
            <w:tcW w:w="992" w:type="dxa"/>
            <w:tcBorders>
              <w:top w:val="single" w:sz="8" w:space="0" w:color="ADD6EA"/>
              <w:left w:val="nil"/>
              <w:bottom w:val="nil"/>
              <w:right w:val="nil"/>
            </w:tcBorders>
            <w:shd w:val="clear" w:color="auto" w:fill="auto"/>
            <w:hideMark/>
          </w:tcPr>
          <w:p w14:paraId="2E2C0A0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6A88A905"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17C90AC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1686F723" w14:textId="77777777" w:rsidTr="00BD1C60">
        <w:trPr>
          <w:trHeight w:val="318"/>
          <w:jc w:val="center"/>
        </w:trPr>
        <w:tc>
          <w:tcPr>
            <w:tcW w:w="1620" w:type="dxa"/>
            <w:vMerge/>
            <w:tcBorders>
              <w:top w:val="nil"/>
              <w:left w:val="nil"/>
              <w:bottom w:val="single" w:sz="8" w:space="0" w:color="B8CCE4"/>
              <w:right w:val="nil"/>
            </w:tcBorders>
            <w:hideMark/>
          </w:tcPr>
          <w:p w14:paraId="768D8911"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2ED035B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Mining regulation</w:t>
            </w:r>
          </w:p>
        </w:tc>
        <w:tc>
          <w:tcPr>
            <w:tcW w:w="992" w:type="dxa"/>
            <w:tcBorders>
              <w:top w:val="single" w:sz="8" w:space="0" w:color="ADD6EA"/>
              <w:left w:val="nil"/>
              <w:bottom w:val="nil"/>
              <w:right w:val="nil"/>
            </w:tcBorders>
            <w:shd w:val="clear" w:color="auto" w:fill="auto"/>
            <w:hideMark/>
          </w:tcPr>
          <w:p w14:paraId="04AA17C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0C5F2D20"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3A52D375"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3CA00C4F" w14:textId="77777777" w:rsidTr="00BD1C60">
        <w:trPr>
          <w:trHeight w:val="318"/>
          <w:jc w:val="center"/>
        </w:trPr>
        <w:tc>
          <w:tcPr>
            <w:tcW w:w="1620" w:type="dxa"/>
            <w:vMerge/>
            <w:tcBorders>
              <w:top w:val="nil"/>
              <w:left w:val="nil"/>
              <w:bottom w:val="single" w:sz="8" w:space="0" w:color="B8CCE4"/>
              <w:right w:val="nil"/>
            </w:tcBorders>
            <w:hideMark/>
          </w:tcPr>
          <w:p w14:paraId="52C3C611"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3B92578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Other industries regulation</w:t>
            </w:r>
          </w:p>
        </w:tc>
        <w:tc>
          <w:tcPr>
            <w:tcW w:w="992" w:type="dxa"/>
            <w:tcBorders>
              <w:top w:val="single" w:sz="8" w:space="0" w:color="ADD6EA"/>
              <w:left w:val="nil"/>
              <w:bottom w:val="nil"/>
              <w:right w:val="nil"/>
            </w:tcBorders>
            <w:shd w:val="clear" w:color="auto" w:fill="auto"/>
            <w:hideMark/>
          </w:tcPr>
          <w:p w14:paraId="7835090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25A8E8E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General gradient</w:t>
            </w:r>
          </w:p>
        </w:tc>
        <w:tc>
          <w:tcPr>
            <w:tcW w:w="2835" w:type="dxa"/>
            <w:tcBorders>
              <w:top w:val="single" w:sz="8" w:space="0" w:color="ADD6EA"/>
              <w:left w:val="nil"/>
              <w:bottom w:val="nil"/>
              <w:right w:val="nil"/>
            </w:tcBorders>
            <w:shd w:val="clear" w:color="auto" w:fill="auto"/>
            <w:hideMark/>
          </w:tcPr>
          <w:p w14:paraId="5BFAB935"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No</w:t>
            </w:r>
          </w:p>
        </w:tc>
      </w:tr>
      <w:tr w:rsidR="00C84400" w:rsidRPr="004A2A40" w14:paraId="2234E3C5" w14:textId="77777777" w:rsidTr="00BD1C60">
        <w:trPr>
          <w:trHeight w:val="318"/>
          <w:jc w:val="center"/>
        </w:trPr>
        <w:tc>
          <w:tcPr>
            <w:tcW w:w="1620" w:type="dxa"/>
            <w:vMerge/>
            <w:tcBorders>
              <w:top w:val="nil"/>
              <w:left w:val="nil"/>
              <w:bottom w:val="single" w:sz="8" w:space="0" w:color="B8CCE4"/>
              <w:right w:val="nil"/>
            </w:tcBorders>
            <w:hideMark/>
          </w:tcPr>
          <w:p w14:paraId="6304F54F"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5043C3E5" w14:textId="4AEE49E5" w:rsidR="004A2A40" w:rsidRPr="004A2A40" w:rsidRDefault="00976522"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Business development </w:t>
            </w:r>
          </w:p>
        </w:tc>
        <w:tc>
          <w:tcPr>
            <w:tcW w:w="992" w:type="dxa"/>
            <w:tcBorders>
              <w:top w:val="single" w:sz="8" w:space="0" w:color="ADD6EA"/>
              <w:left w:val="nil"/>
              <w:bottom w:val="nil"/>
              <w:right w:val="nil"/>
            </w:tcBorders>
            <w:shd w:val="clear" w:color="auto" w:fill="auto"/>
            <w:hideMark/>
          </w:tcPr>
          <w:p w14:paraId="52BF0D1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06672B7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3EFA44F9" w14:textId="5B65604E" w:rsidR="004A2A40" w:rsidRPr="004A2A40" w:rsidRDefault="00B574D1" w:rsidP="00BD1C6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C84400" w:rsidRPr="004A2A40" w14:paraId="2173653B" w14:textId="77777777" w:rsidTr="00BD1C60">
        <w:trPr>
          <w:trHeight w:val="318"/>
          <w:jc w:val="center"/>
        </w:trPr>
        <w:tc>
          <w:tcPr>
            <w:tcW w:w="1620" w:type="dxa"/>
            <w:vMerge/>
            <w:tcBorders>
              <w:top w:val="nil"/>
              <w:left w:val="nil"/>
              <w:bottom w:val="single" w:sz="8" w:space="0" w:color="B8CCE4"/>
              <w:right w:val="nil"/>
            </w:tcBorders>
            <w:hideMark/>
          </w:tcPr>
          <w:p w14:paraId="6212B1D7"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023D6491" w14:textId="50341EE4" w:rsidR="004A2A40" w:rsidRPr="004A2A40" w:rsidRDefault="00976522"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COVID</w:t>
            </w:r>
            <w:r>
              <w:rPr>
                <w:rFonts w:eastAsia="Times New Roman" w:cs="Open Sans Light"/>
                <w:color w:val="000000"/>
                <w:sz w:val="16"/>
                <w:szCs w:val="16"/>
                <w:lang w:eastAsia="en-AU"/>
              </w:rPr>
              <w:t>-19</w:t>
            </w:r>
            <w:r w:rsidR="00B574D1">
              <w:rPr>
                <w:rFonts w:eastAsia="Times New Roman" w:cs="Open Sans Light"/>
                <w:color w:val="000000"/>
                <w:sz w:val="16"/>
                <w:szCs w:val="16"/>
                <w:lang w:eastAsia="en-AU"/>
              </w:rPr>
              <w:t xml:space="preserve"> Business support</w:t>
            </w:r>
          </w:p>
        </w:tc>
        <w:tc>
          <w:tcPr>
            <w:tcW w:w="992" w:type="dxa"/>
            <w:tcBorders>
              <w:top w:val="single" w:sz="8" w:space="0" w:color="ADD6EA"/>
              <w:left w:val="nil"/>
              <w:bottom w:val="nil"/>
              <w:right w:val="nil"/>
            </w:tcBorders>
            <w:shd w:val="clear" w:color="auto" w:fill="auto"/>
            <w:hideMark/>
          </w:tcPr>
          <w:p w14:paraId="0847D1E4"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464BC8AF"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645EBC87" w14:textId="7B89920A" w:rsidR="004A2A40" w:rsidRPr="004A2A40" w:rsidRDefault="00B574D1"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New component</w:t>
            </w:r>
          </w:p>
        </w:tc>
      </w:tr>
      <w:tr w:rsidR="00C84400" w:rsidRPr="004A2A40" w14:paraId="5B797B0E" w14:textId="77777777" w:rsidTr="00BD1C60">
        <w:trPr>
          <w:trHeight w:val="318"/>
          <w:jc w:val="center"/>
        </w:trPr>
        <w:tc>
          <w:tcPr>
            <w:tcW w:w="1620" w:type="dxa"/>
            <w:vMerge w:val="restart"/>
            <w:tcBorders>
              <w:top w:val="nil"/>
              <w:left w:val="nil"/>
              <w:bottom w:val="nil"/>
              <w:right w:val="nil"/>
            </w:tcBorders>
            <w:shd w:val="clear" w:color="000000" w:fill="FFFFFF"/>
            <w:hideMark/>
          </w:tcPr>
          <w:p w14:paraId="62FF4845" w14:textId="77777777" w:rsidR="004A2A40" w:rsidRPr="00F044BA" w:rsidRDefault="004A2A40" w:rsidP="00BD1C60">
            <w:pPr>
              <w:tabs>
                <w:tab w:val="clear" w:pos="567"/>
              </w:tabs>
              <w:spacing w:before="0" w:line="240" w:lineRule="auto"/>
              <w:rPr>
                <w:rFonts w:eastAsia="Times New Roman" w:cs="Open Sans Light"/>
                <w:color w:val="000000"/>
                <w:sz w:val="16"/>
                <w:szCs w:val="16"/>
                <w:lang w:eastAsia="en-AU"/>
              </w:rPr>
            </w:pPr>
            <w:r w:rsidRPr="00F044BA">
              <w:rPr>
                <w:rFonts w:eastAsia="Times New Roman" w:cs="Open Sans Light"/>
                <w:color w:val="000000"/>
                <w:sz w:val="16"/>
                <w:szCs w:val="16"/>
                <w:lang w:eastAsia="en-AU"/>
              </w:rPr>
              <w:t>Other expenses</w:t>
            </w:r>
          </w:p>
        </w:tc>
        <w:tc>
          <w:tcPr>
            <w:tcW w:w="2066" w:type="dxa"/>
            <w:tcBorders>
              <w:top w:val="single" w:sz="8" w:space="0" w:color="ADD6EA"/>
              <w:left w:val="nil"/>
              <w:bottom w:val="nil"/>
              <w:right w:val="nil"/>
            </w:tcBorders>
            <w:shd w:val="clear" w:color="auto" w:fill="auto"/>
            <w:hideMark/>
          </w:tcPr>
          <w:p w14:paraId="768475F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Service expenses</w:t>
            </w:r>
          </w:p>
        </w:tc>
        <w:tc>
          <w:tcPr>
            <w:tcW w:w="992" w:type="dxa"/>
            <w:tcBorders>
              <w:top w:val="single" w:sz="8" w:space="0" w:color="ADD6EA"/>
              <w:left w:val="nil"/>
              <w:bottom w:val="nil"/>
              <w:right w:val="nil"/>
            </w:tcBorders>
            <w:shd w:val="clear" w:color="auto" w:fill="auto"/>
            <w:hideMark/>
          </w:tcPr>
          <w:p w14:paraId="52AEDBC6"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RC</w:t>
            </w:r>
          </w:p>
        </w:tc>
        <w:tc>
          <w:tcPr>
            <w:tcW w:w="1843" w:type="dxa"/>
            <w:tcBorders>
              <w:top w:val="single" w:sz="8" w:space="0" w:color="ADD6EA"/>
              <w:left w:val="nil"/>
              <w:bottom w:val="nil"/>
              <w:right w:val="nil"/>
            </w:tcBorders>
            <w:shd w:val="clear" w:color="auto" w:fill="auto"/>
            <w:hideMark/>
          </w:tcPr>
          <w:p w14:paraId="193220C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General gradient </w:t>
            </w:r>
            <w:r w:rsidRPr="004A2A40">
              <w:rPr>
                <w:rFonts w:eastAsia="Times New Roman" w:cs="Open Sans Light"/>
                <w:color w:val="000000"/>
                <w:sz w:val="16"/>
                <w:szCs w:val="16"/>
                <w:vertAlign w:val="superscript"/>
                <w:lang w:eastAsia="en-AU"/>
              </w:rPr>
              <w:t>(d)</w:t>
            </w:r>
          </w:p>
        </w:tc>
        <w:tc>
          <w:tcPr>
            <w:tcW w:w="2835" w:type="dxa"/>
            <w:tcBorders>
              <w:top w:val="single" w:sz="8" w:space="0" w:color="ADD6EA"/>
              <w:left w:val="nil"/>
              <w:bottom w:val="nil"/>
              <w:right w:val="nil"/>
            </w:tcBorders>
            <w:shd w:val="clear" w:color="auto" w:fill="auto"/>
            <w:hideMark/>
          </w:tcPr>
          <w:p w14:paraId="331F868C"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32297FC1" w14:textId="77777777" w:rsidTr="00BD1C60">
        <w:trPr>
          <w:trHeight w:val="300"/>
          <w:jc w:val="center"/>
        </w:trPr>
        <w:tc>
          <w:tcPr>
            <w:tcW w:w="1620" w:type="dxa"/>
            <w:vMerge/>
            <w:tcBorders>
              <w:top w:val="nil"/>
              <w:left w:val="nil"/>
              <w:bottom w:val="nil"/>
              <w:right w:val="nil"/>
            </w:tcBorders>
            <w:vAlign w:val="center"/>
            <w:hideMark/>
          </w:tcPr>
          <w:p w14:paraId="5E72ABE4" w14:textId="77777777" w:rsidR="004A2A40" w:rsidRPr="004A2A40" w:rsidRDefault="004A2A40" w:rsidP="004A2A4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7039219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Natural disaster relief</w:t>
            </w:r>
          </w:p>
        </w:tc>
        <w:tc>
          <w:tcPr>
            <w:tcW w:w="992" w:type="dxa"/>
            <w:tcBorders>
              <w:top w:val="single" w:sz="8" w:space="0" w:color="ADD6EA"/>
              <w:left w:val="nil"/>
              <w:bottom w:val="nil"/>
              <w:right w:val="nil"/>
            </w:tcBorders>
            <w:shd w:val="clear" w:color="auto" w:fill="auto"/>
            <w:hideMark/>
          </w:tcPr>
          <w:p w14:paraId="5AC9AC6A"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05E8385A"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38C68001"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6425067D" w14:textId="77777777" w:rsidTr="00BD1C60">
        <w:trPr>
          <w:trHeight w:val="300"/>
          <w:jc w:val="center"/>
        </w:trPr>
        <w:tc>
          <w:tcPr>
            <w:tcW w:w="1620" w:type="dxa"/>
            <w:vMerge/>
            <w:tcBorders>
              <w:top w:val="nil"/>
              <w:left w:val="nil"/>
              <w:bottom w:val="nil"/>
              <w:right w:val="nil"/>
            </w:tcBorders>
            <w:vAlign w:val="center"/>
            <w:hideMark/>
          </w:tcPr>
          <w:p w14:paraId="7D16DD56" w14:textId="77777777" w:rsidR="004A2A40" w:rsidRPr="004A2A40" w:rsidRDefault="004A2A40" w:rsidP="004A2A4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nil"/>
              <w:right w:val="nil"/>
            </w:tcBorders>
            <w:shd w:val="clear" w:color="auto" w:fill="auto"/>
            <w:hideMark/>
          </w:tcPr>
          <w:p w14:paraId="71361E5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Administrative scale</w:t>
            </w:r>
          </w:p>
        </w:tc>
        <w:tc>
          <w:tcPr>
            <w:tcW w:w="992" w:type="dxa"/>
            <w:tcBorders>
              <w:top w:val="single" w:sz="8" w:space="0" w:color="ADD6EA"/>
              <w:left w:val="nil"/>
              <w:bottom w:val="nil"/>
              <w:right w:val="nil"/>
            </w:tcBorders>
            <w:shd w:val="clear" w:color="auto" w:fill="auto"/>
            <w:hideMark/>
          </w:tcPr>
          <w:p w14:paraId="44377B7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nil"/>
              <w:right w:val="nil"/>
            </w:tcBorders>
            <w:shd w:val="clear" w:color="auto" w:fill="auto"/>
            <w:hideMark/>
          </w:tcPr>
          <w:p w14:paraId="1F88B8E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nil"/>
              <w:right w:val="nil"/>
            </w:tcBorders>
            <w:shd w:val="clear" w:color="auto" w:fill="auto"/>
            <w:hideMark/>
          </w:tcPr>
          <w:p w14:paraId="5B298D77"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0F9120BC" w14:textId="77777777" w:rsidTr="00BD1C60">
        <w:trPr>
          <w:trHeight w:val="318"/>
          <w:jc w:val="center"/>
        </w:trPr>
        <w:tc>
          <w:tcPr>
            <w:tcW w:w="1620" w:type="dxa"/>
            <w:vMerge/>
            <w:tcBorders>
              <w:top w:val="nil"/>
              <w:left w:val="nil"/>
              <w:bottom w:val="nil"/>
              <w:right w:val="nil"/>
            </w:tcBorders>
            <w:vAlign w:val="center"/>
            <w:hideMark/>
          </w:tcPr>
          <w:p w14:paraId="7B76D7B4" w14:textId="77777777" w:rsidR="004A2A40" w:rsidRPr="004A2A40" w:rsidRDefault="004A2A40" w:rsidP="004A2A4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single" w:sz="8" w:space="0" w:color="ADD6EA"/>
              <w:right w:val="nil"/>
            </w:tcBorders>
            <w:shd w:val="clear" w:color="auto" w:fill="auto"/>
            <w:hideMark/>
          </w:tcPr>
          <w:p w14:paraId="193DFC9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Native Title and land rights</w:t>
            </w:r>
          </w:p>
        </w:tc>
        <w:tc>
          <w:tcPr>
            <w:tcW w:w="992" w:type="dxa"/>
            <w:tcBorders>
              <w:top w:val="single" w:sz="8" w:space="0" w:color="ADD6EA"/>
              <w:left w:val="nil"/>
              <w:bottom w:val="nil"/>
              <w:right w:val="nil"/>
            </w:tcBorders>
            <w:shd w:val="clear" w:color="auto" w:fill="auto"/>
            <w:hideMark/>
          </w:tcPr>
          <w:p w14:paraId="7A110659"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single" w:sz="8" w:space="0" w:color="ADD6EA"/>
              <w:right w:val="nil"/>
            </w:tcBorders>
            <w:shd w:val="clear" w:color="auto" w:fill="auto"/>
            <w:hideMark/>
          </w:tcPr>
          <w:p w14:paraId="7A2D731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single" w:sz="8" w:space="0" w:color="ADD6EA"/>
              <w:right w:val="nil"/>
            </w:tcBorders>
            <w:shd w:val="clear" w:color="auto" w:fill="auto"/>
            <w:hideMark/>
          </w:tcPr>
          <w:p w14:paraId="3CA48BBA"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r w:rsidR="00C84400" w:rsidRPr="004A2A40" w14:paraId="3BC98990" w14:textId="77777777" w:rsidTr="00BD1C60">
        <w:trPr>
          <w:trHeight w:val="318"/>
          <w:jc w:val="center"/>
        </w:trPr>
        <w:tc>
          <w:tcPr>
            <w:tcW w:w="1620" w:type="dxa"/>
            <w:vMerge/>
            <w:tcBorders>
              <w:top w:val="nil"/>
              <w:left w:val="nil"/>
              <w:bottom w:val="single" w:sz="4" w:space="0" w:color="ADD6EA"/>
              <w:right w:val="nil"/>
            </w:tcBorders>
            <w:vAlign w:val="center"/>
            <w:hideMark/>
          </w:tcPr>
          <w:p w14:paraId="4DA18EAF" w14:textId="77777777" w:rsidR="004A2A40" w:rsidRPr="004A2A40" w:rsidRDefault="004A2A40" w:rsidP="004A2A40">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2066" w:type="dxa"/>
            <w:tcBorders>
              <w:top w:val="single" w:sz="8" w:space="0" w:color="ADD6EA"/>
              <w:left w:val="nil"/>
              <w:bottom w:val="single" w:sz="4" w:space="0" w:color="ADD6EA"/>
              <w:right w:val="nil"/>
            </w:tcBorders>
            <w:shd w:val="clear" w:color="auto" w:fill="auto"/>
            <w:hideMark/>
          </w:tcPr>
          <w:p w14:paraId="49EBA6DE"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National capital</w:t>
            </w:r>
          </w:p>
        </w:tc>
        <w:tc>
          <w:tcPr>
            <w:tcW w:w="992" w:type="dxa"/>
            <w:tcBorders>
              <w:top w:val="single" w:sz="8" w:space="0" w:color="ADD6EA"/>
              <w:left w:val="nil"/>
              <w:bottom w:val="single" w:sz="4" w:space="0" w:color="ADD6EA"/>
              <w:right w:val="nil"/>
            </w:tcBorders>
            <w:shd w:val="clear" w:color="auto" w:fill="auto"/>
            <w:hideMark/>
          </w:tcPr>
          <w:p w14:paraId="706D5D93"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w:t>
            </w:r>
          </w:p>
        </w:tc>
        <w:tc>
          <w:tcPr>
            <w:tcW w:w="1843" w:type="dxa"/>
            <w:tcBorders>
              <w:top w:val="single" w:sz="8" w:space="0" w:color="ADD6EA"/>
              <w:left w:val="nil"/>
              <w:bottom w:val="single" w:sz="4" w:space="0" w:color="ADD6EA"/>
              <w:right w:val="nil"/>
            </w:tcBorders>
            <w:shd w:val="clear" w:color="auto" w:fill="auto"/>
            <w:hideMark/>
          </w:tcPr>
          <w:p w14:paraId="2EABC2D2"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w:t>
            </w:r>
          </w:p>
        </w:tc>
        <w:tc>
          <w:tcPr>
            <w:tcW w:w="2835" w:type="dxa"/>
            <w:tcBorders>
              <w:top w:val="single" w:sz="8" w:space="0" w:color="ADD6EA"/>
              <w:left w:val="nil"/>
              <w:bottom w:val="single" w:sz="4" w:space="0" w:color="ADD6EA"/>
              <w:right w:val="nil"/>
            </w:tcBorders>
            <w:shd w:val="clear" w:color="auto" w:fill="auto"/>
            <w:hideMark/>
          </w:tcPr>
          <w:p w14:paraId="0E5DB3DB" w14:textId="77777777" w:rsidR="004A2A40" w:rsidRPr="004A2A40" w:rsidRDefault="004A2A40" w:rsidP="00BD1C60">
            <w:pPr>
              <w:tabs>
                <w:tab w:val="clear" w:pos="567"/>
              </w:tabs>
              <w:spacing w:before="0" w:line="240" w:lineRule="auto"/>
              <w:rPr>
                <w:rFonts w:eastAsia="Times New Roman" w:cs="Open Sans Light"/>
                <w:color w:val="000000"/>
                <w:sz w:val="16"/>
                <w:szCs w:val="16"/>
                <w:lang w:eastAsia="en-AU"/>
              </w:rPr>
            </w:pPr>
            <w:r w:rsidRPr="004A2A40">
              <w:rPr>
                <w:rFonts w:eastAsia="Times New Roman" w:cs="Open Sans Light"/>
                <w:color w:val="000000"/>
                <w:sz w:val="16"/>
                <w:szCs w:val="16"/>
                <w:lang w:eastAsia="en-AU"/>
              </w:rPr>
              <w:t xml:space="preserve">No </w:t>
            </w:r>
          </w:p>
        </w:tc>
      </w:tr>
    </w:tbl>
    <w:p w14:paraId="72F98D39" w14:textId="760437FD" w:rsidR="00FF51EA" w:rsidRPr="003115B0" w:rsidRDefault="00FF51EA" w:rsidP="006F32EA">
      <w:pPr>
        <w:pStyle w:val="CGC2025TableNote"/>
        <w:tabs>
          <w:tab w:val="clear" w:pos="567"/>
          <w:tab w:val="left" w:pos="709"/>
        </w:tabs>
        <w:ind w:left="680" w:hanging="567"/>
      </w:pPr>
      <w:r w:rsidRPr="007B4722">
        <w:t xml:space="preserve">Note: </w:t>
      </w:r>
      <w:r w:rsidR="00853AB3">
        <w:t xml:space="preserve"> </w:t>
      </w:r>
      <w:r w:rsidR="006F32EA">
        <w:tab/>
      </w:r>
      <w:r w:rsidRPr="007B4722">
        <w:t>RC refers to regional costs, SDS refers to service delivery scale.</w:t>
      </w:r>
      <w:r w:rsidRPr="007B4722">
        <w:br/>
        <w:t xml:space="preserve"># </w:t>
      </w:r>
      <w:r w:rsidRPr="003115B0">
        <w:t>indicates tha</w:t>
      </w:r>
      <w:r w:rsidR="003115B0" w:rsidRPr="003115B0">
        <w:t>t</w:t>
      </w:r>
      <w:r w:rsidRPr="003115B0">
        <w:t xml:space="preserve"> an assessment is used in the calculation of the general gradient.</w:t>
      </w:r>
    </w:p>
    <w:p w14:paraId="6AABADBA" w14:textId="1AE4DE26" w:rsidR="00FF51EA" w:rsidRPr="007B4722" w:rsidRDefault="00FF51EA" w:rsidP="00AC15D6">
      <w:pPr>
        <w:pStyle w:val="CGC2025TableNote"/>
        <w:ind w:left="567" w:hanging="454"/>
      </w:pPr>
      <w:r w:rsidRPr="003115B0">
        <w:tab/>
      </w:r>
      <w:r w:rsidR="006F32EA">
        <w:tab/>
      </w:r>
      <w:r w:rsidRPr="003115B0">
        <w:t>(a) The cost gradient is extrapolated</w:t>
      </w:r>
      <w:r w:rsidRPr="007B4722">
        <w:t xml:space="preserve"> from other components within the same category.</w:t>
      </w:r>
    </w:p>
    <w:p w14:paraId="5734B9AC" w14:textId="592B0762" w:rsidR="00FF51EA" w:rsidRPr="007B4722" w:rsidRDefault="00FF51EA" w:rsidP="006F32EA">
      <w:pPr>
        <w:pStyle w:val="CGC2025TableNote"/>
        <w:ind w:left="680" w:hanging="454"/>
      </w:pPr>
      <w:r w:rsidRPr="007B4722">
        <w:tab/>
      </w:r>
      <w:r w:rsidR="006F32EA">
        <w:tab/>
      </w:r>
      <w:r w:rsidRPr="007B4722">
        <w:t>(b) In the police component, regional costs and service delivery scale are measured together as a single cost gradient along with the differential use of police resources in different remoteness areas. Where assessed, differential use of services is considered separately from regional costs in all other categories.</w:t>
      </w:r>
    </w:p>
    <w:p w14:paraId="1CC3D40D" w14:textId="62C7218D" w:rsidR="00FF51EA" w:rsidRPr="007B4722" w:rsidRDefault="00FF51EA" w:rsidP="00AC15D6">
      <w:pPr>
        <w:pStyle w:val="CGC2025TableNote"/>
        <w:ind w:left="567" w:hanging="454"/>
      </w:pPr>
      <w:r w:rsidRPr="007B4722">
        <w:tab/>
      </w:r>
      <w:r w:rsidR="006F32EA">
        <w:tab/>
      </w:r>
      <w:r w:rsidRPr="007B4722">
        <w:t xml:space="preserve">(c) In the roads assessment, </w:t>
      </w:r>
      <w:proofErr w:type="spellStart"/>
      <w:r w:rsidRPr="007B4722">
        <w:t>Rawlinsons</w:t>
      </w:r>
      <w:proofErr w:type="spellEnd"/>
      <w:r w:rsidRPr="007B4722">
        <w:t xml:space="preserve"> applies to road length. </w:t>
      </w:r>
    </w:p>
    <w:p w14:paraId="1FAAC506" w14:textId="0C5F0E18" w:rsidR="00FF51EA" w:rsidRPr="007B4722" w:rsidRDefault="00FF51EA" w:rsidP="00AC15D6">
      <w:pPr>
        <w:pStyle w:val="CGC2025TableNote"/>
        <w:ind w:left="567" w:hanging="454"/>
      </w:pPr>
      <w:r w:rsidRPr="007B4722">
        <w:tab/>
      </w:r>
      <w:r w:rsidR="006F32EA">
        <w:tab/>
      </w:r>
      <w:r w:rsidRPr="007B4722">
        <w:t xml:space="preserve">(d) In service expenses, the general gradient is applied to half the expenses in the component. </w:t>
      </w:r>
    </w:p>
    <w:p w14:paraId="6400EAC6" w14:textId="77777777" w:rsidR="00FF51EA" w:rsidRPr="007B4722" w:rsidRDefault="00FF51EA" w:rsidP="004A52FB">
      <w:pPr>
        <w:pStyle w:val="Heading2"/>
      </w:pPr>
      <w:r w:rsidRPr="007B4722">
        <w:t xml:space="preserve">Indicative distribution impacts </w:t>
      </w:r>
    </w:p>
    <w:p w14:paraId="123B8F44" w14:textId="3B5D5955" w:rsidR="00FF51EA" w:rsidRPr="007B4722" w:rsidRDefault="00FF51EA" w:rsidP="004A52FB">
      <w:pPr>
        <w:pStyle w:val="CGC2025ParaNumbers"/>
      </w:pPr>
      <w:r w:rsidRPr="007B4722">
        <w:t xml:space="preserve">The Commission proposes to make </w:t>
      </w:r>
      <w:proofErr w:type="gramStart"/>
      <w:r w:rsidRPr="007B4722">
        <w:t>a number of</w:t>
      </w:r>
      <w:proofErr w:type="gramEnd"/>
      <w:r w:rsidRPr="007B4722">
        <w:t xml:space="preserve"> </w:t>
      </w:r>
      <w:r w:rsidR="000C0DC3">
        <w:t xml:space="preserve">assessment </w:t>
      </w:r>
      <w:r w:rsidRPr="007B4722">
        <w:t xml:space="preserve">changes </w:t>
      </w:r>
      <w:r w:rsidR="00E9232B">
        <w:t xml:space="preserve">that include changes </w:t>
      </w:r>
      <w:r w:rsidRPr="007B4722">
        <w:t>to geography</w:t>
      </w:r>
      <w:r w:rsidR="00947F95">
        <w:t xml:space="preserve"> variables</w:t>
      </w:r>
      <w:r w:rsidRPr="007B4722">
        <w:t xml:space="preserve">. Some of these changes are specific to a category and therefore, the corresponding impact on the GST distribution is </w:t>
      </w:r>
      <w:r w:rsidR="006D476D">
        <w:t xml:space="preserve">shown </w:t>
      </w:r>
      <w:r w:rsidRPr="007B4722">
        <w:t>within that category</w:t>
      </w:r>
      <w:r w:rsidR="00CC717B">
        <w:t xml:space="preserve"> in the relevant chapter</w:t>
      </w:r>
      <w:r w:rsidRPr="007B4722">
        <w:t xml:space="preserve">. </w:t>
      </w:r>
    </w:p>
    <w:p w14:paraId="11F3D54F" w14:textId="5F4A0F94" w:rsidR="00FF51EA" w:rsidRPr="007B4722" w:rsidRDefault="00FF51EA" w:rsidP="004A52FB">
      <w:pPr>
        <w:pStyle w:val="CGC2025ParaNumbers"/>
      </w:pPr>
      <w:r w:rsidRPr="007B4722">
        <w:t>Proposed changes to the elements that contribute to the general gradient calculation would change the distribution of GST across several categories. The impact of these proposed changes on the GST distribution in 2024</w:t>
      </w:r>
      <w:r w:rsidR="003B2EA9">
        <w:t>–</w:t>
      </w:r>
      <w:r w:rsidRPr="007B4722">
        <w:t xml:space="preserve">25 in isolation from any other proposed </w:t>
      </w:r>
      <w:r w:rsidRPr="00A65B22">
        <w:t>changes is shown in</w:t>
      </w:r>
      <w:r w:rsidR="00ED78A6">
        <w:t xml:space="preserve"> Table 3</w:t>
      </w:r>
      <w:r w:rsidRPr="00A65B22">
        <w:t>.</w:t>
      </w:r>
      <w:r w:rsidRPr="007B4722">
        <w:t xml:space="preserve"> </w:t>
      </w:r>
    </w:p>
    <w:p w14:paraId="0D7DA730" w14:textId="28042BF2" w:rsidR="00FF51EA" w:rsidRPr="007B4722" w:rsidRDefault="00FF51EA" w:rsidP="00746039">
      <w:pPr>
        <w:pStyle w:val="CGC2025ParaNumbers"/>
      </w:pPr>
      <w:r w:rsidRPr="007B4722">
        <w:t xml:space="preserve">The comparable tables in expense categories include the impact of changing the general gradient as well as any other proposed changes within that category. Therefore, the impact captured in </w:t>
      </w:r>
      <w:r w:rsidR="00ED78A6">
        <w:t>Table 3</w:t>
      </w:r>
      <w:r w:rsidRPr="007B4722">
        <w:t xml:space="preserve"> will also be captured through the relevant expense category GST impacts. </w:t>
      </w:r>
    </w:p>
    <w:p w14:paraId="20971EBA" w14:textId="22045257" w:rsidR="00FF51EA" w:rsidRPr="007B4722" w:rsidRDefault="00FF51EA" w:rsidP="00CD7FF3">
      <w:pPr>
        <w:pStyle w:val="CGC2025Caption"/>
        <w:tabs>
          <w:tab w:val="left" w:pos="1134"/>
        </w:tabs>
        <w:ind w:left="993" w:hanging="993"/>
      </w:pPr>
      <w:bookmarkStart w:id="21" w:name="_Ref167434518"/>
      <w:r w:rsidRPr="007B4722">
        <w:t xml:space="preserve">Table </w:t>
      </w:r>
      <w:fldSimple w:instr=" SEQ Table \* ARABIC ">
        <w:r w:rsidR="00DA0946">
          <w:rPr>
            <w:noProof/>
          </w:rPr>
          <w:t>3</w:t>
        </w:r>
      </w:fldSimple>
      <w:bookmarkEnd w:id="21"/>
      <w:r w:rsidRPr="007B4722">
        <w:tab/>
      </w:r>
      <w:r w:rsidR="009B54F9">
        <w:t xml:space="preserve">Indicative </w:t>
      </w:r>
      <w:r w:rsidRPr="007B4722">
        <w:t xml:space="preserve">impact </w:t>
      </w:r>
      <w:r w:rsidR="009B54F9">
        <w:t xml:space="preserve">on GST distribution </w:t>
      </w:r>
      <w:r w:rsidRPr="007B4722">
        <w:t>of proposed changes to the general gradient</w:t>
      </w:r>
      <w:r w:rsidR="00D42846">
        <w:t xml:space="preserve"> (difference from an equal per capita </w:t>
      </w:r>
      <w:r w:rsidR="007E6484">
        <w:t>distribution)</w:t>
      </w:r>
      <w:r w:rsidRPr="007B4722">
        <w:t>, 2024–25</w:t>
      </w:r>
    </w:p>
    <w:tbl>
      <w:tblPr>
        <w:tblW w:w="8789" w:type="dxa"/>
        <w:tblLayout w:type="fixed"/>
        <w:tblLook w:val="04A0" w:firstRow="1" w:lastRow="0" w:firstColumn="1" w:lastColumn="0" w:noHBand="0" w:noVBand="1"/>
      </w:tblPr>
      <w:tblGrid>
        <w:gridCol w:w="2694"/>
        <w:gridCol w:w="708"/>
        <w:gridCol w:w="558"/>
        <w:gridCol w:w="576"/>
        <w:gridCol w:w="709"/>
        <w:gridCol w:w="709"/>
        <w:gridCol w:w="709"/>
        <w:gridCol w:w="567"/>
        <w:gridCol w:w="850"/>
        <w:gridCol w:w="709"/>
      </w:tblGrid>
      <w:tr w:rsidR="00CC3FB6" w:rsidRPr="00660022" w14:paraId="6A4FF3F7" w14:textId="77777777" w:rsidTr="00D35D64">
        <w:trPr>
          <w:trHeight w:val="556"/>
        </w:trPr>
        <w:tc>
          <w:tcPr>
            <w:tcW w:w="2694" w:type="dxa"/>
            <w:tcBorders>
              <w:top w:val="nil"/>
              <w:left w:val="nil"/>
              <w:bottom w:val="nil"/>
              <w:right w:val="nil"/>
            </w:tcBorders>
            <w:shd w:val="clear" w:color="000000" w:fill="006991"/>
            <w:vAlign w:val="center"/>
            <w:hideMark/>
          </w:tcPr>
          <w:p w14:paraId="313D34FF" w14:textId="77777777" w:rsidR="00CC3FB6" w:rsidRPr="00660022" w:rsidRDefault="00CC3FB6">
            <w:pPr>
              <w:tabs>
                <w:tab w:val="clear" w:pos="567"/>
              </w:tabs>
              <w:spacing w:before="0" w:line="240" w:lineRule="auto"/>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 </w:t>
            </w:r>
          </w:p>
        </w:tc>
        <w:tc>
          <w:tcPr>
            <w:tcW w:w="708" w:type="dxa"/>
            <w:tcBorders>
              <w:top w:val="nil"/>
              <w:left w:val="nil"/>
              <w:bottom w:val="nil"/>
              <w:right w:val="nil"/>
            </w:tcBorders>
            <w:shd w:val="clear" w:color="000000" w:fill="006991"/>
            <w:vAlign w:val="center"/>
            <w:hideMark/>
          </w:tcPr>
          <w:p w14:paraId="1426F3CE"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NSW</w:t>
            </w:r>
          </w:p>
        </w:tc>
        <w:tc>
          <w:tcPr>
            <w:tcW w:w="558" w:type="dxa"/>
            <w:tcBorders>
              <w:top w:val="nil"/>
              <w:left w:val="nil"/>
              <w:bottom w:val="nil"/>
              <w:right w:val="nil"/>
            </w:tcBorders>
            <w:shd w:val="clear" w:color="000000" w:fill="006991"/>
            <w:vAlign w:val="center"/>
            <w:hideMark/>
          </w:tcPr>
          <w:p w14:paraId="3563DF28"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Vic</w:t>
            </w:r>
          </w:p>
        </w:tc>
        <w:tc>
          <w:tcPr>
            <w:tcW w:w="576" w:type="dxa"/>
            <w:tcBorders>
              <w:top w:val="nil"/>
              <w:left w:val="nil"/>
              <w:bottom w:val="nil"/>
              <w:right w:val="nil"/>
            </w:tcBorders>
            <w:shd w:val="clear" w:color="000000" w:fill="006991"/>
            <w:vAlign w:val="center"/>
            <w:hideMark/>
          </w:tcPr>
          <w:p w14:paraId="5374D9A5"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Qld</w:t>
            </w:r>
          </w:p>
        </w:tc>
        <w:tc>
          <w:tcPr>
            <w:tcW w:w="709" w:type="dxa"/>
            <w:tcBorders>
              <w:top w:val="nil"/>
              <w:left w:val="nil"/>
              <w:bottom w:val="nil"/>
              <w:right w:val="nil"/>
            </w:tcBorders>
            <w:shd w:val="clear" w:color="000000" w:fill="006991"/>
            <w:vAlign w:val="center"/>
            <w:hideMark/>
          </w:tcPr>
          <w:p w14:paraId="44CE8028"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WA</w:t>
            </w:r>
          </w:p>
        </w:tc>
        <w:tc>
          <w:tcPr>
            <w:tcW w:w="709" w:type="dxa"/>
            <w:tcBorders>
              <w:top w:val="nil"/>
              <w:left w:val="nil"/>
              <w:bottom w:val="nil"/>
              <w:right w:val="nil"/>
            </w:tcBorders>
            <w:shd w:val="clear" w:color="000000" w:fill="006991"/>
            <w:vAlign w:val="center"/>
            <w:hideMark/>
          </w:tcPr>
          <w:p w14:paraId="411769FB"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SA</w:t>
            </w:r>
          </w:p>
        </w:tc>
        <w:tc>
          <w:tcPr>
            <w:tcW w:w="709" w:type="dxa"/>
            <w:tcBorders>
              <w:top w:val="nil"/>
              <w:left w:val="nil"/>
              <w:bottom w:val="nil"/>
              <w:right w:val="nil"/>
            </w:tcBorders>
            <w:shd w:val="clear" w:color="000000" w:fill="006991"/>
            <w:vAlign w:val="center"/>
            <w:hideMark/>
          </w:tcPr>
          <w:p w14:paraId="3A4987CB"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Tas</w:t>
            </w:r>
          </w:p>
        </w:tc>
        <w:tc>
          <w:tcPr>
            <w:tcW w:w="567" w:type="dxa"/>
            <w:tcBorders>
              <w:top w:val="nil"/>
              <w:left w:val="nil"/>
              <w:bottom w:val="nil"/>
              <w:right w:val="nil"/>
            </w:tcBorders>
            <w:shd w:val="clear" w:color="000000" w:fill="006991"/>
            <w:vAlign w:val="center"/>
            <w:hideMark/>
          </w:tcPr>
          <w:p w14:paraId="31EB46C5"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ACT</w:t>
            </w:r>
          </w:p>
        </w:tc>
        <w:tc>
          <w:tcPr>
            <w:tcW w:w="850" w:type="dxa"/>
            <w:tcBorders>
              <w:top w:val="nil"/>
              <w:left w:val="nil"/>
              <w:bottom w:val="nil"/>
              <w:right w:val="nil"/>
            </w:tcBorders>
            <w:shd w:val="clear" w:color="000000" w:fill="006991"/>
            <w:vAlign w:val="center"/>
            <w:hideMark/>
          </w:tcPr>
          <w:p w14:paraId="2A06CD1B"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NT</w:t>
            </w:r>
          </w:p>
        </w:tc>
        <w:tc>
          <w:tcPr>
            <w:tcW w:w="709" w:type="dxa"/>
            <w:tcBorders>
              <w:top w:val="nil"/>
              <w:left w:val="nil"/>
              <w:bottom w:val="nil"/>
              <w:right w:val="nil"/>
            </w:tcBorders>
            <w:shd w:val="clear" w:color="000000" w:fill="006991"/>
            <w:vAlign w:val="center"/>
            <w:hideMark/>
          </w:tcPr>
          <w:p w14:paraId="61F760F8"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60022">
              <w:rPr>
                <w:rFonts w:ascii="Open Sans Semibold" w:eastAsia="Times New Roman" w:hAnsi="Open Sans Semibold" w:cs="Open Sans Semibold"/>
                <w:color w:val="FFFFFF"/>
                <w:sz w:val="16"/>
                <w:szCs w:val="16"/>
                <w:lang w:eastAsia="en-AU"/>
              </w:rPr>
              <w:t>Total Effect</w:t>
            </w:r>
          </w:p>
        </w:tc>
      </w:tr>
      <w:tr w:rsidR="00CC3FB6" w:rsidRPr="00660022" w14:paraId="24180BDE" w14:textId="77777777" w:rsidTr="00D35D64">
        <w:trPr>
          <w:trHeight w:val="255"/>
        </w:trPr>
        <w:tc>
          <w:tcPr>
            <w:tcW w:w="2694" w:type="dxa"/>
            <w:tcBorders>
              <w:top w:val="single" w:sz="8" w:space="0" w:color="ADD6EA"/>
              <w:left w:val="nil"/>
              <w:bottom w:val="nil"/>
              <w:right w:val="nil"/>
            </w:tcBorders>
            <w:shd w:val="clear" w:color="000000" w:fill="B6D5E4"/>
            <w:vAlign w:val="center"/>
            <w:hideMark/>
          </w:tcPr>
          <w:p w14:paraId="184F3DD3" w14:textId="77777777" w:rsidR="00CC3FB6" w:rsidRPr="00660022" w:rsidRDefault="00CC3FB6">
            <w:pPr>
              <w:tabs>
                <w:tab w:val="clear" w:pos="567"/>
              </w:tabs>
              <w:spacing w:before="0" w:line="240" w:lineRule="auto"/>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 </w:t>
            </w:r>
          </w:p>
        </w:tc>
        <w:tc>
          <w:tcPr>
            <w:tcW w:w="708" w:type="dxa"/>
            <w:tcBorders>
              <w:top w:val="single" w:sz="8" w:space="0" w:color="ADD6EA"/>
              <w:left w:val="nil"/>
              <w:bottom w:val="nil"/>
              <w:right w:val="nil"/>
            </w:tcBorders>
            <w:shd w:val="clear" w:color="000000" w:fill="B6D5E4"/>
            <w:noWrap/>
            <w:vAlign w:val="center"/>
            <w:hideMark/>
          </w:tcPr>
          <w:p w14:paraId="33037B21"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558" w:type="dxa"/>
            <w:tcBorders>
              <w:top w:val="single" w:sz="8" w:space="0" w:color="ADD6EA"/>
              <w:left w:val="nil"/>
              <w:bottom w:val="nil"/>
              <w:right w:val="nil"/>
            </w:tcBorders>
            <w:shd w:val="clear" w:color="000000" w:fill="B6D5E4"/>
            <w:noWrap/>
            <w:vAlign w:val="center"/>
            <w:hideMark/>
          </w:tcPr>
          <w:p w14:paraId="279772A9"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576" w:type="dxa"/>
            <w:tcBorders>
              <w:top w:val="single" w:sz="8" w:space="0" w:color="ADD6EA"/>
              <w:left w:val="nil"/>
              <w:bottom w:val="nil"/>
              <w:right w:val="nil"/>
            </w:tcBorders>
            <w:shd w:val="clear" w:color="000000" w:fill="B6D5E4"/>
            <w:noWrap/>
            <w:vAlign w:val="center"/>
            <w:hideMark/>
          </w:tcPr>
          <w:p w14:paraId="781696C8"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709" w:type="dxa"/>
            <w:tcBorders>
              <w:top w:val="single" w:sz="8" w:space="0" w:color="ADD6EA"/>
              <w:left w:val="nil"/>
              <w:bottom w:val="nil"/>
              <w:right w:val="nil"/>
            </w:tcBorders>
            <w:shd w:val="clear" w:color="000000" w:fill="B6D5E4"/>
            <w:noWrap/>
            <w:vAlign w:val="center"/>
            <w:hideMark/>
          </w:tcPr>
          <w:p w14:paraId="15A36B3F"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709" w:type="dxa"/>
            <w:tcBorders>
              <w:top w:val="single" w:sz="8" w:space="0" w:color="ADD6EA"/>
              <w:left w:val="nil"/>
              <w:bottom w:val="nil"/>
              <w:right w:val="nil"/>
            </w:tcBorders>
            <w:shd w:val="clear" w:color="000000" w:fill="B6D5E4"/>
            <w:noWrap/>
            <w:vAlign w:val="center"/>
            <w:hideMark/>
          </w:tcPr>
          <w:p w14:paraId="39561BA4"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709" w:type="dxa"/>
            <w:tcBorders>
              <w:top w:val="single" w:sz="8" w:space="0" w:color="ADD6EA"/>
              <w:left w:val="nil"/>
              <w:bottom w:val="nil"/>
              <w:right w:val="nil"/>
            </w:tcBorders>
            <w:shd w:val="clear" w:color="000000" w:fill="B6D5E4"/>
            <w:noWrap/>
            <w:vAlign w:val="center"/>
            <w:hideMark/>
          </w:tcPr>
          <w:p w14:paraId="376F2E8E"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567" w:type="dxa"/>
            <w:tcBorders>
              <w:top w:val="single" w:sz="8" w:space="0" w:color="ADD6EA"/>
              <w:left w:val="nil"/>
              <w:bottom w:val="nil"/>
              <w:right w:val="nil"/>
            </w:tcBorders>
            <w:shd w:val="clear" w:color="000000" w:fill="B6D5E4"/>
            <w:noWrap/>
            <w:vAlign w:val="center"/>
            <w:hideMark/>
          </w:tcPr>
          <w:p w14:paraId="3F59DE78"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850" w:type="dxa"/>
            <w:tcBorders>
              <w:top w:val="single" w:sz="8" w:space="0" w:color="ADD6EA"/>
              <w:left w:val="nil"/>
              <w:bottom w:val="nil"/>
              <w:right w:val="nil"/>
            </w:tcBorders>
            <w:shd w:val="clear" w:color="000000" w:fill="B6D5E4"/>
            <w:noWrap/>
            <w:vAlign w:val="center"/>
            <w:hideMark/>
          </w:tcPr>
          <w:p w14:paraId="75B8761C"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c>
          <w:tcPr>
            <w:tcW w:w="709" w:type="dxa"/>
            <w:tcBorders>
              <w:top w:val="single" w:sz="8" w:space="0" w:color="ADD6EA"/>
              <w:left w:val="nil"/>
              <w:bottom w:val="nil"/>
              <w:right w:val="nil"/>
            </w:tcBorders>
            <w:shd w:val="clear" w:color="000000" w:fill="B6D5E4"/>
            <w:noWrap/>
            <w:vAlign w:val="center"/>
            <w:hideMark/>
          </w:tcPr>
          <w:p w14:paraId="40980C2E"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$m</w:t>
            </w:r>
          </w:p>
        </w:tc>
      </w:tr>
      <w:tr w:rsidR="00CC3FB6" w:rsidRPr="00660022" w14:paraId="09AD0E8C" w14:textId="77777777" w:rsidTr="00D35D64">
        <w:trPr>
          <w:trHeight w:val="318"/>
        </w:trPr>
        <w:tc>
          <w:tcPr>
            <w:tcW w:w="2694" w:type="dxa"/>
            <w:tcBorders>
              <w:top w:val="single" w:sz="8" w:space="0" w:color="ADD6EA"/>
              <w:left w:val="nil"/>
              <w:bottom w:val="nil"/>
              <w:right w:val="nil"/>
            </w:tcBorders>
            <w:shd w:val="clear" w:color="auto" w:fill="auto"/>
            <w:vAlign w:val="center"/>
            <w:hideMark/>
          </w:tcPr>
          <w:p w14:paraId="498BFE3E" w14:textId="77777777" w:rsidR="00CC3FB6" w:rsidRPr="00660022" w:rsidRDefault="00CC3FB6" w:rsidP="00D35D64">
            <w:pPr>
              <w:tabs>
                <w:tab w:val="clear" w:pos="567"/>
              </w:tabs>
              <w:spacing w:before="0" w:line="240" w:lineRule="auto"/>
              <w:rPr>
                <w:rFonts w:eastAsia="Times New Roman" w:cs="Open Sans Light"/>
                <w:color w:val="000000"/>
                <w:sz w:val="16"/>
                <w:szCs w:val="16"/>
                <w:lang w:eastAsia="en-AU"/>
              </w:rPr>
            </w:pPr>
            <w:r w:rsidRPr="00660022">
              <w:rPr>
                <w:rFonts w:eastAsia="Times New Roman" w:cs="Open Sans Light"/>
                <w:color w:val="000000"/>
                <w:sz w:val="16"/>
                <w:szCs w:val="16"/>
                <w:lang w:eastAsia="en-AU"/>
              </w:rPr>
              <w:t>U2024 using R2020 methods</w:t>
            </w:r>
          </w:p>
        </w:tc>
        <w:tc>
          <w:tcPr>
            <w:tcW w:w="708" w:type="dxa"/>
            <w:tcBorders>
              <w:top w:val="single" w:sz="8" w:space="0" w:color="ADD6EA"/>
              <w:left w:val="nil"/>
              <w:bottom w:val="nil"/>
              <w:right w:val="nil"/>
            </w:tcBorders>
            <w:shd w:val="clear" w:color="auto" w:fill="auto"/>
            <w:vAlign w:val="center"/>
          </w:tcPr>
          <w:p w14:paraId="1AA56C03"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-176</w:t>
            </w:r>
          </w:p>
        </w:tc>
        <w:tc>
          <w:tcPr>
            <w:tcW w:w="558" w:type="dxa"/>
            <w:tcBorders>
              <w:top w:val="single" w:sz="8" w:space="0" w:color="ADD6EA"/>
              <w:left w:val="nil"/>
              <w:bottom w:val="nil"/>
              <w:right w:val="nil"/>
            </w:tcBorders>
            <w:shd w:val="clear" w:color="auto" w:fill="auto"/>
            <w:vAlign w:val="center"/>
          </w:tcPr>
          <w:p w14:paraId="572D809C"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-136</w:t>
            </w:r>
          </w:p>
        </w:tc>
        <w:tc>
          <w:tcPr>
            <w:tcW w:w="576" w:type="dxa"/>
            <w:tcBorders>
              <w:top w:val="single" w:sz="8" w:space="0" w:color="ADD6EA"/>
              <w:left w:val="nil"/>
              <w:bottom w:val="nil"/>
              <w:right w:val="nil"/>
            </w:tcBorders>
            <w:shd w:val="clear" w:color="auto" w:fill="auto"/>
            <w:vAlign w:val="center"/>
          </w:tcPr>
          <w:p w14:paraId="07ABD27E"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49</w:t>
            </w:r>
          </w:p>
        </w:tc>
        <w:tc>
          <w:tcPr>
            <w:tcW w:w="709" w:type="dxa"/>
            <w:tcBorders>
              <w:top w:val="single" w:sz="8" w:space="0" w:color="ADD6EA"/>
              <w:left w:val="nil"/>
              <w:bottom w:val="nil"/>
              <w:right w:val="nil"/>
            </w:tcBorders>
            <w:shd w:val="clear" w:color="auto" w:fill="auto"/>
            <w:vAlign w:val="center"/>
          </w:tcPr>
          <w:p w14:paraId="65B6DBE0"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98</w:t>
            </w:r>
          </w:p>
        </w:tc>
        <w:tc>
          <w:tcPr>
            <w:tcW w:w="709" w:type="dxa"/>
            <w:tcBorders>
              <w:top w:val="single" w:sz="8" w:space="0" w:color="ADD6EA"/>
              <w:left w:val="nil"/>
              <w:bottom w:val="nil"/>
              <w:right w:val="nil"/>
            </w:tcBorders>
            <w:shd w:val="clear" w:color="auto" w:fill="auto"/>
            <w:vAlign w:val="center"/>
          </w:tcPr>
          <w:p w14:paraId="331E11BE"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w:t>
            </w:r>
          </w:p>
        </w:tc>
        <w:tc>
          <w:tcPr>
            <w:tcW w:w="709" w:type="dxa"/>
            <w:tcBorders>
              <w:top w:val="single" w:sz="8" w:space="0" w:color="ADD6EA"/>
              <w:left w:val="nil"/>
              <w:bottom w:val="nil"/>
              <w:right w:val="nil"/>
            </w:tcBorders>
            <w:shd w:val="clear" w:color="auto" w:fill="auto"/>
            <w:vAlign w:val="center"/>
          </w:tcPr>
          <w:p w14:paraId="239B790C"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w:t>
            </w:r>
          </w:p>
        </w:tc>
        <w:tc>
          <w:tcPr>
            <w:tcW w:w="567" w:type="dxa"/>
            <w:tcBorders>
              <w:top w:val="single" w:sz="8" w:space="0" w:color="ADD6EA"/>
              <w:left w:val="nil"/>
              <w:bottom w:val="nil"/>
              <w:right w:val="nil"/>
            </w:tcBorders>
            <w:shd w:val="clear" w:color="auto" w:fill="auto"/>
            <w:vAlign w:val="center"/>
          </w:tcPr>
          <w:p w14:paraId="1E7F7EBA"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-11</w:t>
            </w:r>
          </w:p>
        </w:tc>
        <w:tc>
          <w:tcPr>
            <w:tcW w:w="850" w:type="dxa"/>
            <w:tcBorders>
              <w:top w:val="single" w:sz="8" w:space="0" w:color="ADD6EA"/>
              <w:left w:val="nil"/>
              <w:bottom w:val="nil"/>
              <w:right w:val="nil"/>
            </w:tcBorders>
            <w:shd w:val="clear" w:color="auto" w:fill="auto"/>
            <w:vAlign w:val="center"/>
          </w:tcPr>
          <w:p w14:paraId="1C2D7658"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147</w:t>
            </w:r>
          </w:p>
        </w:tc>
        <w:tc>
          <w:tcPr>
            <w:tcW w:w="709" w:type="dxa"/>
            <w:tcBorders>
              <w:top w:val="single" w:sz="8" w:space="0" w:color="ADD6EA"/>
              <w:left w:val="nil"/>
              <w:bottom w:val="nil"/>
              <w:right w:val="nil"/>
            </w:tcBorders>
            <w:shd w:val="clear" w:color="auto" w:fill="auto"/>
            <w:vAlign w:val="center"/>
          </w:tcPr>
          <w:p w14:paraId="1721E078"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322</w:t>
            </w:r>
          </w:p>
        </w:tc>
      </w:tr>
      <w:tr w:rsidR="00CC3FB6" w:rsidRPr="00660022" w14:paraId="09203DBC" w14:textId="77777777" w:rsidTr="00D35D64">
        <w:trPr>
          <w:trHeight w:val="317"/>
        </w:trPr>
        <w:tc>
          <w:tcPr>
            <w:tcW w:w="2694" w:type="dxa"/>
            <w:tcBorders>
              <w:top w:val="single" w:sz="8" w:space="0" w:color="ADD6EA"/>
              <w:left w:val="nil"/>
              <w:bottom w:val="nil"/>
              <w:right w:val="nil"/>
            </w:tcBorders>
            <w:shd w:val="clear" w:color="auto" w:fill="auto"/>
            <w:vAlign w:val="center"/>
            <w:hideMark/>
          </w:tcPr>
          <w:p w14:paraId="4F13D81E" w14:textId="77777777" w:rsidR="00CC3FB6" w:rsidRPr="00660022" w:rsidRDefault="00CC3FB6" w:rsidP="00D35D64">
            <w:pPr>
              <w:tabs>
                <w:tab w:val="clear" w:pos="567"/>
              </w:tabs>
              <w:spacing w:before="0" w:line="240" w:lineRule="auto"/>
              <w:rPr>
                <w:rFonts w:eastAsia="Times New Roman" w:cs="Open Sans Light"/>
                <w:color w:val="000000"/>
                <w:sz w:val="16"/>
                <w:szCs w:val="16"/>
                <w:lang w:eastAsia="en-AU"/>
              </w:rPr>
            </w:pPr>
            <w:r w:rsidRPr="00660022">
              <w:rPr>
                <w:rFonts w:eastAsia="Times New Roman" w:cs="Open Sans Light"/>
                <w:color w:val="000000"/>
                <w:sz w:val="16"/>
                <w:szCs w:val="16"/>
                <w:lang w:eastAsia="en-AU"/>
              </w:rPr>
              <w:t>U2024 using draft R2025 methods</w:t>
            </w:r>
          </w:p>
        </w:tc>
        <w:tc>
          <w:tcPr>
            <w:tcW w:w="708" w:type="dxa"/>
            <w:tcBorders>
              <w:top w:val="single" w:sz="8" w:space="0" w:color="ADD6EA"/>
              <w:left w:val="nil"/>
              <w:bottom w:val="nil"/>
              <w:right w:val="nil"/>
            </w:tcBorders>
            <w:shd w:val="clear" w:color="auto" w:fill="auto"/>
            <w:vAlign w:val="center"/>
          </w:tcPr>
          <w:p w14:paraId="4756C6C6"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-187</w:t>
            </w:r>
          </w:p>
        </w:tc>
        <w:tc>
          <w:tcPr>
            <w:tcW w:w="558" w:type="dxa"/>
            <w:tcBorders>
              <w:top w:val="single" w:sz="8" w:space="0" w:color="ADD6EA"/>
              <w:left w:val="nil"/>
              <w:bottom w:val="nil"/>
              <w:right w:val="nil"/>
            </w:tcBorders>
            <w:shd w:val="clear" w:color="auto" w:fill="auto"/>
            <w:vAlign w:val="center"/>
          </w:tcPr>
          <w:p w14:paraId="67146588"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-144</w:t>
            </w:r>
          </w:p>
        </w:tc>
        <w:tc>
          <w:tcPr>
            <w:tcW w:w="576" w:type="dxa"/>
            <w:tcBorders>
              <w:top w:val="single" w:sz="8" w:space="0" w:color="ADD6EA"/>
              <w:left w:val="nil"/>
              <w:bottom w:val="nil"/>
              <w:right w:val="nil"/>
            </w:tcBorders>
            <w:shd w:val="clear" w:color="auto" w:fill="auto"/>
            <w:vAlign w:val="center"/>
          </w:tcPr>
          <w:p w14:paraId="1487F6D0"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55</w:t>
            </w:r>
          </w:p>
        </w:tc>
        <w:tc>
          <w:tcPr>
            <w:tcW w:w="709" w:type="dxa"/>
            <w:tcBorders>
              <w:top w:val="single" w:sz="8" w:space="0" w:color="ADD6EA"/>
              <w:left w:val="nil"/>
              <w:bottom w:val="nil"/>
              <w:right w:val="nil"/>
            </w:tcBorders>
            <w:shd w:val="clear" w:color="auto" w:fill="auto"/>
            <w:vAlign w:val="center"/>
          </w:tcPr>
          <w:p w14:paraId="3F144C53"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104</w:t>
            </w:r>
          </w:p>
        </w:tc>
        <w:tc>
          <w:tcPr>
            <w:tcW w:w="709" w:type="dxa"/>
            <w:tcBorders>
              <w:top w:val="single" w:sz="8" w:space="0" w:color="ADD6EA"/>
              <w:left w:val="nil"/>
              <w:bottom w:val="nil"/>
              <w:right w:val="nil"/>
            </w:tcBorders>
            <w:shd w:val="clear" w:color="auto" w:fill="auto"/>
            <w:vAlign w:val="center"/>
          </w:tcPr>
          <w:p w14:paraId="08C0DFED"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11</w:t>
            </w:r>
          </w:p>
        </w:tc>
        <w:tc>
          <w:tcPr>
            <w:tcW w:w="709" w:type="dxa"/>
            <w:tcBorders>
              <w:top w:val="single" w:sz="8" w:space="0" w:color="ADD6EA"/>
              <w:left w:val="nil"/>
              <w:bottom w:val="nil"/>
              <w:right w:val="nil"/>
            </w:tcBorders>
            <w:shd w:val="clear" w:color="auto" w:fill="auto"/>
            <w:vAlign w:val="center"/>
          </w:tcPr>
          <w:p w14:paraId="6A5B3D6B"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19</w:t>
            </w:r>
          </w:p>
        </w:tc>
        <w:tc>
          <w:tcPr>
            <w:tcW w:w="567" w:type="dxa"/>
            <w:tcBorders>
              <w:top w:val="single" w:sz="8" w:space="0" w:color="ADD6EA"/>
              <w:left w:val="nil"/>
              <w:bottom w:val="nil"/>
              <w:right w:val="nil"/>
            </w:tcBorders>
            <w:shd w:val="clear" w:color="auto" w:fill="auto"/>
            <w:vAlign w:val="center"/>
          </w:tcPr>
          <w:p w14:paraId="49502629"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w:t>
            </w:r>
          </w:p>
        </w:tc>
        <w:tc>
          <w:tcPr>
            <w:tcW w:w="850" w:type="dxa"/>
            <w:tcBorders>
              <w:top w:val="single" w:sz="8" w:space="0" w:color="ADD6EA"/>
              <w:left w:val="nil"/>
              <w:bottom w:val="nil"/>
              <w:right w:val="nil"/>
            </w:tcBorders>
            <w:shd w:val="clear" w:color="auto" w:fill="auto"/>
            <w:vAlign w:val="center"/>
          </w:tcPr>
          <w:p w14:paraId="22D4C924"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153</w:t>
            </w:r>
          </w:p>
        </w:tc>
        <w:tc>
          <w:tcPr>
            <w:tcW w:w="709" w:type="dxa"/>
            <w:tcBorders>
              <w:top w:val="single" w:sz="8" w:space="0" w:color="ADD6EA"/>
              <w:left w:val="nil"/>
              <w:bottom w:val="nil"/>
              <w:right w:val="nil"/>
            </w:tcBorders>
            <w:shd w:val="clear" w:color="auto" w:fill="auto"/>
            <w:vAlign w:val="center"/>
          </w:tcPr>
          <w:p w14:paraId="5835202D"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343</w:t>
            </w:r>
          </w:p>
        </w:tc>
      </w:tr>
      <w:tr w:rsidR="00CC3FB6" w:rsidRPr="00660022" w14:paraId="3B3783C4" w14:textId="77777777" w:rsidTr="00D35D64">
        <w:trPr>
          <w:trHeight w:val="318"/>
        </w:trPr>
        <w:tc>
          <w:tcPr>
            <w:tcW w:w="2694" w:type="dxa"/>
            <w:tcBorders>
              <w:top w:val="single" w:sz="8" w:space="0" w:color="ADD6EA"/>
              <w:left w:val="nil"/>
              <w:bottom w:val="nil"/>
              <w:right w:val="nil"/>
            </w:tcBorders>
            <w:shd w:val="clear" w:color="auto" w:fill="auto"/>
            <w:vAlign w:val="center"/>
            <w:hideMark/>
          </w:tcPr>
          <w:p w14:paraId="34ED118A" w14:textId="77777777" w:rsidR="00CC3FB6" w:rsidRPr="00660022" w:rsidRDefault="00CC3FB6" w:rsidP="00D35D64">
            <w:pPr>
              <w:tabs>
                <w:tab w:val="clear" w:pos="567"/>
              </w:tabs>
              <w:spacing w:before="0" w:line="240" w:lineRule="auto"/>
              <w:rPr>
                <w:rFonts w:eastAsia="Times New Roman" w:cs="Open Sans Light"/>
                <w:color w:val="000000"/>
                <w:sz w:val="16"/>
                <w:szCs w:val="16"/>
                <w:lang w:eastAsia="en-AU"/>
              </w:rPr>
            </w:pPr>
            <w:r w:rsidRPr="00660022">
              <w:rPr>
                <w:rFonts w:eastAsia="Times New Roman" w:cs="Open Sans Light"/>
                <w:color w:val="000000"/>
                <w:sz w:val="16"/>
                <w:szCs w:val="16"/>
                <w:lang w:eastAsia="en-AU"/>
              </w:rPr>
              <w:t>Effect of draft method changes</w:t>
            </w:r>
          </w:p>
        </w:tc>
        <w:tc>
          <w:tcPr>
            <w:tcW w:w="708" w:type="dxa"/>
            <w:tcBorders>
              <w:top w:val="single" w:sz="8" w:space="0" w:color="ADD6EA"/>
              <w:left w:val="nil"/>
              <w:bottom w:val="nil"/>
              <w:right w:val="nil"/>
            </w:tcBorders>
            <w:shd w:val="clear" w:color="auto" w:fill="auto"/>
            <w:vAlign w:val="center"/>
          </w:tcPr>
          <w:p w14:paraId="05C6B679"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w:t>
            </w:r>
          </w:p>
        </w:tc>
        <w:tc>
          <w:tcPr>
            <w:tcW w:w="558" w:type="dxa"/>
            <w:tcBorders>
              <w:top w:val="single" w:sz="8" w:space="0" w:color="ADD6EA"/>
              <w:left w:val="nil"/>
              <w:bottom w:val="nil"/>
              <w:right w:val="nil"/>
            </w:tcBorders>
            <w:shd w:val="clear" w:color="auto" w:fill="auto"/>
            <w:vAlign w:val="center"/>
          </w:tcPr>
          <w:p w14:paraId="3353038B"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w:t>
            </w:r>
          </w:p>
        </w:tc>
        <w:tc>
          <w:tcPr>
            <w:tcW w:w="576" w:type="dxa"/>
            <w:tcBorders>
              <w:top w:val="single" w:sz="8" w:space="0" w:color="ADD6EA"/>
              <w:left w:val="nil"/>
              <w:bottom w:val="nil"/>
              <w:right w:val="nil"/>
            </w:tcBorders>
            <w:shd w:val="clear" w:color="auto" w:fill="auto"/>
            <w:vAlign w:val="center"/>
          </w:tcPr>
          <w:p w14:paraId="12BBBF32"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w:t>
            </w:r>
          </w:p>
        </w:tc>
        <w:tc>
          <w:tcPr>
            <w:tcW w:w="709" w:type="dxa"/>
            <w:tcBorders>
              <w:top w:val="single" w:sz="8" w:space="0" w:color="ADD6EA"/>
              <w:left w:val="nil"/>
              <w:bottom w:val="nil"/>
              <w:right w:val="nil"/>
            </w:tcBorders>
            <w:shd w:val="clear" w:color="auto" w:fill="auto"/>
            <w:vAlign w:val="center"/>
          </w:tcPr>
          <w:p w14:paraId="47A29085"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w:t>
            </w:r>
          </w:p>
        </w:tc>
        <w:tc>
          <w:tcPr>
            <w:tcW w:w="709" w:type="dxa"/>
            <w:tcBorders>
              <w:top w:val="single" w:sz="8" w:space="0" w:color="ADD6EA"/>
              <w:left w:val="nil"/>
              <w:bottom w:val="nil"/>
              <w:right w:val="nil"/>
            </w:tcBorders>
            <w:shd w:val="clear" w:color="auto" w:fill="auto"/>
            <w:vAlign w:val="center"/>
          </w:tcPr>
          <w:p w14:paraId="428F105D"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w:t>
            </w:r>
          </w:p>
        </w:tc>
        <w:tc>
          <w:tcPr>
            <w:tcW w:w="709" w:type="dxa"/>
            <w:tcBorders>
              <w:top w:val="single" w:sz="8" w:space="0" w:color="ADD6EA"/>
              <w:left w:val="nil"/>
              <w:bottom w:val="nil"/>
              <w:right w:val="nil"/>
            </w:tcBorders>
            <w:shd w:val="clear" w:color="auto" w:fill="auto"/>
            <w:vAlign w:val="center"/>
          </w:tcPr>
          <w:p w14:paraId="057395A8"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w:t>
            </w:r>
          </w:p>
        </w:tc>
        <w:tc>
          <w:tcPr>
            <w:tcW w:w="567" w:type="dxa"/>
            <w:tcBorders>
              <w:top w:val="single" w:sz="8" w:space="0" w:color="ADD6EA"/>
              <w:left w:val="nil"/>
              <w:bottom w:val="nil"/>
              <w:right w:val="nil"/>
            </w:tcBorders>
            <w:shd w:val="clear" w:color="auto" w:fill="auto"/>
            <w:vAlign w:val="center"/>
          </w:tcPr>
          <w:p w14:paraId="3E4107A7"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w:t>
            </w:r>
          </w:p>
        </w:tc>
        <w:tc>
          <w:tcPr>
            <w:tcW w:w="850" w:type="dxa"/>
            <w:tcBorders>
              <w:top w:val="single" w:sz="8" w:space="0" w:color="ADD6EA"/>
              <w:left w:val="nil"/>
              <w:bottom w:val="nil"/>
              <w:right w:val="nil"/>
            </w:tcBorders>
            <w:shd w:val="clear" w:color="auto" w:fill="auto"/>
            <w:vAlign w:val="center"/>
          </w:tcPr>
          <w:p w14:paraId="5FCF5F4B"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w:t>
            </w:r>
          </w:p>
        </w:tc>
        <w:tc>
          <w:tcPr>
            <w:tcW w:w="709" w:type="dxa"/>
            <w:tcBorders>
              <w:top w:val="single" w:sz="8" w:space="0" w:color="ADD6EA"/>
              <w:left w:val="nil"/>
              <w:bottom w:val="nil"/>
              <w:right w:val="nil"/>
            </w:tcBorders>
            <w:shd w:val="clear" w:color="auto" w:fill="auto"/>
            <w:vAlign w:val="center"/>
          </w:tcPr>
          <w:p w14:paraId="3187A0FB"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24</w:t>
            </w:r>
          </w:p>
        </w:tc>
      </w:tr>
      <w:tr w:rsidR="00CC3FB6" w:rsidRPr="00660022" w14:paraId="13981494" w14:textId="77777777" w:rsidTr="00D35D64">
        <w:trPr>
          <w:trHeight w:val="227"/>
        </w:trPr>
        <w:tc>
          <w:tcPr>
            <w:tcW w:w="2694" w:type="dxa"/>
            <w:tcBorders>
              <w:top w:val="single" w:sz="8" w:space="0" w:color="ADD6EA"/>
              <w:left w:val="nil"/>
              <w:bottom w:val="nil"/>
              <w:right w:val="nil"/>
            </w:tcBorders>
            <w:shd w:val="clear" w:color="000000" w:fill="B6D5E4"/>
            <w:vAlign w:val="center"/>
            <w:hideMark/>
          </w:tcPr>
          <w:p w14:paraId="5BC6D416" w14:textId="77777777" w:rsidR="00CC3FB6" w:rsidRPr="00660022" w:rsidRDefault="00CC3FB6" w:rsidP="00D35D64">
            <w:pPr>
              <w:tabs>
                <w:tab w:val="clear" w:pos="567"/>
              </w:tabs>
              <w:spacing w:before="0" w:line="240" w:lineRule="auto"/>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 </w:t>
            </w:r>
          </w:p>
        </w:tc>
        <w:tc>
          <w:tcPr>
            <w:tcW w:w="708" w:type="dxa"/>
            <w:tcBorders>
              <w:top w:val="single" w:sz="8" w:space="0" w:color="ADD6EA"/>
              <w:left w:val="nil"/>
              <w:bottom w:val="nil"/>
              <w:right w:val="nil"/>
            </w:tcBorders>
            <w:shd w:val="clear" w:color="000000" w:fill="B6D5E4"/>
            <w:noWrap/>
            <w:vAlign w:val="center"/>
            <w:hideMark/>
          </w:tcPr>
          <w:p w14:paraId="75C340AE"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558" w:type="dxa"/>
            <w:tcBorders>
              <w:top w:val="single" w:sz="8" w:space="0" w:color="ADD6EA"/>
              <w:left w:val="nil"/>
              <w:bottom w:val="nil"/>
              <w:right w:val="nil"/>
            </w:tcBorders>
            <w:shd w:val="clear" w:color="000000" w:fill="B6D5E4"/>
            <w:noWrap/>
            <w:vAlign w:val="center"/>
            <w:hideMark/>
          </w:tcPr>
          <w:p w14:paraId="5E955A9B"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576" w:type="dxa"/>
            <w:tcBorders>
              <w:top w:val="single" w:sz="8" w:space="0" w:color="ADD6EA"/>
              <w:left w:val="nil"/>
              <w:bottom w:val="nil"/>
              <w:right w:val="nil"/>
            </w:tcBorders>
            <w:shd w:val="clear" w:color="000000" w:fill="B6D5E4"/>
            <w:noWrap/>
            <w:vAlign w:val="center"/>
            <w:hideMark/>
          </w:tcPr>
          <w:p w14:paraId="22C1CED7"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709" w:type="dxa"/>
            <w:tcBorders>
              <w:top w:val="single" w:sz="8" w:space="0" w:color="ADD6EA"/>
              <w:left w:val="nil"/>
              <w:bottom w:val="nil"/>
              <w:right w:val="nil"/>
            </w:tcBorders>
            <w:shd w:val="clear" w:color="000000" w:fill="B6D5E4"/>
            <w:noWrap/>
            <w:vAlign w:val="center"/>
            <w:hideMark/>
          </w:tcPr>
          <w:p w14:paraId="0028E27B"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709" w:type="dxa"/>
            <w:tcBorders>
              <w:top w:val="single" w:sz="8" w:space="0" w:color="ADD6EA"/>
              <w:left w:val="nil"/>
              <w:bottom w:val="nil"/>
              <w:right w:val="nil"/>
            </w:tcBorders>
            <w:shd w:val="clear" w:color="000000" w:fill="B6D5E4"/>
            <w:noWrap/>
            <w:vAlign w:val="center"/>
            <w:hideMark/>
          </w:tcPr>
          <w:p w14:paraId="3B852A07"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709" w:type="dxa"/>
            <w:tcBorders>
              <w:top w:val="single" w:sz="8" w:space="0" w:color="ADD6EA"/>
              <w:left w:val="nil"/>
              <w:bottom w:val="nil"/>
              <w:right w:val="nil"/>
            </w:tcBorders>
            <w:shd w:val="clear" w:color="000000" w:fill="B6D5E4"/>
            <w:noWrap/>
            <w:vAlign w:val="center"/>
            <w:hideMark/>
          </w:tcPr>
          <w:p w14:paraId="7EAA21DC"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567" w:type="dxa"/>
            <w:tcBorders>
              <w:top w:val="single" w:sz="8" w:space="0" w:color="ADD6EA"/>
              <w:left w:val="nil"/>
              <w:bottom w:val="nil"/>
              <w:right w:val="nil"/>
            </w:tcBorders>
            <w:shd w:val="clear" w:color="000000" w:fill="B6D5E4"/>
            <w:noWrap/>
            <w:vAlign w:val="center"/>
            <w:hideMark/>
          </w:tcPr>
          <w:p w14:paraId="5FE202E9"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850" w:type="dxa"/>
            <w:tcBorders>
              <w:top w:val="single" w:sz="8" w:space="0" w:color="ADD6EA"/>
              <w:left w:val="nil"/>
              <w:bottom w:val="nil"/>
              <w:right w:val="nil"/>
            </w:tcBorders>
            <w:shd w:val="clear" w:color="000000" w:fill="B6D5E4"/>
            <w:noWrap/>
            <w:vAlign w:val="center"/>
            <w:hideMark/>
          </w:tcPr>
          <w:p w14:paraId="7C968693"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c>
          <w:tcPr>
            <w:tcW w:w="709" w:type="dxa"/>
            <w:tcBorders>
              <w:top w:val="single" w:sz="8" w:space="0" w:color="ADD6EA"/>
              <w:left w:val="nil"/>
              <w:bottom w:val="nil"/>
              <w:right w:val="nil"/>
            </w:tcBorders>
            <w:shd w:val="clear" w:color="000000" w:fill="B6D5E4"/>
            <w:noWrap/>
            <w:vAlign w:val="center"/>
            <w:hideMark/>
          </w:tcPr>
          <w:p w14:paraId="35B59EC1" w14:textId="77777777" w:rsidR="00CC3FB6" w:rsidRPr="00660022" w:rsidRDefault="00CC3FB6" w:rsidP="00D35D6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60022">
              <w:rPr>
                <w:rFonts w:ascii="Open Sans Semibold" w:eastAsia="Times New Roman" w:hAnsi="Open Sans Semibold" w:cs="Open Sans Semibold"/>
                <w:color w:val="000000"/>
                <w:sz w:val="16"/>
                <w:szCs w:val="16"/>
                <w:lang w:eastAsia="en-AU"/>
              </w:rPr>
              <w:t>$pc</w:t>
            </w:r>
          </w:p>
        </w:tc>
      </w:tr>
      <w:tr w:rsidR="00CC3FB6" w:rsidRPr="00660022" w14:paraId="24E25885" w14:textId="77777777" w:rsidTr="00D35D64">
        <w:trPr>
          <w:trHeight w:val="318"/>
        </w:trPr>
        <w:tc>
          <w:tcPr>
            <w:tcW w:w="2694" w:type="dxa"/>
            <w:tcBorders>
              <w:top w:val="single" w:sz="8" w:space="0" w:color="ADD6EA"/>
              <w:left w:val="nil"/>
              <w:bottom w:val="nil"/>
              <w:right w:val="nil"/>
            </w:tcBorders>
            <w:shd w:val="clear" w:color="auto" w:fill="auto"/>
            <w:vAlign w:val="center"/>
            <w:hideMark/>
          </w:tcPr>
          <w:p w14:paraId="4C5A29A9" w14:textId="77777777" w:rsidR="00CC3FB6" w:rsidRPr="00660022" w:rsidRDefault="00CC3FB6" w:rsidP="00D35D64">
            <w:pPr>
              <w:tabs>
                <w:tab w:val="clear" w:pos="567"/>
              </w:tabs>
              <w:spacing w:before="0" w:line="240" w:lineRule="auto"/>
              <w:rPr>
                <w:rFonts w:eastAsia="Times New Roman" w:cs="Open Sans Light"/>
                <w:color w:val="000000"/>
                <w:sz w:val="16"/>
                <w:szCs w:val="16"/>
                <w:lang w:eastAsia="en-AU"/>
              </w:rPr>
            </w:pPr>
            <w:r w:rsidRPr="00660022">
              <w:rPr>
                <w:rFonts w:eastAsia="Times New Roman" w:cs="Open Sans Light"/>
                <w:color w:val="000000"/>
                <w:sz w:val="16"/>
                <w:szCs w:val="16"/>
                <w:lang w:eastAsia="en-AU"/>
              </w:rPr>
              <w:t>U2024 using R2020 methods</w:t>
            </w:r>
          </w:p>
        </w:tc>
        <w:tc>
          <w:tcPr>
            <w:tcW w:w="708" w:type="dxa"/>
            <w:tcBorders>
              <w:top w:val="single" w:sz="8" w:space="0" w:color="ADD6EA"/>
              <w:left w:val="nil"/>
              <w:bottom w:val="nil"/>
              <w:right w:val="nil"/>
            </w:tcBorders>
            <w:shd w:val="clear" w:color="auto" w:fill="auto"/>
            <w:vAlign w:val="center"/>
          </w:tcPr>
          <w:p w14:paraId="39FD2591"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w:t>
            </w:r>
          </w:p>
        </w:tc>
        <w:tc>
          <w:tcPr>
            <w:tcW w:w="558" w:type="dxa"/>
            <w:tcBorders>
              <w:top w:val="single" w:sz="8" w:space="0" w:color="ADD6EA"/>
              <w:left w:val="nil"/>
              <w:bottom w:val="nil"/>
              <w:right w:val="nil"/>
            </w:tcBorders>
            <w:shd w:val="clear" w:color="auto" w:fill="auto"/>
            <w:vAlign w:val="center"/>
          </w:tcPr>
          <w:p w14:paraId="3F96F81A"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-19</w:t>
            </w:r>
          </w:p>
        </w:tc>
        <w:tc>
          <w:tcPr>
            <w:tcW w:w="576" w:type="dxa"/>
            <w:tcBorders>
              <w:top w:val="single" w:sz="8" w:space="0" w:color="ADD6EA"/>
              <w:left w:val="nil"/>
              <w:bottom w:val="nil"/>
              <w:right w:val="nil"/>
            </w:tcBorders>
            <w:shd w:val="clear" w:color="auto" w:fill="auto"/>
            <w:vAlign w:val="center"/>
          </w:tcPr>
          <w:p w14:paraId="1DB8E1C7"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w:t>
            </w:r>
          </w:p>
        </w:tc>
        <w:tc>
          <w:tcPr>
            <w:tcW w:w="709" w:type="dxa"/>
            <w:tcBorders>
              <w:top w:val="single" w:sz="8" w:space="0" w:color="ADD6EA"/>
              <w:left w:val="nil"/>
              <w:bottom w:val="nil"/>
              <w:right w:val="nil"/>
            </w:tcBorders>
            <w:shd w:val="clear" w:color="auto" w:fill="auto"/>
            <w:vAlign w:val="center"/>
          </w:tcPr>
          <w:p w14:paraId="58BA4B16"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33</w:t>
            </w:r>
          </w:p>
        </w:tc>
        <w:tc>
          <w:tcPr>
            <w:tcW w:w="709" w:type="dxa"/>
            <w:tcBorders>
              <w:top w:val="single" w:sz="8" w:space="0" w:color="ADD6EA"/>
              <w:left w:val="nil"/>
              <w:bottom w:val="nil"/>
              <w:right w:val="nil"/>
            </w:tcBorders>
            <w:shd w:val="clear" w:color="auto" w:fill="auto"/>
            <w:vAlign w:val="center"/>
          </w:tcPr>
          <w:p w14:paraId="7DDF62E1"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w:t>
            </w:r>
          </w:p>
        </w:tc>
        <w:tc>
          <w:tcPr>
            <w:tcW w:w="709" w:type="dxa"/>
            <w:tcBorders>
              <w:top w:val="single" w:sz="8" w:space="0" w:color="ADD6EA"/>
              <w:left w:val="nil"/>
              <w:bottom w:val="nil"/>
              <w:right w:val="nil"/>
            </w:tcBorders>
            <w:shd w:val="clear" w:color="auto" w:fill="auto"/>
            <w:vAlign w:val="center"/>
          </w:tcPr>
          <w:p w14:paraId="7DE15469"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23</w:t>
            </w:r>
          </w:p>
        </w:tc>
        <w:tc>
          <w:tcPr>
            <w:tcW w:w="567" w:type="dxa"/>
            <w:tcBorders>
              <w:top w:val="single" w:sz="8" w:space="0" w:color="ADD6EA"/>
              <w:left w:val="nil"/>
              <w:bottom w:val="nil"/>
              <w:right w:val="nil"/>
            </w:tcBorders>
            <w:shd w:val="clear" w:color="auto" w:fill="auto"/>
            <w:vAlign w:val="center"/>
          </w:tcPr>
          <w:p w14:paraId="487037F4"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-23</w:t>
            </w:r>
          </w:p>
        </w:tc>
        <w:tc>
          <w:tcPr>
            <w:tcW w:w="850" w:type="dxa"/>
            <w:tcBorders>
              <w:top w:val="single" w:sz="8" w:space="0" w:color="ADD6EA"/>
              <w:left w:val="nil"/>
              <w:bottom w:val="nil"/>
              <w:right w:val="nil"/>
            </w:tcBorders>
            <w:shd w:val="clear" w:color="auto" w:fill="auto"/>
            <w:vAlign w:val="center"/>
          </w:tcPr>
          <w:p w14:paraId="141F7691"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571</w:t>
            </w:r>
          </w:p>
        </w:tc>
        <w:tc>
          <w:tcPr>
            <w:tcW w:w="709" w:type="dxa"/>
            <w:tcBorders>
              <w:top w:val="single" w:sz="8" w:space="0" w:color="ADD6EA"/>
              <w:left w:val="nil"/>
              <w:bottom w:val="single" w:sz="8" w:space="0" w:color="ADD6EA"/>
              <w:right w:val="nil"/>
            </w:tcBorders>
            <w:shd w:val="clear" w:color="auto" w:fill="auto"/>
            <w:vAlign w:val="center"/>
          </w:tcPr>
          <w:p w14:paraId="161453DF"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12</w:t>
            </w:r>
          </w:p>
        </w:tc>
      </w:tr>
      <w:tr w:rsidR="00CC3FB6" w:rsidRPr="00660022" w14:paraId="32B4A44B" w14:textId="77777777" w:rsidTr="00D35D64">
        <w:trPr>
          <w:trHeight w:val="318"/>
        </w:trPr>
        <w:tc>
          <w:tcPr>
            <w:tcW w:w="2694" w:type="dxa"/>
            <w:tcBorders>
              <w:top w:val="single" w:sz="8" w:space="0" w:color="ADD6EA"/>
              <w:left w:val="nil"/>
              <w:bottom w:val="nil"/>
              <w:right w:val="nil"/>
            </w:tcBorders>
            <w:shd w:val="clear" w:color="auto" w:fill="auto"/>
            <w:vAlign w:val="center"/>
            <w:hideMark/>
          </w:tcPr>
          <w:p w14:paraId="1A6ABD3C" w14:textId="77777777" w:rsidR="00CC3FB6" w:rsidRPr="00660022" w:rsidRDefault="00CC3FB6" w:rsidP="00D35D64">
            <w:pPr>
              <w:tabs>
                <w:tab w:val="clear" w:pos="567"/>
              </w:tabs>
              <w:spacing w:before="0" w:line="240" w:lineRule="auto"/>
              <w:rPr>
                <w:rFonts w:eastAsia="Times New Roman" w:cs="Open Sans Light"/>
                <w:color w:val="000000"/>
                <w:sz w:val="16"/>
                <w:szCs w:val="16"/>
                <w:lang w:eastAsia="en-AU"/>
              </w:rPr>
            </w:pPr>
            <w:r w:rsidRPr="00660022">
              <w:rPr>
                <w:rFonts w:eastAsia="Times New Roman" w:cs="Open Sans Light"/>
                <w:color w:val="000000"/>
                <w:sz w:val="16"/>
                <w:szCs w:val="16"/>
                <w:lang w:eastAsia="en-AU"/>
              </w:rPr>
              <w:t>U2024 using draft R2025 methods</w:t>
            </w:r>
          </w:p>
        </w:tc>
        <w:tc>
          <w:tcPr>
            <w:tcW w:w="708" w:type="dxa"/>
            <w:tcBorders>
              <w:top w:val="single" w:sz="8" w:space="0" w:color="ADD6EA"/>
              <w:left w:val="nil"/>
              <w:bottom w:val="nil"/>
              <w:right w:val="nil"/>
            </w:tcBorders>
            <w:shd w:val="clear" w:color="auto" w:fill="auto"/>
            <w:vAlign w:val="center"/>
          </w:tcPr>
          <w:p w14:paraId="0BEA7540"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-22</w:t>
            </w:r>
          </w:p>
        </w:tc>
        <w:tc>
          <w:tcPr>
            <w:tcW w:w="558" w:type="dxa"/>
            <w:tcBorders>
              <w:top w:val="single" w:sz="8" w:space="0" w:color="ADD6EA"/>
              <w:left w:val="nil"/>
              <w:bottom w:val="nil"/>
              <w:right w:val="nil"/>
            </w:tcBorders>
            <w:shd w:val="clear" w:color="auto" w:fill="auto"/>
            <w:vAlign w:val="center"/>
          </w:tcPr>
          <w:p w14:paraId="3CA0D28B"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-20</w:t>
            </w:r>
          </w:p>
        </w:tc>
        <w:tc>
          <w:tcPr>
            <w:tcW w:w="576" w:type="dxa"/>
            <w:tcBorders>
              <w:top w:val="single" w:sz="8" w:space="0" w:color="ADD6EA"/>
              <w:left w:val="nil"/>
              <w:bottom w:val="nil"/>
              <w:right w:val="nil"/>
            </w:tcBorders>
            <w:shd w:val="clear" w:color="auto" w:fill="auto"/>
            <w:vAlign w:val="center"/>
          </w:tcPr>
          <w:p w14:paraId="00BA047A"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w:t>
            </w:r>
          </w:p>
        </w:tc>
        <w:tc>
          <w:tcPr>
            <w:tcW w:w="709" w:type="dxa"/>
            <w:tcBorders>
              <w:top w:val="single" w:sz="8" w:space="0" w:color="ADD6EA"/>
              <w:left w:val="nil"/>
              <w:bottom w:val="nil"/>
              <w:right w:val="nil"/>
            </w:tcBorders>
            <w:shd w:val="clear" w:color="auto" w:fill="auto"/>
            <w:vAlign w:val="center"/>
          </w:tcPr>
          <w:p w14:paraId="7B4A77F6"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35</w:t>
            </w:r>
          </w:p>
        </w:tc>
        <w:tc>
          <w:tcPr>
            <w:tcW w:w="709" w:type="dxa"/>
            <w:tcBorders>
              <w:top w:val="single" w:sz="8" w:space="0" w:color="ADD6EA"/>
              <w:left w:val="nil"/>
              <w:bottom w:val="nil"/>
              <w:right w:val="nil"/>
            </w:tcBorders>
            <w:shd w:val="clear" w:color="auto" w:fill="auto"/>
            <w:vAlign w:val="center"/>
          </w:tcPr>
          <w:p w14:paraId="72E908AF"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w:t>
            </w:r>
          </w:p>
        </w:tc>
        <w:tc>
          <w:tcPr>
            <w:tcW w:w="709" w:type="dxa"/>
            <w:tcBorders>
              <w:top w:val="single" w:sz="8" w:space="0" w:color="ADD6EA"/>
              <w:left w:val="nil"/>
              <w:bottom w:val="nil"/>
              <w:right w:val="nil"/>
            </w:tcBorders>
            <w:shd w:val="clear" w:color="auto" w:fill="auto"/>
            <w:vAlign w:val="center"/>
          </w:tcPr>
          <w:p w14:paraId="70FF11BD"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32</w:t>
            </w:r>
          </w:p>
        </w:tc>
        <w:tc>
          <w:tcPr>
            <w:tcW w:w="567" w:type="dxa"/>
            <w:tcBorders>
              <w:top w:val="single" w:sz="8" w:space="0" w:color="ADD6EA"/>
              <w:left w:val="nil"/>
              <w:bottom w:val="nil"/>
              <w:right w:val="nil"/>
            </w:tcBorders>
            <w:shd w:val="clear" w:color="auto" w:fill="auto"/>
            <w:vAlign w:val="center"/>
          </w:tcPr>
          <w:p w14:paraId="04587CB8"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w:t>
            </w:r>
          </w:p>
        </w:tc>
        <w:tc>
          <w:tcPr>
            <w:tcW w:w="850" w:type="dxa"/>
            <w:tcBorders>
              <w:top w:val="single" w:sz="8" w:space="0" w:color="ADD6EA"/>
              <w:left w:val="nil"/>
              <w:bottom w:val="nil"/>
              <w:right w:val="nil"/>
            </w:tcBorders>
            <w:shd w:val="clear" w:color="auto" w:fill="auto"/>
            <w:vAlign w:val="center"/>
          </w:tcPr>
          <w:p w14:paraId="51B55876"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597</w:t>
            </w:r>
          </w:p>
        </w:tc>
        <w:tc>
          <w:tcPr>
            <w:tcW w:w="709" w:type="dxa"/>
            <w:tcBorders>
              <w:top w:val="nil"/>
              <w:left w:val="nil"/>
              <w:bottom w:val="single" w:sz="8" w:space="0" w:color="ADD6EA"/>
              <w:right w:val="nil"/>
            </w:tcBorders>
            <w:shd w:val="clear" w:color="auto" w:fill="auto"/>
            <w:vAlign w:val="center"/>
          </w:tcPr>
          <w:p w14:paraId="350F9ADB" w14:textId="1AA8DB10"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r w:rsidR="0037143C">
              <w:rPr>
                <w:rFonts w:eastAsia="Times New Roman" w:cs="Open Sans Light"/>
                <w:color w:val="000000"/>
                <w:sz w:val="16"/>
                <w:szCs w:val="16"/>
                <w:lang w:eastAsia="en-AU"/>
              </w:rPr>
              <w:t>4</w:t>
            </w:r>
          </w:p>
        </w:tc>
      </w:tr>
      <w:tr w:rsidR="00CC3FB6" w:rsidRPr="00660022" w14:paraId="58DC4490" w14:textId="77777777" w:rsidTr="00D35D64">
        <w:trPr>
          <w:trHeight w:val="318"/>
        </w:trPr>
        <w:tc>
          <w:tcPr>
            <w:tcW w:w="2694" w:type="dxa"/>
            <w:tcBorders>
              <w:top w:val="single" w:sz="8" w:space="0" w:color="ADD6EA"/>
              <w:left w:val="nil"/>
              <w:bottom w:val="single" w:sz="8" w:space="0" w:color="ADD6EA"/>
              <w:right w:val="nil"/>
            </w:tcBorders>
            <w:shd w:val="clear" w:color="auto" w:fill="auto"/>
            <w:vAlign w:val="center"/>
            <w:hideMark/>
          </w:tcPr>
          <w:p w14:paraId="570F97D4" w14:textId="77777777" w:rsidR="00CC3FB6" w:rsidRPr="00660022" w:rsidRDefault="00CC3FB6" w:rsidP="00D35D64">
            <w:pPr>
              <w:tabs>
                <w:tab w:val="clear" w:pos="567"/>
              </w:tabs>
              <w:spacing w:before="0" w:line="240" w:lineRule="auto"/>
              <w:rPr>
                <w:rFonts w:eastAsia="Times New Roman" w:cs="Open Sans Light"/>
                <w:color w:val="000000"/>
                <w:sz w:val="16"/>
                <w:szCs w:val="16"/>
                <w:lang w:eastAsia="en-AU"/>
              </w:rPr>
            </w:pPr>
            <w:r w:rsidRPr="00660022">
              <w:rPr>
                <w:rFonts w:eastAsia="Times New Roman" w:cs="Open Sans Light"/>
                <w:color w:val="000000"/>
                <w:sz w:val="16"/>
                <w:szCs w:val="16"/>
                <w:lang w:eastAsia="en-AU"/>
              </w:rPr>
              <w:t>Effect of draft method changes</w:t>
            </w:r>
          </w:p>
        </w:tc>
        <w:tc>
          <w:tcPr>
            <w:tcW w:w="708" w:type="dxa"/>
            <w:tcBorders>
              <w:top w:val="single" w:sz="8" w:space="0" w:color="ADD6EA"/>
              <w:left w:val="nil"/>
              <w:bottom w:val="single" w:sz="8" w:space="0" w:color="ADD6EA"/>
              <w:right w:val="nil"/>
            </w:tcBorders>
            <w:shd w:val="clear" w:color="auto" w:fill="auto"/>
            <w:vAlign w:val="center"/>
          </w:tcPr>
          <w:p w14:paraId="0C407DE7"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c>
          <w:tcPr>
            <w:tcW w:w="558" w:type="dxa"/>
            <w:tcBorders>
              <w:top w:val="single" w:sz="8" w:space="0" w:color="ADD6EA"/>
              <w:left w:val="nil"/>
              <w:bottom w:val="single" w:sz="8" w:space="0" w:color="ADD6EA"/>
              <w:right w:val="nil"/>
            </w:tcBorders>
            <w:shd w:val="clear" w:color="auto" w:fill="auto"/>
            <w:vAlign w:val="center"/>
          </w:tcPr>
          <w:p w14:paraId="212AD140"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c>
          <w:tcPr>
            <w:tcW w:w="576" w:type="dxa"/>
            <w:tcBorders>
              <w:top w:val="single" w:sz="8" w:space="0" w:color="ADD6EA"/>
              <w:left w:val="nil"/>
              <w:bottom w:val="single" w:sz="8" w:space="0" w:color="ADD6EA"/>
              <w:right w:val="nil"/>
            </w:tcBorders>
            <w:shd w:val="clear" w:color="auto" w:fill="auto"/>
            <w:vAlign w:val="center"/>
          </w:tcPr>
          <w:p w14:paraId="02AA3EEC"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c>
          <w:tcPr>
            <w:tcW w:w="709" w:type="dxa"/>
            <w:tcBorders>
              <w:top w:val="single" w:sz="8" w:space="0" w:color="ADD6EA"/>
              <w:left w:val="nil"/>
              <w:bottom w:val="single" w:sz="8" w:space="0" w:color="ADD6EA"/>
              <w:right w:val="nil"/>
            </w:tcBorders>
            <w:shd w:val="clear" w:color="auto" w:fill="auto"/>
            <w:vAlign w:val="center"/>
          </w:tcPr>
          <w:p w14:paraId="583C9FD3"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w:t>
            </w:r>
          </w:p>
        </w:tc>
        <w:tc>
          <w:tcPr>
            <w:tcW w:w="709" w:type="dxa"/>
            <w:tcBorders>
              <w:top w:val="single" w:sz="8" w:space="0" w:color="ADD6EA"/>
              <w:left w:val="nil"/>
              <w:bottom w:val="single" w:sz="8" w:space="0" w:color="ADD6EA"/>
              <w:right w:val="nil"/>
            </w:tcBorders>
            <w:shd w:val="clear" w:color="auto" w:fill="auto"/>
            <w:vAlign w:val="center"/>
          </w:tcPr>
          <w:p w14:paraId="28CC556C"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w:t>
            </w:r>
          </w:p>
        </w:tc>
        <w:tc>
          <w:tcPr>
            <w:tcW w:w="709" w:type="dxa"/>
            <w:tcBorders>
              <w:top w:val="single" w:sz="8" w:space="0" w:color="ADD6EA"/>
              <w:left w:val="nil"/>
              <w:bottom w:val="single" w:sz="8" w:space="0" w:color="ADD6EA"/>
              <w:right w:val="nil"/>
            </w:tcBorders>
            <w:shd w:val="clear" w:color="auto" w:fill="auto"/>
            <w:vAlign w:val="center"/>
          </w:tcPr>
          <w:p w14:paraId="41F5CCB4"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w:t>
            </w:r>
          </w:p>
        </w:tc>
        <w:tc>
          <w:tcPr>
            <w:tcW w:w="567" w:type="dxa"/>
            <w:tcBorders>
              <w:top w:val="single" w:sz="8" w:space="0" w:color="ADD6EA"/>
              <w:left w:val="nil"/>
              <w:bottom w:val="single" w:sz="8" w:space="0" w:color="ADD6EA"/>
              <w:right w:val="nil"/>
            </w:tcBorders>
            <w:shd w:val="clear" w:color="auto" w:fill="auto"/>
            <w:vAlign w:val="center"/>
          </w:tcPr>
          <w:p w14:paraId="0DBADF46"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w:t>
            </w:r>
          </w:p>
        </w:tc>
        <w:tc>
          <w:tcPr>
            <w:tcW w:w="850" w:type="dxa"/>
            <w:tcBorders>
              <w:top w:val="single" w:sz="8" w:space="0" w:color="ADD6EA"/>
              <w:left w:val="nil"/>
              <w:bottom w:val="single" w:sz="8" w:space="0" w:color="ADD6EA"/>
              <w:right w:val="nil"/>
            </w:tcBorders>
            <w:shd w:val="clear" w:color="auto" w:fill="auto"/>
            <w:vAlign w:val="center"/>
          </w:tcPr>
          <w:p w14:paraId="551437A7"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27</w:t>
            </w:r>
          </w:p>
        </w:tc>
        <w:tc>
          <w:tcPr>
            <w:tcW w:w="709" w:type="dxa"/>
            <w:tcBorders>
              <w:top w:val="nil"/>
              <w:left w:val="nil"/>
              <w:bottom w:val="single" w:sz="8" w:space="0" w:color="ADD6EA"/>
              <w:right w:val="nil"/>
            </w:tcBorders>
            <w:shd w:val="clear" w:color="auto" w:fill="auto"/>
            <w:vAlign w:val="center"/>
          </w:tcPr>
          <w:p w14:paraId="03A7D67E" w14:textId="77777777" w:rsidR="00CC3FB6" w:rsidRPr="00660022" w:rsidRDefault="00CC3FB6" w:rsidP="00D35D6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r>
    </w:tbl>
    <w:p w14:paraId="1A3F85F6" w14:textId="7E7BA955" w:rsidR="00114915" w:rsidRDefault="00114915" w:rsidP="006F32EA">
      <w:pPr>
        <w:pStyle w:val="CGC2025TableNote"/>
        <w:tabs>
          <w:tab w:val="clear" w:pos="567"/>
          <w:tab w:val="clear" w:pos="680"/>
          <w:tab w:val="left" w:pos="709"/>
          <w:tab w:val="left" w:pos="851"/>
        </w:tabs>
        <w:ind w:left="709" w:hanging="596"/>
      </w:pPr>
      <w:r>
        <w:t xml:space="preserve">Note: </w:t>
      </w:r>
      <w:r w:rsidR="006F32EA">
        <w:tab/>
      </w:r>
      <w:r>
        <w:t>The data included in the table have not been subject to full quality assurance processes and, as such, should be treated as indicative only.</w:t>
      </w:r>
    </w:p>
    <w:p w14:paraId="1202E657" w14:textId="5A9FA8E9" w:rsidR="00114915" w:rsidRDefault="00114915" w:rsidP="006F32EA">
      <w:pPr>
        <w:pStyle w:val="CGC2025TableNote"/>
        <w:tabs>
          <w:tab w:val="clear" w:pos="567"/>
          <w:tab w:val="clear" w:pos="680"/>
          <w:tab w:val="left" w:pos="709"/>
        </w:tabs>
        <w:ind w:left="709" w:firstLine="0"/>
      </w:pPr>
      <w:r>
        <w:t>I</w:t>
      </w:r>
      <w:r w:rsidRPr="00520BE2">
        <w:t>ndicative GST impacts are provided for illustrative purposes only and should not be used to predict impacts on GST</w:t>
      </w:r>
      <w:r w:rsidR="00A17123">
        <w:t> </w:t>
      </w:r>
      <w:r w:rsidRPr="00520BE2">
        <w:t>distribution for 2025-26</w:t>
      </w:r>
      <w:r w:rsidR="0074658A">
        <w:t>.</w:t>
      </w:r>
    </w:p>
    <w:p w14:paraId="0E674A0D" w14:textId="0BD0DDFF" w:rsidR="00160F2D" w:rsidRPr="004F124F" w:rsidRDefault="00160F2D" w:rsidP="00A01545">
      <w:pPr>
        <w:pStyle w:val="CGC2025ParaNumbers"/>
      </w:pPr>
      <w:r w:rsidRPr="00160F2D">
        <w:lastRenderedPageBreak/>
        <w:t xml:space="preserve">As a result of including additional components in the regional costs general gradient, </w:t>
      </w:r>
      <w:r w:rsidR="00C92E0B">
        <w:t xml:space="preserve">the slope of the gradient </w:t>
      </w:r>
      <w:r w:rsidRPr="00160F2D">
        <w:t xml:space="preserve">has become steeper as shown in </w:t>
      </w:r>
      <w:r w:rsidR="00ED78A6">
        <w:t>Figure 3</w:t>
      </w:r>
      <w:r w:rsidRPr="00160F2D">
        <w:t xml:space="preserve">. As a result of additional components included in the regional and service delivery scale costs combined general gradient, </w:t>
      </w:r>
      <w:r w:rsidR="007A2B53">
        <w:t xml:space="preserve">the slope of the gradient </w:t>
      </w:r>
      <w:r w:rsidRPr="00160F2D">
        <w:t>has become flatter as shown in</w:t>
      </w:r>
      <w:r w:rsidR="00ED78A6">
        <w:t xml:space="preserve"> Figure 4</w:t>
      </w:r>
      <w:r w:rsidRPr="00160F2D">
        <w:t xml:space="preserve">. Given </w:t>
      </w:r>
      <w:r w:rsidR="007A2B53">
        <w:t xml:space="preserve">the slope of </w:t>
      </w:r>
      <w:r w:rsidRPr="00160F2D">
        <w:t>one gradient has become steeper and the other, flatter, the net impact of the proposed changes, as captured in</w:t>
      </w:r>
      <w:r w:rsidR="00775ED0">
        <w:t xml:space="preserve"> Table 3</w:t>
      </w:r>
      <w:r w:rsidRPr="00160F2D">
        <w:t xml:space="preserve">, include offsetting elements. </w:t>
      </w:r>
      <w:bookmarkEnd w:id="1"/>
      <w:bookmarkEnd w:id="2"/>
      <w:bookmarkEnd w:id="3"/>
    </w:p>
    <w:sectPr w:rsidR="00160F2D" w:rsidRPr="004F124F" w:rsidSect="00BD21E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7F79" w14:textId="77777777" w:rsidR="00527BBD" w:rsidRDefault="00527BBD">
      <w:r>
        <w:separator/>
      </w:r>
    </w:p>
    <w:p w14:paraId="5569023F" w14:textId="77777777" w:rsidR="00527BBD" w:rsidRDefault="00527BBD"/>
  </w:endnote>
  <w:endnote w:type="continuationSeparator" w:id="0">
    <w:p w14:paraId="5882BEB4" w14:textId="77777777" w:rsidR="00527BBD" w:rsidRDefault="00527BBD">
      <w:r>
        <w:continuationSeparator/>
      </w:r>
    </w:p>
    <w:p w14:paraId="2ADAD855" w14:textId="77777777" w:rsidR="00527BBD" w:rsidRDefault="00527BBD"/>
  </w:endnote>
  <w:endnote w:type="continuationNotice" w:id="1">
    <w:p w14:paraId="1CC1B483" w14:textId="77777777" w:rsidR="00527BBD" w:rsidRDefault="00527BBD">
      <w:pPr>
        <w:spacing w:before="0" w:line="240" w:lineRule="auto"/>
      </w:pPr>
    </w:p>
    <w:p w14:paraId="4E36CF52" w14:textId="77777777" w:rsidR="00527BBD" w:rsidRDefault="00527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0588" w14:textId="77777777" w:rsidR="00EC67FE" w:rsidRDefault="00EC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7777777"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Pr="00E862C1">
              <w:rPr>
                <w:rFonts w:ascii="Open Sans" w:hAnsi="Open Sans" w:cs="Open Sans"/>
                <w:b w:val="0"/>
                <w:color w:val="auto"/>
                <w:sz w:val="14"/>
                <w:szCs w:val="14"/>
              </w:rPr>
              <w:fldChar w:fldCharType="begin"/>
            </w:r>
            <w:r w:rsidRPr="00C246AB">
              <w:rPr>
                <w:b w:val="0"/>
                <w:color w:val="auto"/>
              </w:rPr>
              <w:instrText xml:space="preserve"> PAGE   \* MERGEFORMAT </w:instrText>
            </w:r>
            <w:r w:rsidRPr="00E862C1">
              <w:rPr>
                <w:rFonts w:ascii="Open Sans" w:hAnsi="Open Sans" w:cs="Open Sans"/>
                <w:b w:val="0"/>
                <w:color w:val="auto"/>
                <w:sz w:val="14"/>
                <w:szCs w:val="14"/>
              </w:rPr>
              <w:fldChar w:fldCharType="separate"/>
            </w:r>
            <w:r w:rsidRPr="00C246AB">
              <w:rPr>
                <w:rFonts w:ascii="Open Sans" w:hAnsi="Open Sans" w:cs="Open Sans"/>
                <w:b w:val="0"/>
                <w:color w:val="auto"/>
                <w:sz w:val="14"/>
                <w:szCs w:val="14"/>
              </w:rPr>
              <w:t>3</w:t>
            </w:r>
            <w:r w:rsidRPr="00E862C1">
              <w:rPr>
                <w:rFonts w:ascii="Open Sans" w:hAnsi="Open Sans" w:cs="Open Sans"/>
                <w:b w:val="0"/>
                <w:color w:val="auto"/>
                <w:sz w:val="14"/>
                <w:szCs w:val="14"/>
              </w:rPr>
              <w:fldChar w:fldCharType="end"/>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17D1" w14:textId="77777777" w:rsidR="00EC67FE" w:rsidRDefault="00EC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416C" w14:textId="77777777" w:rsidR="00527BBD" w:rsidRPr="001C1AC5" w:rsidRDefault="00527BBD">
      <w:pPr>
        <w:rPr>
          <w:color w:val="ADD6EA"/>
        </w:rPr>
      </w:pPr>
      <w:r w:rsidRPr="001C1AC5">
        <w:rPr>
          <w:color w:val="ADD6EA"/>
        </w:rPr>
        <w:separator/>
      </w:r>
    </w:p>
    <w:p w14:paraId="244CB775" w14:textId="77777777" w:rsidR="00527BBD" w:rsidRDefault="00527BBD"/>
  </w:footnote>
  <w:footnote w:type="continuationSeparator" w:id="0">
    <w:p w14:paraId="239BEF6D" w14:textId="77777777" w:rsidR="00527BBD" w:rsidRDefault="00527BBD">
      <w:r>
        <w:continuationSeparator/>
      </w:r>
    </w:p>
    <w:p w14:paraId="303D0104" w14:textId="77777777" w:rsidR="00527BBD" w:rsidRDefault="00527BBD"/>
  </w:footnote>
  <w:footnote w:type="continuationNotice" w:id="1">
    <w:p w14:paraId="12DE4AE4" w14:textId="77777777" w:rsidR="00527BBD" w:rsidRDefault="00527BBD">
      <w:pPr>
        <w:spacing w:before="0" w:line="240" w:lineRule="auto"/>
      </w:pPr>
    </w:p>
    <w:p w14:paraId="74EBD3EF" w14:textId="77777777" w:rsidR="00527BBD" w:rsidRDefault="00527BBD"/>
  </w:footnote>
  <w:footnote w:id="2">
    <w:p w14:paraId="6877DE05" w14:textId="01EC2134" w:rsidR="00D106E6" w:rsidRDefault="00D106E6" w:rsidP="00054B48">
      <w:pPr>
        <w:pStyle w:val="FootnoteText"/>
      </w:pPr>
      <w:r>
        <w:rPr>
          <w:rStyle w:val="FootnoteReference"/>
        </w:rPr>
        <w:footnoteRef/>
      </w:r>
      <w:r>
        <w:t xml:space="preserve"> </w:t>
      </w:r>
      <w:hyperlink r:id="rId1" w:history="1">
        <w:r w:rsidR="00886224">
          <w:rPr>
            <w:rStyle w:val="Hyperlink"/>
          </w:rPr>
          <w:t>IHACPA Annual Report 2022–23</w:t>
        </w:r>
      </w:hyperlink>
    </w:p>
  </w:footnote>
  <w:footnote w:id="3">
    <w:p w14:paraId="1C2C9226" w14:textId="77777777" w:rsidR="00CB0C99" w:rsidRDefault="00CB0C99" w:rsidP="00054B48">
      <w:pPr>
        <w:pStyle w:val="FootnoteText"/>
      </w:pPr>
      <w:r>
        <w:rPr>
          <w:rStyle w:val="FootnoteReference"/>
        </w:rPr>
        <w:footnoteRef/>
      </w:r>
      <w:r>
        <w:t xml:space="preserve"> The Accessibility/Remoteness Index of Australia Plus (ARIA+) is an index of remoteness developed by the National Centre for the Social Applications of Geographic Information Systems (GISCA) at Adelaide University.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5E23" w14:textId="77777777" w:rsidR="00EC67FE" w:rsidRDefault="00EC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9D22" w14:textId="77777777" w:rsidR="00EC67FE" w:rsidRDefault="00EC6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714" w14:textId="77777777" w:rsidR="00EC67FE" w:rsidRDefault="00EC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5"/>
  </w:num>
  <w:num w:numId="3" w16cid:durableId="1334529044">
    <w:abstractNumId w:val="3"/>
  </w:num>
  <w:num w:numId="4" w16cid:durableId="1514761234">
    <w:abstractNumId w:val="2"/>
  </w:num>
  <w:num w:numId="5" w16cid:durableId="920797300">
    <w:abstractNumId w:val="0"/>
  </w:num>
  <w:num w:numId="6" w16cid:durableId="1807814447">
    <w:abstractNumId w:val="13"/>
  </w:num>
  <w:num w:numId="7" w16cid:durableId="801770153">
    <w:abstractNumId w:val="7"/>
  </w:num>
  <w:num w:numId="8" w16cid:durableId="1737627722">
    <w:abstractNumId w:val="14"/>
  </w:num>
  <w:num w:numId="9" w16cid:durableId="176697617">
    <w:abstractNumId w:val="1"/>
  </w:num>
  <w:num w:numId="10" w16cid:durableId="1408111535">
    <w:abstractNumId w:val="8"/>
  </w:num>
  <w:num w:numId="11" w16cid:durableId="2080126907">
    <w:abstractNumId w:val="9"/>
  </w:num>
  <w:num w:numId="12" w16cid:durableId="58332428">
    <w:abstractNumId w:val="6"/>
  </w:num>
  <w:num w:numId="13" w16cid:durableId="522092457">
    <w:abstractNumId w:val="12"/>
  </w:num>
  <w:num w:numId="14" w16cid:durableId="1594438827">
    <w:abstractNumId w:val="10"/>
  </w:num>
  <w:num w:numId="15" w16cid:durableId="1200583849">
    <w:abstractNumId w:val="11"/>
  </w:num>
  <w:num w:numId="16" w16cid:durableId="5285428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1078"/>
    <w:rsid w:val="000014F2"/>
    <w:rsid w:val="0000187B"/>
    <w:rsid w:val="00001882"/>
    <w:rsid w:val="000019C0"/>
    <w:rsid w:val="00001D6F"/>
    <w:rsid w:val="00001DA2"/>
    <w:rsid w:val="00001E8B"/>
    <w:rsid w:val="00002144"/>
    <w:rsid w:val="00002356"/>
    <w:rsid w:val="0000249B"/>
    <w:rsid w:val="000025E6"/>
    <w:rsid w:val="00002923"/>
    <w:rsid w:val="00002F86"/>
    <w:rsid w:val="000032B9"/>
    <w:rsid w:val="000036D8"/>
    <w:rsid w:val="000042F1"/>
    <w:rsid w:val="000043F9"/>
    <w:rsid w:val="00004598"/>
    <w:rsid w:val="000046FB"/>
    <w:rsid w:val="00004719"/>
    <w:rsid w:val="0000485A"/>
    <w:rsid w:val="00004C67"/>
    <w:rsid w:val="000053F8"/>
    <w:rsid w:val="00005831"/>
    <w:rsid w:val="00005EEE"/>
    <w:rsid w:val="0000618C"/>
    <w:rsid w:val="0000648D"/>
    <w:rsid w:val="00006934"/>
    <w:rsid w:val="00006C9A"/>
    <w:rsid w:val="00006E30"/>
    <w:rsid w:val="00006F3D"/>
    <w:rsid w:val="00007899"/>
    <w:rsid w:val="00007AB8"/>
    <w:rsid w:val="00007FD5"/>
    <w:rsid w:val="000105A1"/>
    <w:rsid w:val="00010711"/>
    <w:rsid w:val="00010794"/>
    <w:rsid w:val="00010B75"/>
    <w:rsid w:val="00010CEC"/>
    <w:rsid w:val="00010F5B"/>
    <w:rsid w:val="000118A0"/>
    <w:rsid w:val="00011BB3"/>
    <w:rsid w:val="00011C73"/>
    <w:rsid w:val="00011D1A"/>
    <w:rsid w:val="00011DA8"/>
    <w:rsid w:val="00011F7D"/>
    <w:rsid w:val="000120A6"/>
    <w:rsid w:val="0001218F"/>
    <w:rsid w:val="00012AC0"/>
    <w:rsid w:val="00012B67"/>
    <w:rsid w:val="00012C74"/>
    <w:rsid w:val="00013B63"/>
    <w:rsid w:val="000141E3"/>
    <w:rsid w:val="000143AA"/>
    <w:rsid w:val="00014864"/>
    <w:rsid w:val="000148C5"/>
    <w:rsid w:val="0001491F"/>
    <w:rsid w:val="00014A8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78"/>
    <w:rsid w:val="00020EA3"/>
    <w:rsid w:val="00021727"/>
    <w:rsid w:val="00021827"/>
    <w:rsid w:val="00021C7A"/>
    <w:rsid w:val="00021E88"/>
    <w:rsid w:val="00022AFB"/>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9D7"/>
    <w:rsid w:val="00027ABE"/>
    <w:rsid w:val="00027D6A"/>
    <w:rsid w:val="00030097"/>
    <w:rsid w:val="000301A6"/>
    <w:rsid w:val="00030205"/>
    <w:rsid w:val="00030516"/>
    <w:rsid w:val="00030595"/>
    <w:rsid w:val="00030629"/>
    <w:rsid w:val="00030E66"/>
    <w:rsid w:val="00031648"/>
    <w:rsid w:val="00031AFE"/>
    <w:rsid w:val="00031B76"/>
    <w:rsid w:val="00031CF4"/>
    <w:rsid w:val="00032318"/>
    <w:rsid w:val="00032544"/>
    <w:rsid w:val="000326F5"/>
    <w:rsid w:val="000327F7"/>
    <w:rsid w:val="00032856"/>
    <w:rsid w:val="000328A8"/>
    <w:rsid w:val="00032E31"/>
    <w:rsid w:val="00032F41"/>
    <w:rsid w:val="00033347"/>
    <w:rsid w:val="000335BE"/>
    <w:rsid w:val="000338C9"/>
    <w:rsid w:val="00033A71"/>
    <w:rsid w:val="00033C0D"/>
    <w:rsid w:val="0003409C"/>
    <w:rsid w:val="00034622"/>
    <w:rsid w:val="00034916"/>
    <w:rsid w:val="00034DBB"/>
    <w:rsid w:val="00034F08"/>
    <w:rsid w:val="000355D9"/>
    <w:rsid w:val="000363C5"/>
    <w:rsid w:val="000364E9"/>
    <w:rsid w:val="00036C51"/>
    <w:rsid w:val="00036F1C"/>
    <w:rsid w:val="000370C8"/>
    <w:rsid w:val="000372BA"/>
    <w:rsid w:val="000375E1"/>
    <w:rsid w:val="00040135"/>
    <w:rsid w:val="00040571"/>
    <w:rsid w:val="000405CD"/>
    <w:rsid w:val="00040601"/>
    <w:rsid w:val="00040CCA"/>
    <w:rsid w:val="00040D48"/>
    <w:rsid w:val="000410C8"/>
    <w:rsid w:val="0004123E"/>
    <w:rsid w:val="00041299"/>
    <w:rsid w:val="00041748"/>
    <w:rsid w:val="000419A8"/>
    <w:rsid w:val="00041E1B"/>
    <w:rsid w:val="00041E84"/>
    <w:rsid w:val="000423F7"/>
    <w:rsid w:val="000424EA"/>
    <w:rsid w:val="0004258C"/>
    <w:rsid w:val="00043B5D"/>
    <w:rsid w:val="00043CFE"/>
    <w:rsid w:val="000442AA"/>
    <w:rsid w:val="00044479"/>
    <w:rsid w:val="0004456B"/>
    <w:rsid w:val="000451DA"/>
    <w:rsid w:val="00045547"/>
    <w:rsid w:val="0004569D"/>
    <w:rsid w:val="00045954"/>
    <w:rsid w:val="00045C11"/>
    <w:rsid w:val="00045F82"/>
    <w:rsid w:val="00046397"/>
    <w:rsid w:val="000465BD"/>
    <w:rsid w:val="0004679A"/>
    <w:rsid w:val="00046859"/>
    <w:rsid w:val="00046B06"/>
    <w:rsid w:val="000470A2"/>
    <w:rsid w:val="00047690"/>
    <w:rsid w:val="00047856"/>
    <w:rsid w:val="00047951"/>
    <w:rsid w:val="00047AB0"/>
    <w:rsid w:val="00047DF1"/>
    <w:rsid w:val="00047E5A"/>
    <w:rsid w:val="0005017B"/>
    <w:rsid w:val="000508D3"/>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44A"/>
    <w:rsid w:val="0005450F"/>
    <w:rsid w:val="0005451C"/>
    <w:rsid w:val="00054B48"/>
    <w:rsid w:val="000554BF"/>
    <w:rsid w:val="00055518"/>
    <w:rsid w:val="000555DB"/>
    <w:rsid w:val="00055A2D"/>
    <w:rsid w:val="00056371"/>
    <w:rsid w:val="00056373"/>
    <w:rsid w:val="000569CD"/>
    <w:rsid w:val="00056E89"/>
    <w:rsid w:val="00057762"/>
    <w:rsid w:val="00057A7A"/>
    <w:rsid w:val="00057A9B"/>
    <w:rsid w:val="00057AED"/>
    <w:rsid w:val="00057D13"/>
    <w:rsid w:val="000604C7"/>
    <w:rsid w:val="0006050F"/>
    <w:rsid w:val="000607C2"/>
    <w:rsid w:val="00060A59"/>
    <w:rsid w:val="00060CA5"/>
    <w:rsid w:val="00061009"/>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185"/>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475"/>
    <w:rsid w:val="0007360C"/>
    <w:rsid w:val="000738EB"/>
    <w:rsid w:val="00073944"/>
    <w:rsid w:val="00073BF5"/>
    <w:rsid w:val="00073C0B"/>
    <w:rsid w:val="00073D9D"/>
    <w:rsid w:val="00073E21"/>
    <w:rsid w:val="00073E7F"/>
    <w:rsid w:val="00073E85"/>
    <w:rsid w:val="00073E92"/>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B6E"/>
    <w:rsid w:val="00081E45"/>
    <w:rsid w:val="00081F57"/>
    <w:rsid w:val="00081FAD"/>
    <w:rsid w:val="0008208B"/>
    <w:rsid w:val="00082090"/>
    <w:rsid w:val="00082971"/>
    <w:rsid w:val="00082DEF"/>
    <w:rsid w:val="00083022"/>
    <w:rsid w:val="0008310E"/>
    <w:rsid w:val="00083448"/>
    <w:rsid w:val="00083837"/>
    <w:rsid w:val="00083842"/>
    <w:rsid w:val="00083858"/>
    <w:rsid w:val="00083B06"/>
    <w:rsid w:val="000840C3"/>
    <w:rsid w:val="00084494"/>
    <w:rsid w:val="0008456B"/>
    <w:rsid w:val="000847BF"/>
    <w:rsid w:val="00084E18"/>
    <w:rsid w:val="00084EAD"/>
    <w:rsid w:val="00084EE0"/>
    <w:rsid w:val="000855F4"/>
    <w:rsid w:val="00085729"/>
    <w:rsid w:val="00085D0E"/>
    <w:rsid w:val="00085EA1"/>
    <w:rsid w:val="00086045"/>
    <w:rsid w:val="000861D9"/>
    <w:rsid w:val="0008677E"/>
    <w:rsid w:val="000867DC"/>
    <w:rsid w:val="0008694B"/>
    <w:rsid w:val="000869E1"/>
    <w:rsid w:val="000869F6"/>
    <w:rsid w:val="00086A5C"/>
    <w:rsid w:val="00086B04"/>
    <w:rsid w:val="00086C42"/>
    <w:rsid w:val="00086E69"/>
    <w:rsid w:val="00086EBC"/>
    <w:rsid w:val="00086F44"/>
    <w:rsid w:val="00087484"/>
    <w:rsid w:val="0008779D"/>
    <w:rsid w:val="00087F7D"/>
    <w:rsid w:val="00087FC4"/>
    <w:rsid w:val="00090362"/>
    <w:rsid w:val="00090C39"/>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67D"/>
    <w:rsid w:val="0009569E"/>
    <w:rsid w:val="0009650F"/>
    <w:rsid w:val="00096616"/>
    <w:rsid w:val="00096890"/>
    <w:rsid w:val="00096896"/>
    <w:rsid w:val="00096A17"/>
    <w:rsid w:val="00096C06"/>
    <w:rsid w:val="00096C31"/>
    <w:rsid w:val="00096E12"/>
    <w:rsid w:val="00096E4E"/>
    <w:rsid w:val="000970BA"/>
    <w:rsid w:val="00097192"/>
    <w:rsid w:val="00097626"/>
    <w:rsid w:val="00097790"/>
    <w:rsid w:val="00097C01"/>
    <w:rsid w:val="00097CF0"/>
    <w:rsid w:val="00097D78"/>
    <w:rsid w:val="00097F09"/>
    <w:rsid w:val="000A011D"/>
    <w:rsid w:val="000A0205"/>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6F23"/>
    <w:rsid w:val="000A74C3"/>
    <w:rsid w:val="000A756F"/>
    <w:rsid w:val="000A7AA9"/>
    <w:rsid w:val="000A7C5E"/>
    <w:rsid w:val="000A7E55"/>
    <w:rsid w:val="000A7E96"/>
    <w:rsid w:val="000B0145"/>
    <w:rsid w:val="000B08F0"/>
    <w:rsid w:val="000B0A33"/>
    <w:rsid w:val="000B0D24"/>
    <w:rsid w:val="000B0DE2"/>
    <w:rsid w:val="000B1440"/>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4FDE"/>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DC3"/>
    <w:rsid w:val="000C0F3A"/>
    <w:rsid w:val="000C0FAC"/>
    <w:rsid w:val="000C11B5"/>
    <w:rsid w:val="000C1231"/>
    <w:rsid w:val="000C1575"/>
    <w:rsid w:val="000C1F18"/>
    <w:rsid w:val="000C2987"/>
    <w:rsid w:val="000C2EA9"/>
    <w:rsid w:val="000C32BB"/>
    <w:rsid w:val="000C354C"/>
    <w:rsid w:val="000C3927"/>
    <w:rsid w:val="000C3B22"/>
    <w:rsid w:val="000C4063"/>
    <w:rsid w:val="000C4BB7"/>
    <w:rsid w:val="000C4DFC"/>
    <w:rsid w:val="000C50B3"/>
    <w:rsid w:val="000C53E9"/>
    <w:rsid w:val="000C5486"/>
    <w:rsid w:val="000C604F"/>
    <w:rsid w:val="000C65AA"/>
    <w:rsid w:val="000C6936"/>
    <w:rsid w:val="000C6BC8"/>
    <w:rsid w:val="000C6E9F"/>
    <w:rsid w:val="000C76F8"/>
    <w:rsid w:val="000C776D"/>
    <w:rsid w:val="000C782D"/>
    <w:rsid w:val="000C7AE7"/>
    <w:rsid w:val="000C7F62"/>
    <w:rsid w:val="000D01AA"/>
    <w:rsid w:val="000D03E4"/>
    <w:rsid w:val="000D0A89"/>
    <w:rsid w:val="000D0ACF"/>
    <w:rsid w:val="000D0B77"/>
    <w:rsid w:val="000D0BB6"/>
    <w:rsid w:val="000D0C8D"/>
    <w:rsid w:val="000D1354"/>
    <w:rsid w:val="000D149C"/>
    <w:rsid w:val="000D15A0"/>
    <w:rsid w:val="000D1DEA"/>
    <w:rsid w:val="000D1EA8"/>
    <w:rsid w:val="000D2088"/>
    <w:rsid w:val="000D224A"/>
    <w:rsid w:val="000D2311"/>
    <w:rsid w:val="000D27F5"/>
    <w:rsid w:val="000D2879"/>
    <w:rsid w:val="000D2A5E"/>
    <w:rsid w:val="000D2A85"/>
    <w:rsid w:val="000D2D5C"/>
    <w:rsid w:val="000D2F22"/>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B8"/>
    <w:rsid w:val="000D4457"/>
    <w:rsid w:val="000D48FF"/>
    <w:rsid w:val="000D533D"/>
    <w:rsid w:val="000D535B"/>
    <w:rsid w:val="000D5667"/>
    <w:rsid w:val="000D571F"/>
    <w:rsid w:val="000D57A8"/>
    <w:rsid w:val="000D5C58"/>
    <w:rsid w:val="000D65F5"/>
    <w:rsid w:val="000D6C93"/>
    <w:rsid w:val="000D70AE"/>
    <w:rsid w:val="000D70D7"/>
    <w:rsid w:val="000D763B"/>
    <w:rsid w:val="000D772C"/>
    <w:rsid w:val="000D784B"/>
    <w:rsid w:val="000D7C54"/>
    <w:rsid w:val="000D7E36"/>
    <w:rsid w:val="000E0210"/>
    <w:rsid w:val="000E1007"/>
    <w:rsid w:val="000E14D3"/>
    <w:rsid w:val="000E1757"/>
    <w:rsid w:val="000E1767"/>
    <w:rsid w:val="000E17A7"/>
    <w:rsid w:val="000E1940"/>
    <w:rsid w:val="000E1979"/>
    <w:rsid w:val="000E1A53"/>
    <w:rsid w:val="000E1B78"/>
    <w:rsid w:val="000E20EE"/>
    <w:rsid w:val="000E26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972"/>
    <w:rsid w:val="000E5C21"/>
    <w:rsid w:val="000E6391"/>
    <w:rsid w:val="000E63B0"/>
    <w:rsid w:val="000E6774"/>
    <w:rsid w:val="000E6AA5"/>
    <w:rsid w:val="000E7041"/>
    <w:rsid w:val="000E798E"/>
    <w:rsid w:val="000E7BAB"/>
    <w:rsid w:val="000E7F56"/>
    <w:rsid w:val="000F0293"/>
    <w:rsid w:val="000F03DA"/>
    <w:rsid w:val="000F0674"/>
    <w:rsid w:val="000F0879"/>
    <w:rsid w:val="000F097D"/>
    <w:rsid w:val="000F0AC1"/>
    <w:rsid w:val="000F0B55"/>
    <w:rsid w:val="000F113A"/>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4B28"/>
    <w:rsid w:val="000F4F75"/>
    <w:rsid w:val="000F57D6"/>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B7"/>
    <w:rsid w:val="001017E3"/>
    <w:rsid w:val="00101C90"/>
    <w:rsid w:val="00101F87"/>
    <w:rsid w:val="00102135"/>
    <w:rsid w:val="001021D7"/>
    <w:rsid w:val="00102779"/>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C5E"/>
    <w:rsid w:val="00110DC5"/>
    <w:rsid w:val="0011178C"/>
    <w:rsid w:val="00111ABA"/>
    <w:rsid w:val="00111AE7"/>
    <w:rsid w:val="00111D59"/>
    <w:rsid w:val="00111EC2"/>
    <w:rsid w:val="001120B0"/>
    <w:rsid w:val="001121D0"/>
    <w:rsid w:val="0011243C"/>
    <w:rsid w:val="001125AB"/>
    <w:rsid w:val="001125E7"/>
    <w:rsid w:val="00112988"/>
    <w:rsid w:val="00112A57"/>
    <w:rsid w:val="00112CD6"/>
    <w:rsid w:val="00112CF0"/>
    <w:rsid w:val="00112E1E"/>
    <w:rsid w:val="00113339"/>
    <w:rsid w:val="001136C6"/>
    <w:rsid w:val="0011408D"/>
    <w:rsid w:val="0011428D"/>
    <w:rsid w:val="001146E5"/>
    <w:rsid w:val="00114915"/>
    <w:rsid w:val="00114D9B"/>
    <w:rsid w:val="00114DA1"/>
    <w:rsid w:val="00114EA0"/>
    <w:rsid w:val="00114F65"/>
    <w:rsid w:val="0011519F"/>
    <w:rsid w:val="00115672"/>
    <w:rsid w:val="001157AB"/>
    <w:rsid w:val="0011585E"/>
    <w:rsid w:val="00115ADE"/>
    <w:rsid w:val="00115C9E"/>
    <w:rsid w:val="00116062"/>
    <w:rsid w:val="00116702"/>
    <w:rsid w:val="0011699D"/>
    <w:rsid w:val="00116D3E"/>
    <w:rsid w:val="00116EE4"/>
    <w:rsid w:val="0011713A"/>
    <w:rsid w:val="0011729F"/>
    <w:rsid w:val="001172BD"/>
    <w:rsid w:val="001178E4"/>
    <w:rsid w:val="00117AA2"/>
    <w:rsid w:val="00117CFD"/>
    <w:rsid w:val="0012020C"/>
    <w:rsid w:val="00120B1E"/>
    <w:rsid w:val="001211AB"/>
    <w:rsid w:val="001214BE"/>
    <w:rsid w:val="001218B8"/>
    <w:rsid w:val="00121A72"/>
    <w:rsid w:val="00121EB9"/>
    <w:rsid w:val="00121F79"/>
    <w:rsid w:val="001220B7"/>
    <w:rsid w:val="00122457"/>
    <w:rsid w:val="00122774"/>
    <w:rsid w:val="00123325"/>
    <w:rsid w:val="00123AC4"/>
    <w:rsid w:val="00123BC6"/>
    <w:rsid w:val="00123DA3"/>
    <w:rsid w:val="00124730"/>
    <w:rsid w:val="00124826"/>
    <w:rsid w:val="00124B73"/>
    <w:rsid w:val="00124E42"/>
    <w:rsid w:val="00124ED1"/>
    <w:rsid w:val="0012542D"/>
    <w:rsid w:val="0012561A"/>
    <w:rsid w:val="00125806"/>
    <w:rsid w:val="001258EF"/>
    <w:rsid w:val="00125AB5"/>
    <w:rsid w:val="00125B33"/>
    <w:rsid w:val="001260B6"/>
    <w:rsid w:val="001260E3"/>
    <w:rsid w:val="00126201"/>
    <w:rsid w:val="00126239"/>
    <w:rsid w:val="001266EE"/>
    <w:rsid w:val="0012692E"/>
    <w:rsid w:val="00126A67"/>
    <w:rsid w:val="00126AD1"/>
    <w:rsid w:val="00126FB4"/>
    <w:rsid w:val="001272E6"/>
    <w:rsid w:val="00127687"/>
    <w:rsid w:val="00127780"/>
    <w:rsid w:val="001277C7"/>
    <w:rsid w:val="00127B76"/>
    <w:rsid w:val="00127C8B"/>
    <w:rsid w:val="00127E95"/>
    <w:rsid w:val="00130303"/>
    <w:rsid w:val="001307A8"/>
    <w:rsid w:val="00130DCA"/>
    <w:rsid w:val="001312CB"/>
    <w:rsid w:val="00131A29"/>
    <w:rsid w:val="00131BAD"/>
    <w:rsid w:val="00131D5F"/>
    <w:rsid w:val="001322D2"/>
    <w:rsid w:val="00132503"/>
    <w:rsid w:val="00132E0B"/>
    <w:rsid w:val="001333F9"/>
    <w:rsid w:val="0013355A"/>
    <w:rsid w:val="00133C48"/>
    <w:rsid w:val="00133C81"/>
    <w:rsid w:val="00133F08"/>
    <w:rsid w:val="00134146"/>
    <w:rsid w:val="00134222"/>
    <w:rsid w:val="001346A2"/>
    <w:rsid w:val="0013474C"/>
    <w:rsid w:val="001347D3"/>
    <w:rsid w:val="00134847"/>
    <w:rsid w:val="0013497E"/>
    <w:rsid w:val="00134FA3"/>
    <w:rsid w:val="00135080"/>
    <w:rsid w:val="0013515E"/>
    <w:rsid w:val="001351C6"/>
    <w:rsid w:val="001356C7"/>
    <w:rsid w:val="00135F2C"/>
    <w:rsid w:val="0013601E"/>
    <w:rsid w:val="0013623B"/>
    <w:rsid w:val="001363A1"/>
    <w:rsid w:val="00136497"/>
    <w:rsid w:val="001369BF"/>
    <w:rsid w:val="00136F29"/>
    <w:rsid w:val="00136F6F"/>
    <w:rsid w:val="00137D90"/>
    <w:rsid w:val="00140509"/>
    <w:rsid w:val="00140D09"/>
    <w:rsid w:val="001414E0"/>
    <w:rsid w:val="00141BD1"/>
    <w:rsid w:val="001423B0"/>
    <w:rsid w:val="00142B21"/>
    <w:rsid w:val="00142B86"/>
    <w:rsid w:val="00143228"/>
    <w:rsid w:val="001438E0"/>
    <w:rsid w:val="00143A06"/>
    <w:rsid w:val="00143B25"/>
    <w:rsid w:val="00143D52"/>
    <w:rsid w:val="00143F85"/>
    <w:rsid w:val="001441DA"/>
    <w:rsid w:val="00144A22"/>
    <w:rsid w:val="00144A92"/>
    <w:rsid w:val="00144C8A"/>
    <w:rsid w:val="001455CC"/>
    <w:rsid w:val="00145604"/>
    <w:rsid w:val="0014616B"/>
    <w:rsid w:val="00147115"/>
    <w:rsid w:val="001471DD"/>
    <w:rsid w:val="0014740D"/>
    <w:rsid w:val="00147461"/>
    <w:rsid w:val="001477CE"/>
    <w:rsid w:val="0014784F"/>
    <w:rsid w:val="001478AD"/>
    <w:rsid w:val="00147B03"/>
    <w:rsid w:val="00147BCC"/>
    <w:rsid w:val="00147F4D"/>
    <w:rsid w:val="0015040C"/>
    <w:rsid w:val="00150A8E"/>
    <w:rsid w:val="00150B89"/>
    <w:rsid w:val="00150C35"/>
    <w:rsid w:val="00150E42"/>
    <w:rsid w:val="00150ECB"/>
    <w:rsid w:val="00151316"/>
    <w:rsid w:val="0015167D"/>
    <w:rsid w:val="001517E0"/>
    <w:rsid w:val="001519C7"/>
    <w:rsid w:val="00151DFB"/>
    <w:rsid w:val="00152123"/>
    <w:rsid w:val="0015233A"/>
    <w:rsid w:val="00152611"/>
    <w:rsid w:val="00152807"/>
    <w:rsid w:val="00152BE0"/>
    <w:rsid w:val="00152C3D"/>
    <w:rsid w:val="00152DCF"/>
    <w:rsid w:val="00152ED6"/>
    <w:rsid w:val="00152FED"/>
    <w:rsid w:val="00153AA7"/>
    <w:rsid w:val="00153CA7"/>
    <w:rsid w:val="00153D48"/>
    <w:rsid w:val="00154A35"/>
    <w:rsid w:val="00154A9A"/>
    <w:rsid w:val="001550A3"/>
    <w:rsid w:val="0015510B"/>
    <w:rsid w:val="00155469"/>
    <w:rsid w:val="00155746"/>
    <w:rsid w:val="00155EAF"/>
    <w:rsid w:val="0015638A"/>
    <w:rsid w:val="00156419"/>
    <w:rsid w:val="0015686A"/>
    <w:rsid w:val="00156C80"/>
    <w:rsid w:val="0015742B"/>
    <w:rsid w:val="001574A7"/>
    <w:rsid w:val="0015776C"/>
    <w:rsid w:val="001579DC"/>
    <w:rsid w:val="00157AD5"/>
    <w:rsid w:val="00157BA5"/>
    <w:rsid w:val="00157CEB"/>
    <w:rsid w:val="00157F02"/>
    <w:rsid w:val="00160015"/>
    <w:rsid w:val="00160229"/>
    <w:rsid w:val="00160346"/>
    <w:rsid w:val="001604D5"/>
    <w:rsid w:val="001605EB"/>
    <w:rsid w:val="00160877"/>
    <w:rsid w:val="00160EA4"/>
    <w:rsid w:val="00160F2D"/>
    <w:rsid w:val="0016108C"/>
    <w:rsid w:val="001610AC"/>
    <w:rsid w:val="00161391"/>
    <w:rsid w:val="00161616"/>
    <w:rsid w:val="00161DCE"/>
    <w:rsid w:val="001620CB"/>
    <w:rsid w:val="001625EC"/>
    <w:rsid w:val="00162780"/>
    <w:rsid w:val="00162999"/>
    <w:rsid w:val="00163983"/>
    <w:rsid w:val="00163DDE"/>
    <w:rsid w:val="00163E35"/>
    <w:rsid w:val="00164202"/>
    <w:rsid w:val="00164B4B"/>
    <w:rsid w:val="00164ECE"/>
    <w:rsid w:val="00164F2C"/>
    <w:rsid w:val="001652C2"/>
    <w:rsid w:val="0016534B"/>
    <w:rsid w:val="001654B0"/>
    <w:rsid w:val="001657CF"/>
    <w:rsid w:val="00165907"/>
    <w:rsid w:val="00165DC0"/>
    <w:rsid w:val="00165FF0"/>
    <w:rsid w:val="00166098"/>
    <w:rsid w:val="001660AA"/>
    <w:rsid w:val="0016688E"/>
    <w:rsid w:val="0016689D"/>
    <w:rsid w:val="00166BE5"/>
    <w:rsid w:val="00166E24"/>
    <w:rsid w:val="00166F83"/>
    <w:rsid w:val="00167169"/>
    <w:rsid w:val="0016723A"/>
    <w:rsid w:val="001672D1"/>
    <w:rsid w:val="00167335"/>
    <w:rsid w:val="001674FA"/>
    <w:rsid w:val="0016782C"/>
    <w:rsid w:val="00167AA3"/>
    <w:rsid w:val="00170100"/>
    <w:rsid w:val="0017034B"/>
    <w:rsid w:val="001704CF"/>
    <w:rsid w:val="00170DC9"/>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09D"/>
    <w:rsid w:val="00174762"/>
    <w:rsid w:val="00175209"/>
    <w:rsid w:val="0017572D"/>
    <w:rsid w:val="00175AA2"/>
    <w:rsid w:val="00175ACB"/>
    <w:rsid w:val="00175C98"/>
    <w:rsid w:val="00175F9B"/>
    <w:rsid w:val="001760FF"/>
    <w:rsid w:val="0017645D"/>
    <w:rsid w:val="0017671E"/>
    <w:rsid w:val="00176738"/>
    <w:rsid w:val="00176E42"/>
    <w:rsid w:val="00176E9A"/>
    <w:rsid w:val="00176F37"/>
    <w:rsid w:val="001775AD"/>
    <w:rsid w:val="0017771D"/>
    <w:rsid w:val="001777D5"/>
    <w:rsid w:val="001777E9"/>
    <w:rsid w:val="001778D0"/>
    <w:rsid w:val="00177B6B"/>
    <w:rsid w:val="00177D12"/>
    <w:rsid w:val="00180001"/>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4DA4"/>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214"/>
    <w:rsid w:val="001923ED"/>
    <w:rsid w:val="00192B90"/>
    <w:rsid w:val="00192BFE"/>
    <w:rsid w:val="00192D0D"/>
    <w:rsid w:val="00193260"/>
    <w:rsid w:val="0019374B"/>
    <w:rsid w:val="00193A90"/>
    <w:rsid w:val="00193B10"/>
    <w:rsid w:val="00193EE3"/>
    <w:rsid w:val="00194098"/>
    <w:rsid w:val="00194995"/>
    <w:rsid w:val="00194E62"/>
    <w:rsid w:val="00194FCC"/>
    <w:rsid w:val="00195476"/>
    <w:rsid w:val="00195CD2"/>
    <w:rsid w:val="00196167"/>
    <w:rsid w:val="0019620C"/>
    <w:rsid w:val="00196526"/>
    <w:rsid w:val="00196594"/>
    <w:rsid w:val="00196963"/>
    <w:rsid w:val="00196B93"/>
    <w:rsid w:val="00196BA3"/>
    <w:rsid w:val="001970F9"/>
    <w:rsid w:val="00197350"/>
    <w:rsid w:val="0019736D"/>
    <w:rsid w:val="00197BC3"/>
    <w:rsid w:val="00197DCD"/>
    <w:rsid w:val="001A02C2"/>
    <w:rsid w:val="001A06A6"/>
    <w:rsid w:val="001A0968"/>
    <w:rsid w:val="001A0F0C"/>
    <w:rsid w:val="001A1720"/>
    <w:rsid w:val="001A192B"/>
    <w:rsid w:val="001A2109"/>
    <w:rsid w:val="001A2466"/>
    <w:rsid w:val="001A267A"/>
    <w:rsid w:val="001A26F5"/>
    <w:rsid w:val="001A27E6"/>
    <w:rsid w:val="001A2DDC"/>
    <w:rsid w:val="001A2F36"/>
    <w:rsid w:val="001A3229"/>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A59"/>
    <w:rsid w:val="001A6E6B"/>
    <w:rsid w:val="001A6F1C"/>
    <w:rsid w:val="001A7346"/>
    <w:rsid w:val="001A7386"/>
    <w:rsid w:val="001A751B"/>
    <w:rsid w:val="001A7591"/>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258F"/>
    <w:rsid w:val="001B3048"/>
    <w:rsid w:val="001B3961"/>
    <w:rsid w:val="001B3DBE"/>
    <w:rsid w:val="001B40CB"/>
    <w:rsid w:val="001B40E7"/>
    <w:rsid w:val="001B42E4"/>
    <w:rsid w:val="001B436F"/>
    <w:rsid w:val="001B4BCE"/>
    <w:rsid w:val="001B4E90"/>
    <w:rsid w:val="001B5291"/>
    <w:rsid w:val="001B563F"/>
    <w:rsid w:val="001B571B"/>
    <w:rsid w:val="001B582D"/>
    <w:rsid w:val="001B5890"/>
    <w:rsid w:val="001B59A9"/>
    <w:rsid w:val="001B5C8D"/>
    <w:rsid w:val="001B5D3A"/>
    <w:rsid w:val="001B5D41"/>
    <w:rsid w:val="001B5EB0"/>
    <w:rsid w:val="001B6421"/>
    <w:rsid w:val="001B652E"/>
    <w:rsid w:val="001B691A"/>
    <w:rsid w:val="001B696E"/>
    <w:rsid w:val="001B6A56"/>
    <w:rsid w:val="001B7191"/>
    <w:rsid w:val="001B71B9"/>
    <w:rsid w:val="001B7243"/>
    <w:rsid w:val="001B76A8"/>
    <w:rsid w:val="001B782D"/>
    <w:rsid w:val="001B7DC0"/>
    <w:rsid w:val="001C00F2"/>
    <w:rsid w:val="001C0545"/>
    <w:rsid w:val="001C05BE"/>
    <w:rsid w:val="001C0963"/>
    <w:rsid w:val="001C09D9"/>
    <w:rsid w:val="001C1121"/>
    <w:rsid w:val="001C14EA"/>
    <w:rsid w:val="001C15C5"/>
    <w:rsid w:val="001C1A14"/>
    <w:rsid w:val="001C1AC5"/>
    <w:rsid w:val="001C1DE7"/>
    <w:rsid w:val="001C202D"/>
    <w:rsid w:val="001C21A2"/>
    <w:rsid w:val="001C22BD"/>
    <w:rsid w:val="001C22F8"/>
    <w:rsid w:val="001C23C3"/>
    <w:rsid w:val="001C24B2"/>
    <w:rsid w:val="001C24F4"/>
    <w:rsid w:val="001C2A03"/>
    <w:rsid w:val="001C30D2"/>
    <w:rsid w:val="001C39E8"/>
    <w:rsid w:val="001C3A22"/>
    <w:rsid w:val="001C3BC6"/>
    <w:rsid w:val="001C3C62"/>
    <w:rsid w:val="001C3CD8"/>
    <w:rsid w:val="001C3D31"/>
    <w:rsid w:val="001C3F63"/>
    <w:rsid w:val="001C44E0"/>
    <w:rsid w:val="001C4553"/>
    <w:rsid w:val="001C4619"/>
    <w:rsid w:val="001C4623"/>
    <w:rsid w:val="001C4632"/>
    <w:rsid w:val="001C469B"/>
    <w:rsid w:val="001C47F2"/>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C7FDF"/>
    <w:rsid w:val="001D112B"/>
    <w:rsid w:val="001D11B3"/>
    <w:rsid w:val="001D19A8"/>
    <w:rsid w:val="001D240E"/>
    <w:rsid w:val="001D26ED"/>
    <w:rsid w:val="001D28B3"/>
    <w:rsid w:val="001D2B7D"/>
    <w:rsid w:val="001D2D33"/>
    <w:rsid w:val="001D33AD"/>
    <w:rsid w:val="001D39F2"/>
    <w:rsid w:val="001D3D79"/>
    <w:rsid w:val="001D5257"/>
    <w:rsid w:val="001D5280"/>
    <w:rsid w:val="001D5963"/>
    <w:rsid w:val="001D5CAD"/>
    <w:rsid w:val="001D5D71"/>
    <w:rsid w:val="001D62F5"/>
    <w:rsid w:val="001D638B"/>
    <w:rsid w:val="001D6488"/>
    <w:rsid w:val="001D654F"/>
    <w:rsid w:val="001D686B"/>
    <w:rsid w:val="001D6CCE"/>
    <w:rsid w:val="001D6DFA"/>
    <w:rsid w:val="001D7159"/>
    <w:rsid w:val="001D7743"/>
    <w:rsid w:val="001D7798"/>
    <w:rsid w:val="001D79EF"/>
    <w:rsid w:val="001E004B"/>
    <w:rsid w:val="001E0392"/>
    <w:rsid w:val="001E0741"/>
    <w:rsid w:val="001E0916"/>
    <w:rsid w:val="001E1901"/>
    <w:rsid w:val="001E19D3"/>
    <w:rsid w:val="001E1F97"/>
    <w:rsid w:val="001E23D1"/>
    <w:rsid w:val="001E2428"/>
    <w:rsid w:val="001E252F"/>
    <w:rsid w:val="001E26BD"/>
    <w:rsid w:val="001E2908"/>
    <w:rsid w:val="001E2A8E"/>
    <w:rsid w:val="001E38A8"/>
    <w:rsid w:val="001E3982"/>
    <w:rsid w:val="001E53CD"/>
    <w:rsid w:val="001E580B"/>
    <w:rsid w:val="001E5BBB"/>
    <w:rsid w:val="001E5F64"/>
    <w:rsid w:val="001E6180"/>
    <w:rsid w:val="001E63AE"/>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3CD4"/>
    <w:rsid w:val="001F3DDF"/>
    <w:rsid w:val="001F458A"/>
    <w:rsid w:val="001F4B1F"/>
    <w:rsid w:val="001F4F5A"/>
    <w:rsid w:val="001F5D8D"/>
    <w:rsid w:val="001F5FE8"/>
    <w:rsid w:val="001F61FE"/>
    <w:rsid w:val="001F646F"/>
    <w:rsid w:val="001F66DE"/>
    <w:rsid w:val="001F68BC"/>
    <w:rsid w:val="001F6C87"/>
    <w:rsid w:val="001F6EC5"/>
    <w:rsid w:val="001F705D"/>
    <w:rsid w:val="001F7246"/>
    <w:rsid w:val="001F7971"/>
    <w:rsid w:val="001F7ACA"/>
    <w:rsid w:val="001F7D00"/>
    <w:rsid w:val="00200366"/>
    <w:rsid w:val="0020066A"/>
    <w:rsid w:val="00200807"/>
    <w:rsid w:val="00200A6B"/>
    <w:rsid w:val="00200BDE"/>
    <w:rsid w:val="00200CAC"/>
    <w:rsid w:val="00200D92"/>
    <w:rsid w:val="002014E7"/>
    <w:rsid w:val="00202046"/>
    <w:rsid w:val="00202463"/>
    <w:rsid w:val="00202576"/>
    <w:rsid w:val="00202699"/>
    <w:rsid w:val="00202966"/>
    <w:rsid w:val="00202A9E"/>
    <w:rsid w:val="00202AA8"/>
    <w:rsid w:val="00202D81"/>
    <w:rsid w:val="00202DC0"/>
    <w:rsid w:val="00202E80"/>
    <w:rsid w:val="00202EB6"/>
    <w:rsid w:val="00203B02"/>
    <w:rsid w:val="00203BF5"/>
    <w:rsid w:val="00203F82"/>
    <w:rsid w:val="00204026"/>
    <w:rsid w:val="002048BC"/>
    <w:rsid w:val="002051EE"/>
    <w:rsid w:val="00205483"/>
    <w:rsid w:val="00205507"/>
    <w:rsid w:val="00205642"/>
    <w:rsid w:val="00205644"/>
    <w:rsid w:val="00205A9F"/>
    <w:rsid w:val="00205B0E"/>
    <w:rsid w:val="00205B1F"/>
    <w:rsid w:val="00205FE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1000D"/>
    <w:rsid w:val="0021033E"/>
    <w:rsid w:val="00210679"/>
    <w:rsid w:val="00210901"/>
    <w:rsid w:val="00210954"/>
    <w:rsid w:val="00210D6E"/>
    <w:rsid w:val="00210D9C"/>
    <w:rsid w:val="00210DCC"/>
    <w:rsid w:val="00210DCD"/>
    <w:rsid w:val="00210EDF"/>
    <w:rsid w:val="00211533"/>
    <w:rsid w:val="00211557"/>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6AFF"/>
    <w:rsid w:val="00217423"/>
    <w:rsid w:val="002175C9"/>
    <w:rsid w:val="00217839"/>
    <w:rsid w:val="002178E8"/>
    <w:rsid w:val="00217BBD"/>
    <w:rsid w:val="0022067E"/>
    <w:rsid w:val="002208DA"/>
    <w:rsid w:val="00221077"/>
    <w:rsid w:val="00221197"/>
    <w:rsid w:val="0022195B"/>
    <w:rsid w:val="00221B1E"/>
    <w:rsid w:val="00221B3B"/>
    <w:rsid w:val="0022224C"/>
    <w:rsid w:val="00222392"/>
    <w:rsid w:val="002223C1"/>
    <w:rsid w:val="002224C1"/>
    <w:rsid w:val="00222D4A"/>
    <w:rsid w:val="0022389B"/>
    <w:rsid w:val="00223F94"/>
    <w:rsid w:val="002240C5"/>
    <w:rsid w:val="002244A6"/>
    <w:rsid w:val="0022463E"/>
    <w:rsid w:val="002256E4"/>
    <w:rsid w:val="0022583B"/>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E55"/>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918"/>
    <w:rsid w:val="00233BC0"/>
    <w:rsid w:val="00233D92"/>
    <w:rsid w:val="00233FBB"/>
    <w:rsid w:val="00233FF1"/>
    <w:rsid w:val="002346D1"/>
    <w:rsid w:val="00234B4F"/>
    <w:rsid w:val="00234FA1"/>
    <w:rsid w:val="0023511A"/>
    <w:rsid w:val="00235412"/>
    <w:rsid w:val="00235F4B"/>
    <w:rsid w:val="00236244"/>
    <w:rsid w:val="00236656"/>
    <w:rsid w:val="0023669A"/>
    <w:rsid w:val="00236DC0"/>
    <w:rsid w:val="00236F4C"/>
    <w:rsid w:val="002373A2"/>
    <w:rsid w:val="00237A0A"/>
    <w:rsid w:val="00237EAC"/>
    <w:rsid w:val="0024003D"/>
    <w:rsid w:val="002402F3"/>
    <w:rsid w:val="00240461"/>
    <w:rsid w:val="002407CC"/>
    <w:rsid w:val="002409E3"/>
    <w:rsid w:val="00240D3E"/>
    <w:rsid w:val="002410A3"/>
    <w:rsid w:val="002410C2"/>
    <w:rsid w:val="0024113D"/>
    <w:rsid w:val="002411C6"/>
    <w:rsid w:val="00241394"/>
    <w:rsid w:val="0024158C"/>
    <w:rsid w:val="002415CE"/>
    <w:rsid w:val="00241DDA"/>
    <w:rsid w:val="0024232E"/>
    <w:rsid w:val="00242517"/>
    <w:rsid w:val="0024260B"/>
    <w:rsid w:val="002427DD"/>
    <w:rsid w:val="0024344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6A15"/>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382E"/>
    <w:rsid w:val="00253C87"/>
    <w:rsid w:val="00254114"/>
    <w:rsid w:val="00254247"/>
    <w:rsid w:val="002542B2"/>
    <w:rsid w:val="0025447C"/>
    <w:rsid w:val="00254681"/>
    <w:rsid w:val="00254B08"/>
    <w:rsid w:val="00254B81"/>
    <w:rsid w:val="00254C96"/>
    <w:rsid w:val="00255399"/>
    <w:rsid w:val="002559B3"/>
    <w:rsid w:val="00255A05"/>
    <w:rsid w:val="00255A84"/>
    <w:rsid w:val="00255B5A"/>
    <w:rsid w:val="00255C0E"/>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6A"/>
    <w:rsid w:val="00261DA5"/>
    <w:rsid w:val="0026216E"/>
    <w:rsid w:val="00262869"/>
    <w:rsid w:val="002628F6"/>
    <w:rsid w:val="00262DCF"/>
    <w:rsid w:val="002634EA"/>
    <w:rsid w:val="002637CF"/>
    <w:rsid w:val="00263AF8"/>
    <w:rsid w:val="00263CD1"/>
    <w:rsid w:val="00263FF1"/>
    <w:rsid w:val="002645C7"/>
    <w:rsid w:val="002646CB"/>
    <w:rsid w:val="002646FE"/>
    <w:rsid w:val="002648EE"/>
    <w:rsid w:val="00264B3D"/>
    <w:rsid w:val="00264C1F"/>
    <w:rsid w:val="00264FD6"/>
    <w:rsid w:val="002656C7"/>
    <w:rsid w:val="00265AC3"/>
    <w:rsid w:val="00265B89"/>
    <w:rsid w:val="00265BFC"/>
    <w:rsid w:val="00265D3C"/>
    <w:rsid w:val="0026680B"/>
    <w:rsid w:val="00266D29"/>
    <w:rsid w:val="00266E9A"/>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70E"/>
    <w:rsid w:val="00271B4D"/>
    <w:rsid w:val="00272164"/>
    <w:rsid w:val="00272499"/>
    <w:rsid w:val="00272623"/>
    <w:rsid w:val="0027275F"/>
    <w:rsid w:val="00272960"/>
    <w:rsid w:val="00272A65"/>
    <w:rsid w:val="00272DBE"/>
    <w:rsid w:val="0027304A"/>
    <w:rsid w:val="0027304D"/>
    <w:rsid w:val="00273102"/>
    <w:rsid w:val="0027349A"/>
    <w:rsid w:val="00273CB2"/>
    <w:rsid w:val="002742FE"/>
    <w:rsid w:val="00274C4D"/>
    <w:rsid w:val="00274EFA"/>
    <w:rsid w:val="00275025"/>
    <w:rsid w:val="002756F0"/>
    <w:rsid w:val="0027596A"/>
    <w:rsid w:val="002759C0"/>
    <w:rsid w:val="00275B68"/>
    <w:rsid w:val="00275C43"/>
    <w:rsid w:val="00275D7A"/>
    <w:rsid w:val="00275F9E"/>
    <w:rsid w:val="002761BD"/>
    <w:rsid w:val="0027652E"/>
    <w:rsid w:val="00276884"/>
    <w:rsid w:val="002772AF"/>
    <w:rsid w:val="0027780B"/>
    <w:rsid w:val="002779F5"/>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169"/>
    <w:rsid w:val="002834C9"/>
    <w:rsid w:val="002835A6"/>
    <w:rsid w:val="002837C2"/>
    <w:rsid w:val="002838D0"/>
    <w:rsid w:val="0028399A"/>
    <w:rsid w:val="002839FB"/>
    <w:rsid w:val="00283BB4"/>
    <w:rsid w:val="00283D4E"/>
    <w:rsid w:val="00284036"/>
    <w:rsid w:val="00284162"/>
    <w:rsid w:val="002844AC"/>
    <w:rsid w:val="002845EA"/>
    <w:rsid w:val="002848C8"/>
    <w:rsid w:val="00284B22"/>
    <w:rsid w:val="0028509A"/>
    <w:rsid w:val="0028523A"/>
    <w:rsid w:val="00285309"/>
    <w:rsid w:val="0028551B"/>
    <w:rsid w:val="00285A8C"/>
    <w:rsid w:val="00285DF6"/>
    <w:rsid w:val="00286154"/>
    <w:rsid w:val="0028670B"/>
    <w:rsid w:val="00286894"/>
    <w:rsid w:val="00286B1C"/>
    <w:rsid w:val="00286B56"/>
    <w:rsid w:val="00286DCB"/>
    <w:rsid w:val="00286EBE"/>
    <w:rsid w:val="00286FB0"/>
    <w:rsid w:val="0028718B"/>
    <w:rsid w:val="002874D2"/>
    <w:rsid w:val="00287699"/>
    <w:rsid w:val="0028783E"/>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4EE4"/>
    <w:rsid w:val="00295274"/>
    <w:rsid w:val="002958DE"/>
    <w:rsid w:val="00295B70"/>
    <w:rsid w:val="00295EEF"/>
    <w:rsid w:val="002963DD"/>
    <w:rsid w:val="0029648D"/>
    <w:rsid w:val="00296F47"/>
    <w:rsid w:val="00297289"/>
    <w:rsid w:val="00297514"/>
    <w:rsid w:val="0029799C"/>
    <w:rsid w:val="00297D33"/>
    <w:rsid w:val="00297DF5"/>
    <w:rsid w:val="00297ECD"/>
    <w:rsid w:val="002A00C4"/>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AB3"/>
    <w:rsid w:val="002A7199"/>
    <w:rsid w:val="002A77C3"/>
    <w:rsid w:val="002A79D9"/>
    <w:rsid w:val="002A7BAF"/>
    <w:rsid w:val="002A7BBD"/>
    <w:rsid w:val="002A7D28"/>
    <w:rsid w:val="002B05A8"/>
    <w:rsid w:val="002B0D6E"/>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37D3"/>
    <w:rsid w:val="002B43B3"/>
    <w:rsid w:val="002B4FAD"/>
    <w:rsid w:val="002B538D"/>
    <w:rsid w:val="002B5B61"/>
    <w:rsid w:val="002B5CA1"/>
    <w:rsid w:val="002B6031"/>
    <w:rsid w:val="002B6699"/>
    <w:rsid w:val="002B6716"/>
    <w:rsid w:val="002B6D2E"/>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61E"/>
    <w:rsid w:val="002C1CBF"/>
    <w:rsid w:val="002C1D9C"/>
    <w:rsid w:val="002C1EFA"/>
    <w:rsid w:val="002C22C5"/>
    <w:rsid w:val="002C2806"/>
    <w:rsid w:val="002C28AD"/>
    <w:rsid w:val="002C2BD3"/>
    <w:rsid w:val="002C2BEB"/>
    <w:rsid w:val="002C2DF8"/>
    <w:rsid w:val="002C30A4"/>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06A"/>
    <w:rsid w:val="002D04C5"/>
    <w:rsid w:val="002D059D"/>
    <w:rsid w:val="002D0632"/>
    <w:rsid w:val="002D0727"/>
    <w:rsid w:val="002D100C"/>
    <w:rsid w:val="002D1A63"/>
    <w:rsid w:val="002D1B36"/>
    <w:rsid w:val="002D1B96"/>
    <w:rsid w:val="002D1D33"/>
    <w:rsid w:val="002D2270"/>
    <w:rsid w:val="002D2C51"/>
    <w:rsid w:val="002D2E4C"/>
    <w:rsid w:val="002D2EC4"/>
    <w:rsid w:val="002D30EB"/>
    <w:rsid w:val="002D319A"/>
    <w:rsid w:val="002D32AF"/>
    <w:rsid w:val="002D3306"/>
    <w:rsid w:val="002D3568"/>
    <w:rsid w:val="002D37C1"/>
    <w:rsid w:val="002D3E11"/>
    <w:rsid w:val="002D4074"/>
    <w:rsid w:val="002D42F1"/>
    <w:rsid w:val="002D4487"/>
    <w:rsid w:val="002D4830"/>
    <w:rsid w:val="002D4960"/>
    <w:rsid w:val="002D4A0A"/>
    <w:rsid w:val="002D4A43"/>
    <w:rsid w:val="002D5041"/>
    <w:rsid w:val="002D5098"/>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69"/>
    <w:rsid w:val="002E25A8"/>
    <w:rsid w:val="002E279A"/>
    <w:rsid w:val="002E2BE7"/>
    <w:rsid w:val="002E2E05"/>
    <w:rsid w:val="002E323E"/>
    <w:rsid w:val="002E34CF"/>
    <w:rsid w:val="002E3832"/>
    <w:rsid w:val="002E399E"/>
    <w:rsid w:val="002E3B08"/>
    <w:rsid w:val="002E3CE5"/>
    <w:rsid w:val="002E4118"/>
    <w:rsid w:val="002E41F3"/>
    <w:rsid w:val="002E4505"/>
    <w:rsid w:val="002E4516"/>
    <w:rsid w:val="002E4519"/>
    <w:rsid w:val="002E4C70"/>
    <w:rsid w:val="002E5038"/>
    <w:rsid w:val="002E533C"/>
    <w:rsid w:val="002E557C"/>
    <w:rsid w:val="002E5BB9"/>
    <w:rsid w:val="002E5BCC"/>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2D8F"/>
    <w:rsid w:val="002F3A93"/>
    <w:rsid w:val="002F3AFA"/>
    <w:rsid w:val="002F4355"/>
    <w:rsid w:val="002F4444"/>
    <w:rsid w:val="002F45F4"/>
    <w:rsid w:val="002F4777"/>
    <w:rsid w:val="002F4A7F"/>
    <w:rsid w:val="002F4BEA"/>
    <w:rsid w:val="002F4E21"/>
    <w:rsid w:val="002F54B6"/>
    <w:rsid w:val="002F5629"/>
    <w:rsid w:val="002F5674"/>
    <w:rsid w:val="002F65E5"/>
    <w:rsid w:val="002F6A6F"/>
    <w:rsid w:val="002F6AA1"/>
    <w:rsid w:val="002F6B24"/>
    <w:rsid w:val="002F6E28"/>
    <w:rsid w:val="002F6FEA"/>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128"/>
    <w:rsid w:val="00302306"/>
    <w:rsid w:val="003023C2"/>
    <w:rsid w:val="003024FE"/>
    <w:rsid w:val="0030294F"/>
    <w:rsid w:val="00302E5E"/>
    <w:rsid w:val="00302EA1"/>
    <w:rsid w:val="00303249"/>
    <w:rsid w:val="003038DB"/>
    <w:rsid w:val="00303BC0"/>
    <w:rsid w:val="00303BC3"/>
    <w:rsid w:val="00303D58"/>
    <w:rsid w:val="00303D69"/>
    <w:rsid w:val="00303F5D"/>
    <w:rsid w:val="00303FA3"/>
    <w:rsid w:val="0030415A"/>
    <w:rsid w:val="00304433"/>
    <w:rsid w:val="0030458D"/>
    <w:rsid w:val="003048C9"/>
    <w:rsid w:val="00304C8F"/>
    <w:rsid w:val="00304D19"/>
    <w:rsid w:val="00304D4E"/>
    <w:rsid w:val="00304F3C"/>
    <w:rsid w:val="00304FF8"/>
    <w:rsid w:val="00305098"/>
    <w:rsid w:val="0030511E"/>
    <w:rsid w:val="003053C8"/>
    <w:rsid w:val="00305BCF"/>
    <w:rsid w:val="0030615E"/>
    <w:rsid w:val="003066E9"/>
    <w:rsid w:val="00306A56"/>
    <w:rsid w:val="00306D6D"/>
    <w:rsid w:val="00307448"/>
    <w:rsid w:val="003079B4"/>
    <w:rsid w:val="00307C55"/>
    <w:rsid w:val="00307DEF"/>
    <w:rsid w:val="00310138"/>
    <w:rsid w:val="0031027B"/>
    <w:rsid w:val="003105A3"/>
    <w:rsid w:val="003107E5"/>
    <w:rsid w:val="00310DE6"/>
    <w:rsid w:val="0031115B"/>
    <w:rsid w:val="003115AC"/>
    <w:rsid w:val="003115B0"/>
    <w:rsid w:val="003119A7"/>
    <w:rsid w:val="00311BC8"/>
    <w:rsid w:val="00311D33"/>
    <w:rsid w:val="00311EE1"/>
    <w:rsid w:val="0031200F"/>
    <w:rsid w:val="0031208A"/>
    <w:rsid w:val="003126CA"/>
    <w:rsid w:val="003127C5"/>
    <w:rsid w:val="0031322F"/>
    <w:rsid w:val="00313664"/>
    <w:rsid w:val="00313754"/>
    <w:rsid w:val="0031380E"/>
    <w:rsid w:val="003138A6"/>
    <w:rsid w:val="00313958"/>
    <w:rsid w:val="00313B78"/>
    <w:rsid w:val="00313C9A"/>
    <w:rsid w:val="00313DD4"/>
    <w:rsid w:val="00314361"/>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6D7F"/>
    <w:rsid w:val="00317101"/>
    <w:rsid w:val="0032006F"/>
    <w:rsid w:val="003201A1"/>
    <w:rsid w:val="00320747"/>
    <w:rsid w:val="00320832"/>
    <w:rsid w:val="00320FD1"/>
    <w:rsid w:val="00321062"/>
    <w:rsid w:val="00321109"/>
    <w:rsid w:val="0032124F"/>
    <w:rsid w:val="00321560"/>
    <w:rsid w:val="00321690"/>
    <w:rsid w:val="00321758"/>
    <w:rsid w:val="00321823"/>
    <w:rsid w:val="00321BDA"/>
    <w:rsid w:val="003226B9"/>
    <w:rsid w:val="00322E12"/>
    <w:rsid w:val="0032358B"/>
    <w:rsid w:val="003238F4"/>
    <w:rsid w:val="00323D94"/>
    <w:rsid w:val="00323FC4"/>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2E"/>
    <w:rsid w:val="00327DE9"/>
    <w:rsid w:val="00327EB4"/>
    <w:rsid w:val="00327F5E"/>
    <w:rsid w:val="003301B3"/>
    <w:rsid w:val="0033033D"/>
    <w:rsid w:val="00330372"/>
    <w:rsid w:val="00330385"/>
    <w:rsid w:val="003303CC"/>
    <w:rsid w:val="003308D8"/>
    <w:rsid w:val="00330C56"/>
    <w:rsid w:val="00330F2E"/>
    <w:rsid w:val="0033102E"/>
    <w:rsid w:val="0033137B"/>
    <w:rsid w:val="00331401"/>
    <w:rsid w:val="00331CEE"/>
    <w:rsid w:val="00332344"/>
    <w:rsid w:val="00332372"/>
    <w:rsid w:val="0033289C"/>
    <w:rsid w:val="00332CF5"/>
    <w:rsid w:val="00332F67"/>
    <w:rsid w:val="0033312E"/>
    <w:rsid w:val="00333234"/>
    <w:rsid w:val="00333822"/>
    <w:rsid w:val="00333823"/>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2AB"/>
    <w:rsid w:val="00340727"/>
    <w:rsid w:val="003407E4"/>
    <w:rsid w:val="0034081B"/>
    <w:rsid w:val="00340C0A"/>
    <w:rsid w:val="00341296"/>
    <w:rsid w:val="00341557"/>
    <w:rsid w:val="003416A0"/>
    <w:rsid w:val="00341833"/>
    <w:rsid w:val="0034185E"/>
    <w:rsid w:val="00341A29"/>
    <w:rsid w:val="003423C7"/>
    <w:rsid w:val="003424A0"/>
    <w:rsid w:val="003425DF"/>
    <w:rsid w:val="00342803"/>
    <w:rsid w:val="00342841"/>
    <w:rsid w:val="003428BA"/>
    <w:rsid w:val="003429B2"/>
    <w:rsid w:val="00342A60"/>
    <w:rsid w:val="00342CBB"/>
    <w:rsid w:val="00342DDC"/>
    <w:rsid w:val="00342FBC"/>
    <w:rsid w:val="0034375A"/>
    <w:rsid w:val="0034379D"/>
    <w:rsid w:val="0034392E"/>
    <w:rsid w:val="003439F6"/>
    <w:rsid w:val="00343CB0"/>
    <w:rsid w:val="00343DED"/>
    <w:rsid w:val="00343E5D"/>
    <w:rsid w:val="00343E69"/>
    <w:rsid w:val="0034410F"/>
    <w:rsid w:val="00344182"/>
    <w:rsid w:val="00344359"/>
    <w:rsid w:val="00344774"/>
    <w:rsid w:val="00344983"/>
    <w:rsid w:val="00344A10"/>
    <w:rsid w:val="00344A29"/>
    <w:rsid w:val="00345553"/>
    <w:rsid w:val="00345ED9"/>
    <w:rsid w:val="00346192"/>
    <w:rsid w:val="003461E0"/>
    <w:rsid w:val="003463D1"/>
    <w:rsid w:val="003463D8"/>
    <w:rsid w:val="0034646D"/>
    <w:rsid w:val="00346C66"/>
    <w:rsid w:val="0034714F"/>
    <w:rsid w:val="003477AD"/>
    <w:rsid w:val="0034797B"/>
    <w:rsid w:val="00347BE5"/>
    <w:rsid w:val="00347D85"/>
    <w:rsid w:val="00350366"/>
    <w:rsid w:val="003507DD"/>
    <w:rsid w:val="00350B03"/>
    <w:rsid w:val="00350C0E"/>
    <w:rsid w:val="00350C95"/>
    <w:rsid w:val="00351124"/>
    <w:rsid w:val="00351347"/>
    <w:rsid w:val="00351632"/>
    <w:rsid w:val="0035167A"/>
    <w:rsid w:val="003516B1"/>
    <w:rsid w:val="00351831"/>
    <w:rsid w:val="003522E0"/>
    <w:rsid w:val="0035267F"/>
    <w:rsid w:val="0035284A"/>
    <w:rsid w:val="00352B39"/>
    <w:rsid w:val="00352B55"/>
    <w:rsid w:val="003530FE"/>
    <w:rsid w:val="003532EE"/>
    <w:rsid w:val="00354193"/>
    <w:rsid w:val="003547F2"/>
    <w:rsid w:val="003547FA"/>
    <w:rsid w:val="003548FE"/>
    <w:rsid w:val="00354F0A"/>
    <w:rsid w:val="003550A4"/>
    <w:rsid w:val="003550BA"/>
    <w:rsid w:val="00355171"/>
    <w:rsid w:val="0035537A"/>
    <w:rsid w:val="003554D2"/>
    <w:rsid w:val="0035580D"/>
    <w:rsid w:val="0035588D"/>
    <w:rsid w:val="00355985"/>
    <w:rsid w:val="00355D0B"/>
    <w:rsid w:val="003565E0"/>
    <w:rsid w:val="003567F0"/>
    <w:rsid w:val="00356887"/>
    <w:rsid w:val="00356915"/>
    <w:rsid w:val="00356E75"/>
    <w:rsid w:val="00356F02"/>
    <w:rsid w:val="0035766F"/>
    <w:rsid w:val="0035781A"/>
    <w:rsid w:val="0035797B"/>
    <w:rsid w:val="00357B39"/>
    <w:rsid w:val="00357CB5"/>
    <w:rsid w:val="00357E8C"/>
    <w:rsid w:val="00357F29"/>
    <w:rsid w:val="003600B2"/>
    <w:rsid w:val="003602DC"/>
    <w:rsid w:val="0036040E"/>
    <w:rsid w:val="00360517"/>
    <w:rsid w:val="00360532"/>
    <w:rsid w:val="00360B57"/>
    <w:rsid w:val="00360EB5"/>
    <w:rsid w:val="00360F43"/>
    <w:rsid w:val="00361A0A"/>
    <w:rsid w:val="00361D06"/>
    <w:rsid w:val="00361D3F"/>
    <w:rsid w:val="00361F15"/>
    <w:rsid w:val="0036214E"/>
    <w:rsid w:val="00362660"/>
    <w:rsid w:val="00362BD5"/>
    <w:rsid w:val="00362FD3"/>
    <w:rsid w:val="003639FB"/>
    <w:rsid w:val="00363BF7"/>
    <w:rsid w:val="00364264"/>
    <w:rsid w:val="00364D9D"/>
    <w:rsid w:val="003650F3"/>
    <w:rsid w:val="003652B9"/>
    <w:rsid w:val="00365E92"/>
    <w:rsid w:val="0036601F"/>
    <w:rsid w:val="0036633A"/>
    <w:rsid w:val="0036695B"/>
    <w:rsid w:val="003678EB"/>
    <w:rsid w:val="00367B88"/>
    <w:rsid w:val="00370307"/>
    <w:rsid w:val="0037035D"/>
    <w:rsid w:val="00370821"/>
    <w:rsid w:val="003709A2"/>
    <w:rsid w:val="00370A18"/>
    <w:rsid w:val="00370AA1"/>
    <w:rsid w:val="003710ED"/>
    <w:rsid w:val="0037143C"/>
    <w:rsid w:val="003716B7"/>
    <w:rsid w:val="003717D0"/>
    <w:rsid w:val="00371B9A"/>
    <w:rsid w:val="00371D3A"/>
    <w:rsid w:val="003720EE"/>
    <w:rsid w:val="00372263"/>
    <w:rsid w:val="003725AA"/>
    <w:rsid w:val="003728BF"/>
    <w:rsid w:val="00372A5B"/>
    <w:rsid w:val="00373491"/>
    <w:rsid w:val="00373766"/>
    <w:rsid w:val="003739DD"/>
    <w:rsid w:val="00373A9E"/>
    <w:rsid w:val="003741A2"/>
    <w:rsid w:val="00374419"/>
    <w:rsid w:val="00374452"/>
    <w:rsid w:val="00374AC8"/>
    <w:rsid w:val="00374C44"/>
    <w:rsid w:val="00374D75"/>
    <w:rsid w:val="00374DC6"/>
    <w:rsid w:val="0037526B"/>
    <w:rsid w:val="003752C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750"/>
    <w:rsid w:val="00381F58"/>
    <w:rsid w:val="00382266"/>
    <w:rsid w:val="0038235E"/>
    <w:rsid w:val="00382A53"/>
    <w:rsid w:val="00382AE5"/>
    <w:rsid w:val="00382B0C"/>
    <w:rsid w:val="00382FE3"/>
    <w:rsid w:val="00383170"/>
    <w:rsid w:val="003833B5"/>
    <w:rsid w:val="0038352D"/>
    <w:rsid w:val="003835FF"/>
    <w:rsid w:val="00383BF4"/>
    <w:rsid w:val="003844A3"/>
    <w:rsid w:val="00384584"/>
    <w:rsid w:val="003847ED"/>
    <w:rsid w:val="00384ADE"/>
    <w:rsid w:val="00384DB9"/>
    <w:rsid w:val="003856BD"/>
    <w:rsid w:val="00386DDB"/>
    <w:rsid w:val="00387553"/>
    <w:rsid w:val="0038792E"/>
    <w:rsid w:val="0038797A"/>
    <w:rsid w:val="00387A4A"/>
    <w:rsid w:val="00390FB5"/>
    <w:rsid w:val="00391078"/>
    <w:rsid w:val="0039121A"/>
    <w:rsid w:val="003921CD"/>
    <w:rsid w:val="00392268"/>
    <w:rsid w:val="00392270"/>
    <w:rsid w:val="003929D2"/>
    <w:rsid w:val="00392BC2"/>
    <w:rsid w:val="00392CCA"/>
    <w:rsid w:val="00393029"/>
    <w:rsid w:val="00393AD7"/>
    <w:rsid w:val="00393E3E"/>
    <w:rsid w:val="00393F81"/>
    <w:rsid w:val="00393FA5"/>
    <w:rsid w:val="0039406E"/>
    <w:rsid w:val="0039411F"/>
    <w:rsid w:val="0039413F"/>
    <w:rsid w:val="003946B9"/>
    <w:rsid w:val="0039471E"/>
    <w:rsid w:val="00394B51"/>
    <w:rsid w:val="003953BE"/>
    <w:rsid w:val="003957BB"/>
    <w:rsid w:val="003962CD"/>
    <w:rsid w:val="003963FF"/>
    <w:rsid w:val="003965C0"/>
    <w:rsid w:val="00396894"/>
    <w:rsid w:val="00396935"/>
    <w:rsid w:val="00396997"/>
    <w:rsid w:val="00396A4C"/>
    <w:rsid w:val="0039743E"/>
    <w:rsid w:val="00397A8D"/>
    <w:rsid w:val="00397CAC"/>
    <w:rsid w:val="00397D16"/>
    <w:rsid w:val="003A0403"/>
    <w:rsid w:val="003A091A"/>
    <w:rsid w:val="003A0D0B"/>
    <w:rsid w:val="003A1301"/>
    <w:rsid w:val="003A1EE5"/>
    <w:rsid w:val="003A27BB"/>
    <w:rsid w:val="003A280A"/>
    <w:rsid w:val="003A297C"/>
    <w:rsid w:val="003A2FE5"/>
    <w:rsid w:val="003A31F5"/>
    <w:rsid w:val="003A33A5"/>
    <w:rsid w:val="003A35D6"/>
    <w:rsid w:val="003A3FF6"/>
    <w:rsid w:val="003A43CA"/>
    <w:rsid w:val="003A4473"/>
    <w:rsid w:val="003A4780"/>
    <w:rsid w:val="003A47B1"/>
    <w:rsid w:val="003A4E51"/>
    <w:rsid w:val="003A5077"/>
    <w:rsid w:val="003A5614"/>
    <w:rsid w:val="003A56A1"/>
    <w:rsid w:val="003A5BC5"/>
    <w:rsid w:val="003A5C82"/>
    <w:rsid w:val="003A5CF2"/>
    <w:rsid w:val="003A5D19"/>
    <w:rsid w:val="003A5E4A"/>
    <w:rsid w:val="003A5F4E"/>
    <w:rsid w:val="003A68A9"/>
    <w:rsid w:val="003A6A4E"/>
    <w:rsid w:val="003A6DDA"/>
    <w:rsid w:val="003A72FF"/>
    <w:rsid w:val="003A782B"/>
    <w:rsid w:val="003B03BF"/>
    <w:rsid w:val="003B0E9B"/>
    <w:rsid w:val="003B1620"/>
    <w:rsid w:val="003B1661"/>
    <w:rsid w:val="003B1919"/>
    <w:rsid w:val="003B20CA"/>
    <w:rsid w:val="003B2354"/>
    <w:rsid w:val="003B2A09"/>
    <w:rsid w:val="003B2E43"/>
    <w:rsid w:val="003B2EA9"/>
    <w:rsid w:val="003B2FCF"/>
    <w:rsid w:val="003B317B"/>
    <w:rsid w:val="003B34C0"/>
    <w:rsid w:val="003B3EC4"/>
    <w:rsid w:val="003B3FD2"/>
    <w:rsid w:val="003B4059"/>
    <w:rsid w:val="003B4407"/>
    <w:rsid w:val="003B440E"/>
    <w:rsid w:val="003B453B"/>
    <w:rsid w:val="003B46C7"/>
    <w:rsid w:val="003B5049"/>
    <w:rsid w:val="003B51D0"/>
    <w:rsid w:val="003B5254"/>
    <w:rsid w:val="003B533E"/>
    <w:rsid w:val="003B5747"/>
    <w:rsid w:val="003B580F"/>
    <w:rsid w:val="003B5CF5"/>
    <w:rsid w:val="003B6230"/>
    <w:rsid w:val="003B63DD"/>
    <w:rsid w:val="003B642F"/>
    <w:rsid w:val="003B673D"/>
    <w:rsid w:val="003B6914"/>
    <w:rsid w:val="003B6A7F"/>
    <w:rsid w:val="003B730A"/>
    <w:rsid w:val="003B7840"/>
    <w:rsid w:val="003B7AF0"/>
    <w:rsid w:val="003B7CC3"/>
    <w:rsid w:val="003B7EB5"/>
    <w:rsid w:val="003B7F41"/>
    <w:rsid w:val="003C0183"/>
    <w:rsid w:val="003C0B0E"/>
    <w:rsid w:val="003C1054"/>
    <w:rsid w:val="003C175D"/>
    <w:rsid w:val="003C1CFB"/>
    <w:rsid w:val="003C2577"/>
    <w:rsid w:val="003C2BBD"/>
    <w:rsid w:val="003C2F98"/>
    <w:rsid w:val="003C32A6"/>
    <w:rsid w:val="003C330A"/>
    <w:rsid w:val="003C3379"/>
    <w:rsid w:val="003C34FE"/>
    <w:rsid w:val="003C3AE8"/>
    <w:rsid w:val="003C3BB5"/>
    <w:rsid w:val="003C3E77"/>
    <w:rsid w:val="003C3E86"/>
    <w:rsid w:val="003C4066"/>
    <w:rsid w:val="003C4264"/>
    <w:rsid w:val="003C43EC"/>
    <w:rsid w:val="003C4448"/>
    <w:rsid w:val="003C46AD"/>
    <w:rsid w:val="003C4D1E"/>
    <w:rsid w:val="003C4E99"/>
    <w:rsid w:val="003C529F"/>
    <w:rsid w:val="003C5FC9"/>
    <w:rsid w:val="003C61C4"/>
    <w:rsid w:val="003C63D3"/>
    <w:rsid w:val="003C7449"/>
    <w:rsid w:val="003C7AF1"/>
    <w:rsid w:val="003C7BE5"/>
    <w:rsid w:val="003C7DA6"/>
    <w:rsid w:val="003D0022"/>
    <w:rsid w:val="003D0B52"/>
    <w:rsid w:val="003D1093"/>
    <w:rsid w:val="003D1448"/>
    <w:rsid w:val="003D1621"/>
    <w:rsid w:val="003D1AC3"/>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B8F"/>
    <w:rsid w:val="003D4D86"/>
    <w:rsid w:val="003D5469"/>
    <w:rsid w:val="003D5847"/>
    <w:rsid w:val="003D5E59"/>
    <w:rsid w:val="003D601F"/>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34C"/>
    <w:rsid w:val="003E14BE"/>
    <w:rsid w:val="003E182D"/>
    <w:rsid w:val="003E1937"/>
    <w:rsid w:val="003E1AFB"/>
    <w:rsid w:val="003E213F"/>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C4C"/>
    <w:rsid w:val="003E5F33"/>
    <w:rsid w:val="003E64A5"/>
    <w:rsid w:val="003E6615"/>
    <w:rsid w:val="003E694D"/>
    <w:rsid w:val="003E6CD0"/>
    <w:rsid w:val="003E74C3"/>
    <w:rsid w:val="003E79F9"/>
    <w:rsid w:val="003E7C34"/>
    <w:rsid w:val="003F0407"/>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416"/>
    <w:rsid w:val="003F26FE"/>
    <w:rsid w:val="003F2A44"/>
    <w:rsid w:val="003F2ABB"/>
    <w:rsid w:val="003F2C11"/>
    <w:rsid w:val="003F301F"/>
    <w:rsid w:val="003F3377"/>
    <w:rsid w:val="003F33B7"/>
    <w:rsid w:val="003F37FD"/>
    <w:rsid w:val="003F3854"/>
    <w:rsid w:val="003F39AE"/>
    <w:rsid w:val="003F3A52"/>
    <w:rsid w:val="003F3EF1"/>
    <w:rsid w:val="003F4503"/>
    <w:rsid w:val="003F45B2"/>
    <w:rsid w:val="003F4679"/>
    <w:rsid w:val="003F47F9"/>
    <w:rsid w:val="003F4B62"/>
    <w:rsid w:val="003F59F4"/>
    <w:rsid w:val="003F5B16"/>
    <w:rsid w:val="003F5CD7"/>
    <w:rsid w:val="003F5CD8"/>
    <w:rsid w:val="003F5FDD"/>
    <w:rsid w:val="003F6086"/>
    <w:rsid w:val="003F60E1"/>
    <w:rsid w:val="003F62DD"/>
    <w:rsid w:val="003F62E5"/>
    <w:rsid w:val="003F648C"/>
    <w:rsid w:val="003F6633"/>
    <w:rsid w:val="003F66FD"/>
    <w:rsid w:val="003F672A"/>
    <w:rsid w:val="003F67C1"/>
    <w:rsid w:val="003F68F5"/>
    <w:rsid w:val="003F7000"/>
    <w:rsid w:val="003F757E"/>
    <w:rsid w:val="003F764A"/>
    <w:rsid w:val="003F7F49"/>
    <w:rsid w:val="0040032A"/>
    <w:rsid w:val="0040033C"/>
    <w:rsid w:val="00400494"/>
    <w:rsid w:val="004004F6"/>
    <w:rsid w:val="0040078F"/>
    <w:rsid w:val="00400CA9"/>
    <w:rsid w:val="004010AA"/>
    <w:rsid w:val="004017DF"/>
    <w:rsid w:val="00401A68"/>
    <w:rsid w:val="00401B69"/>
    <w:rsid w:val="0040214B"/>
    <w:rsid w:val="00402280"/>
    <w:rsid w:val="00402B37"/>
    <w:rsid w:val="00402BA1"/>
    <w:rsid w:val="00402DC6"/>
    <w:rsid w:val="0040313C"/>
    <w:rsid w:val="004033F3"/>
    <w:rsid w:val="0040351E"/>
    <w:rsid w:val="00403882"/>
    <w:rsid w:val="00403A03"/>
    <w:rsid w:val="00403CAB"/>
    <w:rsid w:val="004049E4"/>
    <w:rsid w:val="00404D94"/>
    <w:rsid w:val="00404DCD"/>
    <w:rsid w:val="00405244"/>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665"/>
    <w:rsid w:val="00414673"/>
    <w:rsid w:val="0041473B"/>
    <w:rsid w:val="00414753"/>
    <w:rsid w:val="0041478B"/>
    <w:rsid w:val="00414B30"/>
    <w:rsid w:val="00414C6B"/>
    <w:rsid w:val="00414E51"/>
    <w:rsid w:val="00414E5C"/>
    <w:rsid w:val="0041517D"/>
    <w:rsid w:val="004151EC"/>
    <w:rsid w:val="004152E6"/>
    <w:rsid w:val="00415D9B"/>
    <w:rsid w:val="00416093"/>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2DC1"/>
    <w:rsid w:val="00423099"/>
    <w:rsid w:val="0042347C"/>
    <w:rsid w:val="00423CBD"/>
    <w:rsid w:val="004240A9"/>
    <w:rsid w:val="004241CE"/>
    <w:rsid w:val="00424200"/>
    <w:rsid w:val="00424564"/>
    <w:rsid w:val="00424D0A"/>
    <w:rsid w:val="00424E79"/>
    <w:rsid w:val="00424FA9"/>
    <w:rsid w:val="0042558E"/>
    <w:rsid w:val="00425BA1"/>
    <w:rsid w:val="00426178"/>
    <w:rsid w:val="0042661C"/>
    <w:rsid w:val="0042718E"/>
    <w:rsid w:val="00427271"/>
    <w:rsid w:val="004274B3"/>
    <w:rsid w:val="00427808"/>
    <w:rsid w:val="00427F27"/>
    <w:rsid w:val="0043009C"/>
    <w:rsid w:val="00430294"/>
    <w:rsid w:val="004303AB"/>
    <w:rsid w:val="0043044F"/>
    <w:rsid w:val="00430487"/>
    <w:rsid w:val="0043062E"/>
    <w:rsid w:val="00430734"/>
    <w:rsid w:val="0043076A"/>
    <w:rsid w:val="00430BDD"/>
    <w:rsid w:val="0043113F"/>
    <w:rsid w:val="00431785"/>
    <w:rsid w:val="00431B17"/>
    <w:rsid w:val="00431C9B"/>
    <w:rsid w:val="00432048"/>
    <w:rsid w:val="004322F3"/>
    <w:rsid w:val="004323EB"/>
    <w:rsid w:val="004324F9"/>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67F"/>
    <w:rsid w:val="004418E1"/>
    <w:rsid w:val="00441CBC"/>
    <w:rsid w:val="00441F98"/>
    <w:rsid w:val="0044207C"/>
    <w:rsid w:val="00442E9B"/>
    <w:rsid w:val="004433F5"/>
    <w:rsid w:val="004438E4"/>
    <w:rsid w:val="00443B94"/>
    <w:rsid w:val="00443E1F"/>
    <w:rsid w:val="00443EC1"/>
    <w:rsid w:val="0044403E"/>
    <w:rsid w:val="004441D6"/>
    <w:rsid w:val="00444240"/>
    <w:rsid w:val="004443E1"/>
    <w:rsid w:val="0044485C"/>
    <w:rsid w:val="0044566E"/>
    <w:rsid w:val="00446009"/>
    <w:rsid w:val="0044603C"/>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21E"/>
    <w:rsid w:val="00451433"/>
    <w:rsid w:val="00451970"/>
    <w:rsid w:val="00451D06"/>
    <w:rsid w:val="00451E80"/>
    <w:rsid w:val="0045205A"/>
    <w:rsid w:val="00452434"/>
    <w:rsid w:val="00452631"/>
    <w:rsid w:val="00452EAE"/>
    <w:rsid w:val="00452EF2"/>
    <w:rsid w:val="00452FEC"/>
    <w:rsid w:val="00453264"/>
    <w:rsid w:val="0045350E"/>
    <w:rsid w:val="0045402E"/>
    <w:rsid w:val="004542EE"/>
    <w:rsid w:val="00454984"/>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57F4C"/>
    <w:rsid w:val="00460114"/>
    <w:rsid w:val="004601E2"/>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5EC7"/>
    <w:rsid w:val="00466750"/>
    <w:rsid w:val="00466805"/>
    <w:rsid w:val="0046685B"/>
    <w:rsid w:val="00466FC4"/>
    <w:rsid w:val="004670A0"/>
    <w:rsid w:val="0046770A"/>
    <w:rsid w:val="00467A5C"/>
    <w:rsid w:val="00467ABD"/>
    <w:rsid w:val="00467E2B"/>
    <w:rsid w:val="00470BAE"/>
    <w:rsid w:val="00471411"/>
    <w:rsid w:val="0047180C"/>
    <w:rsid w:val="00471956"/>
    <w:rsid w:val="00471A83"/>
    <w:rsid w:val="00471D36"/>
    <w:rsid w:val="00471DEC"/>
    <w:rsid w:val="00472461"/>
    <w:rsid w:val="004724BE"/>
    <w:rsid w:val="004727AD"/>
    <w:rsid w:val="00472B98"/>
    <w:rsid w:val="00472DEE"/>
    <w:rsid w:val="00473141"/>
    <w:rsid w:val="004732CA"/>
    <w:rsid w:val="00473C3D"/>
    <w:rsid w:val="00473EBA"/>
    <w:rsid w:val="00474445"/>
    <w:rsid w:val="00474484"/>
    <w:rsid w:val="0047451E"/>
    <w:rsid w:val="00474835"/>
    <w:rsid w:val="00474EA2"/>
    <w:rsid w:val="00475B95"/>
    <w:rsid w:val="00475BDA"/>
    <w:rsid w:val="00475BFE"/>
    <w:rsid w:val="00475C23"/>
    <w:rsid w:val="00475C50"/>
    <w:rsid w:val="004762F3"/>
    <w:rsid w:val="00476ACE"/>
    <w:rsid w:val="00477042"/>
    <w:rsid w:val="0047711B"/>
    <w:rsid w:val="00477404"/>
    <w:rsid w:val="00477612"/>
    <w:rsid w:val="00477B93"/>
    <w:rsid w:val="00477C42"/>
    <w:rsid w:val="00480065"/>
    <w:rsid w:val="00480562"/>
    <w:rsid w:val="00480564"/>
    <w:rsid w:val="004808B8"/>
    <w:rsid w:val="004809B8"/>
    <w:rsid w:val="00480BC8"/>
    <w:rsid w:val="00480DD9"/>
    <w:rsid w:val="0048119A"/>
    <w:rsid w:val="00481708"/>
    <w:rsid w:val="004817E9"/>
    <w:rsid w:val="00481CFE"/>
    <w:rsid w:val="00481F10"/>
    <w:rsid w:val="004820FA"/>
    <w:rsid w:val="004821B9"/>
    <w:rsid w:val="004824F0"/>
    <w:rsid w:val="00482758"/>
    <w:rsid w:val="00483217"/>
    <w:rsid w:val="0048347E"/>
    <w:rsid w:val="00483A69"/>
    <w:rsid w:val="0048468C"/>
    <w:rsid w:val="00484AA6"/>
    <w:rsid w:val="00484B1C"/>
    <w:rsid w:val="00484C23"/>
    <w:rsid w:val="00484D05"/>
    <w:rsid w:val="00485301"/>
    <w:rsid w:val="00485601"/>
    <w:rsid w:val="00485612"/>
    <w:rsid w:val="00485703"/>
    <w:rsid w:val="00485A0F"/>
    <w:rsid w:val="00485DD4"/>
    <w:rsid w:val="00485F13"/>
    <w:rsid w:val="00486093"/>
    <w:rsid w:val="0048632D"/>
    <w:rsid w:val="00486336"/>
    <w:rsid w:val="00486E2E"/>
    <w:rsid w:val="0048701F"/>
    <w:rsid w:val="00487498"/>
    <w:rsid w:val="00487C91"/>
    <w:rsid w:val="00487D40"/>
    <w:rsid w:val="004902A7"/>
    <w:rsid w:val="00490742"/>
    <w:rsid w:val="004908BF"/>
    <w:rsid w:val="00490A31"/>
    <w:rsid w:val="004910A6"/>
    <w:rsid w:val="00491575"/>
    <w:rsid w:val="004916CB"/>
    <w:rsid w:val="0049183D"/>
    <w:rsid w:val="00491880"/>
    <w:rsid w:val="00491A21"/>
    <w:rsid w:val="00491B15"/>
    <w:rsid w:val="00491D88"/>
    <w:rsid w:val="00491FDF"/>
    <w:rsid w:val="00492271"/>
    <w:rsid w:val="004925BF"/>
    <w:rsid w:val="004926AE"/>
    <w:rsid w:val="004927D8"/>
    <w:rsid w:val="004928BF"/>
    <w:rsid w:val="00493021"/>
    <w:rsid w:val="00493277"/>
    <w:rsid w:val="004935ED"/>
    <w:rsid w:val="00493631"/>
    <w:rsid w:val="00493BE7"/>
    <w:rsid w:val="00494232"/>
    <w:rsid w:val="004942B5"/>
    <w:rsid w:val="004946C9"/>
    <w:rsid w:val="00494708"/>
    <w:rsid w:val="00494E80"/>
    <w:rsid w:val="0049508D"/>
    <w:rsid w:val="00495663"/>
    <w:rsid w:val="004958AC"/>
    <w:rsid w:val="00495FD4"/>
    <w:rsid w:val="0049605C"/>
    <w:rsid w:val="004965C1"/>
    <w:rsid w:val="004965F7"/>
    <w:rsid w:val="00496605"/>
    <w:rsid w:val="004966F6"/>
    <w:rsid w:val="0049687E"/>
    <w:rsid w:val="004969AF"/>
    <w:rsid w:val="00496DA4"/>
    <w:rsid w:val="004970F8"/>
    <w:rsid w:val="00497552"/>
    <w:rsid w:val="004975AD"/>
    <w:rsid w:val="004977C3"/>
    <w:rsid w:val="00497950"/>
    <w:rsid w:val="00497BFA"/>
    <w:rsid w:val="00497FBF"/>
    <w:rsid w:val="004A053D"/>
    <w:rsid w:val="004A06F9"/>
    <w:rsid w:val="004A1635"/>
    <w:rsid w:val="004A1CF5"/>
    <w:rsid w:val="004A1D47"/>
    <w:rsid w:val="004A1FCC"/>
    <w:rsid w:val="004A2565"/>
    <w:rsid w:val="004A2648"/>
    <w:rsid w:val="004A267A"/>
    <w:rsid w:val="004A29BD"/>
    <w:rsid w:val="004A2A40"/>
    <w:rsid w:val="004A2F18"/>
    <w:rsid w:val="004A2FFD"/>
    <w:rsid w:val="004A3183"/>
    <w:rsid w:val="004A325C"/>
    <w:rsid w:val="004A3873"/>
    <w:rsid w:val="004A39C9"/>
    <w:rsid w:val="004A3B78"/>
    <w:rsid w:val="004A4036"/>
    <w:rsid w:val="004A40B0"/>
    <w:rsid w:val="004A41FB"/>
    <w:rsid w:val="004A4309"/>
    <w:rsid w:val="004A46FF"/>
    <w:rsid w:val="004A4A56"/>
    <w:rsid w:val="004A4BF0"/>
    <w:rsid w:val="004A4BFA"/>
    <w:rsid w:val="004A4CBD"/>
    <w:rsid w:val="004A52FB"/>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96D"/>
    <w:rsid w:val="004B0A0A"/>
    <w:rsid w:val="004B0B7E"/>
    <w:rsid w:val="004B0D70"/>
    <w:rsid w:val="004B102D"/>
    <w:rsid w:val="004B1088"/>
    <w:rsid w:val="004B1125"/>
    <w:rsid w:val="004B12F1"/>
    <w:rsid w:val="004B1C4B"/>
    <w:rsid w:val="004B1DA3"/>
    <w:rsid w:val="004B1F04"/>
    <w:rsid w:val="004B208D"/>
    <w:rsid w:val="004B2392"/>
    <w:rsid w:val="004B2722"/>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6BB"/>
    <w:rsid w:val="004B4928"/>
    <w:rsid w:val="004B4A31"/>
    <w:rsid w:val="004B545E"/>
    <w:rsid w:val="004B5A28"/>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7E0"/>
    <w:rsid w:val="004C1CB5"/>
    <w:rsid w:val="004C1FE0"/>
    <w:rsid w:val="004C29CF"/>
    <w:rsid w:val="004C2AE7"/>
    <w:rsid w:val="004C2C94"/>
    <w:rsid w:val="004C2DEE"/>
    <w:rsid w:val="004C30EF"/>
    <w:rsid w:val="004C37DA"/>
    <w:rsid w:val="004C3B79"/>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6A42"/>
    <w:rsid w:val="004C7882"/>
    <w:rsid w:val="004C7986"/>
    <w:rsid w:val="004C7D58"/>
    <w:rsid w:val="004D075D"/>
    <w:rsid w:val="004D07EB"/>
    <w:rsid w:val="004D0A49"/>
    <w:rsid w:val="004D0B88"/>
    <w:rsid w:val="004D0C27"/>
    <w:rsid w:val="004D0D2B"/>
    <w:rsid w:val="004D0DFB"/>
    <w:rsid w:val="004D1AB3"/>
    <w:rsid w:val="004D1C82"/>
    <w:rsid w:val="004D210D"/>
    <w:rsid w:val="004D228F"/>
    <w:rsid w:val="004D254B"/>
    <w:rsid w:val="004D2819"/>
    <w:rsid w:val="004D281A"/>
    <w:rsid w:val="004D2B7A"/>
    <w:rsid w:val="004D2C13"/>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5D3B"/>
    <w:rsid w:val="004D5FAB"/>
    <w:rsid w:val="004D6697"/>
    <w:rsid w:val="004D6797"/>
    <w:rsid w:val="004D693C"/>
    <w:rsid w:val="004D6EF5"/>
    <w:rsid w:val="004D7100"/>
    <w:rsid w:val="004D7660"/>
    <w:rsid w:val="004D76E1"/>
    <w:rsid w:val="004D7E55"/>
    <w:rsid w:val="004D7F18"/>
    <w:rsid w:val="004E094F"/>
    <w:rsid w:val="004E0B48"/>
    <w:rsid w:val="004E10E4"/>
    <w:rsid w:val="004E1357"/>
    <w:rsid w:val="004E186D"/>
    <w:rsid w:val="004E2673"/>
    <w:rsid w:val="004E269F"/>
    <w:rsid w:val="004E2879"/>
    <w:rsid w:val="004E2F96"/>
    <w:rsid w:val="004E2FCF"/>
    <w:rsid w:val="004E3A95"/>
    <w:rsid w:val="004E3B79"/>
    <w:rsid w:val="004E3EF1"/>
    <w:rsid w:val="004E406C"/>
    <w:rsid w:val="004E420A"/>
    <w:rsid w:val="004E4825"/>
    <w:rsid w:val="004E4899"/>
    <w:rsid w:val="004E4AAD"/>
    <w:rsid w:val="004E513E"/>
    <w:rsid w:val="004E55D2"/>
    <w:rsid w:val="004E59E1"/>
    <w:rsid w:val="004E5AAD"/>
    <w:rsid w:val="004E6073"/>
    <w:rsid w:val="004E6318"/>
    <w:rsid w:val="004E6499"/>
    <w:rsid w:val="004E6719"/>
    <w:rsid w:val="004E6B7D"/>
    <w:rsid w:val="004E6DD8"/>
    <w:rsid w:val="004E7076"/>
    <w:rsid w:val="004E7104"/>
    <w:rsid w:val="004E7517"/>
    <w:rsid w:val="004E7519"/>
    <w:rsid w:val="004E75AB"/>
    <w:rsid w:val="004E769A"/>
    <w:rsid w:val="004E795E"/>
    <w:rsid w:val="004E7AEB"/>
    <w:rsid w:val="004E7C01"/>
    <w:rsid w:val="004E7FDB"/>
    <w:rsid w:val="004F03D5"/>
    <w:rsid w:val="004F057B"/>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91F"/>
    <w:rsid w:val="004F4A13"/>
    <w:rsid w:val="004F502A"/>
    <w:rsid w:val="004F53E2"/>
    <w:rsid w:val="004F585C"/>
    <w:rsid w:val="004F58D3"/>
    <w:rsid w:val="004F5CEF"/>
    <w:rsid w:val="004F5D2B"/>
    <w:rsid w:val="004F5F48"/>
    <w:rsid w:val="004F618E"/>
    <w:rsid w:val="004F6230"/>
    <w:rsid w:val="004F628E"/>
    <w:rsid w:val="004F6439"/>
    <w:rsid w:val="004F65C1"/>
    <w:rsid w:val="004F6794"/>
    <w:rsid w:val="004F750C"/>
    <w:rsid w:val="004F7531"/>
    <w:rsid w:val="004F7F2F"/>
    <w:rsid w:val="004F7F99"/>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B9B"/>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8AA"/>
    <w:rsid w:val="00511C48"/>
    <w:rsid w:val="00511CE8"/>
    <w:rsid w:val="00511D3F"/>
    <w:rsid w:val="00511D63"/>
    <w:rsid w:val="00512025"/>
    <w:rsid w:val="00512135"/>
    <w:rsid w:val="005127C1"/>
    <w:rsid w:val="0051299B"/>
    <w:rsid w:val="00512BD8"/>
    <w:rsid w:val="00512CC3"/>
    <w:rsid w:val="0051339F"/>
    <w:rsid w:val="00513553"/>
    <w:rsid w:val="005138B1"/>
    <w:rsid w:val="00513DC7"/>
    <w:rsid w:val="00513E6D"/>
    <w:rsid w:val="00513F21"/>
    <w:rsid w:val="00514161"/>
    <w:rsid w:val="00514559"/>
    <w:rsid w:val="00514685"/>
    <w:rsid w:val="005146B4"/>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17ED3"/>
    <w:rsid w:val="00520091"/>
    <w:rsid w:val="00520495"/>
    <w:rsid w:val="00520498"/>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A7D"/>
    <w:rsid w:val="00524E4E"/>
    <w:rsid w:val="00524FBE"/>
    <w:rsid w:val="00525061"/>
    <w:rsid w:val="00525268"/>
    <w:rsid w:val="00525367"/>
    <w:rsid w:val="005253CA"/>
    <w:rsid w:val="005253FC"/>
    <w:rsid w:val="005256A7"/>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841"/>
    <w:rsid w:val="005279AE"/>
    <w:rsid w:val="00527BBD"/>
    <w:rsid w:val="00527F6D"/>
    <w:rsid w:val="00530736"/>
    <w:rsid w:val="00530C32"/>
    <w:rsid w:val="00530DB1"/>
    <w:rsid w:val="005312A7"/>
    <w:rsid w:val="00531B3F"/>
    <w:rsid w:val="00531FA2"/>
    <w:rsid w:val="005320CB"/>
    <w:rsid w:val="00532494"/>
    <w:rsid w:val="00532B13"/>
    <w:rsid w:val="00532CB2"/>
    <w:rsid w:val="00532D10"/>
    <w:rsid w:val="00533149"/>
    <w:rsid w:val="0053371D"/>
    <w:rsid w:val="005337BB"/>
    <w:rsid w:val="00533B84"/>
    <w:rsid w:val="00534593"/>
    <w:rsid w:val="0053498F"/>
    <w:rsid w:val="00534A1C"/>
    <w:rsid w:val="00534D7D"/>
    <w:rsid w:val="005350DC"/>
    <w:rsid w:val="00535252"/>
    <w:rsid w:val="0053539E"/>
    <w:rsid w:val="0053567D"/>
    <w:rsid w:val="005357E6"/>
    <w:rsid w:val="00535AAD"/>
    <w:rsid w:val="00535C83"/>
    <w:rsid w:val="00535CB4"/>
    <w:rsid w:val="00535DFF"/>
    <w:rsid w:val="00536010"/>
    <w:rsid w:val="0053606A"/>
    <w:rsid w:val="00536237"/>
    <w:rsid w:val="005367AC"/>
    <w:rsid w:val="00536896"/>
    <w:rsid w:val="00536AD5"/>
    <w:rsid w:val="00537146"/>
    <w:rsid w:val="00537904"/>
    <w:rsid w:val="00537A77"/>
    <w:rsid w:val="00537A7E"/>
    <w:rsid w:val="00537C63"/>
    <w:rsid w:val="00540310"/>
    <w:rsid w:val="005408E1"/>
    <w:rsid w:val="00540EB6"/>
    <w:rsid w:val="00540F9D"/>
    <w:rsid w:val="0054154D"/>
    <w:rsid w:val="00541A14"/>
    <w:rsid w:val="00541B77"/>
    <w:rsid w:val="005420F8"/>
    <w:rsid w:val="0054211F"/>
    <w:rsid w:val="005422EE"/>
    <w:rsid w:val="00542D62"/>
    <w:rsid w:val="00542E34"/>
    <w:rsid w:val="00543462"/>
    <w:rsid w:val="00543834"/>
    <w:rsid w:val="005438BB"/>
    <w:rsid w:val="0054390B"/>
    <w:rsid w:val="00543A5B"/>
    <w:rsid w:val="00543F9C"/>
    <w:rsid w:val="00544300"/>
    <w:rsid w:val="00544774"/>
    <w:rsid w:val="00544BF1"/>
    <w:rsid w:val="00545184"/>
    <w:rsid w:val="00545290"/>
    <w:rsid w:val="005459FB"/>
    <w:rsid w:val="00545C42"/>
    <w:rsid w:val="00545D06"/>
    <w:rsid w:val="00545DB7"/>
    <w:rsid w:val="00545DDB"/>
    <w:rsid w:val="00545F2D"/>
    <w:rsid w:val="005461AA"/>
    <w:rsid w:val="005462D0"/>
    <w:rsid w:val="00546AD0"/>
    <w:rsid w:val="00546C79"/>
    <w:rsid w:val="00546D39"/>
    <w:rsid w:val="00546F42"/>
    <w:rsid w:val="00546F85"/>
    <w:rsid w:val="005472F3"/>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095"/>
    <w:rsid w:val="00565333"/>
    <w:rsid w:val="0056574F"/>
    <w:rsid w:val="005658BD"/>
    <w:rsid w:val="005659B6"/>
    <w:rsid w:val="00565AA0"/>
    <w:rsid w:val="00565BB7"/>
    <w:rsid w:val="00565DB9"/>
    <w:rsid w:val="005661C7"/>
    <w:rsid w:val="0056644C"/>
    <w:rsid w:val="005664AE"/>
    <w:rsid w:val="005667BA"/>
    <w:rsid w:val="005669BC"/>
    <w:rsid w:val="00566AD4"/>
    <w:rsid w:val="00566D15"/>
    <w:rsid w:val="00567154"/>
    <w:rsid w:val="00567562"/>
    <w:rsid w:val="005675DF"/>
    <w:rsid w:val="005679ED"/>
    <w:rsid w:val="00567B35"/>
    <w:rsid w:val="00567BDA"/>
    <w:rsid w:val="00567BE3"/>
    <w:rsid w:val="00567DE1"/>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43"/>
    <w:rsid w:val="00577A7F"/>
    <w:rsid w:val="0058013F"/>
    <w:rsid w:val="005801A4"/>
    <w:rsid w:val="00580A06"/>
    <w:rsid w:val="00580E44"/>
    <w:rsid w:val="0058131B"/>
    <w:rsid w:val="005816FA"/>
    <w:rsid w:val="005818C7"/>
    <w:rsid w:val="0058211D"/>
    <w:rsid w:val="0058248A"/>
    <w:rsid w:val="00582501"/>
    <w:rsid w:val="005826EA"/>
    <w:rsid w:val="00582FAD"/>
    <w:rsid w:val="0058358D"/>
    <w:rsid w:val="0058385F"/>
    <w:rsid w:val="00583A33"/>
    <w:rsid w:val="00583DAA"/>
    <w:rsid w:val="00583E24"/>
    <w:rsid w:val="00583F94"/>
    <w:rsid w:val="00583FC9"/>
    <w:rsid w:val="00584435"/>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87EE9"/>
    <w:rsid w:val="0059013D"/>
    <w:rsid w:val="005902E2"/>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C8E"/>
    <w:rsid w:val="00594F1D"/>
    <w:rsid w:val="00594F6F"/>
    <w:rsid w:val="005953AD"/>
    <w:rsid w:val="005956B6"/>
    <w:rsid w:val="005956E3"/>
    <w:rsid w:val="00595894"/>
    <w:rsid w:val="00595996"/>
    <w:rsid w:val="00595AB2"/>
    <w:rsid w:val="00596154"/>
    <w:rsid w:val="005963CC"/>
    <w:rsid w:val="00596841"/>
    <w:rsid w:val="00596861"/>
    <w:rsid w:val="00596C9B"/>
    <w:rsid w:val="00596CF9"/>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680"/>
    <w:rsid w:val="005B3B14"/>
    <w:rsid w:val="005B3C66"/>
    <w:rsid w:val="005B3D11"/>
    <w:rsid w:val="005B411C"/>
    <w:rsid w:val="005B4BA3"/>
    <w:rsid w:val="005B4E4D"/>
    <w:rsid w:val="005B4EE9"/>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B7C9F"/>
    <w:rsid w:val="005C01A8"/>
    <w:rsid w:val="005C06F8"/>
    <w:rsid w:val="005C072C"/>
    <w:rsid w:val="005C0E15"/>
    <w:rsid w:val="005C1023"/>
    <w:rsid w:val="005C1384"/>
    <w:rsid w:val="005C13B2"/>
    <w:rsid w:val="005C17A1"/>
    <w:rsid w:val="005C1815"/>
    <w:rsid w:val="005C1AEC"/>
    <w:rsid w:val="005C1FC1"/>
    <w:rsid w:val="005C276C"/>
    <w:rsid w:val="005C27E3"/>
    <w:rsid w:val="005C33AA"/>
    <w:rsid w:val="005C37CB"/>
    <w:rsid w:val="005C3BE8"/>
    <w:rsid w:val="005C3EF8"/>
    <w:rsid w:val="005C3FE3"/>
    <w:rsid w:val="005C43CC"/>
    <w:rsid w:val="005C459C"/>
    <w:rsid w:val="005C475A"/>
    <w:rsid w:val="005C4E19"/>
    <w:rsid w:val="005C5AB2"/>
    <w:rsid w:val="005C5AD5"/>
    <w:rsid w:val="005C5C95"/>
    <w:rsid w:val="005C614F"/>
    <w:rsid w:val="005C6EF3"/>
    <w:rsid w:val="005C71FB"/>
    <w:rsid w:val="005C74C5"/>
    <w:rsid w:val="005C76CC"/>
    <w:rsid w:val="005C7775"/>
    <w:rsid w:val="005C778A"/>
    <w:rsid w:val="005C7FCF"/>
    <w:rsid w:val="005D02FB"/>
    <w:rsid w:val="005D0EFF"/>
    <w:rsid w:val="005D1457"/>
    <w:rsid w:val="005D14B9"/>
    <w:rsid w:val="005D1A83"/>
    <w:rsid w:val="005D1A9F"/>
    <w:rsid w:val="005D1C71"/>
    <w:rsid w:val="005D1D91"/>
    <w:rsid w:val="005D28CC"/>
    <w:rsid w:val="005D292F"/>
    <w:rsid w:val="005D2986"/>
    <w:rsid w:val="005D2A87"/>
    <w:rsid w:val="005D2F0B"/>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6B4B"/>
    <w:rsid w:val="005D6D99"/>
    <w:rsid w:val="005D7088"/>
    <w:rsid w:val="005D76AE"/>
    <w:rsid w:val="005D76DE"/>
    <w:rsid w:val="005D7713"/>
    <w:rsid w:val="005D777B"/>
    <w:rsid w:val="005D77DE"/>
    <w:rsid w:val="005D7D29"/>
    <w:rsid w:val="005D7EBF"/>
    <w:rsid w:val="005E05A1"/>
    <w:rsid w:val="005E09E4"/>
    <w:rsid w:val="005E0D78"/>
    <w:rsid w:val="005E1726"/>
    <w:rsid w:val="005E235A"/>
    <w:rsid w:val="005E2513"/>
    <w:rsid w:val="005E25C0"/>
    <w:rsid w:val="005E266F"/>
    <w:rsid w:val="005E2BCF"/>
    <w:rsid w:val="005E2FA1"/>
    <w:rsid w:val="005E348B"/>
    <w:rsid w:val="005E38DE"/>
    <w:rsid w:val="005E3A24"/>
    <w:rsid w:val="005E3B4C"/>
    <w:rsid w:val="005E3F34"/>
    <w:rsid w:val="005E421C"/>
    <w:rsid w:val="005E4241"/>
    <w:rsid w:val="005E4D05"/>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F032D"/>
    <w:rsid w:val="005F0616"/>
    <w:rsid w:val="005F0727"/>
    <w:rsid w:val="005F07DC"/>
    <w:rsid w:val="005F0C34"/>
    <w:rsid w:val="005F0EAB"/>
    <w:rsid w:val="005F0FB4"/>
    <w:rsid w:val="005F13BD"/>
    <w:rsid w:val="005F1859"/>
    <w:rsid w:val="005F1A8D"/>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72A"/>
    <w:rsid w:val="005F59E5"/>
    <w:rsid w:val="005F5A0F"/>
    <w:rsid w:val="005F5EDF"/>
    <w:rsid w:val="005F5F45"/>
    <w:rsid w:val="005F6035"/>
    <w:rsid w:val="005F6096"/>
    <w:rsid w:val="005F61C5"/>
    <w:rsid w:val="005F63D8"/>
    <w:rsid w:val="005F64FB"/>
    <w:rsid w:val="005F67EC"/>
    <w:rsid w:val="005F6A3F"/>
    <w:rsid w:val="005F6BBB"/>
    <w:rsid w:val="005F6C45"/>
    <w:rsid w:val="005F71EC"/>
    <w:rsid w:val="005F77DC"/>
    <w:rsid w:val="005F789F"/>
    <w:rsid w:val="005F78DB"/>
    <w:rsid w:val="005F78FC"/>
    <w:rsid w:val="006000CD"/>
    <w:rsid w:val="006000FB"/>
    <w:rsid w:val="00600265"/>
    <w:rsid w:val="006006E4"/>
    <w:rsid w:val="00600754"/>
    <w:rsid w:val="00600D88"/>
    <w:rsid w:val="0060119A"/>
    <w:rsid w:val="006022C1"/>
    <w:rsid w:val="006022D0"/>
    <w:rsid w:val="0060251E"/>
    <w:rsid w:val="00602905"/>
    <w:rsid w:val="00602A68"/>
    <w:rsid w:val="00602C95"/>
    <w:rsid w:val="00602DDE"/>
    <w:rsid w:val="00602E0C"/>
    <w:rsid w:val="0060339B"/>
    <w:rsid w:val="006034DC"/>
    <w:rsid w:val="00603552"/>
    <w:rsid w:val="00603CF0"/>
    <w:rsid w:val="00604335"/>
    <w:rsid w:val="006046E4"/>
    <w:rsid w:val="00604BC5"/>
    <w:rsid w:val="00604D85"/>
    <w:rsid w:val="00605037"/>
    <w:rsid w:val="0060577C"/>
    <w:rsid w:val="006058B4"/>
    <w:rsid w:val="006059B6"/>
    <w:rsid w:val="00605E04"/>
    <w:rsid w:val="00605E0D"/>
    <w:rsid w:val="00605FFE"/>
    <w:rsid w:val="006063F2"/>
    <w:rsid w:val="0060650C"/>
    <w:rsid w:val="00606525"/>
    <w:rsid w:val="00606B37"/>
    <w:rsid w:val="00606FF6"/>
    <w:rsid w:val="00607252"/>
    <w:rsid w:val="00607624"/>
    <w:rsid w:val="00607C2E"/>
    <w:rsid w:val="00607C54"/>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52D6"/>
    <w:rsid w:val="006154EE"/>
    <w:rsid w:val="00615686"/>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CB4"/>
    <w:rsid w:val="00617F79"/>
    <w:rsid w:val="00620231"/>
    <w:rsid w:val="006207B2"/>
    <w:rsid w:val="006207ED"/>
    <w:rsid w:val="00620AFF"/>
    <w:rsid w:val="00620B98"/>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39FD"/>
    <w:rsid w:val="006240FF"/>
    <w:rsid w:val="0062416C"/>
    <w:rsid w:val="006241BC"/>
    <w:rsid w:val="00624470"/>
    <w:rsid w:val="00624510"/>
    <w:rsid w:val="006246F3"/>
    <w:rsid w:val="0062488E"/>
    <w:rsid w:val="006249B1"/>
    <w:rsid w:val="00624CAC"/>
    <w:rsid w:val="00624F4E"/>
    <w:rsid w:val="00624F7C"/>
    <w:rsid w:val="006253B7"/>
    <w:rsid w:val="006257E4"/>
    <w:rsid w:val="00625C1A"/>
    <w:rsid w:val="00625C77"/>
    <w:rsid w:val="00625CE5"/>
    <w:rsid w:val="00625EE9"/>
    <w:rsid w:val="00625EF5"/>
    <w:rsid w:val="00626071"/>
    <w:rsid w:val="00626216"/>
    <w:rsid w:val="00626652"/>
    <w:rsid w:val="006267E9"/>
    <w:rsid w:val="00626905"/>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37F64"/>
    <w:rsid w:val="00640576"/>
    <w:rsid w:val="0064059A"/>
    <w:rsid w:val="00640962"/>
    <w:rsid w:val="00640A2E"/>
    <w:rsid w:val="00640AC5"/>
    <w:rsid w:val="0064126C"/>
    <w:rsid w:val="006413AA"/>
    <w:rsid w:val="006416D2"/>
    <w:rsid w:val="00641A83"/>
    <w:rsid w:val="00641D62"/>
    <w:rsid w:val="00641D96"/>
    <w:rsid w:val="006423AA"/>
    <w:rsid w:val="006425CA"/>
    <w:rsid w:val="0064278C"/>
    <w:rsid w:val="00642B48"/>
    <w:rsid w:val="00642E37"/>
    <w:rsid w:val="00642F08"/>
    <w:rsid w:val="0064319B"/>
    <w:rsid w:val="00643312"/>
    <w:rsid w:val="00643AF4"/>
    <w:rsid w:val="00643E35"/>
    <w:rsid w:val="00644178"/>
    <w:rsid w:val="006441F6"/>
    <w:rsid w:val="0064422A"/>
    <w:rsid w:val="00644A7B"/>
    <w:rsid w:val="00644B8F"/>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980"/>
    <w:rsid w:val="00647A7F"/>
    <w:rsid w:val="00647E22"/>
    <w:rsid w:val="00650941"/>
    <w:rsid w:val="00650C28"/>
    <w:rsid w:val="00650E6D"/>
    <w:rsid w:val="006510C1"/>
    <w:rsid w:val="006510CE"/>
    <w:rsid w:val="006512D6"/>
    <w:rsid w:val="00651812"/>
    <w:rsid w:val="0065196B"/>
    <w:rsid w:val="00651BBB"/>
    <w:rsid w:val="00651C59"/>
    <w:rsid w:val="00651D74"/>
    <w:rsid w:val="006522A8"/>
    <w:rsid w:val="00652880"/>
    <w:rsid w:val="00652994"/>
    <w:rsid w:val="00652C3A"/>
    <w:rsid w:val="00652DB7"/>
    <w:rsid w:val="00652FCE"/>
    <w:rsid w:val="0065394F"/>
    <w:rsid w:val="00653B1B"/>
    <w:rsid w:val="00653E23"/>
    <w:rsid w:val="006541F5"/>
    <w:rsid w:val="006543BA"/>
    <w:rsid w:val="00654926"/>
    <w:rsid w:val="00654D72"/>
    <w:rsid w:val="006553F3"/>
    <w:rsid w:val="006556B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2D"/>
    <w:rsid w:val="006600DB"/>
    <w:rsid w:val="00660325"/>
    <w:rsid w:val="00660596"/>
    <w:rsid w:val="006613C0"/>
    <w:rsid w:val="0066194E"/>
    <w:rsid w:val="00661C46"/>
    <w:rsid w:val="0066202F"/>
    <w:rsid w:val="006622A8"/>
    <w:rsid w:val="006626BE"/>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504E"/>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E3C"/>
    <w:rsid w:val="0068025E"/>
    <w:rsid w:val="0068051B"/>
    <w:rsid w:val="006805D9"/>
    <w:rsid w:val="00680912"/>
    <w:rsid w:val="00680E8B"/>
    <w:rsid w:val="0068150F"/>
    <w:rsid w:val="006816A9"/>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5FD"/>
    <w:rsid w:val="0068491F"/>
    <w:rsid w:val="00684F4C"/>
    <w:rsid w:val="006851A2"/>
    <w:rsid w:val="0068563E"/>
    <w:rsid w:val="00685DE4"/>
    <w:rsid w:val="00686118"/>
    <w:rsid w:val="006861C0"/>
    <w:rsid w:val="00686596"/>
    <w:rsid w:val="00686CC2"/>
    <w:rsid w:val="00686F00"/>
    <w:rsid w:val="00687138"/>
    <w:rsid w:val="00687C97"/>
    <w:rsid w:val="00687D5A"/>
    <w:rsid w:val="00690324"/>
    <w:rsid w:val="006904C2"/>
    <w:rsid w:val="006904DD"/>
    <w:rsid w:val="00690524"/>
    <w:rsid w:val="00690E71"/>
    <w:rsid w:val="006911C8"/>
    <w:rsid w:val="00691459"/>
    <w:rsid w:val="006915CA"/>
    <w:rsid w:val="00692D12"/>
    <w:rsid w:val="00693137"/>
    <w:rsid w:val="00693531"/>
    <w:rsid w:val="00693842"/>
    <w:rsid w:val="00693888"/>
    <w:rsid w:val="00693C87"/>
    <w:rsid w:val="00693D3E"/>
    <w:rsid w:val="00694027"/>
    <w:rsid w:val="0069457A"/>
    <w:rsid w:val="006949A7"/>
    <w:rsid w:val="00694B53"/>
    <w:rsid w:val="00694B65"/>
    <w:rsid w:val="00694C69"/>
    <w:rsid w:val="00694D53"/>
    <w:rsid w:val="00694E58"/>
    <w:rsid w:val="00694FD4"/>
    <w:rsid w:val="006951CE"/>
    <w:rsid w:val="006951E5"/>
    <w:rsid w:val="006951FF"/>
    <w:rsid w:val="00695B5A"/>
    <w:rsid w:val="00695D1E"/>
    <w:rsid w:val="00695DBB"/>
    <w:rsid w:val="00695FCA"/>
    <w:rsid w:val="00696335"/>
    <w:rsid w:val="00696A4D"/>
    <w:rsid w:val="00696C70"/>
    <w:rsid w:val="00697608"/>
    <w:rsid w:val="00697AC9"/>
    <w:rsid w:val="00697D19"/>
    <w:rsid w:val="006A0052"/>
    <w:rsid w:val="006A012D"/>
    <w:rsid w:val="006A05C7"/>
    <w:rsid w:val="006A08CA"/>
    <w:rsid w:val="006A0E43"/>
    <w:rsid w:val="006A102D"/>
    <w:rsid w:val="006A11E4"/>
    <w:rsid w:val="006A15CF"/>
    <w:rsid w:val="006A16F0"/>
    <w:rsid w:val="006A20A4"/>
    <w:rsid w:val="006A29FF"/>
    <w:rsid w:val="006A2AB9"/>
    <w:rsid w:val="006A2CF1"/>
    <w:rsid w:val="006A2DB4"/>
    <w:rsid w:val="006A350E"/>
    <w:rsid w:val="006A414D"/>
    <w:rsid w:val="006A41F8"/>
    <w:rsid w:val="006A4213"/>
    <w:rsid w:val="006A42A5"/>
    <w:rsid w:val="006A451E"/>
    <w:rsid w:val="006A45BB"/>
    <w:rsid w:val="006A4CEA"/>
    <w:rsid w:val="006A4E52"/>
    <w:rsid w:val="006A4FC8"/>
    <w:rsid w:val="006A50F1"/>
    <w:rsid w:val="006A517B"/>
    <w:rsid w:val="006A55E1"/>
    <w:rsid w:val="006A603D"/>
    <w:rsid w:val="006A607B"/>
    <w:rsid w:val="006A61EC"/>
    <w:rsid w:val="006A6296"/>
    <w:rsid w:val="006A6E27"/>
    <w:rsid w:val="006A6EAC"/>
    <w:rsid w:val="006A6FB8"/>
    <w:rsid w:val="006A70ED"/>
    <w:rsid w:val="006A726B"/>
    <w:rsid w:val="006A72B0"/>
    <w:rsid w:val="006A74E5"/>
    <w:rsid w:val="006A7AB4"/>
    <w:rsid w:val="006B02C4"/>
    <w:rsid w:val="006B04FE"/>
    <w:rsid w:val="006B05D4"/>
    <w:rsid w:val="006B075C"/>
    <w:rsid w:val="006B0856"/>
    <w:rsid w:val="006B0894"/>
    <w:rsid w:val="006B0932"/>
    <w:rsid w:val="006B18C5"/>
    <w:rsid w:val="006B1932"/>
    <w:rsid w:val="006B1B85"/>
    <w:rsid w:val="006B1F47"/>
    <w:rsid w:val="006B1FDA"/>
    <w:rsid w:val="006B36AE"/>
    <w:rsid w:val="006B3980"/>
    <w:rsid w:val="006B3E4D"/>
    <w:rsid w:val="006B417B"/>
    <w:rsid w:val="006B4449"/>
    <w:rsid w:val="006B46E7"/>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0DFA"/>
    <w:rsid w:val="006C132E"/>
    <w:rsid w:val="006C13A3"/>
    <w:rsid w:val="006C157B"/>
    <w:rsid w:val="006C1822"/>
    <w:rsid w:val="006C21F1"/>
    <w:rsid w:val="006C2ABA"/>
    <w:rsid w:val="006C2B59"/>
    <w:rsid w:val="006C2C86"/>
    <w:rsid w:val="006C2C8B"/>
    <w:rsid w:val="006C2D1A"/>
    <w:rsid w:val="006C3218"/>
    <w:rsid w:val="006C34A1"/>
    <w:rsid w:val="006C3686"/>
    <w:rsid w:val="006C38EF"/>
    <w:rsid w:val="006C3BCF"/>
    <w:rsid w:val="006C3BEF"/>
    <w:rsid w:val="006C3C80"/>
    <w:rsid w:val="006C3EBC"/>
    <w:rsid w:val="006C4043"/>
    <w:rsid w:val="006C41C1"/>
    <w:rsid w:val="006C41ED"/>
    <w:rsid w:val="006C42A1"/>
    <w:rsid w:val="006C43FB"/>
    <w:rsid w:val="006C4950"/>
    <w:rsid w:val="006C49AF"/>
    <w:rsid w:val="006C4F0A"/>
    <w:rsid w:val="006C5259"/>
    <w:rsid w:val="006C52B9"/>
    <w:rsid w:val="006C559A"/>
    <w:rsid w:val="006C58E3"/>
    <w:rsid w:val="006C5A8D"/>
    <w:rsid w:val="006C5CDD"/>
    <w:rsid w:val="006C5D0C"/>
    <w:rsid w:val="006C6346"/>
    <w:rsid w:val="006C6B24"/>
    <w:rsid w:val="006C6ED1"/>
    <w:rsid w:val="006C6F68"/>
    <w:rsid w:val="006C748E"/>
    <w:rsid w:val="006C7FB8"/>
    <w:rsid w:val="006C7FF1"/>
    <w:rsid w:val="006D01D6"/>
    <w:rsid w:val="006D02AA"/>
    <w:rsid w:val="006D0F89"/>
    <w:rsid w:val="006D1A50"/>
    <w:rsid w:val="006D1DFE"/>
    <w:rsid w:val="006D20A4"/>
    <w:rsid w:val="006D2560"/>
    <w:rsid w:val="006D328B"/>
    <w:rsid w:val="006D3620"/>
    <w:rsid w:val="006D41CE"/>
    <w:rsid w:val="006D460E"/>
    <w:rsid w:val="006D472A"/>
    <w:rsid w:val="006D476D"/>
    <w:rsid w:val="006D4CA2"/>
    <w:rsid w:val="006D4EE5"/>
    <w:rsid w:val="006D50F6"/>
    <w:rsid w:val="006D5176"/>
    <w:rsid w:val="006D5201"/>
    <w:rsid w:val="006D5313"/>
    <w:rsid w:val="006D535C"/>
    <w:rsid w:val="006D5510"/>
    <w:rsid w:val="006D55C0"/>
    <w:rsid w:val="006D5820"/>
    <w:rsid w:val="006D5886"/>
    <w:rsid w:val="006D5F9A"/>
    <w:rsid w:val="006D668C"/>
    <w:rsid w:val="006D6703"/>
    <w:rsid w:val="006D6944"/>
    <w:rsid w:val="006D6989"/>
    <w:rsid w:val="006D6F24"/>
    <w:rsid w:val="006D74ED"/>
    <w:rsid w:val="006D78EB"/>
    <w:rsid w:val="006D7C6D"/>
    <w:rsid w:val="006D7F5B"/>
    <w:rsid w:val="006E058C"/>
    <w:rsid w:val="006E0922"/>
    <w:rsid w:val="006E0B0D"/>
    <w:rsid w:val="006E0ED9"/>
    <w:rsid w:val="006E0EF4"/>
    <w:rsid w:val="006E0F5D"/>
    <w:rsid w:val="006E0FA4"/>
    <w:rsid w:val="006E13A6"/>
    <w:rsid w:val="006E13C3"/>
    <w:rsid w:val="006E1629"/>
    <w:rsid w:val="006E16D5"/>
    <w:rsid w:val="006E16F2"/>
    <w:rsid w:val="006E2008"/>
    <w:rsid w:val="006E2427"/>
    <w:rsid w:val="006E2429"/>
    <w:rsid w:val="006E2656"/>
    <w:rsid w:val="006E2821"/>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D74"/>
    <w:rsid w:val="006E5DDC"/>
    <w:rsid w:val="006E5F40"/>
    <w:rsid w:val="006E5F44"/>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0C3D"/>
    <w:rsid w:val="006F1024"/>
    <w:rsid w:val="006F129F"/>
    <w:rsid w:val="006F13E0"/>
    <w:rsid w:val="006F1488"/>
    <w:rsid w:val="006F1C2B"/>
    <w:rsid w:val="006F1F36"/>
    <w:rsid w:val="006F26B4"/>
    <w:rsid w:val="006F2A0D"/>
    <w:rsid w:val="006F2D0A"/>
    <w:rsid w:val="006F2D32"/>
    <w:rsid w:val="006F2D7F"/>
    <w:rsid w:val="006F319D"/>
    <w:rsid w:val="006F32EA"/>
    <w:rsid w:val="006F3549"/>
    <w:rsid w:val="006F3ABE"/>
    <w:rsid w:val="006F3C1F"/>
    <w:rsid w:val="006F41F0"/>
    <w:rsid w:val="006F45A4"/>
    <w:rsid w:val="006F474D"/>
    <w:rsid w:val="006F4C65"/>
    <w:rsid w:val="006F4CC9"/>
    <w:rsid w:val="006F4FB4"/>
    <w:rsid w:val="006F5A7C"/>
    <w:rsid w:val="006F5CC2"/>
    <w:rsid w:val="006F6303"/>
    <w:rsid w:val="006F6316"/>
    <w:rsid w:val="006F65A2"/>
    <w:rsid w:val="006F6885"/>
    <w:rsid w:val="006F6C31"/>
    <w:rsid w:val="006F74B5"/>
    <w:rsid w:val="006F763E"/>
    <w:rsid w:val="006F7A56"/>
    <w:rsid w:val="006F7DEF"/>
    <w:rsid w:val="00700048"/>
    <w:rsid w:val="00700127"/>
    <w:rsid w:val="00700CF2"/>
    <w:rsid w:val="00700F78"/>
    <w:rsid w:val="007011CC"/>
    <w:rsid w:val="007012D2"/>
    <w:rsid w:val="0070150E"/>
    <w:rsid w:val="007016DD"/>
    <w:rsid w:val="00701735"/>
    <w:rsid w:val="00701CC3"/>
    <w:rsid w:val="007020C1"/>
    <w:rsid w:val="00702381"/>
    <w:rsid w:val="007024FB"/>
    <w:rsid w:val="00702577"/>
    <w:rsid w:val="00702F8D"/>
    <w:rsid w:val="00703238"/>
    <w:rsid w:val="00703253"/>
    <w:rsid w:val="007032EF"/>
    <w:rsid w:val="00703F05"/>
    <w:rsid w:val="007043D6"/>
    <w:rsid w:val="00704788"/>
    <w:rsid w:val="00704C5B"/>
    <w:rsid w:val="00705212"/>
    <w:rsid w:val="007054F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278"/>
    <w:rsid w:val="00710349"/>
    <w:rsid w:val="0071035A"/>
    <w:rsid w:val="0071049B"/>
    <w:rsid w:val="00710CE4"/>
    <w:rsid w:val="00710E62"/>
    <w:rsid w:val="00711412"/>
    <w:rsid w:val="00711738"/>
    <w:rsid w:val="0071179B"/>
    <w:rsid w:val="00711C71"/>
    <w:rsid w:val="00711D57"/>
    <w:rsid w:val="00712ACA"/>
    <w:rsid w:val="00713225"/>
    <w:rsid w:val="00713AD3"/>
    <w:rsid w:val="00713B79"/>
    <w:rsid w:val="00713BB3"/>
    <w:rsid w:val="007140E8"/>
    <w:rsid w:val="007141F4"/>
    <w:rsid w:val="00714972"/>
    <w:rsid w:val="00714AE6"/>
    <w:rsid w:val="00714F97"/>
    <w:rsid w:val="007151F4"/>
    <w:rsid w:val="0071529D"/>
    <w:rsid w:val="0071548F"/>
    <w:rsid w:val="00715751"/>
    <w:rsid w:val="00715F7B"/>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41BE"/>
    <w:rsid w:val="00724786"/>
    <w:rsid w:val="00724FCB"/>
    <w:rsid w:val="0072512A"/>
    <w:rsid w:val="00725356"/>
    <w:rsid w:val="00725966"/>
    <w:rsid w:val="007260AF"/>
    <w:rsid w:val="007261CF"/>
    <w:rsid w:val="00726384"/>
    <w:rsid w:val="007264B1"/>
    <w:rsid w:val="00726C80"/>
    <w:rsid w:val="00726F11"/>
    <w:rsid w:val="00726FDC"/>
    <w:rsid w:val="00727529"/>
    <w:rsid w:val="00727930"/>
    <w:rsid w:val="00727AAD"/>
    <w:rsid w:val="0073072C"/>
    <w:rsid w:val="0073130B"/>
    <w:rsid w:val="00731769"/>
    <w:rsid w:val="007319F8"/>
    <w:rsid w:val="00731E52"/>
    <w:rsid w:val="00731EE6"/>
    <w:rsid w:val="00732063"/>
    <w:rsid w:val="0073211A"/>
    <w:rsid w:val="0073271E"/>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BFB"/>
    <w:rsid w:val="00737E19"/>
    <w:rsid w:val="00737F87"/>
    <w:rsid w:val="00740368"/>
    <w:rsid w:val="00740410"/>
    <w:rsid w:val="00740A71"/>
    <w:rsid w:val="00740E94"/>
    <w:rsid w:val="00740FA6"/>
    <w:rsid w:val="00741167"/>
    <w:rsid w:val="0074146C"/>
    <w:rsid w:val="00741A31"/>
    <w:rsid w:val="00741F79"/>
    <w:rsid w:val="007420C7"/>
    <w:rsid w:val="0074223A"/>
    <w:rsid w:val="00742532"/>
    <w:rsid w:val="00742648"/>
    <w:rsid w:val="00743047"/>
    <w:rsid w:val="007439CC"/>
    <w:rsid w:val="00743CAC"/>
    <w:rsid w:val="00743CC3"/>
    <w:rsid w:val="00743E88"/>
    <w:rsid w:val="00743F25"/>
    <w:rsid w:val="00744015"/>
    <w:rsid w:val="00744041"/>
    <w:rsid w:val="00744062"/>
    <w:rsid w:val="0074436B"/>
    <w:rsid w:val="00744E10"/>
    <w:rsid w:val="007450A5"/>
    <w:rsid w:val="007453BE"/>
    <w:rsid w:val="007453E9"/>
    <w:rsid w:val="007458D5"/>
    <w:rsid w:val="00745C92"/>
    <w:rsid w:val="00746039"/>
    <w:rsid w:val="007460DA"/>
    <w:rsid w:val="0074658A"/>
    <w:rsid w:val="0074692F"/>
    <w:rsid w:val="00746977"/>
    <w:rsid w:val="00747126"/>
    <w:rsid w:val="007476A0"/>
    <w:rsid w:val="007477C5"/>
    <w:rsid w:val="0074792C"/>
    <w:rsid w:val="00747938"/>
    <w:rsid w:val="00747FBD"/>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6A7B"/>
    <w:rsid w:val="00756CCC"/>
    <w:rsid w:val="00757035"/>
    <w:rsid w:val="00757186"/>
    <w:rsid w:val="007578E1"/>
    <w:rsid w:val="00757A6A"/>
    <w:rsid w:val="00757CF3"/>
    <w:rsid w:val="0076006D"/>
    <w:rsid w:val="007606C7"/>
    <w:rsid w:val="00760768"/>
    <w:rsid w:val="00760AA7"/>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347"/>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5ED0"/>
    <w:rsid w:val="0077629F"/>
    <w:rsid w:val="0077645D"/>
    <w:rsid w:val="00776542"/>
    <w:rsid w:val="00776749"/>
    <w:rsid w:val="00776E2E"/>
    <w:rsid w:val="00777442"/>
    <w:rsid w:val="00777451"/>
    <w:rsid w:val="0077791A"/>
    <w:rsid w:val="007779A3"/>
    <w:rsid w:val="00777ADC"/>
    <w:rsid w:val="007802E7"/>
    <w:rsid w:val="00780B1A"/>
    <w:rsid w:val="00780D45"/>
    <w:rsid w:val="00780F3F"/>
    <w:rsid w:val="007812E7"/>
    <w:rsid w:val="00781315"/>
    <w:rsid w:val="0078159F"/>
    <w:rsid w:val="007819ED"/>
    <w:rsid w:val="00781A97"/>
    <w:rsid w:val="00781E7D"/>
    <w:rsid w:val="00782065"/>
    <w:rsid w:val="00782419"/>
    <w:rsid w:val="007824BC"/>
    <w:rsid w:val="00782D2D"/>
    <w:rsid w:val="00782DFC"/>
    <w:rsid w:val="00782EC4"/>
    <w:rsid w:val="00782EEE"/>
    <w:rsid w:val="00783153"/>
    <w:rsid w:val="00783A74"/>
    <w:rsid w:val="00783AE5"/>
    <w:rsid w:val="00784B98"/>
    <w:rsid w:val="0078539C"/>
    <w:rsid w:val="00785777"/>
    <w:rsid w:val="007857DC"/>
    <w:rsid w:val="00785AEF"/>
    <w:rsid w:val="00785C83"/>
    <w:rsid w:val="00785F60"/>
    <w:rsid w:val="007864DA"/>
    <w:rsid w:val="00786ED8"/>
    <w:rsid w:val="00787491"/>
    <w:rsid w:val="0078759B"/>
    <w:rsid w:val="007875D7"/>
    <w:rsid w:val="00787807"/>
    <w:rsid w:val="00787A15"/>
    <w:rsid w:val="00787CF3"/>
    <w:rsid w:val="00787D20"/>
    <w:rsid w:val="00787FD1"/>
    <w:rsid w:val="0079001F"/>
    <w:rsid w:val="00790362"/>
    <w:rsid w:val="007904EA"/>
    <w:rsid w:val="0079065C"/>
    <w:rsid w:val="007906A9"/>
    <w:rsid w:val="00790767"/>
    <w:rsid w:val="00790A3B"/>
    <w:rsid w:val="00790B5F"/>
    <w:rsid w:val="0079108A"/>
    <w:rsid w:val="007911B6"/>
    <w:rsid w:val="00791433"/>
    <w:rsid w:val="00791BF5"/>
    <w:rsid w:val="00792061"/>
    <w:rsid w:val="007920BB"/>
    <w:rsid w:val="007920FE"/>
    <w:rsid w:val="00792431"/>
    <w:rsid w:val="007930B7"/>
    <w:rsid w:val="00793237"/>
    <w:rsid w:val="00793541"/>
    <w:rsid w:val="0079366E"/>
    <w:rsid w:val="007946AA"/>
    <w:rsid w:val="00794997"/>
    <w:rsid w:val="00794D41"/>
    <w:rsid w:val="00794E6A"/>
    <w:rsid w:val="00794F5F"/>
    <w:rsid w:val="007953AE"/>
    <w:rsid w:val="007954CF"/>
    <w:rsid w:val="00795730"/>
    <w:rsid w:val="007958E5"/>
    <w:rsid w:val="00795DF5"/>
    <w:rsid w:val="00795E2E"/>
    <w:rsid w:val="007964E5"/>
    <w:rsid w:val="0079691E"/>
    <w:rsid w:val="007969E4"/>
    <w:rsid w:val="00796CD0"/>
    <w:rsid w:val="00796E5B"/>
    <w:rsid w:val="00796E96"/>
    <w:rsid w:val="00797093"/>
    <w:rsid w:val="007970C0"/>
    <w:rsid w:val="0079776F"/>
    <w:rsid w:val="007978F4"/>
    <w:rsid w:val="00797CD7"/>
    <w:rsid w:val="007A0003"/>
    <w:rsid w:val="007A0131"/>
    <w:rsid w:val="007A0395"/>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B53"/>
    <w:rsid w:val="007A2CCB"/>
    <w:rsid w:val="007A2DB0"/>
    <w:rsid w:val="007A2E83"/>
    <w:rsid w:val="007A332C"/>
    <w:rsid w:val="007A35AC"/>
    <w:rsid w:val="007A3B9A"/>
    <w:rsid w:val="007A3FC1"/>
    <w:rsid w:val="007A4094"/>
    <w:rsid w:val="007A4171"/>
    <w:rsid w:val="007A41A1"/>
    <w:rsid w:val="007A41B9"/>
    <w:rsid w:val="007A4377"/>
    <w:rsid w:val="007A4637"/>
    <w:rsid w:val="007A48CA"/>
    <w:rsid w:val="007A4AB2"/>
    <w:rsid w:val="007A4E13"/>
    <w:rsid w:val="007A58DD"/>
    <w:rsid w:val="007A5A78"/>
    <w:rsid w:val="007A5E68"/>
    <w:rsid w:val="007A602B"/>
    <w:rsid w:val="007A63C9"/>
    <w:rsid w:val="007A64DE"/>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54A"/>
    <w:rsid w:val="007B45DE"/>
    <w:rsid w:val="007B46A6"/>
    <w:rsid w:val="007B4A59"/>
    <w:rsid w:val="007B4D42"/>
    <w:rsid w:val="007B4FD1"/>
    <w:rsid w:val="007B51AA"/>
    <w:rsid w:val="007B5502"/>
    <w:rsid w:val="007B577C"/>
    <w:rsid w:val="007B598C"/>
    <w:rsid w:val="007B5A2F"/>
    <w:rsid w:val="007B5B27"/>
    <w:rsid w:val="007B5B32"/>
    <w:rsid w:val="007B5C75"/>
    <w:rsid w:val="007B610F"/>
    <w:rsid w:val="007B629E"/>
    <w:rsid w:val="007B63CF"/>
    <w:rsid w:val="007B69D8"/>
    <w:rsid w:val="007B6AEE"/>
    <w:rsid w:val="007B6F53"/>
    <w:rsid w:val="007B713D"/>
    <w:rsid w:val="007B745C"/>
    <w:rsid w:val="007B7472"/>
    <w:rsid w:val="007B7573"/>
    <w:rsid w:val="007B7A13"/>
    <w:rsid w:val="007B7AAB"/>
    <w:rsid w:val="007C03BB"/>
    <w:rsid w:val="007C06B2"/>
    <w:rsid w:val="007C124F"/>
    <w:rsid w:val="007C1D9D"/>
    <w:rsid w:val="007C223B"/>
    <w:rsid w:val="007C229C"/>
    <w:rsid w:val="007C2430"/>
    <w:rsid w:val="007C28CF"/>
    <w:rsid w:val="007C2941"/>
    <w:rsid w:val="007C29D7"/>
    <w:rsid w:val="007C2A9E"/>
    <w:rsid w:val="007C2FC6"/>
    <w:rsid w:val="007C3215"/>
    <w:rsid w:val="007C34DE"/>
    <w:rsid w:val="007C38B5"/>
    <w:rsid w:val="007C404B"/>
    <w:rsid w:val="007C4077"/>
    <w:rsid w:val="007C4187"/>
    <w:rsid w:val="007C41A0"/>
    <w:rsid w:val="007C4A68"/>
    <w:rsid w:val="007C4BAE"/>
    <w:rsid w:val="007C4BEE"/>
    <w:rsid w:val="007C4D64"/>
    <w:rsid w:val="007C4EF0"/>
    <w:rsid w:val="007C4FAE"/>
    <w:rsid w:val="007C5BA9"/>
    <w:rsid w:val="007C62AC"/>
    <w:rsid w:val="007C667A"/>
    <w:rsid w:val="007C6828"/>
    <w:rsid w:val="007C6A89"/>
    <w:rsid w:val="007C6D50"/>
    <w:rsid w:val="007C6F2E"/>
    <w:rsid w:val="007C73CF"/>
    <w:rsid w:val="007C764E"/>
    <w:rsid w:val="007C77C5"/>
    <w:rsid w:val="007C7E37"/>
    <w:rsid w:val="007D01AF"/>
    <w:rsid w:val="007D039C"/>
    <w:rsid w:val="007D044C"/>
    <w:rsid w:val="007D10C8"/>
    <w:rsid w:val="007D1269"/>
    <w:rsid w:val="007D1406"/>
    <w:rsid w:val="007D192F"/>
    <w:rsid w:val="007D1CE2"/>
    <w:rsid w:val="007D1D3B"/>
    <w:rsid w:val="007D1DF0"/>
    <w:rsid w:val="007D20B0"/>
    <w:rsid w:val="007D24CF"/>
    <w:rsid w:val="007D2A15"/>
    <w:rsid w:val="007D3165"/>
    <w:rsid w:val="007D31C1"/>
    <w:rsid w:val="007D32B3"/>
    <w:rsid w:val="007D3560"/>
    <w:rsid w:val="007D3DF2"/>
    <w:rsid w:val="007D4068"/>
    <w:rsid w:val="007D41C3"/>
    <w:rsid w:val="007D4284"/>
    <w:rsid w:val="007D4621"/>
    <w:rsid w:val="007D47A8"/>
    <w:rsid w:val="007D4982"/>
    <w:rsid w:val="007D4D87"/>
    <w:rsid w:val="007D4E55"/>
    <w:rsid w:val="007D54A2"/>
    <w:rsid w:val="007D550D"/>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1883"/>
    <w:rsid w:val="007E2B82"/>
    <w:rsid w:val="007E2DD3"/>
    <w:rsid w:val="007E2F9E"/>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8"/>
    <w:rsid w:val="007E6447"/>
    <w:rsid w:val="007E6484"/>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5287"/>
    <w:rsid w:val="007F5799"/>
    <w:rsid w:val="007F5A11"/>
    <w:rsid w:val="007F5BF1"/>
    <w:rsid w:val="007F62F3"/>
    <w:rsid w:val="007F651C"/>
    <w:rsid w:val="007F66F4"/>
    <w:rsid w:val="007F68DC"/>
    <w:rsid w:val="007F68DF"/>
    <w:rsid w:val="007F6B28"/>
    <w:rsid w:val="007F6D6C"/>
    <w:rsid w:val="007F70B9"/>
    <w:rsid w:val="007F7137"/>
    <w:rsid w:val="007F7679"/>
    <w:rsid w:val="007F7A75"/>
    <w:rsid w:val="007F7C48"/>
    <w:rsid w:val="007F7ECC"/>
    <w:rsid w:val="0080006E"/>
    <w:rsid w:val="008001AC"/>
    <w:rsid w:val="00800462"/>
    <w:rsid w:val="0080048C"/>
    <w:rsid w:val="00800E62"/>
    <w:rsid w:val="00800F35"/>
    <w:rsid w:val="008010D7"/>
    <w:rsid w:val="0080128D"/>
    <w:rsid w:val="0080147D"/>
    <w:rsid w:val="008016CA"/>
    <w:rsid w:val="008017B6"/>
    <w:rsid w:val="00801DB0"/>
    <w:rsid w:val="00802A52"/>
    <w:rsid w:val="00802A65"/>
    <w:rsid w:val="00802DF1"/>
    <w:rsid w:val="008030EB"/>
    <w:rsid w:val="00803432"/>
    <w:rsid w:val="00803443"/>
    <w:rsid w:val="008036C0"/>
    <w:rsid w:val="00803F2E"/>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F10"/>
    <w:rsid w:val="00810139"/>
    <w:rsid w:val="00810552"/>
    <w:rsid w:val="008105B3"/>
    <w:rsid w:val="008111CF"/>
    <w:rsid w:val="00811CEA"/>
    <w:rsid w:val="00811D79"/>
    <w:rsid w:val="008127F9"/>
    <w:rsid w:val="00812A4B"/>
    <w:rsid w:val="00812C05"/>
    <w:rsid w:val="00812DF0"/>
    <w:rsid w:val="00812FA4"/>
    <w:rsid w:val="008130B3"/>
    <w:rsid w:val="008130C4"/>
    <w:rsid w:val="0081322A"/>
    <w:rsid w:val="00813678"/>
    <w:rsid w:val="0081367C"/>
    <w:rsid w:val="008137B6"/>
    <w:rsid w:val="0081391C"/>
    <w:rsid w:val="00813A02"/>
    <w:rsid w:val="00813B8D"/>
    <w:rsid w:val="00813C26"/>
    <w:rsid w:val="00813DC9"/>
    <w:rsid w:val="00813F34"/>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878"/>
    <w:rsid w:val="00821C6A"/>
    <w:rsid w:val="00821EE3"/>
    <w:rsid w:val="00822048"/>
    <w:rsid w:val="0082253F"/>
    <w:rsid w:val="00822C58"/>
    <w:rsid w:val="00822D96"/>
    <w:rsid w:val="008233E7"/>
    <w:rsid w:val="0082353F"/>
    <w:rsid w:val="00823611"/>
    <w:rsid w:val="00823AEB"/>
    <w:rsid w:val="00823B79"/>
    <w:rsid w:val="00823C4B"/>
    <w:rsid w:val="00823E43"/>
    <w:rsid w:val="00823F22"/>
    <w:rsid w:val="008249A1"/>
    <w:rsid w:val="00824E21"/>
    <w:rsid w:val="008252C7"/>
    <w:rsid w:val="008253BF"/>
    <w:rsid w:val="008256B0"/>
    <w:rsid w:val="00825933"/>
    <w:rsid w:val="00825FFF"/>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F0B"/>
    <w:rsid w:val="00831FC2"/>
    <w:rsid w:val="0083256E"/>
    <w:rsid w:val="0083269B"/>
    <w:rsid w:val="008329A6"/>
    <w:rsid w:val="00832B42"/>
    <w:rsid w:val="00832BB0"/>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37FBB"/>
    <w:rsid w:val="00840A83"/>
    <w:rsid w:val="00840CA5"/>
    <w:rsid w:val="0084147D"/>
    <w:rsid w:val="00841533"/>
    <w:rsid w:val="00841B13"/>
    <w:rsid w:val="00841E92"/>
    <w:rsid w:val="00842AB6"/>
    <w:rsid w:val="00842E09"/>
    <w:rsid w:val="00843016"/>
    <w:rsid w:val="00843577"/>
    <w:rsid w:val="00843E6F"/>
    <w:rsid w:val="008441CE"/>
    <w:rsid w:val="008443E7"/>
    <w:rsid w:val="00844562"/>
    <w:rsid w:val="00844890"/>
    <w:rsid w:val="00844A90"/>
    <w:rsid w:val="00844E7A"/>
    <w:rsid w:val="00844F83"/>
    <w:rsid w:val="0084524A"/>
    <w:rsid w:val="00845487"/>
    <w:rsid w:val="00845499"/>
    <w:rsid w:val="008456CE"/>
    <w:rsid w:val="00845881"/>
    <w:rsid w:val="008460D6"/>
    <w:rsid w:val="008469BE"/>
    <w:rsid w:val="00846C00"/>
    <w:rsid w:val="00846E05"/>
    <w:rsid w:val="00846E4A"/>
    <w:rsid w:val="00847027"/>
    <w:rsid w:val="008471F2"/>
    <w:rsid w:val="00847C2B"/>
    <w:rsid w:val="00847D82"/>
    <w:rsid w:val="00850128"/>
    <w:rsid w:val="008503D0"/>
    <w:rsid w:val="00850581"/>
    <w:rsid w:val="00850832"/>
    <w:rsid w:val="00850A66"/>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984"/>
    <w:rsid w:val="00852A40"/>
    <w:rsid w:val="00852B97"/>
    <w:rsid w:val="00852DB9"/>
    <w:rsid w:val="00852EC6"/>
    <w:rsid w:val="008533EE"/>
    <w:rsid w:val="00853AB3"/>
    <w:rsid w:val="0085404C"/>
    <w:rsid w:val="00854332"/>
    <w:rsid w:val="008543AB"/>
    <w:rsid w:val="00854670"/>
    <w:rsid w:val="00854724"/>
    <w:rsid w:val="00854BC9"/>
    <w:rsid w:val="00854CBF"/>
    <w:rsid w:val="00854DAA"/>
    <w:rsid w:val="008550CB"/>
    <w:rsid w:val="00855513"/>
    <w:rsid w:val="00855761"/>
    <w:rsid w:val="00855B60"/>
    <w:rsid w:val="00855BEE"/>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A8F"/>
    <w:rsid w:val="00860B4C"/>
    <w:rsid w:val="00860D6C"/>
    <w:rsid w:val="008612B7"/>
    <w:rsid w:val="0086169D"/>
    <w:rsid w:val="00861B3D"/>
    <w:rsid w:val="00861B8D"/>
    <w:rsid w:val="00862196"/>
    <w:rsid w:val="008622FB"/>
    <w:rsid w:val="0086242C"/>
    <w:rsid w:val="008626B9"/>
    <w:rsid w:val="00862721"/>
    <w:rsid w:val="00862BB2"/>
    <w:rsid w:val="00862C9E"/>
    <w:rsid w:val="0086362C"/>
    <w:rsid w:val="0086396F"/>
    <w:rsid w:val="00863A17"/>
    <w:rsid w:val="0086447F"/>
    <w:rsid w:val="008647DE"/>
    <w:rsid w:val="00864A8A"/>
    <w:rsid w:val="00864B95"/>
    <w:rsid w:val="00864DEB"/>
    <w:rsid w:val="00864E48"/>
    <w:rsid w:val="0086549E"/>
    <w:rsid w:val="008656A2"/>
    <w:rsid w:val="00865737"/>
    <w:rsid w:val="00865931"/>
    <w:rsid w:val="00865E72"/>
    <w:rsid w:val="00865F33"/>
    <w:rsid w:val="00866142"/>
    <w:rsid w:val="00866277"/>
    <w:rsid w:val="0086631B"/>
    <w:rsid w:val="0086663F"/>
    <w:rsid w:val="00866788"/>
    <w:rsid w:val="008667B8"/>
    <w:rsid w:val="00866864"/>
    <w:rsid w:val="008668F6"/>
    <w:rsid w:val="00866A85"/>
    <w:rsid w:val="00866EFA"/>
    <w:rsid w:val="00867003"/>
    <w:rsid w:val="00867488"/>
    <w:rsid w:val="00867DA2"/>
    <w:rsid w:val="00870122"/>
    <w:rsid w:val="008705D6"/>
    <w:rsid w:val="00870BFB"/>
    <w:rsid w:val="00870C2B"/>
    <w:rsid w:val="00870E05"/>
    <w:rsid w:val="008712E0"/>
    <w:rsid w:val="008713BA"/>
    <w:rsid w:val="00871C23"/>
    <w:rsid w:val="00871C8A"/>
    <w:rsid w:val="00871C95"/>
    <w:rsid w:val="00871DDA"/>
    <w:rsid w:val="00872175"/>
    <w:rsid w:val="00872295"/>
    <w:rsid w:val="008723B7"/>
    <w:rsid w:val="008724D1"/>
    <w:rsid w:val="00872735"/>
    <w:rsid w:val="008727F1"/>
    <w:rsid w:val="008731B8"/>
    <w:rsid w:val="00873620"/>
    <w:rsid w:val="00873BDE"/>
    <w:rsid w:val="00873C67"/>
    <w:rsid w:val="00873EFF"/>
    <w:rsid w:val="00874159"/>
    <w:rsid w:val="008747A6"/>
    <w:rsid w:val="00874ABD"/>
    <w:rsid w:val="00874DB0"/>
    <w:rsid w:val="00874E64"/>
    <w:rsid w:val="00875A5A"/>
    <w:rsid w:val="00875A72"/>
    <w:rsid w:val="008760EF"/>
    <w:rsid w:val="008762D0"/>
    <w:rsid w:val="00876567"/>
    <w:rsid w:val="0087693A"/>
    <w:rsid w:val="00876B8D"/>
    <w:rsid w:val="00876F19"/>
    <w:rsid w:val="00877051"/>
    <w:rsid w:val="008771EA"/>
    <w:rsid w:val="00877277"/>
    <w:rsid w:val="008773A1"/>
    <w:rsid w:val="00877727"/>
    <w:rsid w:val="00877A14"/>
    <w:rsid w:val="00877B1A"/>
    <w:rsid w:val="00877E7E"/>
    <w:rsid w:val="00877E9C"/>
    <w:rsid w:val="008800D3"/>
    <w:rsid w:val="00880159"/>
    <w:rsid w:val="00880C56"/>
    <w:rsid w:val="00880D8E"/>
    <w:rsid w:val="00880E6D"/>
    <w:rsid w:val="00880F1A"/>
    <w:rsid w:val="008812AB"/>
    <w:rsid w:val="0088141F"/>
    <w:rsid w:val="008816A8"/>
    <w:rsid w:val="00881ADB"/>
    <w:rsid w:val="00881B11"/>
    <w:rsid w:val="00881B16"/>
    <w:rsid w:val="00881C85"/>
    <w:rsid w:val="00882181"/>
    <w:rsid w:val="00882350"/>
    <w:rsid w:val="0088236F"/>
    <w:rsid w:val="00882748"/>
    <w:rsid w:val="00882D12"/>
    <w:rsid w:val="008831D1"/>
    <w:rsid w:val="00883B56"/>
    <w:rsid w:val="00883CA4"/>
    <w:rsid w:val="00883E2B"/>
    <w:rsid w:val="00883EC1"/>
    <w:rsid w:val="008841C5"/>
    <w:rsid w:val="00884EA2"/>
    <w:rsid w:val="008853B4"/>
    <w:rsid w:val="008853C7"/>
    <w:rsid w:val="00885825"/>
    <w:rsid w:val="00885B9B"/>
    <w:rsid w:val="00885D5E"/>
    <w:rsid w:val="00886030"/>
    <w:rsid w:val="00886224"/>
    <w:rsid w:val="00886501"/>
    <w:rsid w:val="00886531"/>
    <w:rsid w:val="00886CDD"/>
    <w:rsid w:val="00886F36"/>
    <w:rsid w:val="00886F38"/>
    <w:rsid w:val="00886FF6"/>
    <w:rsid w:val="00887462"/>
    <w:rsid w:val="008879A9"/>
    <w:rsid w:val="00887A37"/>
    <w:rsid w:val="00887E1E"/>
    <w:rsid w:val="008914FB"/>
    <w:rsid w:val="008915B6"/>
    <w:rsid w:val="00891D47"/>
    <w:rsid w:val="00891DD9"/>
    <w:rsid w:val="0089214D"/>
    <w:rsid w:val="008922AD"/>
    <w:rsid w:val="00892B2D"/>
    <w:rsid w:val="0089365E"/>
    <w:rsid w:val="00893BB6"/>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5E30"/>
    <w:rsid w:val="00896168"/>
    <w:rsid w:val="00896449"/>
    <w:rsid w:val="00897194"/>
    <w:rsid w:val="0089724F"/>
    <w:rsid w:val="0089754C"/>
    <w:rsid w:val="00897B5E"/>
    <w:rsid w:val="00897BC6"/>
    <w:rsid w:val="00897D8B"/>
    <w:rsid w:val="00897DC3"/>
    <w:rsid w:val="008A002A"/>
    <w:rsid w:val="008A014D"/>
    <w:rsid w:val="008A02EC"/>
    <w:rsid w:val="008A0E11"/>
    <w:rsid w:val="008A10E5"/>
    <w:rsid w:val="008A12ED"/>
    <w:rsid w:val="008A1B0F"/>
    <w:rsid w:val="008A20DA"/>
    <w:rsid w:val="008A21C0"/>
    <w:rsid w:val="008A28B1"/>
    <w:rsid w:val="008A298B"/>
    <w:rsid w:val="008A2D0B"/>
    <w:rsid w:val="008A2D18"/>
    <w:rsid w:val="008A3068"/>
    <w:rsid w:val="008A3163"/>
    <w:rsid w:val="008A35CE"/>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20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4D29"/>
    <w:rsid w:val="008B56A3"/>
    <w:rsid w:val="008B5C8F"/>
    <w:rsid w:val="008B5DD6"/>
    <w:rsid w:val="008B5F16"/>
    <w:rsid w:val="008B6AF5"/>
    <w:rsid w:val="008B6B1E"/>
    <w:rsid w:val="008B6F7C"/>
    <w:rsid w:val="008B7183"/>
    <w:rsid w:val="008B722F"/>
    <w:rsid w:val="008B7451"/>
    <w:rsid w:val="008B7722"/>
    <w:rsid w:val="008B77CE"/>
    <w:rsid w:val="008B7868"/>
    <w:rsid w:val="008B786F"/>
    <w:rsid w:val="008B792C"/>
    <w:rsid w:val="008B7EAB"/>
    <w:rsid w:val="008B7F9A"/>
    <w:rsid w:val="008C013F"/>
    <w:rsid w:val="008C02BE"/>
    <w:rsid w:val="008C02E7"/>
    <w:rsid w:val="008C0475"/>
    <w:rsid w:val="008C07DA"/>
    <w:rsid w:val="008C0944"/>
    <w:rsid w:val="008C0AFA"/>
    <w:rsid w:val="008C0DAB"/>
    <w:rsid w:val="008C0E5C"/>
    <w:rsid w:val="008C12CF"/>
    <w:rsid w:val="008C184B"/>
    <w:rsid w:val="008C18BC"/>
    <w:rsid w:val="008C1ADE"/>
    <w:rsid w:val="008C1B45"/>
    <w:rsid w:val="008C1E2C"/>
    <w:rsid w:val="008C26ED"/>
    <w:rsid w:val="008C28D0"/>
    <w:rsid w:val="008C2981"/>
    <w:rsid w:val="008C2BB5"/>
    <w:rsid w:val="008C343F"/>
    <w:rsid w:val="008C36BD"/>
    <w:rsid w:val="008C39E1"/>
    <w:rsid w:val="008C3B3A"/>
    <w:rsid w:val="008C3C63"/>
    <w:rsid w:val="008C4206"/>
    <w:rsid w:val="008C43E2"/>
    <w:rsid w:val="008C4581"/>
    <w:rsid w:val="008C489E"/>
    <w:rsid w:val="008C4FA9"/>
    <w:rsid w:val="008C504D"/>
    <w:rsid w:val="008C56E7"/>
    <w:rsid w:val="008C59DF"/>
    <w:rsid w:val="008C5D76"/>
    <w:rsid w:val="008C5EE3"/>
    <w:rsid w:val="008C6829"/>
    <w:rsid w:val="008C6B32"/>
    <w:rsid w:val="008C6E40"/>
    <w:rsid w:val="008C6F52"/>
    <w:rsid w:val="008C7138"/>
    <w:rsid w:val="008C73B9"/>
    <w:rsid w:val="008C7584"/>
    <w:rsid w:val="008C7690"/>
    <w:rsid w:val="008C79A1"/>
    <w:rsid w:val="008C7C57"/>
    <w:rsid w:val="008D0369"/>
    <w:rsid w:val="008D0519"/>
    <w:rsid w:val="008D0902"/>
    <w:rsid w:val="008D0B43"/>
    <w:rsid w:val="008D0ED4"/>
    <w:rsid w:val="008D100D"/>
    <w:rsid w:val="008D1497"/>
    <w:rsid w:val="008D1C1A"/>
    <w:rsid w:val="008D1FB9"/>
    <w:rsid w:val="008D2099"/>
    <w:rsid w:val="008D248E"/>
    <w:rsid w:val="008D264B"/>
    <w:rsid w:val="008D283F"/>
    <w:rsid w:val="008D32FC"/>
    <w:rsid w:val="008D335A"/>
    <w:rsid w:val="008D348B"/>
    <w:rsid w:val="008D3C94"/>
    <w:rsid w:val="008D4269"/>
    <w:rsid w:val="008D4398"/>
    <w:rsid w:val="008D4618"/>
    <w:rsid w:val="008D4629"/>
    <w:rsid w:val="008D4658"/>
    <w:rsid w:val="008D46EE"/>
    <w:rsid w:val="008D4837"/>
    <w:rsid w:val="008D4A17"/>
    <w:rsid w:val="008D4E5B"/>
    <w:rsid w:val="008D55D1"/>
    <w:rsid w:val="008D5705"/>
    <w:rsid w:val="008D5986"/>
    <w:rsid w:val="008D635F"/>
    <w:rsid w:val="008D6600"/>
    <w:rsid w:val="008D6782"/>
    <w:rsid w:val="008D6C04"/>
    <w:rsid w:val="008D6D34"/>
    <w:rsid w:val="008D7CD8"/>
    <w:rsid w:val="008D7EE9"/>
    <w:rsid w:val="008E006C"/>
    <w:rsid w:val="008E027A"/>
    <w:rsid w:val="008E0629"/>
    <w:rsid w:val="008E07EB"/>
    <w:rsid w:val="008E097D"/>
    <w:rsid w:val="008E13C9"/>
    <w:rsid w:val="008E14F9"/>
    <w:rsid w:val="008E1619"/>
    <w:rsid w:val="008E1863"/>
    <w:rsid w:val="008E1B8E"/>
    <w:rsid w:val="008E1BF5"/>
    <w:rsid w:val="008E1FC2"/>
    <w:rsid w:val="008E2136"/>
    <w:rsid w:val="008E230B"/>
    <w:rsid w:val="008E27A2"/>
    <w:rsid w:val="008E2BE4"/>
    <w:rsid w:val="008E2CBC"/>
    <w:rsid w:val="008E2D39"/>
    <w:rsid w:val="008E2D87"/>
    <w:rsid w:val="008E3191"/>
    <w:rsid w:val="008E3357"/>
    <w:rsid w:val="008E345C"/>
    <w:rsid w:val="008E3A3F"/>
    <w:rsid w:val="008E3B97"/>
    <w:rsid w:val="008E3ED5"/>
    <w:rsid w:val="008E41BE"/>
    <w:rsid w:val="008E4254"/>
    <w:rsid w:val="008E456A"/>
    <w:rsid w:val="008E49F3"/>
    <w:rsid w:val="008E4A5B"/>
    <w:rsid w:val="008E4F4C"/>
    <w:rsid w:val="008E4FAE"/>
    <w:rsid w:val="008E5047"/>
    <w:rsid w:val="008E5175"/>
    <w:rsid w:val="008E538E"/>
    <w:rsid w:val="008E53A2"/>
    <w:rsid w:val="008E564D"/>
    <w:rsid w:val="008E5786"/>
    <w:rsid w:val="008E581D"/>
    <w:rsid w:val="008E58F0"/>
    <w:rsid w:val="008E5B20"/>
    <w:rsid w:val="008E5D4F"/>
    <w:rsid w:val="008E62D2"/>
    <w:rsid w:val="008E63C3"/>
    <w:rsid w:val="008E66B3"/>
    <w:rsid w:val="008E68E5"/>
    <w:rsid w:val="008E6B4E"/>
    <w:rsid w:val="008E6B79"/>
    <w:rsid w:val="008E6CE6"/>
    <w:rsid w:val="008E6DC0"/>
    <w:rsid w:val="008E72EE"/>
    <w:rsid w:val="008E731B"/>
    <w:rsid w:val="008E7455"/>
    <w:rsid w:val="008E7970"/>
    <w:rsid w:val="008E7B02"/>
    <w:rsid w:val="008E7B40"/>
    <w:rsid w:val="008E7C34"/>
    <w:rsid w:val="008E7F36"/>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2C1"/>
    <w:rsid w:val="008F258F"/>
    <w:rsid w:val="008F2847"/>
    <w:rsid w:val="008F2F7D"/>
    <w:rsid w:val="008F328D"/>
    <w:rsid w:val="008F344B"/>
    <w:rsid w:val="008F344E"/>
    <w:rsid w:val="008F36E2"/>
    <w:rsid w:val="008F377B"/>
    <w:rsid w:val="008F3C4B"/>
    <w:rsid w:val="008F3D94"/>
    <w:rsid w:val="008F43F5"/>
    <w:rsid w:val="008F4453"/>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050"/>
    <w:rsid w:val="0090252A"/>
    <w:rsid w:val="0090258C"/>
    <w:rsid w:val="009025AB"/>
    <w:rsid w:val="009027F4"/>
    <w:rsid w:val="00902C00"/>
    <w:rsid w:val="00902CA5"/>
    <w:rsid w:val="00902D4F"/>
    <w:rsid w:val="009030E3"/>
    <w:rsid w:val="009034B9"/>
    <w:rsid w:val="00903FB3"/>
    <w:rsid w:val="00904690"/>
    <w:rsid w:val="00905336"/>
    <w:rsid w:val="009060FF"/>
    <w:rsid w:val="009066DC"/>
    <w:rsid w:val="00906E22"/>
    <w:rsid w:val="00906E85"/>
    <w:rsid w:val="0090728D"/>
    <w:rsid w:val="00907441"/>
    <w:rsid w:val="00907583"/>
    <w:rsid w:val="0090758F"/>
    <w:rsid w:val="0090766F"/>
    <w:rsid w:val="0090779A"/>
    <w:rsid w:val="0090780A"/>
    <w:rsid w:val="009102B4"/>
    <w:rsid w:val="0091052B"/>
    <w:rsid w:val="00910715"/>
    <w:rsid w:val="009107FF"/>
    <w:rsid w:val="00910873"/>
    <w:rsid w:val="0091091D"/>
    <w:rsid w:val="009110E2"/>
    <w:rsid w:val="00911327"/>
    <w:rsid w:val="00911406"/>
    <w:rsid w:val="00911926"/>
    <w:rsid w:val="00911F7E"/>
    <w:rsid w:val="009122CA"/>
    <w:rsid w:val="009122DB"/>
    <w:rsid w:val="00912848"/>
    <w:rsid w:val="00912B56"/>
    <w:rsid w:val="00912C6F"/>
    <w:rsid w:val="00912DB0"/>
    <w:rsid w:val="00912E50"/>
    <w:rsid w:val="00912E6B"/>
    <w:rsid w:val="009133D4"/>
    <w:rsid w:val="009133EA"/>
    <w:rsid w:val="009136D9"/>
    <w:rsid w:val="00913F98"/>
    <w:rsid w:val="00914C44"/>
    <w:rsid w:val="00914D25"/>
    <w:rsid w:val="00914D48"/>
    <w:rsid w:val="00915512"/>
    <w:rsid w:val="00916223"/>
    <w:rsid w:val="00916269"/>
    <w:rsid w:val="009163A0"/>
    <w:rsid w:val="009165A9"/>
    <w:rsid w:val="0091696F"/>
    <w:rsid w:val="00916AAB"/>
    <w:rsid w:val="00916C99"/>
    <w:rsid w:val="00916EE9"/>
    <w:rsid w:val="00917159"/>
    <w:rsid w:val="00917210"/>
    <w:rsid w:val="00917BD6"/>
    <w:rsid w:val="00917C84"/>
    <w:rsid w:val="00917D6B"/>
    <w:rsid w:val="00920FCF"/>
    <w:rsid w:val="0092119F"/>
    <w:rsid w:val="009218A2"/>
    <w:rsid w:val="0092191B"/>
    <w:rsid w:val="00921D86"/>
    <w:rsid w:val="00921F1C"/>
    <w:rsid w:val="00921FE8"/>
    <w:rsid w:val="0092241F"/>
    <w:rsid w:val="009224A3"/>
    <w:rsid w:val="009224B7"/>
    <w:rsid w:val="0092261B"/>
    <w:rsid w:val="00922A44"/>
    <w:rsid w:val="00922E3B"/>
    <w:rsid w:val="00922FD8"/>
    <w:rsid w:val="009230B4"/>
    <w:rsid w:val="00923261"/>
    <w:rsid w:val="009233CC"/>
    <w:rsid w:val="009234B3"/>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D53"/>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D8F"/>
    <w:rsid w:val="00933FE3"/>
    <w:rsid w:val="00934B9E"/>
    <w:rsid w:val="00934EAC"/>
    <w:rsid w:val="009350E4"/>
    <w:rsid w:val="009354E5"/>
    <w:rsid w:val="00935753"/>
    <w:rsid w:val="009359DF"/>
    <w:rsid w:val="00935A5A"/>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CCC"/>
    <w:rsid w:val="00941D13"/>
    <w:rsid w:val="00942058"/>
    <w:rsid w:val="0094218A"/>
    <w:rsid w:val="00942226"/>
    <w:rsid w:val="00942387"/>
    <w:rsid w:val="009429BD"/>
    <w:rsid w:val="00942A1E"/>
    <w:rsid w:val="0094380C"/>
    <w:rsid w:val="0094385A"/>
    <w:rsid w:val="009438FE"/>
    <w:rsid w:val="00943AD9"/>
    <w:rsid w:val="00943AE3"/>
    <w:rsid w:val="00943C06"/>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5AE"/>
    <w:rsid w:val="0094692B"/>
    <w:rsid w:val="00946A1D"/>
    <w:rsid w:val="009476AB"/>
    <w:rsid w:val="009479A6"/>
    <w:rsid w:val="00947E56"/>
    <w:rsid w:val="00947F95"/>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654C"/>
    <w:rsid w:val="0095686C"/>
    <w:rsid w:val="00956C4E"/>
    <w:rsid w:val="00956FA7"/>
    <w:rsid w:val="0095751D"/>
    <w:rsid w:val="00957569"/>
    <w:rsid w:val="00957A77"/>
    <w:rsid w:val="00957CC7"/>
    <w:rsid w:val="00957D5D"/>
    <w:rsid w:val="0096002A"/>
    <w:rsid w:val="009608B3"/>
    <w:rsid w:val="00960E96"/>
    <w:rsid w:val="00961623"/>
    <w:rsid w:val="009619B3"/>
    <w:rsid w:val="00961F98"/>
    <w:rsid w:val="00961F9F"/>
    <w:rsid w:val="00961FC9"/>
    <w:rsid w:val="00961FF0"/>
    <w:rsid w:val="00962323"/>
    <w:rsid w:val="009626AC"/>
    <w:rsid w:val="0096297B"/>
    <w:rsid w:val="009633D7"/>
    <w:rsid w:val="009637F5"/>
    <w:rsid w:val="00963959"/>
    <w:rsid w:val="00963ACD"/>
    <w:rsid w:val="00963B85"/>
    <w:rsid w:val="009644AA"/>
    <w:rsid w:val="00964723"/>
    <w:rsid w:val="00964A1C"/>
    <w:rsid w:val="00964A79"/>
    <w:rsid w:val="00964C14"/>
    <w:rsid w:val="00964C2F"/>
    <w:rsid w:val="00964CF1"/>
    <w:rsid w:val="00964D2A"/>
    <w:rsid w:val="009652D5"/>
    <w:rsid w:val="009664FD"/>
    <w:rsid w:val="00966C16"/>
    <w:rsid w:val="00966CA9"/>
    <w:rsid w:val="00966D01"/>
    <w:rsid w:val="009673BF"/>
    <w:rsid w:val="0096761A"/>
    <w:rsid w:val="009677F8"/>
    <w:rsid w:val="0097036B"/>
    <w:rsid w:val="0097054C"/>
    <w:rsid w:val="009705FE"/>
    <w:rsid w:val="009708AD"/>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5FB"/>
    <w:rsid w:val="00973738"/>
    <w:rsid w:val="0097374B"/>
    <w:rsid w:val="00973C85"/>
    <w:rsid w:val="0097429B"/>
    <w:rsid w:val="009746C6"/>
    <w:rsid w:val="009749F7"/>
    <w:rsid w:val="009757B3"/>
    <w:rsid w:val="00975B8C"/>
    <w:rsid w:val="00975CBF"/>
    <w:rsid w:val="0097600B"/>
    <w:rsid w:val="00976522"/>
    <w:rsid w:val="0097691F"/>
    <w:rsid w:val="009769C3"/>
    <w:rsid w:val="00977263"/>
    <w:rsid w:val="00977A34"/>
    <w:rsid w:val="00977D75"/>
    <w:rsid w:val="009805DD"/>
    <w:rsid w:val="009809DC"/>
    <w:rsid w:val="00981126"/>
    <w:rsid w:val="0098193C"/>
    <w:rsid w:val="00981B1A"/>
    <w:rsid w:val="00981C05"/>
    <w:rsid w:val="00981E75"/>
    <w:rsid w:val="009821F9"/>
    <w:rsid w:val="00982435"/>
    <w:rsid w:val="00982559"/>
    <w:rsid w:val="00982627"/>
    <w:rsid w:val="00982719"/>
    <w:rsid w:val="00982745"/>
    <w:rsid w:val="0098280F"/>
    <w:rsid w:val="0098307E"/>
    <w:rsid w:val="00983096"/>
    <w:rsid w:val="0098338D"/>
    <w:rsid w:val="009837CE"/>
    <w:rsid w:val="00983A0F"/>
    <w:rsid w:val="00983C31"/>
    <w:rsid w:val="00983DFB"/>
    <w:rsid w:val="00983E7E"/>
    <w:rsid w:val="00983EF1"/>
    <w:rsid w:val="00983F50"/>
    <w:rsid w:val="0098401C"/>
    <w:rsid w:val="009841C1"/>
    <w:rsid w:val="0098461A"/>
    <w:rsid w:val="00984A1E"/>
    <w:rsid w:val="00984E8C"/>
    <w:rsid w:val="00985121"/>
    <w:rsid w:val="0098513A"/>
    <w:rsid w:val="00985CF9"/>
    <w:rsid w:val="00985E04"/>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B39"/>
    <w:rsid w:val="00990CF1"/>
    <w:rsid w:val="00990D40"/>
    <w:rsid w:val="00990F98"/>
    <w:rsid w:val="00991675"/>
    <w:rsid w:val="00992008"/>
    <w:rsid w:val="009920CC"/>
    <w:rsid w:val="009928FE"/>
    <w:rsid w:val="00992A0D"/>
    <w:rsid w:val="00992B05"/>
    <w:rsid w:val="00992BBD"/>
    <w:rsid w:val="00992BC7"/>
    <w:rsid w:val="00993387"/>
    <w:rsid w:val="00993431"/>
    <w:rsid w:val="00993EC9"/>
    <w:rsid w:val="00993F9C"/>
    <w:rsid w:val="0099400D"/>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6D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B8A"/>
    <w:rsid w:val="009A3D6B"/>
    <w:rsid w:val="009A41A1"/>
    <w:rsid w:val="009A48BF"/>
    <w:rsid w:val="009A567A"/>
    <w:rsid w:val="009A643D"/>
    <w:rsid w:val="009A6CF3"/>
    <w:rsid w:val="009A7199"/>
    <w:rsid w:val="009A7397"/>
    <w:rsid w:val="009A74E4"/>
    <w:rsid w:val="009A76F7"/>
    <w:rsid w:val="009A7999"/>
    <w:rsid w:val="009B0134"/>
    <w:rsid w:val="009B049A"/>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540B"/>
    <w:rsid w:val="009B54E0"/>
    <w:rsid w:val="009B54F9"/>
    <w:rsid w:val="009B56F9"/>
    <w:rsid w:val="009B591D"/>
    <w:rsid w:val="009B5A07"/>
    <w:rsid w:val="009B5CD6"/>
    <w:rsid w:val="009B64D1"/>
    <w:rsid w:val="009B655D"/>
    <w:rsid w:val="009B6884"/>
    <w:rsid w:val="009B6BC6"/>
    <w:rsid w:val="009B6E59"/>
    <w:rsid w:val="009B6EAB"/>
    <w:rsid w:val="009B74D3"/>
    <w:rsid w:val="009B757A"/>
    <w:rsid w:val="009C065D"/>
    <w:rsid w:val="009C09C4"/>
    <w:rsid w:val="009C0D78"/>
    <w:rsid w:val="009C1363"/>
    <w:rsid w:val="009C14A4"/>
    <w:rsid w:val="009C16B9"/>
    <w:rsid w:val="009C18B8"/>
    <w:rsid w:val="009C1A6D"/>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3AD"/>
    <w:rsid w:val="009C5421"/>
    <w:rsid w:val="009C56C2"/>
    <w:rsid w:val="009C57A4"/>
    <w:rsid w:val="009C5AFF"/>
    <w:rsid w:val="009C601F"/>
    <w:rsid w:val="009C62F8"/>
    <w:rsid w:val="009C6A90"/>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928"/>
    <w:rsid w:val="009D1A67"/>
    <w:rsid w:val="009D1ED1"/>
    <w:rsid w:val="009D1F69"/>
    <w:rsid w:val="009D2362"/>
    <w:rsid w:val="009D23F9"/>
    <w:rsid w:val="009D2788"/>
    <w:rsid w:val="009D3001"/>
    <w:rsid w:val="009D38F7"/>
    <w:rsid w:val="009D3DD0"/>
    <w:rsid w:val="009D406F"/>
    <w:rsid w:val="009D5196"/>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F"/>
    <w:rsid w:val="009E1F4C"/>
    <w:rsid w:val="009E1F85"/>
    <w:rsid w:val="009E1FED"/>
    <w:rsid w:val="009E22FA"/>
    <w:rsid w:val="009E2D9C"/>
    <w:rsid w:val="009E2E6B"/>
    <w:rsid w:val="009E323E"/>
    <w:rsid w:val="009E3F46"/>
    <w:rsid w:val="009E3FA9"/>
    <w:rsid w:val="009E44DA"/>
    <w:rsid w:val="009E4744"/>
    <w:rsid w:val="009E47E0"/>
    <w:rsid w:val="009E4878"/>
    <w:rsid w:val="009E4947"/>
    <w:rsid w:val="009E4CB5"/>
    <w:rsid w:val="009E4CBA"/>
    <w:rsid w:val="009E4EC9"/>
    <w:rsid w:val="009E4FA3"/>
    <w:rsid w:val="009E5542"/>
    <w:rsid w:val="009E58B0"/>
    <w:rsid w:val="009E5D00"/>
    <w:rsid w:val="009E5D5A"/>
    <w:rsid w:val="009E67F6"/>
    <w:rsid w:val="009E6876"/>
    <w:rsid w:val="009E6D30"/>
    <w:rsid w:val="009E6DB6"/>
    <w:rsid w:val="009E71BC"/>
    <w:rsid w:val="009E784E"/>
    <w:rsid w:val="009E7F68"/>
    <w:rsid w:val="009F0630"/>
    <w:rsid w:val="009F0984"/>
    <w:rsid w:val="009F0B36"/>
    <w:rsid w:val="009F1180"/>
    <w:rsid w:val="009F1758"/>
    <w:rsid w:val="009F1C84"/>
    <w:rsid w:val="009F1D68"/>
    <w:rsid w:val="009F2114"/>
    <w:rsid w:val="009F2262"/>
    <w:rsid w:val="009F28E2"/>
    <w:rsid w:val="009F299F"/>
    <w:rsid w:val="009F2C2D"/>
    <w:rsid w:val="009F3315"/>
    <w:rsid w:val="009F3377"/>
    <w:rsid w:val="009F3BCC"/>
    <w:rsid w:val="009F4171"/>
    <w:rsid w:val="009F42E8"/>
    <w:rsid w:val="009F441E"/>
    <w:rsid w:val="009F4583"/>
    <w:rsid w:val="009F45B1"/>
    <w:rsid w:val="009F47CE"/>
    <w:rsid w:val="009F4A66"/>
    <w:rsid w:val="009F4ADA"/>
    <w:rsid w:val="009F4BA8"/>
    <w:rsid w:val="009F4BFE"/>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545"/>
    <w:rsid w:val="00A017A8"/>
    <w:rsid w:val="00A01AAD"/>
    <w:rsid w:val="00A01B15"/>
    <w:rsid w:val="00A01BA3"/>
    <w:rsid w:val="00A01EAA"/>
    <w:rsid w:val="00A028E5"/>
    <w:rsid w:val="00A02F04"/>
    <w:rsid w:val="00A02FD1"/>
    <w:rsid w:val="00A03066"/>
    <w:rsid w:val="00A0313B"/>
    <w:rsid w:val="00A03595"/>
    <w:rsid w:val="00A03D76"/>
    <w:rsid w:val="00A03F67"/>
    <w:rsid w:val="00A04712"/>
    <w:rsid w:val="00A04C2E"/>
    <w:rsid w:val="00A04CFA"/>
    <w:rsid w:val="00A04D9F"/>
    <w:rsid w:val="00A05069"/>
    <w:rsid w:val="00A050D7"/>
    <w:rsid w:val="00A0534B"/>
    <w:rsid w:val="00A0638A"/>
    <w:rsid w:val="00A069D1"/>
    <w:rsid w:val="00A06AB0"/>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8E1"/>
    <w:rsid w:val="00A12DE8"/>
    <w:rsid w:val="00A12F1D"/>
    <w:rsid w:val="00A12FE0"/>
    <w:rsid w:val="00A139FC"/>
    <w:rsid w:val="00A13A89"/>
    <w:rsid w:val="00A13E76"/>
    <w:rsid w:val="00A143E1"/>
    <w:rsid w:val="00A143F0"/>
    <w:rsid w:val="00A14598"/>
    <w:rsid w:val="00A14748"/>
    <w:rsid w:val="00A14887"/>
    <w:rsid w:val="00A148D4"/>
    <w:rsid w:val="00A14DE8"/>
    <w:rsid w:val="00A150BE"/>
    <w:rsid w:val="00A152E5"/>
    <w:rsid w:val="00A15BD1"/>
    <w:rsid w:val="00A15F04"/>
    <w:rsid w:val="00A15F6E"/>
    <w:rsid w:val="00A160A9"/>
    <w:rsid w:val="00A1680D"/>
    <w:rsid w:val="00A168D9"/>
    <w:rsid w:val="00A16CA1"/>
    <w:rsid w:val="00A16EA7"/>
    <w:rsid w:val="00A17123"/>
    <w:rsid w:val="00A1716C"/>
    <w:rsid w:val="00A1749D"/>
    <w:rsid w:val="00A176FF"/>
    <w:rsid w:val="00A17CC1"/>
    <w:rsid w:val="00A21028"/>
    <w:rsid w:val="00A212CF"/>
    <w:rsid w:val="00A21429"/>
    <w:rsid w:val="00A2190F"/>
    <w:rsid w:val="00A21962"/>
    <w:rsid w:val="00A21B20"/>
    <w:rsid w:val="00A21D6F"/>
    <w:rsid w:val="00A21DA9"/>
    <w:rsid w:val="00A21DDD"/>
    <w:rsid w:val="00A21EDD"/>
    <w:rsid w:val="00A22037"/>
    <w:rsid w:val="00A222CC"/>
    <w:rsid w:val="00A2264A"/>
    <w:rsid w:val="00A22BA1"/>
    <w:rsid w:val="00A23718"/>
    <w:rsid w:val="00A23764"/>
    <w:rsid w:val="00A238F3"/>
    <w:rsid w:val="00A23AB0"/>
    <w:rsid w:val="00A241A2"/>
    <w:rsid w:val="00A24949"/>
    <w:rsid w:val="00A2507A"/>
    <w:rsid w:val="00A255CE"/>
    <w:rsid w:val="00A25D3B"/>
    <w:rsid w:val="00A266C5"/>
    <w:rsid w:val="00A26704"/>
    <w:rsid w:val="00A26B02"/>
    <w:rsid w:val="00A26B03"/>
    <w:rsid w:val="00A26C43"/>
    <w:rsid w:val="00A26D60"/>
    <w:rsid w:val="00A26E70"/>
    <w:rsid w:val="00A27101"/>
    <w:rsid w:val="00A2712F"/>
    <w:rsid w:val="00A27303"/>
    <w:rsid w:val="00A27448"/>
    <w:rsid w:val="00A278DB"/>
    <w:rsid w:val="00A3020D"/>
    <w:rsid w:val="00A3052D"/>
    <w:rsid w:val="00A308B2"/>
    <w:rsid w:val="00A309C6"/>
    <w:rsid w:val="00A30BC0"/>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6F2"/>
    <w:rsid w:val="00A3277F"/>
    <w:rsid w:val="00A32AFC"/>
    <w:rsid w:val="00A32E4E"/>
    <w:rsid w:val="00A33019"/>
    <w:rsid w:val="00A3301F"/>
    <w:rsid w:val="00A333F6"/>
    <w:rsid w:val="00A336E7"/>
    <w:rsid w:val="00A33BAE"/>
    <w:rsid w:val="00A33D3C"/>
    <w:rsid w:val="00A33E28"/>
    <w:rsid w:val="00A3430F"/>
    <w:rsid w:val="00A3443F"/>
    <w:rsid w:val="00A34538"/>
    <w:rsid w:val="00A347CC"/>
    <w:rsid w:val="00A34882"/>
    <w:rsid w:val="00A349DD"/>
    <w:rsid w:val="00A34D12"/>
    <w:rsid w:val="00A354E8"/>
    <w:rsid w:val="00A3553E"/>
    <w:rsid w:val="00A357C1"/>
    <w:rsid w:val="00A358C4"/>
    <w:rsid w:val="00A35ACA"/>
    <w:rsid w:val="00A35B65"/>
    <w:rsid w:val="00A35F88"/>
    <w:rsid w:val="00A36400"/>
    <w:rsid w:val="00A3647F"/>
    <w:rsid w:val="00A36493"/>
    <w:rsid w:val="00A36842"/>
    <w:rsid w:val="00A36B76"/>
    <w:rsid w:val="00A36C43"/>
    <w:rsid w:val="00A36C9C"/>
    <w:rsid w:val="00A372A5"/>
    <w:rsid w:val="00A37574"/>
    <w:rsid w:val="00A37F90"/>
    <w:rsid w:val="00A40325"/>
    <w:rsid w:val="00A4089E"/>
    <w:rsid w:val="00A40FE5"/>
    <w:rsid w:val="00A4103C"/>
    <w:rsid w:val="00A4109C"/>
    <w:rsid w:val="00A412AB"/>
    <w:rsid w:val="00A415E6"/>
    <w:rsid w:val="00A41726"/>
    <w:rsid w:val="00A41B00"/>
    <w:rsid w:val="00A41D03"/>
    <w:rsid w:val="00A42026"/>
    <w:rsid w:val="00A427D6"/>
    <w:rsid w:val="00A42AF7"/>
    <w:rsid w:val="00A42BED"/>
    <w:rsid w:val="00A42D88"/>
    <w:rsid w:val="00A42EFE"/>
    <w:rsid w:val="00A4327B"/>
    <w:rsid w:val="00A43E70"/>
    <w:rsid w:val="00A43EF4"/>
    <w:rsid w:val="00A44066"/>
    <w:rsid w:val="00A445E5"/>
    <w:rsid w:val="00A44625"/>
    <w:rsid w:val="00A44C91"/>
    <w:rsid w:val="00A44EA7"/>
    <w:rsid w:val="00A451A0"/>
    <w:rsid w:val="00A4542B"/>
    <w:rsid w:val="00A45444"/>
    <w:rsid w:val="00A45D10"/>
    <w:rsid w:val="00A45FF3"/>
    <w:rsid w:val="00A464C8"/>
    <w:rsid w:val="00A46989"/>
    <w:rsid w:val="00A47281"/>
    <w:rsid w:val="00A4765F"/>
    <w:rsid w:val="00A47868"/>
    <w:rsid w:val="00A47B26"/>
    <w:rsid w:val="00A47D63"/>
    <w:rsid w:val="00A47ECE"/>
    <w:rsid w:val="00A50328"/>
    <w:rsid w:val="00A504C0"/>
    <w:rsid w:val="00A505DE"/>
    <w:rsid w:val="00A5075C"/>
    <w:rsid w:val="00A50CDF"/>
    <w:rsid w:val="00A50D3F"/>
    <w:rsid w:val="00A50D81"/>
    <w:rsid w:val="00A50D97"/>
    <w:rsid w:val="00A50DBB"/>
    <w:rsid w:val="00A5102B"/>
    <w:rsid w:val="00A51164"/>
    <w:rsid w:val="00A51818"/>
    <w:rsid w:val="00A51A3F"/>
    <w:rsid w:val="00A525F4"/>
    <w:rsid w:val="00A52662"/>
    <w:rsid w:val="00A52857"/>
    <w:rsid w:val="00A529E8"/>
    <w:rsid w:val="00A5314F"/>
    <w:rsid w:val="00A531BB"/>
    <w:rsid w:val="00A5327C"/>
    <w:rsid w:val="00A53A7F"/>
    <w:rsid w:val="00A53AE7"/>
    <w:rsid w:val="00A53F6A"/>
    <w:rsid w:val="00A54056"/>
    <w:rsid w:val="00A54439"/>
    <w:rsid w:val="00A544F2"/>
    <w:rsid w:val="00A549DA"/>
    <w:rsid w:val="00A558F9"/>
    <w:rsid w:val="00A55B2C"/>
    <w:rsid w:val="00A55D23"/>
    <w:rsid w:val="00A55DBA"/>
    <w:rsid w:val="00A56AC3"/>
    <w:rsid w:val="00A56AC9"/>
    <w:rsid w:val="00A56C71"/>
    <w:rsid w:val="00A5721C"/>
    <w:rsid w:val="00A57434"/>
    <w:rsid w:val="00A574FA"/>
    <w:rsid w:val="00A57592"/>
    <w:rsid w:val="00A57EB4"/>
    <w:rsid w:val="00A60563"/>
    <w:rsid w:val="00A60A26"/>
    <w:rsid w:val="00A60BB9"/>
    <w:rsid w:val="00A60CF4"/>
    <w:rsid w:val="00A611D9"/>
    <w:rsid w:val="00A61239"/>
    <w:rsid w:val="00A613F6"/>
    <w:rsid w:val="00A61446"/>
    <w:rsid w:val="00A6146C"/>
    <w:rsid w:val="00A614EB"/>
    <w:rsid w:val="00A614EC"/>
    <w:rsid w:val="00A6165A"/>
    <w:rsid w:val="00A61705"/>
    <w:rsid w:val="00A61C06"/>
    <w:rsid w:val="00A61E6C"/>
    <w:rsid w:val="00A61F47"/>
    <w:rsid w:val="00A62293"/>
    <w:rsid w:val="00A62781"/>
    <w:rsid w:val="00A62D5D"/>
    <w:rsid w:val="00A62FC9"/>
    <w:rsid w:val="00A6304E"/>
    <w:rsid w:val="00A632BF"/>
    <w:rsid w:val="00A63410"/>
    <w:rsid w:val="00A63D22"/>
    <w:rsid w:val="00A63F85"/>
    <w:rsid w:val="00A64769"/>
    <w:rsid w:val="00A64B32"/>
    <w:rsid w:val="00A65106"/>
    <w:rsid w:val="00A654E7"/>
    <w:rsid w:val="00A6591E"/>
    <w:rsid w:val="00A65B22"/>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696"/>
    <w:rsid w:val="00A70D18"/>
    <w:rsid w:val="00A7113E"/>
    <w:rsid w:val="00A714FB"/>
    <w:rsid w:val="00A716BA"/>
    <w:rsid w:val="00A71A6C"/>
    <w:rsid w:val="00A71D19"/>
    <w:rsid w:val="00A722A2"/>
    <w:rsid w:val="00A72432"/>
    <w:rsid w:val="00A73704"/>
    <w:rsid w:val="00A7391E"/>
    <w:rsid w:val="00A73E86"/>
    <w:rsid w:val="00A74064"/>
    <w:rsid w:val="00A74260"/>
    <w:rsid w:val="00A743F8"/>
    <w:rsid w:val="00A74599"/>
    <w:rsid w:val="00A7483E"/>
    <w:rsid w:val="00A748F0"/>
    <w:rsid w:val="00A74934"/>
    <w:rsid w:val="00A74A49"/>
    <w:rsid w:val="00A74B9B"/>
    <w:rsid w:val="00A74F50"/>
    <w:rsid w:val="00A750EE"/>
    <w:rsid w:val="00A75892"/>
    <w:rsid w:val="00A759D5"/>
    <w:rsid w:val="00A75A1F"/>
    <w:rsid w:val="00A766E4"/>
    <w:rsid w:val="00A766FF"/>
    <w:rsid w:val="00A76BFF"/>
    <w:rsid w:val="00A76CC0"/>
    <w:rsid w:val="00A77C21"/>
    <w:rsid w:val="00A77D6D"/>
    <w:rsid w:val="00A8014C"/>
    <w:rsid w:val="00A808DB"/>
    <w:rsid w:val="00A80B2C"/>
    <w:rsid w:val="00A80B3C"/>
    <w:rsid w:val="00A80E71"/>
    <w:rsid w:val="00A80FF2"/>
    <w:rsid w:val="00A81252"/>
    <w:rsid w:val="00A81A94"/>
    <w:rsid w:val="00A81D28"/>
    <w:rsid w:val="00A81D45"/>
    <w:rsid w:val="00A82029"/>
    <w:rsid w:val="00A8223B"/>
    <w:rsid w:val="00A82534"/>
    <w:rsid w:val="00A82948"/>
    <w:rsid w:val="00A82BA1"/>
    <w:rsid w:val="00A82C5B"/>
    <w:rsid w:val="00A8329D"/>
    <w:rsid w:val="00A8364E"/>
    <w:rsid w:val="00A83ACF"/>
    <w:rsid w:val="00A83CBD"/>
    <w:rsid w:val="00A843C4"/>
    <w:rsid w:val="00A845F6"/>
    <w:rsid w:val="00A84D50"/>
    <w:rsid w:val="00A84E12"/>
    <w:rsid w:val="00A85346"/>
    <w:rsid w:val="00A85810"/>
    <w:rsid w:val="00A85D0F"/>
    <w:rsid w:val="00A85EDA"/>
    <w:rsid w:val="00A86039"/>
    <w:rsid w:val="00A860BF"/>
    <w:rsid w:val="00A860F3"/>
    <w:rsid w:val="00A86C7B"/>
    <w:rsid w:val="00A86E2E"/>
    <w:rsid w:val="00A87332"/>
    <w:rsid w:val="00A878B9"/>
    <w:rsid w:val="00A87DD8"/>
    <w:rsid w:val="00A87FF6"/>
    <w:rsid w:val="00A90442"/>
    <w:rsid w:val="00A90503"/>
    <w:rsid w:val="00A90B83"/>
    <w:rsid w:val="00A9108B"/>
    <w:rsid w:val="00A9119A"/>
    <w:rsid w:val="00A911F3"/>
    <w:rsid w:val="00A917F7"/>
    <w:rsid w:val="00A92037"/>
    <w:rsid w:val="00A927C2"/>
    <w:rsid w:val="00A9289F"/>
    <w:rsid w:val="00A92A30"/>
    <w:rsid w:val="00A93036"/>
    <w:rsid w:val="00A930D5"/>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8D"/>
    <w:rsid w:val="00A961DE"/>
    <w:rsid w:val="00A962F1"/>
    <w:rsid w:val="00A9663C"/>
    <w:rsid w:val="00A9681E"/>
    <w:rsid w:val="00A96A38"/>
    <w:rsid w:val="00A96CDB"/>
    <w:rsid w:val="00A96E4B"/>
    <w:rsid w:val="00A97670"/>
    <w:rsid w:val="00A97948"/>
    <w:rsid w:val="00A97B74"/>
    <w:rsid w:val="00A97B82"/>
    <w:rsid w:val="00A97E96"/>
    <w:rsid w:val="00AA007A"/>
    <w:rsid w:val="00AA0235"/>
    <w:rsid w:val="00AA02FE"/>
    <w:rsid w:val="00AA0D6A"/>
    <w:rsid w:val="00AA0E8A"/>
    <w:rsid w:val="00AA12B3"/>
    <w:rsid w:val="00AA12C5"/>
    <w:rsid w:val="00AA16B2"/>
    <w:rsid w:val="00AA1C89"/>
    <w:rsid w:val="00AA1E89"/>
    <w:rsid w:val="00AA255D"/>
    <w:rsid w:val="00AA274B"/>
    <w:rsid w:val="00AA353F"/>
    <w:rsid w:val="00AA35B4"/>
    <w:rsid w:val="00AA3603"/>
    <w:rsid w:val="00AA360F"/>
    <w:rsid w:val="00AA3B49"/>
    <w:rsid w:val="00AA3B57"/>
    <w:rsid w:val="00AA3D53"/>
    <w:rsid w:val="00AA46F0"/>
    <w:rsid w:val="00AA4DB7"/>
    <w:rsid w:val="00AA4DD2"/>
    <w:rsid w:val="00AA4E64"/>
    <w:rsid w:val="00AA5069"/>
    <w:rsid w:val="00AA5443"/>
    <w:rsid w:val="00AA5CF6"/>
    <w:rsid w:val="00AA5F1A"/>
    <w:rsid w:val="00AA603A"/>
    <w:rsid w:val="00AA607B"/>
    <w:rsid w:val="00AA6586"/>
    <w:rsid w:val="00AA685A"/>
    <w:rsid w:val="00AA6C3C"/>
    <w:rsid w:val="00AA7225"/>
    <w:rsid w:val="00AA73C3"/>
    <w:rsid w:val="00AA756E"/>
    <w:rsid w:val="00AA75F7"/>
    <w:rsid w:val="00AA76F1"/>
    <w:rsid w:val="00AA7713"/>
    <w:rsid w:val="00AA78B4"/>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E40"/>
    <w:rsid w:val="00AB3FBA"/>
    <w:rsid w:val="00AB424B"/>
    <w:rsid w:val="00AB47DC"/>
    <w:rsid w:val="00AB4E79"/>
    <w:rsid w:val="00AB4E9F"/>
    <w:rsid w:val="00AB506E"/>
    <w:rsid w:val="00AB5493"/>
    <w:rsid w:val="00AB54D6"/>
    <w:rsid w:val="00AB5666"/>
    <w:rsid w:val="00AB5CDF"/>
    <w:rsid w:val="00AB60E2"/>
    <w:rsid w:val="00AB63B3"/>
    <w:rsid w:val="00AB6B3F"/>
    <w:rsid w:val="00AB6D65"/>
    <w:rsid w:val="00AB6E87"/>
    <w:rsid w:val="00AB6FFE"/>
    <w:rsid w:val="00AB7A2F"/>
    <w:rsid w:val="00AC00C4"/>
    <w:rsid w:val="00AC0529"/>
    <w:rsid w:val="00AC07DD"/>
    <w:rsid w:val="00AC0901"/>
    <w:rsid w:val="00AC098A"/>
    <w:rsid w:val="00AC0A1D"/>
    <w:rsid w:val="00AC0B0B"/>
    <w:rsid w:val="00AC0CE2"/>
    <w:rsid w:val="00AC126F"/>
    <w:rsid w:val="00AC15D6"/>
    <w:rsid w:val="00AC1736"/>
    <w:rsid w:val="00AC190C"/>
    <w:rsid w:val="00AC1B8A"/>
    <w:rsid w:val="00AC1C55"/>
    <w:rsid w:val="00AC1D2B"/>
    <w:rsid w:val="00AC1E98"/>
    <w:rsid w:val="00AC210F"/>
    <w:rsid w:val="00AC27FF"/>
    <w:rsid w:val="00AC2A31"/>
    <w:rsid w:val="00AC2AD1"/>
    <w:rsid w:val="00AC2D21"/>
    <w:rsid w:val="00AC2F92"/>
    <w:rsid w:val="00AC3010"/>
    <w:rsid w:val="00AC315E"/>
    <w:rsid w:val="00AC319E"/>
    <w:rsid w:val="00AC328F"/>
    <w:rsid w:val="00AC35FD"/>
    <w:rsid w:val="00AC3685"/>
    <w:rsid w:val="00AC3B80"/>
    <w:rsid w:val="00AC3BD6"/>
    <w:rsid w:val="00AC3D80"/>
    <w:rsid w:val="00AC3F70"/>
    <w:rsid w:val="00AC42ED"/>
    <w:rsid w:val="00AC446F"/>
    <w:rsid w:val="00AC4659"/>
    <w:rsid w:val="00AC48B8"/>
    <w:rsid w:val="00AC4BB9"/>
    <w:rsid w:val="00AC4CC2"/>
    <w:rsid w:val="00AC588C"/>
    <w:rsid w:val="00AC5B1B"/>
    <w:rsid w:val="00AC5D5A"/>
    <w:rsid w:val="00AC5D6E"/>
    <w:rsid w:val="00AC624F"/>
    <w:rsid w:val="00AC63D5"/>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898"/>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A7"/>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5DF8"/>
    <w:rsid w:val="00AF6110"/>
    <w:rsid w:val="00AF6226"/>
    <w:rsid w:val="00AF63E9"/>
    <w:rsid w:val="00AF6425"/>
    <w:rsid w:val="00AF646E"/>
    <w:rsid w:val="00AF685D"/>
    <w:rsid w:val="00AF6AC6"/>
    <w:rsid w:val="00AF7095"/>
    <w:rsid w:val="00AF70D8"/>
    <w:rsid w:val="00AF719C"/>
    <w:rsid w:val="00AF71C9"/>
    <w:rsid w:val="00AF72E9"/>
    <w:rsid w:val="00AF7D99"/>
    <w:rsid w:val="00AF7DAA"/>
    <w:rsid w:val="00AF7E82"/>
    <w:rsid w:val="00B00014"/>
    <w:rsid w:val="00B00017"/>
    <w:rsid w:val="00B00611"/>
    <w:rsid w:val="00B013E3"/>
    <w:rsid w:val="00B01F1F"/>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D41"/>
    <w:rsid w:val="00B04FD7"/>
    <w:rsid w:val="00B05316"/>
    <w:rsid w:val="00B05686"/>
    <w:rsid w:val="00B06224"/>
    <w:rsid w:val="00B065B9"/>
    <w:rsid w:val="00B067BF"/>
    <w:rsid w:val="00B0684A"/>
    <w:rsid w:val="00B06BA4"/>
    <w:rsid w:val="00B06BDC"/>
    <w:rsid w:val="00B06C9E"/>
    <w:rsid w:val="00B0770C"/>
    <w:rsid w:val="00B07D14"/>
    <w:rsid w:val="00B07DB8"/>
    <w:rsid w:val="00B10118"/>
    <w:rsid w:val="00B101C7"/>
    <w:rsid w:val="00B101E6"/>
    <w:rsid w:val="00B10367"/>
    <w:rsid w:val="00B10737"/>
    <w:rsid w:val="00B10D0C"/>
    <w:rsid w:val="00B10D51"/>
    <w:rsid w:val="00B10D6B"/>
    <w:rsid w:val="00B11706"/>
    <w:rsid w:val="00B11B1B"/>
    <w:rsid w:val="00B11B7E"/>
    <w:rsid w:val="00B11BAA"/>
    <w:rsid w:val="00B11BCB"/>
    <w:rsid w:val="00B11D09"/>
    <w:rsid w:val="00B11E11"/>
    <w:rsid w:val="00B11E5A"/>
    <w:rsid w:val="00B1232A"/>
    <w:rsid w:val="00B13013"/>
    <w:rsid w:val="00B130FC"/>
    <w:rsid w:val="00B1325A"/>
    <w:rsid w:val="00B1361C"/>
    <w:rsid w:val="00B1372B"/>
    <w:rsid w:val="00B13C94"/>
    <w:rsid w:val="00B13DCB"/>
    <w:rsid w:val="00B1479E"/>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F6B"/>
    <w:rsid w:val="00B17D28"/>
    <w:rsid w:val="00B17EC5"/>
    <w:rsid w:val="00B17FBC"/>
    <w:rsid w:val="00B20C13"/>
    <w:rsid w:val="00B20CCB"/>
    <w:rsid w:val="00B20FDA"/>
    <w:rsid w:val="00B22173"/>
    <w:rsid w:val="00B221B5"/>
    <w:rsid w:val="00B2234B"/>
    <w:rsid w:val="00B223EF"/>
    <w:rsid w:val="00B2283A"/>
    <w:rsid w:val="00B2324E"/>
    <w:rsid w:val="00B238E4"/>
    <w:rsid w:val="00B23A6B"/>
    <w:rsid w:val="00B23C92"/>
    <w:rsid w:val="00B243B0"/>
    <w:rsid w:val="00B2462E"/>
    <w:rsid w:val="00B2484E"/>
    <w:rsid w:val="00B249E4"/>
    <w:rsid w:val="00B249FC"/>
    <w:rsid w:val="00B24CE9"/>
    <w:rsid w:val="00B25147"/>
    <w:rsid w:val="00B254B8"/>
    <w:rsid w:val="00B2564E"/>
    <w:rsid w:val="00B259DE"/>
    <w:rsid w:val="00B25C8C"/>
    <w:rsid w:val="00B268A9"/>
    <w:rsid w:val="00B27212"/>
    <w:rsid w:val="00B27740"/>
    <w:rsid w:val="00B27975"/>
    <w:rsid w:val="00B27FC2"/>
    <w:rsid w:val="00B30D78"/>
    <w:rsid w:val="00B31035"/>
    <w:rsid w:val="00B3121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E42"/>
    <w:rsid w:val="00B34F90"/>
    <w:rsid w:val="00B34FFF"/>
    <w:rsid w:val="00B35056"/>
    <w:rsid w:val="00B3514C"/>
    <w:rsid w:val="00B35386"/>
    <w:rsid w:val="00B35392"/>
    <w:rsid w:val="00B35BC4"/>
    <w:rsid w:val="00B36704"/>
    <w:rsid w:val="00B3678D"/>
    <w:rsid w:val="00B3693B"/>
    <w:rsid w:val="00B36C36"/>
    <w:rsid w:val="00B36E37"/>
    <w:rsid w:val="00B37514"/>
    <w:rsid w:val="00B37728"/>
    <w:rsid w:val="00B37935"/>
    <w:rsid w:val="00B37E37"/>
    <w:rsid w:val="00B37E88"/>
    <w:rsid w:val="00B4020A"/>
    <w:rsid w:val="00B404C4"/>
    <w:rsid w:val="00B40949"/>
    <w:rsid w:val="00B40BEA"/>
    <w:rsid w:val="00B41288"/>
    <w:rsid w:val="00B41B52"/>
    <w:rsid w:val="00B4291E"/>
    <w:rsid w:val="00B42ADE"/>
    <w:rsid w:val="00B42EA7"/>
    <w:rsid w:val="00B42F07"/>
    <w:rsid w:val="00B432C6"/>
    <w:rsid w:val="00B4338B"/>
    <w:rsid w:val="00B435E3"/>
    <w:rsid w:val="00B43827"/>
    <w:rsid w:val="00B43C7F"/>
    <w:rsid w:val="00B43E60"/>
    <w:rsid w:val="00B43EEA"/>
    <w:rsid w:val="00B44205"/>
    <w:rsid w:val="00B444AF"/>
    <w:rsid w:val="00B4455A"/>
    <w:rsid w:val="00B449E9"/>
    <w:rsid w:val="00B44C94"/>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B0"/>
    <w:rsid w:val="00B476E0"/>
    <w:rsid w:val="00B47896"/>
    <w:rsid w:val="00B47954"/>
    <w:rsid w:val="00B47BF7"/>
    <w:rsid w:val="00B47C01"/>
    <w:rsid w:val="00B50765"/>
    <w:rsid w:val="00B50A40"/>
    <w:rsid w:val="00B50E9E"/>
    <w:rsid w:val="00B51177"/>
    <w:rsid w:val="00B51B18"/>
    <w:rsid w:val="00B51D59"/>
    <w:rsid w:val="00B51E1A"/>
    <w:rsid w:val="00B5230B"/>
    <w:rsid w:val="00B528DF"/>
    <w:rsid w:val="00B529FF"/>
    <w:rsid w:val="00B52ABC"/>
    <w:rsid w:val="00B52BE4"/>
    <w:rsid w:val="00B52E18"/>
    <w:rsid w:val="00B53547"/>
    <w:rsid w:val="00B53597"/>
    <w:rsid w:val="00B53784"/>
    <w:rsid w:val="00B537EF"/>
    <w:rsid w:val="00B54690"/>
    <w:rsid w:val="00B54767"/>
    <w:rsid w:val="00B5494B"/>
    <w:rsid w:val="00B54A2D"/>
    <w:rsid w:val="00B54C75"/>
    <w:rsid w:val="00B550D8"/>
    <w:rsid w:val="00B55114"/>
    <w:rsid w:val="00B5524F"/>
    <w:rsid w:val="00B55322"/>
    <w:rsid w:val="00B55A8B"/>
    <w:rsid w:val="00B55BA9"/>
    <w:rsid w:val="00B55D3E"/>
    <w:rsid w:val="00B56F38"/>
    <w:rsid w:val="00B5711C"/>
    <w:rsid w:val="00B574D1"/>
    <w:rsid w:val="00B57642"/>
    <w:rsid w:val="00B5791A"/>
    <w:rsid w:val="00B57921"/>
    <w:rsid w:val="00B57938"/>
    <w:rsid w:val="00B57B8D"/>
    <w:rsid w:val="00B60122"/>
    <w:rsid w:val="00B60B8C"/>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3B5B"/>
    <w:rsid w:val="00B646A9"/>
    <w:rsid w:val="00B64AA0"/>
    <w:rsid w:val="00B64C7F"/>
    <w:rsid w:val="00B651B5"/>
    <w:rsid w:val="00B65AF3"/>
    <w:rsid w:val="00B6634B"/>
    <w:rsid w:val="00B66381"/>
    <w:rsid w:val="00B663F1"/>
    <w:rsid w:val="00B6684C"/>
    <w:rsid w:val="00B67097"/>
    <w:rsid w:val="00B670BA"/>
    <w:rsid w:val="00B67271"/>
    <w:rsid w:val="00B6729F"/>
    <w:rsid w:val="00B676E1"/>
    <w:rsid w:val="00B7006C"/>
    <w:rsid w:val="00B706E2"/>
    <w:rsid w:val="00B70A8C"/>
    <w:rsid w:val="00B720D4"/>
    <w:rsid w:val="00B721B4"/>
    <w:rsid w:val="00B7222D"/>
    <w:rsid w:val="00B7267A"/>
    <w:rsid w:val="00B72988"/>
    <w:rsid w:val="00B730C2"/>
    <w:rsid w:val="00B7361F"/>
    <w:rsid w:val="00B73788"/>
    <w:rsid w:val="00B73E05"/>
    <w:rsid w:val="00B742DF"/>
    <w:rsid w:val="00B747F1"/>
    <w:rsid w:val="00B74BA0"/>
    <w:rsid w:val="00B74E9A"/>
    <w:rsid w:val="00B753C2"/>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5FE"/>
    <w:rsid w:val="00B77A40"/>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ADF"/>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68"/>
    <w:rsid w:val="00B923CA"/>
    <w:rsid w:val="00B925CD"/>
    <w:rsid w:val="00B92825"/>
    <w:rsid w:val="00B92B39"/>
    <w:rsid w:val="00B93311"/>
    <w:rsid w:val="00B9360C"/>
    <w:rsid w:val="00B93798"/>
    <w:rsid w:val="00B937BA"/>
    <w:rsid w:val="00B93801"/>
    <w:rsid w:val="00B93809"/>
    <w:rsid w:val="00B938DC"/>
    <w:rsid w:val="00B940D0"/>
    <w:rsid w:val="00B941ED"/>
    <w:rsid w:val="00B94335"/>
    <w:rsid w:val="00B944A0"/>
    <w:rsid w:val="00B94569"/>
    <w:rsid w:val="00B94873"/>
    <w:rsid w:val="00B94879"/>
    <w:rsid w:val="00B94887"/>
    <w:rsid w:val="00B94D92"/>
    <w:rsid w:val="00B95273"/>
    <w:rsid w:val="00B957B9"/>
    <w:rsid w:val="00B9593A"/>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29E"/>
    <w:rsid w:val="00BA0485"/>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8E"/>
    <w:rsid w:val="00BA40EA"/>
    <w:rsid w:val="00BA4C59"/>
    <w:rsid w:val="00BA4C9E"/>
    <w:rsid w:val="00BA4EC4"/>
    <w:rsid w:val="00BA55A6"/>
    <w:rsid w:val="00BA56C3"/>
    <w:rsid w:val="00BA60C8"/>
    <w:rsid w:val="00BA659D"/>
    <w:rsid w:val="00BA65E5"/>
    <w:rsid w:val="00BA68D1"/>
    <w:rsid w:val="00BA6CEE"/>
    <w:rsid w:val="00BA7075"/>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5C5"/>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6DE6"/>
    <w:rsid w:val="00BB702E"/>
    <w:rsid w:val="00BB7751"/>
    <w:rsid w:val="00BB7B9C"/>
    <w:rsid w:val="00BB7BC5"/>
    <w:rsid w:val="00BC09FB"/>
    <w:rsid w:val="00BC0A2C"/>
    <w:rsid w:val="00BC0A61"/>
    <w:rsid w:val="00BC1E27"/>
    <w:rsid w:val="00BC208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1A4"/>
    <w:rsid w:val="00BC5799"/>
    <w:rsid w:val="00BC5F9A"/>
    <w:rsid w:val="00BC6254"/>
    <w:rsid w:val="00BC65C6"/>
    <w:rsid w:val="00BC695E"/>
    <w:rsid w:val="00BC6E8B"/>
    <w:rsid w:val="00BC6EBC"/>
    <w:rsid w:val="00BC72DD"/>
    <w:rsid w:val="00BC7606"/>
    <w:rsid w:val="00BC79D1"/>
    <w:rsid w:val="00BC7D96"/>
    <w:rsid w:val="00BD01BF"/>
    <w:rsid w:val="00BD0B1B"/>
    <w:rsid w:val="00BD0BB6"/>
    <w:rsid w:val="00BD11D4"/>
    <w:rsid w:val="00BD13E7"/>
    <w:rsid w:val="00BD1464"/>
    <w:rsid w:val="00BD165F"/>
    <w:rsid w:val="00BD1940"/>
    <w:rsid w:val="00BD1BDE"/>
    <w:rsid w:val="00BD1BE0"/>
    <w:rsid w:val="00BD1BF9"/>
    <w:rsid w:val="00BD1C60"/>
    <w:rsid w:val="00BD21B0"/>
    <w:rsid w:val="00BD21E6"/>
    <w:rsid w:val="00BD25E4"/>
    <w:rsid w:val="00BD2853"/>
    <w:rsid w:val="00BD2F79"/>
    <w:rsid w:val="00BD3737"/>
    <w:rsid w:val="00BD39CA"/>
    <w:rsid w:val="00BD3D24"/>
    <w:rsid w:val="00BD469D"/>
    <w:rsid w:val="00BD49FD"/>
    <w:rsid w:val="00BD4A85"/>
    <w:rsid w:val="00BD4B1A"/>
    <w:rsid w:val="00BD4D8D"/>
    <w:rsid w:val="00BD5C5C"/>
    <w:rsid w:val="00BD5F27"/>
    <w:rsid w:val="00BD62E0"/>
    <w:rsid w:val="00BD640F"/>
    <w:rsid w:val="00BD6551"/>
    <w:rsid w:val="00BD67FF"/>
    <w:rsid w:val="00BD6A77"/>
    <w:rsid w:val="00BD6C77"/>
    <w:rsid w:val="00BD6C86"/>
    <w:rsid w:val="00BD6EEE"/>
    <w:rsid w:val="00BD7B2F"/>
    <w:rsid w:val="00BD7B3E"/>
    <w:rsid w:val="00BD7C26"/>
    <w:rsid w:val="00BD7DD8"/>
    <w:rsid w:val="00BE0086"/>
    <w:rsid w:val="00BE0854"/>
    <w:rsid w:val="00BE0A04"/>
    <w:rsid w:val="00BE0C60"/>
    <w:rsid w:val="00BE0CA9"/>
    <w:rsid w:val="00BE1650"/>
    <w:rsid w:val="00BE1FDD"/>
    <w:rsid w:val="00BE206D"/>
    <w:rsid w:val="00BE24E5"/>
    <w:rsid w:val="00BE27F2"/>
    <w:rsid w:val="00BE2855"/>
    <w:rsid w:val="00BE2ACF"/>
    <w:rsid w:val="00BE2FE9"/>
    <w:rsid w:val="00BE36E0"/>
    <w:rsid w:val="00BE3C8B"/>
    <w:rsid w:val="00BE3CCE"/>
    <w:rsid w:val="00BE3E6B"/>
    <w:rsid w:val="00BE3FDF"/>
    <w:rsid w:val="00BE409A"/>
    <w:rsid w:val="00BE4768"/>
    <w:rsid w:val="00BE48AD"/>
    <w:rsid w:val="00BE491C"/>
    <w:rsid w:val="00BE4D48"/>
    <w:rsid w:val="00BE5436"/>
    <w:rsid w:val="00BE5447"/>
    <w:rsid w:val="00BE55AE"/>
    <w:rsid w:val="00BE59A1"/>
    <w:rsid w:val="00BE5A5F"/>
    <w:rsid w:val="00BE6000"/>
    <w:rsid w:val="00BE63AF"/>
    <w:rsid w:val="00BE6BB4"/>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25C"/>
    <w:rsid w:val="00BF163E"/>
    <w:rsid w:val="00BF1AF1"/>
    <w:rsid w:val="00BF1CBD"/>
    <w:rsid w:val="00BF1FD8"/>
    <w:rsid w:val="00BF20E8"/>
    <w:rsid w:val="00BF2C44"/>
    <w:rsid w:val="00BF2D81"/>
    <w:rsid w:val="00BF30EC"/>
    <w:rsid w:val="00BF3782"/>
    <w:rsid w:val="00BF38CD"/>
    <w:rsid w:val="00BF38DC"/>
    <w:rsid w:val="00BF3BCA"/>
    <w:rsid w:val="00BF3E12"/>
    <w:rsid w:val="00BF5997"/>
    <w:rsid w:val="00BF59CA"/>
    <w:rsid w:val="00BF5BDD"/>
    <w:rsid w:val="00BF5C35"/>
    <w:rsid w:val="00BF5C7E"/>
    <w:rsid w:val="00BF6050"/>
    <w:rsid w:val="00BF63B6"/>
    <w:rsid w:val="00BF66EE"/>
    <w:rsid w:val="00BF71A3"/>
    <w:rsid w:val="00BF71A9"/>
    <w:rsid w:val="00BF75A1"/>
    <w:rsid w:val="00BF7680"/>
    <w:rsid w:val="00BF796C"/>
    <w:rsid w:val="00BF7A2C"/>
    <w:rsid w:val="00BF7A2E"/>
    <w:rsid w:val="00BF7A78"/>
    <w:rsid w:val="00BF7E8C"/>
    <w:rsid w:val="00C0018A"/>
    <w:rsid w:val="00C0037D"/>
    <w:rsid w:val="00C003B9"/>
    <w:rsid w:val="00C003D5"/>
    <w:rsid w:val="00C00905"/>
    <w:rsid w:val="00C00A7C"/>
    <w:rsid w:val="00C0104C"/>
    <w:rsid w:val="00C01170"/>
    <w:rsid w:val="00C01370"/>
    <w:rsid w:val="00C013AB"/>
    <w:rsid w:val="00C0156D"/>
    <w:rsid w:val="00C01892"/>
    <w:rsid w:val="00C01BBB"/>
    <w:rsid w:val="00C01FD1"/>
    <w:rsid w:val="00C024A5"/>
    <w:rsid w:val="00C02CE1"/>
    <w:rsid w:val="00C02D1E"/>
    <w:rsid w:val="00C0314D"/>
    <w:rsid w:val="00C0331F"/>
    <w:rsid w:val="00C035B5"/>
    <w:rsid w:val="00C036AC"/>
    <w:rsid w:val="00C03865"/>
    <w:rsid w:val="00C03D5A"/>
    <w:rsid w:val="00C047AC"/>
    <w:rsid w:val="00C04A19"/>
    <w:rsid w:val="00C05276"/>
    <w:rsid w:val="00C054A3"/>
    <w:rsid w:val="00C05622"/>
    <w:rsid w:val="00C0582D"/>
    <w:rsid w:val="00C05851"/>
    <w:rsid w:val="00C05ECD"/>
    <w:rsid w:val="00C06BEC"/>
    <w:rsid w:val="00C07620"/>
    <w:rsid w:val="00C07AB6"/>
    <w:rsid w:val="00C07ACB"/>
    <w:rsid w:val="00C102AF"/>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547"/>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BB4"/>
    <w:rsid w:val="00C23F47"/>
    <w:rsid w:val="00C23FC4"/>
    <w:rsid w:val="00C242B0"/>
    <w:rsid w:val="00C242C1"/>
    <w:rsid w:val="00C24589"/>
    <w:rsid w:val="00C246AB"/>
    <w:rsid w:val="00C24707"/>
    <w:rsid w:val="00C24792"/>
    <w:rsid w:val="00C24839"/>
    <w:rsid w:val="00C24D35"/>
    <w:rsid w:val="00C2525E"/>
    <w:rsid w:val="00C2584D"/>
    <w:rsid w:val="00C25F77"/>
    <w:rsid w:val="00C26159"/>
    <w:rsid w:val="00C2629C"/>
    <w:rsid w:val="00C262ED"/>
    <w:rsid w:val="00C265C9"/>
    <w:rsid w:val="00C2664A"/>
    <w:rsid w:val="00C26968"/>
    <w:rsid w:val="00C26A69"/>
    <w:rsid w:val="00C27037"/>
    <w:rsid w:val="00C277DA"/>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5F0A"/>
    <w:rsid w:val="00C3616F"/>
    <w:rsid w:val="00C36691"/>
    <w:rsid w:val="00C366C6"/>
    <w:rsid w:val="00C36A9F"/>
    <w:rsid w:val="00C374C1"/>
    <w:rsid w:val="00C37611"/>
    <w:rsid w:val="00C37666"/>
    <w:rsid w:val="00C37B9E"/>
    <w:rsid w:val="00C37CF3"/>
    <w:rsid w:val="00C40013"/>
    <w:rsid w:val="00C411E9"/>
    <w:rsid w:val="00C416FD"/>
    <w:rsid w:val="00C417CC"/>
    <w:rsid w:val="00C417F5"/>
    <w:rsid w:val="00C41AFB"/>
    <w:rsid w:val="00C41C84"/>
    <w:rsid w:val="00C41DF7"/>
    <w:rsid w:val="00C41E33"/>
    <w:rsid w:val="00C41F79"/>
    <w:rsid w:val="00C422FF"/>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5C62"/>
    <w:rsid w:val="00C45E7D"/>
    <w:rsid w:val="00C4684C"/>
    <w:rsid w:val="00C469F2"/>
    <w:rsid w:val="00C46D29"/>
    <w:rsid w:val="00C46E19"/>
    <w:rsid w:val="00C47541"/>
    <w:rsid w:val="00C475C7"/>
    <w:rsid w:val="00C47601"/>
    <w:rsid w:val="00C478DA"/>
    <w:rsid w:val="00C47DF2"/>
    <w:rsid w:val="00C50AAE"/>
    <w:rsid w:val="00C5119C"/>
    <w:rsid w:val="00C513EA"/>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B7"/>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6C2"/>
    <w:rsid w:val="00C67950"/>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620"/>
    <w:rsid w:val="00C73779"/>
    <w:rsid w:val="00C73AB0"/>
    <w:rsid w:val="00C73D66"/>
    <w:rsid w:val="00C74167"/>
    <w:rsid w:val="00C741D2"/>
    <w:rsid w:val="00C7486E"/>
    <w:rsid w:val="00C74929"/>
    <w:rsid w:val="00C74D98"/>
    <w:rsid w:val="00C75357"/>
    <w:rsid w:val="00C754E3"/>
    <w:rsid w:val="00C7574B"/>
    <w:rsid w:val="00C757AE"/>
    <w:rsid w:val="00C758BD"/>
    <w:rsid w:val="00C75A6D"/>
    <w:rsid w:val="00C75CEB"/>
    <w:rsid w:val="00C75D23"/>
    <w:rsid w:val="00C76268"/>
    <w:rsid w:val="00C76624"/>
    <w:rsid w:val="00C76661"/>
    <w:rsid w:val="00C7692D"/>
    <w:rsid w:val="00C76AAF"/>
    <w:rsid w:val="00C76C46"/>
    <w:rsid w:val="00C76E35"/>
    <w:rsid w:val="00C77478"/>
    <w:rsid w:val="00C774A1"/>
    <w:rsid w:val="00C775A0"/>
    <w:rsid w:val="00C80C41"/>
    <w:rsid w:val="00C80CEF"/>
    <w:rsid w:val="00C80E40"/>
    <w:rsid w:val="00C80FC0"/>
    <w:rsid w:val="00C81120"/>
    <w:rsid w:val="00C81432"/>
    <w:rsid w:val="00C828B8"/>
    <w:rsid w:val="00C82958"/>
    <w:rsid w:val="00C82994"/>
    <w:rsid w:val="00C82E07"/>
    <w:rsid w:val="00C82EC5"/>
    <w:rsid w:val="00C83041"/>
    <w:rsid w:val="00C838C3"/>
    <w:rsid w:val="00C84400"/>
    <w:rsid w:val="00C8452A"/>
    <w:rsid w:val="00C848A7"/>
    <w:rsid w:val="00C849C0"/>
    <w:rsid w:val="00C84A1E"/>
    <w:rsid w:val="00C84F2E"/>
    <w:rsid w:val="00C85035"/>
    <w:rsid w:val="00C851F6"/>
    <w:rsid w:val="00C858FF"/>
    <w:rsid w:val="00C859DC"/>
    <w:rsid w:val="00C85AE0"/>
    <w:rsid w:val="00C85E30"/>
    <w:rsid w:val="00C86BFA"/>
    <w:rsid w:val="00C86E8E"/>
    <w:rsid w:val="00C8712F"/>
    <w:rsid w:val="00C876A0"/>
    <w:rsid w:val="00C8779F"/>
    <w:rsid w:val="00C878CA"/>
    <w:rsid w:val="00C87AF2"/>
    <w:rsid w:val="00C87B57"/>
    <w:rsid w:val="00C87FC6"/>
    <w:rsid w:val="00C908C6"/>
    <w:rsid w:val="00C90B42"/>
    <w:rsid w:val="00C91074"/>
    <w:rsid w:val="00C9182B"/>
    <w:rsid w:val="00C91C5F"/>
    <w:rsid w:val="00C9213E"/>
    <w:rsid w:val="00C922C3"/>
    <w:rsid w:val="00C924B2"/>
    <w:rsid w:val="00C9255D"/>
    <w:rsid w:val="00C9296C"/>
    <w:rsid w:val="00C92DFF"/>
    <w:rsid w:val="00C92E0B"/>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6B8E"/>
    <w:rsid w:val="00C970A1"/>
    <w:rsid w:val="00C97397"/>
    <w:rsid w:val="00C975E6"/>
    <w:rsid w:val="00C978FE"/>
    <w:rsid w:val="00C97D48"/>
    <w:rsid w:val="00C97EAC"/>
    <w:rsid w:val="00CA0C2D"/>
    <w:rsid w:val="00CA0E9B"/>
    <w:rsid w:val="00CA10D0"/>
    <w:rsid w:val="00CA1333"/>
    <w:rsid w:val="00CA13DE"/>
    <w:rsid w:val="00CA1458"/>
    <w:rsid w:val="00CA14F6"/>
    <w:rsid w:val="00CA175E"/>
    <w:rsid w:val="00CA19A9"/>
    <w:rsid w:val="00CA1B16"/>
    <w:rsid w:val="00CA1E51"/>
    <w:rsid w:val="00CA21A9"/>
    <w:rsid w:val="00CA3B80"/>
    <w:rsid w:val="00CA43F9"/>
    <w:rsid w:val="00CA4458"/>
    <w:rsid w:val="00CA45FC"/>
    <w:rsid w:val="00CA46E0"/>
    <w:rsid w:val="00CA481F"/>
    <w:rsid w:val="00CA487E"/>
    <w:rsid w:val="00CA516C"/>
    <w:rsid w:val="00CA52B2"/>
    <w:rsid w:val="00CA56C5"/>
    <w:rsid w:val="00CA59C2"/>
    <w:rsid w:val="00CA5C47"/>
    <w:rsid w:val="00CA5C82"/>
    <w:rsid w:val="00CA62EE"/>
    <w:rsid w:val="00CA65EF"/>
    <w:rsid w:val="00CA6647"/>
    <w:rsid w:val="00CA679A"/>
    <w:rsid w:val="00CA729C"/>
    <w:rsid w:val="00CA7414"/>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99"/>
    <w:rsid w:val="00CB0CE9"/>
    <w:rsid w:val="00CB0F2D"/>
    <w:rsid w:val="00CB11FB"/>
    <w:rsid w:val="00CB131F"/>
    <w:rsid w:val="00CB1320"/>
    <w:rsid w:val="00CB16C4"/>
    <w:rsid w:val="00CB1A00"/>
    <w:rsid w:val="00CB1E5E"/>
    <w:rsid w:val="00CB2121"/>
    <w:rsid w:val="00CB21AF"/>
    <w:rsid w:val="00CB221C"/>
    <w:rsid w:val="00CB2476"/>
    <w:rsid w:val="00CB2B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5F"/>
    <w:rsid w:val="00CB53F8"/>
    <w:rsid w:val="00CB544A"/>
    <w:rsid w:val="00CB5E59"/>
    <w:rsid w:val="00CB5FF4"/>
    <w:rsid w:val="00CB603C"/>
    <w:rsid w:val="00CB6272"/>
    <w:rsid w:val="00CB6B3F"/>
    <w:rsid w:val="00CB6C9D"/>
    <w:rsid w:val="00CB7418"/>
    <w:rsid w:val="00CB7A7D"/>
    <w:rsid w:val="00CB7C49"/>
    <w:rsid w:val="00CB7EC4"/>
    <w:rsid w:val="00CC01EB"/>
    <w:rsid w:val="00CC03FB"/>
    <w:rsid w:val="00CC0670"/>
    <w:rsid w:val="00CC0743"/>
    <w:rsid w:val="00CC0BBE"/>
    <w:rsid w:val="00CC100B"/>
    <w:rsid w:val="00CC1311"/>
    <w:rsid w:val="00CC1690"/>
    <w:rsid w:val="00CC1969"/>
    <w:rsid w:val="00CC19DE"/>
    <w:rsid w:val="00CC2213"/>
    <w:rsid w:val="00CC2221"/>
    <w:rsid w:val="00CC23B3"/>
    <w:rsid w:val="00CC27FE"/>
    <w:rsid w:val="00CC2995"/>
    <w:rsid w:val="00CC2A78"/>
    <w:rsid w:val="00CC2D98"/>
    <w:rsid w:val="00CC2E06"/>
    <w:rsid w:val="00CC3066"/>
    <w:rsid w:val="00CC367D"/>
    <w:rsid w:val="00CC3A33"/>
    <w:rsid w:val="00CC3D23"/>
    <w:rsid w:val="00CC3D91"/>
    <w:rsid w:val="00CC3FB6"/>
    <w:rsid w:val="00CC4210"/>
    <w:rsid w:val="00CC4238"/>
    <w:rsid w:val="00CC44F1"/>
    <w:rsid w:val="00CC44FE"/>
    <w:rsid w:val="00CC4921"/>
    <w:rsid w:val="00CC5431"/>
    <w:rsid w:val="00CC5476"/>
    <w:rsid w:val="00CC644D"/>
    <w:rsid w:val="00CC658D"/>
    <w:rsid w:val="00CC665A"/>
    <w:rsid w:val="00CC67EC"/>
    <w:rsid w:val="00CC6D92"/>
    <w:rsid w:val="00CC6FB8"/>
    <w:rsid w:val="00CC717B"/>
    <w:rsid w:val="00CC718D"/>
    <w:rsid w:val="00CC7210"/>
    <w:rsid w:val="00CC74A2"/>
    <w:rsid w:val="00CC7763"/>
    <w:rsid w:val="00CC779C"/>
    <w:rsid w:val="00CC77A2"/>
    <w:rsid w:val="00CC7C4B"/>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A73"/>
    <w:rsid w:val="00CD4CB3"/>
    <w:rsid w:val="00CD4F23"/>
    <w:rsid w:val="00CD4FC6"/>
    <w:rsid w:val="00CD520E"/>
    <w:rsid w:val="00CD5217"/>
    <w:rsid w:val="00CD5288"/>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D7FF3"/>
    <w:rsid w:val="00CE0097"/>
    <w:rsid w:val="00CE04A0"/>
    <w:rsid w:val="00CE04BA"/>
    <w:rsid w:val="00CE06BD"/>
    <w:rsid w:val="00CE07A2"/>
    <w:rsid w:val="00CE0855"/>
    <w:rsid w:val="00CE0B9C"/>
    <w:rsid w:val="00CE1AAD"/>
    <w:rsid w:val="00CE23B9"/>
    <w:rsid w:val="00CE23BA"/>
    <w:rsid w:val="00CE265B"/>
    <w:rsid w:val="00CE3042"/>
    <w:rsid w:val="00CE30A7"/>
    <w:rsid w:val="00CE30B0"/>
    <w:rsid w:val="00CE30E6"/>
    <w:rsid w:val="00CE333D"/>
    <w:rsid w:val="00CE341F"/>
    <w:rsid w:val="00CE345F"/>
    <w:rsid w:val="00CE34DC"/>
    <w:rsid w:val="00CE366B"/>
    <w:rsid w:val="00CE368B"/>
    <w:rsid w:val="00CE36DD"/>
    <w:rsid w:val="00CE3BF2"/>
    <w:rsid w:val="00CE3F11"/>
    <w:rsid w:val="00CE476B"/>
    <w:rsid w:val="00CE4BBB"/>
    <w:rsid w:val="00CE4D3C"/>
    <w:rsid w:val="00CE4D54"/>
    <w:rsid w:val="00CE5899"/>
    <w:rsid w:val="00CE593A"/>
    <w:rsid w:val="00CE593C"/>
    <w:rsid w:val="00CE5E98"/>
    <w:rsid w:val="00CE5F30"/>
    <w:rsid w:val="00CE60CD"/>
    <w:rsid w:val="00CE69FC"/>
    <w:rsid w:val="00CE6CC6"/>
    <w:rsid w:val="00CE6E7E"/>
    <w:rsid w:val="00CE6E81"/>
    <w:rsid w:val="00CE6F59"/>
    <w:rsid w:val="00CF0219"/>
    <w:rsid w:val="00CF04B4"/>
    <w:rsid w:val="00CF05DB"/>
    <w:rsid w:val="00CF07B4"/>
    <w:rsid w:val="00CF0B33"/>
    <w:rsid w:val="00CF0B8C"/>
    <w:rsid w:val="00CF0FC4"/>
    <w:rsid w:val="00CF1089"/>
    <w:rsid w:val="00CF1C79"/>
    <w:rsid w:val="00CF1D89"/>
    <w:rsid w:val="00CF2121"/>
    <w:rsid w:val="00CF2157"/>
    <w:rsid w:val="00CF223A"/>
    <w:rsid w:val="00CF26C2"/>
    <w:rsid w:val="00CF2708"/>
    <w:rsid w:val="00CF2C08"/>
    <w:rsid w:val="00CF2C97"/>
    <w:rsid w:val="00CF2F64"/>
    <w:rsid w:val="00CF311A"/>
    <w:rsid w:val="00CF3359"/>
    <w:rsid w:val="00CF3400"/>
    <w:rsid w:val="00CF379F"/>
    <w:rsid w:val="00CF42DF"/>
    <w:rsid w:val="00CF4307"/>
    <w:rsid w:val="00CF570D"/>
    <w:rsid w:val="00CF6D3E"/>
    <w:rsid w:val="00CF7B62"/>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E1D"/>
    <w:rsid w:val="00D03E7A"/>
    <w:rsid w:val="00D04827"/>
    <w:rsid w:val="00D04EFF"/>
    <w:rsid w:val="00D051A6"/>
    <w:rsid w:val="00D051E5"/>
    <w:rsid w:val="00D05245"/>
    <w:rsid w:val="00D05307"/>
    <w:rsid w:val="00D0557D"/>
    <w:rsid w:val="00D05669"/>
    <w:rsid w:val="00D0630F"/>
    <w:rsid w:val="00D0673D"/>
    <w:rsid w:val="00D06878"/>
    <w:rsid w:val="00D06A55"/>
    <w:rsid w:val="00D06CBF"/>
    <w:rsid w:val="00D0713C"/>
    <w:rsid w:val="00D078C6"/>
    <w:rsid w:val="00D07FB4"/>
    <w:rsid w:val="00D1036E"/>
    <w:rsid w:val="00D1052A"/>
    <w:rsid w:val="00D1060A"/>
    <w:rsid w:val="00D106E6"/>
    <w:rsid w:val="00D107E7"/>
    <w:rsid w:val="00D10D0E"/>
    <w:rsid w:val="00D10D3B"/>
    <w:rsid w:val="00D10E7B"/>
    <w:rsid w:val="00D10E91"/>
    <w:rsid w:val="00D1105A"/>
    <w:rsid w:val="00D1137B"/>
    <w:rsid w:val="00D11DB6"/>
    <w:rsid w:val="00D12482"/>
    <w:rsid w:val="00D125BD"/>
    <w:rsid w:val="00D12700"/>
    <w:rsid w:val="00D1298F"/>
    <w:rsid w:val="00D12BB7"/>
    <w:rsid w:val="00D132D5"/>
    <w:rsid w:val="00D13621"/>
    <w:rsid w:val="00D13E53"/>
    <w:rsid w:val="00D14492"/>
    <w:rsid w:val="00D14D8A"/>
    <w:rsid w:val="00D151EA"/>
    <w:rsid w:val="00D15303"/>
    <w:rsid w:val="00D16051"/>
    <w:rsid w:val="00D160F7"/>
    <w:rsid w:val="00D16148"/>
    <w:rsid w:val="00D16297"/>
    <w:rsid w:val="00D168DB"/>
    <w:rsid w:val="00D16C83"/>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14B"/>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488"/>
    <w:rsid w:val="00D268D9"/>
    <w:rsid w:val="00D2692A"/>
    <w:rsid w:val="00D26A83"/>
    <w:rsid w:val="00D26D2F"/>
    <w:rsid w:val="00D26EF9"/>
    <w:rsid w:val="00D26F36"/>
    <w:rsid w:val="00D27232"/>
    <w:rsid w:val="00D278E5"/>
    <w:rsid w:val="00D278F4"/>
    <w:rsid w:val="00D27B83"/>
    <w:rsid w:val="00D27F2D"/>
    <w:rsid w:val="00D300C0"/>
    <w:rsid w:val="00D300E9"/>
    <w:rsid w:val="00D30118"/>
    <w:rsid w:val="00D30334"/>
    <w:rsid w:val="00D304CF"/>
    <w:rsid w:val="00D30814"/>
    <w:rsid w:val="00D3090A"/>
    <w:rsid w:val="00D30A00"/>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59B"/>
    <w:rsid w:val="00D34615"/>
    <w:rsid w:val="00D35357"/>
    <w:rsid w:val="00D353B4"/>
    <w:rsid w:val="00D35755"/>
    <w:rsid w:val="00D35D64"/>
    <w:rsid w:val="00D35D9E"/>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846"/>
    <w:rsid w:val="00D42B97"/>
    <w:rsid w:val="00D43096"/>
    <w:rsid w:val="00D4319E"/>
    <w:rsid w:val="00D43B5E"/>
    <w:rsid w:val="00D43BC4"/>
    <w:rsid w:val="00D43D89"/>
    <w:rsid w:val="00D43DE4"/>
    <w:rsid w:val="00D43F83"/>
    <w:rsid w:val="00D445E0"/>
    <w:rsid w:val="00D44715"/>
    <w:rsid w:val="00D44DEF"/>
    <w:rsid w:val="00D44FC7"/>
    <w:rsid w:val="00D45001"/>
    <w:rsid w:val="00D452D4"/>
    <w:rsid w:val="00D458E5"/>
    <w:rsid w:val="00D45A0E"/>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27A"/>
    <w:rsid w:val="00D51477"/>
    <w:rsid w:val="00D51647"/>
    <w:rsid w:val="00D516BD"/>
    <w:rsid w:val="00D518A7"/>
    <w:rsid w:val="00D51F0F"/>
    <w:rsid w:val="00D51F90"/>
    <w:rsid w:val="00D52283"/>
    <w:rsid w:val="00D526F8"/>
    <w:rsid w:val="00D5276E"/>
    <w:rsid w:val="00D527C8"/>
    <w:rsid w:val="00D5287C"/>
    <w:rsid w:val="00D52B7E"/>
    <w:rsid w:val="00D52BBB"/>
    <w:rsid w:val="00D52BD8"/>
    <w:rsid w:val="00D52E6A"/>
    <w:rsid w:val="00D53509"/>
    <w:rsid w:val="00D53637"/>
    <w:rsid w:val="00D5376F"/>
    <w:rsid w:val="00D5392D"/>
    <w:rsid w:val="00D53953"/>
    <w:rsid w:val="00D5396D"/>
    <w:rsid w:val="00D53BC0"/>
    <w:rsid w:val="00D53CE6"/>
    <w:rsid w:val="00D54840"/>
    <w:rsid w:val="00D54B50"/>
    <w:rsid w:val="00D54E69"/>
    <w:rsid w:val="00D552EE"/>
    <w:rsid w:val="00D5567E"/>
    <w:rsid w:val="00D557F0"/>
    <w:rsid w:val="00D55928"/>
    <w:rsid w:val="00D55AF0"/>
    <w:rsid w:val="00D55F0F"/>
    <w:rsid w:val="00D5648E"/>
    <w:rsid w:val="00D565D4"/>
    <w:rsid w:val="00D567A6"/>
    <w:rsid w:val="00D56B70"/>
    <w:rsid w:val="00D56C0F"/>
    <w:rsid w:val="00D56F15"/>
    <w:rsid w:val="00D5713D"/>
    <w:rsid w:val="00D57180"/>
    <w:rsid w:val="00D573EC"/>
    <w:rsid w:val="00D577B7"/>
    <w:rsid w:val="00D578F0"/>
    <w:rsid w:val="00D57AB1"/>
    <w:rsid w:val="00D57B11"/>
    <w:rsid w:val="00D60157"/>
    <w:rsid w:val="00D6057C"/>
    <w:rsid w:val="00D60805"/>
    <w:rsid w:val="00D6090B"/>
    <w:rsid w:val="00D60A87"/>
    <w:rsid w:val="00D61217"/>
    <w:rsid w:val="00D614B7"/>
    <w:rsid w:val="00D616C5"/>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100"/>
    <w:rsid w:val="00D6428D"/>
    <w:rsid w:val="00D6437F"/>
    <w:rsid w:val="00D644C2"/>
    <w:rsid w:val="00D64667"/>
    <w:rsid w:val="00D64833"/>
    <w:rsid w:val="00D65425"/>
    <w:rsid w:val="00D6553D"/>
    <w:rsid w:val="00D655E5"/>
    <w:rsid w:val="00D656EB"/>
    <w:rsid w:val="00D65C69"/>
    <w:rsid w:val="00D65D96"/>
    <w:rsid w:val="00D65F20"/>
    <w:rsid w:val="00D66181"/>
    <w:rsid w:val="00D66854"/>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BF1"/>
    <w:rsid w:val="00D72CBF"/>
    <w:rsid w:val="00D72FDC"/>
    <w:rsid w:val="00D730B0"/>
    <w:rsid w:val="00D73385"/>
    <w:rsid w:val="00D73744"/>
    <w:rsid w:val="00D73DE3"/>
    <w:rsid w:val="00D749A1"/>
    <w:rsid w:val="00D749C1"/>
    <w:rsid w:val="00D74D67"/>
    <w:rsid w:val="00D7506D"/>
    <w:rsid w:val="00D7563F"/>
    <w:rsid w:val="00D75B70"/>
    <w:rsid w:val="00D76269"/>
    <w:rsid w:val="00D765A0"/>
    <w:rsid w:val="00D76684"/>
    <w:rsid w:val="00D766AA"/>
    <w:rsid w:val="00D76998"/>
    <w:rsid w:val="00D76AB5"/>
    <w:rsid w:val="00D77114"/>
    <w:rsid w:val="00D771FD"/>
    <w:rsid w:val="00D7796D"/>
    <w:rsid w:val="00D77FDB"/>
    <w:rsid w:val="00D800F7"/>
    <w:rsid w:val="00D80855"/>
    <w:rsid w:val="00D80B1A"/>
    <w:rsid w:val="00D80C06"/>
    <w:rsid w:val="00D8111F"/>
    <w:rsid w:val="00D812C7"/>
    <w:rsid w:val="00D81B18"/>
    <w:rsid w:val="00D81EFD"/>
    <w:rsid w:val="00D82253"/>
    <w:rsid w:val="00D82666"/>
    <w:rsid w:val="00D831DB"/>
    <w:rsid w:val="00D8327F"/>
    <w:rsid w:val="00D83541"/>
    <w:rsid w:val="00D836EA"/>
    <w:rsid w:val="00D836F8"/>
    <w:rsid w:val="00D83768"/>
    <w:rsid w:val="00D8382E"/>
    <w:rsid w:val="00D8435E"/>
    <w:rsid w:val="00D8466B"/>
    <w:rsid w:val="00D8487E"/>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1390"/>
    <w:rsid w:val="00D91540"/>
    <w:rsid w:val="00D91B3E"/>
    <w:rsid w:val="00D91F6E"/>
    <w:rsid w:val="00D92148"/>
    <w:rsid w:val="00D9223B"/>
    <w:rsid w:val="00D922E4"/>
    <w:rsid w:val="00D927AC"/>
    <w:rsid w:val="00D92832"/>
    <w:rsid w:val="00D92A3A"/>
    <w:rsid w:val="00D9340D"/>
    <w:rsid w:val="00D9355C"/>
    <w:rsid w:val="00D939A2"/>
    <w:rsid w:val="00D93A16"/>
    <w:rsid w:val="00D93AB0"/>
    <w:rsid w:val="00D93B28"/>
    <w:rsid w:val="00D93B89"/>
    <w:rsid w:val="00D93C1B"/>
    <w:rsid w:val="00D93CD5"/>
    <w:rsid w:val="00D93D55"/>
    <w:rsid w:val="00D93E19"/>
    <w:rsid w:val="00D94187"/>
    <w:rsid w:val="00D94343"/>
    <w:rsid w:val="00D945AB"/>
    <w:rsid w:val="00D9477D"/>
    <w:rsid w:val="00D9496D"/>
    <w:rsid w:val="00D94DE8"/>
    <w:rsid w:val="00D94E49"/>
    <w:rsid w:val="00D9500A"/>
    <w:rsid w:val="00D96288"/>
    <w:rsid w:val="00D96356"/>
    <w:rsid w:val="00D96699"/>
    <w:rsid w:val="00D96DBC"/>
    <w:rsid w:val="00D96DCC"/>
    <w:rsid w:val="00D96E5F"/>
    <w:rsid w:val="00D96ED8"/>
    <w:rsid w:val="00D97252"/>
    <w:rsid w:val="00D975AB"/>
    <w:rsid w:val="00D97A3B"/>
    <w:rsid w:val="00D97BEF"/>
    <w:rsid w:val="00D97CAF"/>
    <w:rsid w:val="00D97F9A"/>
    <w:rsid w:val="00DA004C"/>
    <w:rsid w:val="00DA05D8"/>
    <w:rsid w:val="00DA0768"/>
    <w:rsid w:val="00DA076C"/>
    <w:rsid w:val="00DA0946"/>
    <w:rsid w:val="00DA0DC9"/>
    <w:rsid w:val="00DA0E91"/>
    <w:rsid w:val="00DA0F8E"/>
    <w:rsid w:val="00DA15C8"/>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D13"/>
    <w:rsid w:val="00DA7EFD"/>
    <w:rsid w:val="00DA7F1B"/>
    <w:rsid w:val="00DB012F"/>
    <w:rsid w:val="00DB031B"/>
    <w:rsid w:val="00DB0324"/>
    <w:rsid w:val="00DB05B7"/>
    <w:rsid w:val="00DB05BD"/>
    <w:rsid w:val="00DB061A"/>
    <w:rsid w:val="00DB0867"/>
    <w:rsid w:val="00DB0ADB"/>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64D"/>
    <w:rsid w:val="00DB5777"/>
    <w:rsid w:val="00DB5805"/>
    <w:rsid w:val="00DB5889"/>
    <w:rsid w:val="00DB5B8E"/>
    <w:rsid w:val="00DB5F6C"/>
    <w:rsid w:val="00DB6699"/>
    <w:rsid w:val="00DB6A0F"/>
    <w:rsid w:val="00DB6F15"/>
    <w:rsid w:val="00DB74B3"/>
    <w:rsid w:val="00DB762B"/>
    <w:rsid w:val="00DB7A2E"/>
    <w:rsid w:val="00DB7CF1"/>
    <w:rsid w:val="00DB7FDD"/>
    <w:rsid w:val="00DC0015"/>
    <w:rsid w:val="00DC023A"/>
    <w:rsid w:val="00DC033F"/>
    <w:rsid w:val="00DC07A1"/>
    <w:rsid w:val="00DC0BFE"/>
    <w:rsid w:val="00DC0DB1"/>
    <w:rsid w:val="00DC0F02"/>
    <w:rsid w:val="00DC0F8D"/>
    <w:rsid w:val="00DC112C"/>
    <w:rsid w:val="00DC1325"/>
    <w:rsid w:val="00DC1816"/>
    <w:rsid w:val="00DC1A08"/>
    <w:rsid w:val="00DC1EAA"/>
    <w:rsid w:val="00DC1FBF"/>
    <w:rsid w:val="00DC2132"/>
    <w:rsid w:val="00DC2284"/>
    <w:rsid w:val="00DC2483"/>
    <w:rsid w:val="00DC24F1"/>
    <w:rsid w:val="00DC2956"/>
    <w:rsid w:val="00DC2D04"/>
    <w:rsid w:val="00DC2D52"/>
    <w:rsid w:val="00DC2DED"/>
    <w:rsid w:val="00DC2E98"/>
    <w:rsid w:val="00DC2EB4"/>
    <w:rsid w:val="00DC34F2"/>
    <w:rsid w:val="00DC3718"/>
    <w:rsid w:val="00DC38AC"/>
    <w:rsid w:val="00DC38DA"/>
    <w:rsid w:val="00DC38DE"/>
    <w:rsid w:val="00DC3CA4"/>
    <w:rsid w:val="00DC3E76"/>
    <w:rsid w:val="00DC3EF5"/>
    <w:rsid w:val="00DC40D2"/>
    <w:rsid w:val="00DC410B"/>
    <w:rsid w:val="00DC420E"/>
    <w:rsid w:val="00DC4304"/>
    <w:rsid w:val="00DC49F5"/>
    <w:rsid w:val="00DC4FAF"/>
    <w:rsid w:val="00DC5201"/>
    <w:rsid w:val="00DC53B8"/>
    <w:rsid w:val="00DC556C"/>
    <w:rsid w:val="00DC5650"/>
    <w:rsid w:val="00DC5AD1"/>
    <w:rsid w:val="00DC5B96"/>
    <w:rsid w:val="00DC5C0D"/>
    <w:rsid w:val="00DC6158"/>
    <w:rsid w:val="00DC7032"/>
    <w:rsid w:val="00DC72A4"/>
    <w:rsid w:val="00DC72D1"/>
    <w:rsid w:val="00DC7435"/>
    <w:rsid w:val="00DC746E"/>
    <w:rsid w:val="00DC76EE"/>
    <w:rsid w:val="00DC7D95"/>
    <w:rsid w:val="00DD01CA"/>
    <w:rsid w:val="00DD02F4"/>
    <w:rsid w:val="00DD043A"/>
    <w:rsid w:val="00DD069E"/>
    <w:rsid w:val="00DD1176"/>
    <w:rsid w:val="00DD1A7E"/>
    <w:rsid w:val="00DD1B4E"/>
    <w:rsid w:val="00DD214E"/>
    <w:rsid w:val="00DD245C"/>
    <w:rsid w:val="00DD2484"/>
    <w:rsid w:val="00DD25EB"/>
    <w:rsid w:val="00DD295D"/>
    <w:rsid w:val="00DD2E0D"/>
    <w:rsid w:val="00DD304A"/>
    <w:rsid w:val="00DD30D8"/>
    <w:rsid w:val="00DD399A"/>
    <w:rsid w:val="00DD3A13"/>
    <w:rsid w:val="00DD3BDC"/>
    <w:rsid w:val="00DD3CA5"/>
    <w:rsid w:val="00DD4D92"/>
    <w:rsid w:val="00DD552F"/>
    <w:rsid w:val="00DD5A48"/>
    <w:rsid w:val="00DD5A72"/>
    <w:rsid w:val="00DD5BF3"/>
    <w:rsid w:val="00DD5CB3"/>
    <w:rsid w:val="00DD6621"/>
    <w:rsid w:val="00DD6705"/>
    <w:rsid w:val="00DD6B1E"/>
    <w:rsid w:val="00DD6D1F"/>
    <w:rsid w:val="00DD6E9C"/>
    <w:rsid w:val="00DD742C"/>
    <w:rsid w:val="00DD75C0"/>
    <w:rsid w:val="00DD75EF"/>
    <w:rsid w:val="00DD7AD5"/>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137"/>
    <w:rsid w:val="00DE4210"/>
    <w:rsid w:val="00DE42F6"/>
    <w:rsid w:val="00DE4578"/>
    <w:rsid w:val="00DE4744"/>
    <w:rsid w:val="00DE4812"/>
    <w:rsid w:val="00DE4C5E"/>
    <w:rsid w:val="00DE4CD1"/>
    <w:rsid w:val="00DE4D81"/>
    <w:rsid w:val="00DE4DA8"/>
    <w:rsid w:val="00DE51B4"/>
    <w:rsid w:val="00DE5403"/>
    <w:rsid w:val="00DE55CB"/>
    <w:rsid w:val="00DE5610"/>
    <w:rsid w:val="00DE57C5"/>
    <w:rsid w:val="00DE58E6"/>
    <w:rsid w:val="00DE591A"/>
    <w:rsid w:val="00DE59F4"/>
    <w:rsid w:val="00DE5E6A"/>
    <w:rsid w:val="00DE70FC"/>
    <w:rsid w:val="00DE7B41"/>
    <w:rsid w:val="00DE7CC2"/>
    <w:rsid w:val="00DF005A"/>
    <w:rsid w:val="00DF010F"/>
    <w:rsid w:val="00DF0155"/>
    <w:rsid w:val="00DF04EE"/>
    <w:rsid w:val="00DF08AE"/>
    <w:rsid w:val="00DF0D8B"/>
    <w:rsid w:val="00DF1879"/>
    <w:rsid w:val="00DF198F"/>
    <w:rsid w:val="00DF1E48"/>
    <w:rsid w:val="00DF1E58"/>
    <w:rsid w:val="00DF1E89"/>
    <w:rsid w:val="00DF1F1E"/>
    <w:rsid w:val="00DF2549"/>
    <w:rsid w:val="00DF26FF"/>
    <w:rsid w:val="00DF2741"/>
    <w:rsid w:val="00DF2BD1"/>
    <w:rsid w:val="00DF3038"/>
    <w:rsid w:val="00DF32E7"/>
    <w:rsid w:val="00DF33DD"/>
    <w:rsid w:val="00DF3467"/>
    <w:rsid w:val="00DF34EF"/>
    <w:rsid w:val="00DF3743"/>
    <w:rsid w:val="00DF3757"/>
    <w:rsid w:val="00DF3DBC"/>
    <w:rsid w:val="00DF3E35"/>
    <w:rsid w:val="00DF40FE"/>
    <w:rsid w:val="00DF42E0"/>
    <w:rsid w:val="00DF441A"/>
    <w:rsid w:val="00DF4742"/>
    <w:rsid w:val="00DF53A0"/>
    <w:rsid w:val="00DF5B56"/>
    <w:rsid w:val="00DF5BEB"/>
    <w:rsid w:val="00DF6076"/>
    <w:rsid w:val="00DF620E"/>
    <w:rsid w:val="00DF6326"/>
    <w:rsid w:val="00DF66E4"/>
    <w:rsid w:val="00DF718E"/>
    <w:rsid w:val="00DF7249"/>
    <w:rsid w:val="00DF7D84"/>
    <w:rsid w:val="00DF7FC3"/>
    <w:rsid w:val="00E00460"/>
    <w:rsid w:val="00E004BA"/>
    <w:rsid w:val="00E006E9"/>
    <w:rsid w:val="00E00844"/>
    <w:rsid w:val="00E00C71"/>
    <w:rsid w:val="00E00EAA"/>
    <w:rsid w:val="00E00F12"/>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160"/>
    <w:rsid w:val="00E05508"/>
    <w:rsid w:val="00E05A10"/>
    <w:rsid w:val="00E0623D"/>
    <w:rsid w:val="00E06243"/>
    <w:rsid w:val="00E062B6"/>
    <w:rsid w:val="00E0632A"/>
    <w:rsid w:val="00E064E3"/>
    <w:rsid w:val="00E065DF"/>
    <w:rsid w:val="00E06853"/>
    <w:rsid w:val="00E068D6"/>
    <w:rsid w:val="00E068ED"/>
    <w:rsid w:val="00E06E3E"/>
    <w:rsid w:val="00E07169"/>
    <w:rsid w:val="00E071D5"/>
    <w:rsid w:val="00E0722D"/>
    <w:rsid w:val="00E07358"/>
    <w:rsid w:val="00E07828"/>
    <w:rsid w:val="00E0783F"/>
    <w:rsid w:val="00E07ABA"/>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E5A"/>
    <w:rsid w:val="00E14E5F"/>
    <w:rsid w:val="00E15026"/>
    <w:rsid w:val="00E157D3"/>
    <w:rsid w:val="00E15A4F"/>
    <w:rsid w:val="00E15D54"/>
    <w:rsid w:val="00E15E7A"/>
    <w:rsid w:val="00E15FCB"/>
    <w:rsid w:val="00E162A4"/>
    <w:rsid w:val="00E162D7"/>
    <w:rsid w:val="00E16569"/>
    <w:rsid w:val="00E16716"/>
    <w:rsid w:val="00E16717"/>
    <w:rsid w:val="00E16869"/>
    <w:rsid w:val="00E16888"/>
    <w:rsid w:val="00E1688C"/>
    <w:rsid w:val="00E1725C"/>
    <w:rsid w:val="00E172C5"/>
    <w:rsid w:val="00E17CFF"/>
    <w:rsid w:val="00E17E8E"/>
    <w:rsid w:val="00E2006F"/>
    <w:rsid w:val="00E2082B"/>
    <w:rsid w:val="00E20955"/>
    <w:rsid w:val="00E20995"/>
    <w:rsid w:val="00E20D2B"/>
    <w:rsid w:val="00E20DCA"/>
    <w:rsid w:val="00E20E33"/>
    <w:rsid w:val="00E21877"/>
    <w:rsid w:val="00E219B4"/>
    <w:rsid w:val="00E21AD0"/>
    <w:rsid w:val="00E21E4C"/>
    <w:rsid w:val="00E220C6"/>
    <w:rsid w:val="00E22665"/>
    <w:rsid w:val="00E227AE"/>
    <w:rsid w:val="00E229A8"/>
    <w:rsid w:val="00E23185"/>
    <w:rsid w:val="00E2323B"/>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39E"/>
    <w:rsid w:val="00E25E05"/>
    <w:rsid w:val="00E263D8"/>
    <w:rsid w:val="00E26810"/>
    <w:rsid w:val="00E2682C"/>
    <w:rsid w:val="00E269D9"/>
    <w:rsid w:val="00E26A42"/>
    <w:rsid w:val="00E276A9"/>
    <w:rsid w:val="00E30029"/>
    <w:rsid w:val="00E30037"/>
    <w:rsid w:val="00E30499"/>
    <w:rsid w:val="00E30B51"/>
    <w:rsid w:val="00E30B8E"/>
    <w:rsid w:val="00E3102A"/>
    <w:rsid w:val="00E31116"/>
    <w:rsid w:val="00E31290"/>
    <w:rsid w:val="00E31767"/>
    <w:rsid w:val="00E32128"/>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4EF3"/>
    <w:rsid w:val="00E35427"/>
    <w:rsid w:val="00E35718"/>
    <w:rsid w:val="00E35E8B"/>
    <w:rsid w:val="00E36CE6"/>
    <w:rsid w:val="00E37017"/>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986"/>
    <w:rsid w:val="00E40F22"/>
    <w:rsid w:val="00E415B1"/>
    <w:rsid w:val="00E416FC"/>
    <w:rsid w:val="00E41711"/>
    <w:rsid w:val="00E41C77"/>
    <w:rsid w:val="00E41CA3"/>
    <w:rsid w:val="00E41E0A"/>
    <w:rsid w:val="00E41FB9"/>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270"/>
    <w:rsid w:val="00E44414"/>
    <w:rsid w:val="00E44472"/>
    <w:rsid w:val="00E44511"/>
    <w:rsid w:val="00E44AD2"/>
    <w:rsid w:val="00E451BE"/>
    <w:rsid w:val="00E4564D"/>
    <w:rsid w:val="00E456B4"/>
    <w:rsid w:val="00E45D80"/>
    <w:rsid w:val="00E45EF9"/>
    <w:rsid w:val="00E46181"/>
    <w:rsid w:val="00E471D4"/>
    <w:rsid w:val="00E4767B"/>
    <w:rsid w:val="00E477EE"/>
    <w:rsid w:val="00E47A69"/>
    <w:rsid w:val="00E47C85"/>
    <w:rsid w:val="00E47F27"/>
    <w:rsid w:val="00E501F9"/>
    <w:rsid w:val="00E50A52"/>
    <w:rsid w:val="00E50B87"/>
    <w:rsid w:val="00E50C35"/>
    <w:rsid w:val="00E51472"/>
    <w:rsid w:val="00E518D2"/>
    <w:rsid w:val="00E51919"/>
    <w:rsid w:val="00E51AB6"/>
    <w:rsid w:val="00E51E3A"/>
    <w:rsid w:val="00E51EAD"/>
    <w:rsid w:val="00E520BD"/>
    <w:rsid w:val="00E521A6"/>
    <w:rsid w:val="00E523E2"/>
    <w:rsid w:val="00E52CF0"/>
    <w:rsid w:val="00E52EB9"/>
    <w:rsid w:val="00E532C7"/>
    <w:rsid w:val="00E5330C"/>
    <w:rsid w:val="00E534C6"/>
    <w:rsid w:val="00E53967"/>
    <w:rsid w:val="00E53F73"/>
    <w:rsid w:val="00E54168"/>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57C5B"/>
    <w:rsid w:val="00E57C9A"/>
    <w:rsid w:val="00E60147"/>
    <w:rsid w:val="00E603B9"/>
    <w:rsid w:val="00E60430"/>
    <w:rsid w:val="00E60774"/>
    <w:rsid w:val="00E6086D"/>
    <w:rsid w:val="00E6092E"/>
    <w:rsid w:val="00E60A84"/>
    <w:rsid w:val="00E60B92"/>
    <w:rsid w:val="00E60C0B"/>
    <w:rsid w:val="00E61404"/>
    <w:rsid w:val="00E615CB"/>
    <w:rsid w:val="00E61990"/>
    <w:rsid w:val="00E61F08"/>
    <w:rsid w:val="00E620F9"/>
    <w:rsid w:val="00E62740"/>
    <w:rsid w:val="00E62C15"/>
    <w:rsid w:val="00E62DFB"/>
    <w:rsid w:val="00E631AB"/>
    <w:rsid w:val="00E63361"/>
    <w:rsid w:val="00E63760"/>
    <w:rsid w:val="00E637D7"/>
    <w:rsid w:val="00E6383D"/>
    <w:rsid w:val="00E63847"/>
    <w:rsid w:val="00E638A3"/>
    <w:rsid w:val="00E63E86"/>
    <w:rsid w:val="00E6435E"/>
    <w:rsid w:val="00E643C6"/>
    <w:rsid w:val="00E644DE"/>
    <w:rsid w:val="00E644ED"/>
    <w:rsid w:val="00E6472E"/>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34"/>
    <w:rsid w:val="00E71DDF"/>
    <w:rsid w:val="00E7229E"/>
    <w:rsid w:val="00E72A82"/>
    <w:rsid w:val="00E72CE0"/>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46D"/>
    <w:rsid w:val="00E7566E"/>
    <w:rsid w:val="00E75866"/>
    <w:rsid w:val="00E758AD"/>
    <w:rsid w:val="00E75F53"/>
    <w:rsid w:val="00E76430"/>
    <w:rsid w:val="00E7691E"/>
    <w:rsid w:val="00E76A86"/>
    <w:rsid w:val="00E76DAC"/>
    <w:rsid w:val="00E76E17"/>
    <w:rsid w:val="00E774A2"/>
    <w:rsid w:val="00E77A79"/>
    <w:rsid w:val="00E77D4E"/>
    <w:rsid w:val="00E8010C"/>
    <w:rsid w:val="00E801BC"/>
    <w:rsid w:val="00E807DA"/>
    <w:rsid w:val="00E80898"/>
    <w:rsid w:val="00E80AF8"/>
    <w:rsid w:val="00E81119"/>
    <w:rsid w:val="00E816B3"/>
    <w:rsid w:val="00E817E4"/>
    <w:rsid w:val="00E81B1A"/>
    <w:rsid w:val="00E82880"/>
    <w:rsid w:val="00E82958"/>
    <w:rsid w:val="00E829CA"/>
    <w:rsid w:val="00E82B73"/>
    <w:rsid w:val="00E82E19"/>
    <w:rsid w:val="00E831E5"/>
    <w:rsid w:val="00E83650"/>
    <w:rsid w:val="00E83BA4"/>
    <w:rsid w:val="00E848C5"/>
    <w:rsid w:val="00E84B9A"/>
    <w:rsid w:val="00E84E40"/>
    <w:rsid w:val="00E8509A"/>
    <w:rsid w:val="00E8529E"/>
    <w:rsid w:val="00E85573"/>
    <w:rsid w:val="00E85A5D"/>
    <w:rsid w:val="00E85EF5"/>
    <w:rsid w:val="00E85F7C"/>
    <w:rsid w:val="00E860BF"/>
    <w:rsid w:val="00E864A7"/>
    <w:rsid w:val="00E86B7B"/>
    <w:rsid w:val="00E874B0"/>
    <w:rsid w:val="00E874FA"/>
    <w:rsid w:val="00E87908"/>
    <w:rsid w:val="00E87BB9"/>
    <w:rsid w:val="00E87FBD"/>
    <w:rsid w:val="00E900F1"/>
    <w:rsid w:val="00E90457"/>
    <w:rsid w:val="00E90533"/>
    <w:rsid w:val="00E90685"/>
    <w:rsid w:val="00E90B49"/>
    <w:rsid w:val="00E90B9C"/>
    <w:rsid w:val="00E90D4C"/>
    <w:rsid w:val="00E91860"/>
    <w:rsid w:val="00E91C12"/>
    <w:rsid w:val="00E91E5B"/>
    <w:rsid w:val="00E9232B"/>
    <w:rsid w:val="00E92395"/>
    <w:rsid w:val="00E9256D"/>
    <w:rsid w:val="00E9283C"/>
    <w:rsid w:val="00E92AC9"/>
    <w:rsid w:val="00E92B67"/>
    <w:rsid w:val="00E92C15"/>
    <w:rsid w:val="00E932AE"/>
    <w:rsid w:val="00E936F6"/>
    <w:rsid w:val="00E937DD"/>
    <w:rsid w:val="00E93D55"/>
    <w:rsid w:val="00E9402F"/>
    <w:rsid w:val="00E9431A"/>
    <w:rsid w:val="00E9460B"/>
    <w:rsid w:val="00E9498C"/>
    <w:rsid w:val="00E9505D"/>
    <w:rsid w:val="00E954B7"/>
    <w:rsid w:val="00E955FC"/>
    <w:rsid w:val="00E95666"/>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491"/>
    <w:rsid w:val="00EA059C"/>
    <w:rsid w:val="00EA074A"/>
    <w:rsid w:val="00EA0D29"/>
    <w:rsid w:val="00EA107B"/>
    <w:rsid w:val="00EA1186"/>
    <w:rsid w:val="00EA155A"/>
    <w:rsid w:val="00EA1C7F"/>
    <w:rsid w:val="00EA2328"/>
    <w:rsid w:val="00EA23F6"/>
    <w:rsid w:val="00EA2A49"/>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A8"/>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22A8"/>
    <w:rsid w:val="00EB3295"/>
    <w:rsid w:val="00EB356D"/>
    <w:rsid w:val="00EB3CE5"/>
    <w:rsid w:val="00EB3D5C"/>
    <w:rsid w:val="00EB3F40"/>
    <w:rsid w:val="00EB4125"/>
    <w:rsid w:val="00EB47C0"/>
    <w:rsid w:val="00EB4A21"/>
    <w:rsid w:val="00EB4A93"/>
    <w:rsid w:val="00EB4C29"/>
    <w:rsid w:val="00EB506B"/>
    <w:rsid w:val="00EB50A1"/>
    <w:rsid w:val="00EB5A97"/>
    <w:rsid w:val="00EB5C8A"/>
    <w:rsid w:val="00EB5F9E"/>
    <w:rsid w:val="00EB641F"/>
    <w:rsid w:val="00EB6432"/>
    <w:rsid w:val="00EB6750"/>
    <w:rsid w:val="00EB67A9"/>
    <w:rsid w:val="00EB6889"/>
    <w:rsid w:val="00EB69A1"/>
    <w:rsid w:val="00EB6AB9"/>
    <w:rsid w:val="00EB6D31"/>
    <w:rsid w:val="00EB745E"/>
    <w:rsid w:val="00EB784E"/>
    <w:rsid w:val="00EB7A93"/>
    <w:rsid w:val="00EB7D5C"/>
    <w:rsid w:val="00EC06CC"/>
    <w:rsid w:val="00EC0DFD"/>
    <w:rsid w:val="00EC109E"/>
    <w:rsid w:val="00EC10A0"/>
    <w:rsid w:val="00EC1195"/>
    <w:rsid w:val="00EC1383"/>
    <w:rsid w:val="00EC13D0"/>
    <w:rsid w:val="00EC1591"/>
    <w:rsid w:val="00EC16C6"/>
    <w:rsid w:val="00EC16F1"/>
    <w:rsid w:val="00EC1909"/>
    <w:rsid w:val="00EC1C26"/>
    <w:rsid w:val="00EC1C8A"/>
    <w:rsid w:val="00EC1DFD"/>
    <w:rsid w:val="00EC20D8"/>
    <w:rsid w:val="00EC282D"/>
    <w:rsid w:val="00EC2840"/>
    <w:rsid w:val="00EC2B0D"/>
    <w:rsid w:val="00EC2BD6"/>
    <w:rsid w:val="00EC3573"/>
    <w:rsid w:val="00EC410A"/>
    <w:rsid w:val="00EC419F"/>
    <w:rsid w:val="00EC4840"/>
    <w:rsid w:val="00EC50A2"/>
    <w:rsid w:val="00EC518D"/>
    <w:rsid w:val="00EC52B8"/>
    <w:rsid w:val="00EC545A"/>
    <w:rsid w:val="00EC54F8"/>
    <w:rsid w:val="00EC554B"/>
    <w:rsid w:val="00EC5791"/>
    <w:rsid w:val="00EC57C6"/>
    <w:rsid w:val="00EC5FB8"/>
    <w:rsid w:val="00EC628D"/>
    <w:rsid w:val="00EC6763"/>
    <w:rsid w:val="00EC67FE"/>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1C07"/>
    <w:rsid w:val="00ED233E"/>
    <w:rsid w:val="00ED234A"/>
    <w:rsid w:val="00ED29F2"/>
    <w:rsid w:val="00ED2D3B"/>
    <w:rsid w:val="00ED2FCC"/>
    <w:rsid w:val="00ED3028"/>
    <w:rsid w:val="00ED34F5"/>
    <w:rsid w:val="00ED3A81"/>
    <w:rsid w:val="00ED3F32"/>
    <w:rsid w:val="00ED4967"/>
    <w:rsid w:val="00ED4C12"/>
    <w:rsid w:val="00ED4E12"/>
    <w:rsid w:val="00ED50D8"/>
    <w:rsid w:val="00ED53B0"/>
    <w:rsid w:val="00ED5646"/>
    <w:rsid w:val="00ED635F"/>
    <w:rsid w:val="00ED67CE"/>
    <w:rsid w:val="00ED6950"/>
    <w:rsid w:val="00ED6EDA"/>
    <w:rsid w:val="00ED712D"/>
    <w:rsid w:val="00ED7559"/>
    <w:rsid w:val="00ED7637"/>
    <w:rsid w:val="00ED78A6"/>
    <w:rsid w:val="00ED7A84"/>
    <w:rsid w:val="00EE0279"/>
    <w:rsid w:val="00EE0538"/>
    <w:rsid w:val="00EE05EC"/>
    <w:rsid w:val="00EE0625"/>
    <w:rsid w:val="00EE0717"/>
    <w:rsid w:val="00EE0A4C"/>
    <w:rsid w:val="00EE0B6E"/>
    <w:rsid w:val="00EE0F57"/>
    <w:rsid w:val="00EE0F97"/>
    <w:rsid w:val="00EE1046"/>
    <w:rsid w:val="00EE1B10"/>
    <w:rsid w:val="00EE1F65"/>
    <w:rsid w:val="00EE2371"/>
    <w:rsid w:val="00EE28A4"/>
    <w:rsid w:val="00EE28CE"/>
    <w:rsid w:val="00EE28F4"/>
    <w:rsid w:val="00EE2B3B"/>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3B5"/>
    <w:rsid w:val="00EE73F5"/>
    <w:rsid w:val="00EE7915"/>
    <w:rsid w:val="00EE79AF"/>
    <w:rsid w:val="00EE7CFD"/>
    <w:rsid w:val="00EF0024"/>
    <w:rsid w:val="00EF0799"/>
    <w:rsid w:val="00EF09CD"/>
    <w:rsid w:val="00EF10CC"/>
    <w:rsid w:val="00EF12C5"/>
    <w:rsid w:val="00EF1514"/>
    <w:rsid w:val="00EF15F5"/>
    <w:rsid w:val="00EF1807"/>
    <w:rsid w:val="00EF1903"/>
    <w:rsid w:val="00EF1C75"/>
    <w:rsid w:val="00EF1CF5"/>
    <w:rsid w:val="00EF1EB2"/>
    <w:rsid w:val="00EF2006"/>
    <w:rsid w:val="00EF21AF"/>
    <w:rsid w:val="00EF24F7"/>
    <w:rsid w:val="00EF2722"/>
    <w:rsid w:val="00EF2A35"/>
    <w:rsid w:val="00EF2B93"/>
    <w:rsid w:val="00EF2DB3"/>
    <w:rsid w:val="00EF363D"/>
    <w:rsid w:val="00EF3850"/>
    <w:rsid w:val="00EF3E73"/>
    <w:rsid w:val="00EF40A5"/>
    <w:rsid w:val="00EF40BE"/>
    <w:rsid w:val="00EF416B"/>
    <w:rsid w:val="00EF41D3"/>
    <w:rsid w:val="00EF4469"/>
    <w:rsid w:val="00EF4AE4"/>
    <w:rsid w:val="00EF5107"/>
    <w:rsid w:val="00EF5B55"/>
    <w:rsid w:val="00EF5CE4"/>
    <w:rsid w:val="00EF5E9A"/>
    <w:rsid w:val="00EF5EEA"/>
    <w:rsid w:val="00EF60A2"/>
    <w:rsid w:val="00EF623C"/>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60F"/>
    <w:rsid w:val="00F00819"/>
    <w:rsid w:val="00F00B2E"/>
    <w:rsid w:val="00F01490"/>
    <w:rsid w:val="00F01820"/>
    <w:rsid w:val="00F0193F"/>
    <w:rsid w:val="00F01C5B"/>
    <w:rsid w:val="00F01E52"/>
    <w:rsid w:val="00F022A8"/>
    <w:rsid w:val="00F02473"/>
    <w:rsid w:val="00F0256E"/>
    <w:rsid w:val="00F02DCB"/>
    <w:rsid w:val="00F02FB1"/>
    <w:rsid w:val="00F0319D"/>
    <w:rsid w:val="00F0389E"/>
    <w:rsid w:val="00F04286"/>
    <w:rsid w:val="00F042DC"/>
    <w:rsid w:val="00F04309"/>
    <w:rsid w:val="00F0448B"/>
    <w:rsid w:val="00F044BA"/>
    <w:rsid w:val="00F0463B"/>
    <w:rsid w:val="00F046BD"/>
    <w:rsid w:val="00F04A1A"/>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33"/>
    <w:rsid w:val="00F07B75"/>
    <w:rsid w:val="00F102A7"/>
    <w:rsid w:val="00F105EA"/>
    <w:rsid w:val="00F107E1"/>
    <w:rsid w:val="00F10B8A"/>
    <w:rsid w:val="00F10F10"/>
    <w:rsid w:val="00F1106A"/>
    <w:rsid w:val="00F1109A"/>
    <w:rsid w:val="00F11117"/>
    <w:rsid w:val="00F111B8"/>
    <w:rsid w:val="00F112B0"/>
    <w:rsid w:val="00F11304"/>
    <w:rsid w:val="00F11768"/>
    <w:rsid w:val="00F11A48"/>
    <w:rsid w:val="00F11D55"/>
    <w:rsid w:val="00F11DC7"/>
    <w:rsid w:val="00F11FA7"/>
    <w:rsid w:val="00F12541"/>
    <w:rsid w:val="00F12E11"/>
    <w:rsid w:val="00F13580"/>
    <w:rsid w:val="00F13586"/>
    <w:rsid w:val="00F143EE"/>
    <w:rsid w:val="00F14435"/>
    <w:rsid w:val="00F1477E"/>
    <w:rsid w:val="00F14C45"/>
    <w:rsid w:val="00F14E0C"/>
    <w:rsid w:val="00F1510D"/>
    <w:rsid w:val="00F15233"/>
    <w:rsid w:val="00F15618"/>
    <w:rsid w:val="00F15E91"/>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243"/>
    <w:rsid w:val="00F23350"/>
    <w:rsid w:val="00F23434"/>
    <w:rsid w:val="00F235FB"/>
    <w:rsid w:val="00F23664"/>
    <w:rsid w:val="00F2367A"/>
    <w:rsid w:val="00F23880"/>
    <w:rsid w:val="00F23E4E"/>
    <w:rsid w:val="00F23F3C"/>
    <w:rsid w:val="00F24450"/>
    <w:rsid w:val="00F24B44"/>
    <w:rsid w:val="00F2521E"/>
    <w:rsid w:val="00F257E6"/>
    <w:rsid w:val="00F25B50"/>
    <w:rsid w:val="00F25D28"/>
    <w:rsid w:val="00F25ED2"/>
    <w:rsid w:val="00F26073"/>
    <w:rsid w:val="00F26137"/>
    <w:rsid w:val="00F26270"/>
    <w:rsid w:val="00F26385"/>
    <w:rsid w:val="00F2678A"/>
    <w:rsid w:val="00F267AE"/>
    <w:rsid w:val="00F26AA8"/>
    <w:rsid w:val="00F26AF2"/>
    <w:rsid w:val="00F26B6B"/>
    <w:rsid w:val="00F27182"/>
    <w:rsid w:val="00F27CF0"/>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789"/>
    <w:rsid w:val="00F33D53"/>
    <w:rsid w:val="00F33F9F"/>
    <w:rsid w:val="00F34042"/>
    <w:rsid w:val="00F34FC3"/>
    <w:rsid w:val="00F35613"/>
    <w:rsid w:val="00F357BC"/>
    <w:rsid w:val="00F361D0"/>
    <w:rsid w:val="00F368E6"/>
    <w:rsid w:val="00F369C2"/>
    <w:rsid w:val="00F36C87"/>
    <w:rsid w:val="00F36E5C"/>
    <w:rsid w:val="00F376F4"/>
    <w:rsid w:val="00F37AAC"/>
    <w:rsid w:val="00F37C04"/>
    <w:rsid w:val="00F37D6F"/>
    <w:rsid w:val="00F40460"/>
    <w:rsid w:val="00F40485"/>
    <w:rsid w:val="00F40931"/>
    <w:rsid w:val="00F4156B"/>
    <w:rsid w:val="00F4165C"/>
    <w:rsid w:val="00F41869"/>
    <w:rsid w:val="00F41A52"/>
    <w:rsid w:val="00F41E2A"/>
    <w:rsid w:val="00F420C8"/>
    <w:rsid w:val="00F4256F"/>
    <w:rsid w:val="00F427F0"/>
    <w:rsid w:val="00F42C4B"/>
    <w:rsid w:val="00F4325B"/>
    <w:rsid w:val="00F4348E"/>
    <w:rsid w:val="00F4367D"/>
    <w:rsid w:val="00F439C9"/>
    <w:rsid w:val="00F43AC4"/>
    <w:rsid w:val="00F43DE0"/>
    <w:rsid w:val="00F44094"/>
    <w:rsid w:val="00F44339"/>
    <w:rsid w:val="00F4433B"/>
    <w:rsid w:val="00F44A07"/>
    <w:rsid w:val="00F44EC9"/>
    <w:rsid w:val="00F45218"/>
    <w:rsid w:val="00F468D3"/>
    <w:rsid w:val="00F46927"/>
    <w:rsid w:val="00F47062"/>
    <w:rsid w:val="00F4771A"/>
    <w:rsid w:val="00F5019F"/>
    <w:rsid w:val="00F504F3"/>
    <w:rsid w:val="00F50999"/>
    <w:rsid w:val="00F51129"/>
    <w:rsid w:val="00F51302"/>
    <w:rsid w:val="00F51396"/>
    <w:rsid w:val="00F516DA"/>
    <w:rsid w:val="00F51AA5"/>
    <w:rsid w:val="00F51C6A"/>
    <w:rsid w:val="00F51C8A"/>
    <w:rsid w:val="00F51C95"/>
    <w:rsid w:val="00F51D13"/>
    <w:rsid w:val="00F52406"/>
    <w:rsid w:val="00F5285C"/>
    <w:rsid w:val="00F53237"/>
    <w:rsid w:val="00F5385F"/>
    <w:rsid w:val="00F538BE"/>
    <w:rsid w:val="00F53CC4"/>
    <w:rsid w:val="00F543CC"/>
    <w:rsid w:val="00F54498"/>
    <w:rsid w:val="00F5493B"/>
    <w:rsid w:val="00F55097"/>
    <w:rsid w:val="00F55854"/>
    <w:rsid w:val="00F55A50"/>
    <w:rsid w:val="00F55A97"/>
    <w:rsid w:val="00F55B5E"/>
    <w:rsid w:val="00F55CEC"/>
    <w:rsid w:val="00F5609A"/>
    <w:rsid w:val="00F5634E"/>
    <w:rsid w:val="00F56813"/>
    <w:rsid w:val="00F5686F"/>
    <w:rsid w:val="00F56FAE"/>
    <w:rsid w:val="00F574AB"/>
    <w:rsid w:val="00F57BEC"/>
    <w:rsid w:val="00F57F4B"/>
    <w:rsid w:val="00F6009A"/>
    <w:rsid w:val="00F600BC"/>
    <w:rsid w:val="00F60257"/>
    <w:rsid w:val="00F60B8D"/>
    <w:rsid w:val="00F60CA1"/>
    <w:rsid w:val="00F60F15"/>
    <w:rsid w:val="00F6180A"/>
    <w:rsid w:val="00F627EF"/>
    <w:rsid w:val="00F62D42"/>
    <w:rsid w:val="00F62DDB"/>
    <w:rsid w:val="00F62EDF"/>
    <w:rsid w:val="00F63515"/>
    <w:rsid w:val="00F63565"/>
    <w:rsid w:val="00F636AC"/>
    <w:rsid w:val="00F63B8F"/>
    <w:rsid w:val="00F63DC4"/>
    <w:rsid w:val="00F63F59"/>
    <w:rsid w:val="00F6422C"/>
    <w:rsid w:val="00F64584"/>
    <w:rsid w:val="00F64912"/>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7C2"/>
    <w:rsid w:val="00F70830"/>
    <w:rsid w:val="00F711DA"/>
    <w:rsid w:val="00F718A1"/>
    <w:rsid w:val="00F71A2D"/>
    <w:rsid w:val="00F71B9E"/>
    <w:rsid w:val="00F71DFF"/>
    <w:rsid w:val="00F71E9A"/>
    <w:rsid w:val="00F721A0"/>
    <w:rsid w:val="00F72587"/>
    <w:rsid w:val="00F72A80"/>
    <w:rsid w:val="00F72C93"/>
    <w:rsid w:val="00F731F4"/>
    <w:rsid w:val="00F732F8"/>
    <w:rsid w:val="00F733EB"/>
    <w:rsid w:val="00F735BA"/>
    <w:rsid w:val="00F73671"/>
    <w:rsid w:val="00F736F7"/>
    <w:rsid w:val="00F73AAB"/>
    <w:rsid w:val="00F73E5A"/>
    <w:rsid w:val="00F74288"/>
    <w:rsid w:val="00F746B3"/>
    <w:rsid w:val="00F74A58"/>
    <w:rsid w:val="00F74B4B"/>
    <w:rsid w:val="00F74CB4"/>
    <w:rsid w:val="00F754C2"/>
    <w:rsid w:val="00F75843"/>
    <w:rsid w:val="00F75A02"/>
    <w:rsid w:val="00F75A5A"/>
    <w:rsid w:val="00F7673C"/>
    <w:rsid w:val="00F76A87"/>
    <w:rsid w:val="00F77498"/>
    <w:rsid w:val="00F800B7"/>
    <w:rsid w:val="00F800B8"/>
    <w:rsid w:val="00F80131"/>
    <w:rsid w:val="00F8031E"/>
    <w:rsid w:val="00F80496"/>
    <w:rsid w:val="00F80662"/>
    <w:rsid w:val="00F80866"/>
    <w:rsid w:val="00F80A88"/>
    <w:rsid w:val="00F80B4E"/>
    <w:rsid w:val="00F80F5A"/>
    <w:rsid w:val="00F80F6B"/>
    <w:rsid w:val="00F8124F"/>
    <w:rsid w:val="00F81498"/>
    <w:rsid w:val="00F81858"/>
    <w:rsid w:val="00F81DCC"/>
    <w:rsid w:val="00F81E6D"/>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4A20"/>
    <w:rsid w:val="00F85721"/>
    <w:rsid w:val="00F85B1B"/>
    <w:rsid w:val="00F85EB7"/>
    <w:rsid w:val="00F85F5C"/>
    <w:rsid w:val="00F85F71"/>
    <w:rsid w:val="00F86028"/>
    <w:rsid w:val="00F860DC"/>
    <w:rsid w:val="00F8626D"/>
    <w:rsid w:val="00F863A8"/>
    <w:rsid w:val="00F86519"/>
    <w:rsid w:val="00F86799"/>
    <w:rsid w:val="00F8679B"/>
    <w:rsid w:val="00F86903"/>
    <w:rsid w:val="00F86B66"/>
    <w:rsid w:val="00F86F78"/>
    <w:rsid w:val="00F877FF"/>
    <w:rsid w:val="00F879DA"/>
    <w:rsid w:val="00F87CCC"/>
    <w:rsid w:val="00F901C9"/>
    <w:rsid w:val="00F902DB"/>
    <w:rsid w:val="00F90311"/>
    <w:rsid w:val="00F90A44"/>
    <w:rsid w:val="00F91011"/>
    <w:rsid w:val="00F9170D"/>
    <w:rsid w:val="00F91AD1"/>
    <w:rsid w:val="00F91CF3"/>
    <w:rsid w:val="00F920C9"/>
    <w:rsid w:val="00F926E2"/>
    <w:rsid w:val="00F92734"/>
    <w:rsid w:val="00F932D3"/>
    <w:rsid w:val="00F935A7"/>
    <w:rsid w:val="00F936A6"/>
    <w:rsid w:val="00F93824"/>
    <w:rsid w:val="00F93B52"/>
    <w:rsid w:val="00F93D18"/>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840"/>
    <w:rsid w:val="00FA15C8"/>
    <w:rsid w:val="00FA1640"/>
    <w:rsid w:val="00FA21D5"/>
    <w:rsid w:val="00FA2C5D"/>
    <w:rsid w:val="00FA2D86"/>
    <w:rsid w:val="00FA348C"/>
    <w:rsid w:val="00FA39D5"/>
    <w:rsid w:val="00FA3D87"/>
    <w:rsid w:val="00FA3EBD"/>
    <w:rsid w:val="00FA4023"/>
    <w:rsid w:val="00FA463F"/>
    <w:rsid w:val="00FA4AED"/>
    <w:rsid w:val="00FA4C57"/>
    <w:rsid w:val="00FA4F25"/>
    <w:rsid w:val="00FA515B"/>
    <w:rsid w:val="00FA53D8"/>
    <w:rsid w:val="00FA55F0"/>
    <w:rsid w:val="00FA5721"/>
    <w:rsid w:val="00FA5F7E"/>
    <w:rsid w:val="00FA6201"/>
    <w:rsid w:val="00FA645E"/>
    <w:rsid w:val="00FA6584"/>
    <w:rsid w:val="00FA6674"/>
    <w:rsid w:val="00FA6792"/>
    <w:rsid w:val="00FA679E"/>
    <w:rsid w:val="00FA6961"/>
    <w:rsid w:val="00FA6A3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5E7"/>
    <w:rsid w:val="00FB4A29"/>
    <w:rsid w:val="00FB4C1F"/>
    <w:rsid w:val="00FB4C99"/>
    <w:rsid w:val="00FB4D6C"/>
    <w:rsid w:val="00FB4DBB"/>
    <w:rsid w:val="00FB4ED0"/>
    <w:rsid w:val="00FB5526"/>
    <w:rsid w:val="00FB552F"/>
    <w:rsid w:val="00FB5659"/>
    <w:rsid w:val="00FB5753"/>
    <w:rsid w:val="00FB58C0"/>
    <w:rsid w:val="00FB59C2"/>
    <w:rsid w:val="00FB5E1E"/>
    <w:rsid w:val="00FB5F97"/>
    <w:rsid w:val="00FB64FC"/>
    <w:rsid w:val="00FB66E4"/>
    <w:rsid w:val="00FB6C5B"/>
    <w:rsid w:val="00FB6E68"/>
    <w:rsid w:val="00FB7337"/>
    <w:rsid w:val="00FB735A"/>
    <w:rsid w:val="00FB748F"/>
    <w:rsid w:val="00FB7622"/>
    <w:rsid w:val="00FB792A"/>
    <w:rsid w:val="00FB7A57"/>
    <w:rsid w:val="00FB7B0F"/>
    <w:rsid w:val="00FB7D3F"/>
    <w:rsid w:val="00FC023D"/>
    <w:rsid w:val="00FC0BFA"/>
    <w:rsid w:val="00FC1373"/>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3557"/>
    <w:rsid w:val="00FC36EE"/>
    <w:rsid w:val="00FC3A39"/>
    <w:rsid w:val="00FC3BED"/>
    <w:rsid w:val="00FC43D1"/>
    <w:rsid w:val="00FC45A5"/>
    <w:rsid w:val="00FC46CA"/>
    <w:rsid w:val="00FC4CBB"/>
    <w:rsid w:val="00FC4CF8"/>
    <w:rsid w:val="00FC531B"/>
    <w:rsid w:val="00FC5701"/>
    <w:rsid w:val="00FC5757"/>
    <w:rsid w:val="00FC59AD"/>
    <w:rsid w:val="00FC7206"/>
    <w:rsid w:val="00FC7740"/>
    <w:rsid w:val="00FC7BDB"/>
    <w:rsid w:val="00FC7D7A"/>
    <w:rsid w:val="00FD00AA"/>
    <w:rsid w:val="00FD0147"/>
    <w:rsid w:val="00FD019D"/>
    <w:rsid w:val="00FD0423"/>
    <w:rsid w:val="00FD05BA"/>
    <w:rsid w:val="00FD08D4"/>
    <w:rsid w:val="00FD0A9D"/>
    <w:rsid w:val="00FD0C68"/>
    <w:rsid w:val="00FD1065"/>
    <w:rsid w:val="00FD10FE"/>
    <w:rsid w:val="00FD1749"/>
    <w:rsid w:val="00FD1954"/>
    <w:rsid w:val="00FD1C2B"/>
    <w:rsid w:val="00FD2050"/>
    <w:rsid w:val="00FD2393"/>
    <w:rsid w:val="00FD24DE"/>
    <w:rsid w:val="00FD260F"/>
    <w:rsid w:val="00FD2DE2"/>
    <w:rsid w:val="00FD45BD"/>
    <w:rsid w:val="00FD4B9F"/>
    <w:rsid w:val="00FD51F3"/>
    <w:rsid w:val="00FD5907"/>
    <w:rsid w:val="00FD592E"/>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59B"/>
    <w:rsid w:val="00FE0C45"/>
    <w:rsid w:val="00FE0C87"/>
    <w:rsid w:val="00FE0D40"/>
    <w:rsid w:val="00FE0DAB"/>
    <w:rsid w:val="00FE1369"/>
    <w:rsid w:val="00FE136C"/>
    <w:rsid w:val="00FE1406"/>
    <w:rsid w:val="00FE1AC3"/>
    <w:rsid w:val="00FE1EC3"/>
    <w:rsid w:val="00FE21B4"/>
    <w:rsid w:val="00FE234E"/>
    <w:rsid w:val="00FE23E4"/>
    <w:rsid w:val="00FE2459"/>
    <w:rsid w:val="00FE24FF"/>
    <w:rsid w:val="00FE253B"/>
    <w:rsid w:val="00FE280F"/>
    <w:rsid w:val="00FE28BB"/>
    <w:rsid w:val="00FE2C17"/>
    <w:rsid w:val="00FE2E18"/>
    <w:rsid w:val="00FE3496"/>
    <w:rsid w:val="00FE39C8"/>
    <w:rsid w:val="00FE3E6C"/>
    <w:rsid w:val="00FE434D"/>
    <w:rsid w:val="00FE47AE"/>
    <w:rsid w:val="00FE48E8"/>
    <w:rsid w:val="00FE49A2"/>
    <w:rsid w:val="00FE4B98"/>
    <w:rsid w:val="00FE4D0B"/>
    <w:rsid w:val="00FE5131"/>
    <w:rsid w:val="00FE518B"/>
    <w:rsid w:val="00FE56DE"/>
    <w:rsid w:val="00FE5C60"/>
    <w:rsid w:val="00FE65E0"/>
    <w:rsid w:val="00FE699F"/>
    <w:rsid w:val="00FE69B9"/>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1EA"/>
    <w:rsid w:val="00FF534A"/>
    <w:rsid w:val="00FF5373"/>
    <w:rsid w:val="00FF55B1"/>
    <w:rsid w:val="00FF5937"/>
    <w:rsid w:val="00FF6658"/>
    <w:rsid w:val="00FF6E68"/>
    <w:rsid w:val="00FF7707"/>
    <w:rsid w:val="00FF7B22"/>
    <w:rsid w:val="00FF7F6A"/>
    <w:rsid w:val="067FEF2B"/>
    <w:rsid w:val="09B8C5CE"/>
    <w:rsid w:val="0A8B4DC2"/>
    <w:rsid w:val="0ABB79E3"/>
    <w:rsid w:val="0B9BA385"/>
    <w:rsid w:val="0CA3AE72"/>
    <w:rsid w:val="10E0324A"/>
    <w:rsid w:val="114C00FC"/>
    <w:rsid w:val="1265D4CD"/>
    <w:rsid w:val="19E59813"/>
    <w:rsid w:val="1A10DA79"/>
    <w:rsid w:val="1B65C165"/>
    <w:rsid w:val="20FC3C9F"/>
    <w:rsid w:val="23B22024"/>
    <w:rsid w:val="24F50054"/>
    <w:rsid w:val="25B4D0A3"/>
    <w:rsid w:val="26AE7A62"/>
    <w:rsid w:val="2A6DE07B"/>
    <w:rsid w:val="2CFC9453"/>
    <w:rsid w:val="2E850CBD"/>
    <w:rsid w:val="2F635335"/>
    <w:rsid w:val="30D5697B"/>
    <w:rsid w:val="31BA9522"/>
    <w:rsid w:val="31DB6C2C"/>
    <w:rsid w:val="31E52AD8"/>
    <w:rsid w:val="32082CDF"/>
    <w:rsid w:val="3495AE98"/>
    <w:rsid w:val="3EEEC718"/>
    <w:rsid w:val="456E2746"/>
    <w:rsid w:val="460D8C84"/>
    <w:rsid w:val="46F25864"/>
    <w:rsid w:val="477855AB"/>
    <w:rsid w:val="4917E216"/>
    <w:rsid w:val="49BC46E6"/>
    <w:rsid w:val="4A48E502"/>
    <w:rsid w:val="4E940D90"/>
    <w:rsid w:val="4F396903"/>
    <w:rsid w:val="4FA0265A"/>
    <w:rsid w:val="50274945"/>
    <w:rsid w:val="512A003F"/>
    <w:rsid w:val="5280316E"/>
    <w:rsid w:val="53A7A6C3"/>
    <w:rsid w:val="547567E3"/>
    <w:rsid w:val="590B4D12"/>
    <w:rsid w:val="59F70394"/>
    <w:rsid w:val="5B5760B0"/>
    <w:rsid w:val="5B788B4C"/>
    <w:rsid w:val="5CA3A712"/>
    <w:rsid w:val="5D3C852E"/>
    <w:rsid w:val="63365415"/>
    <w:rsid w:val="63F84288"/>
    <w:rsid w:val="66AFCFA2"/>
    <w:rsid w:val="6789AA63"/>
    <w:rsid w:val="6A411F4A"/>
    <w:rsid w:val="6D757224"/>
    <w:rsid w:val="73B22ADA"/>
    <w:rsid w:val="75D948AC"/>
    <w:rsid w:val="78394C23"/>
    <w:rsid w:val="7AFE8734"/>
    <w:rsid w:val="7ED3C147"/>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FD341F03-45AD-4704-AD12-5CE79B20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054B48"/>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054B48"/>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46610398">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79858670">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72127583">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26462172">
      <w:bodyDiv w:val="1"/>
      <w:marLeft w:val="0"/>
      <w:marRight w:val="0"/>
      <w:marTop w:val="0"/>
      <w:marBottom w:val="0"/>
      <w:divBdr>
        <w:top w:val="none" w:sz="0" w:space="0" w:color="auto"/>
        <w:left w:val="none" w:sz="0" w:space="0" w:color="auto"/>
        <w:bottom w:val="none" w:sz="0" w:space="0" w:color="auto"/>
        <w:right w:val="none" w:sz="0" w:space="0" w:color="auto"/>
      </w:divBdr>
    </w:div>
    <w:div w:id="437994517">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53886259">
      <w:bodyDiv w:val="1"/>
      <w:marLeft w:val="0"/>
      <w:marRight w:val="0"/>
      <w:marTop w:val="0"/>
      <w:marBottom w:val="0"/>
      <w:divBdr>
        <w:top w:val="none" w:sz="0" w:space="0" w:color="auto"/>
        <w:left w:val="none" w:sz="0" w:space="0" w:color="auto"/>
        <w:bottom w:val="none" w:sz="0" w:space="0" w:color="auto"/>
        <w:right w:val="none" w:sz="0" w:space="0" w:color="auto"/>
      </w:divBdr>
    </w:div>
    <w:div w:id="857963827">
      <w:bodyDiv w:val="1"/>
      <w:marLeft w:val="0"/>
      <w:marRight w:val="0"/>
      <w:marTop w:val="0"/>
      <w:marBottom w:val="0"/>
      <w:divBdr>
        <w:top w:val="none" w:sz="0" w:space="0" w:color="auto"/>
        <w:left w:val="none" w:sz="0" w:space="0" w:color="auto"/>
        <w:bottom w:val="none" w:sz="0" w:space="0" w:color="auto"/>
        <w:right w:val="none" w:sz="0" w:space="0" w:color="auto"/>
      </w:divBdr>
    </w:div>
    <w:div w:id="865948208">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167330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7123690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2762610">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3529483">
      <w:bodyDiv w:val="1"/>
      <w:marLeft w:val="0"/>
      <w:marRight w:val="0"/>
      <w:marTop w:val="0"/>
      <w:marBottom w:val="0"/>
      <w:divBdr>
        <w:top w:val="none" w:sz="0" w:space="0" w:color="auto"/>
        <w:left w:val="none" w:sz="0" w:space="0" w:color="auto"/>
        <w:bottom w:val="none" w:sz="0" w:space="0" w:color="auto"/>
        <w:right w:val="none" w:sz="0" w:space="0" w:color="auto"/>
      </w:divBdr>
    </w:div>
    <w:div w:id="2023705278">
      <w:bodyDiv w:val="1"/>
      <w:marLeft w:val="0"/>
      <w:marRight w:val="0"/>
      <w:marTop w:val="0"/>
      <w:marBottom w:val="0"/>
      <w:divBdr>
        <w:top w:val="none" w:sz="0" w:space="0" w:color="auto"/>
        <w:left w:val="none" w:sz="0" w:space="0" w:color="auto"/>
        <w:bottom w:val="none" w:sz="0" w:space="0" w:color="auto"/>
        <w:right w:val="none" w:sz="0" w:space="0" w:color="auto"/>
      </w:divBdr>
    </w:div>
    <w:div w:id="2040201348">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Geography_Final3.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hacpa.gov.au/sites/default/files/2023-10/ihacpa_annual_report_2022-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gcgovau.sharepoint.com/teams/AS-SharePoint-PROD/R2024%20Draft%20Report_Public/6242-Regional%20Costs%20-%20Tid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cgcgovau.sharepoint.com/teams/AS-SharePoint-PROD/R2024%20Draft%20Report_Public/6242-Regional%20Costs%20-%20Tid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cgcgovau.sharepoint.com/teams/AS-SharePoint-PROD/R2024%20Draft%20Report_Public/6242-Regional%20Costs%20-%20Tidy.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s://cgcgovau.sharepoint.com/teams/AS-SharePoint-PROD/R2024%20Draft%20Report_Public/6242-Regional%20Costs%20-%20Tidy.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727530077848552E-2"/>
          <c:y val="3.8521373693289084E-2"/>
          <c:w val="0.83664331210191079"/>
          <c:h val="0.89255005002739052"/>
        </c:manualLayout>
      </c:layout>
      <c:lineChart>
        <c:grouping val="standard"/>
        <c:varyColors val="0"/>
        <c:ser>
          <c:idx val="0"/>
          <c:order val="0"/>
          <c:tx>
            <c:strRef>
              <c:f>Graphs!$E$11</c:f>
              <c:strCache>
                <c:ptCount val="1"/>
                <c:pt idx="0">
                  <c:v>Proposed regional costs general gradient</c:v>
                </c:pt>
              </c:strCache>
            </c:strRef>
          </c:tx>
          <c:spPr>
            <a:ln w="44450">
              <a:solidFill>
                <a:srgbClr val="60B5D7"/>
              </a:solidFill>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Graphs!$E$12:$E$16</c:f>
              <c:numCache>
                <c:formatCode>General</c:formatCode>
                <c:ptCount val="5"/>
                <c:pt idx="0">
                  <c:v>100</c:v>
                </c:pt>
                <c:pt idx="1">
                  <c:v>101.47663977225277</c:v>
                </c:pt>
                <c:pt idx="2">
                  <c:v>104.64484194104465</c:v>
                </c:pt>
                <c:pt idx="3">
                  <c:v>121.25084193836051</c:v>
                </c:pt>
                <c:pt idx="4">
                  <c:v>131.72905235453075</c:v>
                </c:pt>
              </c:numCache>
            </c:numRef>
          </c:val>
          <c:smooth val="0"/>
          <c:extLst>
            <c:ext xmlns:c16="http://schemas.microsoft.com/office/drawing/2014/chart" uri="{C3380CC4-5D6E-409C-BE32-E72D297353CC}">
              <c16:uniqueId val="{00000000-B2F3-433D-919A-EBBDDD125717}"/>
            </c:ext>
          </c:extLst>
        </c:ser>
        <c:ser>
          <c:idx val="7"/>
          <c:order val="1"/>
          <c:tx>
            <c:strRef>
              <c:f>Graphs!$L$11</c:f>
              <c:strCache>
                <c:ptCount val="1"/>
                <c:pt idx="0">
                  <c:v>Rawlinsons</c:v>
                </c:pt>
              </c:strCache>
            </c:strRef>
          </c:tx>
          <c:spPr>
            <a:ln w="38100">
              <a:solidFill>
                <a:srgbClr val="60B5D7"/>
              </a:solidFill>
              <a:prstDash val="sysDot"/>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Graphs!$L$12:$L$16</c:f>
              <c:numCache>
                <c:formatCode>General</c:formatCode>
                <c:ptCount val="5"/>
                <c:pt idx="0">
                  <c:v>100</c:v>
                </c:pt>
                <c:pt idx="1">
                  <c:v>104.16848785137201</c:v>
                </c:pt>
                <c:pt idx="2">
                  <c:v>110.68464451653099</c:v>
                </c:pt>
                <c:pt idx="3">
                  <c:v>133.75239820866202</c:v>
                </c:pt>
                <c:pt idx="4">
                  <c:v>154.60900025924101</c:v>
                </c:pt>
              </c:numCache>
            </c:numRef>
          </c:val>
          <c:smooth val="0"/>
          <c:extLst>
            <c:ext xmlns:c16="http://schemas.microsoft.com/office/drawing/2014/chart" uri="{C3380CC4-5D6E-409C-BE32-E72D297353CC}">
              <c16:uniqueId val="{00000001-B2F3-433D-919A-EBBDDD125717}"/>
            </c:ext>
          </c:extLst>
        </c:ser>
        <c:ser>
          <c:idx val="4"/>
          <c:order val="2"/>
          <c:tx>
            <c:strRef>
              <c:f>Graphs!$I$11</c:f>
              <c:strCache>
                <c:ptCount val="1"/>
                <c:pt idx="0">
                  <c:v>Prisons</c:v>
                </c:pt>
              </c:strCache>
            </c:strRef>
          </c:tx>
          <c:spPr>
            <a:ln w="19050">
              <a:solidFill>
                <a:srgbClr val="60B5D7"/>
              </a:solidFill>
              <a:prstDash val="lgDashDot"/>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Graphs!$I$12:$I$16</c:f>
              <c:numCache>
                <c:formatCode>General</c:formatCode>
                <c:ptCount val="5"/>
                <c:pt idx="0">
                  <c:v>100</c:v>
                </c:pt>
                <c:pt idx="1">
                  <c:v>100</c:v>
                </c:pt>
                <c:pt idx="2">
                  <c:v>100</c:v>
                </c:pt>
                <c:pt idx="3">
                  <c:v>113.836353573797</c:v>
                </c:pt>
                <c:pt idx="4">
                  <c:v>113.836353573797</c:v>
                </c:pt>
              </c:numCache>
            </c:numRef>
          </c:val>
          <c:smooth val="0"/>
          <c:extLst>
            <c:ext xmlns:c16="http://schemas.microsoft.com/office/drawing/2014/chart" uri="{C3380CC4-5D6E-409C-BE32-E72D297353CC}">
              <c16:uniqueId val="{00000002-B2F3-433D-919A-EBBDDD125717}"/>
            </c:ext>
          </c:extLst>
        </c:ser>
        <c:ser>
          <c:idx val="1"/>
          <c:order val="3"/>
          <c:tx>
            <c:strRef>
              <c:f>Graphs!$F$11</c:f>
              <c:strCache>
                <c:ptCount val="1"/>
                <c:pt idx="0">
                  <c:v>Admitted patients</c:v>
                </c:pt>
              </c:strCache>
            </c:strRef>
          </c:tx>
          <c:spPr>
            <a:ln w="25400" cmpd="sng">
              <a:solidFill>
                <a:srgbClr val="60B5D7"/>
              </a:solidFill>
              <a:prstDash val="dash"/>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Graphs!$F$12:$F$16</c:f>
              <c:numCache>
                <c:formatCode>General</c:formatCode>
                <c:ptCount val="5"/>
                <c:pt idx="0">
                  <c:v>100</c:v>
                </c:pt>
                <c:pt idx="1">
                  <c:v>100</c:v>
                </c:pt>
                <c:pt idx="2">
                  <c:v>100</c:v>
                </c:pt>
                <c:pt idx="3">
                  <c:v>107</c:v>
                </c:pt>
                <c:pt idx="4">
                  <c:v>119</c:v>
                </c:pt>
              </c:numCache>
            </c:numRef>
          </c:val>
          <c:smooth val="0"/>
          <c:extLst>
            <c:ext xmlns:c16="http://schemas.microsoft.com/office/drawing/2014/chart" uri="{C3380CC4-5D6E-409C-BE32-E72D297353CC}">
              <c16:uniqueId val="{00000003-B2F3-433D-919A-EBBDDD125717}"/>
            </c:ext>
          </c:extLst>
        </c:ser>
        <c:ser>
          <c:idx val="3"/>
          <c:order val="4"/>
          <c:tx>
            <c:strRef>
              <c:f>Graphs!$H$11</c:f>
              <c:strCache>
                <c:ptCount val="1"/>
                <c:pt idx="0">
                  <c:v>Non-admitted patients</c:v>
                </c:pt>
              </c:strCache>
            </c:strRef>
          </c:tx>
          <c:spPr>
            <a:ln w="25400">
              <a:solidFill>
                <a:srgbClr val="004563"/>
              </a:solidFill>
              <a:prstDash val="sysDot"/>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Graphs!$H$12:$H$16</c:f>
              <c:numCache>
                <c:formatCode>General</c:formatCode>
                <c:ptCount val="5"/>
                <c:pt idx="0">
                  <c:v>100</c:v>
                </c:pt>
                <c:pt idx="1">
                  <c:v>100</c:v>
                </c:pt>
                <c:pt idx="2">
                  <c:v>100</c:v>
                </c:pt>
                <c:pt idx="3">
                  <c:v>107</c:v>
                </c:pt>
                <c:pt idx="4">
                  <c:v>119</c:v>
                </c:pt>
              </c:numCache>
            </c:numRef>
          </c:val>
          <c:smooth val="0"/>
          <c:extLst>
            <c:ext xmlns:c16="http://schemas.microsoft.com/office/drawing/2014/chart" uri="{C3380CC4-5D6E-409C-BE32-E72D297353CC}">
              <c16:uniqueId val="{00000004-B2F3-433D-919A-EBBDDD125717}"/>
            </c:ext>
          </c:extLst>
        </c:ser>
        <c:ser>
          <c:idx val="2"/>
          <c:order val="5"/>
          <c:tx>
            <c:strRef>
              <c:f>Graphs!$G$11</c:f>
              <c:strCache>
                <c:ptCount val="1"/>
                <c:pt idx="0">
                  <c:v>Emergency departments</c:v>
                </c:pt>
              </c:strCache>
            </c:strRef>
          </c:tx>
          <c:spPr>
            <a:ln w="19050">
              <a:solidFill>
                <a:srgbClr val="004563"/>
              </a:solidFill>
              <a:prstDash val="lgDashDot"/>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Graphs!$G$12:$G$16</c:f>
              <c:numCache>
                <c:formatCode>General</c:formatCode>
                <c:ptCount val="5"/>
                <c:pt idx="0">
                  <c:v>100</c:v>
                </c:pt>
                <c:pt idx="1">
                  <c:v>100</c:v>
                </c:pt>
                <c:pt idx="2">
                  <c:v>100</c:v>
                </c:pt>
                <c:pt idx="3">
                  <c:v>105</c:v>
                </c:pt>
                <c:pt idx="4">
                  <c:v>105</c:v>
                </c:pt>
              </c:numCache>
            </c:numRef>
          </c:val>
          <c:smooth val="0"/>
          <c:extLst>
            <c:ext xmlns:c16="http://schemas.microsoft.com/office/drawing/2014/chart" uri="{C3380CC4-5D6E-409C-BE32-E72D297353CC}">
              <c16:uniqueId val="{00000005-B2F3-433D-919A-EBBDDD125717}"/>
            </c:ext>
          </c:extLst>
        </c:ser>
        <c:ser>
          <c:idx val="5"/>
          <c:order val="6"/>
          <c:tx>
            <c:strRef>
              <c:f>Graphs!$J$11</c:f>
              <c:strCache>
                <c:ptCount val="1"/>
                <c:pt idx="0">
                  <c:v>Post-secondary</c:v>
                </c:pt>
              </c:strCache>
            </c:strRef>
          </c:tx>
          <c:spPr>
            <a:ln w="25400">
              <a:solidFill>
                <a:srgbClr val="004563"/>
              </a:solidFill>
              <a:prstDash val="dash"/>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Graphs!$J$12:$J$16</c:f>
              <c:numCache>
                <c:formatCode>General</c:formatCode>
                <c:ptCount val="5"/>
                <c:pt idx="0">
                  <c:v>100</c:v>
                </c:pt>
                <c:pt idx="1">
                  <c:v>111.44989084410754</c:v>
                </c:pt>
                <c:pt idx="2">
                  <c:v>119.66082168565349</c:v>
                </c:pt>
                <c:pt idx="3">
                  <c:v>190.43779388491171</c:v>
                </c:pt>
                <c:pt idx="4">
                  <c:v>218.81389784286793</c:v>
                </c:pt>
              </c:numCache>
            </c:numRef>
          </c:val>
          <c:smooth val="0"/>
          <c:extLst>
            <c:ext xmlns:c16="http://schemas.microsoft.com/office/drawing/2014/chart" uri="{C3380CC4-5D6E-409C-BE32-E72D297353CC}">
              <c16:uniqueId val="{00000006-B2F3-433D-919A-EBBDDD125717}"/>
            </c:ext>
          </c:extLst>
        </c:ser>
        <c:ser>
          <c:idx val="6"/>
          <c:order val="7"/>
          <c:tx>
            <c:strRef>
              <c:f>Graphs!$K$11</c:f>
              <c:strCache>
                <c:ptCount val="1"/>
                <c:pt idx="0">
                  <c:v>Schools</c:v>
                </c:pt>
              </c:strCache>
            </c:strRef>
          </c:tx>
          <c:spPr>
            <a:ln w="22225">
              <a:solidFill>
                <a:srgbClr val="004563"/>
              </a:solidFill>
              <a:prstDash val="solid"/>
            </a:ln>
          </c:spPr>
          <c:marker>
            <c:symbol val="none"/>
          </c:marker>
          <c:cat>
            <c:strRef>
              <c:f>Graphs!$D$12:$D$16</c:f>
              <c:strCache>
                <c:ptCount val="5"/>
                <c:pt idx="0">
                  <c:v>Major cities</c:v>
                </c:pt>
                <c:pt idx="1">
                  <c:v>Inner regional</c:v>
                </c:pt>
                <c:pt idx="2">
                  <c:v>Outer regional</c:v>
                </c:pt>
                <c:pt idx="3">
                  <c:v>Remote</c:v>
                </c:pt>
                <c:pt idx="4">
                  <c:v>Very remote</c:v>
                </c:pt>
              </c:strCache>
            </c:strRef>
          </c:cat>
          <c:val>
            <c:numRef>
              <c:f>Graphs!$K$12:$K$16</c:f>
              <c:numCache>
                <c:formatCode>General</c:formatCode>
                <c:ptCount val="5"/>
                <c:pt idx="0">
                  <c:v>100</c:v>
                </c:pt>
                <c:pt idx="1">
                  <c:v>100</c:v>
                </c:pt>
                <c:pt idx="2">
                  <c:v>108.07270620785761</c:v>
                </c:pt>
                <c:pt idx="3">
                  <c:v>141.19355667046329</c:v>
                </c:pt>
                <c:pt idx="4">
                  <c:v>141.19355667046329</c:v>
                </c:pt>
              </c:numCache>
            </c:numRef>
          </c:val>
          <c:smooth val="0"/>
          <c:extLst>
            <c:ext xmlns:c16="http://schemas.microsoft.com/office/drawing/2014/chart" uri="{C3380CC4-5D6E-409C-BE32-E72D297353CC}">
              <c16:uniqueId val="{00000007-B2F3-433D-919A-EBBDDD125717}"/>
            </c:ext>
          </c:extLst>
        </c:ser>
        <c:dLbls>
          <c:showLegendKey val="0"/>
          <c:showVal val="0"/>
          <c:showCatName val="0"/>
          <c:showSerName val="0"/>
          <c:showPercent val="0"/>
          <c:showBubbleSize val="0"/>
        </c:dLbls>
        <c:smooth val="0"/>
        <c:axId val="266557696"/>
        <c:axId val="266568064"/>
      </c:lineChart>
      <c:catAx>
        <c:axId val="266557696"/>
        <c:scaling>
          <c:orientation val="minMax"/>
        </c:scaling>
        <c:delete val="0"/>
        <c:axPos val="b"/>
        <c:numFmt formatCode="#,##0" sourceLinked="0"/>
        <c:majorTickMark val="none"/>
        <c:minorTickMark val="out"/>
        <c:tickLblPos val="nextTo"/>
        <c:spPr>
          <a:ln>
            <a:noFill/>
          </a:ln>
        </c:spPr>
        <c:txPr>
          <a:bodyPr/>
          <a:lstStyle/>
          <a:p>
            <a:pPr>
              <a:defRPr sz="800">
                <a:latin typeface="Work Sans" pitchFamily="2" charset="0"/>
              </a:defRPr>
            </a:pPr>
            <a:endParaRPr lang="en-US"/>
          </a:p>
        </c:txPr>
        <c:crossAx val="266568064"/>
        <c:crosses val="autoZero"/>
        <c:auto val="1"/>
        <c:lblAlgn val="ctr"/>
        <c:lblOffset val="100"/>
        <c:noMultiLvlLbl val="0"/>
      </c:catAx>
      <c:valAx>
        <c:axId val="266568064"/>
        <c:scaling>
          <c:orientation val="minMax"/>
          <c:min val="100"/>
        </c:scaling>
        <c:delete val="0"/>
        <c:axPos val="l"/>
        <c:majorGridlines>
          <c:spPr>
            <a:ln w="6350">
              <a:solidFill>
                <a:sysClr val="window" lastClr="FFFFFF">
                  <a:lumMod val="85000"/>
                </a:sysClr>
              </a:solidFill>
            </a:ln>
          </c:spPr>
        </c:majorGridlines>
        <c:title>
          <c:tx>
            <c:rich>
              <a:bodyPr/>
              <a:lstStyle/>
              <a:p>
                <a:pPr>
                  <a:defRPr sz="800" b="1">
                    <a:latin typeface="Work Sans" pitchFamily="2" charset="0"/>
                  </a:defRPr>
                </a:pPr>
                <a:r>
                  <a:rPr lang="en-AU" sz="1000"/>
                  <a:t>Index</a:t>
                </a:r>
                <a:r>
                  <a:rPr lang="en-AU" sz="1000" baseline="0"/>
                  <a:t> of relative cost</a:t>
                </a:r>
                <a:endParaRPr lang="en-AU" sz="1000"/>
              </a:p>
            </c:rich>
          </c:tx>
          <c:layout>
            <c:manualLayout>
              <c:xMode val="edge"/>
              <c:yMode val="edge"/>
              <c:x val="5.4865591350217327E-3"/>
              <c:y val="0.37301825183812676"/>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66557696"/>
        <c:crosses val="autoZero"/>
        <c:crossBetween val="midCat"/>
      </c:valAx>
    </c:plotArea>
    <c:legend>
      <c:legendPos val="r"/>
      <c:layout>
        <c:manualLayout>
          <c:xMode val="edge"/>
          <c:yMode val="edge"/>
          <c:x val="0.1117951167728238"/>
          <c:y val="5.1702798817452086E-2"/>
          <c:w val="0.45638747346072189"/>
          <c:h val="0.56230702103866814"/>
        </c:manualLayout>
      </c:layou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568782211331271E-2"/>
          <c:y val="6.8572612154165866E-2"/>
          <c:w val="0.84235957017128327"/>
          <c:h val="0.85511439521185806"/>
        </c:manualLayout>
      </c:layout>
      <c:lineChart>
        <c:grouping val="standard"/>
        <c:varyColors val="0"/>
        <c:ser>
          <c:idx val="0"/>
          <c:order val="0"/>
          <c:tx>
            <c:strRef>
              <c:f>Graphs!$V$11</c:f>
              <c:strCache>
                <c:ptCount val="1"/>
                <c:pt idx="0">
                  <c:v>Proposed regional and service delivery scale general gradient</c:v>
                </c:pt>
              </c:strCache>
            </c:strRef>
          </c:tx>
          <c:spPr>
            <a:ln w="44450">
              <a:solidFill>
                <a:srgbClr val="60B5D7"/>
              </a:solidFill>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Graphs!$V$12:$V$16</c:f>
              <c:numCache>
                <c:formatCode>General</c:formatCode>
                <c:ptCount val="5"/>
                <c:pt idx="0">
                  <c:v>100</c:v>
                </c:pt>
                <c:pt idx="1">
                  <c:v>102.50868018343131</c:v>
                </c:pt>
                <c:pt idx="2">
                  <c:v>107.29898606410356</c:v>
                </c:pt>
                <c:pt idx="3">
                  <c:v>121.2556944214612</c:v>
                </c:pt>
                <c:pt idx="4">
                  <c:v>144.64114386104779</c:v>
                </c:pt>
              </c:numCache>
            </c:numRef>
          </c:val>
          <c:smooth val="0"/>
          <c:extLst>
            <c:ext xmlns:c16="http://schemas.microsoft.com/office/drawing/2014/chart" uri="{C3380CC4-5D6E-409C-BE32-E72D297353CC}">
              <c16:uniqueId val="{00000000-23A0-4B3C-AD4C-FFE8844883C1}"/>
            </c:ext>
          </c:extLst>
        </c:ser>
        <c:ser>
          <c:idx val="5"/>
          <c:order val="1"/>
          <c:tx>
            <c:strRef>
              <c:f>Graphs!$AA$11</c:f>
              <c:strCache>
                <c:ptCount val="1"/>
                <c:pt idx="0">
                  <c:v>Prisons</c:v>
                </c:pt>
              </c:strCache>
            </c:strRef>
          </c:tx>
          <c:spPr>
            <a:ln w="19050">
              <a:solidFill>
                <a:srgbClr val="60B5D7"/>
              </a:solidFill>
              <a:prstDash val="dash"/>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Graphs!$AA$12:$AA$16</c:f>
              <c:numCache>
                <c:formatCode>General</c:formatCode>
                <c:ptCount val="5"/>
                <c:pt idx="0">
                  <c:v>100</c:v>
                </c:pt>
                <c:pt idx="1">
                  <c:v>100</c:v>
                </c:pt>
                <c:pt idx="2">
                  <c:v>100</c:v>
                </c:pt>
                <c:pt idx="3">
                  <c:v>117.20295602936801</c:v>
                </c:pt>
                <c:pt idx="4">
                  <c:v>117.20295602936801</c:v>
                </c:pt>
              </c:numCache>
            </c:numRef>
          </c:val>
          <c:smooth val="0"/>
          <c:extLst>
            <c:ext xmlns:c16="http://schemas.microsoft.com/office/drawing/2014/chart" uri="{C3380CC4-5D6E-409C-BE32-E72D297353CC}">
              <c16:uniqueId val="{00000001-23A0-4B3C-AD4C-FFE8844883C1}"/>
            </c:ext>
          </c:extLst>
        </c:ser>
        <c:ser>
          <c:idx val="6"/>
          <c:order val="2"/>
          <c:tx>
            <c:strRef>
              <c:f>Graphs!$AB$11</c:f>
              <c:strCache>
                <c:ptCount val="1"/>
                <c:pt idx="0">
                  <c:v>Courts</c:v>
                </c:pt>
              </c:strCache>
            </c:strRef>
          </c:tx>
          <c:spPr>
            <a:ln w="22225">
              <a:solidFill>
                <a:srgbClr val="60B5D7"/>
              </a:solidFill>
              <a:prstDash val="sysDot"/>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Graphs!$AB$12:$AB$16</c:f>
              <c:numCache>
                <c:formatCode>General</c:formatCode>
                <c:ptCount val="5"/>
                <c:pt idx="0">
                  <c:v>100</c:v>
                </c:pt>
                <c:pt idx="1">
                  <c:v>100</c:v>
                </c:pt>
                <c:pt idx="2">
                  <c:v>100</c:v>
                </c:pt>
                <c:pt idx="3">
                  <c:v>120.62376833019799</c:v>
                </c:pt>
                <c:pt idx="4">
                  <c:v>120.62376833019799</c:v>
                </c:pt>
              </c:numCache>
            </c:numRef>
          </c:val>
          <c:smooth val="0"/>
          <c:extLst>
            <c:ext xmlns:c16="http://schemas.microsoft.com/office/drawing/2014/chart" uri="{C3380CC4-5D6E-409C-BE32-E72D297353CC}">
              <c16:uniqueId val="{00000002-23A0-4B3C-AD4C-FFE8844883C1}"/>
            </c:ext>
          </c:extLst>
        </c:ser>
        <c:ser>
          <c:idx val="1"/>
          <c:order val="3"/>
          <c:tx>
            <c:strRef>
              <c:f>Graphs!$W$11</c:f>
              <c:strCache>
                <c:ptCount val="1"/>
                <c:pt idx="0">
                  <c:v>Admitted patients</c:v>
                </c:pt>
              </c:strCache>
            </c:strRef>
          </c:tx>
          <c:spPr>
            <a:ln w="19050">
              <a:solidFill>
                <a:srgbClr val="004563"/>
              </a:solidFill>
              <a:prstDash val="solid"/>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Graphs!$W$12:$W$16</c:f>
              <c:numCache>
                <c:formatCode>General</c:formatCode>
                <c:ptCount val="5"/>
                <c:pt idx="0">
                  <c:v>100</c:v>
                </c:pt>
                <c:pt idx="1">
                  <c:v>102.71</c:v>
                </c:pt>
                <c:pt idx="2">
                  <c:v>106.5</c:v>
                </c:pt>
                <c:pt idx="3">
                  <c:v>116.86540000000001</c:v>
                </c:pt>
                <c:pt idx="4">
                  <c:v>164.63649999999998</c:v>
                </c:pt>
              </c:numCache>
            </c:numRef>
          </c:val>
          <c:smooth val="0"/>
          <c:extLst>
            <c:ext xmlns:c16="http://schemas.microsoft.com/office/drawing/2014/chart" uri="{C3380CC4-5D6E-409C-BE32-E72D297353CC}">
              <c16:uniqueId val="{00000003-23A0-4B3C-AD4C-FFE8844883C1}"/>
            </c:ext>
          </c:extLst>
        </c:ser>
        <c:ser>
          <c:idx val="4"/>
          <c:order val="4"/>
          <c:tx>
            <c:strRef>
              <c:f>Graphs!$Z$11</c:f>
              <c:strCache>
                <c:ptCount val="1"/>
                <c:pt idx="0">
                  <c:v>Non-admitted patients</c:v>
                </c:pt>
              </c:strCache>
            </c:strRef>
          </c:tx>
          <c:spPr>
            <a:ln w="19050">
              <a:solidFill>
                <a:srgbClr val="004563"/>
              </a:solidFill>
              <a:prstDash val="dash"/>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Graphs!$Z$12:$Z$16</c:f>
              <c:numCache>
                <c:formatCode>General</c:formatCode>
                <c:ptCount val="5"/>
                <c:pt idx="0">
                  <c:v>100</c:v>
                </c:pt>
                <c:pt idx="1">
                  <c:v>101.67999999999999</c:v>
                </c:pt>
                <c:pt idx="2">
                  <c:v>106.18</c:v>
                </c:pt>
                <c:pt idx="3">
                  <c:v>118.11730000000003</c:v>
                </c:pt>
                <c:pt idx="4">
                  <c:v>171.34809999999999</c:v>
                </c:pt>
              </c:numCache>
            </c:numRef>
          </c:val>
          <c:smooth val="0"/>
          <c:extLst>
            <c:ext xmlns:c16="http://schemas.microsoft.com/office/drawing/2014/chart" uri="{C3380CC4-5D6E-409C-BE32-E72D297353CC}">
              <c16:uniqueId val="{00000004-23A0-4B3C-AD4C-FFE8844883C1}"/>
            </c:ext>
          </c:extLst>
        </c:ser>
        <c:ser>
          <c:idx val="3"/>
          <c:order val="5"/>
          <c:tx>
            <c:strRef>
              <c:f>Graphs!$Y$11</c:f>
              <c:strCache>
                <c:ptCount val="1"/>
                <c:pt idx="0">
                  <c:v>Emergency departments</c:v>
                </c:pt>
              </c:strCache>
            </c:strRef>
          </c:tx>
          <c:spPr>
            <a:ln w="22225">
              <a:solidFill>
                <a:srgbClr val="004563"/>
              </a:solidFill>
              <a:prstDash val="sysDot"/>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Graphs!$Y$12:$Y$16</c:f>
              <c:numCache>
                <c:formatCode>General</c:formatCode>
                <c:ptCount val="5"/>
                <c:pt idx="0">
                  <c:v>100</c:v>
                </c:pt>
                <c:pt idx="1">
                  <c:v>103.46</c:v>
                </c:pt>
                <c:pt idx="2">
                  <c:v>112.38999999999999</c:v>
                </c:pt>
                <c:pt idx="3">
                  <c:v>120.58200000000001</c:v>
                </c:pt>
                <c:pt idx="4">
                  <c:v>144.95250000000001</c:v>
                </c:pt>
              </c:numCache>
            </c:numRef>
          </c:val>
          <c:smooth val="0"/>
          <c:extLst>
            <c:ext xmlns:c16="http://schemas.microsoft.com/office/drawing/2014/chart" uri="{C3380CC4-5D6E-409C-BE32-E72D297353CC}">
              <c16:uniqueId val="{00000005-23A0-4B3C-AD4C-FFE8844883C1}"/>
            </c:ext>
          </c:extLst>
        </c:ser>
        <c:ser>
          <c:idx val="2"/>
          <c:order val="6"/>
          <c:tx>
            <c:strRef>
              <c:f>Graphs!$X$11</c:f>
              <c:strCache>
                <c:ptCount val="1"/>
              </c:strCache>
            </c:strRef>
          </c:tx>
          <c:marker>
            <c:symbol val="none"/>
          </c:marker>
          <c:cat>
            <c:strRef>
              <c:f>Graphs!$U$12:$U$16</c:f>
              <c:strCache>
                <c:ptCount val="5"/>
                <c:pt idx="0">
                  <c:v>Major cities</c:v>
                </c:pt>
                <c:pt idx="1">
                  <c:v>Inner regional</c:v>
                </c:pt>
                <c:pt idx="2">
                  <c:v>Outer regional</c:v>
                </c:pt>
                <c:pt idx="3">
                  <c:v>Remote</c:v>
                </c:pt>
                <c:pt idx="4">
                  <c:v>Very remote</c:v>
                </c:pt>
              </c:strCache>
            </c:strRef>
          </c:cat>
          <c:val>
            <c:numRef>
              <c:f>Graphs!$X$12:$X$16</c:f>
            </c:numRef>
          </c:val>
          <c:smooth val="0"/>
          <c:extLst>
            <c:ext xmlns:c16="http://schemas.microsoft.com/office/drawing/2014/chart" uri="{C3380CC4-5D6E-409C-BE32-E72D297353CC}">
              <c16:uniqueId val="{00000006-23A0-4B3C-AD4C-FFE8844883C1}"/>
            </c:ext>
          </c:extLst>
        </c:ser>
        <c:ser>
          <c:idx val="7"/>
          <c:order val="7"/>
          <c:tx>
            <c:strRef>
              <c:f>Graphs!$AC$11</c:f>
              <c:strCache>
                <c:ptCount val="1"/>
                <c:pt idx="0">
                  <c:v>Schools</c:v>
                </c:pt>
              </c:strCache>
            </c:strRef>
          </c:tx>
          <c:spPr>
            <a:ln w="25400">
              <a:solidFill>
                <a:srgbClr val="004563"/>
              </a:solidFill>
              <a:prstDash val="lgDashDot"/>
            </a:ln>
          </c:spPr>
          <c:marker>
            <c:symbol val="none"/>
          </c:marker>
          <c:cat>
            <c:strRef>
              <c:f>Graphs!$U$12:$U$16</c:f>
              <c:strCache>
                <c:ptCount val="5"/>
                <c:pt idx="0">
                  <c:v>Major cities</c:v>
                </c:pt>
                <c:pt idx="1">
                  <c:v>Inner regional</c:v>
                </c:pt>
                <c:pt idx="2">
                  <c:v>Outer regional</c:v>
                </c:pt>
                <c:pt idx="3">
                  <c:v>Remote</c:v>
                </c:pt>
                <c:pt idx="4">
                  <c:v>Very remote</c:v>
                </c:pt>
              </c:strCache>
            </c:strRef>
          </c:cat>
          <c:val>
            <c:numRef>
              <c:f>Graphs!$AC$12:$AC$16</c:f>
              <c:numCache>
                <c:formatCode>General</c:formatCode>
                <c:ptCount val="5"/>
                <c:pt idx="0">
                  <c:v>100</c:v>
                </c:pt>
                <c:pt idx="1">
                  <c:v>105.80613092825048</c:v>
                </c:pt>
                <c:pt idx="2">
                  <c:v>118.45296253297504</c:v>
                </c:pt>
                <c:pt idx="3">
                  <c:v>154.45558657068705</c:v>
                </c:pt>
                <c:pt idx="4">
                  <c:v>162.72001878411743</c:v>
                </c:pt>
              </c:numCache>
            </c:numRef>
          </c:val>
          <c:smooth val="0"/>
          <c:extLst>
            <c:ext xmlns:c16="http://schemas.microsoft.com/office/drawing/2014/chart" uri="{C3380CC4-5D6E-409C-BE32-E72D297353CC}">
              <c16:uniqueId val="{00000007-23A0-4B3C-AD4C-FFE8844883C1}"/>
            </c:ext>
          </c:extLst>
        </c:ser>
        <c:dLbls>
          <c:showLegendKey val="0"/>
          <c:showVal val="0"/>
          <c:showCatName val="0"/>
          <c:showSerName val="0"/>
          <c:showPercent val="0"/>
          <c:showBubbleSize val="0"/>
        </c:dLbls>
        <c:smooth val="0"/>
        <c:axId val="266557696"/>
        <c:axId val="266568064"/>
      </c:lineChart>
      <c:catAx>
        <c:axId val="266557696"/>
        <c:scaling>
          <c:orientation val="minMax"/>
        </c:scaling>
        <c:delete val="0"/>
        <c:axPos val="b"/>
        <c:numFmt formatCode="#,##0" sourceLinked="0"/>
        <c:majorTickMark val="none"/>
        <c:minorTickMark val="out"/>
        <c:tickLblPos val="nextTo"/>
        <c:spPr>
          <a:ln>
            <a:noFill/>
          </a:ln>
        </c:spPr>
        <c:txPr>
          <a:bodyPr/>
          <a:lstStyle/>
          <a:p>
            <a:pPr>
              <a:defRPr sz="800">
                <a:latin typeface="Work Sans" pitchFamily="2" charset="0"/>
              </a:defRPr>
            </a:pPr>
            <a:endParaRPr lang="en-US"/>
          </a:p>
        </c:txPr>
        <c:crossAx val="266568064"/>
        <c:crosses val="autoZero"/>
        <c:auto val="1"/>
        <c:lblAlgn val="ctr"/>
        <c:lblOffset val="100"/>
        <c:noMultiLvlLbl val="0"/>
      </c:catAx>
      <c:valAx>
        <c:axId val="266568064"/>
        <c:scaling>
          <c:orientation val="minMax"/>
          <c:min val="100"/>
        </c:scaling>
        <c:delete val="0"/>
        <c:axPos val="l"/>
        <c:majorGridlines>
          <c:spPr>
            <a:ln w="6350">
              <a:solidFill>
                <a:sysClr val="window" lastClr="FFFFFF">
                  <a:lumMod val="85000"/>
                </a:sys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Work Sans" pitchFamily="2" charset="0"/>
                    <a:ea typeface="+mn-ea"/>
                    <a:cs typeface="Times New Roman" pitchFamily="18" charset="0"/>
                  </a:defRPr>
                </a:pPr>
                <a:r>
                  <a:rPr lang="en-AU" sz="1000" b="1" i="0" u="none" strike="noStrike" kern="1200" baseline="0">
                    <a:solidFill>
                      <a:sysClr val="windowText" lastClr="000000"/>
                    </a:solidFill>
                    <a:latin typeface="Work Sans" pitchFamily="2" charset="0"/>
                    <a:cs typeface="Times New Roman" pitchFamily="18" charset="0"/>
                  </a:rPr>
                  <a:t>Index of relative cost</a:t>
                </a:r>
              </a:p>
            </c:rich>
          </c:tx>
          <c:layout>
            <c:manualLayout>
              <c:xMode val="edge"/>
              <c:yMode val="edge"/>
              <c:x val="2.9824008565899444E-3"/>
              <c:y val="0.37301827959111128"/>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66557696"/>
        <c:crosses val="autoZero"/>
        <c:crossBetween val="midCat"/>
      </c:valAx>
    </c:plotArea>
    <c:legend>
      <c:legendPos val="r"/>
      <c:layout>
        <c:manualLayout>
          <c:xMode val="edge"/>
          <c:yMode val="edge"/>
          <c:x val="8.5461759562335496E-2"/>
          <c:y val="7.4344154491825853E-2"/>
          <c:w val="0.44595370472605006"/>
          <c:h val="0.56081978141878586"/>
        </c:manualLayout>
      </c:layou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60B5D7"/>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838893310185255E-2"/>
          <c:y val="3.606092445114354E-2"/>
          <c:w val="0.84250111161775076"/>
          <c:h val="0.89160714629083326"/>
        </c:manualLayout>
      </c:layout>
      <c:lineChart>
        <c:grouping val="standard"/>
        <c:varyColors val="0"/>
        <c:ser>
          <c:idx val="0"/>
          <c:order val="0"/>
          <c:tx>
            <c:strRef>
              <c:f>Graphs!$F$91</c:f>
              <c:strCache>
                <c:ptCount val="1"/>
                <c:pt idx="0">
                  <c:v>Current regional costs gradient</c:v>
                </c:pt>
              </c:strCache>
            </c:strRef>
          </c:tx>
          <c:spPr>
            <a:ln w="31750">
              <a:solidFill>
                <a:srgbClr val="60B5D7"/>
              </a:solidFill>
            </a:ln>
          </c:spPr>
          <c:marker>
            <c:symbol val="none"/>
          </c:marker>
          <c:cat>
            <c:strRef>
              <c:f>Graphs!$E$92:$E$96</c:f>
              <c:strCache>
                <c:ptCount val="5"/>
                <c:pt idx="0">
                  <c:v>Major cities</c:v>
                </c:pt>
                <c:pt idx="1">
                  <c:v>Inner regional</c:v>
                </c:pt>
                <c:pt idx="2">
                  <c:v>Outer regional</c:v>
                </c:pt>
                <c:pt idx="3">
                  <c:v>Remote</c:v>
                </c:pt>
                <c:pt idx="4">
                  <c:v>Very remote</c:v>
                </c:pt>
              </c:strCache>
            </c:strRef>
          </c:cat>
          <c:val>
            <c:numRef>
              <c:f>Graphs!$F$92:$F$96</c:f>
              <c:numCache>
                <c:formatCode>General</c:formatCode>
                <c:ptCount val="5"/>
                <c:pt idx="0">
                  <c:v>100</c:v>
                </c:pt>
                <c:pt idx="1">
                  <c:v>100</c:v>
                </c:pt>
                <c:pt idx="2">
                  <c:v>103.0272648279466</c:v>
                </c:pt>
                <c:pt idx="3">
                  <c:v>118.07258375142374</c:v>
                </c:pt>
                <c:pt idx="4">
                  <c:v>122.57258375142372</c:v>
                </c:pt>
              </c:numCache>
            </c:numRef>
          </c:val>
          <c:smooth val="0"/>
          <c:extLst>
            <c:ext xmlns:c16="http://schemas.microsoft.com/office/drawing/2014/chart" uri="{C3380CC4-5D6E-409C-BE32-E72D297353CC}">
              <c16:uniqueId val="{00000000-9414-4CAE-B646-6E33C10989A2}"/>
            </c:ext>
          </c:extLst>
        </c:ser>
        <c:ser>
          <c:idx val="1"/>
          <c:order val="1"/>
          <c:tx>
            <c:strRef>
              <c:f>Graphs!$G$91</c:f>
              <c:strCache>
                <c:ptCount val="1"/>
                <c:pt idx="0">
                  <c:v>Proposed regional costs gradient</c:v>
                </c:pt>
              </c:strCache>
            </c:strRef>
          </c:tx>
          <c:spPr>
            <a:ln w="31750">
              <a:solidFill>
                <a:srgbClr val="60B5D7"/>
              </a:solidFill>
              <a:prstDash val="dash"/>
            </a:ln>
          </c:spPr>
          <c:marker>
            <c:symbol val="none"/>
          </c:marker>
          <c:cat>
            <c:strRef>
              <c:f>Graphs!$E$92:$E$96</c:f>
              <c:strCache>
                <c:ptCount val="5"/>
                <c:pt idx="0">
                  <c:v>Major cities</c:v>
                </c:pt>
                <c:pt idx="1">
                  <c:v>Inner regional</c:v>
                </c:pt>
                <c:pt idx="2">
                  <c:v>Outer regional</c:v>
                </c:pt>
                <c:pt idx="3">
                  <c:v>Remote</c:v>
                </c:pt>
                <c:pt idx="4">
                  <c:v>Very remote</c:v>
                </c:pt>
              </c:strCache>
            </c:strRef>
          </c:cat>
          <c:val>
            <c:numRef>
              <c:f>Graphs!$G$92:$G$96</c:f>
              <c:numCache>
                <c:formatCode>General</c:formatCode>
                <c:ptCount val="5"/>
                <c:pt idx="0">
                  <c:v>100</c:v>
                </c:pt>
                <c:pt idx="1">
                  <c:v>101.47663977225277</c:v>
                </c:pt>
                <c:pt idx="2">
                  <c:v>104.64484194104465</c:v>
                </c:pt>
                <c:pt idx="3">
                  <c:v>121.25084193836051</c:v>
                </c:pt>
                <c:pt idx="4">
                  <c:v>131.72905235453075</c:v>
                </c:pt>
              </c:numCache>
            </c:numRef>
          </c:val>
          <c:smooth val="0"/>
          <c:extLst>
            <c:ext xmlns:c16="http://schemas.microsoft.com/office/drawing/2014/chart" uri="{C3380CC4-5D6E-409C-BE32-E72D297353CC}">
              <c16:uniqueId val="{00000001-9414-4CAE-B646-6E33C10989A2}"/>
            </c:ext>
          </c:extLst>
        </c:ser>
        <c:dLbls>
          <c:showLegendKey val="0"/>
          <c:showVal val="0"/>
          <c:showCatName val="0"/>
          <c:showSerName val="0"/>
          <c:showPercent val="0"/>
          <c:showBubbleSize val="0"/>
        </c:dLbls>
        <c:smooth val="0"/>
        <c:axId val="266557696"/>
        <c:axId val="266568064"/>
      </c:lineChart>
      <c:catAx>
        <c:axId val="266557696"/>
        <c:scaling>
          <c:orientation val="minMax"/>
        </c:scaling>
        <c:delete val="0"/>
        <c:axPos val="b"/>
        <c:numFmt formatCode="#,##0" sourceLinked="0"/>
        <c:majorTickMark val="none"/>
        <c:minorTickMark val="out"/>
        <c:tickLblPos val="nextTo"/>
        <c:spPr>
          <a:ln>
            <a:noFill/>
          </a:ln>
        </c:spPr>
        <c:txPr>
          <a:bodyPr/>
          <a:lstStyle/>
          <a:p>
            <a:pPr>
              <a:defRPr sz="800">
                <a:latin typeface="Work Sans" pitchFamily="2" charset="0"/>
              </a:defRPr>
            </a:pPr>
            <a:endParaRPr lang="en-US"/>
          </a:p>
        </c:txPr>
        <c:crossAx val="266568064"/>
        <c:crosses val="autoZero"/>
        <c:auto val="1"/>
        <c:lblAlgn val="ctr"/>
        <c:lblOffset val="100"/>
        <c:noMultiLvlLbl val="0"/>
      </c:catAx>
      <c:valAx>
        <c:axId val="266568064"/>
        <c:scaling>
          <c:orientation val="minMax"/>
          <c:max val="135"/>
          <c:min val="100"/>
        </c:scaling>
        <c:delete val="0"/>
        <c:axPos val="l"/>
        <c:majorGridlines>
          <c:spPr>
            <a:ln w="6350">
              <a:solidFill>
                <a:sysClr val="window" lastClr="FFFFFF">
                  <a:lumMod val="85000"/>
                </a:sysClr>
              </a:solidFill>
            </a:ln>
          </c:spPr>
        </c:majorGridlines>
        <c:title>
          <c:tx>
            <c:rich>
              <a:bodyPr/>
              <a:lstStyle/>
              <a:p>
                <a:pPr>
                  <a:defRPr sz="800" b="1">
                    <a:latin typeface="Work Sans" pitchFamily="2" charset="0"/>
                  </a:defRPr>
                </a:pPr>
                <a:r>
                  <a:rPr lang="en-AU" sz="1000"/>
                  <a:t>Index</a:t>
                </a:r>
                <a:r>
                  <a:rPr lang="en-AU" sz="1000" baseline="0"/>
                  <a:t> of relative cost</a:t>
                </a:r>
                <a:endParaRPr lang="en-AU" sz="1000"/>
              </a:p>
            </c:rich>
          </c:tx>
          <c:layout>
            <c:manualLayout>
              <c:xMode val="edge"/>
              <c:yMode val="edge"/>
              <c:x val="7.739196066714059E-3"/>
              <c:y val="0.37301833525093842"/>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66557696"/>
        <c:crosses val="autoZero"/>
        <c:crossBetween val="midCat"/>
      </c:valAx>
    </c:plotArea>
    <c:legend>
      <c:legendPos val="r"/>
      <c:layout>
        <c:manualLayout>
          <c:xMode val="edge"/>
          <c:yMode val="edge"/>
          <c:x val="0.11443502912863331"/>
          <c:y val="0.18794959563836444"/>
          <c:w val="0.42148013673606372"/>
          <c:h val="0.33024275240349055"/>
        </c:manualLayout>
      </c:layou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1507002227021E-2"/>
          <c:y val="3.970564051451049E-2"/>
          <c:w val="0.84305877175890476"/>
          <c:h val="0.87843695546888056"/>
        </c:manualLayout>
      </c:layout>
      <c:lineChart>
        <c:grouping val="standard"/>
        <c:varyColors val="0"/>
        <c:ser>
          <c:idx val="0"/>
          <c:order val="0"/>
          <c:tx>
            <c:strRef>
              <c:f>Graphs!$V$91</c:f>
              <c:strCache>
                <c:ptCount val="1"/>
                <c:pt idx="0">
                  <c:v>Current combined gradient</c:v>
                </c:pt>
              </c:strCache>
            </c:strRef>
          </c:tx>
          <c:spPr>
            <a:ln w="31750">
              <a:solidFill>
                <a:srgbClr val="60B5D7"/>
              </a:solidFill>
            </a:ln>
          </c:spPr>
          <c:marker>
            <c:symbol val="none"/>
          </c:marker>
          <c:cat>
            <c:strRef>
              <c:f>Graphs!$U$92:$U$96</c:f>
              <c:strCache>
                <c:ptCount val="5"/>
                <c:pt idx="0">
                  <c:v>Major cities</c:v>
                </c:pt>
                <c:pt idx="1">
                  <c:v>Inner regional</c:v>
                </c:pt>
                <c:pt idx="2">
                  <c:v>Outer regional</c:v>
                </c:pt>
                <c:pt idx="3">
                  <c:v>Remote</c:v>
                </c:pt>
                <c:pt idx="4">
                  <c:v>Very remote</c:v>
                </c:pt>
              </c:strCache>
            </c:strRef>
          </c:cat>
          <c:val>
            <c:numRef>
              <c:f>Graphs!$V$92:$V$96</c:f>
              <c:numCache>
                <c:formatCode>General</c:formatCode>
                <c:ptCount val="5"/>
                <c:pt idx="0">
                  <c:v>100</c:v>
                </c:pt>
                <c:pt idx="1">
                  <c:v>103.24344004501613</c:v>
                </c:pt>
                <c:pt idx="2">
                  <c:v>109.54997057559386</c:v>
                </c:pt>
                <c:pt idx="3">
                  <c:v>127.3510969330716</c:v>
                </c:pt>
                <c:pt idx="4">
                  <c:v>147.72781243187413</c:v>
                </c:pt>
              </c:numCache>
            </c:numRef>
          </c:val>
          <c:smooth val="0"/>
          <c:extLst>
            <c:ext xmlns:c16="http://schemas.microsoft.com/office/drawing/2014/chart" uri="{C3380CC4-5D6E-409C-BE32-E72D297353CC}">
              <c16:uniqueId val="{00000000-CA23-4686-A56C-0E37B812BAE6}"/>
            </c:ext>
          </c:extLst>
        </c:ser>
        <c:ser>
          <c:idx val="1"/>
          <c:order val="1"/>
          <c:tx>
            <c:strRef>
              <c:f>Graphs!$W$91</c:f>
              <c:strCache>
                <c:ptCount val="1"/>
                <c:pt idx="0">
                  <c:v>Proposed combined gradient</c:v>
                </c:pt>
              </c:strCache>
            </c:strRef>
          </c:tx>
          <c:spPr>
            <a:ln w="31750">
              <a:solidFill>
                <a:srgbClr val="60B5D7"/>
              </a:solidFill>
              <a:prstDash val="dash"/>
            </a:ln>
          </c:spPr>
          <c:marker>
            <c:symbol val="none"/>
          </c:marker>
          <c:cat>
            <c:strRef>
              <c:f>Graphs!$U$92:$U$96</c:f>
              <c:strCache>
                <c:ptCount val="5"/>
                <c:pt idx="0">
                  <c:v>Major cities</c:v>
                </c:pt>
                <c:pt idx="1">
                  <c:v>Inner regional</c:v>
                </c:pt>
                <c:pt idx="2">
                  <c:v>Outer regional</c:v>
                </c:pt>
                <c:pt idx="3">
                  <c:v>Remote</c:v>
                </c:pt>
                <c:pt idx="4">
                  <c:v>Very remote</c:v>
                </c:pt>
              </c:strCache>
            </c:strRef>
          </c:cat>
          <c:val>
            <c:numRef>
              <c:f>Graphs!$W$92:$W$96</c:f>
              <c:numCache>
                <c:formatCode>General</c:formatCode>
                <c:ptCount val="5"/>
                <c:pt idx="0">
                  <c:v>100</c:v>
                </c:pt>
                <c:pt idx="1">
                  <c:v>102.50868018343131</c:v>
                </c:pt>
                <c:pt idx="2">
                  <c:v>107.29898606410356</c:v>
                </c:pt>
                <c:pt idx="3">
                  <c:v>121.2556944214612</c:v>
                </c:pt>
                <c:pt idx="4">
                  <c:v>144.64114386104779</c:v>
                </c:pt>
              </c:numCache>
            </c:numRef>
          </c:val>
          <c:smooth val="0"/>
          <c:extLst>
            <c:ext xmlns:c16="http://schemas.microsoft.com/office/drawing/2014/chart" uri="{C3380CC4-5D6E-409C-BE32-E72D297353CC}">
              <c16:uniqueId val="{00000001-CA23-4686-A56C-0E37B812BAE6}"/>
            </c:ext>
          </c:extLst>
        </c:ser>
        <c:dLbls>
          <c:showLegendKey val="0"/>
          <c:showVal val="0"/>
          <c:showCatName val="0"/>
          <c:showSerName val="0"/>
          <c:showPercent val="0"/>
          <c:showBubbleSize val="0"/>
        </c:dLbls>
        <c:smooth val="0"/>
        <c:axId val="266557696"/>
        <c:axId val="266568064"/>
      </c:lineChart>
      <c:catAx>
        <c:axId val="266557696"/>
        <c:scaling>
          <c:orientation val="minMax"/>
        </c:scaling>
        <c:delete val="0"/>
        <c:axPos val="b"/>
        <c:numFmt formatCode="#,##0" sourceLinked="0"/>
        <c:majorTickMark val="none"/>
        <c:minorTickMark val="out"/>
        <c:tickLblPos val="nextTo"/>
        <c:spPr>
          <a:ln>
            <a:noFill/>
          </a:ln>
        </c:spPr>
        <c:txPr>
          <a:bodyPr/>
          <a:lstStyle/>
          <a:p>
            <a:pPr>
              <a:defRPr sz="800">
                <a:latin typeface="Work Sans" pitchFamily="2" charset="0"/>
              </a:defRPr>
            </a:pPr>
            <a:endParaRPr lang="en-US"/>
          </a:p>
        </c:txPr>
        <c:crossAx val="266568064"/>
        <c:crosses val="autoZero"/>
        <c:auto val="1"/>
        <c:lblAlgn val="ctr"/>
        <c:lblOffset val="100"/>
        <c:noMultiLvlLbl val="0"/>
      </c:catAx>
      <c:valAx>
        <c:axId val="266568064"/>
        <c:scaling>
          <c:orientation val="minMax"/>
          <c:max val="150"/>
          <c:min val="100"/>
        </c:scaling>
        <c:delete val="0"/>
        <c:axPos val="l"/>
        <c:majorGridlines>
          <c:spPr>
            <a:ln w="6350">
              <a:solidFill>
                <a:sysClr val="window" lastClr="FFFFFF">
                  <a:lumMod val="85000"/>
                </a:sysClr>
              </a:solidFill>
            </a:ln>
          </c:spPr>
        </c:majorGridlines>
        <c:title>
          <c:tx>
            <c:rich>
              <a:bodyPr/>
              <a:lstStyle/>
              <a:p>
                <a:pPr>
                  <a:defRPr sz="800" b="1">
                    <a:latin typeface="Work Sans" pitchFamily="2" charset="0"/>
                  </a:defRPr>
                </a:pPr>
                <a:r>
                  <a:rPr lang="en-AU" sz="1000"/>
                  <a:t>Index</a:t>
                </a:r>
                <a:r>
                  <a:rPr lang="en-AU" sz="1000" baseline="0"/>
                  <a:t> of relative cost</a:t>
                </a:r>
                <a:endParaRPr lang="en-AU" sz="1000"/>
              </a:p>
            </c:rich>
          </c:tx>
          <c:layout>
            <c:manualLayout>
              <c:xMode val="edge"/>
              <c:yMode val="edge"/>
              <c:x val="5.4837732260312752E-3"/>
              <c:y val="0.37301814371226522"/>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66557696"/>
        <c:crosses val="autoZero"/>
        <c:crossBetween val="midCat"/>
      </c:valAx>
    </c:plotArea>
    <c:legend>
      <c:legendPos val="r"/>
      <c:layout>
        <c:manualLayout>
          <c:xMode val="edge"/>
          <c:yMode val="edge"/>
          <c:x val="0.10809734258511282"/>
          <c:y val="0.18824162452156182"/>
          <c:w val="0.42879433168571635"/>
          <c:h val="0.33747953176510515"/>
        </c:manualLayout>
      </c:layout>
      <c:overlay val="0"/>
      <c:spPr>
        <a:solidFill>
          <a:sysClr val="window" lastClr="FFFFFF"/>
        </a:solidFill>
        <a:ln w="6350">
          <a:solidFill>
            <a:srgbClr val="939598"/>
          </a:solidFill>
        </a:ln>
      </c:spPr>
      <c:txPr>
        <a:bodyPr/>
        <a:lstStyle/>
        <a:p>
          <a:pPr>
            <a:defRPr sz="800">
              <a:latin typeface="Work Sans" pitchFamily="2" charset="0"/>
            </a:defRPr>
          </a:pPr>
          <a:endParaRPr lang="en-US"/>
        </a:p>
      </c:txPr>
    </c:legend>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56C4-B616-4346-8271-1EE5100E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1078</TotalTime>
  <Pages>18</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37444</CharactersWithSpaces>
  <SharedDoc>false</SharedDoc>
  <HLinks>
    <vt:vector size="12" baseType="variant">
      <vt:variant>
        <vt:i4>5439562</vt:i4>
      </vt:variant>
      <vt:variant>
        <vt:i4>3</vt:i4>
      </vt:variant>
      <vt:variant>
        <vt:i4>0</vt:i4>
      </vt:variant>
      <vt:variant>
        <vt:i4>5</vt:i4>
      </vt:variant>
      <vt:variant>
        <vt:lpwstr>https://www.cgc.gov.au/reports-for-government/2025-methodology-review/consultation/tranche-2-consultation-papers</vt:lpwstr>
      </vt:variant>
      <vt:variant>
        <vt:lpwstr/>
      </vt:variant>
      <vt:variant>
        <vt:i4>5767226</vt:i4>
      </vt:variant>
      <vt:variant>
        <vt:i4>0</vt:i4>
      </vt:variant>
      <vt:variant>
        <vt:i4>0</vt:i4>
      </vt:variant>
      <vt:variant>
        <vt:i4>5</vt:i4>
      </vt:variant>
      <vt:variant>
        <vt:lpwstr>https://www.cgc.gov.au/sites/default/files/2023-10/2025 Methodology Review - Consultation paper - Geography_Final3.pdf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320</cp:revision>
  <cp:lastPrinted>2024-06-18T10:03:00Z</cp:lastPrinted>
  <dcterms:created xsi:type="dcterms:W3CDTF">2024-05-27T16:26:00Z</dcterms:created>
  <dcterms:modified xsi:type="dcterms:W3CDTF">2024-06-21T04:44:00Z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82ef4027-dbd0-4b7a-b52f-c800323c75af</vt:lpwstr>
  </property>
</Properties>
</file>